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BFAC66" w14:textId="77777777" w:rsidR="00262127" w:rsidRPr="00735731" w:rsidRDefault="00262127" w:rsidP="00735731">
      <w:pPr>
        <w:pStyle w:val="Subtitle"/>
      </w:pPr>
      <w:bookmarkStart w:id="0" w:name="_Toc427153112"/>
      <w:r w:rsidRPr="00735731">
        <w:t>Medicare Benefits Schedule Review Taskforce</w:t>
      </w:r>
    </w:p>
    <w:p w14:paraId="5E4AA0C9" w14:textId="441A73AD" w:rsidR="00CE0E68" w:rsidRPr="00536CA1" w:rsidRDefault="000E08E7" w:rsidP="00735731">
      <w:pPr>
        <w:pStyle w:val="Title"/>
        <w:rPr>
          <w:sz w:val="60"/>
          <w:szCs w:val="60"/>
        </w:rPr>
      </w:pPr>
      <w:r w:rsidRPr="00536CA1">
        <w:rPr>
          <w:sz w:val="60"/>
          <w:szCs w:val="60"/>
        </w:rPr>
        <w:t>Second r</w:t>
      </w:r>
      <w:r w:rsidR="00CE0E68" w:rsidRPr="00536CA1">
        <w:rPr>
          <w:sz w:val="60"/>
          <w:szCs w:val="60"/>
        </w:rPr>
        <w:t xml:space="preserve">eport from the </w:t>
      </w:r>
    </w:p>
    <w:p w14:paraId="700732DB" w14:textId="45D47A0E" w:rsidR="00262127" w:rsidRPr="00536CA1" w:rsidRDefault="00B90986" w:rsidP="00735731">
      <w:pPr>
        <w:pStyle w:val="Title"/>
        <w:rPr>
          <w:sz w:val="60"/>
          <w:szCs w:val="60"/>
        </w:rPr>
      </w:pPr>
      <w:r w:rsidRPr="00536CA1">
        <w:rPr>
          <w:sz w:val="60"/>
          <w:szCs w:val="60"/>
        </w:rPr>
        <w:t xml:space="preserve">Diagnostic Imaging Clinical </w:t>
      </w:r>
      <w:r w:rsidR="00262127" w:rsidRPr="00536CA1">
        <w:rPr>
          <w:sz w:val="60"/>
          <w:szCs w:val="60"/>
        </w:rPr>
        <w:t>C</w:t>
      </w:r>
      <w:r w:rsidR="00552935" w:rsidRPr="00536CA1">
        <w:rPr>
          <w:sz w:val="60"/>
          <w:szCs w:val="60"/>
        </w:rPr>
        <w:t>ommittee</w:t>
      </w:r>
      <w:r w:rsidR="008A49F1" w:rsidRPr="00536CA1">
        <w:rPr>
          <w:sz w:val="60"/>
          <w:szCs w:val="60"/>
        </w:rPr>
        <w:t xml:space="preserve"> </w:t>
      </w:r>
      <w:r w:rsidR="000E08E7" w:rsidRPr="00536CA1">
        <w:rPr>
          <w:sz w:val="60"/>
          <w:szCs w:val="60"/>
        </w:rPr>
        <w:t>-</w:t>
      </w:r>
      <w:r w:rsidR="009D40D0" w:rsidRPr="00536CA1">
        <w:rPr>
          <w:sz w:val="60"/>
          <w:szCs w:val="60"/>
        </w:rPr>
        <w:t xml:space="preserve"> </w:t>
      </w:r>
      <w:r w:rsidR="008A49F1" w:rsidRPr="00536CA1">
        <w:rPr>
          <w:sz w:val="60"/>
          <w:szCs w:val="60"/>
        </w:rPr>
        <w:t xml:space="preserve">Bone Densitometry </w:t>
      </w:r>
    </w:p>
    <w:p w14:paraId="57842E20" w14:textId="77777777" w:rsidR="00262127" w:rsidRPr="003B1222" w:rsidRDefault="003A527D" w:rsidP="00735731">
      <w:pPr>
        <w:pStyle w:val="Subtitle"/>
      </w:pPr>
      <w:r w:rsidRPr="003B1222">
        <w:t>August</w:t>
      </w:r>
      <w:r w:rsidR="00262127" w:rsidRPr="003B1222">
        <w:t xml:space="preserve"> 2016</w:t>
      </w:r>
    </w:p>
    <w:p w14:paraId="76C482B1" w14:textId="77777777" w:rsidR="008A49F1" w:rsidRPr="00A12E3A" w:rsidRDefault="008A49F1" w:rsidP="00A12E3A">
      <w:bookmarkStart w:id="1" w:name="_Toc448369494"/>
      <w:r w:rsidRPr="00A12E3A">
        <w:br w:type="page"/>
      </w:r>
    </w:p>
    <w:p w14:paraId="49158F93" w14:textId="393BE444" w:rsidR="00CA4CDF" w:rsidRDefault="005A2B5C" w:rsidP="00360A3F">
      <w:pPr>
        <w:pStyle w:val="BoxText"/>
        <w:pBdr>
          <w:top w:val="single" w:sz="12" w:space="4" w:color="984806"/>
          <w:left w:val="single" w:sz="12" w:space="4" w:color="984806"/>
          <w:bottom w:val="single" w:sz="12" w:space="4" w:color="984806"/>
          <w:right w:val="single" w:sz="12" w:space="4" w:color="984806"/>
        </w:pBdr>
        <w:rPr>
          <w:rFonts w:cs="Arial"/>
          <w:bCs/>
        </w:rPr>
      </w:pPr>
      <w:r w:rsidRPr="003B1222">
        <w:rPr>
          <w:rFonts w:cs="Arial"/>
          <w:b/>
          <w:bCs/>
          <w:color w:val="01653F"/>
          <w:sz w:val="32"/>
          <w:szCs w:val="28"/>
        </w:rPr>
        <w:lastRenderedPageBreak/>
        <w:t>Important note</w:t>
      </w:r>
    </w:p>
    <w:p w14:paraId="7CA7E1DC" w14:textId="60F76B8A" w:rsidR="00CA4CDF" w:rsidRDefault="005A2B5C" w:rsidP="00360A3F">
      <w:pPr>
        <w:pStyle w:val="BoxText"/>
        <w:pBdr>
          <w:top w:val="single" w:sz="12" w:space="4" w:color="984806"/>
          <w:left w:val="single" w:sz="12" w:space="4" w:color="984806"/>
          <w:bottom w:val="single" w:sz="12" w:space="4" w:color="984806"/>
          <w:right w:val="single" w:sz="12" w:space="4" w:color="984806"/>
        </w:pBdr>
        <w:rPr>
          <w:rFonts w:cs="Arial"/>
          <w:bCs/>
        </w:rPr>
      </w:pPr>
      <w:r w:rsidRPr="00913EA8">
        <w:rPr>
          <w:rFonts w:cs="Arial"/>
          <w:bCs/>
        </w:rPr>
        <w:t>The views and recommendations in this review report from the clinical committee have been released for the purpose of seeking the views of stakeholders.</w:t>
      </w:r>
    </w:p>
    <w:p w14:paraId="638C2B36" w14:textId="14864F48" w:rsidR="00CA4CDF" w:rsidRDefault="005A2B5C" w:rsidP="00360A3F">
      <w:pPr>
        <w:pStyle w:val="BoxText"/>
        <w:pBdr>
          <w:top w:val="single" w:sz="12" w:space="4" w:color="984806"/>
          <w:left w:val="single" w:sz="12" w:space="4" w:color="984806"/>
          <w:bottom w:val="single" w:sz="12" w:space="4" w:color="984806"/>
          <w:right w:val="single" w:sz="12" w:space="4" w:color="984806"/>
        </w:pBdr>
        <w:rPr>
          <w:noProof/>
        </w:rPr>
      </w:pPr>
      <w:r w:rsidRPr="00913EA8">
        <w:rPr>
          <w:rFonts w:cs="Arial"/>
          <w:bCs/>
        </w:rPr>
        <w:t>This report does not constitute the final position on these items which is subject to:</w:t>
      </w:r>
      <w:r w:rsidR="00CA4CDF" w:rsidRPr="00CA4CDF">
        <w:rPr>
          <w:noProof/>
        </w:rPr>
        <w:t xml:space="preserve"> </w:t>
      </w:r>
    </w:p>
    <w:p w14:paraId="54D167A5" w14:textId="2A0D59F8" w:rsidR="00CA4CDF" w:rsidRPr="001B6B24" w:rsidRDefault="005A2B5C" w:rsidP="00360A3F">
      <w:pPr>
        <w:pStyle w:val="BoxBullet"/>
        <w:pBdr>
          <w:top w:val="single" w:sz="12" w:space="4" w:color="984806"/>
          <w:left w:val="single" w:sz="12" w:space="4" w:color="984806"/>
          <w:bottom w:val="single" w:sz="12" w:space="4" w:color="984806"/>
          <w:right w:val="single" w:sz="12" w:space="4" w:color="984806"/>
        </w:pBdr>
      </w:pPr>
      <w:r w:rsidRPr="000959B5">
        <w:rPr>
          <w:rStyle w:val="BulletedChar"/>
        </w:rPr>
        <w:t>Stakeholder feedback</w:t>
      </w:r>
      <w:r w:rsidR="00CA4CDF" w:rsidRPr="00F126D6">
        <w:rPr>
          <w:bCs/>
        </w:rPr>
        <w:t>;</w:t>
      </w:r>
    </w:p>
    <w:p w14:paraId="5BFEE133" w14:textId="2B0F87C3" w:rsidR="001B6B24" w:rsidRPr="001B6B24" w:rsidRDefault="005A2B5C" w:rsidP="00360A3F">
      <w:pPr>
        <w:pStyle w:val="BoxText"/>
        <w:pBdr>
          <w:top w:val="single" w:sz="12" w:space="4" w:color="984806"/>
          <w:left w:val="single" w:sz="12" w:space="4" w:color="984806"/>
          <w:bottom w:val="single" w:sz="12" w:space="4" w:color="984806"/>
          <w:right w:val="single" w:sz="12" w:space="4" w:color="984806"/>
        </w:pBdr>
      </w:pPr>
      <w:r>
        <w:t>Then</w:t>
      </w:r>
    </w:p>
    <w:p w14:paraId="71C79F06" w14:textId="6F3CA808" w:rsidR="001B6B24" w:rsidRPr="001B6B24" w:rsidRDefault="005A2B5C" w:rsidP="00360A3F">
      <w:pPr>
        <w:pStyle w:val="BoxBullet"/>
        <w:pBdr>
          <w:top w:val="single" w:sz="12" w:space="4" w:color="984806"/>
          <w:left w:val="single" w:sz="12" w:space="4" w:color="984806"/>
          <w:bottom w:val="single" w:sz="12" w:space="4" w:color="984806"/>
          <w:right w:val="single" w:sz="12" w:space="4" w:color="984806"/>
        </w:pBdr>
      </w:pPr>
      <w:r w:rsidRPr="00F126D6">
        <w:rPr>
          <w:bCs/>
        </w:rPr>
        <w:t xml:space="preserve">Consideration by the </w:t>
      </w:r>
      <w:r w:rsidR="00010BBD">
        <w:rPr>
          <w:bCs/>
        </w:rPr>
        <w:t>MBS</w:t>
      </w:r>
      <w:r w:rsidRPr="00F126D6">
        <w:rPr>
          <w:bCs/>
        </w:rPr>
        <w:t xml:space="preserve"> review taskforce;</w:t>
      </w:r>
    </w:p>
    <w:p w14:paraId="1C611AE9" w14:textId="55CD5503" w:rsidR="001B6B24" w:rsidRPr="001B6B24" w:rsidRDefault="005A2B5C" w:rsidP="00360A3F">
      <w:pPr>
        <w:pStyle w:val="BoxText"/>
        <w:pBdr>
          <w:top w:val="single" w:sz="12" w:space="4" w:color="984806"/>
          <w:left w:val="single" w:sz="12" w:space="4" w:color="984806"/>
          <w:bottom w:val="single" w:sz="12" w:space="4" w:color="984806"/>
          <w:right w:val="single" w:sz="12" w:space="4" w:color="984806"/>
        </w:pBdr>
      </w:pPr>
      <w:r w:rsidRPr="00913EA8">
        <w:t xml:space="preserve">Then </w:t>
      </w:r>
      <w:r w:rsidR="001B6B24" w:rsidRPr="001B6B24">
        <w:rPr>
          <w:i/>
        </w:rPr>
        <w:t>if endorsed</w:t>
      </w:r>
    </w:p>
    <w:p w14:paraId="5E98CE5B" w14:textId="49CFCEED" w:rsidR="001B6B24" w:rsidRPr="001B6B24" w:rsidRDefault="005A2B5C" w:rsidP="00360A3F">
      <w:pPr>
        <w:pStyle w:val="BoxBullet"/>
        <w:pBdr>
          <w:top w:val="single" w:sz="12" w:space="4" w:color="984806"/>
          <w:left w:val="single" w:sz="12" w:space="4" w:color="984806"/>
          <w:bottom w:val="single" w:sz="12" w:space="4" w:color="984806"/>
          <w:right w:val="single" w:sz="12" w:space="4" w:color="984806"/>
        </w:pBdr>
      </w:pPr>
      <w:r w:rsidRPr="00F126D6">
        <w:rPr>
          <w:bCs/>
        </w:rPr>
        <w:t>Consideration by the minister for health; and</w:t>
      </w:r>
    </w:p>
    <w:p w14:paraId="18C66F63" w14:textId="39D81AFB" w:rsidR="001B6B24" w:rsidRPr="001B6B24" w:rsidRDefault="005A2B5C" w:rsidP="00360A3F">
      <w:pPr>
        <w:pStyle w:val="BoxBullet"/>
        <w:pBdr>
          <w:top w:val="single" w:sz="12" w:space="4" w:color="984806"/>
          <w:left w:val="single" w:sz="12" w:space="4" w:color="984806"/>
          <w:bottom w:val="single" w:sz="12" w:space="4" w:color="984806"/>
          <w:right w:val="single" w:sz="12" w:space="4" w:color="984806"/>
        </w:pBdr>
      </w:pPr>
      <w:r w:rsidRPr="00F126D6">
        <w:rPr>
          <w:bCs/>
        </w:rPr>
        <w:t>Government.</w:t>
      </w:r>
    </w:p>
    <w:p w14:paraId="4BDF34D7" w14:textId="122168B6" w:rsidR="001B6B24" w:rsidRDefault="005A2B5C" w:rsidP="00360A3F">
      <w:pPr>
        <w:pStyle w:val="BoxText"/>
        <w:pBdr>
          <w:top w:val="single" w:sz="12" w:space="4" w:color="984806"/>
          <w:left w:val="single" w:sz="12" w:space="4" w:color="984806"/>
          <w:bottom w:val="single" w:sz="12" w:space="4" w:color="984806"/>
          <w:right w:val="single" w:sz="12" w:space="4" w:color="984806"/>
        </w:pBdr>
        <w:rPr>
          <w:rFonts w:cs="Arial"/>
          <w:u w:val="single"/>
        </w:rPr>
      </w:pPr>
      <w:r w:rsidRPr="00913EA8">
        <w:rPr>
          <w:rFonts w:cs="Arial"/>
          <w:bCs/>
        </w:rPr>
        <w:t xml:space="preserve">Stakeholders should provide comment on the recommendations via the </w:t>
      </w:r>
      <w:hyperlink r:id="rId8" w:history="1">
        <w:r w:rsidRPr="00913EA8">
          <w:rPr>
            <w:rStyle w:val="Hyperlink"/>
            <w:rFonts w:eastAsiaTheme="majorEastAsia" w:cs="Arial"/>
          </w:rPr>
          <w:t>online consultation tool</w:t>
        </w:r>
      </w:hyperlink>
      <w:r w:rsidR="001B6B24" w:rsidRPr="00913EA8">
        <w:rPr>
          <w:rFonts w:cs="Arial"/>
          <w:u w:val="single"/>
        </w:rPr>
        <w:t>.</w:t>
      </w:r>
    </w:p>
    <w:p w14:paraId="7CD2FE30" w14:textId="64C196FB" w:rsidR="001B6B24" w:rsidRDefault="005A2B5C" w:rsidP="00360A3F">
      <w:pPr>
        <w:pStyle w:val="BoxText"/>
        <w:pBdr>
          <w:top w:val="single" w:sz="12" w:space="4" w:color="984806"/>
          <w:left w:val="single" w:sz="12" w:space="4" w:color="984806"/>
          <w:bottom w:val="single" w:sz="12" w:space="4" w:color="984806"/>
          <w:right w:val="single" w:sz="12" w:space="4" w:color="984806"/>
        </w:pBdr>
        <w:rPr>
          <w:rFonts w:cs="Arial"/>
          <w:u w:val="single"/>
        </w:rPr>
      </w:pPr>
      <w:r w:rsidRPr="003B1222">
        <w:rPr>
          <w:rFonts w:cs="Arial"/>
          <w:b/>
          <w:bCs/>
          <w:color w:val="01653F"/>
        </w:rPr>
        <w:t>Confidentiality of comments:</w:t>
      </w:r>
    </w:p>
    <w:p w14:paraId="3AE4492E" w14:textId="10894415" w:rsidR="00262127" w:rsidRPr="009200D8" w:rsidRDefault="005A2B5C" w:rsidP="00360A3F">
      <w:pPr>
        <w:pStyle w:val="BoxText"/>
        <w:pBdr>
          <w:top w:val="single" w:sz="12" w:space="4" w:color="984806"/>
          <w:left w:val="single" w:sz="12" w:space="4" w:color="984806"/>
          <w:bottom w:val="single" w:sz="12" w:space="4" w:color="984806"/>
          <w:right w:val="single" w:sz="12" w:space="4" w:color="984806"/>
        </w:pBdr>
        <w:rPr>
          <w:rFonts w:cs="Arial"/>
        </w:rPr>
      </w:pPr>
      <w:r w:rsidRPr="00913EA8">
        <w:rPr>
          <w:rFonts w:cs="Arial"/>
          <w:bCs/>
        </w:rPr>
        <w:t xml:space="preserve">If you want your </w:t>
      </w:r>
      <w:r w:rsidR="00DB627C">
        <w:rPr>
          <w:rFonts w:cs="Arial"/>
          <w:bCs/>
        </w:rPr>
        <w:t>feedback</w:t>
      </w:r>
      <w:r w:rsidR="00DB627C" w:rsidRPr="00913EA8">
        <w:rPr>
          <w:rFonts w:cs="Arial"/>
          <w:bCs/>
        </w:rPr>
        <w:t xml:space="preserve"> </w:t>
      </w:r>
      <w:r w:rsidRPr="00913EA8">
        <w:rPr>
          <w:rFonts w:cs="Arial"/>
          <w:bCs/>
        </w:rPr>
        <w:t xml:space="preserve">to remain confidential please mark it as such. It is important to be aware that confidential </w:t>
      </w:r>
      <w:r w:rsidR="00860403">
        <w:rPr>
          <w:rFonts w:cs="Arial"/>
          <w:bCs/>
        </w:rPr>
        <w:t>feedback</w:t>
      </w:r>
      <w:r w:rsidR="00860403" w:rsidRPr="00913EA8">
        <w:rPr>
          <w:rFonts w:cs="Arial"/>
          <w:bCs/>
        </w:rPr>
        <w:t xml:space="preserve"> </w:t>
      </w:r>
      <w:r w:rsidRPr="00913EA8">
        <w:rPr>
          <w:rFonts w:cs="Arial"/>
          <w:bCs/>
        </w:rPr>
        <w:t>may still be subject to access under freedom of information law.</w:t>
      </w:r>
    </w:p>
    <w:p w14:paraId="245F869D" w14:textId="77777777" w:rsidR="00C14752" w:rsidRDefault="00C14752" w:rsidP="0060780D">
      <w:pPr>
        <w:spacing w:before="120" w:after="120"/>
        <w:rPr>
          <w:rFonts w:cs="Arial"/>
        </w:rPr>
        <w:sectPr w:rsidR="00C14752" w:rsidSect="00326D7D">
          <w:pgSz w:w="11906" w:h="16838" w:code="9"/>
          <w:pgMar w:top="1134" w:right="1440" w:bottom="1134" w:left="1440" w:header="720" w:footer="720" w:gutter="0"/>
          <w:paperSrc w:first="2" w:other="2"/>
          <w:cols w:space="720"/>
          <w:docGrid w:linePitch="326"/>
        </w:sectPr>
      </w:pPr>
    </w:p>
    <w:p w14:paraId="1A5A0FCA" w14:textId="77777777" w:rsidR="00C56DF9" w:rsidRPr="003B1222" w:rsidRDefault="00C56DF9" w:rsidP="00312D04">
      <w:pPr>
        <w:spacing w:before="0" w:after="0"/>
        <w:rPr>
          <w:rFonts w:cs="Arial"/>
          <w:b/>
          <w:color w:val="01653F"/>
          <w:sz w:val="32"/>
          <w:szCs w:val="32"/>
        </w:rPr>
      </w:pPr>
      <w:r w:rsidRPr="00DF427A">
        <w:rPr>
          <w:rFonts w:cs="Arial"/>
          <w:b/>
          <w:color w:val="01653F"/>
          <w:sz w:val="32"/>
          <w:szCs w:val="32"/>
        </w:rPr>
        <w:lastRenderedPageBreak/>
        <w:t>Table of</w:t>
      </w:r>
      <w:r w:rsidRPr="003B1222">
        <w:rPr>
          <w:rFonts w:cs="Arial"/>
          <w:b/>
          <w:color w:val="01653F"/>
          <w:sz w:val="32"/>
          <w:szCs w:val="32"/>
        </w:rPr>
        <w:t xml:space="preserve"> Contents</w:t>
      </w:r>
      <w:bookmarkEnd w:id="1"/>
    </w:p>
    <w:p w14:paraId="548A12F8" w14:textId="77777777" w:rsidR="00A12E3A" w:rsidRDefault="005508A4">
      <w:pPr>
        <w:pStyle w:val="TOC1"/>
        <w:rPr>
          <w:rFonts w:eastAsiaTheme="minorEastAsia" w:cstheme="minorBidi"/>
          <w:b w:val="0"/>
          <w:noProof/>
        </w:rPr>
      </w:pPr>
      <w:r>
        <w:rPr>
          <w:noProof/>
          <w:sz w:val="24"/>
        </w:rPr>
        <w:fldChar w:fldCharType="begin"/>
      </w:r>
      <w:r>
        <w:rPr>
          <w:noProof/>
          <w:sz w:val="24"/>
        </w:rPr>
        <w:instrText xml:space="preserve"> TOC \o "1-1" \t "Heading 2 Report,2" </w:instrText>
      </w:r>
      <w:r>
        <w:rPr>
          <w:noProof/>
          <w:sz w:val="24"/>
        </w:rPr>
        <w:fldChar w:fldCharType="separate"/>
      </w:r>
      <w:r w:rsidR="00A12E3A">
        <w:rPr>
          <w:noProof/>
        </w:rPr>
        <w:t>1.</w:t>
      </w:r>
      <w:r w:rsidR="00A12E3A">
        <w:rPr>
          <w:rFonts w:eastAsiaTheme="minorEastAsia" w:cstheme="minorBidi"/>
          <w:b w:val="0"/>
          <w:noProof/>
        </w:rPr>
        <w:tab/>
      </w:r>
      <w:r w:rsidR="00A12E3A">
        <w:rPr>
          <w:noProof/>
        </w:rPr>
        <w:t>Executive Summary</w:t>
      </w:r>
      <w:r w:rsidR="00A12E3A">
        <w:rPr>
          <w:noProof/>
        </w:rPr>
        <w:tab/>
      </w:r>
      <w:r w:rsidR="00A12E3A">
        <w:rPr>
          <w:noProof/>
        </w:rPr>
        <w:fldChar w:fldCharType="begin"/>
      </w:r>
      <w:r w:rsidR="00A12E3A">
        <w:rPr>
          <w:noProof/>
        </w:rPr>
        <w:instrText xml:space="preserve"> PAGEREF _Toc459707255 \h </w:instrText>
      </w:r>
      <w:r w:rsidR="00A12E3A">
        <w:rPr>
          <w:noProof/>
        </w:rPr>
      </w:r>
      <w:r w:rsidR="00A12E3A">
        <w:rPr>
          <w:noProof/>
        </w:rPr>
        <w:fldChar w:fldCharType="separate"/>
      </w:r>
      <w:r w:rsidR="00E82A84">
        <w:rPr>
          <w:noProof/>
        </w:rPr>
        <w:t>3</w:t>
      </w:r>
      <w:r w:rsidR="00A12E3A">
        <w:rPr>
          <w:noProof/>
        </w:rPr>
        <w:fldChar w:fldCharType="end"/>
      </w:r>
    </w:p>
    <w:p w14:paraId="50069A98" w14:textId="77777777" w:rsidR="00A12E3A" w:rsidRDefault="00A12E3A">
      <w:pPr>
        <w:pStyle w:val="TOC2"/>
        <w:tabs>
          <w:tab w:val="left" w:pos="1100"/>
          <w:tab w:val="right" w:leader="dot" w:pos="9016"/>
        </w:tabs>
        <w:rPr>
          <w:rFonts w:eastAsiaTheme="minorEastAsia" w:cstheme="minorBidi"/>
          <w:noProof/>
        </w:rPr>
      </w:pPr>
      <w:r>
        <w:rPr>
          <w:noProof/>
        </w:rPr>
        <w:t>1.1</w:t>
      </w:r>
      <w:r>
        <w:rPr>
          <w:rFonts w:eastAsiaTheme="minorEastAsia" w:cstheme="minorBidi"/>
          <w:noProof/>
        </w:rPr>
        <w:tab/>
      </w:r>
      <w:r>
        <w:rPr>
          <w:noProof/>
        </w:rPr>
        <w:t>Areas of responsibility of the Bone Densitometry Working Group</w:t>
      </w:r>
      <w:r>
        <w:rPr>
          <w:noProof/>
        </w:rPr>
        <w:tab/>
      </w:r>
      <w:r>
        <w:rPr>
          <w:noProof/>
        </w:rPr>
        <w:fldChar w:fldCharType="begin"/>
      </w:r>
      <w:r>
        <w:rPr>
          <w:noProof/>
        </w:rPr>
        <w:instrText xml:space="preserve"> PAGEREF _Toc459707256 \h </w:instrText>
      </w:r>
      <w:r>
        <w:rPr>
          <w:noProof/>
        </w:rPr>
      </w:r>
      <w:r>
        <w:rPr>
          <w:noProof/>
        </w:rPr>
        <w:fldChar w:fldCharType="separate"/>
      </w:r>
      <w:r w:rsidR="00E82A84">
        <w:rPr>
          <w:noProof/>
        </w:rPr>
        <w:t>3</w:t>
      </w:r>
      <w:r>
        <w:rPr>
          <w:noProof/>
        </w:rPr>
        <w:fldChar w:fldCharType="end"/>
      </w:r>
    </w:p>
    <w:p w14:paraId="2865A5A4" w14:textId="77777777" w:rsidR="00A12E3A" w:rsidRDefault="00A12E3A">
      <w:pPr>
        <w:pStyle w:val="TOC2"/>
        <w:tabs>
          <w:tab w:val="left" w:pos="1100"/>
          <w:tab w:val="right" w:leader="dot" w:pos="9016"/>
        </w:tabs>
        <w:rPr>
          <w:rFonts w:eastAsiaTheme="minorEastAsia" w:cstheme="minorBidi"/>
          <w:noProof/>
        </w:rPr>
      </w:pPr>
      <w:r>
        <w:rPr>
          <w:noProof/>
        </w:rPr>
        <w:t>1.2</w:t>
      </w:r>
      <w:r>
        <w:rPr>
          <w:rFonts w:eastAsiaTheme="minorEastAsia" w:cstheme="minorBidi"/>
          <w:noProof/>
        </w:rPr>
        <w:tab/>
      </w:r>
      <w:r>
        <w:rPr>
          <w:noProof/>
        </w:rPr>
        <w:t>Key recommendations</w:t>
      </w:r>
      <w:r>
        <w:rPr>
          <w:noProof/>
        </w:rPr>
        <w:tab/>
      </w:r>
      <w:r>
        <w:rPr>
          <w:noProof/>
        </w:rPr>
        <w:fldChar w:fldCharType="begin"/>
      </w:r>
      <w:r>
        <w:rPr>
          <w:noProof/>
        </w:rPr>
        <w:instrText xml:space="preserve"> PAGEREF _Toc459707257 \h </w:instrText>
      </w:r>
      <w:r>
        <w:rPr>
          <w:noProof/>
        </w:rPr>
      </w:r>
      <w:r>
        <w:rPr>
          <w:noProof/>
        </w:rPr>
        <w:fldChar w:fldCharType="separate"/>
      </w:r>
      <w:r w:rsidR="00E82A84">
        <w:rPr>
          <w:noProof/>
        </w:rPr>
        <w:t>4</w:t>
      </w:r>
      <w:r>
        <w:rPr>
          <w:noProof/>
        </w:rPr>
        <w:fldChar w:fldCharType="end"/>
      </w:r>
    </w:p>
    <w:p w14:paraId="5E90580C" w14:textId="77777777" w:rsidR="00A12E3A" w:rsidRDefault="00A12E3A">
      <w:pPr>
        <w:pStyle w:val="TOC2"/>
        <w:tabs>
          <w:tab w:val="left" w:pos="1100"/>
          <w:tab w:val="right" w:leader="dot" w:pos="9016"/>
        </w:tabs>
        <w:rPr>
          <w:rFonts w:eastAsiaTheme="minorEastAsia" w:cstheme="minorBidi"/>
          <w:noProof/>
        </w:rPr>
      </w:pPr>
      <w:r>
        <w:rPr>
          <w:noProof/>
        </w:rPr>
        <w:t>1.3</w:t>
      </w:r>
      <w:r>
        <w:rPr>
          <w:rFonts w:eastAsiaTheme="minorEastAsia" w:cstheme="minorBidi"/>
          <w:noProof/>
        </w:rPr>
        <w:tab/>
      </w:r>
      <w:r>
        <w:rPr>
          <w:noProof/>
        </w:rPr>
        <w:t>Consumer engagement</w:t>
      </w:r>
      <w:r>
        <w:rPr>
          <w:noProof/>
        </w:rPr>
        <w:tab/>
      </w:r>
      <w:r>
        <w:rPr>
          <w:noProof/>
        </w:rPr>
        <w:fldChar w:fldCharType="begin"/>
      </w:r>
      <w:r>
        <w:rPr>
          <w:noProof/>
        </w:rPr>
        <w:instrText xml:space="preserve"> PAGEREF _Toc459707258 \h </w:instrText>
      </w:r>
      <w:r>
        <w:rPr>
          <w:noProof/>
        </w:rPr>
      </w:r>
      <w:r>
        <w:rPr>
          <w:noProof/>
        </w:rPr>
        <w:fldChar w:fldCharType="separate"/>
      </w:r>
      <w:r w:rsidR="00E82A84">
        <w:rPr>
          <w:noProof/>
        </w:rPr>
        <w:t>5</w:t>
      </w:r>
      <w:r>
        <w:rPr>
          <w:noProof/>
        </w:rPr>
        <w:fldChar w:fldCharType="end"/>
      </w:r>
    </w:p>
    <w:p w14:paraId="628EAB89" w14:textId="77777777" w:rsidR="00A12E3A" w:rsidRDefault="00A12E3A">
      <w:pPr>
        <w:pStyle w:val="TOC1"/>
        <w:rPr>
          <w:rFonts w:eastAsiaTheme="minorEastAsia" w:cstheme="minorBidi"/>
          <w:b w:val="0"/>
          <w:noProof/>
        </w:rPr>
      </w:pPr>
      <w:r>
        <w:rPr>
          <w:noProof/>
        </w:rPr>
        <w:t>2.</w:t>
      </w:r>
      <w:r>
        <w:rPr>
          <w:rFonts w:eastAsiaTheme="minorEastAsia" w:cstheme="minorBidi"/>
          <w:b w:val="0"/>
          <w:noProof/>
        </w:rPr>
        <w:tab/>
      </w:r>
      <w:r>
        <w:rPr>
          <w:noProof/>
        </w:rPr>
        <w:t>About the Medicare Benefits Schedule (MBS) Review</w:t>
      </w:r>
      <w:r>
        <w:rPr>
          <w:noProof/>
        </w:rPr>
        <w:tab/>
      </w:r>
      <w:r>
        <w:rPr>
          <w:noProof/>
        </w:rPr>
        <w:fldChar w:fldCharType="begin"/>
      </w:r>
      <w:r>
        <w:rPr>
          <w:noProof/>
        </w:rPr>
        <w:instrText xml:space="preserve"> PAGEREF _Toc459707259 \h </w:instrText>
      </w:r>
      <w:r>
        <w:rPr>
          <w:noProof/>
        </w:rPr>
      </w:r>
      <w:r>
        <w:rPr>
          <w:noProof/>
        </w:rPr>
        <w:fldChar w:fldCharType="separate"/>
      </w:r>
      <w:r w:rsidR="00E82A84">
        <w:rPr>
          <w:noProof/>
        </w:rPr>
        <w:t>6</w:t>
      </w:r>
      <w:r>
        <w:rPr>
          <w:noProof/>
        </w:rPr>
        <w:fldChar w:fldCharType="end"/>
      </w:r>
    </w:p>
    <w:p w14:paraId="1657852F" w14:textId="77777777" w:rsidR="00A12E3A" w:rsidRDefault="00A12E3A">
      <w:pPr>
        <w:pStyle w:val="TOC2"/>
        <w:tabs>
          <w:tab w:val="left" w:pos="1100"/>
          <w:tab w:val="right" w:leader="dot" w:pos="9016"/>
        </w:tabs>
        <w:rPr>
          <w:rFonts w:eastAsiaTheme="minorEastAsia" w:cstheme="minorBidi"/>
          <w:noProof/>
        </w:rPr>
      </w:pPr>
      <w:r>
        <w:rPr>
          <w:noProof/>
        </w:rPr>
        <w:t>2.1</w:t>
      </w:r>
      <w:r>
        <w:rPr>
          <w:rFonts w:eastAsiaTheme="minorEastAsia" w:cstheme="minorBidi"/>
          <w:noProof/>
        </w:rPr>
        <w:tab/>
      </w:r>
      <w:r>
        <w:rPr>
          <w:noProof/>
        </w:rPr>
        <w:t>Medicare and the MBS</w:t>
      </w:r>
      <w:r>
        <w:rPr>
          <w:noProof/>
        </w:rPr>
        <w:tab/>
      </w:r>
      <w:r>
        <w:rPr>
          <w:noProof/>
        </w:rPr>
        <w:fldChar w:fldCharType="begin"/>
      </w:r>
      <w:r>
        <w:rPr>
          <w:noProof/>
        </w:rPr>
        <w:instrText xml:space="preserve"> PAGEREF _Toc459707260 \h </w:instrText>
      </w:r>
      <w:r>
        <w:rPr>
          <w:noProof/>
        </w:rPr>
      </w:r>
      <w:r>
        <w:rPr>
          <w:noProof/>
        </w:rPr>
        <w:fldChar w:fldCharType="separate"/>
      </w:r>
      <w:r w:rsidR="00E82A84">
        <w:rPr>
          <w:noProof/>
        </w:rPr>
        <w:t>6</w:t>
      </w:r>
      <w:r>
        <w:rPr>
          <w:noProof/>
        </w:rPr>
        <w:fldChar w:fldCharType="end"/>
      </w:r>
    </w:p>
    <w:p w14:paraId="369D0A75" w14:textId="77777777" w:rsidR="00A12E3A" w:rsidRDefault="00A12E3A">
      <w:pPr>
        <w:pStyle w:val="TOC2"/>
        <w:tabs>
          <w:tab w:val="left" w:pos="1100"/>
          <w:tab w:val="right" w:leader="dot" w:pos="9016"/>
        </w:tabs>
        <w:rPr>
          <w:rFonts w:eastAsiaTheme="minorEastAsia" w:cstheme="minorBidi"/>
          <w:noProof/>
        </w:rPr>
      </w:pPr>
      <w:r>
        <w:rPr>
          <w:noProof/>
        </w:rPr>
        <w:t>2.2</w:t>
      </w:r>
      <w:r>
        <w:rPr>
          <w:rFonts w:eastAsiaTheme="minorEastAsia" w:cstheme="minorBidi"/>
          <w:noProof/>
        </w:rPr>
        <w:tab/>
      </w:r>
      <w:r>
        <w:rPr>
          <w:noProof/>
        </w:rPr>
        <w:t>What is the MBS Review Taskforce?</w:t>
      </w:r>
      <w:r>
        <w:rPr>
          <w:noProof/>
        </w:rPr>
        <w:tab/>
      </w:r>
      <w:r>
        <w:rPr>
          <w:noProof/>
        </w:rPr>
        <w:fldChar w:fldCharType="begin"/>
      </w:r>
      <w:r>
        <w:rPr>
          <w:noProof/>
        </w:rPr>
        <w:instrText xml:space="preserve"> PAGEREF _Toc459707261 \h </w:instrText>
      </w:r>
      <w:r>
        <w:rPr>
          <w:noProof/>
        </w:rPr>
      </w:r>
      <w:r>
        <w:rPr>
          <w:noProof/>
        </w:rPr>
        <w:fldChar w:fldCharType="separate"/>
      </w:r>
      <w:r w:rsidR="00E82A84">
        <w:rPr>
          <w:noProof/>
        </w:rPr>
        <w:t>6</w:t>
      </w:r>
      <w:r>
        <w:rPr>
          <w:noProof/>
        </w:rPr>
        <w:fldChar w:fldCharType="end"/>
      </w:r>
    </w:p>
    <w:p w14:paraId="41A6EEB0" w14:textId="77777777" w:rsidR="00A12E3A" w:rsidRDefault="00A12E3A">
      <w:pPr>
        <w:pStyle w:val="TOC2"/>
        <w:tabs>
          <w:tab w:val="left" w:pos="1100"/>
          <w:tab w:val="right" w:leader="dot" w:pos="9016"/>
        </w:tabs>
        <w:rPr>
          <w:rFonts w:eastAsiaTheme="minorEastAsia" w:cstheme="minorBidi"/>
          <w:noProof/>
        </w:rPr>
      </w:pPr>
      <w:r>
        <w:rPr>
          <w:noProof/>
        </w:rPr>
        <w:t>2.3</w:t>
      </w:r>
      <w:r>
        <w:rPr>
          <w:rFonts w:eastAsiaTheme="minorEastAsia" w:cstheme="minorBidi"/>
          <w:noProof/>
        </w:rPr>
        <w:tab/>
      </w:r>
      <w:r>
        <w:rPr>
          <w:noProof/>
        </w:rPr>
        <w:t>Methods: The Taskforce’s approach</w:t>
      </w:r>
      <w:r>
        <w:rPr>
          <w:noProof/>
        </w:rPr>
        <w:tab/>
      </w:r>
      <w:r>
        <w:rPr>
          <w:noProof/>
        </w:rPr>
        <w:fldChar w:fldCharType="begin"/>
      </w:r>
      <w:r>
        <w:rPr>
          <w:noProof/>
        </w:rPr>
        <w:instrText xml:space="preserve"> PAGEREF _Toc459707262 \h </w:instrText>
      </w:r>
      <w:r>
        <w:rPr>
          <w:noProof/>
        </w:rPr>
      </w:r>
      <w:r>
        <w:rPr>
          <w:noProof/>
        </w:rPr>
        <w:fldChar w:fldCharType="separate"/>
      </w:r>
      <w:r w:rsidR="00E82A84">
        <w:rPr>
          <w:noProof/>
        </w:rPr>
        <w:t>7</w:t>
      </w:r>
      <w:r>
        <w:rPr>
          <w:noProof/>
        </w:rPr>
        <w:fldChar w:fldCharType="end"/>
      </w:r>
    </w:p>
    <w:p w14:paraId="3C1FBB04" w14:textId="77777777" w:rsidR="00A12E3A" w:rsidRDefault="00A12E3A">
      <w:pPr>
        <w:pStyle w:val="TOC2"/>
        <w:tabs>
          <w:tab w:val="left" w:pos="1100"/>
          <w:tab w:val="right" w:leader="dot" w:pos="9016"/>
        </w:tabs>
        <w:rPr>
          <w:rFonts w:eastAsiaTheme="minorEastAsia" w:cstheme="minorBidi"/>
          <w:noProof/>
        </w:rPr>
      </w:pPr>
      <w:r>
        <w:rPr>
          <w:noProof/>
        </w:rPr>
        <w:t>2.4</w:t>
      </w:r>
      <w:r>
        <w:rPr>
          <w:rFonts w:eastAsiaTheme="minorEastAsia" w:cstheme="minorBidi"/>
          <w:noProof/>
        </w:rPr>
        <w:tab/>
      </w:r>
      <w:r>
        <w:rPr>
          <w:noProof/>
        </w:rPr>
        <w:t>Prioritisation process</w:t>
      </w:r>
      <w:r>
        <w:rPr>
          <w:noProof/>
        </w:rPr>
        <w:tab/>
      </w:r>
      <w:r>
        <w:rPr>
          <w:noProof/>
        </w:rPr>
        <w:fldChar w:fldCharType="begin"/>
      </w:r>
      <w:r>
        <w:rPr>
          <w:noProof/>
        </w:rPr>
        <w:instrText xml:space="preserve"> PAGEREF _Toc459707263 \h </w:instrText>
      </w:r>
      <w:r>
        <w:rPr>
          <w:noProof/>
        </w:rPr>
      </w:r>
      <w:r>
        <w:rPr>
          <w:noProof/>
        </w:rPr>
        <w:fldChar w:fldCharType="separate"/>
      </w:r>
      <w:r w:rsidR="00E82A84">
        <w:rPr>
          <w:noProof/>
        </w:rPr>
        <w:t>7</w:t>
      </w:r>
      <w:r>
        <w:rPr>
          <w:noProof/>
        </w:rPr>
        <w:fldChar w:fldCharType="end"/>
      </w:r>
    </w:p>
    <w:p w14:paraId="28566391" w14:textId="77777777" w:rsidR="00A12E3A" w:rsidRDefault="00A12E3A">
      <w:pPr>
        <w:pStyle w:val="TOC1"/>
        <w:rPr>
          <w:rFonts w:eastAsiaTheme="minorEastAsia" w:cstheme="minorBidi"/>
          <w:b w:val="0"/>
          <w:noProof/>
        </w:rPr>
      </w:pPr>
      <w:r>
        <w:rPr>
          <w:noProof/>
        </w:rPr>
        <w:t>3.</w:t>
      </w:r>
      <w:r>
        <w:rPr>
          <w:rFonts w:eastAsiaTheme="minorEastAsia" w:cstheme="minorBidi"/>
          <w:b w:val="0"/>
          <w:noProof/>
        </w:rPr>
        <w:tab/>
      </w:r>
      <w:r>
        <w:rPr>
          <w:noProof/>
        </w:rPr>
        <w:t>About the Bone Densitometry Working Group</w:t>
      </w:r>
      <w:r>
        <w:rPr>
          <w:noProof/>
        </w:rPr>
        <w:tab/>
      </w:r>
      <w:r>
        <w:rPr>
          <w:noProof/>
        </w:rPr>
        <w:fldChar w:fldCharType="begin"/>
      </w:r>
      <w:r>
        <w:rPr>
          <w:noProof/>
        </w:rPr>
        <w:instrText xml:space="preserve"> PAGEREF _Toc459707264 \h </w:instrText>
      </w:r>
      <w:r>
        <w:rPr>
          <w:noProof/>
        </w:rPr>
      </w:r>
      <w:r>
        <w:rPr>
          <w:noProof/>
        </w:rPr>
        <w:fldChar w:fldCharType="separate"/>
      </w:r>
      <w:r w:rsidR="00E82A84">
        <w:rPr>
          <w:noProof/>
        </w:rPr>
        <w:t>9</w:t>
      </w:r>
      <w:r>
        <w:rPr>
          <w:noProof/>
        </w:rPr>
        <w:fldChar w:fldCharType="end"/>
      </w:r>
    </w:p>
    <w:p w14:paraId="153686B9" w14:textId="77777777" w:rsidR="00A12E3A" w:rsidRDefault="00A12E3A">
      <w:pPr>
        <w:pStyle w:val="TOC2"/>
        <w:tabs>
          <w:tab w:val="left" w:pos="1100"/>
          <w:tab w:val="right" w:leader="dot" w:pos="9016"/>
        </w:tabs>
        <w:rPr>
          <w:rFonts w:eastAsiaTheme="minorEastAsia" w:cstheme="minorBidi"/>
          <w:noProof/>
        </w:rPr>
      </w:pPr>
      <w:r>
        <w:rPr>
          <w:noProof/>
        </w:rPr>
        <w:t>3.1</w:t>
      </w:r>
      <w:r>
        <w:rPr>
          <w:rFonts w:eastAsiaTheme="minorEastAsia" w:cstheme="minorBidi"/>
          <w:noProof/>
        </w:rPr>
        <w:tab/>
      </w:r>
      <w:r>
        <w:rPr>
          <w:noProof/>
        </w:rPr>
        <w:t>Diagnostic Imaging Clinical Committee members</w:t>
      </w:r>
      <w:r>
        <w:rPr>
          <w:noProof/>
        </w:rPr>
        <w:tab/>
      </w:r>
      <w:r>
        <w:rPr>
          <w:noProof/>
        </w:rPr>
        <w:fldChar w:fldCharType="begin"/>
      </w:r>
      <w:r>
        <w:rPr>
          <w:noProof/>
        </w:rPr>
        <w:instrText xml:space="preserve"> PAGEREF _Toc459707265 \h </w:instrText>
      </w:r>
      <w:r>
        <w:rPr>
          <w:noProof/>
        </w:rPr>
      </w:r>
      <w:r>
        <w:rPr>
          <w:noProof/>
        </w:rPr>
        <w:fldChar w:fldCharType="separate"/>
      </w:r>
      <w:r w:rsidR="00E82A84">
        <w:rPr>
          <w:noProof/>
        </w:rPr>
        <w:t>9</w:t>
      </w:r>
      <w:r>
        <w:rPr>
          <w:noProof/>
        </w:rPr>
        <w:fldChar w:fldCharType="end"/>
      </w:r>
    </w:p>
    <w:p w14:paraId="67DB20E6" w14:textId="77777777" w:rsidR="00A12E3A" w:rsidRDefault="00A12E3A">
      <w:pPr>
        <w:pStyle w:val="TOC2"/>
        <w:tabs>
          <w:tab w:val="left" w:pos="1100"/>
          <w:tab w:val="right" w:leader="dot" w:pos="9016"/>
        </w:tabs>
        <w:rPr>
          <w:rFonts w:eastAsiaTheme="minorEastAsia" w:cstheme="minorBidi"/>
          <w:noProof/>
        </w:rPr>
      </w:pPr>
      <w:r>
        <w:rPr>
          <w:noProof/>
        </w:rPr>
        <w:t>3.2</w:t>
      </w:r>
      <w:r>
        <w:rPr>
          <w:rFonts w:eastAsiaTheme="minorEastAsia" w:cstheme="minorBidi"/>
          <w:noProof/>
        </w:rPr>
        <w:tab/>
      </w:r>
      <w:r>
        <w:rPr>
          <w:noProof/>
        </w:rPr>
        <w:t>Bone Densitometry Working Group members</w:t>
      </w:r>
      <w:r>
        <w:rPr>
          <w:noProof/>
        </w:rPr>
        <w:tab/>
      </w:r>
      <w:r>
        <w:rPr>
          <w:noProof/>
        </w:rPr>
        <w:fldChar w:fldCharType="begin"/>
      </w:r>
      <w:r>
        <w:rPr>
          <w:noProof/>
        </w:rPr>
        <w:instrText xml:space="preserve"> PAGEREF _Toc459707266 \h </w:instrText>
      </w:r>
      <w:r>
        <w:rPr>
          <w:noProof/>
        </w:rPr>
      </w:r>
      <w:r>
        <w:rPr>
          <w:noProof/>
        </w:rPr>
        <w:fldChar w:fldCharType="separate"/>
      </w:r>
      <w:r w:rsidR="00E82A84">
        <w:rPr>
          <w:noProof/>
        </w:rPr>
        <w:t>11</w:t>
      </w:r>
      <w:r>
        <w:rPr>
          <w:noProof/>
        </w:rPr>
        <w:fldChar w:fldCharType="end"/>
      </w:r>
    </w:p>
    <w:p w14:paraId="5C8A1283" w14:textId="77777777" w:rsidR="00A12E3A" w:rsidRDefault="00A12E3A">
      <w:pPr>
        <w:pStyle w:val="TOC2"/>
        <w:tabs>
          <w:tab w:val="left" w:pos="1100"/>
          <w:tab w:val="right" w:leader="dot" w:pos="9016"/>
        </w:tabs>
        <w:rPr>
          <w:rFonts w:eastAsiaTheme="minorEastAsia" w:cstheme="minorBidi"/>
          <w:noProof/>
        </w:rPr>
      </w:pPr>
      <w:r>
        <w:rPr>
          <w:noProof/>
        </w:rPr>
        <w:t>3.3</w:t>
      </w:r>
      <w:r>
        <w:rPr>
          <w:rFonts w:eastAsiaTheme="minorEastAsia" w:cstheme="minorBidi"/>
          <w:noProof/>
        </w:rPr>
        <w:tab/>
      </w:r>
      <w:r>
        <w:rPr>
          <w:noProof/>
        </w:rPr>
        <w:t>Conflicts of interest</w:t>
      </w:r>
      <w:r>
        <w:rPr>
          <w:noProof/>
        </w:rPr>
        <w:tab/>
      </w:r>
      <w:r>
        <w:rPr>
          <w:noProof/>
        </w:rPr>
        <w:fldChar w:fldCharType="begin"/>
      </w:r>
      <w:r>
        <w:rPr>
          <w:noProof/>
        </w:rPr>
        <w:instrText xml:space="preserve"> PAGEREF _Toc459707267 \h </w:instrText>
      </w:r>
      <w:r>
        <w:rPr>
          <w:noProof/>
        </w:rPr>
      </w:r>
      <w:r>
        <w:rPr>
          <w:noProof/>
        </w:rPr>
        <w:fldChar w:fldCharType="separate"/>
      </w:r>
      <w:r w:rsidR="00E82A84">
        <w:rPr>
          <w:noProof/>
        </w:rPr>
        <w:t>11</w:t>
      </w:r>
      <w:r>
        <w:rPr>
          <w:noProof/>
        </w:rPr>
        <w:fldChar w:fldCharType="end"/>
      </w:r>
    </w:p>
    <w:p w14:paraId="37F50834" w14:textId="77777777" w:rsidR="00A12E3A" w:rsidRDefault="00A12E3A">
      <w:pPr>
        <w:pStyle w:val="TOC2"/>
        <w:tabs>
          <w:tab w:val="left" w:pos="1100"/>
          <w:tab w:val="right" w:leader="dot" w:pos="9016"/>
        </w:tabs>
        <w:rPr>
          <w:rFonts w:eastAsiaTheme="minorEastAsia" w:cstheme="minorBidi"/>
          <w:noProof/>
        </w:rPr>
      </w:pPr>
      <w:r>
        <w:rPr>
          <w:noProof/>
        </w:rPr>
        <w:t>3.4</w:t>
      </w:r>
      <w:r>
        <w:rPr>
          <w:rFonts w:eastAsiaTheme="minorEastAsia" w:cstheme="minorBidi"/>
          <w:noProof/>
        </w:rPr>
        <w:tab/>
      </w:r>
      <w:r>
        <w:rPr>
          <w:noProof/>
        </w:rPr>
        <w:t>Meeting dates</w:t>
      </w:r>
      <w:r>
        <w:rPr>
          <w:noProof/>
        </w:rPr>
        <w:tab/>
      </w:r>
      <w:r>
        <w:rPr>
          <w:noProof/>
        </w:rPr>
        <w:fldChar w:fldCharType="begin"/>
      </w:r>
      <w:r>
        <w:rPr>
          <w:noProof/>
        </w:rPr>
        <w:instrText xml:space="preserve"> PAGEREF _Toc459707268 \h </w:instrText>
      </w:r>
      <w:r>
        <w:rPr>
          <w:noProof/>
        </w:rPr>
      </w:r>
      <w:r>
        <w:rPr>
          <w:noProof/>
        </w:rPr>
        <w:fldChar w:fldCharType="separate"/>
      </w:r>
      <w:r w:rsidR="00E82A84">
        <w:rPr>
          <w:noProof/>
        </w:rPr>
        <w:t>11</w:t>
      </w:r>
      <w:r>
        <w:rPr>
          <w:noProof/>
        </w:rPr>
        <w:fldChar w:fldCharType="end"/>
      </w:r>
    </w:p>
    <w:p w14:paraId="4E4879D9" w14:textId="77777777" w:rsidR="00A12E3A" w:rsidRDefault="00A12E3A">
      <w:pPr>
        <w:pStyle w:val="TOC1"/>
        <w:rPr>
          <w:rFonts w:eastAsiaTheme="minorEastAsia" w:cstheme="minorBidi"/>
          <w:b w:val="0"/>
          <w:noProof/>
        </w:rPr>
      </w:pPr>
      <w:r>
        <w:rPr>
          <w:noProof/>
        </w:rPr>
        <w:t>4.</w:t>
      </w:r>
      <w:r>
        <w:rPr>
          <w:rFonts w:eastAsiaTheme="minorEastAsia" w:cstheme="minorBidi"/>
          <w:b w:val="0"/>
          <w:noProof/>
        </w:rPr>
        <w:tab/>
      </w:r>
      <w:r>
        <w:rPr>
          <w:noProof/>
        </w:rPr>
        <w:t>Areas of responsibility of the Bone Densitometry Working Group</w:t>
      </w:r>
      <w:r>
        <w:rPr>
          <w:noProof/>
        </w:rPr>
        <w:tab/>
      </w:r>
      <w:r>
        <w:rPr>
          <w:noProof/>
        </w:rPr>
        <w:fldChar w:fldCharType="begin"/>
      </w:r>
      <w:r>
        <w:rPr>
          <w:noProof/>
        </w:rPr>
        <w:instrText xml:space="preserve"> PAGEREF _Toc459707269 \h </w:instrText>
      </w:r>
      <w:r>
        <w:rPr>
          <w:noProof/>
        </w:rPr>
      </w:r>
      <w:r>
        <w:rPr>
          <w:noProof/>
        </w:rPr>
        <w:fldChar w:fldCharType="separate"/>
      </w:r>
      <w:r w:rsidR="00E82A84">
        <w:rPr>
          <w:noProof/>
        </w:rPr>
        <w:t>12</w:t>
      </w:r>
      <w:r>
        <w:rPr>
          <w:noProof/>
        </w:rPr>
        <w:fldChar w:fldCharType="end"/>
      </w:r>
    </w:p>
    <w:p w14:paraId="4D775432" w14:textId="77777777" w:rsidR="00A12E3A" w:rsidRDefault="00A12E3A">
      <w:pPr>
        <w:pStyle w:val="TOC1"/>
        <w:rPr>
          <w:rFonts w:eastAsiaTheme="minorEastAsia" w:cstheme="minorBidi"/>
          <w:b w:val="0"/>
          <w:noProof/>
        </w:rPr>
      </w:pPr>
      <w:r>
        <w:rPr>
          <w:noProof/>
        </w:rPr>
        <w:t>5.</w:t>
      </w:r>
      <w:r>
        <w:rPr>
          <w:rFonts w:eastAsiaTheme="minorEastAsia" w:cstheme="minorBidi"/>
          <w:b w:val="0"/>
          <w:noProof/>
        </w:rPr>
        <w:tab/>
      </w:r>
      <w:r>
        <w:rPr>
          <w:noProof/>
        </w:rPr>
        <w:t>Issues identified</w:t>
      </w:r>
      <w:r>
        <w:rPr>
          <w:noProof/>
        </w:rPr>
        <w:tab/>
      </w:r>
      <w:r>
        <w:rPr>
          <w:noProof/>
        </w:rPr>
        <w:fldChar w:fldCharType="begin"/>
      </w:r>
      <w:r>
        <w:rPr>
          <w:noProof/>
        </w:rPr>
        <w:instrText xml:space="preserve"> PAGEREF _Toc459707270 \h </w:instrText>
      </w:r>
      <w:r>
        <w:rPr>
          <w:noProof/>
        </w:rPr>
      </w:r>
      <w:r>
        <w:rPr>
          <w:noProof/>
        </w:rPr>
        <w:fldChar w:fldCharType="separate"/>
      </w:r>
      <w:r w:rsidR="00E82A84">
        <w:rPr>
          <w:noProof/>
        </w:rPr>
        <w:t>13</w:t>
      </w:r>
      <w:r>
        <w:rPr>
          <w:noProof/>
        </w:rPr>
        <w:fldChar w:fldCharType="end"/>
      </w:r>
    </w:p>
    <w:p w14:paraId="75E5DE3F" w14:textId="77777777" w:rsidR="00A12E3A" w:rsidRDefault="00A12E3A">
      <w:pPr>
        <w:pStyle w:val="TOC2"/>
        <w:tabs>
          <w:tab w:val="left" w:pos="1100"/>
          <w:tab w:val="right" w:leader="dot" w:pos="9016"/>
        </w:tabs>
        <w:rPr>
          <w:rFonts w:eastAsiaTheme="minorEastAsia" w:cstheme="minorBidi"/>
          <w:noProof/>
        </w:rPr>
      </w:pPr>
      <w:r>
        <w:rPr>
          <w:noProof/>
        </w:rPr>
        <w:t>5.1</w:t>
      </w:r>
      <w:r>
        <w:rPr>
          <w:rFonts w:eastAsiaTheme="minorEastAsia" w:cstheme="minorBidi"/>
          <w:noProof/>
        </w:rPr>
        <w:tab/>
      </w:r>
      <w:r>
        <w:rPr>
          <w:noProof/>
        </w:rPr>
        <w:t>Background to review of Bone Densitometry</w:t>
      </w:r>
      <w:r>
        <w:rPr>
          <w:noProof/>
        </w:rPr>
        <w:tab/>
      </w:r>
      <w:r>
        <w:rPr>
          <w:noProof/>
        </w:rPr>
        <w:fldChar w:fldCharType="begin"/>
      </w:r>
      <w:r>
        <w:rPr>
          <w:noProof/>
        </w:rPr>
        <w:instrText xml:space="preserve"> PAGEREF _Toc459707271 \h </w:instrText>
      </w:r>
      <w:r>
        <w:rPr>
          <w:noProof/>
        </w:rPr>
      </w:r>
      <w:r>
        <w:rPr>
          <w:noProof/>
        </w:rPr>
        <w:fldChar w:fldCharType="separate"/>
      </w:r>
      <w:r w:rsidR="00E82A84">
        <w:rPr>
          <w:noProof/>
        </w:rPr>
        <w:t>13</w:t>
      </w:r>
      <w:r>
        <w:rPr>
          <w:noProof/>
        </w:rPr>
        <w:fldChar w:fldCharType="end"/>
      </w:r>
    </w:p>
    <w:p w14:paraId="0E8C2029" w14:textId="77777777" w:rsidR="00A12E3A" w:rsidRDefault="00A12E3A">
      <w:pPr>
        <w:pStyle w:val="TOC2"/>
        <w:tabs>
          <w:tab w:val="left" w:pos="1100"/>
          <w:tab w:val="right" w:leader="dot" w:pos="9016"/>
        </w:tabs>
        <w:rPr>
          <w:rFonts w:eastAsiaTheme="minorEastAsia" w:cstheme="minorBidi"/>
          <w:noProof/>
        </w:rPr>
      </w:pPr>
      <w:r>
        <w:rPr>
          <w:noProof/>
        </w:rPr>
        <w:t>5.2</w:t>
      </w:r>
      <w:r>
        <w:rPr>
          <w:rFonts w:eastAsiaTheme="minorEastAsia" w:cstheme="minorBidi"/>
          <w:noProof/>
        </w:rPr>
        <w:tab/>
      </w:r>
      <w:r>
        <w:rPr>
          <w:noProof/>
        </w:rPr>
        <w:t>MBS context</w:t>
      </w:r>
      <w:r>
        <w:rPr>
          <w:noProof/>
        </w:rPr>
        <w:tab/>
      </w:r>
      <w:r>
        <w:rPr>
          <w:noProof/>
        </w:rPr>
        <w:fldChar w:fldCharType="begin"/>
      </w:r>
      <w:r>
        <w:rPr>
          <w:noProof/>
        </w:rPr>
        <w:instrText xml:space="preserve"> PAGEREF _Toc459707272 \h </w:instrText>
      </w:r>
      <w:r>
        <w:rPr>
          <w:noProof/>
        </w:rPr>
      </w:r>
      <w:r>
        <w:rPr>
          <w:noProof/>
        </w:rPr>
        <w:fldChar w:fldCharType="separate"/>
      </w:r>
      <w:r w:rsidR="00E82A84">
        <w:rPr>
          <w:noProof/>
        </w:rPr>
        <w:t>13</w:t>
      </w:r>
      <w:r>
        <w:rPr>
          <w:noProof/>
        </w:rPr>
        <w:fldChar w:fldCharType="end"/>
      </w:r>
    </w:p>
    <w:p w14:paraId="30BA6F61" w14:textId="77777777" w:rsidR="00A12E3A" w:rsidRDefault="00A12E3A">
      <w:pPr>
        <w:pStyle w:val="TOC1"/>
        <w:rPr>
          <w:rFonts w:eastAsiaTheme="minorEastAsia" w:cstheme="minorBidi"/>
          <w:b w:val="0"/>
          <w:noProof/>
        </w:rPr>
      </w:pPr>
      <w:r>
        <w:rPr>
          <w:noProof/>
        </w:rPr>
        <w:t>6.</w:t>
      </w:r>
      <w:r>
        <w:rPr>
          <w:rFonts w:eastAsiaTheme="minorEastAsia" w:cstheme="minorBidi"/>
          <w:b w:val="0"/>
          <w:noProof/>
        </w:rPr>
        <w:tab/>
      </w:r>
      <w:r>
        <w:rPr>
          <w:noProof/>
        </w:rPr>
        <w:t>Rationale to support recommendations</w:t>
      </w:r>
      <w:r>
        <w:rPr>
          <w:noProof/>
        </w:rPr>
        <w:tab/>
      </w:r>
      <w:r>
        <w:rPr>
          <w:noProof/>
        </w:rPr>
        <w:fldChar w:fldCharType="begin"/>
      </w:r>
      <w:r>
        <w:rPr>
          <w:noProof/>
        </w:rPr>
        <w:instrText xml:space="preserve"> PAGEREF _Toc459707273 \h </w:instrText>
      </w:r>
      <w:r>
        <w:rPr>
          <w:noProof/>
        </w:rPr>
      </w:r>
      <w:r>
        <w:rPr>
          <w:noProof/>
        </w:rPr>
        <w:fldChar w:fldCharType="separate"/>
      </w:r>
      <w:r w:rsidR="00E82A84">
        <w:rPr>
          <w:noProof/>
        </w:rPr>
        <w:t>14</w:t>
      </w:r>
      <w:r>
        <w:rPr>
          <w:noProof/>
        </w:rPr>
        <w:fldChar w:fldCharType="end"/>
      </w:r>
    </w:p>
    <w:p w14:paraId="7B4FB5B3" w14:textId="77777777" w:rsidR="00A12E3A" w:rsidRDefault="00A12E3A">
      <w:pPr>
        <w:pStyle w:val="TOC2"/>
        <w:tabs>
          <w:tab w:val="left" w:pos="1100"/>
          <w:tab w:val="right" w:leader="dot" w:pos="9016"/>
        </w:tabs>
        <w:rPr>
          <w:rFonts w:eastAsiaTheme="minorEastAsia" w:cstheme="minorBidi"/>
          <w:noProof/>
        </w:rPr>
      </w:pPr>
      <w:r>
        <w:rPr>
          <w:noProof/>
        </w:rPr>
        <w:t>6.1</w:t>
      </w:r>
      <w:r>
        <w:rPr>
          <w:rFonts w:eastAsiaTheme="minorEastAsia" w:cstheme="minorBidi"/>
          <w:noProof/>
        </w:rPr>
        <w:tab/>
      </w:r>
      <w:r>
        <w:rPr>
          <w:noProof/>
        </w:rPr>
        <w:t>MBS data on bone densitometry</w:t>
      </w:r>
      <w:r>
        <w:rPr>
          <w:noProof/>
        </w:rPr>
        <w:tab/>
      </w:r>
      <w:r>
        <w:rPr>
          <w:noProof/>
        </w:rPr>
        <w:fldChar w:fldCharType="begin"/>
      </w:r>
      <w:r>
        <w:rPr>
          <w:noProof/>
        </w:rPr>
        <w:instrText xml:space="preserve"> PAGEREF _Toc459707274 \h </w:instrText>
      </w:r>
      <w:r>
        <w:rPr>
          <w:noProof/>
        </w:rPr>
      </w:r>
      <w:r>
        <w:rPr>
          <w:noProof/>
        </w:rPr>
        <w:fldChar w:fldCharType="separate"/>
      </w:r>
      <w:r w:rsidR="00E82A84">
        <w:rPr>
          <w:noProof/>
        </w:rPr>
        <w:t>14</w:t>
      </w:r>
      <w:r>
        <w:rPr>
          <w:noProof/>
        </w:rPr>
        <w:fldChar w:fldCharType="end"/>
      </w:r>
    </w:p>
    <w:p w14:paraId="3BFA8F96" w14:textId="77777777" w:rsidR="00A12E3A" w:rsidRDefault="00A12E3A">
      <w:pPr>
        <w:pStyle w:val="TOC2"/>
        <w:tabs>
          <w:tab w:val="left" w:pos="1100"/>
          <w:tab w:val="right" w:leader="dot" w:pos="9016"/>
        </w:tabs>
        <w:rPr>
          <w:rFonts w:eastAsiaTheme="minorEastAsia" w:cstheme="minorBidi"/>
          <w:noProof/>
        </w:rPr>
      </w:pPr>
      <w:r>
        <w:rPr>
          <w:noProof/>
        </w:rPr>
        <w:t>6.2</w:t>
      </w:r>
      <w:r>
        <w:rPr>
          <w:rFonts w:eastAsiaTheme="minorEastAsia" w:cstheme="minorBidi"/>
          <w:noProof/>
        </w:rPr>
        <w:tab/>
      </w:r>
      <w:r>
        <w:rPr>
          <w:noProof/>
        </w:rPr>
        <w:t>Who can perform Bone Densitometry Services?</w:t>
      </w:r>
      <w:r>
        <w:rPr>
          <w:noProof/>
        </w:rPr>
        <w:tab/>
      </w:r>
      <w:r>
        <w:rPr>
          <w:noProof/>
        </w:rPr>
        <w:fldChar w:fldCharType="begin"/>
      </w:r>
      <w:r>
        <w:rPr>
          <w:noProof/>
        </w:rPr>
        <w:instrText xml:space="preserve"> PAGEREF _Toc459707275 \h </w:instrText>
      </w:r>
      <w:r>
        <w:rPr>
          <w:noProof/>
        </w:rPr>
      </w:r>
      <w:r>
        <w:rPr>
          <w:noProof/>
        </w:rPr>
        <w:fldChar w:fldCharType="separate"/>
      </w:r>
      <w:r w:rsidR="00E82A84">
        <w:rPr>
          <w:noProof/>
        </w:rPr>
        <w:t>17</w:t>
      </w:r>
      <w:r>
        <w:rPr>
          <w:noProof/>
        </w:rPr>
        <w:fldChar w:fldCharType="end"/>
      </w:r>
    </w:p>
    <w:p w14:paraId="16633534" w14:textId="77777777" w:rsidR="00A12E3A" w:rsidRDefault="00A12E3A">
      <w:pPr>
        <w:pStyle w:val="TOC2"/>
        <w:tabs>
          <w:tab w:val="left" w:pos="1100"/>
          <w:tab w:val="right" w:leader="dot" w:pos="9016"/>
        </w:tabs>
        <w:rPr>
          <w:rFonts w:eastAsiaTheme="minorEastAsia" w:cstheme="minorBidi"/>
          <w:noProof/>
        </w:rPr>
      </w:pPr>
      <w:r>
        <w:rPr>
          <w:noProof/>
        </w:rPr>
        <w:t>6.3</w:t>
      </w:r>
      <w:r>
        <w:rPr>
          <w:rFonts w:eastAsiaTheme="minorEastAsia" w:cstheme="minorBidi"/>
          <w:noProof/>
        </w:rPr>
        <w:tab/>
      </w:r>
      <w:r>
        <w:rPr>
          <w:noProof/>
        </w:rPr>
        <w:t>Stakeholder feedback</w:t>
      </w:r>
      <w:r>
        <w:rPr>
          <w:noProof/>
        </w:rPr>
        <w:tab/>
      </w:r>
      <w:r>
        <w:rPr>
          <w:noProof/>
        </w:rPr>
        <w:fldChar w:fldCharType="begin"/>
      </w:r>
      <w:r>
        <w:rPr>
          <w:noProof/>
        </w:rPr>
        <w:instrText xml:space="preserve"> PAGEREF _Toc459707276 \h </w:instrText>
      </w:r>
      <w:r>
        <w:rPr>
          <w:noProof/>
        </w:rPr>
      </w:r>
      <w:r>
        <w:rPr>
          <w:noProof/>
        </w:rPr>
        <w:fldChar w:fldCharType="separate"/>
      </w:r>
      <w:r w:rsidR="00E82A84">
        <w:rPr>
          <w:noProof/>
        </w:rPr>
        <w:t>17</w:t>
      </w:r>
      <w:r>
        <w:rPr>
          <w:noProof/>
        </w:rPr>
        <w:fldChar w:fldCharType="end"/>
      </w:r>
    </w:p>
    <w:p w14:paraId="76FCB8D8" w14:textId="77777777" w:rsidR="00A12E3A" w:rsidRDefault="00A12E3A">
      <w:pPr>
        <w:pStyle w:val="TOC2"/>
        <w:tabs>
          <w:tab w:val="left" w:pos="1100"/>
          <w:tab w:val="right" w:leader="dot" w:pos="9016"/>
        </w:tabs>
        <w:rPr>
          <w:rFonts w:eastAsiaTheme="minorEastAsia" w:cstheme="minorBidi"/>
          <w:noProof/>
        </w:rPr>
      </w:pPr>
      <w:r>
        <w:rPr>
          <w:noProof/>
        </w:rPr>
        <w:t>6.4</w:t>
      </w:r>
      <w:r>
        <w:rPr>
          <w:rFonts w:eastAsiaTheme="minorEastAsia" w:cstheme="minorBidi"/>
          <w:noProof/>
        </w:rPr>
        <w:tab/>
      </w:r>
      <w:r>
        <w:rPr>
          <w:noProof/>
        </w:rPr>
        <w:t>Appropriately trained technicians</w:t>
      </w:r>
      <w:r>
        <w:rPr>
          <w:noProof/>
        </w:rPr>
        <w:tab/>
      </w:r>
      <w:r>
        <w:rPr>
          <w:noProof/>
        </w:rPr>
        <w:fldChar w:fldCharType="begin"/>
      </w:r>
      <w:r>
        <w:rPr>
          <w:noProof/>
        </w:rPr>
        <w:instrText xml:space="preserve"> PAGEREF _Toc459707277 \h </w:instrText>
      </w:r>
      <w:r>
        <w:rPr>
          <w:noProof/>
        </w:rPr>
      </w:r>
      <w:r>
        <w:rPr>
          <w:noProof/>
        </w:rPr>
        <w:fldChar w:fldCharType="separate"/>
      </w:r>
      <w:r w:rsidR="00E82A84">
        <w:rPr>
          <w:noProof/>
        </w:rPr>
        <w:t>18</w:t>
      </w:r>
      <w:r>
        <w:rPr>
          <w:noProof/>
        </w:rPr>
        <w:fldChar w:fldCharType="end"/>
      </w:r>
    </w:p>
    <w:p w14:paraId="584C3612" w14:textId="77777777" w:rsidR="00A12E3A" w:rsidRDefault="00A12E3A">
      <w:pPr>
        <w:pStyle w:val="TOC2"/>
        <w:tabs>
          <w:tab w:val="left" w:pos="1100"/>
          <w:tab w:val="right" w:leader="dot" w:pos="9016"/>
        </w:tabs>
        <w:rPr>
          <w:rFonts w:eastAsiaTheme="minorEastAsia" w:cstheme="minorBidi"/>
          <w:noProof/>
        </w:rPr>
      </w:pPr>
      <w:r>
        <w:rPr>
          <w:noProof/>
        </w:rPr>
        <w:t>6.5</w:t>
      </w:r>
      <w:r>
        <w:rPr>
          <w:rFonts w:eastAsiaTheme="minorEastAsia" w:cstheme="minorBidi"/>
          <w:noProof/>
        </w:rPr>
        <w:tab/>
      </w:r>
      <w:r>
        <w:rPr>
          <w:noProof/>
        </w:rPr>
        <w:t>Service restrictions</w:t>
      </w:r>
      <w:r>
        <w:rPr>
          <w:noProof/>
        </w:rPr>
        <w:tab/>
      </w:r>
      <w:r>
        <w:rPr>
          <w:noProof/>
        </w:rPr>
        <w:fldChar w:fldCharType="begin"/>
      </w:r>
      <w:r>
        <w:rPr>
          <w:noProof/>
        </w:rPr>
        <w:instrText xml:space="preserve"> PAGEREF _Toc459707278 \h </w:instrText>
      </w:r>
      <w:r>
        <w:rPr>
          <w:noProof/>
        </w:rPr>
      </w:r>
      <w:r>
        <w:rPr>
          <w:noProof/>
        </w:rPr>
        <w:fldChar w:fldCharType="separate"/>
      </w:r>
      <w:r w:rsidR="00E82A84">
        <w:rPr>
          <w:noProof/>
        </w:rPr>
        <w:t>18</w:t>
      </w:r>
      <w:r>
        <w:rPr>
          <w:noProof/>
        </w:rPr>
        <w:fldChar w:fldCharType="end"/>
      </w:r>
    </w:p>
    <w:p w14:paraId="7EC33743" w14:textId="77777777" w:rsidR="00A12E3A" w:rsidRDefault="00A12E3A">
      <w:pPr>
        <w:pStyle w:val="TOC2"/>
        <w:tabs>
          <w:tab w:val="left" w:pos="1100"/>
          <w:tab w:val="right" w:leader="dot" w:pos="9016"/>
        </w:tabs>
        <w:rPr>
          <w:rFonts w:eastAsiaTheme="minorEastAsia" w:cstheme="minorBidi"/>
          <w:noProof/>
        </w:rPr>
      </w:pPr>
      <w:r>
        <w:rPr>
          <w:noProof/>
        </w:rPr>
        <w:t>6.6</w:t>
      </w:r>
      <w:r>
        <w:rPr>
          <w:rFonts w:eastAsiaTheme="minorEastAsia" w:cstheme="minorBidi"/>
          <w:noProof/>
        </w:rPr>
        <w:tab/>
      </w:r>
      <w:r>
        <w:rPr>
          <w:noProof/>
        </w:rPr>
        <w:t>International Recommendations</w:t>
      </w:r>
      <w:r>
        <w:rPr>
          <w:noProof/>
        </w:rPr>
        <w:tab/>
      </w:r>
      <w:r>
        <w:rPr>
          <w:noProof/>
        </w:rPr>
        <w:fldChar w:fldCharType="begin"/>
      </w:r>
      <w:r>
        <w:rPr>
          <w:noProof/>
        </w:rPr>
        <w:instrText xml:space="preserve"> PAGEREF _Toc459707279 \h </w:instrText>
      </w:r>
      <w:r>
        <w:rPr>
          <w:noProof/>
        </w:rPr>
      </w:r>
      <w:r>
        <w:rPr>
          <w:noProof/>
        </w:rPr>
        <w:fldChar w:fldCharType="separate"/>
      </w:r>
      <w:r w:rsidR="00E82A84">
        <w:rPr>
          <w:noProof/>
        </w:rPr>
        <w:t>19</w:t>
      </w:r>
      <w:r>
        <w:rPr>
          <w:noProof/>
        </w:rPr>
        <w:fldChar w:fldCharType="end"/>
      </w:r>
    </w:p>
    <w:p w14:paraId="222C06AB" w14:textId="77777777" w:rsidR="00A12E3A" w:rsidRDefault="00A12E3A">
      <w:pPr>
        <w:pStyle w:val="TOC1"/>
        <w:rPr>
          <w:rFonts w:eastAsiaTheme="minorEastAsia" w:cstheme="minorBidi"/>
          <w:b w:val="0"/>
          <w:noProof/>
        </w:rPr>
      </w:pPr>
      <w:r>
        <w:rPr>
          <w:noProof/>
        </w:rPr>
        <w:t>7.</w:t>
      </w:r>
      <w:r>
        <w:rPr>
          <w:rFonts w:eastAsiaTheme="minorEastAsia" w:cstheme="minorBidi"/>
          <w:b w:val="0"/>
          <w:noProof/>
        </w:rPr>
        <w:tab/>
      </w:r>
      <w:r>
        <w:rPr>
          <w:noProof/>
        </w:rPr>
        <w:t>Recommendations</w:t>
      </w:r>
      <w:r>
        <w:rPr>
          <w:noProof/>
        </w:rPr>
        <w:tab/>
      </w:r>
      <w:r>
        <w:rPr>
          <w:noProof/>
        </w:rPr>
        <w:fldChar w:fldCharType="begin"/>
      </w:r>
      <w:r>
        <w:rPr>
          <w:noProof/>
        </w:rPr>
        <w:instrText xml:space="preserve"> PAGEREF _Toc459707280 \h </w:instrText>
      </w:r>
      <w:r>
        <w:rPr>
          <w:noProof/>
        </w:rPr>
      </w:r>
      <w:r>
        <w:rPr>
          <w:noProof/>
        </w:rPr>
        <w:fldChar w:fldCharType="separate"/>
      </w:r>
      <w:r w:rsidR="00E82A84">
        <w:rPr>
          <w:noProof/>
        </w:rPr>
        <w:t>20</w:t>
      </w:r>
      <w:r>
        <w:rPr>
          <w:noProof/>
        </w:rPr>
        <w:fldChar w:fldCharType="end"/>
      </w:r>
    </w:p>
    <w:p w14:paraId="0E08953B" w14:textId="77777777" w:rsidR="00A12E3A" w:rsidRDefault="00A12E3A">
      <w:pPr>
        <w:pStyle w:val="TOC2"/>
        <w:tabs>
          <w:tab w:val="left" w:pos="1100"/>
          <w:tab w:val="right" w:leader="dot" w:pos="9016"/>
        </w:tabs>
        <w:rPr>
          <w:rFonts w:eastAsiaTheme="minorEastAsia" w:cstheme="minorBidi"/>
          <w:noProof/>
        </w:rPr>
      </w:pPr>
      <w:r>
        <w:rPr>
          <w:noProof/>
        </w:rPr>
        <w:t>7.1</w:t>
      </w:r>
      <w:r>
        <w:rPr>
          <w:rFonts w:eastAsiaTheme="minorEastAsia" w:cstheme="minorBidi"/>
          <w:noProof/>
        </w:rPr>
        <w:tab/>
      </w:r>
      <w:r>
        <w:rPr>
          <w:noProof/>
        </w:rPr>
        <w:t>Intervals for repeat testing for bone densitometry MBS item 12323</w:t>
      </w:r>
      <w:r>
        <w:rPr>
          <w:noProof/>
        </w:rPr>
        <w:tab/>
      </w:r>
      <w:r>
        <w:rPr>
          <w:noProof/>
        </w:rPr>
        <w:fldChar w:fldCharType="begin"/>
      </w:r>
      <w:r>
        <w:rPr>
          <w:noProof/>
        </w:rPr>
        <w:instrText xml:space="preserve"> PAGEREF _Toc459707281 \h </w:instrText>
      </w:r>
      <w:r>
        <w:rPr>
          <w:noProof/>
        </w:rPr>
      </w:r>
      <w:r>
        <w:rPr>
          <w:noProof/>
        </w:rPr>
        <w:fldChar w:fldCharType="separate"/>
      </w:r>
      <w:r w:rsidR="00E82A84">
        <w:rPr>
          <w:noProof/>
        </w:rPr>
        <w:t>20</w:t>
      </w:r>
      <w:r>
        <w:rPr>
          <w:noProof/>
        </w:rPr>
        <w:fldChar w:fldCharType="end"/>
      </w:r>
    </w:p>
    <w:p w14:paraId="7A51BA5E" w14:textId="77777777" w:rsidR="00A12E3A" w:rsidRDefault="00A12E3A">
      <w:pPr>
        <w:pStyle w:val="TOC2"/>
        <w:tabs>
          <w:tab w:val="left" w:pos="1100"/>
          <w:tab w:val="right" w:leader="dot" w:pos="9016"/>
        </w:tabs>
        <w:rPr>
          <w:rFonts w:eastAsiaTheme="minorEastAsia" w:cstheme="minorBidi"/>
          <w:noProof/>
        </w:rPr>
      </w:pPr>
      <w:r>
        <w:rPr>
          <w:noProof/>
        </w:rPr>
        <w:t>7.2</w:t>
      </w:r>
      <w:r>
        <w:rPr>
          <w:rFonts w:eastAsiaTheme="minorEastAsia" w:cstheme="minorBidi"/>
          <w:noProof/>
        </w:rPr>
        <w:tab/>
      </w:r>
      <w:r>
        <w:rPr>
          <w:noProof/>
        </w:rPr>
        <w:t>Performance of Medicare funded bone densitometry services</w:t>
      </w:r>
      <w:r>
        <w:rPr>
          <w:noProof/>
        </w:rPr>
        <w:tab/>
      </w:r>
      <w:r>
        <w:rPr>
          <w:noProof/>
        </w:rPr>
        <w:fldChar w:fldCharType="begin"/>
      </w:r>
      <w:r>
        <w:rPr>
          <w:noProof/>
        </w:rPr>
        <w:instrText xml:space="preserve"> PAGEREF _Toc459707282 \h </w:instrText>
      </w:r>
      <w:r>
        <w:rPr>
          <w:noProof/>
        </w:rPr>
      </w:r>
      <w:r>
        <w:rPr>
          <w:noProof/>
        </w:rPr>
        <w:fldChar w:fldCharType="separate"/>
      </w:r>
      <w:r w:rsidR="00E82A84">
        <w:rPr>
          <w:noProof/>
        </w:rPr>
        <w:t>21</w:t>
      </w:r>
      <w:r>
        <w:rPr>
          <w:noProof/>
        </w:rPr>
        <w:fldChar w:fldCharType="end"/>
      </w:r>
    </w:p>
    <w:p w14:paraId="2C67A25C" w14:textId="77777777" w:rsidR="00A12E3A" w:rsidRDefault="00A12E3A">
      <w:pPr>
        <w:pStyle w:val="TOC2"/>
        <w:tabs>
          <w:tab w:val="left" w:pos="1100"/>
          <w:tab w:val="right" w:leader="dot" w:pos="9016"/>
        </w:tabs>
        <w:rPr>
          <w:rFonts w:eastAsiaTheme="minorEastAsia" w:cstheme="minorBidi"/>
          <w:noProof/>
        </w:rPr>
      </w:pPr>
      <w:r>
        <w:rPr>
          <w:noProof/>
        </w:rPr>
        <w:t>7.3</w:t>
      </w:r>
      <w:r>
        <w:rPr>
          <w:rFonts w:eastAsiaTheme="minorEastAsia" w:cstheme="minorBidi"/>
          <w:noProof/>
        </w:rPr>
        <w:tab/>
      </w:r>
      <w:r>
        <w:rPr>
          <w:noProof/>
        </w:rPr>
        <w:t>Site Measurements for QCT and DEXA Items</w:t>
      </w:r>
      <w:r>
        <w:rPr>
          <w:noProof/>
        </w:rPr>
        <w:tab/>
      </w:r>
      <w:r>
        <w:rPr>
          <w:noProof/>
        </w:rPr>
        <w:fldChar w:fldCharType="begin"/>
      </w:r>
      <w:r>
        <w:rPr>
          <w:noProof/>
        </w:rPr>
        <w:instrText xml:space="preserve"> PAGEREF _Toc459707283 \h </w:instrText>
      </w:r>
      <w:r>
        <w:rPr>
          <w:noProof/>
        </w:rPr>
      </w:r>
      <w:r>
        <w:rPr>
          <w:noProof/>
        </w:rPr>
        <w:fldChar w:fldCharType="separate"/>
      </w:r>
      <w:r w:rsidR="00E82A84">
        <w:rPr>
          <w:noProof/>
        </w:rPr>
        <w:t>23</w:t>
      </w:r>
      <w:r>
        <w:rPr>
          <w:noProof/>
        </w:rPr>
        <w:fldChar w:fldCharType="end"/>
      </w:r>
    </w:p>
    <w:p w14:paraId="1ECC60CA" w14:textId="77777777" w:rsidR="00A12E3A" w:rsidRDefault="00A12E3A">
      <w:pPr>
        <w:pStyle w:val="TOC1"/>
        <w:rPr>
          <w:rFonts w:eastAsiaTheme="minorEastAsia" w:cstheme="minorBidi"/>
          <w:b w:val="0"/>
          <w:noProof/>
        </w:rPr>
      </w:pPr>
      <w:r>
        <w:rPr>
          <w:noProof/>
        </w:rPr>
        <w:t>8.</w:t>
      </w:r>
      <w:r>
        <w:rPr>
          <w:rFonts w:eastAsiaTheme="minorEastAsia" w:cstheme="minorBidi"/>
          <w:b w:val="0"/>
          <w:noProof/>
        </w:rPr>
        <w:tab/>
      </w:r>
      <w:r>
        <w:rPr>
          <w:noProof/>
        </w:rPr>
        <w:t>Impact Statement</w:t>
      </w:r>
      <w:r>
        <w:rPr>
          <w:noProof/>
        </w:rPr>
        <w:tab/>
      </w:r>
      <w:r>
        <w:rPr>
          <w:noProof/>
        </w:rPr>
        <w:fldChar w:fldCharType="begin"/>
      </w:r>
      <w:r>
        <w:rPr>
          <w:noProof/>
        </w:rPr>
        <w:instrText xml:space="preserve"> PAGEREF _Toc459707284 \h </w:instrText>
      </w:r>
      <w:r>
        <w:rPr>
          <w:noProof/>
        </w:rPr>
      </w:r>
      <w:r>
        <w:rPr>
          <w:noProof/>
        </w:rPr>
        <w:fldChar w:fldCharType="separate"/>
      </w:r>
      <w:r w:rsidR="00E82A84">
        <w:rPr>
          <w:noProof/>
        </w:rPr>
        <w:t>24</w:t>
      </w:r>
      <w:r>
        <w:rPr>
          <w:noProof/>
        </w:rPr>
        <w:fldChar w:fldCharType="end"/>
      </w:r>
    </w:p>
    <w:p w14:paraId="21A9F628" w14:textId="18937919" w:rsidR="00A12E3A" w:rsidRDefault="00A12E3A">
      <w:pPr>
        <w:pStyle w:val="TOC1"/>
        <w:rPr>
          <w:rFonts w:eastAsiaTheme="minorEastAsia" w:cstheme="minorBidi"/>
          <w:b w:val="0"/>
          <w:noProof/>
        </w:rPr>
      </w:pPr>
      <w:r>
        <w:rPr>
          <w:noProof/>
        </w:rPr>
        <w:t>9.</w:t>
      </w:r>
      <w:r>
        <w:rPr>
          <w:rFonts w:eastAsiaTheme="minorEastAsia" w:cstheme="minorBidi"/>
          <w:b w:val="0"/>
          <w:noProof/>
        </w:rPr>
        <w:tab/>
      </w:r>
      <w:r>
        <w:rPr>
          <w:noProof/>
        </w:rPr>
        <w:t>References</w:t>
      </w:r>
      <w:r>
        <w:rPr>
          <w:noProof/>
        </w:rPr>
        <w:tab/>
      </w:r>
      <w:r>
        <w:rPr>
          <w:noProof/>
        </w:rPr>
        <w:tab/>
      </w:r>
      <w:r>
        <w:rPr>
          <w:noProof/>
        </w:rPr>
        <w:fldChar w:fldCharType="begin"/>
      </w:r>
      <w:r>
        <w:rPr>
          <w:noProof/>
        </w:rPr>
        <w:instrText xml:space="preserve"> PAGEREF _Toc459707285 \h </w:instrText>
      </w:r>
      <w:r>
        <w:rPr>
          <w:noProof/>
        </w:rPr>
      </w:r>
      <w:r>
        <w:rPr>
          <w:noProof/>
        </w:rPr>
        <w:fldChar w:fldCharType="separate"/>
      </w:r>
      <w:r w:rsidR="00E82A84">
        <w:rPr>
          <w:noProof/>
        </w:rPr>
        <w:t>25</w:t>
      </w:r>
      <w:r>
        <w:rPr>
          <w:noProof/>
        </w:rPr>
        <w:fldChar w:fldCharType="end"/>
      </w:r>
    </w:p>
    <w:p w14:paraId="10552F08" w14:textId="6C99721F" w:rsidR="00A12E3A" w:rsidRDefault="00A12E3A">
      <w:pPr>
        <w:pStyle w:val="TOC1"/>
        <w:rPr>
          <w:rFonts w:eastAsiaTheme="minorEastAsia" w:cstheme="minorBidi"/>
          <w:b w:val="0"/>
          <w:noProof/>
        </w:rPr>
      </w:pPr>
      <w:r>
        <w:rPr>
          <w:noProof/>
        </w:rPr>
        <w:t>10.</w:t>
      </w:r>
      <w:r>
        <w:rPr>
          <w:rFonts w:eastAsiaTheme="minorEastAsia" w:cstheme="minorBidi"/>
          <w:b w:val="0"/>
          <w:noProof/>
        </w:rPr>
        <w:tab/>
      </w:r>
      <w:r>
        <w:rPr>
          <w:noProof/>
        </w:rPr>
        <w:t>Glossary</w:t>
      </w:r>
      <w:r>
        <w:rPr>
          <w:noProof/>
        </w:rPr>
        <w:tab/>
      </w:r>
      <w:r>
        <w:rPr>
          <w:noProof/>
        </w:rPr>
        <w:tab/>
      </w:r>
      <w:r>
        <w:rPr>
          <w:noProof/>
        </w:rPr>
        <w:fldChar w:fldCharType="begin"/>
      </w:r>
      <w:r>
        <w:rPr>
          <w:noProof/>
        </w:rPr>
        <w:instrText xml:space="preserve"> PAGEREF _Toc459707286 \h </w:instrText>
      </w:r>
      <w:r>
        <w:rPr>
          <w:noProof/>
        </w:rPr>
      </w:r>
      <w:r>
        <w:rPr>
          <w:noProof/>
        </w:rPr>
        <w:fldChar w:fldCharType="separate"/>
      </w:r>
      <w:r w:rsidR="00E82A84">
        <w:rPr>
          <w:noProof/>
        </w:rPr>
        <w:t>26</w:t>
      </w:r>
      <w:r>
        <w:rPr>
          <w:noProof/>
        </w:rPr>
        <w:fldChar w:fldCharType="end"/>
      </w:r>
    </w:p>
    <w:p w14:paraId="2EF9F8DC" w14:textId="77777777" w:rsidR="00A12E3A" w:rsidRDefault="00A12E3A">
      <w:pPr>
        <w:pStyle w:val="TOC1"/>
        <w:rPr>
          <w:rFonts w:eastAsiaTheme="minorEastAsia" w:cstheme="minorBidi"/>
          <w:b w:val="0"/>
          <w:noProof/>
        </w:rPr>
      </w:pPr>
      <w:r w:rsidRPr="008D6F24">
        <w:rPr>
          <w:rFonts w:ascii="Calibri" w:hAnsi="Calibri"/>
          <w:noProof/>
        </w:rPr>
        <w:t>Appendix A -</w:t>
      </w:r>
      <w:r>
        <w:rPr>
          <w:rFonts w:eastAsiaTheme="minorEastAsia" w:cstheme="minorBidi"/>
          <w:b w:val="0"/>
          <w:noProof/>
        </w:rPr>
        <w:tab/>
      </w:r>
      <w:r>
        <w:rPr>
          <w:noProof/>
        </w:rPr>
        <w:t>Summary for Consumers</w:t>
      </w:r>
      <w:r>
        <w:rPr>
          <w:noProof/>
        </w:rPr>
        <w:tab/>
      </w:r>
      <w:r>
        <w:rPr>
          <w:noProof/>
        </w:rPr>
        <w:fldChar w:fldCharType="begin"/>
      </w:r>
      <w:r>
        <w:rPr>
          <w:noProof/>
        </w:rPr>
        <w:instrText xml:space="preserve"> PAGEREF _Toc459707287 \h </w:instrText>
      </w:r>
      <w:r>
        <w:rPr>
          <w:noProof/>
        </w:rPr>
      </w:r>
      <w:r>
        <w:rPr>
          <w:noProof/>
        </w:rPr>
        <w:fldChar w:fldCharType="separate"/>
      </w:r>
      <w:r w:rsidR="00E82A84">
        <w:rPr>
          <w:noProof/>
        </w:rPr>
        <w:t>27</w:t>
      </w:r>
      <w:r>
        <w:rPr>
          <w:noProof/>
        </w:rPr>
        <w:fldChar w:fldCharType="end"/>
      </w:r>
    </w:p>
    <w:p w14:paraId="46CCD72E" w14:textId="55BBF863" w:rsidR="00A12E3A" w:rsidRDefault="00A12E3A">
      <w:pPr>
        <w:pStyle w:val="TOC1"/>
        <w:rPr>
          <w:rFonts w:eastAsiaTheme="minorEastAsia" w:cstheme="minorBidi"/>
          <w:b w:val="0"/>
          <w:noProof/>
        </w:rPr>
      </w:pPr>
      <w:r w:rsidRPr="008D6F24">
        <w:rPr>
          <w:rFonts w:ascii="Calibri" w:hAnsi="Calibri"/>
          <w:noProof/>
        </w:rPr>
        <w:t>Appendix B -</w:t>
      </w:r>
      <w:r>
        <w:rPr>
          <w:rFonts w:eastAsiaTheme="minorEastAsia" w:cstheme="minorBidi"/>
          <w:b w:val="0"/>
          <w:noProof/>
        </w:rPr>
        <w:tab/>
      </w:r>
      <w:r>
        <w:rPr>
          <w:noProof/>
        </w:rPr>
        <w:t>Bone densitometry MBS items assigned to Bone Densitometry Working Group for review</w:t>
      </w:r>
      <w:r>
        <w:rPr>
          <w:noProof/>
        </w:rPr>
        <w:tab/>
      </w:r>
      <w:r>
        <w:rPr>
          <w:noProof/>
        </w:rPr>
        <w:tab/>
      </w:r>
      <w:r>
        <w:rPr>
          <w:noProof/>
        </w:rPr>
        <w:fldChar w:fldCharType="begin"/>
      </w:r>
      <w:r>
        <w:rPr>
          <w:noProof/>
        </w:rPr>
        <w:instrText xml:space="preserve"> PAGEREF _Toc459707288 \h </w:instrText>
      </w:r>
      <w:r>
        <w:rPr>
          <w:noProof/>
        </w:rPr>
      </w:r>
      <w:r>
        <w:rPr>
          <w:noProof/>
        </w:rPr>
        <w:fldChar w:fldCharType="separate"/>
      </w:r>
      <w:r w:rsidR="00E82A84">
        <w:rPr>
          <w:noProof/>
        </w:rPr>
        <w:t>30</w:t>
      </w:r>
      <w:r>
        <w:rPr>
          <w:noProof/>
        </w:rPr>
        <w:fldChar w:fldCharType="end"/>
      </w:r>
    </w:p>
    <w:p w14:paraId="3B67CF96" w14:textId="77777777" w:rsidR="00A12E3A" w:rsidRDefault="00A12E3A">
      <w:pPr>
        <w:pStyle w:val="TOC1"/>
        <w:rPr>
          <w:rFonts w:eastAsiaTheme="minorEastAsia" w:cstheme="minorBidi"/>
          <w:b w:val="0"/>
          <w:noProof/>
        </w:rPr>
      </w:pPr>
      <w:r w:rsidRPr="008D6F24">
        <w:rPr>
          <w:rFonts w:ascii="Calibri" w:hAnsi="Calibri"/>
          <w:noProof/>
        </w:rPr>
        <w:t>Appendix C -</w:t>
      </w:r>
      <w:r>
        <w:rPr>
          <w:rFonts w:eastAsiaTheme="minorEastAsia" w:cstheme="minorBidi"/>
          <w:b w:val="0"/>
          <w:noProof/>
        </w:rPr>
        <w:tab/>
      </w:r>
      <w:r>
        <w:rPr>
          <w:noProof/>
        </w:rPr>
        <w:t>RAPID REVIEW: Dual energy x-ray absorptiometry</w:t>
      </w:r>
      <w:r>
        <w:rPr>
          <w:noProof/>
        </w:rPr>
        <w:tab/>
      </w:r>
      <w:r>
        <w:rPr>
          <w:noProof/>
        </w:rPr>
        <w:fldChar w:fldCharType="begin"/>
      </w:r>
      <w:r>
        <w:rPr>
          <w:noProof/>
        </w:rPr>
        <w:instrText xml:space="preserve"> PAGEREF _Toc459707289 \h </w:instrText>
      </w:r>
      <w:r>
        <w:rPr>
          <w:noProof/>
        </w:rPr>
      </w:r>
      <w:r>
        <w:rPr>
          <w:noProof/>
        </w:rPr>
        <w:fldChar w:fldCharType="separate"/>
      </w:r>
      <w:r w:rsidR="00E82A84">
        <w:rPr>
          <w:noProof/>
        </w:rPr>
        <w:t>33</w:t>
      </w:r>
      <w:r>
        <w:rPr>
          <w:noProof/>
        </w:rPr>
        <w:fldChar w:fldCharType="end"/>
      </w:r>
    </w:p>
    <w:p w14:paraId="45C9E1AA" w14:textId="06811752" w:rsidR="00A01431" w:rsidRPr="00A12E3A" w:rsidRDefault="005508A4" w:rsidP="00A12E3A">
      <w:r>
        <w:rPr>
          <w:noProof/>
        </w:rPr>
        <w:fldChar w:fldCharType="end"/>
      </w:r>
      <w:r w:rsidR="00A01431" w:rsidRPr="00A12E3A">
        <w:br w:type="page"/>
      </w:r>
    </w:p>
    <w:p w14:paraId="70D6909F" w14:textId="77777777" w:rsidR="00326D7D" w:rsidRPr="003B1222" w:rsidRDefault="0011166D">
      <w:pPr>
        <w:pStyle w:val="TableofFigures"/>
        <w:tabs>
          <w:tab w:val="right" w:leader="dot" w:pos="9016"/>
        </w:tabs>
        <w:rPr>
          <w:b/>
          <w:bCs/>
          <w:noProof/>
          <w:color w:val="01653F"/>
          <w:sz w:val="32"/>
          <w:szCs w:val="32"/>
        </w:rPr>
      </w:pPr>
      <w:r w:rsidRPr="003B1222">
        <w:rPr>
          <w:b/>
          <w:bCs/>
          <w:noProof/>
          <w:color w:val="01653F"/>
          <w:sz w:val="32"/>
          <w:szCs w:val="32"/>
        </w:rPr>
        <w:lastRenderedPageBreak/>
        <w:t>List of Tables</w:t>
      </w:r>
    </w:p>
    <w:p w14:paraId="71332F7B" w14:textId="77777777" w:rsidR="00312D04" w:rsidRPr="00312D04" w:rsidRDefault="00312D04">
      <w:pPr>
        <w:pStyle w:val="TableofFigures"/>
        <w:tabs>
          <w:tab w:val="left" w:pos="880"/>
          <w:tab w:val="right" w:leader="dot" w:pos="9016"/>
        </w:tabs>
        <w:rPr>
          <w:rFonts w:eastAsiaTheme="minorEastAsia" w:cstheme="minorBidi"/>
          <w:smallCaps/>
          <w:noProof/>
          <w:sz w:val="22"/>
          <w:szCs w:val="22"/>
          <w:lang w:val="en-US" w:eastAsia="en-US"/>
        </w:rPr>
      </w:pPr>
      <w:r w:rsidRPr="00312D04">
        <w:rPr>
          <w:rFonts w:eastAsiaTheme="minorHAnsi"/>
          <w:bCs/>
          <w:smallCaps/>
          <w:noProof/>
          <w:sz w:val="22"/>
          <w:szCs w:val="22"/>
        </w:rPr>
        <w:fldChar w:fldCharType="begin"/>
      </w:r>
      <w:r w:rsidRPr="00312D04">
        <w:rPr>
          <w:rFonts w:eastAsiaTheme="minorHAnsi"/>
          <w:bCs/>
          <w:noProof/>
          <w:sz w:val="22"/>
          <w:szCs w:val="22"/>
        </w:rPr>
        <w:instrText xml:space="preserve"> TOC \c "Table" </w:instrText>
      </w:r>
      <w:r w:rsidRPr="00312D04">
        <w:rPr>
          <w:rFonts w:eastAsiaTheme="minorHAnsi"/>
          <w:bCs/>
          <w:smallCaps/>
          <w:noProof/>
          <w:sz w:val="22"/>
          <w:szCs w:val="22"/>
        </w:rPr>
        <w:fldChar w:fldCharType="separate"/>
      </w:r>
      <w:r w:rsidRPr="00312D04">
        <w:rPr>
          <w:noProof/>
          <w:sz w:val="22"/>
          <w:szCs w:val="22"/>
        </w:rPr>
        <w:t>Table 1:</w:t>
      </w:r>
      <w:r w:rsidRPr="00312D04">
        <w:rPr>
          <w:rFonts w:eastAsiaTheme="minorEastAsia" w:cstheme="minorBidi"/>
          <w:noProof/>
          <w:sz w:val="22"/>
          <w:szCs w:val="22"/>
          <w:lang w:val="en-US" w:eastAsia="en-US"/>
        </w:rPr>
        <w:tab/>
      </w:r>
      <w:r w:rsidRPr="00312D04">
        <w:rPr>
          <w:noProof/>
          <w:sz w:val="22"/>
          <w:szCs w:val="22"/>
        </w:rPr>
        <w:t>Diagnostic Imaging Clinical Committee Members</w:t>
      </w:r>
      <w:r w:rsidRPr="00312D04">
        <w:rPr>
          <w:noProof/>
          <w:sz w:val="22"/>
          <w:szCs w:val="22"/>
        </w:rPr>
        <w:tab/>
      </w:r>
      <w:r w:rsidRPr="00312D04">
        <w:rPr>
          <w:noProof/>
          <w:sz w:val="22"/>
          <w:szCs w:val="22"/>
        </w:rPr>
        <w:fldChar w:fldCharType="begin"/>
      </w:r>
      <w:r w:rsidRPr="00312D04">
        <w:rPr>
          <w:noProof/>
          <w:sz w:val="22"/>
          <w:szCs w:val="22"/>
        </w:rPr>
        <w:instrText xml:space="preserve"> PAGEREF _Toc457126659 \h </w:instrText>
      </w:r>
      <w:r w:rsidRPr="00312D04">
        <w:rPr>
          <w:noProof/>
          <w:sz w:val="22"/>
          <w:szCs w:val="22"/>
        </w:rPr>
      </w:r>
      <w:r w:rsidRPr="00312D04">
        <w:rPr>
          <w:noProof/>
          <w:sz w:val="22"/>
          <w:szCs w:val="22"/>
        </w:rPr>
        <w:fldChar w:fldCharType="separate"/>
      </w:r>
      <w:r w:rsidR="00E82A84">
        <w:rPr>
          <w:noProof/>
          <w:sz w:val="22"/>
          <w:szCs w:val="22"/>
        </w:rPr>
        <w:t>9</w:t>
      </w:r>
      <w:r w:rsidRPr="00312D04">
        <w:rPr>
          <w:noProof/>
          <w:sz w:val="22"/>
          <w:szCs w:val="22"/>
        </w:rPr>
        <w:fldChar w:fldCharType="end"/>
      </w:r>
    </w:p>
    <w:p w14:paraId="53B1863B" w14:textId="77777777" w:rsidR="00312D04" w:rsidRPr="00312D04" w:rsidRDefault="00312D04">
      <w:pPr>
        <w:pStyle w:val="TableofFigures"/>
        <w:tabs>
          <w:tab w:val="left" w:pos="880"/>
          <w:tab w:val="right" w:leader="dot" w:pos="9016"/>
        </w:tabs>
        <w:rPr>
          <w:rFonts w:eastAsiaTheme="minorEastAsia" w:cstheme="minorBidi"/>
          <w:smallCaps/>
          <w:noProof/>
          <w:sz w:val="22"/>
          <w:szCs w:val="22"/>
          <w:lang w:val="en-US" w:eastAsia="en-US"/>
        </w:rPr>
      </w:pPr>
      <w:r w:rsidRPr="00312D04">
        <w:rPr>
          <w:noProof/>
          <w:sz w:val="22"/>
          <w:szCs w:val="22"/>
        </w:rPr>
        <w:t>Table 2:</w:t>
      </w:r>
      <w:r w:rsidRPr="00312D04">
        <w:rPr>
          <w:rFonts w:eastAsiaTheme="minorEastAsia" w:cstheme="minorBidi"/>
          <w:noProof/>
          <w:sz w:val="22"/>
          <w:szCs w:val="22"/>
          <w:lang w:val="en-US" w:eastAsia="en-US"/>
        </w:rPr>
        <w:tab/>
      </w:r>
      <w:r w:rsidRPr="00312D04">
        <w:rPr>
          <w:noProof/>
          <w:sz w:val="22"/>
          <w:szCs w:val="22"/>
        </w:rPr>
        <w:t>Bone Densitometry Working Group Members</w:t>
      </w:r>
      <w:r w:rsidRPr="00312D04">
        <w:rPr>
          <w:noProof/>
          <w:sz w:val="22"/>
          <w:szCs w:val="22"/>
        </w:rPr>
        <w:tab/>
      </w:r>
      <w:r w:rsidRPr="00312D04">
        <w:rPr>
          <w:noProof/>
          <w:sz w:val="22"/>
          <w:szCs w:val="22"/>
        </w:rPr>
        <w:fldChar w:fldCharType="begin"/>
      </w:r>
      <w:r w:rsidRPr="00312D04">
        <w:rPr>
          <w:noProof/>
          <w:sz w:val="22"/>
          <w:szCs w:val="22"/>
        </w:rPr>
        <w:instrText xml:space="preserve"> PAGEREF _Toc457126660 \h </w:instrText>
      </w:r>
      <w:r w:rsidRPr="00312D04">
        <w:rPr>
          <w:noProof/>
          <w:sz w:val="22"/>
          <w:szCs w:val="22"/>
        </w:rPr>
      </w:r>
      <w:r w:rsidRPr="00312D04">
        <w:rPr>
          <w:noProof/>
          <w:sz w:val="22"/>
          <w:szCs w:val="22"/>
        </w:rPr>
        <w:fldChar w:fldCharType="separate"/>
      </w:r>
      <w:r w:rsidR="00E82A84">
        <w:rPr>
          <w:noProof/>
          <w:sz w:val="22"/>
          <w:szCs w:val="22"/>
        </w:rPr>
        <w:t>11</w:t>
      </w:r>
      <w:r w:rsidRPr="00312D04">
        <w:rPr>
          <w:noProof/>
          <w:sz w:val="22"/>
          <w:szCs w:val="22"/>
        </w:rPr>
        <w:fldChar w:fldCharType="end"/>
      </w:r>
    </w:p>
    <w:p w14:paraId="5C776BB6" w14:textId="77777777" w:rsidR="00312D04" w:rsidRPr="00312D04" w:rsidRDefault="00312D04">
      <w:pPr>
        <w:pStyle w:val="TableofFigures"/>
        <w:tabs>
          <w:tab w:val="left" w:pos="880"/>
          <w:tab w:val="right" w:leader="dot" w:pos="9016"/>
        </w:tabs>
        <w:rPr>
          <w:rFonts w:eastAsiaTheme="minorEastAsia" w:cstheme="minorBidi"/>
          <w:smallCaps/>
          <w:noProof/>
          <w:sz w:val="22"/>
          <w:szCs w:val="22"/>
          <w:lang w:val="en-US" w:eastAsia="en-US"/>
        </w:rPr>
      </w:pPr>
      <w:r w:rsidRPr="00312D04">
        <w:rPr>
          <w:noProof/>
          <w:sz w:val="22"/>
          <w:szCs w:val="22"/>
        </w:rPr>
        <w:t>Table 3:</w:t>
      </w:r>
      <w:r w:rsidRPr="00312D04">
        <w:rPr>
          <w:rFonts w:eastAsiaTheme="minorEastAsia" w:cstheme="minorBidi"/>
          <w:noProof/>
          <w:sz w:val="22"/>
          <w:szCs w:val="22"/>
          <w:lang w:val="en-US" w:eastAsia="en-US"/>
        </w:rPr>
        <w:tab/>
      </w:r>
      <w:r w:rsidRPr="00312D04">
        <w:rPr>
          <w:noProof/>
          <w:sz w:val="22"/>
          <w:szCs w:val="22"/>
        </w:rPr>
        <w:t>List of MBS items identified for review by the Bone Densitometry Working Group</w:t>
      </w:r>
      <w:r w:rsidRPr="00312D04">
        <w:rPr>
          <w:noProof/>
          <w:sz w:val="22"/>
          <w:szCs w:val="22"/>
        </w:rPr>
        <w:tab/>
      </w:r>
      <w:r w:rsidRPr="00312D04">
        <w:rPr>
          <w:noProof/>
          <w:sz w:val="22"/>
          <w:szCs w:val="22"/>
        </w:rPr>
        <w:fldChar w:fldCharType="begin"/>
      </w:r>
      <w:r w:rsidRPr="00312D04">
        <w:rPr>
          <w:noProof/>
          <w:sz w:val="22"/>
          <w:szCs w:val="22"/>
        </w:rPr>
        <w:instrText xml:space="preserve"> PAGEREF _Toc457126661 \h </w:instrText>
      </w:r>
      <w:r w:rsidRPr="00312D04">
        <w:rPr>
          <w:noProof/>
          <w:sz w:val="22"/>
          <w:szCs w:val="22"/>
        </w:rPr>
      </w:r>
      <w:r w:rsidRPr="00312D04">
        <w:rPr>
          <w:noProof/>
          <w:sz w:val="22"/>
          <w:szCs w:val="22"/>
        </w:rPr>
        <w:fldChar w:fldCharType="separate"/>
      </w:r>
      <w:r w:rsidR="00E82A84">
        <w:rPr>
          <w:noProof/>
          <w:sz w:val="22"/>
          <w:szCs w:val="22"/>
        </w:rPr>
        <w:t>12</w:t>
      </w:r>
      <w:r w:rsidRPr="00312D04">
        <w:rPr>
          <w:noProof/>
          <w:sz w:val="22"/>
          <w:szCs w:val="22"/>
        </w:rPr>
        <w:fldChar w:fldCharType="end"/>
      </w:r>
    </w:p>
    <w:p w14:paraId="6C6BFCA2" w14:textId="77777777" w:rsidR="00312D04" w:rsidRPr="00312D04" w:rsidRDefault="00312D04">
      <w:pPr>
        <w:pStyle w:val="TableofFigures"/>
        <w:tabs>
          <w:tab w:val="left" w:pos="880"/>
          <w:tab w:val="right" w:leader="dot" w:pos="9016"/>
        </w:tabs>
        <w:rPr>
          <w:rFonts w:eastAsiaTheme="minorEastAsia" w:cstheme="minorBidi"/>
          <w:smallCaps/>
          <w:noProof/>
          <w:sz w:val="22"/>
          <w:szCs w:val="22"/>
          <w:lang w:val="en-US" w:eastAsia="en-US"/>
        </w:rPr>
      </w:pPr>
      <w:r w:rsidRPr="00312D04">
        <w:rPr>
          <w:noProof/>
          <w:sz w:val="22"/>
          <w:szCs w:val="22"/>
        </w:rPr>
        <w:t>Table 4:</w:t>
      </w:r>
      <w:r w:rsidRPr="00312D04">
        <w:rPr>
          <w:rFonts w:eastAsiaTheme="minorEastAsia" w:cstheme="minorBidi"/>
          <w:noProof/>
          <w:sz w:val="22"/>
          <w:szCs w:val="22"/>
          <w:lang w:val="en-US" w:eastAsia="en-US"/>
        </w:rPr>
        <w:tab/>
      </w:r>
      <w:r w:rsidRPr="00312D04">
        <w:rPr>
          <w:noProof/>
          <w:sz w:val="22"/>
          <w:szCs w:val="22"/>
        </w:rPr>
        <w:t>MBS Item number key information</w:t>
      </w:r>
      <w:r w:rsidRPr="00312D04">
        <w:rPr>
          <w:noProof/>
          <w:sz w:val="22"/>
          <w:szCs w:val="22"/>
        </w:rPr>
        <w:tab/>
      </w:r>
      <w:r w:rsidRPr="00312D04">
        <w:rPr>
          <w:noProof/>
          <w:sz w:val="22"/>
          <w:szCs w:val="22"/>
        </w:rPr>
        <w:fldChar w:fldCharType="begin"/>
      </w:r>
      <w:r w:rsidRPr="00312D04">
        <w:rPr>
          <w:noProof/>
          <w:sz w:val="22"/>
          <w:szCs w:val="22"/>
        </w:rPr>
        <w:instrText xml:space="preserve"> PAGEREF _Toc457126662 \h </w:instrText>
      </w:r>
      <w:r w:rsidRPr="00312D04">
        <w:rPr>
          <w:noProof/>
          <w:sz w:val="22"/>
          <w:szCs w:val="22"/>
        </w:rPr>
      </w:r>
      <w:r w:rsidRPr="00312D04">
        <w:rPr>
          <w:noProof/>
          <w:sz w:val="22"/>
          <w:szCs w:val="22"/>
        </w:rPr>
        <w:fldChar w:fldCharType="separate"/>
      </w:r>
      <w:r w:rsidR="00E82A84">
        <w:rPr>
          <w:noProof/>
          <w:sz w:val="22"/>
          <w:szCs w:val="22"/>
        </w:rPr>
        <w:t>14</w:t>
      </w:r>
      <w:r w:rsidRPr="00312D04">
        <w:rPr>
          <w:noProof/>
          <w:sz w:val="22"/>
          <w:szCs w:val="22"/>
        </w:rPr>
        <w:fldChar w:fldCharType="end"/>
      </w:r>
    </w:p>
    <w:p w14:paraId="05C7B2B0" w14:textId="77777777" w:rsidR="00312D04" w:rsidRPr="00312D04" w:rsidRDefault="00312D04">
      <w:pPr>
        <w:pStyle w:val="TableofFigures"/>
        <w:tabs>
          <w:tab w:val="left" w:pos="880"/>
          <w:tab w:val="right" w:leader="dot" w:pos="9016"/>
        </w:tabs>
        <w:rPr>
          <w:rFonts w:eastAsiaTheme="minorEastAsia" w:cstheme="minorBidi"/>
          <w:smallCaps/>
          <w:noProof/>
          <w:sz w:val="22"/>
          <w:szCs w:val="22"/>
          <w:lang w:val="en-US" w:eastAsia="en-US"/>
        </w:rPr>
      </w:pPr>
      <w:r w:rsidRPr="00312D04">
        <w:rPr>
          <w:noProof/>
          <w:sz w:val="22"/>
          <w:szCs w:val="22"/>
        </w:rPr>
        <w:t>Table 5:</w:t>
      </w:r>
      <w:r w:rsidRPr="00312D04">
        <w:rPr>
          <w:rFonts w:eastAsiaTheme="minorEastAsia" w:cstheme="minorBidi"/>
          <w:noProof/>
          <w:sz w:val="22"/>
          <w:szCs w:val="22"/>
          <w:lang w:val="en-US" w:eastAsia="en-US"/>
        </w:rPr>
        <w:tab/>
      </w:r>
      <w:r w:rsidRPr="00312D04">
        <w:rPr>
          <w:noProof/>
          <w:sz w:val="22"/>
          <w:szCs w:val="22"/>
        </w:rPr>
        <w:t>High level MBS statistics (Date of Processing)</w:t>
      </w:r>
      <w:r w:rsidRPr="00312D04">
        <w:rPr>
          <w:noProof/>
          <w:sz w:val="22"/>
          <w:szCs w:val="22"/>
        </w:rPr>
        <w:tab/>
      </w:r>
      <w:r w:rsidRPr="00312D04">
        <w:rPr>
          <w:noProof/>
          <w:sz w:val="22"/>
          <w:szCs w:val="22"/>
        </w:rPr>
        <w:fldChar w:fldCharType="begin"/>
      </w:r>
      <w:r w:rsidRPr="00312D04">
        <w:rPr>
          <w:noProof/>
          <w:sz w:val="22"/>
          <w:szCs w:val="22"/>
        </w:rPr>
        <w:instrText xml:space="preserve"> PAGEREF _Toc457126663 \h </w:instrText>
      </w:r>
      <w:r w:rsidRPr="00312D04">
        <w:rPr>
          <w:noProof/>
          <w:sz w:val="22"/>
          <w:szCs w:val="22"/>
        </w:rPr>
      </w:r>
      <w:r w:rsidRPr="00312D04">
        <w:rPr>
          <w:noProof/>
          <w:sz w:val="22"/>
          <w:szCs w:val="22"/>
        </w:rPr>
        <w:fldChar w:fldCharType="separate"/>
      </w:r>
      <w:r w:rsidR="00E82A84">
        <w:rPr>
          <w:noProof/>
          <w:sz w:val="22"/>
          <w:szCs w:val="22"/>
        </w:rPr>
        <w:t>14</w:t>
      </w:r>
      <w:r w:rsidRPr="00312D04">
        <w:rPr>
          <w:noProof/>
          <w:sz w:val="22"/>
          <w:szCs w:val="22"/>
        </w:rPr>
        <w:fldChar w:fldCharType="end"/>
      </w:r>
    </w:p>
    <w:p w14:paraId="591EC9B3" w14:textId="77777777" w:rsidR="00312D04" w:rsidRPr="00312D04" w:rsidRDefault="00312D04" w:rsidP="00312D04">
      <w:pPr>
        <w:pStyle w:val="TableofFigures"/>
        <w:tabs>
          <w:tab w:val="left" w:pos="880"/>
          <w:tab w:val="right" w:leader="dot" w:pos="9016"/>
        </w:tabs>
        <w:ind w:left="880" w:hanging="880"/>
        <w:rPr>
          <w:rFonts w:eastAsiaTheme="minorEastAsia" w:cstheme="minorBidi"/>
          <w:smallCaps/>
          <w:noProof/>
          <w:sz w:val="22"/>
          <w:szCs w:val="22"/>
          <w:lang w:val="en-US" w:eastAsia="en-US"/>
        </w:rPr>
      </w:pPr>
      <w:r w:rsidRPr="00312D04">
        <w:rPr>
          <w:noProof/>
          <w:sz w:val="22"/>
          <w:szCs w:val="22"/>
        </w:rPr>
        <w:t>Table 6:</w:t>
      </w:r>
      <w:r w:rsidRPr="00312D04">
        <w:rPr>
          <w:rFonts w:eastAsiaTheme="minorEastAsia" w:cstheme="minorBidi"/>
          <w:noProof/>
          <w:sz w:val="22"/>
          <w:szCs w:val="22"/>
          <w:lang w:val="en-US" w:eastAsia="en-US"/>
        </w:rPr>
        <w:tab/>
      </w:r>
      <w:r w:rsidRPr="00312D04">
        <w:rPr>
          <w:noProof/>
          <w:sz w:val="22"/>
          <w:szCs w:val="22"/>
        </w:rPr>
        <w:t>MBS item 12323 - Service distribution per patient within a one year period (2014-15, Date of Processing)</w:t>
      </w:r>
      <w:r w:rsidRPr="00312D04">
        <w:rPr>
          <w:noProof/>
          <w:sz w:val="22"/>
          <w:szCs w:val="22"/>
        </w:rPr>
        <w:tab/>
      </w:r>
      <w:r w:rsidRPr="00312D04">
        <w:rPr>
          <w:noProof/>
          <w:sz w:val="22"/>
          <w:szCs w:val="22"/>
        </w:rPr>
        <w:fldChar w:fldCharType="begin"/>
      </w:r>
      <w:r w:rsidRPr="00312D04">
        <w:rPr>
          <w:noProof/>
          <w:sz w:val="22"/>
          <w:szCs w:val="22"/>
        </w:rPr>
        <w:instrText xml:space="preserve"> PAGEREF _Toc457126664 \h </w:instrText>
      </w:r>
      <w:r w:rsidRPr="00312D04">
        <w:rPr>
          <w:noProof/>
          <w:sz w:val="22"/>
          <w:szCs w:val="22"/>
        </w:rPr>
      </w:r>
      <w:r w:rsidRPr="00312D04">
        <w:rPr>
          <w:noProof/>
          <w:sz w:val="22"/>
          <w:szCs w:val="22"/>
        </w:rPr>
        <w:fldChar w:fldCharType="separate"/>
      </w:r>
      <w:r w:rsidR="00E82A84">
        <w:rPr>
          <w:noProof/>
          <w:sz w:val="22"/>
          <w:szCs w:val="22"/>
        </w:rPr>
        <w:t>15</w:t>
      </w:r>
      <w:r w:rsidRPr="00312D04">
        <w:rPr>
          <w:noProof/>
          <w:sz w:val="22"/>
          <w:szCs w:val="22"/>
        </w:rPr>
        <w:fldChar w:fldCharType="end"/>
      </w:r>
    </w:p>
    <w:p w14:paraId="0D2CC7F9" w14:textId="77777777" w:rsidR="00312D04" w:rsidRPr="00312D04" w:rsidRDefault="00312D04" w:rsidP="00312D04">
      <w:pPr>
        <w:pStyle w:val="TableofFigures"/>
        <w:tabs>
          <w:tab w:val="left" w:pos="880"/>
          <w:tab w:val="right" w:leader="dot" w:pos="9016"/>
        </w:tabs>
        <w:ind w:left="880" w:hanging="880"/>
        <w:rPr>
          <w:rFonts w:eastAsiaTheme="minorEastAsia" w:cstheme="minorBidi"/>
          <w:smallCaps/>
          <w:noProof/>
          <w:sz w:val="22"/>
          <w:szCs w:val="22"/>
          <w:lang w:val="en-US" w:eastAsia="en-US"/>
        </w:rPr>
      </w:pPr>
      <w:r w:rsidRPr="00312D04">
        <w:rPr>
          <w:noProof/>
          <w:sz w:val="22"/>
          <w:szCs w:val="22"/>
        </w:rPr>
        <w:t>Table 7:</w:t>
      </w:r>
      <w:r w:rsidRPr="00312D04">
        <w:rPr>
          <w:rFonts w:eastAsiaTheme="minorEastAsia" w:cstheme="minorBidi"/>
          <w:noProof/>
          <w:sz w:val="22"/>
          <w:szCs w:val="22"/>
          <w:lang w:val="en-US" w:eastAsia="en-US"/>
        </w:rPr>
        <w:tab/>
      </w:r>
      <w:r w:rsidRPr="00312D04">
        <w:rPr>
          <w:noProof/>
          <w:sz w:val="22"/>
          <w:szCs w:val="22"/>
        </w:rPr>
        <w:t>MBS item 12323 - Patient services distribution by patient age and sex (2014-15, Date of Processing)</w:t>
      </w:r>
      <w:r w:rsidRPr="00312D04">
        <w:rPr>
          <w:noProof/>
          <w:sz w:val="22"/>
          <w:szCs w:val="22"/>
        </w:rPr>
        <w:tab/>
      </w:r>
      <w:r w:rsidRPr="00312D04">
        <w:rPr>
          <w:noProof/>
          <w:sz w:val="22"/>
          <w:szCs w:val="22"/>
        </w:rPr>
        <w:fldChar w:fldCharType="begin"/>
      </w:r>
      <w:r w:rsidRPr="00312D04">
        <w:rPr>
          <w:noProof/>
          <w:sz w:val="22"/>
          <w:szCs w:val="22"/>
        </w:rPr>
        <w:instrText xml:space="preserve"> PAGEREF _Toc457126665 \h </w:instrText>
      </w:r>
      <w:r w:rsidRPr="00312D04">
        <w:rPr>
          <w:noProof/>
          <w:sz w:val="22"/>
          <w:szCs w:val="22"/>
        </w:rPr>
      </w:r>
      <w:r w:rsidRPr="00312D04">
        <w:rPr>
          <w:noProof/>
          <w:sz w:val="22"/>
          <w:szCs w:val="22"/>
        </w:rPr>
        <w:fldChar w:fldCharType="separate"/>
      </w:r>
      <w:r w:rsidR="00E82A84">
        <w:rPr>
          <w:noProof/>
          <w:sz w:val="22"/>
          <w:szCs w:val="22"/>
        </w:rPr>
        <w:t>15</w:t>
      </w:r>
      <w:r w:rsidRPr="00312D04">
        <w:rPr>
          <w:noProof/>
          <w:sz w:val="22"/>
          <w:szCs w:val="22"/>
        </w:rPr>
        <w:fldChar w:fldCharType="end"/>
      </w:r>
    </w:p>
    <w:p w14:paraId="0A005D2C" w14:textId="0DF17E85" w:rsidR="00312D04" w:rsidRPr="00312D04" w:rsidRDefault="00312D04">
      <w:pPr>
        <w:pStyle w:val="TableofFigures"/>
        <w:tabs>
          <w:tab w:val="left" w:pos="880"/>
          <w:tab w:val="right" w:leader="dot" w:pos="9016"/>
        </w:tabs>
        <w:rPr>
          <w:rFonts w:eastAsiaTheme="minorEastAsia" w:cstheme="minorBidi"/>
          <w:smallCaps/>
          <w:noProof/>
          <w:sz w:val="22"/>
          <w:szCs w:val="22"/>
          <w:lang w:val="en-US" w:eastAsia="en-US"/>
        </w:rPr>
      </w:pPr>
      <w:r w:rsidRPr="00312D04">
        <w:rPr>
          <w:noProof/>
          <w:sz w:val="22"/>
          <w:szCs w:val="22"/>
        </w:rPr>
        <w:t>Table 8:</w:t>
      </w:r>
      <w:r w:rsidRPr="00312D04">
        <w:rPr>
          <w:rFonts w:eastAsiaTheme="minorEastAsia" w:cstheme="minorBidi"/>
          <w:noProof/>
          <w:sz w:val="22"/>
          <w:szCs w:val="22"/>
          <w:lang w:val="en-US" w:eastAsia="en-US"/>
        </w:rPr>
        <w:tab/>
      </w:r>
      <w:r w:rsidRPr="00312D04">
        <w:rPr>
          <w:noProof/>
          <w:sz w:val="22"/>
          <w:szCs w:val="22"/>
        </w:rPr>
        <w:t>MBS item 12323 - Service distribution per patient within a two year period (2013-14 to 2014-15, Date of Processing)</w:t>
      </w:r>
      <w:r w:rsidRPr="00312D04">
        <w:rPr>
          <w:noProof/>
          <w:sz w:val="22"/>
          <w:szCs w:val="22"/>
        </w:rPr>
        <w:tab/>
      </w:r>
      <w:r w:rsidRPr="00312D04">
        <w:rPr>
          <w:noProof/>
          <w:sz w:val="22"/>
          <w:szCs w:val="22"/>
        </w:rPr>
        <w:fldChar w:fldCharType="begin"/>
      </w:r>
      <w:r w:rsidRPr="00312D04">
        <w:rPr>
          <w:noProof/>
          <w:sz w:val="22"/>
          <w:szCs w:val="22"/>
        </w:rPr>
        <w:instrText xml:space="preserve"> PAGEREF _Toc457126666 \h </w:instrText>
      </w:r>
      <w:r w:rsidRPr="00312D04">
        <w:rPr>
          <w:noProof/>
          <w:sz w:val="22"/>
          <w:szCs w:val="22"/>
        </w:rPr>
      </w:r>
      <w:r w:rsidRPr="00312D04">
        <w:rPr>
          <w:noProof/>
          <w:sz w:val="22"/>
          <w:szCs w:val="22"/>
        </w:rPr>
        <w:fldChar w:fldCharType="separate"/>
      </w:r>
      <w:r w:rsidR="00E82A84">
        <w:rPr>
          <w:noProof/>
          <w:sz w:val="22"/>
          <w:szCs w:val="22"/>
        </w:rPr>
        <w:t>15</w:t>
      </w:r>
      <w:r w:rsidRPr="00312D04">
        <w:rPr>
          <w:noProof/>
          <w:sz w:val="22"/>
          <w:szCs w:val="22"/>
        </w:rPr>
        <w:fldChar w:fldCharType="end"/>
      </w:r>
    </w:p>
    <w:p w14:paraId="4B031FEC" w14:textId="4A8202EB" w:rsidR="00312D04" w:rsidRPr="00312D04" w:rsidRDefault="00312D04">
      <w:pPr>
        <w:pStyle w:val="TableofFigures"/>
        <w:tabs>
          <w:tab w:val="left" w:pos="880"/>
          <w:tab w:val="right" w:leader="dot" w:pos="9016"/>
        </w:tabs>
        <w:rPr>
          <w:rFonts w:eastAsiaTheme="minorEastAsia" w:cstheme="minorBidi"/>
          <w:smallCaps/>
          <w:noProof/>
          <w:sz w:val="22"/>
          <w:szCs w:val="22"/>
          <w:lang w:val="en-US" w:eastAsia="en-US"/>
        </w:rPr>
      </w:pPr>
      <w:r w:rsidRPr="00312D04">
        <w:rPr>
          <w:noProof/>
          <w:sz w:val="22"/>
          <w:szCs w:val="22"/>
        </w:rPr>
        <w:t>Table 9:</w:t>
      </w:r>
      <w:r w:rsidRPr="00312D04">
        <w:rPr>
          <w:rFonts w:eastAsiaTheme="minorEastAsia" w:cstheme="minorBidi"/>
          <w:noProof/>
          <w:sz w:val="22"/>
          <w:szCs w:val="22"/>
          <w:lang w:val="en-US" w:eastAsia="en-US"/>
        </w:rPr>
        <w:tab/>
      </w:r>
      <w:r w:rsidRPr="00312D04">
        <w:rPr>
          <w:noProof/>
          <w:sz w:val="22"/>
          <w:szCs w:val="22"/>
        </w:rPr>
        <w:t>MBS item 12323 - Patient service distribution within a two year period by age and sex</w:t>
      </w:r>
      <w:r w:rsidR="00A01431">
        <w:rPr>
          <w:noProof/>
          <w:sz w:val="22"/>
          <w:szCs w:val="22"/>
        </w:rPr>
        <w:t xml:space="preserve"> </w:t>
      </w:r>
      <w:r w:rsidRPr="00312D04">
        <w:rPr>
          <w:noProof/>
          <w:sz w:val="22"/>
          <w:szCs w:val="22"/>
        </w:rPr>
        <w:t>(2013-14 to 2014-15, Date of Processing)</w:t>
      </w:r>
      <w:r w:rsidRPr="00312D04">
        <w:rPr>
          <w:noProof/>
          <w:sz w:val="22"/>
          <w:szCs w:val="22"/>
        </w:rPr>
        <w:tab/>
      </w:r>
      <w:r w:rsidRPr="00312D04">
        <w:rPr>
          <w:noProof/>
          <w:sz w:val="22"/>
          <w:szCs w:val="22"/>
        </w:rPr>
        <w:fldChar w:fldCharType="begin"/>
      </w:r>
      <w:r w:rsidRPr="00312D04">
        <w:rPr>
          <w:noProof/>
          <w:sz w:val="22"/>
          <w:szCs w:val="22"/>
        </w:rPr>
        <w:instrText xml:space="preserve"> PAGEREF _Toc457126667 \h </w:instrText>
      </w:r>
      <w:r w:rsidRPr="00312D04">
        <w:rPr>
          <w:noProof/>
          <w:sz w:val="22"/>
          <w:szCs w:val="22"/>
        </w:rPr>
      </w:r>
      <w:r w:rsidRPr="00312D04">
        <w:rPr>
          <w:noProof/>
          <w:sz w:val="22"/>
          <w:szCs w:val="22"/>
        </w:rPr>
        <w:fldChar w:fldCharType="separate"/>
      </w:r>
      <w:r w:rsidR="00E82A84">
        <w:rPr>
          <w:noProof/>
          <w:sz w:val="22"/>
          <w:szCs w:val="22"/>
        </w:rPr>
        <w:t>16</w:t>
      </w:r>
      <w:r w:rsidRPr="00312D04">
        <w:rPr>
          <w:noProof/>
          <w:sz w:val="22"/>
          <w:szCs w:val="22"/>
        </w:rPr>
        <w:fldChar w:fldCharType="end"/>
      </w:r>
    </w:p>
    <w:p w14:paraId="51EC90C0" w14:textId="0A6FE222" w:rsidR="00312D04" w:rsidRPr="00312D04" w:rsidRDefault="00312D04">
      <w:pPr>
        <w:pStyle w:val="TableofFigures"/>
        <w:tabs>
          <w:tab w:val="left" w:pos="1100"/>
          <w:tab w:val="right" w:leader="dot" w:pos="9016"/>
        </w:tabs>
        <w:rPr>
          <w:rFonts w:eastAsiaTheme="minorEastAsia" w:cstheme="minorBidi"/>
          <w:smallCaps/>
          <w:noProof/>
          <w:sz w:val="22"/>
          <w:szCs w:val="22"/>
          <w:lang w:val="en-US" w:eastAsia="en-US"/>
        </w:rPr>
      </w:pPr>
      <w:r w:rsidRPr="00312D04">
        <w:rPr>
          <w:noProof/>
          <w:sz w:val="22"/>
          <w:szCs w:val="22"/>
        </w:rPr>
        <w:t>Table 10:</w:t>
      </w:r>
      <w:r w:rsidR="00682323">
        <w:rPr>
          <w:noProof/>
          <w:sz w:val="22"/>
          <w:szCs w:val="22"/>
        </w:rPr>
        <w:tab/>
      </w:r>
      <w:r w:rsidRPr="00312D04">
        <w:rPr>
          <w:noProof/>
          <w:sz w:val="22"/>
          <w:szCs w:val="22"/>
        </w:rPr>
        <w:t>Draft item descriptors</w:t>
      </w:r>
      <w:r w:rsidRPr="00312D04">
        <w:rPr>
          <w:noProof/>
          <w:sz w:val="22"/>
          <w:szCs w:val="22"/>
        </w:rPr>
        <w:tab/>
      </w:r>
      <w:r w:rsidRPr="00312D04">
        <w:rPr>
          <w:noProof/>
          <w:sz w:val="22"/>
          <w:szCs w:val="22"/>
        </w:rPr>
        <w:fldChar w:fldCharType="begin"/>
      </w:r>
      <w:r w:rsidRPr="00312D04">
        <w:rPr>
          <w:noProof/>
          <w:sz w:val="22"/>
          <w:szCs w:val="22"/>
        </w:rPr>
        <w:instrText xml:space="preserve"> PAGEREF _Toc457126668 \h </w:instrText>
      </w:r>
      <w:r w:rsidRPr="00312D04">
        <w:rPr>
          <w:noProof/>
          <w:sz w:val="22"/>
          <w:szCs w:val="22"/>
        </w:rPr>
      </w:r>
      <w:r w:rsidRPr="00312D04">
        <w:rPr>
          <w:noProof/>
          <w:sz w:val="22"/>
          <w:szCs w:val="22"/>
        </w:rPr>
        <w:fldChar w:fldCharType="separate"/>
      </w:r>
      <w:r w:rsidR="00E82A84">
        <w:rPr>
          <w:noProof/>
          <w:sz w:val="22"/>
          <w:szCs w:val="22"/>
        </w:rPr>
        <w:t>20</w:t>
      </w:r>
      <w:r w:rsidRPr="00312D04">
        <w:rPr>
          <w:noProof/>
          <w:sz w:val="22"/>
          <w:szCs w:val="22"/>
        </w:rPr>
        <w:fldChar w:fldCharType="end"/>
      </w:r>
    </w:p>
    <w:p w14:paraId="1C564F9F" w14:textId="2D231A07" w:rsidR="00262127" w:rsidRPr="00312D04" w:rsidRDefault="00312D04" w:rsidP="003F788A">
      <w:pPr>
        <w:spacing w:before="120" w:after="120"/>
        <w:rPr>
          <w:rFonts w:cs="Arial"/>
          <w:szCs w:val="22"/>
        </w:rPr>
      </w:pPr>
      <w:r w:rsidRPr="00312D04">
        <w:rPr>
          <w:rFonts w:eastAsiaTheme="minorHAnsi"/>
          <w:bCs/>
          <w:noProof/>
          <w:szCs w:val="22"/>
        </w:rPr>
        <w:fldChar w:fldCharType="end"/>
      </w:r>
      <w:r w:rsidR="00262127" w:rsidRPr="00312D04">
        <w:rPr>
          <w:rFonts w:cs="Arial"/>
          <w:szCs w:val="22"/>
        </w:rPr>
        <w:br w:type="page"/>
      </w:r>
    </w:p>
    <w:p w14:paraId="363935F8" w14:textId="1A7D12FC" w:rsidR="009837DB" w:rsidRPr="00EA0A9F" w:rsidRDefault="00262127" w:rsidP="00EA0A9F">
      <w:pPr>
        <w:pStyle w:val="Heading1"/>
      </w:pPr>
      <w:bookmarkStart w:id="2" w:name="_Toc459707255"/>
      <w:bookmarkEnd w:id="0"/>
      <w:r w:rsidRPr="00EA0A9F">
        <w:lastRenderedPageBreak/>
        <w:t>Executive Summary</w:t>
      </w:r>
      <w:bookmarkEnd w:id="2"/>
    </w:p>
    <w:p w14:paraId="4BD82F34" w14:textId="77777777" w:rsidR="00463B1C" w:rsidRDefault="00FE088C" w:rsidP="00703DC7">
      <w:r w:rsidRPr="009200D8">
        <w:t>The Medicare Benefits Schedule (MBS) Review Taskforce (the Taskforce) is undertaking a program of work</w:t>
      </w:r>
      <w:r w:rsidR="00CF522D" w:rsidRPr="009200D8">
        <w:t xml:space="preserve"> that considers how more than 5,700 items on the MBS can be aligned with contemporary clinical evidence and practice and improves health outcomes for patients. The Taskforce will also seek to identify any services that may be unnecessary, outdated or potentially unsafe.</w:t>
      </w:r>
      <w:r w:rsidR="00463B1C" w:rsidRPr="009200D8">
        <w:t xml:space="preserve"> </w:t>
      </w:r>
    </w:p>
    <w:p w14:paraId="3FA69270" w14:textId="77777777" w:rsidR="003F1396" w:rsidRPr="009D0EED" w:rsidRDefault="003F1396" w:rsidP="003F1396">
      <w:r w:rsidRPr="009D0EED">
        <w:t>The Taskforce is committed to providing recommendations to the Minister that will allow the MBS to deliver on each of these four key goals:</w:t>
      </w:r>
    </w:p>
    <w:p w14:paraId="744CBAAF" w14:textId="77777777" w:rsidR="003F1396" w:rsidRPr="003F788A" w:rsidRDefault="003F1396" w:rsidP="003F1396">
      <w:pPr>
        <w:pStyle w:val="Bulleted"/>
      </w:pPr>
      <w:r w:rsidRPr="003F788A">
        <w:t>Affordable and universal access</w:t>
      </w:r>
    </w:p>
    <w:p w14:paraId="3EA2D046" w14:textId="77777777" w:rsidR="003F1396" w:rsidRPr="003F788A" w:rsidRDefault="003F1396" w:rsidP="003F1396">
      <w:pPr>
        <w:pStyle w:val="Bulleted"/>
      </w:pPr>
      <w:r w:rsidRPr="003F788A">
        <w:t>Best practice health services</w:t>
      </w:r>
    </w:p>
    <w:p w14:paraId="071CDB49" w14:textId="77777777" w:rsidR="003F1396" w:rsidRPr="003F788A" w:rsidRDefault="003F1396" w:rsidP="003F1396">
      <w:pPr>
        <w:pStyle w:val="Bulleted"/>
      </w:pPr>
      <w:r w:rsidRPr="003F788A">
        <w:t>Value for the individual patient</w:t>
      </w:r>
    </w:p>
    <w:p w14:paraId="7915286D" w14:textId="4D9E5DB6" w:rsidR="003F1396" w:rsidRPr="009D0EED" w:rsidRDefault="003F1396" w:rsidP="003F1396">
      <w:pPr>
        <w:pStyle w:val="Bulleted"/>
      </w:pPr>
      <w:r w:rsidRPr="003F788A">
        <w:t>Value</w:t>
      </w:r>
      <w:r w:rsidRPr="009D0EED">
        <w:t xml:space="preserve"> for the health system</w:t>
      </w:r>
    </w:p>
    <w:p w14:paraId="26447DA9" w14:textId="45DCDCF8" w:rsidR="003F1396" w:rsidRPr="009200D8" w:rsidRDefault="003F1396" w:rsidP="003F1396">
      <w:r w:rsidRPr="009200D8">
        <w:t xml:space="preserve">The Taskforce has endorsed a methodology whereby the necessary clinical review of MBS items is undertaken by Clinical Committees and Working Groups. The Taskforce has asked the Clinical Committees to undertake the following tasks: </w:t>
      </w:r>
    </w:p>
    <w:p w14:paraId="2C958873" w14:textId="77777777" w:rsidR="003F1396" w:rsidRPr="009200D8" w:rsidRDefault="003F1396" w:rsidP="003F1396">
      <w:pPr>
        <w:pStyle w:val="Numbering"/>
      </w:pPr>
      <w:r w:rsidRPr="009200D8">
        <w:t xml:space="preserve">Consider whether there are MBS items that are obsolete and should be removed from the MBS. </w:t>
      </w:r>
    </w:p>
    <w:p w14:paraId="7FA06543" w14:textId="77777777" w:rsidR="003F1396" w:rsidRPr="009200D8" w:rsidRDefault="003F1396" w:rsidP="003F1396">
      <w:pPr>
        <w:pStyle w:val="Numbering"/>
      </w:pPr>
      <w:r w:rsidRPr="009200D8">
        <w:t xml:space="preserve">Consider identified priority reviews of selected MBS services. </w:t>
      </w:r>
    </w:p>
    <w:p w14:paraId="4759B21A" w14:textId="77777777" w:rsidR="003F1396" w:rsidRPr="009200D8" w:rsidRDefault="003F1396" w:rsidP="003F1396">
      <w:pPr>
        <w:pStyle w:val="Numbering"/>
      </w:pPr>
      <w:r w:rsidRPr="009200D8">
        <w:t xml:space="preserve">Develop a program of work to consider the balance of MBS services within its remit and items assigned to the Committee. </w:t>
      </w:r>
    </w:p>
    <w:p w14:paraId="57126589" w14:textId="77777777" w:rsidR="003F1396" w:rsidRPr="009200D8" w:rsidRDefault="003F1396" w:rsidP="003F1396">
      <w:pPr>
        <w:pStyle w:val="Numbering"/>
      </w:pPr>
      <w:r w:rsidRPr="009200D8">
        <w:t xml:space="preserve">Advise the Taskforce on relevant general MBS issues identified by the Committee in the course of its deliberations. </w:t>
      </w:r>
    </w:p>
    <w:p w14:paraId="3F97BC00" w14:textId="77777777" w:rsidR="00CF522D" w:rsidRPr="009200D8" w:rsidRDefault="00CF522D" w:rsidP="00703DC7">
      <w:r w:rsidRPr="009200D8">
        <w:t xml:space="preserve">The recommendations from the Clinical Committees are released for stakeholder consultation. The Clinical Committees will consider feedback from stakeholders and then provide recommendations to the Taskforce in a Review Report. The Taskforce will consider the Review Report from Clinical Committees and stakeholder feedback before making recommendations to the Minister for consideration by Government. </w:t>
      </w:r>
    </w:p>
    <w:p w14:paraId="3B142B3C" w14:textId="0AEAD367" w:rsidR="00CF522D" w:rsidRPr="009200D8" w:rsidRDefault="00CF522D" w:rsidP="00703DC7">
      <w:r w:rsidRPr="009200D8">
        <w:t xml:space="preserve">The </w:t>
      </w:r>
      <w:r w:rsidR="000F7608" w:rsidRPr="009200D8">
        <w:t>Diagnostic Imaging</w:t>
      </w:r>
      <w:r w:rsidRPr="009200D8">
        <w:t xml:space="preserve"> Clinical Committee (the Committee) was established in 2015 to make recommendations to the MBS Review Taskforce on the review of MBS items in its area of responsibility, based on rapid evidence review and clinical expertise. The Taskforce asked the Committee to </w:t>
      </w:r>
      <w:r w:rsidR="00B378D5" w:rsidRPr="009200D8">
        <w:t>review bone densitometry</w:t>
      </w:r>
      <w:r w:rsidRPr="009200D8">
        <w:t xml:space="preserve"> as </w:t>
      </w:r>
      <w:r w:rsidR="00B378D5" w:rsidRPr="009200D8">
        <w:t>a priority</w:t>
      </w:r>
      <w:r w:rsidRPr="009200D8">
        <w:t xml:space="preserve"> and </w:t>
      </w:r>
      <w:r w:rsidR="00B378D5" w:rsidRPr="009200D8">
        <w:t>the Committee established a Bone Densitometry Working Group (the Working Group) to undertake this priority review</w:t>
      </w:r>
      <w:r w:rsidRPr="009200D8">
        <w:t>.</w:t>
      </w:r>
    </w:p>
    <w:p w14:paraId="51014A29" w14:textId="5C760A21" w:rsidR="00885208" w:rsidRPr="009200D8" w:rsidRDefault="00885208" w:rsidP="007E02E9">
      <w:pPr>
        <w:pStyle w:val="Heading2Report"/>
      </w:pPr>
      <w:bookmarkStart w:id="3" w:name="_Toc459707256"/>
      <w:r w:rsidRPr="005508A4">
        <w:t xml:space="preserve">Areas of responsibility of the </w:t>
      </w:r>
      <w:r w:rsidR="001553A5" w:rsidRPr="005508A4">
        <w:t>Bone Densitometry Working Group</w:t>
      </w:r>
      <w:bookmarkEnd w:id="3"/>
    </w:p>
    <w:p w14:paraId="20298BEC" w14:textId="7AAE4EFF" w:rsidR="00A37A5B" w:rsidRDefault="006408F4" w:rsidP="00A01431">
      <w:pPr>
        <w:rPr>
          <w:lang w:val="en-US"/>
        </w:rPr>
      </w:pPr>
      <w:r w:rsidRPr="009200D8">
        <w:rPr>
          <w:lang w:val="en-US"/>
        </w:rPr>
        <w:t xml:space="preserve">The following </w:t>
      </w:r>
      <w:r w:rsidR="001553A5" w:rsidRPr="009200D8">
        <w:rPr>
          <w:lang w:val="en-US"/>
        </w:rPr>
        <w:t>seven</w:t>
      </w:r>
      <w:r w:rsidRPr="009200D8">
        <w:rPr>
          <w:lang w:val="en-US"/>
        </w:rPr>
        <w:t xml:space="preserve"> MBS items were identified for review by the </w:t>
      </w:r>
      <w:r w:rsidR="001553A5" w:rsidRPr="009200D8">
        <w:rPr>
          <w:lang w:val="en-US"/>
        </w:rPr>
        <w:t>Bone Densitometry Working Group</w:t>
      </w:r>
      <w:r w:rsidRPr="009200D8">
        <w:rPr>
          <w:lang w:val="en-US"/>
        </w:rPr>
        <w:t xml:space="preserve">. A full list of items and descriptions are listed in Appendix </w:t>
      </w:r>
      <w:r w:rsidR="00F5628B">
        <w:rPr>
          <w:lang w:val="en-US"/>
        </w:rPr>
        <w:t>B</w:t>
      </w:r>
      <w:r w:rsidRPr="009200D8">
        <w:rPr>
          <w:lang w:val="en-US"/>
        </w:rPr>
        <w:t>.</w:t>
      </w:r>
      <w:r w:rsidR="00A37A5B">
        <w:rPr>
          <w:lang w:val="en-US"/>
        </w:rPr>
        <w:br w:type="page"/>
      </w:r>
    </w:p>
    <w:p w14:paraId="094DFC9B" w14:textId="77777777" w:rsidR="006408F4" w:rsidRPr="009D0EED" w:rsidRDefault="001553A5" w:rsidP="003F788A">
      <w:pPr>
        <w:spacing w:before="120" w:after="120"/>
        <w:rPr>
          <w:rFonts w:cs="Arial"/>
          <w:b/>
          <w:lang w:val="en-US" w:eastAsia="en-US"/>
        </w:rPr>
      </w:pPr>
      <w:r w:rsidRPr="00360A3F">
        <w:rPr>
          <w:rFonts w:cs="Arial"/>
          <w:b/>
          <w:lang w:val="en-US" w:eastAsia="en-US"/>
        </w:rPr>
        <w:lastRenderedPageBreak/>
        <w:t>Bone Densitometry</w:t>
      </w:r>
    </w:p>
    <w:p w14:paraId="0FE08447" w14:textId="12F274BB" w:rsidR="008D7374" w:rsidRDefault="008D7374" w:rsidP="003F788A">
      <w:pPr>
        <w:spacing w:before="120" w:after="120"/>
        <w:rPr>
          <w:rFonts w:cs="Arial"/>
          <w:lang w:val="en-US" w:eastAsia="en-US"/>
        </w:rPr>
      </w:pPr>
      <w:r>
        <w:rPr>
          <w:rFonts w:cs="Arial"/>
          <w:lang w:val="en-US" w:eastAsia="en-US"/>
        </w:rPr>
        <w:t>Category 2 — Diagnostic procedures a</w:t>
      </w:r>
      <w:r w:rsidR="00FC3D55">
        <w:rPr>
          <w:rFonts w:cs="Arial"/>
          <w:lang w:val="en-US" w:eastAsia="en-US"/>
        </w:rPr>
        <w:t>n</w:t>
      </w:r>
      <w:r>
        <w:rPr>
          <w:rFonts w:cs="Arial"/>
          <w:lang w:val="en-US" w:eastAsia="en-US"/>
        </w:rPr>
        <w:t>d investigations</w:t>
      </w:r>
    </w:p>
    <w:p w14:paraId="333F5396" w14:textId="77777777" w:rsidR="008D7374" w:rsidRDefault="008D7374" w:rsidP="003F788A">
      <w:pPr>
        <w:spacing w:before="120" w:after="120"/>
        <w:rPr>
          <w:rFonts w:cs="Arial"/>
          <w:lang w:val="en-US" w:eastAsia="en-US"/>
        </w:rPr>
      </w:pPr>
      <w:r>
        <w:rPr>
          <w:rFonts w:cs="Arial"/>
          <w:lang w:val="en-US" w:eastAsia="en-US"/>
        </w:rPr>
        <w:t>Group — Diagnostic, other</w:t>
      </w:r>
    </w:p>
    <w:p w14:paraId="1F767963" w14:textId="7FE3320F" w:rsidR="006408F4" w:rsidRPr="009200D8" w:rsidRDefault="00FC3D55" w:rsidP="003F788A">
      <w:pPr>
        <w:spacing w:before="120" w:after="120"/>
        <w:rPr>
          <w:rFonts w:cs="Arial"/>
          <w:lang w:val="en-US" w:eastAsia="en-US"/>
        </w:rPr>
      </w:pPr>
      <w:r>
        <w:rPr>
          <w:rFonts w:cs="Arial"/>
          <w:lang w:val="en-US" w:eastAsia="en-US"/>
        </w:rPr>
        <w:t xml:space="preserve">Items — </w:t>
      </w:r>
      <w:r w:rsidR="001553A5" w:rsidRPr="009200D8">
        <w:rPr>
          <w:rFonts w:cs="Arial"/>
          <w:lang w:val="en-US" w:eastAsia="en-US"/>
        </w:rPr>
        <w:t>12306</w:t>
      </w:r>
      <w:r w:rsidR="008D7374">
        <w:rPr>
          <w:rFonts w:cs="Arial"/>
          <w:lang w:val="en-US" w:eastAsia="en-US"/>
        </w:rPr>
        <w:t>, 12309, 12312, 12315, 12318, 12321, 1232</w:t>
      </w:r>
      <w:r w:rsidR="001553A5" w:rsidRPr="009200D8">
        <w:rPr>
          <w:rFonts w:cs="Arial"/>
          <w:lang w:val="en-US" w:eastAsia="en-US"/>
        </w:rPr>
        <w:t>3</w:t>
      </w:r>
    </w:p>
    <w:p w14:paraId="1F1B80EA" w14:textId="746665FF" w:rsidR="00C72869" w:rsidRPr="00EA0A9F" w:rsidRDefault="004963B8" w:rsidP="00EA0A9F">
      <w:pPr>
        <w:pStyle w:val="Heading2Report"/>
      </w:pPr>
      <w:bookmarkStart w:id="4" w:name="_Toc459707257"/>
      <w:r w:rsidRPr="00EA0A9F">
        <w:t>Key recommendations</w:t>
      </w:r>
      <w:bookmarkEnd w:id="4"/>
    </w:p>
    <w:p w14:paraId="7D2D6274" w14:textId="39443B8B" w:rsidR="001F1135" w:rsidRPr="009D0EED" w:rsidRDefault="000959B5" w:rsidP="00ED0D10">
      <w:pPr>
        <w:pStyle w:val="Heading3"/>
        <w:ind w:left="2268" w:hanging="2268"/>
      </w:pPr>
      <w:bookmarkStart w:id="5" w:name="_Toc442357858"/>
      <w:bookmarkStart w:id="6" w:name="_Toc443642245"/>
      <w:r>
        <w:t>Recommendation 1:</w:t>
      </w:r>
      <w:r w:rsidR="00ED0D10">
        <w:t xml:space="preserve"> </w:t>
      </w:r>
      <w:r w:rsidR="00ED0D10">
        <w:tab/>
        <w:t>New items for repeat testing with i</w:t>
      </w:r>
      <w:r w:rsidR="00C221B9">
        <w:t xml:space="preserve">ntervals </w:t>
      </w:r>
      <w:bookmarkEnd w:id="5"/>
      <w:bookmarkEnd w:id="6"/>
    </w:p>
    <w:p w14:paraId="3FA0B6D2" w14:textId="2575F4FC" w:rsidR="00C1769B" w:rsidRDefault="00C1769B" w:rsidP="00703DC7">
      <w:bookmarkStart w:id="7" w:name="_Toc434329378"/>
      <w:r>
        <w:rPr>
          <w:lang w:val="en-US"/>
        </w:rPr>
        <w:t xml:space="preserve">This recommendation refers to item number </w:t>
      </w:r>
      <w:r w:rsidRPr="00ED0D10">
        <w:t>12323</w:t>
      </w:r>
      <w:r>
        <w:t>.</w:t>
      </w:r>
    </w:p>
    <w:p w14:paraId="5126E6FD" w14:textId="0403D5F3" w:rsidR="00635B53" w:rsidRDefault="001F1135" w:rsidP="00703DC7">
      <w:pPr>
        <w:rPr>
          <w:szCs w:val="18"/>
        </w:rPr>
      </w:pPr>
      <w:r w:rsidRPr="009200D8">
        <w:t xml:space="preserve">The Working Group recommends the introduction of </w:t>
      </w:r>
      <w:r w:rsidR="00C221B9">
        <w:t>intervals for b</w:t>
      </w:r>
      <w:r w:rsidRPr="009200D8">
        <w:t xml:space="preserve">one </w:t>
      </w:r>
      <w:r w:rsidR="00C221B9">
        <w:t>d</w:t>
      </w:r>
      <w:r w:rsidRPr="009200D8">
        <w:t xml:space="preserve">ensitometry (currently MBS item 12323) </w:t>
      </w:r>
      <w:r w:rsidRPr="009200D8">
        <w:rPr>
          <w:szCs w:val="18"/>
        </w:rPr>
        <w:t>for the measurement of bone mineral density, for a person aged 70 years or over</w:t>
      </w:r>
      <w:r w:rsidR="00682323">
        <w:rPr>
          <w:szCs w:val="18"/>
        </w:rPr>
        <w:t xml:space="preserve">. This would involve the introduction of </w:t>
      </w:r>
      <w:r w:rsidR="0024559E">
        <w:rPr>
          <w:szCs w:val="18"/>
        </w:rPr>
        <w:t xml:space="preserve">two </w:t>
      </w:r>
      <w:r w:rsidR="00682323">
        <w:rPr>
          <w:szCs w:val="18"/>
        </w:rPr>
        <w:t>new items</w:t>
      </w:r>
      <w:bookmarkStart w:id="8" w:name="_Toc442357859"/>
      <w:bookmarkStart w:id="9" w:name="_Toc443642246"/>
      <w:r w:rsidR="0024559E">
        <w:rPr>
          <w:szCs w:val="18"/>
        </w:rPr>
        <w:t xml:space="preserve"> with defined intervals as follows:</w:t>
      </w:r>
    </w:p>
    <w:p w14:paraId="09CE0035" w14:textId="71A0194E" w:rsidR="0024559E" w:rsidRDefault="0024559E" w:rsidP="0024559E">
      <w:pPr>
        <w:pStyle w:val="Bulleted"/>
      </w:pPr>
      <w:r>
        <w:t>Normal or mild osteopenia (down to t score of -1.5)</w:t>
      </w:r>
      <w:r>
        <w:tab/>
      </w:r>
      <w:r>
        <w:tab/>
        <w:t>1 scan every 5 years</w:t>
      </w:r>
    </w:p>
    <w:p w14:paraId="4CB854D8" w14:textId="25F7C9A9" w:rsidR="0024559E" w:rsidRPr="00682323" w:rsidRDefault="0024559E" w:rsidP="0024559E">
      <w:pPr>
        <w:pStyle w:val="Bulleted"/>
      </w:pPr>
      <w:r>
        <w:t xml:space="preserve">Moderate to marked osteopenia (T score of -1.5 to -2.5) </w:t>
      </w:r>
      <w:r>
        <w:tab/>
        <w:t>1 scan every 2 years</w:t>
      </w:r>
    </w:p>
    <w:p w14:paraId="652A52D7" w14:textId="1467CD75" w:rsidR="00ED0D10" w:rsidRPr="00ED0D10" w:rsidRDefault="00ED0D10" w:rsidP="00ED0D10">
      <w:pPr>
        <w:pStyle w:val="Heading3"/>
        <w:ind w:left="2160" w:hanging="2160"/>
        <w:rPr>
          <w:lang w:val="en-AU"/>
        </w:rPr>
      </w:pPr>
      <w:r>
        <w:t>Recommendation 2:</w:t>
      </w:r>
      <w:r>
        <w:tab/>
      </w:r>
      <w:r w:rsidRPr="00ED0D10">
        <w:rPr>
          <w:lang w:val="en-AU"/>
        </w:rPr>
        <w:t xml:space="preserve">Proposed item descriptor DEXA </w:t>
      </w:r>
    </w:p>
    <w:p w14:paraId="4EF06AB8" w14:textId="5EF5BD30" w:rsidR="00C1769B" w:rsidRDefault="00C1769B" w:rsidP="00703DC7">
      <w:bookmarkStart w:id="10" w:name="_Toc434329379"/>
      <w:bookmarkEnd w:id="7"/>
      <w:bookmarkEnd w:id="8"/>
      <w:bookmarkEnd w:id="9"/>
      <w:r>
        <w:rPr>
          <w:lang w:val="en-US"/>
        </w:rPr>
        <w:t xml:space="preserve">This recommendation refers to item numbers </w:t>
      </w:r>
      <w:r w:rsidRPr="00ED0D10">
        <w:t>12306, 12312, 12315, 12321 and 12323</w:t>
      </w:r>
      <w:r>
        <w:t>.</w:t>
      </w:r>
    </w:p>
    <w:p w14:paraId="0F0782E0" w14:textId="1BE354FC" w:rsidR="001F1135" w:rsidRPr="009200D8" w:rsidRDefault="001F1135" w:rsidP="00703DC7">
      <w:r w:rsidRPr="009200D8">
        <w:t>The Working Group recommends that, as has been usual historical practice, a radiation licence,</w:t>
      </w:r>
      <w:r w:rsidR="0024559E">
        <w:t xml:space="preserve"> from the relevant State or Territory jurisdiction is required </w:t>
      </w:r>
      <w:r w:rsidRPr="009200D8">
        <w:t xml:space="preserve">to perform a </w:t>
      </w:r>
      <w:r w:rsidR="007D15E7" w:rsidRPr="00984BFF">
        <w:t>d</w:t>
      </w:r>
      <w:r w:rsidR="007D15E7">
        <w:t>ual-e</w:t>
      </w:r>
      <w:r w:rsidR="007D15E7" w:rsidRPr="00984BFF">
        <w:t>nergy x-ray absorptiometry</w:t>
      </w:r>
      <w:r w:rsidR="007D15E7" w:rsidRPr="009200D8">
        <w:t xml:space="preserve"> </w:t>
      </w:r>
      <w:r w:rsidR="007D15E7">
        <w:t>(</w:t>
      </w:r>
      <w:r w:rsidRPr="009200D8">
        <w:t>DEXA</w:t>
      </w:r>
      <w:r w:rsidR="007D15E7">
        <w:t>)</w:t>
      </w:r>
      <w:r w:rsidRPr="009200D8">
        <w:t xml:space="preserve"> scan</w:t>
      </w:r>
      <w:r w:rsidR="00682323">
        <w:t>,</w:t>
      </w:r>
      <w:r w:rsidRPr="009200D8">
        <w:t xml:space="preserve"> under the supervision of an appropriate specialist or consultant physician.</w:t>
      </w:r>
    </w:p>
    <w:p w14:paraId="4120B794" w14:textId="43896907" w:rsidR="00ED0D10" w:rsidRDefault="00ED0D10" w:rsidP="00ED0D10">
      <w:pPr>
        <w:pStyle w:val="Heading3"/>
        <w:ind w:left="2160" w:hanging="2160"/>
      </w:pPr>
      <w:bookmarkStart w:id="11" w:name="_Toc442357860"/>
      <w:bookmarkStart w:id="12" w:name="_Toc443642247"/>
      <w:r>
        <w:t>Recommendation 3:</w:t>
      </w:r>
      <w:r>
        <w:tab/>
      </w:r>
      <w:r w:rsidRPr="009D0EED">
        <w:t xml:space="preserve">Proposed item descriptor QCT </w:t>
      </w:r>
    </w:p>
    <w:p w14:paraId="6D41AE02" w14:textId="3880E2CB" w:rsidR="00C1769B" w:rsidRPr="00C1769B" w:rsidRDefault="00C1769B" w:rsidP="00C1769B">
      <w:pPr>
        <w:rPr>
          <w:lang w:val="en-US" w:eastAsia="en-US"/>
        </w:rPr>
      </w:pPr>
      <w:r>
        <w:rPr>
          <w:lang w:val="en-US"/>
        </w:rPr>
        <w:t xml:space="preserve">This recommendation refers to item numbers </w:t>
      </w:r>
      <w:r w:rsidRPr="009D0EED">
        <w:t xml:space="preserve">12309 and </w:t>
      </w:r>
      <w:r>
        <w:t>12318.</w:t>
      </w:r>
    </w:p>
    <w:p w14:paraId="1F2F72F2" w14:textId="23C2C6DF" w:rsidR="00ED0D10" w:rsidRPr="009200D8" w:rsidRDefault="00ED0D10" w:rsidP="00ED0D10">
      <w:pPr>
        <w:spacing w:before="120" w:after="120"/>
        <w:rPr>
          <w:rFonts w:cs="Arial"/>
          <w:szCs w:val="22"/>
        </w:rPr>
      </w:pPr>
      <w:r w:rsidRPr="009200D8">
        <w:rPr>
          <w:rFonts w:cs="Arial"/>
          <w:szCs w:val="22"/>
        </w:rPr>
        <w:t xml:space="preserve">The Working Group </w:t>
      </w:r>
      <w:r>
        <w:rPr>
          <w:rFonts w:cs="Arial"/>
          <w:szCs w:val="22"/>
        </w:rPr>
        <w:t xml:space="preserve">recommends </w:t>
      </w:r>
      <w:r w:rsidRPr="009200D8">
        <w:rPr>
          <w:rFonts w:cs="Arial"/>
          <w:szCs w:val="22"/>
        </w:rPr>
        <w:t>medical radiation practitioners should perform QCT scans under the supervision of an appropriate specialist or consultant physician, which could be on or off site, but would include the ability to provide contemporary/real time review of images as they were produced to ensure adequacy.</w:t>
      </w:r>
    </w:p>
    <w:p w14:paraId="58707E0C" w14:textId="3EFC9C6C" w:rsidR="00ED0D10" w:rsidRPr="009D40D0" w:rsidRDefault="00ED0D10" w:rsidP="00ED0D10">
      <w:pPr>
        <w:pStyle w:val="Heading3"/>
        <w:ind w:left="2160" w:hanging="2160"/>
      </w:pPr>
      <w:r>
        <w:t>Recommendation 4:</w:t>
      </w:r>
      <w:r>
        <w:tab/>
        <w:t>Interpretation and report provided by a specialist or consultant physician</w:t>
      </w:r>
      <w:r w:rsidR="007E4413">
        <w:t xml:space="preserve"> </w:t>
      </w:r>
    </w:p>
    <w:p w14:paraId="098EFEDF" w14:textId="75906196" w:rsidR="00C1769B" w:rsidRDefault="00C1769B" w:rsidP="00ED0D10">
      <w:pPr>
        <w:spacing w:before="120" w:after="120"/>
        <w:rPr>
          <w:rFonts w:cs="Arial"/>
          <w:szCs w:val="22"/>
        </w:rPr>
      </w:pPr>
      <w:r>
        <w:rPr>
          <w:lang w:val="en-US"/>
        </w:rPr>
        <w:t xml:space="preserve">This recommendation refers to item numbers </w:t>
      </w:r>
      <w:r w:rsidRPr="00ED0D10">
        <w:t xml:space="preserve">12306, </w:t>
      </w:r>
      <w:r>
        <w:t xml:space="preserve">12309, </w:t>
      </w:r>
      <w:r w:rsidRPr="00ED0D10">
        <w:t xml:space="preserve">12312, 12315, </w:t>
      </w:r>
      <w:r>
        <w:t xml:space="preserve">12318, </w:t>
      </w:r>
      <w:r w:rsidRPr="00ED0D10">
        <w:t>12321 and 12323</w:t>
      </w:r>
      <w:r>
        <w:t>.</w:t>
      </w:r>
    </w:p>
    <w:p w14:paraId="1ED90A5F" w14:textId="1127DEF0" w:rsidR="00ED0D10" w:rsidRDefault="007E4413" w:rsidP="00ED0D10">
      <w:pPr>
        <w:spacing w:before="120" w:after="120"/>
      </w:pPr>
      <w:r>
        <w:rPr>
          <w:rFonts w:cs="Arial"/>
          <w:szCs w:val="22"/>
        </w:rPr>
        <w:t>The Working Group recommends</w:t>
      </w:r>
      <w:r w:rsidR="00ED0D10" w:rsidRPr="009200D8">
        <w:rPr>
          <w:rFonts w:cs="Arial"/>
          <w:szCs w:val="22"/>
        </w:rPr>
        <w:t xml:space="preserve"> the interpretation and report </w:t>
      </w:r>
      <w:r>
        <w:t>for b</w:t>
      </w:r>
      <w:r w:rsidRPr="009200D8">
        <w:t xml:space="preserve">one </w:t>
      </w:r>
      <w:r>
        <w:t>d</w:t>
      </w:r>
      <w:r w:rsidRPr="009200D8">
        <w:t xml:space="preserve">ensitometry </w:t>
      </w:r>
      <w:r>
        <w:t xml:space="preserve">services </w:t>
      </w:r>
      <w:r w:rsidR="00ED0D10" w:rsidRPr="009200D8">
        <w:rPr>
          <w:rFonts w:cs="Arial"/>
          <w:szCs w:val="22"/>
        </w:rPr>
        <w:t>must be provided by a spec</w:t>
      </w:r>
      <w:r>
        <w:rPr>
          <w:rFonts w:cs="Arial"/>
          <w:szCs w:val="22"/>
        </w:rPr>
        <w:t>ialist or consultant physician.</w:t>
      </w:r>
    </w:p>
    <w:p w14:paraId="2E347350" w14:textId="02DAF769" w:rsidR="001F1135" w:rsidRPr="009D0EED" w:rsidRDefault="00ED0D10" w:rsidP="00FC3D55">
      <w:pPr>
        <w:pStyle w:val="Heading3"/>
      </w:pPr>
      <w:r>
        <w:t>Recommendation 5:</w:t>
      </w:r>
      <w:r>
        <w:tab/>
      </w:r>
      <w:r w:rsidR="00083CF7">
        <w:t>Site m</w:t>
      </w:r>
      <w:r w:rsidR="001F1135" w:rsidRPr="009D0EED">
        <w:t>easurements</w:t>
      </w:r>
      <w:bookmarkEnd w:id="11"/>
      <w:bookmarkEnd w:id="12"/>
      <w:r w:rsidR="00635B53" w:rsidRPr="009D0EED">
        <w:t xml:space="preserve"> </w:t>
      </w:r>
      <w:r w:rsidR="00AA7F29">
        <w:t>for QCT and DEXA items</w:t>
      </w:r>
    </w:p>
    <w:bookmarkEnd w:id="10"/>
    <w:p w14:paraId="6A3B81DE" w14:textId="731C67B0" w:rsidR="000959B5" w:rsidRDefault="00AA7F29" w:rsidP="00703DC7">
      <w:pPr>
        <w:rPr>
          <w:lang w:val="en-US"/>
        </w:rPr>
      </w:pPr>
      <w:r>
        <w:rPr>
          <w:lang w:val="en-US"/>
        </w:rPr>
        <w:t xml:space="preserve">The Working Group recommends </w:t>
      </w:r>
      <w:r w:rsidRPr="00ED0D10">
        <w:rPr>
          <w:lang w:val="en-US"/>
        </w:rPr>
        <w:t>the Department undertake further work to determine the most appropriate way to include the measurement of spine and hip in the item descriptor for QCT and DEXA items.</w:t>
      </w:r>
    </w:p>
    <w:p w14:paraId="6203ADDB" w14:textId="77777777" w:rsidR="00EE5228" w:rsidRDefault="00EE5228" w:rsidP="00EE5228">
      <w:pPr>
        <w:pStyle w:val="Heading2Report"/>
      </w:pPr>
      <w:bookmarkStart w:id="13" w:name="_Toc459707258"/>
      <w:r>
        <w:lastRenderedPageBreak/>
        <w:t>Consumer engagement</w:t>
      </w:r>
      <w:bookmarkEnd w:id="13"/>
    </w:p>
    <w:p w14:paraId="423191BC" w14:textId="2233729E" w:rsidR="00EE5228" w:rsidRDefault="00EE5228" w:rsidP="00EE5228">
      <w:r>
        <w:t>The</w:t>
      </w:r>
      <w:r>
        <w:rPr>
          <w:b/>
          <w:bCs/>
        </w:rPr>
        <w:t xml:space="preserve"> </w:t>
      </w:r>
      <w:r>
        <w:t>Working Group did not have a consumer representative. The Working Group recommendations have been summarised for consumers in Appendix A. The consumer items table describes the medical service, the recommendation of the clinical experts and why the recommendation has been made.</w:t>
      </w:r>
    </w:p>
    <w:p w14:paraId="02B0B7B6" w14:textId="1CFAA013" w:rsidR="00EE5228" w:rsidRDefault="00EE5228" w:rsidP="00EE5228">
      <w:r>
        <w:t>Importantly however, the Working Group and the Committee believe it is important to find out from consumers if they will be helped or disadvantaged by the recommendations – and how, and why. Following the public consultation the Committee will assess the advice from consumers and decide whether any changes are needed to the recommendations. The Committee</w:t>
      </w:r>
      <w:r w:rsidR="00E76E64">
        <w:t xml:space="preserve"> </w:t>
      </w:r>
      <w:r>
        <w:t>will then send the recommendations to the MBS Taskforce. The Taskforce will consider the recommendations as well as the information provided by consumers in order to make sure that all the important concerns are addressed. The Taskforce will then provide the recommendations</w:t>
      </w:r>
      <w:r w:rsidR="007E4413">
        <w:t xml:space="preserve"> to government.</w:t>
      </w:r>
    </w:p>
    <w:p w14:paraId="50846F7F" w14:textId="77777777" w:rsidR="00EE5228" w:rsidRPr="00DA7BF2" w:rsidRDefault="00EE5228" w:rsidP="00EE5228">
      <w:pPr>
        <w:spacing w:before="120" w:after="120"/>
        <w:rPr>
          <w:rFonts w:cs="Arial"/>
        </w:rPr>
      </w:pPr>
      <w:r>
        <w:rPr>
          <w:rFonts w:cs="Arial"/>
        </w:rPr>
        <w:t>The r</w:t>
      </w:r>
      <w:r w:rsidRPr="00DA7BF2">
        <w:rPr>
          <w:rFonts w:cs="Arial"/>
        </w:rPr>
        <w:t>eview</w:t>
      </w:r>
      <w:r>
        <w:rPr>
          <w:rFonts w:cs="Arial"/>
        </w:rPr>
        <w:t xml:space="preserve"> of bone densitometry</w:t>
      </w:r>
      <w:r w:rsidRPr="00DA7BF2">
        <w:rPr>
          <w:rFonts w:cs="Arial"/>
        </w:rPr>
        <w:t xml:space="preserve"> identified a number of issues:</w:t>
      </w:r>
    </w:p>
    <w:p w14:paraId="03B645B1" w14:textId="50FEEDF2" w:rsidR="00EE5228" w:rsidRDefault="00EE5228" w:rsidP="00EE5228">
      <w:pPr>
        <w:pStyle w:val="Bulleted"/>
      </w:pPr>
      <w:r>
        <w:t>C</w:t>
      </w:r>
      <w:r w:rsidRPr="00D2036F">
        <w:t>hanges in bone loss</w:t>
      </w:r>
      <w:r>
        <w:t xml:space="preserve"> cannot be reliably measured by y</w:t>
      </w:r>
      <w:r w:rsidR="007E4413">
        <w:t>early testing</w:t>
      </w:r>
    </w:p>
    <w:p w14:paraId="029C46A9" w14:textId="41AD341D" w:rsidR="00EE5228" w:rsidRDefault="00EE5228" w:rsidP="00EE5228">
      <w:pPr>
        <w:pStyle w:val="Bulleted"/>
      </w:pPr>
      <w:r>
        <w:t>Testing should only be performed by appropriately qualified technicians</w:t>
      </w:r>
    </w:p>
    <w:p w14:paraId="404F6D14" w14:textId="3C10DC90" w:rsidR="00EE5228" w:rsidRDefault="00EE5228" w:rsidP="00EE5228">
      <w:pPr>
        <w:pStyle w:val="Bulleted"/>
      </w:pPr>
      <w:r>
        <w:t>Testing on specific parts of the body, hip and spine, give the most accurate results</w:t>
      </w:r>
    </w:p>
    <w:p w14:paraId="0F9D11B7" w14:textId="3F390C0F" w:rsidR="00EE5228" w:rsidRPr="00EE5228" w:rsidRDefault="00EE5228" w:rsidP="00EE5228">
      <w:pPr>
        <w:spacing w:before="120" w:after="120"/>
        <w:rPr>
          <w:rFonts w:cs="Arial"/>
        </w:rPr>
      </w:pPr>
      <w:r w:rsidRPr="00DA7BF2">
        <w:rPr>
          <w:rFonts w:cs="Arial"/>
        </w:rPr>
        <w:t>The propos</w:t>
      </w:r>
      <w:r>
        <w:rPr>
          <w:rFonts w:cs="Arial"/>
        </w:rPr>
        <w:t>ed changes to the MBS will improve the accuracy and quality of care being provided to patients</w:t>
      </w:r>
      <w:r w:rsidRPr="00DA7BF2">
        <w:rPr>
          <w:rFonts w:cs="Arial"/>
        </w:rPr>
        <w:t>.</w:t>
      </w:r>
    </w:p>
    <w:p w14:paraId="78B54086" w14:textId="77777777" w:rsidR="000959B5" w:rsidRPr="009B668D" w:rsidRDefault="000959B5" w:rsidP="009B668D">
      <w:pPr>
        <w:rPr>
          <w:rFonts w:eastAsiaTheme="minorHAnsi"/>
        </w:rPr>
      </w:pPr>
      <w:r w:rsidRPr="009B668D">
        <w:br w:type="page"/>
      </w:r>
    </w:p>
    <w:p w14:paraId="6EFD64E0" w14:textId="57CAEA12" w:rsidR="009837DB" w:rsidRPr="007E02E9" w:rsidRDefault="00817A04" w:rsidP="007E02E9">
      <w:pPr>
        <w:pStyle w:val="Heading1"/>
      </w:pPr>
      <w:bookmarkStart w:id="14" w:name="_Toc459707259"/>
      <w:r w:rsidRPr="007E02E9">
        <w:lastRenderedPageBreak/>
        <w:t>About the Medicare Benefits Schedule (MBS) Review</w:t>
      </w:r>
      <w:bookmarkEnd w:id="14"/>
      <w:r w:rsidRPr="007E02E9">
        <w:t xml:space="preserve"> </w:t>
      </w:r>
    </w:p>
    <w:p w14:paraId="0A13C6A3" w14:textId="5BEA51D4" w:rsidR="008A05B8" w:rsidRPr="007E02E9" w:rsidRDefault="00463B1C" w:rsidP="002A2507">
      <w:pPr>
        <w:pStyle w:val="Heading2Report"/>
      </w:pPr>
      <w:bookmarkStart w:id="15" w:name="_Toc459707260"/>
      <w:r w:rsidRPr="007E02E9">
        <w:t>Medicare and the MBS</w:t>
      </w:r>
      <w:bookmarkEnd w:id="15"/>
    </w:p>
    <w:p w14:paraId="33B80600" w14:textId="77777777" w:rsidR="006B0D15" w:rsidRPr="009200D8" w:rsidRDefault="006B0D15" w:rsidP="007E02E9">
      <w:pPr>
        <w:pStyle w:val="Heading3"/>
      </w:pPr>
      <w:r w:rsidRPr="009200D8">
        <w:t>What is Medicare?</w:t>
      </w:r>
    </w:p>
    <w:p w14:paraId="35CAFCFA" w14:textId="77777777" w:rsidR="006B0D15" w:rsidRPr="009D0EED" w:rsidRDefault="006B0D15" w:rsidP="003F788A">
      <w:pPr>
        <w:spacing w:before="120" w:after="120"/>
        <w:ind w:right="-330"/>
        <w:rPr>
          <w:rFonts w:cs="Arial"/>
          <w:lang w:val="en-US" w:eastAsia="en-US"/>
        </w:rPr>
      </w:pPr>
      <w:r w:rsidRPr="00253F2C">
        <w:rPr>
          <w:rFonts w:cs="Arial"/>
          <w:lang w:val="en-US" w:eastAsia="en-US"/>
        </w:rPr>
        <w:t>Medicare is Australia’s universal health scheme</w:t>
      </w:r>
      <w:r w:rsidR="00A13A3C" w:rsidRPr="009D0EED">
        <w:rPr>
          <w:rFonts w:cs="Arial"/>
          <w:lang w:val="en-US" w:eastAsia="en-US"/>
        </w:rPr>
        <w:t xml:space="preserve"> which</w:t>
      </w:r>
      <w:r w:rsidRPr="009D0EED">
        <w:rPr>
          <w:rFonts w:cs="Arial"/>
          <w:lang w:val="en-US" w:eastAsia="en-US"/>
        </w:rPr>
        <w:t xml:space="preserve"> </w:t>
      </w:r>
      <w:r w:rsidR="00A13A3C" w:rsidRPr="009D0EED">
        <w:rPr>
          <w:rFonts w:cs="Arial"/>
          <w:lang w:val="en-US" w:eastAsia="en-US"/>
        </w:rPr>
        <w:t>enables</w:t>
      </w:r>
      <w:r w:rsidRPr="009D0EED">
        <w:rPr>
          <w:rFonts w:cs="Arial"/>
          <w:lang w:val="en-US" w:eastAsia="en-US"/>
        </w:rPr>
        <w:t xml:space="preserve"> all citizens (and some overseas visitors) </w:t>
      </w:r>
      <w:r w:rsidR="00F971B5" w:rsidRPr="009D0EED">
        <w:rPr>
          <w:rFonts w:cs="Arial"/>
          <w:lang w:val="en-US" w:eastAsia="en-US"/>
        </w:rPr>
        <w:t xml:space="preserve">to </w:t>
      </w:r>
      <w:r w:rsidR="00AE0B4C" w:rsidRPr="009D0EED">
        <w:rPr>
          <w:rFonts w:cs="Arial"/>
          <w:lang w:val="en-US" w:eastAsia="en-US"/>
        </w:rPr>
        <w:t>have</w:t>
      </w:r>
      <w:r w:rsidRPr="009D0EED">
        <w:rPr>
          <w:rFonts w:cs="Arial"/>
          <w:lang w:val="en-US" w:eastAsia="en-US"/>
        </w:rPr>
        <w:t xml:space="preserve"> access to a wide range of health services </w:t>
      </w:r>
      <w:r w:rsidR="00F971B5" w:rsidRPr="009D0EED">
        <w:rPr>
          <w:rFonts w:cs="Arial"/>
          <w:lang w:val="en-US" w:eastAsia="en-US"/>
        </w:rPr>
        <w:t xml:space="preserve">and medicines </w:t>
      </w:r>
      <w:r w:rsidRPr="009D0EED">
        <w:rPr>
          <w:rFonts w:cs="Arial"/>
          <w:lang w:val="en-US" w:eastAsia="en-US"/>
        </w:rPr>
        <w:t xml:space="preserve">at little or no cost. </w:t>
      </w:r>
    </w:p>
    <w:p w14:paraId="4757C788" w14:textId="199BA53F" w:rsidR="006B0D15" w:rsidRPr="009D0EED" w:rsidRDefault="00A13A3C" w:rsidP="003F788A">
      <w:pPr>
        <w:spacing w:before="120" w:after="120"/>
        <w:ind w:right="-330"/>
        <w:rPr>
          <w:rFonts w:eastAsiaTheme="minorHAnsi" w:cs="Arial"/>
          <w:b/>
          <w:lang w:eastAsia="en-US"/>
        </w:rPr>
      </w:pPr>
      <w:r w:rsidRPr="009D0EED">
        <w:rPr>
          <w:rFonts w:cs="Arial"/>
        </w:rPr>
        <w:t>Introduced in 1984,</w:t>
      </w:r>
      <w:r w:rsidR="00536EB8" w:rsidRPr="009D0EED">
        <w:rPr>
          <w:rFonts w:cs="Arial"/>
        </w:rPr>
        <w:t xml:space="preserve"> </w:t>
      </w:r>
      <w:r w:rsidR="006B0D15" w:rsidRPr="009D0EED">
        <w:rPr>
          <w:rFonts w:cs="Arial"/>
        </w:rPr>
        <w:t xml:space="preserve">Medicare </w:t>
      </w:r>
      <w:r w:rsidRPr="009D0EED">
        <w:rPr>
          <w:rFonts w:cs="Arial"/>
        </w:rPr>
        <w:t>has three components</w:t>
      </w:r>
      <w:r w:rsidR="0076332F">
        <w:rPr>
          <w:rFonts w:cs="Arial"/>
        </w:rPr>
        <w:t>,</w:t>
      </w:r>
      <w:r w:rsidRPr="009D0EED">
        <w:rPr>
          <w:rFonts w:cs="Arial"/>
        </w:rPr>
        <w:t xml:space="preserve"> being free public hospital services for public patients, subsidised drugs covered by the Pharmaceutical Benefits Scheme</w:t>
      </w:r>
      <w:r w:rsidR="0076332F">
        <w:rPr>
          <w:rFonts w:cs="Arial"/>
        </w:rPr>
        <w:t>,</w:t>
      </w:r>
      <w:r w:rsidRPr="009D0EED">
        <w:rPr>
          <w:rFonts w:cs="Arial"/>
        </w:rPr>
        <w:t xml:space="preserve"> and subsidised health professional services listed on the Medicare Benefits Schedule (MBS</w:t>
      </w:r>
      <w:r w:rsidR="00F971B5" w:rsidRPr="009D0EED">
        <w:rPr>
          <w:rFonts w:cs="Arial"/>
        </w:rPr>
        <w:t>)</w:t>
      </w:r>
      <w:r w:rsidR="006B0D15" w:rsidRPr="009D0EED">
        <w:rPr>
          <w:rFonts w:cs="Arial"/>
        </w:rPr>
        <w:t>.</w:t>
      </w:r>
    </w:p>
    <w:p w14:paraId="0D8E758A" w14:textId="77777777" w:rsidR="008A05B8" w:rsidRPr="009200D8" w:rsidRDefault="008A05B8" w:rsidP="007E02E9">
      <w:pPr>
        <w:pStyle w:val="Heading3"/>
      </w:pPr>
      <w:r w:rsidRPr="009200D8">
        <w:t>What is the Medicare Benefits Schedule (MBS)?</w:t>
      </w:r>
    </w:p>
    <w:p w14:paraId="2D3FED66" w14:textId="216863A8" w:rsidR="008A05B8" w:rsidRPr="009D0EED" w:rsidRDefault="00D57793" w:rsidP="003F788A">
      <w:pPr>
        <w:spacing w:before="120" w:after="120"/>
        <w:ind w:right="-330"/>
        <w:rPr>
          <w:rFonts w:cs="Arial"/>
          <w:lang w:val="en-US" w:eastAsia="en-US"/>
        </w:rPr>
      </w:pPr>
      <w:r w:rsidRPr="00253F2C">
        <w:rPr>
          <w:rFonts w:cs="Arial"/>
          <w:lang w:val="en-US" w:eastAsia="en-US"/>
        </w:rPr>
        <w:t>The Medicare Benefits Schedule (MBS) is a listing of the</w:t>
      </w:r>
      <w:r w:rsidR="00A13A3C" w:rsidRPr="009D0EED">
        <w:rPr>
          <w:rFonts w:cs="Arial"/>
          <w:lang w:val="en-US" w:eastAsia="en-US"/>
        </w:rPr>
        <w:t xml:space="preserve"> health </w:t>
      </w:r>
      <w:r w:rsidR="00536EB8" w:rsidRPr="009D0EED">
        <w:rPr>
          <w:rFonts w:cs="Arial"/>
          <w:lang w:val="en-US" w:eastAsia="en-US"/>
        </w:rPr>
        <w:t>professional services</w:t>
      </w:r>
      <w:r w:rsidRPr="009D0EED">
        <w:rPr>
          <w:rFonts w:cs="Arial"/>
          <w:lang w:val="en-US" w:eastAsia="en-US"/>
        </w:rPr>
        <w:t xml:space="preserve"> </w:t>
      </w:r>
      <w:proofErr w:type="spellStart"/>
      <w:r w:rsidRPr="009D0EED">
        <w:rPr>
          <w:rFonts w:cs="Arial"/>
          <w:lang w:val="en-US" w:eastAsia="en-US"/>
        </w:rPr>
        <w:t>subsidised</w:t>
      </w:r>
      <w:proofErr w:type="spellEnd"/>
      <w:r w:rsidRPr="009D0EED">
        <w:rPr>
          <w:rFonts w:cs="Arial"/>
          <w:lang w:val="en-US" w:eastAsia="en-US"/>
        </w:rPr>
        <w:t xml:space="preserve"> by the Australian </w:t>
      </w:r>
      <w:r w:rsidR="00536EB8" w:rsidRPr="009D0EED">
        <w:rPr>
          <w:rFonts w:cs="Arial"/>
          <w:lang w:val="en-US" w:eastAsia="en-US"/>
        </w:rPr>
        <w:t>government. There</w:t>
      </w:r>
      <w:r w:rsidR="00F971B5" w:rsidRPr="009D0EED">
        <w:rPr>
          <w:rFonts w:cs="Arial"/>
          <w:lang w:val="en-US" w:eastAsia="en-US"/>
        </w:rPr>
        <w:t xml:space="preserve"> are over 5</w:t>
      </w:r>
      <w:r w:rsidR="0076332F">
        <w:rPr>
          <w:rFonts w:cs="Arial"/>
          <w:lang w:val="en-US" w:eastAsia="en-US"/>
        </w:rPr>
        <w:t>,</w:t>
      </w:r>
      <w:r w:rsidR="00F971B5" w:rsidRPr="009D0EED">
        <w:rPr>
          <w:rFonts w:cs="Arial"/>
          <w:lang w:val="en-US" w:eastAsia="en-US"/>
        </w:rPr>
        <w:t xml:space="preserve">700 MBS items </w:t>
      </w:r>
      <w:r w:rsidR="00536EB8" w:rsidRPr="009D0EED">
        <w:rPr>
          <w:rFonts w:cs="Arial"/>
          <w:lang w:val="en-US" w:eastAsia="en-US"/>
        </w:rPr>
        <w:t>which provide</w:t>
      </w:r>
      <w:r w:rsidR="00F971B5" w:rsidRPr="009D0EED">
        <w:rPr>
          <w:rFonts w:cs="Arial"/>
          <w:lang w:val="en-US" w:eastAsia="en-US"/>
        </w:rPr>
        <w:t xml:space="preserve"> </w:t>
      </w:r>
      <w:r w:rsidR="00860403">
        <w:rPr>
          <w:rFonts w:cs="Arial"/>
          <w:lang w:val="en-US" w:eastAsia="en-US"/>
        </w:rPr>
        <w:t>benefits to patients</w:t>
      </w:r>
      <w:r w:rsidR="00860403" w:rsidRPr="009D0EED">
        <w:rPr>
          <w:rFonts w:cs="Arial"/>
          <w:lang w:val="en-US" w:eastAsia="en-US"/>
        </w:rPr>
        <w:t xml:space="preserve"> </w:t>
      </w:r>
      <w:r w:rsidR="00536EB8" w:rsidRPr="009D0EED">
        <w:rPr>
          <w:rFonts w:cs="Arial"/>
          <w:lang w:val="en-US" w:eastAsia="en-US"/>
        </w:rPr>
        <w:t>for</w:t>
      </w:r>
      <w:r w:rsidR="00F971B5" w:rsidRPr="009D0EED">
        <w:rPr>
          <w:rFonts w:cs="Arial"/>
          <w:lang w:val="en-US" w:eastAsia="en-US"/>
        </w:rPr>
        <w:t xml:space="preserve"> a comprehensive range </w:t>
      </w:r>
      <w:r w:rsidR="0054443F" w:rsidRPr="009D0EED">
        <w:rPr>
          <w:rFonts w:cs="Arial"/>
          <w:lang w:val="en-US" w:eastAsia="en-US"/>
        </w:rPr>
        <w:t>of services</w:t>
      </w:r>
      <w:r w:rsidR="00F971B5" w:rsidRPr="009D0EED">
        <w:rPr>
          <w:rFonts w:cs="Arial"/>
          <w:lang w:val="en-US" w:eastAsia="en-US"/>
        </w:rPr>
        <w:t xml:space="preserve"> including consultations, diagnostic tests and operations. </w:t>
      </w:r>
    </w:p>
    <w:p w14:paraId="088339B9" w14:textId="5C079A4D" w:rsidR="008A05B8" w:rsidRPr="009200D8" w:rsidRDefault="008A05B8" w:rsidP="00536CA1">
      <w:pPr>
        <w:pStyle w:val="Heading2Report"/>
      </w:pPr>
      <w:bookmarkStart w:id="16" w:name="_Toc459707261"/>
      <w:r w:rsidRPr="009200D8">
        <w:t>What is the MBS Review Taskforce?</w:t>
      </w:r>
      <w:bookmarkEnd w:id="16"/>
    </w:p>
    <w:p w14:paraId="2D4A359D" w14:textId="0D93E09A" w:rsidR="008A05B8" w:rsidRPr="009D40D0" w:rsidRDefault="008A05B8" w:rsidP="003F788A">
      <w:pPr>
        <w:spacing w:before="120" w:after="120"/>
        <w:ind w:right="-330"/>
        <w:contextualSpacing/>
        <w:rPr>
          <w:rFonts w:cs="Arial"/>
          <w:lang w:val="en-US" w:eastAsia="en-US"/>
        </w:rPr>
      </w:pPr>
      <w:r w:rsidRPr="00253F2C">
        <w:rPr>
          <w:rFonts w:cs="Arial"/>
          <w:lang w:val="en-US" w:eastAsia="en-US"/>
        </w:rPr>
        <w:t>The government has established a Medicare Review Taskforce to review all of the 5</w:t>
      </w:r>
      <w:r w:rsidR="0076332F">
        <w:rPr>
          <w:rFonts w:cs="Arial"/>
          <w:lang w:val="en-US" w:eastAsia="en-US"/>
        </w:rPr>
        <w:t>,</w:t>
      </w:r>
      <w:r w:rsidRPr="00253F2C">
        <w:rPr>
          <w:rFonts w:cs="Arial"/>
          <w:lang w:val="en-US" w:eastAsia="en-US"/>
        </w:rPr>
        <w:t>700 M</w:t>
      </w:r>
      <w:r w:rsidR="00F971B5" w:rsidRPr="009D0EED">
        <w:rPr>
          <w:rFonts w:cs="Arial"/>
          <w:lang w:val="en-US" w:eastAsia="en-US"/>
        </w:rPr>
        <w:t>BS</w:t>
      </w:r>
      <w:r w:rsidRPr="009D0EED">
        <w:rPr>
          <w:rFonts w:cs="Arial"/>
          <w:lang w:val="en-US" w:eastAsia="en-US"/>
        </w:rPr>
        <w:t xml:space="preserve"> items to ensure they are aligned w</w:t>
      </w:r>
      <w:r w:rsidRPr="009D40D0">
        <w:rPr>
          <w:rFonts w:cs="Arial"/>
          <w:lang w:val="en-US" w:eastAsia="en-US"/>
        </w:rPr>
        <w:t>ith contemporary clinical evidence and practice and improve health outcomes for patients.</w:t>
      </w:r>
    </w:p>
    <w:p w14:paraId="12F7A5D9" w14:textId="0DE0A8D0" w:rsidR="008A05B8" w:rsidRPr="009200D8" w:rsidRDefault="00202DB4" w:rsidP="00536CA1">
      <w:pPr>
        <w:pStyle w:val="Heading3"/>
      </w:pPr>
      <w:r w:rsidRPr="009200D8">
        <w:t>What are the g</w:t>
      </w:r>
      <w:r w:rsidR="009A1898" w:rsidRPr="009200D8">
        <w:t>oals of the Taskforce?</w:t>
      </w:r>
    </w:p>
    <w:p w14:paraId="41A23931" w14:textId="77777777" w:rsidR="00AE0B4C" w:rsidRPr="009D0EED" w:rsidRDefault="00AE0B4C" w:rsidP="003F788A">
      <w:pPr>
        <w:spacing w:before="120" w:after="120"/>
        <w:rPr>
          <w:rFonts w:cs="Arial"/>
        </w:rPr>
      </w:pPr>
      <w:r w:rsidRPr="009D0EED">
        <w:rPr>
          <w:rFonts w:cs="Arial"/>
        </w:rPr>
        <w:t>The Taskforce is committed to providing recommendations to the Minister that will allow the MBS to deliver on each of these four key goals:</w:t>
      </w:r>
    </w:p>
    <w:p w14:paraId="0778F1F5" w14:textId="77777777" w:rsidR="00AE0B4C" w:rsidRPr="003A6B42" w:rsidRDefault="00AE0B4C" w:rsidP="00490F36">
      <w:pPr>
        <w:pStyle w:val="Bulleted"/>
        <w:rPr>
          <w:lang w:val="en-US"/>
        </w:rPr>
      </w:pPr>
      <w:r w:rsidRPr="003A6B42">
        <w:rPr>
          <w:b/>
          <w:lang w:val="en-US"/>
        </w:rPr>
        <w:t>Affordable and universal access</w:t>
      </w:r>
      <w:r w:rsidRPr="003A6B42">
        <w:rPr>
          <w:lang w:val="en-US"/>
        </w:rPr>
        <w:t>—</w:t>
      </w:r>
      <w:r w:rsidR="00463B1C" w:rsidRPr="003A6B42">
        <w:rPr>
          <w:lang w:val="en-US"/>
        </w:rPr>
        <w:t xml:space="preserve"> </w:t>
      </w:r>
      <w:r w:rsidR="00306AC2" w:rsidRPr="003A6B42">
        <w:rPr>
          <w:lang w:val="en-US"/>
        </w:rPr>
        <w:t>the</w:t>
      </w:r>
      <w:r w:rsidRPr="003A6B42">
        <w:rPr>
          <w:lang w:val="en-US"/>
        </w:rPr>
        <w:t xml:space="preserve"> evidence demonstrates that the MBS supports very good access to primary care services for most Australians, particularly in urban Australia. However, despite increases in the specialist workforce over the last decade, access to many specialist services remains problematic with some rural patients being particularly under-serviced.</w:t>
      </w:r>
    </w:p>
    <w:p w14:paraId="45E6FFB9" w14:textId="77777777" w:rsidR="00AE0B4C" w:rsidRPr="003A6B42" w:rsidRDefault="00AE0B4C" w:rsidP="00490F36">
      <w:pPr>
        <w:pStyle w:val="Bulleted"/>
        <w:rPr>
          <w:lang w:val="en-US"/>
        </w:rPr>
      </w:pPr>
      <w:r w:rsidRPr="003A6B42">
        <w:rPr>
          <w:b/>
          <w:lang w:val="en-US"/>
        </w:rPr>
        <w:t>Best practice health services</w:t>
      </w:r>
      <w:r w:rsidRPr="003A6B42">
        <w:rPr>
          <w:lang w:val="en-US"/>
        </w:rPr>
        <w:t>—</w:t>
      </w:r>
      <w:r w:rsidR="00715996" w:rsidRPr="003A6B42">
        <w:rPr>
          <w:lang w:val="en-US"/>
        </w:rPr>
        <w:t xml:space="preserve"> </w:t>
      </w:r>
      <w:r w:rsidR="00306AC2" w:rsidRPr="003A6B42">
        <w:rPr>
          <w:lang w:val="en-US"/>
        </w:rPr>
        <w:t>one</w:t>
      </w:r>
      <w:r w:rsidRPr="003A6B42">
        <w:rPr>
          <w:lang w:val="en-US"/>
        </w:rPr>
        <w:t xml:space="preserve"> of the core objectives of the Review is to </w:t>
      </w:r>
      <w:proofErr w:type="spellStart"/>
      <w:r w:rsidRPr="003A6B42">
        <w:rPr>
          <w:lang w:val="en-US"/>
        </w:rPr>
        <w:t>modernise</w:t>
      </w:r>
      <w:proofErr w:type="spellEnd"/>
      <w:r w:rsidRPr="003A6B42">
        <w:rPr>
          <w:lang w:val="en-US"/>
        </w:rPr>
        <w:t xml:space="preserve"> the MBS, ensuring that individual items and their descriptors are consistent with contemporary best practice and the evidence base where possible. Although the Medical Services Advisory Committee (MSAC) plays a crucial role in thoroughly evaluating new services, the vast </w:t>
      </w:r>
      <w:r w:rsidR="0054443F" w:rsidRPr="003A6B42">
        <w:rPr>
          <w:lang w:val="en-US"/>
        </w:rPr>
        <w:t>majority of existing MBS items pre-dates this process and has</w:t>
      </w:r>
      <w:r w:rsidRPr="003A6B42">
        <w:rPr>
          <w:lang w:val="en-US"/>
        </w:rPr>
        <w:t xml:space="preserve"> never been reviewed.</w:t>
      </w:r>
    </w:p>
    <w:p w14:paraId="49ED2D21" w14:textId="77777777" w:rsidR="00AE0B4C" w:rsidRPr="003A6B42" w:rsidRDefault="00AE0B4C" w:rsidP="00490F36">
      <w:pPr>
        <w:pStyle w:val="Bulleted"/>
        <w:rPr>
          <w:lang w:val="en-US"/>
        </w:rPr>
      </w:pPr>
      <w:r w:rsidRPr="003A6B42">
        <w:rPr>
          <w:b/>
          <w:lang w:val="en-US"/>
        </w:rPr>
        <w:t>Value for the individual patient</w:t>
      </w:r>
      <w:r w:rsidR="00306AC2" w:rsidRPr="003A6B42">
        <w:rPr>
          <w:lang w:val="en-US"/>
        </w:rPr>
        <w:t>—a</w:t>
      </w:r>
      <w:r w:rsidRPr="003A6B42">
        <w:rPr>
          <w:lang w:val="en-US"/>
        </w:rPr>
        <w:t>nother core objective of the Review is to have a MBS that supports the delivery of services that are appropriate to the patient’s needs, provide real clinical value and do not expose the patient to unnecessary risk or expense.</w:t>
      </w:r>
    </w:p>
    <w:p w14:paraId="2AE92B6C" w14:textId="77777777" w:rsidR="00AE0B4C" w:rsidRPr="009D0EED" w:rsidRDefault="00AE0B4C" w:rsidP="00490F36">
      <w:pPr>
        <w:pStyle w:val="Bulleted"/>
      </w:pPr>
      <w:r w:rsidRPr="003A6B42">
        <w:rPr>
          <w:b/>
          <w:lang w:val="en-US"/>
        </w:rPr>
        <w:t>Value for the health system</w:t>
      </w:r>
      <w:r w:rsidR="00306AC2" w:rsidRPr="003A6B42">
        <w:rPr>
          <w:lang w:val="en-US"/>
        </w:rPr>
        <w:t>—a</w:t>
      </w:r>
      <w:r w:rsidRPr="003A6B42">
        <w:rPr>
          <w:lang w:val="en-US"/>
        </w:rPr>
        <w:t>chieving the above elements of the vision will go a long way to achieving improved value for the health system overall. Reducing the volume of services that provide little or no clinical benefit will enable resources to be redirected to new and existing services that have proven benefit and are underused, particularly for patients who cannot readily access those services currently.</w:t>
      </w:r>
    </w:p>
    <w:p w14:paraId="4E339F4E" w14:textId="7D7676DF" w:rsidR="00715996" w:rsidRPr="009200D8" w:rsidRDefault="00715996" w:rsidP="007E02E9">
      <w:pPr>
        <w:pStyle w:val="Heading2Report"/>
      </w:pPr>
      <w:bookmarkStart w:id="17" w:name="_Toc459707262"/>
      <w:r w:rsidRPr="009200D8">
        <w:lastRenderedPageBreak/>
        <w:t>Methods: The Taskforce’s approach</w:t>
      </w:r>
      <w:bookmarkEnd w:id="17"/>
    </w:p>
    <w:p w14:paraId="2D7361B5" w14:textId="77777777" w:rsidR="00715996" w:rsidRPr="009D0EED" w:rsidRDefault="00715996" w:rsidP="003F788A">
      <w:pPr>
        <w:spacing w:before="120" w:after="120"/>
        <w:rPr>
          <w:rFonts w:cs="Arial"/>
        </w:rPr>
      </w:pPr>
      <w:r w:rsidRPr="00253F2C">
        <w:rPr>
          <w:rFonts w:cs="Arial"/>
        </w:rPr>
        <w:t xml:space="preserve">The Taskforce is </w:t>
      </w:r>
      <w:r w:rsidR="00AE0B4C" w:rsidRPr="009D0EED">
        <w:rPr>
          <w:rFonts w:cs="Arial"/>
        </w:rPr>
        <w:t xml:space="preserve">reviewing the existing MBS items, with </w:t>
      </w:r>
      <w:r w:rsidRPr="009D0EED">
        <w:rPr>
          <w:rFonts w:cs="Arial"/>
        </w:rPr>
        <w:t>a</w:t>
      </w:r>
      <w:r w:rsidR="00AE0B4C" w:rsidRPr="009D0EED">
        <w:rPr>
          <w:rFonts w:cs="Arial"/>
        </w:rPr>
        <w:t xml:space="preserve"> </w:t>
      </w:r>
      <w:r w:rsidRPr="009D0EED">
        <w:rPr>
          <w:rFonts w:cs="Arial"/>
        </w:rPr>
        <w:t xml:space="preserve">primary </w:t>
      </w:r>
      <w:r w:rsidR="00CE0E68" w:rsidRPr="009D0EED">
        <w:rPr>
          <w:rFonts w:cs="Arial"/>
        </w:rPr>
        <w:t>focus</w:t>
      </w:r>
      <w:r w:rsidR="00AE0B4C" w:rsidRPr="009D0EED">
        <w:rPr>
          <w:rFonts w:cs="Arial"/>
        </w:rPr>
        <w:t xml:space="preserve"> on ensuring that individual items and usage meet the definition of best practice. </w:t>
      </w:r>
    </w:p>
    <w:p w14:paraId="3E782596" w14:textId="77777777" w:rsidR="00AE0B4C" w:rsidRPr="009D0EED" w:rsidRDefault="00AE0B4C" w:rsidP="003F788A">
      <w:pPr>
        <w:spacing w:before="120" w:after="120"/>
        <w:rPr>
          <w:rFonts w:cs="Arial"/>
        </w:rPr>
      </w:pPr>
      <w:r w:rsidRPr="009D0EED">
        <w:rPr>
          <w:rFonts w:cs="Arial"/>
        </w:rPr>
        <w:t xml:space="preserve">Within the Taskforce’s brief there is considerable scope to review and advise on all aspects which would contribute to a modern, transparent and responsive system. This includes not only making recommendations about new items or services being added to the MBS, but also about a MBS structure that could better accommodate changing health service models. </w:t>
      </w:r>
    </w:p>
    <w:p w14:paraId="2246B440" w14:textId="77777777" w:rsidR="00AE0B4C" w:rsidRPr="009D0EED" w:rsidRDefault="00AE0B4C" w:rsidP="003F788A">
      <w:pPr>
        <w:spacing w:before="120" w:after="120"/>
        <w:rPr>
          <w:rFonts w:cs="Arial"/>
        </w:rPr>
      </w:pPr>
      <w:r w:rsidRPr="009D0EED">
        <w:rPr>
          <w:rFonts w:cs="Arial"/>
        </w:rPr>
        <w:t xml:space="preserve">The Taskforce has made a conscious decision to be ambitious in its approach and seize this unique opportunity to recommend changes to modernise the MBS on all levels, from the clinical detail of individual items, to administrative rules and mechanisms, to structural, whole-of-MBS issues. </w:t>
      </w:r>
    </w:p>
    <w:p w14:paraId="0D7DBD0A" w14:textId="77777777" w:rsidR="00AE0B4C" w:rsidRPr="009D0EED" w:rsidRDefault="00715996" w:rsidP="003F788A">
      <w:pPr>
        <w:spacing w:before="120" w:after="120"/>
        <w:rPr>
          <w:rFonts w:cs="Arial"/>
        </w:rPr>
      </w:pPr>
      <w:r w:rsidRPr="009D0EED">
        <w:rPr>
          <w:rFonts w:cs="Arial"/>
        </w:rPr>
        <w:t>The</w:t>
      </w:r>
      <w:r w:rsidR="00AE0B4C" w:rsidRPr="009D0EED">
        <w:rPr>
          <w:rFonts w:cs="Arial"/>
        </w:rPr>
        <w:t xml:space="preserve"> Taskforce will </w:t>
      </w:r>
      <w:r w:rsidRPr="009D0EED">
        <w:rPr>
          <w:rFonts w:cs="Arial"/>
        </w:rPr>
        <w:t>also develop a</w:t>
      </w:r>
      <w:r w:rsidR="00AE0B4C" w:rsidRPr="009D0EED">
        <w:rPr>
          <w:rFonts w:cs="Arial"/>
        </w:rPr>
        <w:t xml:space="preserve"> mechanism for the ongoing review of the MBS once the current Review is concluded.</w:t>
      </w:r>
    </w:p>
    <w:p w14:paraId="2BC9EE8B" w14:textId="1D42059E" w:rsidR="00F971B5" w:rsidRPr="009D0EED" w:rsidRDefault="00F971B5" w:rsidP="003F788A">
      <w:pPr>
        <w:spacing w:before="120" w:after="120"/>
        <w:rPr>
          <w:rFonts w:cs="Arial"/>
        </w:rPr>
      </w:pPr>
      <w:r w:rsidRPr="009D0EED">
        <w:rPr>
          <w:rFonts w:cs="Arial"/>
        </w:rPr>
        <w:t>As the Review is to be clinician</w:t>
      </w:r>
      <w:r w:rsidR="0076332F">
        <w:rPr>
          <w:rFonts w:cs="Arial"/>
        </w:rPr>
        <w:t>-</w:t>
      </w:r>
      <w:r w:rsidRPr="009D0EED">
        <w:rPr>
          <w:rFonts w:cs="Arial"/>
        </w:rPr>
        <w:t>led, the Taskforce has de</w:t>
      </w:r>
      <w:r w:rsidR="009A0DC4" w:rsidRPr="009D0EED">
        <w:rPr>
          <w:rFonts w:cs="Arial"/>
        </w:rPr>
        <w:t>cided that the detailed review of MBS items should be done by Clinical Committees. The Committees are broad based in their membership and members have been appointed in their individual capacity</w:t>
      </w:r>
      <w:r w:rsidR="0076332F">
        <w:rPr>
          <w:rFonts w:cs="Arial"/>
        </w:rPr>
        <w:t>,</w:t>
      </w:r>
      <w:r w:rsidR="009A0DC4" w:rsidRPr="009D0EED">
        <w:rPr>
          <w:rFonts w:cs="Arial"/>
        </w:rPr>
        <w:t xml:space="preserve"> not as representatives of any organisation. This draft report details the work done by the specific Clinical Committee </w:t>
      </w:r>
      <w:r w:rsidR="0054443F" w:rsidRPr="009D0EED">
        <w:rPr>
          <w:rFonts w:cs="Arial"/>
        </w:rPr>
        <w:t>and describes</w:t>
      </w:r>
      <w:r w:rsidR="009A0DC4" w:rsidRPr="009D0EED">
        <w:rPr>
          <w:rFonts w:cs="Arial"/>
        </w:rPr>
        <w:t xml:space="preserve"> the Committee’s recommendations and their rationale.</w:t>
      </w:r>
    </w:p>
    <w:p w14:paraId="362F54CA" w14:textId="77777777" w:rsidR="004D72E6" w:rsidRDefault="007E588A" w:rsidP="003F788A">
      <w:pPr>
        <w:spacing w:before="120" w:after="120"/>
        <w:rPr>
          <w:rFonts w:cs="Arial"/>
        </w:rPr>
      </w:pPr>
      <w:r w:rsidRPr="009D0EED">
        <w:rPr>
          <w:rFonts w:cs="Arial"/>
        </w:rPr>
        <w:t xml:space="preserve">This report does not represent the final position of the </w:t>
      </w:r>
      <w:r w:rsidR="00CF3A42" w:rsidRPr="009D0EED">
        <w:rPr>
          <w:rFonts w:cs="Arial"/>
        </w:rPr>
        <w:t>Diagnostic Imaging</w:t>
      </w:r>
      <w:r w:rsidRPr="009D0EED">
        <w:rPr>
          <w:rFonts w:cs="Arial"/>
        </w:rPr>
        <w:t xml:space="preserve"> Clinical Committee</w:t>
      </w:r>
      <w:r w:rsidR="00CF3A42" w:rsidRPr="009D0EED">
        <w:rPr>
          <w:rFonts w:cs="Arial"/>
        </w:rPr>
        <w:t xml:space="preserve"> on the recommendations of the Bone Densitometry Working Group</w:t>
      </w:r>
      <w:r w:rsidRPr="009D0EED">
        <w:rPr>
          <w:rFonts w:cs="Arial"/>
        </w:rPr>
        <w:t xml:space="preserve">. </w:t>
      </w:r>
      <w:r w:rsidR="00306AC2" w:rsidRPr="009D0EED">
        <w:rPr>
          <w:rFonts w:cs="Arial"/>
        </w:rPr>
        <w:t xml:space="preserve">A consultation process will inform recommendations of the </w:t>
      </w:r>
      <w:r w:rsidR="00CF3A42" w:rsidRPr="009D0EED">
        <w:rPr>
          <w:rFonts w:cs="Arial"/>
        </w:rPr>
        <w:t xml:space="preserve">Working Group and </w:t>
      </w:r>
      <w:r w:rsidR="00306AC2" w:rsidRPr="009D0EED">
        <w:rPr>
          <w:rFonts w:cs="Arial"/>
        </w:rPr>
        <w:t xml:space="preserve">assist </w:t>
      </w:r>
      <w:r w:rsidR="00CF3A42" w:rsidRPr="009D0EED">
        <w:rPr>
          <w:rFonts w:cs="Arial"/>
        </w:rPr>
        <w:t xml:space="preserve">the Committee </w:t>
      </w:r>
      <w:r w:rsidR="00306AC2" w:rsidRPr="009D0EED">
        <w:rPr>
          <w:rFonts w:cs="Arial"/>
        </w:rPr>
        <w:t xml:space="preserve">in finalising its report to the MBS review Taskforce. </w:t>
      </w:r>
    </w:p>
    <w:p w14:paraId="7CD11007" w14:textId="50D49EE0" w:rsidR="00306AC2" w:rsidRPr="009D0EED" w:rsidRDefault="00306AC2" w:rsidP="003F788A">
      <w:pPr>
        <w:spacing w:before="120" w:after="120"/>
        <w:rPr>
          <w:rFonts w:cs="Arial"/>
          <w:lang w:val="en-US" w:eastAsia="en-US"/>
        </w:rPr>
      </w:pPr>
      <w:r w:rsidRPr="009D0EED">
        <w:rPr>
          <w:rFonts w:cs="Arial"/>
        </w:rPr>
        <w:t xml:space="preserve">Following consultation, the </w:t>
      </w:r>
      <w:r w:rsidR="00CF3A42" w:rsidRPr="009D0EED">
        <w:rPr>
          <w:rFonts w:cs="Arial"/>
        </w:rPr>
        <w:t xml:space="preserve">Diagnostic Imaging </w:t>
      </w:r>
      <w:r w:rsidRPr="009D0EED">
        <w:rPr>
          <w:rFonts w:cs="Arial"/>
        </w:rPr>
        <w:t xml:space="preserve">Clinical Committee will provide its final advice to the MBS Review Taskforce. </w:t>
      </w:r>
      <w:r w:rsidRPr="009D0EED">
        <w:rPr>
          <w:rFonts w:cs="Arial"/>
          <w:lang w:val="en-US" w:eastAsia="en-US"/>
        </w:rPr>
        <w:t xml:space="preserve">The Taskforce will consider the Review Report from Clinical Committees and stakeholder feedback before making recommendations to the Minister for consideration by Government. </w:t>
      </w:r>
    </w:p>
    <w:p w14:paraId="7B60CBF5" w14:textId="7624A8EC" w:rsidR="00457693" w:rsidRPr="009200D8" w:rsidRDefault="00457693" w:rsidP="007E02E9">
      <w:pPr>
        <w:pStyle w:val="Heading2Report"/>
      </w:pPr>
      <w:bookmarkStart w:id="18" w:name="_Toc459707263"/>
      <w:proofErr w:type="spellStart"/>
      <w:r w:rsidRPr="009200D8">
        <w:t>Prioritisation</w:t>
      </w:r>
      <w:proofErr w:type="spellEnd"/>
      <w:r w:rsidRPr="009200D8">
        <w:t xml:space="preserve"> process</w:t>
      </w:r>
      <w:bookmarkEnd w:id="18"/>
    </w:p>
    <w:p w14:paraId="0982FBDE" w14:textId="7AEB2289" w:rsidR="00D369D4" w:rsidRDefault="00457693" w:rsidP="00620335">
      <w:pPr>
        <w:spacing w:before="120" w:after="120"/>
        <w:rPr>
          <w:rFonts w:cs="Arial"/>
        </w:rPr>
      </w:pPr>
      <w:r w:rsidRPr="009D0EED">
        <w:rPr>
          <w:rFonts w:cs="Arial"/>
        </w:rPr>
        <w:t>All MBS items will be reviewed during the course of the MBS Review. However</w:t>
      </w:r>
      <w:r w:rsidR="00D8120A">
        <w:rPr>
          <w:rFonts w:cs="Arial"/>
        </w:rPr>
        <w:t>,</w:t>
      </w:r>
      <w:r w:rsidRPr="009D0EED">
        <w:rPr>
          <w:rFonts w:cs="Arial"/>
        </w:rPr>
        <w:t xml:space="preserve"> </w:t>
      </w:r>
      <w:r w:rsidR="009A0DC4" w:rsidRPr="009D0EED">
        <w:rPr>
          <w:rFonts w:cs="Arial"/>
        </w:rPr>
        <w:t xml:space="preserve">given the breadth of </w:t>
      </w:r>
      <w:r w:rsidR="000309CE" w:rsidRPr="009D0EED">
        <w:rPr>
          <w:rFonts w:cs="Arial"/>
        </w:rPr>
        <w:t xml:space="preserve">and timeframe for </w:t>
      </w:r>
      <w:r w:rsidR="009A0DC4" w:rsidRPr="009D0EED">
        <w:rPr>
          <w:rFonts w:cs="Arial"/>
        </w:rPr>
        <w:t>the Review, each Clinical Committee has needed to develop a work</w:t>
      </w:r>
      <w:r w:rsidR="0026678E" w:rsidRPr="009D0EED">
        <w:rPr>
          <w:rFonts w:cs="Arial"/>
        </w:rPr>
        <w:t xml:space="preserve"> </w:t>
      </w:r>
      <w:r w:rsidR="009A0DC4" w:rsidRPr="009D0EED">
        <w:rPr>
          <w:rFonts w:cs="Arial"/>
        </w:rPr>
        <w:t>plan and assign priorities</w:t>
      </w:r>
      <w:r w:rsidR="000309CE" w:rsidRPr="009D0EED">
        <w:rPr>
          <w:rFonts w:cs="Arial"/>
        </w:rPr>
        <w:t xml:space="preserve"> keeping in mind the objectives of the Review. With a focus on </w:t>
      </w:r>
      <w:r w:rsidR="0054443F" w:rsidRPr="009D0EED">
        <w:rPr>
          <w:rFonts w:cs="Arial"/>
        </w:rPr>
        <w:t>improving the</w:t>
      </w:r>
      <w:r w:rsidR="000309CE" w:rsidRPr="009D0EED">
        <w:rPr>
          <w:rFonts w:cs="Arial"/>
        </w:rPr>
        <w:t xml:space="preserve"> clinical value of MBS services</w:t>
      </w:r>
      <w:r w:rsidR="0026678E" w:rsidRPr="009D0EED">
        <w:rPr>
          <w:rFonts w:cs="Arial"/>
        </w:rPr>
        <w:t>,</w:t>
      </w:r>
      <w:r w:rsidR="000309CE" w:rsidRPr="009D0EED">
        <w:rPr>
          <w:rFonts w:cs="Arial"/>
        </w:rPr>
        <w:t xml:space="preserve"> the Clinical Committees have taken account of factors including the volume </w:t>
      </w:r>
      <w:r w:rsidR="0026678E" w:rsidRPr="009D0EED">
        <w:rPr>
          <w:rFonts w:cs="Arial"/>
        </w:rPr>
        <w:t xml:space="preserve">of </w:t>
      </w:r>
      <w:r w:rsidR="000309CE" w:rsidRPr="009D0EED">
        <w:rPr>
          <w:rFonts w:cs="Arial"/>
        </w:rPr>
        <w:t xml:space="preserve">services, service </w:t>
      </w:r>
      <w:r w:rsidR="0026678E" w:rsidRPr="009D0EED">
        <w:rPr>
          <w:rFonts w:cs="Arial"/>
        </w:rPr>
        <w:t xml:space="preserve">patterns and </w:t>
      </w:r>
      <w:r w:rsidR="000309CE" w:rsidRPr="009D0EED">
        <w:rPr>
          <w:rFonts w:cs="Arial"/>
        </w:rPr>
        <w:t>growth</w:t>
      </w:r>
      <w:r w:rsidR="0026678E" w:rsidRPr="009D0EED">
        <w:rPr>
          <w:rFonts w:cs="Arial"/>
        </w:rPr>
        <w:t xml:space="preserve"> and variation in the per capita use of ser</w:t>
      </w:r>
      <w:r w:rsidR="00CF3A42" w:rsidRPr="009D0EED">
        <w:rPr>
          <w:rFonts w:cs="Arial"/>
        </w:rPr>
        <w:t>vices, to prioritise their work</w:t>
      </w:r>
      <w:r w:rsidR="00620335">
        <w:rPr>
          <w:rFonts w:cs="Arial"/>
        </w:rPr>
        <w:t>.</w:t>
      </w:r>
    </w:p>
    <w:p w14:paraId="27C21A47" w14:textId="1844266E" w:rsidR="00457693" w:rsidRPr="009D0EED" w:rsidRDefault="0026678E" w:rsidP="003F788A">
      <w:pPr>
        <w:spacing w:before="120" w:after="120"/>
        <w:rPr>
          <w:rFonts w:cs="Arial"/>
        </w:rPr>
      </w:pPr>
      <w:r w:rsidRPr="009D0EED">
        <w:rPr>
          <w:rFonts w:cs="Arial"/>
        </w:rPr>
        <w:t xml:space="preserve">In addition to MBS </w:t>
      </w:r>
      <w:r w:rsidR="0054443F" w:rsidRPr="009D0EED">
        <w:rPr>
          <w:rFonts w:cs="Arial"/>
        </w:rPr>
        <w:t>data, important</w:t>
      </w:r>
      <w:r w:rsidR="000309CE" w:rsidRPr="009D0EED">
        <w:rPr>
          <w:rFonts w:cs="Arial"/>
        </w:rPr>
        <w:t xml:space="preserve"> resource</w:t>
      </w:r>
      <w:r w:rsidRPr="009D0EED">
        <w:rPr>
          <w:rFonts w:cs="Arial"/>
        </w:rPr>
        <w:t>s</w:t>
      </w:r>
      <w:r w:rsidR="000309CE" w:rsidRPr="009D0EED">
        <w:rPr>
          <w:rFonts w:cs="Arial"/>
        </w:rPr>
        <w:t xml:space="preserve"> for the Taskforce and the Clinical Committees have i</w:t>
      </w:r>
      <w:r w:rsidRPr="009D0EED">
        <w:rPr>
          <w:rFonts w:cs="Arial"/>
        </w:rPr>
        <w:t>ncluded</w:t>
      </w:r>
      <w:r w:rsidR="00457693" w:rsidRPr="009D0EED">
        <w:rPr>
          <w:rFonts w:cs="Arial"/>
        </w:rPr>
        <w:t xml:space="preserve">: </w:t>
      </w:r>
    </w:p>
    <w:p w14:paraId="5C76DFAC" w14:textId="77777777" w:rsidR="00457693" w:rsidRPr="00490F36" w:rsidRDefault="0026678E" w:rsidP="00490F36">
      <w:pPr>
        <w:pStyle w:val="Bulleted"/>
      </w:pPr>
      <w:r w:rsidRPr="00490F36">
        <w:t>T</w:t>
      </w:r>
      <w:r w:rsidR="00457693" w:rsidRPr="00490F36">
        <w:t xml:space="preserve">he Choosing Wisely recommendations, both from Australian and internationally </w:t>
      </w:r>
    </w:p>
    <w:p w14:paraId="576FA712" w14:textId="77777777" w:rsidR="00457693" w:rsidRPr="00490F36" w:rsidRDefault="00457693" w:rsidP="00490F36">
      <w:pPr>
        <w:pStyle w:val="Bulleted"/>
      </w:pPr>
      <w:r w:rsidRPr="00490F36">
        <w:t xml:space="preserve">National Institute for Health and Care Excellence (NICE UK) Do Not Do recommendations and clinical guidance </w:t>
      </w:r>
    </w:p>
    <w:p w14:paraId="7169325B" w14:textId="344BEE12" w:rsidR="004D72E6" w:rsidRPr="00490F36" w:rsidRDefault="0026678E" w:rsidP="00490F36">
      <w:pPr>
        <w:pStyle w:val="Bulleted"/>
      </w:pPr>
      <w:r w:rsidRPr="00490F36">
        <w:lastRenderedPageBreak/>
        <w:t>O</w:t>
      </w:r>
      <w:r w:rsidR="00457693" w:rsidRPr="00490F36">
        <w:t xml:space="preserve">ther </w:t>
      </w:r>
      <w:r w:rsidRPr="00490F36">
        <w:t>literature on low value care</w:t>
      </w:r>
      <w:r w:rsidR="00457693" w:rsidRPr="00490F36">
        <w:t xml:space="preserve">, including </w:t>
      </w:r>
      <w:proofErr w:type="spellStart"/>
      <w:r w:rsidR="00457693" w:rsidRPr="00490F36">
        <w:t>Elshaug</w:t>
      </w:r>
      <w:proofErr w:type="spellEnd"/>
      <w:r w:rsidR="00457693" w:rsidRPr="00490F36">
        <w:t xml:space="preserve"> et </w:t>
      </w:r>
      <w:proofErr w:type="spellStart"/>
      <w:r w:rsidR="00457693" w:rsidRPr="00490F36">
        <w:t>al’s</w:t>
      </w:r>
      <w:r w:rsidR="00913CA4">
        <w:rPr>
          <w:vertAlign w:val="superscript"/>
        </w:rPr>
        <w:t>i</w:t>
      </w:r>
      <w:proofErr w:type="spellEnd"/>
      <w:r w:rsidR="004D72E6" w:rsidRPr="00490F36">
        <w:t xml:space="preserve"> Medical Journal of Australia article on potentially low value health services </w:t>
      </w:r>
    </w:p>
    <w:p w14:paraId="4D4092AE" w14:textId="017B382F" w:rsidR="004D72E6" w:rsidRPr="00490F36" w:rsidRDefault="004D72E6" w:rsidP="00490F36">
      <w:pPr>
        <w:pStyle w:val="Bulleted"/>
      </w:pPr>
      <w:r w:rsidRPr="00490F36">
        <w:t>The Australian Commission on Quality and Safety in Health Care’s (ACQSHC) Atlas of Clinical Variation</w:t>
      </w:r>
    </w:p>
    <w:p w14:paraId="01D79426" w14:textId="77777777" w:rsidR="004D72E6" w:rsidRDefault="004D72E6">
      <w:pPr>
        <w:spacing w:before="0" w:after="0" w:line="240" w:lineRule="auto"/>
        <w:rPr>
          <w:rFonts w:cs="Arial"/>
        </w:rPr>
      </w:pPr>
      <w:r>
        <w:br w:type="page"/>
      </w:r>
    </w:p>
    <w:p w14:paraId="6944EE6F" w14:textId="623A073F" w:rsidR="004D72E6" w:rsidRPr="009200D8" w:rsidRDefault="004D72E6" w:rsidP="007E02E9">
      <w:pPr>
        <w:pStyle w:val="Heading1"/>
      </w:pPr>
      <w:bookmarkStart w:id="19" w:name="_Toc459707264"/>
      <w:r w:rsidRPr="009200D8">
        <w:lastRenderedPageBreak/>
        <w:t>About the</w:t>
      </w:r>
      <w:r w:rsidR="00860403">
        <w:t xml:space="preserve"> </w:t>
      </w:r>
      <w:r w:rsidR="00860403" w:rsidRPr="005508A4">
        <w:t>Bone Densitometry</w:t>
      </w:r>
      <w:r w:rsidRPr="009200D8">
        <w:t xml:space="preserve"> Working Group</w:t>
      </w:r>
      <w:bookmarkEnd w:id="19"/>
    </w:p>
    <w:p w14:paraId="147BFADC" w14:textId="6734EF6D" w:rsidR="004D72E6" w:rsidRPr="009D0EED" w:rsidRDefault="004D72E6" w:rsidP="003F788A">
      <w:pPr>
        <w:spacing w:before="120" w:after="120"/>
        <w:rPr>
          <w:rFonts w:cs="Arial"/>
        </w:rPr>
      </w:pPr>
      <w:r w:rsidRPr="009D0EED">
        <w:rPr>
          <w:rFonts w:cs="Arial"/>
        </w:rPr>
        <w:t xml:space="preserve">The </w:t>
      </w:r>
      <w:r w:rsidR="00860403" w:rsidRPr="005508A4">
        <w:t xml:space="preserve">Bone Densitometry </w:t>
      </w:r>
      <w:r w:rsidRPr="009D0EED">
        <w:rPr>
          <w:rFonts w:cs="Arial"/>
        </w:rPr>
        <w:t>Working Group was established by the Committee to review bone densitometry items.</w:t>
      </w:r>
    </w:p>
    <w:p w14:paraId="735377ED" w14:textId="56D7CAC2" w:rsidR="004D72E6" w:rsidRPr="009200D8" w:rsidRDefault="004D72E6" w:rsidP="007E02E9">
      <w:pPr>
        <w:pStyle w:val="Heading2Report"/>
      </w:pPr>
      <w:bookmarkStart w:id="20" w:name="_Toc455669872"/>
      <w:bookmarkStart w:id="21" w:name="_Toc459707265"/>
      <w:r w:rsidRPr="009200D8">
        <w:t>Diagnos</w:t>
      </w:r>
      <w:r>
        <w:t>tic Imaging Clinical Committee m</w:t>
      </w:r>
      <w:r w:rsidRPr="009200D8">
        <w:t>embers</w:t>
      </w:r>
      <w:bookmarkEnd w:id="20"/>
      <w:bookmarkEnd w:id="21"/>
    </w:p>
    <w:p w14:paraId="642CAD2A" w14:textId="782D6898" w:rsidR="004D72E6" w:rsidRPr="00DA7BF2" w:rsidRDefault="004D72E6">
      <w:pPr>
        <w:pStyle w:val="Caption"/>
      </w:pPr>
      <w:bookmarkStart w:id="22" w:name="_Toc457126659"/>
      <w:r w:rsidRPr="00DA7BF2">
        <w:t xml:space="preserve">Table </w:t>
      </w:r>
      <w:fldSimple w:instr=" SEQ Table \* ARABIC ">
        <w:r w:rsidR="00E82A84">
          <w:rPr>
            <w:noProof/>
          </w:rPr>
          <w:t>1</w:t>
        </w:r>
      </w:fldSimple>
      <w:r>
        <w:t>:</w:t>
      </w:r>
      <w:r>
        <w:tab/>
      </w:r>
      <w:r w:rsidRPr="00DA7BF2">
        <w:t>Diagnostic Imaging Clinical Committee Members</w:t>
      </w:r>
      <w:bookmarkEnd w:id="22"/>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1 lists of diagnostic imaging clinical committee members. This table contains 3 column headings: name, position and/or organisation, and declared conflict of interest."/>
      </w:tblPr>
      <w:tblGrid>
        <w:gridCol w:w="2354"/>
        <w:gridCol w:w="3982"/>
        <w:gridCol w:w="2690"/>
      </w:tblGrid>
      <w:tr w:rsidR="004D72E6" w:rsidRPr="00F648DD" w14:paraId="71353077" w14:textId="77777777" w:rsidTr="0006464C">
        <w:trPr>
          <w:tblHeader/>
        </w:trPr>
        <w:tc>
          <w:tcPr>
            <w:tcW w:w="1304" w:type="pct"/>
            <w:shd w:val="clear" w:color="auto" w:fill="auto"/>
          </w:tcPr>
          <w:p w14:paraId="20FC1E05" w14:textId="77777777" w:rsidR="004D72E6" w:rsidRPr="00F648DD" w:rsidRDefault="004D72E6" w:rsidP="00F648DD">
            <w:pPr>
              <w:rPr>
                <w:b/>
              </w:rPr>
            </w:pPr>
            <w:r w:rsidRPr="00F648DD">
              <w:rPr>
                <w:b/>
              </w:rPr>
              <w:t>Name</w:t>
            </w:r>
          </w:p>
        </w:tc>
        <w:tc>
          <w:tcPr>
            <w:tcW w:w="2206" w:type="pct"/>
            <w:shd w:val="clear" w:color="auto" w:fill="auto"/>
          </w:tcPr>
          <w:p w14:paraId="03185FAA" w14:textId="77777777" w:rsidR="004D72E6" w:rsidRPr="00F648DD" w:rsidRDefault="004D72E6" w:rsidP="00F648DD">
            <w:pPr>
              <w:rPr>
                <w:b/>
              </w:rPr>
            </w:pPr>
            <w:r w:rsidRPr="00F648DD">
              <w:rPr>
                <w:b/>
              </w:rPr>
              <w:t>Position/Organisation</w:t>
            </w:r>
          </w:p>
        </w:tc>
        <w:tc>
          <w:tcPr>
            <w:tcW w:w="1490" w:type="pct"/>
            <w:shd w:val="clear" w:color="auto" w:fill="auto"/>
          </w:tcPr>
          <w:p w14:paraId="591AB8ED" w14:textId="77777777" w:rsidR="004D72E6" w:rsidRPr="00F648DD" w:rsidRDefault="004D72E6" w:rsidP="00F648DD">
            <w:pPr>
              <w:rPr>
                <w:b/>
              </w:rPr>
            </w:pPr>
            <w:r w:rsidRPr="00F648DD">
              <w:rPr>
                <w:b/>
              </w:rPr>
              <w:t>Declared conflict of interest</w:t>
            </w:r>
          </w:p>
        </w:tc>
      </w:tr>
      <w:tr w:rsidR="004D72E6" w:rsidRPr="00804630" w14:paraId="3C1FABF3" w14:textId="77777777" w:rsidTr="0006464C">
        <w:trPr>
          <w:trHeight w:val="549"/>
        </w:trPr>
        <w:tc>
          <w:tcPr>
            <w:tcW w:w="1304" w:type="pct"/>
            <w:hideMark/>
          </w:tcPr>
          <w:p w14:paraId="20914A4E" w14:textId="77777777" w:rsidR="004D72E6" w:rsidRPr="00804630" w:rsidRDefault="004D72E6" w:rsidP="00804630">
            <w:pPr>
              <w:spacing w:before="40"/>
            </w:pPr>
            <w:r w:rsidRPr="00804630">
              <w:t>Professor Ken Thomson (Chair)</w:t>
            </w:r>
          </w:p>
        </w:tc>
        <w:tc>
          <w:tcPr>
            <w:tcW w:w="2206" w:type="pct"/>
          </w:tcPr>
          <w:p w14:paraId="00DC5C98" w14:textId="77777777" w:rsidR="004D72E6" w:rsidRPr="00804630" w:rsidRDefault="004D72E6" w:rsidP="00804630">
            <w:pPr>
              <w:spacing w:before="40"/>
            </w:pPr>
            <w:r w:rsidRPr="00804630">
              <w:t>Program Director, Radiology and Nuclear Medicine, Alfred Hospital</w:t>
            </w:r>
          </w:p>
        </w:tc>
        <w:tc>
          <w:tcPr>
            <w:tcW w:w="1490" w:type="pct"/>
          </w:tcPr>
          <w:p w14:paraId="20D8E6EC" w14:textId="77777777" w:rsidR="004D72E6" w:rsidRPr="00804630" w:rsidRDefault="004D72E6" w:rsidP="00804630">
            <w:pPr>
              <w:spacing w:before="40"/>
            </w:pPr>
            <w:r w:rsidRPr="00804630">
              <w:t>User of MBS services</w:t>
            </w:r>
          </w:p>
        </w:tc>
      </w:tr>
      <w:tr w:rsidR="004D72E6" w:rsidRPr="00804630" w14:paraId="6AE1EAC4" w14:textId="77777777" w:rsidTr="0006464C">
        <w:trPr>
          <w:trHeight w:val="842"/>
        </w:trPr>
        <w:tc>
          <w:tcPr>
            <w:tcW w:w="1304" w:type="pct"/>
            <w:hideMark/>
          </w:tcPr>
          <w:p w14:paraId="261461CF" w14:textId="77777777" w:rsidR="004D72E6" w:rsidRPr="00804630" w:rsidRDefault="004D72E6" w:rsidP="00804630">
            <w:pPr>
              <w:spacing w:before="40"/>
            </w:pPr>
            <w:r w:rsidRPr="00804630">
              <w:t xml:space="preserve">Professor Stacy </w:t>
            </w:r>
            <w:proofErr w:type="spellStart"/>
            <w:r w:rsidRPr="00804630">
              <w:t>Goergen</w:t>
            </w:r>
            <w:proofErr w:type="spellEnd"/>
          </w:p>
        </w:tc>
        <w:tc>
          <w:tcPr>
            <w:tcW w:w="2206" w:type="pct"/>
          </w:tcPr>
          <w:p w14:paraId="76F8F9CB" w14:textId="3E0697D3" w:rsidR="004D72E6" w:rsidRPr="00804630" w:rsidRDefault="004D72E6" w:rsidP="00360A3F">
            <w:pPr>
              <w:spacing w:before="40"/>
            </w:pPr>
            <w:r w:rsidRPr="00804630">
              <w:t xml:space="preserve">Director of Research, Monash </w:t>
            </w:r>
            <w:r w:rsidRPr="00360A3F">
              <w:t>Imaging</w:t>
            </w:r>
            <w:r w:rsidR="00360A3F">
              <w:t xml:space="preserve">; </w:t>
            </w:r>
            <w:r w:rsidRPr="00360A3F">
              <w:t>Clinical Adjunct Professor, Southern</w:t>
            </w:r>
            <w:r w:rsidRPr="00804630">
              <w:t xml:space="preserve"> Clinical School, Monash University</w:t>
            </w:r>
          </w:p>
        </w:tc>
        <w:tc>
          <w:tcPr>
            <w:tcW w:w="1490" w:type="pct"/>
          </w:tcPr>
          <w:p w14:paraId="4893D868" w14:textId="77777777" w:rsidR="004D72E6" w:rsidRPr="00804630" w:rsidRDefault="004D72E6" w:rsidP="00804630">
            <w:pPr>
              <w:spacing w:before="40"/>
            </w:pPr>
            <w:r w:rsidRPr="00804630">
              <w:t>User of MBS services</w:t>
            </w:r>
          </w:p>
        </w:tc>
      </w:tr>
      <w:tr w:rsidR="004D72E6" w:rsidRPr="00804630" w14:paraId="08B995E1" w14:textId="77777777" w:rsidTr="0006464C">
        <w:trPr>
          <w:trHeight w:val="945"/>
        </w:trPr>
        <w:tc>
          <w:tcPr>
            <w:tcW w:w="1304" w:type="pct"/>
            <w:hideMark/>
          </w:tcPr>
          <w:p w14:paraId="77F84B00" w14:textId="77777777" w:rsidR="004D72E6" w:rsidRPr="00804630" w:rsidRDefault="004D72E6" w:rsidP="00804630">
            <w:pPr>
              <w:spacing w:before="40"/>
            </w:pPr>
            <w:r w:rsidRPr="00804630">
              <w:t>Professor Alexander Pitman</w:t>
            </w:r>
          </w:p>
        </w:tc>
        <w:tc>
          <w:tcPr>
            <w:tcW w:w="2206" w:type="pct"/>
          </w:tcPr>
          <w:p w14:paraId="0B622B20" w14:textId="4B38178B" w:rsidR="004D72E6" w:rsidRPr="00804630" w:rsidRDefault="004D72E6" w:rsidP="00360A3F">
            <w:pPr>
              <w:spacing w:before="40"/>
            </w:pPr>
            <w:r w:rsidRPr="00804630">
              <w:t xml:space="preserve">Director of Nuclear Medicine and PET, Lake </w:t>
            </w:r>
            <w:r w:rsidRPr="00360A3F">
              <w:t>Imaging</w:t>
            </w:r>
            <w:r w:rsidR="00360A3F">
              <w:t xml:space="preserve"> ;</w:t>
            </w:r>
            <w:r w:rsidRPr="00804630">
              <w:t>Adjunct Professor, Medical Imaging, University of Notre Dame</w:t>
            </w:r>
          </w:p>
        </w:tc>
        <w:tc>
          <w:tcPr>
            <w:tcW w:w="1490" w:type="pct"/>
          </w:tcPr>
          <w:p w14:paraId="501D224C" w14:textId="77777777" w:rsidR="004D72E6" w:rsidRPr="00804630" w:rsidRDefault="004D72E6" w:rsidP="00804630">
            <w:pPr>
              <w:spacing w:before="40"/>
            </w:pPr>
            <w:r w:rsidRPr="00804630">
              <w:t>User of MBS services</w:t>
            </w:r>
          </w:p>
        </w:tc>
      </w:tr>
      <w:tr w:rsidR="004D72E6" w:rsidRPr="00804630" w14:paraId="50768DD6" w14:textId="77777777" w:rsidTr="0006464C">
        <w:trPr>
          <w:trHeight w:val="1260"/>
        </w:trPr>
        <w:tc>
          <w:tcPr>
            <w:tcW w:w="1304" w:type="pct"/>
            <w:hideMark/>
          </w:tcPr>
          <w:p w14:paraId="52B78B2A" w14:textId="77777777" w:rsidR="004D72E6" w:rsidRPr="00804630" w:rsidRDefault="004D72E6" w:rsidP="00804630">
            <w:pPr>
              <w:spacing w:before="40"/>
            </w:pPr>
            <w:r w:rsidRPr="00804630">
              <w:t>Dr William Macdonald</w:t>
            </w:r>
          </w:p>
        </w:tc>
        <w:tc>
          <w:tcPr>
            <w:tcW w:w="2206" w:type="pct"/>
          </w:tcPr>
          <w:p w14:paraId="6662AD76" w14:textId="4C1BFAB4" w:rsidR="004D72E6" w:rsidRPr="00804630" w:rsidRDefault="004D72E6" w:rsidP="00360A3F">
            <w:pPr>
              <w:spacing w:before="40"/>
            </w:pPr>
            <w:r w:rsidRPr="00804630">
              <w:t>Executive Director, Imaging West</w:t>
            </w:r>
            <w:r w:rsidRPr="00804630">
              <w:br/>
              <w:t>Head, Nuclear Medicine, Fiona Stanley Hospital</w:t>
            </w:r>
            <w:r w:rsidR="00360A3F">
              <w:t>; P</w:t>
            </w:r>
            <w:r w:rsidRPr="00804630">
              <w:t>resident, Australasian Association of Nuclear Medicine Specialists</w:t>
            </w:r>
          </w:p>
        </w:tc>
        <w:tc>
          <w:tcPr>
            <w:tcW w:w="1490" w:type="pct"/>
          </w:tcPr>
          <w:p w14:paraId="72A57496" w14:textId="77777777" w:rsidR="004D72E6" w:rsidRPr="00804630" w:rsidRDefault="004D72E6" w:rsidP="00804630">
            <w:pPr>
              <w:spacing w:before="40"/>
            </w:pPr>
            <w:r w:rsidRPr="00804630">
              <w:t>User of MBS services</w:t>
            </w:r>
          </w:p>
        </w:tc>
      </w:tr>
      <w:tr w:rsidR="004D72E6" w:rsidRPr="00804630" w14:paraId="1D869225" w14:textId="77777777" w:rsidTr="0006464C">
        <w:trPr>
          <w:trHeight w:val="788"/>
        </w:trPr>
        <w:tc>
          <w:tcPr>
            <w:tcW w:w="1304" w:type="pct"/>
            <w:hideMark/>
          </w:tcPr>
          <w:p w14:paraId="6F2C2195" w14:textId="77777777" w:rsidR="004D72E6" w:rsidRPr="00804630" w:rsidRDefault="004D72E6" w:rsidP="00804630">
            <w:pPr>
              <w:spacing w:before="40"/>
            </w:pPr>
            <w:r w:rsidRPr="00804630">
              <w:t>Dr Richard Ussher</w:t>
            </w:r>
          </w:p>
        </w:tc>
        <w:tc>
          <w:tcPr>
            <w:tcW w:w="2206" w:type="pct"/>
          </w:tcPr>
          <w:p w14:paraId="0B113EFA" w14:textId="528AED0B" w:rsidR="004D72E6" w:rsidRPr="00804630" w:rsidRDefault="004D72E6" w:rsidP="00360A3F">
            <w:pPr>
              <w:spacing w:before="40"/>
            </w:pPr>
            <w:r w:rsidRPr="00804630">
              <w:t>Director of Training, Radiology, Ballarat Health Services</w:t>
            </w:r>
            <w:r w:rsidR="00360A3F">
              <w:t xml:space="preserve">; </w:t>
            </w:r>
            <w:r w:rsidRPr="00804630">
              <w:t xml:space="preserve">Director, Grampians </w:t>
            </w:r>
            <w:proofErr w:type="spellStart"/>
            <w:r w:rsidRPr="00804630">
              <w:t>BreastScreen</w:t>
            </w:r>
            <w:proofErr w:type="spellEnd"/>
          </w:p>
        </w:tc>
        <w:tc>
          <w:tcPr>
            <w:tcW w:w="1490" w:type="pct"/>
          </w:tcPr>
          <w:p w14:paraId="2FA9BB63" w14:textId="77777777" w:rsidR="004D72E6" w:rsidRPr="00804630" w:rsidRDefault="004D72E6" w:rsidP="00804630">
            <w:pPr>
              <w:spacing w:before="40"/>
            </w:pPr>
            <w:r w:rsidRPr="00804630">
              <w:t>User of MBS services</w:t>
            </w:r>
          </w:p>
        </w:tc>
      </w:tr>
      <w:tr w:rsidR="004D72E6" w:rsidRPr="00804630" w14:paraId="15B2A985" w14:textId="77777777" w:rsidTr="0006464C">
        <w:trPr>
          <w:trHeight w:val="1359"/>
        </w:trPr>
        <w:tc>
          <w:tcPr>
            <w:tcW w:w="1304" w:type="pct"/>
            <w:hideMark/>
          </w:tcPr>
          <w:p w14:paraId="4EA14C5D" w14:textId="77777777" w:rsidR="004D72E6" w:rsidRPr="00804630" w:rsidRDefault="004D72E6" w:rsidP="00804630">
            <w:pPr>
              <w:spacing w:before="40"/>
            </w:pPr>
            <w:r w:rsidRPr="00804630">
              <w:t xml:space="preserve">Dr Walid </w:t>
            </w:r>
            <w:proofErr w:type="spellStart"/>
            <w:r w:rsidRPr="00804630">
              <w:t>Jammal</w:t>
            </w:r>
            <w:proofErr w:type="spellEnd"/>
          </w:p>
        </w:tc>
        <w:tc>
          <w:tcPr>
            <w:tcW w:w="2206" w:type="pct"/>
          </w:tcPr>
          <w:p w14:paraId="1CFB6B19" w14:textId="69A7A62D" w:rsidR="004D72E6" w:rsidRPr="00804630" w:rsidRDefault="004D72E6" w:rsidP="00360A3F">
            <w:pPr>
              <w:spacing w:before="40"/>
            </w:pPr>
            <w:r w:rsidRPr="00804630">
              <w:t>Clinical Lecturer, Faculty of Medicine, University of Sydney</w:t>
            </w:r>
            <w:r w:rsidR="00360A3F">
              <w:t xml:space="preserve">; </w:t>
            </w:r>
            <w:r w:rsidRPr="00804630">
              <w:t>Conjoint Senior Lecturer, School of Medicine, University of Western Sydney</w:t>
            </w:r>
            <w:r w:rsidR="00360A3F">
              <w:t xml:space="preserve">; </w:t>
            </w:r>
            <w:r w:rsidRPr="00804630">
              <w:t>Private practice</w:t>
            </w:r>
          </w:p>
        </w:tc>
        <w:tc>
          <w:tcPr>
            <w:tcW w:w="1490" w:type="pct"/>
          </w:tcPr>
          <w:p w14:paraId="7448535A" w14:textId="77777777" w:rsidR="004D72E6" w:rsidRPr="00804630" w:rsidRDefault="004D72E6" w:rsidP="00804630">
            <w:pPr>
              <w:spacing w:before="40"/>
            </w:pPr>
            <w:r w:rsidRPr="00804630">
              <w:t>User of MBS services</w:t>
            </w:r>
          </w:p>
        </w:tc>
      </w:tr>
      <w:tr w:rsidR="004D72E6" w:rsidRPr="00804630" w14:paraId="2E95778E" w14:textId="77777777" w:rsidTr="0006464C">
        <w:trPr>
          <w:trHeight w:val="1890"/>
        </w:trPr>
        <w:tc>
          <w:tcPr>
            <w:tcW w:w="1304" w:type="pct"/>
            <w:hideMark/>
          </w:tcPr>
          <w:p w14:paraId="021E16AE" w14:textId="77777777" w:rsidR="004D72E6" w:rsidRPr="00804630" w:rsidRDefault="004D72E6" w:rsidP="00804630">
            <w:pPr>
              <w:spacing w:before="40"/>
            </w:pPr>
            <w:r w:rsidRPr="00804630">
              <w:t xml:space="preserve">Associate Professor Rachael </w:t>
            </w:r>
            <w:proofErr w:type="spellStart"/>
            <w:r w:rsidRPr="00804630">
              <w:t>Moorin</w:t>
            </w:r>
            <w:proofErr w:type="spellEnd"/>
          </w:p>
        </w:tc>
        <w:tc>
          <w:tcPr>
            <w:tcW w:w="2206" w:type="pct"/>
          </w:tcPr>
          <w:p w14:paraId="5758D000" w14:textId="1443B681" w:rsidR="004D72E6" w:rsidRPr="00804630" w:rsidRDefault="004D72E6" w:rsidP="00360A3F">
            <w:pPr>
              <w:spacing w:before="40"/>
            </w:pPr>
            <w:r w:rsidRPr="00804630">
              <w:t>Associate Professor, Health Policy &amp; Management, School of Public Health, Curtin University</w:t>
            </w:r>
            <w:r w:rsidR="00360A3F">
              <w:t xml:space="preserve">; </w:t>
            </w:r>
            <w:r w:rsidRPr="00804630">
              <w:t>Principal Researcher, Health Centre of Excellence, Silver Chain Group</w:t>
            </w:r>
            <w:r w:rsidR="00360A3F">
              <w:t xml:space="preserve">; </w:t>
            </w:r>
            <w:r w:rsidRPr="00804630">
              <w:t>Adjunct Associate Professor, University of Western Australia</w:t>
            </w:r>
          </w:p>
        </w:tc>
        <w:tc>
          <w:tcPr>
            <w:tcW w:w="1490" w:type="pct"/>
          </w:tcPr>
          <w:p w14:paraId="05307216" w14:textId="77777777" w:rsidR="004D72E6" w:rsidRPr="00804630" w:rsidRDefault="004D72E6" w:rsidP="00804630">
            <w:pPr>
              <w:spacing w:before="40"/>
            </w:pPr>
            <w:r w:rsidRPr="00804630">
              <w:t>Nil</w:t>
            </w:r>
          </w:p>
        </w:tc>
      </w:tr>
      <w:tr w:rsidR="004D72E6" w:rsidRPr="00804630" w14:paraId="4EDCDB0A" w14:textId="77777777" w:rsidTr="0006464C">
        <w:trPr>
          <w:trHeight w:val="315"/>
        </w:trPr>
        <w:tc>
          <w:tcPr>
            <w:tcW w:w="1304" w:type="pct"/>
            <w:hideMark/>
          </w:tcPr>
          <w:p w14:paraId="371859F4" w14:textId="77777777" w:rsidR="004D72E6" w:rsidRPr="00804630" w:rsidRDefault="004D72E6" w:rsidP="00804630">
            <w:pPr>
              <w:spacing w:before="40"/>
            </w:pPr>
            <w:r w:rsidRPr="00804630">
              <w:t>Dr David Brazier</w:t>
            </w:r>
          </w:p>
        </w:tc>
        <w:tc>
          <w:tcPr>
            <w:tcW w:w="2206" w:type="pct"/>
          </w:tcPr>
          <w:p w14:paraId="3C3FB78A" w14:textId="77777777" w:rsidR="004D72E6" w:rsidRPr="00804630" w:rsidRDefault="004D72E6" w:rsidP="00804630">
            <w:pPr>
              <w:spacing w:before="40"/>
            </w:pPr>
            <w:r w:rsidRPr="00804630">
              <w:t>Radiologist, Royal North Shore Hospital</w:t>
            </w:r>
          </w:p>
        </w:tc>
        <w:tc>
          <w:tcPr>
            <w:tcW w:w="1490" w:type="pct"/>
          </w:tcPr>
          <w:p w14:paraId="7370F110" w14:textId="77777777" w:rsidR="004D72E6" w:rsidRPr="00804630" w:rsidRDefault="004D72E6" w:rsidP="00804630">
            <w:pPr>
              <w:spacing w:before="40"/>
            </w:pPr>
            <w:r w:rsidRPr="00804630">
              <w:t>User of MBS services</w:t>
            </w:r>
          </w:p>
        </w:tc>
      </w:tr>
      <w:tr w:rsidR="004D72E6" w:rsidRPr="00804630" w14:paraId="653C6B29" w14:textId="77777777" w:rsidTr="0006464C">
        <w:trPr>
          <w:trHeight w:val="630"/>
        </w:trPr>
        <w:tc>
          <w:tcPr>
            <w:tcW w:w="1304" w:type="pct"/>
            <w:hideMark/>
          </w:tcPr>
          <w:p w14:paraId="09CBDB96" w14:textId="77777777" w:rsidR="004D72E6" w:rsidRPr="00804630" w:rsidRDefault="004D72E6" w:rsidP="00804630">
            <w:pPr>
              <w:spacing w:before="40"/>
            </w:pPr>
            <w:r w:rsidRPr="00804630">
              <w:t>Dr Phil Hayward</w:t>
            </w:r>
          </w:p>
        </w:tc>
        <w:tc>
          <w:tcPr>
            <w:tcW w:w="2206" w:type="pct"/>
          </w:tcPr>
          <w:p w14:paraId="6CB3D1DF" w14:textId="77777777" w:rsidR="004D72E6" w:rsidRPr="00804630" w:rsidRDefault="004D72E6" w:rsidP="00804630">
            <w:pPr>
              <w:spacing w:before="40"/>
            </w:pPr>
            <w:r w:rsidRPr="00804630">
              <w:t>Research Fellow, Centre for Health Economics Research and Evaluation</w:t>
            </w:r>
          </w:p>
        </w:tc>
        <w:tc>
          <w:tcPr>
            <w:tcW w:w="1490" w:type="pct"/>
          </w:tcPr>
          <w:p w14:paraId="498743AF" w14:textId="77777777" w:rsidR="004D72E6" w:rsidRPr="00804630" w:rsidRDefault="004D72E6" w:rsidP="00804630">
            <w:pPr>
              <w:spacing w:before="40"/>
            </w:pPr>
            <w:r w:rsidRPr="00804630">
              <w:t>Nil</w:t>
            </w:r>
          </w:p>
        </w:tc>
      </w:tr>
      <w:tr w:rsidR="004D72E6" w:rsidRPr="00804630" w14:paraId="4A003EED" w14:textId="77777777" w:rsidTr="0006464C">
        <w:trPr>
          <w:trHeight w:val="1125"/>
        </w:trPr>
        <w:tc>
          <w:tcPr>
            <w:tcW w:w="1304" w:type="pct"/>
            <w:hideMark/>
          </w:tcPr>
          <w:p w14:paraId="59E7F4E3" w14:textId="77777777" w:rsidR="004D72E6" w:rsidRPr="00804630" w:rsidRDefault="004D72E6" w:rsidP="00804630">
            <w:pPr>
              <w:spacing w:before="40"/>
            </w:pPr>
            <w:r w:rsidRPr="00804630">
              <w:lastRenderedPageBreak/>
              <w:t xml:space="preserve">Professor Jenny </w:t>
            </w:r>
            <w:proofErr w:type="spellStart"/>
            <w:r w:rsidRPr="00804630">
              <w:t>Doust</w:t>
            </w:r>
            <w:proofErr w:type="spellEnd"/>
          </w:p>
        </w:tc>
        <w:tc>
          <w:tcPr>
            <w:tcW w:w="2206" w:type="pct"/>
          </w:tcPr>
          <w:p w14:paraId="32AA7F02" w14:textId="68B3BAEC" w:rsidR="004D72E6" w:rsidRPr="00804630" w:rsidRDefault="004D72E6" w:rsidP="00360A3F">
            <w:pPr>
              <w:spacing w:before="40"/>
            </w:pPr>
            <w:r w:rsidRPr="00804630">
              <w:t>Professor of Clinical Epidemiology, Centre for Research in Evidence Based Practice, Bond University</w:t>
            </w:r>
            <w:r w:rsidR="00360A3F">
              <w:t xml:space="preserve">; </w:t>
            </w:r>
            <w:r w:rsidRPr="00804630">
              <w:t>General Practitioner</w:t>
            </w:r>
          </w:p>
        </w:tc>
        <w:tc>
          <w:tcPr>
            <w:tcW w:w="1490" w:type="pct"/>
          </w:tcPr>
          <w:p w14:paraId="51D741B3" w14:textId="77777777" w:rsidR="004D72E6" w:rsidRPr="00804630" w:rsidRDefault="004D72E6" w:rsidP="00804630">
            <w:pPr>
              <w:spacing w:before="40"/>
            </w:pPr>
            <w:r w:rsidRPr="00804630">
              <w:t>User of MBS services</w:t>
            </w:r>
          </w:p>
        </w:tc>
      </w:tr>
      <w:tr w:rsidR="004D72E6" w:rsidRPr="00804630" w14:paraId="5B4E1B11" w14:textId="77777777" w:rsidTr="0006464C">
        <w:trPr>
          <w:trHeight w:val="630"/>
        </w:trPr>
        <w:tc>
          <w:tcPr>
            <w:tcW w:w="1304" w:type="pct"/>
            <w:hideMark/>
          </w:tcPr>
          <w:p w14:paraId="067AEE35" w14:textId="77777777" w:rsidR="004D72E6" w:rsidRPr="00804630" w:rsidRDefault="004D72E6" w:rsidP="00804630">
            <w:pPr>
              <w:spacing w:before="40"/>
            </w:pPr>
            <w:r w:rsidRPr="00804630">
              <w:t>Ms Geraldine Robertson</w:t>
            </w:r>
          </w:p>
        </w:tc>
        <w:tc>
          <w:tcPr>
            <w:tcW w:w="2206" w:type="pct"/>
          </w:tcPr>
          <w:p w14:paraId="35110E25" w14:textId="77777777" w:rsidR="004D72E6" w:rsidRPr="00804630" w:rsidRDefault="004D72E6" w:rsidP="00804630">
            <w:pPr>
              <w:spacing w:before="40"/>
            </w:pPr>
            <w:r w:rsidRPr="00804630">
              <w:t>Consumer Representative, Consumers Health Forum &amp; Breast Cancer Network Australia</w:t>
            </w:r>
          </w:p>
        </w:tc>
        <w:tc>
          <w:tcPr>
            <w:tcW w:w="1490" w:type="pct"/>
          </w:tcPr>
          <w:p w14:paraId="6A585F54" w14:textId="77777777" w:rsidR="004D72E6" w:rsidRPr="00804630" w:rsidRDefault="004D72E6" w:rsidP="00804630">
            <w:pPr>
              <w:spacing w:before="40"/>
            </w:pPr>
            <w:r w:rsidRPr="00804630">
              <w:t>Nil</w:t>
            </w:r>
          </w:p>
        </w:tc>
      </w:tr>
      <w:tr w:rsidR="004D72E6" w:rsidRPr="00804630" w14:paraId="61BF7A8F" w14:textId="77777777" w:rsidTr="0006464C">
        <w:trPr>
          <w:trHeight w:val="300"/>
        </w:trPr>
        <w:tc>
          <w:tcPr>
            <w:tcW w:w="1304" w:type="pct"/>
            <w:hideMark/>
          </w:tcPr>
          <w:p w14:paraId="5E713730" w14:textId="77777777" w:rsidR="004D72E6" w:rsidRPr="00804630" w:rsidRDefault="004D72E6" w:rsidP="00804630">
            <w:pPr>
              <w:spacing w:before="40"/>
            </w:pPr>
            <w:r w:rsidRPr="00804630">
              <w:t>Dr Bastian Seidel</w:t>
            </w:r>
          </w:p>
        </w:tc>
        <w:tc>
          <w:tcPr>
            <w:tcW w:w="2206" w:type="pct"/>
          </w:tcPr>
          <w:p w14:paraId="385F0860" w14:textId="06660E6A" w:rsidR="004D72E6" w:rsidRPr="00804630" w:rsidRDefault="004D72E6" w:rsidP="002759EB">
            <w:pPr>
              <w:spacing w:before="40"/>
            </w:pPr>
            <w:r w:rsidRPr="00804630">
              <w:t>Director, Huon Valley Health Centre</w:t>
            </w:r>
            <w:r w:rsidR="002759EB">
              <w:t xml:space="preserve">; </w:t>
            </w:r>
            <w:r w:rsidRPr="00804630">
              <w:t>Clinical Professor, Faculty of Health, University of Tasmania</w:t>
            </w:r>
            <w:r w:rsidR="00360A3F">
              <w:t xml:space="preserve">; </w:t>
            </w:r>
            <w:r w:rsidRPr="00804630">
              <w:t>Chair, Tasmanian Faculty, The Royal Australian College of General Practitioners</w:t>
            </w:r>
            <w:r w:rsidR="00360A3F">
              <w:t xml:space="preserve">; </w:t>
            </w:r>
            <w:r w:rsidRPr="00804630">
              <w:t>General Practitioner, Private practice</w:t>
            </w:r>
          </w:p>
        </w:tc>
        <w:tc>
          <w:tcPr>
            <w:tcW w:w="1490" w:type="pct"/>
          </w:tcPr>
          <w:p w14:paraId="30D11FD8" w14:textId="77777777" w:rsidR="004D72E6" w:rsidRPr="00804630" w:rsidRDefault="004D72E6" w:rsidP="00804630">
            <w:pPr>
              <w:spacing w:before="40"/>
            </w:pPr>
            <w:r w:rsidRPr="00804630">
              <w:t>User of MBS services</w:t>
            </w:r>
          </w:p>
        </w:tc>
      </w:tr>
      <w:tr w:rsidR="004D72E6" w:rsidRPr="00804630" w14:paraId="2F5C5981" w14:textId="77777777" w:rsidTr="0006464C">
        <w:trPr>
          <w:trHeight w:val="315"/>
        </w:trPr>
        <w:tc>
          <w:tcPr>
            <w:tcW w:w="1304" w:type="pct"/>
            <w:hideMark/>
          </w:tcPr>
          <w:p w14:paraId="09CD98AB" w14:textId="77777777" w:rsidR="004D72E6" w:rsidRPr="00804630" w:rsidRDefault="004D72E6" w:rsidP="00804630">
            <w:pPr>
              <w:spacing w:before="40"/>
            </w:pPr>
            <w:r w:rsidRPr="00804630">
              <w:t>Dr Matthew Andrews</w:t>
            </w:r>
          </w:p>
        </w:tc>
        <w:tc>
          <w:tcPr>
            <w:tcW w:w="2206" w:type="pct"/>
          </w:tcPr>
          <w:p w14:paraId="2F668DFF" w14:textId="77777777" w:rsidR="004D72E6" w:rsidRPr="00804630" w:rsidRDefault="004D72E6" w:rsidP="00804630">
            <w:pPr>
              <w:spacing w:before="40"/>
            </w:pPr>
            <w:r w:rsidRPr="00804630">
              <w:t>MBS Review Taskforce (Ex-Officio)</w:t>
            </w:r>
          </w:p>
        </w:tc>
        <w:tc>
          <w:tcPr>
            <w:tcW w:w="1490" w:type="pct"/>
          </w:tcPr>
          <w:p w14:paraId="0C623A1E" w14:textId="77777777" w:rsidR="004D72E6" w:rsidRPr="00804630" w:rsidRDefault="004D72E6" w:rsidP="00804630">
            <w:pPr>
              <w:spacing w:before="40"/>
            </w:pPr>
            <w:r w:rsidRPr="00804630">
              <w:t>User of MBS services</w:t>
            </w:r>
          </w:p>
        </w:tc>
      </w:tr>
    </w:tbl>
    <w:p w14:paraId="68E4FB80" w14:textId="77777777" w:rsidR="00682323" w:rsidRDefault="00682323" w:rsidP="002A2507">
      <w:pPr>
        <w:rPr>
          <w:rFonts w:eastAsiaTheme="minorHAnsi"/>
          <w:lang w:val="en-US" w:eastAsia="en-US"/>
        </w:rPr>
      </w:pPr>
      <w:r>
        <w:br w:type="page"/>
      </w:r>
    </w:p>
    <w:p w14:paraId="04E28415" w14:textId="072671B6" w:rsidR="004D72E6" w:rsidRPr="009200D8" w:rsidRDefault="004D72E6" w:rsidP="007E02E9">
      <w:pPr>
        <w:pStyle w:val="Heading2Report"/>
      </w:pPr>
      <w:bookmarkStart w:id="23" w:name="_Toc459707266"/>
      <w:r w:rsidRPr="009200D8">
        <w:lastRenderedPageBreak/>
        <w:t>B</w:t>
      </w:r>
      <w:r>
        <w:t>one Densitometry Working Group m</w:t>
      </w:r>
      <w:r w:rsidRPr="009200D8">
        <w:t>embers</w:t>
      </w:r>
      <w:bookmarkEnd w:id="23"/>
    </w:p>
    <w:p w14:paraId="00F1C16C" w14:textId="0C2D48BE" w:rsidR="004D72E6" w:rsidRPr="00703DC7" w:rsidRDefault="004D72E6">
      <w:pPr>
        <w:pStyle w:val="Caption"/>
      </w:pPr>
      <w:bookmarkStart w:id="24" w:name="_Toc457126660"/>
      <w:r w:rsidRPr="00703DC7">
        <w:t xml:space="preserve">Table </w:t>
      </w:r>
      <w:fldSimple w:instr=" SEQ Table \* ARABIC ">
        <w:r w:rsidR="00E82A84">
          <w:rPr>
            <w:noProof/>
          </w:rPr>
          <w:t>2</w:t>
        </w:r>
      </w:fldSimple>
      <w:r>
        <w:t>:</w:t>
      </w:r>
      <w:r>
        <w:tab/>
      </w:r>
      <w:r w:rsidRPr="00703DC7">
        <w:t>Bone Densitometry Working Group Members</w:t>
      </w:r>
      <w:bookmarkEnd w:id="24"/>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2 lists Bone Densitometry Working Groups members. This table contains 3 column headings: name, position and/or organisation, and declared conflict of interest."/>
      </w:tblPr>
      <w:tblGrid>
        <w:gridCol w:w="2354"/>
        <w:gridCol w:w="3982"/>
        <w:gridCol w:w="2690"/>
      </w:tblGrid>
      <w:tr w:rsidR="004D72E6" w:rsidRPr="00F648DD" w14:paraId="5FD72D77" w14:textId="77777777" w:rsidTr="0006464C">
        <w:trPr>
          <w:tblHeader/>
        </w:trPr>
        <w:tc>
          <w:tcPr>
            <w:tcW w:w="1304" w:type="pct"/>
            <w:shd w:val="clear" w:color="auto" w:fill="auto"/>
          </w:tcPr>
          <w:p w14:paraId="5595EAA7" w14:textId="77777777" w:rsidR="004D72E6" w:rsidRPr="00F648DD" w:rsidRDefault="004D72E6" w:rsidP="00F648DD">
            <w:pPr>
              <w:rPr>
                <w:b/>
              </w:rPr>
            </w:pPr>
            <w:r w:rsidRPr="00F648DD">
              <w:rPr>
                <w:b/>
              </w:rPr>
              <w:t>Name</w:t>
            </w:r>
          </w:p>
        </w:tc>
        <w:tc>
          <w:tcPr>
            <w:tcW w:w="2206" w:type="pct"/>
            <w:shd w:val="clear" w:color="auto" w:fill="auto"/>
          </w:tcPr>
          <w:p w14:paraId="7357FF21" w14:textId="77777777" w:rsidR="004D72E6" w:rsidRPr="00F648DD" w:rsidRDefault="004D72E6" w:rsidP="00F648DD">
            <w:pPr>
              <w:rPr>
                <w:b/>
              </w:rPr>
            </w:pPr>
            <w:r w:rsidRPr="00F648DD">
              <w:rPr>
                <w:b/>
              </w:rPr>
              <w:t>Position/Organisation</w:t>
            </w:r>
          </w:p>
        </w:tc>
        <w:tc>
          <w:tcPr>
            <w:tcW w:w="1490" w:type="pct"/>
            <w:shd w:val="clear" w:color="auto" w:fill="auto"/>
          </w:tcPr>
          <w:p w14:paraId="11E380F7" w14:textId="77777777" w:rsidR="004D72E6" w:rsidRPr="00F648DD" w:rsidRDefault="004D72E6" w:rsidP="00F648DD">
            <w:pPr>
              <w:rPr>
                <w:b/>
              </w:rPr>
            </w:pPr>
            <w:r w:rsidRPr="00F648DD">
              <w:rPr>
                <w:b/>
              </w:rPr>
              <w:t>Declared conflict of interest</w:t>
            </w:r>
          </w:p>
        </w:tc>
      </w:tr>
      <w:tr w:rsidR="004D72E6" w:rsidRPr="00DA7BF2" w14:paraId="5B3D033B" w14:textId="77777777" w:rsidTr="0006464C">
        <w:tc>
          <w:tcPr>
            <w:tcW w:w="1304" w:type="pct"/>
          </w:tcPr>
          <w:p w14:paraId="5CF80EBD" w14:textId="77777777" w:rsidR="004D72E6" w:rsidRPr="00804630" w:rsidRDefault="004D72E6" w:rsidP="00804630">
            <w:pPr>
              <w:spacing w:before="40"/>
            </w:pPr>
            <w:r w:rsidRPr="00804630">
              <w:t xml:space="preserve">Professor Rachael </w:t>
            </w:r>
            <w:proofErr w:type="spellStart"/>
            <w:r w:rsidRPr="00804630">
              <w:t>Moorin</w:t>
            </w:r>
            <w:proofErr w:type="spellEnd"/>
            <w:r w:rsidRPr="00804630">
              <w:t xml:space="preserve"> (Chair)</w:t>
            </w:r>
          </w:p>
        </w:tc>
        <w:tc>
          <w:tcPr>
            <w:tcW w:w="2206" w:type="pct"/>
          </w:tcPr>
          <w:p w14:paraId="2870FD47" w14:textId="42952602" w:rsidR="004D72E6" w:rsidRPr="00804630" w:rsidRDefault="004D72E6" w:rsidP="00360A3F">
            <w:pPr>
              <w:spacing w:before="40"/>
            </w:pPr>
            <w:r w:rsidRPr="00804630">
              <w:t xml:space="preserve">Professor, Health Systems &amp; Economics, School of Public Health, Curtin </w:t>
            </w:r>
            <w:r w:rsidRPr="00360A3F">
              <w:t>University</w:t>
            </w:r>
            <w:r w:rsidR="00360A3F" w:rsidRPr="00360A3F">
              <w:t xml:space="preserve">; </w:t>
            </w:r>
            <w:r w:rsidRPr="00360A3F">
              <w:t>Principal Investigator, Health Centre of</w:t>
            </w:r>
            <w:r w:rsidRPr="00804630">
              <w:t xml:space="preserve"> Excellence, Silver Chain Group</w:t>
            </w:r>
          </w:p>
        </w:tc>
        <w:tc>
          <w:tcPr>
            <w:tcW w:w="1490" w:type="pct"/>
          </w:tcPr>
          <w:p w14:paraId="11B15600" w14:textId="77777777" w:rsidR="004D72E6" w:rsidRPr="00804630" w:rsidRDefault="004D72E6" w:rsidP="00804630">
            <w:pPr>
              <w:spacing w:before="40"/>
            </w:pPr>
            <w:r w:rsidRPr="00804630">
              <w:t>Nil</w:t>
            </w:r>
          </w:p>
        </w:tc>
      </w:tr>
      <w:tr w:rsidR="004D72E6" w:rsidRPr="00DA7BF2" w14:paraId="3791A1C4" w14:textId="77777777" w:rsidTr="0006464C">
        <w:tc>
          <w:tcPr>
            <w:tcW w:w="1304" w:type="pct"/>
          </w:tcPr>
          <w:p w14:paraId="4EB1E857" w14:textId="77777777" w:rsidR="004D72E6" w:rsidRPr="00804630" w:rsidRDefault="004D72E6" w:rsidP="00804630">
            <w:pPr>
              <w:spacing w:before="40"/>
            </w:pPr>
            <w:r w:rsidRPr="00804630">
              <w:t>Dr William Macdonald</w:t>
            </w:r>
          </w:p>
        </w:tc>
        <w:tc>
          <w:tcPr>
            <w:tcW w:w="2206" w:type="pct"/>
          </w:tcPr>
          <w:p w14:paraId="2164EBC1" w14:textId="5ED8C1E5" w:rsidR="004D72E6" w:rsidRPr="00804630" w:rsidRDefault="004D72E6" w:rsidP="00FC3CA4">
            <w:pPr>
              <w:spacing w:before="40"/>
            </w:pPr>
            <w:r w:rsidRPr="00804630">
              <w:t>Executive Director, Imaging West</w:t>
            </w:r>
            <w:r w:rsidR="00FC3CA4">
              <w:t xml:space="preserve">; </w:t>
            </w:r>
            <w:r w:rsidRPr="00804630">
              <w:t>Head, Nuclear Medicine, Fiona Stanley Hospital</w:t>
            </w:r>
            <w:r w:rsidR="00360A3F">
              <w:t xml:space="preserve">; </w:t>
            </w:r>
            <w:r w:rsidRPr="00804630">
              <w:t>President, Australasian Association of Nuclear Medicine Specialists</w:t>
            </w:r>
          </w:p>
        </w:tc>
        <w:tc>
          <w:tcPr>
            <w:tcW w:w="1490" w:type="pct"/>
          </w:tcPr>
          <w:p w14:paraId="37B50BC7" w14:textId="77777777" w:rsidR="004D72E6" w:rsidRPr="00804630" w:rsidRDefault="004D72E6" w:rsidP="00804630">
            <w:pPr>
              <w:spacing w:before="40"/>
            </w:pPr>
            <w:r w:rsidRPr="00804630">
              <w:t>User of MBS services</w:t>
            </w:r>
          </w:p>
        </w:tc>
      </w:tr>
      <w:tr w:rsidR="004D72E6" w:rsidRPr="00DA7BF2" w14:paraId="5F13038E" w14:textId="77777777" w:rsidTr="00360A3F">
        <w:trPr>
          <w:trHeight w:val="1454"/>
        </w:trPr>
        <w:tc>
          <w:tcPr>
            <w:tcW w:w="1304" w:type="pct"/>
          </w:tcPr>
          <w:p w14:paraId="68F7B930" w14:textId="77777777" w:rsidR="004D72E6" w:rsidRPr="00804630" w:rsidRDefault="004D72E6" w:rsidP="00804630">
            <w:pPr>
              <w:spacing w:before="40"/>
            </w:pPr>
            <w:r w:rsidRPr="00804630">
              <w:t xml:space="preserve">Dr Walid </w:t>
            </w:r>
            <w:proofErr w:type="spellStart"/>
            <w:r w:rsidRPr="00804630">
              <w:t>Jammal</w:t>
            </w:r>
            <w:proofErr w:type="spellEnd"/>
          </w:p>
        </w:tc>
        <w:tc>
          <w:tcPr>
            <w:tcW w:w="2206" w:type="pct"/>
          </w:tcPr>
          <w:p w14:paraId="02D28A56" w14:textId="22E74D62" w:rsidR="00490F36" w:rsidRPr="00804630" w:rsidRDefault="004D72E6" w:rsidP="00360A3F">
            <w:pPr>
              <w:spacing w:before="40"/>
            </w:pPr>
            <w:r w:rsidRPr="00804630">
              <w:t>Clinical Lecturer, Faculty of Medicine, University of Sydney</w:t>
            </w:r>
            <w:r w:rsidR="00360A3F">
              <w:t xml:space="preserve">; </w:t>
            </w:r>
            <w:r w:rsidRPr="00804630">
              <w:t>Conjoint Senior Lecturer, School of Medicine, University of Western Sydney</w:t>
            </w:r>
            <w:r w:rsidR="00360A3F">
              <w:t xml:space="preserve">; </w:t>
            </w:r>
            <w:r w:rsidRPr="00804630">
              <w:t>Private practice</w:t>
            </w:r>
          </w:p>
        </w:tc>
        <w:tc>
          <w:tcPr>
            <w:tcW w:w="1490" w:type="pct"/>
          </w:tcPr>
          <w:p w14:paraId="6211C72D" w14:textId="77777777" w:rsidR="004D72E6" w:rsidRPr="00804630" w:rsidRDefault="004D72E6" w:rsidP="00804630">
            <w:pPr>
              <w:spacing w:before="40"/>
            </w:pPr>
            <w:r w:rsidRPr="00804630">
              <w:t>User of MBS services</w:t>
            </w:r>
          </w:p>
        </w:tc>
      </w:tr>
      <w:tr w:rsidR="004D72E6" w:rsidRPr="00DA7BF2" w14:paraId="7A17B69D" w14:textId="77777777" w:rsidTr="0006464C">
        <w:tc>
          <w:tcPr>
            <w:tcW w:w="1304" w:type="pct"/>
          </w:tcPr>
          <w:p w14:paraId="777C593E" w14:textId="77777777" w:rsidR="004D72E6" w:rsidRPr="00804630" w:rsidRDefault="004D72E6" w:rsidP="00804630">
            <w:pPr>
              <w:spacing w:before="40"/>
            </w:pPr>
            <w:r w:rsidRPr="00804630">
              <w:t>Dr Peter Downey</w:t>
            </w:r>
          </w:p>
        </w:tc>
        <w:tc>
          <w:tcPr>
            <w:tcW w:w="2206" w:type="pct"/>
          </w:tcPr>
          <w:p w14:paraId="7878869F" w14:textId="77777777" w:rsidR="004D72E6" w:rsidRPr="00804630" w:rsidRDefault="004D72E6" w:rsidP="00804630">
            <w:pPr>
              <w:spacing w:before="40"/>
            </w:pPr>
            <w:r w:rsidRPr="00804630">
              <w:t>Flinders Southern Adelaide Clinical School, Medical Imaging, Flinders University</w:t>
            </w:r>
          </w:p>
        </w:tc>
        <w:tc>
          <w:tcPr>
            <w:tcW w:w="1490" w:type="pct"/>
          </w:tcPr>
          <w:p w14:paraId="42D17F91" w14:textId="77777777" w:rsidR="004D72E6" w:rsidRPr="00804630" w:rsidRDefault="004D72E6" w:rsidP="00804630">
            <w:pPr>
              <w:spacing w:before="40"/>
            </w:pPr>
            <w:r w:rsidRPr="00804630">
              <w:t>User of MBS services</w:t>
            </w:r>
          </w:p>
        </w:tc>
      </w:tr>
      <w:tr w:rsidR="004D72E6" w:rsidRPr="00DA7BF2" w14:paraId="780CD8AF" w14:textId="77777777" w:rsidTr="0006464C">
        <w:tc>
          <w:tcPr>
            <w:tcW w:w="1304" w:type="pct"/>
          </w:tcPr>
          <w:p w14:paraId="7AC5962C" w14:textId="77777777" w:rsidR="004D72E6" w:rsidRPr="00804630" w:rsidRDefault="004D72E6" w:rsidP="00804630">
            <w:pPr>
              <w:spacing w:before="40"/>
            </w:pPr>
            <w:r w:rsidRPr="00804630">
              <w:t xml:space="preserve">Dr Merle </w:t>
            </w:r>
            <w:proofErr w:type="spellStart"/>
            <w:r w:rsidRPr="00804630">
              <w:t>Wigeson</w:t>
            </w:r>
            <w:proofErr w:type="spellEnd"/>
          </w:p>
        </w:tc>
        <w:tc>
          <w:tcPr>
            <w:tcW w:w="2206" w:type="pct"/>
          </w:tcPr>
          <w:p w14:paraId="091F20FB" w14:textId="77777777" w:rsidR="004D72E6" w:rsidRPr="00804630" w:rsidRDefault="004D72E6" w:rsidP="00804630">
            <w:pPr>
              <w:spacing w:before="40"/>
            </w:pPr>
            <w:r w:rsidRPr="00804630">
              <w:t>Diagnostic Radiologist, PRS</w:t>
            </w:r>
          </w:p>
        </w:tc>
        <w:tc>
          <w:tcPr>
            <w:tcW w:w="1490" w:type="pct"/>
          </w:tcPr>
          <w:p w14:paraId="0A40EE91" w14:textId="77777777" w:rsidR="004D72E6" w:rsidRPr="00804630" w:rsidRDefault="004D72E6" w:rsidP="00804630">
            <w:pPr>
              <w:spacing w:before="40"/>
            </w:pPr>
            <w:r w:rsidRPr="00804630">
              <w:t>User of MBS services</w:t>
            </w:r>
          </w:p>
        </w:tc>
      </w:tr>
      <w:tr w:rsidR="004D72E6" w:rsidRPr="00DA7BF2" w14:paraId="6BEED746" w14:textId="77777777" w:rsidTr="0006464C">
        <w:tc>
          <w:tcPr>
            <w:tcW w:w="1304" w:type="pct"/>
          </w:tcPr>
          <w:p w14:paraId="1FE1B1A1" w14:textId="77777777" w:rsidR="004D72E6" w:rsidRPr="00804630" w:rsidRDefault="004D72E6" w:rsidP="00804630">
            <w:pPr>
              <w:spacing w:before="40"/>
            </w:pPr>
            <w:r w:rsidRPr="00804630">
              <w:t>A/Professor Nicholas Pocock</w:t>
            </w:r>
          </w:p>
        </w:tc>
        <w:tc>
          <w:tcPr>
            <w:tcW w:w="2206" w:type="pct"/>
          </w:tcPr>
          <w:p w14:paraId="28381936" w14:textId="0827E5E9" w:rsidR="004D72E6" w:rsidRPr="00804630" w:rsidRDefault="004D72E6" w:rsidP="00360A3F">
            <w:pPr>
              <w:spacing w:before="40"/>
            </w:pPr>
            <w:r w:rsidRPr="00804630">
              <w:t>Senior Staff Specialist, Nuclear Medicine, St Vincent’s Hospital</w:t>
            </w:r>
            <w:r w:rsidR="00360A3F">
              <w:t xml:space="preserve">; </w:t>
            </w:r>
            <w:r w:rsidRPr="00804630">
              <w:t>Associate Professor, University of New South Wales</w:t>
            </w:r>
          </w:p>
        </w:tc>
        <w:tc>
          <w:tcPr>
            <w:tcW w:w="1490" w:type="pct"/>
          </w:tcPr>
          <w:p w14:paraId="71F1FFCA" w14:textId="20167EE5" w:rsidR="004D72E6" w:rsidRPr="00804630" w:rsidRDefault="004D72E6" w:rsidP="00FC3CA4">
            <w:pPr>
              <w:spacing w:before="40"/>
            </w:pPr>
            <w:r w:rsidRPr="00804630">
              <w:t>Interest in a bone densitometry business</w:t>
            </w:r>
            <w:r w:rsidR="00FC3CA4">
              <w:t>; u</w:t>
            </w:r>
            <w:r w:rsidRPr="00804630">
              <w:t>ser of MBS services</w:t>
            </w:r>
          </w:p>
        </w:tc>
      </w:tr>
      <w:tr w:rsidR="004D72E6" w:rsidRPr="00DA7BF2" w14:paraId="175160B1" w14:textId="77777777" w:rsidTr="0006464C">
        <w:tc>
          <w:tcPr>
            <w:tcW w:w="1304" w:type="pct"/>
          </w:tcPr>
          <w:p w14:paraId="44C5920A" w14:textId="77777777" w:rsidR="004D72E6" w:rsidRPr="00804630" w:rsidRDefault="004D72E6" w:rsidP="00804630">
            <w:pPr>
              <w:spacing w:before="40"/>
            </w:pPr>
            <w:r w:rsidRPr="00804630">
              <w:t xml:space="preserve">Dr Simon </w:t>
            </w:r>
            <w:proofErr w:type="spellStart"/>
            <w:r w:rsidRPr="00804630">
              <w:t>Vanlint</w:t>
            </w:r>
            <w:proofErr w:type="spellEnd"/>
          </w:p>
        </w:tc>
        <w:tc>
          <w:tcPr>
            <w:tcW w:w="2206" w:type="pct"/>
          </w:tcPr>
          <w:p w14:paraId="5955778F" w14:textId="43BFA3BA" w:rsidR="004D72E6" w:rsidRPr="00804630" w:rsidRDefault="004D72E6" w:rsidP="00360A3F">
            <w:pPr>
              <w:spacing w:before="40"/>
            </w:pPr>
            <w:r w:rsidRPr="00804630">
              <w:t>Senior lecturer, Discipline of General Practice, University of Adelaide</w:t>
            </w:r>
            <w:r w:rsidR="00360A3F">
              <w:t xml:space="preserve">; </w:t>
            </w:r>
            <w:r w:rsidRPr="00804630">
              <w:t>Private practice</w:t>
            </w:r>
          </w:p>
        </w:tc>
        <w:tc>
          <w:tcPr>
            <w:tcW w:w="1490" w:type="pct"/>
          </w:tcPr>
          <w:p w14:paraId="3ED89ED0" w14:textId="77777777" w:rsidR="004D72E6" w:rsidRPr="00804630" w:rsidRDefault="004D72E6" w:rsidP="00804630">
            <w:pPr>
              <w:spacing w:before="40"/>
            </w:pPr>
            <w:r w:rsidRPr="00804630">
              <w:t>User of MBS services</w:t>
            </w:r>
          </w:p>
        </w:tc>
      </w:tr>
    </w:tbl>
    <w:p w14:paraId="27F71296" w14:textId="65A37B8D" w:rsidR="004D72E6" w:rsidRPr="009200D8" w:rsidRDefault="004D72E6" w:rsidP="007E02E9">
      <w:pPr>
        <w:pStyle w:val="Heading2Report"/>
      </w:pPr>
      <w:bookmarkStart w:id="25" w:name="_Toc459707267"/>
      <w:r>
        <w:t>Conflicts of i</w:t>
      </w:r>
      <w:r w:rsidRPr="009200D8">
        <w:t>nterest</w:t>
      </w:r>
      <w:bookmarkEnd w:id="25"/>
    </w:p>
    <w:p w14:paraId="4C90C561" w14:textId="77777777" w:rsidR="004D72E6" w:rsidRPr="009D0EED" w:rsidRDefault="004D72E6" w:rsidP="003F788A">
      <w:pPr>
        <w:spacing w:before="120" w:after="120"/>
        <w:rPr>
          <w:rFonts w:cs="Arial"/>
          <w:lang w:val="en-US" w:eastAsia="en-US"/>
        </w:rPr>
      </w:pPr>
      <w:r w:rsidRPr="009D0EED">
        <w:rPr>
          <w:rFonts w:cs="Arial"/>
          <w:lang w:val="en-US" w:eastAsia="en-US"/>
        </w:rPr>
        <w:t>All members of the Taskforce, Clinical Committees and Working Groups are asked to declare any conflicts of interest at the start of their involvement and reminded to update their declarations periodically.</w:t>
      </w:r>
    </w:p>
    <w:p w14:paraId="68F0FF9D" w14:textId="74546B1D" w:rsidR="004D72E6" w:rsidRPr="005508A4" w:rsidRDefault="004D72E6" w:rsidP="007E02E9">
      <w:pPr>
        <w:pStyle w:val="Heading2Report"/>
      </w:pPr>
      <w:bookmarkStart w:id="26" w:name="_Toc442357881"/>
      <w:bookmarkStart w:id="27" w:name="_Toc443642272"/>
      <w:bookmarkStart w:id="28" w:name="_Toc459707268"/>
      <w:r w:rsidRPr="005508A4">
        <w:t>Meeting dates</w:t>
      </w:r>
      <w:bookmarkEnd w:id="26"/>
      <w:bookmarkEnd w:id="27"/>
      <w:bookmarkEnd w:id="28"/>
    </w:p>
    <w:p w14:paraId="5D08B510" w14:textId="05B28EAE" w:rsidR="004D72E6" w:rsidRPr="00815635" w:rsidRDefault="004D72E6" w:rsidP="00815635">
      <w:pPr>
        <w:rPr>
          <w:rFonts w:eastAsiaTheme="minorHAnsi"/>
          <w:highlight w:val="lightGray"/>
        </w:rPr>
      </w:pPr>
      <w:r w:rsidRPr="00815635">
        <w:t>The Clinical Committee met on 23 October 2015 and 20 November 2015.</w:t>
      </w:r>
      <w:r w:rsidRPr="00815635">
        <w:rPr>
          <w:highlight w:val="lightGray"/>
        </w:rPr>
        <w:br w:type="page"/>
      </w:r>
    </w:p>
    <w:p w14:paraId="28813964" w14:textId="059426DD" w:rsidR="004D72E6" w:rsidRPr="009200D8" w:rsidRDefault="004D72E6" w:rsidP="007E02E9">
      <w:pPr>
        <w:pStyle w:val="Heading1"/>
      </w:pPr>
      <w:bookmarkStart w:id="29" w:name="_Toc459707269"/>
      <w:r w:rsidRPr="009200D8">
        <w:lastRenderedPageBreak/>
        <w:t>Areas of responsibility of the Bone Densitometry Working Group</w:t>
      </w:r>
      <w:bookmarkEnd w:id="29"/>
    </w:p>
    <w:p w14:paraId="00838733" w14:textId="77777777" w:rsidR="004D72E6" w:rsidRPr="00253F2C" w:rsidRDefault="004D72E6" w:rsidP="003F788A">
      <w:pPr>
        <w:spacing w:before="120" w:after="120"/>
        <w:rPr>
          <w:rFonts w:cs="Arial"/>
          <w:szCs w:val="22"/>
          <w:lang w:val="en-US" w:eastAsia="en-US"/>
        </w:rPr>
      </w:pPr>
      <w:r w:rsidRPr="009D0EED">
        <w:rPr>
          <w:rFonts w:cs="Arial"/>
          <w:lang w:val="en-US" w:eastAsia="en-US"/>
        </w:rPr>
        <w:t xml:space="preserve">The following seven MBS items, </w:t>
      </w:r>
      <w:r w:rsidRPr="009D0EED">
        <w:rPr>
          <w:rFonts w:cs="Arial"/>
          <w:szCs w:val="22"/>
          <w:lang w:val="en-US" w:eastAsia="en-US"/>
        </w:rPr>
        <w:t xml:space="preserve">listed </w:t>
      </w:r>
      <w:r w:rsidRPr="009D0EED">
        <w:rPr>
          <w:rFonts w:cs="Arial"/>
          <w:szCs w:val="22"/>
        </w:rPr>
        <w:t xml:space="preserve">in </w:t>
      </w:r>
      <w:r w:rsidRPr="009200D8">
        <w:rPr>
          <w:rFonts w:cs="Arial"/>
          <w:szCs w:val="22"/>
        </w:rPr>
        <w:fldChar w:fldCharType="begin"/>
      </w:r>
      <w:r w:rsidRPr="009D0EED">
        <w:rPr>
          <w:rFonts w:cs="Arial"/>
          <w:szCs w:val="22"/>
        </w:rPr>
        <w:instrText xml:space="preserve"> REF _Ref456020023 \h  \* MERGEFORMAT </w:instrText>
      </w:r>
      <w:r w:rsidRPr="009200D8">
        <w:rPr>
          <w:rFonts w:cs="Arial"/>
          <w:szCs w:val="22"/>
        </w:rPr>
      </w:r>
      <w:r w:rsidRPr="009200D8">
        <w:rPr>
          <w:rFonts w:cs="Arial"/>
          <w:szCs w:val="22"/>
        </w:rPr>
        <w:fldChar w:fldCharType="separate"/>
      </w:r>
      <w:r w:rsidR="00E82A84" w:rsidRPr="00E82A84">
        <w:rPr>
          <w:rFonts w:cs="Arial"/>
          <w:szCs w:val="22"/>
        </w:rPr>
        <w:t xml:space="preserve">Table </w:t>
      </w:r>
      <w:r w:rsidR="00E82A84" w:rsidRPr="00E82A84">
        <w:rPr>
          <w:rFonts w:cs="Arial"/>
          <w:noProof/>
          <w:szCs w:val="22"/>
        </w:rPr>
        <w:t>3</w:t>
      </w:r>
      <w:r w:rsidRPr="009200D8">
        <w:rPr>
          <w:rFonts w:cs="Arial"/>
          <w:szCs w:val="22"/>
        </w:rPr>
        <w:fldChar w:fldCharType="end"/>
      </w:r>
      <w:r w:rsidRPr="009200D8">
        <w:rPr>
          <w:rFonts w:cs="Arial"/>
          <w:szCs w:val="22"/>
        </w:rPr>
        <w:t xml:space="preserve">, </w:t>
      </w:r>
      <w:r w:rsidRPr="009200D8">
        <w:rPr>
          <w:rFonts w:cs="Arial"/>
          <w:szCs w:val="22"/>
          <w:lang w:val="en-US" w:eastAsia="en-US"/>
        </w:rPr>
        <w:t>were identified for review by the Working Group</w:t>
      </w:r>
      <w:r w:rsidRPr="00253F2C">
        <w:rPr>
          <w:rFonts w:cs="Arial"/>
          <w:szCs w:val="22"/>
          <w:lang w:val="en-US" w:eastAsia="en-US"/>
        </w:rPr>
        <w:t>.</w:t>
      </w:r>
    </w:p>
    <w:p w14:paraId="50E66926" w14:textId="7A9ED893" w:rsidR="004D72E6" w:rsidRPr="00623C5D" w:rsidRDefault="004D72E6">
      <w:pPr>
        <w:pStyle w:val="Caption"/>
      </w:pPr>
      <w:bookmarkStart w:id="30" w:name="_Ref456020023"/>
      <w:bookmarkStart w:id="31" w:name="_Ref456019843"/>
      <w:bookmarkStart w:id="32" w:name="_Toc457126661"/>
      <w:r w:rsidRPr="00623C5D">
        <w:t xml:space="preserve">Table </w:t>
      </w:r>
      <w:fldSimple w:instr=" SEQ Table \* ARABIC ">
        <w:r w:rsidR="00E82A84">
          <w:rPr>
            <w:noProof/>
          </w:rPr>
          <w:t>3</w:t>
        </w:r>
      </w:fldSimple>
      <w:bookmarkEnd w:id="30"/>
      <w:r>
        <w:t>:</w:t>
      </w:r>
      <w:r>
        <w:tab/>
      </w:r>
      <w:r w:rsidRPr="00623C5D">
        <w:t>List of MBS items identified for review by the Bone Densitometry Working Group</w:t>
      </w:r>
      <w:bookmarkEnd w:id="31"/>
      <w:bookmarkEnd w:id="32"/>
    </w:p>
    <w:tbl>
      <w:tblPr>
        <w:tblStyle w:val="TableGrid"/>
        <w:tblW w:w="8989"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ayout w:type="fixed"/>
        <w:tblCellMar>
          <w:left w:w="58" w:type="dxa"/>
          <w:right w:w="58" w:type="dxa"/>
        </w:tblCellMar>
        <w:tblLook w:val="04A0" w:firstRow="1" w:lastRow="0" w:firstColumn="1" w:lastColumn="0" w:noHBand="0" w:noVBand="1"/>
        <w:tblDescription w:val="Table 3 lists Medical Benefits Schedule items. This table contains 2 column headings: MBS item numbers and description of each number."/>
      </w:tblPr>
      <w:tblGrid>
        <w:gridCol w:w="1051"/>
        <w:gridCol w:w="7938"/>
      </w:tblGrid>
      <w:tr w:rsidR="004D72E6" w:rsidRPr="0006464C" w14:paraId="1E026F76" w14:textId="77777777" w:rsidTr="0006464C">
        <w:trPr>
          <w:tblHeader/>
        </w:trPr>
        <w:tc>
          <w:tcPr>
            <w:tcW w:w="1051" w:type="dxa"/>
            <w:vAlign w:val="bottom"/>
          </w:tcPr>
          <w:p w14:paraId="325CA46F" w14:textId="77777777" w:rsidR="004D72E6" w:rsidRPr="0006464C" w:rsidRDefault="004D72E6" w:rsidP="00804630">
            <w:pPr>
              <w:rPr>
                <w:b/>
              </w:rPr>
            </w:pPr>
            <w:r w:rsidRPr="0006464C">
              <w:rPr>
                <w:b/>
              </w:rPr>
              <w:t xml:space="preserve">Item </w:t>
            </w:r>
          </w:p>
        </w:tc>
        <w:tc>
          <w:tcPr>
            <w:tcW w:w="7938" w:type="dxa"/>
            <w:vAlign w:val="bottom"/>
          </w:tcPr>
          <w:p w14:paraId="271CFC29" w14:textId="77777777" w:rsidR="004D72E6" w:rsidRPr="0006464C" w:rsidRDefault="004D72E6" w:rsidP="00804630">
            <w:pPr>
              <w:rPr>
                <w:b/>
              </w:rPr>
            </w:pPr>
            <w:r w:rsidRPr="0006464C">
              <w:rPr>
                <w:b/>
              </w:rPr>
              <w:t xml:space="preserve">Short Descriptor </w:t>
            </w:r>
          </w:p>
        </w:tc>
      </w:tr>
      <w:tr w:rsidR="004D72E6" w:rsidRPr="00DA7BF2" w14:paraId="610EC777" w14:textId="77777777" w:rsidTr="0006464C">
        <w:tc>
          <w:tcPr>
            <w:tcW w:w="1051" w:type="dxa"/>
          </w:tcPr>
          <w:p w14:paraId="5E7ACF0B" w14:textId="77777777" w:rsidR="004D72E6" w:rsidRPr="00804630" w:rsidRDefault="004D72E6" w:rsidP="00804630">
            <w:pPr>
              <w:rPr>
                <w:b/>
                <w:highlight w:val="yellow"/>
              </w:rPr>
            </w:pPr>
            <w:r w:rsidRPr="00804630">
              <w:rPr>
                <w:b/>
              </w:rPr>
              <w:t>12306</w:t>
            </w:r>
          </w:p>
        </w:tc>
        <w:tc>
          <w:tcPr>
            <w:tcW w:w="7938" w:type="dxa"/>
          </w:tcPr>
          <w:p w14:paraId="2865B649" w14:textId="77777777" w:rsidR="004D72E6" w:rsidRPr="00DA7BF2" w:rsidRDefault="004D72E6" w:rsidP="00804630">
            <w:pPr>
              <w:rPr>
                <w:highlight w:val="yellow"/>
              </w:rPr>
            </w:pPr>
            <w:r w:rsidRPr="00DA7BF2">
              <w:t>Bone densitometry using DEXA for confirmation of low bone mineral density</w:t>
            </w:r>
          </w:p>
        </w:tc>
      </w:tr>
      <w:tr w:rsidR="004D72E6" w:rsidRPr="00DA7BF2" w14:paraId="0CF61C63" w14:textId="77777777" w:rsidTr="0006464C">
        <w:tc>
          <w:tcPr>
            <w:tcW w:w="1051" w:type="dxa"/>
          </w:tcPr>
          <w:p w14:paraId="0F06FBDF" w14:textId="77777777" w:rsidR="004D72E6" w:rsidRPr="00804630" w:rsidRDefault="004D72E6" w:rsidP="00804630">
            <w:pPr>
              <w:rPr>
                <w:b/>
                <w:highlight w:val="yellow"/>
              </w:rPr>
            </w:pPr>
            <w:r w:rsidRPr="00804630">
              <w:rPr>
                <w:b/>
              </w:rPr>
              <w:t>12309</w:t>
            </w:r>
          </w:p>
        </w:tc>
        <w:tc>
          <w:tcPr>
            <w:tcW w:w="7938" w:type="dxa"/>
          </w:tcPr>
          <w:p w14:paraId="19F9531C" w14:textId="77777777" w:rsidR="004D72E6" w:rsidRPr="00DA7BF2" w:rsidRDefault="004D72E6" w:rsidP="00804630">
            <w:pPr>
              <w:rPr>
                <w:highlight w:val="yellow"/>
              </w:rPr>
            </w:pPr>
            <w:r w:rsidRPr="00DA7BF2">
              <w:t>Bone densitometry using QCT for confirmation of low bone mineral density</w:t>
            </w:r>
          </w:p>
        </w:tc>
      </w:tr>
      <w:tr w:rsidR="004D72E6" w:rsidRPr="00DA7BF2" w14:paraId="3A48F56D" w14:textId="77777777" w:rsidTr="0006464C">
        <w:tc>
          <w:tcPr>
            <w:tcW w:w="1051" w:type="dxa"/>
          </w:tcPr>
          <w:p w14:paraId="58ABB2D1" w14:textId="77777777" w:rsidR="004D72E6" w:rsidRPr="00804630" w:rsidRDefault="004D72E6" w:rsidP="00804630">
            <w:pPr>
              <w:rPr>
                <w:b/>
              </w:rPr>
            </w:pPr>
            <w:r w:rsidRPr="00804630">
              <w:rPr>
                <w:b/>
              </w:rPr>
              <w:t>12312</w:t>
            </w:r>
          </w:p>
        </w:tc>
        <w:tc>
          <w:tcPr>
            <w:tcW w:w="7938" w:type="dxa"/>
          </w:tcPr>
          <w:p w14:paraId="4DF7E640" w14:textId="77777777" w:rsidR="004D72E6" w:rsidRPr="00DA7BF2" w:rsidRDefault="004D72E6" w:rsidP="00804630">
            <w:r w:rsidRPr="00DA7BF2">
              <w:t>Bone densitometry using DEXA for diagnosis and monitoring of bone loss, specified conditions</w:t>
            </w:r>
          </w:p>
        </w:tc>
      </w:tr>
      <w:tr w:rsidR="004D72E6" w:rsidRPr="00DA7BF2" w14:paraId="2B64C4E5" w14:textId="77777777" w:rsidTr="0006464C">
        <w:tc>
          <w:tcPr>
            <w:tcW w:w="1051" w:type="dxa"/>
          </w:tcPr>
          <w:p w14:paraId="1BFC17B6" w14:textId="77777777" w:rsidR="004D72E6" w:rsidRPr="00804630" w:rsidRDefault="004D72E6" w:rsidP="00804630">
            <w:pPr>
              <w:rPr>
                <w:b/>
              </w:rPr>
            </w:pPr>
            <w:r w:rsidRPr="00804630">
              <w:rPr>
                <w:b/>
              </w:rPr>
              <w:t>12315</w:t>
            </w:r>
          </w:p>
        </w:tc>
        <w:tc>
          <w:tcPr>
            <w:tcW w:w="7938" w:type="dxa"/>
          </w:tcPr>
          <w:p w14:paraId="3126750A" w14:textId="77777777" w:rsidR="004D72E6" w:rsidRPr="00DA7BF2" w:rsidRDefault="004D72E6" w:rsidP="00804630">
            <w:r w:rsidRPr="00DA7BF2">
              <w:t xml:space="preserve">Bone densitometry using DEXA for diagnosis and monitoring of bone loss, specified conditions </w:t>
            </w:r>
          </w:p>
        </w:tc>
      </w:tr>
      <w:tr w:rsidR="004D72E6" w:rsidRPr="00DA7BF2" w14:paraId="01B4CD92" w14:textId="77777777" w:rsidTr="0006464C">
        <w:tc>
          <w:tcPr>
            <w:tcW w:w="1051" w:type="dxa"/>
          </w:tcPr>
          <w:p w14:paraId="53E24AE0" w14:textId="77777777" w:rsidR="004D72E6" w:rsidRPr="00804630" w:rsidRDefault="004D72E6" w:rsidP="00804630">
            <w:pPr>
              <w:rPr>
                <w:b/>
              </w:rPr>
            </w:pPr>
            <w:r w:rsidRPr="00804630">
              <w:rPr>
                <w:b/>
              </w:rPr>
              <w:t>12318</w:t>
            </w:r>
          </w:p>
        </w:tc>
        <w:tc>
          <w:tcPr>
            <w:tcW w:w="7938" w:type="dxa"/>
          </w:tcPr>
          <w:p w14:paraId="2B5F4A5E" w14:textId="77777777" w:rsidR="004D72E6" w:rsidRPr="00DA7BF2" w:rsidRDefault="004D72E6" w:rsidP="00804630">
            <w:r w:rsidRPr="00DA7BF2">
              <w:t>Bone densitometry using QCT for diagnosis and monitoring of bone loss, specified conditions</w:t>
            </w:r>
          </w:p>
        </w:tc>
      </w:tr>
      <w:tr w:rsidR="004D72E6" w:rsidRPr="00DA7BF2" w14:paraId="4FB39895" w14:textId="77777777" w:rsidTr="0006464C">
        <w:tc>
          <w:tcPr>
            <w:tcW w:w="1051" w:type="dxa"/>
          </w:tcPr>
          <w:p w14:paraId="103F1037" w14:textId="77777777" w:rsidR="004D72E6" w:rsidRPr="00804630" w:rsidRDefault="004D72E6" w:rsidP="00804630">
            <w:pPr>
              <w:rPr>
                <w:b/>
              </w:rPr>
            </w:pPr>
            <w:r w:rsidRPr="00804630">
              <w:rPr>
                <w:b/>
              </w:rPr>
              <w:t>12321</w:t>
            </w:r>
          </w:p>
        </w:tc>
        <w:tc>
          <w:tcPr>
            <w:tcW w:w="7938" w:type="dxa"/>
          </w:tcPr>
          <w:p w14:paraId="5E5DCDF8" w14:textId="77777777" w:rsidR="004D72E6" w:rsidRPr="00DA7BF2" w:rsidRDefault="004D72E6" w:rsidP="00804630">
            <w:r w:rsidRPr="00DA7BF2">
              <w:t>Bone densitometry using DEXA for measurement of bone density</w:t>
            </w:r>
          </w:p>
        </w:tc>
      </w:tr>
      <w:tr w:rsidR="004D72E6" w:rsidRPr="00DA7BF2" w14:paraId="0C45FF18" w14:textId="77777777" w:rsidTr="0006464C">
        <w:tc>
          <w:tcPr>
            <w:tcW w:w="1051" w:type="dxa"/>
          </w:tcPr>
          <w:p w14:paraId="37F15EC7" w14:textId="77777777" w:rsidR="004D72E6" w:rsidRPr="00804630" w:rsidRDefault="004D72E6" w:rsidP="00804630">
            <w:pPr>
              <w:rPr>
                <w:b/>
              </w:rPr>
            </w:pPr>
            <w:r w:rsidRPr="00804630">
              <w:rPr>
                <w:b/>
              </w:rPr>
              <w:t>12323</w:t>
            </w:r>
          </w:p>
        </w:tc>
        <w:tc>
          <w:tcPr>
            <w:tcW w:w="7938" w:type="dxa"/>
          </w:tcPr>
          <w:p w14:paraId="41CDB92E" w14:textId="77777777" w:rsidR="004D72E6" w:rsidRPr="00DA7BF2" w:rsidRDefault="004D72E6" w:rsidP="00804630">
            <w:r w:rsidRPr="00DA7BF2">
              <w:t>Bone densitometry using DEXA or QCT for measurement of bone mineral density, patient aged 70 or more</w:t>
            </w:r>
          </w:p>
        </w:tc>
      </w:tr>
    </w:tbl>
    <w:p w14:paraId="6B13A1E2" w14:textId="77777777" w:rsidR="004D72E6" w:rsidRDefault="004D72E6" w:rsidP="00360A3F">
      <w:pPr>
        <w:rPr>
          <w:rFonts w:eastAsiaTheme="minorHAnsi"/>
          <w:lang w:val="en-US" w:eastAsia="en-US"/>
        </w:rPr>
      </w:pPr>
      <w:r>
        <w:br w:type="page"/>
      </w:r>
    </w:p>
    <w:p w14:paraId="7457E5FA" w14:textId="0A524D69" w:rsidR="004D72E6" w:rsidRPr="009200D8" w:rsidRDefault="004D72E6" w:rsidP="003F788A">
      <w:pPr>
        <w:pStyle w:val="Heading1"/>
      </w:pPr>
      <w:bookmarkStart w:id="33" w:name="_Toc459707270"/>
      <w:r w:rsidRPr="009200D8">
        <w:lastRenderedPageBreak/>
        <w:t>Issues identified</w:t>
      </w:r>
      <w:bookmarkEnd w:id="33"/>
    </w:p>
    <w:p w14:paraId="6B1E92BE" w14:textId="4BC0D811" w:rsidR="004D72E6" w:rsidRPr="009D0EED" w:rsidRDefault="004D72E6" w:rsidP="00316D32">
      <w:pPr>
        <w:pStyle w:val="Heading2Report"/>
      </w:pPr>
      <w:bookmarkStart w:id="34" w:name="_Toc442357862"/>
      <w:bookmarkStart w:id="35" w:name="_Toc443642249"/>
      <w:bookmarkStart w:id="36" w:name="_Toc459707271"/>
      <w:r w:rsidRPr="009D0EED">
        <w:t>Background to review of Bone Densitometry</w:t>
      </w:r>
      <w:bookmarkEnd w:id="34"/>
      <w:bookmarkEnd w:id="35"/>
      <w:bookmarkEnd w:id="36"/>
    </w:p>
    <w:p w14:paraId="0EF064A9" w14:textId="77777777" w:rsidR="004D72E6" w:rsidRPr="009D0EED" w:rsidRDefault="004D72E6" w:rsidP="003F788A">
      <w:pPr>
        <w:spacing w:before="120" w:after="120"/>
        <w:rPr>
          <w:rFonts w:cs="Arial"/>
        </w:rPr>
      </w:pPr>
      <w:r w:rsidRPr="009200D8">
        <w:rPr>
          <w:rFonts w:cs="Arial"/>
        </w:rPr>
        <w:t>The principal purpose of this review was to consider:</w:t>
      </w:r>
    </w:p>
    <w:p w14:paraId="37524E95" w14:textId="628BCECD" w:rsidR="004D72E6" w:rsidRPr="009200D8" w:rsidRDefault="004D72E6" w:rsidP="00490F36">
      <w:pPr>
        <w:pStyle w:val="Bulleted"/>
      </w:pPr>
      <w:r>
        <w:t>W</w:t>
      </w:r>
      <w:r w:rsidRPr="009200D8">
        <w:t xml:space="preserve">hether an interval should be prescribed for the screening service </w:t>
      </w:r>
      <w:r>
        <w:t xml:space="preserve">for a person aged </w:t>
      </w:r>
      <w:r w:rsidRPr="009200D8">
        <w:t>70 year</w:t>
      </w:r>
      <w:r>
        <w:t>s or older (</w:t>
      </w:r>
      <w:r w:rsidRPr="009200D8">
        <w:t>item 12323</w:t>
      </w:r>
      <w:r>
        <w:t>)</w:t>
      </w:r>
    </w:p>
    <w:p w14:paraId="6B9D83E4" w14:textId="2889787F" w:rsidR="004D72E6" w:rsidRPr="009200D8" w:rsidRDefault="004D72E6" w:rsidP="00490F36">
      <w:pPr>
        <w:pStyle w:val="Bulleted"/>
      </w:pPr>
      <w:r>
        <w:t>W</w:t>
      </w:r>
      <w:r w:rsidRPr="009200D8">
        <w:t xml:space="preserve">hether there is value in recrafting the items and/or consolidating them </w:t>
      </w:r>
    </w:p>
    <w:p w14:paraId="14D9B2E6" w14:textId="3CE07ACD" w:rsidR="004D72E6" w:rsidRPr="009200D8" w:rsidRDefault="004D72E6" w:rsidP="00490F36">
      <w:pPr>
        <w:pStyle w:val="Bulleted"/>
      </w:pPr>
      <w:r>
        <w:t>W</w:t>
      </w:r>
      <w:r w:rsidRPr="009200D8">
        <w:t xml:space="preserve">hether there is a need to define the qualifications of the person who performs the service and what should those qualifications be </w:t>
      </w:r>
    </w:p>
    <w:p w14:paraId="7EB0D8C6" w14:textId="0AD3DC13" w:rsidR="004D72E6" w:rsidRPr="009200D8" w:rsidRDefault="004D72E6" w:rsidP="00490F36">
      <w:pPr>
        <w:pStyle w:val="Bulleted"/>
      </w:pPr>
      <w:r>
        <w:t>W</w:t>
      </w:r>
      <w:r w:rsidRPr="009200D8">
        <w:t>hether other aspects of the current Bone Mineral Densitometry (BMD) items should undergo an evidence review</w:t>
      </w:r>
      <w:r>
        <w:t>.</w:t>
      </w:r>
    </w:p>
    <w:p w14:paraId="61791F1C" w14:textId="36984732" w:rsidR="004D72E6" w:rsidRPr="009200D8" w:rsidRDefault="004D72E6" w:rsidP="003F788A">
      <w:pPr>
        <w:spacing w:before="120" w:after="120"/>
        <w:rPr>
          <w:rFonts w:cs="Arial"/>
        </w:rPr>
      </w:pPr>
      <w:r w:rsidRPr="009200D8">
        <w:rPr>
          <w:rFonts w:cs="Arial"/>
        </w:rPr>
        <w:t xml:space="preserve">There are seven MBS BMD items. The most commonly used item </w:t>
      </w:r>
      <w:r>
        <w:rPr>
          <w:rFonts w:cs="Arial"/>
        </w:rPr>
        <w:t>(</w:t>
      </w:r>
      <w:r w:rsidRPr="009200D8">
        <w:rPr>
          <w:rFonts w:cs="Arial"/>
        </w:rPr>
        <w:t>12323</w:t>
      </w:r>
      <w:r>
        <w:rPr>
          <w:rFonts w:cs="Arial"/>
        </w:rPr>
        <w:t>)</w:t>
      </w:r>
      <w:r w:rsidRPr="009200D8">
        <w:rPr>
          <w:rFonts w:cs="Arial"/>
        </w:rPr>
        <w:t xml:space="preserve"> is for screening of people over 70 years old and is the only BMD item that has no interval restriction (other items have 12 months/24 months restrictions). The Medical Services Advisory Committee (MSAC) has recently recommended against extending screening to people under 70 years old. In addition, MSAC supported amending the current MBS items for BMD to allow trained technicians to perform DEXA scanning under the supervision of a medical practitioner and recommended that MBS fee to be reduced in response.</w:t>
      </w:r>
    </w:p>
    <w:p w14:paraId="7EAB66AF" w14:textId="39F307D3" w:rsidR="004D72E6" w:rsidRPr="007D15E7" w:rsidRDefault="004D72E6" w:rsidP="003F788A">
      <w:pPr>
        <w:spacing w:before="120" w:after="120"/>
        <w:rPr>
          <w:rFonts w:cs="Arial"/>
        </w:rPr>
      </w:pPr>
      <w:r w:rsidRPr="007D15E7">
        <w:rPr>
          <w:rFonts w:cs="Arial"/>
        </w:rPr>
        <w:t xml:space="preserve">The </w:t>
      </w:r>
      <w:hyperlink r:id="rId9" w:history="1">
        <w:r w:rsidRPr="007D15E7">
          <w:rPr>
            <w:rStyle w:val="Hyperlink"/>
            <w:rFonts w:cs="Arial"/>
          </w:rPr>
          <w:t>Choosing Wisely recommendations from Canada and the USA</w:t>
        </w:r>
      </w:hyperlink>
      <w:r w:rsidRPr="007D15E7">
        <w:rPr>
          <w:rFonts w:cs="Arial"/>
        </w:rPr>
        <w:t xml:space="preserve"> suggest restricting the use of DEXA screening for osteoporosis on low risk patients, and restricting repeat of DEXA scans to no more often than every two years in the absence of high risk or new risk factors. </w:t>
      </w:r>
    </w:p>
    <w:p w14:paraId="108F4EE6" w14:textId="33915A08" w:rsidR="004D72E6" w:rsidRPr="009200D8" w:rsidRDefault="004D72E6" w:rsidP="00316D32">
      <w:pPr>
        <w:pStyle w:val="Heading2Report"/>
      </w:pPr>
      <w:bookmarkStart w:id="37" w:name="_Toc459707272"/>
      <w:r w:rsidRPr="009200D8">
        <w:t>MBS context</w:t>
      </w:r>
      <w:bookmarkEnd w:id="37"/>
    </w:p>
    <w:p w14:paraId="64D282D4" w14:textId="5A55ED1B" w:rsidR="004D72E6" w:rsidRPr="009200D8" w:rsidRDefault="004D72E6" w:rsidP="003F788A">
      <w:pPr>
        <w:spacing w:before="120" w:after="120"/>
        <w:rPr>
          <w:rFonts w:cs="Arial"/>
        </w:rPr>
      </w:pPr>
      <w:bookmarkStart w:id="38" w:name="_Toc420584474"/>
      <w:bookmarkStart w:id="39" w:name="_Toc420583472"/>
      <w:bookmarkStart w:id="40" w:name="_Ref420402182"/>
      <w:r w:rsidRPr="009200D8">
        <w:rPr>
          <w:rFonts w:cs="Arial"/>
        </w:rPr>
        <w:t xml:space="preserve">In June 1993, the Minister for Health asked the Medicare Benefits Advisory Committee (MBAC) to consider whether a determination under section 3C of the </w:t>
      </w:r>
      <w:r w:rsidRPr="009200D8">
        <w:rPr>
          <w:rFonts w:cs="Arial"/>
          <w:i/>
        </w:rPr>
        <w:t xml:space="preserve">Health Insurance Act 1973 </w:t>
      </w:r>
      <w:r w:rsidRPr="009200D8">
        <w:rPr>
          <w:rFonts w:cs="Arial"/>
        </w:rPr>
        <w:t xml:space="preserve">should be made for bone densitometry. MBAC based its recommendations on those provided by the Australian and New Zealand Bone and Mineral Society (ANZBMS) and the Minister introduced two densitometry items by 3C determination for a 12 month trial </w:t>
      </w:r>
      <w:proofErr w:type="spellStart"/>
      <w:r w:rsidRPr="009200D8">
        <w:rPr>
          <w:rFonts w:cs="Arial"/>
        </w:rPr>
        <w:t>period</w:t>
      </w:r>
      <w:r>
        <w:rPr>
          <w:rFonts w:cs="Arial"/>
        </w:rPr>
        <w:t>.</w:t>
      </w:r>
      <w:r w:rsidR="00913CA4">
        <w:rPr>
          <w:rFonts w:cs="Arial"/>
          <w:vertAlign w:val="superscript"/>
        </w:rPr>
        <w:t>ii</w:t>
      </w:r>
      <w:proofErr w:type="spellEnd"/>
    </w:p>
    <w:p w14:paraId="7AF1DE79" w14:textId="24859663" w:rsidR="004D72E6" w:rsidRPr="009200D8" w:rsidRDefault="004D72E6" w:rsidP="003F788A">
      <w:pPr>
        <w:spacing w:before="120" w:after="120"/>
        <w:rPr>
          <w:rFonts w:cs="Arial"/>
        </w:rPr>
      </w:pPr>
      <w:r w:rsidRPr="00253F2C">
        <w:rPr>
          <w:rFonts w:cs="Arial"/>
        </w:rPr>
        <w:t>Over time, further items were added to the MBS and in 2004, the six MBS items related to bone densitometry were referred to MSAC for re-assessment. A literature review</w:t>
      </w:r>
      <w:r w:rsidRPr="009200D8">
        <w:rPr>
          <w:rFonts w:cs="Arial"/>
        </w:rPr>
        <w:t xml:space="preserve"> was performed but no changes were made to the existing MBS </w:t>
      </w:r>
      <w:proofErr w:type="spellStart"/>
      <w:r w:rsidRPr="009200D8">
        <w:rPr>
          <w:rFonts w:cs="Arial"/>
        </w:rPr>
        <w:t>items</w:t>
      </w:r>
      <w:r>
        <w:rPr>
          <w:rFonts w:cs="Arial"/>
        </w:rPr>
        <w:t>.</w:t>
      </w:r>
      <w:r w:rsidR="00913CA4" w:rsidRPr="00913CA4">
        <w:rPr>
          <w:rFonts w:cs="Arial"/>
          <w:vertAlign w:val="superscript"/>
        </w:rPr>
        <w:t>iii</w:t>
      </w:r>
      <w:proofErr w:type="spellEnd"/>
    </w:p>
    <w:p w14:paraId="678EC309" w14:textId="54EB96E6" w:rsidR="00316D32" w:rsidRPr="00BB5EE8" w:rsidRDefault="004D72E6" w:rsidP="00360A3F">
      <w:pPr>
        <w:spacing w:before="120" w:after="120"/>
        <w:rPr>
          <w:rFonts w:eastAsiaTheme="minorHAnsi"/>
        </w:rPr>
      </w:pPr>
      <w:r w:rsidRPr="00253F2C">
        <w:rPr>
          <w:rFonts w:cs="Arial"/>
        </w:rPr>
        <w:t>In 2006, the Pharmaceutical Benefits Advisory Committee (PBAC) recommended listing of alendronate for the primary prevention of osteoporosis in men and women aged over 70 years, with BMD T</w:t>
      </w:r>
      <w:r w:rsidRPr="009200D8">
        <w:rPr>
          <w:rFonts w:cs="Arial"/>
        </w:rPr>
        <w:t>-score ≤-3.0</w:t>
      </w:r>
      <w:r>
        <w:rPr>
          <w:rFonts w:cs="Arial"/>
        </w:rPr>
        <w:t>.</w:t>
      </w:r>
      <w:r w:rsidR="00913CA4" w:rsidRPr="00913CA4">
        <w:rPr>
          <w:rFonts w:cs="Arial"/>
          <w:vertAlign w:val="superscript"/>
        </w:rPr>
        <w:t>iv</w:t>
      </w:r>
      <w:r>
        <w:rPr>
          <w:rFonts w:cs="Arial"/>
        </w:rPr>
        <w:t xml:space="preserve"> </w:t>
      </w:r>
      <w:r w:rsidRPr="009200D8">
        <w:rPr>
          <w:rFonts w:cs="Arial"/>
        </w:rPr>
        <w:t xml:space="preserve">Osteoporosis Australia requested that MSAC approve BMD testing in this </w:t>
      </w:r>
      <w:proofErr w:type="spellStart"/>
      <w:r w:rsidRPr="009200D8">
        <w:rPr>
          <w:rFonts w:cs="Arial"/>
        </w:rPr>
        <w:t>population</w:t>
      </w:r>
      <w:r>
        <w:rPr>
          <w:rFonts w:cs="Arial"/>
        </w:rPr>
        <w:t>.</w:t>
      </w:r>
      <w:r w:rsidR="005A2B5C">
        <w:rPr>
          <w:rFonts w:cs="Arial"/>
          <w:vertAlign w:val="superscript"/>
        </w:rPr>
        <w:t>iii</w:t>
      </w:r>
      <w:proofErr w:type="spellEnd"/>
      <w:r w:rsidRPr="009200D8">
        <w:rPr>
          <w:rFonts w:cs="Arial"/>
        </w:rPr>
        <w:t xml:space="preserve"> Item 12323 was introduced to the MBS in 2007</w:t>
      </w:r>
      <w:r>
        <w:rPr>
          <w:rFonts w:cs="Arial"/>
        </w:rPr>
        <w:t>.</w:t>
      </w:r>
      <w:bookmarkEnd w:id="38"/>
      <w:bookmarkEnd w:id="39"/>
      <w:bookmarkEnd w:id="40"/>
      <w:r w:rsidR="00316D32" w:rsidRPr="00BB5EE8">
        <w:br w:type="page"/>
      </w:r>
    </w:p>
    <w:p w14:paraId="4BD785B3" w14:textId="05AAD71D" w:rsidR="007F178F" w:rsidRPr="00253F2C" w:rsidRDefault="007F178F" w:rsidP="003F788A">
      <w:pPr>
        <w:pStyle w:val="Heading1"/>
      </w:pPr>
      <w:bookmarkStart w:id="41" w:name="_Toc459707273"/>
      <w:r w:rsidRPr="00253F2C">
        <w:lastRenderedPageBreak/>
        <w:t>Rationale</w:t>
      </w:r>
      <w:r w:rsidR="00F30888">
        <w:t xml:space="preserve"> to support recommendations</w:t>
      </w:r>
      <w:bookmarkEnd w:id="41"/>
    </w:p>
    <w:p w14:paraId="2630EEF5" w14:textId="77777777" w:rsidR="0000150F" w:rsidRPr="009200D8" w:rsidRDefault="0000150F" w:rsidP="00316D32">
      <w:pPr>
        <w:pStyle w:val="Heading2Report"/>
      </w:pPr>
      <w:bookmarkStart w:id="42" w:name="_Toc459707274"/>
      <w:bookmarkStart w:id="43" w:name="_Toc443642251"/>
      <w:r w:rsidRPr="009200D8">
        <w:t>MBS data on bone densitometry</w:t>
      </w:r>
      <w:bookmarkEnd w:id="42"/>
    </w:p>
    <w:p w14:paraId="3E4BF90E" w14:textId="2E25C208" w:rsidR="00F61588" w:rsidRPr="009200D8" w:rsidRDefault="00F61588" w:rsidP="00F648DD">
      <w:r w:rsidRPr="009200D8">
        <w:t xml:space="preserve">Tables </w:t>
      </w:r>
      <w:r w:rsidR="00283153">
        <w:t>–11</w:t>
      </w:r>
      <w:r w:rsidRPr="009200D8">
        <w:t xml:space="preserve"> provide MBS data on the bone densitometry items used in the review.</w:t>
      </w:r>
    </w:p>
    <w:p w14:paraId="039E75F1" w14:textId="250427DC" w:rsidR="00C727A8" w:rsidRPr="00F648DD" w:rsidRDefault="00BA3F0C">
      <w:pPr>
        <w:pStyle w:val="Caption"/>
      </w:pPr>
      <w:bookmarkStart w:id="44" w:name="_Toc457126662"/>
      <w:r w:rsidRPr="00F648DD">
        <w:t xml:space="preserve">Table </w:t>
      </w:r>
      <w:fldSimple w:instr=" SEQ Table \* ARABIC ">
        <w:r w:rsidR="00E82A84">
          <w:rPr>
            <w:noProof/>
          </w:rPr>
          <w:t>4</w:t>
        </w:r>
      </w:fldSimple>
      <w:r w:rsidR="00FF0018">
        <w:t>:</w:t>
      </w:r>
      <w:r w:rsidR="00FF0018">
        <w:tab/>
      </w:r>
      <w:r w:rsidR="0011166D" w:rsidRPr="00F648DD">
        <w:t>MBS Item number k</w:t>
      </w:r>
      <w:r w:rsidR="00C727A8" w:rsidRPr="00F648DD">
        <w:t xml:space="preserve">ey </w:t>
      </w:r>
      <w:r w:rsidR="0011166D" w:rsidRPr="00F648DD">
        <w:t>i</w:t>
      </w:r>
      <w:r w:rsidR="00C727A8" w:rsidRPr="00F648DD">
        <w:t>nformation</w:t>
      </w:r>
      <w:bookmarkEnd w:id="43"/>
      <w:bookmarkEnd w:id="44"/>
    </w:p>
    <w:tbl>
      <w:tblPr>
        <w:tblW w:w="4968" w:type="pct"/>
        <w:tblInd w:w="57" w:type="dxa"/>
        <w:tblBorders>
          <w:top w:val="single" w:sz="4" w:space="0" w:color="B56012"/>
          <w:bottom w:val="single" w:sz="4" w:space="0" w:color="B56012"/>
          <w:insideH w:val="single" w:sz="4" w:space="0" w:color="B56012"/>
        </w:tblBorders>
        <w:tblCellMar>
          <w:top w:w="28" w:type="dxa"/>
          <w:left w:w="57" w:type="dxa"/>
          <w:bottom w:w="28" w:type="dxa"/>
          <w:right w:w="57" w:type="dxa"/>
        </w:tblCellMar>
        <w:tblLook w:val="00A0" w:firstRow="1" w:lastRow="0" w:firstColumn="1" w:lastColumn="0" w:noHBand="0" w:noVBand="0"/>
        <w:tblDescription w:val="Table 4 lists Medical Benefits Schedule (MBS) item numbers. This table contains 3 heading columns: MBS item numbers, type of date and date."/>
      </w:tblPr>
      <w:tblGrid>
        <w:gridCol w:w="2251"/>
        <w:gridCol w:w="4547"/>
        <w:gridCol w:w="2170"/>
      </w:tblGrid>
      <w:tr w:rsidR="00C727A8" w:rsidRPr="00623C5D" w14:paraId="5414D430" w14:textId="77777777" w:rsidTr="00A01431">
        <w:trPr>
          <w:trHeight w:val="227"/>
          <w:tblHeader/>
        </w:trPr>
        <w:tc>
          <w:tcPr>
            <w:tcW w:w="1255" w:type="pct"/>
            <w:shd w:val="clear" w:color="auto" w:fill="auto"/>
            <w:hideMark/>
          </w:tcPr>
          <w:p w14:paraId="711F4895" w14:textId="77777777" w:rsidR="00C727A8" w:rsidRPr="00623C5D" w:rsidRDefault="00C727A8" w:rsidP="00F648DD">
            <w:pPr>
              <w:rPr>
                <w:b/>
                <w:sz w:val="20"/>
                <w:szCs w:val="20"/>
              </w:rPr>
            </w:pPr>
            <w:r w:rsidRPr="00623C5D">
              <w:rPr>
                <w:b/>
                <w:sz w:val="20"/>
                <w:szCs w:val="20"/>
              </w:rPr>
              <w:t>MBS item number</w:t>
            </w:r>
          </w:p>
        </w:tc>
        <w:tc>
          <w:tcPr>
            <w:tcW w:w="2535" w:type="pct"/>
            <w:shd w:val="clear" w:color="auto" w:fill="auto"/>
            <w:hideMark/>
          </w:tcPr>
          <w:p w14:paraId="58307882" w14:textId="77777777" w:rsidR="00C727A8" w:rsidRPr="00623C5D" w:rsidRDefault="00C727A8" w:rsidP="00F648DD">
            <w:pPr>
              <w:rPr>
                <w:b/>
                <w:sz w:val="20"/>
                <w:szCs w:val="20"/>
              </w:rPr>
            </w:pPr>
            <w:r w:rsidRPr="00623C5D">
              <w:rPr>
                <w:b/>
                <w:sz w:val="20"/>
                <w:szCs w:val="20"/>
              </w:rPr>
              <w:t>Type of date</w:t>
            </w:r>
          </w:p>
        </w:tc>
        <w:tc>
          <w:tcPr>
            <w:tcW w:w="1210" w:type="pct"/>
            <w:shd w:val="clear" w:color="auto" w:fill="auto"/>
            <w:hideMark/>
          </w:tcPr>
          <w:p w14:paraId="568C0125" w14:textId="31429A36" w:rsidR="00C727A8" w:rsidRPr="00623C5D" w:rsidRDefault="00C727A8" w:rsidP="00F648DD">
            <w:pPr>
              <w:rPr>
                <w:b/>
                <w:sz w:val="20"/>
                <w:szCs w:val="20"/>
                <w:vertAlign w:val="superscript"/>
              </w:rPr>
            </w:pPr>
            <w:proofErr w:type="spellStart"/>
            <w:r w:rsidRPr="00623C5D">
              <w:rPr>
                <w:b/>
                <w:sz w:val="20"/>
                <w:szCs w:val="20"/>
              </w:rPr>
              <w:t>Date</w:t>
            </w:r>
            <w:r w:rsidR="005A2B5C">
              <w:rPr>
                <w:b/>
                <w:sz w:val="20"/>
                <w:szCs w:val="20"/>
                <w:vertAlign w:val="superscript"/>
              </w:rPr>
              <w:t>iv</w:t>
            </w:r>
            <w:proofErr w:type="spellEnd"/>
          </w:p>
        </w:tc>
      </w:tr>
      <w:tr w:rsidR="00C727A8" w:rsidRPr="00623C5D" w14:paraId="7C9AF4BE" w14:textId="77777777" w:rsidTr="00A01431">
        <w:trPr>
          <w:trHeight w:val="227"/>
        </w:trPr>
        <w:tc>
          <w:tcPr>
            <w:tcW w:w="1255" w:type="pct"/>
            <w:vMerge w:val="restart"/>
            <w:shd w:val="clear" w:color="auto" w:fill="auto"/>
            <w:vAlign w:val="center"/>
            <w:hideMark/>
          </w:tcPr>
          <w:p w14:paraId="08AD9B83" w14:textId="0D1D7B25" w:rsidR="00623C5D" w:rsidRDefault="00C727A8">
            <w:pPr>
              <w:rPr>
                <w:sz w:val="20"/>
                <w:szCs w:val="20"/>
              </w:rPr>
            </w:pPr>
            <w:r w:rsidRPr="00623C5D">
              <w:rPr>
                <w:sz w:val="20"/>
                <w:szCs w:val="20"/>
              </w:rPr>
              <w:t xml:space="preserve">12306, 12309, </w:t>
            </w:r>
          </w:p>
          <w:p w14:paraId="232FC37B" w14:textId="77777777" w:rsidR="00623C5D" w:rsidRDefault="00C727A8">
            <w:pPr>
              <w:rPr>
                <w:sz w:val="20"/>
                <w:szCs w:val="20"/>
              </w:rPr>
            </w:pPr>
            <w:r w:rsidRPr="00623C5D">
              <w:rPr>
                <w:sz w:val="20"/>
                <w:szCs w:val="20"/>
              </w:rPr>
              <w:t xml:space="preserve">12312, 12315, </w:t>
            </w:r>
          </w:p>
          <w:p w14:paraId="3E1D16EB" w14:textId="7A6B0C43" w:rsidR="00C727A8" w:rsidRPr="00623C5D" w:rsidRDefault="00C727A8">
            <w:pPr>
              <w:rPr>
                <w:sz w:val="20"/>
                <w:szCs w:val="20"/>
              </w:rPr>
            </w:pPr>
            <w:r w:rsidRPr="00623C5D">
              <w:rPr>
                <w:sz w:val="20"/>
                <w:szCs w:val="20"/>
              </w:rPr>
              <w:t>12318, 12321</w:t>
            </w:r>
          </w:p>
        </w:tc>
        <w:tc>
          <w:tcPr>
            <w:tcW w:w="2535" w:type="pct"/>
            <w:shd w:val="clear" w:color="auto" w:fill="auto"/>
            <w:vAlign w:val="center"/>
            <w:hideMark/>
          </w:tcPr>
          <w:p w14:paraId="7D051B45" w14:textId="77777777" w:rsidR="00C727A8" w:rsidRPr="00623C5D" w:rsidRDefault="00C727A8" w:rsidP="00F648DD">
            <w:pPr>
              <w:rPr>
                <w:sz w:val="20"/>
                <w:szCs w:val="20"/>
              </w:rPr>
            </w:pPr>
            <w:r w:rsidRPr="00623C5D">
              <w:rPr>
                <w:sz w:val="20"/>
                <w:szCs w:val="20"/>
              </w:rPr>
              <w:t>Item Start Date</w:t>
            </w:r>
          </w:p>
        </w:tc>
        <w:tc>
          <w:tcPr>
            <w:tcW w:w="1210" w:type="pct"/>
            <w:shd w:val="clear" w:color="auto" w:fill="auto"/>
            <w:hideMark/>
          </w:tcPr>
          <w:p w14:paraId="47F42778" w14:textId="77777777" w:rsidR="00C727A8" w:rsidRPr="00623C5D" w:rsidRDefault="00C727A8" w:rsidP="00F648DD">
            <w:pPr>
              <w:rPr>
                <w:sz w:val="20"/>
                <w:szCs w:val="20"/>
              </w:rPr>
            </w:pPr>
            <w:r w:rsidRPr="00623C5D">
              <w:rPr>
                <w:sz w:val="20"/>
                <w:szCs w:val="20"/>
              </w:rPr>
              <w:t>01-08-96</w:t>
            </w:r>
          </w:p>
        </w:tc>
      </w:tr>
      <w:tr w:rsidR="00C727A8" w:rsidRPr="00623C5D" w14:paraId="37F5E88A" w14:textId="77777777" w:rsidTr="00A01431">
        <w:trPr>
          <w:trHeight w:val="320"/>
        </w:trPr>
        <w:tc>
          <w:tcPr>
            <w:tcW w:w="1255" w:type="pct"/>
            <w:vMerge/>
            <w:shd w:val="clear" w:color="auto" w:fill="auto"/>
            <w:vAlign w:val="center"/>
            <w:hideMark/>
          </w:tcPr>
          <w:p w14:paraId="5FAC082B" w14:textId="77777777" w:rsidR="00C727A8" w:rsidRPr="00623C5D" w:rsidRDefault="00C727A8" w:rsidP="00F648DD">
            <w:pPr>
              <w:rPr>
                <w:rFonts w:eastAsiaTheme="minorHAnsi"/>
                <w:sz w:val="20"/>
                <w:szCs w:val="20"/>
              </w:rPr>
            </w:pPr>
          </w:p>
        </w:tc>
        <w:tc>
          <w:tcPr>
            <w:tcW w:w="2535" w:type="pct"/>
            <w:shd w:val="clear" w:color="auto" w:fill="auto"/>
            <w:vAlign w:val="center"/>
            <w:hideMark/>
          </w:tcPr>
          <w:p w14:paraId="65C2503B" w14:textId="77777777" w:rsidR="00C727A8" w:rsidRPr="00623C5D" w:rsidRDefault="00C727A8" w:rsidP="00F648DD">
            <w:pPr>
              <w:rPr>
                <w:sz w:val="20"/>
                <w:szCs w:val="20"/>
              </w:rPr>
            </w:pPr>
            <w:r w:rsidRPr="00623C5D">
              <w:rPr>
                <w:sz w:val="20"/>
                <w:szCs w:val="20"/>
              </w:rPr>
              <w:t>Current Descriptor Start Date</w:t>
            </w:r>
          </w:p>
        </w:tc>
        <w:tc>
          <w:tcPr>
            <w:tcW w:w="1210" w:type="pct"/>
            <w:shd w:val="clear" w:color="auto" w:fill="auto"/>
            <w:hideMark/>
          </w:tcPr>
          <w:p w14:paraId="6A8CD5E0" w14:textId="77777777" w:rsidR="00C727A8" w:rsidRPr="00623C5D" w:rsidRDefault="00C727A8" w:rsidP="00F648DD">
            <w:pPr>
              <w:rPr>
                <w:sz w:val="20"/>
                <w:szCs w:val="20"/>
              </w:rPr>
            </w:pPr>
            <w:r w:rsidRPr="00623C5D">
              <w:rPr>
                <w:sz w:val="20"/>
                <w:szCs w:val="20"/>
              </w:rPr>
              <w:t>01-08-96</w:t>
            </w:r>
          </w:p>
        </w:tc>
      </w:tr>
      <w:tr w:rsidR="00C727A8" w:rsidRPr="00623C5D" w14:paraId="490B09F4" w14:textId="77777777" w:rsidTr="00A01431">
        <w:trPr>
          <w:trHeight w:val="227"/>
        </w:trPr>
        <w:tc>
          <w:tcPr>
            <w:tcW w:w="1255" w:type="pct"/>
            <w:vMerge/>
            <w:shd w:val="clear" w:color="auto" w:fill="auto"/>
            <w:vAlign w:val="center"/>
            <w:hideMark/>
          </w:tcPr>
          <w:p w14:paraId="6FE6BAC4" w14:textId="77777777" w:rsidR="00C727A8" w:rsidRPr="00623C5D" w:rsidRDefault="00C727A8" w:rsidP="00F648DD">
            <w:pPr>
              <w:rPr>
                <w:rFonts w:eastAsiaTheme="minorHAnsi"/>
                <w:sz w:val="20"/>
                <w:szCs w:val="20"/>
              </w:rPr>
            </w:pPr>
          </w:p>
        </w:tc>
        <w:tc>
          <w:tcPr>
            <w:tcW w:w="2535" w:type="pct"/>
            <w:shd w:val="clear" w:color="auto" w:fill="auto"/>
            <w:vAlign w:val="center"/>
            <w:hideMark/>
          </w:tcPr>
          <w:p w14:paraId="0197D9BB" w14:textId="77777777" w:rsidR="00C727A8" w:rsidRPr="00623C5D" w:rsidRDefault="00C727A8" w:rsidP="00F648DD">
            <w:pPr>
              <w:rPr>
                <w:sz w:val="20"/>
                <w:szCs w:val="20"/>
              </w:rPr>
            </w:pPr>
            <w:r w:rsidRPr="00623C5D">
              <w:rPr>
                <w:sz w:val="20"/>
                <w:szCs w:val="20"/>
              </w:rPr>
              <w:t>Current Schedule Fee Start Date</w:t>
            </w:r>
          </w:p>
        </w:tc>
        <w:tc>
          <w:tcPr>
            <w:tcW w:w="1210" w:type="pct"/>
            <w:shd w:val="clear" w:color="auto" w:fill="auto"/>
            <w:hideMark/>
          </w:tcPr>
          <w:p w14:paraId="39889D65" w14:textId="77777777" w:rsidR="00C727A8" w:rsidRPr="00623C5D" w:rsidRDefault="00C727A8" w:rsidP="00F648DD">
            <w:pPr>
              <w:rPr>
                <w:sz w:val="20"/>
                <w:szCs w:val="20"/>
              </w:rPr>
            </w:pPr>
            <w:r w:rsidRPr="00623C5D">
              <w:rPr>
                <w:sz w:val="20"/>
                <w:szCs w:val="20"/>
              </w:rPr>
              <w:t>01-11-12</w:t>
            </w:r>
          </w:p>
        </w:tc>
      </w:tr>
      <w:tr w:rsidR="00C727A8" w:rsidRPr="00623C5D" w14:paraId="663B1C85" w14:textId="77777777" w:rsidTr="00A01431">
        <w:trPr>
          <w:trHeight w:val="227"/>
        </w:trPr>
        <w:tc>
          <w:tcPr>
            <w:tcW w:w="1255" w:type="pct"/>
            <w:vMerge w:val="restart"/>
            <w:shd w:val="clear" w:color="auto" w:fill="auto"/>
            <w:vAlign w:val="center"/>
            <w:hideMark/>
          </w:tcPr>
          <w:p w14:paraId="4789A7E9" w14:textId="77777777" w:rsidR="00C727A8" w:rsidRPr="00623C5D" w:rsidRDefault="00C727A8">
            <w:pPr>
              <w:rPr>
                <w:sz w:val="20"/>
                <w:szCs w:val="20"/>
              </w:rPr>
            </w:pPr>
            <w:r w:rsidRPr="00623C5D">
              <w:rPr>
                <w:sz w:val="20"/>
                <w:szCs w:val="20"/>
              </w:rPr>
              <w:t>12323</w:t>
            </w:r>
          </w:p>
        </w:tc>
        <w:tc>
          <w:tcPr>
            <w:tcW w:w="2535" w:type="pct"/>
            <w:shd w:val="clear" w:color="auto" w:fill="auto"/>
            <w:vAlign w:val="center"/>
            <w:hideMark/>
          </w:tcPr>
          <w:p w14:paraId="06FB806C" w14:textId="77777777" w:rsidR="00C727A8" w:rsidRPr="00623C5D" w:rsidRDefault="00C727A8" w:rsidP="00F648DD">
            <w:pPr>
              <w:rPr>
                <w:sz w:val="20"/>
                <w:szCs w:val="20"/>
              </w:rPr>
            </w:pPr>
            <w:r w:rsidRPr="00623C5D">
              <w:rPr>
                <w:sz w:val="20"/>
                <w:szCs w:val="20"/>
              </w:rPr>
              <w:t>Item Start Date</w:t>
            </w:r>
          </w:p>
        </w:tc>
        <w:tc>
          <w:tcPr>
            <w:tcW w:w="1210" w:type="pct"/>
            <w:shd w:val="clear" w:color="auto" w:fill="auto"/>
            <w:hideMark/>
          </w:tcPr>
          <w:p w14:paraId="797A5C7D" w14:textId="77777777" w:rsidR="00C727A8" w:rsidRPr="00623C5D" w:rsidRDefault="00C727A8" w:rsidP="00F648DD">
            <w:pPr>
              <w:rPr>
                <w:sz w:val="20"/>
                <w:szCs w:val="20"/>
              </w:rPr>
            </w:pPr>
            <w:r w:rsidRPr="00623C5D">
              <w:rPr>
                <w:sz w:val="20"/>
                <w:szCs w:val="20"/>
              </w:rPr>
              <w:t>01-04-07</w:t>
            </w:r>
          </w:p>
        </w:tc>
      </w:tr>
      <w:tr w:rsidR="00C727A8" w:rsidRPr="00623C5D" w14:paraId="0BFF9E78" w14:textId="77777777" w:rsidTr="00A01431">
        <w:trPr>
          <w:trHeight w:val="227"/>
        </w:trPr>
        <w:tc>
          <w:tcPr>
            <w:tcW w:w="1255" w:type="pct"/>
            <w:vMerge/>
            <w:shd w:val="clear" w:color="auto" w:fill="auto"/>
            <w:vAlign w:val="center"/>
            <w:hideMark/>
          </w:tcPr>
          <w:p w14:paraId="04C216ED" w14:textId="77777777" w:rsidR="00C727A8" w:rsidRPr="00623C5D" w:rsidRDefault="00C727A8" w:rsidP="00F648DD">
            <w:pPr>
              <w:rPr>
                <w:rFonts w:eastAsiaTheme="minorHAnsi"/>
                <w:sz w:val="20"/>
                <w:szCs w:val="20"/>
              </w:rPr>
            </w:pPr>
          </w:p>
        </w:tc>
        <w:tc>
          <w:tcPr>
            <w:tcW w:w="2535" w:type="pct"/>
            <w:shd w:val="clear" w:color="auto" w:fill="auto"/>
            <w:vAlign w:val="center"/>
            <w:hideMark/>
          </w:tcPr>
          <w:p w14:paraId="24F63833" w14:textId="77777777" w:rsidR="00C727A8" w:rsidRPr="00623C5D" w:rsidRDefault="00C727A8" w:rsidP="00F648DD">
            <w:pPr>
              <w:rPr>
                <w:sz w:val="20"/>
                <w:szCs w:val="20"/>
              </w:rPr>
            </w:pPr>
            <w:r w:rsidRPr="00623C5D">
              <w:rPr>
                <w:sz w:val="20"/>
                <w:szCs w:val="20"/>
              </w:rPr>
              <w:t>Current Descriptor Start Date</w:t>
            </w:r>
          </w:p>
        </w:tc>
        <w:tc>
          <w:tcPr>
            <w:tcW w:w="1210" w:type="pct"/>
            <w:shd w:val="clear" w:color="auto" w:fill="auto"/>
            <w:hideMark/>
          </w:tcPr>
          <w:p w14:paraId="14D6B58D" w14:textId="77777777" w:rsidR="00C727A8" w:rsidRPr="00623C5D" w:rsidRDefault="00C727A8" w:rsidP="00F648DD">
            <w:pPr>
              <w:rPr>
                <w:sz w:val="20"/>
                <w:szCs w:val="20"/>
              </w:rPr>
            </w:pPr>
            <w:r w:rsidRPr="00623C5D">
              <w:rPr>
                <w:sz w:val="20"/>
                <w:szCs w:val="20"/>
              </w:rPr>
              <w:t>01-12-07</w:t>
            </w:r>
          </w:p>
        </w:tc>
      </w:tr>
      <w:tr w:rsidR="00C727A8" w:rsidRPr="00623C5D" w14:paraId="209AF902" w14:textId="77777777" w:rsidTr="00A01431">
        <w:trPr>
          <w:trHeight w:val="227"/>
        </w:trPr>
        <w:tc>
          <w:tcPr>
            <w:tcW w:w="1255" w:type="pct"/>
            <w:vMerge/>
            <w:shd w:val="clear" w:color="auto" w:fill="auto"/>
            <w:vAlign w:val="center"/>
            <w:hideMark/>
          </w:tcPr>
          <w:p w14:paraId="686F1691" w14:textId="77777777" w:rsidR="00C727A8" w:rsidRPr="00623C5D" w:rsidRDefault="00C727A8" w:rsidP="00F648DD">
            <w:pPr>
              <w:rPr>
                <w:rFonts w:eastAsiaTheme="minorHAnsi"/>
                <w:sz w:val="20"/>
                <w:szCs w:val="20"/>
              </w:rPr>
            </w:pPr>
          </w:p>
        </w:tc>
        <w:tc>
          <w:tcPr>
            <w:tcW w:w="2535" w:type="pct"/>
            <w:shd w:val="clear" w:color="auto" w:fill="auto"/>
            <w:vAlign w:val="center"/>
            <w:hideMark/>
          </w:tcPr>
          <w:p w14:paraId="08C1A2A1" w14:textId="77777777" w:rsidR="00C727A8" w:rsidRPr="00623C5D" w:rsidRDefault="00C727A8" w:rsidP="00F648DD">
            <w:pPr>
              <w:rPr>
                <w:sz w:val="20"/>
                <w:szCs w:val="20"/>
              </w:rPr>
            </w:pPr>
            <w:r w:rsidRPr="00623C5D">
              <w:rPr>
                <w:sz w:val="20"/>
                <w:szCs w:val="20"/>
              </w:rPr>
              <w:t>Current Schedule Fee Start Date</w:t>
            </w:r>
          </w:p>
        </w:tc>
        <w:tc>
          <w:tcPr>
            <w:tcW w:w="1210" w:type="pct"/>
            <w:shd w:val="clear" w:color="auto" w:fill="auto"/>
            <w:hideMark/>
          </w:tcPr>
          <w:p w14:paraId="0788A7D3" w14:textId="77777777" w:rsidR="00C727A8" w:rsidRPr="00623C5D" w:rsidRDefault="00C727A8" w:rsidP="00F648DD">
            <w:pPr>
              <w:rPr>
                <w:sz w:val="20"/>
                <w:szCs w:val="20"/>
              </w:rPr>
            </w:pPr>
            <w:r w:rsidRPr="00623C5D">
              <w:rPr>
                <w:sz w:val="20"/>
                <w:szCs w:val="20"/>
              </w:rPr>
              <w:t>01-11-12</w:t>
            </w:r>
          </w:p>
        </w:tc>
      </w:tr>
    </w:tbl>
    <w:p w14:paraId="744F93C5" w14:textId="0C728E9A" w:rsidR="00C727A8" w:rsidRPr="00F648DD" w:rsidRDefault="00BA3F0C">
      <w:pPr>
        <w:pStyle w:val="Caption"/>
      </w:pPr>
      <w:bookmarkStart w:id="45" w:name="_Toc435174236"/>
      <w:bookmarkStart w:id="46" w:name="_Toc442357864"/>
      <w:bookmarkStart w:id="47" w:name="_Toc443642252"/>
      <w:bookmarkStart w:id="48" w:name="_Toc457126663"/>
      <w:r w:rsidRPr="00F648DD">
        <w:t xml:space="preserve">Table </w:t>
      </w:r>
      <w:fldSimple w:instr=" SEQ Table \* ARABIC ">
        <w:r w:rsidR="00E82A84">
          <w:rPr>
            <w:noProof/>
          </w:rPr>
          <w:t>5</w:t>
        </w:r>
      </w:fldSimple>
      <w:r w:rsidR="00FF0018">
        <w:t>:</w:t>
      </w:r>
      <w:r w:rsidR="00FF0018">
        <w:tab/>
      </w:r>
      <w:r w:rsidR="00C727A8" w:rsidRPr="00F648DD">
        <w:t>High level MBS statistics</w:t>
      </w:r>
      <w:bookmarkEnd w:id="45"/>
      <w:bookmarkEnd w:id="46"/>
      <w:bookmarkEnd w:id="47"/>
      <w:r w:rsidR="0036177A" w:rsidRPr="00F648DD">
        <w:t xml:space="preserve"> (Date of Processing)</w:t>
      </w:r>
      <w:bookmarkEnd w:id="48"/>
      <w:r w:rsidR="00FC3CA4">
        <w:t xml:space="preserve"> for seven MBS item numbers</w:t>
      </w:r>
    </w:p>
    <w:tbl>
      <w:tblPr>
        <w:tblStyle w:val="TableGrid"/>
        <w:tblW w:w="9072" w:type="dxa"/>
        <w:tblInd w:w="108"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5 provides statistics for 7 MBS item numbers."/>
      </w:tblPr>
      <w:tblGrid>
        <w:gridCol w:w="1448"/>
        <w:gridCol w:w="1089"/>
        <w:gridCol w:w="1089"/>
        <w:gridCol w:w="1089"/>
        <w:gridCol w:w="1089"/>
        <w:gridCol w:w="1089"/>
        <w:gridCol w:w="1089"/>
        <w:gridCol w:w="1090"/>
      </w:tblGrid>
      <w:tr w:rsidR="00913CA4" w:rsidRPr="00623C5D" w14:paraId="6DCB8266" w14:textId="77777777" w:rsidTr="00FC3CA4">
        <w:trPr>
          <w:tblHeader/>
        </w:trPr>
        <w:tc>
          <w:tcPr>
            <w:tcW w:w="1448" w:type="dxa"/>
          </w:tcPr>
          <w:p w14:paraId="2BE4E8CD" w14:textId="65565339" w:rsidR="00C727A8" w:rsidRPr="00623C5D" w:rsidRDefault="00FC3CA4" w:rsidP="00F648DD">
            <w:pPr>
              <w:rPr>
                <w:b/>
                <w:sz w:val="20"/>
                <w:szCs w:val="20"/>
                <w:lang w:val="en-US"/>
              </w:rPr>
            </w:pPr>
            <w:r>
              <w:rPr>
                <w:b/>
                <w:sz w:val="20"/>
                <w:szCs w:val="20"/>
                <w:lang w:val="en-US"/>
              </w:rPr>
              <w:t>Statistic</w:t>
            </w:r>
          </w:p>
        </w:tc>
        <w:tc>
          <w:tcPr>
            <w:tcW w:w="1089" w:type="dxa"/>
            <w:shd w:val="clear" w:color="auto" w:fill="FFFFFF" w:themeFill="background1"/>
            <w:hideMark/>
          </w:tcPr>
          <w:p w14:paraId="07C3BA3F" w14:textId="3C2B1F23" w:rsidR="00C727A8" w:rsidRPr="00623C5D" w:rsidRDefault="00C727A8" w:rsidP="00E219DF">
            <w:pPr>
              <w:jc w:val="center"/>
              <w:rPr>
                <w:b/>
                <w:sz w:val="20"/>
                <w:szCs w:val="20"/>
                <w:lang w:val="en-US"/>
              </w:rPr>
            </w:pPr>
            <w:r w:rsidRPr="00623C5D">
              <w:rPr>
                <w:b/>
                <w:sz w:val="20"/>
                <w:szCs w:val="20"/>
              </w:rPr>
              <w:t>12306</w:t>
            </w:r>
          </w:p>
        </w:tc>
        <w:tc>
          <w:tcPr>
            <w:tcW w:w="1089" w:type="dxa"/>
            <w:shd w:val="clear" w:color="auto" w:fill="FFFFFF" w:themeFill="background1"/>
            <w:hideMark/>
          </w:tcPr>
          <w:p w14:paraId="7ACCB815" w14:textId="0E67CAB5" w:rsidR="00C727A8" w:rsidRPr="00623C5D" w:rsidRDefault="00C727A8" w:rsidP="00E219DF">
            <w:pPr>
              <w:jc w:val="center"/>
              <w:rPr>
                <w:b/>
                <w:sz w:val="20"/>
                <w:szCs w:val="20"/>
                <w:lang w:val="en-US"/>
              </w:rPr>
            </w:pPr>
            <w:r w:rsidRPr="00623C5D">
              <w:rPr>
                <w:b/>
                <w:sz w:val="20"/>
                <w:szCs w:val="20"/>
              </w:rPr>
              <w:t>12309</w:t>
            </w:r>
          </w:p>
        </w:tc>
        <w:tc>
          <w:tcPr>
            <w:tcW w:w="1089" w:type="dxa"/>
            <w:shd w:val="clear" w:color="auto" w:fill="FFFFFF" w:themeFill="background1"/>
            <w:hideMark/>
          </w:tcPr>
          <w:p w14:paraId="1ABEFC7C" w14:textId="3A0F244F" w:rsidR="00C727A8" w:rsidRPr="00623C5D" w:rsidRDefault="00C727A8" w:rsidP="00E219DF">
            <w:pPr>
              <w:jc w:val="center"/>
              <w:rPr>
                <w:b/>
                <w:sz w:val="20"/>
                <w:szCs w:val="20"/>
                <w:lang w:val="en-US"/>
              </w:rPr>
            </w:pPr>
            <w:r w:rsidRPr="00623C5D">
              <w:rPr>
                <w:b/>
                <w:sz w:val="20"/>
                <w:szCs w:val="20"/>
              </w:rPr>
              <w:t>12312</w:t>
            </w:r>
          </w:p>
        </w:tc>
        <w:tc>
          <w:tcPr>
            <w:tcW w:w="1089" w:type="dxa"/>
            <w:shd w:val="clear" w:color="auto" w:fill="FFFFFF" w:themeFill="background1"/>
            <w:hideMark/>
          </w:tcPr>
          <w:p w14:paraId="2BE8E875" w14:textId="58A7EADB" w:rsidR="00C727A8" w:rsidRPr="00623C5D" w:rsidRDefault="00C727A8" w:rsidP="00E219DF">
            <w:pPr>
              <w:jc w:val="center"/>
              <w:rPr>
                <w:b/>
                <w:sz w:val="20"/>
                <w:szCs w:val="20"/>
                <w:lang w:val="en-US"/>
              </w:rPr>
            </w:pPr>
            <w:r w:rsidRPr="00623C5D">
              <w:rPr>
                <w:b/>
                <w:sz w:val="20"/>
                <w:szCs w:val="20"/>
              </w:rPr>
              <w:t>12315</w:t>
            </w:r>
          </w:p>
        </w:tc>
        <w:tc>
          <w:tcPr>
            <w:tcW w:w="1089" w:type="dxa"/>
            <w:shd w:val="clear" w:color="auto" w:fill="FFFFFF" w:themeFill="background1"/>
            <w:hideMark/>
          </w:tcPr>
          <w:p w14:paraId="212A87F4" w14:textId="7920AB55" w:rsidR="00C727A8" w:rsidRPr="00623C5D" w:rsidRDefault="00C727A8" w:rsidP="00E219DF">
            <w:pPr>
              <w:jc w:val="center"/>
              <w:rPr>
                <w:b/>
                <w:sz w:val="20"/>
                <w:szCs w:val="20"/>
                <w:lang w:val="en-US"/>
              </w:rPr>
            </w:pPr>
            <w:r w:rsidRPr="00623C5D">
              <w:rPr>
                <w:b/>
                <w:sz w:val="20"/>
                <w:szCs w:val="20"/>
              </w:rPr>
              <w:t>12318</w:t>
            </w:r>
          </w:p>
        </w:tc>
        <w:tc>
          <w:tcPr>
            <w:tcW w:w="1089" w:type="dxa"/>
            <w:shd w:val="clear" w:color="auto" w:fill="FFFFFF" w:themeFill="background1"/>
            <w:hideMark/>
          </w:tcPr>
          <w:p w14:paraId="77AE5F00" w14:textId="19FD6498" w:rsidR="00C727A8" w:rsidRPr="00623C5D" w:rsidRDefault="00C727A8" w:rsidP="00E219DF">
            <w:pPr>
              <w:jc w:val="center"/>
              <w:rPr>
                <w:b/>
                <w:sz w:val="20"/>
                <w:szCs w:val="20"/>
                <w:lang w:val="en-US"/>
              </w:rPr>
            </w:pPr>
            <w:r w:rsidRPr="00623C5D">
              <w:rPr>
                <w:b/>
                <w:sz w:val="20"/>
                <w:szCs w:val="20"/>
              </w:rPr>
              <w:t>12321</w:t>
            </w:r>
          </w:p>
        </w:tc>
        <w:tc>
          <w:tcPr>
            <w:tcW w:w="1090" w:type="dxa"/>
            <w:shd w:val="clear" w:color="auto" w:fill="F2F2F2" w:themeFill="background1" w:themeFillShade="F2"/>
            <w:hideMark/>
          </w:tcPr>
          <w:p w14:paraId="777F6826" w14:textId="37EE1F60" w:rsidR="00C727A8" w:rsidRPr="00623C5D" w:rsidRDefault="00C727A8" w:rsidP="00E219DF">
            <w:pPr>
              <w:jc w:val="center"/>
              <w:rPr>
                <w:b/>
                <w:sz w:val="20"/>
                <w:szCs w:val="20"/>
                <w:lang w:val="en-US"/>
              </w:rPr>
            </w:pPr>
            <w:r w:rsidRPr="00623C5D">
              <w:rPr>
                <w:b/>
                <w:sz w:val="20"/>
                <w:szCs w:val="20"/>
              </w:rPr>
              <w:t>12323</w:t>
            </w:r>
          </w:p>
        </w:tc>
      </w:tr>
      <w:tr w:rsidR="00913CA4" w:rsidRPr="00623C5D" w14:paraId="66B6F6FD" w14:textId="77777777" w:rsidTr="002A2507">
        <w:tc>
          <w:tcPr>
            <w:tcW w:w="1448" w:type="dxa"/>
            <w:hideMark/>
          </w:tcPr>
          <w:p w14:paraId="335661FD" w14:textId="77777777" w:rsidR="00C727A8" w:rsidRPr="00623C5D" w:rsidRDefault="00C727A8" w:rsidP="00F648DD">
            <w:pPr>
              <w:rPr>
                <w:sz w:val="20"/>
                <w:szCs w:val="20"/>
                <w:lang w:val="en-US"/>
              </w:rPr>
            </w:pPr>
            <w:r w:rsidRPr="00623C5D">
              <w:rPr>
                <w:sz w:val="20"/>
                <w:szCs w:val="20"/>
              </w:rPr>
              <w:t>Services 2014/15</w:t>
            </w:r>
          </w:p>
        </w:tc>
        <w:tc>
          <w:tcPr>
            <w:tcW w:w="1089" w:type="dxa"/>
            <w:shd w:val="clear" w:color="auto" w:fill="FFFFFF" w:themeFill="background1"/>
            <w:vAlign w:val="center"/>
            <w:hideMark/>
          </w:tcPr>
          <w:p w14:paraId="13FA0626" w14:textId="77777777" w:rsidR="00C727A8" w:rsidRPr="00623C5D" w:rsidRDefault="00C727A8" w:rsidP="002E0FC2">
            <w:pPr>
              <w:jc w:val="center"/>
              <w:rPr>
                <w:sz w:val="20"/>
                <w:szCs w:val="20"/>
                <w:lang w:val="en-US"/>
              </w:rPr>
            </w:pPr>
            <w:r w:rsidRPr="00623C5D">
              <w:rPr>
                <w:sz w:val="20"/>
                <w:szCs w:val="20"/>
              </w:rPr>
              <w:t>88,559</w:t>
            </w:r>
          </w:p>
        </w:tc>
        <w:tc>
          <w:tcPr>
            <w:tcW w:w="1089" w:type="dxa"/>
            <w:shd w:val="clear" w:color="auto" w:fill="FFFFFF" w:themeFill="background1"/>
            <w:vAlign w:val="center"/>
            <w:hideMark/>
          </w:tcPr>
          <w:p w14:paraId="79CA8E1B" w14:textId="77777777" w:rsidR="00C727A8" w:rsidRPr="00623C5D" w:rsidRDefault="00C727A8" w:rsidP="002E0FC2">
            <w:pPr>
              <w:jc w:val="center"/>
              <w:rPr>
                <w:sz w:val="20"/>
                <w:szCs w:val="20"/>
                <w:lang w:val="en-US"/>
              </w:rPr>
            </w:pPr>
            <w:r w:rsidRPr="00623C5D">
              <w:rPr>
                <w:sz w:val="20"/>
                <w:szCs w:val="20"/>
              </w:rPr>
              <w:t>1,492</w:t>
            </w:r>
          </w:p>
        </w:tc>
        <w:tc>
          <w:tcPr>
            <w:tcW w:w="1089" w:type="dxa"/>
            <w:shd w:val="clear" w:color="auto" w:fill="FFFFFF" w:themeFill="background1"/>
            <w:vAlign w:val="center"/>
            <w:hideMark/>
          </w:tcPr>
          <w:p w14:paraId="6ABAABC0" w14:textId="77777777" w:rsidR="00C727A8" w:rsidRPr="00623C5D" w:rsidRDefault="00C727A8" w:rsidP="002E0FC2">
            <w:pPr>
              <w:jc w:val="center"/>
              <w:rPr>
                <w:sz w:val="20"/>
                <w:szCs w:val="20"/>
                <w:lang w:val="en-US"/>
              </w:rPr>
            </w:pPr>
            <w:r w:rsidRPr="00623C5D">
              <w:rPr>
                <w:sz w:val="20"/>
                <w:szCs w:val="20"/>
              </w:rPr>
              <w:t>65,335</w:t>
            </w:r>
          </w:p>
        </w:tc>
        <w:tc>
          <w:tcPr>
            <w:tcW w:w="1089" w:type="dxa"/>
            <w:shd w:val="clear" w:color="auto" w:fill="FFFFFF" w:themeFill="background1"/>
            <w:vAlign w:val="center"/>
            <w:hideMark/>
          </w:tcPr>
          <w:p w14:paraId="165BCE07" w14:textId="77777777" w:rsidR="00C727A8" w:rsidRPr="00623C5D" w:rsidRDefault="00C727A8" w:rsidP="002E0FC2">
            <w:pPr>
              <w:jc w:val="center"/>
              <w:rPr>
                <w:sz w:val="20"/>
                <w:szCs w:val="20"/>
                <w:lang w:val="en-US"/>
              </w:rPr>
            </w:pPr>
            <w:r w:rsidRPr="00623C5D">
              <w:rPr>
                <w:sz w:val="20"/>
                <w:szCs w:val="20"/>
              </w:rPr>
              <w:t>34,641</w:t>
            </w:r>
          </w:p>
        </w:tc>
        <w:tc>
          <w:tcPr>
            <w:tcW w:w="1089" w:type="dxa"/>
            <w:shd w:val="clear" w:color="auto" w:fill="FFFFFF" w:themeFill="background1"/>
            <w:vAlign w:val="center"/>
            <w:hideMark/>
          </w:tcPr>
          <w:p w14:paraId="5AFB9DE3" w14:textId="77777777" w:rsidR="00C727A8" w:rsidRPr="00623C5D" w:rsidRDefault="00C727A8" w:rsidP="002E0FC2">
            <w:pPr>
              <w:jc w:val="center"/>
              <w:rPr>
                <w:sz w:val="20"/>
                <w:szCs w:val="20"/>
                <w:lang w:val="en-US"/>
              </w:rPr>
            </w:pPr>
            <w:r w:rsidRPr="00623C5D">
              <w:rPr>
                <w:sz w:val="20"/>
                <w:szCs w:val="20"/>
              </w:rPr>
              <w:t>1,830</w:t>
            </w:r>
          </w:p>
        </w:tc>
        <w:tc>
          <w:tcPr>
            <w:tcW w:w="1089" w:type="dxa"/>
            <w:shd w:val="clear" w:color="auto" w:fill="FFFFFF" w:themeFill="background1"/>
            <w:vAlign w:val="center"/>
            <w:hideMark/>
          </w:tcPr>
          <w:p w14:paraId="01E4E1EA" w14:textId="77777777" w:rsidR="00C727A8" w:rsidRPr="00623C5D" w:rsidRDefault="00C727A8" w:rsidP="002E0FC2">
            <w:pPr>
              <w:jc w:val="center"/>
              <w:rPr>
                <w:sz w:val="20"/>
                <w:szCs w:val="20"/>
                <w:lang w:val="en-US"/>
              </w:rPr>
            </w:pPr>
            <w:r w:rsidRPr="00623C5D">
              <w:rPr>
                <w:sz w:val="20"/>
                <w:szCs w:val="20"/>
              </w:rPr>
              <w:t>18,652</w:t>
            </w:r>
          </w:p>
        </w:tc>
        <w:tc>
          <w:tcPr>
            <w:tcW w:w="1090" w:type="dxa"/>
            <w:shd w:val="clear" w:color="auto" w:fill="F2F2F2" w:themeFill="background1" w:themeFillShade="F2"/>
            <w:vAlign w:val="center"/>
            <w:hideMark/>
          </w:tcPr>
          <w:p w14:paraId="44BB7652" w14:textId="77777777" w:rsidR="00C727A8" w:rsidRPr="00623C5D" w:rsidRDefault="00C727A8" w:rsidP="002E0FC2">
            <w:pPr>
              <w:jc w:val="center"/>
              <w:rPr>
                <w:sz w:val="20"/>
                <w:szCs w:val="20"/>
                <w:lang w:val="en-US"/>
              </w:rPr>
            </w:pPr>
            <w:r w:rsidRPr="00623C5D">
              <w:rPr>
                <w:sz w:val="20"/>
                <w:szCs w:val="20"/>
              </w:rPr>
              <w:t>192,498</w:t>
            </w:r>
          </w:p>
        </w:tc>
      </w:tr>
      <w:tr w:rsidR="00913CA4" w:rsidRPr="00623C5D" w14:paraId="14D15EE6" w14:textId="77777777" w:rsidTr="002A2507">
        <w:tc>
          <w:tcPr>
            <w:tcW w:w="1448" w:type="dxa"/>
            <w:hideMark/>
          </w:tcPr>
          <w:p w14:paraId="142E3888" w14:textId="77777777" w:rsidR="00C727A8" w:rsidRPr="00623C5D" w:rsidRDefault="00C727A8" w:rsidP="00F648DD">
            <w:pPr>
              <w:rPr>
                <w:sz w:val="20"/>
                <w:szCs w:val="20"/>
                <w:lang w:val="en-US"/>
              </w:rPr>
            </w:pPr>
            <w:r w:rsidRPr="00623C5D">
              <w:rPr>
                <w:sz w:val="20"/>
                <w:szCs w:val="20"/>
              </w:rPr>
              <w:t>Benefits 2014/15</w:t>
            </w:r>
          </w:p>
        </w:tc>
        <w:tc>
          <w:tcPr>
            <w:tcW w:w="1089" w:type="dxa"/>
            <w:shd w:val="clear" w:color="auto" w:fill="FFFFFF" w:themeFill="background1"/>
            <w:vAlign w:val="center"/>
            <w:hideMark/>
          </w:tcPr>
          <w:p w14:paraId="4C3B6D1B" w14:textId="77777777" w:rsidR="00C727A8" w:rsidRPr="00623C5D" w:rsidRDefault="00C727A8" w:rsidP="002E0FC2">
            <w:pPr>
              <w:jc w:val="center"/>
              <w:rPr>
                <w:sz w:val="20"/>
                <w:szCs w:val="20"/>
                <w:lang w:val="en-US"/>
              </w:rPr>
            </w:pPr>
            <w:r w:rsidRPr="00623C5D">
              <w:rPr>
                <w:sz w:val="20"/>
                <w:szCs w:val="20"/>
              </w:rPr>
              <w:t>$7.8 m</w:t>
            </w:r>
          </w:p>
        </w:tc>
        <w:tc>
          <w:tcPr>
            <w:tcW w:w="1089" w:type="dxa"/>
            <w:shd w:val="clear" w:color="auto" w:fill="FFFFFF" w:themeFill="background1"/>
            <w:vAlign w:val="center"/>
            <w:hideMark/>
          </w:tcPr>
          <w:p w14:paraId="1ED58B63" w14:textId="77777777" w:rsidR="00C727A8" w:rsidRPr="00623C5D" w:rsidRDefault="00C727A8" w:rsidP="002E0FC2">
            <w:pPr>
              <w:jc w:val="center"/>
              <w:rPr>
                <w:sz w:val="20"/>
                <w:szCs w:val="20"/>
                <w:lang w:val="en-US"/>
              </w:rPr>
            </w:pPr>
            <w:r w:rsidRPr="00623C5D">
              <w:rPr>
                <w:sz w:val="20"/>
                <w:szCs w:val="20"/>
              </w:rPr>
              <w:t>$130,726</w:t>
            </w:r>
          </w:p>
        </w:tc>
        <w:tc>
          <w:tcPr>
            <w:tcW w:w="1089" w:type="dxa"/>
            <w:shd w:val="clear" w:color="auto" w:fill="FFFFFF" w:themeFill="background1"/>
            <w:vAlign w:val="center"/>
            <w:hideMark/>
          </w:tcPr>
          <w:p w14:paraId="015121FF" w14:textId="77777777" w:rsidR="00C727A8" w:rsidRPr="00623C5D" w:rsidRDefault="00C727A8" w:rsidP="002E0FC2">
            <w:pPr>
              <w:jc w:val="center"/>
              <w:rPr>
                <w:sz w:val="20"/>
                <w:szCs w:val="20"/>
                <w:lang w:val="en-US"/>
              </w:rPr>
            </w:pPr>
            <w:r w:rsidRPr="00623C5D">
              <w:rPr>
                <w:sz w:val="20"/>
                <w:szCs w:val="20"/>
              </w:rPr>
              <w:t>$5.7 m</w:t>
            </w:r>
          </w:p>
        </w:tc>
        <w:tc>
          <w:tcPr>
            <w:tcW w:w="1089" w:type="dxa"/>
            <w:shd w:val="clear" w:color="auto" w:fill="FFFFFF" w:themeFill="background1"/>
            <w:vAlign w:val="center"/>
            <w:hideMark/>
          </w:tcPr>
          <w:p w14:paraId="2091DCA0" w14:textId="77777777" w:rsidR="00C727A8" w:rsidRPr="00623C5D" w:rsidRDefault="00C727A8" w:rsidP="002E0FC2">
            <w:pPr>
              <w:jc w:val="center"/>
              <w:rPr>
                <w:sz w:val="20"/>
                <w:szCs w:val="20"/>
                <w:lang w:val="en-US"/>
              </w:rPr>
            </w:pPr>
            <w:r w:rsidRPr="00623C5D">
              <w:rPr>
                <w:sz w:val="20"/>
                <w:szCs w:val="20"/>
              </w:rPr>
              <w:t>$3.0 m</w:t>
            </w:r>
          </w:p>
        </w:tc>
        <w:tc>
          <w:tcPr>
            <w:tcW w:w="1089" w:type="dxa"/>
            <w:shd w:val="clear" w:color="auto" w:fill="FFFFFF" w:themeFill="background1"/>
            <w:vAlign w:val="center"/>
            <w:hideMark/>
          </w:tcPr>
          <w:p w14:paraId="16C9A751" w14:textId="77777777" w:rsidR="00C727A8" w:rsidRPr="00623C5D" w:rsidRDefault="00C727A8" w:rsidP="002E0FC2">
            <w:pPr>
              <w:jc w:val="center"/>
              <w:rPr>
                <w:sz w:val="20"/>
                <w:szCs w:val="20"/>
                <w:lang w:val="en-US"/>
              </w:rPr>
            </w:pPr>
            <w:r w:rsidRPr="00623C5D">
              <w:rPr>
                <w:sz w:val="20"/>
                <w:szCs w:val="20"/>
              </w:rPr>
              <w:t>$159,394</w:t>
            </w:r>
          </w:p>
        </w:tc>
        <w:tc>
          <w:tcPr>
            <w:tcW w:w="1089" w:type="dxa"/>
            <w:shd w:val="clear" w:color="auto" w:fill="FFFFFF" w:themeFill="background1"/>
            <w:vAlign w:val="center"/>
            <w:hideMark/>
          </w:tcPr>
          <w:p w14:paraId="51248E74" w14:textId="77777777" w:rsidR="00C727A8" w:rsidRPr="00623C5D" w:rsidRDefault="00C727A8" w:rsidP="002E0FC2">
            <w:pPr>
              <w:jc w:val="center"/>
              <w:rPr>
                <w:sz w:val="20"/>
                <w:szCs w:val="20"/>
                <w:lang w:val="en-US"/>
              </w:rPr>
            </w:pPr>
            <w:r w:rsidRPr="00623C5D">
              <w:rPr>
                <w:sz w:val="20"/>
                <w:szCs w:val="20"/>
              </w:rPr>
              <w:t>$1.6 m</w:t>
            </w:r>
          </w:p>
        </w:tc>
        <w:tc>
          <w:tcPr>
            <w:tcW w:w="1090" w:type="dxa"/>
            <w:shd w:val="clear" w:color="auto" w:fill="F2F2F2" w:themeFill="background1" w:themeFillShade="F2"/>
            <w:vAlign w:val="center"/>
            <w:hideMark/>
          </w:tcPr>
          <w:p w14:paraId="0279C6EF" w14:textId="77777777" w:rsidR="00C727A8" w:rsidRPr="00623C5D" w:rsidRDefault="00C727A8" w:rsidP="002E0FC2">
            <w:pPr>
              <w:jc w:val="center"/>
              <w:rPr>
                <w:sz w:val="20"/>
                <w:szCs w:val="20"/>
                <w:lang w:val="en-US"/>
              </w:rPr>
            </w:pPr>
            <w:r w:rsidRPr="00623C5D">
              <w:rPr>
                <w:sz w:val="20"/>
                <w:szCs w:val="20"/>
              </w:rPr>
              <w:t>$16.8 m</w:t>
            </w:r>
          </w:p>
        </w:tc>
      </w:tr>
      <w:tr w:rsidR="00913CA4" w:rsidRPr="00623C5D" w14:paraId="38BC5C89" w14:textId="77777777" w:rsidTr="002A2507">
        <w:tc>
          <w:tcPr>
            <w:tcW w:w="1448" w:type="dxa"/>
            <w:hideMark/>
          </w:tcPr>
          <w:p w14:paraId="3F324725" w14:textId="77777777" w:rsidR="00C727A8" w:rsidRPr="00623C5D" w:rsidRDefault="00C727A8" w:rsidP="00F648DD">
            <w:pPr>
              <w:rPr>
                <w:sz w:val="20"/>
                <w:szCs w:val="20"/>
                <w:lang w:val="en-US"/>
              </w:rPr>
            </w:pPr>
            <w:r w:rsidRPr="00623C5D">
              <w:rPr>
                <w:sz w:val="20"/>
                <w:szCs w:val="20"/>
              </w:rPr>
              <w:t>Change in benefits (2011/12 – 2014/15)</w:t>
            </w:r>
          </w:p>
        </w:tc>
        <w:tc>
          <w:tcPr>
            <w:tcW w:w="1089" w:type="dxa"/>
            <w:shd w:val="clear" w:color="auto" w:fill="FFFFFF" w:themeFill="background1"/>
            <w:vAlign w:val="center"/>
            <w:hideMark/>
          </w:tcPr>
          <w:p w14:paraId="06E019A8" w14:textId="77777777" w:rsidR="00C727A8" w:rsidRPr="00623C5D" w:rsidRDefault="00C727A8" w:rsidP="002E0FC2">
            <w:pPr>
              <w:jc w:val="center"/>
              <w:rPr>
                <w:sz w:val="20"/>
                <w:szCs w:val="20"/>
                <w:lang w:val="en-US"/>
              </w:rPr>
            </w:pPr>
            <w:r w:rsidRPr="00623C5D">
              <w:rPr>
                <w:sz w:val="20"/>
                <w:szCs w:val="20"/>
              </w:rPr>
              <w:t>9.4%</w:t>
            </w:r>
          </w:p>
        </w:tc>
        <w:tc>
          <w:tcPr>
            <w:tcW w:w="1089" w:type="dxa"/>
            <w:shd w:val="clear" w:color="auto" w:fill="FFFFFF" w:themeFill="background1"/>
            <w:vAlign w:val="center"/>
            <w:hideMark/>
          </w:tcPr>
          <w:p w14:paraId="5E44F2E2" w14:textId="77777777" w:rsidR="00C727A8" w:rsidRPr="00623C5D" w:rsidRDefault="00C727A8" w:rsidP="002E0FC2">
            <w:pPr>
              <w:jc w:val="center"/>
              <w:rPr>
                <w:sz w:val="20"/>
                <w:szCs w:val="20"/>
                <w:lang w:val="en-US"/>
              </w:rPr>
            </w:pPr>
            <w:r w:rsidRPr="00623C5D">
              <w:rPr>
                <w:sz w:val="20"/>
                <w:szCs w:val="20"/>
              </w:rPr>
              <w:t>10.3%</w:t>
            </w:r>
          </w:p>
        </w:tc>
        <w:tc>
          <w:tcPr>
            <w:tcW w:w="1089" w:type="dxa"/>
            <w:shd w:val="clear" w:color="auto" w:fill="FFFFFF" w:themeFill="background1"/>
            <w:vAlign w:val="center"/>
            <w:hideMark/>
          </w:tcPr>
          <w:p w14:paraId="1626B26D" w14:textId="77777777" w:rsidR="00C727A8" w:rsidRPr="00623C5D" w:rsidRDefault="00C727A8" w:rsidP="002E0FC2">
            <w:pPr>
              <w:jc w:val="center"/>
              <w:rPr>
                <w:sz w:val="20"/>
                <w:szCs w:val="20"/>
                <w:lang w:val="en-US"/>
              </w:rPr>
            </w:pPr>
            <w:r w:rsidRPr="00623C5D">
              <w:rPr>
                <w:sz w:val="20"/>
                <w:szCs w:val="20"/>
              </w:rPr>
              <w:t>7.9%</w:t>
            </w:r>
          </w:p>
        </w:tc>
        <w:tc>
          <w:tcPr>
            <w:tcW w:w="1089" w:type="dxa"/>
            <w:shd w:val="clear" w:color="auto" w:fill="FFFFFF" w:themeFill="background1"/>
            <w:vAlign w:val="center"/>
            <w:hideMark/>
          </w:tcPr>
          <w:p w14:paraId="6597CFC5" w14:textId="77777777" w:rsidR="00C727A8" w:rsidRPr="00623C5D" w:rsidRDefault="00C727A8" w:rsidP="002E0FC2">
            <w:pPr>
              <w:jc w:val="center"/>
              <w:rPr>
                <w:sz w:val="20"/>
                <w:szCs w:val="20"/>
                <w:lang w:val="en-US"/>
              </w:rPr>
            </w:pPr>
            <w:r w:rsidRPr="00623C5D">
              <w:rPr>
                <w:sz w:val="20"/>
                <w:szCs w:val="20"/>
              </w:rPr>
              <w:t>19.2%</w:t>
            </w:r>
          </w:p>
        </w:tc>
        <w:tc>
          <w:tcPr>
            <w:tcW w:w="1089" w:type="dxa"/>
            <w:shd w:val="clear" w:color="auto" w:fill="FFFFFF" w:themeFill="background1"/>
            <w:vAlign w:val="center"/>
            <w:hideMark/>
          </w:tcPr>
          <w:p w14:paraId="0C0AA00C" w14:textId="77777777" w:rsidR="00C727A8" w:rsidRPr="00623C5D" w:rsidRDefault="00C727A8" w:rsidP="002E0FC2">
            <w:pPr>
              <w:jc w:val="center"/>
              <w:rPr>
                <w:sz w:val="20"/>
                <w:szCs w:val="20"/>
                <w:lang w:val="en-US"/>
              </w:rPr>
            </w:pPr>
            <w:r w:rsidRPr="00623C5D">
              <w:rPr>
                <w:sz w:val="20"/>
                <w:szCs w:val="20"/>
              </w:rPr>
              <w:t>54.6%</w:t>
            </w:r>
          </w:p>
        </w:tc>
        <w:tc>
          <w:tcPr>
            <w:tcW w:w="1089" w:type="dxa"/>
            <w:shd w:val="clear" w:color="auto" w:fill="FFFFFF" w:themeFill="background1"/>
            <w:vAlign w:val="center"/>
            <w:hideMark/>
          </w:tcPr>
          <w:p w14:paraId="0EAA99EB" w14:textId="77777777" w:rsidR="00C727A8" w:rsidRPr="00623C5D" w:rsidRDefault="00C727A8" w:rsidP="002E0FC2">
            <w:pPr>
              <w:jc w:val="center"/>
              <w:rPr>
                <w:sz w:val="20"/>
                <w:szCs w:val="20"/>
                <w:lang w:val="en-US"/>
              </w:rPr>
            </w:pPr>
            <w:r w:rsidRPr="00623C5D">
              <w:rPr>
                <w:sz w:val="20"/>
                <w:szCs w:val="20"/>
              </w:rPr>
              <w:t>16.4%</w:t>
            </w:r>
          </w:p>
        </w:tc>
        <w:tc>
          <w:tcPr>
            <w:tcW w:w="1090" w:type="dxa"/>
            <w:shd w:val="clear" w:color="auto" w:fill="F2F2F2" w:themeFill="background1" w:themeFillShade="F2"/>
            <w:vAlign w:val="center"/>
            <w:hideMark/>
          </w:tcPr>
          <w:p w14:paraId="41DF90A2" w14:textId="77777777" w:rsidR="00C727A8" w:rsidRPr="00623C5D" w:rsidRDefault="00C727A8" w:rsidP="002E0FC2">
            <w:pPr>
              <w:jc w:val="center"/>
              <w:rPr>
                <w:sz w:val="20"/>
                <w:szCs w:val="20"/>
                <w:lang w:val="en-US"/>
              </w:rPr>
            </w:pPr>
            <w:r w:rsidRPr="00623C5D">
              <w:rPr>
                <w:sz w:val="20"/>
                <w:szCs w:val="20"/>
              </w:rPr>
              <w:t>46.4%</w:t>
            </w:r>
          </w:p>
        </w:tc>
      </w:tr>
      <w:tr w:rsidR="00913CA4" w:rsidRPr="00623C5D" w14:paraId="5C6F975D" w14:textId="77777777" w:rsidTr="002A2507">
        <w:tc>
          <w:tcPr>
            <w:tcW w:w="1448" w:type="dxa"/>
            <w:hideMark/>
          </w:tcPr>
          <w:p w14:paraId="2D36CAC3" w14:textId="77777777" w:rsidR="00C727A8" w:rsidRPr="00623C5D" w:rsidRDefault="00C727A8" w:rsidP="00F648DD">
            <w:pPr>
              <w:rPr>
                <w:sz w:val="20"/>
                <w:szCs w:val="20"/>
                <w:lang w:val="en-US"/>
              </w:rPr>
            </w:pPr>
            <w:r w:rsidRPr="00623C5D">
              <w:rPr>
                <w:sz w:val="20"/>
                <w:szCs w:val="20"/>
              </w:rPr>
              <w:t xml:space="preserve">Number of patients </w:t>
            </w:r>
          </w:p>
        </w:tc>
        <w:tc>
          <w:tcPr>
            <w:tcW w:w="1089" w:type="dxa"/>
            <w:shd w:val="clear" w:color="auto" w:fill="FFFFFF" w:themeFill="background1"/>
            <w:vAlign w:val="center"/>
            <w:hideMark/>
          </w:tcPr>
          <w:p w14:paraId="2A0D7042" w14:textId="77777777" w:rsidR="00C727A8" w:rsidRPr="00623C5D" w:rsidRDefault="00C727A8" w:rsidP="002E0FC2">
            <w:pPr>
              <w:jc w:val="center"/>
              <w:rPr>
                <w:sz w:val="20"/>
                <w:szCs w:val="20"/>
                <w:lang w:val="en-US"/>
              </w:rPr>
            </w:pPr>
            <w:r w:rsidRPr="00623C5D">
              <w:rPr>
                <w:sz w:val="20"/>
                <w:szCs w:val="20"/>
              </w:rPr>
              <w:t>88,572</w:t>
            </w:r>
          </w:p>
        </w:tc>
        <w:tc>
          <w:tcPr>
            <w:tcW w:w="1089" w:type="dxa"/>
            <w:shd w:val="clear" w:color="auto" w:fill="FFFFFF" w:themeFill="background1"/>
            <w:vAlign w:val="center"/>
            <w:hideMark/>
          </w:tcPr>
          <w:p w14:paraId="60987083" w14:textId="77777777" w:rsidR="00C727A8" w:rsidRPr="00623C5D" w:rsidRDefault="00C727A8" w:rsidP="002E0FC2">
            <w:pPr>
              <w:jc w:val="center"/>
              <w:rPr>
                <w:sz w:val="20"/>
                <w:szCs w:val="20"/>
                <w:lang w:val="en-US"/>
              </w:rPr>
            </w:pPr>
            <w:r w:rsidRPr="00623C5D">
              <w:rPr>
                <w:sz w:val="20"/>
                <w:szCs w:val="20"/>
              </w:rPr>
              <w:t>1,493</w:t>
            </w:r>
          </w:p>
        </w:tc>
        <w:tc>
          <w:tcPr>
            <w:tcW w:w="1089" w:type="dxa"/>
            <w:shd w:val="clear" w:color="auto" w:fill="FFFFFF" w:themeFill="background1"/>
            <w:vAlign w:val="center"/>
            <w:hideMark/>
          </w:tcPr>
          <w:p w14:paraId="532137F1" w14:textId="77777777" w:rsidR="00C727A8" w:rsidRPr="00623C5D" w:rsidRDefault="00C727A8" w:rsidP="002E0FC2">
            <w:pPr>
              <w:jc w:val="center"/>
              <w:rPr>
                <w:sz w:val="20"/>
                <w:szCs w:val="20"/>
                <w:lang w:val="en-US"/>
              </w:rPr>
            </w:pPr>
            <w:r w:rsidRPr="00623C5D">
              <w:rPr>
                <w:sz w:val="20"/>
                <w:szCs w:val="20"/>
              </w:rPr>
              <w:t>65,282</w:t>
            </w:r>
          </w:p>
        </w:tc>
        <w:tc>
          <w:tcPr>
            <w:tcW w:w="1089" w:type="dxa"/>
            <w:shd w:val="clear" w:color="auto" w:fill="FFFFFF" w:themeFill="background1"/>
            <w:vAlign w:val="center"/>
            <w:hideMark/>
          </w:tcPr>
          <w:p w14:paraId="3C6BF709" w14:textId="77777777" w:rsidR="00C727A8" w:rsidRPr="00623C5D" w:rsidRDefault="00C727A8" w:rsidP="002E0FC2">
            <w:pPr>
              <w:jc w:val="center"/>
              <w:rPr>
                <w:sz w:val="20"/>
                <w:szCs w:val="20"/>
                <w:lang w:val="en-US"/>
              </w:rPr>
            </w:pPr>
            <w:r w:rsidRPr="00623C5D">
              <w:rPr>
                <w:sz w:val="20"/>
                <w:szCs w:val="20"/>
              </w:rPr>
              <w:t>34,638</w:t>
            </w:r>
          </w:p>
        </w:tc>
        <w:tc>
          <w:tcPr>
            <w:tcW w:w="1089" w:type="dxa"/>
            <w:shd w:val="clear" w:color="auto" w:fill="FFFFFF" w:themeFill="background1"/>
            <w:vAlign w:val="center"/>
            <w:hideMark/>
          </w:tcPr>
          <w:p w14:paraId="14F0EFFC" w14:textId="77777777" w:rsidR="00C727A8" w:rsidRPr="00623C5D" w:rsidRDefault="00C727A8" w:rsidP="002E0FC2">
            <w:pPr>
              <w:jc w:val="center"/>
              <w:rPr>
                <w:sz w:val="20"/>
                <w:szCs w:val="20"/>
                <w:lang w:val="en-US"/>
              </w:rPr>
            </w:pPr>
            <w:r w:rsidRPr="00623C5D">
              <w:rPr>
                <w:sz w:val="20"/>
                <w:szCs w:val="20"/>
              </w:rPr>
              <w:t>1,830</w:t>
            </w:r>
          </w:p>
        </w:tc>
        <w:tc>
          <w:tcPr>
            <w:tcW w:w="1089" w:type="dxa"/>
            <w:shd w:val="clear" w:color="auto" w:fill="FFFFFF" w:themeFill="background1"/>
            <w:vAlign w:val="center"/>
            <w:hideMark/>
          </w:tcPr>
          <w:p w14:paraId="7A33569B" w14:textId="77777777" w:rsidR="00C727A8" w:rsidRPr="00623C5D" w:rsidRDefault="00C727A8" w:rsidP="002E0FC2">
            <w:pPr>
              <w:jc w:val="center"/>
              <w:rPr>
                <w:sz w:val="20"/>
                <w:szCs w:val="20"/>
                <w:lang w:val="en-US"/>
              </w:rPr>
            </w:pPr>
            <w:r w:rsidRPr="00623C5D">
              <w:rPr>
                <w:sz w:val="20"/>
                <w:szCs w:val="20"/>
              </w:rPr>
              <w:t>18,526</w:t>
            </w:r>
          </w:p>
        </w:tc>
        <w:tc>
          <w:tcPr>
            <w:tcW w:w="1090" w:type="dxa"/>
            <w:shd w:val="clear" w:color="auto" w:fill="F2F2F2" w:themeFill="background1" w:themeFillShade="F2"/>
            <w:vAlign w:val="center"/>
            <w:hideMark/>
          </w:tcPr>
          <w:p w14:paraId="1E8E8421" w14:textId="77777777" w:rsidR="00C727A8" w:rsidRPr="00623C5D" w:rsidRDefault="00C727A8" w:rsidP="002E0FC2">
            <w:pPr>
              <w:jc w:val="center"/>
              <w:rPr>
                <w:sz w:val="20"/>
                <w:szCs w:val="20"/>
                <w:lang w:val="en-US"/>
              </w:rPr>
            </w:pPr>
            <w:r w:rsidRPr="00623C5D">
              <w:rPr>
                <w:sz w:val="20"/>
                <w:szCs w:val="20"/>
              </w:rPr>
              <w:t>191,032</w:t>
            </w:r>
          </w:p>
        </w:tc>
      </w:tr>
      <w:tr w:rsidR="00913CA4" w:rsidRPr="00623C5D" w14:paraId="5A1E76BF" w14:textId="77777777" w:rsidTr="002A2507">
        <w:tc>
          <w:tcPr>
            <w:tcW w:w="1448" w:type="dxa"/>
            <w:hideMark/>
          </w:tcPr>
          <w:p w14:paraId="400EBF86" w14:textId="77777777" w:rsidR="00C727A8" w:rsidRPr="00623C5D" w:rsidRDefault="00C727A8" w:rsidP="00F648DD">
            <w:pPr>
              <w:rPr>
                <w:sz w:val="20"/>
                <w:szCs w:val="20"/>
                <w:lang w:val="en-US"/>
              </w:rPr>
            </w:pPr>
            <w:r w:rsidRPr="00623C5D">
              <w:rPr>
                <w:sz w:val="20"/>
                <w:szCs w:val="20"/>
              </w:rPr>
              <w:t xml:space="preserve">Number of providers </w:t>
            </w:r>
          </w:p>
        </w:tc>
        <w:tc>
          <w:tcPr>
            <w:tcW w:w="1089" w:type="dxa"/>
            <w:shd w:val="clear" w:color="auto" w:fill="FFFFFF" w:themeFill="background1"/>
            <w:vAlign w:val="center"/>
            <w:hideMark/>
          </w:tcPr>
          <w:p w14:paraId="10D6515F" w14:textId="77777777" w:rsidR="00C727A8" w:rsidRPr="00623C5D" w:rsidRDefault="00C727A8" w:rsidP="002E0FC2">
            <w:pPr>
              <w:jc w:val="center"/>
              <w:rPr>
                <w:sz w:val="20"/>
                <w:szCs w:val="20"/>
                <w:lang w:val="en-US"/>
              </w:rPr>
            </w:pPr>
            <w:r w:rsidRPr="00623C5D">
              <w:rPr>
                <w:sz w:val="20"/>
                <w:szCs w:val="20"/>
              </w:rPr>
              <w:t>1,781</w:t>
            </w:r>
          </w:p>
        </w:tc>
        <w:tc>
          <w:tcPr>
            <w:tcW w:w="1089" w:type="dxa"/>
            <w:shd w:val="clear" w:color="auto" w:fill="FFFFFF" w:themeFill="background1"/>
            <w:vAlign w:val="center"/>
            <w:hideMark/>
          </w:tcPr>
          <w:p w14:paraId="08FC6D40" w14:textId="77777777" w:rsidR="00C727A8" w:rsidRPr="00623C5D" w:rsidRDefault="00C727A8" w:rsidP="002E0FC2">
            <w:pPr>
              <w:jc w:val="center"/>
              <w:rPr>
                <w:sz w:val="20"/>
                <w:szCs w:val="20"/>
                <w:lang w:val="en-US"/>
              </w:rPr>
            </w:pPr>
            <w:r w:rsidRPr="00623C5D">
              <w:rPr>
                <w:sz w:val="20"/>
                <w:szCs w:val="20"/>
              </w:rPr>
              <w:t>129</w:t>
            </w:r>
          </w:p>
        </w:tc>
        <w:tc>
          <w:tcPr>
            <w:tcW w:w="1089" w:type="dxa"/>
            <w:shd w:val="clear" w:color="auto" w:fill="FFFFFF" w:themeFill="background1"/>
            <w:vAlign w:val="center"/>
            <w:hideMark/>
          </w:tcPr>
          <w:p w14:paraId="56F7EB84" w14:textId="77777777" w:rsidR="00C727A8" w:rsidRPr="00623C5D" w:rsidRDefault="00C727A8" w:rsidP="002E0FC2">
            <w:pPr>
              <w:jc w:val="center"/>
              <w:rPr>
                <w:sz w:val="20"/>
                <w:szCs w:val="20"/>
                <w:lang w:val="en-US"/>
              </w:rPr>
            </w:pPr>
            <w:r w:rsidRPr="00623C5D">
              <w:rPr>
                <w:sz w:val="20"/>
                <w:szCs w:val="20"/>
              </w:rPr>
              <w:t>1,656</w:t>
            </w:r>
          </w:p>
        </w:tc>
        <w:tc>
          <w:tcPr>
            <w:tcW w:w="1089" w:type="dxa"/>
            <w:shd w:val="clear" w:color="auto" w:fill="FFFFFF" w:themeFill="background1"/>
            <w:vAlign w:val="center"/>
            <w:hideMark/>
          </w:tcPr>
          <w:p w14:paraId="00131ACC" w14:textId="77777777" w:rsidR="00C727A8" w:rsidRPr="00623C5D" w:rsidRDefault="00C727A8" w:rsidP="002E0FC2">
            <w:pPr>
              <w:jc w:val="center"/>
              <w:rPr>
                <w:sz w:val="20"/>
                <w:szCs w:val="20"/>
                <w:lang w:val="en-US"/>
              </w:rPr>
            </w:pPr>
            <w:r w:rsidRPr="00623C5D">
              <w:rPr>
                <w:sz w:val="20"/>
                <w:szCs w:val="20"/>
              </w:rPr>
              <w:t>1,532</w:t>
            </w:r>
          </w:p>
        </w:tc>
        <w:tc>
          <w:tcPr>
            <w:tcW w:w="1089" w:type="dxa"/>
            <w:shd w:val="clear" w:color="auto" w:fill="FFFFFF" w:themeFill="background1"/>
            <w:vAlign w:val="center"/>
            <w:hideMark/>
          </w:tcPr>
          <w:p w14:paraId="77F7B08A" w14:textId="77777777" w:rsidR="00C727A8" w:rsidRPr="00623C5D" w:rsidRDefault="00C727A8" w:rsidP="002E0FC2">
            <w:pPr>
              <w:jc w:val="center"/>
              <w:rPr>
                <w:sz w:val="20"/>
                <w:szCs w:val="20"/>
                <w:lang w:val="en-US"/>
              </w:rPr>
            </w:pPr>
            <w:r w:rsidRPr="00623C5D">
              <w:rPr>
                <w:sz w:val="20"/>
                <w:szCs w:val="20"/>
              </w:rPr>
              <w:t>142</w:t>
            </w:r>
          </w:p>
        </w:tc>
        <w:tc>
          <w:tcPr>
            <w:tcW w:w="1089" w:type="dxa"/>
            <w:shd w:val="clear" w:color="auto" w:fill="FFFFFF" w:themeFill="background1"/>
            <w:vAlign w:val="center"/>
            <w:hideMark/>
          </w:tcPr>
          <w:p w14:paraId="743C9352" w14:textId="77777777" w:rsidR="00C727A8" w:rsidRPr="00623C5D" w:rsidRDefault="00C727A8" w:rsidP="002E0FC2">
            <w:pPr>
              <w:jc w:val="center"/>
              <w:rPr>
                <w:sz w:val="20"/>
                <w:szCs w:val="20"/>
                <w:lang w:val="en-US"/>
              </w:rPr>
            </w:pPr>
            <w:r w:rsidRPr="00623C5D">
              <w:rPr>
                <w:sz w:val="20"/>
                <w:szCs w:val="20"/>
              </w:rPr>
              <w:t>1,205</w:t>
            </w:r>
          </w:p>
        </w:tc>
        <w:tc>
          <w:tcPr>
            <w:tcW w:w="1090" w:type="dxa"/>
            <w:shd w:val="clear" w:color="auto" w:fill="F2F2F2" w:themeFill="background1" w:themeFillShade="F2"/>
            <w:vAlign w:val="center"/>
            <w:hideMark/>
          </w:tcPr>
          <w:p w14:paraId="52EC9BB6" w14:textId="77777777" w:rsidR="00C727A8" w:rsidRPr="00623C5D" w:rsidRDefault="00C727A8" w:rsidP="002E0FC2">
            <w:pPr>
              <w:jc w:val="center"/>
              <w:rPr>
                <w:sz w:val="20"/>
                <w:szCs w:val="20"/>
                <w:lang w:val="en-US"/>
              </w:rPr>
            </w:pPr>
            <w:r w:rsidRPr="00623C5D">
              <w:rPr>
                <w:sz w:val="20"/>
                <w:szCs w:val="20"/>
              </w:rPr>
              <w:t>1,863</w:t>
            </w:r>
          </w:p>
        </w:tc>
      </w:tr>
    </w:tbl>
    <w:p w14:paraId="5DBE7139" w14:textId="77777777" w:rsidR="00C727A8" w:rsidRPr="00F648DD" w:rsidRDefault="00061127" w:rsidP="00967D1B">
      <w:pPr>
        <w:spacing w:before="0" w:after="0"/>
        <w:rPr>
          <w:rFonts w:eastAsiaTheme="minorHAnsi" w:cs="Arial"/>
          <w:sz w:val="18"/>
          <w:szCs w:val="18"/>
          <w:lang w:val="en-US"/>
        </w:rPr>
      </w:pPr>
      <w:r w:rsidRPr="00F648DD">
        <w:rPr>
          <w:rFonts w:eastAsiaTheme="minorHAnsi" w:cs="Arial"/>
          <w:sz w:val="18"/>
          <w:szCs w:val="18"/>
          <w:lang w:val="en-US"/>
        </w:rPr>
        <w:t xml:space="preserve">Source: </w:t>
      </w:r>
      <w:r w:rsidR="0036177A" w:rsidRPr="00F648DD">
        <w:rPr>
          <w:rFonts w:eastAsiaTheme="minorHAnsi" w:cs="Arial"/>
          <w:sz w:val="18"/>
          <w:szCs w:val="18"/>
          <w:lang w:val="en-US"/>
        </w:rPr>
        <w:t xml:space="preserve">Unpublished data (Department of Health) </w:t>
      </w:r>
    </w:p>
    <w:p w14:paraId="2A9880A3" w14:textId="77777777" w:rsidR="00623C5D" w:rsidRPr="00620335" w:rsidRDefault="00623C5D" w:rsidP="00620335">
      <w:pPr>
        <w:rPr>
          <w:rFonts w:eastAsiaTheme="minorHAnsi"/>
        </w:rPr>
      </w:pPr>
      <w:bookmarkStart w:id="49" w:name="_Toc432581019"/>
      <w:bookmarkStart w:id="50" w:name="_Toc443642253"/>
      <w:r w:rsidRPr="00620335">
        <w:br w:type="page"/>
      </w:r>
    </w:p>
    <w:p w14:paraId="6E0A90DD" w14:textId="7A507388" w:rsidR="00C727A8" w:rsidRPr="00623C5D" w:rsidRDefault="00BA3F0C" w:rsidP="002E0FC2">
      <w:pPr>
        <w:pStyle w:val="Caption"/>
      </w:pPr>
      <w:bookmarkStart w:id="51" w:name="_Toc457126664"/>
      <w:r w:rsidRPr="00623C5D">
        <w:lastRenderedPageBreak/>
        <w:t xml:space="preserve">Table </w:t>
      </w:r>
      <w:fldSimple w:instr=" SEQ Table \* ARABIC ">
        <w:r w:rsidR="00E82A84">
          <w:rPr>
            <w:noProof/>
          </w:rPr>
          <w:t>6</w:t>
        </w:r>
      </w:fldSimple>
      <w:r w:rsidR="00FF0018">
        <w:t>:</w:t>
      </w:r>
      <w:r w:rsidR="00FF0018">
        <w:tab/>
      </w:r>
      <w:r w:rsidR="00C727A8" w:rsidRPr="00623C5D">
        <w:t>MBS item 12323 - Service distribution per patient within a one year period (2014-15, Date of Processing)</w:t>
      </w:r>
      <w:bookmarkEnd w:id="49"/>
      <w:bookmarkEnd w:id="50"/>
      <w:bookmarkEnd w:id="51"/>
    </w:p>
    <w:tbl>
      <w:tblPr>
        <w:tblW w:w="9012" w:type="dxa"/>
        <w:tblInd w:w="60" w:type="dxa"/>
        <w:tblBorders>
          <w:top w:val="single" w:sz="4" w:space="0" w:color="B56012"/>
          <w:bottom w:val="single" w:sz="4" w:space="0" w:color="B56012"/>
          <w:insideH w:val="single" w:sz="4" w:space="0" w:color="B56012"/>
        </w:tblBorders>
        <w:tblLayout w:type="fixed"/>
        <w:tblCellMar>
          <w:left w:w="0" w:type="dxa"/>
          <w:right w:w="0" w:type="dxa"/>
        </w:tblCellMar>
        <w:tblLook w:val="04A0" w:firstRow="1" w:lastRow="0" w:firstColumn="1" w:lastColumn="0" w:noHBand="0" w:noVBand="1"/>
        <w:tblDescription w:val="Table 6 shows the number and percentage of patients who had 1, 2 or 3 services during 2014-15 for MBS item 12323."/>
      </w:tblPr>
      <w:tblGrid>
        <w:gridCol w:w="2067"/>
        <w:gridCol w:w="3472"/>
        <w:gridCol w:w="3473"/>
      </w:tblGrid>
      <w:tr w:rsidR="00623C5D" w:rsidRPr="00623C5D" w14:paraId="14A9FE63" w14:textId="77777777" w:rsidTr="00FC3CA4">
        <w:trPr>
          <w:cantSplit/>
          <w:tblHeader/>
        </w:trPr>
        <w:tc>
          <w:tcPr>
            <w:tcW w:w="2067" w:type="dxa"/>
            <w:tcMar>
              <w:top w:w="0" w:type="dxa"/>
              <w:left w:w="60" w:type="dxa"/>
              <w:bottom w:w="0" w:type="dxa"/>
              <w:right w:w="60" w:type="dxa"/>
            </w:tcMar>
            <w:vAlign w:val="center"/>
            <w:hideMark/>
          </w:tcPr>
          <w:p w14:paraId="2664637A" w14:textId="7A796D5E" w:rsidR="00C727A8" w:rsidRPr="00623C5D" w:rsidRDefault="00C727A8" w:rsidP="00020587">
            <w:pPr>
              <w:spacing w:before="140" w:after="40"/>
              <w:rPr>
                <w:rFonts w:eastAsiaTheme="minorHAnsi"/>
                <w:b/>
                <w:lang w:val="en-US"/>
              </w:rPr>
            </w:pPr>
            <w:r w:rsidRPr="00623C5D">
              <w:rPr>
                <w:rFonts w:eastAsiaTheme="minorHAnsi"/>
                <w:b/>
              </w:rPr>
              <w:t>Services per patient</w:t>
            </w:r>
          </w:p>
        </w:tc>
        <w:tc>
          <w:tcPr>
            <w:tcW w:w="3472" w:type="dxa"/>
            <w:tcMar>
              <w:top w:w="0" w:type="dxa"/>
              <w:left w:w="60" w:type="dxa"/>
              <w:bottom w:w="0" w:type="dxa"/>
              <w:right w:w="60" w:type="dxa"/>
            </w:tcMar>
            <w:vAlign w:val="bottom"/>
            <w:hideMark/>
          </w:tcPr>
          <w:p w14:paraId="7448F617" w14:textId="77777777" w:rsidR="00C727A8" w:rsidRPr="00623C5D" w:rsidRDefault="00C727A8" w:rsidP="00020587">
            <w:pPr>
              <w:spacing w:before="140" w:after="40"/>
              <w:jc w:val="right"/>
              <w:rPr>
                <w:rFonts w:eastAsiaTheme="minorHAnsi"/>
                <w:b/>
                <w:lang w:val="en-US"/>
              </w:rPr>
            </w:pPr>
            <w:r w:rsidRPr="00623C5D">
              <w:rPr>
                <w:rFonts w:eastAsiaTheme="minorHAnsi"/>
                <w:b/>
              </w:rPr>
              <w:t>Number of patients*</w:t>
            </w:r>
          </w:p>
        </w:tc>
        <w:tc>
          <w:tcPr>
            <w:tcW w:w="3473" w:type="dxa"/>
            <w:tcMar>
              <w:top w:w="0" w:type="dxa"/>
              <w:left w:w="60" w:type="dxa"/>
              <w:bottom w:w="0" w:type="dxa"/>
              <w:right w:w="60" w:type="dxa"/>
            </w:tcMar>
            <w:vAlign w:val="bottom"/>
            <w:hideMark/>
          </w:tcPr>
          <w:p w14:paraId="2E15C818" w14:textId="77777777" w:rsidR="00C727A8" w:rsidRPr="00623C5D" w:rsidRDefault="00C727A8" w:rsidP="00020587">
            <w:pPr>
              <w:spacing w:before="140" w:after="40"/>
              <w:jc w:val="right"/>
              <w:rPr>
                <w:rFonts w:eastAsiaTheme="minorHAnsi"/>
                <w:b/>
                <w:lang w:val="en-US"/>
              </w:rPr>
            </w:pPr>
            <w:r w:rsidRPr="00623C5D">
              <w:rPr>
                <w:rFonts w:eastAsiaTheme="minorHAnsi"/>
                <w:b/>
              </w:rPr>
              <w:t>Percentage of patients*</w:t>
            </w:r>
          </w:p>
        </w:tc>
      </w:tr>
      <w:tr w:rsidR="00623C5D" w:rsidRPr="00DA7BF2" w14:paraId="350733B4" w14:textId="77777777" w:rsidTr="00A01431">
        <w:trPr>
          <w:cantSplit/>
        </w:trPr>
        <w:tc>
          <w:tcPr>
            <w:tcW w:w="2067" w:type="dxa"/>
            <w:tcMar>
              <w:top w:w="0" w:type="dxa"/>
              <w:left w:w="60" w:type="dxa"/>
              <w:bottom w:w="0" w:type="dxa"/>
              <w:right w:w="60" w:type="dxa"/>
            </w:tcMar>
            <w:hideMark/>
          </w:tcPr>
          <w:p w14:paraId="5890E23F" w14:textId="77777777" w:rsidR="00C727A8" w:rsidRPr="00DA7BF2" w:rsidRDefault="00C727A8" w:rsidP="00020587">
            <w:pPr>
              <w:spacing w:before="140" w:after="40"/>
              <w:jc w:val="center"/>
              <w:rPr>
                <w:rFonts w:eastAsiaTheme="minorHAnsi"/>
                <w:lang w:val="en-US"/>
              </w:rPr>
            </w:pPr>
            <w:r w:rsidRPr="00DA7BF2">
              <w:rPr>
                <w:rFonts w:eastAsiaTheme="minorHAnsi"/>
              </w:rPr>
              <w:t>1</w:t>
            </w:r>
          </w:p>
        </w:tc>
        <w:tc>
          <w:tcPr>
            <w:tcW w:w="3472" w:type="dxa"/>
            <w:tcMar>
              <w:top w:w="0" w:type="dxa"/>
              <w:left w:w="60" w:type="dxa"/>
              <w:bottom w:w="0" w:type="dxa"/>
              <w:right w:w="60" w:type="dxa"/>
            </w:tcMar>
            <w:vAlign w:val="bottom"/>
            <w:hideMark/>
          </w:tcPr>
          <w:p w14:paraId="49447343" w14:textId="77777777" w:rsidR="00C727A8" w:rsidRPr="00DA7BF2" w:rsidRDefault="00C727A8" w:rsidP="00020587">
            <w:pPr>
              <w:spacing w:before="140" w:after="40"/>
              <w:jc w:val="right"/>
              <w:rPr>
                <w:rFonts w:eastAsiaTheme="minorHAnsi"/>
                <w:lang w:val="en-US"/>
              </w:rPr>
            </w:pPr>
            <w:r w:rsidRPr="00DA7BF2">
              <w:rPr>
                <w:rFonts w:eastAsiaTheme="minorHAnsi"/>
              </w:rPr>
              <w:t>189,565</w:t>
            </w:r>
          </w:p>
        </w:tc>
        <w:tc>
          <w:tcPr>
            <w:tcW w:w="3473" w:type="dxa"/>
            <w:tcMar>
              <w:top w:w="0" w:type="dxa"/>
              <w:left w:w="60" w:type="dxa"/>
              <w:bottom w:w="0" w:type="dxa"/>
              <w:right w:w="60" w:type="dxa"/>
            </w:tcMar>
            <w:vAlign w:val="bottom"/>
            <w:hideMark/>
          </w:tcPr>
          <w:p w14:paraId="6206AC27" w14:textId="77777777" w:rsidR="00C727A8" w:rsidRPr="00DA7BF2" w:rsidRDefault="00C727A8" w:rsidP="00020587">
            <w:pPr>
              <w:spacing w:before="140" w:after="40"/>
              <w:jc w:val="right"/>
              <w:rPr>
                <w:rFonts w:eastAsiaTheme="minorHAnsi"/>
                <w:lang w:val="en-US"/>
              </w:rPr>
            </w:pPr>
            <w:r w:rsidRPr="00DA7BF2">
              <w:rPr>
                <w:rFonts w:eastAsiaTheme="minorHAnsi"/>
              </w:rPr>
              <w:t>99.2%</w:t>
            </w:r>
          </w:p>
        </w:tc>
      </w:tr>
      <w:tr w:rsidR="00623C5D" w:rsidRPr="00DA7BF2" w14:paraId="37B67C3F" w14:textId="77777777" w:rsidTr="00A01431">
        <w:trPr>
          <w:cantSplit/>
        </w:trPr>
        <w:tc>
          <w:tcPr>
            <w:tcW w:w="2067" w:type="dxa"/>
            <w:tcMar>
              <w:top w:w="0" w:type="dxa"/>
              <w:left w:w="60" w:type="dxa"/>
              <w:bottom w:w="0" w:type="dxa"/>
              <w:right w:w="60" w:type="dxa"/>
            </w:tcMar>
            <w:hideMark/>
          </w:tcPr>
          <w:p w14:paraId="70574A91" w14:textId="77777777" w:rsidR="00C727A8" w:rsidRPr="00DA7BF2" w:rsidRDefault="00C727A8" w:rsidP="00020587">
            <w:pPr>
              <w:spacing w:before="140" w:after="40"/>
              <w:jc w:val="center"/>
              <w:rPr>
                <w:rFonts w:eastAsiaTheme="minorHAnsi"/>
                <w:lang w:val="en-US"/>
              </w:rPr>
            </w:pPr>
            <w:r w:rsidRPr="00DA7BF2">
              <w:rPr>
                <w:rFonts w:eastAsiaTheme="minorHAnsi"/>
              </w:rPr>
              <w:t>2</w:t>
            </w:r>
          </w:p>
        </w:tc>
        <w:tc>
          <w:tcPr>
            <w:tcW w:w="3472" w:type="dxa"/>
            <w:tcMar>
              <w:top w:w="0" w:type="dxa"/>
              <w:left w:w="60" w:type="dxa"/>
              <w:bottom w:w="0" w:type="dxa"/>
              <w:right w:w="60" w:type="dxa"/>
            </w:tcMar>
            <w:vAlign w:val="bottom"/>
            <w:hideMark/>
          </w:tcPr>
          <w:p w14:paraId="5FD49622" w14:textId="77777777" w:rsidR="00C727A8" w:rsidRPr="00DA7BF2" w:rsidRDefault="00C727A8" w:rsidP="00020587">
            <w:pPr>
              <w:spacing w:before="140" w:after="40"/>
              <w:jc w:val="right"/>
              <w:rPr>
                <w:rFonts w:eastAsiaTheme="minorHAnsi"/>
                <w:lang w:val="en-US"/>
              </w:rPr>
            </w:pPr>
            <w:r w:rsidRPr="00DA7BF2">
              <w:rPr>
                <w:rFonts w:eastAsiaTheme="minorHAnsi"/>
              </w:rPr>
              <w:t>1,454</w:t>
            </w:r>
          </w:p>
        </w:tc>
        <w:tc>
          <w:tcPr>
            <w:tcW w:w="3473" w:type="dxa"/>
            <w:tcMar>
              <w:top w:w="0" w:type="dxa"/>
              <w:left w:w="60" w:type="dxa"/>
              <w:bottom w:w="0" w:type="dxa"/>
              <w:right w:w="60" w:type="dxa"/>
            </w:tcMar>
            <w:vAlign w:val="bottom"/>
            <w:hideMark/>
          </w:tcPr>
          <w:p w14:paraId="7990811F" w14:textId="77777777" w:rsidR="00C727A8" w:rsidRPr="00DA7BF2" w:rsidRDefault="00C727A8" w:rsidP="00020587">
            <w:pPr>
              <w:spacing w:before="140" w:after="40"/>
              <w:jc w:val="right"/>
              <w:rPr>
                <w:rFonts w:eastAsiaTheme="minorHAnsi"/>
                <w:lang w:val="en-US"/>
              </w:rPr>
            </w:pPr>
            <w:r w:rsidRPr="00DA7BF2">
              <w:rPr>
                <w:rFonts w:eastAsiaTheme="minorHAnsi"/>
              </w:rPr>
              <w:t>0.8%</w:t>
            </w:r>
          </w:p>
        </w:tc>
      </w:tr>
      <w:tr w:rsidR="00623C5D" w:rsidRPr="00DA7BF2" w14:paraId="17129EF8" w14:textId="77777777" w:rsidTr="00A01431">
        <w:trPr>
          <w:cantSplit/>
        </w:trPr>
        <w:tc>
          <w:tcPr>
            <w:tcW w:w="2067" w:type="dxa"/>
            <w:tcMar>
              <w:top w:w="0" w:type="dxa"/>
              <w:left w:w="60" w:type="dxa"/>
              <w:bottom w:w="0" w:type="dxa"/>
              <w:right w:w="60" w:type="dxa"/>
            </w:tcMar>
            <w:hideMark/>
          </w:tcPr>
          <w:p w14:paraId="6EC94BA2" w14:textId="77777777" w:rsidR="00C727A8" w:rsidRPr="00DA7BF2" w:rsidRDefault="00C727A8" w:rsidP="00020587">
            <w:pPr>
              <w:spacing w:before="140" w:after="40"/>
              <w:jc w:val="center"/>
              <w:rPr>
                <w:rFonts w:eastAsiaTheme="minorHAnsi"/>
                <w:lang w:val="en-US"/>
              </w:rPr>
            </w:pPr>
            <w:r w:rsidRPr="00DA7BF2">
              <w:rPr>
                <w:rFonts w:eastAsiaTheme="minorHAnsi"/>
              </w:rPr>
              <w:t>3</w:t>
            </w:r>
          </w:p>
        </w:tc>
        <w:tc>
          <w:tcPr>
            <w:tcW w:w="3472" w:type="dxa"/>
            <w:tcMar>
              <w:top w:w="0" w:type="dxa"/>
              <w:left w:w="60" w:type="dxa"/>
              <w:bottom w:w="0" w:type="dxa"/>
              <w:right w:w="60" w:type="dxa"/>
            </w:tcMar>
            <w:vAlign w:val="bottom"/>
            <w:hideMark/>
          </w:tcPr>
          <w:p w14:paraId="3B678262" w14:textId="77777777" w:rsidR="00C727A8" w:rsidRPr="00DA7BF2" w:rsidRDefault="00C727A8" w:rsidP="00020587">
            <w:pPr>
              <w:spacing w:before="140" w:after="40"/>
              <w:jc w:val="right"/>
              <w:rPr>
                <w:rFonts w:eastAsiaTheme="minorHAnsi"/>
                <w:lang w:val="en-US"/>
              </w:rPr>
            </w:pPr>
            <w:r w:rsidRPr="00DA7BF2">
              <w:rPr>
                <w:rFonts w:eastAsiaTheme="minorHAnsi"/>
              </w:rPr>
              <w:t>13</w:t>
            </w:r>
          </w:p>
        </w:tc>
        <w:tc>
          <w:tcPr>
            <w:tcW w:w="3473" w:type="dxa"/>
            <w:tcMar>
              <w:top w:w="0" w:type="dxa"/>
              <w:left w:w="60" w:type="dxa"/>
              <w:bottom w:w="0" w:type="dxa"/>
              <w:right w:w="60" w:type="dxa"/>
            </w:tcMar>
            <w:vAlign w:val="bottom"/>
            <w:hideMark/>
          </w:tcPr>
          <w:p w14:paraId="0D01BF3F" w14:textId="77777777" w:rsidR="00C727A8" w:rsidRPr="00DA7BF2" w:rsidRDefault="00C727A8" w:rsidP="00020587">
            <w:pPr>
              <w:spacing w:before="140" w:after="40"/>
              <w:jc w:val="right"/>
              <w:rPr>
                <w:rFonts w:eastAsiaTheme="minorHAnsi"/>
                <w:lang w:val="en-US"/>
              </w:rPr>
            </w:pPr>
            <w:r w:rsidRPr="00DA7BF2">
              <w:rPr>
                <w:rFonts w:eastAsiaTheme="minorHAnsi"/>
              </w:rPr>
              <w:t>0.0%</w:t>
            </w:r>
          </w:p>
        </w:tc>
      </w:tr>
      <w:tr w:rsidR="00623C5D" w:rsidRPr="00DA7BF2" w14:paraId="64F43DDB" w14:textId="77777777" w:rsidTr="00A01431">
        <w:trPr>
          <w:cantSplit/>
        </w:trPr>
        <w:tc>
          <w:tcPr>
            <w:tcW w:w="2067" w:type="dxa"/>
            <w:tcMar>
              <w:top w:w="0" w:type="dxa"/>
              <w:left w:w="60" w:type="dxa"/>
              <w:bottom w:w="0" w:type="dxa"/>
              <w:right w:w="60" w:type="dxa"/>
            </w:tcMar>
            <w:hideMark/>
          </w:tcPr>
          <w:p w14:paraId="406943B8" w14:textId="77777777" w:rsidR="00C727A8" w:rsidRPr="00DA7BF2" w:rsidRDefault="00C727A8" w:rsidP="00020587">
            <w:pPr>
              <w:spacing w:before="140" w:after="40"/>
              <w:jc w:val="center"/>
              <w:rPr>
                <w:rFonts w:eastAsiaTheme="minorHAnsi"/>
                <w:lang w:val="en-US"/>
              </w:rPr>
            </w:pPr>
            <w:r w:rsidRPr="00DA7BF2">
              <w:rPr>
                <w:rFonts w:eastAsiaTheme="minorHAnsi"/>
              </w:rPr>
              <w:t>Total</w:t>
            </w:r>
          </w:p>
        </w:tc>
        <w:tc>
          <w:tcPr>
            <w:tcW w:w="3472" w:type="dxa"/>
            <w:tcMar>
              <w:top w:w="0" w:type="dxa"/>
              <w:left w:w="60" w:type="dxa"/>
              <w:bottom w:w="0" w:type="dxa"/>
              <w:right w:w="60" w:type="dxa"/>
            </w:tcMar>
            <w:vAlign w:val="bottom"/>
            <w:hideMark/>
          </w:tcPr>
          <w:p w14:paraId="2157C974" w14:textId="77777777" w:rsidR="00C727A8" w:rsidRPr="00DA7BF2" w:rsidRDefault="00C727A8" w:rsidP="00020587">
            <w:pPr>
              <w:spacing w:before="140" w:after="40"/>
              <w:jc w:val="right"/>
              <w:rPr>
                <w:rFonts w:eastAsiaTheme="minorHAnsi"/>
                <w:lang w:val="en-US"/>
              </w:rPr>
            </w:pPr>
            <w:r w:rsidRPr="00DA7BF2">
              <w:rPr>
                <w:rFonts w:eastAsiaTheme="minorHAnsi"/>
              </w:rPr>
              <w:t>191,032</w:t>
            </w:r>
          </w:p>
        </w:tc>
        <w:tc>
          <w:tcPr>
            <w:tcW w:w="3473" w:type="dxa"/>
            <w:tcMar>
              <w:top w:w="0" w:type="dxa"/>
              <w:left w:w="60" w:type="dxa"/>
              <w:bottom w:w="0" w:type="dxa"/>
              <w:right w:w="60" w:type="dxa"/>
            </w:tcMar>
            <w:vAlign w:val="bottom"/>
            <w:hideMark/>
          </w:tcPr>
          <w:p w14:paraId="3FD8384A" w14:textId="77777777" w:rsidR="00C727A8" w:rsidRPr="00DA7BF2" w:rsidRDefault="00C727A8" w:rsidP="00020587">
            <w:pPr>
              <w:spacing w:before="140" w:after="40"/>
              <w:jc w:val="right"/>
              <w:rPr>
                <w:rFonts w:eastAsiaTheme="minorHAnsi"/>
                <w:lang w:val="en-US"/>
              </w:rPr>
            </w:pPr>
            <w:r w:rsidRPr="00DA7BF2">
              <w:rPr>
                <w:rFonts w:eastAsiaTheme="minorHAnsi"/>
              </w:rPr>
              <w:t>100.0%</w:t>
            </w:r>
          </w:p>
        </w:tc>
      </w:tr>
    </w:tbl>
    <w:p w14:paraId="08F5E5A3" w14:textId="44B462EB" w:rsidR="00C727A8" w:rsidRPr="00283153" w:rsidRDefault="00C727A8" w:rsidP="00061127">
      <w:pPr>
        <w:spacing w:before="0" w:after="0"/>
        <w:rPr>
          <w:rFonts w:cs="Arial"/>
          <w:sz w:val="18"/>
          <w:szCs w:val="18"/>
        </w:rPr>
      </w:pPr>
      <w:r w:rsidRPr="00623C5D">
        <w:rPr>
          <w:rFonts w:eastAsiaTheme="minorHAnsi" w:cs="Arial"/>
          <w:b/>
          <w:sz w:val="18"/>
          <w:szCs w:val="18"/>
        </w:rPr>
        <w:t>*</w:t>
      </w:r>
      <w:r w:rsidRPr="00623C5D">
        <w:rPr>
          <w:rFonts w:eastAsiaTheme="minorHAnsi" w:cs="Arial"/>
          <w:sz w:val="18"/>
          <w:szCs w:val="18"/>
        </w:rPr>
        <w:t xml:space="preserve">Patients have been counted in a reference period where they have had claims for at least one item 12323 service processed. </w:t>
      </w:r>
      <w:r w:rsidR="00283153">
        <w:rPr>
          <w:rFonts w:eastAsiaTheme="minorHAnsi" w:cs="Arial"/>
          <w:sz w:val="18"/>
          <w:szCs w:val="18"/>
        </w:rPr>
        <w:t xml:space="preserve">Source: </w:t>
      </w:r>
      <w:r w:rsidR="0036177A" w:rsidRPr="00283153">
        <w:rPr>
          <w:rFonts w:eastAsiaTheme="minorHAnsi" w:cs="Arial"/>
          <w:sz w:val="18"/>
          <w:szCs w:val="18"/>
          <w:lang w:val="en-US"/>
        </w:rPr>
        <w:t xml:space="preserve">Unpublished data (Department of Health) </w:t>
      </w:r>
    </w:p>
    <w:p w14:paraId="5C7740FB" w14:textId="3E0BBDA5" w:rsidR="00C727A8" w:rsidRPr="00623C5D" w:rsidRDefault="00F61588" w:rsidP="002A2507">
      <w:pPr>
        <w:pStyle w:val="Caption"/>
        <w:spacing w:before="120" w:after="120"/>
      </w:pPr>
      <w:bookmarkStart w:id="52" w:name="_Toc432581020"/>
      <w:bookmarkStart w:id="53" w:name="_Toc443642254"/>
      <w:bookmarkStart w:id="54" w:name="_Toc457126665"/>
      <w:r w:rsidRPr="00623C5D">
        <w:t xml:space="preserve">Table </w:t>
      </w:r>
      <w:fldSimple w:instr=" SEQ Table \* ARABIC ">
        <w:r w:rsidR="00E82A84">
          <w:rPr>
            <w:noProof/>
          </w:rPr>
          <w:t>7</w:t>
        </w:r>
      </w:fldSimple>
      <w:r w:rsidR="00FF0018">
        <w:t>:</w:t>
      </w:r>
      <w:r w:rsidR="00FF0018">
        <w:tab/>
      </w:r>
      <w:r w:rsidR="00C727A8" w:rsidRPr="00623C5D">
        <w:t xml:space="preserve">MBS item 12323 - Patient services distribution </w:t>
      </w:r>
      <w:r w:rsidR="006B0493">
        <w:t xml:space="preserve">for males </w:t>
      </w:r>
      <w:r w:rsidR="00C727A8" w:rsidRPr="00623C5D">
        <w:t>by patient age (2014-15, Date of Processing)</w:t>
      </w:r>
      <w:bookmarkEnd w:id="52"/>
      <w:bookmarkEnd w:id="53"/>
      <w:bookmarkEnd w:id="54"/>
    </w:p>
    <w:tbl>
      <w:tblPr>
        <w:tblW w:w="6711" w:type="dxa"/>
        <w:tblInd w:w="93" w:type="dxa"/>
        <w:tblBorders>
          <w:top w:val="single" w:sz="4" w:space="0" w:color="B56012"/>
          <w:bottom w:val="single" w:sz="4" w:space="0" w:color="B56012"/>
          <w:insideH w:val="single" w:sz="4" w:space="0" w:color="B56012"/>
        </w:tblBorders>
        <w:tblLook w:val="04A0" w:firstRow="1" w:lastRow="0" w:firstColumn="1" w:lastColumn="0" w:noHBand="0" w:noVBand="1"/>
        <w:tblDescription w:val="Table 7 shows the number of male patients of diffeent ages who had 1 or 2-3 services during 2014-15 for MBS item 12323."/>
      </w:tblPr>
      <w:tblGrid>
        <w:gridCol w:w="1298"/>
        <w:gridCol w:w="1728"/>
        <w:gridCol w:w="2126"/>
        <w:gridCol w:w="1559"/>
      </w:tblGrid>
      <w:tr w:rsidR="006B0493" w:rsidRPr="00623C5D" w14:paraId="44201722" w14:textId="77777777" w:rsidTr="006B0493">
        <w:trPr>
          <w:trHeight w:val="147"/>
          <w:tblHeader/>
        </w:trPr>
        <w:tc>
          <w:tcPr>
            <w:tcW w:w="1298" w:type="dxa"/>
            <w:tcBorders>
              <w:top w:val="single" w:sz="4" w:space="0" w:color="B56012"/>
            </w:tcBorders>
            <w:shd w:val="clear" w:color="auto" w:fill="auto"/>
            <w:vAlign w:val="center"/>
          </w:tcPr>
          <w:p w14:paraId="76BDD030" w14:textId="32A551EB" w:rsidR="006B0493" w:rsidRPr="00623C5D" w:rsidRDefault="006B0493" w:rsidP="006B0493">
            <w:pPr>
              <w:spacing w:before="0" w:after="0"/>
              <w:rPr>
                <w:b/>
                <w:sz w:val="20"/>
                <w:szCs w:val="20"/>
              </w:rPr>
            </w:pPr>
            <w:bookmarkStart w:id="55" w:name="_Toc432581021"/>
            <w:r>
              <w:rPr>
                <w:b/>
                <w:sz w:val="20"/>
                <w:szCs w:val="20"/>
              </w:rPr>
              <w:t>Patient age</w:t>
            </w:r>
          </w:p>
        </w:tc>
        <w:tc>
          <w:tcPr>
            <w:tcW w:w="1728" w:type="dxa"/>
            <w:tcBorders>
              <w:top w:val="single" w:sz="4" w:space="0" w:color="B56012"/>
            </w:tcBorders>
            <w:shd w:val="clear" w:color="auto" w:fill="auto"/>
            <w:vAlign w:val="center"/>
          </w:tcPr>
          <w:p w14:paraId="6AE8C0D0" w14:textId="676B1045" w:rsidR="006B0493" w:rsidRPr="00623C5D" w:rsidRDefault="006B0493" w:rsidP="006B0493">
            <w:pPr>
              <w:spacing w:before="0" w:after="0"/>
              <w:jc w:val="right"/>
              <w:rPr>
                <w:sz w:val="20"/>
                <w:szCs w:val="20"/>
              </w:rPr>
            </w:pPr>
            <w:r w:rsidRPr="00623C5D">
              <w:rPr>
                <w:b/>
                <w:sz w:val="20"/>
                <w:szCs w:val="20"/>
              </w:rPr>
              <w:t>1</w:t>
            </w:r>
            <w:r>
              <w:rPr>
                <w:b/>
                <w:sz w:val="20"/>
                <w:szCs w:val="20"/>
              </w:rPr>
              <w:t xml:space="preserve"> service per patient</w:t>
            </w:r>
          </w:p>
        </w:tc>
        <w:tc>
          <w:tcPr>
            <w:tcW w:w="2126" w:type="dxa"/>
            <w:tcBorders>
              <w:top w:val="single" w:sz="4" w:space="0" w:color="B56012"/>
            </w:tcBorders>
            <w:shd w:val="clear" w:color="auto" w:fill="auto"/>
            <w:vAlign w:val="center"/>
          </w:tcPr>
          <w:p w14:paraId="7E39E3AB" w14:textId="1AFB9CBB" w:rsidR="006B0493" w:rsidRPr="00623C5D" w:rsidRDefault="006B0493" w:rsidP="006B0493">
            <w:pPr>
              <w:spacing w:before="0" w:after="0"/>
              <w:jc w:val="right"/>
              <w:rPr>
                <w:sz w:val="20"/>
                <w:szCs w:val="20"/>
              </w:rPr>
            </w:pPr>
            <w:r w:rsidRPr="00623C5D">
              <w:rPr>
                <w:b/>
                <w:sz w:val="20"/>
                <w:szCs w:val="20"/>
              </w:rPr>
              <w:t xml:space="preserve">2 </w:t>
            </w:r>
            <w:r>
              <w:rPr>
                <w:b/>
                <w:sz w:val="20"/>
                <w:szCs w:val="20"/>
              </w:rPr>
              <w:t>–</w:t>
            </w:r>
            <w:r w:rsidRPr="00623C5D">
              <w:rPr>
                <w:b/>
                <w:sz w:val="20"/>
                <w:szCs w:val="20"/>
              </w:rPr>
              <w:t xml:space="preserve"> 3</w:t>
            </w:r>
            <w:r>
              <w:rPr>
                <w:b/>
                <w:sz w:val="20"/>
                <w:szCs w:val="20"/>
              </w:rPr>
              <w:t xml:space="preserve"> services per patient</w:t>
            </w:r>
          </w:p>
        </w:tc>
        <w:tc>
          <w:tcPr>
            <w:tcW w:w="1559" w:type="dxa"/>
            <w:tcBorders>
              <w:top w:val="single" w:sz="4" w:space="0" w:color="B56012"/>
            </w:tcBorders>
            <w:shd w:val="clear" w:color="auto" w:fill="auto"/>
            <w:vAlign w:val="center"/>
          </w:tcPr>
          <w:p w14:paraId="0DE01DEC" w14:textId="5B0FB1E3" w:rsidR="006B0493" w:rsidRPr="00623C5D" w:rsidRDefault="006B0493" w:rsidP="006B0493">
            <w:pPr>
              <w:spacing w:before="0" w:after="0"/>
              <w:jc w:val="right"/>
              <w:rPr>
                <w:sz w:val="20"/>
                <w:szCs w:val="20"/>
              </w:rPr>
            </w:pPr>
            <w:r w:rsidRPr="006A5E0F">
              <w:rPr>
                <w:b/>
                <w:sz w:val="20"/>
                <w:szCs w:val="20"/>
              </w:rPr>
              <w:t>Total</w:t>
            </w:r>
          </w:p>
        </w:tc>
      </w:tr>
      <w:tr w:rsidR="006B0493" w:rsidRPr="00623C5D" w14:paraId="1C77B778" w14:textId="77777777" w:rsidTr="006B0493">
        <w:trPr>
          <w:trHeight w:val="147"/>
        </w:trPr>
        <w:tc>
          <w:tcPr>
            <w:tcW w:w="1298" w:type="dxa"/>
            <w:shd w:val="clear" w:color="auto" w:fill="auto"/>
            <w:vAlign w:val="center"/>
            <w:hideMark/>
          </w:tcPr>
          <w:p w14:paraId="77535786" w14:textId="77777777" w:rsidR="006B0493" w:rsidRPr="00623C5D" w:rsidRDefault="006B0493" w:rsidP="00020587">
            <w:pPr>
              <w:spacing w:before="140" w:after="40"/>
              <w:rPr>
                <w:b/>
                <w:sz w:val="20"/>
                <w:szCs w:val="20"/>
              </w:rPr>
            </w:pPr>
            <w:r w:rsidRPr="00623C5D">
              <w:rPr>
                <w:b/>
                <w:sz w:val="20"/>
                <w:szCs w:val="20"/>
              </w:rPr>
              <w:t>65 - 69</w:t>
            </w:r>
          </w:p>
        </w:tc>
        <w:tc>
          <w:tcPr>
            <w:tcW w:w="1728" w:type="dxa"/>
            <w:shd w:val="clear" w:color="auto" w:fill="auto"/>
            <w:vAlign w:val="center"/>
            <w:hideMark/>
          </w:tcPr>
          <w:p w14:paraId="5351AF48" w14:textId="77777777" w:rsidR="006B0493" w:rsidRPr="00623C5D" w:rsidRDefault="006B0493" w:rsidP="00020587">
            <w:pPr>
              <w:spacing w:before="140" w:after="40"/>
              <w:jc w:val="right"/>
              <w:rPr>
                <w:sz w:val="20"/>
                <w:szCs w:val="20"/>
              </w:rPr>
            </w:pPr>
            <w:r w:rsidRPr="00623C5D">
              <w:rPr>
                <w:sz w:val="20"/>
                <w:szCs w:val="20"/>
              </w:rPr>
              <w:t>2,380</w:t>
            </w:r>
          </w:p>
        </w:tc>
        <w:tc>
          <w:tcPr>
            <w:tcW w:w="2126" w:type="dxa"/>
            <w:shd w:val="clear" w:color="auto" w:fill="auto"/>
            <w:vAlign w:val="center"/>
            <w:hideMark/>
          </w:tcPr>
          <w:p w14:paraId="7FBE43E1" w14:textId="77777777" w:rsidR="006B0493" w:rsidRPr="00623C5D" w:rsidRDefault="006B0493" w:rsidP="00020587">
            <w:pPr>
              <w:spacing w:before="140" w:after="40"/>
              <w:jc w:val="right"/>
              <w:rPr>
                <w:sz w:val="20"/>
                <w:szCs w:val="20"/>
              </w:rPr>
            </w:pPr>
            <w:r w:rsidRPr="00623C5D">
              <w:rPr>
                <w:sz w:val="20"/>
                <w:szCs w:val="20"/>
              </w:rPr>
              <w:t>7</w:t>
            </w:r>
          </w:p>
        </w:tc>
        <w:tc>
          <w:tcPr>
            <w:tcW w:w="1559" w:type="dxa"/>
            <w:shd w:val="clear" w:color="auto" w:fill="auto"/>
            <w:vAlign w:val="center"/>
            <w:hideMark/>
          </w:tcPr>
          <w:p w14:paraId="413F1011" w14:textId="77777777" w:rsidR="006B0493" w:rsidRPr="00623C5D" w:rsidRDefault="006B0493" w:rsidP="00020587">
            <w:pPr>
              <w:spacing w:before="140" w:after="40"/>
              <w:jc w:val="right"/>
              <w:rPr>
                <w:sz w:val="20"/>
                <w:szCs w:val="20"/>
              </w:rPr>
            </w:pPr>
            <w:r w:rsidRPr="00623C5D">
              <w:rPr>
                <w:sz w:val="20"/>
                <w:szCs w:val="20"/>
              </w:rPr>
              <w:t>2,387</w:t>
            </w:r>
          </w:p>
        </w:tc>
      </w:tr>
      <w:tr w:rsidR="006B0493" w:rsidRPr="00623C5D" w14:paraId="145CCD0C" w14:textId="77777777" w:rsidTr="006B0493">
        <w:trPr>
          <w:trHeight w:val="207"/>
        </w:trPr>
        <w:tc>
          <w:tcPr>
            <w:tcW w:w="1298" w:type="dxa"/>
            <w:shd w:val="clear" w:color="auto" w:fill="auto"/>
            <w:vAlign w:val="center"/>
            <w:hideMark/>
          </w:tcPr>
          <w:p w14:paraId="37C64053" w14:textId="77777777" w:rsidR="006B0493" w:rsidRPr="00623C5D" w:rsidRDefault="006B0493" w:rsidP="00020587">
            <w:pPr>
              <w:spacing w:before="140" w:after="40"/>
              <w:rPr>
                <w:b/>
                <w:sz w:val="20"/>
                <w:szCs w:val="20"/>
              </w:rPr>
            </w:pPr>
            <w:r w:rsidRPr="00623C5D">
              <w:rPr>
                <w:b/>
                <w:sz w:val="20"/>
                <w:szCs w:val="20"/>
              </w:rPr>
              <w:t>70 - 74</w:t>
            </w:r>
          </w:p>
        </w:tc>
        <w:tc>
          <w:tcPr>
            <w:tcW w:w="1728" w:type="dxa"/>
            <w:shd w:val="clear" w:color="auto" w:fill="auto"/>
            <w:vAlign w:val="center"/>
            <w:hideMark/>
          </w:tcPr>
          <w:p w14:paraId="4B9E7FCD" w14:textId="77777777" w:rsidR="006B0493" w:rsidRPr="00623C5D" w:rsidRDefault="006B0493" w:rsidP="00020587">
            <w:pPr>
              <w:spacing w:before="140" w:after="40"/>
              <w:jc w:val="right"/>
              <w:rPr>
                <w:sz w:val="20"/>
                <w:szCs w:val="20"/>
              </w:rPr>
            </w:pPr>
            <w:r w:rsidRPr="00623C5D">
              <w:rPr>
                <w:sz w:val="20"/>
                <w:szCs w:val="20"/>
              </w:rPr>
              <w:t>19,629</w:t>
            </w:r>
          </w:p>
        </w:tc>
        <w:tc>
          <w:tcPr>
            <w:tcW w:w="2126" w:type="dxa"/>
            <w:shd w:val="clear" w:color="auto" w:fill="auto"/>
            <w:vAlign w:val="center"/>
            <w:hideMark/>
          </w:tcPr>
          <w:p w14:paraId="1A99B889" w14:textId="77777777" w:rsidR="006B0493" w:rsidRPr="00623C5D" w:rsidRDefault="006B0493" w:rsidP="00020587">
            <w:pPr>
              <w:spacing w:before="140" w:after="40"/>
              <w:jc w:val="right"/>
              <w:rPr>
                <w:sz w:val="20"/>
                <w:szCs w:val="20"/>
              </w:rPr>
            </w:pPr>
            <w:r w:rsidRPr="00623C5D">
              <w:rPr>
                <w:sz w:val="20"/>
                <w:szCs w:val="20"/>
              </w:rPr>
              <w:t>111</w:t>
            </w:r>
          </w:p>
        </w:tc>
        <w:tc>
          <w:tcPr>
            <w:tcW w:w="1559" w:type="dxa"/>
            <w:shd w:val="clear" w:color="auto" w:fill="auto"/>
            <w:vAlign w:val="center"/>
            <w:hideMark/>
          </w:tcPr>
          <w:p w14:paraId="16492A2D" w14:textId="77777777" w:rsidR="006B0493" w:rsidRPr="00623C5D" w:rsidRDefault="006B0493" w:rsidP="00020587">
            <w:pPr>
              <w:spacing w:before="140" w:after="40"/>
              <w:jc w:val="right"/>
              <w:rPr>
                <w:sz w:val="20"/>
                <w:szCs w:val="20"/>
              </w:rPr>
            </w:pPr>
            <w:r w:rsidRPr="00623C5D">
              <w:rPr>
                <w:sz w:val="20"/>
                <w:szCs w:val="20"/>
              </w:rPr>
              <w:t>19,740</w:t>
            </w:r>
          </w:p>
        </w:tc>
      </w:tr>
      <w:tr w:rsidR="006B0493" w:rsidRPr="00623C5D" w14:paraId="20C992D0" w14:textId="77777777" w:rsidTr="006B0493">
        <w:trPr>
          <w:trHeight w:val="125"/>
        </w:trPr>
        <w:tc>
          <w:tcPr>
            <w:tcW w:w="1298" w:type="dxa"/>
            <w:shd w:val="clear" w:color="auto" w:fill="auto"/>
            <w:vAlign w:val="center"/>
            <w:hideMark/>
          </w:tcPr>
          <w:p w14:paraId="473303B3" w14:textId="77777777" w:rsidR="006B0493" w:rsidRPr="00623C5D" w:rsidRDefault="006B0493" w:rsidP="00020587">
            <w:pPr>
              <w:spacing w:before="140" w:after="40"/>
              <w:rPr>
                <w:b/>
                <w:sz w:val="20"/>
                <w:szCs w:val="20"/>
              </w:rPr>
            </w:pPr>
            <w:r w:rsidRPr="00623C5D">
              <w:rPr>
                <w:b/>
                <w:sz w:val="20"/>
                <w:szCs w:val="20"/>
              </w:rPr>
              <w:t>75 - 79</w:t>
            </w:r>
          </w:p>
        </w:tc>
        <w:tc>
          <w:tcPr>
            <w:tcW w:w="1728" w:type="dxa"/>
            <w:shd w:val="clear" w:color="auto" w:fill="auto"/>
            <w:vAlign w:val="center"/>
            <w:hideMark/>
          </w:tcPr>
          <w:p w14:paraId="0B21C8AA" w14:textId="77777777" w:rsidR="006B0493" w:rsidRPr="00623C5D" w:rsidRDefault="006B0493" w:rsidP="00020587">
            <w:pPr>
              <w:spacing w:before="140" w:after="40"/>
              <w:jc w:val="right"/>
              <w:rPr>
                <w:sz w:val="20"/>
                <w:szCs w:val="20"/>
              </w:rPr>
            </w:pPr>
            <w:r w:rsidRPr="00623C5D">
              <w:rPr>
                <w:sz w:val="20"/>
                <w:szCs w:val="20"/>
              </w:rPr>
              <w:t>17,115</w:t>
            </w:r>
          </w:p>
        </w:tc>
        <w:tc>
          <w:tcPr>
            <w:tcW w:w="2126" w:type="dxa"/>
            <w:shd w:val="clear" w:color="auto" w:fill="auto"/>
            <w:vAlign w:val="center"/>
            <w:hideMark/>
          </w:tcPr>
          <w:p w14:paraId="2A1BE50C" w14:textId="77777777" w:rsidR="006B0493" w:rsidRPr="00623C5D" w:rsidRDefault="006B0493" w:rsidP="00020587">
            <w:pPr>
              <w:spacing w:before="140" w:after="40"/>
              <w:jc w:val="right"/>
              <w:rPr>
                <w:sz w:val="20"/>
                <w:szCs w:val="20"/>
              </w:rPr>
            </w:pPr>
            <w:r w:rsidRPr="00623C5D">
              <w:rPr>
                <w:sz w:val="20"/>
                <w:szCs w:val="20"/>
              </w:rPr>
              <w:t>110</w:t>
            </w:r>
          </w:p>
        </w:tc>
        <w:tc>
          <w:tcPr>
            <w:tcW w:w="1559" w:type="dxa"/>
            <w:shd w:val="clear" w:color="auto" w:fill="auto"/>
            <w:vAlign w:val="center"/>
            <w:hideMark/>
          </w:tcPr>
          <w:p w14:paraId="0B2EB52F" w14:textId="77777777" w:rsidR="006B0493" w:rsidRPr="00623C5D" w:rsidRDefault="006B0493" w:rsidP="00020587">
            <w:pPr>
              <w:spacing w:before="140" w:after="40"/>
              <w:jc w:val="right"/>
              <w:rPr>
                <w:sz w:val="20"/>
                <w:szCs w:val="20"/>
              </w:rPr>
            </w:pPr>
            <w:r w:rsidRPr="00623C5D">
              <w:rPr>
                <w:sz w:val="20"/>
                <w:szCs w:val="20"/>
              </w:rPr>
              <w:t>17,225</w:t>
            </w:r>
          </w:p>
        </w:tc>
      </w:tr>
      <w:tr w:rsidR="006B0493" w:rsidRPr="00623C5D" w14:paraId="0298AD5C" w14:textId="77777777" w:rsidTr="006B0493">
        <w:trPr>
          <w:trHeight w:val="185"/>
        </w:trPr>
        <w:tc>
          <w:tcPr>
            <w:tcW w:w="1298" w:type="dxa"/>
            <w:shd w:val="clear" w:color="auto" w:fill="auto"/>
            <w:vAlign w:val="center"/>
            <w:hideMark/>
          </w:tcPr>
          <w:p w14:paraId="7011FBB1" w14:textId="77777777" w:rsidR="006B0493" w:rsidRPr="00623C5D" w:rsidRDefault="006B0493" w:rsidP="00020587">
            <w:pPr>
              <w:spacing w:before="140" w:after="40"/>
              <w:rPr>
                <w:b/>
                <w:sz w:val="20"/>
                <w:szCs w:val="20"/>
              </w:rPr>
            </w:pPr>
            <w:r w:rsidRPr="00623C5D">
              <w:rPr>
                <w:b/>
                <w:sz w:val="20"/>
                <w:szCs w:val="20"/>
              </w:rPr>
              <w:t>80 - 84</w:t>
            </w:r>
          </w:p>
        </w:tc>
        <w:tc>
          <w:tcPr>
            <w:tcW w:w="1728" w:type="dxa"/>
            <w:shd w:val="clear" w:color="auto" w:fill="auto"/>
            <w:vAlign w:val="center"/>
            <w:hideMark/>
          </w:tcPr>
          <w:p w14:paraId="7CF1B619" w14:textId="77777777" w:rsidR="006B0493" w:rsidRPr="00623C5D" w:rsidRDefault="006B0493" w:rsidP="00020587">
            <w:pPr>
              <w:spacing w:before="140" w:after="40"/>
              <w:jc w:val="right"/>
              <w:rPr>
                <w:sz w:val="20"/>
                <w:szCs w:val="20"/>
              </w:rPr>
            </w:pPr>
            <w:r w:rsidRPr="00623C5D">
              <w:rPr>
                <w:sz w:val="20"/>
                <w:szCs w:val="20"/>
              </w:rPr>
              <w:t>11,094</w:t>
            </w:r>
          </w:p>
        </w:tc>
        <w:tc>
          <w:tcPr>
            <w:tcW w:w="2126" w:type="dxa"/>
            <w:shd w:val="clear" w:color="auto" w:fill="auto"/>
            <w:vAlign w:val="center"/>
            <w:hideMark/>
          </w:tcPr>
          <w:p w14:paraId="5FE3E693" w14:textId="77777777" w:rsidR="006B0493" w:rsidRPr="00623C5D" w:rsidRDefault="006B0493" w:rsidP="00020587">
            <w:pPr>
              <w:spacing w:before="140" w:after="40"/>
              <w:jc w:val="right"/>
              <w:rPr>
                <w:sz w:val="20"/>
                <w:szCs w:val="20"/>
              </w:rPr>
            </w:pPr>
            <w:r w:rsidRPr="00623C5D">
              <w:rPr>
                <w:sz w:val="20"/>
                <w:szCs w:val="20"/>
              </w:rPr>
              <w:t>94</w:t>
            </w:r>
          </w:p>
        </w:tc>
        <w:tc>
          <w:tcPr>
            <w:tcW w:w="1559" w:type="dxa"/>
            <w:shd w:val="clear" w:color="auto" w:fill="auto"/>
            <w:vAlign w:val="center"/>
            <w:hideMark/>
          </w:tcPr>
          <w:p w14:paraId="45117B3B" w14:textId="77777777" w:rsidR="006B0493" w:rsidRPr="00623C5D" w:rsidRDefault="006B0493" w:rsidP="00020587">
            <w:pPr>
              <w:spacing w:before="140" w:after="40"/>
              <w:jc w:val="right"/>
              <w:rPr>
                <w:sz w:val="20"/>
                <w:szCs w:val="20"/>
              </w:rPr>
            </w:pPr>
            <w:r w:rsidRPr="00623C5D">
              <w:rPr>
                <w:sz w:val="20"/>
                <w:szCs w:val="20"/>
              </w:rPr>
              <w:t>11,188</w:t>
            </w:r>
          </w:p>
        </w:tc>
      </w:tr>
      <w:tr w:rsidR="006B0493" w:rsidRPr="00623C5D" w14:paraId="666A3B89" w14:textId="77777777" w:rsidTr="006B0493">
        <w:trPr>
          <w:trHeight w:val="90"/>
        </w:trPr>
        <w:tc>
          <w:tcPr>
            <w:tcW w:w="1298" w:type="dxa"/>
            <w:shd w:val="clear" w:color="auto" w:fill="auto"/>
            <w:vAlign w:val="center"/>
            <w:hideMark/>
          </w:tcPr>
          <w:p w14:paraId="363F4A82" w14:textId="77777777" w:rsidR="006B0493" w:rsidRPr="00623C5D" w:rsidRDefault="006B0493" w:rsidP="00020587">
            <w:pPr>
              <w:spacing w:before="140" w:after="40"/>
              <w:rPr>
                <w:b/>
                <w:sz w:val="20"/>
                <w:szCs w:val="20"/>
              </w:rPr>
            </w:pPr>
            <w:r w:rsidRPr="00623C5D">
              <w:rPr>
                <w:b/>
                <w:sz w:val="20"/>
                <w:szCs w:val="20"/>
              </w:rPr>
              <w:t>85 +</w:t>
            </w:r>
          </w:p>
        </w:tc>
        <w:tc>
          <w:tcPr>
            <w:tcW w:w="1728" w:type="dxa"/>
            <w:shd w:val="clear" w:color="auto" w:fill="auto"/>
            <w:vAlign w:val="center"/>
            <w:hideMark/>
          </w:tcPr>
          <w:p w14:paraId="351A3DE3" w14:textId="77777777" w:rsidR="006B0493" w:rsidRPr="00623C5D" w:rsidRDefault="006B0493" w:rsidP="00020587">
            <w:pPr>
              <w:spacing w:before="140" w:after="40"/>
              <w:jc w:val="right"/>
              <w:rPr>
                <w:sz w:val="20"/>
                <w:szCs w:val="20"/>
              </w:rPr>
            </w:pPr>
            <w:r w:rsidRPr="00623C5D">
              <w:rPr>
                <w:sz w:val="20"/>
                <w:szCs w:val="20"/>
              </w:rPr>
              <w:t>5,736</w:t>
            </w:r>
          </w:p>
        </w:tc>
        <w:tc>
          <w:tcPr>
            <w:tcW w:w="2126" w:type="dxa"/>
            <w:shd w:val="clear" w:color="auto" w:fill="auto"/>
            <w:vAlign w:val="center"/>
            <w:hideMark/>
          </w:tcPr>
          <w:p w14:paraId="4AC50415" w14:textId="77777777" w:rsidR="006B0493" w:rsidRPr="00623C5D" w:rsidRDefault="006B0493" w:rsidP="00020587">
            <w:pPr>
              <w:spacing w:before="140" w:after="40"/>
              <w:jc w:val="right"/>
              <w:rPr>
                <w:sz w:val="20"/>
                <w:szCs w:val="20"/>
              </w:rPr>
            </w:pPr>
            <w:r w:rsidRPr="00623C5D">
              <w:rPr>
                <w:sz w:val="20"/>
                <w:szCs w:val="20"/>
              </w:rPr>
              <w:t>38</w:t>
            </w:r>
          </w:p>
        </w:tc>
        <w:tc>
          <w:tcPr>
            <w:tcW w:w="1559" w:type="dxa"/>
            <w:shd w:val="clear" w:color="auto" w:fill="auto"/>
            <w:vAlign w:val="center"/>
            <w:hideMark/>
          </w:tcPr>
          <w:p w14:paraId="033A7293" w14:textId="77777777" w:rsidR="006B0493" w:rsidRPr="00623C5D" w:rsidRDefault="006B0493" w:rsidP="00020587">
            <w:pPr>
              <w:spacing w:before="140" w:after="40"/>
              <w:jc w:val="right"/>
              <w:rPr>
                <w:sz w:val="20"/>
                <w:szCs w:val="20"/>
              </w:rPr>
            </w:pPr>
            <w:r w:rsidRPr="00623C5D">
              <w:rPr>
                <w:sz w:val="20"/>
                <w:szCs w:val="20"/>
              </w:rPr>
              <w:t>5,774</w:t>
            </w:r>
          </w:p>
        </w:tc>
      </w:tr>
      <w:tr w:rsidR="006B0493" w:rsidRPr="00623C5D" w14:paraId="0DB1E80E" w14:textId="77777777" w:rsidTr="006B0493">
        <w:trPr>
          <w:trHeight w:val="149"/>
        </w:trPr>
        <w:tc>
          <w:tcPr>
            <w:tcW w:w="1298" w:type="dxa"/>
            <w:shd w:val="clear" w:color="auto" w:fill="auto"/>
            <w:vAlign w:val="center"/>
            <w:hideMark/>
          </w:tcPr>
          <w:p w14:paraId="147AD4A8" w14:textId="77777777" w:rsidR="006B0493" w:rsidRPr="00623C5D" w:rsidRDefault="006B0493" w:rsidP="00020587">
            <w:pPr>
              <w:spacing w:before="140" w:after="40"/>
              <w:rPr>
                <w:b/>
                <w:sz w:val="20"/>
                <w:szCs w:val="20"/>
              </w:rPr>
            </w:pPr>
            <w:r w:rsidRPr="00623C5D">
              <w:rPr>
                <w:b/>
                <w:sz w:val="20"/>
                <w:szCs w:val="20"/>
              </w:rPr>
              <w:t>Total</w:t>
            </w:r>
          </w:p>
        </w:tc>
        <w:tc>
          <w:tcPr>
            <w:tcW w:w="1728" w:type="dxa"/>
            <w:shd w:val="clear" w:color="auto" w:fill="auto"/>
            <w:vAlign w:val="center"/>
            <w:hideMark/>
          </w:tcPr>
          <w:p w14:paraId="473CFB5C" w14:textId="77777777" w:rsidR="006B0493" w:rsidRPr="00623C5D" w:rsidRDefault="006B0493" w:rsidP="00020587">
            <w:pPr>
              <w:spacing w:before="140" w:after="40"/>
              <w:jc w:val="right"/>
              <w:rPr>
                <w:sz w:val="20"/>
                <w:szCs w:val="20"/>
              </w:rPr>
            </w:pPr>
            <w:r w:rsidRPr="00623C5D">
              <w:rPr>
                <w:sz w:val="20"/>
                <w:szCs w:val="20"/>
              </w:rPr>
              <w:t>55,954</w:t>
            </w:r>
          </w:p>
        </w:tc>
        <w:tc>
          <w:tcPr>
            <w:tcW w:w="2126" w:type="dxa"/>
            <w:shd w:val="clear" w:color="auto" w:fill="auto"/>
            <w:vAlign w:val="center"/>
            <w:hideMark/>
          </w:tcPr>
          <w:p w14:paraId="0983D975" w14:textId="77777777" w:rsidR="006B0493" w:rsidRPr="00623C5D" w:rsidRDefault="006B0493" w:rsidP="00020587">
            <w:pPr>
              <w:spacing w:before="140" w:after="40"/>
              <w:jc w:val="right"/>
              <w:rPr>
                <w:sz w:val="20"/>
                <w:szCs w:val="20"/>
              </w:rPr>
            </w:pPr>
            <w:r w:rsidRPr="00623C5D">
              <w:rPr>
                <w:sz w:val="20"/>
                <w:szCs w:val="20"/>
              </w:rPr>
              <w:t>360</w:t>
            </w:r>
          </w:p>
        </w:tc>
        <w:tc>
          <w:tcPr>
            <w:tcW w:w="1559" w:type="dxa"/>
            <w:shd w:val="clear" w:color="auto" w:fill="auto"/>
            <w:vAlign w:val="center"/>
            <w:hideMark/>
          </w:tcPr>
          <w:p w14:paraId="223A1999" w14:textId="77777777" w:rsidR="006B0493" w:rsidRPr="00623C5D" w:rsidRDefault="006B0493" w:rsidP="00020587">
            <w:pPr>
              <w:spacing w:before="140" w:after="40"/>
              <w:jc w:val="right"/>
              <w:rPr>
                <w:sz w:val="20"/>
                <w:szCs w:val="20"/>
              </w:rPr>
            </w:pPr>
            <w:r w:rsidRPr="00623C5D">
              <w:rPr>
                <w:sz w:val="20"/>
                <w:szCs w:val="20"/>
              </w:rPr>
              <w:t>56,314</w:t>
            </w:r>
          </w:p>
        </w:tc>
      </w:tr>
    </w:tbl>
    <w:p w14:paraId="79916938" w14:textId="5A7E9203" w:rsidR="00283153" w:rsidRPr="00283153" w:rsidRDefault="00283153" w:rsidP="006B0493">
      <w:pPr>
        <w:pStyle w:val="Caption"/>
        <w:spacing w:before="120" w:after="120"/>
        <w:rPr>
          <w:i w:val="0"/>
        </w:rPr>
      </w:pPr>
      <w:bookmarkStart w:id="56" w:name="_Toc443642255"/>
      <w:bookmarkStart w:id="57" w:name="_Toc457126666"/>
      <w:r w:rsidRPr="00283153">
        <w:rPr>
          <w:i w:val="0"/>
        </w:rPr>
        <w:t>Source: Unpublished data (Department of Health)</w:t>
      </w:r>
    </w:p>
    <w:p w14:paraId="16F43F62" w14:textId="72FD4986" w:rsidR="006B0493" w:rsidRPr="00623C5D" w:rsidRDefault="006B0493" w:rsidP="006B0493">
      <w:pPr>
        <w:pStyle w:val="Caption"/>
        <w:spacing w:before="120" w:after="120"/>
      </w:pPr>
      <w:r w:rsidRPr="00623C5D">
        <w:t xml:space="preserve">Table </w:t>
      </w:r>
      <w:r>
        <w:t>8:</w:t>
      </w:r>
      <w:r>
        <w:tab/>
      </w:r>
      <w:r w:rsidRPr="00623C5D">
        <w:t xml:space="preserve">MBS item 12323 - Patient services distribution </w:t>
      </w:r>
      <w:r>
        <w:t xml:space="preserve">for females </w:t>
      </w:r>
      <w:r w:rsidRPr="00623C5D">
        <w:t>by patient age (2014-15, Date of Processing)</w:t>
      </w:r>
    </w:p>
    <w:tbl>
      <w:tblPr>
        <w:tblW w:w="6711" w:type="dxa"/>
        <w:tblInd w:w="93" w:type="dxa"/>
        <w:tblBorders>
          <w:top w:val="single" w:sz="4" w:space="0" w:color="B56012"/>
          <w:bottom w:val="single" w:sz="4" w:space="0" w:color="B56012"/>
          <w:insideH w:val="single" w:sz="4" w:space="0" w:color="B56012"/>
        </w:tblBorders>
        <w:tblLook w:val="04A0" w:firstRow="1" w:lastRow="0" w:firstColumn="1" w:lastColumn="0" w:noHBand="0" w:noVBand="1"/>
        <w:tblDescription w:val="Table 8 shows the number of female patients of diffeent ages who had 1 or 2-3 services during 2014-15 for MBS item 12323."/>
      </w:tblPr>
      <w:tblGrid>
        <w:gridCol w:w="1298"/>
        <w:gridCol w:w="1728"/>
        <w:gridCol w:w="2126"/>
        <w:gridCol w:w="1559"/>
      </w:tblGrid>
      <w:tr w:rsidR="006B0493" w:rsidRPr="00623C5D" w14:paraId="7E183504" w14:textId="77777777" w:rsidTr="006B0493">
        <w:trPr>
          <w:trHeight w:val="147"/>
        </w:trPr>
        <w:tc>
          <w:tcPr>
            <w:tcW w:w="1298" w:type="dxa"/>
            <w:shd w:val="clear" w:color="auto" w:fill="auto"/>
            <w:vAlign w:val="center"/>
          </w:tcPr>
          <w:p w14:paraId="7AA1CD16" w14:textId="0EFA43FE" w:rsidR="006B0493" w:rsidRPr="00623C5D" w:rsidRDefault="006B0493" w:rsidP="006B0493">
            <w:pPr>
              <w:spacing w:before="140" w:after="40"/>
              <w:rPr>
                <w:b/>
                <w:sz w:val="20"/>
                <w:szCs w:val="20"/>
              </w:rPr>
            </w:pPr>
            <w:r>
              <w:rPr>
                <w:b/>
                <w:sz w:val="20"/>
                <w:szCs w:val="20"/>
              </w:rPr>
              <w:t>Patient age</w:t>
            </w:r>
          </w:p>
        </w:tc>
        <w:tc>
          <w:tcPr>
            <w:tcW w:w="1728" w:type="dxa"/>
            <w:shd w:val="clear" w:color="000000" w:fill="F2F2F2"/>
            <w:vAlign w:val="center"/>
          </w:tcPr>
          <w:p w14:paraId="5A7721D8" w14:textId="3ABF7767" w:rsidR="006B0493" w:rsidRPr="00623C5D" w:rsidRDefault="006B0493" w:rsidP="006B0493">
            <w:pPr>
              <w:spacing w:before="140" w:after="40"/>
              <w:jc w:val="right"/>
              <w:rPr>
                <w:sz w:val="20"/>
                <w:szCs w:val="20"/>
              </w:rPr>
            </w:pPr>
            <w:r w:rsidRPr="00623C5D">
              <w:rPr>
                <w:b/>
                <w:sz w:val="20"/>
                <w:szCs w:val="20"/>
              </w:rPr>
              <w:t>1</w:t>
            </w:r>
            <w:r>
              <w:rPr>
                <w:b/>
                <w:sz w:val="20"/>
                <w:szCs w:val="20"/>
              </w:rPr>
              <w:t xml:space="preserve"> service per patient</w:t>
            </w:r>
          </w:p>
        </w:tc>
        <w:tc>
          <w:tcPr>
            <w:tcW w:w="2126" w:type="dxa"/>
            <w:shd w:val="clear" w:color="000000" w:fill="F2F2F2"/>
            <w:vAlign w:val="center"/>
          </w:tcPr>
          <w:p w14:paraId="275A486B" w14:textId="5E546B72" w:rsidR="006B0493" w:rsidRPr="00623C5D" w:rsidRDefault="006B0493" w:rsidP="006B0493">
            <w:pPr>
              <w:spacing w:before="140" w:after="40"/>
              <w:jc w:val="right"/>
              <w:rPr>
                <w:sz w:val="20"/>
                <w:szCs w:val="20"/>
              </w:rPr>
            </w:pPr>
            <w:r w:rsidRPr="00623C5D">
              <w:rPr>
                <w:b/>
                <w:sz w:val="20"/>
                <w:szCs w:val="20"/>
              </w:rPr>
              <w:t xml:space="preserve">2 </w:t>
            </w:r>
            <w:r>
              <w:rPr>
                <w:b/>
                <w:sz w:val="20"/>
                <w:szCs w:val="20"/>
              </w:rPr>
              <w:t>–</w:t>
            </w:r>
            <w:r w:rsidRPr="00623C5D">
              <w:rPr>
                <w:b/>
                <w:sz w:val="20"/>
                <w:szCs w:val="20"/>
              </w:rPr>
              <w:t xml:space="preserve"> 3</w:t>
            </w:r>
            <w:r>
              <w:rPr>
                <w:b/>
                <w:sz w:val="20"/>
                <w:szCs w:val="20"/>
              </w:rPr>
              <w:t xml:space="preserve"> services per patient</w:t>
            </w:r>
          </w:p>
        </w:tc>
        <w:tc>
          <w:tcPr>
            <w:tcW w:w="1559" w:type="dxa"/>
            <w:shd w:val="clear" w:color="000000" w:fill="F2F2F2"/>
            <w:vAlign w:val="center"/>
          </w:tcPr>
          <w:p w14:paraId="4D98E864" w14:textId="67AAD871" w:rsidR="006B0493" w:rsidRPr="00623C5D" w:rsidRDefault="006B0493" w:rsidP="006B0493">
            <w:pPr>
              <w:spacing w:before="140" w:after="40"/>
              <w:jc w:val="right"/>
              <w:rPr>
                <w:sz w:val="20"/>
                <w:szCs w:val="20"/>
              </w:rPr>
            </w:pPr>
            <w:r w:rsidRPr="006A5E0F">
              <w:rPr>
                <w:b/>
                <w:sz w:val="20"/>
                <w:szCs w:val="20"/>
              </w:rPr>
              <w:t>Total</w:t>
            </w:r>
          </w:p>
        </w:tc>
      </w:tr>
      <w:tr w:rsidR="006B0493" w:rsidRPr="00623C5D" w14:paraId="43C769C8" w14:textId="77777777" w:rsidTr="006B0493">
        <w:trPr>
          <w:trHeight w:val="147"/>
        </w:trPr>
        <w:tc>
          <w:tcPr>
            <w:tcW w:w="1298" w:type="dxa"/>
            <w:shd w:val="clear" w:color="auto" w:fill="auto"/>
            <w:vAlign w:val="center"/>
            <w:hideMark/>
          </w:tcPr>
          <w:p w14:paraId="12CDE98D" w14:textId="77777777" w:rsidR="006B0493" w:rsidRPr="00623C5D" w:rsidRDefault="006B0493" w:rsidP="00D204F3">
            <w:pPr>
              <w:spacing w:before="140" w:after="40"/>
              <w:rPr>
                <w:b/>
                <w:sz w:val="20"/>
                <w:szCs w:val="20"/>
              </w:rPr>
            </w:pPr>
            <w:r w:rsidRPr="00623C5D">
              <w:rPr>
                <w:b/>
                <w:sz w:val="20"/>
                <w:szCs w:val="20"/>
              </w:rPr>
              <w:t>65 - 69</w:t>
            </w:r>
          </w:p>
        </w:tc>
        <w:tc>
          <w:tcPr>
            <w:tcW w:w="1728" w:type="dxa"/>
            <w:shd w:val="clear" w:color="000000" w:fill="F2F2F2"/>
            <w:vAlign w:val="center"/>
            <w:hideMark/>
          </w:tcPr>
          <w:p w14:paraId="26E5350E" w14:textId="77777777" w:rsidR="006B0493" w:rsidRPr="00623C5D" w:rsidRDefault="006B0493" w:rsidP="00D204F3">
            <w:pPr>
              <w:spacing w:before="140" w:after="40"/>
              <w:jc w:val="right"/>
              <w:rPr>
                <w:sz w:val="20"/>
                <w:szCs w:val="20"/>
              </w:rPr>
            </w:pPr>
            <w:r w:rsidRPr="00623C5D">
              <w:rPr>
                <w:sz w:val="20"/>
                <w:szCs w:val="20"/>
              </w:rPr>
              <w:t>7,344</w:t>
            </w:r>
          </w:p>
        </w:tc>
        <w:tc>
          <w:tcPr>
            <w:tcW w:w="2126" w:type="dxa"/>
            <w:shd w:val="clear" w:color="000000" w:fill="F2F2F2"/>
            <w:vAlign w:val="center"/>
            <w:hideMark/>
          </w:tcPr>
          <w:p w14:paraId="42312BCC" w14:textId="77777777" w:rsidR="006B0493" w:rsidRPr="00623C5D" w:rsidRDefault="006B0493" w:rsidP="00D204F3">
            <w:pPr>
              <w:spacing w:before="140" w:after="40"/>
              <w:jc w:val="right"/>
              <w:rPr>
                <w:sz w:val="20"/>
                <w:szCs w:val="20"/>
              </w:rPr>
            </w:pPr>
            <w:r w:rsidRPr="00623C5D">
              <w:rPr>
                <w:sz w:val="20"/>
                <w:szCs w:val="20"/>
              </w:rPr>
              <w:t>32</w:t>
            </w:r>
          </w:p>
        </w:tc>
        <w:tc>
          <w:tcPr>
            <w:tcW w:w="1559" w:type="dxa"/>
            <w:shd w:val="clear" w:color="000000" w:fill="F2F2F2"/>
            <w:vAlign w:val="center"/>
            <w:hideMark/>
          </w:tcPr>
          <w:p w14:paraId="7369FACC" w14:textId="77777777" w:rsidR="006B0493" w:rsidRPr="00623C5D" w:rsidRDefault="006B0493" w:rsidP="00D204F3">
            <w:pPr>
              <w:spacing w:before="140" w:after="40"/>
              <w:jc w:val="right"/>
              <w:rPr>
                <w:sz w:val="20"/>
                <w:szCs w:val="20"/>
              </w:rPr>
            </w:pPr>
            <w:r w:rsidRPr="00623C5D">
              <w:rPr>
                <w:sz w:val="20"/>
                <w:szCs w:val="20"/>
              </w:rPr>
              <w:t>7,376</w:t>
            </w:r>
          </w:p>
        </w:tc>
      </w:tr>
      <w:tr w:rsidR="006B0493" w:rsidRPr="00623C5D" w14:paraId="4D61E1FA" w14:textId="77777777" w:rsidTr="006B0493">
        <w:trPr>
          <w:trHeight w:val="207"/>
        </w:trPr>
        <w:tc>
          <w:tcPr>
            <w:tcW w:w="1298" w:type="dxa"/>
            <w:shd w:val="clear" w:color="auto" w:fill="auto"/>
            <w:vAlign w:val="center"/>
            <w:hideMark/>
          </w:tcPr>
          <w:p w14:paraId="5431F94B" w14:textId="77777777" w:rsidR="006B0493" w:rsidRPr="00623C5D" w:rsidRDefault="006B0493" w:rsidP="00D204F3">
            <w:pPr>
              <w:spacing w:before="140" w:after="40"/>
              <w:rPr>
                <w:b/>
                <w:sz w:val="20"/>
                <w:szCs w:val="20"/>
              </w:rPr>
            </w:pPr>
            <w:r w:rsidRPr="00623C5D">
              <w:rPr>
                <w:b/>
                <w:sz w:val="20"/>
                <w:szCs w:val="20"/>
              </w:rPr>
              <w:t>70 - 74</w:t>
            </w:r>
          </w:p>
        </w:tc>
        <w:tc>
          <w:tcPr>
            <w:tcW w:w="1728" w:type="dxa"/>
            <w:shd w:val="clear" w:color="000000" w:fill="F2F2F2"/>
            <w:vAlign w:val="center"/>
            <w:hideMark/>
          </w:tcPr>
          <w:p w14:paraId="2E27A73D" w14:textId="77777777" w:rsidR="006B0493" w:rsidRPr="00623C5D" w:rsidRDefault="006B0493" w:rsidP="00D204F3">
            <w:pPr>
              <w:spacing w:before="140" w:after="40"/>
              <w:jc w:val="right"/>
              <w:rPr>
                <w:sz w:val="20"/>
                <w:szCs w:val="20"/>
              </w:rPr>
            </w:pPr>
            <w:r w:rsidRPr="00623C5D">
              <w:rPr>
                <w:sz w:val="20"/>
                <w:szCs w:val="20"/>
              </w:rPr>
              <w:t>50,212</w:t>
            </w:r>
          </w:p>
        </w:tc>
        <w:tc>
          <w:tcPr>
            <w:tcW w:w="2126" w:type="dxa"/>
            <w:shd w:val="clear" w:color="000000" w:fill="F2F2F2"/>
            <w:vAlign w:val="center"/>
            <w:hideMark/>
          </w:tcPr>
          <w:p w14:paraId="42479F55" w14:textId="77777777" w:rsidR="006B0493" w:rsidRPr="00623C5D" w:rsidRDefault="006B0493" w:rsidP="00D204F3">
            <w:pPr>
              <w:spacing w:before="140" w:after="40"/>
              <w:jc w:val="right"/>
              <w:rPr>
                <w:sz w:val="20"/>
                <w:szCs w:val="20"/>
              </w:rPr>
            </w:pPr>
            <w:r w:rsidRPr="00623C5D">
              <w:rPr>
                <w:sz w:val="20"/>
                <w:szCs w:val="20"/>
              </w:rPr>
              <w:t>389</w:t>
            </w:r>
          </w:p>
        </w:tc>
        <w:tc>
          <w:tcPr>
            <w:tcW w:w="1559" w:type="dxa"/>
            <w:shd w:val="clear" w:color="000000" w:fill="F2F2F2"/>
            <w:vAlign w:val="center"/>
            <w:hideMark/>
          </w:tcPr>
          <w:p w14:paraId="50B8675B" w14:textId="77777777" w:rsidR="006B0493" w:rsidRPr="00623C5D" w:rsidRDefault="006B0493" w:rsidP="00D204F3">
            <w:pPr>
              <w:spacing w:before="140" w:after="40"/>
              <w:jc w:val="right"/>
              <w:rPr>
                <w:sz w:val="20"/>
                <w:szCs w:val="20"/>
              </w:rPr>
            </w:pPr>
            <w:r w:rsidRPr="00623C5D">
              <w:rPr>
                <w:sz w:val="20"/>
                <w:szCs w:val="20"/>
              </w:rPr>
              <w:t>50,601</w:t>
            </w:r>
          </w:p>
        </w:tc>
      </w:tr>
      <w:tr w:rsidR="006B0493" w:rsidRPr="00623C5D" w14:paraId="2892C20C" w14:textId="77777777" w:rsidTr="006B0493">
        <w:trPr>
          <w:trHeight w:val="125"/>
        </w:trPr>
        <w:tc>
          <w:tcPr>
            <w:tcW w:w="1298" w:type="dxa"/>
            <w:shd w:val="clear" w:color="auto" w:fill="auto"/>
            <w:vAlign w:val="center"/>
            <w:hideMark/>
          </w:tcPr>
          <w:p w14:paraId="3F271E72" w14:textId="77777777" w:rsidR="006B0493" w:rsidRPr="00623C5D" w:rsidRDefault="006B0493" w:rsidP="00D204F3">
            <w:pPr>
              <w:spacing w:before="140" w:after="40"/>
              <w:rPr>
                <w:b/>
                <w:sz w:val="20"/>
                <w:szCs w:val="20"/>
              </w:rPr>
            </w:pPr>
            <w:r w:rsidRPr="00623C5D">
              <w:rPr>
                <w:b/>
                <w:sz w:val="20"/>
                <w:szCs w:val="20"/>
              </w:rPr>
              <w:t>75 - 79</w:t>
            </w:r>
          </w:p>
        </w:tc>
        <w:tc>
          <w:tcPr>
            <w:tcW w:w="1728" w:type="dxa"/>
            <w:shd w:val="clear" w:color="000000" w:fill="F2F2F2"/>
            <w:vAlign w:val="center"/>
            <w:hideMark/>
          </w:tcPr>
          <w:p w14:paraId="1411E754" w14:textId="77777777" w:rsidR="006B0493" w:rsidRPr="00623C5D" w:rsidRDefault="006B0493" w:rsidP="00D204F3">
            <w:pPr>
              <w:spacing w:before="140" w:after="40"/>
              <w:jc w:val="right"/>
              <w:rPr>
                <w:sz w:val="20"/>
                <w:szCs w:val="20"/>
              </w:rPr>
            </w:pPr>
            <w:r w:rsidRPr="00623C5D">
              <w:rPr>
                <w:sz w:val="20"/>
                <w:szCs w:val="20"/>
              </w:rPr>
              <w:t>39,045</w:t>
            </w:r>
          </w:p>
        </w:tc>
        <w:tc>
          <w:tcPr>
            <w:tcW w:w="2126" w:type="dxa"/>
            <w:shd w:val="clear" w:color="000000" w:fill="F2F2F2"/>
            <w:vAlign w:val="center"/>
            <w:hideMark/>
          </w:tcPr>
          <w:p w14:paraId="0DE44182" w14:textId="77777777" w:rsidR="006B0493" w:rsidRPr="00623C5D" w:rsidRDefault="006B0493" w:rsidP="00D204F3">
            <w:pPr>
              <w:spacing w:before="140" w:after="40"/>
              <w:jc w:val="right"/>
              <w:rPr>
                <w:sz w:val="20"/>
                <w:szCs w:val="20"/>
              </w:rPr>
            </w:pPr>
            <w:r w:rsidRPr="00623C5D">
              <w:rPr>
                <w:sz w:val="20"/>
                <w:szCs w:val="20"/>
              </w:rPr>
              <w:t>377</w:t>
            </w:r>
          </w:p>
        </w:tc>
        <w:tc>
          <w:tcPr>
            <w:tcW w:w="1559" w:type="dxa"/>
            <w:shd w:val="clear" w:color="000000" w:fill="F2F2F2"/>
            <w:vAlign w:val="center"/>
            <w:hideMark/>
          </w:tcPr>
          <w:p w14:paraId="08B1D05A" w14:textId="77777777" w:rsidR="006B0493" w:rsidRPr="00623C5D" w:rsidRDefault="006B0493" w:rsidP="00D204F3">
            <w:pPr>
              <w:spacing w:before="140" w:after="40"/>
              <w:jc w:val="right"/>
              <w:rPr>
                <w:sz w:val="20"/>
                <w:szCs w:val="20"/>
              </w:rPr>
            </w:pPr>
            <w:r w:rsidRPr="00623C5D">
              <w:rPr>
                <w:sz w:val="20"/>
                <w:szCs w:val="20"/>
              </w:rPr>
              <w:t>39,422</w:t>
            </w:r>
          </w:p>
        </w:tc>
      </w:tr>
      <w:tr w:rsidR="006B0493" w:rsidRPr="00623C5D" w14:paraId="48D9310B" w14:textId="77777777" w:rsidTr="006B0493">
        <w:trPr>
          <w:trHeight w:val="185"/>
        </w:trPr>
        <w:tc>
          <w:tcPr>
            <w:tcW w:w="1298" w:type="dxa"/>
            <w:shd w:val="clear" w:color="auto" w:fill="auto"/>
            <w:vAlign w:val="center"/>
            <w:hideMark/>
          </w:tcPr>
          <w:p w14:paraId="212B066D" w14:textId="77777777" w:rsidR="006B0493" w:rsidRPr="00623C5D" w:rsidRDefault="006B0493" w:rsidP="00D204F3">
            <w:pPr>
              <w:spacing w:before="140" w:after="40"/>
              <w:rPr>
                <w:b/>
                <w:sz w:val="20"/>
                <w:szCs w:val="20"/>
              </w:rPr>
            </w:pPr>
            <w:r w:rsidRPr="00623C5D">
              <w:rPr>
                <w:b/>
                <w:sz w:val="20"/>
                <w:szCs w:val="20"/>
              </w:rPr>
              <w:t>80 - 84</w:t>
            </w:r>
          </w:p>
        </w:tc>
        <w:tc>
          <w:tcPr>
            <w:tcW w:w="1728" w:type="dxa"/>
            <w:shd w:val="clear" w:color="000000" w:fill="F2F2F2"/>
            <w:vAlign w:val="center"/>
            <w:hideMark/>
          </w:tcPr>
          <w:p w14:paraId="0E3CB667" w14:textId="77777777" w:rsidR="006B0493" w:rsidRPr="00623C5D" w:rsidRDefault="006B0493" w:rsidP="00D204F3">
            <w:pPr>
              <w:spacing w:before="140" w:after="40"/>
              <w:jc w:val="right"/>
              <w:rPr>
                <w:sz w:val="20"/>
                <w:szCs w:val="20"/>
              </w:rPr>
            </w:pPr>
            <w:r w:rsidRPr="00623C5D">
              <w:rPr>
                <w:sz w:val="20"/>
                <w:szCs w:val="20"/>
              </w:rPr>
              <w:t>24,038</w:t>
            </w:r>
          </w:p>
        </w:tc>
        <w:tc>
          <w:tcPr>
            <w:tcW w:w="2126" w:type="dxa"/>
            <w:shd w:val="clear" w:color="000000" w:fill="F2F2F2"/>
            <w:vAlign w:val="center"/>
            <w:hideMark/>
          </w:tcPr>
          <w:p w14:paraId="4A2E5067" w14:textId="77777777" w:rsidR="006B0493" w:rsidRPr="00623C5D" w:rsidRDefault="006B0493" w:rsidP="00D204F3">
            <w:pPr>
              <w:spacing w:before="140" w:after="40"/>
              <w:jc w:val="right"/>
              <w:rPr>
                <w:sz w:val="20"/>
                <w:szCs w:val="20"/>
              </w:rPr>
            </w:pPr>
            <w:r w:rsidRPr="00623C5D">
              <w:rPr>
                <w:sz w:val="20"/>
                <w:szCs w:val="20"/>
              </w:rPr>
              <w:t>211</w:t>
            </w:r>
          </w:p>
        </w:tc>
        <w:tc>
          <w:tcPr>
            <w:tcW w:w="1559" w:type="dxa"/>
            <w:shd w:val="clear" w:color="000000" w:fill="F2F2F2"/>
            <w:vAlign w:val="center"/>
            <w:hideMark/>
          </w:tcPr>
          <w:p w14:paraId="6DCF6817" w14:textId="77777777" w:rsidR="006B0493" w:rsidRPr="00623C5D" w:rsidRDefault="006B0493" w:rsidP="00D204F3">
            <w:pPr>
              <w:spacing w:before="140" w:after="40"/>
              <w:jc w:val="right"/>
              <w:rPr>
                <w:sz w:val="20"/>
                <w:szCs w:val="20"/>
              </w:rPr>
            </w:pPr>
            <w:r w:rsidRPr="00623C5D">
              <w:rPr>
                <w:sz w:val="20"/>
                <w:szCs w:val="20"/>
              </w:rPr>
              <w:t>24,249</w:t>
            </w:r>
          </w:p>
        </w:tc>
      </w:tr>
      <w:tr w:rsidR="006B0493" w:rsidRPr="00623C5D" w14:paraId="1EB24009" w14:textId="77777777" w:rsidTr="006B0493">
        <w:trPr>
          <w:trHeight w:val="90"/>
        </w:trPr>
        <w:tc>
          <w:tcPr>
            <w:tcW w:w="1298" w:type="dxa"/>
            <w:shd w:val="clear" w:color="auto" w:fill="auto"/>
            <w:vAlign w:val="center"/>
            <w:hideMark/>
          </w:tcPr>
          <w:p w14:paraId="4F3B420B" w14:textId="77777777" w:rsidR="006B0493" w:rsidRPr="00623C5D" w:rsidRDefault="006B0493" w:rsidP="00D204F3">
            <w:pPr>
              <w:spacing w:before="140" w:after="40"/>
              <w:rPr>
                <w:b/>
                <w:sz w:val="20"/>
                <w:szCs w:val="20"/>
              </w:rPr>
            </w:pPr>
            <w:r w:rsidRPr="00623C5D">
              <w:rPr>
                <w:b/>
                <w:sz w:val="20"/>
                <w:szCs w:val="20"/>
              </w:rPr>
              <w:t>85 +</w:t>
            </w:r>
          </w:p>
        </w:tc>
        <w:tc>
          <w:tcPr>
            <w:tcW w:w="1728" w:type="dxa"/>
            <w:shd w:val="clear" w:color="000000" w:fill="F2F2F2"/>
            <w:vAlign w:val="center"/>
            <w:hideMark/>
          </w:tcPr>
          <w:p w14:paraId="06EEFE47" w14:textId="77777777" w:rsidR="006B0493" w:rsidRPr="00623C5D" w:rsidRDefault="006B0493" w:rsidP="00D204F3">
            <w:pPr>
              <w:spacing w:before="140" w:after="40"/>
              <w:jc w:val="right"/>
              <w:rPr>
                <w:sz w:val="20"/>
                <w:szCs w:val="20"/>
              </w:rPr>
            </w:pPr>
            <w:r w:rsidRPr="00623C5D">
              <w:rPr>
                <w:sz w:val="20"/>
                <w:szCs w:val="20"/>
              </w:rPr>
              <w:t>12,972</w:t>
            </w:r>
          </w:p>
        </w:tc>
        <w:tc>
          <w:tcPr>
            <w:tcW w:w="2126" w:type="dxa"/>
            <w:shd w:val="clear" w:color="000000" w:fill="F2F2F2"/>
            <w:vAlign w:val="center"/>
            <w:hideMark/>
          </w:tcPr>
          <w:p w14:paraId="199D9C99" w14:textId="77777777" w:rsidR="006B0493" w:rsidRPr="00623C5D" w:rsidRDefault="006B0493" w:rsidP="00D204F3">
            <w:pPr>
              <w:spacing w:before="140" w:after="40"/>
              <w:jc w:val="right"/>
              <w:rPr>
                <w:sz w:val="20"/>
                <w:szCs w:val="20"/>
              </w:rPr>
            </w:pPr>
            <w:r w:rsidRPr="00623C5D">
              <w:rPr>
                <w:sz w:val="20"/>
                <w:szCs w:val="20"/>
              </w:rPr>
              <w:t>98</w:t>
            </w:r>
          </w:p>
        </w:tc>
        <w:tc>
          <w:tcPr>
            <w:tcW w:w="1559" w:type="dxa"/>
            <w:shd w:val="clear" w:color="000000" w:fill="F2F2F2"/>
            <w:vAlign w:val="center"/>
            <w:hideMark/>
          </w:tcPr>
          <w:p w14:paraId="4E8D52E7" w14:textId="77777777" w:rsidR="006B0493" w:rsidRPr="00623C5D" w:rsidRDefault="006B0493" w:rsidP="00D204F3">
            <w:pPr>
              <w:spacing w:before="140" w:after="40"/>
              <w:jc w:val="right"/>
              <w:rPr>
                <w:sz w:val="20"/>
                <w:szCs w:val="20"/>
              </w:rPr>
            </w:pPr>
            <w:r w:rsidRPr="00623C5D">
              <w:rPr>
                <w:sz w:val="20"/>
                <w:szCs w:val="20"/>
              </w:rPr>
              <w:t>13,070</w:t>
            </w:r>
          </w:p>
        </w:tc>
      </w:tr>
      <w:tr w:rsidR="006B0493" w:rsidRPr="00623C5D" w14:paraId="545C0173" w14:textId="77777777" w:rsidTr="006B0493">
        <w:trPr>
          <w:trHeight w:val="149"/>
        </w:trPr>
        <w:tc>
          <w:tcPr>
            <w:tcW w:w="1298" w:type="dxa"/>
            <w:shd w:val="clear" w:color="auto" w:fill="auto"/>
            <w:vAlign w:val="center"/>
            <w:hideMark/>
          </w:tcPr>
          <w:p w14:paraId="374F6420" w14:textId="77777777" w:rsidR="006B0493" w:rsidRPr="00623C5D" w:rsidRDefault="006B0493" w:rsidP="00D204F3">
            <w:pPr>
              <w:spacing w:before="140" w:after="40"/>
              <w:rPr>
                <w:b/>
                <w:sz w:val="20"/>
                <w:szCs w:val="20"/>
              </w:rPr>
            </w:pPr>
            <w:r w:rsidRPr="00623C5D">
              <w:rPr>
                <w:b/>
                <w:sz w:val="20"/>
                <w:szCs w:val="20"/>
              </w:rPr>
              <w:t>Total</w:t>
            </w:r>
          </w:p>
        </w:tc>
        <w:tc>
          <w:tcPr>
            <w:tcW w:w="1728" w:type="dxa"/>
            <w:shd w:val="clear" w:color="000000" w:fill="F2F2F2"/>
            <w:vAlign w:val="center"/>
            <w:hideMark/>
          </w:tcPr>
          <w:p w14:paraId="235C2AA1" w14:textId="77777777" w:rsidR="006B0493" w:rsidRPr="00623C5D" w:rsidRDefault="006B0493" w:rsidP="00D204F3">
            <w:pPr>
              <w:spacing w:before="140" w:after="40"/>
              <w:jc w:val="right"/>
              <w:rPr>
                <w:sz w:val="20"/>
                <w:szCs w:val="20"/>
              </w:rPr>
            </w:pPr>
            <w:r w:rsidRPr="00623C5D">
              <w:rPr>
                <w:sz w:val="20"/>
                <w:szCs w:val="20"/>
              </w:rPr>
              <w:t>133,611</w:t>
            </w:r>
          </w:p>
        </w:tc>
        <w:tc>
          <w:tcPr>
            <w:tcW w:w="2126" w:type="dxa"/>
            <w:shd w:val="clear" w:color="000000" w:fill="F2F2F2"/>
            <w:vAlign w:val="center"/>
            <w:hideMark/>
          </w:tcPr>
          <w:p w14:paraId="21DC3A88" w14:textId="77777777" w:rsidR="006B0493" w:rsidRPr="00623C5D" w:rsidRDefault="006B0493" w:rsidP="00D204F3">
            <w:pPr>
              <w:spacing w:before="140" w:after="40"/>
              <w:jc w:val="right"/>
              <w:rPr>
                <w:sz w:val="20"/>
                <w:szCs w:val="20"/>
              </w:rPr>
            </w:pPr>
            <w:r w:rsidRPr="00623C5D">
              <w:rPr>
                <w:sz w:val="20"/>
                <w:szCs w:val="20"/>
              </w:rPr>
              <w:t>1,107</w:t>
            </w:r>
          </w:p>
        </w:tc>
        <w:tc>
          <w:tcPr>
            <w:tcW w:w="1559" w:type="dxa"/>
            <w:shd w:val="clear" w:color="000000" w:fill="F2F2F2"/>
            <w:vAlign w:val="center"/>
            <w:hideMark/>
          </w:tcPr>
          <w:p w14:paraId="18BE374B" w14:textId="77777777" w:rsidR="006B0493" w:rsidRPr="00623C5D" w:rsidRDefault="006B0493" w:rsidP="00D204F3">
            <w:pPr>
              <w:spacing w:before="140" w:after="40"/>
              <w:jc w:val="right"/>
              <w:rPr>
                <w:sz w:val="20"/>
                <w:szCs w:val="20"/>
              </w:rPr>
            </w:pPr>
            <w:r w:rsidRPr="00623C5D">
              <w:rPr>
                <w:sz w:val="20"/>
                <w:szCs w:val="20"/>
              </w:rPr>
              <w:t>134,718</w:t>
            </w:r>
          </w:p>
        </w:tc>
      </w:tr>
    </w:tbl>
    <w:p w14:paraId="592EB23F" w14:textId="77777777" w:rsidR="00283153" w:rsidRPr="00283153" w:rsidRDefault="00283153" w:rsidP="00283153">
      <w:pPr>
        <w:pStyle w:val="Caption"/>
        <w:spacing w:before="120" w:after="120"/>
        <w:rPr>
          <w:i w:val="0"/>
        </w:rPr>
      </w:pPr>
      <w:r w:rsidRPr="00283153">
        <w:rPr>
          <w:i w:val="0"/>
        </w:rPr>
        <w:t>Source: Unpublished data (Department of Health)</w:t>
      </w:r>
    </w:p>
    <w:p w14:paraId="7639B694" w14:textId="77777777" w:rsidR="00253327" w:rsidRPr="00253327" w:rsidRDefault="00253327" w:rsidP="00253327">
      <w:pPr>
        <w:rPr>
          <w:rFonts w:eastAsiaTheme="minorHAnsi"/>
        </w:rPr>
      </w:pPr>
      <w:r w:rsidRPr="00253327">
        <w:br w:type="page"/>
      </w:r>
    </w:p>
    <w:p w14:paraId="363A57CC" w14:textId="2BA8650F" w:rsidR="00C727A8" w:rsidRPr="000737C9" w:rsidRDefault="00F61588" w:rsidP="00A12E3A">
      <w:pPr>
        <w:pStyle w:val="Caption"/>
        <w:spacing w:before="120" w:after="120"/>
      </w:pPr>
      <w:r w:rsidRPr="000737C9">
        <w:lastRenderedPageBreak/>
        <w:t xml:space="preserve">Table </w:t>
      </w:r>
      <w:r w:rsidR="006B0493">
        <w:t>9</w:t>
      </w:r>
      <w:r w:rsidR="00FF0018">
        <w:t>:</w:t>
      </w:r>
      <w:r w:rsidR="00FF0018">
        <w:tab/>
      </w:r>
      <w:r w:rsidR="00C727A8" w:rsidRPr="000737C9">
        <w:t>MBS item 12323 - Service distribution per patient within a two year period (2013-14 to 2014-15, Date of Processing)</w:t>
      </w:r>
      <w:bookmarkEnd w:id="55"/>
      <w:bookmarkEnd w:id="56"/>
      <w:bookmarkEnd w:id="57"/>
      <w:r w:rsidR="00C727A8" w:rsidRPr="000737C9">
        <w:t xml:space="preserve"> </w:t>
      </w:r>
    </w:p>
    <w:tbl>
      <w:tblPr>
        <w:tblW w:w="9072" w:type="dxa"/>
        <w:tblInd w:w="60" w:type="dxa"/>
        <w:tblBorders>
          <w:top w:val="single" w:sz="4" w:space="0" w:color="B56012"/>
          <w:bottom w:val="single" w:sz="4" w:space="0" w:color="B56012"/>
          <w:insideH w:val="single" w:sz="4" w:space="0" w:color="B56012"/>
        </w:tblBorders>
        <w:tblLayout w:type="fixed"/>
        <w:tblCellMar>
          <w:left w:w="0" w:type="dxa"/>
          <w:right w:w="0" w:type="dxa"/>
        </w:tblCellMar>
        <w:tblLook w:val="04A0" w:firstRow="1" w:lastRow="0" w:firstColumn="1" w:lastColumn="0" w:noHBand="0" w:noVBand="1"/>
        <w:tblDescription w:val="Table 9 shows the number and percentage of patients who had 1, 2, 3 or 4-5 services within 2 years (2013-14 to 2014-15) for MBS item 12323."/>
      </w:tblPr>
      <w:tblGrid>
        <w:gridCol w:w="3024"/>
        <w:gridCol w:w="3024"/>
        <w:gridCol w:w="3024"/>
      </w:tblGrid>
      <w:tr w:rsidR="00C727A8" w:rsidRPr="000737C9" w14:paraId="70B8098D" w14:textId="77777777" w:rsidTr="0006464C">
        <w:trPr>
          <w:cantSplit/>
          <w:tblHeader/>
        </w:trPr>
        <w:tc>
          <w:tcPr>
            <w:tcW w:w="3024" w:type="dxa"/>
            <w:tcMar>
              <w:top w:w="0" w:type="dxa"/>
              <w:left w:w="60" w:type="dxa"/>
              <w:bottom w:w="0" w:type="dxa"/>
              <w:right w:w="60" w:type="dxa"/>
            </w:tcMar>
            <w:hideMark/>
          </w:tcPr>
          <w:p w14:paraId="7746F676" w14:textId="77777777" w:rsidR="00C727A8" w:rsidRPr="000737C9" w:rsidRDefault="00C727A8" w:rsidP="00020587">
            <w:pPr>
              <w:spacing w:before="120" w:after="40"/>
              <w:jc w:val="center"/>
              <w:rPr>
                <w:rFonts w:eastAsiaTheme="minorHAnsi"/>
                <w:b/>
                <w:lang w:val="en-US"/>
              </w:rPr>
            </w:pPr>
            <w:r w:rsidRPr="000737C9">
              <w:rPr>
                <w:rFonts w:eastAsiaTheme="minorHAnsi"/>
                <w:b/>
              </w:rPr>
              <w:t>Services per patient</w:t>
            </w:r>
          </w:p>
        </w:tc>
        <w:tc>
          <w:tcPr>
            <w:tcW w:w="3024" w:type="dxa"/>
            <w:tcMar>
              <w:top w:w="0" w:type="dxa"/>
              <w:left w:w="60" w:type="dxa"/>
              <w:bottom w:w="0" w:type="dxa"/>
              <w:right w:w="60" w:type="dxa"/>
            </w:tcMar>
            <w:vAlign w:val="bottom"/>
            <w:hideMark/>
          </w:tcPr>
          <w:p w14:paraId="786A0666" w14:textId="77777777" w:rsidR="00C727A8" w:rsidRPr="000737C9" w:rsidRDefault="00C727A8" w:rsidP="00020587">
            <w:pPr>
              <w:spacing w:before="120" w:after="40"/>
              <w:jc w:val="right"/>
              <w:rPr>
                <w:rFonts w:eastAsiaTheme="minorHAnsi"/>
                <w:b/>
                <w:lang w:val="en-US"/>
              </w:rPr>
            </w:pPr>
            <w:r w:rsidRPr="000737C9">
              <w:rPr>
                <w:rFonts w:eastAsiaTheme="minorHAnsi"/>
                <w:b/>
              </w:rPr>
              <w:t>Patients*</w:t>
            </w:r>
          </w:p>
        </w:tc>
        <w:tc>
          <w:tcPr>
            <w:tcW w:w="3024" w:type="dxa"/>
            <w:tcMar>
              <w:top w:w="0" w:type="dxa"/>
              <w:left w:w="60" w:type="dxa"/>
              <w:bottom w:w="0" w:type="dxa"/>
              <w:right w:w="60" w:type="dxa"/>
            </w:tcMar>
            <w:vAlign w:val="bottom"/>
            <w:hideMark/>
          </w:tcPr>
          <w:p w14:paraId="168468E0" w14:textId="77777777" w:rsidR="00C727A8" w:rsidRPr="000737C9" w:rsidRDefault="00C727A8" w:rsidP="00020587">
            <w:pPr>
              <w:spacing w:before="120" w:after="40"/>
              <w:jc w:val="right"/>
              <w:rPr>
                <w:rFonts w:eastAsiaTheme="minorHAnsi"/>
                <w:b/>
                <w:lang w:val="en-US"/>
              </w:rPr>
            </w:pPr>
            <w:r w:rsidRPr="000737C9">
              <w:rPr>
                <w:rFonts w:eastAsiaTheme="minorHAnsi"/>
                <w:b/>
              </w:rPr>
              <w:t>Percentage</w:t>
            </w:r>
          </w:p>
        </w:tc>
      </w:tr>
      <w:tr w:rsidR="00C727A8" w:rsidRPr="00DA7BF2" w14:paraId="64EA5238" w14:textId="77777777" w:rsidTr="0006464C">
        <w:trPr>
          <w:cantSplit/>
        </w:trPr>
        <w:tc>
          <w:tcPr>
            <w:tcW w:w="3024" w:type="dxa"/>
            <w:tcMar>
              <w:top w:w="0" w:type="dxa"/>
              <w:left w:w="60" w:type="dxa"/>
              <w:bottom w:w="0" w:type="dxa"/>
              <w:right w:w="60" w:type="dxa"/>
            </w:tcMar>
            <w:hideMark/>
          </w:tcPr>
          <w:p w14:paraId="5F535E8E" w14:textId="77777777" w:rsidR="00C727A8" w:rsidRPr="00DA7BF2" w:rsidRDefault="00C727A8" w:rsidP="00020587">
            <w:pPr>
              <w:spacing w:before="120" w:after="40"/>
              <w:jc w:val="center"/>
              <w:rPr>
                <w:rFonts w:eastAsiaTheme="minorHAnsi"/>
                <w:lang w:val="en-US"/>
              </w:rPr>
            </w:pPr>
            <w:r w:rsidRPr="00DA7BF2">
              <w:rPr>
                <w:rFonts w:eastAsiaTheme="minorHAnsi"/>
              </w:rPr>
              <w:t>1</w:t>
            </w:r>
          </w:p>
        </w:tc>
        <w:tc>
          <w:tcPr>
            <w:tcW w:w="3024" w:type="dxa"/>
            <w:tcMar>
              <w:top w:w="0" w:type="dxa"/>
              <w:left w:w="60" w:type="dxa"/>
              <w:bottom w:w="0" w:type="dxa"/>
              <w:right w:w="60" w:type="dxa"/>
            </w:tcMar>
            <w:vAlign w:val="bottom"/>
            <w:hideMark/>
          </w:tcPr>
          <w:p w14:paraId="1C5F6300" w14:textId="77777777" w:rsidR="00C727A8" w:rsidRPr="00DA7BF2" w:rsidRDefault="00C727A8" w:rsidP="00020587">
            <w:pPr>
              <w:spacing w:before="120" w:after="40"/>
              <w:jc w:val="right"/>
              <w:rPr>
                <w:rFonts w:eastAsiaTheme="minorHAnsi"/>
                <w:lang w:val="en-US"/>
              </w:rPr>
            </w:pPr>
            <w:r w:rsidRPr="00DA7BF2">
              <w:rPr>
                <w:rFonts w:eastAsiaTheme="minorHAnsi"/>
              </w:rPr>
              <w:t>316,892</w:t>
            </w:r>
          </w:p>
        </w:tc>
        <w:tc>
          <w:tcPr>
            <w:tcW w:w="3024" w:type="dxa"/>
            <w:tcMar>
              <w:top w:w="0" w:type="dxa"/>
              <w:left w:w="60" w:type="dxa"/>
              <w:bottom w:w="0" w:type="dxa"/>
              <w:right w:w="60" w:type="dxa"/>
            </w:tcMar>
            <w:vAlign w:val="bottom"/>
            <w:hideMark/>
          </w:tcPr>
          <w:p w14:paraId="1265C2AE" w14:textId="77777777" w:rsidR="00C727A8" w:rsidRPr="00DA7BF2" w:rsidRDefault="00C727A8" w:rsidP="00020587">
            <w:pPr>
              <w:spacing w:before="120" w:after="40"/>
              <w:jc w:val="right"/>
              <w:rPr>
                <w:rFonts w:eastAsiaTheme="minorHAnsi"/>
                <w:lang w:val="en-US"/>
              </w:rPr>
            </w:pPr>
            <w:r w:rsidRPr="00DA7BF2">
              <w:rPr>
                <w:rFonts w:eastAsiaTheme="minorHAnsi"/>
              </w:rPr>
              <w:t>94.0%</w:t>
            </w:r>
          </w:p>
        </w:tc>
      </w:tr>
      <w:tr w:rsidR="00C727A8" w:rsidRPr="00DA7BF2" w14:paraId="409ECABC" w14:textId="77777777" w:rsidTr="0006464C">
        <w:trPr>
          <w:cantSplit/>
        </w:trPr>
        <w:tc>
          <w:tcPr>
            <w:tcW w:w="3024" w:type="dxa"/>
            <w:tcMar>
              <w:top w:w="0" w:type="dxa"/>
              <w:left w:w="60" w:type="dxa"/>
              <w:bottom w:w="0" w:type="dxa"/>
              <w:right w:w="60" w:type="dxa"/>
            </w:tcMar>
            <w:hideMark/>
          </w:tcPr>
          <w:p w14:paraId="0C61135A" w14:textId="77777777" w:rsidR="00C727A8" w:rsidRPr="00DA7BF2" w:rsidRDefault="00C727A8" w:rsidP="00020587">
            <w:pPr>
              <w:spacing w:before="120" w:after="40"/>
              <w:jc w:val="center"/>
              <w:rPr>
                <w:rFonts w:eastAsiaTheme="minorHAnsi"/>
                <w:lang w:val="en-US"/>
              </w:rPr>
            </w:pPr>
            <w:r w:rsidRPr="00DA7BF2">
              <w:rPr>
                <w:rFonts w:eastAsiaTheme="minorHAnsi"/>
              </w:rPr>
              <w:t>2</w:t>
            </w:r>
          </w:p>
        </w:tc>
        <w:tc>
          <w:tcPr>
            <w:tcW w:w="3024" w:type="dxa"/>
            <w:tcMar>
              <w:top w:w="0" w:type="dxa"/>
              <w:left w:w="60" w:type="dxa"/>
              <w:bottom w:w="0" w:type="dxa"/>
              <w:right w:w="60" w:type="dxa"/>
            </w:tcMar>
            <w:vAlign w:val="bottom"/>
            <w:hideMark/>
          </w:tcPr>
          <w:p w14:paraId="0330117B" w14:textId="77777777" w:rsidR="00C727A8" w:rsidRPr="00DA7BF2" w:rsidRDefault="00C727A8" w:rsidP="00020587">
            <w:pPr>
              <w:spacing w:before="120" w:after="40"/>
              <w:jc w:val="right"/>
              <w:rPr>
                <w:rFonts w:eastAsiaTheme="minorHAnsi"/>
                <w:lang w:val="en-US"/>
              </w:rPr>
            </w:pPr>
            <w:r w:rsidRPr="00DA7BF2">
              <w:rPr>
                <w:rFonts w:eastAsiaTheme="minorHAnsi"/>
              </w:rPr>
              <w:t>19,928</w:t>
            </w:r>
          </w:p>
        </w:tc>
        <w:tc>
          <w:tcPr>
            <w:tcW w:w="3024" w:type="dxa"/>
            <w:tcMar>
              <w:top w:w="0" w:type="dxa"/>
              <w:left w:w="60" w:type="dxa"/>
              <w:bottom w:w="0" w:type="dxa"/>
              <w:right w:w="60" w:type="dxa"/>
            </w:tcMar>
            <w:vAlign w:val="bottom"/>
            <w:hideMark/>
          </w:tcPr>
          <w:p w14:paraId="661B4E7C" w14:textId="77777777" w:rsidR="00C727A8" w:rsidRPr="00DA7BF2" w:rsidRDefault="00C727A8" w:rsidP="00020587">
            <w:pPr>
              <w:spacing w:before="120" w:after="40"/>
              <w:jc w:val="right"/>
              <w:rPr>
                <w:rFonts w:eastAsiaTheme="minorHAnsi"/>
                <w:lang w:val="en-US"/>
              </w:rPr>
            </w:pPr>
            <w:r w:rsidRPr="00DA7BF2">
              <w:rPr>
                <w:rFonts w:eastAsiaTheme="minorHAnsi"/>
              </w:rPr>
              <w:t>5.9%</w:t>
            </w:r>
          </w:p>
        </w:tc>
      </w:tr>
      <w:tr w:rsidR="00C727A8" w:rsidRPr="00DA7BF2" w14:paraId="12902E0E" w14:textId="77777777" w:rsidTr="0006464C">
        <w:trPr>
          <w:cantSplit/>
        </w:trPr>
        <w:tc>
          <w:tcPr>
            <w:tcW w:w="3024" w:type="dxa"/>
            <w:tcMar>
              <w:top w:w="0" w:type="dxa"/>
              <w:left w:w="60" w:type="dxa"/>
              <w:bottom w:w="0" w:type="dxa"/>
              <w:right w:w="60" w:type="dxa"/>
            </w:tcMar>
            <w:hideMark/>
          </w:tcPr>
          <w:p w14:paraId="26D4570E" w14:textId="77777777" w:rsidR="00C727A8" w:rsidRPr="00DA7BF2" w:rsidRDefault="00C727A8" w:rsidP="00020587">
            <w:pPr>
              <w:spacing w:before="120" w:after="40"/>
              <w:jc w:val="center"/>
              <w:rPr>
                <w:rFonts w:eastAsiaTheme="minorHAnsi"/>
                <w:lang w:val="en-US"/>
              </w:rPr>
            </w:pPr>
            <w:r w:rsidRPr="00DA7BF2">
              <w:rPr>
                <w:rFonts w:eastAsiaTheme="minorHAnsi"/>
              </w:rPr>
              <w:t>3</w:t>
            </w:r>
          </w:p>
        </w:tc>
        <w:tc>
          <w:tcPr>
            <w:tcW w:w="3024" w:type="dxa"/>
            <w:tcMar>
              <w:top w:w="0" w:type="dxa"/>
              <w:left w:w="60" w:type="dxa"/>
              <w:bottom w:w="0" w:type="dxa"/>
              <w:right w:w="60" w:type="dxa"/>
            </w:tcMar>
            <w:vAlign w:val="bottom"/>
            <w:hideMark/>
          </w:tcPr>
          <w:p w14:paraId="3B1C75E0" w14:textId="77777777" w:rsidR="00C727A8" w:rsidRPr="00DA7BF2" w:rsidRDefault="00C727A8" w:rsidP="00020587">
            <w:pPr>
              <w:spacing w:before="120" w:after="40"/>
              <w:jc w:val="right"/>
              <w:rPr>
                <w:rFonts w:eastAsiaTheme="minorHAnsi"/>
                <w:lang w:val="en-US"/>
              </w:rPr>
            </w:pPr>
            <w:r w:rsidRPr="00DA7BF2">
              <w:rPr>
                <w:rFonts w:eastAsiaTheme="minorHAnsi"/>
              </w:rPr>
              <w:t>322</w:t>
            </w:r>
          </w:p>
        </w:tc>
        <w:tc>
          <w:tcPr>
            <w:tcW w:w="3024" w:type="dxa"/>
            <w:tcMar>
              <w:top w:w="0" w:type="dxa"/>
              <w:left w:w="60" w:type="dxa"/>
              <w:bottom w:w="0" w:type="dxa"/>
              <w:right w:w="60" w:type="dxa"/>
            </w:tcMar>
            <w:vAlign w:val="bottom"/>
            <w:hideMark/>
          </w:tcPr>
          <w:p w14:paraId="4DE2D848" w14:textId="77777777" w:rsidR="00C727A8" w:rsidRPr="00DA7BF2" w:rsidRDefault="00C727A8" w:rsidP="00020587">
            <w:pPr>
              <w:spacing w:before="120" w:after="40"/>
              <w:jc w:val="right"/>
              <w:rPr>
                <w:rFonts w:eastAsiaTheme="minorHAnsi"/>
                <w:lang w:val="en-US"/>
              </w:rPr>
            </w:pPr>
            <w:r w:rsidRPr="00DA7BF2">
              <w:rPr>
                <w:rFonts w:eastAsiaTheme="minorHAnsi"/>
              </w:rPr>
              <w:t>0.1%</w:t>
            </w:r>
          </w:p>
        </w:tc>
      </w:tr>
      <w:tr w:rsidR="00C727A8" w:rsidRPr="00DA7BF2" w14:paraId="680982E2" w14:textId="77777777" w:rsidTr="0006464C">
        <w:trPr>
          <w:cantSplit/>
        </w:trPr>
        <w:tc>
          <w:tcPr>
            <w:tcW w:w="3024" w:type="dxa"/>
            <w:tcMar>
              <w:top w:w="0" w:type="dxa"/>
              <w:left w:w="60" w:type="dxa"/>
              <w:bottom w:w="0" w:type="dxa"/>
              <w:right w:w="60" w:type="dxa"/>
            </w:tcMar>
            <w:hideMark/>
          </w:tcPr>
          <w:p w14:paraId="40439824" w14:textId="77777777" w:rsidR="00C727A8" w:rsidRPr="00DA7BF2" w:rsidRDefault="00C727A8" w:rsidP="00020587">
            <w:pPr>
              <w:spacing w:before="120" w:after="40"/>
              <w:jc w:val="center"/>
              <w:rPr>
                <w:rFonts w:eastAsiaTheme="minorHAnsi"/>
                <w:lang w:val="en-US"/>
              </w:rPr>
            </w:pPr>
            <w:r w:rsidRPr="00DA7BF2">
              <w:rPr>
                <w:rFonts w:eastAsiaTheme="minorHAnsi"/>
              </w:rPr>
              <w:t>4</w:t>
            </w:r>
            <w:r w:rsidR="00FA67F4" w:rsidRPr="00DA7BF2">
              <w:rPr>
                <w:rFonts w:eastAsiaTheme="minorHAnsi"/>
              </w:rPr>
              <w:t xml:space="preserve"> - 5</w:t>
            </w:r>
          </w:p>
        </w:tc>
        <w:tc>
          <w:tcPr>
            <w:tcW w:w="3024" w:type="dxa"/>
            <w:tcMar>
              <w:top w:w="0" w:type="dxa"/>
              <w:left w:w="60" w:type="dxa"/>
              <w:bottom w:w="0" w:type="dxa"/>
              <w:right w:w="60" w:type="dxa"/>
            </w:tcMar>
            <w:vAlign w:val="bottom"/>
            <w:hideMark/>
          </w:tcPr>
          <w:p w14:paraId="7C307ABC" w14:textId="77777777" w:rsidR="00C727A8" w:rsidRPr="00DA7BF2" w:rsidRDefault="00C727A8" w:rsidP="00020587">
            <w:pPr>
              <w:spacing w:before="120" w:after="40"/>
              <w:jc w:val="right"/>
              <w:rPr>
                <w:rFonts w:eastAsiaTheme="minorHAnsi"/>
                <w:lang w:val="en-US"/>
              </w:rPr>
            </w:pPr>
            <w:r w:rsidRPr="00DA7BF2">
              <w:rPr>
                <w:rFonts w:eastAsiaTheme="minorHAnsi"/>
              </w:rPr>
              <w:t>1</w:t>
            </w:r>
            <w:r w:rsidR="00FA67F4" w:rsidRPr="00DA7BF2">
              <w:rPr>
                <w:rFonts w:eastAsiaTheme="minorHAnsi"/>
              </w:rPr>
              <w:t>4</w:t>
            </w:r>
          </w:p>
        </w:tc>
        <w:tc>
          <w:tcPr>
            <w:tcW w:w="3024" w:type="dxa"/>
            <w:tcMar>
              <w:top w:w="0" w:type="dxa"/>
              <w:left w:w="60" w:type="dxa"/>
              <w:bottom w:w="0" w:type="dxa"/>
              <w:right w:w="60" w:type="dxa"/>
            </w:tcMar>
            <w:vAlign w:val="bottom"/>
            <w:hideMark/>
          </w:tcPr>
          <w:p w14:paraId="6AE18072" w14:textId="77777777" w:rsidR="00C727A8" w:rsidRPr="00DA7BF2" w:rsidRDefault="00C727A8" w:rsidP="00020587">
            <w:pPr>
              <w:spacing w:before="120" w:after="40"/>
              <w:jc w:val="right"/>
              <w:rPr>
                <w:rFonts w:eastAsiaTheme="minorHAnsi"/>
                <w:lang w:val="en-US"/>
              </w:rPr>
            </w:pPr>
            <w:r w:rsidRPr="00DA7BF2">
              <w:rPr>
                <w:rFonts w:eastAsiaTheme="minorHAnsi"/>
              </w:rPr>
              <w:t>0.0%</w:t>
            </w:r>
          </w:p>
        </w:tc>
      </w:tr>
      <w:tr w:rsidR="00C727A8" w:rsidRPr="00DA7BF2" w14:paraId="485404A5" w14:textId="77777777" w:rsidTr="0006464C">
        <w:trPr>
          <w:cantSplit/>
        </w:trPr>
        <w:tc>
          <w:tcPr>
            <w:tcW w:w="3024" w:type="dxa"/>
            <w:tcMar>
              <w:top w:w="0" w:type="dxa"/>
              <w:left w:w="60" w:type="dxa"/>
              <w:bottom w:w="0" w:type="dxa"/>
              <w:right w:w="60" w:type="dxa"/>
            </w:tcMar>
            <w:hideMark/>
          </w:tcPr>
          <w:p w14:paraId="4FEF007A" w14:textId="77777777" w:rsidR="00C727A8" w:rsidRPr="00DA7BF2" w:rsidRDefault="00C727A8" w:rsidP="00020587">
            <w:pPr>
              <w:spacing w:before="120" w:after="40"/>
              <w:jc w:val="center"/>
              <w:rPr>
                <w:rFonts w:eastAsiaTheme="minorHAnsi"/>
                <w:lang w:val="en-US"/>
              </w:rPr>
            </w:pPr>
            <w:r w:rsidRPr="00DA7BF2">
              <w:rPr>
                <w:rFonts w:eastAsiaTheme="minorHAnsi"/>
              </w:rPr>
              <w:t>Total</w:t>
            </w:r>
          </w:p>
        </w:tc>
        <w:tc>
          <w:tcPr>
            <w:tcW w:w="3024" w:type="dxa"/>
            <w:tcMar>
              <w:top w:w="0" w:type="dxa"/>
              <w:left w:w="60" w:type="dxa"/>
              <w:bottom w:w="0" w:type="dxa"/>
              <w:right w:w="60" w:type="dxa"/>
            </w:tcMar>
            <w:vAlign w:val="bottom"/>
            <w:hideMark/>
          </w:tcPr>
          <w:p w14:paraId="1EF22323" w14:textId="77777777" w:rsidR="00C727A8" w:rsidRPr="00DA7BF2" w:rsidRDefault="00C727A8" w:rsidP="00020587">
            <w:pPr>
              <w:spacing w:before="120" w:after="40"/>
              <w:jc w:val="right"/>
              <w:rPr>
                <w:rFonts w:eastAsiaTheme="minorHAnsi"/>
                <w:lang w:val="en-US"/>
              </w:rPr>
            </w:pPr>
            <w:r w:rsidRPr="00DA7BF2">
              <w:rPr>
                <w:rFonts w:eastAsiaTheme="minorHAnsi"/>
              </w:rPr>
              <w:t>337,156</w:t>
            </w:r>
          </w:p>
        </w:tc>
        <w:tc>
          <w:tcPr>
            <w:tcW w:w="3024" w:type="dxa"/>
            <w:tcMar>
              <w:top w:w="0" w:type="dxa"/>
              <w:left w:w="60" w:type="dxa"/>
              <w:bottom w:w="0" w:type="dxa"/>
              <w:right w:w="60" w:type="dxa"/>
            </w:tcMar>
            <w:vAlign w:val="bottom"/>
            <w:hideMark/>
          </w:tcPr>
          <w:p w14:paraId="4A3AAEE3" w14:textId="77777777" w:rsidR="00C727A8" w:rsidRPr="00DA7BF2" w:rsidRDefault="00C727A8" w:rsidP="00020587">
            <w:pPr>
              <w:spacing w:before="120" w:after="40"/>
              <w:jc w:val="right"/>
              <w:rPr>
                <w:rFonts w:eastAsiaTheme="minorHAnsi"/>
                <w:lang w:val="en-US"/>
              </w:rPr>
            </w:pPr>
            <w:r w:rsidRPr="00DA7BF2">
              <w:rPr>
                <w:rFonts w:eastAsiaTheme="minorHAnsi"/>
              </w:rPr>
              <w:t>100.0%</w:t>
            </w:r>
          </w:p>
        </w:tc>
      </w:tr>
    </w:tbl>
    <w:p w14:paraId="5A430109" w14:textId="485E6E68" w:rsidR="00A01431" w:rsidRDefault="00C727A8" w:rsidP="00061127">
      <w:pPr>
        <w:spacing w:before="0" w:after="0"/>
        <w:rPr>
          <w:rFonts w:eastAsiaTheme="minorHAnsi" w:cs="Arial"/>
          <w:b/>
          <w:sz w:val="18"/>
          <w:szCs w:val="18"/>
          <w:lang w:val="en-US"/>
        </w:rPr>
      </w:pPr>
      <w:r w:rsidRPr="00020587">
        <w:rPr>
          <w:rFonts w:eastAsiaTheme="minorHAnsi" w:cs="Arial"/>
          <w:sz w:val="18"/>
          <w:szCs w:val="18"/>
        </w:rPr>
        <w:t>*Patients have been counted in a reference period where they have had claims for at least one item 12323 service processed.</w:t>
      </w:r>
      <w:r w:rsidR="00842A4F" w:rsidRPr="00020587">
        <w:rPr>
          <w:rFonts w:eastAsiaTheme="minorHAnsi" w:cs="Arial"/>
          <w:sz w:val="18"/>
          <w:szCs w:val="18"/>
        </w:rPr>
        <w:t xml:space="preserve"> </w:t>
      </w:r>
      <w:r w:rsidR="00842A4F" w:rsidRPr="00020587">
        <w:rPr>
          <w:rFonts w:eastAsiaTheme="minorHAnsi" w:cs="Arial"/>
          <w:b/>
          <w:sz w:val="18"/>
          <w:szCs w:val="18"/>
          <w:lang w:val="en-US"/>
        </w:rPr>
        <w:t>Unpublished data (Department of Health)</w:t>
      </w:r>
    </w:p>
    <w:p w14:paraId="578BA0F7" w14:textId="4C7A0B3E" w:rsidR="00C727A8" w:rsidRPr="00020587" w:rsidRDefault="00F61588" w:rsidP="00A12E3A">
      <w:pPr>
        <w:pStyle w:val="Caption"/>
        <w:spacing w:before="120" w:after="120"/>
      </w:pPr>
      <w:bookmarkStart w:id="58" w:name="_Toc432581022"/>
      <w:bookmarkStart w:id="59" w:name="_Toc443642256"/>
      <w:bookmarkStart w:id="60" w:name="_Toc457126667"/>
      <w:r w:rsidRPr="00020587">
        <w:t xml:space="preserve">Table </w:t>
      </w:r>
      <w:r w:rsidR="006B0493">
        <w:t>10</w:t>
      </w:r>
      <w:r w:rsidR="00FF0018">
        <w:t>:</w:t>
      </w:r>
      <w:r w:rsidR="00FF0018">
        <w:tab/>
      </w:r>
      <w:r w:rsidR="00C727A8" w:rsidRPr="00020587">
        <w:t xml:space="preserve">MBS item 12323 - Patient service distribution </w:t>
      </w:r>
      <w:r w:rsidR="00D70482">
        <w:t xml:space="preserve">for males </w:t>
      </w:r>
      <w:r w:rsidR="00C727A8" w:rsidRPr="00020587">
        <w:t>within a two year period by age (2013-14 to 2014-15, Date of Processing)</w:t>
      </w:r>
      <w:bookmarkEnd w:id="58"/>
      <w:bookmarkEnd w:id="59"/>
      <w:bookmarkEnd w:id="60"/>
    </w:p>
    <w:tbl>
      <w:tblPr>
        <w:tblW w:w="6995" w:type="dxa"/>
        <w:tblInd w:w="93" w:type="dxa"/>
        <w:tblBorders>
          <w:top w:val="single" w:sz="4" w:space="0" w:color="B56012"/>
          <w:bottom w:val="single" w:sz="4" w:space="0" w:color="B56012"/>
          <w:insideH w:val="single" w:sz="4" w:space="0" w:color="B56012"/>
        </w:tblBorders>
        <w:tblLook w:val="04A0" w:firstRow="1" w:lastRow="0" w:firstColumn="1" w:lastColumn="0" w:noHBand="0" w:noVBand="1"/>
        <w:tblDescription w:val="Table 10 shows the number of male patients of diffeent ages who had 1, 2, or 3 or more services within 2 years (2013-14 to 2014-15) for MBS item 12323."/>
      </w:tblPr>
      <w:tblGrid>
        <w:gridCol w:w="1296"/>
        <w:gridCol w:w="1446"/>
        <w:gridCol w:w="1560"/>
        <w:gridCol w:w="1559"/>
        <w:gridCol w:w="1134"/>
      </w:tblGrid>
      <w:tr w:rsidR="00D70482" w:rsidRPr="00020587" w14:paraId="4CC72AF9" w14:textId="77777777" w:rsidTr="00D70482">
        <w:trPr>
          <w:trHeight w:val="128"/>
          <w:tblHeader/>
        </w:trPr>
        <w:tc>
          <w:tcPr>
            <w:tcW w:w="1296" w:type="dxa"/>
            <w:shd w:val="clear" w:color="auto" w:fill="auto"/>
            <w:vAlign w:val="center"/>
          </w:tcPr>
          <w:p w14:paraId="5F237E78" w14:textId="25694147" w:rsidR="00D70482" w:rsidRPr="00020587" w:rsidRDefault="00D70482" w:rsidP="00D70482">
            <w:pPr>
              <w:rPr>
                <w:b/>
                <w:sz w:val="20"/>
                <w:szCs w:val="20"/>
              </w:rPr>
            </w:pPr>
            <w:r w:rsidRPr="00623C5D">
              <w:rPr>
                <w:b/>
                <w:sz w:val="20"/>
                <w:szCs w:val="20"/>
              </w:rPr>
              <w:t xml:space="preserve">Patient </w:t>
            </w:r>
            <w:r>
              <w:rPr>
                <w:b/>
                <w:sz w:val="20"/>
                <w:szCs w:val="20"/>
              </w:rPr>
              <w:t>a</w:t>
            </w:r>
            <w:r w:rsidRPr="00623C5D">
              <w:rPr>
                <w:b/>
                <w:sz w:val="20"/>
                <w:szCs w:val="20"/>
              </w:rPr>
              <w:t>ge</w:t>
            </w:r>
          </w:p>
        </w:tc>
        <w:tc>
          <w:tcPr>
            <w:tcW w:w="1446" w:type="dxa"/>
            <w:shd w:val="clear" w:color="000000" w:fill="FFFFFF"/>
            <w:vAlign w:val="center"/>
          </w:tcPr>
          <w:p w14:paraId="6FB7BA13" w14:textId="21B36745" w:rsidR="00D70482" w:rsidRPr="00020587" w:rsidRDefault="00D70482" w:rsidP="00D70482">
            <w:pPr>
              <w:spacing w:before="140" w:after="40"/>
              <w:jc w:val="right"/>
              <w:rPr>
                <w:sz w:val="20"/>
                <w:szCs w:val="20"/>
              </w:rPr>
            </w:pPr>
            <w:r w:rsidRPr="00623C5D">
              <w:rPr>
                <w:b/>
                <w:sz w:val="20"/>
                <w:szCs w:val="20"/>
              </w:rPr>
              <w:t>1</w:t>
            </w:r>
            <w:r>
              <w:rPr>
                <w:b/>
                <w:sz w:val="20"/>
                <w:szCs w:val="20"/>
              </w:rPr>
              <w:t xml:space="preserve"> service per patient</w:t>
            </w:r>
          </w:p>
        </w:tc>
        <w:tc>
          <w:tcPr>
            <w:tcW w:w="1560" w:type="dxa"/>
            <w:shd w:val="clear" w:color="000000" w:fill="FFFFFF"/>
            <w:vAlign w:val="center"/>
          </w:tcPr>
          <w:p w14:paraId="766A6E19" w14:textId="0736EFCF" w:rsidR="00D70482" w:rsidRPr="00020587" w:rsidRDefault="00D70482" w:rsidP="00D70482">
            <w:pPr>
              <w:spacing w:before="140" w:after="40"/>
              <w:jc w:val="right"/>
              <w:rPr>
                <w:sz w:val="20"/>
                <w:szCs w:val="20"/>
              </w:rPr>
            </w:pPr>
            <w:r w:rsidRPr="00623C5D">
              <w:rPr>
                <w:b/>
                <w:sz w:val="20"/>
                <w:szCs w:val="20"/>
              </w:rPr>
              <w:t xml:space="preserve">2 </w:t>
            </w:r>
            <w:r>
              <w:rPr>
                <w:b/>
                <w:sz w:val="20"/>
                <w:szCs w:val="20"/>
              </w:rPr>
              <w:t>services per patient</w:t>
            </w:r>
          </w:p>
        </w:tc>
        <w:tc>
          <w:tcPr>
            <w:tcW w:w="1559" w:type="dxa"/>
            <w:shd w:val="clear" w:color="000000" w:fill="FFFFFF"/>
            <w:vAlign w:val="center"/>
          </w:tcPr>
          <w:p w14:paraId="6C0EB761" w14:textId="01C45298" w:rsidR="00D70482" w:rsidRPr="00020587" w:rsidRDefault="00D70482" w:rsidP="00D70482">
            <w:pPr>
              <w:spacing w:before="140" w:after="40"/>
              <w:jc w:val="right"/>
              <w:rPr>
                <w:sz w:val="20"/>
                <w:szCs w:val="20"/>
              </w:rPr>
            </w:pPr>
            <w:r w:rsidRPr="00020587">
              <w:rPr>
                <w:b/>
                <w:sz w:val="20"/>
                <w:szCs w:val="20"/>
              </w:rPr>
              <w:t>3+</w:t>
            </w:r>
            <w:r>
              <w:rPr>
                <w:b/>
                <w:sz w:val="20"/>
                <w:szCs w:val="20"/>
              </w:rPr>
              <w:t xml:space="preserve"> services per patient</w:t>
            </w:r>
          </w:p>
        </w:tc>
        <w:tc>
          <w:tcPr>
            <w:tcW w:w="1134" w:type="dxa"/>
            <w:shd w:val="clear" w:color="000000" w:fill="FFFFFF"/>
            <w:vAlign w:val="center"/>
          </w:tcPr>
          <w:p w14:paraId="0B9DFFA6" w14:textId="67536AB5" w:rsidR="00D70482" w:rsidRPr="00020587" w:rsidRDefault="00D70482" w:rsidP="00D70482">
            <w:pPr>
              <w:spacing w:before="140" w:after="40"/>
              <w:jc w:val="right"/>
              <w:rPr>
                <w:sz w:val="20"/>
                <w:szCs w:val="20"/>
              </w:rPr>
            </w:pPr>
            <w:r w:rsidRPr="00020587">
              <w:rPr>
                <w:b/>
                <w:sz w:val="20"/>
                <w:szCs w:val="20"/>
              </w:rPr>
              <w:t>Total</w:t>
            </w:r>
          </w:p>
        </w:tc>
      </w:tr>
      <w:tr w:rsidR="00D70482" w:rsidRPr="00020587" w14:paraId="158B23C6" w14:textId="77777777" w:rsidTr="00D70482">
        <w:trPr>
          <w:trHeight w:val="128"/>
        </w:trPr>
        <w:tc>
          <w:tcPr>
            <w:tcW w:w="1296" w:type="dxa"/>
            <w:shd w:val="clear" w:color="auto" w:fill="auto"/>
            <w:vAlign w:val="center"/>
            <w:hideMark/>
          </w:tcPr>
          <w:p w14:paraId="086D4430" w14:textId="77777777" w:rsidR="00D70482" w:rsidRPr="00020587" w:rsidRDefault="00D70482" w:rsidP="00D70482">
            <w:pPr>
              <w:rPr>
                <w:b/>
                <w:sz w:val="20"/>
                <w:szCs w:val="20"/>
              </w:rPr>
            </w:pPr>
            <w:r w:rsidRPr="00020587">
              <w:rPr>
                <w:b/>
                <w:sz w:val="20"/>
                <w:szCs w:val="20"/>
              </w:rPr>
              <w:t>65 - 69</w:t>
            </w:r>
          </w:p>
        </w:tc>
        <w:tc>
          <w:tcPr>
            <w:tcW w:w="1446" w:type="dxa"/>
            <w:shd w:val="clear" w:color="000000" w:fill="FFFFFF"/>
            <w:vAlign w:val="center"/>
            <w:hideMark/>
          </w:tcPr>
          <w:p w14:paraId="62DDA9FF" w14:textId="77777777" w:rsidR="00D70482" w:rsidRPr="00020587" w:rsidRDefault="00D70482" w:rsidP="00D70482">
            <w:pPr>
              <w:spacing w:before="140" w:after="40"/>
              <w:jc w:val="right"/>
              <w:rPr>
                <w:sz w:val="20"/>
                <w:szCs w:val="20"/>
              </w:rPr>
            </w:pPr>
            <w:r w:rsidRPr="00020587">
              <w:rPr>
                <w:sz w:val="20"/>
                <w:szCs w:val="20"/>
              </w:rPr>
              <w:t>2,381</w:t>
            </w:r>
          </w:p>
        </w:tc>
        <w:tc>
          <w:tcPr>
            <w:tcW w:w="1560" w:type="dxa"/>
            <w:shd w:val="clear" w:color="000000" w:fill="FFFFFF"/>
            <w:vAlign w:val="center"/>
            <w:hideMark/>
          </w:tcPr>
          <w:p w14:paraId="6CCF7D31" w14:textId="745E1A23" w:rsidR="00D70482" w:rsidRPr="00020587" w:rsidRDefault="008D6990" w:rsidP="00D70482">
            <w:pPr>
              <w:spacing w:before="140" w:after="40"/>
              <w:jc w:val="right"/>
              <w:rPr>
                <w:sz w:val="20"/>
                <w:szCs w:val="20"/>
              </w:rPr>
            </w:pPr>
            <w:r>
              <w:rPr>
                <w:sz w:val="20"/>
                <w:szCs w:val="20"/>
              </w:rPr>
              <w:t>6</w:t>
            </w:r>
          </w:p>
        </w:tc>
        <w:tc>
          <w:tcPr>
            <w:tcW w:w="1559" w:type="dxa"/>
            <w:shd w:val="clear" w:color="000000" w:fill="FFFFFF"/>
            <w:vAlign w:val="center"/>
          </w:tcPr>
          <w:p w14:paraId="6F02ADAB" w14:textId="2BD1FC4F" w:rsidR="00D70482" w:rsidRPr="00020587" w:rsidRDefault="00F47CD6" w:rsidP="00D70482">
            <w:pPr>
              <w:spacing w:before="140" w:after="40"/>
              <w:jc w:val="right"/>
              <w:rPr>
                <w:sz w:val="20"/>
                <w:szCs w:val="20"/>
              </w:rPr>
            </w:pPr>
            <w:r>
              <w:rPr>
                <w:sz w:val="20"/>
                <w:szCs w:val="20"/>
              </w:rPr>
              <w:t>&lt;5</w:t>
            </w:r>
          </w:p>
        </w:tc>
        <w:tc>
          <w:tcPr>
            <w:tcW w:w="1134" w:type="dxa"/>
            <w:shd w:val="clear" w:color="000000" w:fill="FFFFFF"/>
            <w:vAlign w:val="center"/>
            <w:hideMark/>
          </w:tcPr>
          <w:p w14:paraId="54CD767A" w14:textId="77777777" w:rsidR="00D70482" w:rsidRPr="00020587" w:rsidRDefault="00D70482" w:rsidP="00D70482">
            <w:pPr>
              <w:spacing w:before="140" w:after="40"/>
              <w:jc w:val="right"/>
              <w:rPr>
                <w:sz w:val="20"/>
                <w:szCs w:val="20"/>
              </w:rPr>
            </w:pPr>
            <w:r w:rsidRPr="00020587">
              <w:rPr>
                <w:sz w:val="20"/>
                <w:szCs w:val="20"/>
              </w:rPr>
              <w:t>2,388</w:t>
            </w:r>
          </w:p>
        </w:tc>
      </w:tr>
      <w:tr w:rsidR="00D70482" w:rsidRPr="00020587" w14:paraId="17578C88" w14:textId="77777777" w:rsidTr="00D70482">
        <w:trPr>
          <w:trHeight w:val="99"/>
        </w:trPr>
        <w:tc>
          <w:tcPr>
            <w:tcW w:w="1296" w:type="dxa"/>
            <w:shd w:val="clear" w:color="auto" w:fill="auto"/>
            <w:vAlign w:val="center"/>
            <w:hideMark/>
          </w:tcPr>
          <w:p w14:paraId="15E80E64" w14:textId="77777777" w:rsidR="00D70482" w:rsidRPr="00020587" w:rsidRDefault="00D70482" w:rsidP="00D70482">
            <w:pPr>
              <w:rPr>
                <w:b/>
                <w:sz w:val="20"/>
                <w:szCs w:val="20"/>
              </w:rPr>
            </w:pPr>
            <w:r w:rsidRPr="00020587">
              <w:rPr>
                <w:b/>
                <w:sz w:val="20"/>
                <w:szCs w:val="20"/>
              </w:rPr>
              <w:t>70 - 74</w:t>
            </w:r>
          </w:p>
        </w:tc>
        <w:tc>
          <w:tcPr>
            <w:tcW w:w="1446" w:type="dxa"/>
            <w:shd w:val="clear" w:color="000000" w:fill="FFFFFF"/>
            <w:vAlign w:val="center"/>
            <w:hideMark/>
          </w:tcPr>
          <w:p w14:paraId="027CD34C" w14:textId="77777777" w:rsidR="00D70482" w:rsidRPr="00020587" w:rsidRDefault="00D70482" w:rsidP="00D70482">
            <w:pPr>
              <w:spacing w:before="140" w:after="40"/>
              <w:jc w:val="right"/>
              <w:rPr>
                <w:sz w:val="20"/>
                <w:szCs w:val="20"/>
              </w:rPr>
            </w:pPr>
            <w:r w:rsidRPr="00020587">
              <w:rPr>
                <w:sz w:val="20"/>
                <w:szCs w:val="20"/>
              </w:rPr>
              <w:t>32,090</w:t>
            </w:r>
          </w:p>
        </w:tc>
        <w:tc>
          <w:tcPr>
            <w:tcW w:w="1560" w:type="dxa"/>
            <w:shd w:val="clear" w:color="000000" w:fill="FFFFFF"/>
            <w:vAlign w:val="center"/>
            <w:hideMark/>
          </w:tcPr>
          <w:p w14:paraId="09C2AA3C" w14:textId="77777777" w:rsidR="00D70482" w:rsidRPr="00020587" w:rsidRDefault="00D70482" w:rsidP="00D70482">
            <w:pPr>
              <w:spacing w:before="140" w:after="40"/>
              <w:jc w:val="right"/>
              <w:rPr>
                <w:sz w:val="20"/>
                <w:szCs w:val="20"/>
              </w:rPr>
            </w:pPr>
            <w:r w:rsidRPr="00020587">
              <w:rPr>
                <w:sz w:val="20"/>
                <w:szCs w:val="20"/>
              </w:rPr>
              <w:t>1,708</w:t>
            </w:r>
          </w:p>
        </w:tc>
        <w:tc>
          <w:tcPr>
            <w:tcW w:w="1559" w:type="dxa"/>
            <w:shd w:val="clear" w:color="000000" w:fill="FFFFFF"/>
            <w:vAlign w:val="center"/>
            <w:hideMark/>
          </w:tcPr>
          <w:p w14:paraId="0C0965F1" w14:textId="77777777" w:rsidR="00D70482" w:rsidRPr="00020587" w:rsidRDefault="00D70482" w:rsidP="00D70482">
            <w:pPr>
              <w:spacing w:before="140" w:after="40"/>
              <w:jc w:val="right"/>
              <w:rPr>
                <w:sz w:val="20"/>
                <w:szCs w:val="20"/>
              </w:rPr>
            </w:pPr>
            <w:r w:rsidRPr="00020587">
              <w:rPr>
                <w:sz w:val="20"/>
                <w:szCs w:val="20"/>
              </w:rPr>
              <w:t>21</w:t>
            </w:r>
          </w:p>
        </w:tc>
        <w:tc>
          <w:tcPr>
            <w:tcW w:w="1134" w:type="dxa"/>
            <w:shd w:val="clear" w:color="000000" w:fill="FFFFFF"/>
            <w:vAlign w:val="center"/>
            <w:hideMark/>
          </w:tcPr>
          <w:p w14:paraId="5F98841D" w14:textId="77777777" w:rsidR="00D70482" w:rsidRPr="00020587" w:rsidRDefault="00D70482" w:rsidP="00D70482">
            <w:pPr>
              <w:spacing w:before="140" w:after="40"/>
              <w:jc w:val="right"/>
              <w:rPr>
                <w:sz w:val="20"/>
                <w:szCs w:val="20"/>
              </w:rPr>
            </w:pPr>
            <w:r w:rsidRPr="00020587">
              <w:rPr>
                <w:sz w:val="20"/>
                <w:szCs w:val="20"/>
              </w:rPr>
              <w:t>33,819</w:t>
            </w:r>
          </w:p>
        </w:tc>
      </w:tr>
      <w:tr w:rsidR="00D70482" w:rsidRPr="00020587" w14:paraId="2146B71D" w14:textId="77777777" w:rsidTr="00D70482">
        <w:trPr>
          <w:trHeight w:val="60"/>
        </w:trPr>
        <w:tc>
          <w:tcPr>
            <w:tcW w:w="1296" w:type="dxa"/>
            <w:shd w:val="clear" w:color="auto" w:fill="auto"/>
            <w:vAlign w:val="center"/>
            <w:hideMark/>
          </w:tcPr>
          <w:p w14:paraId="14B6F229" w14:textId="77777777" w:rsidR="00D70482" w:rsidRPr="00020587" w:rsidRDefault="00D70482" w:rsidP="00D70482">
            <w:pPr>
              <w:rPr>
                <w:b/>
                <w:sz w:val="20"/>
                <w:szCs w:val="20"/>
              </w:rPr>
            </w:pPr>
            <w:r w:rsidRPr="00020587">
              <w:rPr>
                <w:b/>
                <w:sz w:val="20"/>
                <w:szCs w:val="20"/>
              </w:rPr>
              <w:t>75 - 79</w:t>
            </w:r>
          </w:p>
        </w:tc>
        <w:tc>
          <w:tcPr>
            <w:tcW w:w="1446" w:type="dxa"/>
            <w:shd w:val="clear" w:color="000000" w:fill="FFFFFF"/>
            <w:vAlign w:val="center"/>
            <w:hideMark/>
          </w:tcPr>
          <w:p w14:paraId="4974BD93" w14:textId="77777777" w:rsidR="00D70482" w:rsidRPr="00020587" w:rsidRDefault="00D70482" w:rsidP="00D70482">
            <w:pPr>
              <w:spacing w:before="140" w:after="40"/>
              <w:jc w:val="right"/>
              <w:rPr>
                <w:sz w:val="20"/>
                <w:szCs w:val="20"/>
              </w:rPr>
            </w:pPr>
            <w:r w:rsidRPr="00020587">
              <w:rPr>
                <w:sz w:val="20"/>
                <w:szCs w:val="20"/>
              </w:rPr>
              <w:t>29,069</w:t>
            </w:r>
          </w:p>
        </w:tc>
        <w:tc>
          <w:tcPr>
            <w:tcW w:w="1560" w:type="dxa"/>
            <w:shd w:val="clear" w:color="000000" w:fill="FFFFFF"/>
            <w:vAlign w:val="center"/>
            <w:hideMark/>
          </w:tcPr>
          <w:p w14:paraId="1E999076" w14:textId="77777777" w:rsidR="00D70482" w:rsidRPr="00020587" w:rsidRDefault="00D70482" w:rsidP="00D70482">
            <w:pPr>
              <w:spacing w:before="140" w:after="40"/>
              <w:jc w:val="right"/>
              <w:rPr>
                <w:sz w:val="20"/>
                <w:szCs w:val="20"/>
              </w:rPr>
            </w:pPr>
            <w:r w:rsidRPr="00020587">
              <w:rPr>
                <w:sz w:val="20"/>
                <w:szCs w:val="20"/>
              </w:rPr>
              <w:t>1,827</w:t>
            </w:r>
          </w:p>
        </w:tc>
        <w:tc>
          <w:tcPr>
            <w:tcW w:w="1559" w:type="dxa"/>
            <w:shd w:val="clear" w:color="000000" w:fill="FFFFFF"/>
            <w:vAlign w:val="center"/>
            <w:hideMark/>
          </w:tcPr>
          <w:p w14:paraId="0447D377" w14:textId="77777777" w:rsidR="00D70482" w:rsidRPr="00020587" w:rsidRDefault="00D70482" w:rsidP="00D70482">
            <w:pPr>
              <w:spacing w:before="140" w:after="40"/>
              <w:jc w:val="right"/>
              <w:rPr>
                <w:sz w:val="20"/>
                <w:szCs w:val="20"/>
              </w:rPr>
            </w:pPr>
            <w:r w:rsidRPr="00020587">
              <w:rPr>
                <w:sz w:val="20"/>
                <w:szCs w:val="20"/>
              </w:rPr>
              <w:t>21</w:t>
            </w:r>
          </w:p>
        </w:tc>
        <w:tc>
          <w:tcPr>
            <w:tcW w:w="1134" w:type="dxa"/>
            <w:shd w:val="clear" w:color="000000" w:fill="FFFFFF"/>
            <w:vAlign w:val="center"/>
            <w:hideMark/>
          </w:tcPr>
          <w:p w14:paraId="5288327A" w14:textId="77777777" w:rsidR="00D70482" w:rsidRPr="00020587" w:rsidRDefault="00D70482" w:rsidP="00D70482">
            <w:pPr>
              <w:spacing w:before="140" w:after="40"/>
              <w:jc w:val="right"/>
              <w:rPr>
                <w:sz w:val="20"/>
                <w:szCs w:val="20"/>
              </w:rPr>
            </w:pPr>
            <w:r w:rsidRPr="00020587">
              <w:rPr>
                <w:sz w:val="20"/>
                <w:szCs w:val="20"/>
              </w:rPr>
              <w:t>30,917</w:t>
            </w:r>
          </w:p>
        </w:tc>
      </w:tr>
      <w:tr w:rsidR="00D70482" w:rsidRPr="00020587" w14:paraId="7061EAA2" w14:textId="77777777" w:rsidTr="00D70482">
        <w:trPr>
          <w:trHeight w:val="60"/>
        </w:trPr>
        <w:tc>
          <w:tcPr>
            <w:tcW w:w="1296" w:type="dxa"/>
            <w:shd w:val="clear" w:color="auto" w:fill="auto"/>
            <w:vAlign w:val="center"/>
            <w:hideMark/>
          </w:tcPr>
          <w:p w14:paraId="30EB86A3" w14:textId="77777777" w:rsidR="00D70482" w:rsidRPr="00020587" w:rsidRDefault="00D70482" w:rsidP="00D70482">
            <w:pPr>
              <w:rPr>
                <w:b/>
                <w:sz w:val="20"/>
                <w:szCs w:val="20"/>
              </w:rPr>
            </w:pPr>
            <w:r w:rsidRPr="00020587">
              <w:rPr>
                <w:b/>
                <w:sz w:val="20"/>
                <w:szCs w:val="20"/>
              </w:rPr>
              <w:t>80 - 84</w:t>
            </w:r>
          </w:p>
        </w:tc>
        <w:tc>
          <w:tcPr>
            <w:tcW w:w="1446" w:type="dxa"/>
            <w:shd w:val="clear" w:color="000000" w:fill="FFFFFF"/>
            <w:vAlign w:val="center"/>
            <w:hideMark/>
          </w:tcPr>
          <w:p w14:paraId="5698F068" w14:textId="77777777" w:rsidR="00D70482" w:rsidRPr="00020587" w:rsidRDefault="00D70482" w:rsidP="00D70482">
            <w:pPr>
              <w:spacing w:before="140" w:after="40"/>
              <w:jc w:val="right"/>
              <w:rPr>
                <w:sz w:val="20"/>
                <w:szCs w:val="20"/>
              </w:rPr>
            </w:pPr>
            <w:r w:rsidRPr="00020587">
              <w:rPr>
                <w:sz w:val="20"/>
                <w:szCs w:val="20"/>
              </w:rPr>
              <w:t>19,504</w:t>
            </w:r>
          </w:p>
        </w:tc>
        <w:tc>
          <w:tcPr>
            <w:tcW w:w="1560" w:type="dxa"/>
            <w:shd w:val="clear" w:color="000000" w:fill="FFFFFF"/>
            <w:vAlign w:val="center"/>
            <w:hideMark/>
          </w:tcPr>
          <w:p w14:paraId="444BB3C7" w14:textId="77777777" w:rsidR="00D70482" w:rsidRPr="00020587" w:rsidRDefault="00D70482" w:rsidP="00D70482">
            <w:pPr>
              <w:spacing w:before="140" w:after="40"/>
              <w:jc w:val="right"/>
              <w:rPr>
                <w:sz w:val="20"/>
                <w:szCs w:val="20"/>
              </w:rPr>
            </w:pPr>
            <w:r w:rsidRPr="00020587">
              <w:rPr>
                <w:sz w:val="20"/>
                <w:szCs w:val="20"/>
              </w:rPr>
              <w:t>1,203</w:t>
            </w:r>
          </w:p>
        </w:tc>
        <w:tc>
          <w:tcPr>
            <w:tcW w:w="1559" w:type="dxa"/>
            <w:shd w:val="clear" w:color="000000" w:fill="FFFFFF"/>
            <w:vAlign w:val="center"/>
            <w:hideMark/>
          </w:tcPr>
          <w:p w14:paraId="273CA5A6" w14:textId="77777777" w:rsidR="00D70482" w:rsidRPr="00020587" w:rsidRDefault="00D70482" w:rsidP="00D70482">
            <w:pPr>
              <w:spacing w:before="140" w:after="40"/>
              <w:jc w:val="right"/>
              <w:rPr>
                <w:sz w:val="20"/>
                <w:szCs w:val="20"/>
              </w:rPr>
            </w:pPr>
            <w:r w:rsidRPr="00020587">
              <w:rPr>
                <w:sz w:val="20"/>
                <w:szCs w:val="20"/>
              </w:rPr>
              <w:t>22</w:t>
            </w:r>
          </w:p>
        </w:tc>
        <w:tc>
          <w:tcPr>
            <w:tcW w:w="1134" w:type="dxa"/>
            <w:shd w:val="clear" w:color="000000" w:fill="FFFFFF"/>
            <w:vAlign w:val="center"/>
            <w:hideMark/>
          </w:tcPr>
          <w:p w14:paraId="5CAB884D" w14:textId="77777777" w:rsidR="00D70482" w:rsidRPr="00020587" w:rsidRDefault="00D70482" w:rsidP="00D70482">
            <w:pPr>
              <w:spacing w:before="140" w:after="40"/>
              <w:jc w:val="right"/>
              <w:rPr>
                <w:sz w:val="20"/>
                <w:szCs w:val="20"/>
              </w:rPr>
            </w:pPr>
            <w:r w:rsidRPr="00020587">
              <w:rPr>
                <w:sz w:val="20"/>
                <w:szCs w:val="20"/>
              </w:rPr>
              <w:t>20,729</w:t>
            </w:r>
          </w:p>
        </w:tc>
      </w:tr>
      <w:tr w:rsidR="00D70482" w:rsidRPr="00020587" w14:paraId="49D8B226" w14:textId="77777777" w:rsidTr="00D70482">
        <w:trPr>
          <w:trHeight w:val="109"/>
        </w:trPr>
        <w:tc>
          <w:tcPr>
            <w:tcW w:w="1296" w:type="dxa"/>
            <w:shd w:val="clear" w:color="auto" w:fill="auto"/>
            <w:vAlign w:val="center"/>
            <w:hideMark/>
          </w:tcPr>
          <w:p w14:paraId="777330ED" w14:textId="77777777" w:rsidR="00D70482" w:rsidRPr="00020587" w:rsidRDefault="00D70482" w:rsidP="00D70482">
            <w:pPr>
              <w:rPr>
                <w:b/>
                <w:sz w:val="20"/>
                <w:szCs w:val="20"/>
              </w:rPr>
            </w:pPr>
            <w:r w:rsidRPr="00020587">
              <w:rPr>
                <w:b/>
                <w:sz w:val="20"/>
                <w:szCs w:val="20"/>
              </w:rPr>
              <w:t>85 +</w:t>
            </w:r>
          </w:p>
        </w:tc>
        <w:tc>
          <w:tcPr>
            <w:tcW w:w="1446" w:type="dxa"/>
            <w:shd w:val="clear" w:color="000000" w:fill="FFFFFF"/>
            <w:vAlign w:val="center"/>
            <w:hideMark/>
          </w:tcPr>
          <w:p w14:paraId="1928D97A" w14:textId="77777777" w:rsidR="00D70482" w:rsidRPr="00020587" w:rsidRDefault="00D70482" w:rsidP="00D70482">
            <w:pPr>
              <w:spacing w:before="140" w:after="40"/>
              <w:jc w:val="right"/>
              <w:rPr>
                <w:sz w:val="20"/>
                <w:szCs w:val="20"/>
              </w:rPr>
            </w:pPr>
            <w:r w:rsidRPr="00020587">
              <w:rPr>
                <w:sz w:val="20"/>
                <w:szCs w:val="20"/>
              </w:rPr>
              <w:t>10,609</w:t>
            </w:r>
          </w:p>
        </w:tc>
        <w:tc>
          <w:tcPr>
            <w:tcW w:w="1560" w:type="dxa"/>
            <w:shd w:val="clear" w:color="000000" w:fill="FFFFFF"/>
            <w:vAlign w:val="center"/>
            <w:hideMark/>
          </w:tcPr>
          <w:p w14:paraId="4F2BEE04" w14:textId="77777777" w:rsidR="00D70482" w:rsidRPr="00020587" w:rsidRDefault="00D70482" w:rsidP="00D70482">
            <w:pPr>
              <w:spacing w:before="140" w:after="40"/>
              <w:jc w:val="right"/>
              <w:rPr>
                <w:sz w:val="20"/>
                <w:szCs w:val="20"/>
              </w:rPr>
            </w:pPr>
            <w:r w:rsidRPr="00020587">
              <w:rPr>
                <w:sz w:val="20"/>
                <w:szCs w:val="20"/>
              </w:rPr>
              <w:t>639</w:t>
            </w:r>
          </w:p>
        </w:tc>
        <w:tc>
          <w:tcPr>
            <w:tcW w:w="1559" w:type="dxa"/>
            <w:shd w:val="clear" w:color="000000" w:fill="FFFFFF"/>
            <w:vAlign w:val="center"/>
            <w:hideMark/>
          </w:tcPr>
          <w:p w14:paraId="63570158" w14:textId="77777777" w:rsidR="00D70482" w:rsidRPr="00020587" w:rsidRDefault="00D70482" w:rsidP="00D70482">
            <w:pPr>
              <w:spacing w:before="140" w:after="40"/>
              <w:jc w:val="right"/>
              <w:rPr>
                <w:sz w:val="20"/>
                <w:szCs w:val="20"/>
              </w:rPr>
            </w:pPr>
            <w:r w:rsidRPr="00020587">
              <w:rPr>
                <w:sz w:val="20"/>
                <w:szCs w:val="20"/>
              </w:rPr>
              <w:t>10</w:t>
            </w:r>
          </w:p>
        </w:tc>
        <w:tc>
          <w:tcPr>
            <w:tcW w:w="1134" w:type="dxa"/>
            <w:shd w:val="clear" w:color="000000" w:fill="FFFFFF"/>
            <w:vAlign w:val="center"/>
            <w:hideMark/>
          </w:tcPr>
          <w:p w14:paraId="1BDB6A68" w14:textId="77777777" w:rsidR="00D70482" w:rsidRPr="00020587" w:rsidRDefault="00D70482" w:rsidP="00D70482">
            <w:pPr>
              <w:spacing w:before="140" w:after="40"/>
              <w:jc w:val="right"/>
              <w:rPr>
                <w:sz w:val="20"/>
                <w:szCs w:val="20"/>
              </w:rPr>
            </w:pPr>
            <w:r w:rsidRPr="00020587">
              <w:rPr>
                <w:sz w:val="20"/>
                <w:szCs w:val="20"/>
              </w:rPr>
              <w:t>11,258</w:t>
            </w:r>
          </w:p>
        </w:tc>
      </w:tr>
      <w:tr w:rsidR="00D70482" w:rsidRPr="00020587" w14:paraId="221129AB" w14:textId="77777777" w:rsidTr="00D70482">
        <w:trPr>
          <w:trHeight w:val="60"/>
        </w:trPr>
        <w:tc>
          <w:tcPr>
            <w:tcW w:w="1296" w:type="dxa"/>
            <w:shd w:val="clear" w:color="auto" w:fill="auto"/>
            <w:vAlign w:val="center"/>
            <w:hideMark/>
          </w:tcPr>
          <w:p w14:paraId="193749E1" w14:textId="77777777" w:rsidR="00D70482" w:rsidRPr="00020587" w:rsidRDefault="00D70482" w:rsidP="00D70482">
            <w:pPr>
              <w:rPr>
                <w:b/>
                <w:sz w:val="20"/>
                <w:szCs w:val="20"/>
              </w:rPr>
            </w:pPr>
            <w:r w:rsidRPr="00020587">
              <w:rPr>
                <w:b/>
                <w:sz w:val="20"/>
                <w:szCs w:val="20"/>
              </w:rPr>
              <w:t>Total</w:t>
            </w:r>
          </w:p>
        </w:tc>
        <w:tc>
          <w:tcPr>
            <w:tcW w:w="1446" w:type="dxa"/>
            <w:shd w:val="clear" w:color="000000" w:fill="FFFFFF"/>
            <w:vAlign w:val="center"/>
            <w:hideMark/>
          </w:tcPr>
          <w:p w14:paraId="7919E9B1" w14:textId="77777777" w:rsidR="00D70482" w:rsidRPr="00020587" w:rsidRDefault="00D70482" w:rsidP="00D70482">
            <w:pPr>
              <w:spacing w:before="140" w:after="40"/>
              <w:jc w:val="right"/>
              <w:rPr>
                <w:sz w:val="20"/>
                <w:szCs w:val="20"/>
              </w:rPr>
            </w:pPr>
            <w:r w:rsidRPr="00020587">
              <w:rPr>
                <w:sz w:val="20"/>
                <w:szCs w:val="20"/>
              </w:rPr>
              <w:t>93,653</w:t>
            </w:r>
          </w:p>
        </w:tc>
        <w:tc>
          <w:tcPr>
            <w:tcW w:w="1560" w:type="dxa"/>
            <w:shd w:val="clear" w:color="000000" w:fill="FFFFFF"/>
            <w:vAlign w:val="center"/>
            <w:hideMark/>
          </w:tcPr>
          <w:p w14:paraId="72272AE7" w14:textId="77777777" w:rsidR="00D70482" w:rsidRPr="00020587" w:rsidRDefault="00D70482" w:rsidP="00D70482">
            <w:pPr>
              <w:spacing w:before="140" w:after="40"/>
              <w:jc w:val="right"/>
              <w:rPr>
                <w:sz w:val="20"/>
                <w:szCs w:val="20"/>
              </w:rPr>
            </w:pPr>
            <w:r w:rsidRPr="00020587">
              <w:rPr>
                <w:sz w:val="20"/>
                <w:szCs w:val="20"/>
              </w:rPr>
              <w:t>5,383</w:t>
            </w:r>
          </w:p>
        </w:tc>
        <w:tc>
          <w:tcPr>
            <w:tcW w:w="1559" w:type="dxa"/>
            <w:shd w:val="clear" w:color="000000" w:fill="FFFFFF"/>
            <w:vAlign w:val="center"/>
            <w:hideMark/>
          </w:tcPr>
          <w:p w14:paraId="63A5C6A5" w14:textId="77777777" w:rsidR="00D70482" w:rsidRPr="00020587" w:rsidRDefault="00D70482" w:rsidP="00D70482">
            <w:pPr>
              <w:spacing w:before="140" w:after="40"/>
              <w:jc w:val="right"/>
              <w:rPr>
                <w:sz w:val="20"/>
                <w:szCs w:val="20"/>
              </w:rPr>
            </w:pPr>
            <w:r w:rsidRPr="00020587">
              <w:rPr>
                <w:sz w:val="20"/>
                <w:szCs w:val="20"/>
              </w:rPr>
              <w:t>75</w:t>
            </w:r>
          </w:p>
        </w:tc>
        <w:tc>
          <w:tcPr>
            <w:tcW w:w="1134" w:type="dxa"/>
            <w:shd w:val="clear" w:color="000000" w:fill="FFFFFF"/>
            <w:vAlign w:val="center"/>
            <w:hideMark/>
          </w:tcPr>
          <w:p w14:paraId="69C282FA" w14:textId="77777777" w:rsidR="00D70482" w:rsidRPr="00020587" w:rsidRDefault="00D70482" w:rsidP="00D70482">
            <w:pPr>
              <w:spacing w:before="140" w:after="40"/>
              <w:jc w:val="right"/>
              <w:rPr>
                <w:sz w:val="20"/>
                <w:szCs w:val="20"/>
              </w:rPr>
            </w:pPr>
            <w:r w:rsidRPr="00020587">
              <w:rPr>
                <w:sz w:val="20"/>
                <w:szCs w:val="20"/>
              </w:rPr>
              <w:t>99,111</w:t>
            </w:r>
          </w:p>
        </w:tc>
      </w:tr>
    </w:tbl>
    <w:p w14:paraId="6F7542FF" w14:textId="4DB1FA92" w:rsidR="00061127" w:rsidRDefault="00020587" w:rsidP="00061127">
      <w:pPr>
        <w:spacing w:before="0" w:after="0"/>
        <w:rPr>
          <w:rFonts w:eastAsiaTheme="minorHAnsi" w:cs="Arial"/>
          <w:sz w:val="18"/>
          <w:szCs w:val="18"/>
          <w:lang w:val="en-US"/>
        </w:rPr>
      </w:pPr>
      <w:r w:rsidRPr="00020587">
        <w:rPr>
          <w:rFonts w:eastAsiaTheme="minorHAnsi" w:cs="Arial"/>
          <w:sz w:val="18"/>
          <w:szCs w:val="18"/>
          <w:lang w:val="en-US"/>
        </w:rPr>
        <w:t>Source: Unpublished data (Department of Health)</w:t>
      </w:r>
    </w:p>
    <w:p w14:paraId="1E1872C9" w14:textId="4EBBF0D5" w:rsidR="00D70482" w:rsidRPr="00020587" w:rsidRDefault="00D70482" w:rsidP="00D70482">
      <w:pPr>
        <w:pStyle w:val="Caption"/>
      </w:pPr>
      <w:r w:rsidRPr="00020587">
        <w:t xml:space="preserve">Table </w:t>
      </w:r>
      <w:r>
        <w:t>11:</w:t>
      </w:r>
      <w:r>
        <w:tab/>
      </w:r>
      <w:r w:rsidRPr="00020587">
        <w:t xml:space="preserve">MBS item 12323 - Patient service distribution </w:t>
      </w:r>
      <w:r>
        <w:t xml:space="preserve">for females </w:t>
      </w:r>
      <w:r w:rsidRPr="00020587">
        <w:t>within a two year period by age (2013-14 to 2014-15, Date of Processing)</w:t>
      </w:r>
    </w:p>
    <w:tbl>
      <w:tblPr>
        <w:tblW w:w="6995" w:type="dxa"/>
        <w:tblInd w:w="93" w:type="dxa"/>
        <w:tblBorders>
          <w:top w:val="single" w:sz="4" w:space="0" w:color="B56012"/>
          <w:bottom w:val="single" w:sz="4" w:space="0" w:color="B56012"/>
          <w:insideH w:val="single" w:sz="4" w:space="0" w:color="B56012"/>
        </w:tblBorders>
        <w:tblLook w:val="04A0" w:firstRow="1" w:lastRow="0" w:firstColumn="1" w:lastColumn="0" w:noHBand="0" w:noVBand="1"/>
        <w:tblDescription w:val="Table 10 shows the number of female patients of diffeent ages who had 1, 2, or 3 or more services within 2 years (2013-14 to 2014-15) for MBS item 12323."/>
      </w:tblPr>
      <w:tblGrid>
        <w:gridCol w:w="1296"/>
        <w:gridCol w:w="1446"/>
        <w:gridCol w:w="1560"/>
        <w:gridCol w:w="1559"/>
        <w:gridCol w:w="1134"/>
      </w:tblGrid>
      <w:tr w:rsidR="00D70482" w:rsidRPr="00020587" w14:paraId="1042E009" w14:textId="77777777" w:rsidTr="00D70482">
        <w:trPr>
          <w:trHeight w:val="128"/>
          <w:tblHeader/>
        </w:trPr>
        <w:tc>
          <w:tcPr>
            <w:tcW w:w="1296" w:type="dxa"/>
            <w:shd w:val="clear" w:color="auto" w:fill="auto"/>
            <w:vAlign w:val="center"/>
          </w:tcPr>
          <w:p w14:paraId="0F4BA332" w14:textId="28C4C486" w:rsidR="00D70482" w:rsidRPr="00020587" w:rsidRDefault="00D70482" w:rsidP="00D70482">
            <w:pPr>
              <w:rPr>
                <w:b/>
                <w:sz w:val="20"/>
                <w:szCs w:val="20"/>
              </w:rPr>
            </w:pPr>
            <w:r w:rsidRPr="00623C5D">
              <w:rPr>
                <w:b/>
                <w:sz w:val="20"/>
                <w:szCs w:val="20"/>
              </w:rPr>
              <w:t xml:space="preserve">Patient </w:t>
            </w:r>
            <w:r>
              <w:rPr>
                <w:b/>
                <w:sz w:val="20"/>
                <w:szCs w:val="20"/>
              </w:rPr>
              <w:t>a</w:t>
            </w:r>
            <w:r w:rsidRPr="00623C5D">
              <w:rPr>
                <w:b/>
                <w:sz w:val="20"/>
                <w:szCs w:val="20"/>
              </w:rPr>
              <w:t>ge</w:t>
            </w:r>
          </w:p>
        </w:tc>
        <w:tc>
          <w:tcPr>
            <w:tcW w:w="1446" w:type="dxa"/>
            <w:shd w:val="clear" w:color="000000" w:fill="F2F2F2"/>
            <w:vAlign w:val="center"/>
          </w:tcPr>
          <w:p w14:paraId="18F1D5FF" w14:textId="54E26EF9" w:rsidR="00D70482" w:rsidRPr="00020587" w:rsidRDefault="00D70482" w:rsidP="00D204F3">
            <w:pPr>
              <w:spacing w:before="140" w:after="40"/>
              <w:jc w:val="right"/>
              <w:rPr>
                <w:sz w:val="20"/>
                <w:szCs w:val="20"/>
              </w:rPr>
            </w:pPr>
            <w:r w:rsidRPr="00623C5D">
              <w:rPr>
                <w:b/>
                <w:sz w:val="20"/>
                <w:szCs w:val="20"/>
              </w:rPr>
              <w:t>1</w:t>
            </w:r>
            <w:r>
              <w:rPr>
                <w:b/>
                <w:sz w:val="20"/>
                <w:szCs w:val="20"/>
              </w:rPr>
              <w:t xml:space="preserve"> service per patient</w:t>
            </w:r>
          </w:p>
        </w:tc>
        <w:tc>
          <w:tcPr>
            <w:tcW w:w="1560" w:type="dxa"/>
            <w:shd w:val="clear" w:color="000000" w:fill="F2F2F2"/>
            <w:vAlign w:val="center"/>
          </w:tcPr>
          <w:p w14:paraId="10AB4CEA" w14:textId="177544E8" w:rsidR="00D70482" w:rsidRPr="00020587" w:rsidRDefault="00D70482" w:rsidP="00D204F3">
            <w:pPr>
              <w:spacing w:before="140" w:after="40"/>
              <w:jc w:val="right"/>
              <w:rPr>
                <w:sz w:val="20"/>
                <w:szCs w:val="20"/>
              </w:rPr>
            </w:pPr>
            <w:r w:rsidRPr="00623C5D">
              <w:rPr>
                <w:b/>
                <w:sz w:val="20"/>
                <w:szCs w:val="20"/>
              </w:rPr>
              <w:t xml:space="preserve">2 </w:t>
            </w:r>
            <w:r>
              <w:rPr>
                <w:b/>
                <w:sz w:val="20"/>
                <w:szCs w:val="20"/>
              </w:rPr>
              <w:t>services per patient</w:t>
            </w:r>
          </w:p>
        </w:tc>
        <w:tc>
          <w:tcPr>
            <w:tcW w:w="1559" w:type="dxa"/>
            <w:shd w:val="clear" w:color="000000" w:fill="F2F2F2"/>
            <w:vAlign w:val="center"/>
          </w:tcPr>
          <w:p w14:paraId="16B2661B" w14:textId="7ED63E08" w:rsidR="00D70482" w:rsidRPr="00020587" w:rsidRDefault="00D70482" w:rsidP="00D204F3">
            <w:pPr>
              <w:spacing w:before="140" w:after="40"/>
              <w:jc w:val="right"/>
              <w:rPr>
                <w:sz w:val="20"/>
                <w:szCs w:val="20"/>
                <w:lang w:val="en-US"/>
              </w:rPr>
            </w:pPr>
            <w:r w:rsidRPr="00020587">
              <w:rPr>
                <w:b/>
                <w:sz w:val="20"/>
                <w:szCs w:val="20"/>
              </w:rPr>
              <w:t>3+</w:t>
            </w:r>
            <w:r>
              <w:rPr>
                <w:b/>
                <w:sz w:val="20"/>
                <w:szCs w:val="20"/>
              </w:rPr>
              <w:t xml:space="preserve"> services per patient</w:t>
            </w:r>
          </w:p>
        </w:tc>
        <w:tc>
          <w:tcPr>
            <w:tcW w:w="1134" w:type="dxa"/>
            <w:shd w:val="clear" w:color="000000" w:fill="F2F2F2"/>
            <w:vAlign w:val="center"/>
          </w:tcPr>
          <w:p w14:paraId="5503DD05" w14:textId="55AF1100" w:rsidR="00D70482" w:rsidRPr="00D70482" w:rsidRDefault="00D70482" w:rsidP="00D204F3">
            <w:pPr>
              <w:spacing w:before="140" w:after="40"/>
              <w:jc w:val="right"/>
              <w:rPr>
                <w:b/>
                <w:sz w:val="20"/>
                <w:szCs w:val="20"/>
              </w:rPr>
            </w:pPr>
            <w:r w:rsidRPr="00D70482">
              <w:rPr>
                <w:b/>
                <w:sz w:val="20"/>
                <w:szCs w:val="20"/>
              </w:rPr>
              <w:t>Total</w:t>
            </w:r>
          </w:p>
        </w:tc>
      </w:tr>
      <w:tr w:rsidR="00D70482" w:rsidRPr="00020587" w14:paraId="3F571A48" w14:textId="77777777" w:rsidTr="00D70482">
        <w:trPr>
          <w:trHeight w:val="128"/>
        </w:trPr>
        <w:tc>
          <w:tcPr>
            <w:tcW w:w="1296" w:type="dxa"/>
            <w:shd w:val="clear" w:color="auto" w:fill="auto"/>
            <w:vAlign w:val="center"/>
            <w:hideMark/>
          </w:tcPr>
          <w:p w14:paraId="0527F650" w14:textId="77777777" w:rsidR="00D70482" w:rsidRPr="00020587" w:rsidRDefault="00D70482" w:rsidP="00D204F3">
            <w:pPr>
              <w:rPr>
                <w:b/>
                <w:sz w:val="20"/>
                <w:szCs w:val="20"/>
              </w:rPr>
            </w:pPr>
            <w:r w:rsidRPr="00020587">
              <w:rPr>
                <w:b/>
                <w:sz w:val="20"/>
                <w:szCs w:val="20"/>
              </w:rPr>
              <w:t>65 - 69</w:t>
            </w:r>
          </w:p>
        </w:tc>
        <w:tc>
          <w:tcPr>
            <w:tcW w:w="1446" w:type="dxa"/>
            <w:shd w:val="clear" w:color="000000" w:fill="F2F2F2"/>
            <w:vAlign w:val="center"/>
            <w:hideMark/>
          </w:tcPr>
          <w:p w14:paraId="7AAE40B4" w14:textId="77777777" w:rsidR="00D70482" w:rsidRPr="00020587" w:rsidRDefault="00D70482" w:rsidP="00D204F3">
            <w:pPr>
              <w:spacing w:before="140" w:after="40"/>
              <w:jc w:val="right"/>
              <w:rPr>
                <w:sz w:val="20"/>
                <w:szCs w:val="20"/>
              </w:rPr>
            </w:pPr>
            <w:r w:rsidRPr="00020587">
              <w:rPr>
                <w:sz w:val="20"/>
                <w:szCs w:val="20"/>
              </w:rPr>
              <w:t>7,344</w:t>
            </w:r>
          </w:p>
        </w:tc>
        <w:tc>
          <w:tcPr>
            <w:tcW w:w="1560" w:type="dxa"/>
            <w:shd w:val="clear" w:color="000000" w:fill="F2F2F2"/>
            <w:vAlign w:val="center"/>
            <w:hideMark/>
          </w:tcPr>
          <w:p w14:paraId="09F537B9" w14:textId="77777777" w:rsidR="00D70482" w:rsidRPr="00020587" w:rsidRDefault="00D70482" w:rsidP="00D204F3">
            <w:pPr>
              <w:spacing w:before="140" w:after="40"/>
              <w:jc w:val="right"/>
              <w:rPr>
                <w:sz w:val="20"/>
                <w:szCs w:val="20"/>
              </w:rPr>
            </w:pPr>
            <w:r w:rsidRPr="00020587">
              <w:rPr>
                <w:sz w:val="20"/>
                <w:szCs w:val="20"/>
              </w:rPr>
              <w:t>32</w:t>
            </w:r>
          </w:p>
        </w:tc>
        <w:tc>
          <w:tcPr>
            <w:tcW w:w="1559" w:type="dxa"/>
            <w:shd w:val="clear" w:color="000000" w:fill="F2F2F2"/>
            <w:vAlign w:val="center"/>
            <w:hideMark/>
          </w:tcPr>
          <w:p w14:paraId="1F677147" w14:textId="224E7238" w:rsidR="00D70482" w:rsidRPr="00020587" w:rsidRDefault="00F47CD6" w:rsidP="00D204F3">
            <w:pPr>
              <w:spacing w:before="140" w:after="40"/>
              <w:jc w:val="right"/>
              <w:rPr>
                <w:sz w:val="20"/>
                <w:szCs w:val="20"/>
              </w:rPr>
            </w:pPr>
            <w:r>
              <w:rPr>
                <w:sz w:val="20"/>
                <w:szCs w:val="20"/>
                <w:lang w:val="en-US"/>
              </w:rPr>
              <w:t>0</w:t>
            </w:r>
            <w:r w:rsidR="00D70482" w:rsidRPr="00020587">
              <w:rPr>
                <w:sz w:val="20"/>
                <w:szCs w:val="20"/>
                <w:lang w:val="en-US"/>
              </w:rPr>
              <w:t> </w:t>
            </w:r>
          </w:p>
        </w:tc>
        <w:tc>
          <w:tcPr>
            <w:tcW w:w="1134" w:type="dxa"/>
            <w:shd w:val="clear" w:color="000000" w:fill="F2F2F2"/>
            <w:vAlign w:val="center"/>
            <w:hideMark/>
          </w:tcPr>
          <w:p w14:paraId="5E7165B1" w14:textId="77777777" w:rsidR="00D70482" w:rsidRPr="00020587" w:rsidRDefault="00D70482" w:rsidP="00D204F3">
            <w:pPr>
              <w:spacing w:before="140" w:after="40"/>
              <w:jc w:val="right"/>
              <w:rPr>
                <w:sz w:val="20"/>
                <w:szCs w:val="20"/>
              </w:rPr>
            </w:pPr>
            <w:r w:rsidRPr="00020587">
              <w:rPr>
                <w:sz w:val="20"/>
                <w:szCs w:val="20"/>
              </w:rPr>
              <w:t>7,376</w:t>
            </w:r>
          </w:p>
        </w:tc>
      </w:tr>
      <w:tr w:rsidR="00D70482" w:rsidRPr="00020587" w14:paraId="5CE2EBFF" w14:textId="77777777" w:rsidTr="00D70482">
        <w:trPr>
          <w:trHeight w:val="99"/>
        </w:trPr>
        <w:tc>
          <w:tcPr>
            <w:tcW w:w="1296" w:type="dxa"/>
            <w:shd w:val="clear" w:color="auto" w:fill="auto"/>
            <w:vAlign w:val="center"/>
            <w:hideMark/>
          </w:tcPr>
          <w:p w14:paraId="0B9813FA" w14:textId="77777777" w:rsidR="00D70482" w:rsidRPr="00020587" w:rsidRDefault="00D70482" w:rsidP="00D204F3">
            <w:pPr>
              <w:rPr>
                <w:b/>
                <w:sz w:val="20"/>
                <w:szCs w:val="20"/>
              </w:rPr>
            </w:pPr>
            <w:r w:rsidRPr="00020587">
              <w:rPr>
                <w:b/>
                <w:sz w:val="20"/>
                <w:szCs w:val="20"/>
              </w:rPr>
              <w:t>70 - 74</w:t>
            </w:r>
          </w:p>
        </w:tc>
        <w:tc>
          <w:tcPr>
            <w:tcW w:w="1446" w:type="dxa"/>
            <w:shd w:val="clear" w:color="000000" w:fill="F2F2F2"/>
            <w:vAlign w:val="center"/>
            <w:hideMark/>
          </w:tcPr>
          <w:p w14:paraId="58DB6779" w14:textId="77777777" w:rsidR="00D70482" w:rsidRPr="00020587" w:rsidRDefault="00D70482" w:rsidP="00D204F3">
            <w:pPr>
              <w:spacing w:before="140" w:after="40"/>
              <w:jc w:val="right"/>
              <w:rPr>
                <w:sz w:val="20"/>
                <w:szCs w:val="20"/>
              </w:rPr>
            </w:pPr>
            <w:r w:rsidRPr="00020587">
              <w:rPr>
                <w:sz w:val="20"/>
                <w:szCs w:val="20"/>
              </w:rPr>
              <w:t>82,408</w:t>
            </w:r>
          </w:p>
        </w:tc>
        <w:tc>
          <w:tcPr>
            <w:tcW w:w="1560" w:type="dxa"/>
            <w:shd w:val="clear" w:color="000000" w:fill="F2F2F2"/>
            <w:vAlign w:val="center"/>
            <w:hideMark/>
          </w:tcPr>
          <w:p w14:paraId="741D83DE" w14:textId="77777777" w:rsidR="00D70482" w:rsidRPr="00020587" w:rsidRDefault="00D70482" w:rsidP="00D204F3">
            <w:pPr>
              <w:spacing w:before="140" w:after="40"/>
              <w:jc w:val="right"/>
              <w:rPr>
                <w:sz w:val="20"/>
                <w:szCs w:val="20"/>
              </w:rPr>
            </w:pPr>
            <w:r w:rsidRPr="00020587">
              <w:rPr>
                <w:sz w:val="20"/>
                <w:szCs w:val="20"/>
              </w:rPr>
              <w:t>5,101</w:t>
            </w:r>
          </w:p>
        </w:tc>
        <w:tc>
          <w:tcPr>
            <w:tcW w:w="1559" w:type="dxa"/>
            <w:shd w:val="clear" w:color="000000" w:fill="F2F2F2"/>
            <w:vAlign w:val="center"/>
            <w:hideMark/>
          </w:tcPr>
          <w:p w14:paraId="2B58BF9B" w14:textId="77777777" w:rsidR="00D70482" w:rsidRPr="00020587" w:rsidRDefault="00D70482" w:rsidP="00D204F3">
            <w:pPr>
              <w:spacing w:before="140" w:after="40"/>
              <w:jc w:val="right"/>
              <w:rPr>
                <w:sz w:val="20"/>
                <w:szCs w:val="20"/>
              </w:rPr>
            </w:pPr>
            <w:r w:rsidRPr="00020587">
              <w:rPr>
                <w:sz w:val="20"/>
                <w:szCs w:val="20"/>
              </w:rPr>
              <w:t>86</w:t>
            </w:r>
          </w:p>
        </w:tc>
        <w:tc>
          <w:tcPr>
            <w:tcW w:w="1134" w:type="dxa"/>
            <w:shd w:val="clear" w:color="000000" w:fill="F2F2F2"/>
            <w:vAlign w:val="center"/>
            <w:hideMark/>
          </w:tcPr>
          <w:p w14:paraId="06BB5CC7" w14:textId="77777777" w:rsidR="00D70482" w:rsidRPr="00020587" w:rsidRDefault="00D70482" w:rsidP="00D204F3">
            <w:pPr>
              <w:spacing w:before="140" w:after="40"/>
              <w:jc w:val="right"/>
              <w:rPr>
                <w:sz w:val="20"/>
                <w:szCs w:val="20"/>
              </w:rPr>
            </w:pPr>
            <w:r w:rsidRPr="00020587">
              <w:rPr>
                <w:sz w:val="20"/>
                <w:szCs w:val="20"/>
              </w:rPr>
              <w:t>87,595</w:t>
            </w:r>
          </w:p>
        </w:tc>
      </w:tr>
      <w:tr w:rsidR="00D70482" w:rsidRPr="00020587" w14:paraId="0789340E" w14:textId="77777777" w:rsidTr="00D70482">
        <w:trPr>
          <w:trHeight w:val="60"/>
        </w:trPr>
        <w:tc>
          <w:tcPr>
            <w:tcW w:w="1296" w:type="dxa"/>
            <w:shd w:val="clear" w:color="auto" w:fill="auto"/>
            <w:vAlign w:val="center"/>
            <w:hideMark/>
          </w:tcPr>
          <w:p w14:paraId="08848E33" w14:textId="77777777" w:rsidR="00D70482" w:rsidRPr="00020587" w:rsidRDefault="00D70482" w:rsidP="00D204F3">
            <w:pPr>
              <w:rPr>
                <w:b/>
                <w:sz w:val="20"/>
                <w:szCs w:val="20"/>
              </w:rPr>
            </w:pPr>
            <w:r w:rsidRPr="00020587">
              <w:rPr>
                <w:b/>
                <w:sz w:val="20"/>
                <w:szCs w:val="20"/>
              </w:rPr>
              <w:t>75 - 79</w:t>
            </w:r>
          </w:p>
        </w:tc>
        <w:tc>
          <w:tcPr>
            <w:tcW w:w="1446" w:type="dxa"/>
            <w:shd w:val="clear" w:color="000000" w:fill="F2F2F2"/>
            <w:vAlign w:val="center"/>
            <w:hideMark/>
          </w:tcPr>
          <w:p w14:paraId="348DA855" w14:textId="77777777" w:rsidR="00D70482" w:rsidRPr="00020587" w:rsidRDefault="00D70482" w:rsidP="00D204F3">
            <w:pPr>
              <w:spacing w:before="140" w:after="40"/>
              <w:jc w:val="right"/>
              <w:rPr>
                <w:sz w:val="20"/>
                <w:szCs w:val="20"/>
              </w:rPr>
            </w:pPr>
            <w:r w:rsidRPr="00020587">
              <w:rPr>
                <w:sz w:val="20"/>
                <w:szCs w:val="20"/>
              </w:rPr>
              <w:t>66,870</w:t>
            </w:r>
          </w:p>
        </w:tc>
        <w:tc>
          <w:tcPr>
            <w:tcW w:w="1560" w:type="dxa"/>
            <w:shd w:val="clear" w:color="000000" w:fill="F2F2F2"/>
            <w:vAlign w:val="center"/>
            <w:hideMark/>
          </w:tcPr>
          <w:p w14:paraId="397F9E45" w14:textId="77777777" w:rsidR="00D70482" w:rsidRPr="00020587" w:rsidRDefault="00D70482" w:rsidP="00D204F3">
            <w:pPr>
              <w:spacing w:before="140" w:after="40"/>
              <w:jc w:val="right"/>
              <w:rPr>
                <w:sz w:val="20"/>
                <w:szCs w:val="20"/>
              </w:rPr>
            </w:pPr>
            <w:r w:rsidRPr="00020587">
              <w:rPr>
                <w:sz w:val="20"/>
                <w:szCs w:val="20"/>
              </w:rPr>
              <w:t>5,003</w:t>
            </w:r>
          </w:p>
        </w:tc>
        <w:tc>
          <w:tcPr>
            <w:tcW w:w="1559" w:type="dxa"/>
            <w:shd w:val="clear" w:color="000000" w:fill="F2F2F2"/>
            <w:vAlign w:val="center"/>
            <w:hideMark/>
          </w:tcPr>
          <w:p w14:paraId="6FE78B4A" w14:textId="77777777" w:rsidR="00D70482" w:rsidRPr="00020587" w:rsidRDefault="00D70482" w:rsidP="00D204F3">
            <w:pPr>
              <w:spacing w:before="140" w:after="40"/>
              <w:jc w:val="right"/>
              <w:rPr>
                <w:sz w:val="20"/>
                <w:szCs w:val="20"/>
              </w:rPr>
            </w:pPr>
            <w:r w:rsidRPr="00020587">
              <w:rPr>
                <w:sz w:val="20"/>
                <w:szCs w:val="20"/>
              </w:rPr>
              <w:t>101</w:t>
            </w:r>
          </w:p>
        </w:tc>
        <w:tc>
          <w:tcPr>
            <w:tcW w:w="1134" w:type="dxa"/>
            <w:shd w:val="clear" w:color="000000" w:fill="F2F2F2"/>
            <w:vAlign w:val="center"/>
            <w:hideMark/>
          </w:tcPr>
          <w:p w14:paraId="20D78800" w14:textId="77777777" w:rsidR="00D70482" w:rsidRPr="00020587" w:rsidRDefault="00D70482" w:rsidP="00D204F3">
            <w:pPr>
              <w:spacing w:before="140" w:after="40"/>
              <w:jc w:val="right"/>
              <w:rPr>
                <w:sz w:val="20"/>
                <w:szCs w:val="20"/>
              </w:rPr>
            </w:pPr>
            <w:r w:rsidRPr="00020587">
              <w:rPr>
                <w:sz w:val="20"/>
                <w:szCs w:val="20"/>
              </w:rPr>
              <w:t>71,974</w:t>
            </w:r>
          </w:p>
        </w:tc>
      </w:tr>
      <w:tr w:rsidR="00D70482" w:rsidRPr="00020587" w14:paraId="4AC121FC" w14:textId="77777777" w:rsidTr="00D70482">
        <w:trPr>
          <w:trHeight w:val="60"/>
        </w:trPr>
        <w:tc>
          <w:tcPr>
            <w:tcW w:w="1296" w:type="dxa"/>
            <w:shd w:val="clear" w:color="auto" w:fill="auto"/>
            <w:vAlign w:val="center"/>
            <w:hideMark/>
          </w:tcPr>
          <w:p w14:paraId="359EBE93" w14:textId="77777777" w:rsidR="00D70482" w:rsidRPr="00020587" w:rsidRDefault="00D70482" w:rsidP="00D204F3">
            <w:pPr>
              <w:rPr>
                <w:b/>
                <w:sz w:val="20"/>
                <w:szCs w:val="20"/>
              </w:rPr>
            </w:pPr>
            <w:r w:rsidRPr="00020587">
              <w:rPr>
                <w:b/>
                <w:sz w:val="20"/>
                <w:szCs w:val="20"/>
              </w:rPr>
              <w:t>80 - 84</w:t>
            </w:r>
          </w:p>
        </w:tc>
        <w:tc>
          <w:tcPr>
            <w:tcW w:w="1446" w:type="dxa"/>
            <w:shd w:val="clear" w:color="000000" w:fill="F2F2F2"/>
            <w:vAlign w:val="center"/>
            <w:hideMark/>
          </w:tcPr>
          <w:p w14:paraId="7F8209D1" w14:textId="77777777" w:rsidR="00D70482" w:rsidRPr="00020587" w:rsidRDefault="00D70482" w:rsidP="00D204F3">
            <w:pPr>
              <w:spacing w:before="140" w:after="40"/>
              <w:jc w:val="right"/>
              <w:rPr>
                <w:sz w:val="20"/>
                <w:szCs w:val="20"/>
              </w:rPr>
            </w:pPr>
            <w:r w:rsidRPr="00020587">
              <w:rPr>
                <w:sz w:val="20"/>
                <w:szCs w:val="20"/>
              </w:rPr>
              <w:t>42,189</w:t>
            </w:r>
          </w:p>
        </w:tc>
        <w:tc>
          <w:tcPr>
            <w:tcW w:w="1560" w:type="dxa"/>
            <w:shd w:val="clear" w:color="000000" w:fill="F2F2F2"/>
            <w:vAlign w:val="center"/>
            <w:hideMark/>
          </w:tcPr>
          <w:p w14:paraId="3ABFA344" w14:textId="77777777" w:rsidR="00D70482" w:rsidRPr="00020587" w:rsidRDefault="00D70482" w:rsidP="00D204F3">
            <w:pPr>
              <w:spacing w:before="140" w:after="40"/>
              <w:jc w:val="right"/>
              <w:rPr>
                <w:sz w:val="20"/>
                <w:szCs w:val="20"/>
              </w:rPr>
            </w:pPr>
            <w:r w:rsidRPr="00020587">
              <w:rPr>
                <w:sz w:val="20"/>
                <w:szCs w:val="20"/>
              </w:rPr>
              <w:t>2,971</w:t>
            </w:r>
          </w:p>
        </w:tc>
        <w:tc>
          <w:tcPr>
            <w:tcW w:w="1559" w:type="dxa"/>
            <w:shd w:val="clear" w:color="000000" w:fill="F2F2F2"/>
            <w:vAlign w:val="center"/>
            <w:hideMark/>
          </w:tcPr>
          <w:p w14:paraId="64E749C8" w14:textId="77777777" w:rsidR="00D70482" w:rsidRPr="00020587" w:rsidRDefault="00D70482" w:rsidP="00D204F3">
            <w:pPr>
              <w:spacing w:before="140" w:after="40"/>
              <w:jc w:val="right"/>
              <w:rPr>
                <w:sz w:val="20"/>
                <w:szCs w:val="20"/>
              </w:rPr>
            </w:pPr>
            <w:r w:rsidRPr="00020587">
              <w:rPr>
                <w:sz w:val="20"/>
                <w:szCs w:val="20"/>
              </w:rPr>
              <w:t>48</w:t>
            </w:r>
          </w:p>
        </w:tc>
        <w:tc>
          <w:tcPr>
            <w:tcW w:w="1134" w:type="dxa"/>
            <w:shd w:val="clear" w:color="000000" w:fill="F2F2F2"/>
            <w:vAlign w:val="center"/>
            <w:hideMark/>
          </w:tcPr>
          <w:p w14:paraId="180674F2" w14:textId="77777777" w:rsidR="00D70482" w:rsidRPr="00020587" w:rsidRDefault="00D70482" w:rsidP="00D204F3">
            <w:pPr>
              <w:spacing w:before="140" w:after="40"/>
              <w:jc w:val="right"/>
              <w:rPr>
                <w:sz w:val="20"/>
                <w:szCs w:val="20"/>
              </w:rPr>
            </w:pPr>
            <w:r w:rsidRPr="00020587">
              <w:rPr>
                <w:sz w:val="20"/>
                <w:szCs w:val="20"/>
              </w:rPr>
              <w:t>45,208</w:t>
            </w:r>
          </w:p>
        </w:tc>
      </w:tr>
      <w:tr w:rsidR="00D70482" w:rsidRPr="00020587" w14:paraId="56EDB851" w14:textId="77777777" w:rsidTr="00D70482">
        <w:trPr>
          <w:trHeight w:val="109"/>
        </w:trPr>
        <w:tc>
          <w:tcPr>
            <w:tcW w:w="1296" w:type="dxa"/>
            <w:shd w:val="clear" w:color="auto" w:fill="auto"/>
            <w:vAlign w:val="center"/>
            <w:hideMark/>
          </w:tcPr>
          <w:p w14:paraId="6E41919E" w14:textId="77777777" w:rsidR="00D70482" w:rsidRPr="00020587" w:rsidRDefault="00D70482" w:rsidP="00D204F3">
            <w:pPr>
              <w:rPr>
                <w:b/>
                <w:sz w:val="20"/>
                <w:szCs w:val="20"/>
              </w:rPr>
            </w:pPr>
            <w:r w:rsidRPr="00020587">
              <w:rPr>
                <w:b/>
                <w:sz w:val="20"/>
                <w:szCs w:val="20"/>
              </w:rPr>
              <w:t>85 +</w:t>
            </w:r>
          </w:p>
        </w:tc>
        <w:tc>
          <w:tcPr>
            <w:tcW w:w="1446" w:type="dxa"/>
            <w:shd w:val="clear" w:color="000000" w:fill="F2F2F2"/>
            <w:vAlign w:val="center"/>
            <w:hideMark/>
          </w:tcPr>
          <w:p w14:paraId="1C5252CF" w14:textId="77777777" w:rsidR="00D70482" w:rsidRPr="00020587" w:rsidRDefault="00D70482" w:rsidP="00D204F3">
            <w:pPr>
              <w:spacing w:before="140" w:after="40"/>
              <w:jc w:val="right"/>
              <w:rPr>
                <w:sz w:val="20"/>
                <w:szCs w:val="20"/>
              </w:rPr>
            </w:pPr>
            <w:r w:rsidRPr="00020587">
              <w:rPr>
                <w:sz w:val="20"/>
                <w:szCs w:val="20"/>
              </w:rPr>
              <w:t>24,431</w:t>
            </w:r>
          </w:p>
        </w:tc>
        <w:tc>
          <w:tcPr>
            <w:tcW w:w="1560" w:type="dxa"/>
            <w:shd w:val="clear" w:color="000000" w:fill="F2F2F2"/>
            <w:vAlign w:val="center"/>
            <w:hideMark/>
          </w:tcPr>
          <w:p w14:paraId="1D3F9137" w14:textId="77777777" w:rsidR="00D70482" w:rsidRPr="00020587" w:rsidRDefault="00D70482" w:rsidP="00D204F3">
            <w:pPr>
              <w:spacing w:before="140" w:after="40"/>
              <w:jc w:val="right"/>
              <w:rPr>
                <w:sz w:val="20"/>
                <w:szCs w:val="20"/>
              </w:rPr>
            </w:pPr>
            <w:r w:rsidRPr="00020587">
              <w:rPr>
                <w:sz w:val="20"/>
                <w:szCs w:val="20"/>
              </w:rPr>
              <w:t>1,435</w:t>
            </w:r>
          </w:p>
        </w:tc>
        <w:tc>
          <w:tcPr>
            <w:tcW w:w="1559" w:type="dxa"/>
            <w:shd w:val="clear" w:color="000000" w:fill="F2F2F2"/>
            <w:vAlign w:val="center"/>
            <w:hideMark/>
          </w:tcPr>
          <w:p w14:paraId="2AB29F6F" w14:textId="77777777" w:rsidR="00D70482" w:rsidRPr="00020587" w:rsidRDefault="00D70482" w:rsidP="00D204F3">
            <w:pPr>
              <w:spacing w:before="140" w:after="40"/>
              <w:jc w:val="right"/>
              <w:rPr>
                <w:sz w:val="20"/>
                <w:szCs w:val="20"/>
              </w:rPr>
            </w:pPr>
            <w:r w:rsidRPr="00020587">
              <w:rPr>
                <w:sz w:val="20"/>
                <w:szCs w:val="20"/>
              </w:rPr>
              <w:t>26</w:t>
            </w:r>
          </w:p>
        </w:tc>
        <w:tc>
          <w:tcPr>
            <w:tcW w:w="1134" w:type="dxa"/>
            <w:shd w:val="clear" w:color="000000" w:fill="F2F2F2"/>
            <w:vAlign w:val="center"/>
            <w:hideMark/>
          </w:tcPr>
          <w:p w14:paraId="219B1E7F" w14:textId="77777777" w:rsidR="00D70482" w:rsidRPr="00020587" w:rsidRDefault="00D70482" w:rsidP="00D204F3">
            <w:pPr>
              <w:spacing w:before="140" w:after="40"/>
              <w:jc w:val="right"/>
              <w:rPr>
                <w:sz w:val="20"/>
                <w:szCs w:val="20"/>
              </w:rPr>
            </w:pPr>
            <w:r w:rsidRPr="00020587">
              <w:rPr>
                <w:sz w:val="20"/>
                <w:szCs w:val="20"/>
              </w:rPr>
              <w:t>25,892</w:t>
            </w:r>
          </w:p>
        </w:tc>
      </w:tr>
      <w:tr w:rsidR="00D70482" w:rsidRPr="00020587" w14:paraId="18C75DFC" w14:textId="77777777" w:rsidTr="00D70482">
        <w:trPr>
          <w:trHeight w:val="60"/>
        </w:trPr>
        <w:tc>
          <w:tcPr>
            <w:tcW w:w="1296" w:type="dxa"/>
            <w:shd w:val="clear" w:color="auto" w:fill="auto"/>
            <w:vAlign w:val="center"/>
            <w:hideMark/>
          </w:tcPr>
          <w:p w14:paraId="78C4CE85" w14:textId="77777777" w:rsidR="00D70482" w:rsidRPr="00020587" w:rsidRDefault="00D70482" w:rsidP="00D204F3">
            <w:pPr>
              <w:rPr>
                <w:b/>
                <w:sz w:val="20"/>
                <w:szCs w:val="20"/>
              </w:rPr>
            </w:pPr>
            <w:r w:rsidRPr="00020587">
              <w:rPr>
                <w:b/>
                <w:sz w:val="20"/>
                <w:szCs w:val="20"/>
              </w:rPr>
              <w:lastRenderedPageBreak/>
              <w:t>Total</w:t>
            </w:r>
          </w:p>
        </w:tc>
        <w:tc>
          <w:tcPr>
            <w:tcW w:w="1446" w:type="dxa"/>
            <w:shd w:val="clear" w:color="000000" w:fill="F2F2F2"/>
            <w:vAlign w:val="center"/>
            <w:hideMark/>
          </w:tcPr>
          <w:p w14:paraId="7C77CF60" w14:textId="77777777" w:rsidR="00D70482" w:rsidRPr="00020587" w:rsidRDefault="00D70482" w:rsidP="00D204F3">
            <w:pPr>
              <w:spacing w:before="140" w:after="40"/>
              <w:jc w:val="right"/>
              <w:rPr>
                <w:sz w:val="20"/>
                <w:szCs w:val="20"/>
              </w:rPr>
            </w:pPr>
            <w:r w:rsidRPr="00020587">
              <w:rPr>
                <w:sz w:val="20"/>
                <w:szCs w:val="20"/>
              </w:rPr>
              <w:t>223,242</w:t>
            </w:r>
          </w:p>
        </w:tc>
        <w:tc>
          <w:tcPr>
            <w:tcW w:w="1560" w:type="dxa"/>
            <w:shd w:val="clear" w:color="000000" w:fill="F2F2F2"/>
            <w:vAlign w:val="center"/>
            <w:hideMark/>
          </w:tcPr>
          <w:p w14:paraId="1B5B8DFD" w14:textId="77777777" w:rsidR="00D70482" w:rsidRPr="00020587" w:rsidRDefault="00D70482" w:rsidP="00D204F3">
            <w:pPr>
              <w:spacing w:before="140" w:after="40"/>
              <w:jc w:val="right"/>
              <w:rPr>
                <w:sz w:val="20"/>
                <w:szCs w:val="20"/>
              </w:rPr>
            </w:pPr>
            <w:r w:rsidRPr="00020587">
              <w:rPr>
                <w:sz w:val="20"/>
                <w:szCs w:val="20"/>
              </w:rPr>
              <w:t>14,542</w:t>
            </w:r>
          </w:p>
        </w:tc>
        <w:tc>
          <w:tcPr>
            <w:tcW w:w="1559" w:type="dxa"/>
            <w:shd w:val="clear" w:color="000000" w:fill="F2F2F2"/>
            <w:vAlign w:val="center"/>
            <w:hideMark/>
          </w:tcPr>
          <w:p w14:paraId="2262DCFB" w14:textId="77777777" w:rsidR="00D70482" w:rsidRPr="00020587" w:rsidRDefault="00D70482" w:rsidP="00D204F3">
            <w:pPr>
              <w:spacing w:before="140" w:after="40"/>
              <w:jc w:val="right"/>
              <w:rPr>
                <w:sz w:val="20"/>
                <w:szCs w:val="20"/>
              </w:rPr>
            </w:pPr>
            <w:r w:rsidRPr="00020587">
              <w:rPr>
                <w:sz w:val="20"/>
                <w:szCs w:val="20"/>
              </w:rPr>
              <w:t>261</w:t>
            </w:r>
          </w:p>
        </w:tc>
        <w:tc>
          <w:tcPr>
            <w:tcW w:w="1134" w:type="dxa"/>
            <w:shd w:val="clear" w:color="000000" w:fill="F2F2F2"/>
            <w:vAlign w:val="center"/>
            <w:hideMark/>
          </w:tcPr>
          <w:p w14:paraId="45C45A42" w14:textId="77777777" w:rsidR="00D70482" w:rsidRPr="00020587" w:rsidRDefault="00D70482" w:rsidP="00D204F3">
            <w:pPr>
              <w:spacing w:before="140" w:after="40"/>
              <w:jc w:val="right"/>
              <w:rPr>
                <w:sz w:val="20"/>
                <w:szCs w:val="20"/>
              </w:rPr>
            </w:pPr>
            <w:r w:rsidRPr="00020587">
              <w:rPr>
                <w:sz w:val="20"/>
                <w:szCs w:val="20"/>
              </w:rPr>
              <w:t>238,045</w:t>
            </w:r>
          </w:p>
        </w:tc>
      </w:tr>
    </w:tbl>
    <w:p w14:paraId="336D5561" w14:textId="77777777" w:rsidR="00D70482" w:rsidRDefault="00D70482" w:rsidP="00D70482">
      <w:pPr>
        <w:spacing w:before="0" w:after="0"/>
        <w:rPr>
          <w:rFonts w:eastAsiaTheme="minorHAnsi" w:cs="Arial"/>
          <w:sz w:val="18"/>
          <w:szCs w:val="18"/>
          <w:lang w:val="en-US"/>
        </w:rPr>
      </w:pPr>
      <w:r w:rsidRPr="00020587">
        <w:rPr>
          <w:rFonts w:eastAsiaTheme="minorHAnsi" w:cs="Arial"/>
          <w:sz w:val="18"/>
          <w:szCs w:val="18"/>
          <w:lang w:val="en-US"/>
        </w:rPr>
        <w:t>Source: Unpublished data (Department of Health)</w:t>
      </w:r>
    </w:p>
    <w:p w14:paraId="00983471" w14:textId="61909B36" w:rsidR="00C727A8" w:rsidRPr="00253F2C" w:rsidRDefault="00C727A8" w:rsidP="00061127">
      <w:pPr>
        <w:spacing w:before="0" w:after="0"/>
        <w:rPr>
          <w:rFonts w:eastAsiaTheme="minorHAnsi" w:cs="Arial"/>
          <w:szCs w:val="22"/>
        </w:rPr>
      </w:pPr>
      <w:r w:rsidRPr="009200D8">
        <w:rPr>
          <w:rFonts w:eastAsiaTheme="minorHAnsi" w:cs="Arial"/>
          <w:szCs w:val="22"/>
        </w:rPr>
        <w:t xml:space="preserve">The majority of patients only had one service in 2014-15. Over a </w:t>
      </w:r>
      <w:r w:rsidR="00F30888" w:rsidRPr="009200D8">
        <w:rPr>
          <w:rFonts w:eastAsiaTheme="minorHAnsi" w:cs="Arial"/>
          <w:szCs w:val="22"/>
        </w:rPr>
        <w:t>2-year</w:t>
      </w:r>
      <w:r w:rsidRPr="009200D8">
        <w:rPr>
          <w:rFonts w:eastAsiaTheme="minorHAnsi" w:cs="Arial"/>
          <w:szCs w:val="22"/>
        </w:rPr>
        <w:t xml:space="preserve"> period from 2013-14 to 2014-15, there were 1,467 patients who had </w:t>
      </w:r>
      <w:r w:rsidR="0024559E">
        <w:rPr>
          <w:rFonts w:eastAsiaTheme="minorHAnsi" w:cs="Arial"/>
          <w:szCs w:val="22"/>
        </w:rPr>
        <w:t>more than one 12323 BMD service</w:t>
      </w:r>
      <w:r w:rsidRPr="009200D8">
        <w:rPr>
          <w:rFonts w:eastAsiaTheme="minorHAnsi" w:cs="Arial"/>
          <w:szCs w:val="22"/>
        </w:rPr>
        <w:t xml:space="preserve"> in 2014-15, and 20,264 patients (6% of all patients who had a 12323 BMD service) who had more than one service over the 2 year period. </w:t>
      </w:r>
    </w:p>
    <w:p w14:paraId="6A2073A4" w14:textId="29058792" w:rsidR="0000150F" w:rsidRPr="009200D8" w:rsidRDefault="0000150F" w:rsidP="005508A4">
      <w:pPr>
        <w:pStyle w:val="Heading2Report"/>
      </w:pPr>
      <w:bookmarkStart w:id="61" w:name="_Toc435174237"/>
      <w:bookmarkStart w:id="62" w:name="_Toc442357865"/>
      <w:bookmarkStart w:id="63" w:name="_Toc443642257"/>
      <w:bookmarkStart w:id="64" w:name="_Toc459707275"/>
      <w:r w:rsidRPr="009200D8">
        <w:t xml:space="preserve">Who </w:t>
      </w:r>
      <w:r w:rsidR="00316D32">
        <w:t>c</w:t>
      </w:r>
      <w:r w:rsidRPr="009200D8">
        <w:t xml:space="preserve">an </w:t>
      </w:r>
      <w:r w:rsidR="00316D32">
        <w:t>p</w:t>
      </w:r>
      <w:r w:rsidRPr="009200D8">
        <w:t>erform Bone Densitometry Services</w:t>
      </w:r>
      <w:bookmarkEnd w:id="61"/>
      <w:bookmarkEnd w:id="62"/>
      <w:bookmarkEnd w:id="63"/>
      <w:r w:rsidR="00316D32">
        <w:t>?</w:t>
      </w:r>
      <w:bookmarkEnd w:id="64"/>
    </w:p>
    <w:p w14:paraId="7A015B4E" w14:textId="060B2EE2" w:rsidR="0000150F" w:rsidRPr="009200D8" w:rsidRDefault="0000150F" w:rsidP="00316D32">
      <w:pPr>
        <w:rPr>
          <w:rFonts w:eastAsiaTheme="minorHAnsi"/>
        </w:rPr>
      </w:pPr>
      <w:r w:rsidRPr="009200D8">
        <w:rPr>
          <w:rFonts w:eastAsiaTheme="minorHAnsi"/>
        </w:rPr>
        <w:t>Since the introduction of BMD items onto the MBS, for Medicare purposes, BMD services must be personally performed by a specialist or consultant physician (in the practice of his or her specialty). This means for a Medicare benefit to be payable</w:t>
      </w:r>
      <w:r w:rsidR="00F30888">
        <w:rPr>
          <w:rFonts w:eastAsiaTheme="minorHAnsi"/>
        </w:rPr>
        <w:t>,</w:t>
      </w:r>
      <w:r w:rsidRPr="009200D8">
        <w:rPr>
          <w:rFonts w:eastAsiaTheme="minorHAnsi"/>
        </w:rPr>
        <w:t xml:space="preserve"> a technician cannot perform a service billed by a specialist/consultant physician. </w:t>
      </w:r>
    </w:p>
    <w:p w14:paraId="2118A6E4" w14:textId="542EC162" w:rsidR="0000150F" w:rsidRPr="009200D8" w:rsidRDefault="0000150F" w:rsidP="00316D32">
      <w:r w:rsidRPr="009200D8">
        <w:t xml:space="preserve">The 2013 Department of Human Services (DHS) Program Review Division undertook an Audit of Diagnostic Procedures and </w:t>
      </w:r>
      <w:r w:rsidR="002B1F64">
        <w:t>I</w:t>
      </w:r>
      <w:r w:rsidRPr="009200D8">
        <w:t xml:space="preserve">nvestigations including ‘Bone Densitometry’ and examined bone densitometry services performed by 21 practices in 2011-12. </w:t>
      </w:r>
    </w:p>
    <w:p w14:paraId="49C72D81" w14:textId="77777777" w:rsidR="0000150F" w:rsidRPr="00984BFF" w:rsidRDefault="0000150F" w:rsidP="00061127">
      <w:pPr>
        <w:spacing w:before="120" w:after="120"/>
        <w:rPr>
          <w:rFonts w:cs="Arial"/>
        </w:rPr>
      </w:pPr>
      <w:r w:rsidRPr="009200D8">
        <w:rPr>
          <w:rFonts w:cs="Arial"/>
          <w:szCs w:val="22"/>
        </w:rPr>
        <w:t>DHS expressed concerns at the level of uptake of item 12323, as it appeared a large proportion of the 328,818 bone densitometry services claimed in 2011-12 were performed by technicians. They cited anecdotal evidence that suggests that the specialists billing these items (across the profession) are not personally performing the scan as required under the regulations.</w:t>
      </w:r>
    </w:p>
    <w:p w14:paraId="79297BEF" w14:textId="20BDA22C" w:rsidR="0000150F" w:rsidRPr="009200D8" w:rsidRDefault="0000150F" w:rsidP="00316D32">
      <w:pPr>
        <w:pStyle w:val="Heading2Report"/>
      </w:pPr>
      <w:bookmarkStart w:id="65" w:name="_Toc435174238"/>
      <w:bookmarkStart w:id="66" w:name="_Toc442357866"/>
      <w:bookmarkStart w:id="67" w:name="_Toc443642258"/>
      <w:bookmarkStart w:id="68" w:name="_Toc459707276"/>
      <w:r w:rsidRPr="009200D8">
        <w:t xml:space="preserve">Stakeholder </w:t>
      </w:r>
      <w:r w:rsidR="00316D32">
        <w:t>f</w:t>
      </w:r>
      <w:r w:rsidRPr="009200D8">
        <w:t>eedback</w:t>
      </w:r>
      <w:bookmarkEnd w:id="65"/>
      <w:bookmarkEnd w:id="66"/>
      <w:bookmarkEnd w:id="67"/>
      <w:bookmarkEnd w:id="68"/>
    </w:p>
    <w:p w14:paraId="47848A5E" w14:textId="50955838" w:rsidR="00D70482" w:rsidRDefault="0000150F" w:rsidP="00316D32">
      <w:r w:rsidRPr="00253F2C">
        <w:t>As a result of compliance action by DHS, a number of stakeholders raised concerns about the current requirement</w:t>
      </w:r>
      <w:r w:rsidRPr="009200D8">
        <w:t xml:space="preserve"> that BMD services must be personally performed by a specialist or consultant physician and suggested that this </w:t>
      </w:r>
      <w:r w:rsidR="002B1F64">
        <w:t>h</w:t>
      </w:r>
      <w:r w:rsidRPr="009200D8">
        <w:t>as never been best practice in BMD examinations. There are no international or national guidelines which recommend that BMD services are performed by a specialist or consultant physician.</w:t>
      </w:r>
    </w:p>
    <w:p w14:paraId="42BD0C71" w14:textId="77777777" w:rsidR="0000150F" w:rsidRPr="009200D8" w:rsidRDefault="0000150F" w:rsidP="00316D32">
      <w:r w:rsidRPr="009200D8">
        <w:t>Feedback was provided by:</w:t>
      </w:r>
    </w:p>
    <w:p w14:paraId="69933226" w14:textId="77777777" w:rsidR="0000150F" w:rsidRPr="00061127" w:rsidRDefault="0000150F" w:rsidP="00490F36">
      <w:pPr>
        <w:pStyle w:val="Bulleted"/>
      </w:pPr>
      <w:r w:rsidRPr="00061127">
        <w:t>Royal Australian and New Zea</w:t>
      </w:r>
      <w:r w:rsidR="00D40B6B" w:rsidRPr="00061127">
        <w:t>land College of Radiologists</w:t>
      </w:r>
    </w:p>
    <w:p w14:paraId="4EF7D99C" w14:textId="37297CF5" w:rsidR="0000150F" w:rsidRPr="009200D8" w:rsidRDefault="0000150F" w:rsidP="00490F36">
      <w:pPr>
        <w:pStyle w:val="Bulleted"/>
      </w:pPr>
      <w:r w:rsidRPr="00061127">
        <w:t>Australian New Zealand Bone &amp; Mineral Society together with the Australian Rheumatology</w:t>
      </w:r>
      <w:r w:rsidRPr="009200D8">
        <w:t xml:space="preserve"> Association and the</w:t>
      </w:r>
      <w:r w:rsidR="00D40B6B" w:rsidRPr="009200D8">
        <w:t xml:space="preserve"> Endocrine Society of Australia</w:t>
      </w:r>
      <w:r w:rsidR="00316D32">
        <w:t>.</w:t>
      </w:r>
    </w:p>
    <w:p w14:paraId="15640E8A" w14:textId="77777777" w:rsidR="0000150F" w:rsidRPr="00253F2C" w:rsidRDefault="0000150F" w:rsidP="00316D32">
      <w:pPr>
        <w:rPr>
          <w:rFonts w:eastAsiaTheme="minorHAnsi"/>
        </w:rPr>
      </w:pPr>
      <w:r w:rsidRPr="009200D8">
        <w:rPr>
          <w:rFonts w:eastAsiaTheme="minorHAnsi"/>
        </w:rPr>
        <w:t>At</w:t>
      </w:r>
      <w:r w:rsidR="009200D8">
        <w:rPr>
          <w:rFonts w:eastAsiaTheme="minorHAnsi"/>
        </w:rPr>
        <w:t xml:space="preserve"> the </w:t>
      </w:r>
      <w:r w:rsidRPr="009200D8">
        <w:rPr>
          <w:rFonts w:eastAsiaTheme="minorHAnsi"/>
        </w:rPr>
        <w:t>November 2014 meeting, MSAC assessed a number of BMD-related applications. In MSAC’s advice to the Minister, it supported amending the current MBS items for BMD to allow trained technicians to perform DEXA scanning under the supervision of a medical practitioner. MSAC considered that any amendment should be accompanied b</w:t>
      </w:r>
      <w:r w:rsidR="009200D8">
        <w:rPr>
          <w:rFonts w:eastAsiaTheme="minorHAnsi"/>
        </w:rPr>
        <w:t>y</w:t>
      </w:r>
      <w:r w:rsidRPr="009200D8">
        <w:rPr>
          <w:rFonts w:eastAsiaTheme="minorHAnsi"/>
        </w:rPr>
        <w:t xml:space="preserve"> a reduction in the MBS fee.</w:t>
      </w:r>
    </w:p>
    <w:p w14:paraId="3A8E87F2" w14:textId="77777777" w:rsidR="0000150F" w:rsidRPr="009200D8" w:rsidRDefault="0000150F" w:rsidP="00316D32">
      <w:r w:rsidRPr="009200D8">
        <w:lastRenderedPageBreak/>
        <w:t>MSAC noted that not requiring the existing highly trained personnel (specialists or consultant physicians) to provide the proposed intervention may lead to improved access, however there was concern about the identification of ‘appropriately trained’ technicians.</w:t>
      </w:r>
    </w:p>
    <w:p w14:paraId="7CF7BDD9" w14:textId="14D96287" w:rsidR="0000150F" w:rsidRPr="009200D8" w:rsidRDefault="0000150F" w:rsidP="00316D32">
      <w:pPr>
        <w:pStyle w:val="Heading2Report"/>
      </w:pPr>
      <w:bookmarkStart w:id="69" w:name="_Toc442357868"/>
      <w:bookmarkStart w:id="70" w:name="_Toc443642260"/>
      <w:bookmarkStart w:id="71" w:name="_Toc459707277"/>
      <w:r w:rsidRPr="009200D8">
        <w:t>Appropriately trained technicians</w:t>
      </w:r>
      <w:bookmarkEnd w:id="69"/>
      <w:bookmarkEnd w:id="70"/>
      <w:bookmarkEnd w:id="71"/>
    </w:p>
    <w:p w14:paraId="473B1F80" w14:textId="77777777" w:rsidR="0000150F" w:rsidRPr="009200D8" w:rsidRDefault="0000150F" w:rsidP="00061127">
      <w:pPr>
        <w:spacing w:before="120" w:after="120"/>
        <w:rPr>
          <w:rFonts w:cs="Arial"/>
          <w:szCs w:val="22"/>
        </w:rPr>
      </w:pPr>
      <w:r w:rsidRPr="009200D8">
        <w:rPr>
          <w:rFonts w:cs="Arial"/>
          <w:szCs w:val="22"/>
        </w:rPr>
        <w:t xml:space="preserve">There is no nationally agreed definition of an ‘appropriately trained’ technician. The </w:t>
      </w:r>
      <w:hyperlink r:id="rId10" w:history="1">
        <w:r w:rsidRPr="00984BFF">
          <w:rPr>
            <w:rStyle w:val="Hyperlink"/>
            <w:rFonts w:cs="Arial"/>
            <w:szCs w:val="22"/>
          </w:rPr>
          <w:t>Australian and New Zealand Bone and Mineral Society (ANZBMS) 2003 accreditation guidelines for bone densitometry</w:t>
        </w:r>
      </w:hyperlink>
      <w:r w:rsidRPr="009200D8">
        <w:rPr>
          <w:rFonts w:cs="Arial"/>
          <w:szCs w:val="22"/>
        </w:rPr>
        <w:t xml:space="preserve"> requires a technologist in bone densitometry to be tertiary educated (degree or diploma) in the field of radiography, nuclear medicine, science or nursing, and must have additional post-graduate training in bone densitometry. Staff performing Quantitative Computed Tomography (QCT) must be trained radiographers. </w:t>
      </w:r>
    </w:p>
    <w:p w14:paraId="42343A1B" w14:textId="12AA507B" w:rsidR="0000150F" w:rsidRPr="009200D8" w:rsidRDefault="0000150F" w:rsidP="00061127">
      <w:pPr>
        <w:spacing w:before="120" w:after="120"/>
        <w:rPr>
          <w:rFonts w:cs="Arial"/>
        </w:rPr>
      </w:pPr>
      <w:r w:rsidRPr="009200D8">
        <w:rPr>
          <w:rFonts w:cs="Arial"/>
        </w:rPr>
        <w:t>The guidelines list the duties of a technologist and include patient scanning, scan analysis and reviewing of results. In addition</w:t>
      </w:r>
      <w:r w:rsidR="002B1F64">
        <w:rPr>
          <w:rFonts w:cs="Arial"/>
        </w:rPr>
        <w:t>,</w:t>
      </w:r>
      <w:r w:rsidRPr="009200D8">
        <w:rPr>
          <w:rFonts w:cs="Arial"/>
        </w:rPr>
        <w:t xml:space="preserve"> they must perform or supervise all quality control procedures and personally review results. Training of the technologist shall include at least the following elements: </w:t>
      </w:r>
    </w:p>
    <w:p w14:paraId="68A5F805" w14:textId="77777777" w:rsidR="0000150F" w:rsidRPr="009200D8" w:rsidRDefault="0000150F" w:rsidP="00490F36">
      <w:pPr>
        <w:pStyle w:val="Bulleted"/>
      </w:pPr>
      <w:r w:rsidRPr="009200D8">
        <w:t>Appropriate tertiar</w:t>
      </w:r>
      <w:r w:rsidR="00D40B6B" w:rsidRPr="009200D8">
        <w:t>y qualifications as noted above</w:t>
      </w:r>
      <w:r w:rsidRPr="009200D8">
        <w:t xml:space="preserve"> </w:t>
      </w:r>
    </w:p>
    <w:p w14:paraId="4228CC55" w14:textId="77777777" w:rsidR="0000150F" w:rsidRPr="009200D8" w:rsidRDefault="0000150F" w:rsidP="00490F36">
      <w:pPr>
        <w:pStyle w:val="Bulleted"/>
      </w:pPr>
      <w:r w:rsidRPr="009200D8">
        <w:t xml:space="preserve">Radiation safety (hazard analysis, regulations, patient advice, licensing) </w:t>
      </w:r>
    </w:p>
    <w:p w14:paraId="32339DAA" w14:textId="77777777" w:rsidR="0000150F" w:rsidRPr="009200D8" w:rsidRDefault="0000150F" w:rsidP="00490F36">
      <w:pPr>
        <w:pStyle w:val="Bulleted"/>
      </w:pPr>
      <w:r w:rsidRPr="009200D8">
        <w:t>Patient management (reception, advising, lifting etc.</w:t>
      </w:r>
      <w:r w:rsidR="00D40B6B" w:rsidRPr="009200D8">
        <w:t>)</w:t>
      </w:r>
    </w:p>
    <w:p w14:paraId="013452DC" w14:textId="77777777" w:rsidR="0000150F" w:rsidRPr="009200D8" w:rsidRDefault="0000150F" w:rsidP="00490F36">
      <w:pPr>
        <w:pStyle w:val="Bulleted"/>
      </w:pPr>
      <w:r w:rsidRPr="009200D8">
        <w:t xml:space="preserve">DXA </w:t>
      </w:r>
      <w:r w:rsidR="00D40B6B" w:rsidRPr="009200D8">
        <w:t>(and/or QCT) scanning training</w:t>
      </w:r>
    </w:p>
    <w:p w14:paraId="4F5B7C11" w14:textId="77777777" w:rsidR="0000150F" w:rsidRPr="009200D8" w:rsidRDefault="0000150F" w:rsidP="00490F36">
      <w:pPr>
        <w:pStyle w:val="Bulleted"/>
      </w:pPr>
      <w:r w:rsidRPr="009200D8">
        <w:t>DXA (and/or QCT) quality assurance and equipment performance</w:t>
      </w:r>
    </w:p>
    <w:p w14:paraId="03B37039" w14:textId="2ADE330F" w:rsidR="0000150F" w:rsidRPr="009200D8" w:rsidRDefault="0000150F" w:rsidP="00490F36">
      <w:pPr>
        <w:pStyle w:val="Bulleted"/>
      </w:pPr>
      <w:r w:rsidRPr="009200D8">
        <w:t xml:space="preserve">Relevant statistical analysis </w:t>
      </w:r>
      <w:r w:rsidR="002B1F64">
        <w:t>and</w:t>
      </w:r>
      <w:r w:rsidRPr="009200D8">
        <w:t xml:space="preserve"> report generation</w:t>
      </w:r>
      <w:r w:rsidR="00316D32">
        <w:t>.</w:t>
      </w:r>
    </w:p>
    <w:p w14:paraId="15E4E3B2" w14:textId="2F1300D6" w:rsidR="0000150F" w:rsidRPr="009200D8" w:rsidRDefault="0000150F" w:rsidP="00061127">
      <w:pPr>
        <w:spacing w:before="120" w:after="120"/>
        <w:rPr>
          <w:rFonts w:cs="Arial"/>
        </w:rPr>
      </w:pPr>
      <w:r w:rsidRPr="009200D8">
        <w:rPr>
          <w:rFonts w:cs="Arial"/>
        </w:rPr>
        <w:t xml:space="preserve">Licences to operate ionising radiation equipment are a State issue and therefore the requirements vary </w:t>
      </w:r>
      <w:r w:rsidR="002B1F64">
        <w:rPr>
          <w:rFonts w:cs="Arial"/>
        </w:rPr>
        <w:t xml:space="preserve">across </w:t>
      </w:r>
      <w:r w:rsidRPr="009200D8">
        <w:rPr>
          <w:rFonts w:cs="Arial"/>
        </w:rPr>
        <w:t>State</w:t>
      </w:r>
      <w:r w:rsidR="002B1F64">
        <w:rPr>
          <w:rFonts w:cs="Arial"/>
        </w:rPr>
        <w:t>s and</w:t>
      </w:r>
      <w:r w:rsidRPr="009200D8">
        <w:rPr>
          <w:rFonts w:cs="Arial"/>
        </w:rPr>
        <w:t xml:space="preserve"> Territor</w:t>
      </w:r>
      <w:r w:rsidR="002B1F64">
        <w:rPr>
          <w:rFonts w:cs="Arial"/>
        </w:rPr>
        <w:t>ies</w:t>
      </w:r>
      <w:r w:rsidRPr="009200D8">
        <w:rPr>
          <w:rFonts w:cs="Arial"/>
        </w:rPr>
        <w:t xml:space="preserve">. Generally, State and Territory law requires the </w:t>
      </w:r>
      <w:r w:rsidR="001A71AB" w:rsidRPr="009200D8">
        <w:rPr>
          <w:rFonts w:cs="Arial"/>
        </w:rPr>
        <w:t>licensee</w:t>
      </w:r>
      <w:r w:rsidRPr="009200D8">
        <w:rPr>
          <w:rFonts w:cs="Arial"/>
        </w:rPr>
        <w:t xml:space="preserve"> to possess the appropriate knowledge of the principles and practices of radiation protection relevant to the intended use of the licence. Specific licences exist for bone mineral or body composition analysis, using dual energy x-ray absorptiometry machines, with specific pre requisites and DEXA course requirements.</w:t>
      </w:r>
    </w:p>
    <w:p w14:paraId="08FFE4DB" w14:textId="0713D99A" w:rsidR="0000150F" w:rsidRPr="009200D8" w:rsidRDefault="0000150F" w:rsidP="00061127">
      <w:pPr>
        <w:spacing w:before="120" w:after="120"/>
        <w:rPr>
          <w:rFonts w:cs="Arial"/>
        </w:rPr>
      </w:pPr>
      <w:r w:rsidRPr="009200D8">
        <w:rPr>
          <w:rFonts w:cs="Arial"/>
        </w:rPr>
        <w:t xml:space="preserve">ANZBMS offers </w:t>
      </w:r>
      <w:r w:rsidR="002B1F64" w:rsidRPr="009200D8">
        <w:rPr>
          <w:rFonts w:cs="Arial"/>
        </w:rPr>
        <w:t>two-day</w:t>
      </w:r>
      <w:r w:rsidRPr="009200D8">
        <w:rPr>
          <w:rFonts w:cs="Arial"/>
        </w:rPr>
        <w:t xml:space="preserve"> clinical densitometry courses which satisfies the requirements of radiation safety legislation in most Australian states and the Australian Radiation Protection and Nuclear Safety Agency for licencing of DEXA operators. These courses are intended for both practitioners and technologists and cover the </w:t>
      </w:r>
      <w:proofErr w:type="spellStart"/>
      <w:r w:rsidRPr="009200D8">
        <w:rPr>
          <w:rFonts w:cs="Arial"/>
        </w:rPr>
        <w:t>patho</w:t>
      </w:r>
      <w:proofErr w:type="spellEnd"/>
      <w:r w:rsidRPr="009200D8">
        <w:rPr>
          <w:rFonts w:cs="Arial"/>
        </w:rPr>
        <w:t xml:space="preserve">-physiology of osteoporosis, as well as the principles and practice of bone density, body composition measurement and aspects of advanced bone measurement techniques. </w:t>
      </w:r>
    </w:p>
    <w:p w14:paraId="5BFB5A15" w14:textId="1F8FA3D7" w:rsidR="0000150F" w:rsidRPr="009200D8" w:rsidRDefault="0000150F" w:rsidP="00061127">
      <w:pPr>
        <w:spacing w:before="120" w:after="120"/>
        <w:rPr>
          <w:rFonts w:cs="Arial"/>
        </w:rPr>
      </w:pPr>
      <w:r w:rsidRPr="009200D8">
        <w:rPr>
          <w:rFonts w:cs="Arial"/>
        </w:rPr>
        <w:t xml:space="preserve">The Australian Institute of Radiology also runs a </w:t>
      </w:r>
      <w:r w:rsidR="002B1F64" w:rsidRPr="009200D8">
        <w:rPr>
          <w:rFonts w:cs="Arial"/>
        </w:rPr>
        <w:t>two-day</w:t>
      </w:r>
      <w:r w:rsidRPr="009200D8">
        <w:rPr>
          <w:rFonts w:cs="Arial"/>
        </w:rPr>
        <w:t xml:space="preserve"> certification course in clinical bone densitometry for technologists on behalf of the International Society for Clinical Densitometry.</w:t>
      </w:r>
    </w:p>
    <w:p w14:paraId="35EA7829" w14:textId="77777777" w:rsidR="002B1F64" w:rsidRPr="009200D8" w:rsidRDefault="002B1F64" w:rsidP="002B1F64">
      <w:pPr>
        <w:pStyle w:val="Heading2Report"/>
      </w:pPr>
      <w:bookmarkStart w:id="72" w:name="_Toc459707278"/>
      <w:bookmarkStart w:id="73" w:name="_Toc442357869"/>
      <w:bookmarkStart w:id="74" w:name="_Toc443642261"/>
      <w:r>
        <w:t>Service r</w:t>
      </w:r>
      <w:r w:rsidRPr="009200D8">
        <w:t>estrictions</w:t>
      </w:r>
      <w:bookmarkEnd w:id="72"/>
    </w:p>
    <w:p w14:paraId="7F109A8D" w14:textId="77777777" w:rsidR="002B1F64" w:rsidRPr="009200D8" w:rsidRDefault="002B1F64" w:rsidP="002B1F64">
      <w:r w:rsidRPr="009200D8">
        <w:t xml:space="preserve">For Medicare purposes, most bone density testing is subject to a restriction on the time interval between tests, from one every 12 to 24 months, depending on the item. This is because bone density loss is considered a relatively slow process and repeat testing within 24 months is unlikely to assist in clinical decision making. For those specific medical conditions or particular treatments that </w:t>
      </w:r>
      <w:r w:rsidRPr="009200D8">
        <w:lastRenderedPageBreak/>
        <w:t>may cause more rapid bone loss, a rebate is available for repeat testing at 12 monthly intervals. Testing for people over the age of 70 years is currently not restricted to these intervals.</w:t>
      </w:r>
    </w:p>
    <w:p w14:paraId="54BBBE21" w14:textId="249FE5E7" w:rsidR="0000150F" w:rsidRPr="009200D8" w:rsidRDefault="0000150F" w:rsidP="00316D32">
      <w:pPr>
        <w:pStyle w:val="Heading2Report"/>
      </w:pPr>
      <w:bookmarkStart w:id="75" w:name="_Toc459707279"/>
      <w:r w:rsidRPr="009200D8">
        <w:t>International Recommendations</w:t>
      </w:r>
      <w:bookmarkEnd w:id="73"/>
      <w:bookmarkEnd w:id="74"/>
      <w:bookmarkEnd w:id="75"/>
    </w:p>
    <w:p w14:paraId="4179E469" w14:textId="77777777" w:rsidR="0000150F" w:rsidRPr="009200D8" w:rsidRDefault="0000150F" w:rsidP="005508A4">
      <w:pPr>
        <w:pStyle w:val="Heading3"/>
      </w:pPr>
      <w:r w:rsidRPr="009200D8">
        <w:t>Choosing Wisely</w:t>
      </w:r>
    </w:p>
    <w:p w14:paraId="7C3C639C" w14:textId="4FC1E87A" w:rsidR="0000150F" w:rsidRPr="009200D8" w:rsidRDefault="0000150F" w:rsidP="003F788A">
      <w:pPr>
        <w:spacing w:before="120" w:after="120"/>
        <w:rPr>
          <w:rFonts w:cs="Arial"/>
        </w:rPr>
      </w:pPr>
      <w:r w:rsidRPr="009200D8">
        <w:rPr>
          <w:rFonts w:cs="Arial"/>
        </w:rPr>
        <w:t>The Choosing Wisely recommendations relate to restricting the use of DEXA screening for osteoporosis on low risk patients, and restricting repeat of DEXA scans to no more than every two years in the absence of high risk or new risk factors.</w:t>
      </w:r>
    </w:p>
    <w:p w14:paraId="33C66536" w14:textId="77777777" w:rsidR="0000150F" w:rsidRPr="009200D8" w:rsidRDefault="0000150F" w:rsidP="005508A4">
      <w:pPr>
        <w:pStyle w:val="Heading3"/>
      </w:pPr>
      <w:r w:rsidRPr="009200D8">
        <w:t>The College of Family Physicians of Canada and Canadian Medical Association</w:t>
      </w:r>
    </w:p>
    <w:p w14:paraId="5D25A71A" w14:textId="5D0062BD" w:rsidR="0000150F" w:rsidRPr="009200D8" w:rsidRDefault="0000150F" w:rsidP="003F788A">
      <w:pPr>
        <w:spacing w:before="120" w:after="120"/>
        <w:rPr>
          <w:rFonts w:cs="Arial"/>
        </w:rPr>
      </w:pPr>
      <w:r w:rsidRPr="009200D8">
        <w:rPr>
          <w:rFonts w:cs="Arial"/>
          <w:b/>
          <w:bCs/>
        </w:rPr>
        <w:t>Don’t order DEXA screening for osteoporosis o</w:t>
      </w:r>
      <w:r w:rsidR="002B1F64">
        <w:rPr>
          <w:rFonts w:cs="Arial"/>
          <w:b/>
          <w:bCs/>
        </w:rPr>
        <w:t>r</w:t>
      </w:r>
      <w:r w:rsidRPr="009200D8">
        <w:rPr>
          <w:rFonts w:cs="Arial"/>
          <w:b/>
          <w:bCs/>
        </w:rPr>
        <w:t xml:space="preserve"> low risk patients.</w:t>
      </w:r>
      <w:r w:rsidRPr="009200D8">
        <w:rPr>
          <w:rFonts w:cs="Arial"/>
        </w:rPr>
        <w:t xml:space="preserve"> While all patients aged 50 years and older should be evaluated for risk factors for osteoporosis using tools such as the osteoporosis self-assessment screening tool (OST), bone mineral density screening via DEXA is not warranted on women under 65 or men under 70 at low risk.</w:t>
      </w:r>
    </w:p>
    <w:p w14:paraId="08886C29" w14:textId="77777777" w:rsidR="0000150F" w:rsidRPr="005508A4" w:rsidRDefault="0000150F" w:rsidP="00316D32">
      <w:pPr>
        <w:pStyle w:val="Heading3"/>
      </w:pPr>
      <w:r w:rsidRPr="005508A4">
        <w:t>Canadian Rheumatology</w:t>
      </w:r>
    </w:p>
    <w:p w14:paraId="74AA20F5" w14:textId="1F67527B" w:rsidR="0000150F" w:rsidRPr="009200D8" w:rsidRDefault="0000150F" w:rsidP="003F788A">
      <w:pPr>
        <w:spacing w:before="120" w:after="120"/>
        <w:rPr>
          <w:rFonts w:cs="Arial"/>
        </w:rPr>
      </w:pPr>
      <w:r w:rsidRPr="009200D8">
        <w:rPr>
          <w:rFonts w:cs="Arial"/>
          <w:b/>
          <w:bCs/>
        </w:rPr>
        <w:t xml:space="preserve">Don’t repeat dual energy X-ray absorptiometry (DEXA) scans more often than every </w:t>
      </w:r>
      <w:r w:rsidR="002B1F64">
        <w:rPr>
          <w:rFonts w:cs="Arial"/>
          <w:b/>
          <w:bCs/>
        </w:rPr>
        <w:t>two</w:t>
      </w:r>
      <w:r w:rsidRPr="009200D8">
        <w:rPr>
          <w:rFonts w:cs="Arial"/>
          <w:b/>
          <w:bCs/>
        </w:rPr>
        <w:t xml:space="preserve"> years.</w:t>
      </w:r>
      <w:r w:rsidRPr="009200D8">
        <w:rPr>
          <w:rFonts w:cs="Arial"/>
        </w:rPr>
        <w:br/>
        <w:t xml:space="preserve">The use of repeat DEXA scans at intervals of every </w:t>
      </w:r>
      <w:r w:rsidR="002B1F64">
        <w:rPr>
          <w:rFonts w:cs="Arial"/>
        </w:rPr>
        <w:t>two</w:t>
      </w:r>
      <w:r w:rsidRPr="009200D8">
        <w:rPr>
          <w:rFonts w:cs="Arial"/>
        </w:rPr>
        <w:t xml:space="preserve"> years is appropriate in most clinical settings, and is supported by several current osteoporosis guidelines. Because of limitations in the precision of testing, a minimum of </w:t>
      </w:r>
      <w:r w:rsidR="002B1F64">
        <w:rPr>
          <w:rFonts w:cs="Arial"/>
        </w:rPr>
        <w:t>two</w:t>
      </w:r>
      <w:r w:rsidRPr="009200D8">
        <w:rPr>
          <w:rFonts w:cs="Arial"/>
        </w:rPr>
        <w:t xml:space="preserve"> years may be needed to reliably measure a change in BMD. If bone mineral densities are stable and/or individuals are at low risk of fracture, then less frequent monitoring up to an interval of 5-10 years can be considered. Shorter or longer intervals between repeat DEXA scans may be appropriate based on expected rate of change in bone mineral density and fracture risk.</w:t>
      </w:r>
    </w:p>
    <w:p w14:paraId="3DBF3C75" w14:textId="77777777" w:rsidR="0000150F" w:rsidRPr="009200D8" w:rsidRDefault="0000150F" w:rsidP="000C7B86">
      <w:pPr>
        <w:pStyle w:val="Heading3"/>
      </w:pPr>
      <w:r w:rsidRPr="009200D8">
        <w:t>The Canadian Association of Nuclear Medicine</w:t>
      </w:r>
    </w:p>
    <w:p w14:paraId="6C7F2C3E" w14:textId="0F60A6B4" w:rsidR="00253327" w:rsidRDefault="0000150F" w:rsidP="00061127">
      <w:pPr>
        <w:spacing w:before="120" w:after="120"/>
        <w:rPr>
          <w:rFonts w:cs="Arial"/>
        </w:rPr>
      </w:pPr>
      <w:r w:rsidRPr="009200D8">
        <w:rPr>
          <w:rFonts w:cs="Arial"/>
          <w:b/>
          <w:bCs/>
        </w:rPr>
        <w:t>Don’t repeat DEXA scans more often than every two years in the absence of high risk or new risk factors.</w:t>
      </w:r>
      <w:r w:rsidRPr="009200D8">
        <w:rPr>
          <w:rFonts w:cs="Arial"/>
        </w:rPr>
        <w:t xml:space="preserve"> Various factors limit the utility of repeat DEXA scans more than every two years, particularly in stable patients. These include the expected rate of bone loss, which is unlikely to be detected at smaller intervals, and measurement error, which may make repeat measures unreliable. This may be compounded if different DEXA machines are used. In stable patients, the interval between scans may be prolonged, or</w:t>
      </w:r>
      <w:r w:rsidR="00D40B6B" w:rsidRPr="009200D8">
        <w:rPr>
          <w:rFonts w:cs="Arial"/>
        </w:rPr>
        <w:t xml:space="preserve"> a repeat may not be necessary.</w:t>
      </w:r>
    </w:p>
    <w:p w14:paraId="09E7F660" w14:textId="77777777" w:rsidR="00253327" w:rsidRDefault="00253327">
      <w:pPr>
        <w:spacing w:before="0" w:after="0" w:line="240" w:lineRule="auto"/>
        <w:rPr>
          <w:rFonts w:cs="Arial"/>
        </w:rPr>
      </w:pPr>
      <w:r>
        <w:rPr>
          <w:rFonts w:cs="Arial"/>
        </w:rPr>
        <w:br w:type="page"/>
      </w:r>
    </w:p>
    <w:p w14:paraId="65D13B42" w14:textId="6849860F" w:rsidR="00DF3F89" w:rsidRPr="00253F2C" w:rsidRDefault="00662AF3" w:rsidP="005508A4">
      <w:pPr>
        <w:pStyle w:val="Heading1"/>
      </w:pPr>
      <w:bookmarkStart w:id="76" w:name="_Toc459707280"/>
      <w:r w:rsidRPr="00253F2C">
        <w:lastRenderedPageBreak/>
        <w:t>Recommendation</w:t>
      </w:r>
      <w:r w:rsidR="00FB34AE" w:rsidRPr="00253F2C">
        <w:t>s</w:t>
      </w:r>
      <w:bookmarkEnd w:id="76"/>
    </w:p>
    <w:p w14:paraId="26DB532E" w14:textId="77777777" w:rsidR="00D40B6B" w:rsidRPr="009200D8" w:rsidRDefault="00D40B6B" w:rsidP="00061127">
      <w:pPr>
        <w:spacing w:before="120" w:after="120"/>
        <w:rPr>
          <w:rFonts w:cs="Arial"/>
          <w:szCs w:val="22"/>
        </w:rPr>
      </w:pPr>
      <w:r w:rsidRPr="009200D8">
        <w:rPr>
          <w:rFonts w:cs="Arial"/>
          <w:szCs w:val="22"/>
        </w:rPr>
        <w:t>The Bone Densitometry Working Group considered a series of questions and issues in order to review the Bone Densitometry items especially current items descriptors and items structure in order to reduce its complexity and improve clarity.</w:t>
      </w:r>
    </w:p>
    <w:p w14:paraId="4712DD62" w14:textId="49EEF753" w:rsidR="00D40B6B" w:rsidRPr="009200D8" w:rsidRDefault="00CF1E64" w:rsidP="00316D32">
      <w:pPr>
        <w:pStyle w:val="Heading2Report"/>
      </w:pPr>
      <w:bookmarkStart w:id="77" w:name="_Toc442357871"/>
      <w:bookmarkStart w:id="78" w:name="_Toc443642263"/>
      <w:bookmarkStart w:id="79" w:name="_Toc459707281"/>
      <w:r>
        <w:t>Intervals for r</w:t>
      </w:r>
      <w:r w:rsidR="00D40B6B" w:rsidRPr="009200D8">
        <w:t xml:space="preserve">epeat </w:t>
      </w:r>
      <w:r>
        <w:t>t</w:t>
      </w:r>
      <w:r w:rsidR="00D40B6B" w:rsidRPr="009200D8">
        <w:t xml:space="preserve">esting for </w:t>
      </w:r>
      <w:r>
        <w:t>b</w:t>
      </w:r>
      <w:r w:rsidR="00D40B6B" w:rsidRPr="009200D8">
        <w:t xml:space="preserve">one </w:t>
      </w:r>
      <w:r>
        <w:t>d</w:t>
      </w:r>
      <w:r w:rsidR="00D40B6B" w:rsidRPr="009200D8">
        <w:t xml:space="preserve">ensitometry MBS </w:t>
      </w:r>
      <w:r>
        <w:t>i</w:t>
      </w:r>
      <w:r w:rsidR="00D40B6B" w:rsidRPr="009200D8">
        <w:t>tem 12323</w:t>
      </w:r>
      <w:bookmarkEnd w:id="77"/>
      <w:bookmarkEnd w:id="78"/>
      <w:bookmarkEnd w:id="79"/>
    </w:p>
    <w:p w14:paraId="39C3D1FE" w14:textId="77777777" w:rsidR="00D40B6B" w:rsidRPr="009200D8" w:rsidRDefault="00D40B6B" w:rsidP="00061127">
      <w:pPr>
        <w:spacing w:before="120" w:after="120"/>
        <w:rPr>
          <w:rFonts w:cs="Arial"/>
          <w:szCs w:val="22"/>
        </w:rPr>
      </w:pPr>
      <w:r w:rsidRPr="009200D8">
        <w:rPr>
          <w:rFonts w:cs="Arial"/>
          <w:szCs w:val="22"/>
        </w:rPr>
        <w:t xml:space="preserve">The Working Group recommended that an interval restriction be imposed on item 12323. It was noted that when osteoporosis is diagnosed, future testing would occur using other relevant bone densitometry item numbers as the patient would then be eligible to access those item numbers. </w:t>
      </w:r>
    </w:p>
    <w:p w14:paraId="743B1DB2" w14:textId="7F6CEC8B" w:rsidR="00CE2C06" w:rsidRDefault="00D40B6B" w:rsidP="00061127">
      <w:pPr>
        <w:spacing w:before="120" w:after="120"/>
        <w:rPr>
          <w:rFonts w:cs="Arial"/>
          <w:szCs w:val="22"/>
        </w:rPr>
      </w:pPr>
      <w:r w:rsidRPr="009200D8">
        <w:rPr>
          <w:rFonts w:cs="Arial"/>
          <w:szCs w:val="22"/>
        </w:rPr>
        <w:t>It was agreed that a testing interval of 1 year was not reliable to detect change attributable to actual bone</w:t>
      </w:r>
      <w:r w:rsidR="00682323">
        <w:rPr>
          <w:rFonts w:cs="Arial"/>
          <w:szCs w:val="22"/>
        </w:rPr>
        <w:t xml:space="preserve"> loss in the screening setting.</w:t>
      </w:r>
    </w:p>
    <w:p w14:paraId="10BB8F6E" w14:textId="2946E449" w:rsidR="00682323" w:rsidRDefault="00682323" w:rsidP="00061127">
      <w:pPr>
        <w:spacing w:before="120" w:after="120"/>
        <w:rPr>
          <w:rFonts w:cs="Arial"/>
          <w:szCs w:val="22"/>
        </w:rPr>
      </w:pPr>
      <w:r w:rsidRPr="00682323">
        <w:rPr>
          <w:rFonts w:cs="Arial"/>
          <w:szCs w:val="22"/>
        </w:rPr>
        <w:t>This would involve the introduction of new items.</w:t>
      </w:r>
    </w:p>
    <w:p w14:paraId="668210ED" w14:textId="037A74AD" w:rsidR="00CE2C06" w:rsidRDefault="00CE2C06" w:rsidP="002E0FC2">
      <w:pPr>
        <w:pStyle w:val="Rec"/>
      </w:pPr>
      <w:r>
        <w:t>New items for repeat testing</w:t>
      </w:r>
      <w:r w:rsidRPr="00CE2C06">
        <w:t xml:space="preserve"> </w:t>
      </w:r>
      <w:r>
        <w:t>with intervals</w:t>
      </w:r>
    </w:p>
    <w:p w14:paraId="285BCB80" w14:textId="1AEF399E" w:rsidR="00D40B6B" w:rsidRPr="009200D8" w:rsidRDefault="00D40B6B" w:rsidP="00061127">
      <w:pPr>
        <w:spacing w:before="120" w:after="120"/>
        <w:rPr>
          <w:rFonts w:cs="Arial"/>
          <w:szCs w:val="22"/>
        </w:rPr>
      </w:pPr>
      <w:r w:rsidRPr="009200D8">
        <w:rPr>
          <w:rFonts w:cs="Arial"/>
          <w:szCs w:val="22"/>
        </w:rPr>
        <w:t>Working Group members agreed to the following intervals and new items:</w:t>
      </w:r>
    </w:p>
    <w:p w14:paraId="649AB940" w14:textId="039F4CC0" w:rsidR="00D40B6B" w:rsidRPr="00316D32" w:rsidRDefault="00D40B6B" w:rsidP="00490F36">
      <w:pPr>
        <w:pStyle w:val="Bulleted"/>
      </w:pPr>
      <w:r w:rsidRPr="00316D32">
        <w:t>Normal or mild osteopenia (down to T Score of -1.5)</w:t>
      </w:r>
      <w:r w:rsidRPr="00316D32">
        <w:tab/>
        <w:t>1 scan every 5 years</w:t>
      </w:r>
    </w:p>
    <w:p w14:paraId="1EC1BE98" w14:textId="77777777" w:rsidR="00D40B6B" w:rsidRPr="00316D32" w:rsidRDefault="00D40B6B" w:rsidP="00490F36">
      <w:pPr>
        <w:pStyle w:val="Bulleted"/>
      </w:pPr>
      <w:r w:rsidRPr="00316D32">
        <w:t>Moderate to marked osteopenia (T Score of -1.5 to -2.5)</w:t>
      </w:r>
      <w:r w:rsidRPr="00316D32">
        <w:tab/>
        <w:t>1 scan every 2 years</w:t>
      </w:r>
    </w:p>
    <w:p w14:paraId="09B987BE" w14:textId="77777777" w:rsidR="00D40B6B" w:rsidRPr="009200D8" w:rsidRDefault="00D40B6B" w:rsidP="00061127">
      <w:pPr>
        <w:spacing w:before="120" w:after="120"/>
        <w:rPr>
          <w:rFonts w:cs="Arial"/>
          <w:szCs w:val="22"/>
        </w:rPr>
      </w:pPr>
      <w:r w:rsidRPr="009200D8">
        <w:rPr>
          <w:rFonts w:cs="Arial"/>
          <w:szCs w:val="22"/>
        </w:rPr>
        <w:t xml:space="preserve">The </w:t>
      </w:r>
      <w:r w:rsidR="00253F2C">
        <w:rPr>
          <w:rFonts w:cs="Arial"/>
          <w:szCs w:val="22"/>
        </w:rPr>
        <w:t>W</w:t>
      </w:r>
      <w:r w:rsidRPr="00253F2C">
        <w:rPr>
          <w:rFonts w:cs="Arial"/>
          <w:szCs w:val="22"/>
        </w:rPr>
        <w:t xml:space="preserve">orking </w:t>
      </w:r>
      <w:r w:rsidR="00253F2C">
        <w:rPr>
          <w:rFonts w:cs="Arial"/>
          <w:szCs w:val="22"/>
        </w:rPr>
        <w:t>G</w:t>
      </w:r>
      <w:r w:rsidRPr="00253F2C">
        <w:rPr>
          <w:rFonts w:cs="Arial"/>
          <w:szCs w:val="22"/>
        </w:rPr>
        <w:t>roup considered several research papers to inform their decision including Fro</w:t>
      </w:r>
      <w:r w:rsidR="00790CE0" w:rsidRPr="009200D8">
        <w:rPr>
          <w:rFonts w:cs="Arial"/>
          <w:szCs w:val="22"/>
        </w:rPr>
        <w:t xml:space="preserve">st et al 2009 and </w:t>
      </w:r>
      <w:proofErr w:type="spellStart"/>
      <w:r w:rsidR="00790CE0" w:rsidRPr="009200D8">
        <w:rPr>
          <w:rFonts w:cs="Arial"/>
          <w:szCs w:val="22"/>
        </w:rPr>
        <w:t>Goulay</w:t>
      </w:r>
      <w:proofErr w:type="spellEnd"/>
      <w:r w:rsidR="00790CE0" w:rsidRPr="009200D8">
        <w:rPr>
          <w:rFonts w:cs="Arial"/>
          <w:szCs w:val="22"/>
        </w:rPr>
        <w:t xml:space="preserve"> 2012. </w:t>
      </w:r>
      <w:r w:rsidR="00475E69" w:rsidRPr="009200D8">
        <w:rPr>
          <w:rFonts w:cs="Arial"/>
          <w:szCs w:val="22"/>
        </w:rPr>
        <w:t>See Appendix C</w:t>
      </w:r>
      <w:r w:rsidRPr="009200D8">
        <w:rPr>
          <w:rFonts w:cs="Arial"/>
          <w:szCs w:val="22"/>
        </w:rPr>
        <w:t xml:space="preserve"> for more detailed discussion.</w:t>
      </w:r>
    </w:p>
    <w:p w14:paraId="7AD9C8F8" w14:textId="5B72240E" w:rsidR="0026005E" w:rsidRPr="008C18EB" w:rsidRDefault="00D40B6B" w:rsidP="008C18EB">
      <w:pPr>
        <w:spacing w:before="120" w:after="120"/>
        <w:rPr>
          <w:rFonts w:cs="Arial"/>
          <w:szCs w:val="22"/>
        </w:rPr>
      </w:pPr>
      <w:r w:rsidRPr="009200D8">
        <w:rPr>
          <w:rFonts w:cs="Arial"/>
          <w:szCs w:val="22"/>
        </w:rPr>
        <w:t>Following are the draft items descriptors (please note these item descriptors are draft only and may be ame</w:t>
      </w:r>
      <w:bookmarkStart w:id="80" w:name="_Toc457126668"/>
      <w:r w:rsidR="008C18EB">
        <w:rPr>
          <w:rFonts w:cs="Arial"/>
          <w:szCs w:val="22"/>
        </w:rPr>
        <w:t xml:space="preserve">nded prior to implementation). </w:t>
      </w:r>
    </w:p>
    <w:p w14:paraId="6926E45A" w14:textId="0FCFA40C" w:rsidR="00D40B6B" w:rsidRPr="000C7B86" w:rsidRDefault="0016604A" w:rsidP="00FF0018">
      <w:pPr>
        <w:pStyle w:val="Caption"/>
        <w:tabs>
          <w:tab w:val="left" w:pos="851"/>
        </w:tabs>
      </w:pPr>
      <w:r w:rsidRPr="000C7B86">
        <w:t xml:space="preserve">Table </w:t>
      </w:r>
      <w:r w:rsidR="00283153">
        <w:t>1</w:t>
      </w:r>
      <w:r w:rsidR="00D70482">
        <w:t>2</w:t>
      </w:r>
      <w:r w:rsidR="00FF0018">
        <w:t>:</w:t>
      </w:r>
      <w:r w:rsidR="00FF0018">
        <w:tab/>
      </w:r>
      <w:r w:rsidRPr="000C7B86">
        <w:t>Draft item descriptors</w:t>
      </w:r>
      <w:bookmarkEnd w:id="80"/>
      <w:r w:rsidR="00D40B6B" w:rsidRPr="000C7B86">
        <w:t xml:space="preserve"> </w:t>
      </w:r>
    </w:p>
    <w:tbl>
      <w:tblPr>
        <w:tblW w:w="9188" w:type="dxa"/>
        <w:jc w:val="center"/>
        <w:tblBorders>
          <w:top w:val="single" w:sz="4" w:space="0" w:color="B56012"/>
          <w:bottom w:val="single" w:sz="4" w:space="0" w:color="B56012"/>
          <w:insideH w:val="single" w:sz="4" w:space="0" w:color="B56012"/>
        </w:tblBorders>
        <w:tblLayout w:type="fixed"/>
        <w:tblCellMar>
          <w:left w:w="60" w:type="dxa"/>
          <w:right w:w="60" w:type="dxa"/>
        </w:tblCellMar>
        <w:tblLook w:val="0000" w:firstRow="0" w:lastRow="0" w:firstColumn="0" w:lastColumn="0" w:noHBand="0" w:noVBand="0"/>
        <w:tblDescription w:val="Table 12 is an example of how draft items for repeat testing with interval are to be considered.  This table contains 2 column headings: Item and descriptors."/>
      </w:tblPr>
      <w:tblGrid>
        <w:gridCol w:w="1538"/>
        <w:gridCol w:w="7650"/>
      </w:tblGrid>
      <w:tr w:rsidR="00D40B6B" w:rsidRPr="000C7B86" w14:paraId="592362FF" w14:textId="77777777" w:rsidTr="00913CA4">
        <w:trPr>
          <w:tblHeader/>
          <w:jc w:val="center"/>
        </w:trPr>
        <w:tc>
          <w:tcPr>
            <w:tcW w:w="1538" w:type="dxa"/>
            <w:shd w:val="clear" w:color="auto" w:fill="auto"/>
            <w:vAlign w:val="bottom"/>
          </w:tcPr>
          <w:p w14:paraId="14134224" w14:textId="77777777" w:rsidR="00D40B6B" w:rsidRPr="000C7B86" w:rsidRDefault="00D40B6B" w:rsidP="004D72E6">
            <w:pPr>
              <w:spacing w:before="120" w:after="40"/>
              <w:rPr>
                <w:b/>
              </w:rPr>
            </w:pPr>
            <w:r w:rsidRPr="000C7B86">
              <w:rPr>
                <w:b/>
              </w:rPr>
              <w:t>Item</w:t>
            </w:r>
          </w:p>
        </w:tc>
        <w:tc>
          <w:tcPr>
            <w:tcW w:w="7650" w:type="dxa"/>
            <w:shd w:val="clear" w:color="auto" w:fill="auto"/>
          </w:tcPr>
          <w:p w14:paraId="41DD12B4" w14:textId="77777777" w:rsidR="00D40B6B" w:rsidRPr="000C7B86" w:rsidRDefault="00D40B6B" w:rsidP="004D72E6">
            <w:pPr>
              <w:spacing w:before="120" w:after="40"/>
              <w:rPr>
                <w:b/>
              </w:rPr>
            </w:pPr>
            <w:r w:rsidRPr="000C7B86">
              <w:rPr>
                <w:b/>
              </w:rPr>
              <w:t>Descriptor</w:t>
            </w:r>
          </w:p>
        </w:tc>
      </w:tr>
      <w:tr w:rsidR="00D40B6B" w:rsidRPr="00DA7BF2" w14:paraId="6BF6F047" w14:textId="77777777" w:rsidTr="0006464C">
        <w:trPr>
          <w:jc w:val="center"/>
        </w:trPr>
        <w:tc>
          <w:tcPr>
            <w:tcW w:w="1538" w:type="dxa"/>
            <w:shd w:val="clear" w:color="auto" w:fill="auto"/>
          </w:tcPr>
          <w:p w14:paraId="3D99C826" w14:textId="77777777" w:rsidR="00D40B6B" w:rsidRPr="00DA7BF2" w:rsidRDefault="00D40B6B" w:rsidP="004D72E6">
            <w:pPr>
              <w:spacing w:before="120" w:after="40"/>
            </w:pPr>
            <w:r w:rsidRPr="00DA7BF2">
              <w:t>Item No XXXXX</w:t>
            </w:r>
          </w:p>
        </w:tc>
        <w:tc>
          <w:tcPr>
            <w:tcW w:w="7650" w:type="dxa"/>
            <w:shd w:val="clear" w:color="auto" w:fill="auto"/>
          </w:tcPr>
          <w:p w14:paraId="4FA028C7" w14:textId="77777777" w:rsidR="00D40B6B" w:rsidRPr="00DA7BF2" w:rsidRDefault="00D40B6B" w:rsidP="00913CA4">
            <w:pPr>
              <w:pStyle w:val="Bullet1"/>
            </w:pPr>
            <w:r w:rsidRPr="00DA7BF2">
              <w:t xml:space="preserve">Bone densitometry </w:t>
            </w:r>
            <w:r w:rsidRPr="00DA7BF2">
              <w:rPr>
                <w:bCs/>
              </w:rPr>
              <w:t>using dual energy X-ray absorptiometry</w:t>
            </w:r>
            <w:r w:rsidRPr="00DA7BF2">
              <w:t xml:space="preserve"> or </w:t>
            </w:r>
            <w:r w:rsidRPr="00DA7BF2">
              <w:rPr>
                <w:bCs/>
              </w:rPr>
              <w:t>quantitative</w:t>
            </w:r>
            <w:r w:rsidRPr="00DA7BF2">
              <w:t xml:space="preserve"> </w:t>
            </w:r>
            <w:r w:rsidRPr="00DA7BF2">
              <w:rPr>
                <w:bCs/>
              </w:rPr>
              <w:t>computerised tomography</w:t>
            </w:r>
            <w:r w:rsidRPr="00DA7BF2">
              <w:t>, for the measurement of bone mineral density, for a person aged 70 years or over with normal or mild osteopenia.</w:t>
            </w:r>
          </w:p>
          <w:p w14:paraId="4E49455D" w14:textId="77777777" w:rsidR="00D40B6B" w:rsidRPr="00DA7BF2" w:rsidRDefault="00D40B6B" w:rsidP="00913CA4">
            <w:pPr>
              <w:pStyle w:val="Bullet1"/>
            </w:pPr>
            <w:r w:rsidRPr="00DA7BF2">
              <w:t xml:space="preserve">Measurement of 2 or more sites - </w:t>
            </w:r>
            <w:r w:rsidRPr="00DA7BF2">
              <w:rPr>
                <w:bCs/>
              </w:rPr>
              <w:t>1 service only in a period of 60 consecutive months</w:t>
            </w:r>
            <w:r w:rsidRPr="00DA7BF2">
              <w:t xml:space="preserve"> - including interpretation and report; not being a service associated with a service to which item 12306, 12309, 12312, 12315, 12318, 12321 or XXXXX applies (Ministerial Determination).</w:t>
            </w:r>
          </w:p>
        </w:tc>
      </w:tr>
      <w:tr w:rsidR="00D40B6B" w:rsidRPr="00DA7BF2" w14:paraId="24AF96BA" w14:textId="77777777" w:rsidTr="0006464C">
        <w:trPr>
          <w:jc w:val="center"/>
        </w:trPr>
        <w:tc>
          <w:tcPr>
            <w:tcW w:w="1538" w:type="dxa"/>
            <w:shd w:val="clear" w:color="auto" w:fill="auto"/>
          </w:tcPr>
          <w:p w14:paraId="7B6CB86B" w14:textId="77777777" w:rsidR="00D40B6B" w:rsidRPr="00DA7BF2" w:rsidRDefault="00D40B6B" w:rsidP="004D72E6">
            <w:pPr>
              <w:spacing w:before="120" w:after="40"/>
            </w:pPr>
            <w:r w:rsidRPr="00DA7BF2">
              <w:t>Item No XXXXX</w:t>
            </w:r>
          </w:p>
        </w:tc>
        <w:tc>
          <w:tcPr>
            <w:tcW w:w="7650" w:type="dxa"/>
            <w:shd w:val="clear" w:color="auto" w:fill="auto"/>
          </w:tcPr>
          <w:p w14:paraId="14EBDEFA" w14:textId="77777777" w:rsidR="00D40B6B" w:rsidRPr="00DA7BF2" w:rsidRDefault="00D40B6B" w:rsidP="00913CA4">
            <w:pPr>
              <w:pStyle w:val="Bullet1"/>
            </w:pPr>
            <w:r w:rsidRPr="00DA7BF2">
              <w:t xml:space="preserve">Bone densitometry </w:t>
            </w:r>
            <w:r w:rsidRPr="00DA7BF2">
              <w:rPr>
                <w:bCs/>
              </w:rPr>
              <w:t>using dual energy X-ray absorptiometry</w:t>
            </w:r>
            <w:r w:rsidRPr="00DA7BF2">
              <w:t xml:space="preserve"> or </w:t>
            </w:r>
            <w:r w:rsidRPr="00DA7BF2">
              <w:rPr>
                <w:bCs/>
              </w:rPr>
              <w:t>quantitative</w:t>
            </w:r>
            <w:r w:rsidRPr="00DA7BF2">
              <w:t xml:space="preserve"> </w:t>
            </w:r>
            <w:r w:rsidRPr="00DA7BF2">
              <w:rPr>
                <w:bCs/>
              </w:rPr>
              <w:t>computerised tomography</w:t>
            </w:r>
            <w:r w:rsidRPr="00DA7BF2">
              <w:t>, for the measurement of bone mineral density, for a person aged 70 years or over with moderate to marked osteopenia.</w:t>
            </w:r>
          </w:p>
          <w:p w14:paraId="37D5EB45" w14:textId="77777777" w:rsidR="00D40B6B" w:rsidRPr="00DA7BF2" w:rsidRDefault="00D40B6B" w:rsidP="00913CA4">
            <w:pPr>
              <w:pStyle w:val="Bullet1"/>
            </w:pPr>
            <w:r w:rsidRPr="00DA7BF2">
              <w:t xml:space="preserve">Measurement of 2 or more sites - </w:t>
            </w:r>
            <w:r w:rsidRPr="00DA7BF2">
              <w:rPr>
                <w:bCs/>
              </w:rPr>
              <w:t>1 service only in a period of 24 consecutive months</w:t>
            </w:r>
            <w:r w:rsidRPr="00DA7BF2">
              <w:t xml:space="preserve"> - including interpretation and report; not being a service associated with a service to which item 12306, 12309, 12312, 12315, 12318, 12321 or XXXXX applies (Ministerial Determination).</w:t>
            </w:r>
          </w:p>
        </w:tc>
      </w:tr>
    </w:tbl>
    <w:p w14:paraId="7F361D2E" w14:textId="77777777" w:rsidR="00D40B6B" w:rsidRPr="009200D8" w:rsidRDefault="00D40B6B" w:rsidP="00061127">
      <w:pPr>
        <w:spacing w:before="120" w:after="120"/>
        <w:rPr>
          <w:rFonts w:cs="Arial"/>
          <w:szCs w:val="22"/>
        </w:rPr>
      </w:pPr>
      <w:r w:rsidRPr="009200D8">
        <w:rPr>
          <w:rFonts w:cs="Arial"/>
          <w:szCs w:val="22"/>
        </w:rPr>
        <w:t>The definition of ‘normal or mild’ and ‘moderate to marked’ osteopenia, including the T score will be provided in the explanatory note.</w:t>
      </w:r>
    </w:p>
    <w:p w14:paraId="5A0A7614" w14:textId="4900C809" w:rsidR="00E324C1" w:rsidRPr="009D0EED" w:rsidRDefault="00E324C1" w:rsidP="00316D32">
      <w:pPr>
        <w:pStyle w:val="Heading3"/>
      </w:pPr>
      <w:r w:rsidRPr="009D0EED">
        <w:lastRenderedPageBreak/>
        <w:t xml:space="preserve">Introduction of an </w:t>
      </w:r>
      <w:r w:rsidR="00CE2C06">
        <w:t>u</w:t>
      </w:r>
      <w:r w:rsidRPr="009D0EED">
        <w:t xml:space="preserve">pper </w:t>
      </w:r>
      <w:r w:rsidR="00CE2C06">
        <w:t>a</w:t>
      </w:r>
      <w:r w:rsidRPr="009D0EED">
        <w:t xml:space="preserve">ge </w:t>
      </w:r>
      <w:r w:rsidR="00CE2C06">
        <w:t>l</w:t>
      </w:r>
      <w:r w:rsidRPr="009D0EED">
        <w:t xml:space="preserve">imit for Bone Densitometry </w:t>
      </w:r>
      <w:r w:rsidR="00CE2C06">
        <w:t>i</w:t>
      </w:r>
      <w:r w:rsidRPr="009D0EED">
        <w:t>tems</w:t>
      </w:r>
    </w:p>
    <w:p w14:paraId="5E60CD95" w14:textId="51AA22F2" w:rsidR="00E324C1" w:rsidRPr="00984BFF" w:rsidRDefault="00E324C1" w:rsidP="00061127">
      <w:pPr>
        <w:spacing w:before="120" w:after="120"/>
        <w:rPr>
          <w:rFonts w:cs="Arial"/>
        </w:rPr>
      </w:pPr>
      <w:r w:rsidRPr="009D40D0">
        <w:rPr>
          <w:rFonts w:cs="Arial"/>
        </w:rPr>
        <w:t xml:space="preserve">The Working Group discussed whether to introduce an upper age limit for this item. Members noted that there is no evidence to support this and that the Pharmaceutical Benefits Scheme does not have an upper </w:t>
      </w:r>
      <w:r w:rsidR="00790CE0" w:rsidRPr="00984BFF">
        <w:rPr>
          <w:rFonts w:cs="Arial"/>
        </w:rPr>
        <w:t xml:space="preserve">age limit to access treatment. </w:t>
      </w:r>
      <w:r w:rsidR="0024559E">
        <w:rPr>
          <w:rFonts w:cs="Arial"/>
        </w:rPr>
        <w:t>For this reason i</w:t>
      </w:r>
      <w:r w:rsidR="005D2214">
        <w:rPr>
          <w:rFonts w:cs="Arial"/>
        </w:rPr>
        <w:t>t was agreed that there sh</w:t>
      </w:r>
      <w:r w:rsidRPr="00984BFF">
        <w:rPr>
          <w:rFonts w:cs="Arial"/>
        </w:rPr>
        <w:t>ould be no upper age limit introduced for this item.</w:t>
      </w:r>
    </w:p>
    <w:p w14:paraId="11D7E30C" w14:textId="1252D17B" w:rsidR="00CE2C06" w:rsidRPr="009D40D0" w:rsidRDefault="00CE2C06" w:rsidP="00CE2C06">
      <w:pPr>
        <w:pStyle w:val="Heading3"/>
      </w:pPr>
      <w:r>
        <w:t>Fees</w:t>
      </w:r>
      <w:r w:rsidRPr="00CE2C06">
        <w:t xml:space="preserve"> </w:t>
      </w:r>
      <w:r w:rsidRPr="009D0EED">
        <w:t xml:space="preserve">for Bone Densitometry </w:t>
      </w:r>
      <w:r>
        <w:t>i</w:t>
      </w:r>
      <w:r w:rsidRPr="009D0EED">
        <w:t>tems</w:t>
      </w:r>
    </w:p>
    <w:p w14:paraId="42BBB1AF" w14:textId="42C53CDA" w:rsidR="00E324C1" w:rsidRPr="009200D8" w:rsidRDefault="00E324C1" w:rsidP="00061127">
      <w:pPr>
        <w:spacing w:before="120" w:after="120"/>
        <w:rPr>
          <w:rFonts w:cs="Arial"/>
          <w:szCs w:val="22"/>
        </w:rPr>
      </w:pPr>
      <w:r w:rsidRPr="009200D8">
        <w:rPr>
          <w:rFonts w:cs="Arial"/>
          <w:szCs w:val="22"/>
        </w:rPr>
        <w:t>The Working Group also discussed the recent MSAC recommendations in relation to Medicare funded BMD services. The Working Group did not suppor</w:t>
      </w:r>
      <w:r w:rsidR="0024559E">
        <w:rPr>
          <w:rFonts w:cs="Arial"/>
          <w:szCs w:val="22"/>
        </w:rPr>
        <w:t>t any reduction in the schedule</w:t>
      </w:r>
      <w:r w:rsidRPr="009200D8">
        <w:rPr>
          <w:rFonts w:cs="Arial"/>
          <w:szCs w:val="22"/>
        </w:rPr>
        <w:t xml:space="preserve"> fee due to proposed changes to the regulations about the personnel conducting the BMD test. The Working Group agreed that the current fee is reasonable given the level of work required to provide a best practice bone densitometry service. The Working Group also highlighted concerns about a potential fee decrease impacting on the ability of services to provide bone densitometry examinations and the potential for this to lead to patients not accessing services</w:t>
      </w:r>
      <w:r w:rsidR="00790CE0" w:rsidRPr="009200D8">
        <w:rPr>
          <w:rFonts w:cs="Arial"/>
          <w:szCs w:val="22"/>
        </w:rPr>
        <w:t>.</w:t>
      </w:r>
    </w:p>
    <w:p w14:paraId="359C5746" w14:textId="415D7BBD" w:rsidR="00C635A8" w:rsidRPr="009200D8" w:rsidRDefault="00CF1E64" w:rsidP="00316D32">
      <w:pPr>
        <w:pStyle w:val="Heading2Report"/>
      </w:pPr>
      <w:bookmarkStart w:id="81" w:name="_Toc442357873"/>
      <w:bookmarkStart w:id="82" w:name="_Toc443642265"/>
      <w:bookmarkStart w:id="83" w:name="_Toc459707282"/>
      <w:r>
        <w:t>Performance of Medicare funded bone densitometry s</w:t>
      </w:r>
      <w:r w:rsidR="00C635A8" w:rsidRPr="009200D8">
        <w:t>ervices</w:t>
      </w:r>
      <w:bookmarkEnd w:id="81"/>
      <w:bookmarkEnd w:id="82"/>
      <w:bookmarkEnd w:id="83"/>
    </w:p>
    <w:p w14:paraId="49CCE3F5" w14:textId="7510EA9F" w:rsidR="00C635A8" w:rsidRPr="009200D8" w:rsidRDefault="00C635A8" w:rsidP="00061127">
      <w:pPr>
        <w:spacing w:before="120" w:after="120"/>
        <w:rPr>
          <w:rFonts w:cs="Arial"/>
          <w:szCs w:val="22"/>
        </w:rPr>
      </w:pPr>
      <w:r w:rsidRPr="009200D8">
        <w:rPr>
          <w:rFonts w:cs="Arial"/>
          <w:szCs w:val="22"/>
        </w:rPr>
        <w:t>Since BMD was included on the MBS in 1994, the items h</w:t>
      </w:r>
      <w:r w:rsidR="00BB0880">
        <w:rPr>
          <w:rFonts w:cs="Arial"/>
          <w:szCs w:val="22"/>
        </w:rPr>
        <w:t>ave required that the service</w:t>
      </w:r>
      <w:r w:rsidRPr="009200D8">
        <w:rPr>
          <w:rFonts w:cs="Arial"/>
          <w:szCs w:val="22"/>
        </w:rPr>
        <w:t xml:space="preserve"> be personally performed by a specialist or consultant physician (in the practice of his or her speciality).</w:t>
      </w:r>
    </w:p>
    <w:p w14:paraId="54520B70" w14:textId="77777777" w:rsidR="00C635A8" w:rsidRPr="00253F2C" w:rsidRDefault="00C635A8" w:rsidP="00061127">
      <w:pPr>
        <w:spacing w:before="120" w:after="120"/>
        <w:rPr>
          <w:rFonts w:cs="Arial"/>
          <w:szCs w:val="22"/>
        </w:rPr>
      </w:pPr>
      <w:r w:rsidRPr="009200D8">
        <w:rPr>
          <w:rFonts w:cs="Arial"/>
          <w:szCs w:val="22"/>
        </w:rPr>
        <w:t xml:space="preserve">At </w:t>
      </w:r>
      <w:r w:rsidR="00253F2C">
        <w:rPr>
          <w:rFonts w:cs="Arial"/>
          <w:szCs w:val="22"/>
        </w:rPr>
        <w:t>the</w:t>
      </w:r>
      <w:r w:rsidRPr="00253F2C">
        <w:rPr>
          <w:rFonts w:cs="Arial"/>
          <w:szCs w:val="22"/>
        </w:rPr>
        <w:t xml:space="preserve"> November 2014 meetings MSAC assessed a number of BMD related applications and in its advice to the Minister, supported amending the BMD items to allow trained technicians to perform a DEXA scan. In order to define what a trained technician should be, it was decided that state and territory licensing requirements could be used.</w:t>
      </w:r>
    </w:p>
    <w:p w14:paraId="6A8DB4EE" w14:textId="77777777" w:rsidR="00C635A8" w:rsidRPr="009200D8" w:rsidRDefault="00C635A8" w:rsidP="00061127">
      <w:pPr>
        <w:spacing w:before="120" w:after="120"/>
        <w:rPr>
          <w:rFonts w:cs="Arial"/>
          <w:szCs w:val="22"/>
        </w:rPr>
      </w:pPr>
      <w:r w:rsidRPr="009200D8">
        <w:rPr>
          <w:rFonts w:cs="Arial"/>
          <w:szCs w:val="22"/>
        </w:rPr>
        <w:t>The Bone Densitometry Working Group noted that it is not currently standard practice, and has not been usual historical practice, for specialists or consultant physicians to perform DEXA scans. Working Group members advised that in line with best practice in the USA and Europe it is the usual practice that DEXA is performed by technologists and reported by a qualified specialist or consultant physician.</w:t>
      </w:r>
    </w:p>
    <w:p w14:paraId="59630838" w14:textId="216E5F44" w:rsidR="00E324C1" w:rsidRPr="009D40D0" w:rsidRDefault="00E324C1" w:rsidP="00316D32">
      <w:pPr>
        <w:pStyle w:val="Heading3"/>
      </w:pPr>
      <w:bookmarkStart w:id="84" w:name="_Toc442357874"/>
      <w:bookmarkStart w:id="85" w:name="_Toc443642266"/>
      <w:r w:rsidRPr="009D0EED">
        <w:t xml:space="preserve">State and </w:t>
      </w:r>
      <w:r w:rsidR="00010BBD">
        <w:t>t</w:t>
      </w:r>
      <w:r w:rsidRPr="009D0EED">
        <w:t xml:space="preserve">erritory </w:t>
      </w:r>
      <w:r w:rsidR="00CE2C06">
        <w:t>r</w:t>
      </w:r>
      <w:r w:rsidRPr="009D0EED">
        <w:t xml:space="preserve">adiation </w:t>
      </w:r>
      <w:bookmarkEnd w:id="84"/>
      <w:bookmarkEnd w:id="85"/>
      <w:r w:rsidR="00CE2C06">
        <w:t>l</w:t>
      </w:r>
      <w:r w:rsidRPr="009D0EED">
        <w:t>icenses</w:t>
      </w:r>
    </w:p>
    <w:p w14:paraId="473F2C8D" w14:textId="4B8A9EEA" w:rsidR="00E324C1" w:rsidRPr="009200D8" w:rsidRDefault="00E324C1" w:rsidP="00061127">
      <w:pPr>
        <w:spacing w:before="120" w:after="120"/>
        <w:rPr>
          <w:rFonts w:cs="Arial"/>
          <w:szCs w:val="22"/>
        </w:rPr>
      </w:pPr>
      <w:r w:rsidRPr="009200D8">
        <w:rPr>
          <w:rFonts w:cs="Arial"/>
          <w:szCs w:val="22"/>
        </w:rPr>
        <w:t xml:space="preserve">Each </w:t>
      </w:r>
      <w:proofErr w:type="spellStart"/>
      <w:r w:rsidR="00010BBD">
        <w:rPr>
          <w:rFonts w:cs="Arial"/>
          <w:szCs w:val="22"/>
        </w:rPr>
        <w:t>s</w:t>
      </w:r>
      <w:r w:rsidRPr="009200D8">
        <w:rPr>
          <w:rFonts w:cs="Arial"/>
          <w:szCs w:val="22"/>
        </w:rPr>
        <w:t>ate</w:t>
      </w:r>
      <w:proofErr w:type="spellEnd"/>
      <w:r w:rsidRPr="009200D8">
        <w:rPr>
          <w:rFonts w:cs="Arial"/>
          <w:szCs w:val="22"/>
        </w:rPr>
        <w:t xml:space="preserve"> and </w:t>
      </w:r>
      <w:r w:rsidR="00010BBD">
        <w:rPr>
          <w:rFonts w:cs="Arial"/>
          <w:szCs w:val="22"/>
        </w:rPr>
        <w:t>t</w:t>
      </w:r>
      <w:r w:rsidRPr="009200D8">
        <w:rPr>
          <w:rFonts w:cs="Arial"/>
          <w:szCs w:val="22"/>
        </w:rPr>
        <w:t xml:space="preserve">erritory has licence requirements for the operation of a radiation apparatus and </w:t>
      </w:r>
      <w:r w:rsidR="00BB0880" w:rsidRPr="009200D8">
        <w:rPr>
          <w:rFonts w:cs="Arial"/>
          <w:szCs w:val="22"/>
        </w:rPr>
        <w:t>requires</w:t>
      </w:r>
      <w:r w:rsidRPr="009200D8">
        <w:rPr>
          <w:rFonts w:cs="Arial"/>
          <w:szCs w:val="22"/>
        </w:rPr>
        <w:t xml:space="preserve"> the licensee to complete specific bone densitometry training courses, such as the Australian and New Zealand Bone Mineral Society / Densitometry training or the </w:t>
      </w:r>
      <w:proofErr w:type="spellStart"/>
      <w:r w:rsidRPr="009200D8">
        <w:rPr>
          <w:rFonts w:cs="Arial"/>
          <w:szCs w:val="22"/>
        </w:rPr>
        <w:t>InMed</w:t>
      </w:r>
      <w:proofErr w:type="spellEnd"/>
      <w:r w:rsidRPr="009200D8">
        <w:rPr>
          <w:rFonts w:cs="Arial"/>
          <w:szCs w:val="22"/>
        </w:rPr>
        <w:t xml:space="preserve"> Pty Ltd / DEXA radiation safety course. </w:t>
      </w:r>
    </w:p>
    <w:p w14:paraId="5D9CFFC0" w14:textId="5EF5CCBC" w:rsidR="00E324C1" w:rsidRPr="009200D8" w:rsidRDefault="00E324C1" w:rsidP="00061127">
      <w:pPr>
        <w:spacing w:before="120" w:after="120"/>
        <w:rPr>
          <w:rFonts w:cs="Arial"/>
          <w:szCs w:val="22"/>
        </w:rPr>
      </w:pPr>
      <w:r w:rsidRPr="009200D8">
        <w:rPr>
          <w:rFonts w:cs="Arial"/>
          <w:szCs w:val="22"/>
        </w:rPr>
        <w:t xml:space="preserve">The Working Group agreed that the </w:t>
      </w:r>
      <w:r w:rsidR="00010BBD">
        <w:rPr>
          <w:rFonts w:cs="Arial"/>
          <w:szCs w:val="22"/>
        </w:rPr>
        <w:t>s</w:t>
      </w:r>
      <w:r w:rsidRPr="009200D8">
        <w:rPr>
          <w:rFonts w:cs="Arial"/>
          <w:szCs w:val="22"/>
        </w:rPr>
        <w:t xml:space="preserve">tate and </w:t>
      </w:r>
      <w:r w:rsidR="00010BBD">
        <w:rPr>
          <w:rFonts w:cs="Arial"/>
          <w:szCs w:val="22"/>
        </w:rPr>
        <w:t>t</w:t>
      </w:r>
      <w:r w:rsidRPr="009200D8">
        <w:rPr>
          <w:rFonts w:cs="Arial"/>
          <w:szCs w:val="22"/>
        </w:rPr>
        <w:t xml:space="preserve">erritory radiation licence requirements provided a level of certainty and training required for those performing bone densitometry services and recommended that the item descriptor for Medicare-funded DEXA services should reflect the licence requirements for the </w:t>
      </w:r>
      <w:r w:rsidR="00790CE0" w:rsidRPr="009200D8">
        <w:rPr>
          <w:rFonts w:cs="Arial"/>
          <w:szCs w:val="22"/>
        </w:rPr>
        <w:t>person performing the services.</w:t>
      </w:r>
    </w:p>
    <w:p w14:paraId="6B0C637B" w14:textId="02032C75" w:rsidR="00E324C1" w:rsidRPr="009200D8" w:rsidRDefault="00E324C1" w:rsidP="00061127">
      <w:pPr>
        <w:spacing w:before="120" w:after="120"/>
        <w:rPr>
          <w:rFonts w:cs="Arial"/>
          <w:szCs w:val="22"/>
        </w:rPr>
      </w:pPr>
      <w:r w:rsidRPr="009200D8">
        <w:rPr>
          <w:rFonts w:cs="Arial"/>
          <w:szCs w:val="22"/>
        </w:rPr>
        <w:t xml:space="preserve">State and </w:t>
      </w:r>
      <w:r w:rsidR="00010BBD">
        <w:rPr>
          <w:rFonts w:cs="Arial"/>
          <w:szCs w:val="22"/>
        </w:rPr>
        <w:t>t</w:t>
      </w:r>
      <w:r w:rsidRPr="009200D8">
        <w:rPr>
          <w:rFonts w:cs="Arial"/>
          <w:szCs w:val="22"/>
        </w:rPr>
        <w:t xml:space="preserve">erritory law requires people who use radiation apparatuses to demonstrate to that they have appropriate knowledge of the principles and practices of radiation safety and protection, and experience applicable to the activities proposed to be carried out, in order to hold a radiation </w:t>
      </w:r>
      <w:r w:rsidRPr="009200D8">
        <w:rPr>
          <w:rFonts w:cs="Arial"/>
          <w:szCs w:val="22"/>
        </w:rPr>
        <w:lastRenderedPageBreak/>
        <w:t>licence. Licence condition codes exist for bone mineral or body composition analysis, using dual energy x-ray absorptiometry machines, with specific pre requisites and DEXA course requirements.</w:t>
      </w:r>
    </w:p>
    <w:p w14:paraId="555153C1" w14:textId="77777777" w:rsidR="00E324C1" w:rsidRPr="009D40D0" w:rsidRDefault="00E324C1" w:rsidP="002E0FC2">
      <w:pPr>
        <w:pStyle w:val="Rec"/>
        <w:ind w:left="2127" w:hanging="2127"/>
      </w:pPr>
      <w:bookmarkStart w:id="86" w:name="_Toc442357875"/>
      <w:bookmarkStart w:id="87" w:name="_Toc443642267"/>
      <w:r w:rsidRPr="009D0EED">
        <w:t>Proposed item descriptor dual energy X ray absorptiometry (DEXA) (items 12306, 12312, 12315,</w:t>
      </w:r>
      <w:bookmarkEnd w:id="86"/>
      <w:r w:rsidRPr="009D0EED">
        <w:t xml:space="preserve"> </w:t>
      </w:r>
      <w:bookmarkStart w:id="88" w:name="_Toc442357876"/>
      <w:r w:rsidRPr="009D0EED">
        <w:t>12321 and 12323)</w:t>
      </w:r>
      <w:bookmarkEnd w:id="87"/>
      <w:bookmarkEnd w:id="88"/>
    </w:p>
    <w:p w14:paraId="2C06E683" w14:textId="77777777" w:rsidR="00E324C1" w:rsidRDefault="00E324C1" w:rsidP="00061127">
      <w:pPr>
        <w:spacing w:before="120" w:after="120"/>
        <w:rPr>
          <w:rFonts w:cs="Arial"/>
          <w:szCs w:val="22"/>
        </w:rPr>
      </w:pPr>
      <w:r w:rsidRPr="009200D8">
        <w:rPr>
          <w:rFonts w:cs="Arial"/>
          <w:szCs w:val="22"/>
        </w:rPr>
        <w:t xml:space="preserve">The proposed item descriptor for Medicare-funded DEXA services reflect the licence requirements for the person performing the services and that the interpretation and report must be provided by a specialist or consultant physician. </w:t>
      </w:r>
    </w:p>
    <w:p w14:paraId="7D9E6E21" w14:textId="77777777" w:rsidR="0067727F" w:rsidRDefault="0067727F" w:rsidP="002A2507">
      <w:pPr>
        <w:pBdr>
          <w:top w:val="single" w:sz="12" w:space="1" w:color="984806" w:themeColor="accent6" w:themeShade="80"/>
          <w:left w:val="single" w:sz="12" w:space="4" w:color="984806" w:themeColor="accent6" w:themeShade="80"/>
          <w:bottom w:val="single" w:sz="12" w:space="1" w:color="984806" w:themeColor="accent6" w:themeShade="80"/>
          <w:right w:val="single" w:sz="12" w:space="4" w:color="984806" w:themeColor="accent6" w:themeShade="80"/>
        </w:pBdr>
        <w:spacing w:before="120" w:after="120"/>
        <w:rPr>
          <w:rFonts w:cs="Arial"/>
          <w:szCs w:val="22"/>
        </w:rPr>
      </w:pPr>
      <w:r w:rsidRPr="00DA7BF2">
        <w:rPr>
          <w:rFonts w:cs="Arial"/>
          <w:i/>
          <w:szCs w:val="22"/>
        </w:rPr>
        <w:t>Bone densitometry (performed by a person who holds a radiation licence under a law of a State or Territory, who is under the supervision of a medical practitioner and where the patient is referred by another medical practitioner), using dual energy X ray absorptiometry, for:</w:t>
      </w:r>
    </w:p>
    <w:p w14:paraId="37C2D9FA" w14:textId="41F3E412" w:rsidR="0067727F" w:rsidRDefault="0067727F" w:rsidP="002A2507">
      <w:pPr>
        <w:pBdr>
          <w:top w:val="single" w:sz="12" w:space="1" w:color="984806" w:themeColor="accent6" w:themeShade="80"/>
          <w:left w:val="single" w:sz="12" w:space="4" w:color="984806" w:themeColor="accent6" w:themeShade="80"/>
          <w:bottom w:val="single" w:sz="12" w:space="1" w:color="984806" w:themeColor="accent6" w:themeShade="80"/>
          <w:right w:val="single" w:sz="12" w:space="4" w:color="984806" w:themeColor="accent6" w:themeShade="80"/>
        </w:pBdr>
        <w:spacing w:before="120" w:after="120"/>
        <w:rPr>
          <w:rFonts w:cs="Arial"/>
          <w:szCs w:val="22"/>
        </w:rPr>
      </w:pPr>
      <w:r w:rsidRPr="00DA7BF2">
        <w:rPr>
          <w:rFonts w:cs="Arial"/>
          <w:i/>
          <w:szCs w:val="22"/>
        </w:rPr>
        <w:t>Measurement of 2 or more sites – X service only in a period of XX months includin</w:t>
      </w:r>
      <w:r>
        <w:rPr>
          <w:rFonts w:cs="Arial"/>
          <w:i/>
          <w:szCs w:val="22"/>
        </w:rPr>
        <w:t xml:space="preserve">g </w:t>
      </w:r>
      <w:r w:rsidRPr="00DA7BF2">
        <w:rPr>
          <w:rFonts w:cs="Arial"/>
          <w:i/>
          <w:szCs w:val="22"/>
        </w:rPr>
        <w:t>interpretation and report by a specialist or consultant physician; not being a service associated with a service to which item XX applies.</w:t>
      </w:r>
    </w:p>
    <w:p w14:paraId="069929DC" w14:textId="4EFBF104" w:rsidR="00E324C1" w:rsidRPr="009D40D0" w:rsidRDefault="00E324C1" w:rsidP="002E0FC2">
      <w:pPr>
        <w:pStyle w:val="Rec"/>
        <w:ind w:left="2127" w:hanging="2127"/>
      </w:pPr>
      <w:bookmarkStart w:id="89" w:name="_Toc442357877"/>
      <w:bookmarkStart w:id="90" w:name="_Toc443642268"/>
      <w:r w:rsidRPr="009D0EED">
        <w:t>Proposed item descriptor quantitative computerised tomography (QCT) (items 12309 and 12318)</w:t>
      </w:r>
      <w:bookmarkEnd w:id="89"/>
      <w:bookmarkEnd w:id="90"/>
    </w:p>
    <w:p w14:paraId="3CE78AEE" w14:textId="77777777" w:rsidR="00E324C1" w:rsidRPr="009200D8" w:rsidRDefault="00E324C1" w:rsidP="00061127">
      <w:pPr>
        <w:spacing w:before="120" w:after="120"/>
        <w:rPr>
          <w:rFonts w:cs="Arial"/>
          <w:szCs w:val="22"/>
        </w:rPr>
      </w:pPr>
      <w:r w:rsidRPr="009200D8">
        <w:rPr>
          <w:rFonts w:cs="Arial"/>
          <w:szCs w:val="22"/>
        </w:rPr>
        <w:t xml:space="preserve">The Working Group agreed that medical radiation practitioners should perform QCT scans under the supervision of an appropriate specialist or consultant physician, which could be on or off site, but would include the ability to provide contemporary/real time review of images as they were produced to ensure adequacy. </w:t>
      </w:r>
    </w:p>
    <w:p w14:paraId="19C9942C" w14:textId="77777777" w:rsidR="00E324C1" w:rsidRDefault="00E324C1" w:rsidP="00061127">
      <w:pPr>
        <w:spacing w:before="120" w:after="120"/>
        <w:rPr>
          <w:rFonts w:cs="Arial"/>
          <w:szCs w:val="22"/>
        </w:rPr>
      </w:pPr>
      <w:r w:rsidRPr="009200D8">
        <w:rPr>
          <w:rFonts w:cs="Arial"/>
          <w:szCs w:val="22"/>
        </w:rPr>
        <w:t xml:space="preserve">It was agreed by the Working Group that the proposed item descriptor for Medicare-funded QCT services reflect the qualification requirements for the person performing the services and that the interpretation and report must be provided by a specialist or consultant physician. </w:t>
      </w:r>
    </w:p>
    <w:p w14:paraId="62978FD4" w14:textId="43CD6683" w:rsidR="00B85103" w:rsidRDefault="00B85103" w:rsidP="00B85103">
      <w:pPr>
        <w:pBdr>
          <w:top w:val="single" w:sz="12" w:space="1" w:color="984806" w:themeColor="accent6" w:themeShade="80"/>
          <w:left w:val="single" w:sz="12" w:space="4" w:color="984806" w:themeColor="accent6" w:themeShade="80"/>
          <w:bottom w:val="single" w:sz="12" w:space="1" w:color="984806" w:themeColor="accent6" w:themeShade="80"/>
          <w:right w:val="single" w:sz="12" w:space="4" w:color="984806" w:themeColor="accent6" w:themeShade="80"/>
        </w:pBdr>
        <w:spacing w:before="120" w:after="120"/>
        <w:rPr>
          <w:rFonts w:cs="Arial"/>
          <w:szCs w:val="22"/>
        </w:rPr>
      </w:pPr>
      <w:r w:rsidRPr="00DA7BF2">
        <w:rPr>
          <w:rFonts w:cs="Arial"/>
          <w:i/>
          <w:szCs w:val="22"/>
        </w:rPr>
        <w:t>Bone densitometry (performed by a person registered as a medical radiation practitioner under a law of a State or Territory, where the patient is referred by another a medical practitioner), using quantitative computerised tomography, for:</w:t>
      </w:r>
    </w:p>
    <w:p w14:paraId="6B75AF60" w14:textId="5372BAC9" w:rsidR="00B85103" w:rsidRDefault="00B85103" w:rsidP="00B85103">
      <w:pPr>
        <w:pBdr>
          <w:top w:val="single" w:sz="12" w:space="1" w:color="984806" w:themeColor="accent6" w:themeShade="80"/>
          <w:left w:val="single" w:sz="12" w:space="4" w:color="984806" w:themeColor="accent6" w:themeShade="80"/>
          <w:bottom w:val="single" w:sz="12" w:space="1" w:color="984806" w:themeColor="accent6" w:themeShade="80"/>
          <w:right w:val="single" w:sz="12" w:space="4" w:color="984806" w:themeColor="accent6" w:themeShade="80"/>
        </w:pBdr>
        <w:spacing w:before="120" w:after="120"/>
        <w:rPr>
          <w:rFonts w:cs="Arial"/>
          <w:szCs w:val="22"/>
        </w:rPr>
      </w:pPr>
      <w:r w:rsidRPr="00DA7BF2">
        <w:rPr>
          <w:rFonts w:cs="Arial"/>
          <w:i/>
          <w:szCs w:val="22"/>
        </w:rPr>
        <w:t>Measurement of 2 or more sites – X service only in a period of XX months including interpretation and report by a specialist physician or consultant physician; not being a service associated with a service to which item XX applies</w:t>
      </w:r>
      <w:r>
        <w:rPr>
          <w:rFonts w:cs="Arial"/>
          <w:i/>
          <w:szCs w:val="22"/>
        </w:rPr>
        <w:t>.</w:t>
      </w:r>
    </w:p>
    <w:p w14:paraId="05BA0E3D" w14:textId="01E948AE" w:rsidR="00B05E6E" w:rsidRPr="009D40D0" w:rsidRDefault="00B05E6E" w:rsidP="00B05E6E">
      <w:pPr>
        <w:pStyle w:val="Rec"/>
        <w:ind w:left="2127" w:hanging="2127"/>
      </w:pPr>
      <w:r>
        <w:t>Interpretation and report provided by a specialist or consultant physician</w:t>
      </w:r>
      <w:r w:rsidRPr="009D0EED">
        <w:t xml:space="preserve"> </w:t>
      </w:r>
      <w:r w:rsidR="00061FC2">
        <w:t>(items 12306, 12309,12312,12315,12318,12321 and 12323)</w:t>
      </w:r>
    </w:p>
    <w:p w14:paraId="4AD1DECA" w14:textId="5F553F76" w:rsidR="00E324C1" w:rsidRPr="004D72E6" w:rsidRDefault="00E324C1" w:rsidP="00061127">
      <w:pPr>
        <w:spacing w:before="120" w:after="120"/>
        <w:rPr>
          <w:rFonts w:cs="Arial"/>
          <w:i/>
          <w:szCs w:val="22"/>
        </w:rPr>
      </w:pPr>
      <w:r w:rsidRPr="009200D8">
        <w:rPr>
          <w:rFonts w:cs="Arial"/>
          <w:szCs w:val="22"/>
        </w:rPr>
        <w:t>Members also agreed that the interpretation and report must be provided by a specialist or consultant physician. Members discussed whether the specialist or consultant physician providing the report and interpretation should have specific bone densitometry training or other requirements, and whether this should this be included in the item descriptor.</w:t>
      </w:r>
    </w:p>
    <w:p w14:paraId="705CD208" w14:textId="77777777" w:rsidR="00E324C1" w:rsidRPr="009200D8" w:rsidRDefault="00E324C1" w:rsidP="00061127">
      <w:pPr>
        <w:spacing w:before="120" w:after="120"/>
        <w:rPr>
          <w:rFonts w:cs="Arial"/>
          <w:szCs w:val="22"/>
        </w:rPr>
      </w:pPr>
      <w:r w:rsidRPr="009200D8">
        <w:rPr>
          <w:rFonts w:cs="Arial"/>
          <w:szCs w:val="22"/>
        </w:rPr>
        <w:t xml:space="preserve">The Working Group agreed that Colleges would be in the best position to address this. It was agreed that there should be a requirement that the specialist or consultant physician providing the report </w:t>
      </w:r>
      <w:r w:rsidRPr="009200D8">
        <w:rPr>
          <w:rFonts w:cs="Arial"/>
          <w:szCs w:val="22"/>
        </w:rPr>
        <w:lastRenderedPageBreak/>
        <w:t>and interpretation should have training in DEXA provision as considered appropriate by their relevant college.</w:t>
      </w:r>
    </w:p>
    <w:p w14:paraId="31794312" w14:textId="4F8D23CE" w:rsidR="00ED0D10" w:rsidRPr="00ED0D10" w:rsidRDefault="00ED0D10" w:rsidP="00ED0D10">
      <w:pPr>
        <w:pStyle w:val="Heading2Report"/>
      </w:pPr>
      <w:bookmarkStart w:id="91" w:name="_Toc459707283"/>
      <w:r w:rsidRPr="00ED0D10">
        <w:t>Site Measurements for QCT and DEXA Items</w:t>
      </w:r>
      <w:bookmarkEnd w:id="91"/>
    </w:p>
    <w:p w14:paraId="140EE0E9" w14:textId="2BD50873" w:rsidR="00ED0D10" w:rsidRPr="00ED0D10" w:rsidRDefault="00ED0D10" w:rsidP="00AA7F29">
      <w:pPr>
        <w:rPr>
          <w:lang w:val="en-US"/>
        </w:rPr>
      </w:pPr>
      <w:r w:rsidRPr="00ED0D10">
        <w:rPr>
          <w:lang w:val="en-US"/>
        </w:rPr>
        <w:t>Member</w:t>
      </w:r>
      <w:r w:rsidR="00283153">
        <w:rPr>
          <w:lang w:val="en-US"/>
        </w:rPr>
        <w:t>s</w:t>
      </w:r>
      <w:r w:rsidRPr="00ED0D10">
        <w:rPr>
          <w:lang w:val="en-US"/>
        </w:rPr>
        <w:t xml:space="preserve"> also discussed, in relation to the QCT and DEXA items, whether to specify that the two or more sites listed in the item descriptor should include spine and hip. Members discussed the exceptions to this and agreed for the Department of Health to investigate the most appropriate way of addressing this in the regulations.</w:t>
      </w:r>
    </w:p>
    <w:p w14:paraId="19D6F62E" w14:textId="77777777" w:rsidR="00ED0D10" w:rsidRPr="00ED0D10" w:rsidRDefault="00ED0D10" w:rsidP="00AA7F29">
      <w:pPr>
        <w:rPr>
          <w:lang w:val="en-US"/>
        </w:rPr>
      </w:pPr>
      <w:r w:rsidRPr="00ED0D10">
        <w:rPr>
          <w:lang w:val="en-US"/>
        </w:rPr>
        <w:t>This issue is currently addressed in the Bone Densitometry explanatory notes where it states that:</w:t>
      </w:r>
    </w:p>
    <w:p w14:paraId="64381DCD" w14:textId="6FF6CA38" w:rsidR="00ED0D10" w:rsidRPr="00ED0D10" w:rsidRDefault="00ED0D10" w:rsidP="00AA7F29">
      <w:pPr>
        <w:pStyle w:val="Quote"/>
      </w:pPr>
      <w:r w:rsidRPr="00AA7F29">
        <w:t>An examination under any of these items covers the measurement of 2 or more sites, interpretation and provision of a report; all performed by a specialist or consultant physician in the practice of his or her specialty. Two or more sites must include the measurement of bone density of the lumbar spine and proximal femur. If technical difficulties preclude measurement at these sites, other sites can be used for the purpose of measurements. The measurement of bone mineral density at either forearms or both heels or in combination is excluded for the purpose of Medicare benefit.</w:t>
      </w:r>
    </w:p>
    <w:p w14:paraId="57DC34B6" w14:textId="0C90778B" w:rsidR="00ED0D10" w:rsidRPr="00ED0D10" w:rsidRDefault="00ED0D10" w:rsidP="00AA7F29">
      <w:pPr>
        <w:pStyle w:val="Rec"/>
        <w:rPr>
          <w:lang w:val="en-US"/>
        </w:rPr>
      </w:pPr>
      <w:r w:rsidRPr="00ED0D10">
        <w:rPr>
          <w:lang w:val="en-US"/>
        </w:rPr>
        <w:t>Site measurements for QCT and DEXA items</w:t>
      </w:r>
    </w:p>
    <w:p w14:paraId="6764D81D" w14:textId="35DF11E5" w:rsidR="00316D32" w:rsidRPr="00B85103" w:rsidRDefault="00ED0D10" w:rsidP="00AA7F29">
      <w:pPr>
        <w:rPr>
          <w:rFonts w:eastAsiaTheme="minorHAnsi"/>
        </w:rPr>
      </w:pPr>
      <w:r w:rsidRPr="00ED0D10">
        <w:rPr>
          <w:lang w:val="en-US"/>
        </w:rPr>
        <w:t>Members agreed that the Department will undertake further work to determine the most appropriate way to include the measurement of spine and hip in the item descriptor for QCT and DEXA items.</w:t>
      </w:r>
      <w:r w:rsidR="00316D32" w:rsidRPr="00D86A21">
        <w:br w:type="page"/>
      </w:r>
    </w:p>
    <w:p w14:paraId="4A0E20BB" w14:textId="48931E62" w:rsidR="00885AEE" w:rsidRPr="009200D8" w:rsidRDefault="007F178F" w:rsidP="00061127">
      <w:pPr>
        <w:pStyle w:val="Heading1"/>
      </w:pPr>
      <w:bookmarkStart w:id="92" w:name="_Toc459707284"/>
      <w:r w:rsidRPr="009200D8">
        <w:lastRenderedPageBreak/>
        <w:t>Impact Statement</w:t>
      </w:r>
      <w:bookmarkEnd w:id="92"/>
    </w:p>
    <w:p w14:paraId="1B0A750F" w14:textId="4A3F5523" w:rsidR="00C635A8" w:rsidRPr="00815635" w:rsidRDefault="00C635A8" w:rsidP="00815635">
      <w:r w:rsidRPr="00815635">
        <w:t>The introduction of an interval for repeat testing for item 12323 is expected to have minimal impact on providers or patients. Whilst patients over 70 will no longer be able to access Medicare funded BMD services annually, they will still be able to access clinically appropriate BMD services.</w:t>
      </w:r>
    </w:p>
    <w:p w14:paraId="7B399318" w14:textId="77777777" w:rsidR="00C635A8" w:rsidRPr="00815635" w:rsidRDefault="00C635A8" w:rsidP="00815635">
      <w:r w:rsidRPr="00815635">
        <w:t>This change would align the arrangements for 12323 with other BMD items, which already have repeat testing intervals.</w:t>
      </w:r>
    </w:p>
    <w:p w14:paraId="6ACCE6F8" w14:textId="70E4F7C2" w:rsidR="00A66B73" w:rsidRPr="00B85103" w:rsidRDefault="00C635A8" w:rsidP="00815635">
      <w:pPr>
        <w:rPr>
          <w:rFonts w:eastAsiaTheme="minorHAnsi"/>
        </w:rPr>
      </w:pPr>
      <w:r w:rsidRPr="00815635">
        <w:t>The recommendations around the level of qualifications an operator should not have an impact on providers or patients as DEXA operators are already required by State and Territory regulations to have this level of qualification in order to perform the service.</w:t>
      </w:r>
      <w:r w:rsidR="00A66B73" w:rsidRPr="00B85103">
        <w:br w:type="page"/>
      </w:r>
    </w:p>
    <w:p w14:paraId="253CBB66" w14:textId="029D2B3A" w:rsidR="00686517" w:rsidRPr="00913CA4" w:rsidRDefault="00A66B73" w:rsidP="00061127">
      <w:pPr>
        <w:pStyle w:val="Heading1"/>
      </w:pPr>
      <w:bookmarkStart w:id="93" w:name="_Toc459707285"/>
      <w:r w:rsidRPr="00913CA4">
        <w:lastRenderedPageBreak/>
        <w:t>References</w:t>
      </w:r>
      <w:bookmarkEnd w:id="93"/>
    </w:p>
    <w:p w14:paraId="25EDFB58" w14:textId="77777777" w:rsidR="00A66B73" w:rsidRDefault="00601415" w:rsidP="00061127">
      <w:pPr>
        <w:spacing w:before="120" w:after="120"/>
        <w:rPr>
          <w:rFonts w:cs="Arial"/>
        </w:rPr>
      </w:pPr>
      <w:r w:rsidRPr="009D0EED">
        <w:rPr>
          <w:rFonts w:cs="Arial"/>
        </w:rPr>
        <w:t>This contains references to sources and materials referenced in this report.</w:t>
      </w:r>
    </w:p>
    <w:p w14:paraId="3A0C82A4" w14:textId="1117B789" w:rsidR="00913CA4" w:rsidRPr="00913CA4" w:rsidRDefault="00913CA4" w:rsidP="00913CA4">
      <w:pPr>
        <w:spacing w:before="120" w:after="120"/>
        <w:ind w:left="360" w:hanging="360"/>
      </w:pPr>
      <w:proofErr w:type="spellStart"/>
      <w:r>
        <w:t>i</w:t>
      </w:r>
      <w:proofErr w:type="spellEnd"/>
      <w:r>
        <w:t>.</w:t>
      </w:r>
      <w:r>
        <w:tab/>
      </w:r>
      <w:proofErr w:type="spellStart"/>
      <w:r w:rsidRPr="00913CA4">
        <w:t>Elshaug</w:t>
      </w:r>
      <w:proofErr w:type="spellEnd"/>
      <w:r w:rsidRPr="00913CA4">
        <w:t xml:space="preserve"> A, et al (2012). Over 150 potentially low-value health care practices: an Australian study. Medical Journal of Australia; Vol.197 (10), 556-560.</w:t>
      </w:r>
    </w:p>
    <w:p w14:paraId="5087C9E2" w14:textId="4B7D95CE" w:rsidR="00913CA4" w:rsidRPr="004D72E6" w:rsidRDefault="00913CA4" w:rsidP="00913CA4">
      <w:pPr>
        <w:spacing w:before="120" w:after="120"/>
        <w:ind w:left="426" w:hanging="426"/>
        <w:rPr>
          <w:rFonts w:cs="Arial"/>
        </w:rPr>
      </w:pPr>
      <w:r>
        <w:rPr>
          <w:rFonts w:cs="Arial"/>
        </w:rPr>
        <w:t>ii.</w:t>
      </w:r>
      <w:r>
        <w:rPr>
          <w:rFonts w:cs="Arial"/>
        </w:rPr>
        <w:tab/>
      </w:r>
      <w:r w:rsidRPr="004D72E6">
        <w:rPr>
          <w:rFonts w:cs="Arial"/>
        </w:rPr>
        <w:t>Medicare Benefits Advisory Committee. October 2002. Minute to Medical Services Advisory Committee: MSAC Application No. 1060 Bone Mineral Densitometry Referral- Bone Densitometry</w:t>
      </w:r>
    </w:p>
    <w:p w14:paraId="5C550FB6" w14:textId="1347E1ED" w:rsidR="00913CA4" w:rsidRPr="004D72E6" w:rsidRDefault="00913CA4" w:rsidP="00913CA4">
      <w:pPr>
        <w:spacing w:before="120" w:after="120"/>
        <w:ind w:left="426" w:hanging="426"/>
        <w:rPr>
          <w:rFonts w:cs="Arial"/>
        </w:rPr>
      </w:pPr>
      <w:r>
        <w:rPr>
          <w:rFonts w:cs="Arial"/>
        </w:rPr>
        <w:t>iii.</w:t>
      </w:r>
      <w:r>
        <w:rPr>
          <w:rFonts w:cs="Arial"/>
        </w:rPr>
        <w:tab/>
      </w:r>
      <w:r w:rsidRPr="004D72E6">
        <w:rPr>
          <w:rFonts w:cs="Arial"/>
        </w:rPr>
        <w:t>Medical Services Advisory Committee. [draft] Bone densitometry testing. July 2004. MSAC Reference 19.</w:t>
      </w:r>
    </w:p>
    <w:p w14:paraId="6BB0165A" w14:textId="3A014657" w:rsidR="00913CA4" w:rsidRPr="004D72E6" w:rsidRDefault="00913CA4" w:rsidP="00913CA4">
      <w:pPr>
        <w:spacing w:before="120" w:after="120"/>
        <w:ind w:left="426" w:hanging="426"/>
        <w:rPr>
          <w:rFonts w:cs="Arial"/>
        </w:rPr>
      </w:pPr>
      <w:r>
        <w:rPr>
          <w:rFonts w:cs="Arial"/>
        </w:rPr>
        <w:t>iv.</w:t>
      </w:r>
      <w:r>
        <w:rPr>
          <w:rFonts w:cs="Arial"/>
        </w:rPr>
        <w:tab/>
      </w:r>
      <w:r w:rsidRPr="004D72E6">
        <w:rPr>
          <w:rFonts w:cs="Arial"/>
        </w:rPr>
        <w:t>Osteoporosis Australian. An Application for Increasing the Availability for BMD testing to at-risk groups. September 2006</w:t>
      </w:r>
    </w:p>
    <w:p w14:paraId="45EC3972" w14:textId="7B2AD2C1" w:rsidR="00913CA4" w:rsidRPr="009D0EED" w:rsidRDefault="00913CA4" w:rsidP="00913CA4">
      <w:pPr>
        <w:spacing w:before="120" w:after="120"/>
        <w:ind w:left="426" w:hanging="426"/>
        <w:rPr>
          <w:rFonts w:cs="Arial"/>
        </w:rPr>
      </w:pPr>
      <w:r>
        <w:rPr>
          <w:rFonts w:cs="Arial"/>
        </w:rPr>
        <w:t>v.</w:t>
      </w:r>
      <w:r>
        <w:rPr>
          <w:rFonts w:cs="Arial"/>
        </w:rPr>
        <w:tab/>
      </w:r>
      <w:r w:rsidRPr="004D72E6">
        <w:rPr>
          <w:rFonts w:cs="Arial"/>
        </w:rPr>
        <w:t>Department of Health. MBS Online. http://www.mbsonline.gov.au/internet/mbsonline/publishing.nsf/Content/Home (accessed September 2015).</w:t>
      </w:r>
    </w:p>
    <w:p w14:paraId="3503A1A7" w14:textId="77777777" w:rsidR="004D72E6" w:rsidRDefault="004D72E6" w:rsidP="003F788A">
      <w:pPr>
        <w:spacing w:before="120" w:after="120"/>
        <w:rPr>
          <w:rFonts w:cs="Arial"/>
        </w:rPr>
        <w:sectPr w:rsidR="004D72E6" w:rsidSect="00703DC7">
          <w:footerReference w:type="default" r:id="rId11"/>
          <w:pgSz w:w="11906" w:h="16838" w:code="9"/>
          <w:pgMar w:top="1021" w:right="1440" w:bottom="1021" w:left="1440" w:header="567" w:footer="170" w:gutter="0"/>
          <w:paperSrc w:first="2" w:other="2"/>
          <w:pgNumType w:start="1"/>
          <w:cols w:space="720"/>
          <w:docGrid w:linePitch="326"/>
        </w:sectPr>
      </w:pPr>
    </w:p>
    <w:p w14:paraId="76400C4B" w14:textId="73BA21B0" w:rsidR="00EF59A1" w:rsidRPr="0060697D" w:rsidRDefault="00DE588D" w:rsidP="0060697D">
      <w:pPr>
        <w:pStyle w:val="Heading1"/>
      </w:pPr>
      <w:bookmarkStart w:id="94" w:name="_Toc459707286"/>
      <w:r w:rsidRPr="0060697D">
        <w:lastRenderedPageBreak/>
        <w:t>Glossary</w:t>
      </w:r>
      <w:bookmarkEnd w:id="94"/>
    </w:p>
    <w:tbl>
      <w:tblPr>
        <w:tblStyle w:val="TableGrid3"/>
        <w:tblW w:w="0" w:type="auto"/>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Words and acronyms used in the text, and their meaning."/>
      </w:tblPr>
      <w:tblGrid>
        <w:gridCol w:w="2755"/>
        <w:gridCol w:w="6271"/>
      </w:tblGrid>
      <w:tr w:rsidR="00354181" w:rsidRPr="00984BFF" w14:paraId="2870EBEB" w14:textId="77777777" w:rsidTr="00D70482">
        <w:trPr>
          <w:tblHeader/>
        </w:trPr>
        <w:tc>
          <w:tcPr>
            <w:tcW w:w="2802" w:type="dxa"/>
          </w:tcPr>
          <w:p w14:paraId="12B323D5" w14:textId="1835672A" w:rsidR="00354181" w:rsidRPr="00D70482" w:rsidRDefault="00354181" w:rsidP="0060697D">
            <w:pPr>
              <w:spacing w:before="120" w:after="0"/>
              <w:rPr>
                <w:rStyle w:val="Strong"/>
              </w:rPr>
            </w:pPr>
            <w:r w:rsidRPr="00D70482">
              <w:rPr>
                <w:rStyle w:val="Strong"/>
              </w:rPr>
              <w:t>Acronyms</w:t>
            </w:r>
          </w:p>
        </w:tc>
        <w:tc>
          <w:tcPr>
            <w:tcW w:w="6440" w:type="dxa"/>
          </w:tcPr>
          <w:p w14:paraId="7D7263F0" w14:textId="1007E700" w:rsidR="00354181" w:rsidRPr="00354181" w:rsidRDefault="00354181" w:rsidP="0060697D">
            <w:pPr>
              <w:spacing w:before="120" w:after="0"/>
              <w:rPr>
                <w:rStyle w:val="Strong"/>
              </w:rPr>
            </w:pPr>
            <w:r w:rsidRPr="00354181">
              <w:rPr>
                <w:rStyle w:val="Strong"/>
              </w:rPr>
              <w:t>Descriptions</w:t>
            </w:r>
          </w:p>
        </w:tc>
      </w:tr>
      <w:tr w:rsidR="007D15E7" w:rsidRPr="00984BFF" w14:paraId="43D21BD2" w14:textId="77777777" w:rsidTr="0006464C">
        <w:tc>
          <w:tcPr>
            <w:tcW w:w="2802" w:type="dxa"/>
          </w:tcPr>
          <w:p w14:paraId="12249E66" w14:textId="77777777" w:rsidR="007D15E7" w:rsidRPr="00984BFF" w:rsidRDefault="007D15E7" w:rsidP="0060697D">
            <w:pPr>
              <w:spacing w:before="120" w:after="0"/>
              <w:rPr>
                <w:rFonts w:cs="Arial"/>
                <w:b/>
                <w:szCs w:val="22"/>
              </w:rPr>
            </w:pPr>
            <w:r w:rsidRPr="007D15E7">
              <w:rPr>
                <w:rFonts w:cs="Arial"/>
                <w:b/>
                <w:szCs w:val="22"/>
              </w:rPr>
              <w:t>ANZBMS</w:t>
            </w:r>
          </w:p>
        </w:tc>
        <w:tc>
          <w:tcPr>
            <w:tcW w:w="6440" w:type="dxa"/>
          </w:tcPr>
          <w:p w14:paraId="21DD59FE" w14:textId="77777777" w:rsidR="007D15E7" w:rsidRDefault="007D15E7" w:rsidP="0060697D">
            <w:pPr>
              <w:spacing w:before="120" w:after="0"/>
              <w:rPr>
                <w:rFonts w:cs="Arial"/>
                <w:color w:val="000000" w:themeColor="text1"/>
                <w:szCs w:val="22"/>
              </w:rPr>
            </w:pPr>
            <w:r w:rsidRPr="007D15E7">
              <w:rPr>
                <w:rFonts w:cs="Arial"/>
                <w:color w:val="000000" w:themeColor="text1"/>
                <w:szCs w:val="22"/>
              </w:rPr>
              <w:t>Australian and New Zealand Bone and Mineral Society</w:t>
            </w:r>
          </w:p>
        </w:tc>
      </w:tr>
      <w:tr w:rsidR="00FB69AB" w:rsidRPr="00984BFF" w14:paraId="3A168FD0" w14:textId="77777777" w:rsidTr="0006464C">
        <w:tc>
          <w:tcPr>
            <w:tcW w:w="2802" w:type="dxa"/>
          </w:tcPr>
          <w:p w14:paraId="6E822A1E" w14:textId="77777777" w:rsidR="00FB69AB" w:rsidRPr="00984BFF" w:rsidRDefault="00FB69AB" w:rsidP="0060697D">
            <w:pPr>
              <w:spacing w:before="120" w:after="0"/>
              <w:rPr>
                <w:rFonts w:cs="Arial"/>
                <w:b/>
                <w:szCs w:val="22"/>
              </w:rPr>
            </w:pPr>
            <w:r w:rsidRPr="00984BFF">
              <w:rPr>
                <w:rFonts w:cs="Arial"/>
                <w:b/>
                <w:szCs w:val="22"/>
              </w:rPr>
              <w:t>BMD</w:t>
            </w:r>
          </w:p>
        </w:tc>
        <w:tc>
          <w:tcPr>
            <w:tcW w:w="6440" w:type="dxa"/>
          </w:tcPr>
          <w:p w14:paraId="1296B125" w14:textId="77777777" w:rsidR="00FB69AB" w:rsidRPr="00984BFF" w:rsidRDefault="00984BFF" w:rsidP="0060697D">
            <w:pPr>
              <w:spacing w:before="120" w:after="0"/>
              <w:rPr>
                <w:rFonts w:cs="Arial"/>
                <w:color w:val="000000" w:themeColor="text1"/>
                <w:szCs w:val="22"/>
              </w:rPr>
            </w:pPr>
            <w:r>
              <w:rPr>
                <w:rFonts w:cs="Arial"/>
                <w:color w:val="000000" w:themeColor="text1"/>
                <w:szCs w:val="22"/>
              </w:rPr>
              <w:t>b</w:t>
            </w:r>
            <w:r w:rsidR="00FB69AB" w:rsidRPr="00984BFF">
              <w:rPr>
                <w:rFonts w:cs="Arial"/>
                <w:color w:val="000000" w:themeColor="text1"/>
                <w:szCs w:val="22"/>
              </w:rPr>
              <w:t>one mineral densitometry</w:t>
            </w:r>
          </w:p>
        </w:tc>
      </w:tr>
      <w:tr w:rsidR="00425D06" w:rsidRPr="00984BFF" w14:paraId="181ED9BD" w14:textId="77777777" w:rsidTr="0006464C">
        <w:tc>
          <w:tcPr>
            <w:tcW w:w="2802" w:type="dxa"/>
          </w:tcPr>
          <w:p w14:paraId="0E980152" w14:textId="77777777" w:rsidR="00425D06" w:rsidRPr="00984BFF" w:rsidRDefault="00425D06" w:rsidP="0060697D">
            <w:pPr>
              <w:spacing w:before="120" w:after="0"/>
              <w:rPr>
                <w:rFonts w:cs="Arial"/>
                <w:b/>
                <w:szCs w:val="22"/>
              </w:rPr>
            </w:pPr>
            <w:r>
              <w:rPr>
                <w:rFonts w:cs="Arial"/>
                <w:b/>
                <w:szCs w:val="22"/>
              </w:rPr>
              <w:t>bone densitometry</w:t>
            </w:r>
          </w:p>
        </w:tc>
        <w:tc>
          <w:tcPr>
            <w:tcW w:w="6440" w:type="dxa"/>
          </w:tcPr>
          <w:p w14:paraId="787769B2" w14:textId="77777777" w:rsidR="00425D06" w:rsidRDefault="00425D06" w:rsidP="0060697D">
            <w:pPr>
              <w:spacing w:before="120" w:after="0"/>
              <w:rPr>
                <w:rFonts w:cs="Arial"/>
                <w:color w:val="000000" w:themeColor="text1"/>
                <w:szCs w:val="22"/>
              </w:rPr>
            </w:pPr>
            <w:r>
              <w:rPr>
                <w:rFonts w:cs="Arial"/>
                <w:color w:val="000000" w:themeColor="text1"/>
                <w:szCs w:val="22"/>
              </w:rPr>
              <w:t>A</w:t>
            </w:r>
            <w:r w:rsidRPr="00425D06">
              <w:rPr>
                <w:rFonts w:cs="Arial"/>
                <w:color w:val="000000" w:themeColor="text1"/>
                <w:szCs w:val="22"/>
              </w:rPr>
              <w:t>n enhanced form of x-ray technology that is used to measure bone loss.</w:t>
            </w:r>
          </w:p>
        </w:tc>
      </w:tr>
      <w:tr w:rsidR="005364D9" w:rsidRPr="00984BFF" w14:paraId="1F03AA61" w14:textId="77777777" w:rsidTr="0006464C">
        <w:tc>
          <w:tcPr>
            <w:tcW w:w="2802" w:type="dxa"/>
          </w:tcPr>
          <w:p w14:paraId="7293D5BD" w14:textId="77777777" w:rsidR="005364D9" w:rsidRPr="00984BFF" w:rsidRDefault="005364D9" w:rsidP="0060697D">
            <w:pPr>
              <w:spacing w:before="120" w:after="0"/>
              <w:rPr>
                <w:rFonts w:cs="Arial"/>
                <w:b/>
                <w:szCs w:val="22"/>
              </w:rPr>
            </w:pPr>
            <w:r w:rsidRPr="00984BFF">
              <w:rPr>
                <w:rFonts w:cs="Arial"/>
                <w:b/>
                <w:szCs w:val="22"/>
              </w:rPr>
              <w:t>Department, The</w:t>
            </w:r>
          </w:p>
        </w:tc>
        <w:tc>
          <w:tcPr>
            <w:tcW w:w="6440" w:type="dxa"/>
          </w:tcPr>
          <w:p w14:paraId="2C7BA8B3" w14:textId="77777777" w:rsidR="005364D9" w:rsidRPr="00984BFF" w:rsidRDefault="005364D9" w:rsidP="0060697D">
            <w:pPr>
              <w:spacing w:before="120" w:after="0"/>
              <w:rPr>
                <w:rFonts w:cs="Arial"/>
                <w:color w:val="000000" w:themeColor="text1"/>
                <w:szCs w:val="22"/>
              </w:rPr>
            </w:pPr>
            <w:r w:rsidRPr="00984BFF">
              <w:rPr>
                <w:rFonts w:cs="Arial"/>
                <w:color w:val="000000" w:themeColor="text1"/>
                <w:szCs w:val="22"/>
              </w:rPr>
              <w:t>Australian Government Department of Health</w:t>
            </w:r>
          </w:p>
        </w:tc>
      </w:tr>
      <w:tr w:rsidR="00FB69AB" w:rsidRPr="00984BFF" w14:paraId="03CB578E" w14:textId="77777777" w:rsidTr="0006464C">
        <w:tc>
          <w:tcPr>
            <w:tcW w:w="2802" w:type="dxa"/>
          </w:tcPr>
          <w:p w14:paraId="6AAC0C6C" w14:textId="77777777" w:rsidR="00FB69AB" w:rsidRPr="00984BFF" w:rsidRDefault="00FB69AB" w:rsidP="0060697D">
            <w:pPr>
              <w:spacing w:before="120" w:after="0"/>
              <w:rPr>
                <w:rFonts w:cs="Arial"/>
                <w:b/>
                <w:szCs w:val="22"/>
              </w:rPr>
            </w:pPr>
            <w:r w:rsidRPr="00984BFF">
              <w:rPr>
                <w:rFonts w:cs="Arial"/>
                <w:b/>
                <w:szCs w:val="22"/>
              </w:rPr>
              <w:t>DEXA</w:t>
            </w:r>
          </w:p>
        </w:tc>
        <w:tc>
          <w:tcPr>
            <w:tcW w:w="6440" w:type="dxa"/>
          </w:tcPr>
          <w:p w14:paraId="65658C7C" w14:textId="77777777" w:rsidR="00FB69AB" w:rsidRPr="00984BFF" w:rsidRDefault="00984BFF" w:rsidP="0060697D">
            <w:pPr>
              <w:spacing w:before="120" w:after="0"/>
              <w:rPr>
                <w:rFonts w:cs="Arial"/>
                <w:color w:val="000000" w:themeColor="text1"/>
                <w:szCs w:val="22"/>
              </w:rPr>
            </w:pPr>
            <w:r w:rsidRPr="00984BFF">
              <w:rPr>
                <w:rFonts w:cs="Arial"/>
                <w:szCs w:val="22"/>
              </w:rPr>
              <w:t>d</w:t>
            </w:r>
            <w:r>
              <w:rPr>
                <w:rFonts w:cs="Arial"/>
                <w:szCs w:val="22"/>
              </w:rPr>
              <w:t>ual-e</w:t>
            </w:r>
            <w:r w:rsidRPr="00984BFF">
              <w:rPr>
                <w:rFonts w:cs="Arial"/>
                <w:szCs w:val="22"/>
              </w:rPr>
              <w:t>nergy x-ray a</w:t>
            </w:r>
            <w:r w:rsidR="00FB69AB" w:rsidRPr="00984BFF">
              <w:rPr>
                <w:rFonts w:cs="Arial"/>
                <w:szCs w:val="22"/>
              </w:rPr>
              <w:t>bsorptiometry</w:t>
            </w:r>
          </w:p>
        </w:tc>
      </w:tr>
      <w:tr w:rsidR="005364D9" w:rsidRPr="00984BFF" w14:paraId="4620FC4D" w14:textId="77777777" w:rsidTr="0006464C">
        <w:tc>
          <w:tcPr>
            <w:tcW w:w="2802" w:type="dxa"/>
          </w:tcPr>
          <w:p w14:paraId="2AEA8248" w14:textId="77777777" w:rsidR="005364D9" w:rsidRPr="00984BFF" w:rsidRDefault="005364D9" w:rsidP="0060697D">
            <w:pPr>
              <w:spacing w:before="120" w:after="0"/>
              <w:rPr>
                <w:rFonts w:cs="Arial"/>
                <w:b/>
                <w:szCs w:val="22"/>
              </w:rPr>
            </w:pPr>
            <w:r w:rsidRPr="00984BFF">
              <w:rPr>
                <w:rFonts w:cs="Arial"/>
                <w:b/>
                <w:szCs w:val="22"/>
              </w:rPr>
              <w:t>DHS</w:t>
            </w:r>
          </w:p>
        </w:tc>
        <w:tc>
          <w:tcPr>
            <w:tcW w:w="6440" w:type="dxa"/>
          </w:tcPr>
          <w:p w14:paraId="0194D7A1" w14:textId="77777777" w:rsidR="005364D9" w:rsidRPr="00984BFF" w:rsidRDefault="005364D9" w:rsidP="0060697D">
            <w:pPr>
              <w:spacing w:before="120" w:after="0"/>
              <w:rPr>
                <w:rFonts w:cs="Arial"/>
                <w:color w:val="000000" w:themeColor="text1"/>
                <w:szCs w:val="22"/>
              </w:rPr>
            </w:pPr>
            <w:r w:rsidRPr="00984BFF">
              <w:rPr>
                <w:rFonts w:cs="Arial"/>
                <w:color w:val="000000" w:themeColor="text1"/>
                <w:szCs w:val="22"/>
              </w:rPr>
              <w:t>Australian Government Department of Human Services</w:t>
            </w:r>
          </w:p>
        </w:tc>
      </w:tr>
      <w:tr w:rsidR="005364D9" w:rsidRPr="00984BFF" w14:paraId="45DF6EBB" w14:textId="77777777" w:rsidTr="0006464C">
        <w:tc>
          <w:tcPr>
            <w:tcW w:w="2802" w:type="dxa"/>
          </w:tcPr>
          <w:p w14:paraId="7A7BF461" w14:textId="77777777" w:rsidR="005364D9" w:rsidRPr="00984BFF" w:rsidRDefault="005364D9" w:rsidP="0060697D">
            <w:pPr>
              <w:spacing w:before="120" w:after="0"/>
              <w:rPr>
                <w:rFonts w:cs="Arial"/>
                <w:b/>
                <w:szCs w:val="22"/>
              </w:rPr>
            </w:pPr>
            <w:r w:rsidRPr="00984BFF">
              <w:rPr>
                <w:rFonts w:eastAsiaTheme="minorHAnsi" w:cs="Arial"/>
                <w:b/>
                <w:szCs w:val="22"/>
                <w:lang w:eastAsia="en-US"/>
              </w:rPr>
              <w:t>Low-value care</w:t>
            </w:r>
          </w:p>
        </w:tc>
        <w:tc>
          <w:tcPr>
            <w:tcW w:w="6440" w:type="dxa"/>
          </w:tcPr>
          <w:p w14:paraId="005B33D0" w14:textId="77777777" w:rsidR="005364D9" w:rsidRPr="00984BFF" w:rsidRDefault="005364D9" w:rsidP="0060697D">
            <w:pPr>
              <w:spacing w:before="120" w:after="0"/>
              <w:rPr>
                <w:rFonts w:cs="Arial"/>
                <w:color w:val="000000" w:themeColor="text1"/>
                <w:szCs w:val="22"/>
              </w:rPr>
            </w:pPr>
            <w:r w:rsidRPr="00984BFF">
              <w:rPr>
                <w:rFonts w:cs="Arial"/>
                <w:color w:val="000000" w:themeColor="text1"/>
                <w:szCs w:val="22"/>
                <w:shd w:val="clear" w:color="auto" w:fill="FFFFFF"/>
              </w:rPr>
              <w:t>The use of an intervention which evidence suggests confers no or very little benefit on patients, or that the risk of harm exceeds the likely benefit, or, more broadly, that the added costs of the intervention do not provide proportional added benefits.</w:t>
            </w:r>
          </w:p>
        </w:tc>
      </w:tr>
      <w:tr w:rsidR="005364D9" w:rsidRPr="00984BFF" w14:paraId="4E3C487C" w14:textId="77777777" w:rsidTr="0006464C">
        <w:tc>
          <w:tcPr>
            <w:tcW w:w="2802" w:type="dxa"/>
          </w:tcPr>
          <w:p w14:paraId="27A7D04E" w14:textId="77777777" w:rsidR="005364D9" w:rsidRPr="00984BFF" w:rsidRDefault="005364D9" w:rsidP="0060697D">
            <w:pPr>
              <w:spacing w:before="120" w:after="0"/>
              <w:rPr>
                <w:rFonts w:cs="Arial"/>
                <w:b/>
                <w:szCs w:val="22"/>
              </w:rPr>
            </w:pPr>
            <w:r w:rsidRPr="00984BFF">
              <w:rPr>
                <w:rFonts w:cs="Arial"/>
                <w:b/>
                <w:szCs w:val="22"/>
              </w:rPr>
              <w:t>MBS item</w:t>
            </w:r>
          </w:p>
        </w:tc>
        <w:tc>
          <w:tcPr>
            <w:tcW w:w="6440" w:type="dxa"/>
          </w:tcPr>
          <w:p w14:paraId="6BEF166D" w14:textId="77777777" w:rsidR="005364D9" w:rsidRPr="00984BFF" w:rsidRDefault="005364D9" w:rsidP="0060697D">
            <w:pPr>
              <w:spacing w:before="120" w:after="0"/>
              <w:rPr>
                <w:rFonts w:cs="Arial"/>
                <w:szCs w:val="22"/>
              </w:rPr>
            </w:pPr>
            <w:r w:rsidRPr="00984BFF">
              <w:rPr>
                <w:rFonts w:cs="Arial"/>
                <w:color w:val="000000" w:themeColor="text1"/>
                <w:szCs w:val="22"/>
              </w:rPr>
              <w:t>An administrative object listed in the MBS and used for the purposes of claiming and paying Medicare benefits, comprising an item number, service descriptor and supporting information, Schedule fee and Medicare benefits.</w:t>
            </w:r>
          </w:p>
        </w:tc>
      </w:tr>
      <w:tr w:rsidR="005364D9" w:rsidRPr="00984BFF" w14:paraId="3AC6B823" w14:textId="77777777" w:rsidTr="0006464C">
        <w:tc>
          <w:tcPr>
            <w:tcW w:w="2802" w:type="dxa"/>
          </w:tcPr>
          <w:p w14:paraId="79B5A4AB" w14:textId="77777777" w:rsidR="005364D9" w:rsidRPr="00984BFF" w:rsidRDefault="005364D9" w:rsidP="0060697D">
            <w:pPr>
              <w:spacing w:before="120" w:after="0"/>
              <w:rPr>
                <w:rFonts w:cs="Arial"/>
                <w:b/>
                <w:szCs w:val="22"/>
              </w:rPr>
            </w:pPr>
            <w:r w:rsidRPr="00984BFF">
              <w:rPr>
                <w:rFonts w:cs="Arial"/>
                <w:b/>
                <w:szCs w:val="22"/>
              </w:rPr>
              <w:t>MBS service</w:t>
            </w:r>
          </w:p>
        </w:tc>
        <w:tc>
          <w:tcPr>
            <w:tcW w:w="6440" w:type="dxa"/>
          </w:tcPr>
          <w:p w14:paraId="487B3C57" w14:textId="77777777" w:rsidR="005364D9" w:rsidRPr="00984BFF" w:rsidRDefault="005364D9" w:rsidP="0060697D">
            <w:pPr>
              <w:spacing w:before="120" w:after="0"/>
              <w:rPr>
                <w:rFonts w:cs="Arial"/>
                <w:szCs w:val="22"/>
              </w:rPr>
            </w:pPr>
            <w:r w:rsidRPr="00984BFF">
              <w:rPr>
                <w:rFonts w:cs="Arial"/>
                <w:color w:val="000000" w:themeColor="text1"/>
                <w:szCs w:val="22"/>
              </w:rPr>
              <w:t>The actual medical consultation, procedure, test to which the relevant MBS item refers.</w:t>
            </w:r>
          </w:p>
        </w:tc>
      </w:tr>
      <w:tr w:rsidR="005364D9" w:rsidRPr="00984BFF" w14:paraId="26AA106D" w14:textId="77777777" w:rsidTr="0006464C">
        <w:tc>
          <w:tcPr>
            <w:tcW w:w="2802" w:type="dxa"/>
          </w:tcPr>
          <w:p w14:paraId="7492EB15" w14:textId="77777777" w:rsidR="005364D9" w:rsidRPr="00984BFF" w:rsidRDefault="005364D9" w:rsidP="0060697D">
            <w:pPr>
              <w:spacing w:before="120" w:after="0"/>
              <w:rPr>
                <w:rFonts w:cs="Arial"/>
                <w:b/>
                <w:szCs w:val="22"/>
              </w:rPr>
            </w:pPr>
            <w:r w:rsidRPr="00984BFF">
              <w:rPr>
                <w:rFonts w:eastAsiaTheme="minorHAnsi" w:cs="Arial"/>
                <w:b/>
                <w:szCs w:val="22"/>
                <w:lang w:eastAsia="en-US"/>
              </w:rPr>
              <w:t>MSAC</w:t>
            </w:r>
          </w:p>
        </w:tc>
        <w:tc>
          <w:tcPr>
            <w:tcW w:w="6440" w:type="dxa"/>
          </w:tcPr>
          <w:p w14:paraId="435172B3" w14:textId="77777777" w:rsidR="005364D9" w:rsidRPr="00984BFF" w:rsidRDefault="005364D9" w:rsidP="0060697D">
            <w:pPr>
              <w:spacing w:before="120" w:after="0"/>
              <w:rPr>
                <w:rFonts w:cs="Arial"/>
                <w:b/>
                <w:szCs w:val="22"/>
              </w:rPr>
            </w:pPr>
            <w:r w:rsidRPr="00984BFF">
              <w:rPr>
                <w:rFonts w:eastAsiaTheme="minorHAnsi" w:cs="Arial"/>
                <w:szCs w:val="22"/>
                <w:lang w:eastAsia="en-US"/>
              </w:rPr>
              <w:t>Medical Services Advisory Committee</w:t>
            </w:r>
          </w:p>
        </w:tc>
      </w:tr>
      <w:tr w:rsidR="005364D9" w:rsidRPr="00984BFF" w14:paraId="1EB42C80" w14:textId="77777777" w:rsidTr="0006464C">
        <w:tc>
          <w:tcPr>
            <w:tcW w:w="2802" w:type="dxa"/>
          </w:tcPr>
          <w:p w14:paraId="6544DF71" w14:textId="77777777" w:rsidR="005364D9" w:rsidRPr="00984BFF" w:rsidRDefault="005364D9" w:rsidP="0060697D">
            <w:pPr>
              <w:spacing w:before="120" w:after="0"/>
              <w:rPr>
                <w:rFonts w:cs="Arial"/>
                <w:b/>
                <w:szCs w:val="22"/>
              </w:rPr>
            </w:pPr>
            <w:r w:rsidRPr="00984BFF">
              <w:rPr>
                <w:rFonts w:eastAsiaTheme="minorHAnsi" w:cs="Arial"/>
                <w:b/>
                <w:szCs w:val="22"/>
                <w:lang w:eastAsia="en-US"/>
              </w:rPr>
              <w:t>Obsolete services</w:t>
            </w:r>
          </w:p>
        </w:tc>
        <w:tc>
          <w:tcPr>
            <w:tcW w:w="6440" w:type="dxa"/>
          </w:tcPr>
          <w:p w14:paraId="1E3CD495" w14:textId="77777777" w:rsidR="005364D9" w:rsidRPr="00984BFF" w:rsidRDefault="005364D9" w:rsidP="0060697D">
            <w:pPr>
              <w:spacing w:before="120" w:after="0"/>
              <w:rPr>
                <w:rFonts w:cs="Arial"/>
                <w:szCs w:val="22"/>
              </w:rPr>
            </w:pPr>
            <w:r w:rsidRPr="00984BFF">
              <w:rPr>
                <w:rFonts w:cs="Arial"/>
                <w:color w:val="000000" w:themeColor="text1"/>
                <w:szCs w:val="22"/>
              </w:rPr>
              <w:t>Services that should no longer be performed as they do not represent current clinical best practice and have been superseded by superior tests or procedures.</w:t>
            </w:r>
          </w:p>
        </w:tc>
      </w:tr>
      <w:tr w:rsidR="007D15E7" w:rsidRPr="00984BFF" w14:paraId="156116A5" w14:textId="77777777" w:rsidTr="0006464C">
        <w:tc>
          <w:tcPr>
            <w:tcW w:w="2802" w:type="dxa"/>
          </w:tcPr>
          <w:p w14:paraId="011BF236" w14:textId="77777777" w:rsidR="007D15E7" w:rsidRPr="00984BFF" w:rsidRDefault="007D15E7" w:rsidP="0060697D">
            <w:pPr>
              <w:spacing w:before="120" w:after="0"/>
              <w:rPr>
                <w:rFonts w:eastAsiaTheme="minorHAnsi" w:cs="Arial"/>
                <w:b/>
                <w:szCs w:val="22"/>
                <w:lang w:eastAsia="en-US"/>
              </w:rPr>
            </w:pPr>
            <w:r w:rsidRPr="007D15E7">
              <w:rPr>
                <w:rFonts w:eastAsiaTheme="minorHAnsi" w:cs="Arial"/>
                <w:b/>
                <w:szCs w:val="22"/>
                <w:lang w:eastAsia="en-US"/>
              </w:rPr>
              <w:t>OST</w:t>
            </w:r>
          </w:p>
        </w:tc>
        <w:tc>
          <w:tcPr>
            <w:tcW w:w="6440" w:type="dxa"/>
          </w:tcPr>
          <w:p w14:paraId="2827AE93" w14:textId="77777777" w:rsidR="007D15E7" w:rsidRPr="00984BFF" w:rsidRDefault="007D15E7" w:rsidP="0060697D">
            <w:pPr>
              <w:spacing w:before="120" w:after="0"/>
              <w:rPr>
                <w:rFonts w:cs="Arial"/>
                <w:color w:val="000000" w:themeColor="text1"/>
                <w:szCs w:val="22"/>
              </w:rPr>
            </w:pPr>
            <w:r w:rsidRPr="009200D8">
              <w:rPr>
                <w:rFonts w:cs="Arial"/>
              </w:rPr>
              <w:t>osteoporosis self-assessment screening tool</w:t>
            </w:r>
          </w:p>
        </w:tc>
      </w:tr>
      <w:tr w:rsidR="007D15E7" w:rsidRPr="00984BFF" w14:paraId="302B1C72" w14:textId="77777777" w:rsidTr="0006464C">
        <w:tc>
          <w:tcPr>
            <w:tcW w:w="2802" w:type="dxa"/>
          </w:tcPr>
          <w:p w14:paraId="48AE83BB" w14:textId="77777777" w:rsidR="007D15E7" w:rsidRPr="007D15E7" w:rsidRDefault="007D15E7" w:rsidP="0060697D">
            <w:pPr>
              <w:spacing w:before="120" w:after="0"/>
              <w:rPr>
                <w:rFonts w:eastAsiaTheme="minorHAnsi" w:cs="Arial"/>
                <w:b/>
                <w:szCs w:val="22"/>
                <w:lang w:eastAsia="en-US"/>
              </w:rPr>
            </w:pPr>
            <w:r w:rsidRPr="007D15E7">
              <w:rPr>
                <w:rFonts w:eastAsiaTheme="minorHAnsi" w:cs="Arial"/>
                <w:b/>
                <w:szCs w:val="22"/>
                <w:lang w:eastAsia="en-US"/>
              </w:rPr>
              <w:t>osteopenia</w:t>
            </w:r>
          </w:p>
        </w:tc>
        <w:tc>
          <w:tcPr>
            <w:tcW w:w="6440" w:type="dxa"/>
          </w:tcPr>
          <w:p w14:paraId="6A007F93" w14:textId="77777777" w:rsidR="007D15E7" w:rsidRPr="009200D8" w:rsidRDefault="007D15E7" w:rsidP="0060697D">
            <w:pPr>
              <w:spacing w:before="120" w:after="0"/>
              <w:rPr>
                <w:rFonts w:cs="Arial"/>
              </w:rPr>
            </w:pPr>
            <w:r w:rsidRPr="007D15E7">
              <w:rPr>
                <w:rFonts w:cs="Arial"/>
              </w:rPr>
              <w:t>Osteopenia refers to bone density that is lower than normal peak density but not low enough to be classified as osteoporosis</w:t>
            </w:r>
          </w:p>
        </w:tc>
      </w:tr>
      <w:tr w:rsidR="00F536BE" w:rsidRPr="00984BFF" w14:paraId="72B7F24E" w14:textId="77777777" w:rsidTr="0006464C">
        <w:tc>
          <w:tcPr>
            <w:tcW w:w="2802" w:type="dxa"/>
          </w:tcPr>
          <w:p w14:paraId="00EF066D" w14:textId="77777777" w:rsidR="00F536BE" w:rsidRPr="007D15E7" w:rsidRDefault="00F536BE" w:rsidP="0060697D">
            <w:pPr>
              <w:spacing w:before="120" w:after="0"/>
              <w:rPr>
                <w:rFonts w:eastAsiaTheme="minorHAnsi" w:cs="Arial"/>
                <w:b/>
                <w:szCs w:val="22"/>
                <w:lang w:eastAsia="en-US"/>
              </w:rPr>
            </w:pPr>
            <w:r w:rsidRPr="00F536BE">
              <w:rPr>
                <w:rFonts w:eastAsiaTheme="minorHAnsi" w:cs="Arial"/>
                <w:b/>
                <w:szCs w:val="22"/>
                <w:lang w:eastAsia="en-US"/>
              </w:rPr>
              <w:t>osteoporosis</w:t>
            </w:r>
          </w:p>
        </w:tc>
        <w:tc>
          <w:tcPr>
            <w:tcW w:w="6440" w:type="dxa"/>
          </w:tcPr>
          <w:p w14:paraId="6CD6423C" w14:textId="77777777" w:rsidR="00F536BE" w:rsidRPr="009200D8" w:rsidRDefault="00F536BE" w:rsidP="0060697D">
            <w:pPr>
              <w:spacing w:before="120" w:after="0"/>
              <w:rPr>
                <w:rFonts w:cs="Arial"/>
                <w:szCs w:val="22"/>
              </w:rPr>
            </w:pPr>
            <w:r w:rsidRPr="00F536BE">
              <w:rPr>
                <w:rFonts w:cs="Arial"/>
                <w:szCs w:val="22"/>
              </w:rPr>
              <w:t>Osteoporosis is a condition that affects the bones, causing them to become weak and fragile and more likely to break (fracture). These fractures most commonly occur in the spine, wrist and hips, but can affect other bones such as the spine, arm or pelvis.</w:t>
            </w:r>
          </w:p>
        </w:tc>
      </w:tr>
      <w:tr w:rsidR="007D15E7" w:rsidRPr="00984BFF" w14:paraId="7F82411C" w14:textId="77777777" w:rsidTr="0006464C">
        <w:tc>
          <w:tcPr>
            <w:tcW w:w="2802" w:type="dxa"/>
          </w:tcPr>
          <w:p w14:paraId="15D77F1E" w14:textId="77777777" w:rsidR="007D15E7" w:rsidRPr="00984BFF" w:rsidRDefault="007D15E7" w:rsidP="0060697D">
            <w:pPr>
              <w:spacing w:before="120" w:after="0"/>
              <w:rPr>
                <w:rFonts w:eastAsiaTheme="minorHAnsi" w:cs="Arial"/>
                <w:b/>
                <w:szCs w:val="22"/>
                <w:lang w:eastAsia="en-US"/>
              </w:rPr>
            </w:pPr>
            <w:r w:rsidRPr="007D15E7">
              <w:rPr>
                <w:rFonts w:eastAsiaTheme="minorHAnsi" w:cs="Arial"/>
                <w:b/>
                <w:szCs w:val="22"/>
                <w:lang w:eastAsia="en-US"/>
              </w:rPr>
              <w:t>QCT</w:t>
            </w:r>
          </w:p>
        </w:tc>
        <w:tc>
          <w:tcPr>
            <w:tcW w:w="6440" w:type="dxa"/>
          </w:tcPr>
          <w:p w14:paraId="07346137" w14:textId="06ACD0D0" w:rsidR="005E4E61" w:rsidRPr="005E4E61" w:rsidRDefault="007D15E7" w:rsidP="0060697D">
            <w:pPr>
              <w:spacing w:before="120" w:after="0"/>
              <w:rPr>
                <w:rFonts w:cs="Arial"/>
                <w:color w:val="000000" w:themeColor="text1"/>
                <w:szCs w:val="22"/>
              </w:rPr>
            </w:pPr>
            <w:r w:rsidRPr="009200D8">
              <w:rPr>
                <w:rFonts w:cs="Arial"/>
                <w:szCs w:val="22"/>
              </w:rPr>
              <w:t>Quantitative Computed Tomography</w:t>
            </w:r>
          </w:p>
        </w:tc>
      </w:tr>
    </w:tbl>
    <w:p w14:paraId="006EA346" w14:textId="77777777" w:rsidR="005E4E61" w:rsidRDefault="005E4E61" w:rsidP="0060697D">
      <w:pPr>
        <w:pStyle w:val="AppendixStyle1"/>
        <w:sectPr w:rsidR="005E4E61" w:rsidSect="00913CA4">
          <w:footerReference w:type="default" r:id="rId12"/>
          <w:pgSz w:w="11906" w:h="16838" w:code="9"/>
          <w:pgMar w:top="1440" w:right="1440" w:bottom="1276" w:left="1440" w:header="720" w:footer="720" w:gutter="0"/>
          <w:paperSrc w:first="2" w:other="2"/>
          <w:cols w:space="720"/>
          <w:docGrid w:linePitch="326"/>
        </w:sectPr>
      </w:pPr>
    </w:p>
    <w:p w14:paraId="00262FCA" w14:textId="77777777" w:rsidR="005E4E61" w:rsidRPr="0060697D" w:rsidRDefault="005E4E61" w:rsidP="005E4E61">
      <w:pPr>
        <w:pStyle w:val="AppendixStyle1"/>
      </w:pPr>
      <w:bookmarkStart w:id="95" w:name="_Toc459707287"/>
      <w:r>
        <w:lastRenderedPageBreak/>
        <w:t>Summary for Consumers</w:t>
      </w:r>
      <w:bookmarkEnd w:id="95"/>
    </w:p>
    <w:p w14:paraId="540400C5" w14:textId="77777777" w:rsidR="005E4E61" w:rsidRPr="001F3D23" w:rsidRDefault="005E4E61" w:rsidP="00A12E3A">
      <w:pPr>
        <w:pStyle w:val="Heading2"/>
        <w:numPr>
          <w:ilvl w:val="0"/>
          <w:numId w:val="0"/>
        </w:numPr>
        <w:ind w:left="576" w:hanging="576"/>
      </w:pPr>
      <w:r>
        <w:t xml:space="preserve">Bone densitometry Working Group </w:t>
      </w:r>
      <w:r w:rsidRPr="001F3D23">
        <w:t>recommendations</w:t>
      </w:r>
    </w:p>
    <w:p w14:paraId="389E5BBC" w14:textId="77777777" w:rsidR="005E4E61" w:rsidRPr="001F3D23" w:rsidRDefault="005E4E61" w:rsidP="005E4E61">
      <w:pPr>
        <w:spacing w:after="0"/>
        <w:rPr>
          <w:rFonts w:cs="Arial"/>
        </w:rPr>
      </w:pPr>
      <w:r w:rsidRPr="001F3D23">
        <w:rPr>
          <w:rFonts w:cs="Arial"/>
        </w:rPr>
        <w:t>This table describes the medical service, recommendation</w:t>
      </w:r>
      <w:r>
        <w:rPr>
          <w:rFonts w:cs="Arial"/>
        </w:rPr>
        <w:t>s</w:t>
      </w:r>
      <w:r w:rsidRPr="001F3D23">
        <w:rPr>
          <w:rFonts w:cs="Arial"/>
        </w:rPr>
        <w:t xml:space="preserve"> of the Clinical Experts and why the recommendation has been made.</w:t>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Appendix A, recommendation 1 table looks at the Bone densitometry for people over 70 years of age.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5E4E61" w:rsidRPr="00175E49" w14:paraId="0F4639FA" w14:textId="77777777" w:rsidTr="00554BA5">
        <w:trPr>
          <w:tblHeader/>
        </w:trPr>
        <w:tc>
          <w:tcPr>
            <w:tcW w:w="14425" w:type="dxa"/>
            <w:gridSpan w:val="5"/>
            <w:shd w:val="clear" w:color="auto" w:fill="D9D9D9" w:themeFill="background1" w:themeFillShade="D9"/>
          </w:tcPr>
          <w:p w14:paraId="2BEF1D5D" w14:textId="3E60EEEE" w:rsidR="005E4E61" w:rsidRPr="00C409FA" w:rsidRDefault="00E24DA5" w:rsidP="0088725A">
            <w:pPr>
              <w:spacing w:before="60"/>
              <w:rPr>
                <w:b/>
                <w:sz w:val="20"/>
                <w:szCs w:val="20"/>
              </w:rPr>
            </w:pPr>
            <w:r>
              <w:rPr>
                <w:b/>
                <w:sz w:val="20"/>
                <w:szCs w:val="20"/>
              </w:rPr>
              <w:t>de</w:t>
            </w:r>
          </w:p>
        </w:tc>
      </w:tr>
      <w:tr w:rsidR="0088725A" w:rsidRPr="00D451F3" w14:paraId="63379670" w14:textId="77777777" w:rsidTr="00554BA5">
        <w:trPr>
          <w:tblHeader/>
        </w:trPr>
        <w:tc>
          <w:tcPr>
            <w:tcW w:w="2126" w:type="dxa"/>
          </w:tcPr>
          <w:p w14:paraId="70A9DB34" w14:textId="1C4443EC" w:rsidR="0088725A" w:rsidRPr="00C409FA" w:rsidRDefault="0088725A" w:rsidP="0088725A">
            <w:pPr>
              <w:rPr>
                <w:b/>
                <w:color w:val="222222"/>
                <w:sz w:val="20"/>
                <w:szCs w:val="20"/>
              </w:rPr>
            </w:pPr>
            <w:r w:rsidRPr="00226A36">
              <w:rPr>
                <w:b/>
                <w:sz w:val="20"/>
                <w:szCs w:val="20"/>
              </w:rPr>
              <w:t xml:space="preserve">Item </w:t>
            </w:r>
          </w:p>
        </w:tc>
        <w:tc>
          <w:tcPr>
            <w:tcW w:w="3118" w:type="dxa"/>
          </w:tcPr>
          <w:p w14:paraId="3F4B44F7" w14:textId="01EE80B7" w:rsidR="0088725A" w:rsidRPr="00361E69" w:rsidRDefault="0088725A" w:rsidP="0088725A">
            <w:pPr>
              <w:rPr>
                <w:color w:val="222222"/>
                <w:sz w:val="20"/>
                <w:szCs w:val="20"/>
              </w:rPr>
            </w:pPr>
            <w:r w:rsidRPr="00226A36">
              <w:rPr>
                <w:b/>
                <w:sz w:val="20"/>
                <w:szCs w:val="20"/>
              </w:rPr>
              <w:t xml:space="preserve">What it does </w:t>
            </w:r>
          </w:p>
        </w:tc>
        <w:tc>
          <w:tcPr>
            <w:tcW w:w="3086" w:type="dxa"/>
          </w:tcPr>
          <w:p w14:paraId="45A180EF" w14:textId="35CCA700" w:rsidR="0088725A" w:rsidRPr="00361E69" w:rsidRDefault="0088725A" w:rsidP="0088725A">
            <w:pPr>
              <w:rPr>
                <w:sz w:val="20"/>
                <w:szCs w:val="20"/>
              </w:rPr>
            </w:pPr>
            <w:r w:rsidRPr="00226A36">
              <w:rPr>
                <w:b/>
                <w:sz w:val="20"/>
                <w:szCs w:val="20"/>
              </w:rPr>
              <w:t>Committee Recommendation</w:t>
            </w:r>
          </w:p>
        </w:tc>
        <w:tc>
          <w:tcPr>
            <w:tcW w:w="2977" w:type="dxa"/>
          </w:tcPr>
          <w:p w14:paraId="5FDC3C6B" w14:textId="072F7F86" w:rsidR="0088725A" w:rsidRPr="00361E69" w:rsidRDefault="0088725A" w:rsidP="0088725A">
            <w:pPr>
              <w:rPr>
                <w:sz w:val="20"/>
                <w:szCs w:val="20"/>
              </w:rPr>
            </w:pPr>
            <w:r w:rsidRPr="00226A36">
              <w:rPr>
                <w:b/>
                <w:sz w:val="20"/>
                <w:szCs w:val="20"/>
              </w:rPr>
              <w:t>What would be different</w:t>
            </w:r>
          </w:p>
        </w:tc>
        <w:tc>
          <w:tcPr>
            <w:tcW w:w="3118" w:type="dxa"/>
          </w:tcPr>
          <w:p w14:paraId="1F06CEC8" w14:textId="443BFDF6" w:rsidR="0088725A" w:rsidRPr="00361E69" w:rsidRDefault="0088725A" w:rsidP="0088725A">
            <w:pPr>
              <w:rPr>
                <w:sz w:val="20"/>
                <w:szCs w:val="20"/>
              </w:rPr>
            </w:pPr>
            <w:r w:rsidRPr="00226A36">
              <w:rPr>
                <w:b/>
                <w:sz w:val="20"/>
                <w:szCs w:val="20"/>
              </w:rPr>
              <w:t>Why</w:t>
            </w:r>
          </w:p>
        </w:tc>
      </w:tr>
      <w:tr w:rsidR="005E4E61" w:rsidRPr="00D451F3" w14:paraId="3F9C8F90" w14:textId="77777777" w:rsidTr="0088725A">
        <w:tc>
          <w:tcPr>
            <w:tcW w:w="2126" w:type="dxa"/>
          </w:tcPr>
          <w:p w14:paraId="4BED7678" w14:textId="15B10D87" w:rsidR="005E4E61" w:rsidRPr="00253327" w:rsidRDefault="005E4E61" w:rsidP="00253327">
            <w:pPr>
              <w:rPr>
                <w:b/>
                <w:lang w:val="en-US" w:eastAsia="en-US"/>
              </w:rPr>
            </w:pPr>
            <w:r w:rsidRPr="00C409FA">
              <w:rPr>
                <w:b/>
                <w:color w:val="222222"/>
                <w:sz w:val="20"/>
                <w:szCs w:val="20"/>
              </w:rPr>
              <w:t>12323 – bone densitometry, for a person aged 70 years or over.</w:t>
            </w:r>
          </w:p>
        </w:tc>
        <w:tc>
          <w:tcPr>
            <w:tcW w:w="3118" w:type="dxa"/>
          </w:tcPr>
          <w:p w14:paraId="03475AED" w14:textId="40A0415F" w:rsidR="005E4E61" w:rsidRPr="00AE1A01" w:rsidRDefault="005E4E61" w:rsidP="00AE1A01">
            <w:pPr>
              <w:rPr>
                <w:lang w:val="en-US" w:eastAsia="en-US"/>
              </w:rPr>
            </w:pPr>
            <w:r w:rsidRPr="00361E69">
              <w:rPr>
                <w:color w:val="222222"/>
                <w:sz w:val="20"/>
                <w:szCs w:val="20"/>
              </w:rPr>
              <w:t>Measurement of bone mineral densitometry (BMD)</w:t>
            </w:r>
            <w:r>
              <w:rPr>
                <w:color w:val="222222"/>
                <w:sz w:val="20"/>
                <w:szCs w:val="20"/>
              </w:rPr>
              <w:t>.</w:t>
            </w:r>
          </w:p>
        </w:tc>
        <w:tc>
          <w:tcPr>
            <w:tcW w:w="3086" w:type="dxa"/>
          </w:tcPr>
          <w:p w14:paraId="6377F70F" w14:textId="77777777" w:rsidR="005E4E61" w:rsidRPr="00C409FA" w:rsidRDefault="005E4E61" w:rsidP="0088725A">
            <w:pPr>
              <w:rPr>
                <w:lang w:val="en-US" w:eastAsia="en-US"/>
              </w:rPr>
            </w:pPr>
            <w:r w:rsidRPr="00361E69">
              <w:rPr>
                <w:sz w:val="20"/>
                <w:szCs w:val="20"/>
              </w:rPr>
              <w:t>Repeat testing of BMD for patients with normal or mild osteopenia can occur once every 5 years, and repeat testing for patients with moderate o marked osteopenia can occur once every 2 years</w:t>
            </w:r>
            <w:r>
              <w:rPr>
                <w:lang w:val="en-US" w:eastAsia="en-US"/>
              </w:rPr>
              <w:t>.</w:t>
            </w:r>
          </w:p>
        </w:tc>
        <w:tc>
          <w:tcPr>
            <w:tcW w:w="2977" w:type="dxa"/>
          </w:tcPr>
          <w:p w14:paraId="0C4DE6CD" w14:textId="77777777" w:rsidR="005E4E61" w:rsidRPr="00C409FA" w:rsidRDefault="005E4E61" w:rsidP="0088725A">
            <w:pPr>
              <w:rPr>
                <w:lang w:val="en-US" w:eastAsia="en-US"/>
              </w:rPr>
            </w:pPr>
            <w:r w:rsidRPr="00361E69">
              <w:rPr>
                <w:sz w:val="20"/>
                <w:szCs w:val="20"/>
              </w:rPr>
              <w:t>There is currently no restriction on how often BMD is measured. It should be noted that patients diagnosed with osteoporosis are not affected by these changes; future testing would occur using other relevant bone densitometry item numbers specifically for patients with osteoporosis.</w:t>
            </w:r>
          </w:p>
        </w:tc>
        <w:tc>
          <w:tcPr>
            <w:tcW w:w="3118" w:type="dxa"/>
          </w:tcPr>
          <w:p w14:paraId="239C039E" w14:textId="77777777" w:rsidR="005E4E61" w:rsidRDefault="005E4E61" w:rsidP="0088725A">
            <w:pPr>
              <w:rPr>
                <w:sz w:val="20"/>
                <w:szCs w:val="20"/>
              </w:rPr>
            </w:pPr>
            <w:r w:rsidRPr="00361E69">
              <w:rPr>
                <w:sz w:val="20"/>
                <w:szCs w:val="20"/>
              </w:rPr>
              <w:t>Yearly testing is not reliable to detect changes in bone loss. This finding was supported by evidence.</w:t>
            </w:r>
          </w:p>
          <w:p w14:paraId="33438044" w14:textId="77777777" w:rsidR="005E4E61" w:rsidRPr="00C409FA" w:rsidRDefault="005E4E61" w:rsidP="0088725A">
            <w:pPr>
              <w:spacing w:before="60"/>
              <w:rPr>
                <w:sz w:val="20"/>
                <w:szCs w:val="20"/>
              </w:rPr>
            </w:pPr>
          </w:p>
        </w:tc>
      </w:tr>
    </w:tbl>
    <w:p w14:paraId="19AD3775" w14:textId="77777777" w:rsidR="00253327" w:rsidRDefault="00253327">
      <w:r>
        <w:br w:type="page"/>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Appendix A, recommendation 2, 3 and 4 table looks at the Bone Mineral Densitometry (BMD) items used in dual energy X-rays.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5E4E61" w:rsidRPr="00175E49" w14:paraId="4B28A9AF" w14:textId="77777777" w:rsidTr="00253327">
        <w:trPr>
          <w:tblHeader/>
        </w:trPr>
        <w:tc>
          <w:tcPr>
            <w:tcW w:w="14425" w:type="dxa"/>
            <w:gridSpan w:val="5"/>
            <w:shd w:val="clear" w:color="auto" w:fill="D9D9D9" w:themeFill="background1" w:themeFillShade="D9"/>
          </w:tcPr>
          <w:p w14:paraId="743C5F80" w14:textId="49F01046" w:rsidR="005E4E61" w:rsidRPr="00C409FA" w:rsidRDefault="005E4E61" w:rsidP="0088725A">
            <w:r>
              <w:rPr>
                <w:b/>
                <w:sz w:val="20"/>
                <w:szCs w:val="20"/>
              </w:rPr>
              <w:lastRenderedPageBreak/>
              <w:t xml:space="preserve">Recommendation 2, 3 and 4:  </w:t>
            </w:r>
            <w:r w:rsidRPr="00C409FA">
              <w:rPr>
                <w:b/>
                <w:color w:val="222222"/>
                <w:sz w:val="20"/>
                <w:szCs w:val="20"/>
              </w:rPr>
              <w:t>All BMD items that use Dual energy X-ray (DEXA) scans.</w:t>
            </w:r>
          </w:p>
        </w:tc>
      </w:tr>
      <w:tr w:rsidR="0088725A" w:rsidRPr="00226A36" w14:paraId="42715E85" w14:textId="77777777" w:rsidTr="00253327">
        <w:trPr>
          <w:tblHeader/>
        </w:trPr>
        <w:tc>
          <w:tcPr>
            <w:tcW w:w="2126" w:type="dxa"/>
          </w:tcPr>
          <w:p w14:paraId="3945BDD8" w14:textId="77777777" w:rsidR="0088725A" w:rsidRPr="00226A36" w:rsidRDefault="0088725A" w:rsidP="0088725A">
            <w:pPr>
              <w:spacing w:before="60"/>
              <w:rPr>
                <w:b/>
                <w:sz w:val="20"/>
                <w:szCs w:val="20"/>
              </w:rPr>
            </w:pPr>
            <w:r w:rsidRPr="00226A36">
              <w:rPr>
                <w:b/>
                <w:sz w:val="20"/>
                <w:szCs w:val="20"/>
              </w:rPr>
              <w:t xml:space="preserve">Item </w:t>
            </w:r>
          </w:p>
        </w:tc>
        <w:tc>
          <w:tcPr>
            <w:tcW w:w="3118" w:type="dxa"/>
          </w:tcPr>
          <w:p w14:paraId="4390DFBC" w14:textId="77777777" w:rsidR="0088725A" w:rsidRPr="00226A36" w:rsidRDefault="0088725A" w:rsidP="0088725A">
            <w:pPr>
              <w:spacing w:before="60"/>
              <w:rPr>
                <w:b/>
                <w:sz w:val="20"/>
                <w:szCs w:val="20"/>
              </w:rPr>
            </w:pPr>
            <w:r w:rsidRPr="00226A36">
              <w:rPr>
                <w:b/>
                <w:sz w:val="20"/>
                <w:szCs w:val="20"/>
              </w:rPr>
              <w:t xml:space="preserve">What it does </w:t>
            </w:r>
          </w:p>
        </w:tc>
        <w:tc>
          <w:tcPr>
            <w:tcW w:w="3086" w:type="dxa"/>
          </w:tcPr>
          <w:p w14:paraId="27E40817" w14:textId="77777777" w:rsidR="0088725A" w:rsidRPr="00226A36" w:rsidRDefault="0088725A" w:rsidP="0088725A">
            <w:pPr>
              <w:spacing w:before="60"/>
              <w:rPr>
                <w:b/>
                <w:sz w:val="20"/>
                <w:szCs w:val="20"/>
              </w:rPr>
            </w:pPr>
            <w:r w:rsidRPr="00226A36">
              <w:rPr>
                <w:b/>
                <w:sz w:val="20"/>
                <w:szCs w:val="20"/>
              </w:rPr>
              <w:t>Committee Recommendation</w:t>
            </w:r>
          </w:p>
        </w:tc>
        <w:tc>
          <w:tcPr>
            <w:tcW w:w="2977" w:type="dxa"/>
          </w:tcPr>
          <w:p w14:paraId="72171732" w14:textId="77777777" w:rsidR="0088725A" w:rsidRPr="00226A36" w:rsidRDefault="0088725A" w:rsidP="0088725A">
            <w:pPr>
              <w:spacing w:before="60"/>
              <w:rPr>
                <w:b/>
                <w:sz w:val="20"/>
                <w:szCs w:val="20"/>
              </w:rPr>
            </w:pPr>
            <w:r w:rsidRPr="00226A36">
              <w:rPr>
                <w:b/>
                <w:sz w:val="20"/>
                <w:szCs w:val="20"/>
              </w:rPr>
              <w:t>What would be different</w:t>
            </w:r>
          </w:p>
        </w:tc>
        <w:tc>
          <w:tcPr>
            <w:tcW w:w="3118" w:type="dxa"/>
          </w:tcPr>
          <w:p w14:paraId="7AE1C5E2" w14:textId="77777777" w:rsidR="0088725A" w:rsidRPr="00226A36" w:rsidRDefault="0088725A" w:rsidP="0088725A">
            <w:pPr>
              <w:spacing w:before="60"/>
              <w:rPr>
                <w:b/>
                <w:sz w:val="20"/>
                <w:szCs w:val="20"/>
              </w:rPr>
            </w:pPr>
            <w:r w:rsidRPr="00226A36">
              <w:rPr>
                <w:b/>
                <w:sz w:val="20"/>
                <w:szCs w:val="20"/>
              </w:rPr>
              <w:t>Why</w:t>
            </w:r>
          </w:p>
        </w:tc>
      </w:tr>
      <w:tr w:rsidR="005E4E61" w:rsidRPr="00D451F3" w14:paraId="5A4760AB" w14:textId="77777777" w:rsidTr="0088725A">
        <w:tc>
          <w:tcPr>
            <w:tcW w:w="2126" w:type="dxa"/>
          </w:tcPr>
          <w:p w14:paraId="65D7B4E6" w14:textId="22E37015" w:rsidR="005E4E61" w:rsidRPr="00253327" w:rsidRDefault="005E4E61" w:rsidP="00253327">
            <w:pPr>
              <w:rPr>
                <w:b/>
              </w:rPr>
            </w:pPr>
            <w:r w:rsidRPr="00C409FA">
              <w:rPr>
                <w:b/>
                <w:color w:val="222222"/>
                <w:sz w:val="20"/>
                <w:szCs w:val="20"/>
              </w:rPr>
              <w:t>All BMD items that use Dual energy X-ray (DEXA) scans.</w:t>
            </w:r>
          </w:p>
        </w:tc>
        <w:tc>
          <w:tcPr>
            <w:tcW w:w="3118" w:type="dxa"/>
          </w:tcPr>
          <w:p w14:paraId="1F43CE92" w14:textId="77777777" w:rsidR="005E4E61" w:rsidRPr="00F413B6" w:rsidRDefault="005E4E61" w:rsidP="0088725A">
            <w:pPr>
              <w:rPr>
                <w:lang w:val="en-US" w:eastAsia="en-US"/>
              </w:rPr>
            </w:pPr>
            <w:r w:rsidRPr="00361E69">
              <w:rPr>
                <w:sz w:val="20"/>
                <w:szCs w:val="20"/>
              </w:rPr>
              <w:t>This is a technology used to determine BMD</w:t>
            </w:r>
            <w:r>
              <w:rPr>
                <w:sz w:val="20"/>
                <w:szCs w:val="20"/>
              </w:rPr>
              <w:t>.</w:t>
            </w:r>
          </w:p>
          <w:p w14:paraId="075889EA" w14:textId="77777777" w:rsidR="005E4E61" w:rsidRPr="00226A36" w:rsidRDefault="005E4E61" w:rsidP="0088725A">
            <w:pPr>
              <w:spacing w:before="60"/>
              <w:rPr>
                <w:sz w:val="20"/>
                <w:szCs w:val="20"/>
              </w:rPr>
            </w:pPr>
          </w:p>
        </w:tc>
        <w:tc>
          <w:tcPr>
            <w:tcW w:w="3086" w:type="dxa"/>
          </w:tcPr>
          <w:p w14:paraId="6AAF856F" w14:textId="77777777" w:rsidR="005E4E61" w:rsidRPr="00C409FA" w:rsidRDefault="005E4E61" w:rsidP="0088725A">
            <w:pPr>
              <w:rPr>
                <w:lang w:val="en-US" w:eastAsia="en-US"/>
              </w:rPr>
            </w:pPr>
            <w:r>
              <w:rPr>
                <w:sz w:val="20"/>
                <w:szCs w:val="20"/>
              </w:rPr>
              <w:t>A</w:t>
            </w:r>
            <w:r w:rsidRPr="00361E69">
              <w:rPr>
                <w:sz w:val="20"/>
                <w:szCs w:val="20"/>
              </w:rPr>
              <w:t xml:space="preserve"> radiation licence, </w:t>
            </w:r>
            <w:r>
              <w:rPr>
                <w:sz w:val="20"/>
                <w:szCs w:val="20"/>
              </w:rPr>
              <w:t xml:space="preserve">from the relevant State or Territory jurisdiction is required </w:t>
            </w:r>
            <w:r w:rsidRPr="00361E69">
              <w:rPr>
                <w:sz w:val="20"/>
                <w:szCs w:val="20"/>
              </w:rPr>
              <w:t>to perform a DEXA scan under the supervision of an appropriate specialist or consultant physician.</w:t>
            </w:r>
          </w:p>
        </w:tc>
        <w:tc>
          <w:tcPr>
            <w:tcW w:w="2977" w:type="dxa"/>
          </w:tcPr>
          <w:p w14:paraId="6ED1B523" w14:textId="40BDE35A" w:rsidR="005E4E61" w:rsidRPr="00AE1A01" w:rsidRDefault="005E4E61" w:rsidP="00AE1A01">
            <w:pPr>
              <w:rPr>
                <w:lang w:val="en-US" w:eastAsia="en-US"/>
              </w:rPr>
            </w:pPr>
            <w:r w:rsidRPr="00361E69">
              <w:rPr>
                <w:sz w:val="20"/>
                <w:szCs w:val="20"/>
              </w:rPr>
              <w:t>Instead of a specialist or consultant physician, a specifically licenced and qualified technician would be required to perform the DEXA scan.</w:t>
            </w:r>
          </w:p>
        </w:tc>
        <w:tc>
          <w:tcPr>
            <w:tcW w:w="3118" w:type="dxa"/>
          </w:tcPr>
          <w:p w14:paraId="7E1EE012" w14:textId="77777777" w:rsidR="005E4E61" w:rsidRPr="00361E69" w:rsidRDefault="005E4E61" w:rsidP="0088725A">
            <w:pPr>
              <w:rPr>
                <w:sz w:val="20"/>
                <w:szCs w:val="20"/>
              </w:rPr>
            </w:pPr>
            <w:r w:rsidRPr="00361E69">
              <w:rPr>
                <w:sz w:val="20"/>
                <w:szCs w:val="20"/>
              </w:rPr>
              <w:t xml:space="preserve">Since BMD was included on the MBS in 1994, the items have required that the service be personally performed by a specialist or consultant physician. DEXA scan technology was recommended for inclusion in MBS items for BMD in November 2014. </w:t>
            </w:r>
          </w:p>
          <w:p w14:paraId="3390EFAC" w14:textId="4FC7D76D" w:rsidR="005E4E61" w:rsidRPr="00AE1A01" w:rsidRDefault="005E4E61" w:rsidP="00AE1A01">
            <w:pPr>
              <w:rPr>
                <w:lang w:val="en-US" w:eastAsia="en-US"/>
              </w:rPr>
            </w:pPr>
            <w:r w:rsidRPr="00361E69">
              <w:rPr>
                <w:sz w:val="20"/>
                <w:szCs w:val="20"/>
              </w:rPr>
              <w:t>It is not currently standard practice for specialists or consultant physicians to perform DEXA scans. It is best practice in the US and Europe that DEXA is performed by trained technicians and reported by specialists or consultant physicians</w:t>
            </w:r>
            <w:r>
              <w:rPr>
                <w:sz w:val="20"/>
                <w:szCs w:val="20"/>
              </w:rPr>
              <w:t>.</w:t>
            </w:r>
          </w:p>
        </w:tc>
      </w:tr>
    </w:tbl>
    <w:p w14:paraId="05AAAB70" w14:textId="77777777" w:rsidR="00253327" w:rsidRDefault="00253327">
      <w:r>
        <w:br w:type="page"/>
      </w:r>
    </w:p>
    <w:tbl>
      <w:tblPr>
        <w:tblStyle w:val="TableGrid"/>
        <w:tblW w:w="14425" w:type="dxa"/>
        <w:tblInd w:w="108" w:type="dxa"/>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ayout w:type="fixed"/>
        <w:tblLook w:val="04A0" w:firstRow="1" w:lastRow="0" w:firstColumn="1" w:lastColumn="0" w:noHBand="0" w:noVBand="1"/>
        <w:tblDescription w:val="Appendix A, recommendation 5 table looks at the Bone Mineral Densitometry (BMD) items measured in 2 or more sites. This table contains 5 column headings: column 1. list of items, column 2. What it does, column 3. Committee Recommendation, column 4. What would be different and column 5 Why."/>
      </w:tblPr>
      <w:tblGrid>
        <w:gridCol w:w="2126"/>
        <w:gridCol w:w="3118"/>
        <w:gridCol w:w="3086"/>
        <w:gridCol w:w="2977"/>
        <w:gridCol w:w="3118"/>
      </w:tblGrid>
      <w:tr w:rsidR="005E4E61" w:rsidRPr="00175E49" w14:paraId="47143FE2" w14:textId="77777777" w:rsidTr="00554BA5">
        <w:trPr>
          <w:tblHeader/>
        </w:trPr>
        <w:tc>
          <w:tcPr>
            <w:tcW w:w="14425" w:type="dxa"/>
            <w:gridSpan w:val="5"/>
            <w:shd w:val="clear" w:color="auto" w:fill="D9D9D9" w:themeFill="background1" w:themeFillShade="D9"/>
          </w:tcPr>
          <w:p w14:paraId="613B9D73" w14:textId="253537CE" w:rsidR="005E4E61" w:rsidRPr="0088725A" w:rsidRDefault="005E4E61" w:rsidP="0088725A">
            <w:pPr>
              <w:rPr>
                <w:lang w:val="en-US" w:eastAsia="en-US"/>
              </w:rPr>
            </w:pPr>
            <w:r w:rsidRPr="00226A36">
              <w:rPr>
                <w:b/>
                <w:sz w:val="20"/>
                <w:szCs w:val="20"/>
              </w:rPr>
              <w:lastRenderedPageBreak/>
              <w:t xml:space="preserve">Recommendation </w:t>
            </w:r>
            <w:r>
              <w:rPr>
                <w:b/>
                <w:sz w:val="20"/>
                <w:szCs w:val="20"/>
              </w:rPr>
              <w:t xml:space="preserve">5: </w:t>
            </w:r>
            <w:r w:rsidRPr="00C409FA">
              <w:rPr>
                <w:b/>
                <w:color w:val="222222"/>
                <w:sz w:val="20"/>
                <w:szCs w:val="20"/>
              </w:rPr>
              <w:t>All BMD items which specify measurement of 2 or more sites.</w:t>
            </w:r>
          </w:p>
        </w:tc>
      </w:tr>
      <w:tr w:rsidR="0088725A" w:rsidRPr="00226A36" w14:paraId="6AE10A69" w14:textId="77777777" w:rsidTr="00554BA5">
        <w:trPr>
          <w:tblHeader/>
        </w:trPr>
        <w:tc>
          <w:tcPr>
            <w:tcW w:w="2126" w:type="dxa"/>
          </w:tcPr>
          <w:p w14:paraId="53E83BB4" w14:textId="77777777" w:rsidR="0088725A" w:rsidRPr="00226A36" w:rsidRDefault="0088725A" w:rsidP="0088725A">
            <w:pPr>
              <w:spacing w:before="60"/>
              <w:rPr>
                <w:b/>
                <w:sz w:val="20"/>
                <w:szCs w:val="20"/>
              </w:rPr>
            </w:pPr>
            <w:r w:rsidRPr="00226A36">
              <w:rPr>
                <w:b/>
                <w:sz w:val="20"/>
                <w:szCs w:val="20"/>
              </w:rPr>
              <w:t xml:space="preserve">Item </w:t>
            </w:r>
          </w:p>
        </w:tc>
        <w:tc>
          <w:tcPr>
            <w:tcW w:w="3118" w:type="dxa"/>
          </w:tcPr>
          <w:p w14:paraId="0F4752CB" w14:textId="77777777" w:rsidR="0088725A" w:rsidRPr="00226A36" w:rsidRDefault="0088725A" w:rsidP="0088725A">
            <w:pPr>
              <w:spacing w:before="60"/>
              <w:rPr>
                <w:b/>
                <w:sz w:val="20"/>
                <w:szCs w:val="20"/>
              </w:rPr>
            </w:pPr>
            <w:r w:rsidRPr="00226A36">
              <w:rPr>
                <w:b/>
                <w:sz w:val="20"/>
                <w:szCs w:val="20"/>
              </w:rPr>
              <w:t xml:space="preserve">What it does </w:t>
            </w:r>
          </w:p>
        </w:tc>
        <w:tc>
          <w:tcPr>
            <w:tcW w:w="3086" w:type="dxa"/>
          </w:tcPr>
          <w:p w14:paraId="3E3FE686" w14:textId="77777777" w:rsidR="0088725A" w:rsidRPr="00226A36" w:rsidRDefault="0088725A" w:rsidP="0088725A">
            <w:pPr>
              <w:spacing w:before="60"/>
              <w:rPr>
                <w:b/>
                <w:sz w:val="20"/>
                <w:szCs w:val="20"/>
              </w:rPr>
            </w:pPr>
            <w:r w:rsidRPr="00226A36">
              <w:rPr>
                <w:b/>
                <w:sz w:val="20"/>
                <w:szCs w:val="20"/>
              </w:rPr>
              <w:t>Committee Recommendation</w:t>
            </w:r>
          </w:p>
        </w:tc>
        <w:tc>
          <w:tcPr>
            <w:tcW w:w="2977" w:type="dxa"/>
          </w:tcPr>
          <w:p w14:paraId="347B8609" w14:textId="77777777" w:rsidR="0088725A" w:rsidRPr="00226A36" w:rsidRDefault="0088725A" w:rsidP="0088725A">
            <w:pPr>
              <w:spacing w:before="60"/>
              <w:rPr>
                <w:b/>
                <w:sz w:val="20"/>
                <w:szCs w:val="20"/>
              </w:rPr>
            </w:pPr>
            <w:r w:rsidRPr="00226A36">
              <w:rPr>
                <w:b/>
                <w:sz w:val="20"/>
                <w:szCs w:val="20"/>
              </w:rPr>
              <w:t>What would be different</w:t>
            </w:r>
          </w:p>
        </w:tc>
        <w:tc>
          <w:tcPr>
            <w:tcW w:w="3118" w:type="dxa"/>
          </w:tcPr>
          <w:p w14:paraId="01D1DB91" w14:textId="77777777" w:rsidR="0088725A" w:rsidRPr="00226A36" w:rsidRDefault="0088725A" w:rsidP="0088725A">
            <w:pPr>
              <w:spacing w:before="60"/>
              <w:rPr>
                <w:b/>
                <w:sz w:val="20"/>
                <w:szCs w:val="20"/>
              </w:rPr>
            </w:pPr>
            <w:r w:rsidRPr="00226A36">
              <w:rPr>
                <w:b/>
                <w:sz w:val="20"/>
                <w:szCs w:val="20"/>
              </w:rPr>
              <w:t>Why</w:t>
            </w:r>
          </w:p>
        </w:tc>
      </w:tr>
      <w:tr w:rsidR="005E4E61" w:rsidRPr="00D451F3" w14:paraId="6BFA26EE" w14:textId="77777777" w:rsidTr="0088725A">
        <w:tc>
          <w:tcPr>
            <w:tcW w:w="2126" w:type="dxa"/>
          </w:tcPr>
          <w:p w14:paraId="2F3CE462" w14:textId="0A4F99BE" w:rsidR="005E4E61" w:rsidRPr="00253327" w:rsidRDefault="005E4E61" w:rsidP="00253327">
            <w:pPr>
              <w:rPr>
                <w:b/>
                <w:lang w:val="en-US" w:eastAsia="en-US"/>
              </w:rPr>
            </w:pPr>
            <w:r w:rsidRPr="00C409FA">
              <w:rPr>
                <w:b/>
                <w:color w:val="222222"/>
                <w:sz w:val="20"/>
                <w:szCs w:val="20"/>
              </w:rPr>
              <w:t>All BMD items which specify measurement of 2 or more sites.</w:t>
            </w:r>
          </w:p>
        </w:tc>
        <w:tc>
          <w:tcPr>
            <w:tcW w:w="3118" w:type="dxa"/>
          </w:tcPr>
          <w:p w14:paraId="31CB4765" w14:textId="2AC9C5C6" w:rsidR="005E4E61" w:rsidRPr="00253327" w:rsidRDefault="005E4E61" w:rsidP="00253327">
            <w:pPr>
              <w:rPr>
                <w:lang w:val="en-US" w:eastAsia="en-US"/>
              </w:rPr>
            </w:pPr>
            <w:r w:rsidRPr="00361E69">
              <w:rPr>
                <w:sz w:val="20"/>
                <w:szCs w:val="20"/>
              </w:rPr>
              <w:t>Different parts of the body can be used to measure BMD and the MBS items request 2 or more sites be measured</w:t>
            </w:r>
            <w:r>
              <w:rPr>
                <w:sz w:val="20"/>
                <w:szCs w:val="20"/>
              </w:rPr>
              <w:t>.</w:t>
            </w:r>
          </w:p>
        </w:tc>
        <w:tc>
          <w:tcPr>
            <w:tcW w:w="3086" w:type="dxa"/>
          </w:tcPr>
          <w:p w14:paraId="5E7EC9A0" w14:textId="77777777" w:rsidR="005E4E61" w:rsidRPr="00C409FA" w:rsidRDefault="005E4E61" w:rsidP="0088725A">
            <w:pPr>
              <w:rPr>
                <w:lang w:val="en-US" w:eastAsia="en-US"/>
              </w:rPr>
            </w:pPr>
            <w:r w:rsidRPr="00361E69">
              <w:rPr>
                <w:sz w:val="20"/>
                <w:szCs w:val="20"/>
              </w:rPr>
              <w:t>Specifying that measurement should include spine and hip</w:t>
            </w:r>
            <w:r>
              <w:rPr>
                <w:sz w:val="20"/>
                <w:szCs w:val="20"/>
              </w:rPr>
              <w:t>.</w:t>
            </w:r>
          </w:p>
        </w:tc>
        <w:tc>
          <w:tcPr>
            <w:tcW w:w="2977" w:type="dxa"/>
          </w:tcPr>
          <w:p w14:paraId="4109FA75" w14:textId="77777777" w:rsidR="005E4E61" w:rsidRPr="00C409FA" w:rsidRDefault="005E4E61" w:rsidP="0088725A">
            <w:pPr>
              <w:rPr>
                <w:lang w:val="en-US" w:eastAsia="en-US"/>
              </w:rPr>
            </w:pPr>
            <w:r w:rsidRPr="00361E69">
              <w:rPr>
                <w:sz w:val="20"/>
                <w:szCs w:val="20"/>
              </w:rPr>
              <w:t>This is currently stated in explanatory notes to the BMD MBS items, but to be enforceable it would need to go into regulations</w:t>
            </w:r>
            <w:r>
              <w:rPr>
                <w:sz w:val="20"/>
                <w:szCs w:val="20"/>
              </w:rPr>
              <w:t>.</w:t>
            </w:r>
          </w:p>
        </w:tc>
        <w:tc>
          <w:tcPr>
            <w:tcW w:w="3118" w:type="dxa"/>
          </w:tcPr>
          <w:p w14:paraId="36DA3398" w14:textId="77777777" w:rsidR="005E4E61" w:rsidRPr="00C409FA" w:rsidRDefault="005E4E61" w:rsidP="0088725A">
            <w:pPr>
              <w:rPr>
                <w:lang w:val="en-US" w:eastAsia="en-US"/>
              </w:rPr>
            </w:pPr>
            <w:r w:rsidRPr="00361E69">
              <w:rPr>
                <w:sz w:val="20"/>
                <w:szCs w:val="20"/>
              </w:rPr>
              <w:t>The most reliable BMD measures come from the spine and hip</w:t>
            </w:r>
            <w:r>
              <w:rPr>
                <w:sz w:val="20"/>
                <w:szCs w:val="20"/>
              </w:rPr>
              <w:t>.</w:t>
            </w:r>
          </w:p>
        </w:tc>
      </w:tr>
    </w:tbl>
    <w:p w14:paraId="212B0301" w14:textId="77777777" w:rsidR="00F5628B" w:rsidRPr="00227512" w:rsidRDefault="00F5628B" w:rsidP="00061127">
      <w:pPr>
        <w:spacing w:before="0" w:after="0"/>
        <w:rPr>
          <w:rFonts w:cs="Arial"/>
          <w:b/>
          <w:sz w:val="32"/>
          <w:lang w:val="en-US" w:eastAsia="en-US"/>
        </w:rPr>
        <w:sectPr w:rsidR="00F5628B" w:rsidRPr="00227512" w:rsidSect="00536CA1">
          <w:pgSz w:w="16838" w:h="11906" w:orient="landscape" w:code="9"/>
          <w:pgMar w:top="1440" w:right="1440" w:bottom="1440" w:left="1276" w:header="720" w:footer="720" w:gutter="0"/>
          <w:paperSrc w:first="2" w:other="2"/>
          <w:cols w:space="720"/>
          <w:docGrid w:linePitch="326"/>
        </w:sectPr>
      </w:pPr>
    </w:p>
    <w:p w14:paraId="0A1EFF3B" w14:textId="1C193BC4" w:rsidR="001553A5" w:rsidRPr="009D40D0" w:rsidRDefault="00961CFC" w:rsidP="0060697D">
      <w:pPr>
        <w:pStyle w:val="AppendixStyle1"/>
        <w:ind w:left="2268" w:hanging="2268"/>
      </w:pPr>
      <w:bookmarkStart w:id="96" w:name="_Toc459707288"/>
      <w:r w:rsidRPr="00DA7BF2">
        <w:lastRenderedPageBreak/>
        <w:t>Bone densitometry MBS</w:t>
      </w:r>
      <w:r w:rsidRPr="0060697D">
        <w:t xml:space="preserve"> </w:t>
      </w:r>
      <w:r>
        <w:t>i</w:t>
      </w:r>
      <w:r w:rsidR="001553A5" w:rsidRPr="0060697D">
        <w:t>tems assigned to Bone Densitometry</w:t>
      </w:r>
      <w:r w:rsidR="001553A5" w:rsidRPr="009D40D0">
        <w:t xml:space="preserve"> Working Group for review</w:t>
      </w:r>
      <w:bookmarkEnd w:id="96"/>
    </w:p>
    <w:p w14:paraId="26BCAFFB" w14:textId="7C2E1348" w:rsidR="00961CFC" w:rsidRDefault="00961CFC" w:rsidP="00961CFC">
      <w:pPr>
        <w:pStyle w:val="AppendixStyle2"/>
      </w:pPr>
      <w:r w:rsidRPr="008A13AB">
        <w:t>Item</w:t>
      </w:r>
      <w:r>
        <w:t xml:space="preserve"> 12306</w:t>
      </w:r>
    </w:p>
    <w:p w14:paraId="291E0A20" w14:textId="77777777" w:rsidR="00961CFC" w:rsidRPr="00DA7BF2" w:rsidRDefault="00961CFC" w:rsidP="00961CFC">
      <w:pPr>
        <w:spacing w:before="140" w:after="40"/>
      </w:pPr>
      <w:r w:rsidRPr="00DA7BF2">
        <w:t xml:space="preserve">Bone densitometry (performed by a specialist or consultant physician where the patient is referred by another medical practitioner), </w:t>
      </w:r>
      <w:r w:rsidRPr="00DA7BF2">
        <w:rPr>
          <w:bCs/>
        </w:rPr>
        <w:t>using dual energy X-ray absorptiometry</w:t>
      </w:r>
      <w:r w:rsidRPr="00DA7BF2">
        <w:t>, for:</w:t>
      </w:r>
    </w:p>
    <w:p w14:paraId="007733C3" w14:textId="77777777" w:rsidR="00961CFC" w:rsidRPr="00DA7BF2" w:rsidRDefault="00961CFC" w:rsidP="00264114">
      <w:pPr>
        <w:pStyle w:val="Caption"/>
      </w:pPr>
      <w:r w:rsidRPr="00DA7BF2">
        <w:t xml:space="preserve">the confirmation of a presumptive diagnosis of low bone mineral density made on the basis of 1 or more fractures occurring after minimal trauma; or </w:t>
      </w:r>
    </w:p>
    <w:p w14:paraId="780973E9" w14:textId="77777777" w:rsidR="00961CFC" w:rsidRPr="00DA7BF2" w:rsidRDefault="00961CFC" w:rsidP="00961CFC">
      <w:pPr>
        <w:pStyle w:val="ListParagraph"/>
        <w:numPr>
          <w:ilvl w:val="0"/>
          <w:numId w:val="9"/>
        </w:numPr>
        <w:spacing w:before="140" w:after="40"/>
      </w:pPr>
      <w:r w:rsidRPr="00DA7BF2">
        <w:t>for the monitoring of low bone mineral density proven by bone densitometry at least 12 months previously.</w:t>
      </w:r>
    </w:p>
    <w:p w14:paraId="1DB0BB11" w14:textId="0AEEA689" w:rsidR="00961CFC" w:rsidRPr="00DA7BF2" w:rsidRDefault="00961CFC" w:rsidP="00961CFC">
      <w:pPr>
        <w:spacing w:before="140" w:after="40"/>
      </w:pPr>
      <w:r w:rsidRPr="00DA7BF2">
        <w:t xml:space="preserve">Measurement of </w:t>
      </w:r>
      <w:r w:rsidR="00010BBD">
        <w:t>two</w:t>
      </w:r>
      <w:r w:rsidRPr="00DA7BF2">
        <w:t xml:space="preserve"> or more sites - </w:t>
      </w:r>
      <w:r w:rsidR="00010BBD">
        <w:rPr>
          <w:b/>
          <w:bCs/>
        </w:rPr>
        <w:t>one</w:t>
      </w:r>
      <w:r w:rsidRPr="00361E69">
        <w:rPr>
          <w:b/>
          <w:bCs/>
        </w:rPr>
        <w:t xml:space="preserve"> service only in a period of 24 months</w:t>
      </w:r>
      <w:r w:rsidRPr="00DA7BF2">
        <w:t xml:space="preserve"> - including interpretation and report; not being a service associated with a service to which item 12309, 12312, 12315, 12318 or 12321 applies (Ministerial Determination)</w:t>
      </w:r>
    </w:p>
    <w:p w14:paraId="53EBBD5B" w14:textId="77777777" w:rsidR="00961CFC" w:rsidRDefault="00961CFC" w:rsidP="005A2B5C">
      <w:pPr>
        <w:spacing w:before="120"/>
      </w:pPr>
      <w:r w:rsidRPr="00361E69">
        <w:rPr>
          <w:b/>
        </w:rPr>
        <w:t>Fee:</w:t>
      </w:r>
      <w:r w:rsidRPr="00DA7BF2">
        <w:t xml:space="preserve"> $102.40</w:t>
      </w:r>
    </w:p>
    <w:p w14:paraId="4B136634" w14:textId="15CC370F" w:rsidR="00961CFC" w:rsidRDefault="00961CFC" w:rsidP="005A2B5C">
      <w:pPr>
        <w:spacing w:before="120"/>
      </w:pPr>
      <w:r w:rsidRPr="00361E69">
        <w:rPr>
          <w:b/>
        </w:rPr>
        <w:t>Benefit:</w:t>
      </w:r>
      <w:r w:rsidRPr="00DA7BF2">
        <w:t xml:space="preserve"> 75% = $76.80</w:t>
      </w:r>
      <w:r w:rsidRPr="00DA7BF2">
        <w:tab/>
        <w:t>85% = $87.05</w:t>
      </w:r>
    </w:p>
    <w:p w14:paraId="7954B806" w14:textId="6E45486E" w:rsidR="00961CFC" w:rsidRDefault="00961CFC" w:rsidP="005A2B5C">
      <w:pPr>
        <w:pStyle w:val="AppendixStyle2"/>
        <w:spacing w:before="360"/>
      </w:pPr>
      <w:r w:rsidRPr="008A13AB">
        <w:t>Item</w:t>
      </w:r>
      <w:r>
        <w:t xml:space="preserve"> </w:t>
      </w:r>
      <w:r w:rsidRPr="008A13AB">
        <w:t>12309</w:t>
      </w:r>
    </w:p>
    <w:p w14:paraId="519E7BB2" w14:textId="77777777" w:rsidR="00961CFC" w:rsidRPr="00DA7BF2" w:rsidRDefault="00961CFC" w:rsidP="00961CFC">
      <w:pPr>
        <w:spacing w:before="140" w:after="40"/>
      </w:pPr>
      <w:r w:rsidRPr="00DA7BF2">
        <w:t xml:space="preserve">Bone densitometry (performed by a specialist or consultant physician where the patient is referred by another medical practitioner), </w:t>
      </w:r>
      <w:r w:rsidRPr="00DA7BF2">
        <w:rPr>
          <w:bCs/>
        </w:rPr>
        <w:t>using quantitative computerised tomography</w:t>
      </w:r>
      <w:r w:rsidRPr="00DA7BF2">
        <w:t>, for:</w:t>
      </w:r>
    </w:p>
    <w:p w14:paraId="47FC3C06" w14:textId="77777777" w:rsidR="00961CFC" w:rsidRPr="00DA7BF2" w:rsidRDefault="00961CFC" w:rsidP="00961CFC">
      <w:pPr>
        <w:pStyle w:val="ListParagraph"/>
        <w:numPr>
          <w:ilvl w:val="0"/>
          <w:numId w:val="10"/>
        </w:numPr>
        <w:spacing w:before="140" w:after="40"/>
      </w:pPr>
      <w:r w:rsidRPr="00DA7BF2">
        <w:t xml:space="preserve">the confirmation of a presumptive diagnosis of low bone mineral density made on the basis of 1 or more fractures occurring after minimal trauma; or </w:t>
      </w:r>
    </w:p>
    <w:p w14:paraId="32977C49" w14:textId="77777777" w:rsidR="00961CFC" w:rsidRPr="00DA7BF2" w:rsidRDefault="00961CFC" w:rsidP="00961CFC">
      <w:pPr>
        <w:pStyle w:val="ListParagraph"/>
        <w:numPr>
          <w:ilvl w:val="0"/>
          <w:numId w:val="10"/>
        </w:numPr>
        <w:spacing w:before="140" w:after="40"/>
      </w:pPr>
      <w:r w:rsidRPr="00DA7BF2">
        <w:t>for the monitoring of low bone mineral density proven by bone densitometry at least 12 months previously.</w:t>
      </w:r>
    </w:p>
    <w:p w14:paraId="7887C8A5" w14:textId="71BBA17E" w:rsidR="00961CFC" w:rsidRPr="00DA7BF2" w:rsidRDefault="00961CFC" w:rsidP="00961CFC">
      <w:pPr>
        <w:spacing w:before="140" w:after="40"/>
      </w:pPr>
      <w:r w:rsidRPr="00DA7BF2">
        <w:t xml:space="preserve">Measurement of </w:t>
      </w:r>
      <w:r w:rsidR="00010BBD">
        <w:t>two</w:t>
      </w:r>
      <w:r w:rsidRPr="00DA7BF2">
        <w:t xml:space="preserve"> or more sites - </w:t>
      </w:r>
      <w:r w:rsidR="00010BBD">
        <w:rPr>
          <w:b/>
          <w:bCs/>
        </w:rPr>
        <w:t>one</w:t>
      </w:r>
      <w:r w:rsidRPr="00361E69">
        <w:rPr>
          <w:b/>
          <w:bCs/>
        </w:rPr>
        <w:t xml:space="preserve"> service only in a period of 24 months</w:t>
      </w:r>
      <w:r w:rsidRPr="00DA7BF2">
        <w:rPr>
          <w:bCs/>
        </w:rPr>
        <w:t xml:space="preserve"> </w:t>
      </w:r>
      <w:r w:rsidRPr="00DA7BF2">
        <w:t>- including interpretation and report; not being a service associated with a service to which item 12306, 12312, 12315, 12318 or 12321 applies (Ministerial Determination)</w:t>
      </w:r>
    </w:p>
    <w:p w14:paraId="1AC94FB0" w14:textId="77777777" w:rsidR="00961CFC" w:rsidRDefault="00961CFC" w:rsidP="005A2B5C">
      <w:pPr>
        <w:spacing w:before="120"/>
      </w:pPr>
      <w:r w:rsidRPr="00361E69">
        <w:rPr>
          <w:b/>
        </w:rPr>
        <w:t>Fee:</w:t>
      </w:r>
      <w:r w:rsidRPr="00DA7BF2">
        <w:t xml:space="preserve"> $102.40</w:t>
      </w:r>
    </w:p>
    <w:p w14:paraId="2B39D152" w14:textId="197FCF9B" w:rsidR="00961CFC" w:rsidRDefault="00961CFC" w:rsidP="005A2B5C">
      <w:pPr>
        <w:spacing w:before="120"/>
      </w:pPr>
      <w:r w:rsidRPr="00361E69">
        <w:rPr>
          <w:b/>
        </w:rPr>
        <w:t>Benefit</w:t>
      </w:r>
      <w:r w:rsidRPr="00DA7BF2">
        <w:t>: 75% = $76.80</w:t>
      </w:r>
      <w:r w:rsidRPr="00DA7BF2">
        <w:tab/>
        <w:t>85% = $87.05</w:t>
      </w:r>
    </w:p>
    <w:p w14:paraId="01A17E2D" w14:textId="4AF5EFD1" w:rsidR="00961CFC" w:rsidRDefault="00961CFC" w:rsidP="005A2B5C">
      <w:pPr>
        <w:pStyle w:val="AppendixStyle2"/>
        <w:spacing w:before="360"/>
      </w:pPr>
      <w:r>
        <w:t xml:space="preserve">Item </w:t>
      </w:r>
      <w:r w:rsidRPr="008A13AB">
        <w:t>12312</w:t>
      </w:r>
    </w:p>
    <w:p w14:paraId="5D169F2A" w14:textId="77777777" w:rsidR="00961CFC" w:rsidRPr="00DA7BF2" w:rsidRDefault="00961CFC" w:rsidP="00961CFC">
      <w:pPr>
        <w:spacing w:before="140" w:after="40"/>
      </w:pPr>
      <w:r w:rsidRPr="00DA7BF2">
        <w:t xml:space="preserve">Bone densitometry (performed by a specialist or consultant physician where the patient is referred by another medical practitioner), </w:t>
      </w:r>
      <w:r w:rsidRPr="00DA7BF2">
        <w:rPr>
          <w:bCs/>
        </w:rPr>
        <w:t>using dual energy X-ray absorptiometry</w:t>
      </w:r>
      <w:r w:rsidRPr="00DA7BF2">
        <w:t>, for the diagnosis and monitoring of bone loss associated with 1 or more of the following conditions:</w:t>
      </w:r>
    </w:p>
    <w:p w14:paraId="47E4F91B" w14:textId="77777777" w:rsidR="00961CFC" w:rsidRPr="00DA7BF2" w:rsidRDefault="00961CFC" w:rsidP="00961CFC">
      <w:pPr>
        <w:pStyle w:val="ListParagraph"/>
        <w:numPr>
          <w:ilvl w:val="0"/>
          <w:numId w:val="10"/>
        </w:numPr>
        <w:spacing w:before="140" w:after="40"/>
      </w:pPr>
      <w:r w:rsidRPr="00DA7BF2">
        <w:t xml:space="preserve">prolonged glucocorticoid therapy; </w:t>
      </w:r>
    </w:p>
    <w:p w14:paraId="36355B66" w14:textId="77777777" w:rsidR="00961CFC" w:rsidRPr="00DA7BF2" w:rsidRDefault="00961CFC" w:rsidP="00961CFC">
      <w:pPr>
        <w:pStyle w:val="ListParagraph"/>
        <w:numPr>
          <w:ilvl w:val="0"/>
          <w:numId w:val="10"/>
        </w:numPr>
        <w:spacing w:before="140" w:after="40"/>
      </w:pPr>
      <w:r w:rsidRPr="00DA7BF2">
        <w:lastRenderedPageBreak/>
        <w:t xml:space="preserve">conditions associated with excess glucocorticoid secretion; </w:t>
      </w:r>
    </w:p>
    <w:p w14:paraId="380022AF" w14:textId="77777777" w:rsidR="00961CFC" w:rsidRPr="00DA7BF2" w:rsidRDefault="00961CFC" w:rsidP="00961CFC">
      <w:pPr>
        <w:pStyle w:val="ListParagraph"/>
        <w:numPr>
          <w:ilvl w:val="0"/>
          <w:numId w:val="10"/>
        </w:numPr>
        <w:spacing w:before="140" w:after="40"/>
      </w:pPr>
      <w:r w:rsidRPr="00DA7BF2">
        <w:t xml:space="preserve">male hypogonadism; or </w:t>
      </w:r>
    </w:p>
    <w:p w14:paraId="783F6A1D" w14:textId="3FCB6C71" w:rsidR="00961CFC" w:rsidRPr="00DA7BF2" w:rsidRDefault="00961CFC" w:rsidP="00961CFC">
      <w:pPr>
        <w:pStyle w:val="ListParagraph"/>
        <w:numPr>
          <w:ilvl w:val="0"/>
          <w:numId w:val="10"/>
        </w:numPr>
        <w:spacing w:before="140" w:after="40"/>
      </w:pPr>
      <w:r w:rsidRPr="00DA7BF2">
        <w:t>female hypogonadism lasting more than</w:t>
      </w:r>
      <w:r>
        <w:t xml:space="preserve"> </w:t>
      </w:r>
      <w:r w:rsidR="00010BBD">
        <w:t>six</w:t>
      </w:r>
      <w:r>
        <w:t xml:space="preserve"> months before the age of 45.</w:t>
      </w:r>
    </w:p>
    <w:p w14:paraId="33D6D2DF" w14:textId="19D7CD53" w:rsidR="00961CFC" w:rsidRPr="00DA7BF2" w:rsidRDefault="00961CFC" w:rsidP="00961CFC">
      <w:pPr>
        <w:spacing w:before="140" w:after="40"/>
      </w:pPr>
      <w:r w:rsidRPr="00DA7BF2">
        <w:t xml:space="preserve">Where the bone density measurement will contribute to the management of a patient with any of the above conditions - measurement of </w:t>
      </w:r>
      <w:r w:rsidR="00010BBD">
        <w:t>two</w:t>
      </w:r>
      <w:r w:rsidRPr="00DA7BF2">
        <w:t xml:space="preserve"> or more sites - </w:t>
      </w:r>
      <w:r w:rsidR="00010BBD">
        <w:rPr>
          <w:b/>
          <w:bCs/>
        </w:rPr>
        <w:t>one</w:t>
      </w:r>
      <w:r w:rsidRPr="00361E69">
        <w:rPr>
          <w:b/>
          <w:bCs/>
        </w:rPr>
        <w:t xml:space="preserve"> service only in a period of 12 consecutive months</w:t>
      </w:r>
      <w:r w:rsidRPr="00DA7BF2">
        <w:t xml:space="preserve"> - including interpretation and report; not being a service associated with a service to which item 12306, 12309, 12315, 12318 or 12321 applies (Ministerial Determination)</w:t>
      </w:r>
    </w:p>
    <w:p w14:paraId="604681A5" w14:textId="77777777" w:rsidR="00961CFC" w:rsidRDefault="00961CFC" w:rsidP="005A2B5C">
      <w:pPr>
        <w:spacing w:before="120"/>
      </w:pPr>
      <w:r w:rsidRPr="00361E69">
        <w:rPr>
          <w:b/>
        </w:rPr>
        <w:t>Fee:</w:t>
      </w:r>
      <w:r w:rsidRPr="00DA7BF2">
        <w:t xml:space="preserve"> $102.40</w:t>
      </w:r>
    </w:p>
    <w:p w14:paraId="33AA41D9" w14:textId="09DAFDAF" w:rsidR="00961CFC" w:rsidRDefault="00961CFC" w:rsidP="005A2B5C">
      <w:pPr>
        <w:spacing w:before="120"/>
      </w:pPr>
      <w:r w:rsidRPr="00361E69">
        <w:rPr>
          <w:b/>
        </w:rPr>
        <w:t>Benefit:</w:t>
      </w:r>
      <w:r w:rsidRPr="00DA7BF2">
        <w:t xml:space="preserve"> 75% = $76.80</w:t>
      </w:r>
      <w:r w:rsidRPr="00DA7BF2">
        <w:tab/>
        <w:t>85% = $87.05</w:t>
      </w:r>
    </w:p>
    <w:p w14:paraId="79EA0E04" w14:textId="50CB3647" w:rsidR="00961CFC" w:rsidRDefault="00961CFC" w:rsidP="005A2B5C">
      <w:pPr>
        <w:pStyle w:val="AppendixStyle2"/>
        <w:spacing w:before="360"/>
      </w:pPr>
      <w:r>
        <w:t xml:space="preserve">Item </w:t>
      </w:r>
      <w:r w:rsidRPr="008A13AB">
        <w:t>12315</w:t>
      </w:r>
    </w:p>
    <w:p w14:paraId="765809E4" w14:textId="077C892C" w:rsidR="00961CFC" w:rsidRPr="00DA7BF2" w:rsidRDefault="00961CFC" w:rsidP="00961CFC">
      <w:pPr>
        <w:spacing w:before="140" w:after="40"/>
      </w:pPr>
      <w:r w:rsidRPr="00DA7BF2">
        <w:t xml:space="preserve">Bone densitometry (performed by a specialist or consultant physician where the patient is referred by another medical practitioner), </w:t>
      </w:r>
      <w:r w:rsidRPr="00DA7BF2">
        <w:rPr>
          <w:bCs/>
        </w:rPr>
        <w:t>using dual energy X-ray absorptiometry</w:t>
      </w:r>
      <w:r w:rsidRPr="00DA7BF2">
        <w:t xml:space="preserve">, for the diagnosis and monitoring of bone loss associated with </w:t>
      </w:r>
      <w:r w:rsidR="00010BBD">
        <w:t xml:space="preserve">one </w:t>
      </w:r>
      <w:r w:rsidRPr="00DA7BF2">
        <w:t>or more of the following conditions:</w:t>
      </w:r>
    </w:p>
    <w:p w14:paraId="2A80728B" w14:textId="77777777" w:rsidR="00961CFC" w:rsidRPr="00DA7BF2" w:rsidRDefault="00961CFC" w:rsidP="00961CFC">
      <w:pPr>
        <w:pStyle w:val="ListParagraph"/>
        <w:numPr>
          <w:ilvl w:val="0"/>
          <w:numId w:val="11"/>
        </w:numPr>
        <w:spacing w:before="140" w:after="40"/>
      </w:pPr>
      <w:r w:rsidRPr="00DA7BF2">
        <w:t xml:space="preserve">primary hyperparathyroidism; </w:t>
      </w:r>
    </w:p>
    <w:p w14:paraId="1CB7005C" w14:textId="77777777" w:rsidR="00961CFC" w:rsidRPr="00DA7BF2" w:rsidRDefault="00961CFC" w:rsidP="00961CFC">
      <w:pPr>
        <w:pStyle w:val="ListParagraph"/>
        <w:numPr>
          <w:ilvl w:val="0"/>
          <w:numId w:val="11"/>
        </w:numPr>
        <w:spacing w:before="140" w:after="40"/>
      </w:pPr>
      <w:r w:rsidRPr="00DA7BF2">
        <w:t xml:space="preserve">chronic liver disease; </w:t>
      </w:r>
    </w:p>
    <w:p w14:paraId="3395964D" w14:textId="77777777" w:rsidR="00961CFC" w:rsidRPr="00DA7BF2" w:rsidRDefault="00961CFC" w:rsidP="00961CFC">
      <w:pPr>
        <w:pStyle w:val="ListParagraph"/>
        <w:numPr>
          <w:ilvl w:val="0"/>
          <w:numId w:val="11"/>
        </w:numPr>
        <w:spacing w:before="140" w:after="40"/>
      </w:pPr>
      <w:r w:rsidRPr="00DA7BF2">
        <w:t xml:space="preserve">chronic renal disease; </w:t>
      </w:r>
    </w:p>
    <w:p w14:paraId="0CB3C963" w14:textId="77777777" w:rsidR="00961CFC" w:rsidRPr="00DA7BF2" w:rsidRDefault="00961CFC" w:rsidP="00961CFC">
      <w:pPr>
        <w:pStyle w:val="ListParagraph"/>
        <w:numPr>
          <w:ilvl w:val="0"/>
          <w:numId w:val="11"/>
        </w:numPr>
        <w:spacing w:before="140" w:after="40"/>
      </w:pPr>
      <w:r w:rsidRPr="00DA7BF2">
        <w:t xml:space="preserve">proven malabsorptive disorders; </w:t>
      </w:r>
    </w:p>
    <w:p w14:paraId="6841A464" w14:textId="77777777" w:rsidR="00961CFC" w:rsidRPr="00DA7BF2" w:rsidRDefault="00961CFC" w:rsidP="00961CFC">
      <w:pPr>
        <w:pStyle w:val="ListParagraph"/>
        <w:numPr>
          <w:ilvl w:val="0"/>
          <w:numId w:val="11"/>
        </w:numPr>
        <w:spacing w:before="140" w:after="40"/>
      </w:pPr>
      <w:r w:rsidRPr="00DA7BF2">
        <w:t xml:space="preserve">rheumatoid arthritis; or </w:t>
      </w:r>
    </w:p>
    <w:p w14:paraId="394C90D5" w14:textId="77777777" w:rsidR="00961CFC" w:rsidRDefault="00961CFC" w:rsidP="00961CFC">
      <w:pPr>
        <w:pStyle w:val="ListParagraph"/>
        <w:numPr>
          <w:ilvl w:val="0"/>
          <w:numId w:val="11"/>
        </w:numPr>
        <w:spacing w:before="140" w:after="40"/>
      </w:pPr>
      <w:r w:rsidRPr="00DA7BF2">
        <w:t>conditions as</w:t>
      </w:r>
      <w:r>
        <w:t>sociated with thyroxine excess.</w:t>
      </w:r>
    </w:p>
    <w:p w14:paraId="495D028F" w14:textId="59BC982C" w:rsidR="00961CFC" w:rsidRPr="00DA7BF2" w:rsidRDefault="00961CFC" w:rsidP="00961CFC">
      <w:pPr>
        <w:spacing w:before="140" w:after="40"/>
      </w:pPr>
      <w:r w:rsidRPr="00DA7BF2">
        <w:t xml:space="preserve">Where the bone density measurement will contribute to the management of a patient with any of the above conditions - measurement of </w:t>
      </w:r>
      <w:r w:rsidR="00010BBD">
        <w:t>two</w:t>
      </w:r>
      <w:r w:rsidRPr="00DA7BF2">
        <w:t xml:space="preserve"> or more sites - </w:t>
      </w:r>
      <w:r w:rsidR="00010BBD">
        <w:rPr>
          <w:b/>
          <w:bCs/>
        </w:rPr>
        <w:t>one</w:t>
      </w:r>
      <w:r w:rsidRPr="00361E69">
        <w:rPr>
          <w:b/>
          <w:bCs/>
        </w:rPr>
        <w:t xml:space="preserve"> service only in a period of 24 consecutive months</w:t>
      </w:r>
      <w:r w:rsidRPr="00DA7BF2">
        <w:t xml:space="preserve"> - including interpretation and report; not being a service associated with a service to which item 12306, 12309, 12312, 12318 or 12321 applies (Ministerial Determination)</w:t>
      </w:r>
    </w:p>
    <w:p w14:paraId="29CB18DE" w14:textId="77777777" w:rsidR="00961CFC" w:rsidRDefault="00961CFC" w:rsidP="005A2B5C">
      <w:pPr>
        <w:spacing w:before="120"/>
      </w:pPr>
      <w:r w:rsidRPr="00361E69">
        <w:rPr>
          <w:b/>
        </w:rPr>
        <w:t>Fee:</w:t>
      </w:r>
      <w:r w:rsidRPr="00DA7BF2">
        <w:t xml:space="preserve"> $102.40</w:t>
      </w:r>
    </w:p>
    <w:p w14:paraId="3AC70E07" w14:textId="3D5A3EAE" w:rsidR="00961CFC" w:rsidRDefault="00961CFC" w:rsidP="005A2B5C">
      <w:pPr>
        <w:spacing w:before="120"/>
      </w:pPr>
      <w:r w:rsidRPr="00361E69">
        <w:rPr>
          <w:b/>
        </w:rPr>
        <w:t xml:space="preserve">Benefit: </w:t>
      </w:r>
      <w:r w:rsidRPr="00DA7BF2">
        <w:t>75% = $76.80</w:t>
      </w:r>
      <w:r w:rsidRPr="00DA7BF2">
        <w:tab/>
        <w:t>85% = $87.05</w:t>
      </w:r>
    </w:p>
    <w:p w14:paraId="46BB8BB6" w14:textId="183CD7DC" w:rsidR="00961CFC" w:rsidRDefault="00961CFC" w:rsidP="005A2B5C">
      <w:pPr>
        <w:pStyle w:val="AppendixStyle2"/>
        <w:spacing w:before="360"/>
      </w:pPr>
      <w:r>
        <w:t xml:space="preserve">Item </w:t>
      </w:r>
      <w:r w:rsidRPr="008A13AB">
        <w:t>12318</w:t>
      </w:r>
    </w:p>
    <w:p w14:paraId="1B7B2D9B" w14:textId="6CF4B955" w:rsidR="00961CFC" w:rsidRPr="00DA7BF2" w:rsidRDefault="00961CFC" w:rsidP="00961CFC">
      <w:pPr>
        <w:spacing w:before="140" w:after="40"/>
      </w:pPr>
      <w:r w:rsidRPr="00DA7BF2">
        <w:t xml:space="preserve">Bone densitometry (performed by a specialist or consultant physician where the patient is referred by another medical practitioner), </w:t>
      </w:r>
      <w:r w:rsidRPr="00361E69">
        <w:rPr>
          <w:b/>
          <w:bCs/>
        </w:rPr>
        <w:t>using quantitative computerised tomography</w:t>
      </w:r>
      <w:r w:rsidRPr="00DA7BF2">
        <w:t xml:space="preserve">, for the diagnosis and monitoring of bone loss associated with </w:t>
      </w:r>
      <w:r w:rsidR="00010BBD">
        <w:t>one</w:t>
      </w:r>
      <w:r w:rsidRPr="00DA7BF2">
        <w:t xml:space="preserve"> or more of the following conditions:</w:t>
      </w:r>
    </w:p>
    <w:p w14:paraId="5F915CA9" w14:textId="77777777" w:rsidR="00961CFC" w:rsidRPr="00DA7BF2" w:rsidRDefault="00961CFC" w:rsidP="00961CFC">
      <w:pPr>
        <w:pStyle w:val="ListParagraph"/>
        <w:numPr>
          <w:ilvl w:val="0"/>
          <w:numId w:val="12"/>
        </w:numPr>
        <w:spacing w:before="140" w:after="40"/>
      </w:pPr>
      <w:r w:rsidRPr="00DA7BF2">
        <w:t xml:space="preserve">prolonged glucocorticoid therapy; </w:t>
      </w:r>
    </w:p>
    <w:p w14:paraId="669CB8ED" w14:textId="77777777" w:rsidR="00961CFC" w:rsidRPr="00DA7BF2" w:rsidRDefault="00961CFC" w:rsidP="00961CFC">
      <w:pPr>
        <w:pStyle w:val="ListParagraph"/>
        <w:numPr>
          <w:ilvl w:val="0"/>
          <w:numId w:val="12"/>
        </w:numPr>
        <w:spacing w:before="140" w:after="40"/>
      </w:pPr>
      <w:r w:rsidRPr="00DA7BF2">
        <w:t xml:space="preserve">conditions associated with excess glucocorticoid secretion; </w:t>
      </w:r>
    </w:p>
    <w:p w14:paraId="256F4DC4" w14:textId="77777777" w:rsidR="00961CFC" w:rsidRPr="00DA7BF2" w:rsidRDefault="00961CFC" w:rsidP="00961CFC">
      <w:pPr>
        <w:pStyle w:val="ListParagraph"/>
        <w:numPr>
          <w:ilvl w:val="0"/>
          <w:numId w:val="12"/>
        </w:numPr>
        <w:spacing w:before="140" w:after="40"/>
      </w:pPr>
      <w:r w:rsidRPr="00DA7BF2">
        <w:t>male hypogonadism;</w:t>
      </w:r>
    </w:p>
    <w:p w14:paraId="3A0720BC" w14:textId="0146AE97" w:rsidR="00961CFC" w:rsidRPr="00DA7BF2" w:rsidRDefault="00961CFC" w:rsidP="00961CFC">
      <w:pPr>
        <w:pStyle w:val="ListParagraph"/>
        <w:numPr>
          <w:ilvl w:val="0"/>
          <w:numId w:val="12"/>
        </w:numPr>
        <w:spacing w:before="140" w:after="40"/>
      </w:pPr>
      <w:r w:rsidRPr="00DA7BF2">
        <w:t xml:space="preserve">female hypogonadism lasting more than </w:t>
      </w:r>
      <w:r w:rsidR="00010BBD">
        <w:t>six</w:t>
      </w:r>
      <w:r w:rsidRPr="00DA7BF2">
        <w:t xml:space="preserve"> months before the age of 45; </w:t>
      </w:r>
    </w:p>
    <w:p w14:paraId="3E7F9F8B" w14:textId="77777777" w:rsidR="00961CFC" w:rsidRPr="00DA7BF2" w:rsidRDefault="00961CFC" w:rsidP="00961CFC">
      <w:pPr>
        <w:pStyle w:val="ListParagraph"/>
        <w:numPr>
          <w:ilvl w:val="0"/>
          <w:numId w:val="12"/>
        </w:numPr>
        <w:spacing w:before="140" w:after="40"/>
      </w:pPr>
      <w:r w:rsidRPr="00DA7BF2">
        <w:t xml:space="preserve">primary hyperparathyroidism; </w:t>
      </w:r>
    </w:p>
    <w:p w14:paraId="411869C5" w14:textId="77777777" w:rsidR="00961CFC" w:rsidRPr="00DA7BF2" w:rsidRDefault="00961CFC" w:rsidP="00961CFC">
      <w:pPr>
        <w:pStyle w:val="ListParagraph"/>
        <w:numPr>
          <w:ilvl w:val="0"/>
          <w:numId w:val="12"/>
        </w:numPr>
        <w:spacing w:before="140" w:after="40"/>
      </w:pPr>
      <w:r w:rsidRPr="00DA7BF2">
        <w:lastRenderedPageBreak/>
        <w:t>chronic liver disease;</w:t>
      </w:r>
    </w:p>
    <w:p w14:paraId="609E6EF9" w14:textId="77777777" w:rsidR="00961CFC" w:rsidRPr="00DA7BF2" w:rsidRDefault="00961CFC" w:rsidP="00961CFC">
      <w:pPr>
        <w:pStyle w:val="ListParagraph"/>
        <w:numPr>
          <w:ilvl w:val="0"/>
          <w:numId w:val="12"/>
        </w:numPr>
        <w:spacing w:before="140" w:after="40"/>
      </w:pPr>
      <w:r w:rsidRPr="00DA7BF2">
        <w:t xml:space="preserve">chronic renal disease; </w:t>
      </w:r>
    </w:p>
    <w:p w14:paraId="39144071" w14:textId="77777777" w:rsidR="00961CFC" w:rsidRPr="00DA7BF2" w:rsidRDefault="00961CFC" w:rsidP="00961CFC">
      <w:pPr>
        <w:pStyle w:val="ListParagraph"/>
        <w:numPr>
          <w:ilvl w:val="0"/>
          <w:numId w:val="12"/>
        </w:numPr>
        <w:spacing w:before="140" w:after="40"/>
      </w:pPr>
      <w:r w:rsidRPr="00DA7BF2">
        <w:t xml:space="preserve">proven malabsorptive disorders; </w:t>
      </w:r>
    </w:p>
    <w:p w14:paraId="58F8FDCD" w14:textId="77777777" w:rsidR="00961CFC" w:rsidRPr="00DA7BF2" w:rsidRDefault="00961CFC" w:rsidP="00961CFC">
      <w:pPr>
        <w:pStyle w:val="ListParagraph"/>
        <w:numPr>
          <w:ilvl w:val="0"/>
          <w:numId w:val="12"/>
        </w:numPr>
        <w:spacing w:before="140" w:after="40"/>
      </w:pPr>
      <w:r w:rsidRPr="00DA7BF2">
        <w:t xml:space="preserve">rheumatoid arthritis; or </w:t>
      </w:r>
    </w:p>
    <w:p w14:paraId="632D77A3" w14:textId="77777777" w:rsidR="00961CFC" w:rsidRPr="00DA7BF2" w:rsidRDefault="00961CFC" w:rsidP="00961CFC">
      <w:pPr>
        <w:pStyle w:val="ListParagraph"/>
        <w:numPr>
          <w:ilvl w:val="0"/>
          <w:numId w:val="12"/>
        </w:numPr>
        <w:spacing w:before="140" w:after="40"/>
      </w:pPr>
      <w:r w:rsidRPr="00DA7BF2">
        <w:t>conditions associated with thyroxine excess.</w:t>
      </w:r>
    </w:p>
    <w:p w14:paraId="6253A412" w14:textId="50329234" w:rsidR="00961CFC" w:rsidRPr="00DA7BF2" w:rsidRDefault="00961CFC" w:rsidP="00961CFC">
      <w:pPr>
        <w:spacing w:before="140" w:after="40"/>
      </w:pPr>
      <w:r w:rsidRPr="00DA7BF2">
        <w:t xml:space="preserve">Where the bone density measurement will contribute to the management of a patient with any of the above conditions - measurement of </w:t>
      </w:r>
      <w:r w:rsidR="00010BBD">
        <w:t xml:space="preserve">two </w:t>
      </w:r>
      <w:r w:rsidRPr="00DA7BF2">
        <w:t xml:space="preserve">or more sites - </w:t>
      </w:r>
      <w:r w:rsidR="00010BBD">
        <w:rPr>
          <w:b/>
          <w:bCs/>
        </w:rPr>
        <w:t>one</w:t>
      </w:r>
      <w:r w:rsidRPr="00361E69">
        <w:rPr>
          <w:b/>
          <w:bCs/>
        </w:rPr>
        <w:t xml:space="preserve"> service only in a period of 24 consecutive months</w:t>
      </w:r>
      <w:r w:rsidRPr="00361E69">
        <w:rPr>
          <w:b/>
        </w:rPr>
        <w:t xml:space="preserve"> </w:t>
      </w:r>
      <w:r w:rsidRPr="00DA7BF2">
        <w:t>- including interpretation and report; not being a service associated with a service to which item 12306, 12309, 12312, 12315 or 12321 applies (Ministerial Determination)</w:t>
      </w:r>
    </w:p>
    <w:p w14:paraId="085DD9A7" w14:textId="77777777" w:rsidR="00CE171B" w:rsidRDefault="00961CFC" w:rsidP="005A2B5C">
      <w:pPr>
        <w:spacing w:before="120"/>
      </w:pPr>
      <w:r w:rsidRPr="00361E69">
        <w:rPr>
          <w:b/>
        </w:rPr>
        <w:t>Fee:</w:t>
      </w:r>
      <w:r w:rsidRPr="00DA7BF2">
        <w:t xml:space="preserve"> $102.40</w:t>
      </w:r>
    </w:p>
    <w:p w14:paraId="66ED86F7" w14:textId="32AB2E8D" w:rsidR="00961CFC" w:rsidRDefault="00961CFC" w:rsidP="005A2B5C">
      <w:pPr>
        <w:spacing w:before="120"/>
      </w:pPr>
      <w:r w:rsidRPr="00361E69">
        <w:rPr>
          <w:b/>
        </w:rPr>
        <w:t>Benefit:</w:t>
      </w:r>
      <w:r w:rsidRPr="00DA7BF2">
        <w:t xml:space="preserve"> 75% = $76.80</w:t>
      </w:r>
      <w:r w:rsidRPr="00DA7BF2">
        <w:tab/>
        <w:t>85% = $87.05</w:t>
      </w:r>
    </w:p>
    <w:p w14:paraId="3F71BBBE" w14:textId="0A741236" w:rsidR="00961CFC" w:rsidRDefault="00961CFC" w:rsidP="005A2B5C">
      <w:pPr>
        <w:pStyle w:val="AppendixStyle2"/>
        <w:spacing w:before="360"/>
      </w:pPr>
      <w:r>
        <w:t xml:space="preserve">Item </w:t>
      </w:r>
      <w:r w:rsidRPr="008A13AB">
        <w:t>12321</w:t>
      </w:r>
    </w:p>
    <w:p w14:paraId="4AC16E8E" w14:textId="77777777" w:rsidR="00961CFC" w:rsidRPr="00DA7BF2" w:rsidRDefault="00961CFC" w:rsidP="00961CFC">
      <w:pPr>
        <w:spacing w:before="140" w:after="40"/>
      </w:pPr>
      <w:r w:rsidRPr="00DA7BF2">
        <w:t xml:space="preserve">Bone densitometry (performed by a specialist or consultant physician where the patient is referred by another medical practitioner), </w:t>
      </w:r>
      <w:r w:rsidRPr="00DA7BF2">
        <w:rPr>
          <w:bCs/>
        </w:rPr>
        <w:t>using dual energy X-ray absorptiometry</w:t>
      </w:r>
      <w:r w:rsidRPr="00DA7BF2">
        <w:t xml:space="preserve">, for the </w:t>
      </w:r>
      <w:r w:rsidRPr="00DA7BF2">
        <w:rPr>
          <w:bCs/>
        </w:rPr>
        <w:t>measurement</w:t>
      </w:r>
      <w:r w:rsidRPr="00DA7BF2">
        <w:t xml:space="preserve"> of bone density 12 months following a significant change in therapy for:</w:t>
      </w:r>
    </w:p>
    <w:p w14:paraId="79BB2AD4" w14:textId="77777777" w:rsidR="00961CFC" w:rsidRPr="00DA7BF2" w:rsidRDefault="00961CFC" w:rsidP="00961CFC">
      <w:pPr>
        <w:pStyle w:val="ListParagraph"/>
        <w:numPr>
          <w:ilvl w:val="0"/>
          <w:numId w:val="13"/>
        </w:numPr>
        <w:spacing w:before="140" w:after="40"/>
      </w:pPr>
      <w:r w:rsidRPr="00DA7BF2">
        <w:t>established low bone mineral density; or</w:t>
      </w:r>
    </w:p>
    <w:p w14:paraId="1C6700C7" w14:textId="77777777" w:rsidR="00961CFC" w:rsidRPr="00DA7BF2" w:rsidRDefault="00961CFC" w:rsidP="00961CFC">
      <w:pPr>
        <w:pStyle w:val="ListParagraph"/>
        <w:numPr>
          <w:ilvl w:val="0"/>
          <w:numId w:val="13"/>
        </w:numPr>
        <w:spacing w:before="140" w:after="40"/>
      </w:pPr>
      <w:r w:rsidRPr="00DA7BF2">
        <w:t>the confirmation of a presumptive diagnosis of low bone mineral density made on the basis of 1 or more fractures occurring after minimal trauma.</w:t>
      </w:r>
    </w:p>
    <w:p w14:paraId="36958C37" w14:textId="074513F3" w:rsidR="00961CFC" w:rsidRPr="00DA7BF2" w:rsidRDefault="00961CFC" w:rsidP="00961CFC">
      <w:pPr>
        <w:spacing w:before="140" w:after="40"/>
      </w:pPr>
      <w:r w:rsidRPr="00DA7BF2">
        <w:t xml:space="preserve">Measurement of </w:t>
      </w:r>
      <w:r w:rsidR="00010BBD">
        <w:t>two</w:t>
      </w:r>
      <w:r w:rsidRPr="00DA7BF2">
        <w:t xml:space="preserve"> or more sites - </w:t>
      </w:r>
      <w:r w:rsidR="00010BBD">
        <w:rPr>
          <w:b/>
          <w:bCs/>
        </w:rPr>
        <w:t>one</w:t>
      </w:r>
      <w:r w:rsidRPr="00361E69">
        <w:rPr>
          <w:b/>
          <w:bCs/>
        </w:rPr>
        <w:t xml:space="preserve"> service only in a period of 12 consecutive months</w:t>
      </w:r>
      <w:r w:rsidRPr="00DA7BF2">
        <w:t xml:space="preserve"> - including interpretation and report; not being a service associated with a service to which item 12306, 12309, 12312, 12315 or 12318 applies (Ministerial Determination).</w:t>
      </w:r>
    </w:p>
    <w:p w14:paraId="4D467C1D" w14:textId="77777777" w:rsidR="00961CFC" w:rsidRDefault="00961CFC" w:rsidP="005A2B5C">
      <w:pPr>
        <w:spacing w:before="120"/>
      </w:pPr>
      <w:r w:rsidRPr="00361E69">
        <w:rPr>
          <w:b/>
        </w:rPr>
        <w:t>Fee:</w:t>
      </w:r>
      <w:r w:rsidRPr="00DA7BF2">
        <w:t xml:space="preserve"> $102.40</w:t>
      </w:r>
    </w:p>
    <w:p w14:paraId="3631E7A4" w14:textId="561E2951" w:rsidR="00961CFC" w:rsidRDefault="00961CFC" w:rsidP="005A2B5C">
      <w:pPr>
        <w:spacing w:before="120"/>
      </w:pPr>
      <w:r w:rsidRPr="00361E69">
        <w:rPr>
          <w:b/>
        </w:rPr>
        <w:t>Benefit:</w:t>
      </w:r>
      <w:r w:rsidRPr="00DA7BF2">
        <w:t xml:space="preserve"> 75% = $76.80</w:t>
      </w:r>
      <w:r w:rsidRPr="00DA7BF2">
        <w:tab/>
        <w:t>85% = $87.05</w:t>
      </w:r>
    </w:p>
    <w:p w14:paraId="0B43C332" w14:textId="1229C625" w:rsidR="00961CFC" w:rsidRDefault="00961CFC" w:rsidP="005A2B5C">
      <w:pPr>
        <w:pStyle w:val="AppendixStyle2"/>
        <w:spacing w:before="360"/>
      </w:pPr>
      <w:r>
        <w:t xml:space="preserve">Item </w:t>
      </w:r>
      <w:r w:rsidRPr="008A13AB">
        <w:t>12323</w:t>
      </w:r>
    </w:p>
    <w:p w14:paraId="5C0610EA" w14:textId="77777777" w:rsidR="00961CFC" w:rsidRPr="00DA7BF2" w:rsidRDefault="00961CFC" w:rsidP="00961CFC">
      <w:pPr>
        <w:spacing w:before="140" w:after="40"/>
      </w:pPr>
      <w:r w:rsidRPr="00DA7BF2">
        <w:t xml:space="preserve">Bone densitometry (performed by a specialist or consultant physician where the patient is referred by another medical practitioner), </w:t>
      </w:r>
      <w:r w:rsidRPr="00361E69">
        <w:rPr>
          <w:b/>
          <w:bCs/>
        </w:rPr>
        <w:t>using dual energy X-ray absorptiometry</w:t>
      </w:r>
      <w:r w:rsidRPr="00DA7BF2">
        <w:t xml:space="preserve"> or </w:t>
      </w:r>
      <w:r w:rsidRPr="00361E69">
        <w:rPr>
          <w:b/>
          <w:bCs/>
        </w:rPr>
        <w:t>quantitative</w:t>
      </w:r>
      <w:r w:rsidRPr="00361E69">
        <w:rPr>
          <w:b/>
        </w:rPr>
        <w:t xml:space="preserve"> </w:t>
      </w:r>
      <w:r w:rsidRPr="00361E69">
        <w:rPr>
          <w:b/>
          <w:bCs/>
        </w:rPr>
        <w:t>computerised tomography</w:t>
      </w:r>
      <w:r w:rsidRPr="00DA7BF2">
        <w:t>, for the measurement of bone mineral density, for a person aged 70 years or over.</w:t>
      </w:r>
    </w:p>
    <w:p w14:paraId="6FC3CD80" w14:textId="254AAC0A" w:rsidR="00961CFC" w:rsidRPr="00DA7BF2" w:rsidRDefault="00961CFC" w:rsidP="00961CFC">
      <w:pPr>
        <w:spacing w:before="140" w:after="40"/>
      </w:pPr>
      <w:r w:rsidRPr="00DA7BF2">
        <w:t xml:space="preserve">Measurement of </w:t>
      </w:r>
      <w:r w:rsidR="00010BBD">
        <w:t xml:space="preserve">two </w:t>
      </w:r>
      <w:r w:rsidRPr="00DA7BF2">
        <w:t>or more sites - including interpretation and report; not being a service associated with a service to which item 12306, 12309, 12312, 12315, 12318 or 12321 applies (Ministerial Determination).</w:t>
      </w:r>
    </w:p>
    <w:p w14:paraId="3CA613D7" w14:textId="77777777" w:rsidR="00961CFC" w:rsidRDefault="00961CFC" w:rsidP="005A2B5C">
      <w:pPr>
        <w:spacing w:before="120"/>
      </w:pPr>
      <w:r w:rsidRPr="00361E69">
        <w:rPr>
          <w:b/>
        </w:rPr>
        <w:t>Fee:</w:t>
      </w:r>
      <w:r w:rsidRPr="00DA7BF2">
        <w:t xml:space="preserve"> $102.40</w:t>
      </w:r>
    </w:p>
    <w:p w14:paraId="1034EDA0" w14:textId="022B0591" w:rsidR="001553A5" w:rsidRPr="00DA7BF2" w:rsidRDefault="00961CFC" w:rsidP="005A2B5C">
      <w:pPr>
        <w:spacing w:before="120"/>
        <w:rPr>
          <w:rFonts w:cs="Arial"/>
          <w:szCs w:val="22"/>
        </w:rPr>
      </w:pPr>
      <w:r w:rsidRPr="00361E69">
        <w:rPr>
          <w:b/>
        </w:rPr>
        <w:t>Benefit</w:t>
      </w:r>
      <w:r w:rsidRPr="00DA7BF2">
        <w:t>: 75% = $76.80</w:t>
      </w:r>
      <w:r w:rsidRPr="00DA7BF2">
        <w:tab/>
        <w:t>85% = $87.05</w:t>
      </w:r>
    </w:p>
    <w:p w14:paraId="598CC1CE" w14:textId="77777777" w:rsidR="00475E69" w:rsidRPr="00227512" w:rsidRDefault="00475E69" w:rsidP="003F788A">
      <w:pPr>
        <w:spacing w:before="120" w:after="120"/>
        <w:rPr>
          <w:rFonts w:cs="Arial"/>
          <w:b/>
          <w:sz w:val="32"/>
          <w:lang w:val="en-US" w:eastAsia="en-US"/>
        </w:rPr>
        <w:sectPr w:rsidR="00475E69" w:rsidRPr="00227512" w:rsidSect="00151F01">
          <w:footerReference w:type="default" r:id="rId13"/>
          <w:pgSz w:w="11906" w:h="16838" w:code="9"/>
          <w:pgMar w:top="1440" w:right="1440" w:bottom="1276" w:left="1440" w:header="720" w:footer="720" w:gutter="0"/>
          <w:paperSrc w:first="2" w:other="2"/>
          <w:cols w:space="720"/>
          <w:docGrid w:linePitch="326"/>
        </w:sectPr>
      </w:pPr>
    </w:p>
    <w:p w14:paraId="07F3DBE6" w14:textId="77777777" w:rsidR="00F417F4" w:rsidRPr="00227512" w:rsidRDefault="00F417F4" w:rsidP="0060697D">
      <w:pPr>
        <w:pStyle w:val="AppendixStyle1"/>
      </w:pPr>
      <w:bookmarkStart w:id="97" w:name="_Toc459707289"/>
      <w:r w:rsidRPr="00227512">
        <w:lastRenderedPageBreak/>
        <w:t>RAPID REVIEW: Dual energy x-ray absorptiometry</w:t>
      </w:r>
      <w:bookmarkEnd w:id="97"/>
      <w:r w:rsidRPr="00227512">
        <w:t xml:space="preserve"> </w:t>
      </w:r>
      <w:bookmarkStart w:id="98" w:name="_Toc374972252"/>
      <w:bookmarkStart w:id="99" w:name="_Toc374972613"/>
      <w:bookmarkStart w:id="100" w:name="_Toc421201166"/>
    </w:p>
    <w:p w14:paraId="3147B4C9" w14:textId="77777777" w:rsidR="00F417F4" w:rsidRPr="009200D8" w:rsidRDefault="00F417F4" w:rsidP="00B85103">
      <w:pPr>
        <w:pStyle w:val="AppendixStyle2"/>
      </w:pPr>
      <w:r w:rsidRPr="009200D8">
        <w:t>Research Question</w:t>
      </w:r>
      <w:bookmarkEnd w:id="98"/>
      <w:bookmarkEnd w:id="99"/>
      <w:bookmarkEnd w:id="100"/>
      <w:r w:rsidRPr="009200D8">
        <w:t>s</w:t>
      </w:r>
    </w:p>
    <w:p w14:paraId="26EF5FA2" w14:textId="77777777" w:rsidR="00F417F4" w:rsidRPr="009200D8" w:rsidRDefault="00F417F4" w:rsidP="003F788A">
      <w:pPr>
        <w:pStyle w:val="BodyText"/>
        <w:spacing w:before="120" w:afterLines="60" w:after="144"/>
        <w:rPr>
          <w:szCs w:val="22"/>
        </w:rPr>
      </w:pPr>
      <w:r w:rsidRPr="009200D8">
        <w:rPr>
          <w:szCs w:val="22"/>
        </w:rPr>
        <w:t>The key research questions for the evidence review of Dual Energy X-ray absorptiometry (DXA) are:</w:t>
      </w:r>
    </w:p>
    <w:p w14:paraId="483490CF" w14:textId="77777777" w:rsidR="00F417F4" w:rsidRPr="00490F36" w:rsidRDefault="00F417F4" w:rsidP="00490F36">
      <w:pPr>
        <w:pStyle w:val="Bulleted"/>
      </w:pPr>
      <w:r w:rsidRPr="00490F36">
        <w:t>In the absence of a predisposing condition, in which age groups is DXA useful as a screening tool to prevent fracture?</w:t>
      </w:r>
    </w:p>
    <w:p w14:paraId="23A42F91" w14:textId="77777777" w:rsidR="00F417F4" w:rsidRPr="00490F36" w:rsidRDefault="00F417F4" w:rsidP="00490F36">
      <w:pPr>
        <w:pStyle w:val="Bulleted"/>
      </w:pPr>
      <w:r w:rsidRPr="00490F36">
        <w:t>What interval is recommended between serial DXA scans?</w:t>
      </w:r>
    </w:p>
    <w:p w14:paraId="6CC18366" w14:textId="77777777" w:rsidR="00F417F4" w:rsidRPr="009200D8" w:rsidRDefault="00F417F4" w:rsidP="000959B5">
      <w:pPr>
        <w:pStyle w:val="Bulleted"/>
        <w:numPr>
          <w:ilvl w:val="0"/>
          <w:numId w:val="15"/>
        </w:numPr>
        <w:ind w:left="851"/>
      </w:pPr>
      <w:r w:rsidRPr="009200D8">
        <w:t>When used as a screening tool for patients &gt;70 years</w:t>
      </w:r>
    </w:p>
    <w:p w14:paraId="56DAC2F5" w14:textId="77777777" w:rsidR="00F417F4" w:rsidRPr="009200D8" w:rsidRDefault="00F417F4" w:rsidP="000959B5">
      <w:pPr>
        <w:pStyle w:val="Bulleted"/>
        <w:numPr>
          <w:ilvl w:val="0"/>
          <w:numId w:val="15"/>
        </w:numPr>
        <w:ind w:left="851"/>
      </w:pPr>
      <w:r w:rsidRPr="009200D8">
        <w:t>For the monitoring of an osteoporotic patient</w:t>
      </w:r>
    </w:p>
    <w:p w14:paraId="21762838" w14:textId="77777777" w:rsidR="00F417F4" w:rsidRPr="00490F36" w:rsidRDefault="00F417F4" w:rsidP="00490F36">
      <w:pPr>
        <w:pStyle w:val="Bulleted"/>
      </w:pPr>
      <w:r w:rsidRPr="00490F36">
        <w:t>How effective is the FRAX algorithm in predicting fracture risk when compared to DXA?</w:t>
      </w:r>
    </w:p>
    <w:p w14:paraId="4CF19F72" w14:textId="77777777" w:rsidR="00F417F4" w:rsidRPr="009200D8" w:rsidRDefault="00F417F4" w:rsidP="00B85103">
      <w:pPr>
        <w:pStyle w:val="AppendixStyle2"/>
      </w:pPr>
      <w:bookmarkStart w:id="101" w:name="_Toc374972253"/>
      <w:bookmarkStart w:id="102" w:name="_Toc374972614"/>
      <w:bookmarkStart w:id="103" w:name="_Toc421201167"/>
      <w:r w:rsidRPr="009200D8">
        <w:t>Research Methods</w:t>
      </w:r>
      <w:bookmarkStart w:id="104" w:name="_Toc374972254"/>
      <w:bookmarkStart w:id="105" w:name="_Toc374972615"/>
      <w:bookmarkEnd w:id="101"/>
      <w:bookmarkEnd w:id="102"/>
      <w:bookmarkEnd w:id="103"/>
    </w:p>
    <w:p w14:paraId="6C7EAD9B" w14:textId="77777777" w:rsidR="00F417F4" w:rsidRPr="009200D8" w:rsidRDefault="00F417F4" w:rsidP="003F788A">
      <w:pPr>
        <w:spacing w:before="120" w:afterLines="60" w:after="144"/>
        <w:rPr>
          <w:rFonts w:cs="Arial"/>
          <w:szCs w:val="22"/>
        </w:rPr>
      </w:pPr>
      <w:r w:rsidRPr="009200D8">
        <w:rPr>
          <w:rFonts w:cs="Arial"/>
          <w:szCs w:val="22"/>
        </w:rPr>
        <w:t>A quick literature search using MEDLINE was performed to obtain relevant review articles for the research questions. From these articles, a list of major societies and regulating bodies on the topic were obtained to produce the tables of clinical guidelines. Their references were examined to obtain the main studies contributing to the body of knowledge. A series of literature reviews for specific research questions was then performed on MEDLINE to identify other studies for inclusion. Their reference lists were also examined for additional relevant studies not identified through the search.</w:t>
      </w:r>
    </w:p>
    <w:p w14:paraId="52D7014D" w14:textId="77777777" w:rsidR="00F417F4" w:rsidRPr="009200D8" w:rsidRDefault="00F417F4" w:rsidP="00B85103">
      <w:pPr>
        <w:pStyle w:val="AppendixStyle2"/>
      </w:pPr>
      <w:bookmarkStart w:id="106" w:name="_Toc421201168"/>
      <w:bookmarkEnd w:id="104"/>
      <w:bookmarkEnd w:id="105"/>
      <w:r w:rsidRPr="009200D8">
        <w:t xml:space="preserve">Results of </w:t>
      </w:r>
      <w:bookmarkEnd w:id="106"/>
      <w:r w:rsidRPr="009200D8">
        <w:t>Research</w:t>
      </w:r>
    </w:p>
    <w:p w14:paraId="1D59D9B1" w14:textId="77777777" w:rsidR="00F417F4" w:rsidRPr="00B92F5C" w:rsidRDefault="00F417F4" w:rsidP="00961CFC">
      <w:pPr>
        <w:pStyle w:val="Heading3"/>
      </w:pPr>
      <w:bookmarkStart w:id="107" w:name="_Toc421201169"/>
      <w:r w:rsidRPr="00B92F5C">
        <w:t>In which age groups is DXA useful as a screening tool?</w:t>
      </w:r>
    </w:p>
    <w:p w14:paraId="1B01124D" w14:textId="77777777" w:rsidR="00F417F4" w:rsidRPr="00490F36" w:rsidRDefault="00F417F4" w:rsidP="00961CFC">
      <w:pPr>
        <w:pStyle w:val="Heading4"/>
      </w:pPr>
      <w:r w:rsidRPr="00B92F5C">
        <w:t>Studies</w:t>
      </w:r>
    </w:p>
    <w:p w14:paraId="1327D3E4" w14:textId="77777777" w:rsidR="00F417F4" w:rsidRPr="009200D8" w:rsidRDefault="00F417F4" w:rsidP="003F788A">
      <w:pPr>
        <w:pStyle w:val="BodyText"/>
        <w:spacing w:before="120" w:afterLines="60" w:after="144"/>
        <w:rPr>
          <w:szCs w:val="22"/>
        </w:rPr>
      </w:pPr>
      <w:r w:rsidRPr="009200D8">
        <w:rPr>
          <w:szCs w:val="22"/>
        </w:rPr>
        <w:t>This research question must be addressed separately for women and men, as the availability of evidence is different.</w:t>
      </w:r>
    </w:p>
    <w:p w14:paraId="79F882FA" w14:textId="55C374AE" w:rsidR="00F417F4" w:rsidRPr="009200D8" w:rsidRDefault="00F417F4" w:rsidP="003F788A">
      <w:pPr>
        <w:pStyle w:val="BodyText"/>
        <w:spacing w:before="120" w:afterLines="60" w:after="144"/>
        <w:rPr>
          <w:szCs w:val="22"/>
        </w:rPr>
      </w:pPr>
      <w:r w:rsidRPr="009200D8">
        <w:rPr>
          <w:szCs w:val="22"/>
        </w:rPr>
        <w:t>Two studies were identified as relevant to the research question in a female population. One is not reported here as it was a retrospective cohort study</w:t>
      </w:r>
      <w:r w:rsidRPr="009200D8">
        <w:rPr>
          <w:szCs w:val="22"/>
          <w:vertAlign w:val="superscript"/>
        </w:rPr>
        <w:t>1</w:t>
      </w:r>
      <w:r w:rsidRPr="009200D8">
        <w:rPr>
          <w:szCs w:val="22"/>
        </w:rPr>
        <w:t xml:space="preserve"> whose results (suggesting a correlation between DXA screening and reduced hip fractures) have been supplanted by those of a well-designed RCT. Barr et al.</w:t>
      </w:r>
      <w:r w:rsidRPr="009200D8">
        <w:rPr>
          <w:szCs w:val="22"/>
          <w:vertAlign w:val="superscript"/>
        </w:rPr>
        <w:t>2</w:t>
      </w:r>
      <w:r w:rsidRPr="009200D8">
        <w:rPr>
          <w:szCs w:val="22"/>
        </w:rPr>
        <w:t xml:space="preserve"> have produced the only RCT identified to assess population screening with DXA and reduction of fracture risk. 4,800 women aged 45-54 were randomised in equal numbers to DXA screening or non-screening. Nine years later, they assessed the uptake of treatment and the incidence of fracture by postal questionnaire, with a response rate just over 60</w:t>
      </w:r>
      <w:r w:rsidR="00010BBD">
        <w:rPr>
          <w:szCs w:val="22"/>
        </w:rPr>
        <w:t xml:space="preserve"> per cent</w:t>
      </w:r>
      <w:r w:rsidRPr="009200D8">
        <w:rPr>
          <w:szCs w:val="22"/>
        </w:rPr>
        <w:t>. They found that a significantly greater number of screened subjects reported current or past use of osteoporosis medications (69.0% vs 59.4%, p&lt;0.001). Using intention-to-treat analysis, the risk of fracture had been reduced by 20.9% in the screened group, but this was not significant (HR=0.791; 95%CI= 0.60-1.04; p=0.096). However, using per-protocol analysis, which assessed the DXA screened women who attended their initial screening assessment and thus were informed of their DXA results, they found a significant 26.6</w:t>
      </w:r>
      <w:r w:rsidR="00010BBD">
        <w:rPr>
          <w:szCs w:val="22"/>
        </w:rPr>
        <w:t xml:space="preserve"> per cent</w:t>
      </w:r>
      <w:r w:rsidRPr="009200D8">
        <w:rPr>
          <w:szCs w:val="22"/>
        </w:rPr>
        <w:t xml:space="preserve"> reduction in all fractures (HR=0.734; 95%CI=0.55-0.99; p=0.04) but a non-</w:t>
      </w:r>
      <w:r w:rsidRPr="009200D8">
        <w:rPr>
          <w:szCs w:val="22"/>
        </w:rPr>
        <w:lastRenderedPageBreak/>
        <w:t>significant result for the major fractures (hip, wrist, vertebra, humerus) (HR=0.724, 95%CI=0.47-1.13; p=0.15). The authors concluded that the study strongly suggests that a population screening programs for osteoporosis increases uptake of osteoporosis treatment and reduces overall fracture risk in those who participate. Their study is limited by its low participant response rate (60%), reliance on self-reported outcomes and limited age range of participants.</w:t>
      </w:r>
    </w:p>
    <w:p w14:paraId="4DC5B704" w14:textId="77777777" w:rsidR="00F417F4" w:rsidRPr="009200D8" w:rsidRDefault="00F417F4" w:rsidP="003F788A">
      <w:pPr>
        <w:pStyle w:val="BodyText"/>
        <w:spacing w:before="120" w:afterLines="60" w:after="144"/>
        <w:rPr>
          <w:szCs w:val="22"/>
        </w:rPr>
      </w:pPr>
      <w:r w:rsidRPr="009200D8">
        <w:rPr>
          <w:szCs w:val="22"/>
        </w:rPr>
        <w:t>No studies were identified that evaluated the use of DXA scans for screening asymptomatic men of any age group.</w:t>
      </w:r>
    </w:p>
    <w:p w14:paraId="350AFA95" w14:textId="4B178DFD" w:rsidR="00F417F4" w:rsidRPr="00DA7BF2" w:rsidRDefault="00305D5C">
      <w:pPr>
        <w:pStyle w:val="Caption"/>
      </w:pPr>
      <w:r w:rsidRPr="00DA7BF2">
        <w:t xml:space="preserve">Table </w:t>
      </w:r>
      <w:r w:rsidR="00125F82">
        <w:t>C</w:t>
      </w:r>
      <w:r w:rsidRPr="00DA7BF2">
        <w:t xml:space="preserve">1: </w:t>
      </w:r>
      <w:r w:rsidR="00F417F4" w:rsidRPr="00DA7BF2">
        <w:t>Clinical Practice Guidelines</w:t>
      </w:r>
      <w:r w:rsidRPr="00DA7BF2">
        <w:t xml:space="preserve"> – age groups</w:t>
      </w:r>
    </w:p>
    <w:tbl>
      <w:tblPr>
        <w:tblStyle w:val="TableGrid"/>
        <w:tblW w:w="9214" w:type="dxa"/>
        <w:tblInd w:w="108"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C1 provides recommended use of DXA in women and men of various ages according to the clinical practice guidelines of various organisations."/>
      </w:tblPr>
      <w:tblGrid>
        <w:gridCol w:w="2410"/>
        <w:gridCol w:w="3402"/>
        <w:gridCol w:w="3402"/>
      </w:tblGrid>
      <w:tr w:rsidR="00125F82" w:rsidRPr="00D204F3" w14:paraId="0A0B0AFC" w14:textId="77777777" w:rsidTr="00D204F3">
        <w:trPr>
          <w:tblHeader/>
        </w:trPr>
        <w:tc>
          <w:tcPr>
            <w:tcW w:w="2410" w:type="dxa"/>
          </w:tcPr>
          <w:p w14:paraId="013BEFB6" w14:textId="77777777" w:rsidR="00F417F4" w:rsidRPr="00D204F3" w:rsidRDefault="00F417F4" w:rsidP="00A9531E">
            <w:pPr>
              <w:rPr>
                <w:b/>
                <w:i/>
              </w:rPr>
            </w:pPr>
            <w:r w:rsidRPr="00D204F3">
              <w:rPr>
                <w:b/>
                <w:i/>
              </w:rPr>
              <w:t>Group, publishing date</w:t>
            </w:r>
          </w:p>
        </w:tc>
        <w:tc>
          <w:tcPr>
            <w:tcW w:w="3402" w:type="dxa"/>
          </w:tcPr>
          <w:p w14:paraId="7367DAD4" w14:textId="77777777" w:rsidR="00F417F4" w:rsidRPr="00D204F3" w:rsidRDefault="00F417F4" w:rsidP="00DF427A">
            <w:pPr>
              <w:jc w:val="center"/>
              <w:rPr>
                <w:b/>
                <w:i/>
              </w:rPr>
            </w:pPr>
            <w:r w:rsidRPr="00D204F3">
              <w:rPr>
                <w:b/>
                <w:i/>
              </w:rPr>
              <w:t>Women</w:t>
            </w:r>
          </w:p>
        </w:tc>
        <w:tc>
          <w:tcPr>
            <w:tcW w:w="3402" w:type="dxa"/>
          </w:tcPr>
          <w:p w14:paraId="7242DC51" w14:textId="77777777" w:rsidR="00F417F4" w:rsidRPr="00D204F3" w:rsidRDefault="00F417F4" w:rsidP="00DF427A">
            <w:pPr>
              <w:jc w:val="center"/>
              <w:rPr>
                <w:b/>
                <w:i/>
              </w:rPr>
            </w:pPr>
            <w:r w:rsidRPr="00D204F3">
              <w:rPr>
                <w:b/>
                <w:i/>
              </w:rPr>
              <w:t>Men</w:t>
            </w:r>
          </w:p>
        </w:tc>
      </w:tr>
      <w:tr w:rsidR="00125F82" w:rsidRPr="00125F82" w14:paraId="0B9DFF8B" w14:textId="77777777" w:rsidTr="00D204F3">
        <w:tc>
          <w:tcPr>
            <w:tcW w:w="2410" w:type="dxa"/>
          </w:tcPr>
          <w:p w14:paraId="64B12D40" w14:textId="77777777" w:rsidR="00F417F4" w:rsidRPr="00815635" w:rsidRDefault="00F417F4" w:rsidP="00A9531E">
            <w:pPr>
              <w:rPr>
                <w:i/>
              </w:rPr>
            </w:pPr>
            <w:r w:rsidRPr="00815635">
              <w:rPr>
                <w:i/>
              </w:rPr>
              <w:t>Royal Australian College of General Practitioners 2012</w:t>
            </w:r>
          </w:p>
        </w:tc>
        <w:tc>
          <w:tcPr>
            <w:tcW w:w="3402" w:type="dxa"/>
          </w:tcPr>
          <w:p w14:paraId="7C21E9EE" w14:textId="77777777" w:rsidR="00F417F4" w:rsidRPr="00815635" w:rsidRDefault="00F417F4" w:rsidP="00DF427A">
            <w:pPr>
              <w:pStyle w:val="Bullet1"/>
            </w:pPr>
            <w:r w:rsidRPr="00815635">
              <w:t xml:space="preserve">Age &gt;50: if they have additional clinical risk factors* perform DXA </w:t>
            </w:r>
          </w:p>
        </w:tc>
        <w:tc>
          <w:tcPr>
            <w:tcW w:w="3402" w:type="dxa"/>
          </w:tcPr>
          <w:p w14:paraId="3C184F10" w14:textId="77777777" w:rsidR="00F417F4" w:rsidRPr="00815635" w:rsidRDefault="00F417F4" w:rsidP="00DF427A">
            <w:pPr>
              <w:pStyle w:val="Bullet1"/>
            </w:pPr>
            <w:r w:rsidRPr="00815635">
              <w:t xml:space="preserve">Age &gt;60: if they have additional clinical risk factors* perform DXA </w:t>
            </w:r>
          </w:p>
        </w:tc>
      </w:tr>
      <w:tr w:rsidR="001D4284" w:rsidRPr="00125F82" w14:paraId="15FF3186" w14:textId="77777777" w:rsidTr="00D204F3">
        <w:tc>
          <w:tcPr>
            <w:tcW w:w="2410" w:type="dxa"/>
          </w:tcPr>
          <w:p w14:paraId="47612C18" w14:textId="77777777" w:rsidR="001D4284" w:rsidRPr="00815635" w:rsidRDefault="001D4284" w:rsidP="00A9531E">
            <w:pPr>
              <w:rPr>
                <w:i/>
              </w:rPr>
            </w:pPr>
            <w:r w:rsidRPr="00815635">
              <w:rPr>
                <w:i/>
              </w:rPr>
              <w:t>National Health and Medical Research Council (NHMRC) 2010**</w:t>
            </w:r>
          </w:p>
        </w:tc>
        <w:tc>
          <w:tcPr>
            <w:tcW w:w="3402" w:type="dxa"/>
          </w:tcPr>
          <w:p w14:paraId="75E58230" w14:textId="77777777" w:rsidR="001D4284" w:rsidRPr="00815635" w:rsidRDefault="001D4284" w:rsidP="00DF427A">
            <w:pPr>
              <w:pStyle w:val="Bullet1"/>
            </w:pPr>
            <w:r w:rsidRPr="00815635">
              <w:t>Age &gt;70: recommended</w:t>
            </w:r>
          </w:p>
          <w:p w14:paraId="393CC4B5" w14:textId="77777777" w:rsidR="001D4284" w:rsidRDefault="001D4284" w:rsidP="00DF427A">
            <w:pPr>
              <w:pStyle w:val="Bullet1"/>
            </w:pPr>
            <w:r w:rsidRPr="00815635">
              <w:t>Age 60-70: recommended if they have risk factors*</w:t>
            </w:r>
          </w:p>
          <w:p w14:paraId="70B05F16" w14:textId="23EB8102" w:rsidR="001D4284" w:rsidRPr="00815635" w:rsidRDefault="001D4284" w:rsidP="00DF427A">
            <w:pPr>
              <w:pStyle w:val="Bullet1"/>
            </w:pPr>
            <w:r w:rsidRPr="00815635">
              <w:t>Age 50-60: recommended if they have a vertebral fracture or peripheral fracture as an individual case decision</w:t>
            </w:r>
          </w:p>
        </w:tc>
        <w:tc>
          <w:tcPr>
            <w:tcW w:w="3402" w:type="dxa"/>
          </w:tcPr>
          <w:p w14:paraId="5138CE29" w14:textId="77777777" w:rsidR="001D4284" w:rsidRPr="00815635" w:rsidRDefault="001D4284" w:rsidP="001D4284">
            <w:pPr>
              <w:pStyle w:val="Bullet1"/>
            </w:pPr>
            <w:r w:rsidRPr="00815635">
              <w:t>Age &gt;70: recommended</w:t>
            </w:r>
          </w:p>
          <w:p w14:paraId="0B49E55F" w14:textId="77777777" w:rsidR="001D4284" w:rsidRDefault="001D4284" w:rsidP="001D4284">
            <w:pPr>
              <w:pStyle w:val="Bullet1"/>
            </w:pPr>
            <w:r w:rsidRPr="00815635">
              <w:t>Age 60-70: recommended if they have risk factors*</w:t>
            </w:r>
          </w:p>
          <w:p w14:paraId="6D594D81" w14:textId="2CF12543" w:rsidR="001D4284" w:rsidRPr="00125F82" w:rsidRDefault="001D4284" w:rsidP="001D4284">
            <w:pPr>
              <w:pStyle w:val="Bullet1"/>
              <w:rPr>
                <w:rStyle w:val="IntenseReference"/>
                <w:b w:val="0"/>
                <w:bCs w:val="0"/>
                <w:i w:val="0"/>
                <w:smallCaps w:val="0"/>
                <w:color w:val="auto"/>
                <w:spacing w:val="0"/>
                <w:sz w:val="20"/>
                <w:szCs w:val="20"/>
              </w:rPr>
            </w:pPr>
            <w:r w:rsidRPr="00815635">
              <w:t>Age 50-60: recommended if they have a vertebral fracture or peripheral fracture as an individual case decision</w:t>
            </w:r>
          </w:p>
        </w:tc>
      </w:tr>
      <w:tr w:rsidR="00125F82" w:rsidRPr="00125F82" w14:paraId="423F5D0E" w14:textId="77777777" w:rsidTr="00D204F3">
        <w:tc>
          <w:tcPr>
            <w:tcW w:w="2410" w:type="dxa"/>
          </w:tcPr>
          <w:p w14:paraId="7A1B90A8" w14:textId="77777777" w:rsidR="00F417F4" w:rsidRPr="00815635" w:rsidRDefault="00F417F4" w:rsidP="00A9531E">
            <w:pPr>
              <w:rPr>
                <w:i/>
              </w:rPr>
            </w:pPr>
            <w:r w:rsidRPr="00815635">
              <w:rPr>
                <w:i/>
              </w:rPr>
              <w:t>United States Preventive Services Task Force (USPSTF) 2011</w:t>
            </w:r>
          </w:p>
          <w:p w14:paraId="0E8978F7" w14:textId="77777777" w:rsidR="00F417F4" w:rsidRPr="00125F82" w:rsidRDefault="00F417F4" w:rsidP="00A9531E">
            <w:pPr>
              <w:rPr>
                <w:rStyle w:val="IntenseReference"/>
                <w:rFonts w:cs="Arial"/>
                <w:b w:val="0"/>
                <w:bCs w:val="0"/>
                <w:i w:val="0"/>
                <w:smallCaps w:val="0"/>
                <w:color w:val="auto"/>
                <w:spacing w:val="0"/>
                <w:sz w:val="20"/>
                <w:szCs w:val="20"/>
              </w:rPr>
            </w:pPr>
            <w:r w:rsidRPr="00815635">
              <w:rPr>
                <w:i/>
              </w:rPr>
              <w:t>Note: currently updating 2011 Guidelines</w:t>
            </w:r>
          </w:p>
        </w:tc>
        <w:tc>
          <w:tcPr>
            <w:tcW w:w="3402" w:type="dxa"/>
          </w:tcPr>
          <w:p w14:paraId="4AF25FFD" w14:textId="77777777" w:rsidR="00F417F4" w:rsidRPr="00815635" w:rsidRDefault="00F417F4" w:rsidP="00DF427A">
            <w:pPr>
              <w:pStyle w:val="Bullet1"/>
            </w:pPr>
            <w:r w:rsidRPr="00815635">
              <w:t>Age ≥65: recommended</w:t>
            </w:r>
          </w:p>
          <w:p w14:paraId="4F5958F5" w14:textId="77777777" w:rsidR="00F417F4" w:rsidRPr="00125F82" w:rsidRDefault="00F417F4" w:rsidP="00DF427A">
            <w:pPr>
              <w:pStyle w:val="Bullet1"/>
              <w:rPr>
                <w:rStyle w:val="IntenseReference"/>
                <w:b w:val="0"/>
                <w:bCs w:val="0"/>
                <w:i w:val="0"/>
                <w:smallCaps w:val="0"/>
                <w:color w:val="auto"/>
                <w:spacing w:val="0"/>
                <w:sz w:val="20"/>
                <w:szCs w:val="20"/>
              </w:rPr>
            </w:pPr>
            <w:r w:rsidRPr="00815635">
              <w:t>Age &lt;65: recommended where fracture risk is equivalent to a 65 year old (based on FRAX algorithm)</w:t>
            </w:r>
          </w:p>
        </w:tc>
        <w:tc>
          <w:tcPr>
            <w:tcW w:w="3402" w:type="dxa"/>
          </w:tcPr>
          <w:p w14:paraId="31B685FF" w14:textId="77777777" w:rsidR="00F417F4" w:rsidRPr="00815635" w:rsidRDefault="00F417F4" w:rsidP="00DF427A">
            <w:pPr>
              <w:pStyle w:val="Bullet1"/>
            </w:pPr>
            <w:r w:rsidRPr="00815635">
              <w:t>Does not recommend screening (insufficient evidence)</w:t>
            </w:r>
          </w:p>
        </w:tc>
      </w:tr>
      <w:tr w:rsidR="00125F82" w:rsidRPr="00125F82" w14:paraId="21D0640C" w14:textId="77777777" w:rsidTr="00D204F3">
        <w:tc>
          <w:tcPr>
            <w:tcW w:w="2410" w:type="dxa"/>
          </w:tcPr>
          <w:p w14:paraId="13E1BEA0" w14:textId="77777777" w:rsidR="00F417F4" w:rsidRPr="00815635" w:rsidRDefault="00F417F4" w:rsidP="00A9531E">
            <w:pPr>
              <w:rPr>
                <w:i/>
              </w:rPr>
            </w:pPr>
            <w:r w:rsidRPr="00815635">
              <w:rPr>
                <w:i/>
              </w:rPr>
              <w:t>National Osteoporosis Foundation (NOF) 2014</w:t>
            </w:r>
          </w:p>
        </w:tc>
        <w:tc>
          <w:tcPr>
            <w:tcW w:w="3402" w:type="dxa"/>
          </w:tcPr>
          <w:p w14:paraId="565AC01D" w14:textId="77777777" w:rsidR="00F417F4" w:rsidRPr="00815635" w:rsidRDefault="00F417F4" w:rsidP="00DF427A">
            <w:pPr>
              <w:pStyle w:val="Bullet1"/>
            </w:pPr>
            <w:r w:rsidRPr="00815635">
              <w:t>Age ≥65: recommended</w:t>
            </w:r>
          </w:p>
          <w:p w14:paraId="7288F704" w14:textId="77777777" w:rsidR="00F417F4" w:rsidRPr="00125F82" w:rsidRDefault="00F417F4" w:rsidP="00DF427A">
            <w:pPr>
              <w:pStyle w:val="Bullet1"/>
              <w:rPr>
                <w:rStyle w:val="IntenseReference"/>
                <w:b w:val="0"/>
                <w:bCs w:val="0"/>
                <w:i w:val="0"/>
                <w:smallCaps w:val="0"/>
                <w:color w:val="auto"/>
                <w:spacing w:val="0"/>
                <w:sz w:val="20"/>
                <w:szCs w:val="20"/>
              </w:rPr>
            </w:pPr>
            <w:r w:rsidRPr="00815635">
              <w:t>Postmenopausal women &lt;65: DXA considered if they have a high risk factor profile*</w:t>
            </w:r>
          </w:p>
        </w:tc>
        <w:tc>
          <w:tcPr>
            <w:tcW w:w="3402" w:type="dxa"/>
          </w:tcPr>
          <w:p w14:paraId="0B795688" w14:textId="77777777" w:rsidR="00F417F4" w:rsidRPr="00815635" w:rsidRDefault="00F417F4" w:rsidP="00DF427A">
            <w:pPr>
              <w:pStyle w:val="Bullet1"/>
            </w:pPr>
            <w:r w:rsidRPr="00815635">
              <w:t>Age ≥70: recommended</w:t>
            </w:r>
          </w:p>
          <w:p w14:paraId="48F95F78" w14:textId="77777777" w:rsidR="00F417F4" w:rsidRPr="00125F82" w:rsidRDefault="00F417F4" w:rsidP="00DF427A">
            <w:pPr>
              <w:pStyle w:val="Bullet1"/>
              <w:rPr>
                <w:rStyle w:val="IntenseReference"/>
                <w:b w:val="0"/>
                <w:bCs w:val="0"/>
                <w:i w:val="0"/>
                <w:smallCaps w:val="0"/>
                <w:color w:val="auto"/>
                <w:spacing w:val="0"/>
                <w:sz w:val="20"/>
                <w:szCs w:val="20"/>
              </w:rPr>
            </w:pPr>
            <w:r w:rsidRPr="00815635">
              <w:t>Aged 50-69: DXA considered if they have a high risk factor profile*</w:t>
            </w:r>
          </w:p>
        </w:tc>
      </w:tr>
      <w:tr w:rsidR="00125F82" w:rsidRPr="00125F82" w14:paraId="2C413307" w14:textId="77777777" w:rsidTr="00D204F3">
        <w:tc>
          <w:tcPr>
            <w:tcW w:w="2410" w:type="dxa"/>
          </w:tcPr>
          <w:p w14:paraId="529AF7F3" w14:textId="77777777" w:rsidR="00F417F4" w:rsidRPr="00815635" w:rsidRDefault="00F417F4" w:rsidP="00A9531E">
            <w:pPr>
              <w:rPr>
                <w:i/>
              </w:rPr>
            </w:pPr>
            <w:r w:rsidRPr="00815635">
              <w:rPr>
                <w:i/>
              </w:rPr>
              <w:t>International Society for Clinical Densitometry (ISCD) 2015</w:t>
            </w:r>
          </w:p>
        </w:tc>
        <w:tc>
          <w:tcPr>
            <w:tcW w:w="3402" w:type="dxa"/>
          </w:tcPr>
          <w:p w14:paraId="1E270C15" w14:textId="77777777" w:rsidR="00F417F4" w:rsidRPr="00815635" w:rsidRDefault="00F417F4" w:rsidP="00DF427A">
            <w:pPr>
              <w:pStyle w:val="Bullet1"/>
            </w:pPr>
            <w:r w:rsidRPr="00815635">
              <w:t>Age ≥65: recommended</w:t>
            </w:r>
          </w:p>
          <w:p w14:paraId="5B073D32" w14:textId="77777777" w:rsidR="00F417F4" w:rsidRPr="00125F82" w:rsidRDefault="00F417F4" w:rsidP="00DF427A">
            <w:pPr>
              <w:pStyle w:val="Bullet1"/>
              <w:rPr>
                <w:rStyle w:val="IntenseReference"/>
                <w:b w:val="0"/>
                <w:bCs w:val="0"/>
                <w:i w:val="0"/>
                <w:smallCaps w:val="0"/>
                <w:color w:val="auto"/>
                <w:spacing w:val="0"/>
                <w:sz w:val="20"/>
                <w:szCs w:val="20"/>
              </w:rPr>
            </w:pPr>
            <w:r w:rsidRPr="00815635">
              <w:t>Age &lt;65: DXA considered if they have a high risk factor profile*</w:t>
            </w:r>
          </w:p>
        </w:tc>
        <w:tc>
          <w:tcPr>
            <w:tcW w:w="3402" w:type="dxa"/>
          </w:tcPr>
          <w:p w14:paraId="3FC39083" w14:textId="77777777" w:rsidR="00F417F4" w:rsidRPr="00815635" w:rsidRDefault="00F417F4" w:rsidP="00DF427A">
            <w:pPr>
              <w:pStyle w:val="Bullet1"/>
            </w:pPr>
            <w:r w:rsidRPr="00815635">
              <w:t>Age ≥70: recommended</w:t>
            </w:r>
          </w:p>
          <w:p w14:paraId="4C8BDA44" w14:textId="77777777" w:rsidR="00F417F4" w:rsidRPr="00125F82" w:rsidRDefault="00F417F4" w:rsidP="00DF427A">
            <w:pPr>
              <w:pStyle w:val="Bullet1"/>
              <w:rPr>
                <w:rStyle w:val="IntenseReference"/>
                <w:b w:val="0"/>
                <w:bCs w:val="0"/>
                <w:i w:val="0"/>
                <w:smallCaps w:val="0"/>
                <w:color w:val="auto"/>
                <w:spacing w:val="0"/>
                <w:sz w:val="20"/>
                <w:szCs w:val="20"/>
              </w:rPr>
            </w:pPr>
            <w:r w:rsidRPr="00815635">
              <w:t>Aged &lt;70: DXA considered if they have a high risk factor profile*</w:t>
            </w:r>
          </w:p>
        </w:tc>
      </w:tr>
      <w:tr w:rsidR="00125F82" w:rsidRPr="00125F82" w14:paraId="1697D7F8" w14:textId="77777777" w:rsidTr="00D204F3">
        <w:tc>
          <w:tcPr>
            <w:tcW w:w="2410" w:type="dxa"/>
          </w:tcPr>
          <w:p w14:paraId="5C4F6297" w14:textId="77777777" w:rsidR="00F417F4" w:rsidRPr="00815635" w:rsidRDefault="00F417F4" w:rsidP="00A9531E">
            <w:pPr>
              <w:rPr>
                <w:i/>
              </w:rPr>
            </w:pPr>
            <w:r w:rsidRPr="00815635">
              <w:rPr>
                <w:i/>
              </w:rPr>
              <w:t>American College of Physicians (ACP) 2014</w:t>
            </w:r>
          </w:p>
        </w:tc>
        <w:tc>
          <w:tcPr>
            <w:tcW w:w="3402" w:type="dxa"/>
          </w:tcPr>
          <w:p w14:paraId="6C862CE5" w14:textId="77777777" w:rsidR="00F417F4" w:rsidRPr="00815635" w:rsidRDefault="00F417F4" w:rsidP="00DF427A">
            <w:pPr>
              <w:pStyle w:val="Bullet1"/>
            </w:pPr>
            <w:r w:rsidRPr="00815635">
              <w:t>Age ≥65: recommended</w:t>
            </w:r>
          </w:p>
          <w:p w14:paraId="72753890" w14:textId="77777777" w:rsidR="00F417F4" w:rsidRPr="00125F82" w:rsidRDefault="00F417F4" w:rsidP="00DF427A">
            <w:pPr>
              <w:pStyle w:val="Bullet1"/>
              <w:rPr>
                <w:rStyle w:val="IntenseReference"/>
                <w:b w:val="0"/>
                <w:bCs w:val="0"/>
                <w:i w:val="0"/>
                <w:smallCaps w:val="0"/>
                <w:color w:val="auto"/>
                <w:spacing w:val="0"/>
                <w:sz w:val="20"/>
                <w:szCs w:val="20"/>
              </w:rPr>
            </w:pPr>
            <w:r w:rsidRPr="00815635">
              <w:t>Age &lt;65: DXA considered if they have a high fracture risk (FRAX algorithm)</w:t>
            </w:r>
          </w:p>
        </w:tc>
        <w:tc>
          <w:tcPr>
            <w:tcW w:w="3402" w:type="dxa"/>
          </w:tcPr>
          <w:p w14:paraId="1607D165" w14:textId="77777777" w:rsidR="00F417F4" w:rsidRPr="00815635" w:rsidRDefault="00F417F4" w:rsidP="00DF427A">
            <w:pPr>
              <w:pStyle w:val="Bullet1"/>
            </w:pPr>
            <w:r w:rsidRPr="00815635">
              <w:t>Age ≥75 recommended</w:t>
            </w:r>
          </w:p>
          <w:p w14:paraId="44F8C484" w14:textId="77777777" w:rsidR="00F417F4" w:rsidRPr="00125F82" w:rsidRDefault="00F417F4" w:rsidP="00DF427A">
            <w:pPr>
              <w:pStyle w:val="Bullet1"/>
              <w:rPr>
                <w:rStyle w:val="IntenseReference"/>
                <w:b w:val="0"/>
                <w:bCs w:val="0"/>
                <w:i w:val="0"/>
                <w:smallCaps w:val="0"/>
                <w:color w:val="auto"/>
                <w:spacing w:val="0"/>
                <w:sz w:val="20"/>
                <w:szCs w:val="20"/>
              </w:rPr>
            </w:pPr>
            <w:r w:rsidRPr="00815635">
              <w:t>Age &lt;75: DXA considered if they have a high fracture risk (FRAX algorithm)</w:t>
            </w:r>
          </w:p>
        </w:tc>
      </w:tr>
      <w:tr w:rsidR="00125F82" w:rsidRPr="00125F82" w14:paraId="062CABEC" w14:textId="77777777" w:rsidTr="00D204F3">
        <w:tc>
          <w:tcPr>
            <w:tcW w:w="2410" w:type="dxa"/>
          </w:tcPr>
          <w:p w14:paraId="5A44FAAB" w14:textId="77777777" w:rsidR="00F417F4" w:rsidRPr="00815635" w:rsidRDefault="00F417F4" w:rsidP="00A9531E">
            <w:pPr>
              <w:rPr>
                <w:i/>
              </w:rPr>
            </w:pPr>
            <w:r w:rsidRPr="00815635">
              <w:rPr>
                <w:i/>
              </w:rPr>
              <w:t>Canadian Medical Association (CMA) 2010</w:t>
            </w:r>
          </w:p>
        </w:tc>
        <w:tc>
          <w:tcPr>
            <w:tcW w:w="3402" w:type="dxa"/>
          </w:tcPr>
          <w:p w14:paraId="23514718" w14:textId="77777777" w:rsidR="00F417F4" w:rsidRPr="00815635" w:rsidRDefault="00F417F4" w:rsidP="00DF427A">
            <w:pPr>
              <w:pStyle w:val="Bullet1"/>
            </w:pPr>
            <w:r w:rsidRPr="00815635">
              <w:t>Age ≥65: recommended</w:t>
            </w:r>
          </w:p>
          <w:p w14:paraId="00211673" w14:textId="77777777" w:rsidR="00F417F4" w:rsidRPr="00125F82" w:rsidRDefault="00F417F4" w:rsidP="00DF427A">
            <w:pPr>
              <w:pStyle w:val="Bullet1"/>
              <w:rPr>
                <w:rStyle w:val="IntenseReference"/>
                <w:b w:val="0"/>
                <w:bCs w:val="0"/>
                <w:i w:val="0"/>
                <w:smallCaps w:val="0"/>
                <w:color w:val="auto"/>
                <w:spacing w:val="0"/>
                <w:sz w:val="20"/>
                <w:szCs w:val="20"/>
              </w:rPr>
            </w:pPr>
            <w:r w:rsidRPr="00815635">
              <w:lastRenderedPageBreak/>
              <w:t>Age 50-64: DXA considered if they have a high risk factor profile*</w:t>
            </w:r>
          </w:p>
        </w:tc>
        <w:tc>
          <w:tcPr>
            <w:tcW w:w="3402" w:type="dxa"/>
          </w:tcPr>
          <w:p w14:paraId="1066EC22" w14:textId="77777777" w:rsidR="00F417F4" w:rsidRPr="00815635" w:rsidRDefault="00F417F4" w:rsidP="00DF427A">
            <w:pPr>
              <w:pStyle w:val="Bullet1"/>
            </w:pPr>
            <w:r w:rsidRPr="00815635">
              <w:lastRenderedPageBreak/>
              <w:t>Age ≥65: recommended</w:t>
            </w:r>
          </w:p>
          <w:p w14:paraId="577D8A3A" w14:textId="77777777" w:rsidR="00F417F4" w:rsidRPr="00125F82" w:rsidRDefault="00F417F4" w:rsidP="00DF427A">
            <w:pPr>
              <w:pStyle w:val="Bullet1"/>
              <w:rPr>
                <w:rStyle w:val="IntenseReference"/>
                <w:b w:val="0"/>
                <w:bCs w:val="0"/>
                <w:i w:val="0"/>
                <w:smallCaps w:val="0"/>
                <w:color w:val="auto"/>
                <w:spacing w:val="0"/>
                <w:sz w:val="20"/>
                <w:szCs w:val="20"/>
              </w:rPr>
            </w:pPr>
            <w:r w:rsidRPr="00815635">
              <w:lastRenderedPageBreak/>
              <w:t>Age 50-64: DXA considered if they have a high risk factor profile*</w:t>
            </w:r>
          </w:p>
        </w:tc>
      </w:tr>
      <w:tr w:rsidR="001D4284" w:rsidRPr="00125F82" w14:paraId="0A4D29E3" w14:textId="77777777" w:rsidTr="00D204F3">
        <w:tc>
          <w:tcPr>
            <w:tcW w:w="2410" w:type="dxa"/>
          </w:tcPr>
          <w:p w14:paraId="7ACC220C" w14:textId="77777777" w:rsidR="001D4284" w:rsidRPr="00815635" w:rsidRDefault="001D4284" w:rsidP="00A9531E">
            <w:pPr>
              <w:rPr>
                <w:i/>
              </w:rPr>
            </w:pPr>
            <w:r w:rsidRPr="00815635">
              <w:rPr>
                <w:i/>
              </w:rPr>
              <w:lastRenderedPageBreak/>
              <w:t>National Osteoporosis Guideline Group*** 2014</w:t>
            </w:r>
          </w:p>
        </w:tc>
        <w:tc>
          <w:tcPr>
            <w:tcW w:w="3402" w:type="dxa"/>
          </w:tcPr>
          <w:p w14:paraId="044311BC" w14:textId="77777777" w:rsidR="001D4284" w:rsidRPr="00815635" w:rsidRDefault="001D4284" w:rsidP="00A9531E">
            <w:pPr>
              <w:rPr>
                <w:i/>
              </w:rPr>
            </w:pPr>
            <w:r w:rsidRPr="00815635">
              <w:rPr>
                <w:i/>
              </w:rPr>
              <w:t>Perform FRAX in:</w:t>
            </w:r>
          </w:p>
          <w:p w14:paraId="53E7AD1D" w14:textId="77777777" w:rsidR="001D4284" w:rsidRDefault="001D4284" w:rsidP="00DF427A">
            <w:pPr>
              <w:pStyle w:val="Bullet1"/>
            </w:pPr>
            <w:r w:rsidRPr="00815635">
              <w:t>Postmenopausal women with a risk factor*</w:t>
            </w:r>
          </w:p>
          <w:p w14:paraId="06A67B01" w14:textId="77777777" w:rsidR="001D4284" w:rsidRPr="00815635" w:rsidRDefault="001D4284" w:rsidP="001D4284">
            <w:pPr>
              <w:pStyle w:val="Bullet1"/>
            </w:pPr>
            <w:r w:rsidRPr="00815635">
              <w:t>Men aged &gt;50 with a risk factor*</w:t>
            </w:r>
          </w:p>
          <w:p w14:paraId="2FFE9004" w14:textId="21FE82D5" w:rsidR="001D4284" w:rsidRPr="00815635" w:rsidRDefault="001D4284" w:rsidP="001D4284">
            <w:r w:rsidRPr="00815635">
              <w:rPr>
                <w:i/>
              </w:rPr>
              <w:t>If high risk, initiate treatment. If intermediate risk, refer for DXA. If low risk, reassure and reassess in 5 years or less if needed.</w:t>
            </w:r>
          </w:p>
        </w:tc>
        <w:tc>
          <w:tcPr>
            <w:tcW w:w="3402" w:type="dxa"/>
          </w:tcPr>
          <w:p w14:paraId="6228223A" w14:textId="77777777" w:rsidR="001D4284" w:rsidRPr="00815635" w:rsidRDefault="001D4284" w:rsidP="001D4284">
            <w:pPr>
              <w:rPr>
                <w:i/>
              </w:rPr>
            </w:pPr>
            <w:r w:rsidRPr="00815635">
              <w:rPr>
                <w:i/>
              </w:rPr>
              <w:t>Perform FRAX in:</w:t>
            </w:r>
          </w:p>
          <w:p w14:paraId="38B5E536" w14:textId="77777777" w:rsidR="001D4284" w:rsidRDefault="001D4284" w:rsidP="001D4284">
            <w:pPr>
              <w:pStyle w:val="Bullet1"/>
            </w:pPr>
            <w:r w:rsidRPr="00815635">
              <w:t>Postmenopausal women with a risk factor*</w:t>
            </w:r>
          </w:p>
          <w:p w14:paraId="35270FCD" w14:textId="77777777" w:rsidR="001D4284" w:rsidRPr="00815635" w:rsidRDefault="001D4284" w:rsidP="001D4284">
            <w:pPr>
              <w:pStyle w:val="Bullet1"/>
            </w:pPr>
            <w:r w:rsidRPr="00815635">
              <w:t>Men aged &gt;50 with a risk factor*</w:t>
            </w:r>
          </w:p>
          <w:p w14:paraId="43B4CDEF" w14:textId="3695F461" w:rsidR="001D4284" w:rsidRPr="00125F82" w:rsidRDefault="001D4284" w:rsidP="001D4284">
            <w:pPr>
              <w:rPr>
                <w:rStyle w:val="IntenseReference"/>
                <w:rFonts w:cs="Arial"/>
                <w:b w:val="0"/>
                <w:bCs w:val="0"/>
                <w:i w:val="0"/>
                <w:smallCaps w:val="0"/>
                <w:color w:val="auto"/>
                <w:spacing w:val="0"/>
                <w:sz w:val="20"/>
                <w:szCs w:val="20"/>
              </w:rPr>
            </w:pPr>
            <w:r w:rsidRPr="00815635">
              <w:rPr>
                <w:i/>
              </w:rPr>
              <w:t>If high risk, initiate treatment. If intermediate risk, refer for DXA. If low risk, reassure and reassess in 5 years or less if needed.</w:t>
            </w:r>
          </w:p>
        </w:tc>
      </w:tr>
      <w:tr w:rsidR="00C672E5" w:rsidRPr="00125F82" w14:paraId="4161F0BE" w14:textId="77777777" w:rsidTr="0037466E">
        <w:tc>
          <w:tcPr>
            <w:tcW w:w="2410" w:type="dxa"/>
          </w:tcPr>
          <w:p w14:paraId="4D4C97B2" w14:textId="77777777" w:rsidR="00C672E5" w:rsidRPr="00815635" w:rsidRDefault="00C672E5" w:rsidP="00A9531E">
            <w:pPr>
              <w:rPr>
                <w:i/>
              </w:rPr>
            </w:pPr>
            <w:r w:rsidRPr="00815635">
              <w:rPr>
                <w:i/>
              </w:rPr>
              <w:t>National Clinical Guideline Centre UK 2012</w:t>
            </w:r>
          </w:p>
        </w:tc>
        <w:tc>
          <w:tcPr>
            <w:tcW w:w="3402" w:type="dxa"/>
          </w:tcPr>
          <w:p w14:paraId="0E646447" w14:textId="77777777" w:rsidR="00C672E5" w:rsidRPr="00815635" w:rsidRDefault="00C672E5" w:rsidP="00A9531E">
            <w:pPr>
              <w:rPr>
                <w:i/>
              </w:rPr>
            </w:pPr>
            <w:r w:rsidRPr="00815635">
              <w:rPr>
                <w:i/>
              </w:rPr>
              <w:t xml:space="preserve">Consider performing FRAX or </w:t>
            </w:r>
            <w:proofErr w:type="spellStart"/>
            <w:r w:rsidRPr="00815635">
              <w:rPr>
                <w:i/>
              </w:rPr>
              <w:t>QFracture</w:t>
            </w:r>
            <w:proofErr w:type="spellEnd"/>
            <w:r w:rsidRPr="00815635">
              <w:rPr>
                <w:i/>
              </w:rPr>
              <w:t xml:space="preserve"> assessment in all:</w:t>
            </w:r>
          </w:p>
          <w:p w14:paraId="11C58696" w14:textId="77777777" w:rsidR="00C672E5" w:rsidRDefault="00C672E5" w:rsidP="00DF427A">
            <w:pPr>
              <w:pStyle w:val="Bullet1"/>
            </w:pPr>
            <w:r w:rsidRPr="00815635">
              <w:t>Women ≥65 and men ≥75</w:t>
            </w:r>
          </w:p>
          <w:p w14:paraId="46D78851" w14:textId="77777777" w:rsidR="00C672E5" w:rsidRPr="00815635" w:rsidRDefault="00C672E5" w:rsidP="00C672E5">
            <w:pPr>
              <w:pStyle w:val="Bullet1"/>
            </w:pPr>
            <w:r w:rsidRPr="00815635">
              <w:t>Women &lt;65 and men &lt;75 who have additional risk factors*</w:t>
            </w:r>
          </w:p>
          <w:p w14:paraId="7876D2BE" w14:textId="413C388F" w:rsidR="00C672E5" w:rsidRPr="00815635" w:rsidRDefault="00C672E5" w:rsidP="00C672E5">
            <w:r w:rsidRPr="00815635">
              <w:rPr>
                <w:i/>
              </w:rPr>
              <w:t>If indicated by fracture risk, proceed to DXA scans</w:t>
            </w:r>
          </w:p>
        </w:tc>
        <w:tc>
          <w:tcPr>
            <w:tcW w:w="3402" w:type="dxa"/>
          </w:tcPr>
          <w:p w14:paraId="16D6685D" w14:textId="77777777" w:rsidR="00C672E5" w:rsidRPr="00815635" w:rsidRDefault="00C672E5" w:rsidP="00C672E5">
            <w:pPr>
              <w:rPr>
                <w:i/>
              </w:rPr>
            </w:pPr>
            <w:r w:rsidRPr="00815635">
              <w:rPr>
                <w:i/>
              </w:rPr>
              <w:t xml:space="preserve">Consider performing FRAX or </w:t>
            </w:r>
            <w:proofErr w:type="spellStart"/>
            <w:r w:rsidRPr="00815635">
              <w:rPr>
                <w:i/>
              </w:rPr>
              <w:t>QFracture</w:t>
            </w:r>
            <w:proofErr w:type="spellEnd"/>
            <w:r w:rsidRPr="00815635">
              <w:rPr>
                <w:i/>
              </w:rPr>
              <w:t xml:space="preserve"> assessment in all:</w:t>
            </w:r>
          </w:p>
          <w:p w14:paraId="3A6E656B" w14:textId="77777777" w:rsidR="00C672E5" w:rsidRDefault="00C672E5" w:rsidP="00C672E5">
            <w:pPr>
              <w:pStyle w:val="Bullet1"/>
            </w:pPr>
            <w:r w:rsidRPr="00815635">
              <w:t>Women ≥65 and men ≥75</w:t>
            </w:r>
          </w:p>
          <w:p w14:paraId="3835851A" w14:textId="77777777" w:rsidR="00C672E5" w:rsidRPr="00815635" w:rsidRDefault="00C672E5" w:rsidP="00C672E5">
            <w:pPr>
              <w:pStyle w:val="Bullet1"/>
            </w:pPr>
            <w:r w:rsidRPr="00815635">
              <w:t>Women &lt;65 and men &lt;75 who have additional risk factors*</w:t>
            </w:r>
          </w:p>
          <w:p w14:paraId="6DAA829F" w14:textId="783FF801" w:rsidR="00C672E5" w:rsidRPr="00125F82" w:rsidRDefault="00C672E5" w:rsidP="00C672E5">
            <w:pPr>
              <w:rPr>
                <w:rStyle w:val="IntenseReference"/>
                <w:rFonts w:cs="Arial"/>
                <w:b w:val="0"/>
                <w:bCs w:val="0"/>
                <w:i w:val="0"/>
                <w:smallCaps w:val="0"/>
                <w:color w:val="auto"/>
                <w:spacing w:val="0"/>
                <w:sz w:val="20"/>
                <w:szCs w:val="20"/>
              </w:rPr>
            </w:pPr>
            <w:r w:rsidRPr="00815635">
              <w:rPr>
                <w:i/>
              </w:rPr>
              <w:t>If indicated by fracture risk, proceed to DXA scans</w:t>
            </w:r>
          </w:p>
        </w:tc>
      </w:tr>
      <w:tr w:rsidR="00AC3D09" w:rsidRPr="00125F82" w14:paraId="3699B43D" w14:textId="77777777" w:rsidTr="0037466E">
        <w:tc>
          <w:tcPr>
            <w:tcW w:w="2410" w:type="dxa"/>
          </w:tcPr>
          <w:p w14:paraId="655D80EA" w14:textId="77777777" w:rsidR="00AC3D09" w:rsidRPr="00815635" w:rsidRDefault="00AC3D09" w:rsidP="00A9531E">
            <w:pPr>
              <w:rPr>
                <w:i/>
              </w:rPr>
            </w:pPr>
            <w:r w:rsidRPr="00815635">
              <w:rPr>
                <w:i/>
              </w:rPr>
              <w:t>Current MBS items</w:t>
            </w:r>
          </w:p>
        </w:tc>
        <w:tc>
          <w:tcPr>
            <w:tcW w:w="3402" w:type="dxa"/>
          </w:tcPr>
          <w:p w14:paraId="3240FD1F" w14:textId="5B185E3C" w:rsidR="00AC3D09" w:rsidRPr="00815635" w:rsidRDefault="00AC3D09" w:rsidP="00A9531E">
            <w:pPr>
              <w:rPr>
                <w:i/>
              </w:rPr>
            </w:pPr>
            <w:r>
              <w:rPr>
                <w:i/>
              </w:rPr>
              <w:t>W</w:t>
            </w:r>
            <w:r w:rsidRPr="00815635">
              <w:rPr>
                <w:i/>
              </w:rPr>
              <w:t>hen aged over 70</w:t>
            </w:r>
          </w:p>
        </w:tc>
        <w:tc>
          <w:tcPr>
            <w:tcW w:w="3402" w:type="dxa"/>
          </w:tcPr>
          <w:p w14:paraId="4F276D52" w14:textId="5300E702" w:rsidR="00AC3D09" w:rsidRPr="00815635" w:rsidRDefault="00AC3D09" w:rsidP="00A9531E">
            <w:pPr>
              <w:rPr>
                <w:i/>
              </w:rPr>
            </w:pPr>
            <w:r>
              <w:rPr>
                <w:i/>
              </w:rPr>
              <w:t>W</w:t>
            </w:r>
            <w:r w:rsidRPr="00815635">
              <w:rPr>
                <w:i/>
              </w:rPr>
              <w:t>hen aged over 70</w:t>
            </w:r>
          </w:p>
        </w:tc>
      </w:tr>
    </w:tbl>
    <w:p w14:paraId="41A44CA5" w14:textId="77777777" w:rsidR="00F417F4" w:rsidRPr="00961CFC" w:rsidRDefault="00F417F4" w:rsidP="00A9531E">
      <w:pPr>
        <w:rPr>
          <w:i/>
          <w:sz w:val="18"/>
          <w:szCs w:val="18"/>
        </w:rPr>
      </w:pPr>
      <w:r w:rsidRPr="00961CFC">
        <w:rPr>
          <w:i/>
          <w:sz w:val="18"/>
          <w:szCs w:val="18"/>
        </w:rPr>
        <w:t xml:space="preserve">*Validated osteoporotic risk factors (excluding age): low body weight, prior fracture, smoking, frequent falling, family history of fragility fracture, excess alcohol intake </w:t>
      </w:r>
    </w:p>
    <w:p w14:paraId="571D3087" w14:textId="77777777" w:rsidR="00F417F4" w:rsidRPr="00961CFC" w:rsidRDefault="00F417F4" w:rsidP="00A9531E">
      <w:pPr>
        <w:rPr>
          <w:i/>
          <w:sz w:val="18"/>
          <w:szCs w:val="18"/>
        </w:rPr>
      </w:pPr>
      <w:r w:rsidRPr="00961CFC">
        <w:rPr>
          <w:i/>
          <w:sz w:val="18"/>
          <w:szCs w:val="18"/>
        </w:rPr>
        <w:t xml:space="preserve">**NHMRC published </w:t>
      </w:r>
      <w:r w:rsidRPr="00961CFC">
        <w:rPr>
          <w:sz w:val="18"/>
          <w:szCs w:val="18"/>
        </w:rPr>
        <w:t>these guidelines in February 2010. NHMRC approval for the guidelines is granted for a period not exceeding 5 years and as such, has expired by NHMRC standards.</w:t>
      </w:r>
    </w:p>
    <w:p w14:paraId="15DB9C0A" w14:textId="77777777" w:rsidR="00F417F4" w:rsidRPr="00961CFC" w:rsidRDefault="00F417F4" w:rsidP="00A9531E">
      <w:pPr>
        <w:rPr>
          <w:i/>
          <w:sz w:val="18"/>
          <w:szCs w:val="18"/>
        </w:rPr>
      </w:pPr>
      <w:r w:rsidRPr="00961CFC">
        <w:rPr>
          <w:i/>
          <w:sz w:val="18"/>
          <w:szCs w:val="18"/>
        </w:rPr>
        <w:t>***The National Osteoporosis Guideline Group published on the behalf of the Bone Research Society British Geriatrics Society, British Orthopaedic Association, British Society of Rheumatology, National Osteoporosis Society and The Royal College of Physicians UK.</w:t>
      </w:r>
    </w:p>
    <w:p w14:paraId="39E68C89" w14:textId="2A554839" w:rsidR="00F417F4" w:rsidRPr="009200D8" w:rsidRDefault="00F417F4" w:rsidP="00913CA4">
      <w:pPr>
        <w:pStyle w:val="Heading3"/>
      </w:pPr>
      <w:r w:rsidRPr="009200D8">
        <w:t>What interval is recommended between DXA scans</w:t>
      </w:r>
      <w:r w:rsidR="0060697D">
        <w:t xml:space="preserve"> </w:t>
      </w:r>
      <w:r w:rsidRPr="009200D8">
        <w:t xml:space="preserve">for </w:t>
      </w:r>
      <w:r w:rsidR="00D51B26">
        <w:t xml:space="preserve">older </w:t>
      </w:r>
      <w:r w:rsidRPr="009200D8">
        <w:t>patients</w:t>
      </w:r>
      <w:r w:rsidR="0060697D">
        <w:t>?</w:t>
      </w:r>
    </w:p>
    <w:p w14:paraId="22963FE8" w14:textId="77777777" w:rsidR="00A9455A" w:rsidRPr="00490F36" w:rsidRDefault="00F417F4" w:rsidP="00A9455A">
      <w:pPr>
        <w:pStyle w:val="Heading4"/>
      </w:pPr>
      <w:r w:rsidRPr="00A9455A">
        <w:t>Studies</w:t>
      </w:r>
    </w:p>
    <w:p w14:paraId="3C0F3713" w14:textId="683890A3" w:rsidR="00D51B26" w:rsidRDefault="00D51B26" w:rsidP="00A9455A">
      <w:r>
        <w:t xml:space="preserve">This question refers to the recommended interval </w:t>
      </w:r>
      <w:r w:rsidRPr="00D51B26">
        <w:t>between serial DXA scans when used as a screening tool for patients &gt;70 years</w:t>
      </w:r>
      <w:r>
        <w:t>.</w:t>
      </w:r>
    </w:p>
    <w:p w14:paraId="0866AE3B" w14:textId="77777777" w:rsidR="00F417F4" w:rsidRPr="00A9531E" w:rsidRDefault="00F417F4" w:rsidP="00A9455A">
      <w:r w:rsidRPr="00A9455A">
        <w:t>To address this clinical question, the evidence must answer firstly whether serial scanning actually improves fracture prediction in this population and from there, what interval is required to improve</w:t>
      </w:r>
      <w:r w:rsidRPr="00A9531E">
        <w:t xml:space="preserve"> fracture prediction. The first question is best addressed by studies assessing whether fracture risk is </w:t>
      </w:r>
      <w:r w:rsidRPr="00A9531E">
        <w:lastRenderedPageBreak/>
        <w:t>better predicted by subsequent BMDs than baseline BMDs. 5 relevant studies were identified and their findings were contradictory.</w:t>
      </w:r>
    </w:p>
    <w:p w14:paraId="6636B452" w14:textId="77777777" w:rsidR="00F417F4" w:rsidRPr="00A9531E" w:rsidRDefault="00F417F4" w:rsidP="00A9531E">
      <w:r w:rsidRPr="00A9531E">
        <w:t xml:space="preserve">Hillier et al.3 (2007) prospectively measured total hip BMD in 4124 older women (mean age 72) and repeated DXA scans 8 years after. Data was collected on rates of non-traumatic hip, non-spine and spine fractures. After adjusting for age and weight change, they found that initial and repeat BMD measures were similarly associated with fracture risk for non-spine (HR=1.6), spine (OR=1.8-1.9) and hip (HR 2.0-2.2) (p&lt;0.001 for all). Stratification by initial BMD T scores (mean= -1.37) did not alter results. Hillier et al. concluded that repeating DXA scans up to 8 years later did not provide additional value to the initial BMD measurement for predicting fracture risk. </w:t>
      </w:r>
    </w:p>
    <w:p w14:paraId="5BB0920B" w14:textId="77777777" w:rsidR="00F417F4" w:rsidRPr="00A9531E" w:rsidRDefault="00F417F4" w:rsidP="00A9531E">
      <w:r w:rsidRPr="00A9531E">
        <w:t>In 2012, Leslie et al.4 published supporting results. They measured 4498 women (mean age 65) for initial BMD, subsequent BMD and rates of major osteoporotic fracture. While the fracture group had lower final BMD, they also had lower baseline BMD and so annualised percentage change in total hip BMD was no greater in the fracture group (-0.4 ± 1.7 vs. -0.5 ± 1.4; P =0.166). They concluded that BMD loss wasn’t a significant independent risk factor for fracture.</w:t>
      </w:r>
    </w:p>
    <w:p w14:paraId="1FDF8B30" w14:textId="77777777" w:rsidR="00F417F4" w:rsidRPr="009200D8" w:rsidRDefault="00F417F4" w:rsidP="003F788A">
      <w:pPr>
        <w:spacing w:before="120" w:afterLines="60" w:after="144"/>
        <w:rPr>
          <w:rFonts w:cs="Arial"/>
          <w:color w:val="000000"/>
          <w:szCs w:val="22"/>
          <w:shd w:val="clear" w:color="auto" w:fill="FFFFFF"/>
        </w:rPr>
      </w:pPr>
      <w:r w:rsidRPr="009200D8">
        <w:rPr>
          <w:rFonts w:cs="Arial"/>
          <w:color w:val="000000"/>
          <w:szCs w:val="22"/>
          <w:shd w:val="clear" w:color="auto" w:fill="FFFFFF"/>
        </w:rPr>
        <w:t>Berry et al.</w:t>
      </w:r>
      <w:r w:rsidRPr="009200D8">
        <w:rPr>
          <w:rFonts w:cs="Arial"/>
          <w:color w:val="000000"/>
          <w:szCs w:val="22"/>
          <w:shd w:val="clear" w:color="auto" w:fill="FFFFFF"/>
          <w:vertAlign w:val="superscript"/>
        </w:rPr>
        <w:t>5</w:t>
      </w:r>
      <w:r w:rsidRPr="009200D8">
        <w:rPr>
          <w:rFonts w:cs="Arial"/>
          <w:color w:val="000000"/>
          <w:szCs w:val="22"/>
          <w:shd w:val="clear" w:color="auto" w:fill="FFFFFF"/>
        </w:rPr>
        <w:t xml:space="preserve"> (2013) performed a population-based cohort study of 310 men and 492 women (mean age 74.8) who had two femoral neck BMDs taken. They assessed rates of hip and major osteoporotic fracture in the 12 years after the second BMD. While they did find a statistically significant annualised change in BMD for both the hip fracture group (HR=1.43; 95%CI =1.16-1.78) and the major osteoporotic fracture group (HR=1.21; 95%CI=1.01-1.45), they applied ROC curve analyses and found that the addition of BMD change to a model with baseline BMD did not significantly improve performance of fracture prediction (AUC 0.71 for baseline BMD [95%CI=0.62-0.75] vs. AUC 0.72 for baseline BMD + BMD change [95%CI=0.66-0.79]). They too were able to conclude that a second BMD measure after four years did not significantly improve fracture prediction.</w:t>
      </w:r>
    </w:p>
    <w:p w14:paraId="5DEB6616" w14:textId="77777777" w:rsidR="00F417F4" w:rsidRPr="009200D8" w:rsidRDefault="00F417F4" w:rsidP="003F788A">
      <w:pPr>
        <w:spacing w:before="120" w:afterLines="60" w:after="144"/>
        <w:rPr>
          <w:rFonts w:cs="Arial"/>
          <w:color w:val="000000"/>
          <w:szCs w:val="22"/>
          <w:shd w:val="clear" w:color="auto" w:fill="FFFFFF"/>
        </w:rPr>
      </w:pPr>
      <w:r w:rsidRPr="009200D8">
        <w:rPr>
          <w:rFonts w:cs="Arial"/>
          <w:color w:val="000000"/>
          <w:szCs w:val="22"/>
          <w:shd w:val="clear" w:color="auto" w:fill="FFFFFF"/>
        </w:rPr>
        <w:t>However, studies by Berger</w:t>
      </w:r>
      <w:r w:rsidRPr="009200D8">
        <w:rPr>
          <w:rFonts w:cs="Arial"/>
          <w:color w:val="000000"/>
          <w:szCs w:val="22"/>
          <w:shd w:val="clear" w:color="auto" w:fill="FFFFFF"/>
          <w:vertAlign w:val="superscript"/>
        </w:rPr>
        <w:t>6</w:t>
      </w:r>
      <w:r w:rsidRPr="009200D8">
        <w:rPr>
          <w:rFonts w:cs="Arial"/>
          <w:color w:val="000000"/>
          <w:szCs w:val="22"/>
          <w:shd w:val="clear" w:color="auto" w:fill="FFFFFF"/>
        </w:rPr>
        <w:t xml:space="preserve"> and Nguyen</w:t>
      </w:r>
      <w:r w:rsidRPr="009200D8">
        <w:rPr>
          <w:rFonts w:cs="Arial"/>
          <w:color w:val="000000"/>
          <w:szCs w:val="22"/>
          <w:shd w:val="clear" w:color="auto" w:fill="FFFFFF"/>
          <w:vertAlign w:val="superscript"/>
        </w:rPr>
        <w:t>7</w:t>
      </w:r>
      <w:r w:rsidRPr="009200D8">
        <w:rPr>
          <w:rFonts w:cs="Arial"/>
          <w:color w:val="000000"/>
          <w:szCs w:val="22"/>
          <w:shd w:val="clear" w:color="auto" w:fill="FFFFFF"/>
        </w:rPr>
        <w:t xml:space="preserve"> found that bone loss was an independent risk factor for fracture. Berger et al.</w:t>
      </w:r>
      <w:r w:rsidRPr="009200D8">
        <w:rPr>
          <w:rFonts w:cs="Arial"/>
          <w:color w:val="000000"/>
          <w:szCs w:val="22"/>
          <w:shd w:val="clear" w:color="auto" w:fill="FFFFFF"/>
          <w:vertAlign w:val="superscript"/>
        </w:rPr>
        <w:t>6</w:t>
      </w:r>
      <w:r w:rsidRPr="009200D8">
        <w:rPr>
          <w:rFonts w:cs="Arial"/>
          <w:color w:val="000000"/>
          <w:szCs w:val="22"/>
          <w:shd w:val="clear" w:color="auto" w:fill="FFFFFF"/>
        </w:rPr>
        <w:t xml:space="preserve"> performed a prospective cohort study on 3635 women and 1417 men aged 50-85 (mean age 64) who had fragility fractures and at least two BMDs performed within 5 years of the study commencing. They found that a decrease of 0.01 in total hip BMD per year was associated with increased risk of fragility fractures (OR=1.15; 95%CI=1.02-1.78) independent of baseline BMD. In their discussion, they identified that the older age group studied by Hillier</w:t>
      </w:r>
      <w:r w:rsidRPr="009200D8">
        <w:rPr>
          <w:rFonts w:cs="Arial"/>
          <w:color w:val="000000"/>
          <w:szCs w:val="22"/>
          <w:shd w:val="clear" w:color="auto" w:fill="FFFFFF"/>
          <w:vertAlign w:val="superscript"/>
        </w:rPr>
        <w:t>3</w:t>
      </w:r>
      <w:r w:rsidRPr="009200D8">
        <w:rPr>
          <w:rFonts w:cs="Arial"/>
          <w:color w:val="000000"/>
          <w:szCs w:val="22"/>
          <w:shd w:val="clear" w:color="auto" w:fill="FFFFFF"/>
        </w:rPr>
        <w:t xml:space="preserve"> (&gt;65 years) may have excluded the patients in whom the most rapid BMD loss occurs, possibly explaining their different findings. Nguyen, Centre and Eisman</w:t>
      </w:r>
      <w:r w:rsidRPr="009200D8">
        <w:rPr>
          <w:rFonts w:cs="Arial"/>
          <w:color w:val="000000"/>
          <w:szCs w:val="22"/>
          <w:shd w:val="clear" w:color="auto" w:fill="FFFFFF"/>
          <w:vertAlign w:val="superscript"/>
        </w:rPr>
        <w:t>7</w:t>
      </w:r>
      <w:r w:rsidRPr="009200D8">
        <w:rPr>
          <w:rFonts w:cs="Arial"/>
          <w:color w:val="000000"/>
          <w:szCs w:val="22"/>
          <w:shd w:val="clear" w:color="auto" w:fill="FFFFFF"/>
        </w:rPr>
        <w:t xml:space="preserve"> assessed 966 women (mean age 70) who had at least two BMD measurements within the Dubbo Osteoporosis Epidemiology Study and followed them for an average of 10.7 years to assess their fracture rate. Similarly to Berger et al. they found that the annualised percentage change in </w:t>
      </w:r>
      <w:r w:rsidRPr="009200D8">
        <w:rPr>
          <w:rFonts w:cs="Arial"/>
          <w:color w:val="000000"/>
          <w:szCs w:val="22"/>
          <w:u w:val="single"/>
          <w:shd w:val="clear" w:color="auto" w:fill="FFFFFF"/>
        </w:rPr>
        <w:t>femoral neck</w:t>
      </w:r>
      <w:r w:rsidRPr="009200D8">
        <w:rPr>
          <w:rFonts w:cs="Arial"/>
          <w:color w:val="000000"/>
          <w:szCs w:val="22"/>
          <w:shd w:val="clear" w:color="auto" w:fill="FFFFFF"/>
        </w:rPr>
        <w:t xml:space="preserve"> BMD was significantly higher in the fracture group than non-fracture group (-1.4 ± 4.1% vs -0.8 ± 2.9%; p=0.005) independent of baseline BMD. However there was no significant difference in the rate of change in </w:t>
      </w:r>
      <w:r w:rsidRPr="009200D8">
        <w:rPr>
          <w:rFonts w:cs="Arial"/>
          <w:color w:val="000000"/>
          <w:szCs w:val="22"/>
          <w:u w:val="single"/>
          <w:shd w:val="clear" w:color="auto" w:fill="FFFFFF"/>
        </w:rPr>
        <w:t>lumbar spine</w:t>
      </w:r>
      <w:r w:rsidRPr="009200D8">
        <w:rPr>
          <w:rFonts w:cs="Arial"/>
          <w:color w:val="000000"/>
          <w:szCs w:val="22"/>
          <w:shd w:val="clear" w:color="auto" w:fill="FFFFFF"/>
        </w:rPr>
        <w:t xml:space="preserve"> BMD between the fracture and non-fracture group (-0.3 ± 2.8% vs.-0.1 ± 2.0). They concluded that “in this study, 45 of every 100 fractures were attributable to only three risk factors, namely, osteoporosis, high rate of </w:t>
      </w:r>
      <w:r w:rsidRPr="009200D8">
        <w:rPr>
          <w:rFonts w:cs="Arial"/>
          <w:color w:val="000000"/>
          <w:szCs w:val="22"/>
          <w:shd w:val="clear" w:color="auto" w:fill="FFFFFF"/>
        </w:rPr>
        <w:lastRenderedPageBreak/>
        <w:t>femoral neck bone loss, and advancing age. However, the attributable fraction for high rate of bone loss was modest, because the combination of osteoporosis and advancing age accounted for most of the attributable fraction. This is because the prevalence of osteoporosis (26%) was higher than the prevalence of high bone loss (10%)”.</w:t>
      </w:r>
    </w:p>
    <w:p w14:paraId="2AB835EE" w14:textId="77777777" w:rsidR="00F417F4" w:rsidRPr="00A9531E" w:rsidRDefault="00F417F4" w:rsidP="00A9531E">
      <w:r w:rsidRPr="00A9531E">
        <w:t xml:space="preserve">In regards to the second question, only one study was identified as addressing the suitable interval for serial scans in an asymptomatic population over 70. </w:t>
      </w:r>
      <w:proofErr w:type="spellStart"/>
      <w:r w:rsidRPr="00A9531E">
        <w:t>Gourlay</w:t>
      </w:r>
      <w:proofErr w:type="spellEnd"/>
      <w:r w:rsidRPr="00A9531E">
        <w:t xml:space="preserve"> et al.8 studied the same 4957 women that were included in the Study of Osteoporotic Fractures by Hillier et al. 1255 women were assessed for transition from normal BMD to osteoporosis and 4215 women were assessed for transition from osteopenia to osteoporosis (513 were assessed for both transitions). In their sensitivity analysis based on BMD at the femoral neck, the covariate-adjusted times for 10% of the women to make the transition to osteoporosis was dependent on patient age group. In the &gt;85 year age group, it took 11.8 years for the mildly </w:t>
      </w:r>
      <w:proofErr w:type="spellStart"/>
      <w:r w:rsidRPr="00A9531E">
        <w:t>osteopenic</w:t>
      </w:r>
      <w:proofErr w:type="spellEnd"/>
      <w:r w:rsidRPr="00A9531E">
        <w:t xml:space="preserve"> group (95%CI=9.0-15.5), 3.2 years (95%CI=2.6-3.9) for the moderately </w:t>
      </w:r>
      <w:proofErr w:type="spellStart"/>
      <w:r w:rsidRPr="00A9531E">
        <w:t>osteopenic</w:t>
      </w:r>
      <w:proofErr w:type="spellEnd"/>
      <w:r w:rsidRPr="00A9531E">
        <w:t xml:space="preserve"> group and 0.8 years (95%CI=0.6-0.9) for the severely </w:t>
      </w:r>
      <w:proofErr w:type="spellStart"/>
      <w:r w:rsidRPr="00A9531E">
        <w:t>osteopenic</w:t>
      </w:r>
      <w:proofErr w:type="spellEnd"/>
      <w:r w:rsidRPr="00A9531E">
        <w:t xml:space="preserve"> to become osteoporotic. In the 70-75 year age group, these results were 5.1 years (95%CI=4.6-5.7) for the moderately </w:t>
      </w:r>
      <w:proofErr w:type="spellStart"/>
      <w:r w:rsidRPr="00A9531E">
        <w:t>osteopenic</w:t>
      </w:r>
      <w:proofErr w:type="spellEnd"/>
      <w:r w:rsidRPr="00A9531E">
        <w:t xml:space="preserve"> and 1.2 years (95%CI=1.0-1.4) for the severely </w:t>
      </w:r>
      <w:proofErr w:type="spellStart"/>
      <w:r w:rsidRPr="00A9531E">
        <w:t>osteopenic</w:t>
      </w:r>
      <w:proofErr w:type="spellEnd"/>
      <w:r w:rsidRPr="00A9531E">
        <w:t xml:space="preserve">. They were unable to report specifically for the mildly </w:t>
      </w:r>
      <w:proofErr w:type="spellStart"/>
      <w:r w:rsidRPr="00A9531E">
        <w:t>osteopenic</w:t>
      </w:r>
      <w:proofErr w:type="spellEnd"/>
      <w:r w:rsidRPr="00A9531E">
        <w:t xml:space="preserve"> group because their estimate was &gt;15 years with a 95%CI excluding 15 years (due to the excessive extrapolation required for the figure). They did not report the transition time for normal BMD to osteoporosis by age, but the average time of transition, adjusted by continuous BMD and age was 16.8 years (95%CI=11.5-24.6). These results suggest that baseline BMD results are the best indicator for interval of repeat BMD testing. </w:t>
      </w:r>
    </w:p>
    <w:p w14:paraId="77F9C06D" w14:textId="29D13FA7" w:rsidR="00F417F4" w:rsidRPr="00A9531E" w:rsidRDefault="00305D5C" w:rsidP="00A9531E">
      <w:pPr>
        <w:pStyle w:val="Caption"/>
      </w:pPr>
      <w:r w:rsidRPr="00A9531E">
        <w:t xml:space="preserve">Table </w:t>
      </w:r>
      <w:r w:rsidR="00125F82" w:rsidRPr="00A9531E">
        <w:t>C</w:t>
      </w:r>
      <w:r w:rsidRPr="00A9531E">
        <w:t xml:space="preserve">2: </w:t>
      </w:r>
      <w:r w:rsidR="00F417F4" w:rsidRPr="00A9531E">
        <w:t>Clinical Practice Guidelines</w:t>
      </w:r>
      <w:r w:rsidRPr="00A9531E">
        <w:t xml:space="preserve"> – intervals for patients &gt;70 years</w:t>
      </w:r>
    </w:p>
    <w:tbl>
      <w:tblPr>
        <w:tblStyle w:val="TableGrid"/>
        <w:tblW w:w="9322"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C2 provides recommended intervals for use of DXA in patients according to the clinical practice guidelines of various organisations."/>
      </w:tblPr>
      <w:tblGrid>
        <w:gridCol w:w="2802"/>
        <w:gridCol w:w="6520"/>
      </w:tblGrid>
      <w:tr w:rsidR="00F417F4" w:rsidRPr="00A9531E" w14:paraId="344BC0CC" w14:textId="77777777" w:rsidTr="0006464C">
        <w:trPr>
          <w:tblHeader/>
        </w:trPr>
        <w:tc>
          <w:tcPr>
            <w:tcW w:w="2802" w:type="dxa"/>
          </w:tcPr>
          <w:p w14:paraId="4358150D" w14:textId="77777777" w:rsidR="00F417F4" w:rsidRPr="00A9531E" w:rsidRDefault="00F417F4" w:rsidP="00A9531E">
            <w:pPr>
              <w:rPr>
                <w:b/>
              </w:rPr>
            </w:pPr>
            <w:r w:rsidRPr="00A9531E">
              <w:rPr>
                <w:b/>
              </w:rPr>
              <w:t>Group, publishing date</w:t>
            </w:r>
          </w:p>
        </w:tc>
        <w:tc>
          <w:tcPr>
            <w:tcW w:w="6520" w:type="dxa"/>
          </w:tcPr>
          <w:p w14:paraId="252C6C84" w14:textId="77777777" w:rsidR="00F417F4" w:rsidRPr="00A9531E" w:rsidRDefault="00F417F4" w:rsidP="00A9531E">
            <w:pPr>
              <w:rPr>
                <w:b/>
              </w:rPr>
            </w:pPr>
            <w:r w:rsidRPr="00A9531E">
              <w:rPr>
                <w:b/>
              </w:rPr>
              <w:t>Recommendations</w:t>
            </w:r>
          </w:p>
        </w:tc>
      </w:tr>
      <w:tr w:rsidR="00F417F4" w:rsidRPr="00A9531E" w14:paraId="5989255E" w14:textId="77777777" w:rsidTr="0006464C">
        <w:tc>
          <w:tcPr>
            <w:tcW w:w="2802" w:type="dxa"/>
          </w:tcPr>
          <w:p w14:paraId="59301877" w14:textId="77777777" w:rsidR="00F417F4" w:rsidRPr="00A9531E" w:rsidRDefault="00F417F4" w:rsidP="00A9531E">
            <w:r w:rsidRPr="00A9531E">
              <w:t>Royal Australian College of General Practitioners (RACGP) 2012</w:t>
            </w:r>
          </w:p>
        </w:tc>
        <w:tc>
          <w:tcPr>
            <w:tcW w:w="6520" w:type="dxa"/>
          </w:tcPr>
          <w:p w14:paraId="76E2EA17" w14:textId="60179B21" w:rsidR="00F417F4" w:rsidRPr="00A9531E" w:rsidRDefault="00F417F4" w:rsidP="00DF427A">
            <w:pPr>
              <w:pStyle w:val="Bullet1"/>
            </w:pPr>
            <w:r w:rsidRPr="00A9531E">
              <w:t>Repeat DXA scan when it is likely to change management</w:t>
            </w:r>
            <w:r w:rsidR="00961CFC">
              <w:t xml:space="preserve"> </w:t>
            </w:r>
            <w:r w:rsidR="00DF427A">
              <w:t>(</w:t>
            </w:r>
            <w:r w:rsidRPr="00A9531E">
              <w:t>i.e.</w:t>
            </w:r>
            <w:r w:rsidR="00790CE0" w:rsidRPr="00A9531E">
              <w:t xml:space="preserve"> </w:t>
            </w:r>
            <w:r w:rsidRPr="00A9531E">
              <w:t>only when the patient is at risk of</w:t>
            </w:r>
            <w:r w:rsidR="00DF427A">
              <w:t xml:space="preserve"> reaching treatment thresholds [</w:t>
            </w:r>
            <w:r w:rsidRPr="00A9531E">
              <w:t>average decrease in T-score is around 0.1/year if no specific bone-losing medical conditions</w:t>
            </w:r>
            <w:r w:rsidR="00DF427A">
              <w:t>]</w:t>
            </w:r>
            <w:r w:rsidRPr="00A9531E">
              <w:t>)</w:t>
            </w:r>
          </w:p>
          <w:p w14:paraId="7A3B7AA0" w14:textId="77777777" w:rsidR="00F417F4" w:rsidRPr="00A9531E" w:rsidRDefault="00F417F4" w:rsidP="00DF427A">
            <w:pPr>
              <w:pStyle w:val="Bullet1"/>
            </w:pPr>
            <w:r w:rsidRPr="00A9531E">
              <w:t>Repeat no more than every 2 years</w:t>
            </w:r>
          </w:p>
          <w:p w14:paraId="56DC3925" w14:textId="5FCDE67B" w:rsidR="00F417F4" w:rsidRPr="00A9531E" w:rsidRDefault="00F417F4" w:rsidP="00A9531E">
            <w:r w:rsidRPr="00A9531E">
              <w:t>Without a bone-losing medical condition (e.g. steroid use) it is unlikely to change significantly in &lt;2 years</w:t>
            </w:r>
            <w:r w:rsidR="00125F82" w:rsidRPr="00A9531E">
              <w:t>.</w:t>
            </w:r>
            <w:r w:rsidRPr="00A9531E">
              <w:t xml:space="preserve"> </w:t>
            </w:r>
          </w:p>
        </w:tc>
      </w:tr>
      <w:tr w:rsidR="00F417F4" w:rsidRPr="00DA7BF2" w14:paraId="23D95D18" w14:textId="77777777" w:rsidTr="0006464C">
        <w:tc>
          <w:tcPr>
            <w:tcW w:w="2802" w:type="dxa"/>
          </w:tcPr>
          <w:p w14:paraId="7D6B7AAF" w14:textId="77777777" w:rsidR="00F417F4" w:rsidRPr="00A9531E" w:rsidRDefault="00F417F4" w:rsidP="00A9531E">
            <w:r w:rsidRPr="00A9531E">
              <w:t>National Health and Medical Research Council (NHMRC) 2010*</w:t>
            </w:r>
          </w:p>
        </w:tc>
        <w:tc>
          <w:tcPr>
            <w:tcW w:w="6520" w:type="dxa"/>
          </w:tcPr>
          <w:p w14:paraId="1F4E8F3A" w14:textId="77777777" w:rsidR="00F417F4" w:rsidRPr="00DA7BF2" w:rsidRDefault="00F417F4" w:rsidP="00125F82">
            <w:pPr>
              <w:spacing w:before="140" w:after="40"/>
              <w:rPr>
                <w:rStyle w:val="IntenseReference"/>
                <w:rFonts w:cs="Arial"/>
                <w:b w:val="0"/>
                <w:bCs w:val="0"/>
                <w:i w:val="0"/>
                <w:smallCaps w:val="0"/>
                <w:color w:val="auto"/>
                <w:spacing w:val="0"/>
                <w:szCs w:val="22"/>
              </w:rPr>
            </w:pPr>
            <w:r w:rsidRPr="00DA7BF2">
              <w:t>It is appropriate to recommend a repeat BMD by DXA after 2 years for patients at risk of developing OP, to assist in re-evaluation of fracture risk.</w:t>
            </w:r>
          </w:p>
        </w:tc>
      </w:tr>
      <w:tr w:rsidR="00F417F4" w:rsidRPr="00DA7BF2" w14:paraId="249428B2" w14:textId="77777777" w:rsidTr="0006464C">
        <w:tc>
          <w:tcPr>
            <w:tcW w:w="2802" w:type="dxa"/>
          </w:tcPr>
          <w:p w14:paraId="64D51DF6" w14:textId="77777777" w:rsidR="00F417F4" w:rsidRPr="00A9531E" w:rsidRDefault="00F417F4" w:rsidP="00A9531E">
            <w:r w:rsidRPr="00A9531E">
              <w:t>United States Preventive Services Task Force (USPSTF) 2011</w:t>
            </w:r>
          </w:p>
        </w:tc>
        <w:tc>
          <w:tcPr>
            <w:tcW w:w="6520" w:type="dxa"/>
          </w:tcPr>
          <w:p w14:paraId="18FC5D4E" w14:textId="23D7220C" w:rsidR="00F417F4" w:rsidRPr="00DA7BF2" w:rsidRDefault="00F417F4" w:rsidP="00125F82">
            <w:pPr>
              <w:spacing w:before="140" w:after="40"/>
              <w:rPr>
                <w:rStyle w:val="IntenseReference"/>
                <w:rFonts w:cs="Arial"/>
                <w:b w:val="0"/>
                <w:bCs w:val="0"/>
                <w:i w:val="0"/>
                <w:smallCaps w:val="0"/>
                <w:color w:val="auto"/>
                <w:spacing w:val="0"/>
                <w:szCs w:val="22"/>
              </w:rPr>
            </w:pPr>
            <w:r w:rsidRPr="00DA7BF2">
              <w:t>“The potential value of rescreening women whose initial</w:t>
            </w:r>
            <w:r w:rsidR="00125F82">
              <w:t xml:space="preserve"> </w:t>
            </w:r>
            <w:r w:rsidRPr="00DA7BF2">
              <w:t>screening test did not detect osteoporosis is to improve</w:t>
            </w:r>
            <w:r w:rsidR="00125F82">
              <w:t xml:space="preserve"> </w:t>
            </w:r>
            <w:r w:rsidRPr="00DA7BF2">
              <w:t xml:space="preserve">fracture risk prediction. Evidence is leading about optimal intervals for repeated screening and whether repeated screening is necessary in a woman with normal BMD. Because of limitations in the precision of testing, a minimum of </w:t>
            </w:r>
            <w:r w:rsidRPr="00DA7BF2">
              <w:lastRenderedPageBreak/>
              <w:t>2 years may be needed to reliably measure a change in BMD; however, longer intervals may be necessary to improve fracture risk prediction.”</w:t>
            </w:r>
          </w:p>
        </w:tc>
      </w:tr>
      <w:tr w:rsidR="00F417F4" w:rsidRPr="00DA7BF2" w14:paraId="08905CF3" w14:textId="77777777" w:rsidTr="0006464C">
        <w:tc>
          <w:tcPr>
            <w:tcW w:w="2802" w:type="dxa"/>
          </w:tcPr>
          <w:p w14:paraId="62E9F759" w14:textId="77777777" w:rsidR="00F417F4" w:rsidRPr="00A9531E" w:rsidRDefault="00F417F4" w:rsidP="00A9531E">
            <w:r w:rsidRPr="00A9531E">
              <w:lastRenderedPageBreak/>
              <w:t>International Society for Clinical Densitometry 2015</w:t>
            </w:r>
          </w:p>
        </w:tc>
        <w:tc>
          <w:tcPr>
            <w:tcW w:w="6520" w:type="dxa"/>
          </w:tcPr>
          <w:p w14:paraId="44C3047F" w14:textId="77777777" w:rsidR="00F417F4" w:rsidRPr="00DA7BF2" w:rsidRDefault="00F417F4" w:rsidP="00125F82">
            <w:pPr>
              <w:spacing w:before="140" w:after="40"/>
              <w:rPr>
                <w:rStyle w:val="IntenseReference"/>
                <w:rFonts w:cs="Arial"/>
                <w:b w:val="0"/>
                <w:bCs w:val="0"/>
                <w:i w:val="0"/>
                <w:smallCaps w:val="0"/>
                <w:color w:val="auto"/>
                <w:spacing w:val="0"/>
                <w:szCs w:val="22"/>
              </w:rPr>
            </w:pPr>
            <w:r w:rsidRPr="00DA7BF2">
              <w:rPr>
                <w:color w:val="000000"/>
              </w:rPr>
              <w:t xml:space="preserve">Serial BMD testing can be used to determine whether treatment should be started on untreated patients, because significant loss may be an indication for treatment. Follow-up BMD testing should be done when the expected change in BMD equals or exceeds the least significant change (LSC). </w:t>
            </w:r>
          </w:p>
        </w:tc>
      </w:tr>
      <w:tr w:rsidR="00F417F4" w:rsidRPr="00DA7BF2" w14:paraId="0BF15C58" w14:textId="77777777" w:rsidTr="0006464C">
        <w:tc>
          <w:tcPr>
            <w:tcW w:w="2802" w:type="dxa"/>
          </w:tcPr>
          <w:p w14:paraId="254A7D78" w14:textId="77777777" w:rsidR="00F417F4" w:rsidRPr="00A9531E" w:rsidRDefault="00F417F4" w:rsidP="00A9531E">
            <w:r w:rsidRPr="00A9531E">
              <w:t>American College of Physicians 2014</w:t>
            </w:r>
          </w:p>
        </w:tc>
        <w:tc>
          <w:tcPr>
            <w:tcW w:w="6520" w:type="dxa"/>
          </w:tcPr>
          <w:p w14:paraId="35BC17FF" w14:textId="2A9CE406" w:rsidR="00F417F4" w:rsidRPr="00A9531E" w:rsidRDefault="00F417F4" w:rsidP="002B6471">
            <w:r w:rsidRPr="00A9531E">
              <w:t xml:space="preserve">Repeat negative screens in </w:t>
            </w:r>
            <w:r w:rsidR="002B6471">
              <w:t>two</w:t>
            </w:r>
            <w:r w:rsidRPr="00A9531E">
              <w:t xml:space="preserve"> years if the result will change management</w:t>
            </w:r>
            <w:r w:rsidR="00125F82" w:rsidRPr="00A9531E">
              <w:t>.</w:t>
            </w:r>
          </w:p>
        </w:tc>
      </w:tr>
      <w:tr w:rsidR="00F417F4" w:rsidRPr="00DA7BF2" w14:paraId="61325C06" w14:textId="77777777" w:rsidTr="0006464C">
        <w:tc>
          <w:tcPr>
            <w:tcW w:w="2802" w:type="dxa"/>
          </w:tcPr>
          <w:p w14:paraId="4570531E" w14:textId="77777777" w:rsidR="00F417F4" w:rsidRPr="00A9531E" w:rsidRDefault="00F417F4" w:rsidP="00A9531E">
            <w:r w:rsidRPr="00A9531E">
              <w:t xml:space="preserve">National Osteoporosis Guideline Group** 2014 </w:t>
            </w:r>
          </w:p>
        </w:tc>
        <w:tc>
          <w:tcPr>
            <w:tcW w:w="6520" w:type="dxa"/>
          </w:tcPr>
          <w:p w14:paraId="013173C1" w14:textId="5E2C3FB4" w:rsidR="00F417F4" w:rsidRPr="00A9531E" w:rsidRDefault="00F417F4" w:rsidP="002B6471">
            <w:r w:rsidRPr="00A9531E">
              <w:t xml:space="preserve">If a patient has a low risk DXA scan, they can be reassured and reassessed in </w:t>
            </w:r>
            <w:r w:rsidR="002B6471">
              <w:t>five</w:t>
            </w:r>
            <w:r w:rsidRPr="00A9531E">
              <w:t xml:space="preserve"> </w:t>
            </w:r>
            <w:proofErr w:type="spellStart"/>
            <w:r w:rsidRPr="00A9531E">
              <w:t>years time</w:t>
            </w:r>
            <w:proofErr w:type="spellEnd"/>
            <w:r w:rsidRPr="00A9531E">
              <w:t xml:space="preserve"> (or less depending on clinical context) with the FRAX algorithm, which will indicate if they have a need for repeat DXA. </w:t>
            </w:r>
          </w:p>
        </w:tc>
      </w:tr>
      <w:tr w:rsidR="00F417F4" w:rsidRPr="00DA7BF2" w14:paraId="6F73D42B" w14:textId="77777777" w:rsidTr="0006464C">
        <w:tc>
          <w:tcPr>
            <w:tcW w:w="2802" w:type="dxa"/>
          </w:tcPr>
          <w:p w14:paraId="640132C3" w14:textId="77777777" w:rsidR="00F417F4" w:rsidRPr="00A9531E" w:rsidRDefault="00F417F4" w:rsidP="00A9531E">
            <w:r w:rsidRPr="00A9531E">
              <w:t>National Clinical Guideline Centre UK 2012</w:t>
            </w:r>
          </w:p>
        </w:tc>
        <w:tc>
          <w:tcPr>
            <w:tcW w:w="6520" w:type="dxa"/>
          </w:tcPr>
          <w:p w14:paraId="1D054D51" w14:textId="00DA47AF" w:rsidR="00F417F4" w:rsidRPr="00DA7BF2" w:rsidRDefault="00F417F4" w:rsidP="002B6471">
            <w:pPr>
              <w:spacing w:before="140" w:after="40"/>
              <w:rPr>
                <w:rStyle w:val="IntenseReference"/>
                <w:rFonts w:cs="Arial"/>
                <w:b w:val="0"/>
                <w:bCs w:val="0"/>
                <w:i w:val="0"/>
                <w:smallCaps w:val="0"/>
                <w:color w:val="auto"/>
                <w:spacing w:val="0"/>
                <w:szCs w:val="22"/>
              </w:rPr>
            </w:pPr>
            <w:r w:rsidRPr="00DA7BF2">
              <w:t xml:space="preserve">Consider recalculating fracture risk (with FRAX or the </w:t>
            </w:r>
            <w:proofErr w:type="spellStart"/>
            <w:r w:rsidRPr="00DA7BF2">
              <w:t>Qfracture</w:t>
            </w:r>
            <w:proofErr w:type="spellEnd"/>
            <w:r w:rsidRPr="00DA7BF2">
              <w:t xml:space="preserve"> algorithm) in the future if the original calculated risk was in the region of the intervention threshold for a proposed treatment and after a minimum of </w:t>
            </w:r>
            <w:r w:rsidR="002B6471">
              <w:t>two</w:t>
            </w:r>
            <w:r w:rsidRPr="00DA7BF2">
              <w:t xml:space="preserve"> years, or when there has been a change in the person’s risk factors.</w:t>
            </w:r>
          </w:p>
        </w:tc>
      </w:tr>
      <w:tr w:rsidR="00F417F4" w:rsidRPr="00DA7BF2" w14:paraId="69427E8A" w14:textId="77777777" w:rsidTr="0006464C">
        <w:tc>
          <w:tcPr>
            <w:tcW w:w="2802" w:type="dxa"/>
          </w:tcPr>
          <w:p w14:paraId="499F7B38" w14:textId="77777777" w:rsidR="00F417F4" w:rsidRPr="00815635" w:rsidRDefault="00F417F4" w:rsidP="00A9531E">
            <w:pPr>
              <w:rPr>
                <w:i/>
              </w:rPr>
            </w:pPr>
            <w:r w:rsidRPr="00815635">
              <w:rPr>
                <w:i/>
              </w:rPr>
              <w:t>Current MBS items</w:t>
            </w:r>
          </w:p>
        </w:tc>
        <w:tc>
          <w:tcPr>
            <w:tcW w:w="6520" w:type="dxa"/>
          </w:tcPr>
          <w:p w14:paraId="0646E817" w14:textId="6DE4062D" w:rsidR="00F417F4" w:rsidRPr="00815635" w:rsidRDefault="00F417F4" w:rsidP="00A9531E">
            <w:pPr>
              <w:rPr>
                <w:i/>
              </w:rPr>
            </w:pPr>
            <w:r w:rsidRPr="00815635">
              <w:rPr>
                <w:i/>
              </w:rPr>
              <w:t>Currently no limit on repeat DXA scans for patients &gt;70</w:t>
            </w:r>
            <w:r w:rsidR="00125F82" w:rsidRPr="00815635">
              <w:rPr>
                <w:i/>
              </w:rPr>
              <w:t>.</w:t>
            </w:r>
            <w:r w:rsidRPr="00815635">
              <w:rPr>
                <w:i/>
              </w:rPr>
              <w:t xml:space="preserve"> </w:t>
            </w:r>
          </w:p>
        </w:tc>
      </w:tr>
    </w:tbl>
    <w:p w14:paraId="36FD5936" w14:textId="77777777" w:rsidR="00F417F4" w:rsidRPr="00A9531E" w:rsidRDefault="00F417F4" w:rsidP="00A9531E">
      <w:pPr>
        <w:rPr>
          <w:sz w:val="18"/>
          <w:szCs w:val="18"/>
        </w:rPr>
      </w:pPr>
      <w:r w:rsidRPr="00A9531E">
        <w:rPr>
          <w:sz w:val="18"/>
          <w:szCs w:val="18"/>
        </w:rPr>
        <w:t>*NHMRC published these guidelines in February 2010. NHMRC approval for the guidelines is granted for a period not exceeding 5 years and as such, has expired by NHMRC standards.</w:t>
      </w:r>
    </w:p>
    <w:p w14:paraId="305447BB" w14:textId="77777777" w:rsidR="00F417F4" w:rsidRPr="00A9531E" w:rsidRDefault="00F417F4" w:rsidP="00A9531E">
      <w:pPr>
        <w:rPr>
          <w:sz w:val="18"/>
          <w:szCs w:val="18"/>
        </w:rPr>
      </w:pPr>
      <w:r w:rsidRPr="00A9531E">
        <w:rPr>
          <w:sz w:val="18"/>
          <w:szCs w:val="18"/>
        </w:rPr>
        <w:t>**The National Osteoporosis Guideline Group published on the behalf of the Bone Research Society British Geriatrics Society, British Orthopaedic Association, British Society of Rheumatology, National Osteoporosis Society and The Royal College of Physicians UK.</w:t>
      </w:r>
    </w:p>
    <w:p w14:paraId="655E5755" w14:textId="1BC27036" w:rsidR="00F417F4" w:rsidRPr="009200D8" w:rsidRDefault="00F417F4" w:rsidP="00913CA4">
      <w:pPr>
        <w:pStyle w:val="Heading3"/>
      </w:pPr>
      <w:r w:rsidRPr="009200D8">
        <w:t>What interval is recommended between DXA scans</w:t>
      </w:r>
      <w:r w:rsidR="0060697D">
        <w:t xml:space="preserve"> </w:t>
      </w:r>
      <w:r w:rsidR="005A2B5C">
        <w:t>for</w:t>
      </w:r>
      <w:r w:rsidRPr="009200D8">
        <w:t xml:space="preserve"> patients </w:t>
      </w:r>
      <w:r w:rsidR="005A2B5C">
        <w:t xml:space="preserve">when </w:t>
      </w:r>
      <w:r w:rsidRPr="009200D8">
        <w:t>receiving therapy</w:t>
      </w:r>
      <w:r w:rsidR="0060697D">
        <w:t>?</w:t>
      </w:r>
    </w:p>
    <w:p w14:paraId="6F49347D" w14:textId="77777777" w:rsidR="00F417F4" w:rsidRDefault="00F417F4" w:rsidP="00913CA4">
      <w:pPr>
        <w:pStyle w:val="Heading4"/>
      </w:pPr>
      <w:r w:rsidRPr="00A9531E">
        <w:t>Studies</w:t>
      </w:r>
    </w:p>
    <w:p w14:paraId="55A652F1" w14:textId="45254ED4" w:rsidR="00D51B26" w:rsidRDefault="00D51B26" w:rsidP="00D51B26">
      <w:r>
        <w:t xml:space="preserve">This question refers to the recommended interval </w:t>
      </w:r>
      <w:r w:rsidRPr="00D51B26">
        <w:t>between serial DXA scans when used to monitor patients receiving therapy</w:t>
      </w:r>
      <w:r>
        <w:t>.</w:t>
      </w:r>
    </w:p>
    <w:p w14:paraId="666F8CBB" w14:textId="77777777" w:rsidR="00F417F4" w:rsidRPr="00A9531E" w:rsidRDefault="00F417F4" w:rsidP="00A9531E">
      <w:r w:rsidRPr="00A9531E">
        <w:t>To address this clinical question, the evidence must firstly answer whether changes in BMD correlate with fracture reduction in this population and from there, when serial scans are recommended to improve upon management of this population.</w:t>
      </w:r>
    </w:p>
    <w:p w14:paraId="6076BC5F" w14:textId="77777777" w:rsidR="00F417F4" w:rsidRPr="009200D8" w:rsidRDefault="00F417F4" w:rsidP="00A9531E">
      <w:r w:rsidRPr="00A9531E">
        <w:lastRenderedPageBreak/>
        <w:t xml:space="preserve">Two meta-analyses and 1 additional clinical trial was identified that addressed whether BMD changes correlated with vertebral fracture reduction in patients receiving therapy. In 2002, Cummings et al.9 published a meta-analysis of 12 trials published between 1966 and 2000 that correlated improvement in spine BMD with risk reduction of vertebral fracture. They analysed all blinded RCTs assessing anti-resorptive drugs, spine BMD and vertebral fracture in postmenopausal women (n= 21,404). They found that a 1% improvement in spine BMD was associated with a 0.03 decrease in the relative risk of spine fractures (95%CI= 0.02-0.05; p=0.002) but they also noted that treatment with these agents reduces risk of vertebral fracture by more than would be predicted by BMD improvement. This correlation is supported by the meta-analysis published by </w:t>
      </w:r>
      <w:proofErr w:type="spellStart"/>
      <w:r w:rsidRPr="00A9531E">
        <w:t>Wasnich</w:t>
      </w:r>
      <w:proofErr w:type="spellEnd"/>
      <w:r w:rsidRPr="00A9531E">
        <w:t xml:space="preserve"> and Miller10</w:t>
      </w:r>
      <w:r w:rsidR="00790CE0" w:rsidRPr="00A9531E">
        <w:t xml:space="preserve"> </w:t>
      </w:r>
      <w:r w:rsidRPr="00A9531E">
        <w:t>in 2000. They also examined 12 RCTs (7 overlapped with Cummings et al.9) and found that an 8% increase in spine BMD would correspond to a 0.46 decrease in the relative risk of vertebral fractures or a 54% risk reduction (95%CI= 30%-71%). They also reported that a 5% improvement in hip BMD would correlate to a 0.50 decrease in relative risk of fracture (95%CI=0.80-0.62). Like Cummings et al.9 they observed a protective effect from anti-</w:t>
      </w:r>
      <w:proofErr w:type="spellStart"/>
      <w:r w:rsidRPr="00A9531E">
        <w:t>resorptives</w:t>
      </w:r>
      <w:proofErr w:type="spellEnd"/>
      <w:r w:rsidRPr="00A9531E">
        <w:t xml:space="preserve"> than could not be explained by BMD gain but concluded that “it is not necessary that changes in BMD during treatment explain all of the antifracture effect; as long as antifracture efficacy is roughly proportional to changes in BMD, such changes will be of clinical value.”10 Hochberg et al.11 (1999) performed an RCT not included in these meta-reviews that focused on the correlation between total hip BMD</w:t>
      </w:r>
      <w:r w:rsidRPr="009200D8">
        <w:rPr>
          <w:shd w:val="clear" w:color="auto" w:fill="FFFFFF"/>
        </w:rPr>
        <w:t xml:space="preserve"> improvement, spine BMD improvement and vertebral fractures. They studied 2,984 women aged 55-81 on alendronate and assessed their BMD at baseline, 12 and 24 months. At 12 months, they found that 3.2% of women who had a ≥3% increase in total hip BMD experienced a vertebral fracture, compared to 6.3% of those with &lt;3% increase (OR= 0.45, 95%CI=0.27-0.72). The same pattern was reported for spine BMD at 12 months and for both sites using change in BMD at 24 months. Interestingly, they found that women with the largest hip BMD improvement in the first 12 months had the lower incidence of vertebral fractures in the whole follow-up period.</w:t>
      </w:r>
    </w:p>
    <w:p w14:paraId="46256B91" w14:textId="77777777" w:rsidR="00F417F4" w:rsidRPr="00A9531E" w:rsidRDefault="00F417F4" w:rsidP="00A9531E">
      <w:r w:rsidRPr="00A9531E">
        <w:t xml:space="preserve">One meta-analysis and one cluster-randomised study were identified that correlated improvements in spine or hip BMD with improved rate of nonvertebral fractures. Hochberg et al. (2002)12 performed a meta-analysis on 18 trials, including a total of 26,494 women during which 2,415 nonvertebral fractures were experienced. They found that at one year, a 6% reduction in spine BMD corresponded to a 39% relative risk reduction (p=0.02) of nonvertebral fracture and that a 3% reduction of hip BMD corresponded to a 46% risk reduction (p=0.006) of nonvertebral fracture. These results were supported by a more recent study published by </w:t>
      </w:r>
      <w:proofErr w:type="spellStart"/>
      <w:r w:rsidRPr="00A9531E">
        <w:t>Eastell</w:t>
      </w:r>
      <w:proofErr w:type="spellEnd"/>
      <w:r w:rsidRPr="00A9531E">
        <w:t xml:space="preserve"> et al. in 201113.</w:t>
      </w:r>
    </w:p>
    <w:p w14:paraId="249C7876" w14:textId="09840408" w:rsidR="00F417F4" w:rsidRPr="00A9531E" w:rsidRDefault="00F417F4" w:rsidP="00A9531E">
      <w:r w:rsidRPr="00A9531E">
        <w:t xml:space="preserve">One RCT was found that contradicted the general consensus formed by the above meta-analyses. Sarkar et al.14 assessed 7705 postmenopausal women on </w:t>
      </w:r>
      <w:proofErr w:type="spellStart"/>
      <w:r w:rsidRPr="00A9531E">
        <w:t>raloxefene</w:t>
      </w:r>
      <w:proofErr w:type="spellEnd"/>
      <w:r w:rsidRPr="00A9531E">
        <w:t xml:space="preserve"> and measured both hip and spine BMD over 3 years. While they agreed that for any given percentage change in spine or hip BMD there was a statistically significantly lower vertebral fracture rate, they performed logistical regression on their data and found that percentage change in hip BMD only accounted for 4</w:t>
      </w:r>
      <w:r w:rsidR="002B6471">
        <w:t xml:space="preserve"> per cent</w:t>
      </w:r>
      <w:r w:rsidRPr="00A9531E">
        <w:t xml:space="preserve"> of the observed reduction in vertebral risk. While they acknowledged that accuracy errors in BMD measurements may have contributed to this finding, they concluded that changes in BMD are </w:t>
      </w:r>
      <w:r w:rsidRPr="00A9531E">
        <w:lastRenderedPageBreak/>
        <w:t>correlated to reduced fracture risk but “poor surrogates”14 for predicting the actual reduction in fracture risk.</w:t>
      </w:r>
    </w:p>
    <w:p w14:paraId="21C61817" w14:textId="79A6A4AB" w:rsidR="00DF427A" w:rsidRDefault="00F417F4" w:rsidP="00A9531E">
      <w:r w:rsidRPr="00A9531E">
        <w:t>No studies were found addressing the optimum interval between serial scans in an osteoporotic patient receiving treatment.</w:t>
      </w:r>
      <w:r w:rsidR="00DF427A">
        <w:br w:type="page"/>
      </w:r>
    </w:p>
    <w:p w14:paraId="4797004C" w14:textId="3C88330C" w:rsidR="00F417F4" w:rsidRPr="00A9531E" w:rsidRDefault="00305D5C" w:rsidP="00A9531E">
      <w:pPr>
        <w:pStyle w:val="Caption"/>
      </w:pPr>
      <w:r w:rsidRPr="00A9531E">
        <w:lastRenderedPageBreak/>
        <w:t xml:space="preserve">Table </w:t>
      </w:r>
      <w:r w:rsidR="00125F82" w:rsidRPr="00A9531E">
        <w:t>C</w:t>
      </w:r>
      <w:r w:rsidRPr="00A9531E">
        <w:t xml:space="preserve">3: </w:t>
      </w:r>
      <w:r w:rsidR="00F417F4" w:rsidRPr="00A9531E">
        <w:t>Clinical Practice Guidelines</w:t>
      </w:r>
      <w:r w:rsidRPr="00A9531E">
        <w:t xml:space="preserve"> -monitoring</w:t>
      </w:r>
    </w:p>
    <w:tbl>
      <w:tblPr>
        <w:tblStyle w:val="TableGrid"/>
        <w:tblW w:w="9322" w:type="dxa"/>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C3 provides recommended monitoring regimens of patients after DXA scans, according to the clinical practice guidelines of various organisations."/>
      </w:tblPr>
      <w:tblGrid>
        <w:gridCol w:w="2802"/>
        <w:gridCol w:w="6520"/>
      </w:tblGrid>
      <w:tr w:rsidR="00F417F4" w:rsidRPr="00A9531E" w14:paraId="591D1608" w14:textId="77777777" w:rsidTr="00D204F3">
        <w:trPr>
          <w:tblHeader/>
        </w:trPr>
        <w:tc>
          <w:tcPr>
            <w:tcW w:w="2802" w:type="dxa"/>
          </w:tcPr>
          <w:p w14:paraId="06F34A91" w14:textId="77777777" w:rsidR="00F417F4" w:rsidRPr="00A9531E" w:rsidRDefault="00F417F4" w:rsidP="00A9531E">
            <w:pPr>
              <w:rPr>
                <w:b/>
              </w:rPr>
            </w:pPr>
            <w:r w:rsidRPr="00A9531E">
              <w:rPr>
                <w:b/>
              </w:rPr>
              <w:t>Group, publishing date</w:t>
            </w:r>
          </w:p>
        </w:tc>
        <w:tc>
          <w:tcPr>
            <w:tcW w:w="6520" w:type="dxa"/>
          </w:tcPr>
          <w:p w14:paraId="3E803FD1" w14:textId="77777777" w:rsidR="00F417F4" w:rsidRPr="00A9531E" w:rsidRDefault="00F417F4" w:rsidP="00A9531E">
            <w:pPr>
              <w:rPr>
                <w:b/>
              </w:rPr>
            </w:pPr>
            <w:r w:rsidRPr="00A9531E">
              <w:rPr>
                <w:b/>
              </w:rPr>
              <w:t>Recommendations</w:t>
            </w:r>
          </w:p>
        </w:tc>
      </w:tr>
      <w:tr w:rsidR="00F417F4" w:rsidRPr="00DA7BF2" w14:paraId="62BE0918" w14:textId="77777777" w:rsidTr="00A9531E">
        <w:tc>
          <w:tcPr>
            <w:tcW w:w="2802" w:type="dxa"/>
          </w:tcPr>
          <w:p w14:paraId="4BE31A54" w14:textId="77777777" w:rsidR="00F417F4" w:rsidRPr="00A9531E" w:rsidRDefault="00F417F4" w:rsidP="00A9531E">
            <w:r w:rsidRPr="00A9531E">
              <w:t>National Health and Medical Research Council (NHMRC) 2010*</w:t>
            </w:r>
          </w:p>
        </w:tc>
        <w:tc>
          <w:tcPr>
            <w:tcW w:w="6520" w:type="dxa"/>
          </w:tcPr>
          <w:p w14:paraId="6275F828" w14:textId="77777777" w:rsidR="00F417F4" w:rsidRPr="00A9531E" w:rsidRDefault="00F417F4" w:rsidP="00A9531E">
            <w:r w:rsidRPr="00A9531E">
              <w:t>In patients with confirmed OP, repeat BMD is generally not required, however it may be conducted before initiating a change in, or cessation of, anti-osteoporotic therapy</w:t>
            </w:r>
          </w:p>
        </w:tc>
      </w:tr>
      <w:tr w:rsidR="00F417F4" w:rsidRPr="00DA7BF2" w14:paraId="7A59885E" w14:textId="77777777" w:rsidTr="00A9531E">
        <w:tc>
          <w:tcPr>
            <w:tcW w:w="2802" w:type="dxa"/>
          </w:tcPr>
          <w:p w14:paraId="2F6FD382" w14:textId="77777777" w:rsidR="00F417F4" w:rsidRPr="00A9531E" w:rsidRDefault="00F417F4" w:rsidP="00A9531E">
            <w:r w:rsidRPr="00A9531E">
              <w:t>National Osteoporosis Foundation (NOF) 2014</w:t>
            </w:r>
          </w:p>
        </w:tc>
        <w:tc>
          <w:tcPr>
            <w:tcW w:w="6520" w:type="dxa"/>
          </w:tcPr>
          <w:p w14:paraId="7011EA61" w14:textId="77777777" w:rsidR="00F417F4" w:rsidRPr="00A9531E" w:rsidRDefault="00F417F4" w:rsidP="00A9531E">
            <w:r w:rsidRPr="00A9531E">
              <w:t xml:space="preserve">Repeat BMD assessments 1-2 years after initiating therapy and then every two years thereafter, with more frequent testing in certain clinical situations. The interval between repeat BMD screenings may be longer for patients without major risk factors and who have an initial T-score in the normal or upper low bone mass range. </w:t>
            </w:r>
          </w:p>
        </w:tc>
      </w:tr>
      <w:tr w:rsidR="00F417F4" w:rsidRPr="00DA7BF2" w14:paraId="3E571825" w14:textId="77777777" w:rsidTr="00A9531E">
        <w:tc>
          <w:tcPr>
            <w:tcW w:w="2802" w:type="dxa"/>
          </w:tcPr>
          <w:p w14:paraId="57D1652C" w14:textId="77777777" w:rsidR="00F417F4" w:rsidRPr="00A9531E" w:rsidRDefault="00F417F4" w:rsidP="00A9531E">
            <w:r w:rsidRPr="00A9531E">
              <w:t>International Society for Clinical Densitometry 2015</w:t>
            </w:r>
          </w:p>
        </w:tc>
        <w:tc>
          <w:tcPr>
            <w:tcW w:w="6520" w:type="dxa"/>
          </w:tcPr>
          <w:p w14:paraId="17233FE6" w14:textId="77777777" w:rsidR="00F417F4" w:rsidRPr="00A9531E" w:rsidRDefault="00F417F4" w:rsidP="00A9531E">
            <w:r w:rsidRPr="00A9531E">
              <w:t>Follow-up DXA should be done when the expected change in BMD equals or exceeds the least significant change (the</w:t>
            </w:r>
            <w:r w:rsidRPr="00A9531E">
              <w:rPr>
                <w:rFonts w:eastAsiaTheme="majorEastAsia"/>
              </w:rPr>
              <w:t> </w:t>
            </w:r>
            <w:r w:rsidRPr="00A9531E">
              <w:t>least</w:t>
            </w:r>
            <w:r w:rsidRPr="00A9531E">
              <w:rPr>
                <w:rFonts w:eastAsiaTheme="majorEastAsia"/>
              </w:rPr>
              <w:t> </w:t>
            </w:r>
            <w:r w:rsidRPr="00A9531E">
              <w:t>amount of BMD</w:t>
            </w:r>
            <w:r w:rsidRPr="00A9531E">
              <w:rPr>
                <w:rFonts w:eastAsiaTheme="majorEastAsia"/>
              </w:rPr>
              <w:t> </w:t>
            </w:r>
            <w:r w:rsidRPr="00A9531E">
              <w:t>change that can be considered statistically</w:t>
            </w:r>
            <w:r w:rsidRPr="00A9531E">
              <w:rPr>
                <w:rFonts w:eastAsiaTheme="majorEastAsia"/>
              </w:rPr>
              <w:t> </w:t>
            </w:r>
            <w:r w:rsidRPr="00A9531E">
              <w:t>significant), which is typically one to two years after initiation or change of therapy, with longer intervals once therapeutic effect is established. In conditions associated with rapid bone loss, such as glucocorticoid therapy, testing more frequently is appropriate</w:t>
            </w:r>
          </w:p>
        </w:tc>
      </w:tr>
      <w:tr w:rsidR="00F417F4" w:rsidRPr="00DA7BF2" w14:paraId="3EAD0D21" w14:textId="77777777" w:rsidTr="00A9531E">
        <w:tc>
          <w:tcPr>
            <w:tcW w:w="2802" w:type="dxa"/>
          </w:tcPr>
          <w:p w14:paraId="2E46291F" w14:textId="77777777" w:rsidR="00F417F4" w:rsidRPr="00A9531E" w:rsidRDefault="00F417F4" w:rsidP="00A9531E">
            <w:r w:rsidRPr="00A9531E">
              <w:t>Canadian Medical Association 2010</w:t>
            </w:r>
          </w:p>
        </w:tc>
        <w:tc>
          <w:tcPr>
            <w:tcW w:w="6520" w:type="dxa"/>
          </w:tcPr>
          <w:p w14:paraId="54A45065" w14:textId="77777777" w:rsidR="00F417F4" w:rsidRPr="00A9531E" w:rsidRDefault="00F417F4" w:rsidP="00A9531E">
            <w:r w:rsidRPr="00A9531E">
              <w:t>For patients who are undergoing treatment, repeat DXA should initially be performed after one to three years. The testing interval can be increased once therapy is shown to be effective.</w:t>
            </w:r>
          </w:p>
        </w:tc>
      </w:tr>
      <w:tr w:rsidR="00F417F4" w:rsidRPr="00DA7BF2" w14:paraId="35ACFCAF" w14:textId="77777777" w:rsidTr="00DF427A">
        <w:tc>
          <w:tcPr>
            <w:tcW w:w="2802" w:type="dxa"/>
            <w:tcBorders>
              <w:bottom w:val="single" w:sz="4" w:space="0" w:color="B56012"/>
            </w:tcBorders>
          </w:tcPr>
          <w:p w14:paraId="0FDD8E0C" w14:textId="77777777" w:rsidR="00F417F4" w:rsidRPr="00A9531E" w:rsidRDefault="00F417F4" w:rsidP="00A9531E">
            <w:r w:rsidRPr="00A9531E">
              <w:t>National Osteoporosis Guideline Group 2014**</w:t>
            </w:r>
          </w:p>
        </w:tc>
        <w:tc>
          <w:tcPr>
            <w:tcW w:w="6520" w:type="dxa"/>
            <w:tcBorders>
              <w:bottom w:val="single" w:sz="4" w:space="0" w:color="B56012"/>
            </w:tcBorders>
          </w:tcPr>
          <w:p w14:paraId="419F1AC8" w14:textId="77777777" w:rsidR="00F417F4" w:rsidRPr="00A9531E" w:rsidRDefault="00F417F4" w:rsidP="00A9531E">
            <w:r w:rsidRPr="00A9531E">
              <w:t>In patients under 75 that are on bisphosphonates who have not sustained a fracture, perform a repeat FRAX score and BMD after 3-5** years of treatment and revaluate their need for therapy.</w:t>
            </w:r>
          </w:p>
          <w:p w14:paraId="0FD33BE2" w14:textId="77777777" w:rsidR="00F417F4" w:rsidRPr="00A9531E" w:rsidRDefault="00F417F4" w:rsidP="00A9531E">
            <w:r w:rsidRPr="00A9531E">
              <w:t>**3 for zoledronic acid, 5 for other bisphosphonates</w:t>
            </w:r>
          </w:p>
        </w:tc>
      </w:tr>
      <w:tr w:rsidR="00F417F4" w:rsidRPr="00A9531E" w14:paraId="497D93F2" w14:textId="77777777" w:rsidTr="00A9531E">
        <w:tc>
          <w:tcPr>
            <w:tcW w:w="2802" w:type="dxa"/>
          </w:tcPr>
          <w:p w14:paraId="4866862A" w14:textId="77777777" w:rsidR="00F417F4" w:rsidRPr="00A9531E" w:rsidRDefault="00F417F4" w:rsidP="00A9531E">
            <w:pPr>
              <w:rPr>
                <w:i/>
              </w:rPr>
            </w:pPr>
            <w:r w:rsidRPr="00A9531E">
              <w:rPr>
                <w:i/>
              </w:rPr>
              <w:t>Current MBS items</w:t>
            </w:r>
          </w:p>
        </w:tc>
        <w:tc>
          <w:tcPr>
            <w:tcW w:w="6520" w:type="dxa"/>
          </w:tcPr>
          <w:p w14:paraId="2035C2C4" w14:textId="77777777" w:rsidR="00F417F4" w:rsidRPr="00A9531E" w:rsidRDefault="00F417F4" w:rsidP="00A9531E">
            <w:pPr>
              <w:rPr>
                <w:i/>
              </w:rPr>
            </w:pPr>
            <w:r w:rsidRPr="00A9531E">
              <w:rPr>
                <w:i/>
              </w:rPr>
              <w:t>Current interval limit for monitoring establishe</w:t>
            </w:r>
            <w:r w:rsidR="00790CE0" w:rsidRPr="00A9531E">
              <w:rPr>
                <w:i/>
              </w:rPr>
              <w:t>d osteoporosis (T score ≤-2.5)</w:t>
            </w:r>
            <w:r w:rsidRPr="00A9531E">
              <w:rPr>
                <w:i/>
              </w:rPr>
              <w:t xml:space="preserve"> is 12 months</w:t>
            </w:r>
          </w:p>
        </w:tc>
      </w:tr>
    </w:tbl>
    <w:p w14:paraId="71A19456" w14:textId="77777777" w:rsidR="00F417F4" w:rsidRPr="00961CFC" w:rsidRDefault="00F417F4" w:rsidP="00A9531E">
      <w:pPr>
        <w:rPr>
          <w:sz w:val="18"/>
          <w:szCs w:val="18"/>
        </w:rPr>
      </w:pPr>
      <w:r w:rsidRPr="00961CFC">
        <w:rPr>
          <w:sz w:val="18"/>
          <w:szCs w:val="18"/>
        </w:rPr>
        <w:t>*NHMRC published these guidelines in February 2010. NHMRC approval for the guidelines is granted for a period not exceeding 5 years and as such, has expired by NHMRC standards.</w:t>
      </w:r>
    </w:p>
    <w:p w14:paraId="5EC496E2" w14:textId="77777777" w:rsidR="00F417F4" w:rsidRPr="00961CFC" w:rsidRDefault="00F417F4" w:rsidP="00A9531E">
      <w:pPr>
        <w:rPr>
          <w:sz w:val="18"/>
          <w:szCs w:val="18"/>
        </w:rPr>
      </w:pPr>
      <w:r w:rsidRPr="00961CFC">
        <w:rPr>
          <w:sz w:val="18"/>
          <w:szCs w:val="18"/>
        </w:rPr>
        <w:t>**The National Osteoporosis Guideline Group published on the behalf of the Bone Research Society British Geriatrics Society, British Orthopaedic Association, British Society of Rheumatology, National Osteoporosis Society and The Royal College of Physicians UK.</w:t>
      </w:r>
    </w:p>
    <w:p w14:paraId="36DD4ED1" w14:textId="77777777" w:rsidR="00F417F4" w:rsidRPr="009200D8" w:rsidRDefault="00F417F4" w:rsidP="00913CA4">
      <w:pPr>
        <w:pStyle w:val="Heading3"/>
      </w:pPr>
      <w:r w:rsidRPr="009200D8">
        <w:lastRenderedPageBreak/>
        <w:t>Effectiveness of FRAX scoring</w:t>
      </w:r>
    </w:p>
    <w:p w14:paraId="63258549" w14:textId="77777777" w:rsidR="00F417F4" w:rsidRPr="009200D8" w:rsidRDefault="00F417F4" w:rsidP="00913CA4">
      <w:pPr>
        <w:pStyle w:val="Heading4"/>
      </w:pPr>
      <w:r w:rsidRPr="009200D8">
        <w:t>Studies</w:t>
      </w:r>
    </w:p>
    <w:p w14:paraId="317727CC" w14:textId="77777777" w:rsidR="00F417F4" w:rsidRPr="009200D8" w:rsidRDefault="00F417F4" w:rsidP="003F788A">
      <w:pPr>
        <w:spacing w:before="120" w:afterLines="60" w:after="144"/>
        <w:rPr>
          <w:rFonts w:cs="Arial"/>
          <w:szCs w:val="22"/>
        </w:rPr>
      </w:pPr>
      <w:r w:rsidRPr="009200D8">
        <w:rPr>
          <w:rFonts w:cs="Arial"/>
          <w:szCs w:val="22"/>
        </w:rPr>
        <w:t xml:space="preserve">Studies were considered relevant to the research question if they addressed the ability of FRAX to calculate fracture risk or if they compared FRAX to BMD in their ability to calculate fracture risk. For the purpose of this review, only studies relevant to FRAX’s application on </w:t>
      </w:r>
      <w:r w:rsidRPr="009200D8">
        <w:rPr>
          <w:rFonts w:cs="Arial"/>
          <w:szCs w:val="22"/>
          <w:u w:val="single"/>
        </w:rPr>
        <w:t>untreated</w:t>
      </w:r>
      <w:r w:rsidRPr="009200D8">
        <w:rPr>
          <w:rFonts w:cs="Arial"/>
          <w:szCs w:val="22"/>
        </w:rPr>
        <w:t xml:space="preserve"> patients were considered.</w:t>
      </w:r>
    </w:p>
    <w:p w14:paraId="433E94A0" w14:textId="77777777" w:rsidR="00F417F4" w:rsidRPr="009200D8" w:rsidRDefault="00F417F4" w:rsidP="003F788A">
      <w:pPr>
        <w:spacing w:before="120" w:afterLines="60" w:after="144"/>
        <w:rPr>
          <w:rFonts w:cs="Arial"/>
          <w:szCs w:val="22"/>
        </w:rPr>
      </w:pPr>
      <w:r w:rsidRPr="009200D8">
        <w:rPr>
          <w:rFonts w:cs="Arial"/>
          <w:szCs w:val="22"/>
        </w:rPr>
        <w:t xml:space="preserve">In 2008, </w:t>
      </w:r>
      <w:proofErr w:type="spellStart"/>
      <w:r w:rsidRPr="009200D8">
        <w:rPr>
          <w:rFonts w:cs="Arial"/>
          <w:szCs w:val="22"/>
        </w:rPr>
        <w:t>Kanis</w:t>
      </w:r>
      <w:proofErr w:type="spellEnd"/>
      <w:r w:rsidRPr="009200D8">
        <w:rPr>
          <w:rFonts w:cs="Arial"/>
          <w:szCs w:val="22"/>
        </w:rPr>
        <w:t xml:space="preserve"> et al.</w:t>
      </w:r>
      <w:r w:rsidRPr="009200D8">
        <w:rPr>
          <w:rFonts w:cs="Arial"/>
          <w:szCs w:val="22"/>
          <w:vertAlign w:val="superscript"/>
        </w:rPr>
        <w:t>15</w:t>
      </w:r>
      <w:r w:rsidRPr="009200D8">
        <w:rPr>
          <w:rFonts w:cs="Arial"/>
          <w:szCs w:val="22"/>
        </w:rPr>
        <w:t xml:space="preserve"> developed FRAX based on the use of clinical risk factors with or without BMD tests. They ran baseline and follow-up data from nine prospective population-based cohort studies through four models; two assessed the probability of hip fracture (with and without BMD) and two assessed the probability of other major osteoporotic fractures (with and without BMD). Fracture and death continuous hazard functions were calculated using a Poisson regression. They found that the presence of more than one risk factor increased fracture probability in an incremental manner and thus could be used to produce a fracture risk. They also found that the addition of BMD to the FRAX calculation did significantly affect the fracture risk calculated e.g. in a women aged 65 with BMI of 20, the 10-year hip fracture probability without BMD ranged from 2.3-27.9% (no risk factors to four risk factors) to 2.8-19.7% (no risk factors to four risk factors) with BMD. This suggested that while FRAX produces a reasonable fracture risk result, FRAX with BMD may produce a more specific fracture risk result.</w:t>
      </w:r>
    </w:p>
    <w:p w14:paraId="52D89DF5" w14:textId="77777777" w:rsidR="00F417F4" w:rsidRPr="009200D8" w:rsidRDefault="00F417F4" w:rsidP="003F788A">
      <w:pPr>
        <w:spacing w:before="120" w:afterLines="60" w:after="144"/>
        <w:rPr>
          <w:rFonts w:cs="Arial"/>
          <w:szCs w:val="22"/>
        </w:rPr>
      </w:pPr>
      <w:r w:rsidRPr="009200D8">
        <w:rPr>
          <w:rFonts w:cs="Arial"/>
          <w:szCs w:val="22"/>
        </w:rPr>
        <w:t>Johansson et al.</w:t>
      </w:r>
      <w:r w:rsidRPr="009200D8">
        <w:rPr>
          <w:rFonts w:cs="Arial"/>
          <w:szCs w:val="22"/>
          <w:vertAlign w:val="superscript"/>
        </w:rPr>
        <w:t>16</w:t>
      </w:r>
      <w:r w:rsidRPr="009200D8">
        <w:rPr>
          <w:rFonts w:cs="Arial"/>
          <w:szCs w:val="22"/>
        </w:rPr>
        <w:t xml:space="preserve"> (2009) performed a study to validate the use of FRAX (clinical risk factors or CRFs) in 10 different prospective population based cohorts, with and without information on hip BMD. They defined sensitivity as “</w:t>
      </w:r>
      <w:r w:rsidRPr="009200D8">
        <w:rPr>
          <w:rFonts w:cs="Arial"/>
          <w:szCs w:val="22"/>
          <w:shd w:val="clear" w:color="auto" w:fill="FFFFFF"/>
        </w:rPr>
        <w:t>the proportion of individuals who would sustain a hip fracture within 10 years that were selected for treatment” and PPV as the “probability that a woman selected for treatment would fracture a hip within 10 years”. Highest sensitivity was found with BMD alone (55.9%), as compared to CRFs alone (28.7%) or CRFs and BMD combined (55.8%). The highest PPV was found with combined CRFs and BMD (8.3%) as compared to CRFs alone (5.3%) or BMD alone (5.8%). In terms of the NNT to prevent 1 hip fracture, combined CRFs and BMD was only 33, with 54 and 47 needed for CRFs alone and BMD alone respectively. They concluded that the use of CRFs and BMD together results in optimal case finding and that the use of FRAX without BMD is of some value, particularly in locations where facilities for BMD testing are limited.</w:t>
      </w:r>
    </w:p>
    <w:p w14:paraId="5B30A60E" w14:textId="77777777" w:rsidR="00F417F4" w:rsidRPr="009200D8" w:rsidRDefault="00F417F4" w:rsidP="003F788A">
      <w:pPr>
        <w:spacing w:before="120" w:afterLines="60" w:after="144"/>
        <w:rPr>
          <w:rFonts w:cs="Arial"/>
          <w:szCs w:val="22"/>
        </w:rPr>
      </w:pPr>
      <w:r w:rsidRPr="009200D8">
        <w:rPr>
          <w:rFonts w:cs="Arial"/>
          <w:szCs w:val="22"/>
        </w:rPr>
        <w:t>In 2011, Tamaki et al.</w:t>
      </w:r>
      <w:r w:rsidRPr="009200D8">
        <w:rPr>
          <w:rFonts w:cs="Arial"/>
          <w:szCs w:val="22"/>
          <w:vertAlign w:val="superscript"/>
        </w:rPr>
        <w:t>17</w:t>
      </w:r>
      <w:r w:rsidRPr="009200D8">
        <w:rPr>
          <w:rFonts w:cs="Arial"/>
          <w:szCs w:val="22"/>
        </w:rPr>
        <w:t xml:space="preserve"> assessed the Japanese version of FRAX in 815 Japanese women aged 40-74. They calculated FRAX scores with and without BMD and then followed the patients for 10 years for major osteoporotic or hip fracture. They found that the AUC of FRAX without BMD for predicting major osteoporotic and hip fractures was similar to those with BMD (0.69 vs. 0.67; p=0.121; 0.88 vs. 0.86; p=0.445) and concluded the tool was efficacious in their population of interest both with and without BMD. Similar findings were reported by Cheung et al.</w:t>
      </w:r>
      <w:r w:rsidRPr="009200D8">
        <w:rPr>
          <w:rFonts w:cs="Arial"/>
          <w:szCs w:val="22"/>
          <w:vertAlign w:val="superscript"/>
        </w:rPr>
        <w:t>18</w:t>
      </w:r>
      <w:r w:rsidR="00790CE0" w:rsidRPr="009200D8">
        <w:rPr>
          <w:rFonts w:cs="Arial"/>
          <w:szCs w:val="22"/>
          <w:vertAlign w:val="superscript"/>
        </w:rPr>
        <w:t xml:space="preserve"> </w:t>
      </w:r>
      <w:r w:rsidRPr="009200D8">
        <w:rPr>
          <w:rFonts w:cs="Arial"/>
          <w:szCs w:val="22"/>
        </w:rPr>
        <w:t xml:space="preserve">in 2012. They studied 2,299 postmenopausal Chinese women who had clinical risk factor assessment and BMD at baseline and then followed them up for an average of 4.5 years for outcomes of major osteoporotic fractures. </w:t>
      </w:r>
      <w:r w:rsidRPr="009200D8">
        <w:rPr>
          <w:rFonts w:cs="Arial"/>
          <w:szCs w:val="22"/>
        </w:rPr>
        <w:lastRenderedPageBreak/>
        <w:t>Different models of predicting risk were compared. They found the AUC for FRAX with T score (0.729; 95%CI=0.68-0.78) was similar to the AUC for FRAX without T score (0.706; 95%CI=0.66-0.76).</w:t>
      </w:r>
    </w:p>
    <w:p w14:paraId="745F500F" w14:textId="77777777" w:rsidR="00F417F4" w:rsidRPr="009200D8" w:rsidRDefault="00F417F4" w:rsidP="003F788A">
      <w:pPr>
        <w:spacing w:before="120" w:afterLines="60" w:after="144"/>
        <w:rPr>
          <w:rFonts w:cs="Arial"/>
          <w:szCs w:val="22"/>
        </w:rPr>
      </w:pPr>
      <w:r w:rsidRPr="009200D8">
        <w:rPr>
          <w:rFonts w:cs="Arial"/>
          <w:szCs w:val="22"/>
        </w:rPr>
        <w:t>Leslie et al.</w:t>
      </w:r>
      <w:r w:rsidRPr="009200D8">
        <w:rPr>
          <w:rFonts w:cs="Arial"/>
          <w:szCs w:val="22"/>
          <w:vertAlign w:val="superscript"/>
        </w:rPr>
        <w:t>19</w:t>
      </w:r>
      <w:r w:rsidRPr="009200D8">
        <w:rPr>
          <w:rFonts w:cs="Arial"/>
          <w:szCs w:val="22"/>
        </w:rPr>
        <w:t xml:space="preserve"> produced a retrospective cohort study of 36,730 women and 2,873 men aged over 50 years from Manitoba (Canada), to compare the fracture risk calculations produced for these patients by FRAX alone and by BMD T-score alone. They found that 85% (Canadian FRAX tool) and 83% (US FRAX tool) of the high risk patients predicted by FRAX had an osteoporotic BMD at one or more sites. They also found that &lt;1% of individuals with high risk FRAX results had normal T-scores at BMD measurement sites. These findings were very similar across strata defined by age and sex. The study demonstrated “reassuring”</w:t>
      </w:r>
      <w:r w:rsidRPr="009200D8">
        <w:rPr>
          <w:rFonts w:cs="Arial"/>
          <w:szCs w:val="22"/>
          <w:vertAlign w:val="superscript"/>
        </w:rPr>
        <w:t>19</w:t>
      </w:r>
      <w:r w:rsidRPr="009200D8">
        <w:rPr>
          <w:rFonts w:cs="Arial"/>
          <w:szCs w:val="22"/>
        </w:rPr>
        <w:t xml:space="preserve"> concordance between the fracture risks of patients as predicted by FRAX and BMD but did not relate these results to prediction of actual fracture outcomes.</w:t>
      </w:r>
    </w:p>
    <w:p w14:paraId="078F3BA6" w14:textId="501B2601" w:rsidR="00F417F4" w:rsidRPr="007755DE" w:rsidRDefault="00EA1AA2" w:rsidP="007755DE">
      <w:pPr>
        <w:pStyle w:val="Caption"/>
      </w:pPr>
      <w:r w:rsidRPr="00DF427A">
        <w:t xml:space="preserve">Table </w:t>
      </w:r>
      <w:r w:rsidR="00125F82" w:rsidRPr="00DF427A">
        <w:t>C</w:t>
      </w:r>
      <w:r w:rsidRPr="00DF427A">
        <w:t>4: Clinical Practice Guidelines – FRAX scoring</w:t>
      </w:r>
    </w:p>
    <w:tbl>
      <w:tblPr>
        <w:tblStyle w:val="TableGrid"/>
        <w:tblW w:w="0" w:type="auto"/>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able C4 provides recommendations for FRAX scoring, according to the clinical practice guidelines of various organisations."/>
      </w:tblPr>
      <w:tblGrid>
        <w:gridCol w:w="2601"/>
        <w:gridCol w:w="6425"/>
      </w:tblGrid>
      <w:tr w:rsidR="00F417F4" w:rsidRPr="00961CFC" w14:paraId="7C419BB8" w14:textId="77777777" w:rsidTr="00D204F3">
        <w:trPr>
          <w:tblHeader/>
        </w:trPr>
        <w:tc>
          <w:tcPr>
            <w:tcW w:w="2660" w:type="dxa"/>
          </w:tcPr>
          <w:p w14:paraId="1CF00DDF" w14:textId="6A018D74" w:rsidR="00F417F4" w:rsidRPr="00913CA4" w:rsidRDefault="00F417F4" w:rsidP="00913CA4">
            <w:pPr>
              <w:rPr>
                <w:b/>
              </w:rPr>
            </w:pPr>
            <w:r w:rsidRPr="00913CA4">
              <w:rPr>
                <w:b/>
              </w:rPr>
              <w:t>Group, publishing date</w:t>
            </w:r>
          </w:p>
        </w:tc>
        <w:tc>
          <w:tcPr>
            <w:tcW w:w="6627" w:type="dxa"/>
          </w:tcPr>
          <w:p w14:paraId="4050F130" w14:textId="77777777" w:rsidR="00F417F4" w:rsidRPr="00913CA4" w:rsidRDefault="00F417F4" w:rsidP="00913CA4">
            <w:pPr>
              <w:rPr>
                <w:b/>
              </w:rPr>
            </w:pPr>
            <w:r w:rsidRPr="00913CA4">
              <w:rPr>
                <w:b/>
              </w:rPr>
              <w:t>Recommendations for FRAX</w:t>
            </w:r>
          </w:p>
        </w:tc>
      </w:tr>
      <w:tr w:rsidR="00F417F4" w:rsidRPr="00DA7BF2" w14:paraId="70A81663" w14:textId="77777777" w:rsidTr="00961CFC">
        <w:tc>
          <w:tcPr>
            <w:tcW w:w="2660" w:type="dxa"/>
          </w:tcPr>
          <w:p w14:paraId="7BFFE783" w14:textId="77777777" w:rsidR="00F417F4" w:rsidRPr="00A9531E" w:rsidRDefault="00F417F4" w:rsidP="00A9531E">
            <w:r w:rsidRPr="00A9531E">
              <w:t>Royal Australian College of General Practitioners 2015</w:t>
            </w:r>
          </w:p>
        </w:tc>
        <w:tc>
          <w:tcPr>
            <w:tcW w:w="6627" w:type="dxa"/>
          </w:tcPr>
          <w:p w14:paraId="23618E98" w14:textId="77777777" w:rsidR="00F417F4" w:rsidRPr="00A9531E" w:rsidRDefault="00F417F4" w:rsidP="00A9531E">
            <w:r w:rsidRPr="00A9531E">
              <w:t xml:space="preserve">Recommends “assessment of risk factors” and preventative advice for postmenopausal women aged &gt;45 and men aged &gt;50. They separately mention both the FRAX tool and the </w:t>
            </w:r>
            <w:proofErr w:type="spellStart"/>
            <w:r w:rsidRPr="00A9531E">
              <w:t>Garvan</w:t>
            </w:r>
            <w:proofErr w:type="spellEnd"/>
            <w:r w:rsidRPr="00A9531E">
              <w:t xml:space="preserve"> fracture risk calculator as ways to estimate absolute fracture risk.</w:t>
            </w:r>
          </w:p>
        </w:tc>
      </w:tr>
      <w:tr w:rsidR="00F417F4" w:rsidRPr="00A9531E" w14:paraId="6BE42E4D" w14:textId="77777777" w:rsidTr="00961CFC">
        <w:tc>
          <w:tcPr>
            <w:tcW w:w="2660" w:type="dxa"/>
          </w:tcPr>
          <w:p w14:paraId="7B6FC481" w14:textId="77777777" w:rsidR="00F417F4" w:rsidRPr="00A9531E" w:rsidRDefault="00F417F4" w:rsidP="00A9531E">
            <w:r w:rsidRPr="00A9531E">
              <w:t>United States Preventive Services Task Force 2011</w:t>
            </w:r>
          </w:p>
        </w:tc>
        <w:tc>
          <w:tcPr>
            <w:tcW w:w="6627" w:type="dxa"/>
          </w:tcPr>
          <w:p w14:paraId="09D2827A" w14:textId="77777777" w:rsidR="00F417F4" w:rsidRPr="00A9531E" w:rsidRDefault="00F417F4" w:rsidP="00A9531E">
            <w:r w:rsidRPr="00A9531E">
              <w:t xml:space="preserve">Recommends using FRAX prior to DEXA in women aged 50-64 to determine whether they have a fracture risk ≥65 year </w:t>
            </w:r>
            <w:proofErr w:type="spellStart"/>
            <w:r w:rsidRPr="00A9531E">
              <w:t>olds</w:t>
            </w:r>
            <w:proofErr w:type="spellEnd"/>
            <w:r w:rsidRPr="00A9531E">
              <w:t xml:space="preserve"> (10-year fracture threshold of 9.3%)</w:t>
            </w:r>
          </w:p>
        </w:tc>
      </w:tr>
      <w:tr w:rsidR="00F417F4" w:rsidRPr="00DA7BF2" w14:paraId="5904140C" w14:textId="77777777" w:rsidTr="00961CFC">
        <w:tc>
          <w:tcPr>
            <w:tcW w:w="2660" w:type="dxa"/>
          </w:tcPr>
          <w:p w14:paraId="2BD131B7" w14:textId="77777777" w:rsidR="00F417F4" w:rsidRPr="00A9531E" w:rsidRDefault="00F417F4" w:rsidP="00A9531E">
            <w:r w:rsidRPr="00A9531E">
              <w:t>National Osteoporosis Foundation (NOF) 2014</w:t>
            </w:r>
          </w:p>
        </w:tc>
        <w:tc>
          <w:tcPr>
            <w:tcW w:w="6627" w:type="dxa"/>
          </w:tcPr>
          <w:p w14:paraId="136D0922" w14:textId="77777777" w:rsidR="00F417F4" w:rsidRPr="00557E9F" w:rsidRDefault="00F417F4" w:rsidP="006D73D5">
            <w:pPr>
              <w:spacing w:before="80" w:after="40"/>
            </w:pPr>
            <w:r w:rsidRPr="00557E9F">
              <w:t xml:space="preserve">Non-specific: “estimate patient’s 10-year probability of hip and any major osteoporosis-related fracture using the U.S.-adapted FRAX and perform vertebral imaging when appropriate to complete risk assessment”. </w:t>
            </w:r>
            <w:r w:rsidRPr="00557E9F">
              <w:rPr>
                <w:shd w:val="clear" w:color="auto" w:fill="FFFFFF"/>
              </w:rPr>
              <w:t>In addition, they recommend initiating treatment in patients with low bone mass (T-score between −1.0 and −2.5) and a 10-year risk of hip fracture of ≥ 3% OR when the 10-year risk of major osteoporosis-related fracture is ≥ 20% based on FRAX</w:t>
            </w:r>
          </w:p>
        </w:tc>
      </w:tr>
      <w:tr w:rsidR="00F417F4" w:rsidRPr="00A9531E" w14:paraId="1CF4A876" w14:textId="77777777" w:rsidTr="00961CFC">
        <w:tc>
          <w:tcPr>
            <w:tcW w:w="2660" w:type="dxa"/>
          </w:tcPr>
          <w:p w14:paraId="0C820121" w14:textId="77777777" w:rsidR="00F417F4" w:rsidRPr="00A9531E" w:rsidRDefault="00F417F4" w:rsidP="00A9531E">
            <w:r w:rsidRPr="00A9531E">
              <w:t>International Society for Clinical Densitometry 2015</w:t>
            </w:r>
          </w:p>
        </w:tc>
        <w:tc>
          <w:tcPr>
            <w:tcW w:w="6627" w:type="dxa"/>
          </w:tcPr>
          <w:p w14:paraId="7272109F" w14:textId="77777777" w:rsidR="00F417F4" w:rsidRPr="00A9531E" w:rsidRDefault="00F417F4" w:rsidP="00A9531E">
            <w:r w:rsidRPr="00A9531E">
              <w:t>FRAX with BMD predicts fracture risk better than clinical risk factors or BMD alone. Use of FRAX without BMD is appropriate when BMD is not readily available or to identify individuals who may benefit from a BMD measurement.</w:t>
            </w:r>
          </w:p>
        </w:tc>
      </w:tr>
      <w:tr w:rsidR="00F417F4" w:rsidRPr="00A9531E" w14:paraId="73CB9DA1" w14:textId="77777777" w:rsidTr="00961CFC">
        <w:tc>
          <w:tcPr>
            <w:tcW w:w="2660" w:type="dxa"/>
          </w:tcPr>
          <w:p w14:paraId="70EF84B7" w14:textId="77777777" w:rsidR="00F417F4" w:rsidRPr="00A9531E" w:rsidRDefault="00F417F4" w:rsidP="00A9531E">
            <w:r w:rsidRPr="00A9531E">
              <w:t>American College of Physicians 2014</w:t>
            </w:r>
          </w:p>
        </w:tc>
        <w:tc>
          <w:tcPr>
            <w:tcW w:w="6627" w:type="dxa"/>
          </w:tcPr>
          <w:p w14:paraId="2FC3561F" w14:textId="77777777" w:rsidR="00F417F4" w:rsidRPr="00A9531E" w:rsidRDefault="00F417F4" w:rsidP="00A9531E">
            <w:r w:rsidRPr="00A9531E">
              <w:t>In women &lt;65 years and men &lt;75 years, perform FRAX to determine who requires further assessment by DXA</w:t>
            </w:r>
          </w:p>
        </w:tc>
      </w:tr>
      <w:tr w:rsidR="00F417F4" w:rsidRPr="00DA7BF2" w14:paraId="1A18ED86" w14:textId="77777777" w:rsidTr="00961CFC">
        <w:tc>
          <w:tcPr>
            <w:tcW w:w="2660" w:type="dxa"/>
          </w:tcPr>
          <w:p w14:paraId="656B166F" w14:textId="77777777" w:rsidR="00F417F4" w:rsidRPr="00A9531E" w:rsidRDefault="00F417F4" w:rsidP="00A9531E">
            <w:r w:rsidRPr="00A9531E">
              <w:t>National Osteoporosis Guideline Group*** 2014</w:t>
            </w:r>
          </w:p>
        </w:tc>
        <w:tc>
          <w:tcPr>
            <w:tcW w:w="6627" w:type="dxa"/>
          </w:tcPr>
          <w:p w14:paraId="58487E5C" w14:textId="77777777" w:rsidR="00F417F4" w:rsidRPr="00A9531E" w:rsidRDefault="00F417F4" w:rsidP="00A9531E">
            <w:r w:rsidRPr="00A9531E">
              <w:t>Perform FRAX in:</w:t>
            </w:r>
          </w:p>
          <w:p w14:paraId="702467AF" w14:textId="77777777" w:rsidR="00F417F4" w:rsidRPr="00A9531E" w:rsidRDefault="00F417F4" w:rsidP="00961CFC">
            <w:pPr>
              <w:pStyle w:val="Bullet1"/>
            </w:pPr>
            <w:r w:rsidRPr="00A9531E">
              <w:t>Postmenopausal women with a risk factor**</w:t>
            </w:r>
          </w:p>
          <w:p w14:paraId="3FAAA3BA" w14:textId="77777777" w:rsidR="00F417F4" w:rsidRPr="00A9531E" w:rsidRDefault="00F417F4" w:rsidP="00961CFC">
            <w:pPr>
              <w:pStyle w:val="Bullet1"/>
            </w:pPr>
            <w:r w:rsidRPr="00A9531E">
              <w:t>Men aged &gt;50 with a risk factor**</w:t>
            </w:r>
          </w:p>
          <w:p w14:paraId="1057F9DB" w14:textId="77777777" w:rsidR="00F417F4" w:rsidRPr="00A9531E" w:rsidRDefault="00F417F4" w:rsidP="00A9531E">
            <w:r w:rsidRPr="00A9531E">
              <w:lastRenderedPageBreak/>
              <w:t>If high risk, initiate treatment. If intermediate risk, refer for DXA. If low risk, reassure and reassess in 5 years or less if needed.</w:t>
            </w:r>
          </w:p>
        </w:tc>
      </w:tr>
      <w:tr w:rsidR="00F417F4" w:rsidRPr="00DA7BF2" w14:paraId="4B8E6954" w14:textId="77777777" w:rsidTr="00961CFC">
        <w:tc>
          <w:tcPr>
            <w:tcW w:w="2660" w:type="dxa"/>
          </w:tcPr>
          <w:p w14:paraId="495CF28A" w14:textId="77777777" w:rsidR="00F417F4" w:rsidRPr="00A9531E" w:rsidRDefault="00F417F4" w:rsidP="00A9531E">
            <w:r w:rsidRPr="00A9531E">
              <w:lastRenderedPageBreak/>
              <w:t>National Clinical Guideline Centre UK 2012</w:t>
            </w:r>
          </w:p>
        </w:tc>
        <w:tc>
          <w:tcPr>
            <w:tcW w:w="6627" w:type="dxa"/>
          </w:tcPr>
          <w:p w14:paraId="0DD16F34" w14:textId="77777777" w:rsidR="00F417F4" w:rsidRPr="00A9531E" w:rsidRDefault="00F417F4" w:rsidP="00A9531E">
            <w:r w:rsidRPr="00A9531E">
              <w:t xml:space="preserve">Consider performing FRAX or </w:t>
            </w:r>
            <w:proofErr w:type="spellStart"/>
            <w:r w:rsidRPr="00A9531E">
              <w:t>QFracture</w:t>
            </w:r>
            <w:proofErr w:type="spellEnd"/>
            <w:r w:rsidRPr="00A9531E">
              <w:t xml:space="preserve"> assessment in all:</w:t>
            </w:r>
          </w:p>
          <w:p w14:paraId="36A3D3EA" w14:textId="77777777" w:rsidR="00F417F4" w:rsidRPr="00A9531E" w:rsidRDefault="00F417F4" w:rsidP="00961CFC">
            <w:pPr>
              <w:pStyle w:val="Bullet1"/>
            </w:pPr>
            <w:r w:rsidRPr="00A9531E">
              <w:t>Women ≥65 and men ≥75</w:t>
            </w:r>
          </w:p>
          <w:p w14:paraId="4605906C" w14:textId="77777777" w:rsidR="00F417F4" w:rsidRPr="00A9531E" w:rsidRDefault="00F417F4" w:rsidP="00961CFC">
            <w:pPr>
              <w:pStyle w:val="Bullet1"/>
            </w:pPr>
            <w:r w:rsidRPr="00A9531E">
              <w:t>Women &lt;65 and men &lt;75 who have additional risk factors**</w:t>
            </w:r>
          </w:p>
          <w:p w14:paraId="5E8265F6" w14:textId="77777777" w:rsidR="00F417F4" w:rsidRPr="00A9531E" w:rsidRDefault="00F417F4" w:rsidP="00A9531E">
            <w:r w:rsidRPr="00A9531E">
              <w:t>If indicated by fracture risk, proceed to DXA scans</w:t>
            </w:r>
          </w:p>
        </w:tc>
      </w:tr>
      <w:tr w:rsidR="00F417F4" w:rsidRPr="00DA7BF2" w14:paraId="22865FAE" w14:textId="77777777" w:rsidTr="00961CFC">
        <w:tc>
          <w:tcPr>
            <w:tcW w:w="2660" w:type="dxa"/>
          </w:tcPr>
          <w:p w14:paraId="316BA8FD" w14:textId="77777777" w:rsidR="00F417F4" w:rsidRPr="00A9531E" w:rsidRDefault="00F417F4" w:rsidP="00A9531E">
            <w:r w:rsidRPr="00A9531E">
              <w:t>World Health Organisation (WHO) 2004</w:t>
            </w:r>
          </w:p>
        </w:tc>
        <w:tc>
          <w:tcPr>
            <w:tcW w:w="6627" w:type="dxa"/>
          </w:tcPr>
          <w:p w14:paraId="0A3EB3DA" w14:textId="77777777" w:rsidR="00F417F4" w:rsidRPr="00DA7BF2" w:rsidRDefault="00F417F4" w:rsidP="00A9531E">
            <w:pPr>
              <w:rPr>
                <w:rStyle w:val="IntenseReference"/>
                <w:rFonts w:cs="Arial"/>
                <w:b w:val="0"/>
                <w:bCs w:val="0"/>
                <w:i w:val="0"/>
                <w:smallCaps w:val="0"/>
                <w:color w:val="auto"/>
                <w:spacing w:val="0"/>
                <w:szCs w:val="22"/>
              </w:rPr>
            </w:pPr>
            <w:r w:rsidRPr="00DA7BF2">
              <w:t xml:space="preserve">In Member States where BMD is universally recommended (e.g. at the age of 65 years or more in North America), the stratification of risk can be </w:t>
            </w:r>
            <w:r w:rsidRPr="00A9531E">
              <w:t>improved</w:t>
            </w:r>
            <w:r w:rsidRPr="00DA7BF2">
              <w:t xml:space="preserve"> by consideration of clinical risk factors in conjunction with BMD. </w:t>
            </w:r>
          </w:p>
        </w:tc>
      </w:tr>
    </w:tbl>
    <w:p w14:paraId="18115381" w14:textId="77777777" w:rsidR="00F417F4" w:rsidRPr="00A9531E" w:rsidRDefault="00F417F4" w:rsidP="00A9531E">
      <w:pPr>
        <w:rPr>
          <w:sz w:val="18"/>
          <w:szCs w:val="18"/>
        </w:rPr>
      </w:pPr>
      <w:r w:rsidRPr="00A9531E">
        <w:rPr>
          <w:sz w:val="18"/>
          <w:szCs w:val="18"/>
        </w:rPr>
        <w:t>*NHMRC published these guidelines in February 2010. NHMRC approval for the guidelines is granted for a period not exceeding 5 years and as such, has expired by NHMRC standards.</w:t>
      </w:r>
    </w:p>
    <w:p w14:paraId="6BBD45AA" w14:textId="77777777" w:rsidR="00F417F4" w:rsidRPr="00A9531E" w:rsidRDefault="00F417F4" w:rsidP="00A9531E">
      <w:pPr>
        <w:rPr>
          <w:sz w:val="18"/>
          <w:szCs w:val="18"/>
        </w:rPr>
      </w:pPr>
      <w:r w:rsidRPr="00A9531E">
        <w:rPr>
          <w:sz w:val="18"/>
          <w:szCs w:val="18"/>
        </w:rPr>
        <w:t>**Validated osteoporotic risk factors (excluding age): low body weight, prior fracture, smoking, frequent falling, family history of hip fracture, excess alcohol intake</w:t>
      </w:r>
    </w:p>
    <w:p w14:paraId="572687BD" w14:textId="77777777" w:rsidR="00F417F4" w:rsidRPr="00A9531E" w:rsidRDefault="00F417F4" w:rsidP="00A9531E">
      <w:pPr>
        <w:rPr>
          <w:sz w:val="18"/>
          <w:szCs w:val="18"/>
        </w:rPr>
      </w:pPr>
      <w:r w:rsidRPr="00A9531E">
        <w:rPr>
          <w:sz w:val="18"/>
          <w:szCs w:val="18"/>
        </w:rPr>
        <w:t>***The National Osteoporosis Guideline Group published on the behalf of the Bone Research Society British Geriatrics Society, British Orthopaedic Association, British Society of Rheumatology, National Osteoporosis Society and The Royal College of Physicians UK.</w:t>
      </w:r>
    </w:p>
    <w:p w14:paraId="7C323699" w14:textId="77777777" w:rsidR="00F417F4" w:rsidRPr="009200D8" w:rsidRDefault="00F417F4" w:rsidP="00E76E64">
      <w:pPr>
        <w:pStyle w:val="AppendixStyle2"/>
      </w:pPr>
      <w:r w:rsidRPr="009200D8">
        <w:t>Discussion</w:t>
      </w:r>
    </w:p>
    <w:bookmarkEnd w:id="107"/>
    <w:p w14:paraId="2D657CBA" w14:textId="77777777" w:rsidR="00F417F4" w:rsidRPr="00913CA4" w:rsidRDefault="00F417F4" w:rsidP="00913CA4">
      <w:r w:rsidRPr="00913CA4">
        <w:t>This rapid review was put together to summarise the available evidence for four key research questions related to bone densitometry. It was the intention of the Unit that the rapid review would be an accompaniment to the vast body of clinical knowledge held by the clinical committee and enable them to plan the direction of their review. Where the committee identifies an area related to bone densitometry that may be amenable to change, they should inform the Unit who will commission a complete literature review on the topic by a consultancy company. This rapid review is not intended to be a replacement for a formal literature review.</w:t>
      </w:r>
    </w:p>
    <w:p w14:paraId="296EA9D6" w14:textId="77777777" w:rsidR="00F417F4" w:rsidRPr="00913CA4" w:rsidRDefault="00F417F4" w:rsidP="00913CA4">
      <w:r w:rsidRPr="00913CA4">
        <w:t xml:space="preserve">Due to time limitations on the production of this rapid review, it was not feasible for the reviewer to comprehensively assess the internal and external validity of each study. It was also decided that rather than ranking the importance of each study, the reviewer would include each study identified as relevant to the research question and present them clearly enough to allow the clinicians to assess their significance. </w:t>
      </w:r>
    </w:p>
    <w:p w14:paraId="15764E69" w14:textId="77777777" w:rsidR="00F417F4" w:rsidRPr="00913CA4" w:rsidRDefault="00F417F4" w:rsidP="00913CA4">
      <w:r w:rsidRPr="00913CA4">
        <w:t xml:space="preserve">The review highlights a key issue for the evidence behind screening with bone densitometry; the large heterogeneity in the populations and outcomes assessed in each individual study. In studies on non-osteoporotic patients with no previous fracture, there was often limited age related data, which </w:t>
      </w:r>
      <w:r w:rsidRPr="00913CA4">
        <w:lastRenderedPageBreak/>
        <w:t>is highly relevant to our research question in this population. In studies on osteoporotic patients, patients may have been selected based on their T-score, bisphosphonate use or previous fracture and measured for any number of outcomes, such as spine BMD improvement, hip BMD improvement, vertebral fracture rate or major osteoporotic fracture rate. It is thus difficult to interpret the study results cohesively, with such large heterogeneity.</w:t>
      </w:r>
    </w:p>
    <w:p w14:paraId="1368D409" w14:textId="77777777" w:rsidR="00F417F4" w:rsidRPr="007755DE" w:rsidRDefault="00F417F4" w:rsidP="007755DE">
      <w:pPr>
        <w:pStyle w:val="AppendixStyle2"/>
      </w:pPr>
      <w:r w:rsidRPr="00913CA4">
        <w:t>References</w:t>
      </w:r>
    </w:p>
    <w:p w14:paraId="379B20A2" w14:textId="77777777" w:rsidR="00F417F4" w:rsidRPr="0060697D" w:rsidRDefault="00F417F4" w:rsidP="00913CA4">
      <w:pPr>
        <w:pStyle w:val="Heading3"/>
      </w:pPr>
      <w:r w:rsidRPr="00B97FE1">
        <w:t>Population screening</w:t>
      </w:r>
      <w:r w:rsidRPr="0060697D">
        <w:t xml:space="preserve"> </w:t>
      </w:r>
    </w:p>
    <w:p w14:paraId="553FA5A4" w14:textId="27EB15D2" w:rsidR="00F417F4" w:rsidRPr="0060697D" w:rsidRDefault="00F417F4" w:rsidP="003F788A">
      <w:pPr>
        <w:spacing w:before="120" w:afterLines="60" w:after="144"/>
        <w:rPr>
          <w:rFonts w:cs="Arial"/>
          <w:sz w:val="20"/>
          <w:szCs w:val="20"/>
          <w:shd w:val="clear" w:color="auto" w:fill="FFFFFF"/>
        </w:rPr>
      </w:pPr>
      <w:r w:rsidRPr="0060697D">
        <w:rPr>
          <w:rFonts w:cs="Arial"/>
          <w:sz w:val="20"/>
          <w:szCs w:val="20"/>
        </w:rPr>
        <w:t>1</w:t>
      </w:r>
      <w:r w:rsidR="001F297A">
        <w:rPr>
          <w:rFonts w:cs="Arial"/>
          <w:sz w:val="20"/>
          <w:szCs w:val="20"/>
        </w:rPr>
        <w:t>.</w:t>
      </w:r>
      <w:r w:rsidRPr="0060697D">
        <w:rPr>
          <w:rFonts w:cs="Arial"/>
          <w:sz w:val="20"/>
          <w:szCs w:val="20"/>
        </w:rPr>
        <w:t xml:space="preserve"> </w:t>
      </w:r>
      <w:r w:rsidRPr="0060697D">
        <w:rPr>
          <w:rFonts w:cs="Arial"/>
          <w:sz w:val="20"/>
          <w:szCs w:val="20"/>
          <w:shd w:val="clear" w:color="auto" w:fill="FFFFFF"/>
        </w:rPr>
        <w:t>Kern LM, Powe NR, Levine MA, Fitzpatrick AL, Harris TB, Robbins J, Fried LP (2005) Association between screening for osteoporosis and the incidence of hip fracture. Ann Intern Med 142:173–181</w:t>
      </w:r>
    </w:p>
    <w:p w14:paraId="4EE30769" w14:textId="77777777" w:rsidR="007755DE" w:rsidRPr="00A9531E" w:rsidRDefault="001F297A" w:rsidP="007755DE">
      <w:pPr>
        <w:spacing w:before="120" w:afterLines="60" w:after="144"/>
        <w:rPr>
          <w:rFonts w:cs="Arial"/>
          <w:sz w:val="20"/>
          <w:szCs w:val="20"/>
          <w:shd w:val="clear" w:color="auto" w:fill="FFFFFF"/>
        </w:rPr>
      </w:pPr>
      <w:r w:rsidRPr="00A9531E">
        <w:rPr>
          <w:rFonts w:cs="Arial"/>
          <w:sz w:val="20"/>
          <w:szCs w:val="20"/>
          <w:shd w:val="clear" w:color="auto" w:fill="FFFFFF"/>
        </w:rPr>
        <w:t>2.</w:t>
      </w:r>
      <w:r w:rsidR="00F417F4" w:rsidRPr="00A9531E">
        <w:rPr>
          <w:rFonts w:cs="Arial"/>
          <w:sz w:val="20"/>
          <w:szCs w:val="20"/>
          <w:shd w:val="clear" w:color="auto" w:fill="FFFFFF"/>
        </w:rPr>
        <w:t xml:space="preserve"> </w:t>
      </w:r>
      <w:r w:rsidR="00F417F4" w:rsidRPr="00A9531E">
        <w:rPr>
          <w:sz w:val="20"/>
          <w:szCs w:val="20"/>
        </w:rPr>
        <w:t xml:space="preserve">Barr RJ, Stewart A, Torgerson DJ, Reid DM. Population screening for osteoporosis risk: a randomised control trial of medication use and fracture risk. </w:t>
      </w:r>
      <w:proofErr w:type="spellStart"/>
      <w:r w:rsidR="00F417F4" w:rsidRPr="00A9531E">
        <w:rPr>
          <w:sz w:val="20"/>
          <w:szCs w:val="20"/>
        </w:rPr>
        <w:t>Osteoporos</w:t>
      </w:r>
      <w:proofErr w:type="spellEnd"/>
      <w:r w:rsidR="00F417F4" w:rsidRPr="00A9531E">
        <w:rPr>
          <w:sz w:val="20"/>
          <w:szCs w:val="20"/>
        </w:rPr>
        <w:t xml:space="preserve"> Int 2010; 21:561.</w:t>
      </w:r>
      <w:r w:rsidR="007755DE" w:rsidRPr="00A9531E">
        <w:rPr>
          <w:rFonts w:cs="Arial"/>
          <w:sz w:val="20"/>
          <w:szCs w:val="20"/>
          <w:shd w:val="clear" w:color="auto" w:fill="FFFFFF"/>
        </w:rPr>
        <w:t xml:space="preserve"> </w:t>
      </w:r>
    </w:p>
    <w:p w14:paraId="0DE93252" w14:textId="77777777" w:rsidR="00F417F4" w:rsidRPr="0060697D" w:rsidRDefault="00F417F4" w:rsidP="00913CA4">
      <w:pPr>
        <w:pStyle w:val="Heading3"/>
      </w:pPr>
      <w:r w:rsidRPr="0060697D">
        <w:t>Serial scans in patients &gt;70</w:t>
      </w:r>
    </w:p>
    <w:p w14:paraId="463C2DDC" w14:textId="52B804EB" w:rsidR="00F417F4" w:rsidRPr="0060697D" w:rsidRDefault="001F297A" w:rsidP="003F788A">
      <w:pPr>
        <w:spacing w:before="120" w:afterLines="60" w:after="144"/>
        <w:rPr>
          <w:rFonts w:cs="Arial"/>
          <w:sz w:val="20"/>
          <w:szCs w:val="20"/>
        </w:rPr>
      </w:pPr>
      <w:r>
        <w:rPr>
          <w:rFonts w:cs="Arial"/>
          <w:sz w:val="20"/>
          <w:szCs w:val="20"/>
        </w:rPr>
        <w:t>3.</w:t>
      </w:r>
      <w:r w:rsidR="00F417F4" w:rsidRPr="0060697D">
        <w:rPr>
          <w:rFonts w:cs="Arial"/>
          <w:sz w:val="20"/>
          <w:szCs w:val="20"/>
        </w:rPr>
        <w:t xml:space="preserve"> Hillier TA, Stone KL, Bauer DC, et al. Evaluating the value of repeat bone mineral density measurement and prediction of fractures in older women: the study of osteoporotic fractures. Arch Intern Med 2007; 167:155.</w:t>
      </w:r>
    </w:p>
    <w:p w14:paraId="0DB821FF" w14:textId="6B6B6D27" w:rsidR="00F417F4" w:rsidRPr="0060697D" w:rsidRDefault="001F297A" w:rsidP="003F788A">
      <w:pPr>
        <w:spacing w:before="120" w:afterLines="60" w:after="144"/>
        <w:rPr>
          <w:rFonts w:cs="Arial"/>
          <w:color w:val="000000"/>
          <w:sz w:val="20"/>
          <w:szCs w:val="20"/>
        </w:rPr>
      </w:pPr>
      <w:r>
        <w:rPr>
          <w:rFonts w:cs="Arial"/>
          <w:color w:val="000000"/>
          <w:sz w:val="20"/>
          <w:szCs w:val="20"/>
        </w:rPr>
        <w:t>4.</w:t>
      </w:r>
      <w:r w:rsidR="00F417F4" w:rsidRPr="0060697D">
        <w:rPr>
          <w:rFonts w:cs="Arial"/>
          <w:color w:val="000000"/>
          <w:sz w:val="20"/>
          <w:szCs w:val="20"/>
        </w:rPr>
        <w:t xml:space="preserve"> Leslie WD, Morin SN, </w:t>
      </w:r>
      <w:proofErr w:type="spellStart"/>
      <w:r w:rsidR="00F417F4" w:rsidRPr="0060697D">
        <w:rPr>
          <w:rFonts w:cs="Arial"/>
          <w:color w:val="000000"/>
          <w:sz w:val="20"/>
          <w:szCs w:val="20"/>
        </w:rPr>
        <w:t>Lix</w:t>
      </w:r>
      <w:proofErr w:type="spellEnd"/>
      <w:r w:rsidR="00F417F4" w:rsidRPr="0060697D">
        <w:rPr>
          <w:rFonts w:cs="Arial"/>
          <w:color w:val="000000"/>
          <w:sz w:val="20"/>
          <w:szCs w:val="20"/>
        </w:rPr>
        <w:t xml:space="preserve"> LM, Manitoba Bone Density Program. Rate of bone density change does not enhance fracture prediction in routine clinical practice. J Clin Endocrinol </w:t>
      </w:r>
      <w:proofErr w:type="spellStart"/>
      <w:r w:rsidR="00F417F4" w:rsidRPr="0060697D">
        <w:rPr>
          <w:rFonts w:cs="Arial"/>
          <w:color w:val="000000"/>
          <w:sz w:val="20"/>
          <w:szCs w:val="20"/>
        </w:rPr>
        <w:t>Metab</w:t>
      </w:r>
      <w:proofErr w:type="spellEnd"/>
      <w:r w:rsidR="00F417F4" w:rsidRPr="0060697D">
        <w:rPr>
          <w:rFonts w:cs="Arial"/>
          <w:color w:val="000000"/>
          <w:sz w:val="20"/>
          <w:szCs w:val="20"/>
        </w:rPr>
        <w:t xml:space="preserve"> 2012; 97:1211.</w:t>
      </w:r>
    </w:p>
    <w:p w14:paraId="6BFCFBA4" w14:textId="33F53C5E" w:rsidR="00F417F4" w:rsidRPr="0060697D" w:rsidRDefault="001F297A" w:rsidP="003F788A">
      <w:pPr>
        <w:spacing w:before="120" w:afterLines="60" w:after="144"/>
        <w:rPr>
          <w:rFonts w:cs="Arial"/>
          <w:color w:val="000000"/>
          <w:sz w:val="20"/>
          <w:szCs w:val="20"/>
        </w:rPr>
      </w:pPr>
      <w:r>
        <w:rPr>
          <w:rFonts w:cs="Arial"/>
          <w:color w:val="000000"/>
          <w:sz w:val="20"/>
          <w:szCs w:val="20"/>
        </w:rPr>
        <w:t>5.</w:t>
      </w:r>
      <w:r w:rsidR="00F417F4" w:rsidRPr="0060697D">
        <w:rPr>
          <w:rFonts w:cs="Arial"/>
          <w:color w:val="000000"/>
          <w:sz w:val="20"/>
          <w:szCs w:val="20"/>
        </w:rPr>
        <w:t xml:space="preserve"> Berry SD, </w:t>
      </w:r>
      <w:proofErr w:type="spellStart"/>
      <w:r w:rsidR="00F417F4" w:rsidRPr="0060697D">
        <w:rPr>
          <w:rFonts w:cs="Arial"/>
          <w:color w:val="000000"/>
          <w:sz w:val="20"/>
          <w:szCs w:val="20"/>
        </w:rPr>
        <w:t>Samelson</w:t>
      </w:r>
      <w:proofErr w:type="spellEnd"/>
      <w:r w:rsidR="00F417F4" w:rsidRPr="0060697D">
        <w:rPr>
          <w:rFonts w:cs="Arial"/>
          <w:color w:val="000000"/>
          <w:sz w:val="20"/>
          <w:szCs w:val="20"/>
        </w:rPr>
        <w:t xml:space="preserve"> EJ, </w:t>
      </w:r>
      <w:proofErr w:type="spellStart"/>
      <w:r w:rsidR="00F417F4" w:rsidRPr="0060697D">
        <w:rPr>
          <w:rFonts w:cs="Arial"/>
          <w:color w:val="000000"/>
          <w:sz w:val="20"/>
          <w:szCs w:val="20"/>
        </w:rPr>
        <w:t>Pencina</w:t>
      </w:r>
      <w:proofErr w:type="spellEnd"/>
      <w:r w:rsidR="00F417F4" w:rsidRPr="0060697D">
        <w:rPr>
          <w:rFonts w:cs="Arial"/>
          <w:color w:val="000000"/>
          <w:sz w:val="20"/>
          <w:szCs w:val="20"/>
        </w:rPr>
        <w:t xml:space="preserve"> MJ, et al. Repeat bone mineral density screening and prediction of hip and major osteoporotic fracture. JAMA 2013; 310:1256.</w:t>
      </w:r>
    </w:p>
    <w:p w14:paraId="634EB1C5" w14:textId="0E67E071" w:rsidR="00F417F4" w:rsidRPr="0060697D" w:rsidRDefault="001F297A" w:rsidP="003F788A">
      <w:pPr>
        <w:spacing w:before="120" w:afterLines="60" w:after="144"/>
        <w:rPr>
          <w:rFonts w:cs="Arial"/>
          <w:color w:val="000000"/>
          <w:sz w:val="20"/>
          <w:szCs w:val="20"/>
        </w:rPr>
      </w:pPr>
      <w:r>
        <w:rPr>
          <w:rFonts w:cs="Arial"/>
          <w:color w:val="000000"/>
          <w:sz w:val="20"/>
          <w:szCs w:val="20"/>
        </w:rPr>
        <w:t>6.</w:t>
      </w:r>
      <w:r w:rsidR="00F417F4" w:rsidRPr="0060697D">
        <w:rPr>
          <w:rFonts w:cs="Arial"/>
          <w:color w:val="000000"/>
          <w:sz w:val="20"/>
          <w:szCs w:val="20"/>
        </w:rPr>
        <w:t xml:space="preserve"> Berger C, </w:t>
      </w:r>
      <w:proofErr w:type="spellStart"/>
      <w:r w:rsidR="00F417F4" w:rsidRPr="0060697D">
        <w:rPr>
          <w:rFonts w:cs="Arial"/>
          <w:color w:val="000000"/>
          <w:sz w:val="20"/>
          <w:szCs w:val="20"/>
        </w:rPr>
        <w:t>Langsetmo</w:t>
      </w:r>
      <w:proofErr w:type="spellEnd"/>
      <w:r w:rsidR="00F417F4" w:rsidRPr="0060697D">
        <w:rPr>
          <w:rFonts w:cs="Arial"/>
          <w:color w:val="000000"/>
          <w:sz w:val="20"/>
          <w:szCs w:val="20"/>
        </w:rPr>
        <w:t xml:space="preserve"> L, Joseph L, et al. Association between change in BMD and fragility fracture in women and men. J Bone Miner Res 2009; 24:361.</w:t>
      </w:r>
    </w:p>
    <w:p w14:paraId="5D06C1AF" w14:textId="7BB19D45" w:rsidR="00F417F4" w:rsidRPr="0060697D" w:rsidRDefault="001F297A" w:rsidP="003F788A">
      <w:pPr>
        <w:spacing w:before="120" w:afterLines="60" w:after="144"/>
        <w:rPr>
          <w:rFonts w:cs="Arial"/>
          <w:color w:val="000000"/>
          <w:sz w:val="20"/>
          <w:szCs w:val="20"/>
        </w:rPr>
      </w:pPr>
      <w:r>
        <w:rPr>
          <w:rFonts w:cs="Arial"/>
          <w:color w:val="000000"/>
          <w:sz w:val="20"/>
          <w:szCs w:val="20"/>
        </w:rPr>
        <w:t>7.</w:t>
      </w:r>
      <w:r w:rsidR="00F417F4" w:rsidRPr="0060697D">
        <w:rPr>
          <w:rFonts w:cs="Arial"/>
          <w:color w:val="000000"/>
          <w:sz w:val="20"/>
          <w:szCs w:val="20"/>
        </w:rPr>
        <w:t xml:space="preserve"> Nguyen TV, </w:t>
      </w:r>
      <w:proofErr w:type="spellStart"/>
      <w:r w:rsidR="00F417F4" w:rsidRPr="0060697D">
        <w:rPr>
          <w:rFonts w:cs="Arial"/>
          <w:color w:val="000000"/>
          <w:sz w:val="20"/>
          <w:szCs w:val="20"/>
        </w:rPr>
        <w:t>Center</w:t>
      </w:r>
      <w:proofErr w:type="spellEnd"/>
      <w:r w:rsidR="00F417F4" w:rsidRPr="0060697D">
        <w:rPr>
          <w:rFonts w:cs="Arial"/>
          <w:color w:val="000000"/>
          <w:sz w:val="20"/>
          <w:szCs w:val="20"/>
        </w:rPr>
        <w:t xml:space="preserve"> JR, </w:t>
      </w:r>
      <w:proofErr w:type="spellStart"/>
      <w:r w:rsidR="00F417F4" w:rsidRPr="0060697D">
        <w:rPr>
          <w:rFonts w:cs="Arial"/>
          <w:color w:val="000000"/>
          <w:sz w:val="20"/>
          <w:szCs w:val="20"/>
        </w:rPr>
        <w:t>Eisman</w:t>
      </w:r>
      <w:proofErr w:type="spellEnd"/>
      <w:r w:rsidR="00F417F4" w:rsidRPr="0060697D">
        <w:rPr>
          <w:rFonts w:cs="Arial"/>
          <w:color w:val="000000"/>
          <w:sz w:val="20"/>
          <w:szCs w:val="20"/>
        </w:rPr>
        <w:t xml:space="preserve"> JA. Femoral neck bone loss predicts fracture risk independent of baseline BMD. J Bone Miner Res 2005; 20:1195.</w:t>
      </w:r>
    </w:p>
    <w:p w14:paraId="73FE9618" w14:textId="77777777" w:rsidR="00E6233F" w:rsidRPr="0060697D" w:rsidRDefault="001F297A" w:rsidP="00E6233F">
      <w:pPr>
        <w:spacing w:before="120" w:afterLines="60" w:after="144"/>
        <w:rPr>
          <w:rFonts w:cs="Arial"/>
          <w:color w:val="000000"/>
          <w:sz w:val="20"/>
          <w:szCs w:val="20"/>
        </w:rPr>
      </w:pPr>
      <w:r>
        <w:rPr>
          <w:color w:val="000000"/>
          <w:sz w:val="20"/>
          <w:szCs w:val="20"/>
        </w:rPr>
        <w:t>8.</w:t>
      </w:r>
      <w:r w:rsidR="00F417F4" w:rsidRPr="0060697D">
        <w:rPr>
          <w:color w:val="000000"/>
          <w:sz w:val="20"/>
          <w:szCs w:val="20"/>
        </w:rPr>
        <w:t xml:space="preserve"> </w:t>
      </w:r>
      <w:proofErr w:type="spellStart"/>
      <w:r w:rsidR="00F417F4" w:rsidRPr="0060697D">
        <w:rPr>
          <w:color w:val="000000"/>
          <w:sz w:val="20"/>
          <w:szCs w:val="20"/>
        </w:rPr>
        <w:t>Gourlay</w:t>
      </w:r>
      <w:proofErr w:type="spellEnd"/>
      <w:r w:rsidR="00F417F4" w:rsidRPr="0060697D">
        <w:rPr>
          <w:color w:val="000000"/>
          <w:sz w:val="20"/>
          <w:szCs w:val="20"/>
        </w:rPr>
        <w:t xml:space="preserve"> ML, Fine JP, </w:t>
      </w:r>
      <w:proofErr w:type="spellStart"/>
      <w:r w:rsidR="00F417F4" w:rsidRPr="0060697D">
        <w:rPr>
          <w:color w:val="000000"/>
          <w:sz w:val="20"/>
          <w:szCs w:val="20"/>
        </w:rPr>
        <w:t>Preisser</w:t>
      </w:r>
      <w:proofErr w:type="spellEnd"/>
      <w:r w:rsidR="00F417F4" w:rsidRPr="0060697D">
        <w:rPr>
          <w:color w:val="000000"/>
          <w:sz w:val="20"/>
          <w:szCs w:val="20"/>
        </w:rPr>
        <w:t xml:space="preserve"> JS, et al. Bone-density testing interval and transition to osteoporosis in older women. N </w:t>
      </w:r>
      <w:proofErr w:type="spellStart"/>
      <w:r w:rsidR="00F417F4" w:rsidRPr="0060697D">
        <w:rPr>
          <w:color w:val="000000"/>
          <w:sz w:val="20"/>
          <w:szCs w:val="20"/>
        </w:rPr>
        <w:t>Engl</w:t>
      </w:r>
      <w:proofErr w:type="spellEnd"/>
      <w:r w:rsidR="00F417F4" w:rsidRPr="0060697D">
        <w:rPr>
          <w:color w:val="000000"/>
          <w:sz w:val="20"/>
          <w:szCs w:val="20"/>
        </w:rPr>
        <w:t xml:space="preserve"> J Med 2012; 366:225. </w:t>
      </w:r>
    </w:p>
    <w:p w14:paraId="5A2AE79E" w14:textId="77777777" w:rsidR="00E6233F" w:rsidRPr="0060697D" w:rsidRDefault="00F417F4" w:rsidP="00913CA4">
      <w:pPr>
        <w:pStyle w:val="Heading3"/>
      </w:pPr>
      <w:r w:rsidRPr="0060697D">
        <w:t>Serial scans in patients on therapy</w:t>
      </w:r>
    </w:p>
    <w:p w14:paraId="4B0957FF" w14:textId="77777777" w:rsidR="00E6233F" w:rsidRPr="0060697D" w:rsidRDefault="001F297A" w:rsidP="00E6233F">
      <w:pPr>
        <w:spacing w:before="120" w:afterLines="60" w:after="144"/>
        <w:rPr>
          <w:rFonts w:cs="Arial"/>
          <w:color w:val="000000"/>
          <w:sz w:val="20"/>
          <w:szCs w:val="20"/>
        </w:rPr>
      </w:pPr>
      <w:r w:rsidRPr="001F297A">
        <w:rPr>
          <w:rFonts w:cs="Arial"/>
          <w:sz w:val="20"/>
          <w:szCs w:val="20"/>
        </w:rPr>
        <w:t>9.</w:t>
      </w:r>
      <w:r w:rsidR="00F417F4" w:rsidRPr="001F297A">
        <w:rPr>
          <w:rFonts w:cs="Arial"/>
          <w:sz w:val="20"/>
          <w:szCs w:val="20"/>
        </w:rPr>
        <w:t xml:space="preserve"> </w:t>
      </w:r>
      <w:r w:rsidR="00F417F4" w:rsidRPr="001F297A">
        <w:rPr>
          <w:rStyle w:val="ref-label"/>
          <w:rFonts w:cs="Arial"/>
          <w:color w:val="000000"/>
          <w:sz w:val="20"/>
          <w:szCs w:val="20"/>
        </w:rPr>
        <w:t xml:space="preserve">Cummings SR, </w:t>
      </w:r>
      <w:proofErr w:type="spellStart"/>
      <w:r w:rsidR="00F417F4" w:rsidRPr="001F297A">
        <w:rPr>
          <w:rStyle w:val="ref-label"/>
          <w:rFonts w:cs="Arial"/>
          <w:color w:val="000000"/>
          <w:sz w:val="20"/>
          <w:szCs w:val="20"/>
        </w:rPr>
        <w:t>Karpf</w:t>
      </w:r>
      <w:proofErr w:type="spellEnd"/>
      <w:r w:rsidR="00F417F4" w:rsidRPr="001F297A">
        <w:rPr>
          <w:rStyle w:val="ref-label"/>
          <w:rFonts w:cs="Arial"/>
          <w:color w:val="000000"/>
          <w:sz w:val="20"/>
          <w:szCs w:val="20"/>
        </w:rPr>
        <w:t xml:space="preserve"> DB, Harris F, et al. Improvement in spine bone density and reduction in risk of vertebral fractures during treatment with antiresorptive drugs. Am J Med 2002; 112:281</w:t>
      </w:r>
    </w:p>
    <w:p w14:paraId="1D93D467" w14:textId="37797EFC" w:rsidR="00F417F4" w:rsidRPr="001F297A" w:rsidRDefault="001F297A" w:rsidP="00E6233F">
      <w:pPr>
        <w:spacing w:before="120" w:afterLines="60" w:after="144"/>
        <w:rPr>
          <w:rStyle w:val="ref-label"/>
          <w:rFonts w:cs="Arial"/>
          <w:color w:val="000000"/>
          <w:sz w:val="20"/>
          <w:szCs w:val="20"/>
        </w:rPr>
      </w:pPr>
      <w:r w:rsidRPr="001F297A">
        <w:rPr>
          <w:rStyle w:val="ref-label"/>
          <w:rFonts w:cs="Arial"/>
          <w:color w:val="000000"/>
          <w:sz w:val="20"/>
          <w:szCs w:val="20"/>
        </w:rPr>
        <w:t>10.</w:t>
      </w:r>
      <w:r w:rsidR="00F417F4" w:rsidRPr="001F297A">
        <w:rPr>
          <w:rStyle w:val="ref-label"/>
          <w:rFonts w:cs="Arial"/>
          <w:color w:val="000000"/>
          <w:sz w:val="20"/>
          <w:szCs w:val="20"/>
        </w:rPr>
        <w:t xml:space="preserve"> </w:t>
      </w:r>
      <w:proofErr w:type="spellStart"/>
      <w:r w:rsidR="00F417F4" w:rsidRPr="001F297A">
        <w:rPr>
          <w:rStyle w:val="ref-label"/>
          <w:rFonts w:cs="Arial"/>
          <w:color w:val="000000"/>
          <w:sz w:val="20"/>
          <w:szCs w:val="20"/>
        </w:rPr>
        <w:t>Wasnich</w:t>
      </w:r>
      <w:proofErr w:type="spellEnd"/>
      <w:r w:rsidR="00F417F4" w:rsidRPr="001F297A">
        <w:rPr>
          <w:rStyle w:val="ref-label"/>
          <w:rFonts w:cs="Arial"/>
          <w:color w:val="000000"/>
          <w:sz w:val="20"/>
          <w:szCs w:val="20"/>
        </w:rPr>
        <w:t xml:space="preserve"> RD, Miller PD. Antifracture efficacy of antiresorptive agents are related to changes in bone density. J Clin Endocrinol </w:t>
      </w:r>
      <w:proofErr w:type="spellStart"/>
      <w:r w:rsidR="00F417F4" w:rsidRPr="001F297A">
        <w:rPr>
          <w:rStyle w:val="ref-label"/>
          <w:rFonts w:cs="Arial"/>
          <w:color w:val="000000"/>
          <w:sz w:val="20"/>
          <w:szCs w:val="20"/>
        </w:rPr>
        <w:t>Metab</w:t>
      </w:r>
      <w:proofErr w:type="spellEnd"/>
      <w:r w:rsidR="00F417F4" w:rsidRPr="001F297A">
        <w:rPr>
          <w:rStyle w:val="ref-label"/>
          <w:rFonts w:cs="Arial"/>
          <w:color w:val="000000"/>
          <w:sz w:val="20"/>
          <w:szCs w:val="20"/>
        </w:rPr>
        <w:t xml:space="preserve"> 2000; 85:231. </w:t>
      </w:r>
    </w:p>
    <w:p w14:paraId="4B482AB7" w14:textId="2635879C" w:rsidR="00F417F4" w:rsidRPr="001F297A" w:rsidRDefault="001F297A" w:rsidP="003F788A">
      <w:pPr>
        <w:pStyle w:val="bulletindent1"/>
        <w:spacing w:before="120" w:beforeAutospacing="0" w:afterLines="60" w:after="144" w:afterAutospacing="0"/>
        <w:rPr>
          <w:rStyle w:val="ref-label"/>
          <w:rFonts w:asciiTheme="minorHAnsi" w:hAnsiTheme="minorHAnsi" w:cs="Arial"/>
          <w:color w:val="000000"/>
          <w:sz w:val="20"/>
          <w:szCs w:val="20"/>
        </w:rPr>
      </w:pPr>
      <w:r w:rsidRPr="001F297A">
        <w:rPr>
          <w:rStyle w:val="ref-label"/>
          <w:rFonts w:asciiTheme="minorHAnsi" w:hAnsiTheme="minorHAnsi" w:cs="Arial"/>
          <w:color w:val="000000"/>
          <w:sz w:val="20"/>
          <w:szCs w:val="20"/>
        </w:rPr>
        <w:t>11.</w:t>
      </w:r>
      <w:r w:rsidR="00F417F4" w:rsidRPr="001F297A">
        <w:rPr>
          <w:rStyle w:val="ref-label"/>
          <w:rFonts w:asciiTheme="minorHAnsi" w:hAnsiTheme="minorHAnsi" w:cs="Arial"/>
          <w:color w:val="000000"/>
          <w:sz w:val="20"/>
          <w:szCs w:val="20"/>
        </w:rPr>
        <w:t xml:space="preserve"> Hochberg MC, Ross PD, Black D, et al. Larger increases in bone mineral density during alendronate therapy are associated with a lower risk of new vertebral fractures in women with postmenopausal osteoporosis. Fracture Intervention Trial Research Group. Arthritis Rheum 1999; 42:1246. </w:t>
      </w:r>
    </w:p>
    <w:p w14:paraId="2A9B98A8" w14:textId="130B019F" w:rsidR="00F417F4" w:rsidRPr="001F297A" w:rsidRDefault="001F297A" w:rsidP="003F788A">
      <w:pPr>
        <w:pStyle w:val="bulletindent1"/>
        <w:spacing w:before="120" w:beforeAutospacing="0" w:afterLines="60" w:after="144" w:afterAutospacing="0"/>
        <w:rPr>
          <w:rStyle w:val="ref-label"/>
          <w:rFonts w:asciiTheme="minorHAnsi" w:hAnsiTheme="minorHAnsi" w:cs="Arial"/>
          <w:color w:val="000000"/>
          <w:sz w:val="20"/>
          <w:szCs w:val="20"/>
        </w:rPr>
      </w:pPr>
      <w:r w:rsidRPr="001F297A">
        <w:rPr>
          <w:rStyle w:val="ref-label"/>
          <w:rFonts w:asciiTheme="minorHAnsi" w:hAnsiTheme="minorHAnsi" w:cs="Arial"/>
          <w:color w:val="000000"/>
          <w:sz w:val="20"/>
          <w:szCs w:val="20"/>
        </w:rPr>
        <w:t>12.</w:t>
      </w:r>
      <w:r w:rsidR="00F417F4" w:rsidRPr="001F297A">
        <w:rPr>
          <w:rStyle w:val="ref-label"/>
          <w:rFonts w:asciiTheme="minorHAnsi" w:hAnsiTheme="minorHAnsi" w:cs="Arial"/>
          <w:color w:val="000000"/>
          <w:sz w:val="20"/>
          <w:szCs w:val="20"/>
        </w:rPr>
        <w:t xml:space="preserve"> Hochberg MC, Greenspan S, </w:t>
      </w:r>
      <w:proofErr w:type="spellStart"/>
      <w:r w:rsidR="00F417F4" w:rsidRPr="001F297A">
        <w:rPr>
          <w:rStyle w:val="ref-label"/>
          <w:rFonts w:asciiTheme="minorHAnsi" w:hAnsiTheme="minorHAnsi" w:cs="Arial"/>
          <w:color w:val="000000"/>
          <w:sz w:val="20"/>
          <w:szCs w:val="20"/>
        </w:rPr>
        <w:t>Wasnich</w:t>
      </w:r>
      <w:proofErr w:type="spellEnd"/>
      <w:r w:rsidR="00F417F4" w:rsidRPr="001F297A">
        <w:rPr>
          <w:rStyle w:val="ref-label"/>
          <w:rFonts w:asciiTheme="minorHAnsi" w:hAnsiTheme="minorHAnsi" w:cs="Arial"/>
          <w:color w:val="000000"/>
          <w:sz w:val="20"/>
          <w:szCs w:val="20"/>
        </w:rPr>
        <w:t xml:space="preserve"> RD, et al. Changes in bone density and turnover explain the reductions in incidence of nonvertebral fractures that occur during treatment with antiresorptive agents. J Clin Endocrinol </w:t>
      </w:r>
      <w:proofErr w:type="spellStart"/>
      <w:r w:rsidR="00F417F4" w:rsidRPr="001F297A">
        <w:rPr>
          <w:rStyle w:val="ref-label"/>
          <w:rFonts w:asciiTheme="minorHAnsi" w:hAnsiTheme="minorHAnsi" w:cs="Arial"/>
          <w:color w:val="000000"/>
          <w:sz w:val="20"/>
          <w:szCs w:val="20"/>
        </w:rPr>
        <w:t>Metab</w:t>
      </w:r>
      <w:proofErr w:type="spellEnd"/>
      <w:r w:rsidR="00F417F4" w:rsidRPr="001F297A">
        <w:rPr>
          <w:rStyle w:val="ref-label"/>
          <w:rFonts w:asciiTheme="minorHAnsi" w:hAnsiTheme="minorHAnsi" w:cs="Arial"/>
          <w:color w:val="000000"/>
          <w:sz w:val="20"/>
          <w:szCs w:val="20"/>
        </w:rPr>
        <w:t xml:space="preserve"> 2002; 87:1586. </w:t>
      </w:r>
    </w:p>
    <w:p w14:paraId="2E3C2745" w14:textId="37EDB101" w:rsidR="00F417F4" w:rsidRPr="001F297A" w:rsidRDefault="001F297A" w:rsidP="003F788A">
      <w:pPr>
        <w:pStyle w:val="bulletindent1"/>
        <w:spacing w:before="120" w:beforeAutospacing="0" w:afterLines="60" w:after="144" w:afterAutospacing="0"/>
        <w:rPr>
          <w:rStyle w:val="ref-label"/>
          <w:rFonts w:asciiTheme="minorHAnsi" w:hAnsiTheme="minorHAnsi" w:cs="Arial"/>
          <w:color w:val="000000"/>
          <w:sz w:val="20"/>
          <w:szCs w:val="20"/>
        </w:rPr>
      </w:pPr>
      <w:r w:rsidRPr="001F297A">
        <w:rPr>
          <w:rStyle w:val="ref-label"/>
          <w:rFonts w:asciiTheme="minorHAnsi" w:hAnsiTheme="minorHAnsi" w:cs="Arial"/>
          <w:color w:val="000000"/>
          <w:sz w:val="20"/>
          <w:szCs w:val="20"/>
        </w:rPr>
        <w:lastRenderedPageBreak/>
        <w:t>13.</w:t>
      </w:r>
      <w:r w:rsidR="00F417F4" w:rsidRPr="001F297A">
        <w:rPr>
          <w:rStyle w:val="ref-label"/>
          <w:rFonts w:asciiTheme="minorHAnsi" w:hAnsiTheme="minorHAnsi" w:cs="Arial"/>
          <w:color w:val="000000"/>
          <w:sz w:val="20"/>
          <w:szCs w:val="20"/>
        </w:rPr>
        <w:t xml:space="preserve"> </w:t>
      </w:r>
      <w:proofErr w:type="spellStart"/>
      <w:r w:rsidR="00F417F4" w:rsidRPr="001F297A">
        <w:rPr>
          <w:rStyle w:val="ref-label"/>
          <w:rFonts w:asciiTheme="minorHAnsi" w:hAnsiTheme="minorHAnsi" w:cs="Arial"/>
          <w:color w:val="000000"/>
          <w:sz w:val="20"/>
          <w:szCs w:val="20"/>
        </w:rPr>
        <w:t>Eastell</w:t>
      </w:r>
      <w:proofErr w:type="spellEnd"/>
      <w:r w:rsidR="00F417F4" w:rsidRPr="001F297A">
        <w:rPr>
          <w:rStyle w:val="ref-label"/>
          <w:rFonts w:asciiTheme="minorHAnsi" w:hAnsiTheme="minorHAnsi" w:cs="Arial"/>
          <w:color w:val="000000"/>
          <w:sz w:val="20"/>
          <w:szCs w:val="20"/>
        </w:rPr>
        <w:t xml:space="preserve"> R, </w:t>
      </w:r>
      <w:proofErr w:type="spellStart"/>
      <w:r w:rsidR="00F417F4" w:rsidRPr="001F297A">
        <w:rPr>
          <w:rStyle w:val="ref-label"/>
          <w:rFonts w:asciiTheme="minorHAnsi" w:hAnsiTheme="minorHAnsi" w:cs="Arial"/>
          <w:color w:val="000000"/>
          <w:sz w:val="20"/>
          <w:szCs w:val="20"/>
        </w:rPr>
        <w:t>Vrijens</w:t>
      </w:r>
      <w:proofErr w:type="spellEnd"/>
      <w:r w:rsidR="00F417F4" w:rsidRPr="001F297A">
        <w:rPr>
          <w:rStyle w:val="ref-label"/>
          <w:rFonts w:asciiTheme="minorHAnsi" w:hAnsiTheme="minorHAnsi" w:cs="Arial"/>
          <w:color w:val="000000"/>
          <w:sz w:val="20"/>
          <w:szCs w:val="20"/>
        </w:rPr>
        <w:t xml:space="preserve"> B, </w:t>
      </w:r>
      <w:proofErr w:type="spellStart"/>
      <w:r w:rsidR="00F417F4" w:rsidRPr="001F297A">
        <w:rPr>
          <w:rStyle w:val="ref-label"/>
          <w:rFonts w:asciiTheme="minorHAnsi" w:hAnsiTheme="minorHAnsi" w:cs="Arial"/>
          <w:color w:val="000000"/>
          <w:sz w:val="20"/>
          <w:szCs w:val="20"/>
        </w:rPr>
        <w:t>Cahall</w:t>
      </w:r>
      <w:proofErr w:type="spellEnd"/>
      <w:r w:rsidR="00F417F4" w:rsidRPr="001F297A">
        <w:rPr>
          <w:rStyle w:val="ref-label"/>
          <w:rFonts w:asciiTheme="minorHAnsi" w:hAnsiTheme="minorHAnsi" w:cs="Arial"/>
          <w:color w:val="000000"/>
          <w:sz w:val="20"/>
          <w:szCs w:val="20"/>
        </w:rPr>
        <w:t xml:space="preserve"> DL, et al. Bone turnover markers and bone mineral density response with risedronate therapy: relationship with fracture risk and patient adherence. J Bone Miner Res 2011; 26:1662.</w:t>
      </w:r>
    </w:p>
    <w:p w14:paraId="54BB4B6C" w14:textId="4D717FB9" w:rsidR="00F417F4" w:rsidRPr="001F297A" w:rsidRDefault="001F297A" w:rsidP="003F788A">
      <w:pPr>
        <w:pStyle w:val="bulletindent1"/>
        <w:spacing w:before="120" w:beforeAutospacing="0" w:afterLines="60" w:after="144" w:afterAutospacing="0"/>
        <w:rPr>
          <w:rStyle w:val="ref-label"/>
          <w:rFonts w:asciiTheme="minorHAnsi" w:hAnsiTheme="minorHAnsi" w:cs="Arial"/>
          <w:color w:val="000000"/>
          <w:sz w:val="20"/>
          <w:szCs w:val="20"/>
        </w:rPr>
      </w:pPr>
      <w:r w:rsidRPr="001F297A">
        <w:rPr>
          <w:rStyle w:val="ref-label"/>
          <w:rFonts w:asciiTheme="minorHAnsi" w:hAnsiTheme="minorHAnsi" w:cs="Arial"/>
          <w:color w:val="000000"/>
          <w:sz w:val="20"/>
          <w:szCs w:val="20"/>
        </w:rPr>
        <w:t>14.</w:t>
      </w:r>
      <w:r w:rsidR="00F417F4" w:rsidRPr="001F297A">
        <w:rPr>
          <w:rStyle w:val="ref-label"/>
          <w:rFonts w:asciiTheme="minorHAnsi" w:hAnsiTheme="minorHAnsi" w:cs="Arial"/>
          <w:color w:val="000000"/>
          <w:sz w:val="20"/>
          <w:szCs w:val="20"/>
        </w:rPr>
        <w:t xml:space="preserve"> Sarkar S, </w:t>
      </w:r>
      <w:proofErr w:type="spellStart"/>
      <w:r w:rsidR="00F417F4" w:rsidRPr="001F297A">
        <w:rPr>
          <w:rStyle w:val="ref-label"/>
          <w:rFonts w:asciiTheme="minorHAnsi" w:hAnsiTheme="minorHAnsi" w:cs="Arial"/>
          <w:color w:val="000000"/>
          <w:sz w:val="20"/>
          <w:szCs w:val="20"/>
        </w:rPr>
        <w:t>Mitlak</w:t>
      </w:r>
      <w:proofErr w:type="spellEnd"/>
      <w:r w:rsidR="00F417F4" w:rsidRPr="001F297A">
        <w:rPr>
          <w:rStyle w:val="ref-label"/>
          <w:rFonts w:asciiTheme="minorHAnsi" w:hAnsiTheme="minorHAnsi" w:cs="Arial"/>
          <w:color w:val="000000"/>
          <w:sz w:val="20"/>
          <w:szCs w:val="20"/>
        </w:rPr>
        <w:t xml:space="preserve"> BH, Wong M, et al. Relationships between bone mineral density and incident vertebral fracture risk with raloxifene therapy. J Bone Miner Res 2002; 17:1. </w:t>
      </w:r>
    </w:p>
    <w:p w14:paraId="055EFE17" w14:textId="77777777" w:rsidR="00F417F4" w:rsidRPr="0060697D" w:rsidRDefault="00F417F4" w:rsidP="00913CA4">
      <w:pPr>
        <w:pStyle w:val="Heading3"/>
      </w:pPr>
      <w:r w:rsidRPr="0060697D">
        <w:t>Efficacy of FRAX</w:t>
      </w:r>
    </w:p>
    <w:p w14:paraId="28465A86" w14:textId="270CACCF" w:rsidR="00F417F4" w:rsidRPr="0060697D" w:rsidRDefault="001F297A" w:rsidP="003F788A">
      <w:pPr>
        <w:spacing w:before="120" w:afterLines="60" w:after="144"/>
        <w:rPr>
          <w:rFonts w:cs="Arial"/>
          <w:sz w:val="20"/>
          <w:szCs w:val="20"/>
        </w:rPr>
      </w:pPr>
      <w:r>
        <w:rPr>
          <w:rFonts w:cs="Arial"/>
          <w:sz w:val="20"/>
          <w:szCs w:val="20"/>
        </w:rPr>
        <w:t>15.</w:t>
      </w:r>
      <w:r w:rsidR="00F417F4" w:rsidRPr="0060697D">
        <w:rPr>
          <w:rFonts w:cs="Arial"/>
          <w:sz w:val="20"/>
          <w:szCs w:val="20"/>
        </w:rPr>
        <w:t xml:space="preserve"> </w:t>
      </w:r>
      <w:proofErr w:type="spellStart"/>
      <w:r w:rsidR="00227512" w:rsidRPr="008E53F9">
        <w:rPr>
          <w:rFonts w:cs="Arial"/>
          <w:sz w:val="20"/>
          <w:szCs w:val="20"/>
        </w:rPr>
        <w:t>Kanis</w:t>
      </w:r>
      <w:proofErr w:type="spellEnd"/>
      <w:r w:rsidR="00227512" w:rsidRPr="008E53F9">
        <w:rPr>
          <w:rFonts w:cs="Arial"/>
          <w:sz w:val="20"/>
          <w:szCs w:val="20"/>
        </w:rPr>
        <w:t xml:space="preserve"> JA, </w:t>
      </w:r>
      <w:proofErr w:type="spellStart"/>
      <w:r w:rsidR="00227512" w:rsidRPr="008E53F9">
        <w:rPr>
          <w:rFonts w:cs="Arial"/>
          <w:sz w:val="20"/>
          <w:szCs w:val="20"/>
        </w:rPr>
        <w:t>Johnell</w:t>
      </w:r>
      <w:proofErr w:type="spellEnd"/>
      <w:r w:rsidR="00227512" w:rsidRPr="008E53F9">
        <w:rPr>
          <w:rFonts w:cs="Arial"/>
          <w:sz w:val="20"/>
          <w:szCs w:val="20"/>
        </w:rPr>
        <w:t xml:space="preserve"> O, Oden A, et al. FRAX and the assessment of fracture probability in men and women from the UK. </w:t>
      </w:r>
      <w:proofErr w:type="spellStart"/>
      <w:r w:rsidR="00227512" w:rsidRPr="008E53F9">
        <w:rPr>
          <w:rFonts w:cs="Arial"/>
          <w:sz w:val="20"/>
          <w:szCs w:val="20"/>
        </w:rPr>
        <w:t>Osteoporos</w:t>
      </w:r>
      <w:proofErr w:type="spellEnd"/>
      <w:r w:rsidR="00227512" w:rsidRPr="008E53F9">
        <w:rPr>
          <w:rFonts w:cs="Arial"/>
          <w:sz w:val="20"/>
          <w:szCs w:val="20"/>
        </w:rPr>
        <w:t xml:space="preserve"> Int 2008; 19:385.</w:t>
      </w:r>
    </w:p>
    <w:p w14:paraId="2E0B99ED" w14:textId="24B06AA6" w:rsidR="00F417F4" w:rsidRPr="0060697D" w:rsidRDefault="001F297A" w:rsidP="003F788A">
      <w:pPr>
        <w:spacing w:before="120" w:afterLines="60" w:after="144"/>
        <w:rPr>
          <w:rFonts w:cs="Arial"/>
          <w:sz w:val="20"/>
          <w:szCs w:val="20"/>
        </w:rPr>
      </w:pPr>
      <w:r>
        <w:rPr>
          <w:rFonts w:cs="Arial"/>
          <w:sz w:val="20"/>
          <w:szCs w:val="20"/>
        </w:rPr>
        <w:t>16.</w:t>
      </w:r>
      <w:r w:rsidR="00F417F4" w:rsidRPr="0060697D">
        <w:rPr>
          <w:rFonts w:cs="Arial"/>
          <w:sz w:val="20"/>
          <w:szCs w:val="20"/>
        </w:rPr>
        <w:t xml:space="preserve"> Johansson H, </w:t>
      </w:r>
      <w:proofErr w:type="spellStart"/>
      <w:r w:rsidR="00F417F4" w:rsidRPr="0060697D">
        <w:rPr>
          <w:rFonts w:cs="Arial"/>
          <w:sz w:val="20"/>
          <w:szCs w:val="20"/>
        </w:rPr>
        <w:t>Kanis</w:t>
      </w:r>
      <w:proofErr w:type="spellEnd"/>
      <w:r w:rsidR="00F417F4" w:rsidRPr="0060697D">
        <w:rPr>
          <w:rFonts w:cs="Arial"/>
          <w:sz w:val="20"/>
          <w:szCs w:val="20"/>
        </w:rPr>
        <w:t xml:space="preserve"> JA, Oden A, et al. BMD, clinical risk factors and their combination for hip fracture prevention. </w:t>
      </w:r>
      <w:proofErr w:type="spellStart"/>
      <w:r w:rsidR="00F417F4" w:rsidRPr="0060697D">
        <w:rPr>
          <w:rFonts w:cs="Arial"/>
          <w:sz w:val="20"/>
          <w:szCs w:val="20"/>
        </w:rPr>
        <w:t>Osteoporos</w:t>
      </w:r>
      <w:proofErr w:type="spellEnd"/>
      <w:r w:rsidR="00F417F4" w:rsidRPr="0060697D">
        <w:rPr>
          <w:rFonts w:cs="Arial"/>
          <w:sz w:val="20"/>
          <w:szCs w:val="20"/>
        </w:rPr>
        <w:t xml:space="preserve"> Int. 2009; 20(10):1675-82.</w:t>
      </w:r>
    </w:p>
    <w:p w14:paraId="0E1CEB5F" w14:textId="2FEF59BE" w:rsidR="00F417F4" w:rsidRPr="0060697D" w:rsidRDefault="001F297A" w:rsidP="003F788A">
      <w:pPr>
        <w:spacing w:before="120" w:afterLines="60" w:after="144"/>
        <w:rPr>
          <w:rFonts w:cs="Arial"/>
          <w:sz w:val="20"/>
          <w:szCs w:val="20"/>
        </w:rPr>
      </w:pPr>
      <w:r>
        <w:rPr>
          <w:rFonts w:cs="Arial"/>
          <w:sz w:val="20"/>
          <w:szCs w:val="20"/>
        </w:rPr>
        <w:t>17.</w:t>
      </w:r>
      <w:r w:rsidR="00F417F4" w:rsidRPr="0060697D">
        <w:rPr>
          <w:rFonts w:cs="Arial"/>
          <w:sz w:val="20"/>
          <w:szCs w:val="20"/>
        </w:rPr>
        <w:t xml:space="preserve"> Tamaki J, </w:t>
      </w:r>
      <w:proofErr w:type="spellStart"/>
      <w:r w:rsidR="00F417F4" w:rsidRPr="0060697D">
        <w:rPr>
          <w:rFonts w:cs="Arial"/>
          <w:sz w:val="20"/>
          <w:szCs w:val="20"/>
        </w:rPr>
        <w:t>Iki</w:t>
      </w:r>
      <w:proofErr w:type="spellEnd"/>
      <w:r w:rsidR="00F417F4" w:rsidRPr="0060697D">
        <w:rPr>
          <w:rFonts w:cs="Arial"/>
          <w:sz w:val="20"/>
          <w:szCs w:val="20"/>
        </w:rPr>
        <w:t xml:space="preserve"> M, </w:t>
      </w:r>
      <w:proofErr w:type="spellStart"/>
      <w:r w:rsidR="00F417F4" w:rsidRPr="0060697D">
        <w:rPr>
          <w:rFonts w:cs="Arial"/>
          <w:sz w:val="20"/>
          <w:szCs w:val="20"/>
        </w:rPr>
        <w:t>Kadowaki</w:t>
      </w:r>
      <w:proofErr w:type="spellEnd"/>
      <w:r w:rsidR="00F417F4" w:rsidRPr="0060697D">
        <w:rPr>
          <w:rFonts w:cs="Arial"/>
          <w:sz w:val="20"/>
          <w:szCs w:val="20"/>
        </w:rPr>
        <w:t xml:space="preserve"> E, et al. Fracture risk prediction using FRAX: a 10-year follow-up survey of the Japanese Population-Based Osteoporosis Cohort Study. </w:t>
      </w:r>
      <w:proofErr w:type="spellStart"/>
      <w:r w:rsidR="00F417F4" w:rsidRPr="0060697D">
        <w:rPr>
          <w:rFonts w:cs="Arial"/>
          <w:sz w:val="20"/>
          <w:szCs w:val="20"/>
        </w:rPr>
        <w:t>Osteoporos</w:t>
      </w:r>
      <w:proofErr w:type="spellEnd"/>
      <w:r w:rsidR="00F417F4" w:rsidRPr="0060697D">
        <w:rPr>
          <w:rFonts w:cs="Arial"/>
          <w:sz w:val="20"/>
          <w:szCs w:val="20"/>
        </w:rPr>
        <w:t xml:space="preserve"> Int. 2011; 22(12):3037-45.</w:t>
      </w:r>
    </w:p>
    <w:p w14:paraId="067E5FED" w14:textId="566C8415" w:rsidR="00F417F4" w:rsidRPr="0060697D" w:rsidRDefault="001F297A" w:rsidP="003F788A">
      <w:pPr>
        <w:spacing w:before="120" w:afterLines="60" w:after="144"/>
        <w:rPr>
          <w:rFonts w:cs="Arial"/>
          <w:sz w:val="20"/>
          <w:szCs w:val="20"/>
        </w:rPr>
      </w:pPr>
      <w:r>
        <w:rPr>
          <w:rFonts w:cs="Arial"/>
          <w:sz w:val="20"/>
          <w:szCs w:val="20"/>
        </w:rPr>
        <w:t>18.</w:t>
      </w:r>
      <w:r w:rsidR="00F417F4" w:rsidRPr="0060697D">
        <w:rPr>
          <w:rFonts w:cs="Arial"/>
          <w:sz w:val="20"/>
          <w:szCs w:val="20"/>
        </w:rPr>
        <w:t xml:space="preserve"> Cheung EYN, Bow CH, Cheung CL, et al. Discriminative value of FRAX for fracture prediction in a cohort of Chinese postmenopausal women. </w:t>
      </w:r>
      <w:proofErr w:type="spellStart"/>
      <w:r w:rsidR="00F417F4" w:rsidRPr="0060697D">
        <w:rPr>
          <w:rFonts w:cs="Arial"/>
          <w:sz w:val="20"/>
          <w:szCs w:val="20"/>
        </w:rPr>
        <w:t>Osteoporos</w:t>
      </w:r>
      <w:proofErr w:type="spellEnd"/>
      <w:r w:rsidR="00F417F4" w:rsidRPr="0060697D">
        <w:rPr>
          <w:rFonts w:cs="Arial"/>
          <w:sz w:val="20"/>
          <w:szCs w:val="20"/>
        </w:rPr>
        <w:t xml:space="preserve"> Int. 2012; 23:871-78.</w:t>
      </w:r>
    </w:p>
    <w:p w14:paraId="3932B45B" w14:textId="454A8A70" w:rsidR="00F417F4" w:rsidRPr="0060697D" w:rsidRDefault="001F297A" w:rsidP="003F788A">
      <w:pPr>
        <w:spacing w:before="120" w:afterLines="60" w:after="144"/>
        <w:rPr>
          <w:rFonts w:cs="Arial"/>
          <w:sz w:val="20"/>
          <w:szCs w:val="20"/>
        </w:rPr>
      </w:pPr>
      <w:r>
        <w:rPr>
          <w:rFonts w:cs="Arial"/>
          <w:sz w:val="20"/>
          <w:szCs w:val="20"/>
        </w:rPr>
        <w:t>19.</w:t>
      </w:r>
      <w:r w:rsidR="00F417F4" w:rsidRPr="0060697D">
        <w:rPr>
          <w:rFonts w:cs="Arial"/>
          <w:sz w:val="20"/>
          <w:szCs w:val="20"/>
        </w:rPr>
        <w:t xml:space="preserve"> Leslie WD, Majumdar SR, </w:t>
      </w:r>
      <w:proofErr w:type="spellStart"/>
      <w:r w:rsidR="00F417F4" w:rsidRPr="0060697D">
        <w:rPr>
          <w:rFonts w:cs="Arial"/>
          <w:sz w:val="20"/>
          <w:szCs w:val="20"/>
        </w:rPr>
        <w:t>Lix</w:t>
      </w:r>
      <w:proofErr w:type="spellEnd"/>
      <w:r w:rsidR="00F417F4" w:rsidRPr="0060697D">
        <w:rPr>
          <w:rFonts w:cs="Arial"/>
          <w:sz w:val="20"/>
          <w:szCs w:val="20"/>
        </w:rPr>
        <w:t xml:space="preserve"> LM, et al. High fracture probability with FRAX usually indicates densitometric osteoporosis: implications for clinical practice. </w:t>
      </w:r>
      <w:proofErr w:type="spellStart"/>
      <w:r w:rsidR="00F417F4" w:rsidRPr="0060697D">
        <w:rPr>
          <w:rFonts w:cs="Arial"/>
          <w:sz w:val="20"/>
          <w:szCs w:val="20"/>
        </w:rPr>
        <w:t>Osteoporos</w:t>
      </w:r>
      <w:proofErr w:type="spellEnd"/>
      <w:r w:rsidR="00F417F4" w:rsidRPr="0060697D">
        <w:rPr>
          <w:rFonts w:cs="Arial"/>
          <w:sz w:val="20"/>
          <w:szCs w:val="20"/>
        </w:rPr>
        <w:t xml:space="preserve"> Int 2012; 23(1):391-7.</w:t>
      </w:r>
    </w:p>
    <w:p w14:paraId="693DD5CE" w14:textId="77777777" w:rsidR="00F417F4" w:rsidRPr="0060697D" w:rsidRDefault="00F417F4" w:rsidP="00913CA4">
      <w:pPr>
        <w:pStyle w:val="Heading3"/>
      </w:pPr>
      <w:r w:rsidRPr="0060697D">
        <w:t>Guidelines</w:t>
      </w:r>
    </w:p>
    <w:p w14:paraId="04403C5F" w14:textId="77777777" w:rsidR="00F417F4" w:rsidRPr="0060697D" w:rsidRDefault="00F417F4" w:rsidP="003F788A">
      <w:pPr>
        <w:spacing w:before="120" w:afterLines="60" w:after="144"/>
        <w:rPr>
          <w:rFonts w:cs="Arial"/>
          <w:color w:val="000000"/>
          <w:sz w:val="20"/>
          <w:szCs w:val="20"/>
          <w:shd w:val="clear" w:color="auto" w:fill="FFFFFF"/>
        </w:rPr>
      </w:pPr>
      <w:r w:rsidRPr="00DF427A">
        <w:rPr>
          <w:rFonts w:cs="Arial"/>
          <w:color w:val="000000"/>
          <w:sz w:val="20"/>
          <w:szCs w:val="20"/>
          <w:u w:val="single"/>
          <w:shd w:val="clear" w:color="auto" w:fill="FFFFFF"/>
        </w:rPr>
        <w:t>Royal Australian College of General Practitioners</w:t>
      </w:r>
      <w:r w:rsidRPr="0060697D">
        <w:rPr>
          <w:rFonts w:cs="Arial"/>
          <w:color w:val="000000"/>
          <w:sz w:val="20"/>
          <w:szCs w:val="20"/>
          <w:shd w:val="clear" w:color="auto" w:fill="FFFFFF"/>
        </w:rPr>
        <w:t>. (2012)</w:t>
      </w:r>
      <w:r w:rsidRPr="0060697D">
        <w:rPr>
          <w:rStyle w:val="apple-converted-space"/>
          <w:rFonts w:cs="Arial"/>
          <w:color w:val="000000"/>
          <w:sz w:val="20"/>
          <w:szCs w:val="20"/>
          <w:shd w:val="clear" w:color="auto" w:fill="FFFFFF"/>
        </w:rPr>
        <w:t> </w:t>
      </w:r>
      <w:r w:rsidRPr="0060697D">
        <w:rPr>
          <w:rFonts w:cs="Arial"/>
          <w:iCs/>
          <w:color w:val="000000"/>
          <w:sz w:val="20"/>
          <w:szCs w:val="20"/>
          <w:shd w:val="clear" w:color="auto" w:fill="FFFFFF"/>
        </w:rPr>
        <w:t>Guidelines for preventive activities in general practice</w:t>
      </w:r>
      <w:r w:rsidRPr="0060697D">
        <w:rPr>
          <w:rFonts w:cs="Arial"/>
          <w:color w:val="000000"/>
          <w:sz w:val="20"/>
          <w:szCs w:val="20"/>
          <w:shd w:val="clear" w:color="auto" w:fill="FFFFFF"/>
        </w:rPr>
        <w:t>, 8th edition, Victoria, Australia: The Royal Australian College of General Practitioners.</w:t>
      </w:r>
    </w:p>
    <w:p w14:paraId="2F58B7A5" w14:textId="77777777" w:rsidR="00F417F4" w:rsidRPr="0060697D" w:rsidRDefault="00F417F4" w:rsidP="003F788A">
      <w:pPr>
        <w:spacing w:before="120" w:afterLines="60" w:after="144"/>
        <w:rPr>
          <w:rFonts w:cs="Arial"/>
          <w:color w:val="000000"/>
          <w:sz w:val="20"/>
          <w:szCs w:val="20"/>
          <w:u w:val="single"/>
          <w:shd w:val="clear" w:color="auto" w:fill="FFFFFF"/>
        </w:rPr>
      </w:pPr>
      <w:r w:rsidRPr="0060697D">
        <w:rPr>
          <w:rFonts w:cs="Arial"/>
          <w:color w:val="000000"/>
          <w:sz w:val="20"/>
          <w:szCs w:val="20"/>
          <w:u w:val="single"/>
          <w:shd w:val="clear" w:color="auto" w:fill="FFFFFF"/>
        </w:rPr>
        <w:t>National Health and Medical Research Council.</w:t>
      </w:r>
      <w:r w:rsidRPr="0060697D">
        <w:rPr>
          <w:rFonts w:cs="Arial"/>
          <w:color w:val="000000"/>
          <w:sz w:val="20"/>
          <w:szCs w:val="20"/>
          <w:shd w:val="clear" w:color="auto" w:fill="FFFFFF"/>
        </w:rPr>
        <w:t xml:space="preserve"> (2010) </w:t>
      </w:r>
      <w:r w:rsidRPr="0060697D">
        <w:rPr>
          <w:rFonts w:cs="Arial"/>
          <w:iCs/>
          <w:color w:val="000000"/>
          <w:sz w:val="20"/>
          <w:szCs w:val="20"/>
          <w:shd w:val="clear" w:color="auto" w:fill="FFFFFF"/>
        </w:rPr>
        <w:t>Clinical guidelines for the prevention and treatment of osteoporosis in postmenopausal women and older men</w:t>
      </w:r>
      <w:r w:rsidRPr="0060697D">
        <w:rPr>
          <w:rFonts w:cs="Arial"/>
          <w:color w:val="000000"/>
          <w:sz w:val="20"/>
          <w:szCs w:val="20"/>
          <w:shd w:val="clear" w:color="auto" w:fill="FFFFFF"/>
        </w:rPr>
        <w:t>. Victoria, Australia: The Royal Australian College of General Practitioners</w:t>
      </w:r>
    </w:p>
    <w:p w14:paraId="7989F214" w14:textId="77777777" w:rsidR="00F417F4" w:rsidRPr="0060697D" w:rsidRDefault="00F417F4" w:rsidP="003F788A">
      <w:pPr>
        <w:spacing w:before="120" w:afterLines="60" w:after="144"/>
        <w:rPr>
          <w:rFonts w:cs="Arial"/>
          <w:color w:val="000000"/>
          <w:sz w:val="20"/>
          <w:szCs w:val="20"/>
          <w:shd w:val="clear" w:color="auto" w:fill="FFFFFF"/>
        </w:rPr>
      </w:pPr>
      <w:r w:rsidRPr="0060697D">
        <w:rPr>
          <w:rFonts w:cs="Arial"/>
          <w:color w:val="000000"/>
          <w:sz w:val="20"/>
          <w:szCs w:val="20"/>
          <w:u w:val="single"/>
          <w:shd w:val="clear" w:color="auto" w:fill="FFFFFF"/>
        </w:rPr>
        <w:t>U.S. Preventive Services Task Force</w:t>
      </w:r>
      <w:r w:rsidRPr="0060697D">
        <w:rPr>
          <w:rFonts w:cs="Arial"/>
          <w:color w:val="000000"/>
          <w:sz w:val="20"/>
          <w:szCs w:val="20"/>
          <w:shd w:val="clear" w:color="auto" w:fill="FFFFFF"/>
        </w:rPr>
        <w:t xml:space="preserve"> (2011) Screening for Osteoporosis: U.S. Preventive Services Task Force Recommendation Statement,</w:t>
      </w:r>
      <w:r w:rsidRPr="0060697D">
        <w:rPr>
          <w:rStyle w:val="apple-converted-space"/>
          <w:rFonts w:cs="Arial"/>
          <w:color w:val="000000"/>
          <w:sz w:val="20"/>
          <w:szCs w:val="20"/>
          <w:shd w:val="clear" w:color="auto" w:fill="FFFFFF"/>
        </w:rPr>
        <w:t> </w:t>
      </w:r>
      <w:r w:rsidRPr="0060697D">
        <w:rPr>
          <w:rFonts w:cs="Arial"/>
          <w:iCs/>
          <w:color w:val="000000"/>
          <w:sz w:val="20"/>
          <w:szCs w:val="20"/>
          <w:shd w:val="clear" w:color="auto" w:fill="FFFFFF"/>
        </w:rPr>
        <w:t>Annals of Internal Medicine,</w:t>
      </w:r>
      <w:r w:rsidRPr="0060697D">
        <w:rPr>
          <w:rStyle w:val="apple-converted-space"/>
          <w:rFonts w:cs="Arial"/>
          <w:iCs/>
          <w:color w:val="000000"/>
          <w:sz w:val="20"/>
          <w:szCs w:val="20"/>
          <w:shd w:val="clear" w:color="auto" w:fill="FFFFFF"/>
        </w:rPr>
        <w:t> </w:t>
      </w:r>
      <w:r w:rsidRPr="0060697D">
        <w:rPr>
          <w:rFonts w:cs="Arial"/>
          <w:color w:val="000000"/>
          <w:sz w:val="20"/>
          <w:szCs w:val="20"/>
          <w:shd w:val="clear" w:color="auto" w:fill="FFFFFF"/>
        </w:rPr>
        <w:t>154(5), pp. 356-365.</w:t>
      </w:r>
    </w:p>
    <w:p w14:paraId="3C18F1DC" w14:textId="77777777" w:rsidR="00F417F4" w:rsidRPr="0060697D" w:rsidRDefault="00F417F4" w:rsidP="003F788A">
      <w:pPr>
        <w:spacing w:before="120" w:afterLines="60" w:after="144"/>
        <w:rPr>
          <w:rFonts w:cs="Arial"/>
          <w:color w:val="000000"/>
          <w:sz w:val="20"/>
          <w:szCs w:val="20"/>
          <w:shd w:val="clear" w:color="auto" w:fill="FFFFFF"/>
        </w:rPr>
      </w:pPr>
      <w:r w:rsidRPr="0060697D">
        <w:rPr>
          <w:rFonts w:cs="Arial"/>
          <w:color w:val="000000"/>
          <w:sz w:val="20"/>
          <w:szCs w:val="20"/>
          <w:u w:val="single"/>
          <w:shd w:val="clear" w:color="auto" w:fill="FFFFFF"/>
        </w:rPr>
        <w:t>National Osteoporosis Foundation</w:t>
      </w:r>
      <w:r w:rsidRPr="0060697D">
        <w:rPr>
          <w:rFonts w:cs="Arial"/>
          <w:color w:val="000000"/>
          <w:sz w:val="20"/>
          <w:szCs w:val="20"/>
          <w:shd w:val="clear" w:color="auto" w:fill="FFFFFF"/>
        </w:rPr>
        <w:t xml:space="preserve"> (2014)</w:t>
      </w:r>
      <w:r w:rsidRPr="0060697D">
        <w:rPr>
          <w:rStyle w:val="apple-converted-space"/>
          <w:rFonts w:cs="Arial"/>
          <w:color w:val="000000"/>
          <w:sz w:val="20"/>
          <w:szCs w:val="20"/>
          <w:shd w:val="clear" w:color="auto" w:fill="FFFFFF"/>
        </w:rPr>
        <w:t> </w:t>
      </w:r>
      <w:r w:rsidRPr="0060697D">
        <w:rPr>
          <w:rFonts w:cs="Arial"/>
          <w:iCs/>
          <w:color w:val="000000"/>
          <w:sz w:val="20"/>
          <w:szCs w:val="20"/>
          <w:shd w:val="clear" w:color="auto" w:fill="FFFFFF"/>
        </w:rPr>
        <w:t>Clinician’s Guide to Prevention and Treatment of Osteoporosis</w:t>
      </w:r>
      <w:r w:rsidRPr="0060697D">
        <w:rPr>
          <w:rFonts w:cs="Arial"/>
          <w:color w:val="000000"/>
          <w:sz w:val="20"/>
          <w:szCs w:val="20"/>
          <w:shd w:val="clear" w:color="auto" w:fill="FFFFFF"/>
        </w:rPr>
        <w:t>, Washington, DC: National Osteoporosis Foundation.</w:t>
      </w:r>
    </w:p>
    <w:p w14:paraId="240363DC" w14:textId="77777777" w:rsidR="00F417F4" w:rsidRPr="0060697D" w:rsidRDefault="00F417F4" w:rsidP="003F788A">
      <w:pPr>
        <w:spacing w:before="120" w:afterLines="60" w:after="144"/>
        <w:rPr>
          <w:rFonts w:cs="Arial"/>
          <w:color w:val="000000"/>
          <w:sz w:val="20"/>
          <w:szCs w:val="20"/>
          <w:shd w:val="clear" w:color="auto" w:fill="FFFFFF"/>
        </w:rPr>
      </w:pPr>
      <w:r w:rsidRPr="0060697D">
        <w:rPr>
          <w:rFonts w:cs="Arial"/>
          <w:color w:val="000000"/>
          <w:sz w:val="20"/>
          <w:szCs w:val="20"/>
          <w:u w:val="single"/>
          <w:shd w:val="clear" w:color="auto" w:fill="FFFFFF"/>
        </w:rPr>
        <w:t>International Society for Clinical Densitometry</w:t>
      </w:r>
      <w:r w:rsidRPr="0060697D">
        <w:rPr>
          <w:rFonts w:cs="Arial"/>
          <w:color w:val="000000"/>
          <w:sz w:val="20"/>
          <w:szCs w:val="20"/>
          <w:shd w:val="clear" w:color="auto" w:fill="FFFFFF"/>
        </w:rPr>
        <w:t xml:space="preserve"> (2010) </w:t>
      </w:r>
      <w:r w:rsidRPr="0060697D">
        <w:rPr>
          <w:rFonts w:cs="Arial"/>
          <w:iCs/>
          <w:color w:val="000000"/>
          <w:sz w:val="20"/>
          <w:szCs w:val="20"/>
          <w:shd w:val="clear" w:color="auto" w:fill="FFFFFF"/>
        </w:rPr>
        <w:t>Interpretation and Use of FRAX in Clinical Practice,</w:t>
      </w:r>
      <w:r w:rsidRPr="0060697D">
        <w:rPr>
          <w:rStyle w:val="apple-converted-space"/>
          <w:rFonts w:cs="Arial"/>
          <w:iCs/>
          <w:color w:val="000000"/>
          <w:sz w:val="20"/>
          <w:szCs w:val="20"/>
          <w:shd w:val="clear" w:color="auto" w:fill="FFFFFF"/>
        </w:rPr>
        <w:t> </w:t>
      </w:r>
      <w:r w:rsidRPr="0060697D">
        <w:rPr>
          <w:rFonts w:cs="Arial"/>
          <w:color w:val="000000"/>
          <w:sz w:val="20"/>
          <w:szCs w:val="20"/>
          <w:shd w:val="clear" w:color="auto" w:fill="FFFFFF"/>
        </w:rPr>
        <w:t>Available at:</w:t>
      </w:r>
      <w:r w:rsidRPr="0060697D">
        <w:rPr>
          <w:rFonts w:cs="Arial"/>
          <w:iCs/>
          <w:color w:val="000000"/>
          <w:sz w:val="20"/>
          <w:szCs w:val="20"/>
          <w:shd w:val="clear" w:color="auto" w:fill="FFFFFF"/>
        </w:rPr>
        <w:t>http://www.iscd.org/wp-content/uploads/2012/10/Official-Positions-ISCD-IOF-FRAX.pdf</w:t>
      </w:r>
      <w:r w:rsidRPr="0060697D">
        <w:rPr>
          <w:rStyle w:val="apple-converted-space"/>
          <w:rFonts w:cs="Arial"/>
          <w:color w:val="000000"/>
          <w:sz w:val="20"/>
          <w:szCs w:val="20"/>
          <w:shd w:val="clear" w:color="auto" w:fill="FFFFFF"/>
        </w:rPr>
        <w:t> </w:t>
      </w:r>
      <w:r w:rsidRPr="0060697D">
        <w:rPr>
          <w:rFonts w:cs="Arial"/>
          <w:color w:val="000000"/>
          <w:sz w:val="20"/>
          <w:szCs w:val="20"/>
          <w:shd w:val="clear" w:color="auto" w:fill="FFFFFF"/>
        </w:rPr>
        <w:t>(Accessed: 28th August 2015).</w:t>
      </w:r>
    </w:p>
    <w:p w14:paraId="311AA7B8" w14:textId="77777777" w:rsidR="00F417F4" w:rsidRPr="0060697D" w:rsidRDefault="00F417F4" w:rsidP="003F788A">
      <w:pPr>
        <w:spacing w:before="120" w:afterLines="60" w:after="144"/>
        <w:rPr>
          <w:rFonts w:cs="Arial"/>
          <w:color w:val="000000"/>
          <w:sz w:val="20"/>
          <w:szCs w:val="20"/>
          <w:shd w:val="clear" w:color="auto" w:fill="FFFFFF"/>
        </w:rPr>
      </w:pPr>
      <w:r w:rsidRPr="0060697D">
        <w:rPr>
          <w:rFonts w:cs="Arial"/>
          <w:color w:val="000000"/>
          <w:sz w:val="20"/>
          <w:szCs w:val="20"/>
          <w:u w:val="single"/>
          <w:shd w:val="clear" w:color="auto" w:fill="FFFFFF"/>
        </w:rPr>
        <w:t>International Society for Clinical Densitometry</w:t>
      </w:r>
      <w:r w:rsidRPr="0060697D">
        <w:rPr>
          <w:rFonts w:cs="Arial"/>
          <w:color w:val="000000"/>
          <w:sz w:val="20"/>
          <w:szCs w:val="20"/>
          <w:shd w:val="clear" w:color="auto" w:fill="FFFFFF"/>
        </w:rPr>
        <w:t xml:space="preserve"> (2015)</w:t>
      </w:r>
      <w:r w:rsidRPr="0060697D">
        <w:rPr>
          <w:rStyle w:val="apple-converted-space"/>
          <w:rFonts w:cs="Arial"/>
          <w:color w:val="000000"/>
          <w:sz w:val="20"/>
          <w:szCs w:val="20"/>
          <w:shd w:val="clear" w:color="auto" w:fill="FFFFFF"/>
        </w:rPr>
        <w:t> </w:t>
      </w:r>
      <w:r w:rsidRPr="0060697D">
        <w:rPr>
          <w:rFonts w:cs="Arial"/>
          <w:iCs/>
          <w:color w:val="000000"/>
          <w:sz w:val="20"/>
          <w:szCs w:val="20"/>
          <w:shd w:val="clear" w:color="auto" w:fill="FFFFFF"/>
        </w:rPr>
        <w:t>2015 ISCD Official Positions – Adult,</w:t>
      </w:r>
      <w:r w:rsidRPr="0060697D">
        <w:rPr>
          <w:rStyle w:val="apple-converted-space"/>
          <w:rFonts w:cs="Arial"/>
          <w:iCs/>
          <w:color w:val="000000"/>
          <w:sz w:val="20"/>
          <w:szCs w:val="20"/>
          <w:shd w:val="clear" w:color="auto" w:fill="FFFFFF"/>
        </w:rPr>
        <w:t> </w:t>
      </w:r>
      <w:r w:rsidRPr="0060697D">
        <w:rPr>
          <w:rFonts w:cs="Arial"/>
          <w:color w:val="000000"/>
          <w:sz w:val="20"/>
          <w:szCs w:val="20"/>
          <w:shd w:val="clear" w:color="auto" w:fill="FFFFFF"/>
        </w:rPr>
        <w:t>Available at:</w:t>
      </w:r>
      <w:r w:rsidRPr="0060697D">
        <w:rPr>
          <w:rFonts w:cs="Arial"/>
          <w:iCs/>
          <w:color w:val="000000"/>
          <w:sz w:val="20"/>
          <w:szCs w:val="20"/>
          <w:shd w:val="clear" w:color="auto" w:fill="FFFFFF"/>
        </w:rPr>
        <w:t>http://www.iscd.org/official-positions/2015-iscd-official-positions-adult/</w:t>
      </w:r>
      <w:r w:rsidRPr="0060697D">
        <w:rPr>
          <w:rStyle w:val="apple-converted-space"/>
          <w:rFonts w:cs="Arial"/>
          <w:color w:val="000000"/>
          <w:sz w:val="20"/>
          <w:szCs w:val="20"/>
          <w:shd w:val="clear" w:color="auto" w:fill="FFFFFF"/>
        </w:rPr>
        <w:t> </w:t>
      </w:r>
      <w:r w:rsidRPr="0060697D">
        <w:rPr>
          <w:rFonts w:cs="Arial"/>
          <w:color w:val="000000"/>
          <w:sz w:val="20"/>
          <w:szCs w:val="20"/>
          <w:shd w:val="clear" w:color="auto" w:fill="FFFFFF"/>
        </w:rPr>
        <w:t>(Accessed: 25th August 2015).</w:t>
      </w:r>
    </w:p>
    <w:p w14:paraId="66A10B8B" w14:textId="77777777" w:rsidR="00F417F4" w:rsidRPr="0060697D" w:rsidRDefault="00F417F4" w:rsidP="003F788A">
      <w:pPr>
        <w:spacing w:before="120" w:afterLines="60" w:after="144"/>
        <w:rPr>
          <w:rFonts w:cs="Arial"/>
          <w:color w:val="000000"/>
          <w:sz w:val="20"/>
          <w:szCs w:val="20"/>
          <w:shd w:val="clear" w:color="auto" w:fill="FFFFFF"/>
        </w:rPr>
      </w:pPr>
      <w:r w:rsidRPr="0060697D">
        <w:rPr>
          <w:rFonts w:cs="Arial"/>
          <w:color w:val="000000"/>
          <w:sz w:val="20"/>
          <w:szCs w:val="20"/>
          <w:u w:val="single"/>
          <w:shd w:val="clear" w:color="auto" w:fill="FFFFFF"/>
        </w:rPr>
        <w:t>American College of Physicians</w:t>
      </w:r>
      <w:r w:rsidRPr="0060697D">
        <w:rPr>
          <w:rFonts w:cs="Arial"/>
          <w:color w:val="000000"/>
          <w:sz w:val="20"/>
          <w:szCs w:val="20"/>
          <w:shd w:val="clear" w:color="auto" w:fill="FFFFFF"/>
        </w:rPr>
        <w:t xml:space="preserve"> (2014)</w:t>
      </w:r>
      <w:r w:rsidRPr="0060697D">
        <w:rPr>
          <w:rStyle w:val="apple-converted-space"/>
          <w:rFonts w:cs="Arial"/>
          <w:color w:val="000000"/>
          <w:sz w:val="20"/>
          <w:szCs w:val="20"/>
          <w:shd w:val="clear" w:color="auto" w:fill="FFFFFF"/>
        </w:rPr>
        <w:t> </w:t>
      </w:r>
      <w:r w:rsidRPr="0060697D">
        <w:rPr>
          <w:rFonts w:cs="Arial"/>
          <w:iCs/>
          <w:color w:val="000000"/>
          <w:sz w:val="20"/>
          <w:szCs w:val="20"/>
          <w:shd w:val="clear" w:color="auto" w:fill="FFFFFF"/>
        </w:rPr>
        <w:t>Comparative Guideline Table: Screening for Osteoporosis,</w:t>
      </w:r>
      <w:r w:rsidRPr="0060697D">
        <w:rPr>
          <w:rStyle w:val="apple-converted-space"/>
          <w:rFonts w:cs="Arial"/>
          <w:iCs/>
          <w:color w:val="000000"/>
          <w:sz w:val="20"/>
          <w:szCs w:val="20"/>
          <w:shd w:val="clear" w:color="auto" w:fill="FFFFFF"/>
        </w:rPr>
        <w:t> </w:t>
      </w:r>
      <w:r w:rsidRPr="0060697D">
        <w:rPr>
          <w:rFonts w:cs="Arial"/>
          <w:color w:val="000000"/>
          <w:sz w:val="20"/>
          <w:szCs w:val="20"/>
          <w:shd w:val="clear" w:color="auto" w:fill="FFFFFF"/>
        </w:rPr>
        <w:t>Available at:</w:t>
      </w:r>
      <w:r w:rsidRPr="0060697D">
        <w:rPr>
          <w:rFonts w:cs="Arial"/>
          <w:iCs/>
          <w:color w:val="000000"/>
          <w:sz w:val="20"/>
          <w:szCs w:val="20"/>
          <w:shd w:val="clear" w:color="auto" w:fill="FFFFFF"/>
        </w:rPr>
        <w:t>https://www.acponline.org/clinical_information/guidelines/comparative_guidelines/cgtables/tcgd001.pdf</w:t>
      </w:r>
      <w:r w:rsidRPr="0060697D">
        <w:rPr>
          <w:rFonts w:cs="Arial"/>
          <w:color w:val="000000"/>
          <w:sz w:val="20"/>
          <w:szCs w:val="20"/>
          <w:shd w:val="clear" w:color="auto" w:fill="FFFFFF"/>
        </w:rPr>
        <w:t>(Accessed: 25th August 2015).</w:t>
      </w:r>
    </w:p>
    <w:p w14:paraId="4B44BB32" w14:textId="77777777" w:rsidR="00F417F4" w:rsidRPr="0060697D" w:rsidRDefault="00F417F4" w:rsidP="003F788A">
      <w:pPr>
        <w:spacing w:before="120" w:afterLines="60" w:after="144"/>
        <w:rPr>
          <w:rFonts w:cs="Arial"/>
          <w:color w:val="000000"/>
          <w:sz w:val="20"/>
          <w:szCs w:val="20"/>
          <w:shd w:val="clear" w:color="auto" w:fill="FFFFFF"/>
        </w:rPr>
      </w:pPr>
      <w:proofErr w:type="spellStart"/>
      <w:r w:rsidRPr="0060697D">
        <w:rPr>
          <w:rFonts w:cs="Arial"/>
          <w:color w:val="000000"/>
          <w:sz w:val="20"/>
          <w:szCs w:val="20"/>
          <w:shd w:val="clear" w:color="auto" w:fill="FFFFFF"/>
        </w:rPr>
        <w:t>Papaioannou</w:t>
      </w:r>
      <w:proofErr w:type="spellEnd"/>
      <w:r w:rsidRPr="0060697D">
        <w:rPr>
          <w:rFonts w:cs="Arial"/>
          <w:color w:val="000000"/>
          <w:sz w:val="20"/>
          <w:szCs w:val="20"/>
          <w:shd w:val="clear" w:color="auto" w:fill="FFFFFF"/>
        </w:rPr>
        <w:t xml:space="preserve"> A, Morin S, Cheung AM, et al (2010) '2010 clinical practice guidelines for the diagnosis and management of osteoporosis in Canada: summary',</w:t>
      </w:r>
      <w:r w:rsidRPr="0060697D">
        <w:rPr>
          <w:rStyle w:val="apple-converted-space"/>
          <w:rFonts w:cs="Arial"/>
          <w:color w:val="000000"/>
          <w:sz w:val="20"/>
          <w:szCs w:val="20"/>
          <w:shd w:val="clear" w:color="auto" w:fill="FFFFFF"/>
        </w:rPr>
        <w:t> </w:t>
      </w:r>
      <w:r w:rsidRPr="0060697D">
        <w:rPr>
          <w:rFonts w:cs="Arial"/>
          <w:iCs/>
          <w:color w:val="000000"/>
          <w:sz w:val="20"/>
          <w:szCs w:val="20"/>
          <w:u w:val="single"/>
          <w:shd w:val="clear" w:color="auto" w:fill="FFFFFF"/>
        </w:rPr>
        <w:t>Canadian Medical Association</w:t>
      </w:r>
      <w:r w:rsidRPr="0060697D">
        <w:rPr>
          <w:rFonts w:cs="Arial"/>
          <w:iCs/>
          <w:color w:val="000000"/>
          <w:sz w:val="20"/>
          <w:szCs w:val="20"/>
          <w:shd w:val="clear" w:color="auto" w:fill="FFFFFF"/>
        </w:rPr>
        <w:t xml:space="preserve"> Journal,</w:t>
      </w:r>
      <w:r w:rsidRPr="0060697D">
        <w:rPr>
          <w:rStyle w:val="apple-converted-space"/>
          <w:rFonts w:cs="Arial"/>
          <w:iCs/>
          <w:color w:val="000000"/>
          <w:sz w:val="20"/>
          <w:szCs w:val="20"/>
          <w:shd w:val="clear" w:color="auto" w:fill="FFFFFF"/>
        </w:rPr>
        <w:t> </w:t>
      </w:r>
      <w:r w:rsidRPr="0060697D">
        <w:rPr>
          <w:rFonts w:cs="Arial"/>
          <w:color w:val="000000"/>
          <w:sz w:val="20"/>
          <w:szCs w:val="20"/>
          <w:shd w:val="clear" w:color="auto" w:fill="FFFFFF"/>
        </w:rPr>
        <w:t>182(), pp. 1864-1873.</w:t>
      </w:r>
    </w:p>
    <w:p w14:paraId="26CE55FE" w14:textId="77777777" w:rsidR="00F417F4" w:rsidRPr="0060697D" w:rsidRDefault="00F417F4" w:rsidP="003F788A">
      <w:pPr>
        <w:spacing w:before="120" w:afterLines="60" w:after="144"/>
        <w:rPr>
          <w:rFonts w:cs="Arial"/>
          <w:color w:val="000000"/>
          <w:sz w:val="20"/>
          <w:szCs w:val="20"/>
          <w:shd w:val="clear" w:color="auto" w:fill="FFFFFF"/>
        </w:rPr>
      </w:pPr>
      <w:r w:rsidRPr="0060697D">
        <w:rPr>
          <w:rFonts w:cs="Arial"/>
          <w:color w:val="000000"/>
          <w:sz w:val="20"/>
          <w:szCs w:val="20"/>
          <w:u w:val="single"/>
          <w:shd w:val="clear" w:color="auto" w:fill="FFFFFF"/>
        </w:rPr>
        <w:lastRenderedPageBreak/>
        <w:t>National Osteoporosis Guideline Group</w:t>
      </w:r>
      <w:r w:rsidRPr="0060697D">
        <w:rPr>
          <w:rFonts w:cs="Arial"/>
          <w:color w:val="000000"/>
          <w:sz w:val="20"/>
          <w:szCs w:val="20"/>
          <w:shd w:val="clear" w:color="auto" w:fill="FFFFFF"/>
        </w:rPr>
        <w:t xml:space="preserve"> on behalf of the Bone Research Society, British Geriatrics Society, British Orthopaedic Association, British Orthopaedics Research Society, British Society of Rheumatology, National Osteoporosis Society, Osteoporosis 2000, Osteoporosis Dorset, Primary Care Rheumatology Society, Royal College of Physicians and Society for Endocrinology. (2014) </w:t>
      </w:r>
      <w:r w:rsidRPr="0060697D">
        <w:rPr>
          <w:rFonts w:cs="Arial"/>
          <w:iCs/>
          <w:color w:val="000000"/>
          <w:sz w:val="20"/>
          <w:szCs w:val="20"/>
          <w:shd w:val="clear" w:color="auto" w:fill="FFFFFF"/>
        </w:rPr>
        <w:t xml:space="preserve">Osteoporosis Clinical guideline for prevention and treatment, </w:t>
      </w:r>
      <w:r w:rsidRPr="0060697D">
        <w:rPr>
          <w:rFonts w:cs="Arial"/>
          <w:color w:val="000000"/>
          <w:sz w:val="20"/>
          <w:szCs w:val="20"/>
          <w:shd w:val="clear" w:color="auto" w:fill="FFFFFF"/>
        </w:rPr>
        <w:t xml:space="preserve">Available at: </w:t>
      </w:r>
      <w:r w:rsidRPr="0060697D">
        <w:rPr>
          <w:rFonts w:cs="Arial"/>
          <w:iCs/>
          <w:color w:val="000000"/>
          <w:sz w:val="20"/>
          <w:szCs w:val="20"/>
          <w:shd w:val="clear" w:color="auto" w:fill="FFFFFF"/>
        </w:rPr>
        <w:t>http://www.shef.ac.uk/NOGG/NOGG_Executive_Summary.pdf</w:t>
      </w:r>
      <w:r w:rsidRPr="0060697D">
        <w:rPr>
          <w:rFonts w:cs="Arial"/>
          <w:color w:val="000000"/>
          <w:sz w:val="20"/>
          <w:szCs w:val="20"/>
          <w:shd w:val="clear" w:color="auto" w:fill="FFFFFF"/>
        </w:rPr>
        <w:t>(Accessed: 25th August 2015).</w:t>
      </w:r>
    </w:p>
    <w:p w14:paraId="54C5A92B" w14:textId="77777777" w:rsidR="00F417F4" w:rsidRPr="0060697D" w:rsidRDefault="00F417F4" w:rsidP="003F788A">
      <w:pPr>
        <w:spacing w:before="120" w:afterLines="60" w:after="144"/>
        <w:rPr>
          <w:rFonts w:cs="Arial"/>
          <w:color w:val="000000"/>
          <w:sz w:val="20"/>
          <w:szCs w:val="20"/>
          <w:shd w:val="clear" w:color="auto" w:fill="FFFFFF"/>
        </w:rPr>
      </w:pPr>
      <w:r w:rsidRPr="0060697D">
        <w:rPr>
          <w:rFonts w:cs="Arial"/>
          <w:color w:val="000000"/>
          <w:sz w:val="20"/>
          <w:szCs w:val="20"/>
          <w:u w:val="single"/>
          <w:shd w:val="clear" w:color="auto" w:fill="FFFFFF"/>
        </w:rPr>
        <w:t>National Clinical Guideline Centre</w:t>
      </w:r>
      <w:r w:rsidRPr="0060697D">
        <w:rPr>
          <w:rFonts w:cs="Arial"/>
          <w:color w:val="000000"/>
          <w:sz w:val="20"/>
          <w:szCs w:val="20"/>
          <w:shd w:val="clear" w:color="auto" w:fill="FFFFFF"/>
        </w:rPr>
        <w:t xml:space="preserve"> (2012)</w:t>
      </w:r>
      <w:r w:rsidRPr="0060697D">
        <w:rPr>
          <w:rStyle w:val="apple-converted-space"/>
          <w:rFonts w:cs="Arial"/>
          <w:color w:val="000000"/>
          <w:sz w:val="20"/>
          <w:szCs w:val="20"/>
          <w:shd w:val="clear" w:color="auto" w:fill="FFFFFF"/>
        </w:rPr>
        <w:t> </w:t>
      </w:r>
      <w:r w:rsidRPr="0060697D">
        <w:rPr>
          <w:rFonts w:cs="Arial"/>
          <w:iCs/>
          <w:color w:val="000000"/>
          <w:sz w:val="20"/>
          <w:szCs w:val="20"/>
          <w:shd w:val="clear" w:color="auto" w:fill="FFFFFF"/>
        </w:rPr>
        <w:t>Osteoporosis: fragility fracture risk</w:t>
      </w:r>
      <w:r w:rsidRPr="0060697D">
        <w:rPr>
          <w:rFonts w:cs="Arial"/>
          <w:color w:val="000000"/>
          <w:sz w:val="20"/>
          <w:szCs w:val="20"/>
          <w:shd w:val="clear" w:color="auto" w:fill="FFFFFF"/>
        </w:rPr>
        <w:t>, London, UK: National Clinical Guideline Centre.</w:t>
      </w:r>
    </w:p>
    <w:p w14:paraId="3DF7C3CB" w14:textId="4AE8CD1E" w:rsidR="00F417F4" w:rsidRPr="0060697D" w:rsidRDefault="00F417F4" w:rsidP="003F788A">
      <w:pPr>
        <w:spacing w:before="120" w:after="120"/>
        <w:rPr>
          <w:rFonts w:cs="Arial"/>
          <w:sz w:val="20"/>
          <w:szCs w:val="20"/>
        </w:rPr>
      </w:pPr>
      <w:r w:rsidRPr="0060697D">
        <w:rPr>
          <w:rFonts w:cs="Arial"/>
          <w:color w:val="000000"/>
          <w:sz w:val="20"/>
          <w:szCs w:val="20"/>
          <w:u w:val="single"/>
          <w:shd w:val="clear" w:color="auto" w:fill="FFFFFF"/>
        </w:rPr>
        <w:t>World Health Organisation</w:t>
      </w:r>
      <w:r w:rsidRPr="0060697D">
        <w:rPr>
          <w:rFonts w:cs="Arial"/>
          <w:color w:val="000000"/>
          <w:sz w:val="20"/>
          <w:szCs w:val="20"/>
          <w:shd w:val="clear" w:color="auto" w:fill="FFFFFF"/>
        </w:rPr>
        <w:t xml:space="preserve"> (2004)</w:t>
      </w:r>
      <w:r w:rsidRPr="0060697D">
        <w:rPr>
          <w:rStyle w:val="apple-converted-space"/>
          <w:rFonts w:cs="Arial"/>
          <w:color w:val="000000"/>
          <w:sz w:val="20"/>
          <w:szCs w:val="20"/>
          <w:shd w:val="clear" w:color="auto" w:fill="FFFFFF"/>
        </w:rPr>
        <w:t> </w:t>
      </w:r>
      <w:r w:rsidRPr="0060697D">
        <w:rPr>
          <w:rFonts w:cs="Arial"/>
          <w:iCs/>
          <w:color w:val="000000"/>
          <w:sz w:val="20"/>
          <w:szCs w:val="20"/>
          <w:shd w:val="clear" w:color="auto" w:fill="FFFFFF"/>
        </w:rPr>
        <w:t>WHO Scientific Group on the Assessment of Osteoporosis at the Primary Health Care Level,</w:t>
      </w:r>
      <w:r w:rsidR="00602753">
        <w:rPr>
          <w:rFonts w:cs="Arial"/>
          <w:iCs/>
          <w:color w:val="000000"/>
          <w:sz w:val="20"/>
          <w:szCs w:val="20"/>
          <w:shd w:val="clear" w:color="auto" w:fill="FFFFFF"/>
        </w:rPr>
        <w:t xml:space="preserve"> </w:t>
      </w:r>
      <w:r w:rsidRPr="0060697D">
        <w:rPr>
          <w:rFonts w:cs="Arial"/>
          <w:color w:val="000000"/>
          <w:sz w:val="20"/>
          <w:szCs w:val="20"/>
          <w:shd w:val="clear" w:color="auto" w:fill="FFFFFF"/>
        </w:rPr>
        <w:t>Available at:</w:t>
      </w:r>
      <w:r w:rsidRPr="0060697D">
        <w:rPr>
          <w:rStyle w:val="apple-converted-space"/>
          <w:rFonts w:cs="Arial"/>
          <w:color w:val="000000"/>
          <w:sz w:val="20"/>
          <w:szCs w:val="20"/>
          <w:shd w:val="clear" w:color="auto" w:fill="FFFFFF"/>
        </w:rPr>
        <w:t> </w:t>
      </w:r>
      <w:r w:rsidR="00540534" w:rsidRPr="008E53F9">
        <w:rPr>
          <w:rFonts w:cs="Arial"/>
          <w:iCs/>
          <w:sz w:val="20"/>
          <w:szCs w:val="20"/>
          <w:shd w:val="clear" w:color="auto" w:fill="FFFFFF"/>
        </w:rPr>
        <w:t>http://www.who.int/chp/topics/Osteoporosis.pdf</w:t>
      </w:r>
      <w:r w:rsidR="00540534">
        <w:rPr>
          <w:rFonts w:cs="Arial"/>
          <w:iCs/>
          <w:color w:val="000000"/>
          <w:sz w:val="20"/>
          <w:szCs w:val="20"/>
          <w:shd w:val="clear" w:color="auto" w:fill="FFFFFF"/>
        </w:rPr>
        <w:t xml:space="preserve"> </w:t>
      </w:r>
      <w:r w:rsidRPr="0060697D">
        <w:rPr>
          <w:rFonts w:cs="Arial"/>
          <w:color w:val="000000"/>
          <w:sz w:val="20"/>
          <w:szCs w:val="20"/>
          <w:shd w:val="clear" w:color="auto" w:fill="FFFFFF"/>
        </w:rPr>
        <w:t>(Accessed: 28th August 2015).</w:t>
      </w:r>
    </w:p>
    <w:sectPr w:rsidR="00F417F4" w:rsidRPr="0060697D" w:rsidSect="00475E69">
      <w:pgSz w:w="11906" w:h="16838" w:code="9"/>
      <w:pgMar w:top="1440" w:right="1440" w:bottom="1276" w:left="1440" w:header="720" w:footer="720"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5974E" w14:textId="77777777" w:rsidR="007B3989" w:rsidRDefault="007B3989" w:rsidP="000D1CF6">
      <w:r>
        <w:separator/>
      </w:r>
    </w:p>
    <w:p w14:paraId="2B2A5D02" w14:textId="77777777" w:rsidR="007B3989" w:rsidRDefault="007B3989"/>
  </w:endnote>
  <w:endnote w:type="continuationSeparator" w:id="0">
    <w:p w14:paraId="7068201F" w14:textId="77777777" w:rsidR="007B3989" w:rsidRDefault="007B3989" w:rsidP="000D1CF6">
      <w:r>
        <w:continuationSeparator/>
      </w:r>
    </w:p>
    <w:p w14:paraId="65A53760" w14:textId="77777777" w:rsidR="007B3989" w:rsidRDefault="007B3989" w:rsidP="000D1CF6"/>
    <w:p w14:paraId="0E4A504B" w14:textId="77777777" w:rsidR="007B3989" w:rsidRDefault="007B3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3D039" w14:textId="742F98C6" w:rsidR="007B3989" w:rsidRDefault="007B3989" w:rsidP="00E76E64">
    <w:pPr>
      <w:pStyle w:val="Footer"/>
      <w:pBdr>
        <w:top w:val="single" w:sz="4" w:space="1" w:color="B56012"/>
      </w:pBdr>
      <w:jc w:val="center"/>
    </w:pPr>
    <w:r w:rsidRPr="003B1222">
      <w:rPr>
        <w:color w:val="01653F"/>
        <w:sz w:val="16"/>
      </w:rPr>
      <w:t>Report from the Bone Densitometry Working Group – August 2016</w:t>
    </w:r>
    <w:r w:rsidRPr="003B1222">
      <w:rPr>
        <w:color w:val="01653F"/>
        <w:sz w:val="16"/>
      </w:rPr>
      <w:tab/>
    </w:r>
    <w:r w:rsidRPr="003B1222">
      <w:rPr>
        <w:color w:val="01653F"/>
        <w:sz w:val="16"/>
      </w:rPr>
      <w:tab/>
      <w:t xml:space="preserve">Page </w:t>
    </w:r>
    <w:r w:rsidRPr="003B1222">
      <w:rPr>
        <w:color w:val="01653F"/>
      </w:rPr>
      <w:fldChar w:fldCharType="begin"/>
    </w:r>
    <w:r w:rsidRPr="003B1222">
      <w:rPr>
        <w:color w:val="01653F"/>
      </w:rPr>
      <w:instrText xml:space="preserve"> PAGE   \* MERGEFORMAT </w:instrText>
    </w:r>
    <w:r w:rsidRPr="003B1222">
      <w:rPr>
        <w:color w:val="01653F"/>
      </w:rPr>
      <w:fldChar w:fldCharType="separate"/>
    </w:r>
    <w:r w:rsidRPr="00A068FB">
      <w:rPr>
        <w:rFonts w:eastAsiaTheme="majorEastAsia"/>
        <w:noProof/>
        <w:color w:val="01653F"/>
        <w:sz w:val="16"/>
      </w:rPr>
      <w:t>19</w:t>
    </w:r>
    <w:r w:rsidRPr="003B1222">
      <w:rPr>
        <w:rFonts w:eastAsiaTheme="majorEastAsia"/>
        <w:noProof/>
        <w:color w:val="01653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A8545" w14:textId="06483690" w:rsidR="007B3989" w:rsidRPr="003B1222" w:rsidRDefault="007B3989" w:rsidP="003B1222">
    <w:pPr>
      <w:pStyle w:val="Footer"/>
      <w:pBdr>
        <w:top w:val="single" w:sz="4" w:space="1" w:color="B56012"/>
      </w:pBdr>
      <w:tabs>
        <w:tab w:val="clear" w:pos="9026"/>
        <w:tab w:val="right" w:pos="14034"/>
      </w:tabs>
      <w:rPr>
        <w:color w:val="01653F"/>
        <w:sz w:val="16"/>
      </w:rPr>
    </w:pPr>
    <w:r w:rsidRPr="003B1222">
      <w:rPr>
        <w:color w:val="01653F"/>
        <w:sz w:val="16"/>
      </w:rPr>
      <w:t>Report from the Bone Densitometry Working Group – August 2016</w:t>
    </w:r>
    <w:r w:rsidRPr="003B1222">
      <w:rPr>
        <w:color w:val="01653F"/>
        <w:sz w:val="16"/>
      </w:rPr>
      <w:tab/>
    </w:r>
    <w:r w:rsidRPr="003B1222">
      <w:rPr>
        <w:color w:val="01653F"/>
        <w:sz w:val="16"/>
      </w:rPr>
      <w:tab/>
      <w:t xml:space="preserve">Page </w:t>
    </w:r>
    <w:r w:rsidRPr="003B1222">
      <w:rPr>
        <w:color w:val="01653F"/>
      </w:rPr>
      <w:fldChar w:fldCharType="begin"/>
    </w:r>
    <w:r w:rsidRPr="003B1222">
      <w:rPr>
        <w:color w:val="01653F"/>
      </w:rPr>
      <w:instrText xml:space="preserve"> PAGE   \* MERGEFORMAT </w:instrText>
    </w:r>
    <w:r w:rsidRPr="003B1222">
      <w:rPr>
        <w:color w:val="01653F"/>
      </w:rPr>
      <w:fldChar w:fldCharType="separate"/>
    </w:r>
    <w:r w:rsidRPr="00A068FB">
      <w:rPr>
        <w:rFonts w:eastAsiaTheme="majorEastAsia"/>
        <w:noProof/>
        <w:color w:val="01653F"/>
        <w:sz w:val="16"/>
      </w:rPr>
      <w:t>27</w:t>
    </w:r>
    <w:r w:rsidRPr="003B1222">
      <w:rPr>
        <w:rFonts w:eastAsiaTheme="majorEastAsia"/>
        <w:noProof/>
        <w:color w:val="01653F"/>
        <w:sz w:val="16"/>
      </w:rPr>
      <w:fldChar w:fldCharType="end"/>
    </w:r>
  </w:p>
  <w:p w14:paraId="11F75B52" w14:textId="77777777" w:rsidR="007B3989" w:rsidRDefault="007B39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4218A" w14:textId="5A7E41EE" w:rsidR="007B3989" w:rsidRPr="003B1222" w:rsidRDefault="007B3989" w:rsidP="003B1222">
    <w:pPr>
      <w:pStyle w:val="Footer"/>
      <w:pBdr>
        <w:top w:val="single" w:sz="4" w:space="1" w:color="B56012"/>
      </w:pBdr>
      <w:jc w:val="center"/>
      <w:rPr>
        <w:color w:val="01653F"/>
        <w:sz w:val="16"/>
      </w:rPr>
    </w:pPr>
    <w:r w:rsidRPr="003B1222">
      <w:rPr>
        <w:color w:val="01653F"/>
        <w:sz w:val="16"/>
      </w:rPr>
      <w:t xml:space="preserve"> Report from the Bone Densitometry Working Group – August 2016</w:t>
    </w:r>
    <w:r w:rsidRPr="003B1222">
      <w:rPr>
        <w:color w:val="01653F"/>
        <w:sz w:val="16"/>
      </w:rPr>
      <w:tab/>
    </w:r>
    <w:r w:rsidRPr="003B1222">
      <w:rPr>
        <w:color w:val="01653F"/>
        <w:sz w:val="16"/>
      </w:rPr>
      <w:tab/>
      <w:t xml:space="preserve">Page </w:t>
    </w:r>
    <w:r w:rsidRPr="003B1222">
      <w:rPr>
        <w:color w:val="01653F"/>
      </w:rPr>
      <w:fldChar w:fldCharType="begin"/>
    </w:r>
    <w:r w:rsidRPr="003B1222">
      <w:rPr>
        <w:color w:val="01653F"/>
      </w:rPr>
      <w:instrText xml:space="preserve"> PAGE   \* MERGEFORMAT </w:instrText>
    </w:r>
    <w:r w:rsidRPr="003B1222">
      <w:rPr>
        <w:color w:val="01653F"/>
      </w:rPr>
      <w:fldChar w:fldCharType="separate"/>
    </w:r>
    <w:r w:rsidRPr="00A068FB">
      <w:rPr>
        <w:rFonts w:eastAsiaTheme="majorEastAsia"/>
        <w:noProof/>
        <w:color w:val="01653F"/>
        <w:sz w:val="16"/>
      </w:rPr>
      <w:t>30</w:t>
    </w:r>
    <w:r w:rsidRPr="003B1222">
      <w:rPr>
        <w:rFonts w:eastAsiaTheme="majorEastAsia"/>
        <w:noProof/>
        <w:color w:val="01653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F1C36" w14:textId="77777777" w:rsidR="007B3989" w:rsidRDefault="007B3989" w:rsidP="000D1CF6">
      <w:r>
        <w:separator/>
      </w:r>
    </w:p>
    <w:p w14:paraId="09CA08B4" w14:textId="77777777" w:rsidR="007B3989" w:rsidRDefault="007B3989" w:rsidP="000D1CF6"/>
    <w:p w14:paraId="26BCA700" w14:textId="77777777" w:rsidR="007B3989" w:rsidRDefault="007B3989"/>
  </w:footnote>
  <w:footnote w:type="continuationSeparator" w:id="0">
    <w:p w14:paraId="1FFF6EB9" w14:textId="77777777" w:rsidR="007B3989" w:rsidRDefault="007B3989" w:rsidP="000D1CF6">
      <w:r>
        <w:continuationSeparator/>
      </w:r>
    </w:p>
    <w:p w14:paraId="25476502" w14:textId="77777777" w:rsidR="007B3989" w:rsidRDefault="007B3989" w:rsidP="000D1CF6"/>
    <w:p w14:paraId="3EFAC13D" w14:textId="77777777" w:rsidR="007B3989" w:rsidRDefault="007B39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888C0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5BE8F2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143A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BF6F9A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11AF39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F3ABE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EFA549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01E8C1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5C69CE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B6E81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12642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64253B"/>
    <w:multiLevelType w:val="hybridMultilevel"/>
    <w:tmpl w:val="C3286128"/>
    <w:lvl w:ilvl="0" w:tplc="0E5E935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2"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23834"/>
    <w:multiLevelType w:val="hybridMultilevel"/>
    <w:tmpl w:val="D1B6ABB6"/>
    <w:lvl w:ilvl="0" w:tplc="22323BB4">
      <w:start w:val="1"/>
      <w:numFmt w:val="upperLetter"/>
      <w:pStyle w:val="AppendixStyle1"/>
      <w:lvlText w:val="Appendix %1 - "/>
      <w:lvlJc w:val="left"/>
      <w:pPr>
        <w:ind w:left="360" w:hanging="360"/>
      </w:pPr>
      <w:rPr>
        <w:rFonts w:ascii="Calibri" w:hAnsi="Calibri" w:cs="Arial" w:hint="default"/>
        <w:sz w:val="32"/>
        <w:szCs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B6782D"/>
    <w:multiLevelType w:val="hybridMultilevel"/>
    <w:tmpl w:val="2F76193C"/>
    <w:lvl w:ilvl="0" w:tplc="0E5E935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15" w15:restartNumberingAfterBreak="0">
    <w:nsid w:val="20B27BFD"/>
    <w:multiLevelType w:val="multilevel"/>
    <w:tmpl w:val="B3C89B00"/>
    <w:lvl w:ilvl="0">
      <w:start w:val="1"/>
      <w:numFmt w:val="bullet"/>
      <w:pStyle w:val="01squarebullet"/>
      <w:lvlText w:val=""/>
      <w:lvlJc w:val="left"/>
      <w:pPr>
        <w:tabs>
          <w:tab w:val="num" w:pos="357"/>
        </w:tabs>
        <w:ind w:left="360" w:hanging="360"/>
      </w:pPr>
      <w:rPr>
        <w:rFonts w:ascii="Symbol" w:hAnsi="Symbol"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6"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6512BD3"/>
    <w:multiLevelType w:val="hybridMultilevel"/>
    <w:tmpl w:val="2DBA9976"/>
    <w:lvl w:ilvl="0" w:tplc="C9344720">
      <w:start w:val="1"/>
      <w:numFmt w:val="decimal"/>
      <w:pStyle w:val="Rec"/>
      <w:lvlText w:val="Recommendation %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6E3061A"/>
    <w:multiLevelType w:val="hybridMultilevel"/>
    <w:tmpl w:val="AA646DCE"/>
    <w:lvl w:ilvl="0" w:tplc="0E5E935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20" w15:restartNumberingAfterBreak="0">
    <w:nsid w:val="29D63D63"/>
    <w:multiLevelType w:val="multilevel"/>
    <w:tmpl w:val="08528D94"/>
    <w:lvl w:ilvl="0">
      <w:start w:val="1"/>
      <w:numFmt w:val="bullet"/>
      <w:lvlText w:val=""/>
      <w:lvlJc w:val="left"/>
      <w:pPr>
        <w:ind w:left="284" w:hanging="284"/>
      </w:pPr>
      <w:rPr>
        <w:rFonts w:ascii="Symbol" w:hAnsi="Symbol" w:hint="default"/>
        <w:color w:val="B66113"/>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21" w15:restartNumberingAfterBreak="0">
    <w:nsid w:val="37196F47"/>
    <w:multiLevelType w:val="hybridMultilevel"/>
    <w:tmpl w:val="99D05FAC"/>
    <w:lvl w:ilvl="0" w:tplc="04090017">
      <w:start w:val="1"/>
      <w:numFmt w:val="lowerLetter"/>
      <w:lvlText w:val="%1)"/>
      <w:lvlJc w:val="left"/>
      <w:pPr>
        <w:ind w:left="720" w:hanging="360"/>
      </w:pPr>
      <w:rPr>
        <w:rFonts w:hint="default"/>
      </w:rPr>
    </w:lvl>
    <w:lvl w:ilvl="1" w:tplc="0C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9D7C59"/>
    <w:multiLevelType w:val="hybridMultilevel"/>
    <w:tmpl w:val="49883750"/>
    <w:lvl w:ilvl="0" w:tplc="0E5E935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23" w15:restartNumberingAfterBreak="0">
    <w:nsid w:val="415B7C41"/>
    <w:multiLevelType w:val="hybridMultilevel"/>
    <w:tmpl w:val="CF98A3C6"/>
    <w:lvl w:ilvl="0" w:tplc="0E5E935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24" w15:restartNumberingAfterBreak="0">
    <w:nsid w:val="422F42A9"/>
    <w:multiLevelType w:val="hybridMultilevel"/>
    <w:tmpl w:val="61CA09C6"/>
    <w:lvl w:ilvl="0" w:tplc="1CD09CAE">
      <w:start w:val="1"/>
      <w:numFmt w:val="bullet"/>
      <w:lvlText w:val="∆"/>
      <w:lvlJc w:val="left"/>
      <w:pPr>
        <w:ind w:left="284" w:hanging="284"/>
      </w:pPr>
      <w:rPr>
        <w:rFonts w:ascii="Calibri" w:hAnsi="Calibri" w:hint="default"/>
        <w:color w:val="B56012"/>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5" w15:restartNumberingAfterBreak="0">
    <w:nsid w:val="43F968D9"/>
    <w:multiLevelType w:val="hybridMultilevel"/>
    <w:tmpl w:val="1B026312"/>
    <w:lvl w:ilvl="0" w:tplc="0C1E34B8">
      <w:start w:val="1"/>
      <w:numFmt w:val="decimal"/>
      <w:pStyle w:val="Number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9143BA8"/>
    <w:multiLevelType w:val="hybridMultilevel"/>
    <w:tmpl w:val="D68415C4"/>
    <w:lvl w:ilvl="0" w:tplc="0E5E935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27" w15:restartNumberingAfterBreak="0">
    <w:nsid w:val="4C41280F"/>
    <w:multiLevelType w:val="hybridMultilevel"/>
    <w:tmpl w:val="38E05F18"/>
    <w:lvl w:ilvl="0" w:tplc="9B00D68C">
      <w:start w:val="1"/>
      <w:numFmt w:val="bullet"/>
      <w:pStyle w:val="ListParagraph"/>
      <w:lvlText w:val=""/>
      <w:lvlJc w:val="left"/>
      <w:pPr>
        <w:ind w:left="360" w:hanging="360"/>
      </w:pPr>
      <w:rPr>
        <w:rFonts w:ascii="Symbol" w:hAnsi="Symbol" w:hint="default"/>
      </w:rPr>
    </w:lvl>
    <w:lvl w:ilvl="1" w:tplc="58087DCE">
      <w:start w:val="1"/>
      <w:numFmt w:val="bullet"/>
      <w:lvlText w:val="–"/>
      <w:lvlJc w:val="left"/>
      <w:pPr>
        <w:ind w:left="1080" w:hanging="360"/>
      </w:pPr>
      <w:rPr>
        <w:rFonts w:ascii="Calibri" w:hAnsi="Calibr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D341812"/>
    <w:multiLevelType w:val="hybridMultilevel"/>
    <w:tmpl w:val="38488B68"/>
    <w:lvl w:ilvl="0" w:tplc="0E5E935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29" w15:restartNumberingAfterBreak="0">
    <w:nsid w:val="4D894A24"/>
    <w:multiLevelType w:val="hybridMultilevel"/>
    <w:tmpl w:val="267A6380"/>
    <w:lvl w:ilvl="0" w:tplc="0E5E935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0" w15:restartNumberingAfterBreak="0">
    <w:nsid w:val="50896B34"/>
    <w:multiLevelType w:val="hybridMultilevel"/>
    <w:tmpl w:val="E3B428F8"/>
    <w:lvl w:ilvl="0" w:tplc="0E5E935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1" w15:restartNumberingAfterBreak="0">
    <w:nsid w:val="5D682B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E9153F"/>
    <w:multiLevelType w:val="hybridMultilevel"/>
    <w:tmpl w:val="318672F2"/>
    <w:lvl w:ilvl="0" w:tplc="9FF875D0">
      <w:start w:val="1"/>
      <w:numFmt w:val="bullet"/>
      <w:pStyle w:val="Bulleted"/>
      <w:lvlText w:val="∆"/>
      <w:lvlJc w:val="left"/>
      <w:pPr>
        <w:ind w:left="431" w:hanging="431"/>
      </w:pPr>
      <w:rPr>
        <w:rFonts w:ascii="Calibri" w:hAnsi="Calibri" w:hint="default"/>
        <w:color w:val="B560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E00AF1"/>
    <w:multiLevelType w:val="hybridMultilevel"/>
    <w:tmpl w:val="D554A592"/>
    <w:lvl w:ilvl="0" w:tplc="1CD09CAE">
      <w:start w:val="1"/>
      <w:numFmt w:val="bullet"/>
      <w:lvlText w:val="∆"/>
      <w:lvlJc w:val="left"/>
      <w:pPr>
        <w:ind w:left="720" w:hanging="360"/>
      </w:pPr>
      <w:rPr>
        <w:rFonts w:ascii="Calibri" w:hAnsi="Calibri" w:hint="default"/>
        <w:color w:val="B560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1257752"/>
    <w:multiLevelType w:val="hybridMultilevel"/>
    <w:tmpl w:val="384AEE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58534E6"/>
    <w:multiLevelType w:val="hybridMultilevel"/>
    <w:tmpl w:val="544EC07E"/>
    <w:lvl w:ilvl="0" w:tplc="0E5E9350">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36" w15:restartNumberingAfterBreak="0">
    <w:nsid w:val="7D0575B2"/>
    <w:multiLevelType w:val="multilevel"/>
    <w:tmpl w:val="92C0541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16"/>
  </w:num>
  <w:num w:numId="2">
    <w:abstractNumId w:val="27"/>
  </w:num>
  <w:num w:numId="3">
    <w:abstractNumId w:val="17"/>
  </w:num>
  <w:num w:numId="4">
    <w:abstractNumId w:val="15"/>
  </w:num>
  <w:num w:numId="5">
    <w:abstractNumId w:val="13"/>
  </w:num>
  <w:num w:numId="6">
    <w:abstractNumId w:val="25"/>
  </w:num>
  <w:num w:numId="7">
    <w:abstractNumId w:val="24"/>
  </w:num>
  <w:num w:numId="8">
    <w:abstractNumId w:val="36"/>
  </w:num>
  <w:num w:numId="9">
    <w:abstractNumId w:val="30"/>
  </w:num>
  <w:num w:numId="10">
    <w:abstractNumId w:val="35"/>
  </w:num>
  <w:num w:numId="11">
    <w:abstractNumId w:val="22"/>
  </w:num>
  <w:num w:numId="12">
    <w:abstractNumId w:val="26"/>
  </w:num>
  <w:num w:numId="13">
    <w:abstractNumId w:val="14"/>
  </w:num>
  <w:num w:numId="14">
    <w:abstractNumId w:val="11"/>
  </w:num>
  <w:num w:numId="15">
    <w:abstractNumId w:val="21"/>
  </w:num>
  <w:num w:numId="16">
    <w:abstractNumId w:val="29"/>
  </w:num>
  <w:num w:numId="17">
    <w:abstractNumId w:val="28"/>
  </w:num>
  <w:num w:numId="18">
    <w:abstractNumId w:val="23"/>
  </w:num>
  <w:num w:numId="19">
    <w:abstractNumId w:val="19"/>
  </w:num>
  <w:num w:numId="20">
    <w:abstractNumId w:val="18"/>
  </w:num>
  <w:num w:numId="21">
    <w:abstractNumId w:val="32"/>
  </w:num>
  <w:num w:numId="22">
    <w:abstractNumId w:val="31"/>
  </w:num>
  <w:num w:numId="23">
    <w:abstractNumId w:val="20"/>
  </w:num>
  <w:num w:numId="24">
    <w:abstractNumId w:val="0"/>
  </w:num>
  <w:num w:numId="25">
    <w:abstractNumId w:val="1"/>
  </w:num>
  <w:num w:numId="26">
    <w:abstractNumId w:val="2"/>
  </w:num>
  <w:num w:numId="27">
    <w:abstractNumId w:val="3"/>
  </w:num>
  <w:num w:numId="28">
    <w:abstractNumId w:val="4"/>
  </w:num>
  <w:num w:numId="29">
    <w:abstractNumId w:val="9"/>
  </w:num>
  <w:num w:numId="30">
    <w:abstractNumId w:val="5"/>
  </w:num>
  <w:num w:numId="31">
    <w:abstractNumId w:val="6"/>
  </w:num>
  <w:num w:numId="32">
    <w:abstractNumId w:val="7"/>
  </w:num>
  <w:num w:numId="33">
    <w:abstractNumId w:val="8"/>
  </w:num>
  <w:num w:numId="34">
    <w:abstractNumId w:val="10"/>
  </w:num>
  <w:num w:numId="35">
    <w:abstractNumId w:val="33"/>
  </w:num>
  <w:num w:numId="36">
    <w:abstractNumId w:val="12"/>
  </w:num>
  <w:num w:numId="37">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characterSpacingControl w:val="doNotCompress"/>
  <w:hdrShapeDefaults>
    <o:shapedefaults v:ext="edit" spidmax="1228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sNewDoc" w:val="No"/>
  </w:docVars>
  <w:rsids>
    <w:rsidRoot w:val="00093404"/>
    <w:rsid w:val="000006E3"/>
    <w:rsid w:val="0000150F"/>
    <w:rsid w:val="00001A3C"/>
    <w:rsid w:val="00001F7B"/>
    <w:rsid w:val="00002477"/>
    <w:rsid w:val="00002678"/>
    <w:rsid w:val="000044E9"/>
    <w:rsid w:val="00004920"/>
    <w:rsid w:val="00004CCA"/>
    <w:rsid w:val="0000566B"/>
    <w:rsid w:val="00006915"/>
    <w:rsid w:val="00006AE9"/>
    <w:rsid w:val="00007CFB"/>
    <w:rsid w:val="000107B3"/>
    <w:rsid w:val="0001084A"/>
    <w:rsid w:val="00010BBD"/>
    <w:rsid w:val="00013881"/>
    <w:rsid w:val="0001393A"/>
    <w:rsid w:val="000140C8"/>
    <w:rsid w:val="00014712"/>
    <w:rsid w:val="0001545C"/>
    <w:rsid w:val="00015973"/>
    <w:rsid w:val="00020196"/>
    <w:rsid w:val="00020431"/>
    <w:rsid w:val="00020587"/>
    <w:rsid w:val="000206BB"/>
    <w:rsid w:val="00020E0E"/>
    <w:rsid w:val="00021A9A"/>
    <w:rsid w:val="0002292A"/>
    <w:rsid w:val="00022E87"/>
    <w:rsid w:val="0002353D"/>
    <w:rsid w:val="00023C89"/>
    <w:rsid w:val="00024FE0"/>
    <w:rsid w:val="000253EC"/>
    <w:rsid w:val="000278CF"/>
    <w:rsid w:val="000309CE"/>
    <w:rsid w:val="00030A82"/>
    <w:rsid w:val="00031095"/>
    <w:rsid w:val="00031ADE"/>
    <w:rsid w:val="00032108"/>
    <w:rsid w:val="000337EF"/>
    <w:rsid w:val="00033DA4"/>
    <w:rsid w:val="00036C0E"/>
    <w:rsid w:val="00040EAC"/>
    <w:rsid w:val="0004133D"/>
    <w:rsid w:val="00042A17"/>
    <w:rsid w:val="00043742"/>
    <w:rsid w:val="00045495"/>
    <w:rsid w:val="000459AD"/>
    <w:rsid w:val="00045F6B"/>
    <w:rsid w:val="00046AF0"/>
    <w:rsid w:val="00046C9C"/>
    <w:rsid w:val="00047145"/>
    <w:rsid w:val="00047FB5"/>
    <w:rsid w:val="000501C9"/>
    <w:rsid w:val="00050ED2"/>
    <w:rsid w:val="00050EF0"/>
    <w:rsid w:val="000537C0"/>
    <w:rsid w:val="00054036"/>
    <w:rsid w:val="0005522D"/>
    <w:rsid w:val="0005557F"/>
    <w:rsid w:val="000558E5"/>
    <w:rsid w:val="00056CF7"/>
    <w:rsid w:val="00057AB0"/>
    <w:rsid w:val="00057F0D"/>
    <w:rsid w:val="00060C76"/>
    <w:rsid w:val="00061127"/>
    <w:rsid w:val="000612DC"/>
    <w:rsid w:val="0006140B"/>
    <w:rsid w:val="0006177C"/>
    <w:rsid w:val="00061FC2"/>
    <w:rsid w:val="0006309D"/>
    <w:rsid w:val="00064465"/>
    <w:rsid w:val="0006464C"/>
    <w:rsid w:val="000653C1"/>
    <w:rsid w:val="000655C1"/>
    <w:rsid w:val="00065ADB"/>
    <w:rsid w:val="00066AF2"/>
    <w:rsid w:val="00067BEC"/>
    <w:rsid w:val="00070239"/>
    <w:rsid w:val="000703EC"/>
    <w:rsid w:val="000707D3"/>
    <w:rsid w:val="00070CD8"/>
    <w:rsid w:val="0007194A"/>
    <w:rsid w:val="0007261D"/>
    <w:rsid w:val="00072D68"/>
    <w:rsid w:val="00073660"/>
    <w:rsid w:val="000737C9"/>
    <w:rsid w:val="00074357"/>
    <w:rsid w:val="000744E0"/>
    <w:rsid w:val="0007506F"/>
    <w:rsid w:val="0007623D"/>
    <w:rsid w:val="000765ED"/>
    <w:rsid w:val="00076AB6"/>
    <w:rsid w:val="00081875"/>
    <w:rsid w:val="00081F8E"/>
    <w:rsid w:val="000831DB"/>
    <w:rsid w:val="000838B7"/>
    <w:rsid w:val="00083CF7"/>
    <w:rsid w:val="00083E2A"/>
    <w:rsid w:val="0008448B"/>
    <w:rsid w:val="00084B53"/>
    <w:rsid w:val="00084F7A"/>
    <w:rsid w:val="00086AFF"/>
    <w:rsid w:val="00086C40"/>
    <w:rsid w:val="00086FD0"/>
    <w:rsid w:val="0008778F"/>
    <w:rsid w:val="00087975"/>
    <w:rsid w:val="000923EA"/>
    <w:rsid w:val="00092463"/>
    <w:rsid w:val="0009284F"/>
    <w:rsid w:val="00092AB5"/>
    <w:rsid w:val="00093404"/>
    <w:rsid w:val="00094411"/>
    <w:rsid w:val="000959B5"/>
    <w:rsid w:val="00097A82"/>
    <w:rsid w:val="000A0939"/>
    <w:rsid w:val="000A0C01"/>
    <w:rsid w:val="000A126D"/>
    <w:rsid w:val="000A2C3B"/>
    <w:rsid w:val="000A3194"/>
    <w:rsid w:val="000A38E3"/>
    <w:rsid w:val="000A3C55"/>
    <w:rsid w:val="000A3FBE"/>
    <w:rsid w:val="000A436D"/>
    <w:rsid w:val="000A4EF9"/>
    <w:rsid w:val="000A5376"/>
    <w:rsid w:val="000A705B"/>
    <w:rsid w:val="000B0FB3"/>
    <w:rsid w:val="000B167F"/>
    <w:rsid w:val="000B197F"/>
    <w:rsid w:val="000B2534"/>
    <w:rsid w:val="000B30AF"/>
    <w:rsid w:val="000B48DB"/>
    <w:rsid w:val="000B4B1F"/>
    <w:rsid w:val="000B4CE8"/>
    <w:rsid w:val="000B4EB8"/>
    <w:rsid w:val="000B5054"/>
    <w:rsid w:val="000B52C9"/>
    <w:rsid w:val="000B710A"/>
    <w:rsid w:val="000B7216"/>
    <w:rsid w:val="000B76F2"/>
    <w:rsid w:val="000C0CE4"/>
    <w:rsid w:val="000C10BE"/>
    <w:rsid w:val="000C2086"/>
    <w:rsid w:val="000C2699"/>
    <w:rsid w:val="000C2768"/>
    <w:rsid w:val="000C366C"/>
    <w:rsid w:val="000C4035"/>
    <w:rsid w:val="000C41CB"/>
    <w:rsid w:val="000C421B"/>
    <w:rsid w:val="000C498A"/>
    <w:rsid w:val="000C548F"/>
    <w:rsid w:val="000C54E8"/>
    <w:rsid w:val="000C565E"/>
    <w:rsid w:val="000C5F18"/>
    <w:rsid w:val="000C70F5"/>
    <w:rsid w:val="000C7A37"/>
    <w:rsid w:val="000C7B86"/>
    <w:rsid w:val="000D1176"/>
    <w:rsid w:val="000D14E3"/>
    <w:rsid w:val="000D1905"/>
    <w:rsid w:val="000D1CF6"/>
    <w:rsid w:val="000D25AD"/>
    <w:rsid w:val="000D2E96"/>
    <w:rsid w:val="000D3691"/>
    <w:rsid w:val="000D4345"/>
    <w:rsid w:val="000D4490"/>
    <w:rsid w:val="000D5132"/>
    <w:rsid w:val="000D532B"/>
    <w:rsid w:val="000D5E90"/>
    <w:rsid w:val="000D677B"/>
    <w:rsid w:val="000D68B2"/>
    <w:rsid w:val="000D6C33"/>
    <w:rsid w:val="000D73DF"/>
    <w:rsid w:val="000D7716"/>
    <w:rsid w:val="000D7F4F"/>
    <w:rsid w:val="000E015A"/>
    <w:rsid w:val="000E03E7"/>
    <w:rsid w:val="000E0690"/>
    <w:rsid w:val="000E08E7"/>
    <w:rsid w:val="000E0950"/>
    <w:rsid w:val="000E13E8"/>
    <w:rsid w:val="000E1934"/>
    <w:rsid w:val="000E1B03"/>
    <w:rsid w:val="000E2F64"/>
    <w:rsid w:val="000E4A79"/>
    <w:rsid w:val="000E5530"/>
    <w:rsid w:val="000E6B0A"/>
    <w:rsid w:val="000E6C56"/>
    <w:rsid w:val="000E70E3"/>
    <w:rsid w:val="000E7727"/>
    <w:rsid w:val="000F0B7D"/>
    <w:rsid w:val="000F0F68"/>
    <w:rsid w:val="000F0F7F"/>
    <w:rsid w:val="000F2CDA"/>
    <w:rsid w:val="000F2E2B"/>
    <w:rsid w:val="000F2E9B"/>
    <w:rsid w:val="000F3C1E"/>
    <w:rsid w:val="000F3F4F"/>
    <w:rsid w:val="000F4DB6"/>
    <w:rsid w:val="000F5115"/>
    <w:rsid w:val="000F705F"/>
    <w:rsid w:val="000F72BF"/>
    <w:rsid w:val="000F7608"/>
    <w:rsid w:val="000F7D1F"/>
    <w:rsid w:val="0010003C"/>
    <w:rsid w:val="0010008F"/>
    <w:rsid w:val="00101268"/>
    <w:rsid w:val="00101DE4"/>
    <w:rsid w:val="00101E86"/>
    <w:rsid w:val="00103DA5"/>
    <w:rsid w:val="00104311"/>
    <w:rsid w:val="00105EB2"/>
    <w:rsid w:val="00106078"/>
    <w:rsid w:val="0010664E"/>
    <w:rsid w:val="00106987"/>
    <w:rsid w:val="00107B15"/>
    <w:rsid w:val="001104FA"/>
    <w:rsid w:val="0011158E"/>
    <w:rsid w:val="0011166D"/>
    <w:rsid w:val="00111A0E"/>
    <w:rsid w:val="001121E7"/>
    <w:rsid w:val="001122B9"/>
    <w:rsid w:val="00112C49"/>
    <w:rsid w:val="00113907"/>
    <w:rsid w:val="001141BB"/>
    <w:rsid w:val="001143E8"/>
    <w:rsid w:val="00114E0F"/>
    <w:rsid w:val="001156AF"/>
    <w:rsid w:val="00115F6A"/>
    <w:rsid w:val="00116136"/>
    <w:rsid w:val="00116BB6"/>
    <w:rsid w:val="0011770F"/>
    <w:rsid w:val="001201D4"/>
    <w:rsid w:val="00120E25"/>
    <w:rsid w:val="00123147"/>
    <w:rsid w:val="00123D3B"/>
    <w:rsid w:val="00124A29"/>
    <w:rsid w:val="00125F82"/>
    <w:rsid w:val="00126E67"/>
    <w:rsid w:val="00127BD9"/>
    <w:rsid w:val="00131578"/>
    <w:rsid w:val="001329BB"/>
    <w:rsid w:val="00132F58"/>
    <w:rsid w:val="00135D05"/>
    <w:rsid w:val="0013638A"/>
    <w:rsid w:val="00136C3E"/>
    <w:rsid w:val="00142C57"/>
    <w:rsid w:val="0014315F"/>
    <w:rsid w:val="00143948"/>
    <w:rsid w:val="00145358"/>
    <w:rsid w:val="001453BB"/>
    <w:rsid w:val="001461F3"/>
    <w:rsid w:val="0014694A"/>
    <w:rsid w:val="001472FA"/>
    <w:rsid w:val="00150C38"/>
    <w:rsid w:val="0015141E"/>
    <w:rsid w:val="001514D7"/>
    <w:rsid w:val="001518DA"/>
    <w:rsid w:val="00151AAE"/>
    <w:rsid w:val="00151F01"/>
    <w:rsid w:val="00152C99"/>
    <w:rsid w:val="00153816"/>
    <w:rsid w:val="001545AB"/>
    <w:rsid w:val="001548FB"/>
    <w:rsid w:val="0015505E"/>
    <w:rsid w:val="001552EC"/>
    <w:rsid w:val="001553A5"/>
    <w:rsid w:val="001560F9"/>
    <w:rsid w:val="00157102"/>
    <w:rsid w:val="00157337"/>
    <w:rsid w:val="0015789A"/>
    <w:rsid w:val="00157F85"/>
    <w:rsid w:val="00160601"/>
    <w:rsid w:val="001614A0"/>
    <w:rsid w:val="001631CB"/>
    <w:rsid w:val="00163874"/>
    <w:rsid w:val="00163AA0"/>
    <w:rsid w:val="001643F5"/>
    <w:rsid w:val="00164423"/>
    <w:rsid w:val="0016604A"/>
    <w:rsid w:val="0016694A"/>
    <w:rsid w:val="00166CAF"/>
    <w:rsid w:val="00166D14"/>
    <w:rsid w:val="00167150"/>
    <w:rsid w:val="001672F2"/>
    <w:rsid w:val="001700F4"/>
    <w:rsid w:val="001704D2"/>
    <w:rsid w:val="00170846"/>
    <w:rsid w:val="0017098E"/>
    <w:rsid w:val="00171193"/>
    <w:rsid w:val="001717C6"/>
    <w:rsid w:val="00171BA8"/>
    <w:rsid w:val="001722C6"/>
    <w:rsid w:val="0017270D"/>
    <w:rsid w:val="001727E3"/>
    <w:rsid w:val="00172A0E"/>
    <w:rsid w:val="00174822"/>
    <w:rsid w:val="00174940"/>
    <w:rsid w:val="00174BD7"/>
    <w:rsid w:val="00176080"/>
    <w:rsid w:val="00176F32"/>
    <w:rsid w:val="00177E5A"/>
    <w:rsid w:val="00177E9F"/>
    <w:rsid w:val="0018075E"/>
    <w:rsid w:val="001807AC"/>
    <w:rsid w:val="001807ED"/>
    <w:rsid w:val="00181C5E"/>
    <w:rsid w:val="00182A9B"/>
    <w:rsid w:val="00183251"/>
    <w:rsid w:val="0018384D"/>
    <w:rsid w:val="0018389D"/>
    <w:rsid w:val="001842C4"/>
    <w:rsid w:val="001849D5"/>
    <w:rsid w:val="00186CD0"/>
    <w:rsid w:val="00187050"/>
    <w:rsid w:val="001871A8"/>
    <w:rsid w:val="00187333"/>
    <w:rsid w:val="00187F36"/>
    <w:rsid w:val="00190347"/>
    <w:rsid w:val="001906B0"/>
    <w:rsid w:val="00191078"/>
    <w:rsid w:val="0019117E"/>
    <w:rsid w:val="00192413"/>
    <w:rsid w:val="001925E8"/>
    <w:rsid w:val="00192F97"/>
    <w:rsid w:val="001937BB"/>
    <w:rsid w:val="001938F8"/>
    <w:rsid w:val="001951F7"/>
    <w:rsid w:val="00195D92"/>
    <w:rsid w:val="00196AA8"/>
    <w:rsid w:val="00196F67"/>
    <w:rsid w:val="00197283"/>
    <w:rsid w:val="0019747D"/>
    <w:rsid w:val="00197F7F"/>
    <w:rsid w:val="001A10D5"/>
    <w:rsid w:val="001A1B51"/>
    <w:rsid w:val="001A2772"/>
    <w:rsid w:val="001A2F4C"/>
    <w:rsid w:val="001A3164"/>
    <w:rsid w:val="001A3D86"/>
    <w:rsid w:val="001A5017"/>
    <w:rsid w:val="001A71AB"/>
    <w:rsid w:val="001A7644"/>
    <w:rsid w:val="001A777D"/>
    <w:rsid w:val="001B0195"/>
    <w:rsid w:val="001B05C2"/>
    <w:rsid w:val="001B0EFC"/>
    <w:rsid w:val="001B21CA"/>
    <w:rsid w:val="001B3443"/>
    <w:rsid w:val="001B44C3"/>
    <w:rsid w:val="001B4762"/>
    <w:rsid w:val="001B5B16"/>
    <w:rsid w:val="001B6B24"/>
    <w:rsid w:val="001B7A86"/>
    <w:rsid w:val="001B7D4C"/>
    <w:rsid w:val="001B7DCA"/>
    <w:rsid w:val="001C032F"/>
    <w:rsid w:val="001C152C"/>
    <w:rsid w:val="001C1650"/>
    <w:rsid w:val="001C172A"/>
    <w:rsid w:val="001C1BDF"/>
    <w:rsid w:val="001C2780"/>
    <w:rsid w:val="001C2AA1"/>
    <w:rsid w:val="001C2CAA"/>
    <w:rsid w:val="001C2D99"/>
    <w:rsid w:val="001C2FE0"/>
    <w:rsid w:val="001C37C5"/>
    <w:rsid w:val="001C5E2F"/>
    <w:rsid w:val="001C610D"/>
    <w:rsid w:val="001C79A8"/>
    <w:rsid w:val="001D0D1A"/>
    <w:rsid w:val="001D226A"/>
    <w:rsid w:val="001D2AF1"/>
    <w:rsid w:val="001D4284"/>
    <w:rsid w:val="001D507E"/>
    <w:rsid w:val="001D658B"/>
    <w:rsid w:val="001D73E5"/>
    <w:rsid w:val="001D7C3C"/>
    <w:rsid w:val="001D7C4E"/>
    <w:rsid w:val="001D7F51"/>
    <w:rsid w:val="001E07BA"/>
    <w:rsid w:val="001E0B5F"/>
    <w:rsid w:val="001E146E"/>
    <w:rsid w:val="001E2467"/>
    <w:rsid w:val="001E26B2"/>
    <w:rsid w:val="001E2778"/>
    <w:rsid w:val="001E2E7D"/>
    <w:rsid w:val="001E2FA6"/>
    <w:rsid w:val="001E3E01"/>
    <w:rsid w:val="001E3E7E"/>
    <w:rsid w:val="001E59A7"/>
    <w:rsid w:val="001E68C9"/>
    <w:rsid w:val="001E7BD7"/>
    <w:rsid w:val="001F051E"/>
    <w:rsid w:val="001F0F85"/>
    <w:rsid w:val="001F1135"/>
    <w:rsid w:val="001F1810"/>
    <w:rsid w:val="001F297A"/>
    <w:rsid w:val="001F45A9"/>
    <w:rsid w:val="001F50C1"/>
    <w:rsid w:val="001F7873"/>
    <w:rsid w:val="002009CD"/>
    <w:rsid w:val="00200F16"/>
    <w:rsid w:val="00201125"/>
    <w:rsid w:val="0020199E"/>
    <w:rsid w:val="00202BC7"/>
    <w:rsid w:val="00202DB4"/>
    <w:rsid w:val="00204534"/>
    <w:rsid w:val="00204BEE"/>
    <w:rsid w:val="0020555B"/>
    <w:rsid w:val="00205BC3"/>
    <w:rsid w:val="00205C46"/>
    <w:rsid w:val="00206F6E"/>
    <w:rsid w:val="00206FF1"/>
    <w:rsid w:val="002074CE"/>
    <w:rsid w:val="0020796B"/>
    <w:rsid w:val="002105F7"/>
    <w:rsid w:val="0021097C"/>
    <w:rsid w:val="00210A7C"/>
    <w:rsid w:val="00211A73"/>
    <w:rsid w:val="002129AE"/>
    <w:rsid w:val="00212AF8"/>
    <w:rsid w:val="00212BB5"/>
    <w:rsid w:val="002132C5"/>
    <w:rsid w:val="00213592"/>
    <w:rsid w:val="002147B7"/>
    <w:rsid w:val="00215607"/>
    <w:rsid w:val="00215CDD"/>
    <w:rsid w:val="002161AE"/>
    <w:rsid w:val="00216340"/>
    <w:rsid w:val="00216DD6"/>
    <w:rsid w:val="002173D9"/>
    <w:rsid w:val="002175F5"/>
    <w:rsid w:val="0021772A"/>
    <w:rsid w:val="00221664"/>
    <w:rsid w:val="0022219C"/>
    <w:rsid w:val="002227B6"/>
    <w:rsid w:val="002229DB"/>
    <w:rsid w:val="00222E2F"/>
    <w:rsid w:val="0022331C"/>
    <w:rsid w:val="00224135"/>
    <w:rsid w:val="00224AC8"/>
    <w:rsid w:val="00225887"/>
    <w:rsid w:val="002262DB"/>
    <w:rsid w:val="00226CA6"/>
    <w:rsid w:val="0022729C"/>
    <w:rsid w:val="00227512"/>
    <w:rsid w:val="00230619"/>
    <w:rsid w:val="0023138C"/>
    <w:rsid w:val="002355B4"/>
    <w:rsid w:val="00235840"/>
    <w:rsid w:val="00235DD0"/>
    <w:rsid w:val="00236BB7"/>
    <w:rsid w:val="00236FB1"/>
    <w:rsid w:val="00237403"/>
    <w:rsid w:val="002378DB"/>
    <w:rsid w:val="00237BA5"/>
    <w:rsid w:val="002400C9"/>
    <w:rsid w:val="002407CB"/>
    <w:rsid w:val="00240A81"/>
    <w:rsid w:val="00241429"/>
    <w:rsid w:val="00241D60"/>
    <w:rsid w:val="00241E3C"/>
    <w:rsid w:val="002429D9"/>
    <w:rsid w:val="00243A06"/>
    <w:rsid w:val="00243BE2"/>
    <w:rsid w:val="00244CFB"/>
    <w:rsid w:val="002454FD"/>
    <w:rsid w:val="0024559E"/>
    <w:rsid w:val="002477A3"/>
    <w:rsid w:val="002501E4"/>
    <w:rsid w:val="00250831"/>
    <w:rsid w:val="002508D0"/>
    <w:rsid w:val="0025096F"/>
    <w:rsid w:val="00251013"/>
    <w:rsid w:val="002513F9"/>
    <w:rsid w:val="00251B9C"/>
    <w:rsid w:val="00251EEE"/>
    <w:rsid w:val="00251FF0"/>
    <w:rsid w:val="0025322B"/>
    <w:rsid w:val="00253327"/>
    <w:rsid w:val="00253414"/>
    <w:rsid w:val="00253780"/>
    <w:rsid w:val="00253F2C"/>
    <w:rsid w:val="00254BE8"/>
    <w:rsid w:val="002552B6"/>
    <w:rsid w:val="00255AD3"/>
    <w:rsid w:val="00255E89"/>
    <w:rsid w:val="00256FEA"/>
    <w:rsid w:val="0025740C"/>
    <w:rsid w:val="002575B0"/>
    <w:rsid w:val="00257CB6"/>
    <w:rsid w:val="0026005E"/>
    <w:rsid w:val="0026010C"/>
    <w:rsid w:val="00262127"/>
    <w:rsid w:val="00264114"/>
    <w:rsid w:val="00264364"/>
    <w:rsid w:val="002647E1"/>
    <w:rsid w:val="00265446"/>
    <w:rsid w:val="00265DC7"/>
    <w:rsid w:val="00266262"/>
    <w:rsid w:val="00266516"/>
    <w:rsid w:val="0026678E"/>
    <w:rsid w:val="00266968"/>
    <w:rsid w:val="00267E18"/>
    <w:rsid w:val="0027084B"/>
    <w:rsid w:val="00270866"/>
    <w:rsid w:val="00270DA4"/>
    <w:rsid w:val="00270E97"/>
    <w:rsid w:val="00270F66"/>
    <w:rsid w:val="00272695"/>
    <w:rsid w:val="00273B42"/>
    <w:rsid w:val="002741EF"/>
    <w:rsid w:val="0027474C"/>
    <w:rsid w:val="002755AF"/>
    <w:rsid w:val="002759EB"/>
    <w:rsid w:val="00276A36"/>
    <w:rsid w:val="00277043"/>
    <w:rsid w:val="0028172C"/>
    <w:rsid w:val="00281A36"/>
    <w:rsid w:val="00282498"/>
    <w:rsid w:val="00283153"/>
    <w:rsid w:val="0028345C"/>
    <w:rsid w:val="002843C6"/>
    <w:rsid w:val="00284E84"/>
    <w:rsid w:val="00285E03"/>
    <w:rsid w:val="002866D5"/>
    <w:rsid w:val="00286DBC"/>
    <w:rsid w:val="00290D04"/>
    <w:rsid w:val="00291A31"/>
    <w:rsid w:val="00291BF6"/>
    <w:rsid w:val="002926F0"/>
    <w:rsid w:val="00292C7A"/>
    <w:rsid w:val="00292F11"/>
    <w:rsid w:val="0029368F"/>
    <w:rsid w:val="00293C64"/>
    <w:rsid w:val="002945B4"/>
    <w:rsid w:val="00294895"/>
    <w:rsid w:val="00295167"/>
    <w:rsid w:val="00295954"/>
    <w:rsid w:val="00295AF0"/>
    <w:rsid w:val="00296439"/>
    <w:rsid w:val="00296C96"/>
    <w:rsid w:val="00297CD3"/>
    <w:rsid w:val="002A0BF1"/>
    <w:rsid w:val="002A1546"/>
    <w:rsid w:val="002A1756"/>
    <w:rsid w:val="002A2507"/>
    <w:rsid w:val="002A293E"/>
    <w:rsid w:val="002A3863"/>
    <w:rsid w:val="002A389E"/>
    <w:rsid w:val="002A53CD"/>
    <w:rsid w:val="002A5C75"/>
    <w:rsid w:val="002A5E16"/>
    <w:rsid w:val="002A614A"/>
    <w:rsid w:val="002A62B0"/>
    <w:rsid w:val="002B03B0"/>
    <w:rsid w:val="002B11A3"/>
    <w:rsid w:val="002B137D"/>
    <w:rsid w:val="002B1D8A"/>
    <w:rsid w:val="002B1F64"/>
    <w:rsid w:val="002B2866"/>
    <w:rsid w:val="002B2D5B"/>
    <w:rsid w:val="002B2E9C"/>
    <w:rsid w:val="002B462B"/>
    <w:rsid w:val="002B51FB"/>
    <w:rsid w:val="002B6471"/>
    <w:rsid w:val="002B7C6B"/>
    <w:rsid w:val="002C2A74"/>
    <w:rsid w:val="002C3AA9"/>
    <w:rsid w:val="002C450D"/>
    <w:rsid w:val="002C4900"/>
    <w:rsid w:val="002C4BDA"/>
    <w:rsid w:val="002C5616"/>
    <w:rsid w:val="002C5905"/>
    <w:rsid w:val="002C5916"/>
    <w:rsid w:val="002C635C"/>
    <w:rsid w:val="002C7C8F"/>
    <w:rsid w:val="002D19FB"/>
    <w:rsid w:val="002D2021"/>
    <w:rsid w:val="002D2F76"/>
    <w:rsid w:val="002D2FD2"/>
    <w:rsid w:val="002D3019"/>
    <w:rsid w:val="002D3642"/>
    <w:rsid w:val="002D60CE"/>
    <w:rsid w:val="002D63AE"/>
    <w:rsid w:val="002D6FCA"/>
    <w:rsid w:val="002E0FC2"/>
    <w:rsid w:val="002E28FD"/>
    <w:rsid w:val="002E2F45"/>
    <w:rsid w:val="002E372E"/>
    <w:rsid w:val="002E4168"/>
    <w:rsid w:val="002E4513"/>
    <w:rsid w:val="002E531B"/>
    <w:rsid w:val="002E5508"/>
    <w:rsid w:val="002E5CDA"/>
    <w:rsid w:val="002E7F34"/>
    <w:rsid w:val="002F0CCD"/>
    <w:rsid w:val="002F24B5"/>
    <w:rsid w:val="002F300D"/>
    <w:rsid w:val="002F4265"/>
    <w:rsid w:val="002F5A7A"/>
    <w:rsid w:val="002F5F27"/>
    <w:rsid w:val="00301524"/>
    <w:rsid w:val="00301CAE"/>
    <w:rsid w:val="00302F55"/>
    <w:rsid w:val="00303AE1"/>
    <w:rsid w:val="00304A10"/>
    <w:rsid w:val="00305745"/>
    <w:rsid w:val="00305D5C"/>
    <w:rsid w:val="003067E4"/>
    <w:rsid w:val="00306AC2"/>
    <w:rsid w:val="00306D5B"/>
    <w:rsid w:val="00306EF2"/>
    <w:rsid w:val="003072CD"/>
    <w:rsid w:val="0030786C"/>
    <w:rsid w:val="0030796F"/>
    <w:rsid w:val="00307B0B"/>
    <w:rsid w:val="0031002A"/>
    <w:rsid w:val="00310DC6"/>
    <w:rsid w:val="003126DB"/>
    <w:rsid w:val="00312D04"/>
    <w:rsid w:val="0031317F"/>
    <w:rsid w:val="003136F2"/>
    <w:rsid w:val="00314F69"/>
    <w:rsid w:val="00316D32"/>
    <w:rsid w:val="003174CF"/>
    <w:rsid w:val="0031799A"/>
    <w:rsid w:val="00317AAD"/>
    <w:rsid w:val="0032076A"/>
    <w:rsid w:val="003216B7"/>
    <w:rsid w:val="00322482"/>
    <w:rsid w:val="0032320C"/>
    <w:rsid w:val="00323267"/>
    <w:rsid w:val="00323AE8"/>
    <w:rsid w:val="00323B09"/>
    <w:rsid w:val="00324415"/>
    <w:rsid w:val="003246CB"/>
    <w:rsid w:val="00324818"/>
    <w:rsid w:val="0032559C"/>
    <w:rsid w:val="00326D7D"/>
    <w:rsid w:val="0032742C"/>
    <w:rsid w:val="00332A99"/>
    <w:rsid w:val="00334FFC"/>
    <w:rsid w:val="00336BD9"/>
    <w:rsid w:val="00341948"/>
    <w:rsid w:val="003420BD"/>
    <w:rsid w:val="00342F35"/>
    <w:rsid w:val="003444D2"/>
    <w:rsid w:val="00344975"/>
    <w:rsid w:val="00344A70"/>
    <w:rsid w:val="0034674B"/>
    <w:rsid w:val="00346F24"/>
    <w:rsid w:val="00346FA4"/>
    <w:rsid w:val="00346FC4"/>
    <w:rsid w:val="00350453"/>
    <w:rsid w:val="00350813"/>
    <w:rsid w:val="00350D59"/>
    <w:rsid w:val="0035187A"/>
    <w:rsid w:val="00353206"/>
    <w:rsid w:val="00354181"/>
    <w:rsid w:val="003549AB"/>
    <w:rsid w:val="00354AC7"/>
    <w:rsid w:val="003555F5"/>
    <w:rsid w:val="00355E4D"/>
    <w:rsid w:val="003562BD"/>
    <w:rsid w:val="0036052D"/>
    <w:rsid w:val="00360A3F"/>
    <w:rsid w:val="00360B7A"/>
    <w:rsid w:val="0036177A"/>
    <w:rsid w:val="00361E69"/>
    <w:rsid w:val="003627A4"/>
    <w:rsid w:val="00362D8A"/>
    <w:rsid w:val="00364BB7"/>
    <w:rsid w:val="00366D0C"/>
    <w:rsid w:val="00370DEF"/>
    <w:rsid w:val="0037183B"/>
    <w:rsid w:val="00372460"/>
    <w:rsid w:val="00372A48"/>
    <w:rsid w:val="00372BF0"/>
    <w:rsid w:val="00372E34"/>
    <w:rsid w:val="003744D6"/>
    <w:rsid w:val="0037466E"/>
    <w:rsid w:val="00374D9F"/>
    <w:rsid w:val="00381526"/>
    <w:rsid w:val="00382C96"/>
    <w:rsid w:val="00382CC5"/>
    <w:rsid w:val="003837AF"/>
    <w:rsid w:val="00384A6E"/>
    <w:rsid w:val="00386D66"/>
    <w:rsid w:val="00387321"/>
    <w:rsid w:val="0039008B"/>
    <w:rsid w:val="00390BD4"/>
    <w:rsid w:val="00390F34"/>
    <w:rsid w:val="00391B78"/>
    <w:rsid w:val="00391B9B"/>
    <w:rsid w:val="003922A8"/>
    <w:rsid w:val="00392464"/>
    <w:rsid w:val="00392A02"/>
    <w:rsid w:val="00393A1C"/>
    <w:rsid w:val="00394EAE"/>
    <w:rsid w:val="0039568A"/>
    <w:rsid w:val="00396B69"/>
    <w:rsid w:val="003970A7"/>
    <w:rsid w:val="003A0046"/>
    <w:rsid w:val="003A2586"/>
    <w:rsid w:val="003A418B"/>
    <w:rsid w:val="003A527D"/>
    <w:rsid w:val="003A5728"/>
    <w:rsid w:val="003A6B42"/>
    <w:rsid w:val="003B00FD"/>
    <w:rsid w:val="003B04C3"/>
    <w:rsid w:val="003B0AAD"/>
    <w:rsid w:val="003B0B47"/>
    <w:rsid w:val="003B1222"/>
    <w:rsid w:val="003B23E5"/>
    <w:rsid w:val="003B2657"/>
    <w:rsid w:val="003B2972"/>
    <w:rsid w:val="003B2C42"/>
    <w:rsid w:val="003B2E5C"/>
    <w:rsid w:val="003B3C7F"/>
    <w:rsid w:val="003B44E3"/>
    <w:rsid w:val="003B54BC"/>
    <w:rsid w:val="003B59C4"/>
    <w:rsid w:val="003B5AC1"/>
    <w:rsid w:val="003B6012"/>
    <w:rsid w:val="003B60A7"/>
    <w:rsid w:val="003B797C"/>
    <w:rsid w:val="003C0856"/>
    <w:rsid w:val="003C0974"/>
    <w:rsid w:val="003C1DD5"/>
    <w:rsid w:val="003C2F8E"/>
    <w:rsid w:val="003C36FF"/>
    <w:rsid w:val="003C3E2A"/>
    <w:rsid w:val="003C502B"/>
    <w:rsid w:val="003C51B9"/>
    <w:rsid w:val="003C6180"/>
    <w:rsid w:val="003C729B"/>
    <w:rsid w:val="003C736D"/>
    <w:rsid w:val="003D0BA7"/>
    <w:rsid w:val="003D0D1C"/>
    <w:rsid w:val="003D2F8F"/>
    <w:rsid w:val="003D3218"/>
    <w:rsid w:val="003D3E15"/>
    <w:rsid w:val="003D44BC"/>
    <w:rsid w:val="003D5E45"/>
    <w:rsid w:val="003D64D2"/>
    <w:rsid w:val="003E1403"/>
    <w:rsid w:val="003E36C5"/>
    <w:rsid w:val="003E39C7"/>
    <w:rsid w:val="003E3BEF"/>
    <w:rsid w:val="003E4622"/>
    <w:rsid w:val="003E4D93"/>
    <w:rsid w:val="003E4EDB"/>
    <w:rsid w:val="003E63E6"/>
    <w:rsid w:val="003E6B4C"/>
    <w:rsid w:val="003E7AB4"/>
    <w:rsid w:val="003E7ADD"/>
    <w:rsid w:val="003F03D0"/>
    <w:rsid w:val="003F06B0"/>
    <w:rsid w:val="003F09FF"/>
    <w:rsid w:val="003F1396"/>
    <w:rsid w:val="003F19D4"/>
    <w:rsid w:val="003F265B"/>
    <w:rsid w:val="003F2A8D"/>
    <w:rsid w:val="003F35FA"/>
    <w:rsid w:val="003F485A"/>
    <w:rsid w:val="003F4CF2"/>
    <w:rsid w:val="003F4E26"/>
    <w:rsid w:val="003F6163"/>
    <w:rsid w:val="003F777B"/>
    <w:rsid w:val="003F7882"/>
    <w:rsid w:val="003F788A"/>
    <w:rsid w:val="003F7A83"/>
    <w:rsid w:val="0040164D"/>
    <w:rsid w:val="00401E59"/>
    <w:rsid w:val="00402D30"/>
    <w:rsid w:val="00403E1A"/>
    <w:rsid w:val="00404475"/>
    <w:rsid w:val="00406ED1"/>
    <w:rsid w:val="004072A8"/>
    <w:rsid w:val="004074E1"/>
    <w:rsid w:val="004115AD"/>
    <w:rsid w:val="00411892"/>
    <w:rsid w:val="00412122"/>
    <w:rsid w:val="00412607"/>
    <w:rsid w:val="00413087"/>
    <w:rsid w:val="00414954"/>
    <w:rsid w:val="00416622"/>
    <w:rsid w:val="0042033B"/>
    <w:rsid w:val="00420391"/>
    <w:rsid w:val="0042071B"/>
    <w:rsid w:val="00420A01"/>
    <w:rsid w:val="00422829"/>
    <w:rsid w:val="00423928"/>
    <w:rsid w:val="00424DB2"/>
    <w:rsid w:val="00425D06"/>
    <w:rsid w:val="0042614A"/>
    <w:rsid w:val="0042696C"/>
    <w:rsid w:val="0042753C"/>
    <w:rsid w:val="004307C5"/>
    <w:rsid w:val="00430D5B"/>
    <w:rsid w:val="00430EC1"/>
    <w:rsid w:val="0043134E"/>
    <w:rsid w:val="00432023"/>
    <w:rsid w:val="0043303C"/>
    <w:rsid w:val="0043359F"/>
    <w:rsid w:val="00434D9D"/>
    <w:rsid w:val="00435810"/>
    <w:rsid w:val="00435A5F"/>
    <w:rsid w:val="0043636D"/>
    <w:rsid w:val="00436C63"/>
    <w:rsid w:val="00437620"/>
    <w:rsid w:val="004378E1"/>
    <w:rsid w:val="0044120E"/>
    <w:rsid w:val="00441FC2"/>
    <w:rsid w:val="0044224F"/>
    <w:rsid w:val="0044292D"/>
    <w:rsid w:val="00443623"/>
    <w:rsid w:val="00444173"/>
    <w:rsid w:val="0044459E"/>
    <w:rsid w:val="00445CC7"/>
    <w:rsid w:val="004465C8"/>
    <w:rsid w:val="00446CE4"/>
    <w:rsid w:val="004477BE"/>
    <w:rsid w:val="00451065"/>
    <w:rsid w:val="00451CA2"/>
    <w:rsid w:val="004520E6"/>
    <w:rsid w:val="00454FE1"/>
    <w:rsid w:val="00456EEC"/>
    <w:rsid w:val="00457661"/>
    <w:rsid w:val="00457693"/>
    <w:rsid w:val="00457A12"/>
    <w:rsid w:val="00460A32"/>
    <w:rsid w:val="00462C69"/>
    <w:rsid w:val="00462CB1"/>
    <w:rsid w:val="00463319"/>
    <w:rsid w:val="00463683"/>
    <w:rsid w:val="00463B1C"/>
    <w:rsid w:val="00463CE2"/>
    <w:rsid w:val="004644F9"/>
    <w:rsid w:val="0046512B"/>
    <w:rsid w:val="00466953"/>
    <w:rsid w:val="0046737D"/>
    <w:rsid w:val="00470B37"/>
    <w:rsid w:val="00470CDE"/>
    <w:rsid w:val="00472534"/>
    <w:rsid w:val="0047256D"/>
    <w:rsid w:val="00472743"/>
    <w:rsid w:val="00472BEA"/>
    <w:rsid w:val="00472C91"/>
    <w:rsid w:val="00474686"/>
    <w:rsid w:val="004749E9"/>
    <w:rsid w:val="00474DAD"/>
    <w:rsid w:val="00475785"/>
    <w:rsid w:val="00475E69"/>
    <w:rsid w:val="0047654A"/>
    <w:rsid w:val="00476C07"/>
    <w:rsid w:val="00477345"/>
    <w:rsid w:val="0048125A"/>
    <w:rsid w:val="0048144C"/>
    <w:rsid w:val="00481FDB"/>
    <w:rsid w:val="00482932"/>
    <w:rsid w:val="0048386A"/>
    <w:rsid w:val="00484218"/>
    <w:rsid w:val="004859A5"/>
    <w:rsid w:val="004859DF"/>
    <w:rsid w:val="00485D21"/>
    <w:rsid w:val="004862D3"/>
    <w:rsid w:val="004867E2"/>
    <w:rsid w:val="00486A7D"/>
    <w:rsid w:val="00490F36"/>
    <w:rsid w:val="00491F70"/>
    <w:rsid w:val="0049247B"/>
    <w:rsid w:val="00494B98"/>
    <w:rsid w:val="004963B8"/>
    <w:rsid w:val="00496CD3"/>
    <w:rsid w:val="00497603"/>
    <w:rsid w:val="004A1D0D"/>
    <w:rsid w:val="004A253B"/>
    <w:rsid w:val="004A29C3"/>
    <w:rsid w:val="004A2F14"/>
    <w:rsid w:val="004A40A5"/>
    <w:rsid w:val="004A43F3"/>
    <w:rsid w:val="004A6E95"/>
    <w:rsid w:val="004B0928"/>
    <w:rsid w:val="004B2987"/>
    <w:rsid w:val="004B2F46"/>
    <w:rsid w:val="004B4440"/>
    <w:rsid w:val="004B4D10"/>
    <w:rsid w:val="004B6382"/>
    <w:rsid w:val="004B6F11"/>
    <w:rsid w:val="004B7242"/>
    <w:rsid w:val="004C0614"/>
    <w:rsid w:val="004C13B1"/>
    <w:rsid w:val="004C2904"/>
    <w:rsid w:val="004C4951"/>
    <w:rsid w:val="004C4CAD"/>
    <w:rsid w:val="004C5E9C"/>
    <w:rsid w:val="004C6985"/>
    <w:rsid w:val="004C724D"/>
    <w:rsid w:val="004D0218"/>
    <w:rsid w:val="004D09C1"/>
    <w:rsid w:val="004D0A22"/>
    <w:rsid w:val="004D2602"/>
    <w:rsid w:val="004D2685"/>
    <w:rsid w:val="004D2C42"/>
    <w:rsid w:val="004D4525"/>
    <w:rsid w:val="004D482B"/>
    <w:rsid w:val="004D5156"/>
    <w:rsid w:val="004D57AE"/>
    <w:rsid w:val="004D584F"/>
    <w:rsid w:val="004D6453"/>
    <w:rsid w:val="004D67AF"/>
    <w:rsid w:val="004D69BB"/>
    <w:rsid w:val="004D6FB9"/>
    <w:rsid w:val="004D72E6"/>
    <w:rsid w:val="004D781D"/>
    <w:rsid w:val="004D7CBA"/>
    <w:rsid w:val="004E14A4"/>
    <w:rsid w:val="004E1F3F"/>
    <w:rsid w:val="004E21F8"/>
    <w:rsid w:val="004E4471"/>
    <w:rsid w:val="004E49EA"/>
    <w:rsid w:val="004E5C08"/>
    <w:rsid w:val="004E705F"/>
    <w:rsid w:val="004E72CB"/>
    <w:rsid w:val="004E72CC"/>
    <w:rsid w:val="004E734A"/>
    <w:rsid w:val="004E7548"/>
    <w:rsid w:val="004F0267"/>
    <w:rsid w:val="004F0CC7"/>
    <w:rsid w:val="004F3775"/>
    <w:rsid w:val="004F3E80"/>
    <w:rsid w:val="004F56EF"/>
    <w:rsid w:val="004F6D63"/>
    <w:rsid w:val="00501A51"/>
    <w:rsid w:val="00502A2A"/>
    <w:rsid w:val="005040B7"/>
    <w:rsid w:val="00504291"/>
    <w:rsid w:val="005049DD"/>
    <w:rsid w:val="005051FD"/>
    <w:rsid w:val="005057EB"/>
    <w:rsid w:val="005068B9"/>
    <w:rsid w:val="00507402"/>
    <w:rsid w:val="00507F8F"/>
    <w:rsid w:val="00510445"/>
    <w:rsid w:val="00511214"/>
    <w:rsid w:val="00512065"/>
    <w:rsid w:val="0051250F"/>
    <w:rsid w:val="00512DE7"/>
    <w:rsid w:val="005130A6"/>
    <w:rsid w:val="005149E5"/>
    <w:rsid w:val="00515C8C"/>
    <w:rsid w:val="00516298"/>
    <w:rsid w:val="0051650E"/>
    <w:rsid w:val="00516F16"/>
    <w:rsid w:val="00517383"/>
    <w:rsid w:val="005173EC"/>
    <w:rsid w:val="00517D3C"/>
    <w:rsid w:val="0052142D"/>
    <w:rsid w:val="00522B51"/>
    <w:rsid w:val="00523499"/>
    <w:rsid w:val="00523BE9"/>
    <w:rsid w:val="005262C3"/>
    <w:rsid w:val="00526832"/>
    <w:rsid w:val="005269F1"/>
    <w:rsid w:val="00526F00"/>
    <w:rsid w:val="00527034"/>
    <w:rsid w:val="0053053F"/>
    <w:rsid w:val="005307BB"/>
    <w:rsid w:val="00530ED3"/>
    <w:rsid w:val="00532B81"/>
    <w:rsid w:val="00532D8C"/>
    <w:rsid w:val="005332A5"/>
    <w:rsid w:val="00533CFE"/>
    <w:rsid w:val="00534A32"/>
    <w:rsid w:val="00534C4A"/>
    <w:rsid w:val="0053503D"/>
    <w:rsid w:val="00535E22"/>
    <w:rsid w:val="005364D9"/>
    <w:rsid w:val="005366A2"/>
    <w:rsid w:val="0053694B"/>
    <w:rsid w:val="00536CA1"/>
    <w:rsid w:val="00536EB8"/>
    <w:rsid w:val="0053791D"/>
    <w:rsid w:val="00540534"/>
    <w:rsid w:val="00540AB6"/>
    <w:rsid w:val="00541E6E"/>
    <w:rsid w:val="00542990"/>
    <w:rsid w:val="0054443F"/>
    <w:rsid w:val="00544C04"/>
    <w:rsid w:val="0054559B"/>
    <w:rsid w:val="00546C8D"/>
    <w:rsid w:val="00547427"/>
    <w:rsid w:val="00550612"/>
    <w:rsid w:val="005508A4"/>
    <w:rsid w:val="005521F7"/>
    <w:rsid w:val="0055285B"/>
    <w:rsid w:val="00552935"/>
    <w:rsid w:val="00552F9E"/>
    <w:rsid w:val="0055338F"/>
    <w:rsid w:val="0055458C"/>
    <w:rsid w:val="00554BA5"/>
    <w:rsid w:val="00555BA9"/>
    <w:rsid w:val="0055643B"/>
    <w:rsid w:val="00557E9F"/>
    <w:rsid w:val="00561614"/>
    <w:rsid w:val="0056191C"/>
    <w:rsid w:val="00563284"/>
    <w:rsid w:val="00563CCC"/>
    <w:rsid w:val="00564DA4"/>
    <w:rsid w:val="00565224"/>
    <w:rsid w:val="0056522B"/>
    <w:rsid w:val="00566467"/>
    <w:rsid w:val="00566CE0"/>
    <w:rsid w:val="00567A33"/>
    <w:rsid w:val="005703A3"/>
    <w:rsid w:val="00570845"/>
    <w:rsid w:val="00570A1E"/>
    <w:rsid w:val="005717BB"/>
    <w:rsid w:val="005719DA"/>
    <w:rsid w:val="00572B5D"/>
    <w:rsid w:val="00573D95"/>
    <w:rsid w:val="005749DC"/>
    <w:rsid w:val="005755AF"/>
    <w:rsid w:val="00575C2E"/>
    <w:rsid w:val="0057605A"/>
    <w:rsid w:val="005801CC"/>
    <w:rsid w:val="00580207"/>
    <w:rsid w:val="00580263"/>
    <w:rsid w:val="0058196D"/>
    <w:rsid w:val="00581CB6"/>
    <w:rsid w:val="005825D0"/>
    <w:rsid w:val="00583ACA"/>
    <w:rsid w:val="00583C98"/>
    <w:rsid w:val="00584AFC"/>
    <w:rsid w:val="00584C97"/>
    <w:rsid w:val="00585A1A"/>
    <w:rsid w:val="00585C90"/>
    <w:rsid w:val="00585F54"/>
    <w:rsid w:val="00587227"/>
    <w:rsid w:val="005901F2"/>
    <w:rsid w:val="005913C5"/>
    <w:rsid w:val="00591EB8"/>
    <w:rsid w:val="005921B6"/>
    <w:rsid w:val="0059223F"/>
    <w:rsid w:val="00593BB7"/>
    <w:rsid w:val="0059489D"/>
    <w:rsid w:val="005953AE"/>
    <w:rsid w:val="005955C5"/>
    <w:rsid w:val="00595811"/>
    <w:rsid w:val="00595B9E"/>
    <w:rsid w:val="00595F78"/>
    <w:rsid w:val="0059628F"/>
    <w:rsid w:val="00596777"/>
    <w:rsid w:val="005A1A12"/>
    <w:rsid w:val="005A25E8"/>
    <w:rsid w:val="005A2B5C"/>
    <w:rsid w:val="005A4485"/>
    <w:rsid w:val="005A462A"/>
    <w:rsid w:val="005A47E9"/>
    <w:rsid w:val="005A52F2"/>
    <w:rsid w:val="005A5359"/>
    <w:rsid w:val="005A5416"/>
    <w:rsid w:val="005A58DE"/>
    <w:rsid w:val="005A623E"/>
    <w:rsid w:val="005A6B6A"/>
    <w:rsid w:val="005A6D6D"/>
    <w:rsid w:val="005A6EAF"/>
    <w:rsid w:val="005B006C"/>
    <w:rsid w:val="005B2E79"/>
    <w:rsid w:val="005B2EB9"/>
    <w:rsid w:val="005B2F78"/>
    <w:rsid w:val="005B30E9"/>
    <w:rsid w:val="005B3495"/>
    <w:rsid w:val="005B3D3B"/>
    <w:rsid w:val="005B7582"/>
    <w:rsid w:val="005B7D85"/>
    <w:rsid w:val="005C0054"/>
    <w:rsid w:val="005C1005"/>
    <w:rsid w:val="005C11B4"/>
    <w:rsid w:val="005C1B8E"/>
    <w:rsid w:val="005C43A3"/>
    <w:rsid w:val="005C4DFD"/>
    <w:rsid w:val="005C5C4A"/>
    <w:rsid w:val="005C5C96"/>
    <w:rsid w:val="005C6FFC"/>
    <w:rsid w:val="005D0181"/>
    <w:rsid w:val="005D0441"/>
    <w:rsid w:val="005D0C65"/>
    <w:rsid w:val="005D1190"/>
    <w:rsid w:val="005D1B05"/>
    <w:rsid w:val="005D21B1"/>
    <w:rsid w:val="005D2214"/>
    <w:rsid w:val="005D24EC"/>
    <w:rsid w:val="005D2C6E"/>
    <w:rsid w:val="005D2E12"/>
    <w:rsid w:val="005D3B21"/>
    <w:rsid w:val="005D4CF7"/>
    <w:rsid w:val="005E06D0"/>
    <w:rsid w:val="005E1695"/>
    <w:rsid w:val="005E18FB"/>
    <w:rsid w:val="005E2CF2"/>
    <w:rsid w:val="005E2D5A"/>
    <w:rsid w:val="005E3627"/>
    <w:rsid w:val="005E3726"/>
    <w:rsid w:val="005E379F"/>
    <w:rsid w:val="005E4E61"/>
    <w:rsid w:val="005E4E94"/>
    <w:rsid w:val="005E5468"/>
    <w:rsid w:val="005E55C2"/>
    <w:rsid w:val="005E6F21"/>
    <w:rsid w:val="005E78AE"/>
    <w:rsid w:val="005F0181"/>
    <w:rsid w:val="005F16AA"/>
    <w:rsid w:val="005F1818"/>
    <w:rsid w:val="005F2D6B"/>
    <w:rsid w:val="005F2DD9"/>
    <w:rsid w:val="005F3C7E"/>
    <w:rsid w:val="005F5744"/>
    <w:rsid w:val="005F6683"/>
    <w:rsid w:val="005F7C4B"/>
    <w:rsid w:val="0060075E"/>
    <w:rsid w:val="006010BC"/>
    <w:rsid w:val="006013F1"/>
    <w:rsid w:val="00601415"/>
    <w:rsid w:val="00601C45"/>
    <w:rsid w:val="00601DA4"/>
    <w:rsid w:val="00602566"/>
    <w:rsid w:val="00602753"/>
    <w:rsid w:val="00605812"/>
    <w:rsid w:val="00605B07"/>
    <w:rsid w:val="00605DF3"/>
    <w:rsid w:val="0060697D"/>
    <w:rsid w:val="0060780D"/>
    <w:rsid w:val="0061043D"/>
    <w:rsid w:val="006111F0"/>
    <w:rsid w:val="00611EC0"/>
    <w:rsid w:val="0061248A"/>
    <w:rsid w:val="00613143"/>
    <w:rsid w:val="00613533"/>
    <w:rsid w:val="00614121"/>
    <w:rsid w:val="00614A82"/>
    <w:rsid w:val="00615102"/>
    <w:rsid w:val="006161C7"/>
    <w:rsid w:val="006163D8"/>
    <w:rsid w:val="00616D3D"/>
    <w:rsid w:val="00620335"/>
    <w:rsid w:val="00620F24"/>
    <w:rsid w:val="00622642"/>
    <w:rsid w:val="006237E2"/>
    <w:rsid w:val="00623C5D"/>
    <w:rsid w:val="00625801"/>
    <w:rsid w:val="00630391"/>
    <w:rsid w:val="0063279E"/>
    <w:rsid w:val="00633420"/>
    <w:rsid w:val="00633424"/>
    <w:rsid w:val="0063478C"/>
    <w:rsid w:val="00634DFE"/>
    <w:rsid w:val="00634E32"/>
    <w:rsid w:val="00634FA3"/>
    <w:rsid w:val="006351E8"/>
    <w:rsid w:val="00635B53"/>
    <w:rsid w:val="006361A4"/>
    <w:rsid w:val="00636C93"/>
    <w:rsid w:val="00636DBA"/>
    <w:rsid w:val="00636EE9"/>
    <w:rsid w:val="00640207"/>
    <w:rsid w:val="006408F4"/>
    <w:rsid w:val="0064090F"/>
    <w:rsid w:val="00640EF8"/>
    <w:rsid w:val="00643356"/>
    <w:rsid w:val="00643535"/>
    <w:rsid w:val="0064373A"/>
    <w:rsid w:val="00644D64"/>
    <w:rsid w:val="0064562F"/>
    <w:rsid w:val="006458E6"/>
    <w:rsid w:val="00645949"/>
    <w:rsid w:val="00645ED4"/>
    <w:rsid w:val="00647973"/>
    <w:rsid w:val="0065067D"/>
    <w:rsid w:val="00650725"/>
    <w:rsid w:val="00650915"/>
    <w:rsid w:val="006514AB"/>
    <w:rsid w:val="006519CA"/>
    <w:rsid w:val="0065351B"/>
    <w:rsid w:val="00653785"/>
    <w:rsid w:val="00655054"/>
    <w:rsid w:val="00655586"/>
    <w:rsid w:val="00657510"/>
    <w:rsid w:val="00657C74"/>
    <w:rsid w:val="00660142"/>
    <w:rsid w:val="00662AF3"/>
    <w:rsid w:val="00662D4A"/>
    <w:rsid w:val="006637C7"/>
    <w:rsid w:val="006646CB"/>
    <w:rsid w:val="00665198"/>
    <w:rsid w:val="006655DE"/>
    <w:rsid w:val="00666241"/>
    <w:rsid w:val="006673E0"/>
    <w:rsid w:val="00670376"/>
    <w:rsid w:val="00670C77"/>
    <w:rsid w:val="0067213C"/>
    <w:rsid w:val="00672333"/>
    <w:rsid w:val="0067299F"/>
    <w:rsid w:val="006734A7"/>
    <w:rsid w:val="006748B5"/>
    <w:rsid w:val="00675304"/>
    <w:rsid w:val="00675F01"/>
    <w:rsid w:val="006771AD"/>
    <w:rsid w:val="0067727F"/>
    <w:rsid w:val="006776FE"/>
    <w:rsid w:val="00677E98"/>
    <w:rsid w:val="00677EBB"/>
    <w:rsid w:val="00682323"/>
    <w:rsid w:val="00682C10"/>
    <w:rsid w:val="0068387C"/>
    <w:rsid w:val="00683966"/>
    <w:rsid w:val="00683B78"/>
    <w:rsid w:val="00685CE3"/>
    <w:rsid w:val="00685E41"/>
    <w:rsid w:val="00686517"/>
    <w:rsid w:val="00686778"/>
    <w:rsid w:val="00686FA0"/>
    <w:rsid w:val="006877D3"/>
    <w:rsid w:val="00691C5B"/>
    <w:rsid w:val="00692057"/>
    <w:rsid w:val="0069342F"/>
    <w:rsid w:val="00696295"/>
    <w:rsid w:val="00696AEF"/>
    <w:rsid w:val="00696E97"/>
    <w:rsid w:val="0069737A"/>
    <w:rsid w:val="006976AE"/>
    <w:rsid w:val="00697EAF"/>
    <w:rsid w:val="00697F76"/>
    <w:rsid w:val="006A24C9"/>
    <w:rsid w:val="006A26B8"/>
    <w:rsid w:val="006A2BC3"/>
    <w:rsid w:val="006A3A98"/>
    <w:rsid w:val="006A3BF1"/>
    <w:rsid w:val="006A48FC"/>
    <w:rsid w:val="006A4BB7"/>
    <w:rsid w:val="006A5170"/>
    <w:rsid w:val="006A5E0F"/>
    <w:rsid w:val="006A603A"/>
    <w:rsid w:val="006A7406"/>
    <w:rsid w:val="006A7956"/>
    <w:rsid w:val="006A7AB2"/>
    <w:rsid w:val="006B034B"/>
    <w:rsid w:val="006B0493"/>
    <w:rsid w:val="006B0D15"/>
    <w:rsid w:val="006B15BC"/>
    <w:rsid w:val="006B16BF"/>
    <w:rsid w:val="006B2E99"/>
    <w:rsid w:val="006B31A8"/>
    <w:rsid w:val="006B383C"/>
    <w:rsid w:val="006B3C13"/>
    <w:rsid w:val="006B4430"/>
    <w:rsid w:val="006B5552"/>
    <w:rsid w:val="006B6787"/>
    <w:rsid w:val="006B6DBF"/>
    <w:rsid w:val="006C0049"/>
    <w:rsid w:val="006C02B8"/>
    <w:rsid w:val="006C1FA2"/>
    <w:rsid w:val="006C2C37"/>
    <w:rsid w:val="006C3338"/>
    <w:rsid w:val="006C3F52"/>
    <w:rsid w:val="006C41B9"/>
    <w:rsid w:val="006C509C"/>
    <w:rsid w:val="006C5359"/>
    <w:rsid w:val="006C688E"/>
    <w:rsid w:val="006C751B"/>
    <w:rsid w:val="006C7FE8"/>
    <w:rsid w:val="006D0012"/>
    <w:rsid w:val="006D0BEA"/>
    <w:rsid w:val="006D0DAE"/>
    <w:rsid w:val="006D1D8A"/>
    <w:rsid w:val="006D1EEA"/>
    <w:rsid w:val="006D218D"/>
    <w:rsid w:val="006D3040"/>
    <w:rsid w:val="006D306A"/>
    <w:rsid w:val="006D39E1"/>
    <w:rsid w:val="006D4747"/>
    <w:rsid w:val="006D4902"/>
    <w:rsid w:val="006D4EEF"/>
    <w:rsid w:val="006D4FA4"/>
    <w:rsid w:val="006D5B9D"/>
    <w:rsid w:val="006D5CD6"/>
    <w:rsid w:val="006D624B"/>
    <w:rsid w:val="006D65A1"/>
    <w:rsid w:val="006D6A5D"/>
    <w:rsid w:val="006D73D5"/>
    <w:rsid w:val="006D7C4B"/>
    <w:rsid w:val="006D7C75"/>
    <w:rsid w:val="006E08C4"/>
    <w:rsid w:val="006E0D20"/>
    <w:rsid w:val="006E1CA6"/>
    <w:rsid w:val="006E2919"/>
    <w:rsid w:val="006E2B84"/>
    <w:rsid w:val="006E2C4B"/>
    <w:rsid w:val="006E312A"/>
    <w:rsid w:val="006E4BDB"/>
    <w:rsid w:val="006E6C19"/>
    <w:rsid w:val="006E799D"/>
    <w:rsid w:val="006F0082"/>
    <w:rsid w:val="006F02A9"/>
    <w:rsid w:val="006F05BD"/>
    <w:rsid w:val="006F07CC"/>
    <w:rsid w:val="006F15BF"/>
    <w:rsid w:val="006F2792"/>
    <w:rsid w:val="006F2A16"/>
    <w:rsid w:val="006F57E6"/>
    <w:rsid w:val="006F61CF"/>
    <w:rsid w:val="006F6592"/>
    <w:rsid w:val="006F6B91"/>
    <w:rsid w:val="006F7E2D"/>
    <w:rsid w:val="00701F36"/>
    <w:rsid w:val="00702E8E"/>
    <w:rsid w:val="00703DC7"/>
    <w:rsid w:val="00704E29"/>
    <w:rsid w:val="007058EE"/>
    <w:rsid w:val="007060DA"/>
    <w:rsid w:val="0070687A"/>
    <w:rsid w:val="00710394"/>
    <w:rsid w:val="00710E4D"/>
    <w:rsid w:val="00710E65"/>
    <w:rsid w:val="007131DD"/>
    <w:rsid w:val="00713594"/>
    <w:rsid w:val="00713662"/>
    <w:rsid w:val="00713E66"/>
    <w:rsid w:val="0071481F"/>
    <w:rsid w:val="00714C81"/>
    <w:rsid w:val="00714DBD"/>
    <w:rsid w:val="0071509B"/>
    <w:rsid w:val="00715996"/>
    <w:rsid w:val="00715CA7"/>
    <w:rsid w:val="00716A19"/>
    <w:rsid w:val="007171C6"/>
    <w:rsid w:val="0072016D"/>
    <w:rsid w:val="007203D1"/>
    <w:rsid w:val="007205DF"/>
    <w:rsid w:val="00720913"/>
    <w:rsid w:val="007220D9"/>
    <w:rsid w:val="007237A9"/>
    <w:rsid w:val="00723932"/>
    <w:rsid w:val="00725D11"/>
    <w:rsid w:val="007260AE"/>
    <w:rsid w:val="007266CB"/>
    <w:rsid w:val="007274A9"/>
    <w:rsid w:val="00730545"/>
    <w:rsid w:val="00730C7B"/>
    <w:rsid w:val="00732EDC"/>
    <w:rsid w:val="00733070"/>
    <w:rsid w:val="0073374D"/>
    <w:rsid w:val="007342BE"/>
    <w:rsid w:val="00735731"/>
    <w:rsid w:val="00737491"/>
    <w:rsid w:val="00737AEE"/>
    <w:rsid w:val="00737B23"/>
    <w:rsid w:val="007405AB"/>
    <w:rsid w:val="0074117E"/>
    <w:rsid w:val="007411EF"/>
    <w:rsid w:val="0074171E"/>
    <w:rsid w:val="00741959"/>
    <w:rsid w:val="00741C5B"/>
    <w:rsid w:val="007427F3"/>
    <w:rsid w:val="00742EAD"/>
    <w:rsid w:val="00743D9C"/>
    <w:rsid w:val="00744949"/>
    <w:rsid w:val="00744FBE"/>
    <w:rsid w:val="0074538E"/>
    <w:rsid w:val="007457F2"/>
    <w:rsid w:val="00745ABC"/>
    <w:rsid w:val="00746466"/>
    <w:rsid w:val="00746AF2"/>
    <w:rsid w:val="00746E5F"/>
    <w:rsid w:val="0074754E"/>
    <w:rsid w:val="007502D6"/>
    <w:rsid w:val="007512B4"/>
    <w:rsid w:val="007524C0"/>
    <w:rsid w:val="00753B3C"/>
    <w:rsid w:val="00754383"/>
    <w:rsid w:val="00755971"/>
    <w:rsid w:val="00755FE9"/>
    <w:rsid w:val="00756090"/>
    <w:rsid w:val="00757C05"/>
    <w:rsid w:val="007623ED"/>
    <w:rsid w:val="007627E0"/>
    <w:rsid w:val="00762D5B"/>
    <w:rsid w:val="007630B3"/>
    <w:rsid w:val="0076332F"/>
    <w:rsid w:val="0076349B"/>
    <w:rsid w:val="00763CD7"/>
    <w:rsid w:val="00764AC0"/>
    <w:rsid w:val="00764D6C"/>
    <w:rsid w:val="0076511E"/>
    <w:rsid w:val="00765536"/>
    <w:rsid w:val="007655EC"/>
    <w:rsid w:val="00765E19"/>
    <w:rsid w:val="007660C1"/>
    <w:rsid w:val="0076619C"/>
    <w:rsid w:val="007668FB"/>
    <w:rsid w:val="00767868"/>
    <w:rsid w:val="00767C3E"/>
    <w:rsid w:val="0077174E"/>
    <w:rsid w:val="007717A5"/>
    <w:rsid w:val="00771FCC"/>
    <w:rsid w:val="0077228B"/>
    <w:rsid w:val="0077269E"/>
    <w:rsid w:val="007728EB"/>
    <w:rsid w:val="00774B99"/>
    <w:rsid w:val="00774D10"/>
    <w:rsid w:val="007755DE"/>
    <w:rsid w:val="00775BF0"/>
    <w:rsid w:val="00776ADA"/>
    <w:rsid w:val="00777701"/>
    <w:rsid w:val="007777EE"/>
    <w:rsid w:val="00777D66"/>
    <w:rsid w:val="00777DB4"/>
    <w:rsid w:val="00783285"/>
    <w:rsid w:val="00783F83"/>
    <w:rsid w:val="00784B22"/>
    <w:rsid w:val="00784EAE"/>
    <w:rsid w:val="007851E8"/>
    <w:rsid w:val="00785236"/>
    <w:rsid w:val="00785C6E"/>
    <w:rsid w:val="00785FF2"/>
    <w:rsid w:val="007869A5"/>
    <w:rsid w:val="00790C75"/>
    <w:rsid w:val="00790CE0"/>
    <w:rsid w:val="00791154"/>
    <w:rsid w:val="00791B88"/>
    <w:rsid w:val="00791CA7"/>
    <w:rsid w:val="00791ECC"/>
    <w:rsid w:val="0079203B"/>
    <w:rsid w:val="00792521"/>
    <w:rsid w:val="00792914"/>
    <w:rsid w:val="007929E6"/>
    <w:rsid w:val="00792A2F"/>
    <w:rsid w:val="0079346C"/>
    <w:rsid w:val="007934E1"/>
    <w:rsid w:val="00794CCB"/>
    <w:rsid w:val="00795937"/>
    <w:rsid w:val="00797801"/>
    <w:rsid w:val="007A1647"/>
    <w:rsid w:val="007A1A79"/>
    <w:rsid w:val="007A2143"/>
    <w:rsid w:val="007A287F"/>
    <w:rsid w:val="007A3124"/>
    <w:rsid w:val="007A41A7"/>
    <w:rsid w:val="007A52F9"/>
    <w:rsid w:val="007A64FB"/>
    <w:rsid w:val="007A673E"/>
    <w:rsid w:val="007A6B19"/>
    <w:rsid w:val="007A6F61"/>
    <w:rsid w:val="007A7A34"/>
    <w:rsid w:val="007B31A4"/>
    <w:rsid w:val="007B3382"/>
    <w:rsid w:val="007B3989"/>
    <w:rsid w:val="007B4508"/>
    <w:rsid w:val="007B4FA2"/>
    <w:rsid w:val="007B57A1"/>
    <w:rsid w:val="007B5EF6"/>
    <w:rsid w:val="007C0A8D"/>
    <w:rsid w:val="007C0B33"/>
    <w:rsid w:val="007C2345"/>
    <w:rsid w:val="007C49F1"/>
    <w:rsid w:val="007C5DFA"/>
    <w:rsid w:val="007C6DD5"/>
    <w:rsid w:val="007C7016"/>
    <w:rsid w:val="007C787B"/>
    <w:rsid w:val="007D03B6"/>
    <w:rsid w:val="007D15E7"/>
    <w:rsid w:val="007D2992"/>
    <w:rsid w:val="007D2F6A"/>
    <w:rsid w:val="007D3156"/>
    <w:rsid w:val="007D36B9"/>
    <w:rsid w:val="007D4032"/>
    <w:rsid w:val="007D4373"/>
    <w:rsid w:val="007D49F1"/>
    <w:rsid w:val="007D642B"/>
    <w:rsid w:val="007D669C"/>
    <w:rsid w:val="007D7E91"/>
    <w:rsid w:val="007E02E9"/>
    <w:rsid w:val="007E1027"/>
    <w:rsid w:val="007E1388"/>
    <w:rsid w:val="007E2B6C"/>
    <w:rsid w:val="007E2BD5"/>
    <w:rsid w:val="007E356A"/>
    <w:rsid w:val="007E4154"/>
    <w:rsid w:val="007E4413"/>
    <w:rsid w:val="007E47EF"/>
    <w:rsid w:val="007E588A"/>
    <w:rsid w:val="007E69FC"/>
    <w:rsid w:val="007E74DC"/>
    <w:rsid w:val="007E79CE"/>
    <w:rsid w:val="007E7FC8"/>
    <w:rsid w:val="007F00FB"/>
    <w:rsid w:val="007F0B1F"/>
    <w:rsid w:val="007F1243"/>
    <w:rsid w:val="007F136B"/>
    <w:rsid w:val="007F1641"/>
    <w:rsid w:val="007F178F"/>
    <w:rsid w:val="007F43E9"/>
    <w:rsid w:val="007F59A2"/>
    <w:rsid w:val="007F5F99"/>
    <w:rsid w:val="007F60DE"/>
    <w:rsid w:val="007F637C"/>
    <w:rsid w:val="007F65AE"/>
    <w:rsid w:val="007F6814"/>
    <w:rsid w:val="007F70DE"/>
    <w:rsid w:val="00800A30"/>
    <w:rsid w:val="008034AA"/>
    <w:rsid w:val="008037F6"/>
    <w:rsid w:val="00803CBB"/>
    <w:rsid w:val="00803DA5"/>
    <w:rsid w:val="00804630"/>
    <w:rsid w:val="00804BC5"/>
    <w:rsid w:val="00805802"/>
    <w:rsid w:val="008059EE"/>
    <w:rsid w:val="008066EC"/>
    <w:rsid w:val="008066FB"/>
    <w:rsid w:val="0080700E"/>
    <w:rsid w:val="00807E7B"/>
    <w:rsid w:val="008108CB"/>
    <w:rsid w:val="00811E9A"/>
    <w:rsid w:val="00812DD2"/>
    <w:rsid w:val="008133E9"/>
    <w:rsid w:val="00814F3A"/>
    <w:rsid w:val="00815635"/>
    <w:rsid w:val="00817A04"/>
    <w:rsid w:val="00817E9E"/>
    <w:rsid w:val="008204EF"/>
    <w:rsid w:val="00823299"/>
    <w:rsid w:val="00823A9D"/>
    <w:rsid w:val="00824C50"/>
    <w:rsid w:val="00824D9D"/>
    <w:rsid w:val="00825F02"/>
    <w:rsid w:val="0082638A"/>
    <w:rsid w:val="008264EB"/>
    <w:rsid w:val="0082788A"/>
    <w:rsid w:val="00827F65"/>
    <w:rsid w:val="00830811"/>
    <w:rsid w:val="008309AF"/>
    <w:rsid w:val="00830C05"/>
    <w:rsid w:val="00831390"/>
    <w:rsid w:val="0083202D"/>
    <w:rsid w:val="00832045"/>
    <w:rsid w:val="00833C60"/>
    <w:rsid w:val="008342B2"/>
    <w:rsid w:val="00835456"/>
    <w:rsid w:val="00835D9F"/>
    <w:rsid w:val="00837815"/>
    <w:rsid w:val="00837D41"/>
    <w:rsid w:val="0084061A"/>
    <w:rsid w:val="00840B1E"/>
    <w:rsid w:val="00840C6F"/>
    <w:rsid w:val="008410EF"/>
    <w:rsid w:val="00841D33"/>
    <w:rsid w:val="00842A4F"/>
    <w:rsid w:val="008435C9"/>
    <w:rsid w:val="008435F7"/>
    <w:rsid w:val="0084368A"/>
    <w:rsid w:val="00843A5D"/>
    <w:rsid w:val="008452AC"/>
    <w:rsid w:val="008459AA"/>
    <w:rsid w:val="00847488"/>
    <w:rsid w:val="00847675"/>
    <w:rsid w:val="0084793A"/>
    <w:rsid w:val="00850E21"/>
    <w:rsid w:val="00851353"/>
    <w:rsid w:val="008516C0"/>
    <w:rsid w:val="0085231C"/>
    <w:rsid w:val="00853D82"/>
    <w:rsid w:val="0085438F"/>
    <w:rsid w:val="00854A50"/>
    <w:rsid w:val="008552C6"/>
    <w:rsid w:val="0085559A"/>
    <w:rsid w:val="00855EAE"/>
    <w:rsid w:val="008568E7"/>
    <w:rsid w:val="008572E4"/>
    <w:rsid w:val="00857893"/>
    <w:rsid w:val="00857A32"/>
    <w:rsid w:val="00857BDF"/>
    <w:rsid w:val="0086028B"/>
    <w:rsid w:val="00860403"/>
    <w:rsid w:val="008606E8"/>
    <w:rsid w:val="00861063"/>
    <w:rsid w:val="0086173B"/>
    <w:rsid w:val="00861DAE"/>
    <w:rsid w:val="008632D9"/>
    <w:rsid w:val="00863EB5"/>
    <w:rsid w:val="008653C3"/>
    <w:rsid w:val="00865620"/>
    <w:rsid w:val="00870A5E"/>
    <w:rsid w:val="00872175"/>
    <w:rsid w:val="00873E30"/>
    <w:rsid w:val="00874222"/>
    <w:rsid w:val="008745D9"/>
    <w:rsid w:val="00876D06"/>
    <w:rsid w:val="008775F2"/>
    <w:rsid w:val="00880178"/>
    <w:rsid w:val="00880466"/>
    <w:rsid w:val="008810D4"/>
    <w:rsid w:val="00881532"/>
    <w:rsid w:val="00881B7D"/>
    <w:rsid w:val="00882515"/>
    <w:rsid w:val="00885022"/>
    <w:rsid w:val="00885208"/>
    <w:rsid w:val="00885AEE"/>
    <w:rsid w:val="00885DB4"/>
    <w:rsid w:val="00885E8E"/>
    <w:rsid w:val="0088725A"/>
    <w:rsid w:val="00890920"/>
    <w:rsid w:val="00890C8B"/>
    <w:rsid w:val="008912C3"/>
    <w:rsid w:val="00891863"/>
    <w:rsid w:val="008925CF"/>
    <w:rsid w:val="00892950"/>
    <w:rsid w:val="0089315C"/>
    <w:rsid w:val="00893242"/>
    <w:rsid w:val="0089331C"/>
    <w:rsid w:val="00893D9A"/>
    <w:rsid w:val="00894C15"/>
    <w:rsid w:val="00894EDF"/>
    <w:rsid w:val="008958D6"/>
    <w:rsid w:val="00896BCD"/>
    <w:rsid w:val="00897111"/>
    <w:rsid w:val="00897EBD"/>
    <w:rsid w:val="00897F3D"/>
    <w:rsid w:val="008A00F0"/>
    <w:rsid w:val="008A05B8"/>
    <w:rsid w:val="008A06C4"/>
    <w:rsid w:val="008A06D6"/>
    <w:rsid w:val="008A0BC2"/>
    <w:rsid w:val="008A13AB"/>
    <w:rsid w:val="008A1730"/>
    <w:rsid w:val="008A2C6F"/>
    <w:rsid w:val="008A34CC"/>
    <w:rsid w:val="008A34DC"/>
    <w:rsid w:val="008A375C"/>
    <w:rsid w:val="008A3E3C"/>
    <w:rsid w:val="008A447F"/>
    <w:rsid w:val="008A44F4"/>
    <w:rsid w:val="008A44FF"/>
    <w:rsid w:val="008A49F1"/>
    <w:rsid w:val="008A5B18"/>
    <w:rsid w:val="008A6F0F"/>
    <w:rsid w:val="008A6FE6"/>
    <w:rsid w:val="008A7D3D"/>
    <w:rsid w:val="008A7F46"/>
    <w:rsid w:val="008B02B4"/>
    <w:rsid w:val="008B1083"/>
    <w:rsid w:val="008B153E"/>
    <w:rsid w:val="008B1627"/>
    <w:rsid w:val="008B1A29"/>
    <w:rsid w:val="008B1FB3"/>
    <w:rsid w:val="008B29D9"/>
    <w:rsid w:val="008B4C7C"/>
    <w:rsid w:val="008B536D"/>
    <w:rsid w:val="008B5A18"/>
    <w:rsid w:val="008B6081"/>
    <w:rsid w:val="008B688D"/>
    <w:rsid w:val="008B77B8"/>
    <w:rsid w:val="008B7D64"/>
    <w:rsid w:val="008B7ECE"/>
    <w:rsid w:val="008B7F44"/>
    <w:rsid w:val="008C0BCB"/>
    <w:rsid w:val="008C0D51"/>
    <w:rsid w:val="008C18EB"/>
    <w:rsid w:val="008C19D9"/>
    <w:rsid w:val="008C1C68"/>
    <w:rsid w:val="008C2008"/>
    <w:rsid w:val="008C2413"/>
    <w:rsid w:val="008C298B"/>
    <w:rsid w:val="008C455F"/>
    <w:rsid w:val="008C6042"/>
    <w:rsid w:val="008C7145"/>
    <w:rsid w:val="008C7A6C"/>
    <w:rsid w:val="008D0B7C"/>
    <w:rsid w:val="008D1C6A"/>
    <w:rsid w:val="008D35CA"/>
    <w:rsid w:val="008D5138"/>
    <w:rsid w:val="008D62E8"/>
    <w:rsid w:val="008D6990"/>
    <w:rsid w:val="008D6D51"/>
    <w:rsid w:val="008D6EB1"/>
    <w:rsid w:val="008D7374"/>
    <w:rsid w:val="008E0DBE"/>
    <w:rsid w:val="008E135B"/>
    <w:rsid w:val="008E182B"/>
    <w:rsid w:val="008E2AFF"/>
    <w:rsid w:val="008E2BA5"/>
    <w:rsid w:val="008E3373"/>
    <w:rsid w:val="008E34E5"/>
    <w:rsid w:val="008E3992"/>
    <w:rsid w:val="008E45AF"/>
    <w:rsid w:val="008E53F9"/>
    <w:rsid w:val="008E5BB3"/>
    <w:rsid w:val="008E5CD4"/>
    <w:rsid w:val="008E5F3E"/>
    <w:rsid w:val="008E6265"/>
    <w:rsid w:val="008E6267"/>
    <w:rsid w:val="008E7B76"/>
    <w:rsid w:val="008E7F61"/>
    <w:rsid w:val="008F0798"/>
    <w:rsid w:val="008F0C06"/>
    <w:rsid w:val="008F2B47"/>
    <w:rsid w:val="008F2EA0"/>
    <w:rsid w:val="008F30CB"/>
    <w:rsid w:val="008F38FF"/>
    <w:rsid w:val="008F39AA"/>
    <w:rsid w:val="008F3EBA"/>
    <w:rsid w:val="008F4ADC"/>
    <w:rsid w:val="008F549A"/>
    <w:rsid w:val="008F54ED"/>
    <w:rsid w:val="008F6371"/>
    <w:rsid w:val="008F6552"/>
    <w:rsid w:val="008F6C85"/>
    <w:rsid w:val="008F6FD0"/>
    <w:rsid w:val="008F7722"/>
    <w:rsid w:val="008F7C32"/>
    <w:rsid w:val="008F7F39"/>
    <w:rsid w:val="009009D6"/>
    <w:rsid w:val="00901615"/>
    <w:rsid w:val="009035E7"/>
    <w:rsid w:val="009038F8"/>
    <w:rsid w:val="009051BC"/>
    <w:rsid w:val="00905988"/>
    <w:rsid w:val="00905EE9"/>
    <w:rsid w:val="00907139"/>
    <w:rsid w:val="009105CD"/>
    <w:rsid w:val="00910E7D"/>
    <w:rsid w:val="009134EC"/>
    <w:rsid w:val="00913704"/>
    <w:rsid w:val="00913B3A"/>
    <w:rsid w:val="00913CA4"/>
    <w:rsid w:val="00913EA8"/>
    <w:rsid w:val="009155BF"/>
    <w:rsid w:val="009161FF"/>
    <w:rsid w:val="009164DA"/>
    <w:rsid w:val="00916D6A"/>
    <w:rsid w:val="00916FCF"/>
    <w:rsid w:val="009200D8"/>
    <w:rsid w:val="009205CE"/>
    <w:rsid w:val="00921343"/>
    <w:rsid w:val="00922481"/>
    <w:rsid w:val="00923829"/>
    <w:rsid w:val="009238AF"/>
    <w:rsid w:val="009255F9"/>
    <w:rsid w:val="00925674"/>
    <w:rsid w:val="009257E1"/>
    <w:rsid w:val="009269B5"/>
    <w:rsid w:val="00927C34"/>
    <w:rsid w:val="00931038"/>
    <w:rsid w:val="00931BC4"/>
    <w:rsid w:val="00934174"/>
    <w:rsid w:val="00936307"/>
    <w:rsid w:val="0093778C"/>
    <w:rsid w:val="00940ABC"/>
    <w:rsid w:val="00940EF6"/>
    <w:rsid w:val="009413D0"/>
    <w:rsid w:val="00941426"/>
    <w:rsid w:val="00942A79"/>
    <w:rsid w:val="00943C8C"/>
    <w:rsid w:val="00943E9E"/>
    <w:rsid w:val="00944A96"/>
    <w:rsid w:val="009506CB"/>
    <w:rsid w:val="0095439D"/>
    <w:rsid w:val="009574FF"/>
    <w:rsid w:val="00957F67"/>
    <w:rsid w:val="00960863"/>
    <w:rsid w:val="00960B35"/>
    <w:rsid w:val="00960BFE"/>
    <w:rsid w:val="00961902"/>
    <w:rsid w:val="00961CFC"/>
    <w:rsid w:val="009620AE"/>
    <w:rsid w:val="00962257"/>
    <w:rsid w:val="00962D55"/>
    <w:rsid w:val="0096360D"/>
    <w:rsid w:val="00963F67"/>
    <w:rsid w:val="0096427B"/>
    <w:rsid w:val="0096579B"/>
    <w:rsid w:val="00966933"/>
    <w:rsid w:val="00967D1B"/>
    <w:rsid w:val="00971680"/>
    <w:rsid w:val="0097248F"/>
    <w:rsid w:val="009724E3"/>
    <w:rsid w:val="00974038"/>
    <w:rsid w:val="00974127"/>
    <w:rsid w:val="00977136"/>
    <w:rsid w:val="009778EA"/>
    <w:rsid w:val="00977EF3"/>
    <w:rsid w:val="00981051"/>
    <w:rsid w:val="009834B1"/>
    <w:rsid w:val="009837DB"/>
    <w:rsid w:val="00983ED8"/>
    <w:rsid w:val="00984488"/>
    <w:rsid w:val="00984BFF"/>
    <w:rsid w:val="00984F36"/>
    <w:rsid w:val="00985BE6"/>
    <w:rsid w:val="00986C5C"/>
    <w:rsid w:val="00987088"/>
    <w:rsid w:val="009904A3"/>
    <w:rsid w:val="00990C93"/>
    <w:rsid w:val="00991750"/>
    <w:rsid w:val="00992E2B"/>
    <w:rsid w:val="00994589"/>
    <w:rsid w:val="009A07C4"/>
    <w:rsid w:val="009A08AF"/>
    <w:rsid w:val="009A0DC4"/>
    <w:rsid w:val="009A1898"/>
    <w:rsid w:val="009A211B"/>
    <w:rsid w:val="009A2569"/>
    <w:rsid w:val="009A3684"/>
    <w:rsid w:val="009A44BC"/>
    <w:rsid w:val="009A5A94"/>
    <w:rsid w:val="009A5E50"/>
    <w:rsid w:val="009A622D"/>
    <w:rsid w:val="009B04B4"/>
    <w:rsid w:val="009B0EBB"/>
    <w:rsid w:val="009B156A"/>
    <w:rsid w:val="009B2C53"/>
    <w:rsid w:val="009B3221"/>
    <w:rsid w:val="009B34F1"/>
    <w:rsid w:val="009B3678"/>
    <w:rsid w:val="009B3C70"/>
    <w:rsid w:val="009B4240"/>
    <w:rsid w:val="009B5010"/>
    <w:rsid w:val="009B54FC"/>
    <w:rsid w:val="009B5671"/>
    <w:rsid w:val="009B5C97"/>
    <w:rsid w:val="009B63F5"/>
    <w:rsid w:val="009B668D"/>
    <w:rsid w:val="009B73FD"/>
    <w:rsid w:val="009B7443"/>
    <w:rsid w:val="009B7570"/>
    <w:rsid w:val="009B75CF"/>
    <w:rsid w:val="009B7FA7"/>
    <w:rsid w:val="009C02D2"/>
    <w:rsid w:val="009C10DF"/>
    <w:rsid w:val="009C1E32"/>
    <w:rsid w:val="009C3086"/>
    <w:rsid w:val="009C4001"/>
    <w:rsid w:val="009C5D84"/>
    <w:rsid w:val="009C5E85"/>
    <w:rsid w:val="009C62F9"/>
    <w:rsid w:val="009C78B5"/>
    <w:rsid w:val="009D0EED"/>
    <w:rsid w:val="009D11A6"/>
    <w:rsid w:val="009D40D0"/>
    <w:rsid w:val="009D4807"/>
    <w:rsid w:val="009D4966"/>
    <w:rsid w:val="009D4B37"/>
    <w:rsid w:val="009D58C6"/>
    <w:rsid w:val="009D594E"/>
    <w:rsid w:val="009D743C"/>
    <w:rsid w:val="009D74AB"/>
    <w:rsid w:val="009E104E"/>
    <w:rsid w:val="009E14B4"/>
    <w:rsid w:val="009E196E"/>
    <w:rsid w:val="009E2932"/>
    <w:rsid w:val="009E44AC"/>
    <w:rsid w:val="009E4B27"/>
    <w:rsid w:val="009E55D9"/>
    <w:rsid w:val="009E55F6"/>
    <w:rsid w:val="009E6AF3"/>
    <w:rsid w:val="009F0534"/>
    <w:rsid w:val="009F095A"/>
    <w:rsid w:val="009F2552"/>
    <w:rsid w:val="009F29CF"/>
    <w:rsid w:val="009F3C66"/>
    <w:rsid w:val="009F3E64"/>
    <w:rsid w:val="009F47A9"/>
    <w:rsid w:val="009F50FB"/>
    <w:rsid w:val="009F5C9B"/>
    <w:rsid w:val="009F6AD3"/>
    <w:rsid w:val="009F6FE8"/>
    <w:rsid w:val="009F7F00"/>
    <w:rsid w:val="00A00387"/>
    <w:rsid w:val="00A00EED"/>
    <w:rsid w:val="00A01431"/>
    <w:rsid w:val="00A02134"/>
    <w:rsid w:val="00A036E6"/>
    <w:rsid w:val="00A054C8"/>
    <w:rsid w:val="00A05C35"/>
    <w:rsid w:val="00A05C88"/>
    <w:rsid w:val="00A060E2"/>
    <w:rsid w:val="00A068FB"/>
    <w:rsid w:val="00A06ABB"/>
    <w:rsid w:val="00A0716B"/>
    <w:rsid w:val="00A07547"/>
    <w:rsid w:val="00A07684"/>
    <w:rsid w:val="00A07BDB"/>
    <w:rsid w:val="00A10A0E"/>
    <w:rsid w:val="00A10A35"/>
    <w:rsid w:val="00A11A6D"/>
    <w:rsid w:val="00A123B4"/>
    <w:rsid w:val="00A124A8"/>
    <w:rsid w:val="00A12B82"/>
    <w:rsid w:val="00A12E3A"/>
    <w:rsid w:val="00A131B1"/>
    <w:rsid w:val="00A13577"/>
    <w:rsid w:val="00A139D1"/>
    <w:rsid w:val="00A13A3C"/>
    <w:rsid w:val="00A13E71"/>
    <w:rsid w:val="00A142BC"/>
    <w:rsid w:val="00A1504E"/>
    <w:rsid w:val="00A15F0A"/>
    <w:rsid w:val="00A220E4"/>
    <w:rsid w:val="00A22251"/>
    <w:rsid w:val="00A22961"/>
    <w:rsid w:val="00A238C4"/>
    <w:rsid w:val="00A24BDF"/>
    <w:rsid w:val="00A258E2"/>
    <w:rsid w:val="00A2602A"/>
    <w:rsid w:val="00A264A4"/>
    <w:rsid w:val="00A3257B"/>
    <w:rsid w:val="00A33C45"/>
    <w:rsid w:val="00A3408F"/>
    <w:rsid w:val="00A3532E"/>
    <w:rsid w:val="00A3613D"/>
    <w:rsid w:val="00A36E34"/>
    <w:rsid w:val="00A37A5B"/>
    <w:rsid w:val="00A40548"/>
    <w:rsid w:val="00A40942"/>
    <w:rsid w:val="00A41A93"/>
    <w:rsid w:val="00A421A7"/>
    <w:rsid w:val="00A4292D"/>
    <w:rsid w:val="00A431A9"/>
    <w:rsid w:val="00A436A7"/>
    <w:rsid w:val="00A44957"/>
    <w:rsid w:val="00A44DD3"/>
    <w:rsid w:val="00A458A5"/>
    <w:rsid w:val="00A458F0"/>
    <w:rsid w:val="00A46223"/>
    <w:rsid w:val="00A474A3"/>
    <w:rsid w:val="00A477B2"/>
    <w:rsid w:val="00A50D60"/>
    <w:rsid w:val="00A50E42"/>
    <w:rsid w:val="00A5186F"/>
    <w:rsid w:val="00A535EF"/>
    <w:rsid w:val="00A54073"/>
    <w:rsid w:val="00A54260"/>
    <w:rsid w:val="00A54423"/>
    <w:rsid w:val="00A54D9E"/>
    <w:rsid w:val="00A54DCA"/>
    <w:rsid w:val="00A55586"/>
    <w:rsid w:val="00A55818"/>
    <w:rsid w:val="00A56BA1"/>
    <w:rsid w:val="00A57B65"/>
    <w:rsid w:val="00A60598"/>
    <w:rsid w:val="00A6080D"/>
    <w:rsid w:val="00A61061"/>
    <w:rsid w:val="00A62C01"/>
    <w:rsid w:val="00A63C7F"/>
    <w:rsid w:val="00A645CB"/>
    <w:rsid w:val="00A65A53"/>
    <w:rsid w:val="00A65E61"/>
    <w:rsid w:val="00A6692E"/>
    <w:rsid w:val="00A66B73"/>
    <w:rsid w:val="00A66F52"/>
    <w:rsid w:val="00A66F54"/>
    <w:rsid w:val="00A705CE"/>
    <w:rsid w:val="00A70995"/>
    <w:rsid w:val="00A721D5"/>
    <w:rsid w:val="00A73F8C"/>
    <w:rsid w:val="00A74CA8"/>
    <w:rsid w:val="00A764EE"/>
    <w:rsid w:val="00A7663E"/>
    <w:rsid w:val="00A76A8C"/>
    <w:rsid w:val="00A776BC"/>
    <w:rsid w:val="00A77B0E"/>
    <w:rsid w:val="00A80493"/>
    <w:rsid w:val="00A81878"/>
    <w:rsid w:val="00A81F14"/>
    <w:rsid w:val="00A8370E"/>
    <w:rsid w:val="00A83C08"/>
    <w:rsid w:val="00A84213"/>
    <w:rsid w:val="00A8492E"/>
    <w:rsid w:val="00A84E01"/>
    <w:rsid w:val="00A8574C"/>
    <w:rsid w:val="00A86B37"/>
    <w:rsid w:val="00A874C4"/>
    <w:rsid w:val="00A87A21"/>
    <w:rsid w:val="00A908EE"/>
    <w:rsid w:val="00A91510"/>
    <w:rsid w:val="00A9291A"/>
    <w:rsid w:val="00A932C0"/>
    <w:rsid w:val="00A93E8C"/>
    <w:rsid w:val="00A9455A"/>
    <w:rsid w:val="00A94BF6"/>
    <w:rsid w:val="00A94CA2"/>
    <w:rsid w:val="00A94D08"/>
    <w:rsid w:val="00A9531E"/>
    <w:rsid w:val="00A9543E"/>
    <w:rsid w:val="00A95BB9"/>
    <w:rsid w:val="00A962B9"/>
    <w:rsid w:val="00A968C7"/>
    <w:rsid w:val="00A96BC1"/>
    <w:rsid w:val="00A9711F"/>
    <w:rsid w:val="00A97632"/>
    <w:rsid w:val="00AA22FA"/>
    <w:rsid w:val="00AA2CA4"/>
    <w:rsid w:val="00AA33B9"/>
    <w:rsid w:val="00AA37FF"/>
    <w:rsid w:val="00AA448A"/>
    <w:rsid w:val="00AA47FF"/>
    <w:rsid w:val="00AA57AC"/>
    <w:rsid w:val="00AA7F29"/>
    <w:rsid w:val="00AB0D64"/>
    <w:rsid w:val="00AB10FF"/>
    <w:rsid w:val="00AB3003"/>
    <w:rsid w:val="00AB425A"/>
    <w:rsid w:val="00AB4A94"/>
    <w:rsid w:val="00AB4F71"/>
    <w:rsid w:val="00AB626B"/>
    <w:rsid w:val="00AB6963"/>
    <w:rsid w:val="00AB755D"/>
    <w:rsid w:val="00AC01F0"/>
    <w:rsid w:val="00AC02A4"/>
    <w:rsid w:val="00AC1913"/>
    <w:rsid w:val="00AC2DAE"/>
    <w:rsid w:val="00AC3D09"/>
    <w:rsid w:val="00AC49DB"/>
    <w:rsid w:val="00AC70AF"/>
    <w:rsid w:val="00AC78FF"/>
    <w:rsid w:val="00AC7B3F"/>
    <w:rsid w:val="00AC7CE1"/>
    <w:rsid w:val="00AD08E4"/>
    <w:rsid w:val="00AD135B"/>
    <w:rsid w:val="00AD231E"/>
    <w:rsid w:val="00AD25E0"/>
    <w:rsid w:val="00AD5464"/>
    <w:rsid w:val="00AD5AD7"/>
    <w:rsid w:val="00AD64D3"/>
    <w:rsid w:val="00AD6D4B"/>
    <w:rsid w:val="00AE066B"/>
    <w:rsid w:val="00AE07D5"/>
    <w:rsid w:val="00AE0B4C"/>
    <w:rsid w:val="00AE0D45"/>
    <w:rsid w:val="00AE112B"/>
    <w:rsid w:val="00AE1A01"/>
    <w:rsid w:val="00AE1A40"/>
    <w:rsid w:val="00AE2319"/>
    <w:rsid w:val="00AE2340"/>
    <w:rsid w:val="00AE2637"/>
    <w:rsid w:val="00AE2918"/>
    <w:rsid w:val="00AE2DDA"/>
    <w:rsid w:val="00AE2F8A"/>
    <w:rsid w:val="00AE3203"/>
    <w:rsid w:val="00AE385C"/>
    <w:rsid w:val="00AE3E09"/>
    <w:rsid w:val="00AE3E7C"/>
    <w:rsid w:val="00AE5197"/>
    <w:rsid w:val="00AE5BA9"/>
    <w:rsid w:val="00AE5FB0"/>
    <w:rsid w:val="00AE69AC"/>
    <w:rsid w:val="00AE70E3"/>
    <w:rsid w:val="00AE7424"/>
    <w:rsid w:val="00AF127F"/>
    <w:rsid w:val="00AF1799"/>
    <w:rsid w:val="00AF1AD0"/>
    <w:rsid w:val="00AF1CB0"/>
    <w:rsid w:val="00AF306D"/>
    <w:rsid w:val="00AF38BB"/>
    <w:rsid w:val="00AF38C6"/>
    <w:rsid w:val="00AF3B5D"/>
    <w:rsid w:val="00AF4007"/>
    <w:rsid w:val="00AF4746"/>
    <w:rsid w:val="00AF4A98"/>
    <w:rsid w:val="00AF78EC"/>
    <w:rsid w:val="00B001E1"/>
    <w:rsid w:val="00B00B0E"/>
    <w:rsid w:val="00B010CF"/>
    <w:rsid w:val="00B01949"/>
    <w:rsid w:val="00B0275C"/>
    <w:rsid w:val="00B02A29"/>
    <w:rsid w:val="00B03886"/>
    <w:rsid w:val="00B04A5D"/>
    <w:rsid w:val="00B04DBB"/>
    <w:rsid w:val="00B056C0"/>
    <w:rsid w:val="00B05CDF"/>
    <w:rsid w:val="00B05E6E"/>
    <w:rsid w:val="00B05FC9"/>
    <w:rsid w:val="00B06138"/>
    <w:rsid w:val="00B063DE"/>
    <w:rsid w:val="00B06965"/>
    <w:rsid w:val="00B06970"/>
    <w:rsid w:val="00B06F3E"/>
    <w:rsid w:val="00B06F73"/>
    <w:rsid w:val="00B079FF"/>
    <w:rsid w:val="00B12310"/>
    <w:rsid w:val="00B12EC5"/>
    <w:rsid w:val="00B14528"/>
    <w:rsid w:val="00B158C8"/>
    <w:rsid w:val="00B15962"/>
    <w:rsid w:val="00B15F35"/>
    <w:rsid w:val="00B16069"/>
    <w:rsid w:val="00B16CF2"/>
    <w:rsid w:val="00B16FA4"/>
    <w:rsid w:val="00B20A72"/>
    <w:rsid w:val="00B214E2"/>
    <w:rsid w:val="00B2187A"/>
    <w:rsid w:val="00B219CC"/>
    <w:rsid w:val="00B22CEC"/>
    <w:rsid w:val="00B23133"/>
    <w:rsid w:val="00B23F69"/>
    <w:rsid w:val="00B26719"/>
    <w:rsid w:val="00B270E2"/>
    <w:rsid w:val="00B2737F"/>
    <w:rsid w:val="00B31AF5"/>
    <w:rsid w:val="00B31FD6"/>
    <w:rsid w:val="00B32323"/>
    <w:rsid w:val="00B33615"/>
    <w:rsid w:val="00B34008"/>
    <w:rsid w:val="00B3451D"/>
    <w:rsid w:val="00B34C66"/>
    <w:rsid w:val="00B35A36"/>
    <w:rsid w:val="00B365F6"/>
    <w:rsid w:val="00B378D5"/>
    <w:rsid w:val="00B41592"/>
    <w:rsid w:val="00B4171E"/>
    <w:rsid w:val="00B41781"/>
    <w:rsid w:val="00B42851"/>
    <w:rsid w:val="00B45329"/>
    <w:rsid w:val="00B4585C"/>
    <w:rsid w:val="00B45DFF"/>
    <w:rsid w:val="00B46BCD"/>
    <w:rsid w:val="00B51979"/>
    <w:rsid w:val="00B51BE0"/>
    <w:rsid w:val="00B52AC5"/>
    <w:rsid w:val="00B532A0"/>
    <w:rsid w:val="00B55000"/>
    <w:rsid w:val="00B56411"/>
    <w:rsid w:val="00B56612"/>
    <w:rsid w:val="00B57FBD"/>
    <w:rsid w:val="00B6036B"/>
    <w:rsid w:val="00B618B6"/>
    <w:rsid w:val="00B62FF8"/>
    <w:rsid w:val="00B63371"/>
    <w:rsid w:val="00B637A1"/>
    <w:rsid w:val="00B63B4B"/>
    <w:rsid w:val="00B63B54"/>
    <w:rsid w:val="00B64518"/>
    <w:rsid w:val="00B64ED3"/>
    <w:rsid w:val="00B6569C"/>
    <w:rsid w:val="00B65AAE"/>
    <w:rsid w:val="00B66245"/>
    <w:rsid w:val="00B66EB2"/>
    <w:rsid w:val="00B67B47"/>
    <w:rsid w:val="00B67C79"/>
    <w:rsid w:val="00B75853"/>
    <w:rsid w:val="00B766C6"/>
    <w:rsid w:val="00B76F43"/>
    <w:rsid w:val="00B77015"/>
    <w:rsid w:val="00B77743"/>
    <w:rsid w:val="00B800D5"/>
    <w:rsid w:val="00B812A8"/>
    <w:rsid w:val="00B81A4D"/>
    <w:rsid w:val="00B8219B"/>
    <w:rsid w:val="00B8389D"/>
    <w:rsid w:val="00B838EB"/>
    <w:rsid w:val="00B83E4D"/>
    <w:rsid w:val="00B84517"/>
    <w:rsid w:val="00B84DBA"/>
    <w:rsid w:val="00B84E2A"/>
    <w:rsid w:val="00B85103"/>
    <w:rsid w:val="00B86E92"/>
    <w:rsid w:val="00B86FB9"/>
    <w:rsid w:val="00B871A5"/>
    <w:rsid w:val="00B90041"/>
    <w:rsid w:val="00B90986"/>
    <w:rsid w:val="00B913F6"/>
    <w:rsid w:val="00B914CC"/>
    <w:rsid w:val="00B9160A"/>
    <w:rsid w:val="00B9169A"/>
    <w:rsid w:val="00B92132"/>
    <w:rsid w:val="00B92EB8"/>
    <w:rsid w:val="00B92F5C"/>
    <w:rsid w:val="00B93419"/>
    <w:rsid w:val="00B93BAF"/>
    <w:rsid w:val="00B94179"/>
    <w:rsid w:val="00B9445F"/>
    <w:rsid w:val="00B9558A"/>
    <w:rsid w:val="00B9570C"/>
    <w:rsid w:val="00B95F30"/>
    <w:rsid w:val="00B962EC"/>
    <w:rsid w:val="00B9770B"/>
    <w:rsid w:val="00B97B76"/>
    <w:rsid w:val="00B97ECB"/>
    <w:rsid w:val="00B97FE1"/>
    <w:rsid w:val="00BA075B"/>
    <w:rsid w:val="00BA0B9A"/>
    <w:rsid w:val="00BA1621"/>
    <w:rsid w:val="00BA189B"/>
    <w:rsid w:val="00BA206C"/>
    <w:rsid w:val="00BA2755"/>
    <w:rsid w:val="00BA361F"/>
    <w:rsid w:val="00BA3F0C"/>
    <w:rsid w:val="00BA4A55"/>
    <w:rsid w:val="00BA4D9B"/>
    <w:rsid w:val="00BA4E11"/>
    <w:rsid w:val="00BA7415"/>
    <w:rsid w:val="00BA7E18"/>
    <w:rsid w:val="00BB01CC"/>
    <w:rsid w:val="00BB0880"/>
    <w:rsid w:val="00BB0CD7"/>
    <w:rsid w:val="00BB13C7"/>
    <w:rsid w:val="00BB2271"/>
    <w:rsid w:val="00BB22D8"/>
    <w:rsid w:val="00BB3C7D"/>
    <w:rsid w:val="00BB4EFA"/>
    <w:rsid w:val="00BB514E"/>
    <w:rsid w:val="00BB5ECA"/>
    <w:rsid w:val="00BB5EE8"/>
    <w:rsid w:val="00BB69EC"/>
    <w:rsid w:val="00BB6E50"/>
    <w:rsid w:val="00BB6FDC"/>
    <w:rsid w:val="00BC1241"/>
    <w:rsid w:val="00BC1374"/>
    <w:rsid w:val="00BC14DA"/>
    <w:rsid w:val="00BC1747"/>
    <w:rsid w:val="00BC2920"/>
    <w:rsid w:val="00BC339C"/>
    <w:rsid w:val="00BC4FD0"/>
    <w:rsid w:val="00BC5A70"/>
    <w:rsid w:val="00BC5AE0"/>
    <w:rsid w:val="00BC6531"/>
    <w:rsid w:val="00BC669B"/>
    <w:rsid w:val="00BC715C"/>
    <w:rsid w:val="00BC7F4F"/>
    <w:rsid w:val="00BD172F"/>
    <w:rsid w:val="00BD3C3A"/>
    <w:rsid w:val="00BD4FEC"/>
    <w:rsid w:val="00BD5456"/>
    <w:rsid w:val="00BD5B35"/>
    <w:rsid w:val="00BD6486"/>
    <w:rsid w:val="00BD7AB1"/>
    <w:rsid w:val="00BD7AF2"/>
    <w:rsid w:val="00BD7EE7"/>
    <w:rsid w:val="00BE118A"/>
    <w:rsid w:val="00BE151A"/>
    <w:rsid w:val="00BE1658"/>
    <w:rsid w:val="00BE3771"/>
    <w:rsid w:val="00BE5FCF"/>
    <w:rsid w:val="00BE62DE"/>
    <w:rsid w:val="00BE63C7"/>
    <w:rsid w:val="00BE6DAC"/>
    <w:rsid w:val="00BE6F03"/>
    <w:rsid w:val="00BE742A"/>
    <w:rsid w:val="00BF0E4D"/>
    <w:rsid w:val="00BF0F88"/>
    <w:rsid w:val="00BF3CB8"/>
    <w:rsid w:val="00BF3D48"/>
    <w:rsid w:val="00BF58D5"/>
    <w:rsid w:val="00BF682D"/>
    <w:rsid w:val="00BF7113"/>
    <w:rsid w:val="00BF746B"/>
    <w:rsid w:val="00C01B17"/>
    <w:rsid w:val="00C026B8"/>
    <w:rsid w:val="00C02DC8"/>
    <w:rsid w:val="00C0506F"/>
    <w:rsid w:val="00C052A6"/>
    <w:rsid w:val="00C05302"/>
    <w:rsid w:val="00C0550A"/>
    <w:rsid w:val="00C069D4"/>
    <w:rsid w:val="00C072AB"/>
    <w:rsid w:val="00C076CA"/>
    <w:rsid w:val="00C07B75"/>
    <w:rsid w:val="00C100FB"/>
    <w:rsid w:val="00C11F5A"/>
    <w:rsid w:val="00C127DA"/>
    <w:rsid w:val="00C12862"/>
    <w:rsid w:val="00C12CE5"/>
    <w:rsid w:val="00C14752"/>
    <w:rsid w:val="00C1610A"/>
    <w:rsid w:val="00C172DC"/>
    <w:rsid w:val="00C1769B"/>
    <w:rsid w:val="00C17978"/>
    <w:rsid w:val="00C21485"/>
    <w:rsid w:val="00C221B9"/>
    <w:rsid w:val="00C222A1"/>
    <w:rsid w:val="00C225D2"/>
    <w:rsid w:val="00C22709"/>
    <w:rsid w:val="00C233FF"/>
    <w:rsid w:val="00C23C1D"/>
    <w:rsid w:val="00C24060"/>
    <w:rsid w:val="00C24897"/>
    <w:rsid w:val="00C25432"/>
    <w:rsid w:val="00C260E5"/>
    <w:rsid w:val="00C30340"/>
    <w:rsid w:val="00C313DD"/>
    <w:rsid w:val="00C31AF4"/>
    <w:rsid w:val="00C32C5F"/>
    <w:rsid w:val="00C33A00"/>
    <w:rsid w:val="00C344C9"/>
    <w:rsid w:val="00C35BB3"/>
    <w:rsid w:val="00C35D19"/>
    <w:rsid w:val="00C365BC"/>
    <w:rsid w:val="00C36771"/>
    <w:rsid w:val="00C37227"/>
    <w:rsid w:val="00C374DB"/>
    <w:rsid w:val="00C37DE8"/>
    <w:rsid w:val="00C40520"/>
    <w:rsid w:val="00C40A4A"/>
    <w:rsid w:val="00C40BE7"/>
    <w:rsid w:val="00C411DE"/>
    <w:rsid w:val="00C43CD8"/>
    <w:rsid w:val="00C440BC"/>
    <w:rsid w:val="00C44417"/>
    <w:rsid w:val="00C47D6C"/>
    <w:rsid w:val="00C50AC0"/>
    <w:rsid w:val="00C50B0E"/>
    <w:rsid w:val="00C51E67"/>
    <w:rsid w:val="00C52368"/>
    <w:rsid w:val="00C52786"/>
    <w:rsid w:val="00C53A92"/>
    <w:rsid w:val="00C53E01"/>
    <w:rsid w:val="00C53F26"/>
    <w:rsid w:val="00C548D0"/>
    <w:rsid w:val="00C55B70"/>
    <w:rsid w:val="00C55BBF"/>
    <w:rsid w:val="00C569E2"/>
    <w:rsid w:val="00C56D96"/>
    <w:rsid w:val="00C56DF9"/>
    <w:rsid w:val="00C56EAB"/>
    <w:rsid w:val="00C60857"/>
    <w:rsid w:val="00C60D93"/>
    <w:rsid w:val="00C61149"/>
    <w:rsid w:val="00C62E46"/>
    <w:rsid w:val="00C635A8"/>
    <w:rsid w:val="00C63BD1"/>
    <w:rsid w:val="00C64174"/>
    <w:rsid w:val="00C65670"/>
    <w:rsid w:val="00C6642D"/>
    <w:rsid w:val="00C6692D"/>
    <w:rsid w:val="00C672E5"/>
    <w:rsid w:val="00C70845"/>
    <w:rsid w:val="00C70E55"/>
    <w:rsid w:val="00C71194"/>
    <w:rsid w:val="00C7191E"/>
    <w:rsid w:val="00C71B13"/>
    <w:rsid w:val="00C71C59"/>
    <w:rsid w:val="00C71DCD"/>
    <w:rsid w:val="00C727A8"/>
    <w:rsid w:val="00C72869"/>
    <w:rsid w:val="00C72ACC"/>
    <w:rsid w:val="00C733C8"/>
    <w:rsid w:val="00C74CDD"/>
    <w:rsid w:val="00C7683D"/>
    <w:rsid w:val="00C76A58"/>
    <w:rsid w:val="00C775AB"/>
    <w:rsid w:val="00C80CC5"/>
    <w:rsid w:val="00C81211"/>
    <w:rsid w:val="00C812B0"/>
    <w:rsid w:val="00C82065"/>
    <w:rsid w:val="00C82112"/>
    <w:rsid w:val="00C827A6"/>
    <w:rsid w:val="00C83A7C"/>
    <w:rsid w:val="00C8560D"/>
    <w:rsid w:val="00C87E83"/>
    <w:rsid w:val="00C87F79"/>
    <w:rsid w:val="00C9194B"/>
    <w:rsid w:val="00C91AB0"/>
    <w:rsid w:val="00C92003"/>
    <w:rsid w:val="00C92234"/>
    <w:rsid w:val="00C925B7"/>
    <w:rsid w:val="00C93A12"/>
    <w:rsid w:val="00C958D4"/>
    <w:rsid w:val="00C95CBF"/>
    <w:rsid w:val="00C96B5F"/>
    <w:rsid w:val="00C96D9A"/>
    <w:rsid w:val="00C976DA"/>
    <w:rsid w:val="00CA027C"/>
    <w:rsid w:val="00CA17FD"/>
    <w:rsid w:val="00CA2A25"/>
    <w:rsid w:val="00CA2C99"/>
    <w:rsid w:val="00CA2D15"/>
    <w:rsid w:val="00CA30DC"/>
    <w:rsid w:val="00CA3500"/>
    <w:rsid w:val="00CA47CB"/>
    <w:rsid w:val="00CA4C2B"/>
    <w:rsid w:val="00CA4CDF"/>
    <w:rsid w:val="00CA52CF"/>
    <w:rsid w:val="00CA5B2A"/>
    <w:rsid w:val="00CA6263"/>
    <w:rsid w:val="00CA6426"/>
    <w:rsid w:val="00CA6BB7"/>
    <w:rsid w:val="00CA74B7"/>
    <w:rsid w:val="00CA780C"/>
    <w:rsid w:val="00CB078E"/>
    <w:rsid w:val="00CB257F"/>
    <w:rsid w:val="00CB3B18"/>
    <w:rsid w:val="00CB462C"/>
    <w:rsid w:val="00CB5B1A"/>
    <w:rsid w:val="00CB5EE3"/>
    <w:rsid w:val="00CB7689"/>
    <w:rsid w:val="00CC12BC"/>
    <w:rsid w:val="00CC1C86"/>
    <w:rsid w:val="00CC260D"/>
    <w:rsid w:val="00CC2A09"/>
    <w:rsid w:val="00CC33E0"/>
    <w:rsid w:val="00CC3504"/>
    <w:rsid w:val="00CC3ADA"/>
    <w:rsid w:val="00CC4E66"/>
    <w:rsid w:val="00CC5791"/>
    <w:rsid w:val="00CC6B0F"/>
    <w:rsid w:val="00CC6BC9"/>
    <w:rsid w:val="00CD049D"/>
    <w:rsid w:val="00CD1177"/>
    <w:rsid w:val="00CD1B21"/>
    <w:rsid w:val="00CD2948"/>
    <w:rsid w:val="00CD2964"/>
    <w:rsid w:val="00CD2BB5"/>
    <w:rsid w:val="00CD40A2"/>
    <w:rsid w:val="00CD412F"/>
    <w:rsid w:val="00CD4146"/>
    <w:rsid w:val="00CD5F84"/>
    <w:rsid w:val="00CD65BA"/>
    <w:rsid w:val="00CD6F63"/>
    <w:rsid w:val="00CD75F2"/>
    <w:rsid w:val="00CD75FB"/>
    <w:rsid w:val="00CE07D1"/>
    <w:rsid w:val="00CE0E68"/>
    <w:rsid w:val="00CE1022"/>
    <w:rsid w:val="00CE1453"/>
    <w:rsid w:val="00CE171B"/>
    <w:rsid w:val="00CE22F2"/>
    <w:rsid w:val="00CE284B"/>
    <w:rsid w:val="00CE2C06"/>
    <w:rsid w:val="00CE4491"/>
    <w:rsid w:val="00CE4B31"/>
    <w:rsid w:val="00CE4D00"/>
    <w:rsid w:val="00CE4E0D"/>
    <w:rsid w:val="00CE4E66"/>
    <w:rsid w:val="00CE5614"/>
    <w:rsid w:val="00CE59AE"/>
    <w:rsid w:val="00CE5DBC"/>
    <w:rsid w:val="00CE62A9"/>
    <w:rsid w:val="00CE72C4"/>
    <w:rsid w:val="00CE7A79"/>
    <w:rsid w:val="00CF1342"/>
    <w:rsid w:val="00CF1E64"/>
    <w:rsid w:val="00CF3A42"/>
    <w:rsid w:val="00CF4741"/>
    <w:rsid w:val="00CF522D"/>
    <w:rsid w:val="00CF65A1"/>
    <w:rsid w:val="00CF7668"/>
    <w:rsid w:val="00CF7CBD"/>
    <w:rsid w:val="00D000CB"/>
    <w:rsid w:val="00D014E4"/>
    <w:rsid w:val="00D0377A"/>
    <w:rsid w:val="00D03E5F"/>
    <w:rsid w:val="00D04243"/>
    <w:rsid w:val="00D045EB"/>
    <w:rsid w:val="00D049FB"/>
    <w:rsid w:val="00D05157"/>
    <w:rsid w:val="00D059C5"/>
    <w:rsid w:val="00D063EB"/>
    <w:rsid w:val="00D07A3B"/>
    <w:rsid w:val="00D07CF7"/>
    <w:rsid w:val="00D07D5F"/>
    <w:rsid w:val="00D1056D"/>
    <w:rsid w:val="00D11ABF"/>
    <w:rsid w:val="00D11D80"/>
    <w:rsid w:val="00D134D3"/>
    <w:rsid w:val="00D14986"/>
    <w:rsid w:val="00D160BB"/>
    <w:rsid w:val="00D168B6"/>
    <w:rsid w:val="00D169E5"/>
    <w:rsid w:val="00D2036F"/>
    <w:rsid w:val="00D204F3"/>
    <w:rsid w:val="00D21E79"/>
    <w:rsid w:val="00D237B1"/>
    <w:rsid w:val="00D2599A"/>
    <w:rsid w:val="00D266B5"/>
    <w:rsid w:val="00D26C6F"/>
    <w:rsid w:val="00D26F50"/>
    <w:rsid w:val="00D274D9"/>
    <w:rsid w:val="00D27978"/>
    <w:rsid w:val="00D30385"/>
    <w:rsid w:val="00D31932"/>
    <w:rsid w:val="00D31B6B"/>
    <w:rsid w:val="00D327B2"/>
    <w:rsid w:val="00D328FA"/>
    <w:rsid w:val="00D355A5"/>
    <w:rsid w:val="00D369D4"/>
    <w:rsid w:val="00D36EA6"/>
    <w:rsid w:val="00D40B6B"/>
    <w:rsid w:val="00D42FB0"/>
    <w:rsid w:val="00D43403"/>
    <w:rsid w:val="00D4365D"/>
    <w:rsid w:val="00D474F9"/>
    <w:rsid w:val="00D4773F"/>
    <w:rsid w:val="00D47A26"/>
    <w:rsid w:val="00D47E23"/>
    <w:rsid w:val="00D505B9"/>
    <w:rsid w:val="00D51B26"/>
    <w:rsid w:val="00D51BF3"/>
    <w:rsid w:val="00D51E7F"/>
    <w:rsid w:val="00D530FE"/>
    <w:rsid w:val="00D53AF2"/>
    <w:rsid w:val="00D54593"/>
    <w:rsid w:val="00D552A1"/>
    <w:rsid w:val="00D56A62"/>
    <w:rsid w:val="00D56BBF"/>
    <w:rsid w:val="00D5751F"/>
    <w:rsid w:val="00D575A9"/>
    <w:rsid w:val="00D57793"/>
    <w:rsid w:val="00D5799B"/>
    <w:rsid w:val="00D6052F"/>
    <w:rsid w:val="00D62CC5"/>
    <w:rsid w:val="00D63537"/>
    <w:rsid w:val="00D64073"/>
    <w:rsid w:val="00D641B6"/>
    <w:rsid w:val="00D6526B"/>
    <w:rsid w:val="00D65CC9"/>
    <w:rsid w:val="00D65EFF"/>
    <w:rsid w:val="00D66FEC"/>
    <w:rsid w:val="00D70482"/>
    <w:rsid w:val="00D705EC"/>
    <w:rsid w:val="00D70F17"/>
    <w:rsid w:val="00D71E2C"/>
    <w:rsid w:val="00D71EE3"/>
    <w:rsid w:val="00D7333E"/>
    <w:rsid w:val="00D73FC2"/>
    <w:rsid w:val="00D74397"/>
    <w:rsid w:val="00D74415"/>
    <w:rsid w:val="00D74580"/>
    <w:rsid w:val="00D765A7"/>
    <w:rsid w:val="00D7711C"/>
    <w:rsid w:val="00D77149"/>
    <w:rsid w:val="00D800A9"/>
    <w:rsid w:val="00D80E78"/>
    <w:rsid w:val="00D8120A"/>
    <w:rsid w:val="00D81B43"/>
    <w:rsid w:val="00D81DC6"/>
    <w:rsid w:val="00D8261A"/>
    <w:rsid w:val="00D82D2D"/>
    <w:rsid w:val="00D83327"/>
    <w:rsid w:val="00D8332E"/>
    <w:rsid w:val="00D83D36"/>
    <w:rsid w:val="00D84272"/>
    <w:rsid w:val="00D85BC0"/>
    <w:rsid w:val="00D861C5"/>
    <w:rsid w:val="00D8622A"/>
    <w:rsid w:val="00D86941"/>
    <w:rsid w:val="00D86A21"/>
    <w:rsid w:val="00D8706D"/>
    <w:rsid w:val="00D871F1"/>
    <w:rsid w:val="00D874EC"/>
    <w:rsid w:val="00D87B34"/>
    <w:rsid w:val="00D87B61"/>
    <w:rsid w:val="00D937FC"/>
    <w:rsid w:val="00D93A69"/>
    <w:rsid w:val="00D95278"/>
    <w:rsid w:val="00D97389"/>
    <w:rsid w:val="00DA0337"/>
    <w:rsid w:val="00DA07F9"/>
    <w:rsid w:val="00DA393D"/>
    <w:rsid w:val="00DA4E59"/>
    <w:rsid w:val="00DA5BBC"/>
    <w:rsid w:val="00DA5C11"/>
    <w:rsid w:val="00DA5E04"/>
    <w:rsid w:val="00DA6737"/>
    <w:rsid w:val="00DA7BF2"/>
    <w:rsid w:val="00DB2DF5"/>
    <w:rsid w:val="00DB3145"/>
    <w:rsid w:val="00DB5E33"/>
    <w:rsid w:val="00DB627C"/>
    <w:rsid w:val="00DC0FA6"/>
    <w:rsid w:val="00DC130C"/>
    <w:rsid w:val="00DC2292"/>
    <w:rsid w:val="00DC459C"/>
    <w:rsid w:val="00DC4992"/>
    <w:rsid w:val="00DC4BB8"/>
    <w:rsid w:val="00DC508E"/>
    <w:rsid w:val="00DC5487"/>
    <w:rsid w:val="00DC5DC9"/>
    <w:rsid w:val="00DC6B2C"/>
    <w:rsid w:val="00DC714C"/>
    <w:rsid w:val="00DC7F60"/>
    <w:rsid w:val="00DC7F96"/>
    <w:rsid w:val="00DD0342"/>
    <w:rsid w:val="00DD119F"/>
    <w:rsid w:val="00DD2F7B"/>
    <w:rsid w:val="00DD4A2C"/>
    <w:rsid w:val="00DD4C42"/>
    <w:rsid w:val="00DD6A4B"/>
    <w:rsid w:val="00DD6A85"/>
    <w:rsid w:val="00DD6E24"/>
    <w:rsid w:val="00DE04FA"/>
    <w:rsid w:val="00DE0C23"/>
    <w:rsid w:val="00DE14A2"/>
    <w:rsid w:val="00DE23C8"/>
    <w:rsid w:val="00DE25AF"/>
    <w:rsid w:val="00DE29BA"/>
    <w:rsid w:val="00DE2E79"/>
    <w:rsid w:val="00DE31BD"/>
    <w:rsid w:val="00DE34B7"/>
    <w:rsid w:val="00DE38F1"/>
    <w:rsid w:val="00DE3939"/>
    <w:rsid w:val="00DE418C"/>
    <w:rsid w:val="00DE5060"/>
    <w:rsid w:val="00DE52B0"/>
    <w:rsid w:val="00DE588D"/>
    <w:rsid w:val="00DE74B8"/>
    <w:rsid w:val="00DE7BE0"/>
    <w:rsid w:val="00DF01B1"/>
    <w:rsid w:val="00DF052E"/>
    <w:rsid w:val="00DF1623"/>
    <w:rsid w:val="00DF16CC"/>
    <w:rsid w:val="00DF2D3E"/>
    <w:rsid w:val="00DF2D9E"/>
    <w:rsid w:val="00DF36FD"/>
    <w:rsid w:val="00DF3A8E"/>
    <w:rsid w:val="00DF3BB9"/>
    <w:rsid w:val="00DF3F89"/>
    <w:rsid w:val="00DF4216"/>
    <w:rsid w:val="00DF427A"/>
    <w:rsid w:val="00DF46C4"/>
    <w:rsid w:val="00DF4E88"/>
    <w:rsid w:val="00DF6A92"/>
    <w:rsid w:val="00E027FF"/>
    <w:rsid w:val="00E038C5"/>
    <w:rsid w:val="00E03E3B"/>
    <w:rsid w:val="00E04589"/>
    <w:rsid w:val="00E06B38"/>
    <w:rsid w:val="00E07340"/>
    <w:rsid w:val="00E0747D"/>
    <w:rsid w:val="00E128D8"/>
    <w:rsid w:val="00E12C42"/>
    <w:rsid w:val="00E132D9"/>
    <w:rsid w:val="00E155A9"/>
    <w:rsid w:val="00E15E54"/>
    <w:rsid w:val="00E165B5"/>
    <w:rsid w:val="00E1688A"/>
    <w:rsid w:val="00E170B3"/>
    <w:rsid w:val="00E1728C"/>
    <w:rsid w:val="00E17A0A"/>
    <w:rsid w:val="00E17ED6"/>
    <w:rsid w:val="00E20EEF"/>
    <w:rsid w:val="00E219DF"/>
    <w:rsid w:val="00E227DA"/>
    <w:rsid w:val="00E232AF"/>
    <w:rsid w:val="00E232B1"/>
    <w:rsid w:val="00E232BB"/>
    <w:rsid w:val="00E2333B"/>
    <w:rsid w:val="00E24145"/>
    <w:rsid w:val="00E24353"/>
    <w:rsid w:val="00E24DA5"/>
    <w:rsid w:val="00E25107"/>
    <w:rsid w:val="00E251ED"/>
    <w:rsid w:val="00E25B33"/>
    <w:rsid w:val="00E26053"/>
    <w:rsid w:val="00E26758"/>
    <w:rsid w:val="00E300E3"/>
    <w:rsid w:val="00E30D9B"/>
    <w:rsid w:val="00E3128A"/>
    <w:rsid w:val="00E324C1"/>
    <w:rsid w:val="00E32AD7"/>
    <w:rsid w:val="00E3560E"/>
    <w:rsid w:val="00E37140"/>
    <w:rsid w:val="00E37193"/>
    <w:rsid w:val="00E37CBC"/>
    <w:rsid w:val="00E37CC1"/>
    <w:rsid w:val="00E409C1"/>
    <w:rsid w:val="00E40F5E"/>
    <w:rsid w:val="00E415E8"/>
    <w:rsid w:val="00E416FC"/>
    <w:rsid w:val="00E42214"/>
    <w:rsid w:val="00E422FF"/>
    <w:rsid w:val="00E42848"/>
    <w:rsid w:val="00E42CF8"/>
    <w:rsid w:val="00E432AF"/>
    <w:rsid w:val="00E44494"/>
    <w:rsid w:val="00E44920"/>
    <w:rsid w:val="00E45B37"/>
    <w:rsid w:val="00E45E54"/>
    <w:rsid w:val="00E4669C"/>
    <w:rsid w:val="00E46FDA"/>
    <w:rsid w:val="00E47078"/>
    <w:rsid w:val="00E47345"/>
    <w:rsid w:val="00E47A1E"/>
    <w:rsid w:val="00E50262"/>
    <w:rsid w:val="00E50712"/>
    <w:rsid w:val="00E51F1C"/>
    <w:rsid w:val="00E525AB"/>
    <w:rsid w:val="00E52FA6"/>
    <w:rsid w:val="00E553A5"/>
    <w:rsid w:val="00E57EEC"/>
    <w:rsid w:val="00E601E9"/>
    <w:rsid w:val="00E60AF7"/>
    <w:rsid w:val="00E615DE"/>
    <w:rsid w:val="00E61D87"/>
    <w:rsid w:val="00E6233F"/>
    <w:rsid w:val="00E62D84"/>
    <w:rsid w:val="00E63C7B"/>
    <w:rsid w:val="00E64099"/>
    <w:rsid w:val="00E64120"/>
    <w:rsid w:val="00E65C68"/>
    <w:rsid w:val="00E700D9"/>
    <w:rsid w:val="00E70C63"/>
    <w:rsid w:val="00E72680"/>
    <w:rsid w:val="00E72B34"/>
    <w:rsid w:val="00E736CD"/>
    <w:rsid w:val="00E7391A"/>
    <w:rsid w:val="00E745B7"/>
    <w:rsid w:val="00E750EC"/>
    <w:rsid w:val="00E75A44"/>
    <w:rsid w:val="00E76018"/>
    <w:rsid w:val="00E768C2"/>
    <w:rsid w:val="00E76E64"/>
    <w:rsid w:val="00E82938"/>
    <w:rsid w:val="00E82A84"/>
    <w:rsid w:val="00E844D0"/>
    <w:rsid w:val="00E84DA3"/>
    <w:rsid w:val="00E85EF5"/>
    <w:rsid w:val="00E85F04"/>
    <w:rsid w:val="00E86C0D"/>
    <w:rsid w:val="00E871B1"/>
    <w:rsid w:val="00E876DE"/>
    <w:rsid w:val="00E877F8"/>
    <w:rsid w:val="00E87967"/>
    <w:rsid w:val="00E90059"/>
    <w:rsid w:val="00E9147D"/>
    <w:rsid w:val="00E918DD"/>
    <w:rsid w:val="00E9258F"/>
    <w:rsid w:val="00E9398C"/>
    <w:rsid w:val="00E93BA0"/>
    <w:rsid w:val="00E9479E"/>
    <w:rsid w:val="00E94A47"/>
    <w:rsid w:val="00E95CD4"/>
    <w:rsid w:val="00E96B47"/>
    <w:rsid w:val="00E9791F"/>
    <w:rsid w:val="00E97B6F"/>
    <w:rsid w:val="00E97DDD"/>
    <w:rsid w:val="00EA0A9F"/>
    <w:rsid w:val="00EA1022"/>
    <w:rsid w:val="00EA104A"/>
    <w:rsid w:val="00EA1AA2"/>
    <w:rsid w:val="00EA1B94"/>
    <w:rsid w:val="00EA25B4"/>
    <w:rsid w:val="00EA2BE7"/>
    <w:rsid w:val="00EA2D6F"/>
    <w:rsid w:val="00EA3D4E"/>
    <w:rsid w:val="00EA47FD"/>
    <w:rsid w:val="00EA5FC2"/>
    <w:rsid w:val="00EA7863"/>
    <w:rsid w:val="00EA7928"/>
    <w:rsid w:val="00EA7C92"/>
    <w:rsid w:val="00EB01FC"/>
    <w:rsid w:val="00EB2648"/>
    <w:rsid w:val="00EB2703"/>
    <w:rsid w:val="00EB3AD2"/>
    <w:rsid w:val="00EB5466"/>
    <w:rsid w:val="00EB5FB8"/>
    <w:rsid w:val="00EB6655"/>
    <w:rsid w:val="00EB71F8"/>
    <w:rsid w:val="00EC2575"/>
    <w:rsid w:val="00EC276B"/>
    <w:rsid w:val="00EC2805"/>
    <w:rsid w:val="00EC2B54"/>
    <w:rsid w:val="00EC2F3C"/>
    <w:rsid w:val="00EC38DD"/>
    <w:rsid w:val="00EC44FB"/>
    <w:rsid w:val="00EC5495"/>
    <w:rsid w:val="00EC5882"/>
    <w:rsid w:val="00EC5AAE"/>
    <w:rsid w:val="00EC5D6D"/>
    <w:rsid w:val="00EC72E6"/>
    <w:rsid w:val="00EC78C3"/>
    <w:rsid w:val="00EC7EB9"/>
    <w:rsid w:val="00ED0B2F"/>
    <w:rsid w:val="00ED0D10"/>
    <w:rsid w:val="00ED1A48"/>
    <w:rsid w:val="00ED1AC3"/>
    <w:rsid w:val="00ED323D"/>
    <w:rsid w:val="00ED4E0B"/>
    <w:rsid w:val="00ED61B9"/>
    <w:rsid w:val="00ED6303"/>
    <w:rsid w:val="00ED69D0"/>
    <w:rsid w:val="00ED7217"/>
    <w:rsid w:val="00EE1D4E"/>
    <w:rsid w:val="00EE2F90"/>
    <w:rsid w:val="00EE3070"/>
    <w:rsid w:val="00EE3563"/>
    <w:rsid w:val="00EE3CA8"/>
    <w:rsid w:val="00EE5228"/>
    <w:rsid w:val="00EE6F77"/>
    <w:rsid w:val="00EE704A"/>
    <w:rsid w:val="00EF1063"/>
    <w:rsid w:val="00EF2424"/>
    <w:rsid w:val="00EF37C6"/>
    <w:rsid w:val="00EF4A69"/>
    <w:rsid w:val="00EF56F5"/>
    <w:rsid w:val="00EF59A1"/>
    <w:rsid w:val="00EF5A5C"/>
    <w:rsid w:val="00EF616C"/>
    <w:rsid w:val="00EF7738"/>
    <w:rsid w:val="00EF78A5"/>
    <w:rsid w:val="00EF7FE0"/>
    <w:rsid w:val="00F00159"/>
    <w:rsid w:val="00F03092"/>
    <w:rsid w:val="00F04853"/>
    <w:rsid w:val="00F04924"/>
    <w:rsid w:val="00F06CE3"/>
    <w:rsid w:val="00F110B3"/>
    <w:rsid w:val="00F11BEC"/>
    <w:rsid w:val="00F126D6"/>
    <w:rsid w:val="00F126D9"/>
    <w:rsid w:val="00F12760"/>
    <w:rsid w:val="00F12EA2"/>
    <w:rsid w:val="00F145D2"/>
    <w:rsid w:val="00F1477A"/>
    <w:rsid w:val="00F165D1"/>
    <w:rsid w:val="00F16ECB"/>
    <w:rsid w:val="00F175FB"/>
    <w:rsid w:val="00F17F69"/>
    <w:rsid w:val="00F209DE"/>
    <w:rsid w:val="00F21C1E"/>
    <w:rsid w:val="00F22529"/>
    <w:rsid w:val="00F227B3"/>
    <w:rsid w:val="00F22B98"/>
    <w:rsid w:val="00F23C3D"/>
    <w:rsid w:val="00F23ECB"/>
    <w:rsid w:val="00F249F7"/>
    <w:rsid w:val="00F24F0D"/>
    <w:rsid w:val="00F2524B"/>
    <w:rsid w:val="00F26056"/>
    <w:rsid w:val="00F2657C"/>
    <w:rsid w:val="00F26807"/>
    <w:rsid w:val="00F26C10"/>
    <w:rsid w:val="00F26F67"/>
    <w:rsid w:val="00F304A5"/>
    <w:rsid w:val="00F30888"/>
    <w:rsid w:val="00F30ABD"/>
    <w:rsid w:val="00F30D6A"/>
    <w:rsid w:val="00F31FF4"/>
    <w:rsid w:val="00F322C3"/>
    <w:rsid w:val="00F32BD9"/>
    <w:rsid w:val="00F334B7"/>
    <w:rsid w:val="00F33FCE"/>
    <w:rsid w:val="00F341F6"/>
    <w:rsid w:val="00F34483"/>
    <w:rsid w:val="00F347A4"/>
    <w:rsid w:val="00F3485F"/>
    <w:rsid w:val="00F35627"/>
    <w:rsid w:val="00F359B3"/>
    <w:rsid w:val="00F37139"/>
    <w:rsid w:val="00F37832"/>
    <w:rsid w:val="00F401D5"/>
    <w:rsid w:val="00F40CD8"/>
    <w:rsid w:val="00F413B6"/>
    <w:rsid w:val="00F417F4"/>
    <w:rsid w:val="00F41AB2"/>
    <w:rsid w:val="00F41ADB"/>
    <w:rsid w:val="00F42A00"/>
    <w:rsid w:val="00F42F6A"/>
    <w:rsid w:val="00F42FEE"/>
    <w:rsid w:val="00F438FE"/>
    <w:rsid w:val="00F43DE6"/>
    <w:rsid w:val="00F43E18"/>
    <w:rsid w:val="00F45065"/>
    <w:rsid w:val="00F47CD6"/>
    <w:rsid w:val="00F5086A"/>
    <w:rsid w:val="00F51121"/>
    <w:rsid w:val="00F51405"/>
    <w:rsid w:val="00F52FB1"/>
    <w:rsid w:val="00F5342F"/>
    <w:rsid w:val="00F536BE"/>
    <w:rsid w:val="00F53CEE"/>
    <w:rsid w:val="00F5447B"/>
    <w:rsid w:val="00F54549"/>
    <w:rsid w:val="00F5626C"/>
    <w:rsid w:val="00F5628B"/>
    <w:rsid w:val="00F56D5F"/>
    <w:rsid w:val="00F6025D"/>
    <w:rsid w:val="00F6068B"/>
    <w:rsid w:val="00F61588"/>
    <w:rsid w:val="00F61591"/>
    <w:rsid w:val="00F61657"/>
    <w:rsid w:val="00F619E2"/>
    <w:rsid w:val="00F630C5"/>
    <w:rsid w:val="00F63723"/>
    <w:rsid w:val="00F6386A"/>
    <w:rsid w:val="00F638BF"/>
    <w:rsid w:val="00F64150"/>
    <w:rsid w:val="00F648DD"/>
    <w:rsid w:val="00F6710C"/>
    <w:rsid w:val="00F678B6"/>
    <w:rsid w:val="00F67F82"/>
    <w:rsid w:val="00F7058B"/>
    <w:rsid w:val="00F71753"/>
    <w:rsid w:val="00F7303D"/>
    <w:rsid w:val="00F73773"/>
    <w:rsid w:val="00F751E0"/>
    <w:rsid w:val="00F753F8"/>
    <w:rsid w:val="00F75546"/>
    <w:rsid w:val="00F76364"/>
    <w:rsid w:val="00F7755E"/>
    <w:rsid w:val="00F779F7"/>
    <w:rsid w:val="00F77DB4"/>
    <w:rsid w:val="00F83821"/>
    <w:rsid w:val="00F83854"/>
    <w:rsid w:val="00F838F8"/>
    <w:rsid w:val="00F83D8B"/>
    <w:rsid w:val="00F85057"/>
    <w:rsid w:val="00F90EA1"/>
    <w:rsid w:val="00F91893"/>
    <w:rsid w:val="00F91DF3"/>
    <w:rsid w:val="00F91E13"/>
    <w:rsid w:val="00F9213E"/>
    <w:rsid w:val="00F92E88"/>
    <w:rsid w:val="00F93D47"/>
    <w:rsid w:val="00F94293"/>
    <w:rsid w:val="00F971B5"/>
    <w:rsid w:val="00F9779A"/>
    <w:rsid w:val="00FA0B99"/>
    <w:rsid w:val="00FA1975"/>
    <w:rsid w:val="00FA1CB9"/>
    <w:rsid w:val="00FA250B"/>
    <w:rsid w:val="00FA2B97"/>
    <w:rsid w:val="00FA2D3A"/>
    <w:rsid w:val="00FA3786"/>
    <w:rsid w:val="00FA3DB2"/>
    <w:rsid w:val="00FA3E39"/>
    <w:rsid w:val="00FA42FC"/>
    <w:rsid w:val="00FA4670"/>
    <w:rsid w:val="00FA48FD"/>
    <w:rsid w:val="00FA57C3"/>
    <w:rsid w:val="00FA6357"/>
    <w:rsid w:val="00FA67F4"/>
    <w:rsid w:val="00FA68E4"/>
    <w:rsid w:val="00FA7EC2"/>
    <w:rsid w:val="00FB11A7"/>
    <w:rsid w:val="00FB21EE"/>
    <w:rsid w:val="00FB34AE"/>
    <w:rsid w:val="00FB3604"/>
    <w:rsid w:val="00FB3EE7"/>
    <w:rsid w:val="00FB40AE"/>
    <w:rsid w:val="00FB467E"/>
    <w:rsid w:val="00FB59AE"/>
    <w:rsid w:val="00FB64A3"/>
    <w:rsid w:val="00FB69AB"/>
    <w:rsid w:val="00FB70FC"/>
    <w:rsid w:val="00FB7BAA"/>
    <w:rsid w:val="00FC0267"/>
    <w:rsid w:val="00FC04C9"/>
    <w:rsid w:val="00FC17F7"/>
    <w:rsid w:val="00FC1E45"/>
    <w:rsid w:val="00FC3592"/>
    <w:rsid w:val="00FC39DF"/>
    <w:rsid w:val="00FC3CA4"/>
    <w:rsid w:val="00FC3D55"/>
    <w:rsid w:val="00FC44A0"/>
    <w:rsid w:val="00FC44E2"/>
    <w:rsid w:val="00FC49BA"/>
    <w:rsid w:val="00FC4B99"/>
    <w:rsid w:val="00FC5119"/>
    <w:rsid w:val="00FC53C1"/>
    <w:rsid w:val="00FC54D0"/>
    <w:rsid w:val="00FC6ADB"/>
    <w:rsid w:val="00FC75AC"/>
    <w:rsid w:val="00FC77CF"/>
    <w:rsid w:val="00FC77D1"/>
    <w:rsid w:val="00FD1000"/>
    <w:rsid w:val="00FD195E"/>
    <w:rsid w:val="00FD30FB"/>
    <w:rsid w:val="00FD326D"/>
    <w:rsid w:val="00FD5BC3"/>
    <w:rsid w:val="00FD5BF3"/>
    <w:rsid w:val="00FD657C"/>
    <w:rsid w:val="00FD7609"/>
    <w:rsid w:val="00FE0180"/>
    <w:rsid w:val="00FE088C"/>
    <w:rsid w:val="00FE08C4"/>
    <w:rsid w:val="00FE2A0B"/>
    <w:rsid w:val="00FE3A56"/>
    <w:rsid w:val="00FE5321"/>
    <w:rsid w:val="00FE5B59"/>
    <w:rsid w:val="00FE60E9"/>
    <w:rsid w:val="00FE6404"/>
    <w:rsid w:val="00FE6651"/>
    <w:rsid w:val="00FE6F32"/>
    <w:rsid w:val="00FE7163"/>
    <w:rsid w:val="00FE71EF"/>
    <w:rsid w:val="00FE77C6"/>
    <w:rsid w:val="00FF0018"/>
    <w:rsid w:val="00FF03CA"/>
    <w:rsid w:val="00FF0DE2"/>
    <w:rsid w:val="00FF2899"/>
    <w:rsid w:val="00FF3697"/>
    <w:rsid w:val="00FF4A69"/>
    <w:rsid w:val="00FF5283"/>
    <w:rsid w:val="00FF669C"/>
    <w:rsid w:val="00FF67C8"/>
    <w:rsid w:val="00FF689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9F66C0"/>
  <w15:docId w15:val="{D555B0FC-2037-4FD8-AE72-D56823CF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3"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1E"/>
    <w:pPr>
      <w:spacing w:before="180" w:after="60" w:line="312" w:lineRule="auto"/>
    </w:pPr>
    <w:rPr>
      <w:rFonts w:asciiTheme="minorHAnsi" w:hAnsiTheme="minorHAnsi"/>
      <w:sz w:val="22"/>
      <w:szCs w:val="24"/>
    </w:rPr>
  </w:style>
  <w:style w:type="paragraph" w:styleId="Heading1">
    <w:name w:val="heading 1"/>
    <w:basedOn w:val="Normal"/>
    <w:next w:val="Normal"/>
    <w:qFormat/>
    <w:rsid w:val="000959B5"/>
    <w:pPr>
      <w:keepNext/>
      <w:numPr>
        <w:numId w:val="8"/>
      </w:numPr>
      <w:spacing w:before="120" w:after="0"/>
      <w:ind w:left="567" w:hanging="567"/>
      <w:outlineLvl w:val="0"/>
    </w:pPr>
    <w:rPr>
      <w:rFonts w:eastAsiaTheme="minorHAnsi" w:cs="Arial"/>
      <w:b/>
      <w:bCs/>
      <w:color w:val="01653F"/>
      <w:kern w:val="32"/>
      <w:sz w:val="32"/>
      <w:szCs w:val="28"/>
      <w:lang w:val="en-US" w:eastAsia="en-US"/>
    </w:rPr>
  </w:style>
  <w:style w:type="paragraph" w:styleId="Heading2">
    <w:name w:val="heading 2"/>
    <w:basedOn w:val="Normal"/>
    <w:next w:val="Normal"/>
    <w:rsid w:val="000959B5"/>
    <w:pPr>
      <w:keepNext/>
      <w:numPr>
        <w:ilvl w:val="1"/>
        <w:numId w:val="8"/>
      </w:numPr>
      <w:spacing w:before="120" w:after="120"/>
      <w:outlineLvl w:val="1"/>
    </w:pPr>
    <w:rPr>
      <w:rFonts w:eastAsiaTheme="minorHAnsi" w:cs="Arial"/>
      <w:b/>
      <w:bCs/>
      <w:iCs/>
      <w:sz w:val="26"/>
      <w:szCs w:val="22"/>
      <w:lang w:val="en-US" w:eastAsia="en-US"/>
    </w:rPr>
  </w:style>
  <w:style w:type="paragraph" w:styleId="Heading3">
    <w:name w:val="heading 3"/>
    <w:basedOn w:val="Normal"/>
    <w:next w:val="Normal"/>
    <w:qFormat/>
    <w:rsid w:val="003B1222"/>
    <w:pPr>
      <w:keepNext/>
      <w:spacing w:before="120"/>
      <w:outlineLvl w:val="2"/>
    </w:pPr>
    <w:rPr>
      <w:rFonts w:eastAsiaTheme="minorHAnsi" w:cs="Arial"/>
      <w:b/>
      <w:bCs/>
      <w:i/>
      <w:color w:val="B56012"/>
      <w:sz w:val="24"/>
      <w:szCs w:val="26"/>
      <w:lang w:val="en-US" w:eastAsia="en-US"/>
    </w:rPr>
  </w:style>
  <w:style w:type="paragraph" w:styleId="Heading4">
    <w:name w:val="heading 4"/>
    <w:basedOn w:val="Normal"/>
    <w:next w:val="Normal"/>
    <w:uiPriority w:val="9"/>
    <w:rsid w:val="00B92F5C"/>
    <w:pPr>
      <w:keepNext/>
      <w:spacing w:before="120"/>
      <w:outlineLvl w:val="3"/>
    </w:pPr>
    <w:rPr>
      <w:rFonts w:eastAsiaTheme="minorHAnsi" w:cs="Arial"/>
      <w:bCs/>
      <w:i/>
      <w:color w:val="01653F"/>
      <w:szCs w:val="28"/>
      <w:lang w:val="en-US" w:eastAsia="en-US"/>
    </w:rPr>
  </w:style>
  <w:style w:type="paragraph" w:styleId="Heading5">
    <w:name w:val="heading 5"/>
    <w:basedOn w:val="Normal"/>
    <w:next w:val="Normal"/>
    <w:uiPriority w:val="9"/>
    <w:rsid w:val="000959B5"/>
    <w:pPr>
      <w:numPr>
        <w:ilvl w:val="4"/>
        <w:numId w:val="8"/>
      </w:numPr>
      <w:spacing w:before="240"/>
      <w:outlineLvl w:val="4"/>
    </w:pPr>
    <w:rPr>
      <w:rFonts w:eastAsiaTheme="minorHAnsi" w:cs="Arial"/>
      <w:b/>
      <w:bCs/>
      <w:iCs/>
      <w:sz w:val="26"/>
      <w:szCs w:val="26"/>
      <w:lang w:val="en-US" w:eastAsia="en-US"/>
    </w:rPr>
  </w:style>
  <w:style w:type="paragraph" w:styleId="Heading6">
    <w:name w:val="heading 6"/>
    <w:basedOn w:val="Normal"/>
    <w:next w:val="Normal"/>
    <w:uiPriority w:val="9"/>
    <w:rsid w:val="000959B5"/>
    <w:pPr>
      <w:numPr>
        <w:ilvl w:val="5"/>
        <w:numId w:val="8"/>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rsid w:val="000959B5"/>
    <w:pPr>
      <w:keepNext/>
      <w:keepLines/>
      <w:numPr>
        <w:ilvl w:val="6"/>
        <w:numId w:val="8"/>
      </w:numPr>
      <w:spacing w:before="200"/>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rsid w:val="000959B5"/>
    <w:pPr>
      <w:keepNext/>
      <w:keepLines/>
      <w:numPr>
        <w:ilvl w:val="7"/>
        <w:numId w:val="8"/>
      </w:numPr>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rsid w:val="000959B5"/>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AF127F"/>
    <w:rPr>
      <w:i/>
      <w:iCs/>
    </w:rPr>
  </w:style>
  <w:style w:type="character" w:styleId="Strong">
    <w:name w:val="Strong"/>
    <w:basedOn w:val="DefaultParagraphFont"/>
    <w:uiPriority w:val="22"/>
    <w:rsid w:val="00AF127F"/>
    <w:rPr>
      <w:b/>
      <w:bCs/>
    </w:rPr>
  </w:style>
  <w:style w:type="paragraph" w:styleId="Subtitle">
    <w:name w:val="Subtitle"/>
    <w:basedOn w:val="Normal"/>
    <w:next w:val="Normal"/>
    <w:link w:val="SubtitleChar"/>
    <w:rsid w:val="00735731"/>
    <w:pPr>
      <w:pBdr>
        <w:top w:val="double" w:sz="12" w:space="31" w:color="B66113"/>
        <w:bottom w:val="double" w:sz="12" w:space="1" w:color="B66113"/>
      </w:pBdr>
      <w:spacing w:before="120" w:after="120"/>
      <w:jc w:val="center"/>
    </w:pPr>
    <w:rPr>
      <w:rFonts w:cs="Arial"/>
      <w:b/>
      <w:color w:val="01653F"/>
      <w:spacing w:val="5"/>
      <w:sz w:val="48"/>
      <w:szCs w:val="48"/>
    </w:rPr>
  </w:style>
  <w:style w:type="character" w:customStyle="1" w:styleId="SubtitleChar">
    <w:name w:val="Subtitle Char"/>
    <w:basedOn w:val="DefaultParagraphFont"/>
    <w:link w:val="Subtitle"/>
    <w:rsid w:val="00735731"/>
    <w:rPr>
      <w:rFonts w:asciiTheme="minorHAnsi" w:hAnsiTheme="minorHAnsi" w:cs="Arial"/>
      <w:b/>
      <w:color w:val="01653F"/>
      <w:spacing w:val="5"/>
      <w:sz w:val="48"/>
      <w:szCs w:val="48"/>
    </w:rPr>
  </w:style>
  <w:style w:type="paragraph" w:styleId="Title">
    <w:name w:val="Title"/>
    <w:basedOn w:val="Normal"/>
    <w:next w:val="Normal"/>
    <w:link w:val="TitleChar"/>
    <w:rsid w:val="00735731"/>
    <w:pPr>
      <w:pBdr>
        <w:top w:val="double" w:sz="12" w:space="31" w:color="B66113"/>
        <w:bottom w:val="double" w:sz="12" w:space="1" w:color="B66113"/>
      </w:pBdr>
      <w:spacing w:before="840" w:after="360"/>
      <w:contextualSpacing/>
      <w:jc w:val="center"/>
    </w:pPr>
    <w:rPr>
      <w:rFonts w:cs="Arial"/>
      <w:b/>
      <w:spacing w:val="5"/>
      <w:sz w:val="72"/>
      <w:szCs w:val="72"/>
    </w:rPr>
  </w:style>
  <w:style w:type="character" w:customStyle="1" w:styleId="TitleChar">
    <w:name w:val="Title Char"/>
    <w:basedOn w:val="DefaultParagraphFont"/>
    <w:link w:val="Title"/>
    <w:rsid w:val="00735731"/>
    <w:rPr>
      <w:rFonts w:asciiTheme="minorHAnsi" w:hAnsiTheme="minorHAnsi" w:cs="Arial"/>
      <w:b/>
      <w:spacing w:val="5"/>
      <w:sz w:val="72"/>
      <w:szCs w:val="72"/>
    </w:rPr>
  </w:style>
  <w:style w:type="paragraph" w:styleId="NoSpacing">
    <w:name w:val="No Spacing"/>
    <w:uiPriority w:val="1"/>
    <w:rsid w:val="00AF127F"/>
    <w:rPr>
      <w:sz w:val="24"/>
      <w:szCs w:val="24"/>
      <w:lang w:eastAsia="en-US"/>
    </w:rPr>
  </w:style>
  <w:style w:type="character" w:styleId="SubtleEmphasis">
    <w:name w:val="Subtle Emphasis"/>
    <w:basedOn w:val="DefaultParagraphFont"/>
    <w:uiPriority w:val="19"/>
    <w:rsid w:val="00AF127F"/>
    <w:rPr>
      <w:i/>
      <w:iCs/>
      <w:color w:val="808080" w:themeColor="text1" w:themeTint="7F"/>
    </w:rPr>
  </w:style>
  <w:style w:type="character" w:styleId="IntenseEmphasis">
    <w:name w:val="Intense Emphasis"/>
    <w:basedOn w:val="DefaultParagraphFont"/>
    <w:uiPriority w:val="21"/>
    <w:rsid w:val="00AF127F"/>
    <w:rPr>
      <w:b/>
      <w:bCs/>
      <w:i/>
      <w:iCs/>
      <w:color w:val="4F81BD" w:themeColor="accent1"/>
    </w:rPr>
  </w:style>
  <w:style w:type="paragraph" w:styleId="Quote">
    <w:name w:val="Quote"/>
    <w:basedOn w:val="Normal"/>
    <w:next w:val="Normal"/>
    <w:link w:val="QuoteChar"/>
    <w:uiPriority w:val="29"/>
    <w:qFormat/>
    <w:rsid w:val="00AA7F29"/>
    <w:pPr>
      <w:ind w:left="567"/>
    </w:pPr>
    <w:rPr>
      <w:rFonts w:eastAsiaTheme="minorHAnsi" w:cs="Arial"/>
      <w:i/>
      <w:iCs/>
      <w:color w:val="000000" w:themeColor="text1"/>
      <w:szCs w:val="20"/>
      <w:lang w:val="en-US"/>
    </w:rPr>
  </w:style>
  <w:style w:type="character" w:customStyle="1" w:styleId="QuoteChar">
    <w:name w:val="Quote Char"/>
    <w:basedOn w:val="DefaultParagraphFont"/>
    <w:link w:val="Quote"/>
    <w:uiPriority w:val="29"/>
    <w:rsid w:val="00AA7F29"/>
    <w:rPr>
      <w:rFonts w:asciiTheme="minorHAnsi" w:eastAsiaTheme="minorHAnsi" w:hAnsiTheme="minorHAnsi" w:cs="Arial"/>
      <w:i/>
      <w:iCs/>
      <w:color w:val="000000" w:themeColor="text1"/>
      <w:sz w:val="22"/>
      <w:lang w:val="en-US"/>
    </w:rPr>
  </w:style>
  <w:style w:type="paragraph" w:styleId="IntenseQuote">
    <w:name w:val="Intense Quote"/>
    <w:basedOn w:val="Normal"/>
    <w:next w:val="Normal"/>
    <w:link w:val="IntenseQuoteChar"/>
    <w:uiPriority w:val="30"/>
    <w:rsid w:val="00AF127F"/>
    <w:pPr>
      <w:pBdr>
        <w:bottom w:val="single" w:sz="4" w:space="4" w:color="4F81BD" w:themeColor="accent1"/>
      </w:pBdr>
      <w:spacing w:before="200"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rsid w:val="00AF127F"/>
    <w:rPr>
      <w:smallCaps/>
      <w:color w:val="C0504D" w:themeColor="accent2"/>
      <w:u w:val="single"/>
    </w:rPr>
  </w:style>
  <w:style w:type="character" w:styleId="IntenseReference">
    <w:name w:val="Intense Reference"/>
    <w:basedOn w:val="DefaultParagraphFont"/>
    <w:uiPriority w:val="32"/>
    <w:rsid w:val="00AF127F"/>
    <w:rPr>
      <w:b/>
      <w:bCs/>
      <w:i/>
      <w:smallCaps/>
      <w:color w:val="C0504D" w:themeColor="accent2"/>
      <w:spacing w:val="5"/>
      <w:u w:val="none"/>
    </w:rPr>
  </w:style>
  <w:style w:type="character" w:styleId="BookTitle">
    <w:name w:val="Book Title"/>
    <w:basedOn w:val="DefaultParagraphFont"/>
    <w:uiPriority w:val="33"/>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959B5"/>
    <w:pPr>
      <w:numPr>
        <w:numId w:val="2"/>
      </w:numPr>
      <w:contextualSpacing/>
    </w:pPr>
    <w:rPr>
      <w:rFonts w:eastAsiaTheme="minorHAnsi" w:cs="Arial"/>
      <w:szCs w:val="22"/>
    </w:rPr>
  </w:style>
  <w:style w:type="table" w:styleId="TableGrid">
    <w:name w:val="Table Grid"/>
    <w:basedOn w:val="TableNormal"/>
    <w:uiPriority w:val="59"/>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127F"/>
    <w:rPr>
      <w:rFonts w:eastAsiaTheme="minorHAnsi" w:cs="Arial"/>
      <w:sz w:val="20"/>
      <w:szCs w:val="20"/>
    </w:rPr>
  </w:style>
  <w:style w:type="character" w:customStyle="1" w:styleId="FootnoteTextChar">
    <w:name w:val="Footnote Text Char"/>
    <w:basedOn w:val="DefaultParagraphFont"/>
    <w:link w:val="FootnoteText"/>
    <w:rsid w:val="00AF127F"/>
    <w:rPr>
      <w:rFonts w:ascii="Arial" w:hAnsi="Arial"/>
    </w:rPr>
  </w:style>
  <w:style w:type="character" w:styleId="FootnoteReference">
    <w:name w:val="footnote reference"/>
    <w:rsid w:val="00AF127F"/>
    <w:rPr>
      <w:vertAlign w:val="superscript"/>
    </w:rPr>
  </w:style>
  <w:style w:type="paragraph" w:styleId="TOCHeading">
    <w:name w:val="TOC Heading"/>
    <w:basedOn w:val="Heading1"/>
    <w:next w:val="Normal"/>
    <w:uiPriority w:val="39"/>
    <w:unhideWhenUsed/>
    <w:rsid w:val="000959B5"/>
    <w:pPr>
      <w:keepLines/>
      <w:pBdr>
        <w:bottom w:val="single" w:sz="4" w:space="1" w:color="auto"/>
      </w:pBdr>
      <w:spacing w:before="48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rsid w:val="005A2B5C"/>
    <w:pPr>
      <w:tabs>
        <w:tab w:val="left" w:pos="426"/>
        <w:tab w:val="left" w:pos="1540"/>
        <w:tab w:val="right" w:leader="dot" w:pos="9016"/>
      </w:tabs>
      <w:spacing w:before="0" w:after="120" w:line="288" w:lineRule="auto"/>
    </w:pPr>
    <w:rPr>
      <w:b/>
      <w:szCs w:val="22"/>
    </w:rPr>
  </w:style>
  <w:style w:type="paragraph" w:styleId="TOC2">
    <w:name w:val="toc 2"/>
    <w:basedOn w:val="Normal"/>
    <w:next w:val="Normal"/>
    <w:autoRedefine/>
    <w:uiPriority w:val="39"/>
    <w:rsid w:val="005A2B5C"/>
    <w:pPr>
      <w:spacing w:before="0" w:after="0"/>
      <w:ind w:left="431"/>
    </w:pPr>
    <w:rPr>
      <w:szCs w:val="22"/>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rsid w:val="00AF127F"/>
    <w:rPr>
      <w:rFonts w:ascii="Tahoma" w:eastAsiaTheme="minorHAnsi" w:hAnsi="Tahoma" w:cs="Tahoma"/>
      <w:sz w:val="16"/>
      <w:szCs w:val="16"/>
    </w:rPr>
  </w:style>
  <w:style w:type="character" w:customStyle="1" w:styleId="BalloonTextChar">
    <w:name w:val="Balloon Text Char"/>
    <w:basedOn w:val="DefaultParagraphFont"/>
    <w:link w:val="BalloonText"/>
    <w:rsid w:val="00AF127F"/>
    <w:rPr>
      <w:rFonts w:ascii="Tahoma" w:hAnsi="Tahoma" w:cs="Tahoma"/>
      <w:sz w:val="16"/>
      <w:szCs w:val="16"/>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nhideWhenUsed/>
    <w:qFormat/>
    <w:rsid w:val="00D70482"/>
    <w:pPr>
      <w:keepNext/>
      <w:spacing w:before="240" w:after="0"/>
    </w:pPr>
    <w:rPr>
      <w:rFonts w:eastAsiaTheme="minorHAnsi" w:cs="Arial"/>
      <w:i/>
      <w:sz w:val="20"/>
      <w:szCs w:val="22"/>
      <w:lang w:eastAsia="en-US"/>
    </w:rPr>
  </w:style>
  <w:style w:type="paragraph" w:customStyle="1" w:styleId="Default">
    <w:name w:val="Default"/>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959B5"/>
    <w:rPr>
      <w:rFonts w:asciiTheme="minorHAnsi" w:eastAsiaTheme="minorHAnsi" w:hAnsiTheme="minorHAnsi" w:cs="Arial"/>
      <w:sz w:val="22"/>
      <w:szCs w:val="22"/>
    </w:rPr>
  </w:style>
  <w:style w:type="paragraph" w:styleId="TableofFigures">
    <w:name w:val="table of figures"/>
    <w:basedOn w:val="Normal"/>
    <w:next w:val="Normal"/>
    <w:uiPriority w:val="99"/>
    <w:rsid w:val="005A2B5C"/>
    <w:pPr>
      <w:spacing w:before="0" w:after="0"/>
      <w:ind w:left="440" w:hanging="440"/>
    </w:pPr>
    <w:rPr>
      <w:sz w:val="20"/>
      <w:szCs w:val="20"/>
    </w:rPr>
  </w:style>
  <w:style w:type="paragraph" w:styleId="TOC3">
    <w:name w:val="toc 3"/>
    <w:basedOn w:val="Normal"/>
    <w:next w:val="Normal"/>
    <w:autoRedefine/>
    <w:uiPriority w:val="39"/>
    <w:rsid w:val="00AF127F"/>
    <w:pPr>
      <w:spacing w:before="0" w:after="0"/>
      <w:ind w:left="440"/>
    </w:pPr>
    <w:rPr>
      <w:i/>
      <w:szCs w:val="22"/>
    </w:rPr>
  </w:style>
  <w:style w:type="character" w:styleId="PageNumber">
    <w:name w:val="page number"/>
    <w:basedOn w:val="DefaultParagraphFont"/>
    <w:rsid w:val="006C0049"/>
  </w:style>
  <w:style w:type="paragraph" w:styleId="BodyText">
    <w:name w:val="Body Text"/>
    <w:basedOn w:val="Normal"/>
    <w:link w:val="BodyTextChar"/>
    <w:rsid w:val="006C0049"/>
    <w:pPr>
      <w:spacing w:after="120"/>
    </w:pPr>
    <w:rPr>
      <w:rFonts w:eastAsiaTheme="minorHAnsi" w:cs="Arial"/>
      <w:szCs w:val="20"/>
    </w:rPr>
  </w:style>
  <w:style w:type="character" w:customStyle="1" w:styleId="BodyTextChar">
    <w:name w:val="Body Text Char"/>
    <w:basedOn w:val="DefaultParagraphFont"/>
    <w:link w:val="BodyText"/>
    <w:rsid w:val="006C0049"/>
    <w:rPr>
      <w:rFonts w:ascii="Arial" w:hAnsi="Arial"/>
      <w:sz w:val="24"/>
    </w:rPr>
  </w:style>
  <w:style w:type="paragraph" w:customStyle="1" w:styleId="departmentalnormal">
    <w:name w:val="departmentalnormal"/>
    <w:basedOn w:val="Normal"/>
    <w:rsid w:val="006C0049"/>
    <w:pPr>
      <w:spacing w:before="100" w:beforeAutospacing="1" w:after="100" w:afterAutospacing="1"/>
    </w:pPr>
    <w:rPr>
      <w:rFonts w:eastAsiaTheme="minorHAnsi" w:cs="Arial"/>
      <w:szCs w:val="22"/>
    </w:rPr>
  </w:style>
  <w:style w:type="paragraph" w:styleId="BodyText3">
    <w:name w:val="Body Text 3"/>
    <w:basedOn w:val="Normal"/>
    <w:link w:val="BodyText3Char"/>
    <w:rsid w:val="006C0049"/>
    <w:pPr>
      <w:spacing w:after="120"/>
    </w:pPr>
    <w:rPr>
      <w:rFonts w:eastAsiaTheme="minorHAnsi" w:cs="Arial"/>
      <w:sz w:val="16"/>
      <w:szCs w:val="16"/>
    </w:rPr>
  </w:style>
  <w:style w:type="character" w:customStyle="1" w:styleId="BodyText3Char">
    <w:name w:val="Body Text 3 Char"/>
    <w:basedOn w:val="DefaultParagraphFont"/>
    <w:link w:val="BodyText3"/>
    <w:rsid w:val="006C0049"/>
    <w:rPr>
      <w:rFonts w:ascii="Arial" w:hAnsi="Arial"/>
      <w:sz w:val="16"/>
      <w:szCs w:val="16"/>
    </w:rPr>
  </w:style>
  <w:style w:type="paragraph" w:styleId="BodyTextIndent">
    <w:name w:val="Body Text Indent"/>
    <w:basedOn w:val="Normal"/>
    <w:link w:val="BodyTextIndentChar"/>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rsid w:val="006C0049"/>
    <w:rPr>
      <w:rFonts w:ascii="Arial" w:hAnsi="Arial"/>
      <w:sz w:val="24"/>
    </w:rPr>
  </w:style>
  <w:style w:type="paragraph" w:customStyle="1" w:styleId="DepartmentalNormal0">
    <w:name w:val="Departmental Normal"/>
    <w:basedOn w:val="Normal"/>
    <w:rsid w:val="006C0049"/>
    <w:rPr>
      <w:rFonts w:eastAsiaTheme="minorHAnsi" w:cs="Arial"/>
      <w:szCs w:val="20"/>
    </w:rPr>
  </w:style>
  <w:style w:type="paragraph" w:customStyle="1" w:styleId="CharCharChar">
    <w:name w:val="Char Char Char"/>
    <w:basedOn w:val="Normal"/>
    <w:rsid w:val="006C0049"/>
    <w:rPr>
      <w:rFonts w:eastAsiaTheme="minorHAnsi" w:cs="Arial"/>
      <w:szCs w:val="22"/>
      <w:lang w:eastAsia="en-US"/>
    </w:rPr>
  </w:style>
  <w:style w:type="character" w:customStyle="1" w:styleId="apple-converted-space">
    <w:name w:val="apple-converted-space"/>
    <w:basedOn w:val="DefaultParagraphFont"/>
    <w:rsid w:val="006C0049"/>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Bulleted">
    <w:name w:val="Bulleted"/>
    <w:basedOn w:val="ListParagraph"/>
    <w:link w:val="BulletedChar"/>
    <w:qFormat/>
    <w:rsid w:val="000959B5"/>
    <w:pPr>
      <w:numPr>
        <w:numId w:val="21"/>
      </w:numPr>
    </w:pPr>
  </w:style>
  <w:style w:type="character" w:customStyle="1" w:styleId="BulletedChar">
    <w:name w:val="Bulleted Char"/>
    <w:basedOn w:val="DefaultParagraphFont"/>
    <w:link w:val="Bulleted"/>
    <w:rsid w:val="000959B5"/>
    <w:rPr>
      <w:rFonts w:asciiTheme="minorHAnsi" w:eastAsiaTheme="minorHAnsi" w:hAnsiTheme="minorHAnsi" w:cs="Arial"/>
      <w:sz w:val="22"/>
      <w:szCs w:val="22"/>
    </w:rPr>
  </w:style>
  <w:style w:type="character" w:customStyle="1" w:styleId="Heading7Char">
    <w:name w:val="Heading 7 Char"/>
    <w:basedOn w:val="DefaultParagraphFont"/>
    <w:link w:val="Heading7"/>
    <w:uiPriority w:val="9"/>
    <w:rsid w:val="000959B5"/>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0959B5"/>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0959B5"/>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rsid w:val="003C2F8E"/>
    <w:rPr>
      <w:sz w:val="24"/>
      <w:szCs w:val="24"/>
      <w:lang w:val="en-US" w:eastAsia="en-US"/>
    </w:rPr>
  </w:style>
  <w:style w:type="paragraph" w:customStyle="1" w:styleId="02Tabletext">
    <w:name w:val="02. Table text"/>
    <w:basedOn w:val="Normal"/>
    <w:next w:val="Normal"/>
    <w:link w:val="02TabletextChar"/>
    <w:qFormat/>
    <w:rsid w:val="004D7CBA"/>
    <w:pPr>
      <w:spacing w:before="140" w:after="40"/>
    </w:pPr>
  </w:style>
  <w:style w:type="character" w:customStyle="1" w:styleId="02TabletextChar">
    <w:name w:val="02. Table text Char"/>
    <w:basedOn w:val="DefaultParagraphFont"/>
    <w:link w:val="02Tabletext"/>
    <w:rsid w:val="004D7CBA"/>
    <w:rPr>
      <w:rFonts w:asciiTheme="minorHAnsi" w:hAnsiTheme="minorHAnsi"/>
      <w:sz w:val="22"/>
      <w:szCs w:val="24"/>
    </w:rPr>
  </w:style>
  <w:style w:type="paragraph" w:customStyle="1" w:styleId="01Tableheaderrow">
    <w:name w:val="01. Table header row"/>
    <w:link w:val="01TableheaderrowChar"/>
    <w:rsid w:val="00386D66"/>
    <w:pPr>
      <w:keepNext/>
      <w:spacing w:before="40"/>
    </w:pPr>
    <w:rPr>
      <w:rFonts w:ascii="Arial" w:eastAsiaTheme="minorHAnsi" w:hAnsi="Arial"/>
      <w:b/>
      <w:sz w:val="18"/>
      <w:szCs w:val="22"/>
      <w:lang w:eastAsia="en-US"/>
    </w:rPr>
  </w:style>
  <w:style w:type="character" w:customStyle="1" w:styleId="01TableheaderrowChar">
    <w:name w:val="01. Table header row Char"/>
    <w:basedOn w:val="02TabletextChar"/>
    <w:link w:val="01Tableheaderrow"/>
    <w:rsid w:val="00386D66"/>
    <w:rPr>
      <w:rFonts w:ascii="Arial" w:eastAsiaTheme="minorHAnsi" w:hAnsi="Arial"/>
      <w:b/>
      <w:sz w:val="18"/>
      <w:szCs w:val="22"/>
      <w:lang w:eastAsia="en-US"/>
    </w:rPr>
  </w:style>
  <w:style w:type="character" w:styleId="FollowedHyperlink">
    <w:name w:val="FollowedHyperlink"/>
    <w:basedOn w:val="DefaultParagraphFont"/>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Bulleted"/>
    <w:autoRedefine/>
    <w:rsid w:val="000959B5"/>
    <w:pPr>
      <w:spacing w:before="0" w:after="0" w:line="240" w:lineRule="auto"/>
      <w:ind w:left="714" w:hanging="357"/>
    </w:pPr>
    <w:rPr>
      <w:rFonts w:eastAsia="Times New Roman"/>
      <w:szCs w:val="24"/>
    </w:rPr>
  </w:style>
  <w:style w:type="paragraph" w:customStyle="1" w:styleId="Bullet2">
    <w:name w:val="Bullet 2"/>
    <w:basedOn w:val="ListParagraph"/>
    <w:rsid w:val="000959B5"/>
    <w:pPr>
      <w:numPr>
        <w:ilvl w:val="1"/>
        <w:numId w:val="3"/>
      </w:numPr>
      <w:spacing w:before="120"/>
      <w:ind w:left="1077" w:hanging="357"/>
      <w:contextualSpacing w:val="0"/>
    </w:pPr>
  </w:style>
  <w:style w:type="paragraph" w:customStyle="1" w:styleId="Bullet3">
    <w:name w:val="Bullet 3"/>
    <w:basedOn w:val="ListParagraph"/>
    <w:rsid w:val="000959B5"/>
    <w:pPr>
      <w:numPr>
        <w:ilvl w:val="2"/>
        <w:numId w:val="1"/>
      </w:numPr>
      <w:spacing w:before="120"/>
      <w:ind w:left="1797" w:hanging="357"/>
      <w:contextualSpacing w:val="0"/>
    </w:pPr>
  </w:style>
  <w:style w:type="paragraph" w:styleId="TOC4">
    <w:name w:val="toc 4"/>
    <w:basedOn w:val="Normal"/>
    <w:next w:val="Normal"/>
    <w:autoRedefine/>
    <w:unhideWhenUsed/>
    <w:rsid w:val="00C56DF9"/>
    <w:pPr>
      <w:spacing w:before="0" w:after="0"/>
      <w:ind w:left="660"/>
    </w:pPr>
    <w:rPr>
      <w:sz w:val="18"/>
      <w:szCs w:val="18"/>
    </w:rPr>
  </w:style>
  <w:style w:type="paragraph" w:styleId="TOC5">
    <w:name w:val="toc 5"/>
    <w:basedOn w:val="Normal"/>
    <w:next w:val="Normal"/>
    <w:autoRedefine/>
    <w:unhideWhenUsed/>
    <w:rsid w:val="00C56DF9"/>
    <w:pPr>
      <w:spacing w:before="0" w:after="0"/>
      <w:ind w:left="880"/>
    </w:pPr>
    <w:rPr>
      <w:sz w:val="18"/>
      <w:szCs w:val="18"/>
    </w:rPr>
  </w:style>
  <w:style w:type="paragraph" w:styleId="TOC6">
    <w:name w:val="toc 6"/>
    <w:basedOn w:val="Normal"/>
    <w:next w:val="Normal"/>
    <w:autoRedefine/>
    <w:unhideWhenUsed/>
    <w:rsid w:val="00C56DF9"/>
    <w:pPr>
      <w:spacing w:before="0" w:after="0"/>
      <w:ind w:left="1100"/>
    </w:pPr>
    <w:rPr>
      <w:sz w:val="18"/>
      <w:szCs w:val="18"/>
    </w:rPr>
  </w:style>
  <w:style w:type="paragraph" w:styleId="TOC7">
    <w:name w:val="toc 7"/>
    <w:basedOn w:val="Normal"/>
    <w:next w:val="Normal"/>
    <w:autoRedefine/>
    <w:unhideWhenUsed/>
    <w:rsid w:val="00C56DF9"/>
    <w:pPr>
      <w:spacing w:before="0" w:after="0"/>
      <w:ind w:left="1320"/>
    </w:pPr>
    <w:rPr>
      <w:sz w:val="18"/>
      <w:szCs w:val="18"/>
    </w:rPr>
  </w:style>
  <w:style w:type="paragraph" w:styleId="TOC8">
    <w:name w:val="toc 8"/>
    <w:basedOn w:val="Normal"/>
    <w:next w:val="Normal"/>
    <w:autoRedefine/>
    <w:unhideWhenUsed/>
    <w:rsid w:val="00C56DF9"/>
    <w:pPr>
      <w:spacing w:before="0" w:after="0"/>
      <w:ind w:left="1540"/>
    </w:pPr>
    <w:rPr>
      <w:sz w:val="18"/>
      <w:szCs w:val="18"/>
    </w:rPr>
  </w:style>
  <w:style w:type="paragraph" w:styleId="TOC9">
    <w:name w:val="toc 9"/>
    <w:basedOn w:val="Normal"/>
    <w:next w:val="Normal"/>
    <w:autoRedefine/>
    <w:unhideWhenUsed/>
    <w:rsid w:val="00C56DF9"/>
    <w:pPr>
      <w:spacing w:before="0" w:after="0"/>
      <w:ind w:left="1760"/>
    </w:pPr>
    <w:rPr>
      <w:sz w:val="18"/>
      <w:szCs w:val="18"/>
    </w:rPr>
  </w:style>
  <w:style w:type="character" w:styleId="CommentReference">
    <w:name w:val="annotation reference"/>
    <w:basedOn w:val="DefaultParagraphFont"/>
    <w:semiHidden/>
    <w:unhideWhenUsed/>
    <w:rsid w:val="000337EF"/>
    <w:rPr>
      <w:sz w:val="16"/>
      <w:szCs w:val="16"/>
    </w:rPr>
  </w:style>
  <w:style w:type="paragraph" w:styleId="CommentText">
    <w:name w:val="annotation text"/>
    <w:basedOn w:val="Normal"/>
    <w:link w:val="CommentTextChar"/>
    <w:semiHidden/>
    <w:unhideWhenUsed/>
    <w:rsid w:val="000337EF"/>
    <w:rPr>
      <w:sz w:val="20"/>
      <w:szCs w:val="20"/>
    </w:rPr>
  </w:style>
  <w:style w:type="character" w:customStyle="1" w:styleId="CommentTextChar">
    <w:name w:val="Comment Text Char"/>
    <w:basedOn w:val="DefaultParagraphFont"/>
    <w:link w:val="CommentText"/>
    <w:semiHidden/>
    <w:rsid w:val="000337EF"/>
    <w:rPr>
      <w:rFonts w:ascii="Arial" w:hAnsi="Arial"/>
    </w:rPr>
  </w:style>
  <w:style w:type="paragraph" w:styleId="CommentSubject">
    <w:name w:val="annotation subject"/>
    <w:basedOn w:val="CommentText"/>
    <w:next w:val="CommentText"/>
    <w:link w:val="CommentSubjectChar"/>
    <w:semiHidden/>
    <w:unhideWhenUsed/>
    <w:rsid w:val="000337EF"/>
    <w:rPr>
      <w:b/>
      <w:bCs/>
    </w:rPr>
  </w:style>
  <w:style w:type="character" w:customStyle="1" w:styleId="CommentSubjectChar">
    <w:name w:val="Comment Subject Char"/>
    <w:basedOn w:val="CommentTextChar"/>
    <w:link w:val="CommentSubject"/>
    <w:semiHidden/>
    <w:rsid w:val="000337EF"/>
    <w:rPr>
      <w:rFonts w:ascii="Arial" w:hAnsi="Arial"/>
      <w:b/>
      <w:bCs/>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F26056"/>
    <w:pPr>
      <w:spacing w:before="60"/>
      <w:ind w:left="144" w:right="289"/>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uiPriority w:val="3"/>
    <w:rsid w:val="000959B5"/>
    <w:pPr>
      <w:numPr>
        <w:numId w:val="4"/>
      </w:numPr>
      <w:spacing w:before="120"/>
      <w:ind w:right="142"/>
    </w:pPr>
    <w:rPr>
      <w:szCs w:val="20"/>
      <w:lang w:val="en-US" w:eastAsia="en-US"/>
    </w:rPr>
  </w:style>
  <w:style w:type="paragraph" w:customStyle="1" w:styleId="02dash">
    <w:name w:val="02 dash"/>
    <w:basedOn w:val="01squarebullet"/>
    <w:uiPriority w:val="4"/>
    <w:rsid w:val="000959B5"/>
    <w:pPr>
      <w:numPr>
        <w:ilvl w:val="1"/>
      </w:numPr>
    </w:pPr>
  </w:style>
  <w:style w:type="paragraph" w:customStyle="1" w:styleId="03opensquarebullet">
    <w:name w:val="03 open square bullet"/>
    <w:basedOn w:val="02dash"/>
    <w:uiPriority w:val="5"/>
    <w:rsid w:val="000959B5"/>
    <w:pPr>
      <w:numPr>
        <w:ilvl w:val="2"/>
      </w:numPr>
    </w:pPr>
  </w:style>
  <w:style w:type="paragraph" w:customStyle="1" w:styleId="04shortdash">
    <w:name w:val="04 short dash"/>
    <w:basedOn w:val="03opensquarebullet"/>
    <w:uiPriority w:val="6"/>
    <w:rsid w:val="000959B5"/>
    <w:pPr>
      <w:numPr>
        <w:ilvl w:val="3"/>
      </w:numPr>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qFormat/>
    <w:rsid w:val="00A01431"/>
    <w:pPr>
      <w:spacing w:before="240" w:after="60"/>
      <w:ind w:left="578" w:hanging="578"/>
    </w:pPr>
    <w:rPr>
      <w:color w:val="01653F"/>
    </w:rPr>
  </w:style>
  <w:style w:type="character" w:customStyle="1" w:styleId="Heading2ReportChar">
    <w:name w:val="Heading 2 Report Char"/>
    <w:basedOn w:val="DefaultParagraphFont"/>
    <w:link w:val="Heading2Report"/>
    <w:rsid w:val="00A01431"/>
    <w:rPr>
      <w:rFonts w:asciiTheme="minorHAnsi" w:eastAsiaTheme="minorHAnsi" w:hAnsiTheme="minorHAnsi" w:cs="Arial"/>
      <w:b/>
      <w:bCs/>
      <w:iCs/>
      <w:color w:val="01653F"/>
      <w:sz w:val="26"/>
      <w:szCs w:val="22"/>
      <w:lang w:val="en-US" w:eastAsia="en-US"/>
    </w:rPr>
  </w:style>
  <w:style w:type="paragraph" w:customStyle="1" w:styleId="AppendixStyle1">
    <w:name w:val="Appendix Style 1"/>
    <w:basedOn w:val="Normal"/>
    <w:next w:val="Normal"/>
    <w:qFormat/>
    <w:rsid w:val="000959B5"/>
    <w:pPr>
      <w:numPr>
        <w:numId w:val="5"/>
      </w:numPr>
      <w:spacing w:before="0" w:after="0"/>
      <w:outlineLvl w:val="0"/>
    </w:pPr>
    <w:rPr>
      <w:rFonts w:cs="Arial"/>
      <w:b/>
      <w:sz w:val="32"/>
      <w:lang w:val="en-US" w:eastAsia="en-US"/>
    </w:rPr>
  </w:style>
  <w:style w:type="table" w:customStyle="1" w:styleId="TableGrid3">
    <w:name w:val="Table Grid3"/>
    <w:basedOn w:val="TableNormal"/>
    <w:next w:val="TableGrid"/>
    <w:rsid w:val="0053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abel">
    <w:name w:val="ref-label"/>
    <w:basedOn w:val="DefaultParagraphFont"/>
    <w:rsid w:val="00F417F4"/>
  </w:style>
  <w:style w:type="paragraph" w:customStyle="1" w:styleId="bulletindent1">
    <w:name w:val="bulletindent1"/>
    <w:basedOn w:val="Normal"/>
    <w:rsid w:val="00F417F4"/>
    <w:pPr>
      <w:spacing w:before="100" w:beforeAutospacing="1" w:after="100" w:afterAutospacing="1"/>
    </w:pPr>
    <w:rPr>
      <w:rFonts w:ascii="Times New Roman" w:hAnsi="Times New Roman"/>
      <w:sz w:val="24"/>
    </w:rPr>
  </w:style>
  <w:style w:type="paragraph" w:customStyle="1" w:styleId="Numbering">
    <w:name w:val="Numbering"/>
    <w:basedOn w:val="ListParagraph"/>
    <w:link w:val="NumberingChar"/>
    <w:rsid w:val="000959B5"/>
    <w:pPr>
      <w:numPr>
        <w:numId w:val="6"/>
      </w:numPr>
      <w:spacing w:before="120" w:after="120"/>
    </w:pPr>
    <w:rPr>
      <w:lang w:val="en-US" w:eastAsia="en-US"/>
    </w:rPr>
  </w:style>
  <w:style w:type="character" w:customStyle="1" w:styleId="NumberingChar">
    <w:name w:val="Numbering Char"/>
    <w:basedOn w:val="ListParagraphChar"/>
    <w:link w:val="Numbering"/>
    <w:rsid w:val="000959B5"/>
    <w:rPr>
      <w:rFonts w:asciiTheme="minorHAnsi" w:eastAsiaTheme="minorHAnsi" w:hAnsiTheme="minorHAnsi" w:cs="Arial"/>
      <w:sz w:val="22"/>
      <w:szCs w:val="22"/>
      <w:lang w:val="en-US" w:eastAsia="en-US"/>
    </w:rPr>
  </w:style>
  <w:style w:type="paragraph" w:styleId="DocumentMap">
    <w:name w:val="Document Map"/>
    <w:basedOn w:val="Normal"/>
    <w:link w:val="DocumentMapChar"/>
    <w:semiHidden/>
    <w:unhideWhenUsed/>
    <w:rsid w:val="0060697D"/>
    <w:pPr>
      <w:spacing w:before="0" w:after="0" w:line="240" w:lineRule="auto"/>
    </w:pPr>
    <w:rPr>
      <w:rFonts w:ascii="Times New Roman" w:hAnsi="Times New Roman"/>
      <w:sz w:val="24"/>
    </w:rPr>
  </w:style>
  <w:style w:type="character" w:customStyle="1" w:styleId="DocumentMapChar">
    <w:name w:val="Document Map Char"/>
    <w:basedOn w:val="DefaultParagraphFont"/>
    <w:link w:val="DocumentMap"/>
    <w:semiHidden/>
    <w:rsid w:val="0060697D"/>
    <w:rPr>
      <w:sz w:val="24"/>
      <w:szCs w:val="24"/>
    </w:rPr>
  </w:style>
  <w:style w:type="paragraph" w:styleId="EndnoteText">
    <w:name w:val="endnote text"/>
    <w:basedOn w:val="Normal"/>
    <w:link w:val="EndnoteTextChar"/>
    <w:unhideWhenUsed/>
    <w:rsid w:val="00303AE1"/>
    <w:pPr>
      <w:spacing w:before="0" w:after="0" w:line="240" w:lineRule="auto"/>
    </w:pPr>
    <w:rPr>
      <w:sz w:val="24"/>
    </w:rPr>
  </w:style>
  <w:style w:type="character" w:customStyle="1" w:styleId="EndnoteTextChar">
    <w:name w:val="Endnote Text Char"/>
    <w:basedOn w:val="DefaultParagraphFont"/>
    <w:link w:val="EndnoteText"/>
    <w:rsid w:val="00303AE1"/>
    <w:rPr>
      <w:rFonts w:asciiTheme="minorHAnsi" w:hAnsiTheme="minorHAnsi"/>
      <w:sz w:val="24"/>
      <w:szCs w:val="24"/>
    </w:rPr>
  </w:style>
  <w:style w:type="character" w:styleId="EndnoteReference">
    <w:name w:val="endnote reference"/>
    <w:basedOn w:val="DefaultParagraphFont"/>
    <w:unhideWhenUsed/>
    <w:rsid w:val="00303AE1"/>
    <w:rPr>
      <w:vertAlign w:val="superscript"/>
    </w:rPr>
  </w:style>
  <w:style w:type="paragraph" w:customStyle="1" w:styleId="Rec">
    <w:name w:val="Rec"/>
    <w:basedOn w:val="Normal"/>
    <w:qFormat/>
    <w:rsid w:val="000959B5"/>
    <w:pPr>
      <w:numPr>
        <w:numId w:val="20"/>
      </w:numPr>
      <w:spacing w:before="120" w:after="120"/>
    </w:pPr>
    <w:rPr>
      <w:rFonts w:cs="Arial"/>
      <w:b/>
      <w:i/>
      <w:color w:val="01653F"/>
      <w:sz w:val="24"/>
      <w:szCs w:val="22"/>
    </w:rPr>
  </w:style>
  <w:style w:type="paragraph" w:styleId="Revision">
    <w:name w:val="Revision"/>
    <w:hidden/>
    <w:uiPriority w:val="99"/>
    <w:semiHidden/>
    <w:rsid w:val="00540AB6"/>
    <w:rPr>
      <w:rFonts w:asciiTheme="minorHAnsi" w:hAnsiTheme="minorHAnsi"/>
      <w:sz w:val="22"/>
      <w:szCs w:val="24"/>
    </w:rPr>
  </w:style>
  <w:style w:type="paragraph" w:customStyle="1" w:styleId="BoxText">
    <w:name w:val="BoxText"/>
    <w:basedOn w:val="Normal"/>
    <w:qFormat/>
    <w:rsid w:val="001B6B24"/>
    <w:pPr>
      <w:pBdr>
        <w:top w:val="single" w:sz="12" w:space="4" w:color="C75F09"/>
        <w:left w:val="single" w:sz="12" w:space="4" w:color="C75F09"/>
        <w:bottom w:val="single" w:sz="12" w:space="4" w:color="C75F09"/>
        <w:right w:val="single" w:sz="12" w:space="4" w:color="C75F09"/>
      </w:pBdr>
      <w:spacing w:before="0" w:after="120" w:line="240" w:lineRule="auto"/>
    </w:pPr>
    <w:rPr>
      <w:rFonts w:ascii="Calibri" w:hAnsi="Calibri"/>
      <w:color w:val="000000"/>
      <w:szCs w:val="20"/>
    </w:rPr>
  </w:style>
  <w:style w:type="paragraph" w:customStyle="1" w:styleId="BoxBullet">
    <w:name w:val="BoxBullet"/>
    <w:basedOn w:val="BoxText"/>
    <w:rsid w:val="00CA4CDF"/>
    <w:pPr>
      <w:numPr>
        <w:numId w:val="36"/>
      </w:numPr>
    </w:pPr>
  </w:style>
  <w:style w:type="paragraph" w:customStyle="1" w:styleId="BoxHeading">
    <w:name w:val="BoxHeading"/>
    <w:basedOn w:val="BoxText"/>
    <w:rsid w:val="00CA4CDF"/>
    <w:pPr>
      <w:keepNext/>
      <w:spacing w:before="120" w:after="60"/>
    </w:pPr>
    <w:rPr>
      <w:b/>
      <w:bCs/>
    </w:rPr>
  </w:style>
  <w:style w:type="paragraph" w:customStyle="1" w:styleId="AppendixStyle2">
    <w:name w:val="Appendix Style2"/>
    <w:basedOn w:val="Heading2Report"/>
    <w:qFormat/>
    <w:rsid w:val="00B85103"/>
    <w:pPr>
      <w:numPr>
        <w:ilvl w:val="0"/>
        <w:numId w:val="0"/>
      </w:numPr>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207556">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35322854">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34635492">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5953819">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32820587">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60753697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1663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s.health.gov.a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nzbms.org.au/downloads/densitometry_guidelines.pdf" TargetMode="External"/><Relationship Id="rId4" Type="http://schemas.openxmlformats.org/officeDocument/2006/relationships/settings" Target="settings.xml"/><Relationship Id="rId9" Type="http://schemas.openxmlformats.org/officeDocument/2006/relationships/hyperlink" Target="http://www.choosingwiselycanada.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s>
</file>

<file path=customXml/itemProps1.xml><?xml version="1.0" encoding="utf-8"?>
<ds:datastoreItem xmlns:ds="http://schemas.openxmlformats.org/officeDocument/2006/customXml" ds:itemID="{A11654DA-3139-494E-A474-6D3EC38D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13989</Words>
  <Characters>79743</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Medicare Benefits Schedule Review Taskforce Second report from the Diagnostic Imaging Clinical Committee - Bone Densitometry</vt:lpstr>
    </vt:vector>
  </TitlesOfParts>
  <Company/>
  <LinksUpToDate>false</LinksUpToDate>
  <CharactersWithSpaces>93545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Second report from the Diagnostic Imaging Clinical Committee - Bone Densitometry</dc:title>
  <dc:subject>Medicare Benefits Schedule</dc:subject>
  <dc:creator>Australian Government Department of Health</dc:creator>
  <cp:keywords/>
  <dc:description>_x000d_
</dc:description>
  <cp:lastModifiedBy>SMEDLEY, Tyne</cp:lastModifiedBy>
  <cp:revision>2</cp:revision>
  <cp:lastPrinted>2016-08-25T06:01:00Z</cp:lastPrinted>
  <dcterms:created xsi:type="dcterms:W3CDTF">2021-06-29T05:06:00Z</dcterms:created>
  <dcterms:modified xsi:type="dcterms:W3CDTF">2021-06-29T05:06:00Z</dcterms:modified>
  <cp:category/>
  <cp:contentStatus>Final</cp:contentStatus>
</cp:coreProperties>
</file>