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9A3C2" w14:textId="77777777" w:rsidR="009A1F71" w:rsidRDefault="00262127" w:rsidP="00224863">
      <w:pPr>
        <w:pBdr>
          <w:top w:val="double" w:sz="4" w:space="1" w:color="B66113"/>
          <w:bottom w:val="double" w:sz="4" w:space="1" w:color="B66113"/>
        </w:pBdr>
        <w:jc w:val="center"/>
        <w:rPr>
          <w:b/>
          <w:color w:val="01653F"/>
          <w:sz w:val="48"/>
          <w:lang w:val="en-AU"/>
        </w:rPr>
      </w:pPr>
      <w:bookmarkStart w:id="0" w:name="_Toc427153112"/>
      <w:r w:rsidRPr="00B0157E">
        <w:rPr>
          <w:b/>
          <w:color w:val="01653F"/>
          <w:sz w:val="48"/>
          <w:lang w:val="en-AU"/>
        </w:rPr>
        <w:t>Medicare Benefits Schedule Review Taskforce</w:t>
      </w:r>
    </w:p>
    <w:p w14:paraId="26F29D83" w14:textId="376C0412" w:rsidR="009A1F71" w:rsidRDefault="006D6F8C" w:rsidP="009A1F71">
      <w:pPr>
        <w:pBdr>
          <w:top w:val="double" w:sz="4" w:space="1" w:color="B66113"/>
          <w:bottom w:val="double" w:sz="4" w:space="1" w:color="B66113"/>
        </w:pBdr>
        <w:spacing w:before="960" w:after="960"/>
        <w:jc w:val="center"/>
        <w:rPr>
          <w:rStyle w:val="TitleChar"/>
        </w:rPr>
      </w:pPr>
      <w:r w:rsidRPr="009A1F71">
        <w:rPr>
          <w:rStyle w:val="TitleChar"/>
        </w:rPr>
        <w:t>Dermatology</w:t>
      </w:r>
      <w:r w:rsidR="00B744C1" w:rsidRPr="009A1F71">
        <w:rPr>
          <w:rStyle w:val="TitleChar"/>
        </w:rPr>
        <w:t>, Allergy and Immunology</w:t>
      </w:r>
      <w:r w:rsidR="00E753DE" w:rsidRPr="009A1F71">
        <w:rPr>
          <w:rStyle w:val="TitleChar"/>
        </w:rPr>
        <w:t xml:space="preserve"> Clinical </w:t>
      </w:r>
      <w:r w:rsidR="00262127" w:rsidRPr="009A1F71">
        <w:rPr>
          <w:rStyle w:val="TitleChar"/>
        </w:rPr>
        <w:t>C</w:t>
      </w:r>
      <w:r w:rsidR="00552935" w:rsidRPr="009A1F71">
        <w:rPr>
          <w:rStyle w:val="TitleChar"/>
        </w:rPr>
        <w:t>ommitte</w:t>
      </w:r>
      <w:r w:rsidR="00141611" w:rsidRPr="009A1F71">
        <w:rPr>
          <w:rStyle w:val="TitleChar"/>
        </w:rPr>
        <w:t>e</w:t>
      </w:r>
    </w:p>
    <w:p w14:paraId="67812DD6" w14:textId="6870B79E" w:rsidR="00224863" w:rsidRDefault="00873C36" w:rsidP="00224863">
      <w:pPr>
        <w:pBdr>
          <w:top w:val="double" w:sz="4" w:space="1" w:color="B66113"/>
          <w:bottom w:val="double" w:sz="4" w:space="1" w:color="B66113"/>
        </w:pBdr>
        <w:jc w:val="center"/>
        <w:rPr>
          <w:lang w:val="en-AU"/>
        </w:rPr>
      </w:pPr>
      <w:r>
        <w:rPr>
          <w:b/>
          <w:color w:val="01653F"/>
          <w:sz w:val="48"/>
          <w:lang w:val="en-AU"/>
        </w:rPr>
        <w:t>June</w:t>
      </w:r>
      <w:r w:rsidR="00D84C79" w:rsidRPr="00B0157E">
        <w:rPr>
          <w:b/>
          <w:color w:val="01653F"/>
          <w:sz w:val="48"/>
          <w:lang w:val="en-AU"/>
        </w:rPr>
        <w:t xml:space="preserve"> </w:t>
      </w:r>
      <w:r w:rsidR="00262127" w:rsidRPr="00B0157E">
        <w:rPr>
          <w:b/>
          <w:color w:val="01653F"/>
          <w:sz w:val="48"/>
          <w:lang w:val="en-AU"/>
        </w:rPr>
        <w:t>201</w:t>
      </w:r>
      <w:r>
        <w:rPr>
          <w:b/>
          <w:color w:val="01653F"/>
          <w:sz w:val="48"/>
          <w:lang w:val="en-AU"/>
        </w:rPr>
        <w:t>7</w:t>
      </w:r>
    </w:p>
    <w:p w14:paraId="433F92D8" w14:textId="77777777" w:rsidR="00A50C8A" w:rsidRPr="00224863" w:rsidRDefault="00A50C8A" w:rsidP="00224863">
      <w:pPr>
        <w:rPr>
          <w:lang w:val="en-AU"/>
        </w:rPr>
        <w:sectPr w:rsidR="00A50C8A" w:rsidRPr="00224863" w:rsidSect="00151F01">
          <w:footerReference w:type="default" r:id="rId8"/>
          <w:pgSz w:w="11906" w:h="16838" w:code="9"/>
          <w:pgMar w:top="1440" w:right="1440" w:bottom="1276" w:left="1440" w:header="720" w:footer="720" w:gutter="0"/>
          <w:paperSrc w:first="2" w:other="2"/>
          <w:cols w:space="720"/>
          <w:docGrid w:linePitch="326"/>
        </w:sect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28" w:type="dxa"/>
        </w:tblCellMar>
        <w:tblLook w:val="04A0" w:firstRow="1" w:lastRow="0" w:firstColumn="1" w:lastColumn="0" w:noHBand="0" w:noVBand="1"/>
        <w:tblCaption w:val="Important Note"/>
        <w:tblDescription w:val="Single cell for stylistic purposes, contains text explaining the next steps in the MBS Review process."/>
      </w:tblPr>
      <w:tblGrid>
        <w:gridCol w:w="9016"/>
      </w:tblGrid>
      <w:tr w:rsidR="00C02D8B" w:rsidRPr="00B0157E" w14:paraId="429EB1AC" w14:textId="77777777" w:rsidTr="009A1F71">
        <w:trPr>
          <w:tblHeader/>
        </w:trPr>
        <w:tc>
          <w:tcPr>
            <w:tcW w:w="9139" w:type="dxa"/>
            <w:tcBorders>
              <w:top w:val="single" w:sz="4" w:space="0" w:color="B66113"/>
              <w:left w:val="single" w:sz="4" w:space="0" w:color="B66113"/>
              <w:bottom w:val="single" w:sz="4" w:space="0" w:color="B66113"/>
              <w:right w:val="single" w:sz="4" w:space="0" w:color="B66113"/>
            </w:tcBorders>
            <w:shd w:val="clear" w:color="auto" w:fill="auto"/>
          </w:tcPr>
          <w:p w14:paraId="796FFC47" w14:textId="77777777" w:rsidR="00C02D8B" w:rsidRPr="00B0157E" w:rsidRDefault="00141611" w:rsidP="005125E2">
            <w:pPr>
              <w:rPr>
                <w:b/>
                <w:color w:val="01653F"/>
                <w:sz w:val="32"/>
                <w:lang w:val="en-AU"/>
              </w:rPr>
            </w:pPr>
            <w:bookmarkStart w:id="1" w:name="_Toc448369494"/>
            <w:r w:rsidRPr="00B0157E">
              <w:rPr>
                <w:b/>
                <w:color w:val="01653F"/>
                <w:sz w:val="32"/>
                <w:szCs w:val="32"/>
                <w:lang w:val="en-AU"/>
              </w:rPr>
              <w:lastRenderedPageBreak/>
              <w:t>Important note</w:t>
            </w:r>
          </w:p>
          <w:p w14:paraId="582E2C79" w14:textId="77777777" w:rsidR="00C02D8B" w:rsidRPr="00B0157E" w:rsidRDefault="00141611" w:rsidP="005125E2">
            <w:pPr>
              <w:rPr>
                <w:lang w:val="en-AU"/>
              </w:rPr>
            </w:pPr>
            <w:r w:rsidRPr="00B0157E">
              <w:rPr>
                <w:lang w:val="en-AU"/>
              </w:rPr>
              <w:t xml:space="preserve">The views and recommendations in this </w:t>
            </w:r>
            <w:r w:rsidR="00831C90">
              <w:rPr>
                <w:lang w:val="en-AU"/>
              </w:rPr>
              <w:t>Review</w:t>
            </w:r>
            <w:r w:rsidRPr="00B0157E">
              <w:rPr>
                <w:lang w:val="en-AU"/>
              </w:rPr>
              <w:t xml:space="preserve"> report </w:t>
            </w:r>
            <w:r w:rsidR="00CC36C5">
              <w:rPr>
                <w:lang w:val="en-AU"/>
              </w:rPr>
              <w:t xml:space="preserve">from the </w:t>
            </w:r>
            <w:r w:rsidR="00EA367E">
              <w:rPr>
                <w:lang w:val="en-AU"/>
              </w:rPr>
              <w:t>C</w:t>
            </w:r>
            <w:r w:rsidR="00CC36C5">
              <w:rPr>
                <w:lang w:val="en-AU"/>
              </w:rPr>
              <w:t xml:space="preserve">linical </w:t>
            </w:r>
            <w:r w:rsidR="00EA367E">
              <w:rPr>
                <w:lang w:val="en-AU"/>
              </w:rPr>
              <w:t>C</w:t>
            </w:r>
            <w:r w:rsidR="00CC36C5">
              <w:rPr>
                <w:lang w:val="en-AU"/>
              </w:rPr>
              <w:t xml:space="preserve">ommittee </w:t>
            </w:r>
            <w:r w:rsidRPr="00B0157E">
              <w:rPr>
                <w:lang w:val="en-AU"/>
              </w:rPr>
              <w:t xml:space="preserve">have been released for the purpose of seeking the views of stakeholders. </w:t>
            </w:r>
          </w:p>
          <w:p w14:paraId="7E6D0162" w14:textId="77777777" w:rsidR="00C02D8B" w:rsidRPr="00B0157E" w:rsidRDefault="00141611" w:rsidP="005125E2">
            <w:pPr>
              <w:rPr>
                <w:lang w:val="en-AU"/>
              </w:rPr>
            </w:pPr>
            <w:r w:rsidRPr="00B0157E">
              <w:rPr>
                <w:lang w:val="en-AU"/>
              </w:rPr>
              <w:t xml:space="preserve">This report does not constitute the final position on these items which is subject to: </w:t>
            </w:r>
          </w:p>
          <w:p w14:paraId="36DB0E3A" w14:textId="77777777" w:rsidR="00CC36C5" w:rsidRDefault="00141611" w:rsidP="005125E2">
            <w:pPr>
              <w:pStyle w:val="01squarebullet"/>
              <w:rPr>
                <w:lang w:val="en-AU"/>
              </w:rPr>
            </w:pPr>
            <w:r w:rsidRPr="00B0157E">
              <w:rPr>
                <w:lang w:val="en-AU"/>
              </w:rPr>
              <w:t>Stakeholder feedback</w:t>
            </w:r>
            <w:r w:rsidR="00CC36C5">
              <w:rPr>
                <w:lang w:val="en-AU"/>
              </w:rPr>
              <w:t>;</w:t>
            </w:r>
          </w:p>
          <w:p w14:paraId="0CBDAA34" w14:textId="77777777" w:rsidR="00C02D8B" w:rsidRPr="00B0157E" w:rsidRDefault="00CC36C5" w:rsidP="0095709E">
            <w:pPr>
              <w:pStyle w:val="01squarebullet"/>
              <w:numPr>
                <w:ilvl w:val="0"/>
                <w:numId w:val="0"/>
              </w:numPr>
              <w:rPr>
                <w:lang w:val="en-AU"/>
              </w:rPr>
            </w:pPr>
            <w:r>
              <w:rPr>
                <w:lang w:val="en-AU"/>
              </w:rPr>
              <w:t>Then</w:t>
            </w:r>
          </w:p>
          <w:p w14:paraId="63374C47" w14:textId="77777777" w:rsidR="00CC36C5" w:rsidRDefault="00F932C1" w:rsidP="005125E2">
            <w:pPr>
              <w:pStyle w:val="01squarebullet"/>
              <w:rPr>
                <w:lang w:val="en-AU"/>
              </w:rPr>
            </w:pPr>
            <w:r>
              <w:rPr>
                <w:lang w:val="en-AU"/>
              </w:rPr>
              <w:t>Consideration by the MBS</w:t>
            </w:r>
            <w:r w:rsidR="00141611" w:rsidRPr="00B0157E">
              <w:rPr>
                <w:lang w:val="en-AU"/>
              </w:rPr>
              <w:t xml:space="preserve"> </w:t>
            </w:r>
            <w:r w:rsidR="00831C90">
              <w:rPr>
                <w:lang w:val="en-AU"/>
              </w:rPr>
              <w:t>Review</w:t>
            </w:r>
            <w:r w:rsidR="00141611" w:rsidRPr="00B0157E">
              <w:rPr>
                <w:lang w:val="en-AU"/>
              </w:rPr>
              <w:t xml:space="preserve"> </w:t>
            </w:r>
            <w:r w:rsidR="00831C90">
              <w:rPr>
                <w:lang w:val="en-AU"/>
              </w:rPr>
              <w:t>Taskforce</w:t>
            </w:r>
            <w:r w:rsidR="00CC36C5">
              <w:rPr>
                <w:lang w:val="en-AU"/>
              </w:rPr>
              <w:t>;</w:t>
            </w:r>
          </w:p>
          <w:p w14:paraId="5B763342" w14:textId="77777777" w:rsidR="00C02D8B" w:rsidRPr="00B0157E" w:rsidRDefault="00CC36C5" w:rsidP="0095709E">
            <w:pPr>
              <w:pStyle w:val="01squarebullet"/>
              <w:numPr>
                <w:ilvl w:val="0"/>
                <w:numId w:val="0"/>
              </w:numPr>
              <w:rPr>
                <w:lang w:val="en-AU"/>
              </w:rPr>
            </w:pPr>
            <w:r>
              <w:rPr>
                <w:lang w:val="en-AU"/>
              </w:rPr>
              <w:t xml:space="preserve">Then </w:t>
            </w:r>
            <w:r>
              <w:rPr>
                <w:i/>
                <w:lang w:val="en-AU"/>
              </w:rPr>
              <w:t>if endorsed</w:t>
            </w:r>
          </w:p>
          <w:p w14:paraId="6099414B" w14:textId="77777777" w:rsidR="00C02D8B" w:rsidRDefault="00141611" w:rsidP="005125E2">
            <w:pPr>
              <w:pStyle w:val="01squarebullet"/>
              <w:rPr>
                <w:lang w:val="en-AU"/>
              </w:rPr>
            </w:pPr>
            <w:r w:rsidRPr="00B0157E">
              <w:rPr>
                <w:lang w:val="en-AU"/>
              </w:rPr>
              <w:t xml:space="preserve">Consideration by the </w:t>
            </w:r>
            <w:r w:rsidR="00F932C1">
              <w:rPr>
                <w:lang w:val="en-AU"/>
              </w:rPr>
              <w:t>Minister for Health</w:t>
            </w:r>
            <w:r w:rsidR="00CC36C5">
              <w:rPr>
                <w:lang w:val="en-AU"/>
              </w:rPr>
              <w:t>;</w:t>
            </w:r>
            <w:r w:rsidR="00F932C1">
              <w:rPr>
                <w:lang w:val="en-AU"/>
              </w:rPr>
              <w:t xml:space="preserve"> and</w:t>
            </w:r>
            <w:r w:rsidRPr="00B0157E">
              <w:rPr>
                <w:lang w:val="en-AU"/>
              </w:rPr>
              <w:t xml:space="preserve"> </w:t>
            </w:r>
          </w:p>
          <w:p w14:paraId="726ABDAC" w14:textId="77777777" w:rsidR="00CC36C5" w:rsidRPr="00B0157E" w:rsidRDefault="00CC36C5" w:rsidP="005125E2">
            <w:pPr>
              <w:pStyle w:val="01squarebullet"/>
              <w:rPr>
                <w:lang w:val="en-AU"/>
              </w:rPr>
            </w:pPr>
            <w:r>
              <w:rPr>
                <w:lang w:val="en-AU"/>
              </w:rPr>
              <w:t>Government.</w:t>
            </w:r>
          </w:p>
          <w:p w14:paraId="03FB711D" w14:textId="77777777" w:rsidR="00C02D8B" w:rsidRPr="00B0157E" w:rsidRDefault="00141611" w:rsidP="005125E2">
            <w:pPr>
              <w:rPr>
                <w:u w:val="single"/>
                <w:lang w:val="en-AU"/>
              </w:rPr>
            </w:pPr>
            <w:r w:rsidRPr="00B0157E">
              <w:rPr>
                <w:bCs/>
                <w:lang w:val="en-AU"/>
              </w:rPr>
              <w:t>Stakeholders should provide comment on the recommendations via the</w:t>
            </w:r>
            <w:r w:rsidRPr="00B0157E">
              <w:rPr>
                <w:b/>
                <w:bCs/>
                <w:lang w:val="en-AU"/>
              </w:rPr>
              <w:t xml:space="preserve"> </w:t>
            </w:r>
            <w:r w:rsidR="00CC36C5" w:rsidRPr="00873079">
              <w:rPr>
                <w:rFonts w:eastAsiaTheme="majorEastAsia"/>
              </w:rPr>
              <w:t>online consultation tool</w:t>
            </w:r>
            <w:r w:rsidR="00C02D8B" w:rsidRPr="00224863">
              <w:rPr>
                <w:lang w:val="en-AU"/>
              </w:rPr>
              <w:t>.</w:t>
            </w:r>
          </w:p>
          <w:p w14:paraId="602F224D" w14:textId="77777777" w:rsidR="00C02D8B" w:rsidRPr="00B0157E" w:rsidRDefault="00141611" w:rsidP="005125E2">
            <w:pPr>
              <w:rPr>
                <w:b/>
                <w:color w:val="01653F"/>
                <w:sz w:val="32"/>
                <w:lang w:val="en-AU"/>
              </w:rPr>
            </w:pPr>
            <w:r w:rsidRPr="00B0157E">
              <w:rPr>
                <w:b/>
                <w:color w:val="01653F"/>
                <w:sz w:val="32"/>
                <w:szCs w:val="32"/>
                <w:lang w:val="en-AU"/>
              </w:rPr>
              <w:t>Confidentiality of comments</w:t>
            </w:r>
            <w:r w:rsidR="00C02D8B" w:rsidRPr="00B0157E">
              <w:rPr>
                <w:b/>
                <w:color w:val="01653F"/>
                <w:sz w:val="32"/>
                <w:szCs w:val="32"/>
                <w:lang w:val="en-AU"/>
              </w:rPr>
              <w:t xml:space="preserve">: </w:t>
            </w:r>
          </w:p>
          <w:p w14:paraId="0B43C9BB" w14:textId="77777777" w:rsidR="00C02D8B" w:rsidRPr="00B0157E" w:rsidRDefault="00141611" w:rsidP="00684FB4">
            <w:pPr>
              <w:rPr>
                <w:lang w:val="en-AU"/>
              </w:rPr>
            </w:pPr>
            <w:r w:rsidRPr="00B0157E">
              <w:rPr>
                <w:lang w:val="en-AU"/>
              </w:rPr>
              <w:t xml:space="preserve">If you want your </w:t>
            </w:r>
            <w:r w:rsidR="00CC36C5">
              <w:rPr>
                <w:lang w:val="en-AU"/>
              </w:rPr>
              <w:t>feedback</w:t>
            </w:r>
            <w:r w:rsidR="00CC36C5" w:rsidRPr="00B0157E">
              <w:rPr>
                <w:lang w:val="en-AU"/>
              </w:rPr>
              <w:t xml:space="preserve"> </w:t>
            </w:r>
            <w:r w:rsidRPr="00B0157E">
              <w:rPr>
                <w:lang w:val="en-AU"/>
              </w:rPr>
              <w:t>to remain confidential</w:t>
            </w:r>
            <w:r w:rsidR="005A5893" w:rsidRPr="00B0157E">
              <w:rPr>
                <w:lang w:val="en-AU"/>
              </w:rPr>
              <w:t>,</w:t>
            </w:r>
            <w:r w:rsidRPr="00B0157E">
              <w:rPr>
                <w:lang w:val="en-AU"/>
              </w:rPr>
              <w:t xml:space="preserve"> please mark it as such. It is important to be aware that confidential </w:t>
            </w:r>
            <w:r w:rsidR="00CC36C5">
              <w:rPr>
                <w:lang w:val="en-AU"/>
              </w:rPr>
              <w:t>feedback</w:t>
            </w:r>
            <w:r w:rsidR="00CC36C5" w:rsidRPr="00B0157E">
              <w:rPr>
                <w:lang w:val="en-AU"/>
              </w:rPr>
              <w:t xml:space="preserve"> </w:t>
            </w:r>
            <w:r w:rsidRPr="00B0157E">
              <w:rPr>
                <w:lang w:val="en-AU"/>
              </w:rPr>
              <w:t>may still be subject to access under freedom of information law.</w:t>
            </w:r>
          </w:p>
        </w:tc>
      </w:tr>
    </w:tbl>
    <w:p w14:paraId="5D12E9CD" w14:textId="77777777" w:rsidR="0095709E" w:rsidRDefault="0095709E" w:rsidP="00873079">
      <w:pPr>
        <w:rPr>
          <w:lang w:val="en-AU"/>
        </w:rPr>
        <w:sectPr w:rsidR="0095709E" w:rsidSect="0095709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76" w:left="1440" w:header="720" w:footer="720" w:gutter="0"/>
          <w:paperSrc w:first="2" w:other="2"/>
          <w:pgNumType w:fmt="lowerRoman"/>
          <w:cols w:space="720"/>
          <w:docGrid w:linePitch="326"/>
        </w:sectPr>
      </w:pPr>
    </w:p>
    <w:p w14:paraId="39A040E7" w14:textId="77777777" w:rsidR="00DF2D9E" w:rsidRPr="00B0157E" w:rsidRDefault="00C56DF9" w:rsidP="00C33ED9">
      <w:pPr>
        <w:rPr>
          <w:b/>
          <w:color w:val="01653F"/>
          <w:sz w:val="32"/>
          <w:lang w:val="en-AU"/>
        </w:rPr>
      </w:pPr>
      <w:r w:rsidRPr="00B0157E">
        <w:rPr>
          <w:b/>
          <w:color w:val="01653F"/>
          <w:sz w:val="32"/>
          <w:lang w:val="en-AU"/>
        </w:rPr>
        <w:lastRenderedPageBreak/>
        <w:t>Table of Contents</w:t>
      </w:r>
      <w:bookmarkEnd w:id="1"/>
    </w:p>
    <w:p w14:paraId="53E6B92E" w14:textId="77777777" w:rsidR="00076093" w:rsidRDefault="00076093">
      <w:pPr>
        <w:pStyle w:val="TOC1"/>
        <w:rPr>
          <w:rFonts w:eastAsiaTheme="minorEastAsia" w:cstheme="minorBidi"/>
          <w:b w:val="0"/>
          <w:bCs w:val="0"/>
          <w:noProof/>
          <w:sz w:val="22"/>
          <w:szCs w:val="22"/>
          <w:lang w:val="en-AU"/>
        </w:rPr>
      </w:pPr>
      <w:r>
        <w:rPr>
          <w:b w:val="0"/>
          <w:bCs w:val="0"/>
          <w:lang w:val="en-AU"/>
        </w:rPr>
        <w:fldChar w:fldCharType="begin"/>
      </w:r>
      <w:r>
        <w:rPr>
          <w:b w:val="0"/>
          <w:bCs w:val="0"/>
          <w:lang w:val="en-AU"/>
        </w:rPr>
        <w:instrText xml:space="preserve"> TOC \o "1-2" \h \z \u </w:instrText>
      </w:r>
      <w:r>
        <w:rPr>
          <w:b w:val="0"/>
          <w:bCs w:val="0"/>
          <w:lang w:val="en-AU"/>
        </w:rPr>
        <w:fldChar w:fldCharType="separate"/>
      </w:r>
      <w:hyperlink w:anchor="_Toc465871855" w:history="1">
        <w:r w:rsidRPr="00C5169E">
          <w:rPr>
            <w:rStyle w:val="Hyperlink"/>
            <w:noProof/>
          </w:rPr>
          <w:t>1.</w:t>
        </w:r>
        <w:r>
          <w:rPr>
            <w:rFonts w:eastAsiaTheme="minorEastAsia" w:cstheme="minorBidi"/>
            <w:b w:val="0"/>
            <w:bCs w:val="0"/>
            <w:noProof/>
            <w:sz w:val="22"/>
            <w:szCs w:val="22"/>
            <w:lang w:val="en-AU"/>
          </w:rPr>
          <w:tab/>
        </w:r>
        <w:r w:rsidRPr="00C5169E">
          <w:rPr>
            <w:rStyle w:val="Hyperlink"/>
            <w:noProof/>
            <w:lang w:val="en-AU"/>
          </w:rPr>
          <w:t>Executive summary</w:t>
        </w:r>
        <w:r>
          <w:rPr>
            <w:noProof/>
            <w:webHidden/>
          </w:rPr>
          <w:tab/>
        </w:r>
        <w:r>
          <w:rPr>
            <w:noProof/>
            <w:webHidden/>
          </w:rPr>
          <w:fldChar w:fldCharType="begin"/>
        </w:r>
        <w:r>
          <w:rPr>
            <w:noProof/>
            <w:webHidden/>
          </w:rPr>
          <w:instrText xml:space="preserve"> PAGEREF _Toc465871855 \h </w:instrText>
        </w:r>
        <w:r>
          <w:rPr>
            <w:noProof/>
            <w:webHidden/>
          </w:rPr>
        </w:r>
        <w:r>
          <w:rPr>
            <w:noProof/>
            <w:webHidden/>
          </w:rPr>
          <w:fldChar w:fldCharType="separate"/>
        </w:r>
        <w:r>
          <w:rPr>
            <w:noProof/>
            <w:webHidden/>
          </w:rPr>
          <w:t>1</w:t>
        </w:r>
        <w:r>
          <w:rPr>
            <w:noProof/>
            <w:webHidden/>
          </w:rPr>
          <w:fldChar w:fldCharType="end"/>
        </w:r>
      </w:hyperlink>
    </w:p>
    <w:p w14:paraId="555AFCB1" w14:textId="77777777" w:rsidR="00076093" w:rsidRDefault="005A5646">
      <w:pPr>
        <w:pStyle w:val="TOC2"/>
        <w:rPr>
          <w:rFonts w:eastAsiaTheme="minorEastAsia" w:cstheme="minorBidi"/>
          <w:i w:val="0"/>
          <w:iCs w:val="0"/>
          <w:noProof/>
          <w:sz w:val="22"/>
          <w:szCs w:val="22"/>
          <w:lang w:val="en-AU"/>
        </w:rPr>
      </w:pPr>
      <w:hyperlink w:anchor="_Toc465871856" w:history="1">
        <w:r w:rsidR="00076093" w:rsidRPr="00C5169E">
          <w:rPr>
            <w:rStyle w:val="Hyperlink"/>
            <w:noProof/>
            <w:lang w:val="en-AU"/>
          </w:rPr>
          <w:t>1.1</w:t>
        </w:r>
        <w:r w:rsidR="00076093">
          <w:rPr>
            <w:rFonts w:eastAsiaTheme="minorEastAsia" w:cstheme="minorBidi"/>
            <w:i w:val="0"/>
            <w:iCs w:val="0"/>
            <w:noProof/>
            <w:sz w:val="22"/>
            <w:szCs w:val="22"/>
            <w:lang w:val="en-AU"/>
          </w:rPr>
          <w:tab/>
        </w:r>
        <w:r w:rsidR="00076093" w:rsidRPr="00C5169E">
          <w:rPr>
            <w:rStyle w:val="Hyperlink"/>
            <w:noProof/>
            <w:lang w:val="en-AU"/>
          </w:rPr>
          <w:t>Areas of responsibility of the Dermatology, Allergy and Immunology Clinical Committee</w:t>
        </w:r>
        <w:r w:rsidR="00076093">
          <w:rPr>
            <w:noProof/>
            <w:webHidden/>
          </w:rPr>
          <w:tab/>
        </w:r>
        <w:r w:rsidR="00076093">
          <w:rPr>
            <w:noProof/>
            <w:webHidden/>
          </w:rPr>
          <w:fldChar w:fldCharType="begin"/>
        </w:r>
        <w:r w:rsidR="00076093">
          <w:rPr>
            <w:noProof/>
            <w:webHidden/>
          </w:rPr>
          <w:instrText xml:space="preserve"> PAGEREF _Toc465871856 \h </w:instrText>
        </w:r>
        <w:r w:rsidR="00076093">
          <w:rPr>
            <w:noProof/>
            <w:webHidden/>
          </w:rPr>
        </w:r>
        <w:r w:rsidR="00076093">
          <w:rPr>
            <w:noProof/>
            <w:webHidden/>
          </w:rPr>
          <w:fldChar w:fldCharType="separate"/>
        </w:r>
        <w:r w:rsidR="00076093">
          <w:rPr>
            <w:noProof/>
            <w:webHidden/>
          </w:rPr>
          <w:t>1</w:t>
        </w:r>
        <w:r w:rsidR="00076093">
          <w:rPr>
            <w:noProof/>
            <w:webHidden/>
          </w:rPr>
          <w:fldChar w:fldCharType="end"/>
        </w:r>
      </w:hyperlink>
    </w:p>
    <w:p w14:paraId="1E9CEA1E" w14:textId="77777777" w:rsidR="00076093" w:rsidRDefault="005A5646">
      <w:pPr>
        <w:pStyle w:val="TOC2"/>
        <w:rPr>
          <w:rFonts w:eastAsiaTheme="minorEastAsia" w:cstheme="minorBidi"/>
          <w:i w:val="0"/>
          <w:iCs w:val="0"/>
          <w:noProof/>
          <w:sz w:val="22"/>
          <w:szCs w:val="22"/>
          <w:lang w:val="en-AU"/>
        </w:rPr>
      </w:pPr>
      <w:hyperlink w:anchor="_Toc465871857" w:history="1">
        <w:r w:rsidR="00076093" w:rsidRPr="00C5169E">
          <w:rPr>
            <w:rStyle w:val="Hyperlink"/>
            <w:noProof/>
            <w:lang w:val="en-AU"/>
          </w:rPr>
          <w:t>1.2</w:t>
        </w:r>
        <w:r w:rsidR="00076093">
          <w:rPr>
            <w:rFonts w:eastAsiaTheme="minorEastAsia" w:cstheme="minorBidi"/>
            <w:i w:val="0"/>
            <w:iCs w:val="0"/>
            <w:noProof/>
            <w:sz w:val="22"/>
            <w:szCs w:val="22"/>
            <w:lang w:val="en-AU"/>
          </w:rPr>
          <w:tab/>
        </w:r>
        <w:r w:rsidR="00076093" w:rsidRPr="00C5169E">
          <w:rPr>
            <w:rStyle w:val="Hyperlink"/>
            <w:noProof/>
            <w:lang w:val="en-AU"/>
          </w:rPr>
          <w:t>Key recommendations</w:t>
        </w:r>
        <w:r w:rsidR="00076093">
          <w:rPr>
            <w:noProof/>
            <w:webHidden/>
          </w:rPr>
          <w:tab/>
        </w:r>
        <w:r w:rsidR="00076093">
          <w:rPr>
            <w:noProof/>
            <w:webHidden/>
          </w:rPr>
          <w:fldChar w:fldCharType="begin"/>
        </w:r>
        <w:r w:rsidR="00076093">
          <w:rPr>
            <w:noProof/>
            <w:webHidden/>
          </w:rPr>
          <w:instrText xml:space="preserve"> PAGEREF _Toc465871857 \h </w:instrText>
        </w:r>
        <w:r w:rsidR="00076093">
          <w:rPr>
            <w:noProof/>
            <w:webHidden/>
          </w:rPr>
        </w:r>
        <w:r w:rsidR="00076093">
          <w:rPr>
            <w:noProof/>
            <w:webHidden/>
          </w:rPr>
          <w:fldChar w:fldCharType="separate"/>
        </w:r>
        <w:r w:rsidR="00076093">
          <w:rPr>
            <w:noProof/>
            <w:webHidden/>
          </w:rPr>
          <w:t>2</w:t>
        </w:r>
        <w:r w:rsidR="00076093">
          <w:rPr>
            <w:noProof/>
            <w:webHidden/>
          </w:rPr>
          <w:fldChar w:fldCharType="end"/>
        </w:r>
      </w:hyperlink>
    </w:p>
    <w:p w14:paraId="04CE563F" w14:textId="77777777" w:rsidR="00076093" w:rsidRDefault="005A5646">
      <w:pPr>
        <w:pStyle w:val="TOC2"/>
        <w:rPr>
          <w:rFonts w:eastAsiaTheme="minorEastAsia" w:cstheme="minorBidi"/>
          <w:i w:val="0"/>
          <w:iCs w:val="0"/>
          <w:noProof/>
          <w:sz w:val="22"/>
          <w:szCs w:val="22"/>
          <w:lang w:val="en-AU"/>
        </w:rPr>
      </w:pPr>
      <w:hyperlink w:anchor="_Toc465871858" w:history="1">
        <w:r w:rsidR="00076093" w:rsidRPr="00C5169E">
          <w:rPr>
            <w:rStyle w:val="Hyperlink"/>
            <w:noProof/>
            <w:lang w:val="en-AU"/>
          </w:rPr>
          <w:t>1.3</w:t>
        </w:r>
        <w:r w:rsidR="00076093">
          <w:rPr>
            <w:rFonts w:eastAsiaTheme="minorEastAsia" w:cstheme="minorBidi"/>
            <w:i w:val="0"/>
            <w:iCs w:val="0"/>
            <w:noProof/>
            <w:sz w:val="22"/>
            <w:szCs w:val="22"/>
            <w:lang w:val="en-AU"/>
          </w:rPr>
          <w:tab/>
        </w:r>
        <w:r w:rsidR="00076093" w:rsidRPr="00C5169E">
          <w:rPr>
            <w:rStyle w:val="Hyperlink"/>
            <w:noProof/>
            <w:lang w:val="en-AU"/>
          </w:rPr>
          <w:t>Consumer engagement</w:t>
        </w:r>
        <w:r w:rsidR="00076093">
          <w:rPr>
            <w:noProof/>
            <w:webHidden/>
          </w:rPr>
          <w:tab/>
        </w:r>
        <w:r w:rsidR="00076093">
          <w:rPr>
            <w:noProof/>
            <w:webHidden/>
          </w:rPr>
          <w:fldChar w:fldCharType="begin"/>
        </w:r>
        <w:r w:rsidR="00076093">
          <w:rPr>
            <w:noProof/>
            <w:webHidden/>
          </w:rPr>
          <w:instrText xml:space="preserve"> PAGEREF _Toc465871858 \h </w:instrText>
        </w:r>
        <w:r w:rsidR="00076093">
          <w:rPr>
            <w:noProof/>
            <w:webHidden/>
          </w:rPr>
        </w:r>
        <w:r w:rsidR="00076093">
          <w:rPr>
            <w:noProof/>
            <w:webHidden/>
          </w:rPr>
          <w:fldChar w:fldCharType="separate"/>
        </w:r>
        <w:r w:rsidR="00076093">
          <w:rPr>
            <w:noProof/>
            <w:webHidden/>
          </w:rPr>
          <w:t>3</w:t>
        </w:r>
        <w:r w:rsidR="00076093">
          <w:rPr>
            <w:noProof/>
            <w:webHidden/>
          </w:rPr>
          <w:fldChar w:fldCharType="end"/>
        </w:r>
      </w:hyperlink>
    </w:p>
    <w:p w14:paraId="7ACF5E17" w14:textId="77777777" w:rsidR="00076093" w:rsidRDefault="005A5646">
      <w:pPr>
        <w:pStyle w:val="TOC1"/>
        <w:rPr>
          <w:rFonts w:eastAsiaTheme="minorEastAsia" w:cstheme="minorBidi"/>
          <w:b w:val="0"/>
          <w:bCs w:val="0"/>
          <w:noProof/>
          <w:sz w:val="22"/>
          <w:szCs w:val="22"/>
          <w:lang w:val="en-AU"/>
        </w:rPr>
      </w:pPr>
      <w:hyperlink w:anchor="_Toc465871859" w:history="1">
        <w:r w:rsidR="00076093" w:rsidRPr="00C5169E">
          <w:rPr>
            <w:rStyle w:val="Hyperlink"/>
            <w:noProof/>
            <w:lang w:val="en-AU"/>
          </w:rPr>
          <w:t>2.</w:t>
        </w:r>
        <w:r w:rsidR="00076093">
          <w:rPr>
            <w:rFonts w:eastAsiaTheme="minorEastAsia" w:cstheme="minorBidi"/>
            <w:b w:val="0"/>
            <w:bCs w:val="0"/>
            <w:noProof/>
            <w:sz w:val="22"/>
            <w:szCs w:val="22"/>
            <w:lang w:val="en-AU"/>
          </w:rPr>
          <w:tab/>
        </w:r>
        <w:r w:rsidR="00076093" w:rsidRPr="00C5169E">
          <w:rPr>
            <w:rStyle w:val="Hyperlink"/>
            <w:noProof/>
            <w:lang w:val="en-AU"/>
          </w:rPr>
          <w:t>About the Medicare Benefits Schedule (MBS) Review</w:t>
        </w:r>
        <w:r w:rsidR="00076093">
          <w:rPr>
            <w:noProof/>
            <w:webHidden/>
          </w:rPr>
          <w:tab/>
        </w:r>
        <w:r w:rsidR="00076093">
          <w:rPr>
            <w:noProof/>
            <w:webHidden/>
          </w:rPr>
          <w:fldChar w:fldCharType="begin"/>
        </w:r>
        <w:r w:rsidR="00076093">
          <w:rPr>
            <w:noProof/>
            <w:webHidden/>
          </w:rPr>
          <w:instrText xml:space="preserve"> PAGEREF _Toc465871859 \h </w:instrText>
        </w:r>
        <w:r w:rsidR="00076093">
          <w:rPr>
            <w:noProof/>
            <w:webHidden/>
          </w:rPr>
        </w:r>
        <w:r w:rsidR="00076093">
          <w:rPr>
            <w:noProof/>
            <w:webHidden/>
          </w:rPr>
          <w:fldChar w:fldCharType="separate"/>
        </w:r>
        <w:r w:rsidR="00076093">
          <w:rPr>
            <w:noProof/>
            <w:webHidden/>
          </w:rPr>
          <w:t>5</w:t>
        </w:r>
        <w:r w:rsidR="00076093">
          <w:rPr>
            <w:noProof/>
            <w:webHidden/>
          </w:rPr>
          <w:fldChar w:fldCharType="end"/>
        </w:r>
      </w:hyperlink>
    </w:p>
    <w:p w14:paraId="005982D5" w14:textId="77777777" w:rsidR="00076093" w:rsidRDefault="005A5646">
      <w:pPr>
        <w:pStyle w:val="TOC2"/>
        <w:rPr>
          <w:rFonts w:eastAsiaTheme="minorEastAsia" w:cstheme="minorBidi"/>
          <w:i w:val="0"/>
          <w:iCs w:val="0"/>
          <w:noProof/>
          <w:sz w:val="22"/>
          <w:szCs w:val="22"/>
          <w:lang w:val="en-AU"/>
        </w:rPr>
      </w:pPr>
      <w:hyperlink w:anchor="_Toc465871860" w:history="1">
        <w:r w:rsidR="00076093" w:rsidRPr="00C5169E">
          <w:rPr>
            <w:rStyle w:val="Hyperlink"/>
            <w:noProof/>
            <w:lang w:val="en-AU"/>
          </w:rPr>
          <w:t>2.1</w:t>
        </w:r>
        <w:r w:rsidR="00076093">
          <w:rPr>
            <w:rFonts w:eastAsiaTheme="minorEastAsia" w:cstheme="minorBidi"/>
            <w:i w:val="0"/>
            <w:iCs w:val="0"/>
            <w:noProof/>
            <w:sz w:val="22"/>
            <w:szCs w:val="22"/>
            <w:lang w:val="en-AU"/>
          </w:rPr>
          <w:tab/>
        </w:r>
        <w:r w:rsidR="00076093" w:rsidRPr="00C5169E">
          <w:rPr>
            <w:rStyle w:val="Hyperlink"/>
            <w:noProof/>
            <w:lang w:val="en-AU"/>
          </w:rPr>
          <w:t>Medicare and the MBS</w:t>
        </w:r>
        <w:r w:rsidR="00076093">
          <w:rPr>
            <w:noProof/>
            <w:webHidden/>
          </w:rPr>
          <w:tab/>
        </w:r>
        <w:r w:rsidR="00076093">
          <w:rPr>
            <w:noProof/>
            <w:webHidden/>
          </w:rPr>
          <w:fldChar w:fldCharType="begin"/>
        </w:r>
        <w:r w:rsidR="00076093">
          <w:rPr>
            <w:noProof/>
            <w:webHidden/>
          </w:rPr>
          <w:instrText xml:space="preserve"> PAGEREF _Toc465871860 \h </w:instrText>
        </w:r>
        <w:r w:rsidR="00076093">
          <w:rPr>
            <w:noProof/>
            <w:webHidden/>
          </w:rPr>
        </w:r>
        <w:r w:rsidR="00076093">
          <w:rPr>
            <w:noProof/>
            <w:webHidden/>
          </w:rPr>
          <w:fldChar w:fldCharType="separate"/>
        </w:r>
        <w:r w:rsidR="00076093">
          <w:rPr>
            <w:noProof/>
            <w:webHidden/>
          </w:rPr>
          <w:t>5</w:t>
        </w:r>
        <w:r w:rsidR="00076093">
          <w:rPr>
            <w:noProof/>
            <w:webHidden/>
          </w:rPr>
          <w:fldChar w:fldCharType="end"/>
        </w:r>
      </w:hyperlink>
    </w:p>
    <w:p w14:paraId="04FCDD34" w14:textId="77777777" w:rsidR="00076093" w:rsidRDefault="005A5646">
      <w:pPr>
        <w:pStyle w:val="TOC2"/>
        <w:rPr>
          <w:rFonts w:eastAsiaTheme="minorEastAsia" w:cstheme="minorBidi"/>
          <w:i w:val="0"/>
          <w:iCs w:val="0"/>
          <w:noProof/>
          <w:sz w:val="22"/>
          <w:szCs w:val="22"/>
          <w:lang w:val="en-AU"/>
        </w:rPr>
      </w:pPr>
      <w:hyperlink w:anchor="_Toc465871861" w:history="1">
        <w:r w:rsidR="00076093" w:rsidRPr="00C5169E">
          <w:rPr>
            <w:rStyle w:val="Hyperlink"/>
            <w:noProof/>
            <w:lang w:val="en-AU"/>
          </w:rPr>
          <w:t>2.2</w:t>
        </w:r>
        <w:r w:rsidR="00076093">
          <w:rPr>
            <w:rFonts w:eastAsiaTheme="minorEastAsia" w:cstheme="minorBidi"/>
            <w:i w:val="0"/>
            <w:iCs w:val="0"/>
            <w:noProof/>
            <w:sz w:val="22"/>
            <w:szCs w:val="22"/>
            <w:lang w:val="en-AU"/>
          </w:rPr>
          <w:tab/>
        </w:r>
        <w:r w:rsidR="00076093" w:rsidRPr="00C5169E">
          <w:rPr>
            <w:rStyle w:val="Hyperlink"/>
            <w:noProof/>
            <w:lang w:val="en-AU"/>
          </w:rPr>
          <w:t>What is the MBS Review Taskforce?</w:t>
        </w:r>
        <w:r w:rsidR="00076093">
          <w:rPr>
            <w:noProof/>
            <w:webHidden/>
          </w:rPr>
          <w:tab/>
        </w:r>
        <w:r w:rsidR="00076093">
          <w:rPr>
            <w:noProof/>
            <w:webHidden/>
          </w:rPr>
          <w:fldChar w:fldCharType="begin"/>
        </w:r>
        <w:r w:rsidR="00076093">
          <w:rPr>
            <w:noProof/>
            <w:webHidden/>
          </w:rPr>
          <w:instrText xml:space="preserve"> PAGEREF _Toc465871861 \h </w:instrText>
        </w:r>
        <w:r w:rsidR="00076093">
          <w:rPr>
            <w:noProof/>
            <w:webHidden/>
          </w:rPr>
        </w:r>
        <w:r w:rsidR="00076093">
          <w:rPr>
            <w:noProof/>
            <w:webHidden/>
          </w:rPr>
          <w:fldChar w:fldCharType="separate"/>
        </w:r>
        <w:r w:rsidR="00076093">
          <w:rPr>
            <w:noProof/>
            <w:webHidden/>
          </w:rPr>
          <w:t>5</w:t>
        </w:r>
        <w:r w:rsidR="00076093">
          <w:rPr>
            <w:noProof/>
            <w:webHidden/>
          </w:rPr>
          <w:fldChar w:fldCharType="end"/>
        </w:r>
      </w:hyperlink>
    </w:p>
    <w:p w14:paraId="73BED3BA" w14:textId="77777777" w:rsidR="00076093" w:rsidRDefault="005A5646">
      <w:pPr>
        <w:pStyle w:val="TOC2"/>
        <w:rPr>
          <w:rFonts w:eastAsiaTheme="minorEastAsia" w:cstheme="minorBidi"/>
          <w:i w:val="0"/>
          <w:iCs w:val="0"/>
          <w:noProof/>
          <w:sz w:val="22"/>
          <w:szCs w:val="22"/>
          <w:lang w:val="en-AU"/>
        </w:rPr>
      </w:pPr>
      <w:hyperlink w:anchor="_Toc465871862" w:history="1">
        <w:r w:rsidR="00076093" w:rsidRPr="00C5169E">
          <w:rPr>
            <w:rStyle w:val="Hyperlink"/>
            <w:noProof/>
            <w:lang w:val="en-AU"/>
          </w:rPr>
          <w:t>2.3</w:t>
        </w:r>
        <w:r w:rsidR="00076093">
          <w:rPr>
            <w:rFonts w:eastAsiaTheme="minorEastAsia" w:cstheme="minorBidi"/>
            <w:i w:val="0"/>
            <w:iCs w:val="0"/>
            <w:noProof/>
            <w:sz w:val="22"/>
            <w:szCs w:val="22"/>
            <w:lang w:val="en-AU"/>
          </w:rPr>
          <w:tab/>
        </w:r>
        <w:r w:rsidR="00076093" w:rsidRPr="00C5169E">
          <w:rPr>
            <w:rStyle w:val="Hyperlink"/>
            <w:noProof/>
            <w:lang w:val="en-AU"/>
          </w:rPr>
          <w:t>The Taskforce’s approach</w:t>
        </w:r>
        <w:r w:rsidR="00076093">
          <w:rPr>
            <w:noProof/>
            <w:webHidden/>
          </w:rPr>
          <w:tab/>
        </w:r>
        <w:r w:rsidR="00076093">
          <w:rPr>
            <w:noProof/>
            <w:webHidden/>
          </w:rPr>
          <w:fldChar w:fldCharType="begin"/>
        </w:r>
        <w:r w:rsidR="00076093">
          <w:rPr>
            <w:noProof/>
            <w:webHidden/>
          </w:rPr>
          <w:instrText xml:space="preserve"> PAGEREF _Toc465871862 \h </w:instrText>
        </w:r>
        <w:r w:rsidR="00076093">
          <w:rPr>
            <w:noProof/>
            <w:webHidden/>
          </w:rPr>
        </w:r>
        <w:r w:rsidR="00076093">
          <w:rPr>
            <w:noProof/>
            <w:webHidden/>
          </w:rPr>
          <w:fldChar w:fldCharType="separate"/>
        </w:r>
        <w:r w:rsidR="00076093">
          <w:rPr>
            <w:noProof/>
            <w:webHidden/>
          </w:rPr>
          <w:t>6</w:t>
        </w:r>
        <w:r w:rsidR="00076093">
          <w:rPr>
            <w:noProof/>
            <w:webHidden/>
          </w:rPr>
          <w:fldChar w:fldCharType="end"/>
        </w:r>
      </w:hyperlink>
    </w:p>
    <w:p w14:paraId="7ACD8BDA" w14:textId="77777777" w:rsidR="00076093" w:rsidRDefault="005A5646">
      <w:pPr>
        <w:pStyle w:val="TOC1"/>
        <w:rPr>
          <w:rFonts w:eastAsiaTheme="minorEastAsia" w:cstheme="minorBidi"/>
          <w:b w:val="0"/>
          <w:bCs w:val="0"/>
          <w:noProof/>
          <w:sz w:val="22"/>
          <w:szCs w:val="22"/>
          <w:lang w:val="en-AU"/>
        </w:rPr>
      </w:pPr>
      <w:hyperlink w:anchor="_Toc465871863" w:history="1">
        <w:r w:rsidR="00076093" w:rsidRPr="00C5169E">
          <w:rPr>
            <w:rStyle w:val="Hyperlink"/>
            <w:noProof/>
            <w:lang w:val="en-AU"/>
          </w:rPr>
          <w:t>3.</w:t>
        </w:r>
        <w:r w:rsidR="00076093">
          <w:rPr>
            <w:rFonts w:eastAsiaTheme="minorEastAsia" w:cstheme="minorBidi"/>
            <w:b w:val="0"/>
            <w:bCs w:val="0"/>
            <w:noProof/>
            <w:sz w:val="22"/>
            <w:szCs w:val="22"/>
            <w:lang w:val="en-AU"/>
          </w:rPr>
          <w:tab/>
        </w:r>
        <w:r w:rsidR="00076093" w:rsidRPr="00C5169E">
          <w:rPr>
            <w:rStyle w:val="Hyperlink"/>
            <w:noProof/>
            <w:lang w:val="en-AU"/>
          </w:rPr>
          <w:t>About the Dermatology, Allergy and Immunology Clinical Committee</w:t>
        </w:r>
        <w:r w:rsidR="00076093">
          <w:rPr>
            <w:noProof/>
            <w:webHidden/>
          </w:rPr>
          <w:tab/>
        </w:r>
        <w:r w:rsidR="00076093">
          <w:rPr>
            <w:noProof/>
            <w:webHidden/>
          </w:rPr>
          <w:fldChar w:fldCharType="begin"/>
        </w:r>
        <w:r w:rsidR="00076093">
          <w:rPr>
            <w:noProof/>
            <w:webHidden/>
          </w:rPr>
          <w:instrText xml:space="preserve"> PAGEREF _Toc465871863 \h </w:instrText>
        </w:r>
        <w:r w:rsidR="00076093">
          <w:rPr>
            <w:noProof/>
            <w:webHidden/>
          </w:rPr>
        </w:r>
        <w:r w:rsidR="00076093">
          <w:rPr>
            <w:noProof/>
            <w:webHidden/>
          </w:rPr>
          <w:fldChar w:fldCharType="separate"/>
        </w:r>
        <w:r w:rsidR="00076093">
          <w:rPr>
            <w:noProof/>
            <w:webHidden/>
          </w:rPr>
          <w:t>7</w:t>
        </w:r>
        <w:r w:rsidR="00076093">
          <w:rPr>
            <w:noProof/>
            <w:webHidden/>
          </w:rPr>
          <w:fldChar w:fldCharType="end"/>
        </w:r>
      </w:hyperlink>
    </w:p>
    <w:p w14:paraId="3A7B18DD" w14:textId="77777777" w:rsidR="00076093" w:rsidRDefault="005A5646">
      <w:pPr>
        <w:pStyle w:val="TOC2"/>
        <w:rPr>
          <w:rFonts w:eastAsiaTheme="minorEastAsia" w:cstheme="minorBidi"/>
          <w:i w:val="0"/>
          <w:iCs w:val="0"/>
          <w:noProof/>
          <w:sz w:val="22"/>
          <w:szCs w:val="22"/>
          <w:lang w:val="en-AU"/>
        </w:rPr>
      </w:pPr>
      <w:hyperlink w:anchor="_Toc465871864" w:history="1">
        <w:r w:rsidR="00076093" w:rsidRPr="00C5169E">
          <w:rPr>
            <w:rStyle w:val="Hyperlink"/>
            <w:noProof/>
            <w:lang w:val="en-AU"/>
          </w:rPr>
          <w:t>3.1</w:t>
        </w:r>
        <w:r w:rsidR="00076093">
          <w:rPr>
            <w:rFonts w:eastAsiaTheme="minorEastAsia" w:cstheme="minorBidi"/>
            <w:i w:val="0"/>
            <w:iCs w:val="0"/>
            <w:noProof/>
            <w:sz w:val="22"/>
            <w:szCs w:val="22"/>
            <w:lang w:val="en-AU"/>
          </w:rPr>
          <w:tab/>
        </w:r>
        <w:r w:rsidR="00076093" w:rsidRPr="00C5169E">
          <w:rPr>
            <w:rStyle w:val="Hyperlink"/>
            <w:noProof/>
            <w:lang w:val="en-AU"/>
          </w:rPr>
          <w:t>Committee members</w:t>
        </w:r>
        <w:r w:rsidR="00076093">
          <w:rPr>
            <w:noProof/>
            <w:webHidden/>
          </w:rPr>
          <w:tab/>
        </w:r>
        <w:r w:rsidR="00076093">
          <w:rPr>
            <w:noProof/>
            <w:webHidden/>
          </w:rPr>
          <w:fldChar w:fldCharType="begin"/>
        </w:r>
        <w:r w:rsidR="00076093">
          <w:rPr>
            <w:noProof/>
            <w:webHidden/>
          </w:rPr>
          <w:instrText xml:space="preserve"> PAGEREF _Toc465871864 \h </w:instrText>
        </w:r>
        <w:r w:rsidR="00076093">
          <w:rPr>
            <w:noProof/>
            <w:webHidden/>
          </w:rPr>
        </w:r>
        <w:r w:rsidR="00076093">
          <w:rPr>
            <w:noProof/>
            <w:webHidden/>
          </w:rPr>
          <w:fldChar w:fldCharType="separate"/>
        </w:r>
        <w:r w:rsidR="00076093">
          <w:rPr>
            <w:noProof/>
            <w:webHidden/>
          </w:rPr>
          <w:t>8</w:t>
        </w:r>
        <w:r w:rsidR="00076093">
          <w:rPr>
            <w:noProof/>
            <w:webHidden/>
          </w:rPr>
          <w:fldChar w:fldCharType="end"/>
        </w:r>
      </w:hyperlink>
    </w:p>
    <w:p w14:paraId="1F75BB11" w14:textId="77777777" w:rsidR="00076093" w:rsidRDefault="005A5646">
      <w:pPr>
        <w:pStyle w:val="TOC2"/>
        <w:rPr>
          <w:rFonts w:eastAsiaTheme="minorEastAsia" w:cstheme="minorBidi"/>
          <w:i w:val="0"/>
          <w:iCs w:val="0"/>
          <w:noProof/>
          <w:sz w:val="22"/>
          <w:szCs w:val="22"/>
          <w:lang w:val="en-AU"/>
        </w:rPr>
      </w:pPr>
      <w:hyperlink w:anchor="_Toc465871865" w:history="1">
        <w:r w:rsidR="00076093" w:rsidRPr="00C5169E">
          <w:rPr>
            <w:rStyle w:val="Hyperlink"/>
            <w:noProof/>
            <w:lang w:val="en-AU"/>
          </w:rPr>
          <w:t>3.2</w:t>
        </w:r>
        <w:r w:rsidR="00076093">
          <w:rPr>
            <w:rFonts w:eastAsiaTheme="minorEastAsia" w:cstheme="minorBidi"/>
            <w:i w:val="0"/>
            <w:iCs w:val="0"/>
            <w:noProof/>
            <w:sz w:val="22"/>
            <w:szCs w:val="22"/>
            <w:lang w:val="en-AU"/>
          </w:rPr>
          <w:tab/>
        </w:r>
        <w:r w:rsidR="00076093" w:rsidRPr="00C5169E">
          <w:rPr>
            <w:rStyle w:val="Hyperlink"/>
            <w:noProof/>
            <w:lang w:val="en-AU"/>
          </w:rPr>
          <w:t>Working Group members</w:t>
        </w:r>
        <w:r w:rsidR="00076093">
          <w:rPr>
            <w:noProof/>
            <w:webHidden/>
          </w:rPr>
          <w:tab/>
        </w:r>
        <w:r w:rsidR="00076093">
          <w:rPr>
            <w:noProof/>
            <w:webHidden/>
          </w:rPr>
          <w:fldChar w:fldCharType="begin"/>
        </w:r>
        <w:r w:rsidR="00076093">
          <w:rPr>
            <w:noProof/>
            <w:webHidden/>
          </w:rPr>
          <w:instrText xml:space="preserve"> PAGEREF _Toc465871865 \h </w:instrText>
        </w:r>
        <w:r w:rsidR="00076093">
          <w:rPr>
            <w:noProof/>
            <w:webHidden/>
          </w:rPr>
        </w:r>
        <w:r w:rsidR="00076093">
          <w:rPr>
            <w:noProof/>
            <w:webHidden/>
          </w:rPr>
          <w:fldChar w:fldCharType="separate"/>
        </w:r>
        <w:r w:rsidR="00076093">
          <w:rPr>
            <w:noProof/>
            <w:webHidden/>
          </w:rPr>
          <w:t>8</w:t>
        </w:r>
        <w:r w:rsidR="00076093">
          <w:rPr>
            <w:noProof/>
            <w:webHidden/>
          </w:rPr>
          <w:fldChar w:fldCharType="end"/>
        </w:r>
      </w:hyperlink>
    </w:p>
    <w:p w14:paraId="02963A6B" w14:textId="77777777" w:rsidR="00076093" w:rsidRDefault="005A5646">
      <w:pPr>
        <w:pStyle w:val="TOC2"/>
        <w:rPr>
          <w:rFonts w:eastAsiaTheme="minorEastAsia" w:cstheme="minorBidi"/>
          <w:i w:val="0"/>
          <w:iCs w:val="0"/>
          <w:noProof/>
          <w:sz w:val="22"/>
          <w:szCs w:val="22"/>
          <w:lang w:val="en-AU"/>
        </w:rPr>
      </w:pPr>
      <w:hyperlink w:anchor="_Toc465871866" w:history="1">
        <w:r w:rsidR="00076093" w:rsidRPr="00C5169E">
          <w:rPr>
            <w:rStyle w:val="Hyperlink"/>
            <w:noProof/>
            <w:lang w:val="en-AU"/>
          </w:rPr>
          <w:t>3.3</w:t>
        </w:r>
        <w:r w:rsidR="00076093">
          <w:rPr>
            <w:rFonts w:eastAsiaTheme="minorEastAsia" w:cstheme="minorBidi"/>
            <w:i w:val="0"/>
            <w:iCs w:val="0"/>
            <w:noProof/>
            <w:sz w:val="22"/>
            <w:szCs w:val="22"/>
            <w:lang w:val="en-AU"/>
          </w:rPr>
          <w:tab/>
        </w:r>
        <w:r w:rsidR="00076093" w:rsidRPr="00C5169E">
          <w:rPr>
            <w:rStyle w:val="Hyperlink"/>
            <w:noProof/>
            <w:lang w:val="en-AU"/>
          </w:rPr>
          <w:t>Conflicts of interest</w:t>
        </w:r>
        <w:r w:rsidR="00076093">
          <w:rPr>
            <w:noProof/>
            <w:webHidden/>
          </w:rPr>
          <w:tab/>
        </w:r>
        <w:r w:rsidR="00076093">
          <w:rPr>
            <w:noProof/>
            <w:webHidden/>
          </w:rPr>
          <w:fldChar w:fldCharType="begin"/>
        </w:r>
        <w:r w:rsidR="00076093">
          <w:rPr>
            <w:noProof/>
            <w:webHidden/>
          </w:rPr>
          <w:instrText xml:space="preserve"> PAGEREF _Toc465871866 \h </w:instrText>
        </w:r>
        <w:r w:rsidR="00076093">
          <w:rPr>
            <w:noProof/>
            <w:webHidden/>
          </w:rPr>
        </w:r>
        <w:r w:rsidR="00076093">
          <w:rPr>
            <w:noProof/>
            <w:webHidden/>
          </w:rPr>
          <w:fldChar w:fldCharType="separate"/>
        </w:r>
        <w:r w:rsidR="00076093">
          <w:rPr>
            <w:noProof/>
            <w:webHidden/>
          </w:rPr>
          <w:t>9</w:t>
        </w:r>
        <w:r w:rsidR="00076093">
          <w:rPr>
            <w:noProof/>
            <w:webHidden/>
          </w:rPr>
          <w:fldChar w:fldCharType="end"/>
        </w:r>
      </w:hyperlink>
    </w:p>
    <w:p w14:paraId="584BDA09" w14:textId="77777777" w:rsidR="00076093" w:rsidRDefault="005A5646">
      <w:pPr>
        <w:pStyle w:val="TOC1"/>
        <w:rPr>
          <w:rFonts w:eastAsiaTheme="minorEastAsia" w:cstheme="minorBidi"/>
          <w:b w:val="0"/>
          <w:bCs w:val="0"/>
          <w:noProof/>
          <w:sz w:val="22"/>
          <w:szCs w:val="22"/>
          <w:lang w:val="en-AU"/>
        </w:rPr>
      </w:pPr>
      <w:hyperlink w:anchor="_Toc465871867" w:history="1">
        <w:r w:rsidR="00076093" w:rsidRPr="00C5169E">
          <w:rPr>
            <w:rStyle w:val="Hyperlink"/>
            <w:noProof/>
            <w:lang w:val="en-AU"/>
          </w:rPr>
          <w:t>4.</w:t>
        </w:r>
        <w:r w:rsidR="00076093">
          <w:rPr>
            <w:rFonts w:eastAsiaTheme="minorEastAsia" w:cstheme="minorBidi"/>
            <w:b w:val="0"/>
            <w:bCs w:val="0"/>
            <w:noProof/>
            <w:sz w:val="22"/>
            <w:szCs w:val="22"/>
            <w:lang w:val="en-AU"/>
          </w:rPr>
          <w:tab/>
        </w:r>
        <w:r w:rsidR="00076093" w:rsidRPr="00C5169E">
          <w:rPr>
            <w:rStyle w:val="Hyperlink"/>
            <w:noProof/>
            <w:lang w:val="en-AU"/>
          </w:rPr>
          <w:t xml:space="preserve">Areas </w:t>
        </w:r>
        <w:r w:rsidR="00076093" w:rsidRPr="00C5169E">
          <w:rPr>
            <w:rStyle w:val="Hyperlink"/>
            <w:noProof/>
          </w:rPr>
          <w:t>of</w:t>
        </w:r>
        <w:r w:rsidR="00076093" w:rsidRPr="00C5169E">
          <w:rPr>
            <w:rStyle w:val="Hyperlink"/>
            <w:noProof/>
            <w:lang w:val="en-AU"/>
          </w:rPr>
          <w:t xml:space="preserve"> responsibility of the Committee</w:t>
        </w:r>
        <w:r w:rsidR="00076093">
          <w:rPr>
            <w:noProof/>
            <w:webHidden/>
          </w:rPr>
          <w:tab/>
        </w:r>
        <w:r w:rsidR="00076093">
          <w:rPr>
            <w:noProof/>
            <w:webHidden/>
          </w:rPr>
          <w:fldChar w:fldCharType="begin"/>
        </w:r>
        <w:r w:rsidR="00076093">
          <w:rPr>
            <w:noProof/>
            <w:webHidden/>
          </w:rPr>
          <w:instrText xml:space="preserve"> PAGEREF _Toc465871867 \h </w:instrText>
        </w:r>
        <w:r w:rsidR="00076093">
          <w:rPr>
            <w:noProof/>
            <w:webHidden/>
          </w:rPr>
        </w:r>
        <w:r w:rsidR="00076093">
          <w:rPr>
            <w:noProof/>
            <w:webHidden/>
          </w:rPr>
          <w:fldChar w:fldCharType="separate"/>
        </w:r>
        <w:r w:rsidR="00076093">
          <w:rPr>
            <w:noProof/>
            <w:webHidden/>
          </w:rPr>
          <w:t>9</w:t>
        </w:r>
        <w:r w:rsidR="00076093">
          <w:rPr>
            <w:noProof/>
            <w:webHidden/>
          </w:rPr>
          <w:fldChar w:fldCharType="end"/>
        </w:r>
      </w:hyperlink>
    </w:p>
    <w:p w14:paraId="70F869D4" w14:textId="77777777" w:rsidR="00076093" w:rsidRDefault="005A5646">
      <w:pPr>
        <w:pStyle w:val="TOC1"/>
        <w:rPr>
          <w:rFonts w:eastAsiaTheme="minorEastAsia" w:cstheme="minorBidi"/>
          <w:b w:val="0"/>
          <w:bCs w:val="0"/>
          <w:noProof/>
          <w:sz w:val="22"/>
          <w:szCs w:val="22"/>
          <w:lang w:val="en-AU"/>
        </w:rPr>
      </w:pPr>
      <w:hyperlink w:anchor="_Toc465871868" w:history="1">
        <w:r w:rsidR="00076093" w:rsidRPr="00C5169E">
          <w:rPr>
            <w:rStyle w:val="Hyperlink"/>
            <w:noProof/>
            <w:lang w:val="en-AU"/>
          </w:rPr>
          <w:t>5.</w:t>
        </w:r>
        <w:r w:rsidR="00076093">
          <w:rPr>
            <w:rFonts w:eastAsiaTheme="minorEastAsia" w:cstheme="minorBidi"/>
            <w:b w:val="0"/>
            <w:bCs w:val="0"/>
            <w:noProof/>
            <w:sz w:val="22"/>
            <w:szCs w:val="22"/>
            <w:lang w:val="en-AU"/>
          </w:rPr>
          <w:tab/>
        </w:r>
        <w:r w:rsidR="00076093" w:rsidRPr="00C5169E">
          <w:rPr>
            <w:rStyle w:val="Hyperlink"/>
            <w:noProof/>
            <w:lang w:val="en-AU"/>
          </w:rPr>
          <w:t>Recommendations</w:t>
        </w:r>
        <w:r w:rsidR="00076093">
          <w:rPr>
            <w:noProof/>
            <w:webHidden/>
          </w:rPr>
          <w:tab/>
        </w:r>
        <w:r w:rsidR="00076093">
          <w:rPr>
            <w:noProof/>
            <w:webHidden/>
          </w:rPr>
          <w:fldChar w:fldCharType="begin"/>
        </w:r>
        <w:r w:rsidR="00076093">
          <w:rPr>
            <w:noProof/>
            <w:webHidden/>
          </w:rPr>
          <w:instrText xml:space="preserve"> PAGEREF _Toc465871868 \h </w:instrText>
        </w:r>
        <w:r w:rsidR="00076093">
          <w:rPr>
            <w:noProof/>
            <w:webHidden/>
          </w:rPr>
        </w:r>
        <w:r w:rsidR="00076093">
          <w:rPr>
            <w:noProof/>
            <w:webHidden/>
          </w:rPr>
          <w:fldChar w:fldCharType="separate"/>
        </w:r>
        <w:r w:rsidR="00076093">
          <w:rPr>
            <w:noProof/>
            <w:webHidden/>
          </w:rPr>
          <w:t>11</w:t>
        </w:r>
        <w:r w:rsidR="00076093">
          <w:rPr>
            <w:noProof/>
            <w:webHidden/>
          </w:rPr>
          <w:fldChar w:fldCharType="end"/>
        </w:r>
      </w:hyperlink>
    </w:p>
    <w:p w14:paraId="0500E3B4" w14:textId="77777777" w:rsidR="00076093" w:rsidRDefault="005A5646">
      <w:pPr>
        <w:pStyle w:val="TOC2"/>
        <w:rPr>
          <w:rFonts w:eastAsiaTheme="minorEastAsia" w:cstheme="minorBidi"/>
          <w:i w:val="0"/>
          <w:iCs w:val="0"/>
          <w:noProof/>
          <w:sz w:val="22"/>
          <w:szCs w:val="22"/>
          <w:lang w:val="en-AU"/>
        </w:rPr>
      </w:pPr>
      <w:hyperlink w:anchor="_Toc465871869" w:history="1">
        <w:r w:rsidR="00076093" w:rsidRPr="00C5169E">
          <w:rPr>
            <w:rStyle w:val="Hyperlink"/>
            <w:noProof/>
            <w:lang w:val="en-AU"/>
          </w:rPr>
          <w:t>5.1</w:t>
        </w:r>
        <w:r w:rsidR="00076093">
          <w:rPr>
            <w:rFonts w:eastAsiaTheme="minorEastAsia" w:cstheme="minorBidi"/>
            <w:i w:val="0"/>
            <w:iCs w:val="0"/>
            <w:noProof/>
            <w:sz w:val="22"/>
            <w:szCs w:val="22"/>
            <w:lang w:val="en-AU"/>
          </w:rPr>
          <w:tab/>
        </w:r>
        <w:r w:rsidR="00076093" w:rsidRPr="00C5169E">
          <w:rPr>
            <w:rStyle w:val="Hyperlink"/>
            <w:noProof/>
            <w:lang w:val="en-AU"/>
          </w:rPr>
          <w:t>Phototherapy: Items 14050 and 14053</w:t>
        </w:r>
        <w:r w:rsidR="00076093">
          <w:rPr>
            <w:noProof/>
            <w:webHidden/>
          </w:rPr>
          <w:tab/>
        </w:r>
        <w:r w:rsidR="00076093">
          <w:rPr>
            <w:noProof/>
            <w:webHidden/>
          </w:rPr>
          <w:fldChar w:fldCharType="begin"/>
        </w:r>
        <w:r w:rsidR="00076093">
          <w:rPr>
            <w:noProof/>
            <w:webHidden/>
          </w:rPr>
          <w:instrText xml:space="preserve"> PAGEREF _Toc465871869 \h </w:instrText>
        </w:r>
        <w:r w:rsidR="00076093">
          <w:rPr>
            <w:noProof/>
            <w:webHidden/>
          </w:rPr>
        </w:r>
        <w:r w:rsidR="00076093">
          <w:rPr>
            <w:noProof/>
            <w:webHidden/>
          </w:rPr>
          <w:fldChar w:fldCharType="separate"/>
        </w:r>
        <w:r w:rsidR="00076093">
          <w:rPr>
            <w:noProof/>
            <w:webHidden/>
          </w:rPr>
          <w:t>11</w:t>
        </w:r>
        <w:r w:rsidR="00076093">
          <w:rPr>
            <w:noProof/>
            <w:webHidden/>
          </w:rPr>
          <w:fldChar w:fldCharType="end"/>
        </w:r>
      </w:hyperlink>
    </w:p>
    <w:p w14:paraId="0E2C2345" w14:textId="77777777" w:rsidR="00076093" w:rsidRDefault="005A5646">
      <w:pPr>
        <w:pStyle w:val="TOC2"/>
        <w:rPr>
          <w:rFonts w:eastAsiaTheme="minorEastAsia" w:cstheme="minorBidi"/>
          <w:i w:val="0"/>
          <w:iCs w:val="0"/>
          <w:noProof/>
          <w:sz w:val="22"/>
          <w:szCs w:val="22"/>
          <w:lang w:val="en-AU"/>
        </w:rPr>
      </w:pPr>
      <w:hyperlink w:anchor="_Toc465871870" w:history="1">
        <w:r w:rsidR="00076093" w:rsidRPr="00C5169E">
          <w:rPr>
            <w:rStyle w:val="Hyperlink"/>
            <w:noProof/>
            <w:lang w:val="en-AU"/>
          </w:rPr>
          <w:t>5.2</w:t>
        </w:r>
        <w:r w:rsidR="00076093">
          <w:rPr>
            <w:rFonts w:eastAsiaTheme="minorEastAsia" w:cstheme="minorBidi"/>
            <w:i w:val="0"/>
            <w:iCs w:val="0"/>
            <w:noProof/>
            <w:sz w:val="22"/>
            <w:szCs w:val="22"/>
            <w:lang w:val="en-AU"/>
          </w:rPr>
          <w:tab/>
        </w:r>
        <w:r w:rsidR="00076093" w:rsidRPr="00C5169E">
          <w:rPr>
            <w:rStyle w:val="Hyperlink"/>
            <w:noProof/>
            <w:lang w:val="en-AU"/>
          </w:rPr>
          <w:t>Treatment of benign and malignant neoplasms: Items 30195–7</w:t>
        </w:r>
        <w:r w:rsidR="00076093">
          <w:rPr>
            <w:noProof/>
            <w:webHidden/>
          </w:rPr>
          <w:tab/>
        </w:r>
        <w:r w:rsidR="00076093">
          <w:rPr>
            <w:noProof/>
            <w:webHidden/>
          </w:rPr>
          <w:fldChar w:fldCharType="begin"/>
        </w:r>
        <w:r w:rsidR="00076093">
          <w:rPr>
            <w:noProof/>
            <w:webHidden/>
          </w:rPr>
          <w:instrText xml:space="preserve"> PAGEREF _Toc465871870 \h </w:instrText>
        </w:r>
        <w:r w:rsidR="00076093">
          <w:rPr>
            <w:noProof/>
            <w:webHidden/>
          </w:rPr>
        </w:r>
        <w:r w:rsidR="00076093">
          <w:rPr>
            <w:noProof/>
            <w:webHidden/>
          </w:rPr>
          <w:fldChar w:fldCharType="separate"/>
        </w:r>
        <w:r w:rsidR="00076093">
          <w:rPr>
            <w:noProof/>
            <w:webHidden/>
          </w:rPr>
          <w:t>13</w:t>
        </w:r>
        <w:r w:rsidR="00076093">
          <w:rPr>
            <w:noProof/>
            <w:webHidden/>
          </w:rPr>
          <w:fldChar w:fldCharType="end"/>
        </w:r>
      </w:hyperlink>
    </w:p>
    <w:p w14:paraId="4E51CE5B" w14:textId="77777777" w:rsidR="00076093" w:rsidRDefault="005A5646">
      <w:pPr>
        <w:pStyle w:val="TOC2"/>
        <w:rPr>
          <w:rFonts w:eastAsiaTheme="minorEastAsia" w:cstheme="minorBidi"/>
          <w:i w:val="0"/>
          <w:iCs w:val="0"/>
          <w:noProof/>
          <w:sz w:val="22"/>
          <w:szCs w:val="22"/>
          <w:lang w:val="en-AU"/>
        </w:rPr>
      </w:pPr>
      <w:hyperlink w:anchor="_Toc465871871" w:history="1">
        <w:r w:rsidR="00076093" w:rsidRPr="00C5169E">
          <w:rPr>
            <w:rStyle w:val="Hyperlink"/>
            <w:noProof/>
            <w:lang w:val="en-AU"/>
          </w:rPr>
          <w:t>5.3</w:t>
        </w:r>
        <w:r w:rsidR="00076093">
          <w:rPr>
            <w:rFonts w:eastAsiaTheme="minorEastAsia" w:cstheme="minorBidi"/>
            <w:i w:val="0"/>
            <w:iCs w:val="0"/>
            <w:noProof/>
            <w:sz w:val="22"/>
            <w:szCs w:val="22"/>
            <w:lang w:val="en-AU"/>
          </w:rPr>
          <w:tab/>
        </w:r>
        <w:r w:rsidR="00076093" w:rsidRPr="00C5169E">
          <w:rPr>
            <w:rStyle w:val="Hyperlink"/>
            <w:noProof/>
            <w:lang w:val="en-AU"/>
          </w:rPr>
          <w:t>Allergy: Items 12003, 12000, 21981 and 53600</w:t>
        </w:r>
        <w:r w:rsidR="00076093">
          <w:rPr>
            <w:noProof/>
            <w:webHidden/>
          </w:rPr>
          <w:tab/>
        </w:r>
        <w:r w:rsidR="00076093">
          <w:rPr>
            <w:noProof/>
            <w:webHidden/>
          </w:rPr>
          <w:fldChar w:fldCharType="begin"/>
        </w:r>
        <w:r w:rsidR="00076093">
          <w:rPr>
            <w:noProof/>
            <w:webHidden/>
          </w:rPr>
          <w:instrText xml:space="preserve"> PAGEREF _Toc465871871 \h </w:instrText>
        </w:r>
        <w:r w:rsidR="00076093">
          <w:rPr>
            <w:noProof/>
            <w:webHidden/>
          </w:rPr>
        </w:r>
        <w:r w:rsidR="00076093">
          <w:rPr>
            <w:noProof/>
            <w:webHidden/>
          </w:rPr>
          <w:fldChar w:fldCharType="separate"/>
        </w:r>
        <w:r w:rsidR="00076093">
          <w:rPr>
            <w:noProof/>
            <w:webHidden/>
          </w:rPr>
          <w:t>17</w:t>
        </w:r>
        <w:r w:rsidR="00076093">
          <w:rPr>
            <w:noProof/>
            <w:webHidden/>
          </w:rPr>
          <w:fldChar w:fldCharType="end"/>
        </w:r>
      </w:hyperlink>
    </w:p>
    <w:p w14:paraId="33664D0E" w14:textId="77777777" w:rsidR="00076093" w:rsidRDefault="005A5646">
      <w:pPr>
        <w:pStyle w:val="TOC2"/>
        <w:rPr>
          <w:rFonts w:eastAsiaTheme="minorEastAsia" w:cstheme="minorBidi"/>
          <w:i w:val="0"/>
          <w:iCs w:val="0"/>
          <w:noProof/>
          <w:sz w:val="22"/>
          <w:szCs w:val="22"/>
          <w:lang w:val="en-AU"/>
        </w:rPr>
      </w:pPr>
      <w:hyperlink w:anchor="_Toc465871872" w:history="1">
        <w:r w:rsidR="00076093" w:rsidRPr="00C5169E">
          <w:rPr>
            <w:rStyle w:val="Hyperlink"/>
            <w:noProof/>
            <w:lang w:val="en-AU"/>
          </w:rPr>
          <w:t>5.4</w:t>
        </w:r>
        <w:r w:rsidR="00076093">
          <w:rPr>
            <w:rFonts w:eastAsiaTheme="minorEastAsia" w:cstheme="minorBidi"/>
            <w:i w:val="0"/>
            <w:iCs w:val="0"/>
            <w:noProof/>
            <w:sz w:val="22"/>
            <w:szCs w:val="22"/>
            <w:lang w:val="en-AU"/>
          </w:rPr>
          <w:tab/>
        </w:r>
        <w:r w:rsidR="00076093" w:rsidRPr="00C5169E">
          <w:rPr>
            <w:rStyle w:val="Hyperlink"/>
            <w:noProof/>
            <w:lang w:val="en-AU"/>
          </w:rPr>
          <w:t>Treating malignant lesions by liquid nitrogen cryotherapy using repeat freeze-thaw cycles: Items 30202, 30203 and 30205</w:t>
        </w:r>
        <w:r w:rsidR="00076093">
          <w:rPr>
            <w:noProof/>
            <w:webHidden/>
          </w:rPr>
          <w:tab/>
        </w:r>
        <w:r w:rsidR="00076093">
          <w:rPr>
            <w:noProof/>
            <w:webHidden/>
          </w:rPr>
          <w:fldChar w:fldCharType="begin"/>
        </w:r>
        <w:r w:rsidR="00076093">
          <w:rPr>
            <w:noProof/>
            <w:webHidden/>
          </w:rPr>
          <w:instrText xml:space="preserve"> PAGEREF _Toc465871872 \h </w:instrText>
        </w:r>
        <w:r w:rsidR="00076093">
          <w:rPr>
            <w:noProof/>
            <w:webHidden/>
          </w:rPr>
        </w:r>
        <w:r w:rsidR="00076093">
          <w:rPr>
            <w:noProof/>
            <w:webHidden/>
          </w:rPr>
          <w:fldChar w:fldCharType="separate"/>
        </w:r>
        <w:r w:rsidR="00076093">
          <w:rPr>
            <w:noProof/>
            <w:webHidden/>
          </w:rPr>
          <w:t>21</w:t>
        </w:r>
        <w:r w:rsidR="00076093">
          <w:rPr>
            <w:noProof/>
            <w:webHidden/>
          </w:rPr>
          <w:fldChar w:fldCharType="end"/>
        </w:r>
      </w:hyperlink>
    </w:p>
    <w:p w14:paraId="76A6DD50" w14:textId="77777777" w:rsidR="00076093" w:rsidRDefault="005A5646">
      <w:pPr>
        <w:pStyle w:val="TOC2"/>
        <w:rPr>
          <w:rFonts w:eastAsiaTheme="minorEastAsia" w:cstheme="minorBidi"/>
          <w:i w:val="0"/>
          <w:iCs w:val="0"/>
          <w:noProof/>
          <w:sz w:val="22"/>
          <w:szCs w:val="22"/>
          <w:lang w:val="en-AU"/>
        </w:rPr>
      </w:pPr>
      <w:hyperlink w:anchor="_Toc465871873" w:history="1">
        <w:r w:rsidR="00076093" w:rsidRPr="00C5169E">
          <w:rPr>
            <w:rStyle w:val="Hyperlink"/>
            <w:noProof/>
            <w:lang w:val="en-AU"/>
          </w:rPr>
          <w:t>5.5</w:t>
        </w:r>
        <w:r w:rsidR="00076093">
          <w:rPr>
            <w:rFonts w:eastAsiaTheme="minorEastAsia" w:cstheme="minorBidi"/>
            <w:i w:val="0"/>
            <w:iCs w:val="0"/>
            <w:noProof/>
            <w:sz w:val="22"/>
            <w:szCs w:val="22"/>
            <w:lang w:val="en-AU"/>
          </w:rPr>
          <w:tab/>
        </w:r>
        <w:r w:rsidR="00076093" w:rsidRPr="00C5169E">
          <w:rPr>
            <w:rStyle w:val="Hyperlink"/>
            <w:noProof/>
            <w:lang w:val="en-AU"/>
          </w:rPr>
          <w:t>Definitive removal of palmar or plantar warts: Items 30185 and 30186</w:t>
        </w:r>
        <w:r w:rsidR="00076093">
          <w:rPr>
            <w:noProof/>
            <w:webHidden/>
          </w:rPr>
          <w:tab/>
        </w:r>
        <w:r w:rsidR="00076093">
          <w:rPr>
            <w:noProof/>
            <w:webHidden/>
          </w:rPr>
          <w:fldChar w:fldCharType="begin"/>
        </w:r>
        <w:r w:rsidR="00076093">
          <w:rPr>
            <w:noProof/>
            <w:webHidden/>
          </w:rPr>
          <w:instrText xml:space="preserve"> PAGEREF _Toc465871873 \h </w:instrText>
        </w:r>
        <w:r w:rsidR="00076093">
          <w:rPr>
            <w:noProof/>
            <w:webHidden/>
          </w:rPr>
        </w:r>
        <w:r w:rsidR="00076093">
          <w:rPr>
            <w:noProof/>
            <w:webHidden/>
          </w:rPr>
          <w:fldChar w:fldCharType="separate"/>
        </w:r>
        <w:r w:rsidR="00076093">
          <w:rPr>
            <w:noProof/>
            <w:webHidden/>
          </w:rPr>
          <w:t>24</w:t>
        </w:r>
        <w:r w:rsidR="00076093">
          <w:rPr>
            <w:noProof/>
            <w:webHidden/>
          </w:rPr>
          <w:fldChar w:fldCharType="end"/>
        </w:r>
      </w:hyperlink>
    </w:p>
    <w:p w14:paraId="7A852DFC" w14:textId="77777777" w:rsidR="00076093" w:rsidRDefault="005A5646">
      <w:pPr>
        <w:pStyle w:val="TOC2"/>
        <w:rPr>
          <w:rFonts w:eastAsiaTheme="minorEastAsia" w:cstheme="minorBidi"/>
          <w:i w:val="0"/>
          <w:iCs w:val="0"/>
          <w:noProof/>
          <w:sz w:val="22"/>
          <w:szCs w:val="22"/>
          <w:lang w:val="en-AU"/>
        </w:rPr>
      </w:pPr>
      <w:hyperlink w:anchor="_Toc465871874" w:history="1">
        <w:r w:rsidR="00076093" w:rsidRPr="00C5169E">
          <w:rPr>
            <w:rStyle w:val="Hyperlink"/>
            <w:noProof/>
            <w:lang w:val="en-AU"/>
          </w:rPr>
          <w:t>5.6</w:t>
        </w:r>
        <w:r w:rsidR="00076093">
          <w:rPr>
            <w:rFonts w:eastAsiaTheme="minorEastAsia" w:cstheme="minorBidi"/>
            <w:i w:val="0"/>
            <w:iCs w:val="0"/>
            <w:noProof/>
            <w:sz w:val="22"/>
            <w:szCs w:val="22"/>
            <w:lang w:val="en-AU"/>
          </w:rPr>
          <w:tab/>
        </w:r>
        <w:r w:rsidR="00076093" w:rsidRPr="00C5169E">
          <w:rPr>
            <w:rStyle w:val="Hyperlink"/>
            <w:noProof/>
            <w:lang w:val="en-AU"/>
          </w:rPr>
          <w:t>Laser photocoagulation: Items 14100, 14106, 14109, 14112, 14115, 14118 and 14124</w:t>
        </w:r>
        <w:r w:rsidR="00076093">
          <w:rPr>
            <w:noProof/>
            <w:webHidden/>
          </w:rPr>
          <w:tab/>
        </w:r>
        <w:r w:rsidR="00076093">
          <w:rPr>
            <w:noProof/>
            <w:webHidden/>
          </w:rPr>
          <w:fldChar w:fldCharType="begin"/>
        </w:r>
        <w:r w:rsidR="00076093">
          <w:rPr>
            <w:noProof/>
            <w:webHidden/>
          </w:rPr>
          <w:instrText xml:space="preserve"> PAGEREF _Toc465871874 \h </w:instrText>
        </w:r>
        <w:r w:rsidR="00076093">
          <w:rPr>
            <w:noProof/>
            <w:webHidden/>
          </w:rPr>
        </w:r>
        <w:r w:rsidR="00076093">
          <w:rPr>
            <w:noProof/>
            <w:webHidden/>
          </w:rPr>
          <w:fldChar w:fldCharType="separate"/>
        </w:r>
        <w:r w:rsidR="00076093">
          <w:rPr>
            <w:noProof/>
            <w:webHidden/>
          </w:rPr>
          <w:t>25</w:t>
        </w:r>
        <w:r w:rsidR="00076093">
          <w:rPr>
            <w:noProof/>
            <w:webHidden/>
          </w:rPr>
          <w:fldChar w:fldCharType="end"/>
        </w:r>
      </w:hyperlink>
    </w:p>
    <w:p w14:paraId="62421A5A" w14:textId="77777777" w:rsidR="00076093" w:rsidRDefault="005A5646">
      <w:pPr>
        <w:pStyle w:val="TOC2"/>
        <w:rPr>
          <w:rFonts w:eastAsiaTheme="minorEastAsia" w:cstheme="minorBidi"/>
          <w:i w:val="0"/>
          <w:iCs w:val="0"/>
          <w:noProof/>
          <w:sz w:val="22"/>
          <w:szCs w:val="22"/>
          <w:lang w:val="en-AU"/>
        </w:rPr>
      </w:pPr>
      <w:hyperlink w:anchor="_Toc465871875" w:history="1">
        <w:r w:rsidR="00076093" w:rsidRPr="00C5169E">
          <w:rPr>
            <w:rStyle w:val="Hyperlink"/>
            <w:noProof/>
            <w:lang w:val="en-AU"/>
          </w:rPr>
          <w:t>5.7</w:t>
        </w:r>
        <w:r w:rsidR="00076093">
          <w:rPr>
            <w:rFonts w:eastAsiaTheme="minorEastAsia" w:cstheme="minorBidi"/>
            <w:i w:val="0"/>
            <w:iCs w:val="0"/>
            <w:noProof/>
            <w:sz w:val="22"/>
            <w:szCs w:val="22"/>
            <w:lang w:val="en-AU"/>
          </w:rPr>
          <w:tab/>
        </w:r>
        <w:r w:rsidR="00076093" w:rsidRPr="00C5169E">
          <w:rPr>
            <w:rStyle w:val="Hyperlink"/>
            <w:noProof/>
            <w:lang w:val="en-AU"/>
          </w:rPr>
          <w:t>Mohs: Items 31000–31002</w:t>
        </w:r>
        <w:r w:rsidR="00076093">
          <w:rPr>
            <w:noProof/>
            <w:webHidden/>
          </w:rPr>
          <w:tab/>
        </w:r>
        <w:r w:rsidR="00076093">
          <w:rPr>
            <w:noProof/>
            <w:webHidden/>
          </w:rPr>
          <w:fldChar w:fldCharType="begin"/>
        </w:r>
        <w:r w:rsidR="00076093">
          <w:rPr>
            <w:noProof/>
            <w:webHidden/>
          </w:rPr>
          <w:instrText xml:space="preserve"> PAGEREF _Toc465871875 \h </w:instrText>
        </w:r>
        <w:r w:rsidR="00076093">
          <w:rPr>
            <w:noProof/>
            <w:webHidden/>
          </w:rPr>
        </w:r>
        <w:r w:rsidR="00076093">
          <w:rPr>
            <w:noProof/>
            <w:webHidden/>
          </w:rPr>
          <w:fldChar w:fldCharType="separate"/>
        </w:r>
        <w:r w:rsidR="00076093">
          <w:rPr>
            <w:noProof/>
            <w:webHidden/>
          </w:rPr>
          <w:t>28</w:t>
        </w:r>
        <w:r w:rsidR="00076093">
          <w:rPr>
            <w:noProof/>
            <w:webHidden/>
          </w:rPr>
          <w:fldChar w:fldCharType="end"/>
        </w:r>
      </w:hyperlink>
    </w:p>
    <w:p w14:paraId="1CF9C7A3" w14:textId="77777777" w:rsidR="00076093" w:rsidRDefault="005A5646">
      <w:pPr>
        <w:pStyle w:val="TOC2"/>
        <w:rPr>
          <w:rFonts w:eastAsiaTheme="minorEastAsia" w:cstheme="minorBidi"/>
          <w:i w:val="0"/>
          <w:iCs w:val="0"/>
          <w:noProof/>
          <w:sz w:val="22"/>
          <w:szCs w:val="22"/>
          <w:lang w:val="en-AU"/>
        </w:rPr>
      </w:pPr>
      <w:hyperlink w:anchor="_Toc465871876" w:history="1">
        <w:r w:rsidR="00076093" w:rsidRPr="00C5169E">
          <w:rPr>
            <w:rStyle w:val="Hyperlink"/>
            <w:noProof/>
            <w:lang w:val="en-AU"/>
          </w:rPr>
          <w:t>5.8</w:t>
        </w:r>
        <w:r w:rsidR="00076093">
          <w:rPr>
            <w:rFonts w:eastAsiaTheme="minorEastAsia" w:cstheme="minorBidi"/>
            <w:i w:val="0"/>
            <w:iCs w:val="0"/>
            <w:noProof/>
            <w:sz w:val="22"/>
            <w:szCs w:val="22"/>
            <w:lang w:val="en-AU"/>
          </w:rPr>
          <w:tab/>
        </w:r>
        <w:r w:rsidR="00076093" w:rsidRPr="00C5169E">
          <w:rPr>
            <w:rStyle w:val="Hyperlink"/>
            <w:noProof/>
            <w:lang w:val="en-AU"/>
          </w:rPr>
          <w:t>Telangiectases or starburst vessels: Items 30213 and 30214</w:t>
        </w:r>
        <w:r w:rsidR="00076093">
          <w:rPr>
            <w:noProof/>
            <w:webHidden/>
          </w:rPr>
          <w:tab/>
        </w:r>
        <w:r w:rsidR="00076093">
          <w:rPr>
            <w:noProof/>
            <w:webHidden/>
          </w:rPr>
          <w:fldChar w:fldCharType="begin"/>
        </w:r>
        <w:r w:rsidR="00076093">
          <w:rPr>
            <w:noProof/>
            <w:webHidden/>
          </w:rPr>
          <w:instrText xml:space="preserve"> PAGEREF _Toc465871876 \h </w:instrText>
        </w:r>
        <w:r w:rsidR="00076093">
          <w:rPr>
            <w:noProof/>
            <w:webHidden/>
          </w:rPr>
        </w:r>
        <w:r w:rsidR="00076093">
          <w:rPr>
            <w:noProof/>
            <w:webHidden/>
          </w:rPr>
          <w:fldChar w:fldCharType="separate"/>
        </w:r>
        <w:r w:rsidR="00076093">
          <w:rPr>
            <w:noProof/>
            <w:webHidden/>
          </w:rPr>
          <w:t>29</w:t>
        </w:r>
        <w:r w:rsidR="00076093">
          <w:rPr>
            <w:noProof/>
            <w:webHidden/>
          </w:rPr>
          <w:fldChar w:fldCharType="end"/>
        </w:r>
      </w:hyperlink>
    </w:p>
    <w:p w14:paraId="356C82FF" w14:textId="77777777" w:rsidR="00076093" w:rsidRDefault="005A5646">
      <w:pPr>
        <w:pStyle w:val="TOC2"/>
        <w:rPr>
          <w:rFonts w:eastAsiaTheme="minorEastAsia" w:cstheme="minorBidi"/>
          <w:i w:val="0"/>
          <w:iCs w:val="0"/>
          <w:noProof/>
          <w:sz w:val="22"/>
          <w:szCs w:val="22"/>
          <w:lang w:val="en-AU"/>
        </w:rPr>
      </w:pPr>
      <w:hyperlink w:anchor="_Toc465871877" w:history="1">
        <w:r w:rsidR="00076093" w:rsidRPr="00C5169E">
          <w:rPr>
            <w:rStyle w:val="Hyperlink"/>
            <w:noProof/>
            <w:lang w:val="en-AU"/>
          </w:rPr>
          <w:t>5.9</w:t>
        </w:r>
        <w:r w:rsidR="00076093">
          <w:rPr>
            <w:rFonts w:eastAsiaTheme="minorEastAsia" w:cstheme="minorBidi"/>
            <w:i w:val="0"/>
            <w:iCs w:val="0"/>
            <w:noProof/>
            <w:sz w:val="22"/>
            <w:szCs w:val="22"/>
            <w:lang w:val="en-AU"/>
          </w:rPr>
          <w:tab/>
        </w:r>
        <w:r w:rsidR="00076093" w:rsidRPr="00C5169E">
          <w:rPr>
            <w:rStyle w:val="Hyperlink"/>
            <w:noProof/>
            <w:lang w:val="en-AU"/>
          </w:rPr>
          <w:t>Treatment of pre-malignant skin lesions: Item 30192</w:t>
        </w:r>
        <w:r w:rsidR="00076093">
          <w:rPr>
            <w:noProof/>
            <w:webHidden/>
          </w:rPr>
          <w:tab/>
        </w:r>
        <w:r w:rsidR="00076093">
          <w:rPr>
            <w:noProof/>
            <w:webHidden/>
          </w:rPr>
          <w:fldChar w:fldCharType="begin"/>
        </w:r>
        <w:r w:rsidR="00076093">
          <w:rPr>
            <w:noProof/>
            <w:webHidden/>
          </w:rPr>
          <w:instrText xml:space="preserve"> PAGEREF _Toc465871877 \h </w:instrText>
        </w:r>
        <w:r w:rsidR="00076093">
          <w:rPr>
            <w:noProof/>
            <w:webHidden/>
          </w:rPr>
        </w:r>
        <w:r w:rsidR="00076093">
          <w:rPr>
            <w:noProof/>
            <w:webHidden/>
          </w:rPr>
          <w:fldChar w:fldCharType="separate"/>
        </w:r>
        <w:r w:rsidR="00076093">
          <w:rPr>
            <w:noProof/>
            <w:webHidden/>
          </w:rPr>
          <w:t>30</w:t>
        </w:r>
        <w:r w:rsidR="00076093">
          <w:rPr>
            <w:noProof/>
            <w:webHidden/>
          </w:rPr>
          <w:fldChar w:fldCharType="end"/>
        </w:r>
      </w:hyperlink>
    </w:p>
    <w:p w14:paraId="1EEA2EC1" w14:textId="77777777" w:rsidR="00076093" w:rsidRDefault="005A5646">
      <w:pPr>
        <w:pStyle w:val="TOC2"/>
        <w:rPr>
          <w:rFonts w:eastAsiaTheme="minorEastAsia" w:cstheme="minorBidi"/>
          <w:i w:val="0"/>
          <w:iCs w:val="0"/>
          <w:noProof/>
          <w:sz w:val="22"/>
          <w:szCs w:val="22"/>
          <w:lang w:val="en-AU"/>
        </w:rPr>
      </w:pPr>
      <w:hyperlink w:anchor="_Toc465871878" w:history="1">
        <w:r w:rsidR="00076093" w:rsidRPr="00C5169E">
          <w:rPr>
            <w:rStyle w:val="Hyperlink"/>
            <w:noProof/>
            <w:lang w:val="en-AU"/>
          </w:rPr>
          <w:t>5.10</w:t>
        </w:r>
        <w:r w:rsidR="00076093">
          <w:rPr>
            <w:rFonts w:eastAsiaTheme="minorEastAsia" w:cstheme="minorBidi"/>
            <w:i w:val="0"/>
            <w:iCs w:val="0"/>
            <w:noProof/>
            <w:sz w:val="22"/>
            <w:szCs w:val="22"/>
            <w:lang w:val="en-AU"/>
          </w:rPr>
          <w:tab/>
        </w:r>
        <w:r w:rsidR="00076093" w:rsidRPr="00C5169E">
          <w:rPr>
            <w:rStyle w:val="Hyperlink"/>
            <w:noProof/>
            <w:lang w:val="en-AU"/>
          </w:rPr>
          <w:t>Skin lesions, multiple injections of hydrocortisone or similar preparations: Items 30207 and 30210</w:t>
        </w:r>
        <w:r w:rsidR="00076093">
          <w:rPr>
            <w:noProof/>
            <w:webHidden/>
          </w:rPr>
          <w:tab/>
        </w:r>
        <w:r w:rsidR="00076093">
          <w:rPr>
            <w:noProof/>
            <w:webHidden/>
          </w:rPr>
          <w:fldChar w:fldCharType="begin"/>
        </w:r>
        <w:r w:rsidR="00076093">
          <w:rPr>
            <w:noProof/>
            <w:webHidden/>
          </w:rPr>
          <w:instrText xml:space="preserve"> PAGEREF _Toc465871878 \h </w:instrText>
        </w:r>
        <w:r w:rsidR="00076093">
          <w:rPr>
            <w:noProof/>
            <w:webHidden/>
          </w:rPr>
        </w:r>
        <w:r w:rsidR="00076093">
          <w:rPr>
            <w:noProof/>
            <w:webHidden/>
          </w:rPr>
          <w:fldChar w:fldCharType="separate"/>
        </w:r>
        <w:r w:rsidR="00076093">
          <w:rPr>
            <w:noProof/>
            <w:webHidden/>
          </w:rPr>
          <w:t>30</w:t>
        </w:r>
        <w:r w:rsidR="00076093">
          <w:rPr>
            <w:noProof/>
            <w:webHidden/>
          </w:rPr>
          <w:fldChar w:fldCharType="end"/>
        </w:r>
      </w:hyperlink>
    </w:p>
    <w:p w14:paraId="19106BD8" w14:textId="77777777" w:rsidR="00076093" w:rsidRDefault="005A5646">
      <w:pPr>
        <w:pStyle w:val="TOC2"/>
        <w:rPr>
          <w:rFonts w:eastAsiaTheme="minorEastAsia" w:cstheme="minorBidi"/>
          <w:i w:val="0"/>
          <w:iCs w:val="0"/>
          <w:noProof/>
          <w:sz w:val="22"/>
          <w:szCs w:val="22"/>
          <w:lang w:val="en-AU"/>
        </w:rPr>
      </w:pPr>
      <w:hyperlink w:anchor="_Toc465871879" w:history="1">
        <w:r w:rsidR="00076093" w:rsidRPr="00C5169E">
          <w:rPr>
            <w:rStyle w:val="Hyperlink"/>
            <w:noProof/>
            <w:lang w:val="en-AU"/>
          </w:rPr>
          <w:t>5.11</w:t>
        </w:r>
        <w:r w:rsidR="00076093">
          <w:rPr>
            <w:rFonts w:eastAsiaTheme="minorEastAsia" w:cstheme="minorBidi"/>
            <w:i w:val="0"/>
            <w:iCs w:val="0"/>
            <w:noProof/>
            <w:sz w:val="22"/>
            <w:szCs w:val="22"/>
            <w:lang w:val="en-AU"/>
          </w:rPr>
          <w:tab/>
        </w:r>
        <w:r w:rsidR="00076093" w:rsidRPr="00C5169E">
          <w:rPr>
            <w:rStyle w:val="Hyperlink"/>
            <w:noProof/>
            <w:lang w:val="en-AU"/>
          </w:rPr>
          <w:t>Superficial radiotherapy: Item 15000</w:t>
        </w:r>
        <w:r w:rsidR="00076093">
          <w:rPr>
            <w:noProof/>
            <w:webHidden/>
          </w:rPr>
          <w:tab/>
        </w:r>
        <w:r w:rsidR="00076093">
          <w:rPr>
            <w:noProof/>
            <w:webHidden/>
          </w:rPr>
          <w:fldChar w:fldCharType="begin"/>
        </w:r>
        <w:r w:rsidR="00076093">
          <w:rPr>
            <w:noProof/>
            <w:webHidden/>
          </w:rPr>
          <w:instrText xml:space="preserve"> PAGEREF _Toc465871879 \h </w:instrText>
        </w:r>
        <w:r w:rsidR="00076093">
          <w:rPr>
            <w:noProof/>
            <w:webHidden/>
          </w:rPr>
        </w:r>
        <w:r w:rsidR="00076093">
          <w:rPr>
            <w:noProof/>
            <w:webHidden/>
          </w:rPr>
          <w:fldChar w:fldCharType="separate"/>
        </w:r>
        <w:r w:rsidR="00076093">
          <w:rPr>
            <w:noProof/>
            <w:webHidden/>
          </w:rPr>
          <w:t>31</w:t>
        </w:r>
        <w:r w:rsidR="00076093">
          <w:rPr>
            <w:noProof/>
            <w:webHidden/>
          </w:rPr>
          <w:fldChar w:fldCharType="end"/>
        </w:r>
      </w:hyperlink>
    </w:p>
    <w:p w14:paraId="26060D1F" w14:textId="77777777" w:rsidR="00076093" w:rsidRDefault="005A5646">
      <w:pPr>
        <w:pStyle w:val="TOC2"/>
        <w:rPr>
          <w:rFonts w:eastAsiaTheme="minorEastAsia" w:cstheme="minorBidi"/>
          <w:i w:val="0"/>
          <w:iCs w:val="0"/>
          <w:noProof/>
          <w:sz w:val="22"/>
          <w:szCs w:val="22"/>
          <w:lang w:val="en-AU"/>
        </w:rPr>
      </w:pPr>
      <w:hyperlink w:anchor="_Toc465871880" w:history="1">
        <w:r w:rsidR="00076093" w:rsidRPr="00C5169E">
          <w:rPr>
            <w:rStyle w:val="Hyperlink"/>
            <w:noProof/>
            <w:lang w:val="en-AU"/>
          </w:rPr>
          <w:t>5.12</w:t>
        </w:r>
        <w:r w:rsidR="00076093">
          <w:rPr>
            <w:rFonts w:eastAsiaTheme="minorEastAsia" w:cstheme="minorBidi"/>
            <w:i w:val="0"/>
            <w:iCs w:val="0"/>
            <w:noProof/>
            <w:sz w:val="22"/>
            <w:szCs w:val="22"/>
            <w:lang w:val="en-AU"/>
          </w:rPr>
          <w:tab/>
        </w:r>
        <w:r w:rsidR="00076093" w:rsidRPr="00C5169E">
          <w:rPr>
            <w:rStyle w:val="Hyperlink"/>
            <w:noProof/>
            <w:lang w:val="en-AU"/>
          </w:rPr>
          <w:t>Administration of immunomodulating agent: Item 14245</w:t>
        </w:r>
        <w:r w:rsidR="00076093">
          <w:rPr>
            <w:noProof/>
            <w:webHidden/>
          </w:rPr>
          <w:tab/>
        </w:r>
        <w:r w:rsidR="00076093">
          <w:rPr>
            <w:noProof/>
            <w:webHidden/>
          </w:rPr>
          <w:fldChar w:fldCharType="begin"/>
        </w:r>
        <w:r w:rsidR="00076093">
          <w:rPr>
            <w:noProof/>
            <w:webHidden/>
          </w:rPr>
          <w:instrText xml:space="preserve"> PAGEREF _Toc465871880 \h </w:instrText>
        </w:r>
        <w:r w:rsidR="00076093">
          <w:rPr>
            <w:noProof/>
            <w:webHidden/>
          </w:rPr>
        </w:r>
        <w:r w:rsidR="00076093">
          <w:rPr>
            <w:noProof/>
            <w:webHidden/>
          </w:rPr>
          <w:fldChar w:fldCharType="separate"/>
        </w:r>
        <w:r w:rsidR="00076093">
          <w:rPr>
            <w:noProof/>
            <w:webHidden/>
          </w:rPr>
          <w:t>31</w:t>
        </w:r>
        <w:r w:rsidR="00076093">
          <w:rPr>
            <w:noProof/>
            <w:webHidden/>
          </w:rPr>
          <w:fldChar w:fldCharType="end"/>
        </w:r>
      </w:hyperlink>
    </w:p>
    <w:p w14:paraId="513214F5" w14:textId="77777777" w:rsidR="00076093" w:rsidRDefault="005A5646">
      <w:pPr>
        <w:pStyle w:val="TOC2"/>
        <w:rPr>
          <w:rFonts w:eastAsiaTheme="minorEastAsia" w:cstheme="minorBidi"/>
          <w:i w:val="0"/>
          <w:iCs w:val="0"/>
          <w:noProof/>
          <w:sz w:val="22"/>
          <w:szCs w:val="22"/>
          <w:lang w:val="en-AU"/>
        </w:rPr>
      </w:pPr>
      <w:hyperlink w:anchor="_Toc465871881" w:history="1">
        <w:r w:rsidR="00076093" w:rsidRPr="00C5169E">
          <w:rPr>
            <w:rStyle w:val="Hyperlink"/>
            <w:noProof/>
            <w:lang w:val="en-AU"/>
          </w:rPr>
          <w:t>5.13</w:t>
        </w:r>
        <w:r w:rsidR="00076093">
          <w:rPr>
            <w:rFonts w:eastAsiaTheme="minorEastAsia" w:cstheme="minorBidi"/>
            <w:i w:val="0"/>
            <w:iCs w:val="0"/>
            <w:noProof/>
            <w:sz w:val="22"/>
            <w:szCs w:val="22"/>
            <w:lang w:val="en-AU"/>
          </w:rPr>
          <w:tab/>
        </w:r>
        <w:r w:rsidR="00076093" w:rsidRPr="00C5169E">
          <w:rPr>
            <w:rStyle w:val="Hyperlink"/>
            <w:noProof/>
            <w:lang w:val="en-AU"/>
          </w:rPr>
          <w:t>Bone or cartilage excision: Item 31340</w:t>
        </w:r>
        <w:r w:rsidR="00076093">
          <w:rPr>
            <w:noProof/>
            <w:webHidden/>
          </w:rPr>
          <w:tab/>
        </w:r>
        <w:r w:rsidR="00076093">
          <w:rPr>
            <w:noProof/>
            <w:webHidden/>
          </w:rPr>
          <w:fldChar w:fldCharType="begin"/>
        </w:r>
        <w:r w:rsidR="00076093">
          <w:rPr>
            <w:noProof/>
            <w:webHidden/>
          </w:rPr>
          <w:instrText xml:space="preserve"> PAGEREF _Toc465871881 \h </w:instrText>
        </w:r>
        <w:r w:rsidR="00076093">
          <w:rPr>
            <w:noProof/>
            <w:webHidden/>
          </w:rPr>
        </w:r>
        <w:r w:rsidR="00076093">
          <w:rPr>
            <w:noProof/>
            <w:webHidden/>
          </w:rPr>
          <w:fldChar w:fldCharType="separate"/>
        </w:r>
        <w:r w:rsidR="00076093">
          <w:rPr>
            <w:noProof/>
            <w:webHidden/>
          </w:rPr>
          <w:t>32</w:t>
        </w:r>
        <w:r w:rsidR="00076093">
          <w:rPr>
            <w:noProof/>
            <w:webHidden/>
          </w:rPr>
          <w:fldChar w:fldCharType="end"/>
        </w:r>
      </w:hyperlink>
    </w:p>
    <w:p w14:paraId="095AEBC6" w14:textId="77777777" w:rsidR="00076093" w:rsidRDefault="005A5646">
      <w:pPr>
        <w:pStyle w:val="TOC2"/>
        <w:rPr>
          <w:rFonts w:eastAsiaTheme="minorEastAsia" w:cstheme="minorBidi"/>
          <w:i w:val="0"/>
          <w:iCs w:val="0"/>
          <w:noProof/>
          <w:sz w:val="22"/>
          <w:szCs w:val="22"/>
          <w:lang w:val="en-AU"/>
        </w:rPr>
      </w:pPr>
      <w:hyperlink w:anchor="_Toc465871882" w:history="1">
        <w:r w:rsidR="00076093" w:rsidRPr="00C5169E">
          <w:rPr>
            <w:rStyle w:val="Hyperlink"/>
            <w:noProof/>
            <w:lang w:val="en-AU"/>
          </w:rPr>
          <w:t>5.14</w:t>
        </w:r>
        <w:r w:rsidR="00076093">
          <w:rPr>
            <w:rFonts w:eastAsiaTheme="minorEastAsia" w:cstheme="minorBidi"/>
            <w:i w:val="0"/>
            <w:iCs w:val="0"/>
            <w:noProof/>
            <w:sz w:val="22"/>
            <w:szCs w:val="22"/>
            <w:lang w:val="en-AU"/>
          </w:rPr>
          <w:tab/>
        </w:r>
        <w:r w:rsidR="00076093" w:rsidRPr="00C5169E">
          <w:rPr>
            <w:rStyle w:val="Hyperlink"/>
            <w:noProof/>
            <w:lang w:val="en-AU"/>
          </w:rPr>
          <w:t>Laser excision of face or neck tumours: Item 30190</w:t>
        </w:r>
        <w:r w:rsidR="00076093">
          <w:rPr>
            <w:noProof/>
            <w:webHidden/>
          </w:rPr>
          <w:tab/>
        </w:r>
        <w:r w:rsidR="00076093">
          <w:rPr>
            <w:noProof/>
            <w:webHidden/>
          </w:rPr>
          <w:fldChar w:fldCharType="begin"/>
        </w:r>
        <w:r w:rsidR="00076093">
          <w:rPr>
            <w:noProof/>
            <w:webHidden/>
          </w:rPr>
          <w:instrText xml:space="preserve"> PAGEREF _Toc465871882 \h </w:instrText>
        </w:r>
        <w:r w:rsidR="00076093">
          <w:rPr>
            <w:noProof/>
            <w:webHidden/>
          </w:rPr>
        </w:r>
        <w:r w:rsidR="00076093">
          <w:rPr>
            <w:noProof/>
            <w:webHidden/>
          </w:rPr>
          <w:fldChar w:fldCharType="separate"/>
        </w:r>
        <w:r w:rsidR="00076093">
          <w:rPr>
            <w:noProof/>
            <w:webHidden/>
          </w:rPr>
          <w:t>33</w:t>
        </w:r>
        <w:r w:rsidR="00076093">
          <w:rPr>
            <w:noProof/>
            <w:webHidden/>
          </w:rPr>
          <w:fldChar w:fldCharType="end"/>
        </w:r>
      </w:hyperlink>
    </w:p>
    <w:p w14:paraId="0013CC92" w14:textId="77777777" w:rsidR="00076093" w:rsidRDefault="005A5646">
      <w:pPr>
        <w:pStyle w:val="TOC2"/>
        <w:rPr>
          <w:rFonts w:eastAsiaTheme="minorEastAsia" w:cstheme="minorBidi"/>
          <w:i w:val="0"/>
          <w:iCs w:val="0"/>
          <w:noProof/>
          <w:sz w:val="22"/>
          <w:szCs w:val="22"/>
          <w:lang w:val="en-AU"/>
        </w:rPr>
      </w:pPr>
      <w:hyperlink w:anchor="_Toc465871883" w:history="1">
        <w:r w:rsidR="00076093" w:rsidRPr="00C5169E">
          <w:rPr>
            <w:rStyle w:val="Hyperlink"/>
            <w:noProof/>
            <w:lang w:val="en-AU"/>
          </w:rPr>
          <w:t>5.15</w:t>
        </w:r>
        <w:r w:rsidR="00076093">
          <w:rPr>
            <w:rFonts w:eastAsiaTheme="minorEastAsia" w:cstheme="minorBidi"/>
            <w:i w:val="0"/>
            <w:iCs w:val="0"/>
            <w:noProof/>
            <w:sz w:val="22"/>
            <w:szCs w:val="22"/>
            <w:lang w:val="en-AU"/>
          </w:rPr>
          <w:tab/>
        </w:r>
        <w:r w:rsidR="00076093" w:rsidRPr="00C5169E">
          <w:rPr>
            <w:rStyle w:val="Hyperlink"/>
            <w:noProof/>
            <w:lang w:val="en-AU"/>
          </w:rPr>
          <w:t>Laser resurfacing for face or neck: Items 45025 and 45026</w:t>
        </w:r>
        <w:r w:rsidR="00076093">
          <w:rPr>
            <w:noProof/>
            <w:webHidden/>
          </w:rPr>
          <w:tab/>
        </w:r>
        <w:r w:rsidR="00076093">
          <w:rPr>
            <w:noProof/>
            <w:webHidden/>
          </w:rPr>
          <w:fldChar w:fldCharType="begin"/>
        </w:r>
        <w:r w:rsidR="00076093">
          <w:rPr>
            <w:noProof/>
            <w:webHidden/>
          </w:rPr>
          <w:instrText xml:space="preserve"> PAGEREF _Toc465871883 \h </w:instrText>
        </w:r>
        <w:r w:rsidR="00076093">
          <w:rPr>
            <w:noProof/>
            <w:webHidden/>
          </w:rPr>
        </w:r>
        <w:r w:rsidR="00076093">
          <w:rPr>
            <w:noProof/>
            <w:webHidden/>
          </w:rPr>
          <w:fldChar w:fldCharType="separate"/>
        </w:r>
        <w:r w:rsidR="00076093">
          <w:rPr>
            <w:noProof/>
            <w:webHidden/>
          </w:rPr>
          <w:t>34</w:t>
        </w:r>
        <w:r w:rsidR="00076093">
          <w:rPr>
            <w:noProof/>
            <w:webHidden/>
          </w:rPr>
          <w:fldChar w:fldCharType="end"/>
        </w:r>
      </w:hyperlink>
    </w:p>
    <w:p w14:paraId="129BB503" w14:textId="77777777" w:rsidR="00076093" w:rsidRDefault="005A5646">
      <w:pPr>
        <w:pStyle w:val="TOC2"/>
        <w:rPr>
          <w:rFonts w:eastAsiaTheme="minorEastAsia" w:cstheme="minorBidi"/>
          <w:i w:val="0"/>
          <w:iCs w:val="0"/>
          <w:noProof/>
          <w:sz w:val="22"/>
          <w:szCs w:val="22"/>
          <w:lang w:val="en-AU"/>
        </w:rPr>
      </w:pPr>
      <w:hyperlink w:anchor="_Toc465871884" w:history="1">
        <w:r w:rsidR="00076093" w:rsidRPr="00C5169E">
          <w:rPr>
            <w:rStyle w:val="Hyperlink"/>
            <w:noProof/>
            <w:lang w:val="en-AU"/>
          </w:rPr>
          <w:t>5.16</w:t>
        </w:r>
        <w:r w:rsidR="00076093">
          <w:rPr>
            <w:rFonts w:eastAsiaTheme="minorEastAsia" w:cstheme="minorBidi"/>
            <w:i w:val="0"/>
            <w:iCs w:val="0"/>
            <w:noProof/>
            <w:sz w:val="22"/>
            <w:szCs w:val="22"/>
            <w:lang w:val="en-AU"/>
          </w:rPr>
          <w:tab/>
        </w:r>
        <w:r w:rsidR="00076093" w:rsidRPr="00C5169E">
          <w:rPr>
            <w:rStyle w:val="Hyperlink"/>
            <w:noProof/>
            <w:lang w:val="en-AU"/>
          </w:rPr>
          <w:t>Vermilionectomy using laser: Item 45669</w:t>
        </w:r>
        <w:r w:rsidR="00076093">
          <w:rPr>
            <w:noProof/>
            <w:webHidden/>
          </w:rPr>
          <w:tab/>
        </w:r>
        <w:r w:rsidR="00076093">
          <w:rPr>
            <w:noProof/>
            <w:webHidden/>
          </w:rPr>
          <w:fldChar w:fldCharType="begin"/>
        </w:r>
        <w:r w:rsidR="00076093">
          <w:rPr>
            <w:noProof/>
            <w:webHidden/>
          </w:rPr>
          <w:instrText xml:space="preserve"> PAGEREF _Toc465871884 \h </w:instrText>
        </w:r>
        <w:r w:rsidR="00076093">
          <w:rPr>
            <w:noProof/>
            <w:webHidden/>
          </w:rPr>
        </w:r>
        <w:r w:rsidR="00076093">
          <w:rPr>
            <w:noProof/>
            <w:webHidden/>
          </w:rPr>
          <w:fldChar w:fldCharType="separate"/>
        </w:r>
        <w:r w:rsidR="00076093">
          <w:rPr>
            <w:noProof/>
            <w:webHidden/>
          </w:rPr>
          <w:t>35</w:t>
        </w:r>
        <w:r w:rsidR="00076093">
          <w:rPr>
            <w:noProof/>
            <w:webHidden/>
          </w:rPr>
          <w:fldChar w:fldCharType="end"/>
        </w:r>
      </w:hyperlink>
    </w:p>
    <w:p w14:paraId="7A7C01DD" w14:textId="77777777" w:rsidR="00076093" w:rsidRDefault="005A5646">
      <w:pPr>
        <w:pStyle w:val="TOC2"/>
        <w:rPr>
          <w:rFonts w:eastAsiaTheme="minorEastAsia" w:cstheme="minorBidi"/>
          <w:i w:val="0"/>
          <w:iCs w:val="0"/>
          <w:noProof/>
          <w:sz w:val="22"/>
          <w:szCs w:val="22"/>
          <w:lang w:val="en-AU"/>
        </w:rPr>
      </w:pPr>
      <w:hyperlink w:anchor="_Toc465871885" w:history="1">
        <w:r w:rsidR="00076093" w:rsidRPr="00C5169E">
          <w:rPr>
            <w:rStyle w:val="Hyperlink"/>
            <w:noProof/>
            <w:lang w:val="en-AU"/>
          </w:rPr>
          <w:t>5.17</w:t>
        </w:r>
        <w:r w:rsidR="00076093">
          <w:rPr>
            <w:rFonts w:eastAsiaTheme="minorEastAsia" w:cstheme="minorBidi"/>
            <w:i w:val="0"/>
            <w:iCs w:val="0"/>
            <w:noProof/>
            <w:sz w:val="22"/>
            <w:szCs w:val="22"/>
            <w:lang w:val="en-AU"/>
          </w:rPr>
          <w:tab/>
        </w:r>
        <w:r w:rsidR="00076093" w:rsidRPr="00C5169E">
          <w:rPr>
            <w:rStyle w:val="Hyperlink"/>
            <w:noProof/>
            <w:lang w:val="en-AU"/>
          </w:rPr>
          <w:t>Treatment of rhinophyma using laser: Item 45652</w:t>
        </w:r>
        <w:r w:rsidR="00076093">
          <w:rPr>
            <w:noProof/>
            <w:webHidden/>
          </w:rPr>
          <w:tab/>
        </w:r>
        <w:r w:rsidR="00076093">
          <w:rPr>
            <w:noProof/>
            <w:webHidden/>
          </w:rPr>
          <w:fldChar w:fldCharType="begin"/>
        </w:r>
        <w:r w:rsidR="00076093">
          <w:rPr>
            <w:noProof/>
            <w:webHidden/>
          </w:rPr>
          <w:instrText xml:space="preserve"> PAGEREF _Toc465871885 \h </w:instrText>
        </w:r>
        <w:r w:rsidR="00076093">
          <w:rPr>
            <w:noProof/>
            <w:webHidden/>
          </w:rPr>
        </w:r>
        <w:r w:rsidR="00076093">
          <w:rPr>
            <w:noProof/>
            <w:webHidden/>
          </w:rPr>
          <w:fldChar w:fldCharType="separate"/>
        </w:r>
        <w:r w:rsidR="00076093">
          <w:rPr>
            <w:noProof/>
            <w:webHidden/>
          </w:rPr>
          <w:t>35</w:t>
        </w:r>
        <w:r w:rsidR="00076093">
          <w:rPr>
            <w:noProof/>
            <w:webHidden/>
          </w:rPr>
          <w:fldChar w:fldCharType="end"/>
        </w:r>
      </w:hyperlink>
    </w:p>
    <w:p w14:paraId="0260779D" w14:textId="77777777" w:rsidR="00076093" w:rsidRDefault="005A5646">
      <w:pPr>
        <w:pStyle w:val="TOC2"/>
        <w:rPr>
          <w:rFonts w:eastAsiaTheme="minorEastAsia" w:cstheme="minorBidi"/>
          <w:i w:val="0"/>
          <w:iCs w:val="0"/>
          <w:noProof/>
          <w:sz w:val="22"/>
          <w:szCs w:val="22"/>
          <w:lang w:val="en-AU"/>
        </w:rPr>
      </w:pPr>
      <w:hyperlink w:anchor="_Toc465871886" w:history="1">
        <w:r w:rsidR="00076093" w:rsidRPr="00C5169E">
          <w:rPr>
            <w:rStyle w:val="Hyperlink"/>
            <w:noProof/>
            <w:lang w:val="en-AU"/>
          </w:rPr>
          <w:t>5.18</w:t>
        </w:r>
        <w:r w:rsidR="00076093">
          <w:rPr>
            <w:rFonts w:eastAsiaTheme="minorEastAsia" w:cstheme="minorBidi"/>
            <w:i w:val="0"/>
            <w:iCs w:val="0"/>
            <w:noProof/>
            <w:sz w:val="22"/>
            <w:szCs w:val="22"/>
            <w:lang w:val="en-AU"/>
          </w:rPr>
          <w:tab/>
        </w:r>
        <w:r w:rsidR="00076093" w:rsidRPr="00C5169E">
          <w:rPr>
            <w:rStyle w:val="Hyperlink"/>
            <w:noProof/>
            <w:lang w:val="en-AU"/>
          </w:rPr>
          <w:t>Full-face chemical peel: Item 45019</w:t>
        </w:r>
        <w:r w:rsidR="00076093">
          <w:rPr>
            <w:noProof/>
            <w:webHidden/>
          </w:rPr>
          <w:tab/>
        </w:r>
        <w:r w:rsidR="00076093">
          <w:rPr>
            <w:noProof/>
            <w:webHidden/>
          </w:rPr>
          <w:fldChar w:fldCharType="begin"/>
        </w:r>
        <w:r w:rsidR="00076093">
          <w:rPr>
            <w:noProof/>
            <w:webHidden/>
          </w:rPr>
          <w:instrText xml:space="preserve"> PAGEREF _Toc465871886 \h </w:instrText>
        </w:r>
        <w:r w:rsidR="00076093">
          <w:rPr>
            <w:noProof/>
            <w:webHidden/>
          </w:rPr>
        </w:r>
        <w:r w:rsidR="00076093">
          <w:rPr>
            <w:noProof/>
            <w:webHidden/>
          </w:rPr>
          <w:fldChar w:fldCharType="separate"/>
        </w:r>
        <w:r w:rsidR="00076093">
          <w:rPr>
            <w:noProof/>
            <w:webHidden/>
          </w:rPr>
          <w:t>36</w:t>
        </w:r>
        <w:r w:rsidR="00076093">
          <w:rPr>
            <w:noProof/>
            <w:webHidden/>
          </w:rPr>
          <w:fldChar w:fldCharType="end"/>
        </w:r>
      </w:hyperlink>
    </w:p>
    <w:p w14:paraId="49D97AE8" w14:textId="77777777" w:rsidR="00076093" w:rsidRDefault="005A5646">
      <w:pPr>
        <w:pStyle w:val="TOC1"/>
        <w:rPr>
          <w:rFonts w:eastAsiaTheme="minorEastAsia" w:cstheme="minorBidi"/>
          <w:b w:val="0"/>
          <w:bCs w:val="0"/>
          <w:noProof/>
          <w:sz w:val="22"/>
          <w:szCs w:val="22"/>
          <w:lang w:val="en-AU"/>
        </w:rPr>
      </w:pPr>
      <w:hyperlink w:anchor="_Toc465871887" w:history="1">
        <w:r w:rsidR="00076093" w:rsidRPr="00C5169E">
          <w:rPr>
            <w:rStyle w:val="Hyperlink"/>
            <w:noProof/>
            <w:lang w:val="en-AU"/>
          </w:rPr>
          <w:t>6.</w:t>
        </w:r>
        <w:r w:rsidR="00076093">
          <w:rPr>
            <w:rFonts w:eastAsiaTheme="minorEastAsia" w:cstheme="minorBidi"/>
            <w:b w:val="0"/>
            <w:bCs w:val="0"/>
            <w:noProof/>
            <w:sz w:val="22"/>
            <w:szCs w:val="22"/>
            <w:lang w:val="en-AU"/>
          </w:rPr>
          <w:tab/>
        </w:r>
        <w:r w:rsidR="00076093" w:rsidRPr="00C5169E">
          <w:rPr>
            <w:rStyle w:val="Hyperlink"/>
            <w:noProof/>
            <w:lang w:val="en-AU"/>
          </w:rPr>
          <w:t>Stakeholder impact statement</w:t>
        </w:r>
        <w:r w:rsidR="00076093">
          <w:rPr>
            <w:noProof/>
            <w:webHidden/>
          </w:rPr>
          <w:tab/>
        </w:r>
        <w:r w:rsidR="00076093">
          <w:rPr>
            <w:noProof/>
            <w:webHidden/>
          </w:rPr>
          <w:fldChar w:fldCharType="begin"/>
        </w:r>
        <w:r w:rsidR="00076093">
          <w:rPr>
            <w:noProof/>
            <w:webHidden/>
          </w:rPr>
          <w:instrText xml:space="preserve"> PAGEREF _Toc465871887 \h </w:instrText>
        </w:r>
        <w:r w:rsidR="00076093">
          <w:rPr>
            <w:noProof/>
            <w:webHidden/>
          </w:rPr>
        </w:r>
        <w:r w:rsidR="00076093">
          <w:rPr>
            <w:noProof/>
            <w:webHidden/>
          </w:rPr>
          <w:fldChar w:fldCharType="separate"/>
        </w:r>
        <w:r w:rsidR="00076093">
          <w:rPr>
            <w:noProof/>
            <w:webHidden/>
          </w:rPr>
          <w:t>36</w:t>
        </w:r>
        <w:r w:rsidR="00076093">
          <w:rPr>
            <w:noProof/>
            <w:webHidden/>
          </w:rPr>
          <w:fldChar w:fldCharType="end"/>
        </w:r>
      </w:hyperlink>
    </w:p>
    <w:p w14:paraId="374CEAF4" w14:textId="77777777" w:rsidR="00076093" w:rsidRDefault="005A5646">
      <w:pPr>
        <w:pStyle w:val="TOC1"/>
        <w:rPr>
          <w:rFonts w:eastAsiaTheme="minorEastAsia" w:cstheme="minorBidi"/>
          <w:b w:val="0"/>
          <w:bCs w:val="0"/>
          <w:noProof/>
          <w:sz w:val="22"/>
          <w:szCs w:val="22"/>
          <w:lang w:val="en-AU"/>
        </w:rPr>
      </w:pPr>
      <w:hyperlink w:anchor="_Toc465871888" w:history="1">
        <w:r w:rsidR="00076093" w:rsidRPr="00C5169E">
          <w:rPr>
            <w:rStyle w:val="Hyperlink"/>
            <w:noProof/>
            <w:lang w:val="en-AU"/>
          </w:rPr>
          <w:t>7.</w:t>
        </w:r>
        <w:r w:rsidR="00076093">
          <w:rPr>
            <w:rFonts w:eastAsiaTheme="minorEastAsia" w:cstheme="minorBidi"/>
            <w:b w:val="0"/>
            <w:bCs w:val="0"/>
            <w:noProof/>
            <w:sz w:val="22"/>
            <w:szCs w:val="22"/>
            <w:lang w:val="en-AU"/>
          </w:rPr>
          <w:tab/>
        </w:r>
        <w:r w:rsidR="00076093" w:rsidRPr="00C5169E">
          <w:rPr>
            <w:rStyle w:val="Hyperlink"/>
            <w:noProof/>
            <w:lang w:val="en-AU"/>
          </w:rPr>
          <w:t>References</w:t>
        </w:r>
        <w:r w:rsidR="00076093">
          <w:rPr>
            <w:noProof/>
            <w:webHidden/>
          </w:rPr>
          <w:tab/>
        </w:r>
        <w:r w:rsidR="00076093">
          <w:rPr>
            <w:noProof/>
            <w:webHidden/>
          </w:rPr>
          <w:fldChar w:fldCharType="begin"/>
        </w:r>
        <w:r w:rsidR="00076093">
          <w:rPr>
            <w:noProof/>
            <w:webHidden/>
          </w:rPr>
          <w:instrText xml:space="preserve"> PAGEREF _Toc465871888 \h </w:instrText>
        </w:r>
        <w:r w:rsidR="00076093">
          <w:rPr>
            <w:noProof/>
            <w:webHidden/>
          </w:rPr>
        </w:r>
        <w:r w:rsidR="00076093">
          <w:rPr>
            <w:noProof/>
            <w:webHidden/>
          </w:rPr>
          <w:fldChar w:fldCharType="separate"/>
        </w:r>
        <w:r w:rsidR="00076093">
          <w:rPr>
            <w:noProof/>
            <w:webHidden/>
          </w:rPr>
          <w:t>37</w:t>
        </w:r>
        <w:r w:rsidR="00076093">
          <w:rPr>
            <w:noProof/>
            <w:webHidden/>
          </w:rPr>
          <w:fldChar w:fldCharType="end"/>
        </w:r>
      </w:hyperlink>
    </w:p>
    <w:p w14:paraId="1CDE66DD" w14:textId="77777777" w:rsidR="00076093" w:rsidRDefault="005A5646">
      <w:pPr>
        <w:pStyle w:val="TOC1"/>
        <w:tabs>
          <w:tab w:val="left" w:pos="1474"/>
        </w:tabs>
        <w:rPr>
          <w:rFonts w:eastAsiaTheme="minorEastAsia" w:cstheme="minorBidi"/>
          <w:b w:val="0"/>
          <w:bCs w:val="0"/>
          <w:noProof/>
          <w:sz w:val="22"/>
          <w:szCs w:val="22"/>
          <w:lang w:val="en-AU"/>
        </w:rPr>
      </w:pPr>
      <w:hyperlink w:anchor="_Toc465871889" w:history="1">
        <w:r w:rsidR="00076093" w:rsidRPr="00C5169E">
          <w:rPr>
            <w:rStyle w:val="Hyperlink"/>
            <w:noProof/>
            <w:lang w:val="en-AU"/>
          </w:rPr>
          <w:t>Appendix A -</w:t>
        </w:r>
        <w:r w:rsidR="00076093">
          <w:rPr>
            <w:rFonts w:eastAsiaTheme="minorEastAsia" w:cstheme="minorBidi"/>
            <w:b w:val="0"/>
            <w:bCs w:val="0"/>
            <w:noProof/>
            <w:sz w:val="22"/>
            <w:szCs w:val="22"/>
            <w:lang w:val="en-AU"/>
          </w:rPr>
          <w:tab/>
        </w:r>
        <w:r w:rsidR="00076093" w:rsidRPr="00C5169E">
          <w:rPr>
            <w:rStyle w:val="Hyperlink"/>
            <w:noProof/>
            <w:lang w:val="en-AU"/>
          </w:rPr>
          <w:t>Item recommendations list</w:t>
        </w:r>
        <w:r w:rsidR="00076093">
          <w:rPr>
            <w:noProof/>
            <w:webHidden/>
          </w:rPr>
          <w:tab/>
        </w:r>
        <w:r w:rsidR="00076093">
          <w:rPr>
            <w:noProof/>
            <w:webHidden/>
          </w:rPr>
          <w:fldChar w:fldCharType="begin"/>
        </w:r>
        <w:r w:rsidR="00076093">
          <w:rPr>
            <w:noProof/>
            <w:webHidden/>
          </w:rPr>
          <w:instrText xml:space="preserve"> PAGEREF _Toc465871889 \h </w:instrText>
        </w:r>
        <w:r w:rsidR="00076093">
          <w:rPr>
            <w:noProof/>
            <w:webHidden/>
          </w:rPr>
        </w:r>
        <w:r w:rsidR="00076093">
          <w:rPr>
            <w:noProof/>
            <w:webHidden/>
          </w:rPr>
          <w:fldChar w:fldCharType="separate"/>
        </w:r>
        <w:r w:rsidR="00076093">
          <w:rPr>
            <w:noProof/>
            <w:webHidden/>
          </w:rPr>
          <w:t>41</w:t>
        </w:r>
        <w:r w:rsidR="00076093">
          <w:rPr>
            <w:noProof/>
            <w:webHidden/>
          </w:rPr>
          <w:fldChar w:fldCharType="end"/>
        </w:r>
      </w:hyperlink>
    </w:p>
    <w:p w14:paraId="1B1CE60F" w14:textId="77777777" w:rsidR="00076093" w:rsidRDefault="005A5646">
      <w:pPr>
        <w:pStyle w:val="TOC1"/>
        <w:tabs>
          <w:tab w:val="left" w:pos="1474"/>
        </w:tabs>
        <w:rPr>
          <w:rFonts w:eastAsiaTheme="minorEastAsia" w:cstheme="minorBidi"/>
          <w:b w:val="0"/>
          <w:bCs w:val="0"/>
          <w:noProof/>
          <w:sz w:val="22"/>
          <w:szCs w:val="22"/>
          <w:lang w:val="en-AU"/>
        </w:rPr>
      </w:pPr>
      <w:hyperlink w:anchor="_Toc465871890" w:history="1">
        <w:r w:rsidR="00076093" w:rsidRPr="00C5169E">
          <w:rPr>
            <w:rStyle w:val="Hyperlink"/>
            <w:noProof/>
          </w:rPr>
          <w:t>Appendix B -</w:t>
        </w:r>
        <w:r w:rsidR="00076093">
          <w:rPr>
            <w:rFonts w:eastAsiaTheme="minorEastAsia" w:cstheme="minorBidi"/>
            <w:b w:val="0"/>
            <w:bCs w:val="0"/>
            <w:noProof/>
            <w:sz w:val="22"/>
            <w:szCs w:val="22"/>
            <w:lang w:val="en-AU"/>
          </w:rPr>
          <w:tab/>
        </w:r>
        <w:r w:rsidR="00076093" w:rsidRPr="00C5169E">
          <w:rPr>
            <w:rStyle w:val="Hyperlink"/>
            <w:noProof/>
          </w:rPr>
          <w:t>Consumer Summary Table</w:t>
        </w:r>
        <w:r w:rsidR="00076093">
          <w:rPr>
            <w:noProof/>
            <w:webHidden/>
          </w:rPr>
          <w:tab/>
        </w:r>
        <w:r w:rsidR="00076093">
          <w:rPr>
            <w:noProof/>
            <w:webHidden/>
          </w:rPr>
          <w:fldChar w:fldCharType="begin"/>
        </w:r>
        <w:r w:rsidR="00076093">
          <w:rPr>
            <w:noProof/>
            <w:webHidden/>
          </w:rPr>
          <w:instrText xml:space="preserve"> PAGEREF _Toc465871890 \h </w:instrText>
        </w:r>
        <w:r w:rsidR="00076093">
          <w:rPr>
            <w:noProof/>
            <w:webHidden/>
          </w:rPr>
        </w:r>
        <w:r w:rsidR="00076093">
          <w:rPr>
            <w:noProof/>
            <w:webHidden/>
          </w:rPr>
          <w:fldChar w:fldCharType="separate"/>
        </w:r>
        <w:r w:rsidR="00076093">
          <w:rPr>
            <w:noProof/>
            <w:webHidden/>
          </w:rPr>
          <w:t>50</w:t>
        </w:r>
        <w:r w:rsidR="00076093">
          <w:rPr>
            <w:noProof/>
            <w:webHidden/>
          </w:rPr>
          <w:fldChar w:fldCharType="end"/>
        </w:r>
      </w:hyperlink>
    </w:p>
    <w:p w14:paraId="3EB282A6" w14:textId="77777777" w:rsidR="00076093" w:rsidRDefault="005A5646">
      <w:pPr>
        <w:pStyle w:val="TOC1"/>
        <w:tabs>
          <w:tab w:val="left" w:pos="1474"/>
        </w:tabs>
        <w:rPr>
          <w:rFonts w:eastAsiaTheme="minorEastAsia" w:cstheme="minorBidi"/>
          <w:b w:val="0"/>
          <w:bCs w:val="0"/>
          <w:noProof/>
          <w:sz w:val="22"/>
          <w:szCs w:val="22"/>
          <w:lang w:val="en-AU"/>
        </w:rPr>
      </w:pPr>
      <w:hyperlink w:anchor="_Toc465871891" w:history="1">
        <w:r w:rsidR="00076093" w:rsidRPr="00C5169E">
          <w:rPr>
            <w:rStyle w:val="Hyperlink"/>
            <w:noProof/>
            <w:lang w:val="en-AU"/>
          </w:rPr>
          <w:t>Appendix C -</w:t>
        </w:r>
        <w:r w:rsidR="00076093">
          <w:rPr>
            <w:rFonts w:eastAsiaTheme="minorEastAsia" w:cstheme="minorBidi"/>
            <w:b w:val="0"/>
            <w:bCs w:val="0"/>
            <w:noProof/>
            <w:sz w:val="22"/>
            <w:szCs w:val="22"/>
            <w:lang w:val="en-AU"/>
          </w:rPr>
          <w:tab/>
        </w:r>
        <w:r w:rsidR="00076093" w:rsidRPr="00C5169E">
          <w:rPr>
            <w:rStyle w:val="Hyperlink"/>
            <w:noProof/>
            <w:lang w:val="en-AU"/>
          </w:rPr>
          <w:t>Glossary</w:t>
        </w:r>
        <w:r w:rsidR="00076093">
          <w:rPr>
            <w:noProof/>
            <w:webHidden/>
          </w:rPr>
          <w:tab/>
        </w:r>
        <w:r w:rsidR="00076093">
          <w:rPr>
            <w:noProof/>
            <w:webHidden/>
          </w:rPr>
          <w:fldChar w:fldCharType="begin"/>
        </w:r>
        <w:r w:rsidR="00076093">
          <w:rPr>
            <w:noProof/>
            <w:webHidden/>
          </w:rPr>
          <w:instrText xml:space="preserve"> PAGEREF _Toc465871891 \h </w:instrText>
        </w:r>
        <w:r w:rsidR="00076093">
          <w:rPr>
            <w:noProof/>
            <w:webHidden/>
          </w:rPr>
        </w:r>
        <w:r w:rsidR="00076093">
          <w:rPr>
            <w:noProof/>
            <w:webHidden/>
          </w:rPr>
          <w:fldChar w:fldCharType="separate"/>
        </w:r>
        <w:r w:rsidR="00076093">
          <w:rPr>
            <w:noProof/>
            <w:webHidden/>
          </w:rPr>
          <w:t>59</w:t>
        </w:r>
        <w:r w:rsidR="00076093">
          <w:rPr>
            <w:noProof/>
            <w:webHidden/>
          </w:rPr>
          <w:fldChar w:fldCharType="end"/>
        </w:r>
      </w:hyperlink>
    </w:p>
    <w:p w14:paraId="614AF2CB" w14:textId="77777777" w:rsidR="00F9335B" w:rsidRPr="00B0157E" w:rsidRDefault="00076093" w:rsidP="005125E2">
      <w:pPr>
        <w:rPr>
          <w:lang w:val="en-AU"/>
        </w:rPr>
      </w:pPr>
      <w:r>
        <w:rPr>
          <w:b/>
          <w:bCs/>
          <w:sz w:val="20"/>
          <w:szCs w:val="20"/>
          <w:lang w:val="en-AU"/>
        </w:rPr>
        <w:fldChar w:fldCharType="end"/>
      </w:r>
      <w:r w:rsidR="00F9335B" w:rsidRPr="00B0157E">
        <w:rPr>
          <w:lang w:val="en-AU"/>
        </w:rPr>
        <w:br w:type="page"/>
      </w:r>
    </w:p>
    <w:p w14:paraId="13514372" w14:textId="77777777" w:rsidR="00F9335B" w:rsidRPr="00B0157E" w:rsidRDefault="00F9335B" w:rsidP="005125E2">
      <w:pPr>
        <w:rPr>
          <w:b/>
          <w:color w:val="01653F"/>
          <w:sz w:val="32"/>
          <w:lang w:val="en-AU"/>
        </w:rPr>
      </w:pPr>
      <w:r w:rsidRPr="00B0157E">
        <w:rPr>
          <w:b/>
          <w:color w:val="01653F"/>
          <w:sz w:val="32"/>
          <w:lang w:val="en-AU"/>
        </w:rPr>
        <w:lastRenderedPageBreak/>
        <w:t>Tables</w:t>
      </w:r>
    </w:p>
    <w:p w14:paraId="2F951CE5" w14:textId="77777777" w:rsidR="00076093" w:rsidRDefault="00C1346F">
      <w:pPr>
        <w:pStyle w:val="TableofFigures"/>
        <w:tabs>
          <w:tab w:val="right" w:leader="dot" w:pos="9016"/>
        </w:tabs>
        <w:rPr>
          <w:rFonts w:eastAsiaTheme="minorEastAsia" w:cstheme="minorBidi"/>
          <w:noProof/>
          <w:sz w:val="22"/>
          <w:szCs w:val="22"/>
          <w:lang w:val="en-AU"/>
        </w:rPr>
      </w:pPr>
      <w:r w:rsidRPr="00B0157E">
        <w:rPr>
          <w:lang w:val="en-AU"/>
        </w:rPr>
        <w:fldChar w:fldCharType="begin"/>
      </w:r>
      <w:r w:rsidR="0025508F" w:rsidRPr="00B0157E">
        <w:rPr>
          <w:lang w:val="en-AU"/>
        </w:rPr>
        <w:instrText xml:space="preserve"> TOC \h \z \c "Table" </w:instrText>
      </w:r>
      <w:r w:rsidRPr="00B0157E">
        <w:rPr>
          <w:lang w:val="en-AU"/>
        </w:rPr>
        <w:fldChar w:fldCharType="separate"/>
      </w:r>
      <w:hyperlink w:anchor="_Toc465871824" w:history="1">
        <w:r w:rsidR="00076093" w:rsidRPr="009853E8">
          <w:rPr>
            <w:rStyle w:val="Hyperlink"/>
            <w:noProof/>
            <w:lang w:val="en-AU"/>
          </w:rPr>
          <w:t>Table 1. Members of the Committee</w:t>
        </w:r>
        <w:r w:rsidR="00076093">
          <w:rPr>
            <w:noProof/>
            <w:webHidden/>
          </w:rPr>
          <w:tab/>
        </w:r>
        <w:r w:rsidR="00076093">
          <w:rPr>
            <w:noProof/>
            <w:webHidden/>
          </w:rPr>
          <w:fldChar w:fldCharType="begin"/>
        </w:r>
        <w:r w:rsidR="00076093">
          <w:rPr>
            <w:noProof/>
            <w:webHidden/>
          </w:rPr>
          <w:instrText xml:space="preserve"> PAGEREF _Toc465871824 \h </w:instrText>
        </w:r>
        <w:r w:rsidR="00076093">
          <w:rPr>
            <w:noProof/>
            <w:webHidden/>
          </w:rPr>
        </w:r>
        <w:r w:rsidR="00076093">
          <w:rPr>
            <w:noProof/>
            <w:webHidden/>
          </w:rPr>
          <w:fldChar w:fldCharType="separate"/>
        </w:r>
        <w:r w:rsidR="00076093">
          <w:rPr>
            <w:noProof/>
            <w:webHidden/>
          </w:rPr>
          <w:t>8</w:t>
        </w:r>
        <w:r w:rsidR="00076093">
          <w:rPr>
            <w:noProof/>
            <w:webHidden/>
          </w:rPr>
          <w:fldChar w:fldCharType="end"/>
        </w:r>
      </w:hyperlink>
    </w:p>
    <w:p w14:paraId="068244AD"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25" w:history="1">
        <w:r w:rsidR="00076093" w:rsidRPr="009853E8">
          <w:rPr>
            <w:rStyle w:val="Hyperlink"/>
            <w:rFonts w:ascii="Arial" w:hAnsi="Arial"/>
            <w:noProof/>
            <w:lang w:val="en-AU"/>
          </w:rPr>
          <w:t xml:space="preserve">Table </w:t>
        </w:r>
        <w:r w:rsidR="00076093" w:rsidRPr="009853E8">
          <w:rPr>
            <w:rStyle w:val="Hyperlink"/>
            <w:noProof/>
            <w:lang w:val="en-AU"/>
          </w:rPr>
          <w:t>2. Members of the Laser Photocoagulation and Mohs Surgery Working Group</w:t>
        </w:r>
        <w:r w:rsidR="00076093">
          <w:rPr>
            <w:noProof/>
            <w:webHidden/>
          </w:rPr>
          <w:tab/>
        </w:r>
        <w:r w:rsidR="00076093">
          <w:rPr>
            <w:noProof/>
            <w:webHidden/>
          </w:rPr>
          <w:fldChar w:fldCharType="begin"/>
        </w:r>
        <w:r w:rsidR="00076093">
          <w:rPr>
            <w:noProof/>
            <w:webHidden/>
          </w:rPr>
          <w:instrText xml:space="preserve"> PAGEREF _Toc465871825 \h </w:instrText>
        </w:r>
        <w:r w:rsidR="00076093">
          <w:rPr>
            <w:noProof/>
            <w:webHidden/>
          </w:rPr>
        </w:r>
        <w:r w:rsidR="00076093">
          <w:rPr>
            <w:noProof/>
            <w:webHidden/>
          </w:rPr>
          <w:fldChar w:fldCharType="separate"/>
        </w:r>
        <w:r w:rsidR="00076093">
          <w:rPr>
            <w:noProof/>
            <w:webHidden/>
          </w:rPr>
          <w:t>8</w:t>
        </w:r>
        <w:r w:rsidR="00076093">
          <w:rPr>
            <w:noProof/>
            <w:webHidden/>
          </w:rPr>
          <w:fldChar w:fldCharType="end"/>
        </w:r>
      </w:hyperlink>
    </w:p>
    <w:p w14:paraId="4E915F43"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26" w:history="1">
        <w:r w:rsidR="00076093" w:rsidRPr="009853E8">
          <w:rPr>
            <w:rStyle w:val="Hyperlink"/>
            <w:noProof/>
            <w:lang w:val="en-AU"/>
          </w:rPr>
          <w:t>Table 3: Item introduction table for items 14050 and 14053</w:t>
        </w:r>
        <w:r w:rsidR="00076093">
          <w:rPr>
            <w:noProof/>
            <w:webHidden/>
          </w:rPr>
          <w:tab/>
        </w:r>
        <w:r w:rsidR="00076093">
          <w:rPr>
            <w:noProof/>
            <w:webHidden/>
          </w:rPr>
          <w:fldChar w:fldCharType="begin"/>
        </w:r>
        <w:r w:rsidR="00076093">
          <w:rPr>
            <w:noProof/>
            <w:webHidden/>
          </w:rPr>
          <w:instrText xml:space="preserve"> PAGEREF _Toc465871826 \h </w:instrText>
        </w:r>
        <w:r w:rsidR="00076093">
          <w:rPr>
            <w:noProof/>
            <w:webHidden/>
          </w:rPr>
        </w:r>
        <w:r w:rsidR="00076093">
          <w:rPr>
            <w:noProof/>
            <w:webHidden/>
          </w:rPr>
          <w:fldChar w:fldCharType="separate"/>
        </w:r>
        <w:r w:rsidR="00076093">
          <w:rPr>
            <w:noProof/>
            <w:webHidden/>
          </w:rPr>
          <w:t>12</w:t>
        </w:r>
        <w:r w:rsidR="00076093">
          <w:rPr>
            <w:noProof/>
            <w:webHidden/>
          </w:rPr>
          <w:fldChar w:fldCharType="end"/>
        </w:r>
      </w:hyperlink>
    </w:p>
    <w:p w14:paraId="3A0072F1"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27" w:history="1">
        <w:r w:rsidR="00076093" w:rsidRPr="009853E8">
          <w:rPr>
            <w:rStyle w:val="Hyperlink"/>
            <w:noProof/>
            <w:lang w:val="en-AU"/>
          </w:rPr>
          <w:t>Table 4: Item introduction table for items 30195–7</w:t>
        </w:r>
        <w:r w:rsidR="00076093">
          <w:rPr>
            <w:noProof/>
            <w:webHidden/>
          </w:rPr>
          <w:tab/>
        </w:r>
        <w:r w:rsidR="00076093">
          <w:rPr>
            <w:noProof/>
            <w:webHidden/>
          </w:rPr>
          <w:fldChar w:fldCharType="begin"/>
        </w:r>
        <w:r w:rsidR="00076093">
          <w:rPr>
            <w:noProof/>
            <w:webHidden/>
          </w:rPr>
          <w:instrText xml:space="preserve"> PAGEREF _Toc465871827 \h </w:instrText>
        </w:r>
        <w:r w:rsidR="00076093">
          <w:rPr>
            <w:noProof/>
            <w:webHidden/>
          </w:rPr>
        </w:r>
        <w:r w:rsidR="00076093">
          <w:rPr>
            <w:noProof/>
            <w:webHidden/>
          </w:rPr>
          <w:fldChar w:fldCharType="separate"/>
        </w:r>
        <w:r w:rsidR="00076093">
          <w:rPr>
            <w:noProof/>
            <w:webHidden/>
          </w:rPr>
          <w:t>14</w:t>
        </w:r>
        <w:r w:rsidR="00076093">
          <w:rPr>
            <w:noProof/>
            <w:webHidden/>
          </w:rPr>
          <w:fldChar w:fldCharType="end"/>
        </w:r>
      </w:hyperlink>
    </w:p>
    <w:p w14:paraId="3E466D14"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28" w:history="1">
        <w:r w:rsidR="00076093" w:rsidRPr="009853E8">
          <w:rPr>
            <w:rStyle w:val="Hyperlink"/>
            <w:noProof/>
            <w:lang w:val="en-AU"/>
          </w:rPr>
          <w:t>Table 5: Item introduction table for items 12003, 12000, 21981 and 53600</w:t>
        </w:r>
        <w:r w:rsidR="00076093">
          <w:rPr>
            <w:noProof/>
            <w:webHidden/>
          </w:rPr>
          <w:tab/>
        </w:r>
        <w:r w:rsidR="00076093">
          <w:rPr>
            <w:noProof/>
            <w:webHidden/>
          </w:rPr>
          <w:fldChar w:fldCharType="begin"/>
        </w:r>
        <w:r w:rsidR="00076093">
          <w:rPr>
            <w:noProof/>
            <w:webHidden/>
          </w:rPr>
          <w:instrText xml:space="preserve"> PAGEREF _Toc465871828 \h </w:instrText>
        </w:r>
        <w:r w:rsidR="00076093">
          <w:rPr>
            <w:noProof/>
            <w:webHidden/>
          </w:rPr>
        </w:r>
        <w:r w:rsidR="00076093">
          <w:rPr>
            <w:noProof/>
            <w:webHidden/>
          </w:rPr>
          <w:fldChar w:fldCharType="separate"/>
        </w:r>
        <w:r w:rsidR="00076093">
          <w:rPr>
            <w:noProof/>
            <w:webHidden/>
          </w:rPr>
          <w:t>17</w:t>
        </w:r>
        <w:r w:rsidR="00076093">
          <w:rPr>
            <w:noProof/>
            <w:webHidden/>
          </w:rPr>
          <w:fldChar w:fldCharType="end"/>
        </w:r>
      </w:hyperlink>
    </w:p>
    <w:p w14:paraId="2ED376D4"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29" w:history="1">
        <w:r w:rsidR="00076093" w:rsidRPr="009853E8">
          <w:rPr>
            <w:rStyle w:val="Hyperlink"/>
            <w:noProof/>
            <w:lang w:val="en-AU"/>
          </w:rPr>
          <w:t>Table 6: Item introduction table for items 30202–3 and 30205</w:t>
        </w:r>
        <w:r w:rsidR="00076093">
          <w:rPr>
            <w:noProof/>
            <w:webHidden/>
          </w:rPr>
          <w:tab/>
        </w:r>
        <w:r w:rsidR="00076093">
          <w:rPr>
            <w:noProof/>
            <w:webHidden/>
          </w:rPr>
          <w:fldChar w:fldCharType="begin"/>
        </w:r>
        <w:r w:rsidR="00076093">
          <w:rPr>
            <w:noProof/>
            <w:webHidden/>
          </w:rPr>
          <w:instrText xml:space="preserve"> PAGEREF _Toc465871829 \h </w:instrText>
        </w:r>
        <w:r w:rsidR="00076093">
          <w:rPr>
            <w:noProof/>
            <w:webHidden/>
          </w:rPr>
        </w:r>
        <w:r w:rsidR="00076093">
          <w:rPr>
            <w:noProof/>
            <w:webHidden/>
          </w:rPr>
          <w:fldChar w:fldCharType="separate"/>
        </w:r>
        <w:r w:rsidR="00076093">
          <w:rPr>
            <w:noProof/>
            <w:webHidden/>
          </w:rPr>
          <w:t>22</w:t>
        </w:r>
        <w:r w:rsidR="00076093">
          <w:rPr>
            <w:noProof/>
            <w:webHidden/>
          </w:rPr>
          <w:fldChar w:fldCharType="end"/>
        </w:r>
      </w:hyperlink>
    </w:p>
    <w:p w14:paraId="01825F56"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30" w:history="1">
        <w:r w:rsidR="00076093" w:rsidRPr="009853E8">
          <w:rPr>
            <w:rStyle w:val="Hyperlink"/>
            <w:noProof/>
            <w:lang w:val="en-AU"/>
          </w:rPr>
          <w:t>Table 7: Item introduction table for items 30185–6</w:t>
        </w:r>
        <w:r w:rsidR="00076093">
          <w:rPr>
            <w:noProof/>
            <w:webHidden/>
          </w:rPr>
          <w:tab/>
        </w:r>
        <w:r w:rsidR="00076093">
          <w:rPr>
            <w:noProof/>
            <w:webHidden/>
          </w:rPr>
          <w:fldChar w:fldCharType="begin"/>
        </w:r>
        <w:r w:rsidR="00076093">
          <w:rPr>
            <w:noProof/>
            <w:webHidden/>
          </w:rPr>
          <w:instrText xml:space="preserve"> PAGEREF _Toc465871830 \h </w:instrText>
        </w:r>
        <w:r w:rsidR="00076093">
          <w:rPr>
            <w:noProof/>
            <w:webHidden/>
          </w:rPr>
        </w:r>
        <w:r w:rsidR="00076093">
          <w:rPr>
            <w:noProof/>
            <w:webHidden/>
          </w:rPr>
          <w:fldChar w:fldCharType="separate"/>
        </w:r>
        <w:r w:rsidR="00076093">
          <w:rPr>
            <w:noProof/>
            <w:webHidden/>
          </w:rPr>
          <w:t>24</w:t>
        </w:r>
        <w:r w:rsidR="00076093">
          <w:rPr>
            <w:noProof/>
            <w:webHidden/>
          </w:rPr>
          <w:fldChar w:fldCharType="end"/>
        </w:r>
      </w:hyperlink>
    </w:p>
    <w:p w14:paraId="01902230"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31" w:history="1">
        <w:r w:rsidR="00076093" w:rsidRPr="009853E8">
          <w:rPr>
            <w:rStyle w:val="Hyperlink"/>
            <w:noProof/>
            <w:lang w:val="en-AU"/>
          </w:rPr>
          <w:t>Table 8: Item introduction table for items 14100, 14106, 14109, 14112, 14115, 14118 and 14124</w:t>
        </w:r>
        <w:r w:rsidR="00076093">
          <w:rPr>
            <w:noProof/>
            <w:webHidden/>
          </w:rPr>
          <w:tab/>
        </w:r>
        <w:r w:rsidR="00076093">
          <w:rPr>
            <w:noProof/>
            <w:webHidden/>
          </w:rPr>
          <w:fldChar w:fldCharType="begin"/>
        </w:r>
        <w:r w:rsidR="00076093">
          <w:rPr>
            <w:noProof/>
            <w:webHidden/>
          </w:rPr>
          <w:instrText xml:space="preserve"> PAGEREF _Toc465871831 \h </w:instrText>
        </w:r>
        <w:r w:rsidR="00076093">
          <w:rPr>
            <w:noProof/>
            <w:webHidden/>
          </w:rPr>
        </w:r>
        <w:r w:rsidR="00076093">
          <w:rPr>
            <w:noProof/>
            <w:webHidden/>
          </w:rPr>
          <w:fldChar w:fldCharType="separate"/>
        </w:r>
        <w:r w:rsidR="00076093">
          <w:rPr>
            <w:noProof/>
            <w:webHidden/>
          </w:rPr>
          <w:t>26</w:t>
        </w:r>
        <w:r w:rsidR="00076093">
          <w:rPr>
            <w:noProof/>
            <w:webHidden/>
          </w:rPr>
          <w:fldChar w:fldCharType="end"/>
        </w:r>
      </w:hyperlink>
    </w:p>
    <w:p w14:paraId="117C4AE8"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32" w:history="1">
        <w:r w:rsidR="00076093" w:rsidRPr="009853E8">
          <w:rPr>
            <w:rStyle w:val="Hyperlink"/>
            <w:noProof/>
            <w:lang w:val="en-AU"/>
          </w:rPr>
          <w:t>Table 9: Item introduction table for items 31000–2</w:t>
        </w:r>
        <w:r w:rsidR="00076093">
          <w:rPr>
            <w:noProof/>
            <w:webHidden/>
          </w:rPr>
          <w:tab/>
        </w:r>
        <w:r w:rsidR="00076093">
          <w:rPr>
            <w:noProof/>
            <w:webHidden/>
          </w:rPr>
          <w:fldChar w:fldCharType="begin"/>
        </w:r>
        <w:r w:rsidR="00076093">
          <w:rPr>
            <w:noProof/>
            <w:webHidden/>
          </w:rPr>
          <w:instrText xml:space="preserve"> PAGEREF _Toc465871832 \h </w:instrText>
        </w:r>
        <w:r w:rsidR="00076093">
          <w:rPr>
            <w:noProof/>
            <w:webHidden/>
          </w:rPr>
        </w:r>
        <w:r w:rsidR="00076093">
          <w:rPr>
            <w:noProof/>
            <w:webHidden/>
          </w:rPr>
          <w:fldChar w:fldCharType="separate"/>
        </w:r>
        <w:r w:rsidR="00076093">
          <w:rPr>
            <w:noProof/>
            <w:webHidden/>
          </w:rPr>
          <w:t>29</w:t>
        </w:r>
        <w:r w:rsidR="00076093">
          <w:rPr>
            <w:noProof/>
            <w:webHidden/>
          </w:rPr>
          <w:fldChar w:fldCharType="end"/>
        </w:r>
      </w:hyperlink>
    </w:p>
    <w:p w14:paraId="68525F7C"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33" w:history="1">
        <w:r w:rsidR="00076093" w:rsidRPr="009853E8">
          <w:rPr>
            <w:rStyle w:val="Hyperlink"/>
            <w:noProof/>
            <w:lang w:val="en-AU"/>
          </w:rPr>
          <w:t>Table 10: Item introduction table for items 30213–4</w:t>
        </w:r>
        <w:r w:rsidR="00076093">
          <w:rPr>
            <w:noProof/>
            <w:webHidden/>
          </w:rPr>
          <w:tab/>
        </w:r>
        <w:r w:rsidR="00076093">
          <w:rPr>
            <w:noProof/>
            <w:webHidden/>
          </w:rPr>
          <w:fldChar w:fldCharType="begin"/>
        </w:r>
        <w:r w:rsidR="00076093">
          <w:rPr>
            <w:noProof/>
            <w:webHidden/>
          </w:rPr>
          <w:instrText xml:space="preserve"> PAGEREF _Toc465871833 \h </w:instrText>
        </w:r>
        <w:r w:rsidR="00076093">
          <w:rPr>
            <w:noProof/>
            <w:webHidden/>
          </w:rPr>
        </w:r>
        <w:r w:rsidR="00076093">
          <w:rPr>
            <w:noProof/>
            <w:webHidden/>
          </w:rPr>
          <w:fldChar w:fldCharType="separate"/>
        </w:r>
        <w:r w:rsidR="00076093">
          <w:rPr>
            <w:noProof/>
            <w:webHidden/>
          </w:rPr>
          <w:t>30</w:t>
        </w:r>
        <w:r w:rsidR="00076093">
          <w:rPr>
            <w:noProof/>
            <w:webHidden/>
          </w:rPr>
          <w:fldChar w:fldCharType="end"/>
        </w:r>
      </w:hyperlink>
    </w:p>
    <w:p w14:paraId="3B260841"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34" w:history="1">
        <w:r w:rsidR="00076093" w:rsidRPr="009853E8">
          <w:rPr>
            <w:rStyle w:val="Hyperlink"/>
            <w:noProof/>
            <w:lang w:val="en-AU"/>
          </w:rPr>
          <w:t>Table 11: Item introduction table for item 30192</w:t>
        </w:r>
        <w:r w:rsidR="00076093">
          <w:rPr>
            <w:noProof/>
            <w:webHidden/>
          </w:rPr>
          <w:tab/>
        </w:r>
        <w:r w:rsidR="00076093">
          <w:rPr>
            <w:noProof/>
            <w:webHidden/>
          </w:rPr>
          <w:fldChar w:fldCharType="begin"/>
        </w:r>
        <w:r w:rsidR="00076093">
          <w:rPr>
            <w:noProof/>
            <w:webHidden/>
          </w:rPr>
          <w:instrText xml:space="preserve"> PAGEREF _Toc465871834 \h </w:instrText>
        </w:r>
        <w:r w:rsidR="00076093">
          <w:rPr>
            <w:noProof/>
            <w:webHidden/>
          </w:rPr>
        </w:r>
        <w:r w:rsidR="00076093">
          <w:rPr>
            <w:noProof/>
            <w:webHidden/>
          </w:rPr>
          <w:fldChar w:fldCharType="separate"/>
        </w:r>
        <w:r w:rsidR="00076093">
          <w:rPr>
            <w:noProof/>
            <w:webHidden/>
          </w:rPr>
          <w:t>30</w:t>
        </w:r>
        <w:r w:rsidR="00076093">
          <w:rPr>
            <w:noProof/>
            <w:webHidden/>
          </w:rPr>
          <w:fldChar w:fldCharType="end"/>
        </w:r>
      </w:hyperlink>
    </w:p>
    <w:p w14:paraId="3D176C7F"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35" w:history="1">
        <w:r w:rsidR="00076093" w:rsidRPr="009853E8">
          <w:rPr>
            <w:rStyle w:val="Hyperlink"/>
            <w:noProof/>
            <w:lang w:val="en-AU"/>
          </w:rPr>
          <w:t>Table 12: Item introduction table for items 30207 and 30210</w:t>
        </w:r>
        <w:r w:rsidR="00076093">
          <w:rPr>
            <w:noProof/>
            <w:webHidden/>
          </w:rPr>
          <w:tab/>
        </w:r>
        <w:r w:rsidR="00076093">
          <w:rPr>
            <w:noProof/>
            <w:webHidden/>
          </w:rPr>
          <w:fldChar w:fldCharType="begin"/>
        </w:r>
        <w:r w:rsidR="00076093">
          <w:rPr>
            <w:noProof/>
            <w:webHidden/>
          </w:rPr>
          <w:instrText xml:space="preserve"> PAGEREF _Toc465871835 \h </w:instrText>
        </w:r>
        <w:r w:rsidR="00076093">
          <w:rPr>
            <w:noProof/>
            <w:webHidden/>
          </w:rPr>
        </w:r>
        <w:r w:rsidR="00076093">
          <w:rPr>
            <w:noProof/>
            <w:webHidden/>
          </w:rPr>
          <w:fldChar w:fldCharType="separate"/>
        </w:r>
        <w:r w:rsidR="00076093">
          <w:rPr>
            <w:noProof/>
            <w:webHidden/>
          </w:rPr>
          <w:t>31</w:t>
        </w:r>
        <w:r w:rsidR="00076093">
          <w:rPr>
            <w:noProof/>
            <w:webHidden/>
          </w:rPr>
          <w:fldChar w:fldCharType="end"/>
        </w:r>
      </w:hyperlink>
    </w:p>
    <w:p w14:paraId="46AA1788"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36" w:history="1">
        <w:r w:rsidR="00076093" w:rsidRPr="009853E8">
          <w:rPr>
            <w:rStyle w:val="Hyperlink"/>
            <w:noProof/>
            <w:lang w:val="en-AU"/>
          </w:rPr>
          <w:t>Table 13: Item introduction table for item 15000</w:t>
        </w:r>
        <w:r w:rsidR="00076093">
          <w:rPr>
            <w:noProof/>
            <w:webHidden/>
          </w:rPr>
          <w:tab/>
        </w:r>
        <w:r w:rsidR="00076093">
          <w:rPr>
            <w:noProof/>
            <w:webHidden/>
          </w:rPr>
          <w:fldChar w:fldCharType="begin"/>
        </w:r>
        <w:r w:rsidR="00076093">
          <w:rPr>
            <w:noProof/>
            <w:webHidden/>
          </w:rPr>
          <w:instrText xml:space="preserve"> PAGEREF _Toc465871836 \h </w:instrText>
        </w:r>
        <w:r w:rsidR="00076093">
          <w:rPr>
            <w:noProof/>
            <w:webHidden/>
          </w:rPr>
        </w:r>
        <w:r w:rsidR="00076093">
          <w:rPr>
            <w:noProof/>
            <w:webHidden/>
          </w:rPr>
          <w:fldChar w:fldCharType="separate"/>
        </w:r>
        <w:r w:rsidR="00076093">
          <w:rPr>
            <w:noProof/>
            <w:webHidden/>
          </w:rPr>
          <w:t>32</w:t>
        </w:r>
        <w:r w:rsidR="00076093">
          <w:rPr>
            <w:noProof/>
            <w:webHidden/>
          </w:rPr>
          <w:fldChar w:fldCharType="end"/>
        </w:r>
      </w:hyperlink>
    </w:p>
    <w:p w14:paraId="06559C9E"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37" w:history="1">
        <w:r w:rsidR="00076093" w:rsidRPr="009853E8">
          <w:rPr>
            <w:rStyle w:val="Hyperlink"/>
            <w:noProof/>
            <w:lang w:val="en-AU"/>
          </w:rPr>
          <w:t>Table 14: Item introduction table for item 14245</w:t>
        </w:r>
        <w:r w:rsidR="00076093">
          <w:rPr>
            <w:noProof/>
            <w:webHidden/>
          </w:rPr>
          <w:tab/>
        </w:r>
        <w:r w:rsidR="00076093">
          <w:rPr>
            <w:noProof/>
            <w:webHidden/>
          </w:rPr>
          <w:fldChar w:fldCharType="begin"/>
        </w:r>
        <w:r w:rsidR="00076093">
          <w:rPr>
            <w:noProof/>
            <w:webHidden/>
          </w:rPr>
          <w:instrText xml:space="preserve"> PAGEREF _Toc465871837 \h </w:instrText>
        </w:r>
        <w:r w:rsidR="00076093">
          <w:rPr>
            <w:noProof/>
            <w:webHidden/>
          </w:rPr>
        </w:r>
        <w:r w:rsidR="00076093">
          <w:rPr>
            <w:noProof/>
            <w:webHidden/>
          </w:rPr>
          <w:fldChar w:fldCharType="separate"/>
        </w:r>
        <w:r w:rsidR="00076093">
          <w:rPr>
            <w:noProof/>
            <w:webHidden/>
          </w:rPr>
          <w:t>32</w:t>
        </w:r>
        <w:r w:rsidR="00076093">
          <w:rPr>
            <w:noProof/>
            <w:webHidden/>
          </w:rPr>
          <w:fldChar w:fldCharType="end"/>
        </w:r>
      </w:hyperlink>
    </w:p>
    <w:p w14:paraId="1D661591"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38" w:history="1">
        <w:r w:rsidR="00076093" w:rsidRPr="009853E8">
          <w:rPr>
            <w:rStyle w:val="Hyperlink"/>
            <w:noProof/>
            <w:lang w:val="en-AU"/>
          </w:rPr>
          <w:t>Table 15: Item introduction table for item 31340</w:t>
        </w:r>
        <w:r w:rsidR="00076093">
          <w:rPr>
            <w:noProof/>
            <w:webHidden/>
          </w:rPr>
          <w:tab/>
        </w:r>
        <w:r w:rsidR="00076093">
          <w:rPr>
            <w:noProof/>
            <w:webHidden/>
          </w:rPr>
          <w:fldChar w:fldCharType="begin"/>
        </w:r>
        <w:r w:rsidR="00076093">
          <w:rPr>
            <w:noProof/>
            <w:webHidden/>
          </w:rPr>
          <w:instrText xml:space="preserve"> PAGEREF _Toc465871838 \h </w:instrText>
        </w:r>
        <w:r w:rsidR="00076093">
          <w:rPr>
            <w:noProof/>
            <w:webHidden/>
          </w:rPr>
        </w:r>
        <w:r w:rsidR="00076093">
          <w:rPr>
            <w:noProof/>
            <w:webHidden/>
          </w:rPr>
          <w:fldChar w:fldCharType="separate"/>
        </w:r>
        <w:r w:rsidR="00076093">
          <w:rPr>
            <w:noProof/>
            <w:webHidden/>
          </w:rPr>
          <w:t>33</w:t>
        </w:r>
        <w:r w:rsidR="00076093">
          <w:rPr>
            <w:noProof/>
            <w:webHidden/>
          </w:rPr>
          <w:fldChar w:fldCharType="end"/>
        </w:r>
      </w:hyperlink>
    </w:p>
    <w:p w14:paraId="7056300B"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39" w:history="1">
        <w:r w:rsidR="00076093" w:rsidRPr="009853E8">
          <w:rPr>
            <w:rStyle w:val="Hyperlink"/>
            <w:noProof/>
            <w:lang w:val="en-AU"/>
          </w:rPr>
          <w:t>Table 16: Item introduction table for item 30190</w:t>
        </w:r>
        <w:r w:rsidR="00076093">
          <w:rPr>
            <w:noProof/>
            <w:webHidden/>
          </w:rPr>
          <w:tab/>
        </w:r>
        <w:r w:rsidR="00076093">
          <w:rPr>
            <w:noProof/>
            <w:webHidden/>
          </w:rPr>
          <w:fldChar w:fldCharType="begin"/>
        </w:r>
        <w:r w:rsidR="00076093">
          <w:rPr>
            <w:noProof/>
            <w:webHidden/>
          </w:rPr>
          <w:instrText xml:space="preserve"> PAGEREF _Toc465871839 \h </w:instrText>
        </w:r>
        <w:r w:rsidR="00076093">
          <w:rPr>
            <w:noProof/>
            <w:webHidden/>
          </w:rPr>
        </w:r>
        <w:r w:rsidR="00076093">
          <w:rPr>
            <w:noProof/>
            <w:webHidden/>
          </w:rPr>
          <w:fldChar w:fldCharType="separate"/>
        </w:r>
        <w:r w:rsidR="00076093">
          <w:rPr>
            <w:noProof/>
            <w:webHidden/>
          </w:rPr>
          <w:t>33</w:t>
        </w:r>
        <w:r w:rsidR="00076093">
          <w:rPr>
            <w:noProof/>
            <w:webHidden/>
          </w:rPr>
          <w:fldChar w:fldCharType="end"/>
        </w:r>
      </w:hyperlink>
    </w:p>
    <w:p w14:paraId="357E0411"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40" w:history="1">
        <w:r w:rsidR="00076093" w:rsidRPr="009853E8">
          <w:rPr>
            <w:rStyle w:val="Hyperlink"/>
            <w:noProof/>
            <w:lang w:val="en-AU"/>
          </w:rPr>
          <w:t>Table 17: Item introduction table for items 45025–6</w:t>
        </w:r>
        <w:r w:rsidR="00076093">
          <w:rPr>
            <w:noProof/>
            <w:webHidden/>
          </w:rPr>
          <w:tab/>
        </w:r>
        <w:r w:rsidR="00076093">
          <w:rPr>
            <w:noProof/>
            <w:webHidden/>
          </w:rPr>
          <w:fldChar w:fldCharType="begin"/>
        </w:r>
        <w:r w:rsidR="00076093">
          <w:rPr>
            <w:noProof/>
            <w:webHidden/>
          </w:rPr>
          <w:instrText xml:space="preserve"> PAGEREF _Toc465871840 \h </w:instrText>
        </w:r>
        <w:r w:rsidR="00076093">
          <w:rPr>
            <w:noProof/>
            <w:webHidden/>
          </w:rPr>
        </w:r>
        <w:r w:rsidR="00076093">
          <w:rPr>
            <w:noProof/>
            <w:webHidden/>
          </w:rPr>
          <w:fldChar w:fldCharType="separate"/>
        </w:r>
        <w:r w:rsidR="00076093">
          <w:rPr>
            <w:noProof/>
            <w:webHidden/>
          </w:rPr>
          <w:t>35</w:t>
        </w:r>
        <w:r w:rsidR="00076093">
          <w:rPr>
            <w:noProof/>
            <w:webHidden/>
          </w:rPr>
          <w:fldChar w:fldCharType="end"/>
        </w:r>
      </w:hyperlink>
    </w:p>
    <w:p w14:paraId="3E6ED392"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41" w:history="1">
        <w:r w:rsidR="00076093" w:rsidRPr="009853E8">
          <w:rPr>
            <w:rStyle w:val="Hyperlink"/>
            <w:noProof/>
            <w:lang w:val="en-AU"/>
          </w:rPr>
          <w:t>Table 18: Item introduction table for item 45669</w:t>
        </w:r>
        <w:r w:rsidR="00076093">
          <w:rPr>
            <w:noProof/>
            <w:webHidden/>
          </w:rPr>
          <w:tab/>
        </w:r>
        <w:r w:rsidR="00076093">
          <w:rPr>
            <w:noProof/>
            <w:webHidden/>
          </w:rPr>
          <w:fldChar w:fldCharType="begin"/>
        </w:r>
        <w:r w:rsidR="00076093">
          <w:rPr>
            <w:noProof/>
            <w:webHidden/>
          </w:rPr>
          <w:instrText xml:space="preserve"> PAGEREF _Toc465871841 \h </w:instrText>
        </w:r>
        <w:r w:rsidR="00076093">
          <w:rPr>
            <w:noProof/>
            <w:webHidden/>
          </w:rPr>
        </w:r>
        <w:r w:rsidR="00076093">
          <w:rPr>
            <w:noProof/>
            <w:webHidden/>
          </w:rPr>
          <w:fldChar w:fldCharType="separate"/>
        </w:r>
        <w:r w:rsidR="00076093">
          <w:rPr>
            <w:noProof/>
            <w:webHidden/>
          </w:rPr>
          <w:t>35</w:t>
        </w:r>
        <w:r w:rsidR="00076093">
          <w:rPr>
            <w:noProof/>
            <w:webHidden/>
          </w:rPr>
          <w:fldChar w:fldCharType="end"/>
        </w:r>
      </w:hyperlink>
    </w:p>
    <w:p w14:paraId="3CB7683F"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42" w:history="1">
        <w:r w:rsidR="00076093" w:rsidRPr="009853E8">
          <w:rPr>
            <w:rStyle w:val="Hyperlink"/>
            <w:noProof/>
            <w:lang w:val="en-AU"/>
          </w:rPr>
          <w:t>Table 19: Item introduction table for item 45652</w:t>
        </w:r>
        <w:r w:rsidR="00076093">
          <w:rPr>
            <w:noProof/>
            <w:webHidden/>
          </w:rPr>
          <w:tab/>
        </w:r>
        <w:r w:rsidR="00076093">
          <w:rPr>
            <w:noProof/>
            <w:webHidden/>
          </w:rPr>
          <w:fldChar w:fldCharType="begin"/>
        </w:r>
        <w:r w:rsidR="00076093">
          <w:rPr>
            <w:noProof/>
            <w:webHidden/>
          </w:rPr>
          <w:instrText xml:space="preserve"> PAGEREF _Toc465871842 \h </w:instrText>
        </w:r>
        <w:r w:rsidR="00076093">
          <w:rPr>
            <w:noProof/>
            <w:webHidden/>
          </w:rPr>
        </w:r>
        <w:r w:rsidR="00076093">
          <w:rPr>
            <w:noProof/>
            <w:webHidden/>
          </w:rPr>
          <w:fldChar w:fldCharType="separate"/>
        </w:r>
        <w:r w:rsidR="00076093">
          <w:rPr>
            <w:noProof/>
            <w:webHidden/>
          </w:rPr>
          <w:t>36</w:t>
        </w:r>
        <w:r w:rsidR="00076093">
          <w:rPr>
            <w:noProof/>
            <w:webHidden/>
          </w:rPr>
          <w:fldChar w:fldCharType="end"/>
        </w:r>
      </w:hyperlink>
    </w:p>
    <w:p w14:paraId="63271B6A" w14:textId="77777777" w:rsidR="00076093" w:rsidRDefault="005A5646">
      <w:pPr>
        <w:pStyle w:val="TableofFigures"/>
        <w:tabs>
          <w:tab w:val="right" w:leader="dot" w:pos="9016"/>
        </w:tabs>
        <w:rPr>
          <w:rFonts w:eastAsiaTheme="minorEastAsia" w:cstheme="minorBidi"/>
          <w:noProof/>
          <w:sz w:val="22"/>
          <w:szCs w:val="22"/>
          <w:lang w:val="en-AU"/>
        </w:rPr>
      </w:pPr>
      <w:hyperlink w:anchor="_Toc465871843" w:history="1">
        <w:r w:rsidR="00076093" w:rsidRPr="009853E8">
          <w:rPr>
            <w:rStyle w:val="Hyperlink"/>
            <w:noProof/>
            <w:lang w:val="en-AU"/>
          </w:rPr>
          <w:t>Table 20: Item introduction table for item 45019</w:t>
        </w:r>
        <w:r w:rsidR="00076093">
          <w:rPr>
            <w:noProof/>
            <w:webHidden/>
          </w:rPr>
          <w:tab/>
        </w:r>
        <w:r w:rsidR="00076093">
          <w:rPr>
            <w:noProof/>
            <w:webHidden/>
          </w:rPr>
          <w:fldChar w:fldCharType="begin"/>
        </w:r>
        <w:r w:rsidR="00076093">
          <w:rPr>
            <w:noProof/>
            <w:webHidden/>
          </w:rPr>
          <w:instrText xml:space="preserve"> PAGEREF _Toc465871843 \h </w:instrText>
        </w:r>
        <w:r w:rsidR="00076093">
          <w:rPr>
            <w:noProof/>
            <w:webHidden/>
          </w:rPr>
        </w:r>
        <w:r w:rsidR="00076093">
          <w:rPr>
            <w:noProof/>
            <w:webHidden/>
          </w:rPr>
          <w:fldChar w:fldCharType="separate"/>
        </w:r>
        <w:r w:rsidR="00076093">
          <w:rPr>
            <w:noProof/>
            <w:webHidden/>
          </w:rPr>
          <w:t>36</w:t>
        </w:r>
        <w:r w:rsidR="00076093">
          <w:rPr>
            <w:noProof/>
            <w:webHidden/>
          </w:rPr>
          <w:fldChar w:fldCharType="end"/>
        </w:r>
      </w:hyperlink>
    </w:p>
    <w:p w14:paraId="6E53AC3D" w14:textId="77777777" w:rsidR="0025508F" w:rsidRPr="00B0157E" w:rsidRDefault="00C1346F" w:rsidP="005125E2">
      <w:pPr>
        <w:rPr>
          <w:lang w:val="en-AU"/>
        </w:rPr>
      </w:pPr>
      <w:r w:rsidRPr="00B0157E">
        <w:rPr>
          <w:lang w:val="en-AU"/>
        </w:rPr>
        <w:fldChar w:fldCharType="end"/>
      </w:r>
    </w:p>
    <w:p w14:paraId="1B038E3B" w14:textId="77777777" w:rsidR="00F9335B" w:rsidRPr="00B0157E" w:rsidRDefault="00F9335B" w:rsidP="005125E2">
      <w:pPr>
        <w:rPr>
          <w:lang w:val="en-AU"/>
        </w:rPr>
      </w:pPr>
      <w:r w:rsidRPr="00B0157E">
        <w:rPr>
          <w:lang w:val="en-AU"/>
        </w:rPr>
        <w:br w:type="page"/>
      </w:r>
    </w:p>
    <w:p w14:paraId="727440D3" w14:textId="77777777" w:rsidR="00F9335B" w:rsidRPr="00B0157E" w:rsidRDefault="00F9335B" w:rsidP="005125E2">
      <w:pPr>
        <w:rPr>
          <w:b/>
          <w:color w:val="01653F"/>
          <w:sz w:val="32"/>
          <w:lang w:val="en-AU"/>
        </w:rPr>
      </w:pPr>
      <w:r w:rsidRPr="00B0157E">
        <w:rPr>
          <w:b/>
          <w:color w:val="01653F"/>
          <w:sz w:val="32"/>
          <w:lang w:val="en-AU"/>
        </w:rPr>
        <w:lastRenderedPageBreak/>
        <w:t xml:space="preserve">Figures </w:t>
      </w:r>
    </w:p>
    <w:p w14:paraId="70E7E539" w14:textId="77777777" w:rsidR="00076093" w:rsidRDefault="00C624B1">
      <w:pPr>
        <w:pStyle w:val="TOC1"/>
        <w:rPr>
          <w:rFonts w:eastAsiaTheme="minorEastAsia" w:cstheme="minorBidi"/>
          <w:b w:val="0"/>
          <w:bCs w:val="0"/>
          <w:noProof/>
          <w:sz w:val="22"/>
          <w:szCs w:val="22"/>
          <w:lang w:val="en-AU"/>
        </w:rPr>
      </w:pPr>
      <w:r w:rsidRPr="00E03DD0">
        <w:rPr>
          <w:b w:val="0"/>
          <w:lang w:val="en-AU"/>
        </w:rPr>
        <w:fldChar w:fldCharType="begin"/>
      </w:r>
      <w:r w:rsidRPr="00E03DD0">
        <w:rPr>
          <w:b w:val="0"/>
          <w:lang w:val="en-AU"/>
        </w:rPr>
        <w:instrText xml:space="preserve"> TOC \h \z \t "Figure,1" </w:instrText>
      </w:r>
      <w:r w:rsidRPr="00E03DD0">
        <w:rPr>
          <w:b w:val="0"/>
          <w:lang w:val="en-AU"/>
        </w:rPr>
        <w:fldChar w:fldCharType="separate"/>
      </w:r>
      <w:hyperlink w:anchor="_Toc465871844" w:history="1">
        <w:r w:rsidR="00076093" w:rsidRPr="0095302E">
          <w:rPr>
            <w:rStyle w:val="Hyperlink"/>
            <w:noProof/>
          </w:rPr>
          <w:t>Figure 1: Prioritisation matrix</w:t>
        </w:r>
        <w:r w:rsidR="00076093">
          <w:rPr>
            <w:noProof/>
            <w:webHidden/>
          </w:rPr>
          <w:tab/>
        </w:r>
        <w:r w:rsidR="00076093">
          <w:rPr>
            <w:noProof/>
            <w:webHidden/>
          </w:rPr>
          <w:fldChar w:fldCharType="begin"/>
        </w:r>
        <w:r w:rsidR="00076093">
          <w:rPr>
            <w:noProof/>
            <w:webHidden/>
          </w:rPr>
          <w:instrText xml:space="preserve"> PAGEREF _Toc465871844 \h </w:instrText>
        </w:r>
        <w:r w:rsidR="00076093">
          <w:rPr>
            <w:noProof/>
            <w:webHidden/>
          </w:rPr>
        </w:r>
        <w:r w:rsidR="00076093">
          <w:rPr>
            <w:noProof/>
            <w:webHidden/>
          </w:rPr>
          <w:fldChar w:fldCharType="separate"/>
        </w:r>
        <w:r w:rsidR="00076093">
          <w:rPr>
            <w:noProof/>
            <w:webHidden/>
          </w:rPr>
          <w:t>7</w:t>
        </w:r>
        <w:r w:rsidR="00076093">
          <w:rPr>
            <w:noProof/>
            <w:webHidden/>
          </w:rPr>
          <w:fldChar w:fldCharType="end"/>
        </w:r>
      </w:hyperlink>
    </w:p>
    <w:p w14:paraId="0B519E3E" w14:textId="77777777" w:rsidR="00076093" w:rsidRDefault="005A5646">
      <w:pPr>
        <w:pStyle w:val="TOC1"/>
        <w:rPr>
          <w:rFonts w:eastAsiaTheme="minorEastAsia" w:cstheme="minorBidi"/>
          <w:b w:val="0"/>
          <w:bCs w:val="0"/>
          <w:noProof/>
          <w:sz w:val="22"/>
          <w:szCs w:val="22"/>
          <w:lang w:val="en-AU"/>
        </w:rPr>
      </w:pPr>
      <w:hyperlink w:anchor="_Toc465871845" w:history="1">
        <w:r w:rsidR="00076093" w:rsidRPr="0095302E">
          <w:rPr>
            <w:rStyle w:val="Hyperlink"/>
            <w:noProof/>
          </w:rPr>
          <w:t>Figure 2: Dermatology, allergy and immunology items drivers of growth</w:t>
        </w:r>
        <w:r w:rsidR="00076093">
          <w:rPr>
            <w:noProof/>
            <w:webHidden/>
          </w:rPr>
          <w:tab/>
        </w:r>
        <w:r w:rsidR="00076093">
          <w:rPr>
            <w:noProof/>
            <w:webHidden/>
          </w:rPr>
          <w:fldChar w:fldCharType="begin"/>
        </w:r>
        <w:r w:rsidR="00076093">
          <w:rPr>
            <w:noProof/>
            <w:webHidden/>
          </w:rPr>
          <w:instrText xml:space="preserve"> PAGEREF _Toc465871845 \h </w:instrText>
        </w:r>
        <w:r w:rsidR="00076093">
          <w:rPr>
            <w:noProof/>
            <w:webHidden/>
          </w:rPr>
        </w:r>
        <w:r w:rsidR="00076093">
          <w:rPr>
            <w:noProof/>
            <w:webHidden/>
          </w:rPr>
          <w:fldChar w:fldCharType="separate"/>
        </w:r>
        <w:r w:rsidR="00076093">
          <w:rPr>
            <w:noProof/>
            <w:webHidden/>
          </w:rPr>
          <w:t>10</w:t>
        </w:r>
        <w:r w:rsidR="00076093">
          <w:rPr>
            <w:noProof/>
            <w:webHidden/>
          </w:rPr>
          <w:fldChar w:fldCharType="end"/>
        </w:r>
      </w:hyperlink>
    </w:p>
    <w:p w14:paraId="55305E9A" w14:textId="77777777" w:rsidR="00076093" w:rsidRDefault="005A5646">
      <w:pPr>
        <w:pStyle w:val="TOC1"/>
        <w:rPr>
          <w:rFonts w:eastAsiaTheme="minorEastAsia" w:cstheme="minorBidi"/>
          <w:b w:val="0"/>
          <w:bCs w:val="0"/>
          <w:noProof/>
          <w:sz w:val="22"/>
          <w:szCs w:val="22"/>
          <w:lang w:val="en-AU"/>
        </w:rPr>
      </w:pPr>
      <w:hyperlink w:anchor="_Toc465871846" w:history="1">
        <w:r w:rsidR="00076093" w:rsidRPr="0095302E">
          <w:rPr>
            <w:rStyle w:val="Hyperlink"/>
            <w:noProof/>
          </w:rPr>
          <w:t>Figure 3: Dermatology, allergy and immunology top ten 10 items by service volume</w:t>
        </w:r>
        <w:r w:rsidR="00076093">
          <w:rPr>
            <w:noProof/>
            <w:webHidden/>
          </w:rPr>
          <w:tab/>
        </w:r>
        <w:r w:rsidR="00076093">
          <w:rPr>
            <w:noProof/>
            <w:webHidden/>
          </w:rPr>
          <w:fldChar w:fldCharType="begin"/>
        </w:r>
        <w:r w:rsidR="00076093">
          <w:rPr>
            <w:noProof/>
            <w:webHidden/>
          </w:rPr>
          <w:instrText xml:space="preserve"> PAGEREF _Toc465871846 \h </w:instrText>
        </w:r>
        <w:r w:rsidR="00076093">
          <w:rPr>
            <w:noProof/>
            <w:webHidden/>
          </w:rPr>
        </w:r>
        <w:r w:rsidR="00076093">
          <w:rPr>
            <w:noProof/>
            <w:webHidden/>
          </w:rPr>
          <w:fldChar w:fldCharType="separate"/>
        </w:r>
        <w:r w:rsidR="00076093">
          <w:rPr>
            <w:noProof/>
            <w:webHidden/>
          </w:rPr>
          <w:t>11</w:t>
        </w:r>
        <w:r w:rsidR="00076093">
          <w:rPr>
            <w:noProof/>
            <w:webHidden/>
          </w:rPr>
          <w:fldChar w:fldCharType="end"/>
        </w:r>
      </w:hyperlink>
    </w:p>
    <w:p w14:paraId="3BAA2EFC" w14:textId="77777777" w:rsidR="00076093" w:rsidRDefault="005A5646">
      <w:pPr>
        <w:pStyle w:val="TOC1"/>
        <w:rPr>
          <w:rFonts w:eastAsiaTheme="minorEastAsia" w:cstheme="minorBidi"/>
          <w:b w:val="0"/>
          <w:bCs w:val="0"/>
          <w:noProof/>
          <w:sz w:val="22"/>
          <w:szCs w:val="22"/>
          <w:lang w:val="en-AU"/>
        </w:rPr>
      </w:pPr>
      <w:hyperlink w:anchor="_Toc465871847" w:history="1">
        <w:r w:rsidR="00076093" w:rsidRPr="0095302E">
          <w:rPr>
            <w:rStyle w:val="Hyperlink"/>
            <w:noProof/>
          </w:rPr>
          <w:t>Figure 4: Count of patients by the number of lesions removed on the same day under items 30196-30197</w:t>
        </w:r>
        <w:r w:rsidR="00076093">
          <w:rPr>
            <w:noProof/>
            <w:webHidden/>
          </w:rPr>
          <w:tab/>
        </w:r>
        <w:r w:rsidR="00076093">
          <w:rPr>
            <w:noProof/>
            <w:webHidden/>
          </w:rPr>
          <w:fldChar w:fldCharType="begin"/>
        </w:r>
        <w:r w:rsidR="00076093">
          <w:rPr>
            <w:noProof/>
            <w:webHidden/>
          </w:rPr>
          <w:instrText xml:space="preserve"> PAGEREF _Toc465871847 \h </w:instrText>
        </w:r>
        <w:r w:rsidR="00076093">
          <w:rPr>
            <w:noProof/>
            <w:webHidden/>
          </w:rPr>
        </w:r>
        <w:r w:rsidR="00076093">
          <w:rPr>
            <w:noProof/>
            <w:webHidden/>
          </w:rPr>
          <w:fldChar w:fldCharType="separate"/>
        </w:r>
        <w:r w:rsidR="00076093">
          <w:rPr>
            <w:noProof/>
            <w:webHidden/>
          </w:rPr>
          <w:t>17</w:t>
        </w:r>
        <w:r w:rsidR="00076093">
          <w:rPr>
            <w:noProof/>
            <w:webHidden/>
          </w:rPr>
          <w:fldChar w:fldCharType="end"/>
        </w:r>
      </w:hyperlink>
    </w:p>
    <w:p w14:paraId="0AD948C0" w14:textId="77777777" w:rsidR="00076093" w:rsidRDefault="005A5646">
      <w:pPr>
        <w:pStyle w:val="TOC1"/>
        <w:rPr>
          <w:rFonts w:eastAsiaTheme="minorEastAsia" w:cstheme="minorBidi"/>
          <w:b w:val="0"/>
          <w:bCs w:val="0"/>
          <w:noProof/>
          <w:sz w:val="22"/>
          <w:szCs w:val="22"/>
          <w:lang w:val="en-AU"/>
        </w:rPr>
      </w:pPr>
      <w:hyperlink w:anchor="_Toc465871848" w:history="1">
        <w:r w:rsidR="00076093" w:rsidRPr="0095302E">
          <w:rPr>
            <w:rStyle w:val="Hyperlink"/>
            <w:noProof/>
          </w:rPr>
          <w:t>Figure 5: Count of patients by the number of lesions removed on the same day under items 30202-30203</w:t>
        </w:r>
        <w:r w:rsidR="00076093">
          <w:rPr>
            <w:noProof/>
            <w:webHidden/>
          </w:rPr>
          <w:tab/>
        </w:r>
        <w:r w:rsidR="00076093">
          <w:rPr>
            <w:noProof/>
            <w:webHidden/>
          </w:rPr>
          <w:fldChar w:fldCharType="begin"/>
        </w:r>
        <w:r w:rsidR="00076093">
          <w:rPr>
            <w:noProof/>
            <w:webHidden/>
          </w:rPr>
          <w:instrText xml:space="preserve"> PAGEREF _Toc465871848 \h </w:instrText>
        </w:r>
        <w:r w:rsidR="00076093">
          <w:rPr>
            <w:noProof/>
            <w:webHidden/>
          </w:rPr>
        </w:r>
        <w:r w:rsidR="00076093">
          <w:rPr>
            <w:noProof/>
            <w:webHidden/>
          </w:rPr>
          <w:fldChar w:fldCharType="separate"/>
        </w:r>
        <w:r w:rsidR="00076093">
          <w:rPr>
            <w:noProof/>
            <w:webHidden/>
          </w:rPr>
          <w:t>24</w:t>
        </w:r>
        <w:r w:rsidR="00076093">
          <w:rPr>
            <w:noProof/>
            <w:webHidden/>
          </w:rPr>
          <w:fldChar w:fldCharType="end"/>
        </w:r>
      </w:hyperlink>
    </w:p>
    <w:p w14:paraId="4CC8A100" w14:textId="77777777" w:rsidR="00D34B88" w:rsidRDefault="00C624B1" w:rsidP="005125E2">
      <w:pPr>
        <w:rPr>
          <w:lang w:val="en-AU"/>
        </w:rPr>
        <w:sectPr w:rsidR="00D34B88" w:rsidSect="00D34B88">
          <w:footerReference w:type="default" r:id="rId15"/>
          <w:pgSz w:w="11906" w:h="16838" w:code="9"/>
          <w:pgMar w:top="1440" w:right="1440" w:bottom="1276" w:left="1440" w:header="720" w:footer="720" w:gutter="0"/>
          <w:paperSrc w:first="2" w:other="2"/>
          <w:pgNumType w:fmt="lowerRoman" w:start="1"/>
          <w:cols w:space="720"/>
          <w:docGrid w:linePitch="326"/>
        </w:sectPr>
      </w:pPr>
      <w:r w:rsidRPr="00E03DD0">
        <w:rPr>
          <w:lang w:val="en-AU"/>
        </w:rPr>
        <w:fldChar w:fldCharType="end"/>
      </w:r>
      <w:r w:rsidR="00262127" w:rsidRPr="00E03DD0">
        <w:rPr>
          <w:lang w:val="en-AU"/>
        </w:rPr>
        <w:br w:type="page"/>
      </w:r>
    </w:p>
    <w:p w14:paraId="47D56021" w14:textId="77777777" w:rsidR="00512F2C" w:rsidRPr="00674752" w:rsidRDefault="00262127" w:rsidP="00674752">
      <w:pPr>
        <w:pStyle w:val="Heading1"/>
      </w:pPr>
      <w:bookmarkStart w:id="2" w:name="_Toc456045422"/>
      <w:bookmarkStart w:id="3" w:name="_Ref463869545"/>
      <w:bookmarkStart w:id="4" w:name="_Toc465871855"/>
      <w:bookmarkEnd w:id="0"/>
      <w:r w:rsidRPr="00B0157E">
        <w:rPr>
          <w:lang w:val="en-AU"/>
        </w:rPr>
        <w:lastRenderedPageBreak/>
        <w:t xml:space="preserve">Executive </w:t>
      </w:r>
      <w:r w:rsidR="00CB14FC" w:rsidRPr="00B0157E">
        <w:rPr>
          <w:lang w:val="en-AU"/>
        </w:rPr>
        <w:t>s</w:t>
      </w:r>
      <w:r w:rsidRPr="00B0157E">
        <w:rPr>
          <w:lang w:val="en-AU"/>
        </w:rPr>
        <w:t>ummary</w:t>
      </w:r>
      <w:bookmarkEnd w:id="2"/>
      <w:bookmarkEnd w:id="3"/>
      <w:bookmarkEnd w:id="4"/>
    </w:p>
    <w:p w14:paraId="5FD5B7BD" w14:textId="77777777" w:rsidR="00C023CC" w:rsidRPr="00B0157E" w:rsidRDefault="00C023CC">
      <w:pPr>
        <w:rPr>
          <w:lang w:val="en-AU"/>
        </w:rPr>
      </w:pPr>
      <w:r w:rsidRPr="00B0157E">
        <w:rPr>
          <w:lang w:val="en-AU"/>
        </w:rPr>
        <w:t xml:space="preserve">The Medicare Benefits Schedule (MBS) Review Taskforce (the Taskforce) is undertaking a program of work that considers how more than 5,700 items on the MBS can be aligned with contemporary clinical evidence and practice </w:t>
      </w:r>
      <w:r w:rsidR="00A56FA9">
        <w:rPr>
          <w:lang w:val="en-AU"/>
        </w:rPr>
        <w:t xml:space="preserve">and </w:t>
      </w:r>
      <w:r w:rsidRPr="00B0157E">
        <w:rPr>
          <w:lang w:val="en-AU"/>
        </w:rPr>
        <w:t>improve</w:t>
      </w:r>
      <w:r w:rsidR="00A56FA9">
        <w:rPr>
          <w:lang w:val="en-AU"/>
        </w:rPr>
        <w:t>s</w:t>
      </w:r>
      <w:r w:rsidRPr="00B0157E">
        <w:rPr>
          <w:lang w:val="en-AU"/>
        </w:rPr>
        <w:t xml:space="preserve"> health outcomes for patients. The Taskforce </w:t>
      </w:r>
      <w:r w:rsidR="00A56FA9">
        <w:rPr>
          <w:lang w:val="en-AU"/>
        </w:rPr>
        <w:t xml:space="preserve">will </w:t>
      </w:r>
      <w:r w:rsidRPr="00B0157E">
        <w:rPr>
          <w:lang w:val="en-AU"/>
        </w:rPr>
        <w:t xml:space="preserve">also seek to identify any services that may be unnecessary, outdated or potentially unsafe. </w:t>
      </w:r>
    </w:p>
    <w:p w14:paraId="24F6C120" w14:textId="77777777" w:rsidR="00B865F6" w:rsidRPr="00B0157E" w:rsidRDefault="00C023CC" w:rsidP="00C33ED9">
      <w:pPr>
        <w:rPr>
          <w:lang w:val="en-AU"/>
        </w:rPr>
      </w:pPr>
      <w:r w:rsidRPr="00B0157E">
        <w:rPr>
          <w:lang w:val="en-AU"/>
        </w:rPr>
        <w:t xml:space="preserve">The Taskforce is committed to providing recommendations to the </w:t>
      </w:r>
      <w:r w:rsidR="002A2665" w:rsidRPr="00B0157E">
        <w:rPr>
          <w:lang w:val="en-AU"/>
        </w:rPr>
        <w:t>Minister</w:t>
      </w:r>
      <w:r w:rsidR="00235BD9">
        <w:rPr>
          <w:lang w:val="en-AU"/>
        </w:rPr>
        <w:t xml:space="preserve"> for Health</w:t>
      </w:r>
      <w:r w:rsidR="00306D66">
        <w:rPr>
          <w:lang w:val="en-AU"/>
        </w:rPr>
        <w:t xml:space="preserve"> </w:t>
      </w:r>
      <w:r w:rsidRPr="00B0157E">
        <w:rPr>
          <w:lang w:val="en-AU"/>
        </w:rPr>
        <w:t xml:space="preserve">that will allow the MBS to deliver on </w:t>
      </w:r>
      <w:r w:rsidR="00A56FA9">
        <w:rPr>
          <w:lang w:val="en-AU"/>
        </w:rPr>
        <w:t xml:space="preserve">each of </w:t>
      </w:r>
      <w:r w:rsidRPr="00B0157E">
        <w:rPr>
          <w:lang w:val="en-AU"/>
        </w:rPr>
        <w:t>the</w:t>
      </w:r>
      <w:r w:rsidR="00A56FA9">
        <w:rPr>
          <w:lang w:val="en-AU"/>
        </w:rPr>
        <w:t>se</w:t>
      </w:r>
      <w:r w:rsidRPr="00B0157E">
        <w:rPr>
          <w:lang w:val="en-AU"/>
        </w:rPr>
        <w:t xml:space="preserve"> </w:t>
      </w:r>
      <w:r w:rsidR="00A56FA9">
        <w:rPr>
          <w:lang w:val="en-AU"/>
        </w:rPr>
        <w:t>four</w:t>
      </w:r>
      <w:r w:rsidR="00A56FA9" w:rsidRPr="00B0157E">
        <w:rPr>
          <w:lang w:val="en-AU"/>
        </w:rPr>
        <w:t xml:space="preserve"> </w:t>
      </w:r>
      <w:r w:rsidRPr="00B0157E">
        <w:rPr>
          <w:lang w:val="en-AU"/>
        </w:rPr>
        <w:t>key goals:</w:t>
      </w:r>
    </w:p>
    <w:p w14:paraId="295BBEF2" w14:textId="77777777" w:rsidR="00C023CC" w:rsidRPr="00B0157E" w:rsidRDefault="00C023CC" w:rsidP="005125E2">
      <w:pPr>
        <w:pStyle w:val="01squarebullet"/>
        <w:rPr>
          <w:lang w:val="en-AU"/>
        </w:rPr>
      </w:pPr>
      <w:r w:rsidRPr="00B0157E">
        <w:rPr>
          <w:lang w:val="en-AU"/>
        </w:rPr>
        <w:t>Affordable and universal access</w:t>
      </w:r>
      <w:r w:rsidR="00CA4372" w:rsidRPr="00B0157E">
        <w:rPr>
          <w:lang w:val="en-AU"/>
        </w:rPr>
        <w:t>.</w:t>
      </w:r>
    </w:p>
    <w:p w14:paraId="3FB906FB" w14:textId="77777777" w:rsidR="00C023CC" w:rsidRPr="00B0157E" w:rsidRDefault="00C023CC" w:rsidP="005125E2">
      <w:pPr>
        <w:pStyle w:val="01squarebullet"/>
        <w:rPr>
          <w:lang w:val="en-AU"/>
        </w:rPr>
      </w:pPr>
      <w:r w:rsidRPr="00B0157E">
        <w:rPr>
          <w:lang w:val="en-AU"/>
        </w:rPr>
        <w:t>Best-practice health services</w:t>
      </w:r>
      <w:r w:rsidR="00CA4372" w:rsidRPr="00B0157E">
        <w:rPr>
          <w:lang w:val="en-AU"/>
        </w:rPr>
        <w:t>.</w:t>
      </w:r>
    </w:p>
    <w:p w14:paraId="384DA672" w14:textId="77777777" w:rsidR="00C023CC" w:rsidRPr="00B0157E" w:rsidRDefault="00C023CC" w:rsidP="005125E2">
      <w:pPr>
        <w:pStyle w:val="01squarebullet"/>
        <w:rPr>
          <w:lang w:val="en-AU"/>
        </w:rPr>
      </w:pPr>
      <w:r w:rsidRPr="00B0157E">
        <w:rPr>
          <w:lang w:val="en-AU"/>
        </w:rPr>
        <w:t>Value for the individual patient</w:t>
      </w:r>
      <w:r w:rsidR="00CA4372" w:rsidRPr="00B0157E">
        <w:rPr>
          <w:lang w:val="en-AU"/>
        </w:rPr>
        <w:t>.</w:t>
      </w:r>
    </w:p>
    <w:p w14:paraId="15F74666" w14:textId="77777777" w:rsidR="00BE7461" w:rsidRPr="00B0157E" w:rsidRDefault="00C023CC" w:rsidP="005125E2">
      <w:pPr>
        <w:pStyle w:val="01squarebullet"/>
        <w:rPr>
          <w:lang w:val="en-AU"/>
        </w:rPr>
      </w:pPr>
      <w:r w:rsidRPr="00B0157E">
        <w:rPr>
          <w:lang w:val="en-AU"/>
        </w:rPr>
        <w:t>Value for the health system</w:t>
      </w:r>
      <w:r w:rsidR="00CA4372" w:rsidRPr="00B0157E">
        <w:rPr>
          <w:lang w:val="en-AU"/>
        </w:rPr>
        <w:t>.</w:t>
      </w:r>
    </w:p>
    <w:p w14:paraId="4A546882" w14:textId="77777777" w:rsidR="00A56FA9" w:rsidRPr="00A56FA9" w:rsidRDefault="00A56FA9" w:rsidP="0069129F">
      <w:pPr>
        <w:rPr>
          <w:lang w:val="en-AU"/>
        </w:rPr>
      </w:pPr>
      <w:r w:rsidRPr="00A56FA9">
        <w:rPr>
          <w:lang w:val="en-AU"/>
        </w:rPr>
        <w:t>The Taskforce has endorsed a methodology whereby the necessary clinical review of MBS items is</w:t>
      </w:r>
      <w:r w:rsidR="00B46A6E">
        <w:rPr>
          <w:lang w:val="en-AU"/>
        </w:rPr>
        <w:t xml:space="preserve"> </w:t>
      </w:r>
      <w:r w:rsidRPr="00A56FA9">
        <w:rPr>
          <w:lang w:val="en-AU"/>
        </w:rPr>
        <w:t>undertaken by Clinical Committees and Working Groups. The Taskforce has asked the Clinical</w:t>
      </w:r>
      <w:r w:rsidR="00B46A6E">
        <w:rPr>
          <w:lang w:val="en-AU"/>
        </w:rPr>
        <w:t xml:space="preserve"> </w:t>
      </w:r>
      <w:r w:rsidRPr="00A56FA9">
        <w:rPr>
          <w:lang w:val="en-AU"/>
        </w:rPr>
        <w:t>Committees to undertake the following tasks:</w:t>
      </w:r>
    </w:p>
    <w:p w14:paraId="233A1892" w14:textId="77777777" w:rsidR="00A56FA9" w:rsidRPr="00B46A6E" w:rsidRDefault="00A56FA9" w:rsidP="0069129F">
      <w:pPr>
        <w:pStyle w:val="ListParagraph"/>
        <w:numPr>
          <w:ilvl w:val="0"/>
          <w:numId w:val="22"/>
        </w:numPr>
        <w:rPr>
          <w:lang w:val="en-AU"/>
        </w:rPr>
      </w:pPr>
      <w:r w:rsidRPr="00B46A6E">
        <w:rPr>
          <w:lang w:val="en-AU"/>
        </w:rPr>
        <w:t>Consider whether there are MBS items that are obsolete and should be removed from the MBS.</w:t>
      </w:r>
    </w:p>
    <w:p w14:paraId="06CD6E9C" w14:textId="77777777" w:rsidR="00A56FA9" w:rsidRPr="00B46A6E" w:rsidRDefault="00A56FA9" w:rsidP="0069129F">
      <w:pPr>
        <w:pStyle w:val="ListParagraph"/>
        <w:numPr>
          <w:ilvl w:val="0"/>
          <w:numId w:val="22"/>
        </w:numPr>
        <w:rPr>
          <w:lang w:val="en-AU"/>
        </w:rPr>
      </w:pPr>
      <w:r w:rsidRPr="00B46A6E">
        <w:rPr>
          <w:lang w:val="en-AU"/>
        </w:rPr>
        <w:t>Consider identified priority reviews of selected MBS services.</w:t>
      </w:r>
    </w:p>
    <w:p w14:paraId="12191AC9" w14:textId="77777777" w:rsidR="00A56FA9" w:rsidRPr="00B46A6E" w:rsidRDefault="00A56FA9" w:rsidP="0069129F">
      <w:pPr>
        <w:pStyle w:val="ListParagraph"/>
        <w:numPr>
          <w:ilvl w:val="0"/>
          <w:numId w:val="22"/>
        </w:numPr>
        <w:rPr>
          <w:lang w:val="en-AU"/>
        </w:rPr>
      </w:pPr>
      <w:r w:rsidRPr="00B46A6E">
        <w:rPr>
          <w:lang w:val="en-AU"/>
        </w:rPr>
        <w:t>Develop a program of work to consider the balance of MBS services within its remit and items</w:t>
      </w:r>
      <w:r w:rsidR="00B46A6E">
        <w:rPr>
          <w:lang w:val="en-AU"/>
        </w:rPr>
        <w:t xml:space="preserve"> </w:t>
      </w:r>
      <w:r w:rsidRPr="00B46A6E">
        <w:rPr>
          <w:lang w:val="en-AU"/>
        </w:rPr>
        <w:t>assigned to the Committee.</w:t>
      </w:r>
    </w:p>
    <w:p w14:paraId="682548C4" w14:textId="77777777" w:rsidR="00A56FA9" w:rsidRPr="00B46A6E" w:rsidRDefault="00A56FA9" w:rsidP="0069129F">
      <w:pPr>
        <w:pStyle w:val="ListParagraph"/>
        <w:numPr>
          <w:ilvl w:val="0"/>
          <w:numId w:val="22"/>
        </w:numPr>
        <w:rPr>
          <w:lang w:val="en-AU"/>
        </w:rPr>
      </w:pPr>
      <w:r w:rsidRPr="00B46A6E">
        <w:rPr>
          <w:lang w:val="en-AU"/>
        </w:rPr>
        <w:t>Advise the Taskforce on relevant general MBS issues identified by the Committee in the course</w:t>
      </w:r>
      <w:r w:rsidR="00B46A6E">
        <w:rPr>
          <w:lang w:val="en-AU"/>
        </w:rPr>
        <w:t xml:space="preserve"> </w:t>
      </w:r>
      <w:r w:rsidRPr="00B46A6E">
        <w:rPr>
          <w:lang w:val="en-AU"/>
        </w:rPr>
        <w:t>of its deliberations.</w:t>
      </w:r>
    </w:p>
    <w:p w14:paraId="7965666F" w14:textId="77777777" w:rsidR="00A56FA9" w:rsidRPr="00A56FA9" w:rsidRDefault="00A56FA9" w:rsidP="0069129F">
      <w:pPr>
        <w:rPr>
          <w:lang w:val="en-AU"/>
        </w:rPr>
      </w:pPr>
      <w:r w:rsidRPr="00A56FA9">
        <w:rPr>
          <w:lang w:val="en-AU"/>
        </w:rPr>
        <w:t>The recommendations from the Clinical Committees are released for stakeholder consultation. The</w:t>
      </w:r>
      <w:r w:rsidR="00B46A6E">
        <w:rPr>
          <w:lang w:val="en-AU"/>
        </w:rPr>
        <w:t xml:space="preserve"> </w:t>
      </w:r>
      <w:r w:rsidRPr="00A56FA9">
        <w:rPr>
          <w:lang w:val="en-AU"/>
        </w:rPr>
        <w:t>Clinical Committees will consider feedback from stakeholders and then provide recommendations to</w:t>
      </w:r>
      <w:r w:rsidR="00B46A6E">
        <w:rPr>
          <w:lang w:val="en-AU"/>
        </w:rPr>
        <w:t xml:space="preserve"> </w:t>
      </w:r>
      <w:r w:rsidRPr="00A56FA9">
        <w:rPr>
          <w:lang w:val="en-AU"/>
        </w:rPr>
        <w:t>the Taskforce in a Review Report. The Taskforce will consider the Review Report from Clinical</w:t>
      </w:r>
      <w:r w:rsidR="00B46A6E">
        <w:rPr>
          <w:lang w:val="en-AU"/>
        </w:rPr>
        <w:t xml:space="preserve"> </w:t>
      </w:r>
      <w:r w:rsidRPr="00A56FA9">
        <w:rPr>
          <w:lang w:val="en-AU"/>
        </w:rPr>
        <w:t xml:space="preserve">Committees and stakeholder feedback before making recommendations to the Minister </w:t>
      </w:r>
      <w:r w:rsidR="00235BD9">
        <w:rPr>
          <w:lang w:val="en-AU"/>
        </w:rPr>
        <w:t xml:space="preserve">for Health, </w:t>
      </w:r>
      <w:r w:rsidRPr="00A56FA9">
        <w:rPr>
          <w:lang w:val="en-AU"/>
        </w:rPr>
        <w:t>for</w:t>
      </w:r>
      <w:r w:rsidR="00B46A6E">
        <w:rPr>
          <w:lang w:val="en-AU"/>
        </w:rPr>
        <w:t xml:space="preserve"> </w:t>
      </w:r>
      <w:r w:rsidRPr="00A56FA9">
        <w:rPr>
          <w:lang w:val="en-AU"/>
        </w:rPr>
        <w:t>consideration by Government.</w:t>
      </w:r>
    </w:p>
    <w:p w14:paraId="4217AB5B" w14:textId="77777777" w:rsidR="00A56FA9" w:rsidRDefault="00A56FA9" w:rsidP="0069129F">
      <w:pPr>
        <w:rPr>
          <w:lang w:val="en-AU"/>
        </w:rPr>
      </w:pPr>
      <w:r w:rsidRPr="00A56FA9">
        <w:rPr>
          <w:lang w:val="en-AU"/>
        </w:rPr>
        <w:t xml:space="preserve">The </w:t>
      </w:r>
      <w:r w:rsidR="00B46A6E">
        <w:rPr>
          <w:lang w:val="en-AU"/>
        </w:rPr>
        <w:t>Dermatology, Allergy and Immunology</w:t>
      </w:r>
      <w:r w:rsidRPr="00A56FA9">
        <w:rPr>
          <w:lang w:val="en-AU"/>
        </w:rPr>
        <w:t xml:space="preserve"> Clinical Committee (the Committee) was established in 201</w:t>
      </w:r>
      <w:r w:rsidR="00B46A6E">
        <w:rPr>
          <w:lang w:val="en-AU"/>
        </w:rPr>
        <w:t>6</w:t>
      </w:r>
      <w:r w:rsidRPr="00A56FA9">
        <w:rPr>
          <w:lang w:val="en-AU"/>
        </w:rPr>
        <w:t xml:space="preserve"> to make</w:t>
      </w:r>
      <w:r w:rsidR="00B46A6E">
        <w:rPr>
          <w:lang w:val="en-AU"/>
        </w:rPr>
        <w:t xml:space="preserve"> </w:t>
      </w:r>
      <w:r w:rsidRPr="00A56FA9">
        <w:rPr>
          <w:lang w:val="en-AU"/>
        </w:rPr>
        <w:t>recommendations to the MBS Review Taskforce on the review of MBS items in its area of</w:t>
      </w:r>
      <w:r w:rsidR="00B46A6E">
        <w:rPr>
          <w:lang w:val="en-AU"/>
        </w:rPr>
        <w:t xml:space="preserve"> </w:t>
      </w:r>
      <w:r w:rsidRPr="00A56FA9">
        <w:rPr>
          <w:lang w:val="en-AU"/>
        </w:rPr>
        <w:t>responsibility, based on rapid evidence review and clinical expertise. The Taskforce asked the</w:t>
      </w:r>
      <w:r w:rsidR="00B46A6E">
        <w:rPr>
          <w:lang w:val="en-AU"/>
        </w:rPr>
        <w:t xml:space="preserve"> </w:t>
      </w:r>
      <w:r w:rsidRPr="00A56FA9">
        <w:rPr>
          <w:lang w:val="en-AU"/>
        </w:rPr>
        <w:t>Committee to review prenatal pathology testing as a priority review.</w:t>
      </w:r>
      <w:r w:rsidR="004A352E">
        <w:rPr>
          <w:lang w:val="en-AU"/>
        </w:rPr>
        <w:t xml:space="preserve"> </w:t>
      </w:r>
      <w:r w:rsidR="00B46A6E" w:rsidRPr="00B0157E">
        <w:rPr>
          <w:lang w:val="en-AU"/>
        </w:rPr>
        <w:t xml:space="preserve">The Committee did not consider items that had previously been addressed in the skin services review, nor did it consider skin patch-testing items, which are expected to be amended </w:t>
      </w:r>
      <w:r w:rsidR="0069129F">
        <w:rPr>
          <w:lang w:val="en-AU"/>
        </w:rPr>
        <w:t xml:space="preserve">in </w:t>
      </w:r>
      <w:r w:rsidR="00B46A6E" w:rsidRPr="00B0157E">
        <w:rPr>
          <w:lang w:val="en-AU"/>
        </w:rPr>
        <w:t>November 2016.</w:t>
      </w:r>
    </w:p>
    <w:p w14:paraId="2115A5CA" w14:textId="77777777" w:rsidR="004F66AE" w:rsidRPr="00B0157E" w:rsidRDefault="00A56FA9" w:rsidP="00960389">
      <w:pPr>
        <w:pStyle w:val="Heading2"/>
        <w:rPr>
          <w:lang w:val="en-AU"/>
        </w:rPr>
      </w:pPr>
      <w:bookmarkStart w:id="5" w:name="_Toc465871856"/>
      <w:r>
        <w:rPr>
          <w:lang w:val="en-AU"/>
        </w:rPr>
        <w:t>Areas of responsibility of the</w:t>
      </w:r>
      <w:r w:rsidRPr="00B0157E">
        <w:rPr>
          <w:lang w:val="en-AU"/>
        </w:rPr>
        <w:t xml:space="preserve"> </w:t>
      </w:r>
      <w:r w:rsidR="00BE38DB" w:rsidRPr="00B0157E">
        <w:rPr>
          <w:lang w:val="en-AU"/>
        </w:rPr>
        <w:t>Dermatology</w:t>
      </w:r>
      <w:r w:rsidR="00B744C1" w:rsidRPr="00B0157E">
        <w:rPr>
          <w:lang w:val="en-AU"/>
        </w:rPr>
        <w:t xml:space="preserve">, Allergy and Immunology </w:t>
      </w:r>
      <w:r w:rsidR="004F66AE" w:rsidRPr="00B0157E">
        <w:rPr>
          <w:lang w:val="en-AU"/>
        </w:rPr>
        <w:t>Clinical Committee</w:t>
      </w:r>
      <w:bookmarkEnd w:id="5"/>
    </w:p>
    <w:p w14:paraId="56860728" w14:textId="77777777" w:rsidR="00C023CC" w:rsidRDefault="00C023CC" w:rsidP="00C33ED9">
      <w:pPr>
        <w:rPr>
          <w:lang w:val="en-AU"/>
        </w:rPr>
      </w:pPr>
      <w:r w:rsidRPr="00B0157E">
        <w:rPr>
          <w:lang w:val="en-AU"/>
        </w:rPr>
        <w:t xml:space="preserve">The Committee reviewed </w:t>
      </w:r>
      <w:r w:rsidR="002A38A4" w:rsidRPr="00B0157E">
        <w:rPr>
          <w:lang w:val="en-AU"/>
        </w:rPr>
        <w:t>3</w:t>
      </w:r>
      <w:r w:rsidR="00A22EB2" w:rsidRPr="00B0157E">
        <w:rPr>
          <w:lang w:val="en-AU"/>
        </w:rPr>
        <w:t>8</w:t>
      </w:r>
      <w:r w:rsidR="00B46A6E">
        <w:rPr>
          <w:lang w:val="en-AU"/>
        </w:rPr>
        <w:t xml:space="preserve"> MBS</w:t>
      </w:r>
      <w:r w:rsidR="004B0FDB" w:rsidRPr="00B0157E">
        <w:rPr>
          <w:lang w:val="en-AU"/>
        </w:rPr>
        <w:t xml:space="preserve"> items</w:t>
      </w:r>
      <w:r w:rsidR="00882A61" w:rsidRPr="00B0157E">
        <w:rPr>
          <w:lang w:val="en-AU"/>
        </w:rPr>
        <w:t>,</w:t>
      </w:r>
      <w:r w:rsidR="004B0FDB" w:rsidRPr="00B0157E">
        <w:rPr>
          <w:lang w:val="en-AU"/>
        </w:rPr>
        <w:t xml:space="preserve"> and a</w:t>
      </w:r>
      <w:r w:rsidRPr="00B0157E">
        <w:rPr>
          <w:lang w:val="en-AU"/>
        </w:rPr>
        <w:t xml:space="preserve">ll recommendations relating to these items are included in this report. </w:t>
      </w:r>
      <w:r w:rsidR="00B46A6E">
        <w:rPr>
          <w:lang w:val="en-AU"/>
        </w:rPr>
        <w:t xml:space="preserve">A full list of items and descriptions are listed in Appendix A. </w:t>
      </w:r>
      <w:r w:rsidRPr="00B0157E">
        <w:rPr>
          <w:lang w:val="en-AU"/>
        </w:rPr>
        <w:t>A</w:t>
      </w:r>
      <w:r w:rsidR="00D86FE1">
        <w:rPr>
          <w:lang w:val="en-AU"/>
        </w:rPr>
        <w:t xml:space="preserve"> broad </w:t>
      </w:r>
      <w:r w:rsidRPr="00B0157E">
        <w:rPr>
          <w:lang w:val="en-AU"/>
        </w:rPr>
        <w:t>set of stakeholders is now engaged in consultation on the</w:t>
      </w:r>
      <w:r w:rsidR="00F615E9" w:rsidRPr="00B0157E">
        <w:rPr>
          <w:lang w:val="en-AU"/>
        </w:rPr>
        <w:t>se</w:t>
      </w:r>
      <w:r w:rsidRPr="00B0157E">
        <w:rPr>
          <w:lang w:val="en-AU"/>
        </w:rPr>
        <w:t xml:space="preserve"> recommendations. Following this period of consultation, the recommendations will be presented to the Taskforce. The Taskforce will consider the report and stakeholder feedback before making recommendations to the </w:t>
      </w:r>
      <w:r w:rsidR="002A2665" w:rsidRPr="00B0157E">
        <w:rPr>
          <w:lang w:val="en-AU"/>
        </w:rPr>
        <w:t xml:space="preserve">Minister for </w:t>
      </w:r>
      <w:r w:rsidR="00DB326E" w:rsidRPr="00B0157E">
        <w:rPr>
          <w:lang w:val="en-AU"/>
        </w:rPr>
        <w:t>H</w:t>
      </w:r>
      <w:r w:rsidR="002A2665" w:rsidRPr="00B0157E">
        <w:rPr>
          <w:lang w:val="en-AU"/>
        </w:rPr>
        <w:t xml:space="preserve">ealth </w:t>
      </w:r>
      <w:r w:rsidRPr="00B0157E">
        <w:rPr>
          <w:lang w:val="en-AU"/>
        </w:rPr>
        <w:t xml:space="preserve">for consideration by the Government. </w:t>
      </w:r>
    </w:p>
    <w:p w14:paraId="6ECD5C06" w14:textId="77777777" w:rsidR="00AA1083" w:rsidRPr="00B0157E" w:rsidRDefault="00AA1083" w:rsidP="00C33ED9">
      <w:pPr>
        <w:rPr>
          <w:lang w:val="en-AU"/>
        </w:rPr>
      </w:pPr>
      <w:r>
        <w:rPr>
          <w:lang w:val="en-AU"/>
        </w:rPr>
        <w:t>It should be noted that r</w:t>
      </w:r>
      <w:r w:rsidRPr="00AA1083">
        <w:rPr>
          <w:lang w:val="en-AU"/>
        </w:rPr>
        <w:t xml:space="preserve">ecommendations that are eventually made for consideration by the Government will not necessarily reflect the final recommendations made to the Taskforce by the Committee after consultation. As stated, the Taskforce will consider these recommendations, and it </w:t>
      </w:r>
      <w:r w:rsidRPr="00AA1083">
        <w:rPr>
          <w:lang w:val="en-AU"/>
        </w:rPr>
        <w:lastRenderedPageBreak/>
        <w:t>may alter recommendations to bring items in line with broader changes that are being made. Additionally, the wording or structuring of item descriptors and explanatory notes may be changed to ensure consistency with the language and structure of the MBS. It should also be noted that the recommendations focus on the services provided by the items. Specific item numbers may be altered during implementation of the eventual recommendations proposed by the Minister for Health. For example, where the Committee has requested that services for item A be consolidated under item B, the actual item number for item B may be changed in some circumstances.</w:t>
      </w:r>
    </w:p>
    <w:p w14:paraId="575051DB" w14:textId="77777777" w:rsidR="00C023CC" w:rsidRPr="00B0157E" w:rsidRDefault="00A56FA9" w:rsidP="00960389">
      <w:pPr>
        <w:pStyle w:val="Heading2"/>
        <w:rPr>
          <w:lang w:val="en-AU"/>
        </w:rPr>
      </w:pPr>
      <w:bookmarkStart w:id="6" w:name="_Toc465871857"/>
      <w:r>
        <w:rPr>
          <w:lang w:val="en-AU"/>
        </w:rPr>
        <w:t>Key r</w:t>
      </w:r>
      <w:r w:rsidR="00C023CC" w:rsidRPr="00B0157E">
        <w:rPr>
          <w:lang w:val="en-AU"/>
        </w:rPr>
        <w:t>ecommendations</w:t>
      </w:r>
      <w:bookmarkEnd w:id="6"/>
    </w:p>
    <w:p w14:paraId="3F612C2E" w14:textId="77777777" w:rsidR="00C023CC" w:rsidRPr="00B0157E" w:rsidRDefault="002A38A4" w:rsidP="00C33ED9">
      <w:pPr>
        <w:rPr>
          <w:lang w:val="en-AU"/>
        </w:rPr>
      </w:pPr>
      <w:r w:rsidRPr="00B0157E">
        <w:rPr>
          <w:lang w:val="en-AU"/>
        </w:rPr>
        <w:t xml:space="preserve">The Committee has highlighted its </w:t>
      </w:r>
      <w:r w:rsidR="00A56FA9">
        <w:rPr>
          <w:lang w:val="en-AU"/>
        </w:rPr>
        <w:t>key</w:t>
      </w:r>
      <w:r w:rsidRPr="00B0157E">
        <w:rPr>
          <w:lang w:val="en-AU"/>
        </w:rPr>
        <w:t xml:space="preserve"> recommendations below. The complete recommendations and the accompanying rationales for all items can be found </w:t>
      </w:r>
      <w:r w:rsidR="006A6B84">
        <w:rPr>
          <w:lang w:val="en-AU"/>
        </w:rPr>
        <w:t>below</w:t>
      </w:r>
      <w:r w:rsidR="00355532" w:rsidRPr="00B0157E">
        <w:rPr>
          <w:lang w:val="en-AU"/>
        </w:rPr>
        <w:t>.</w:t>
      </w:r>
      <w:r w:rsidR="00B0157E" w:rsidRPr="00B0157E">
        <w:rPr>
          <w:lang w:val="en-AU"/>
        </w:rPr>
        <w:t xml:space="preserve"> A </w:t>
      </w:r>
      <w:r w:rsidRPr="00B0157E">
        <w:rPr>
          <w:lang w:val="en-AU"/>
        </w:rPr>
        <w:t>complete list of items can be found in Appendi</w:t>
      </w:r>
      <w:r w:rsidR="006D7A8E" w:rsidRPr="00B0157E">
        <w:rPr>
          <w:lang w:val="en-AU"/>
        </w:rPr>
        <w:t>x</w:t>
      </w:r>
      <w:r w:rsidRPr="00B0157E">
        <w:rPr>
          <w:lang w:val="en-AU"/>
        </w:rPr>
        <w:t xml:space="preserve"> A</w:t>
      </w:r>
      <w:r w:rsidR="00286AF5" w:rsidRPr="00B0157E">
        <w:rPr>
          <w:lang w:val="en-AU"/>
        </w:rPr>
        <w:t xml:space="preserve">, along with </w:t>
      </w:r>
      <w:r w:rsidR="00716D62" w:rsidRPr="00B0157E">
        <w:rPr>
          <w:lang w:val="en-AU"/>
        </w:rPr>
        <w:t xml:space="preserve">a brief </w:t>
      </w:r>
      <w:r w:rsidR="00286AF5" w:rsidRPr="00B0157E">
        <w:rPr>
          <w:lang w:val="en-AU"/>
        </w:rPr>
        <w:t>description of the nature of the recommendation</w:t>
      </w:r>
      <w:r w:rsidR="00B46A6E">
        <w:rPr>
          <w:lang w:val="en-AU"/>
        </w:rPr>
        <w:t>.</w:t>
      </w:r>
      <w:r w:rsidR="00286AF5" w:rsidRPr="00B0157E">
        <w:rPr>
          <w:lang w:val="en-AU"/>
        </w:rPr>
        <w:t xml:space="preserve"> </w:t>
      </w:r>
    </w:p>
    <w:p w14:paraId="0DE8B096" w14:textId="77777777" w:rsidR="00132015" w:rsidRDefault="00F06438" w:rsidP="00C33ED9">
      <w:pPr>
        <w:rPr>
          <w:lang w:val="en-AU"/>
        </w:rPr>
      </w:pPr>
      <w:r w:rsidRPr="00B0157E">
        <w:rPr>
          <w:lang w:val="en-AU"/>
        </w:rPr>
        <w:t xml:space="preserve">The Committee’s recommendations for stakeholder consultation are that </w:t>
      </w:r>
      <w:r w:rsidR="00CD036C" w:rsidRPr="00B0157E">
        <w:rPr>
          <w:lang w:val="en-AU"/>
        </w:rPr>
        <w:t>seven</w:t>
      </w:r>
      <w:r w:rsidRPr="00B0157E">
        <w:rPr>
          <w:lang w:val="en-AU"/>
        </w:rPr>
        <w:t xml:space="preserve"> items should be deleted </w:t>
      </w:r>
      <w:r w:rsidR="00004A37" w:rsidRPr="00B0157E">
        <w:rPr>
          <w:lang w:val="en-AU"/>
        </w:rPr>
        <w:t>(</w:t>
      </w:r>
      <w:r w:rsidR="00CD036C" w:rsidRPr="00B0157E">
        <w:rPr>
          <w:lang w:val="en-AU"/>
        </w:rPr>
        <w:t>and their services</w:t>
      </w:r>
      <w:r w:rsidR="00033F08" w:rsidRPr="00B0157E">
        <w:rPr>
          <w:lang w:val="en-AU"/>
        </w:rPr>
        <w:t xml:space="preserve"> </w:t>
      </w:r>
      <w:r w:rsidR="00CD036C" w:rsidRPr="00B0157E">
        <w:rPr>
          <w:lang w:val="en-AU"/>
        </w:rPr>
        <w:t>no longer provided under the MBS</w:t>
      </w:r>
      <w:r w:rsidR="00004A37" w:rsidRPr="00B0157E">
        <w:rPr>
          <w:lang w:val="en-AU"/>
        </w:rPr>
        <w:t>)</w:t>
      </w:r>
      <w:r w:rsidR="00DE794B" w:rsidRPr="00B0157E">
        <w:rPr>
          <w:lang w:val="en-AU"/>
        </w:rPr>
        <w:t>;</w:t>
      </w:r>
      <w:r w:rsidRPr="00B0157E">
        <w:rPr>
          <w:lang w:val="en-AU"/>
        </w:rPr>
        <w:t xml:space="preserve"> </w:t>
      </w:r>
      <w:r w:rsidR="00CD036C" w:rsidRPr="00B0157E">
        <w:rPr>
          <w:lang w:val="en-AU"/>
        </w:rPr>
        <w:t>2</w:t>
      </w:r>
      <w:r w:rsidR="00CD0606" w:rsidRPr="00B0157E">
        <w:rPr>
          <w:lang w:val="en-AU"/>
        </w:rPr>
        <w:t>8</w:t>
      </w:r>
      <w:r w:rsidRPr="00B0157E">
        <w:rPr>
          <w:lang w:val="en-AU"/>
        </w:rPr>
        <w:t xml:space="preserve"> items should be changed</w:t>
      </w:r>
      <w:r w:rsidR="00194CA4" w:rsidRPr="00B0157E">
        <w:rPr>
          <w:lang w:val="en-AU"/>
        </w:rPr>
        <w:t>;</w:t>
      </w:r>
      <w:r w:rsidRPr="00B0157E">
        <w:rPr>
          <w:lang w:val="en-AU"/>
        </w:rPr>
        <w:t xml:space="preserve"> and </w:t>
      </w:r>
      <w:r w:rsidR="00CD0606" w:rsidRPr="00B0157E">
        <w:rPr>
          <w:lang w:val="en-AU"/>
        </w:rPr>
        <w:t>three</w:t>
      </w:r>
      <w:r w:rsidRPr="00B0157E">
        <w:rPr>
          <w:lang w:val="en-AU"/>
        </w:rPr>
        <w:t xml:space="preserve"> items should remain unchanged</w:t>
      </w:r>
      <w:r w:rsidR="0034514D" w:rsidRPr="00B0157E">
        <w:rPr>
          <w:lang w:val="en-AU"/>
        </w:rPr>
        <w:t>.</w:t>
      </w:r>
      <w:r w:rsidRPr="00B0157E">
        <w:rPr>
          <w:lang w:val="en-AU"/>
        </w:rPr>
        <w:t xml:space="preserve"> </w:t>
      </w:r>
      <w:r w:rsidR="00AC3C49" w:rsidRPr="00B0157E">
        <w:rPr>
          <w:lang w:val="en-AU"/>
        </w:rPr>
        <w:t>The changes focus o</w:t>
      </w:r>
      <w:r w:rsidR="00525CB9" w:rsidRPr="00B0157E">
        <w:rPr>
          <w:lang w:val="en-AU"/>
        </w:rPr>
        <w:t xml:space="preserve">n encouraging best practice, </w:t>
      </w:r>
      <w:r w:rsidR="00AC3C49" w:rsidRPr="00B0157E">
        <w:rPr>
          <w:lang w:val="en-AU"/>
        </w:rPr>
        <w:t>imp</w:t>
      </w:r>
      <w:r w:rsidR="00525CB9" w:rsidRPr="00B0157E">
        <w:rPr>
          <w:lang w:val="en-AU"/>
        </w:rPr>
        <w:t>roving</w:t>
      </w:r>
      <w:r w:rsidR="00AC3C49" w:rsidRPr="00B0157E">
        <w:rPr>
          <w:lang w:val="en-AU"/>
        </w:rPr>
        <w:t xml:space="preserve"> patient care</w:t>
      </w:r>
      <w:r w:rsidR="00525CB9" w:rsidRPr="00B0157E">
        <w:rPr>
          <w:lang w:val="en-AU"/>
        </w:rPr>
        <w:t xml:space="preserve"> and safety, and ensuring that MBS services provide value for the patient and the healthcare system.</w:t>
      </w:r>
      <w:r w:rsidR="004F48B5" w:rsidRPr="00B0157E">
        <w:rPr>
          <w:lang w:val="en-AU"/>
        </w:rPr>
        <w:t xml:space="preserve"> </w:t>
      </w:r>
      <w:r w:rsidR="00F56528" w:rsidRPr="00B0157E">
        <w:rPr>
          <w:lang w:val="en-AU"/>
        </w:rPr>
        <w:t>Some of t</w:t>
      </w:r>
      <w:r w:rsidR="004F48B5" w:rsidRPr="00B0157E">
        <w:rPr>
          <w:lang w:val="en-AU"/>
        </w:rPr>
        <w:t xml:space="preserve">his </w:t>
      </w:r>
      <w:r w:rsidR="0034514D" w:rsidRPr="00B0157E">
        <w:rPr>
          <w:lang w:val="en-AU"/>
        </w:rPr>
        <w:t xml:space="preserve">can be achieved </w:t>
      </w:r>
      <w:r w:rsidR="00AC3C49" w:rsidRPr="00B0157E">
        <w:rPr>
          <w:lang w:val="en-AU"/>
        </w:rPr>
        <w:t>by</w:t>
      </w:r>
      <w:r w:rsidRPr="00B0157E">
        <w:rPr>
          <w:lang w:val="en-AU"/>
        </w:rPr>
        <w:t>:</w:t>
      </w:r>
      <w:r w:rsidR="00AC3C49" w:rsidRPr="00B0157E">
        <w:rPr>
          <w:lang w:val="en-AU"/>
        </w:rPr>
        <w:t xml:space="preserve"> </w:t>
      </w:r>
    </w:p>
    <w:p w14:paraId="32CB3619" w14:textId="77777777" w:rsidR="00132015" w:rsidRDefault="00132015" w:rsidP="00132015">
      <w:pPr>
        <w:pStyle w:val="01squarebullet"/>
      </w:pPr>
      <w:r>
        <w:t>D</w:t>
      </w:r>
      <w:r w:rsidR="00525CB9" w:rsidRPr="00B0157E">
        <w:t>eleting</w:t>
      </w:r>
      <w:r w:rsidR="00004B0C" w:rsidRPr="00B0157E">
        <w:t xml:space="preserve"> </w:t>
      </w:r>
      <w:r w:rsidR="004F48B5" w:rsidRPr="00B0157E">
        <w:t xml:space="preserve">items </w:t>
      </w:r>
      <w:r w:rsidR="00E9419A" w:rsidRPr="00B0157E">
        <w:t xml:space="preserve">that are </w:t>
      </w:r>
      <w:r w:rsidR="00004B0C" w:rsidRPr="00B0157E">
        <w:t xml:space="preserve">obsolete, </w:t>
      </w:r>
      <w:r w:rsidR="004F48B5" w:rsidRPr="00B0157E">
        <w:t>or</w:t>
      </w:r>
      <w:r w:rsidR="001904A8" w:rsidRPr="00B0157E">
        <w:t xml:space="preserve"> that</w:t>
      </w:r>
      <w:r w:rsidR="004F48B5" w:rsidRPr="00B0157E">
        <w:t xml:space="preserve"> provid</w:t>
      </w:r>
      <w:r w:rsidR="00A81E27" w:rsidRPr="00B0157E">
        <w:t>e</w:t>
      </w:r>
      <w:r w:rsidR="004F48B5" w:rsidRPr="00B0157E">
        <w:t xml:space="preserve"> </w:t>
      </w:r>
      <w:r w:rsidR="00004B0C" w:rsidRPr="00B0157E">
        <w:t xml:space="preserve">questionable clinical value or </w:t>
      </w:r>
      <w:r w:rsidR="004F48B5" w:rsidRPr="00B0157E">
        <w:t>low-value care</w:t>
      </w:r>
      <w:r w:rsidR="00A948C3" w:rsidRPr="00B0157E">
        <w:t>;</w:t>
      </w:r>
      <w:r w:rsidR="00AC3C49" w:rsidRPr="00B0157E">
        <w:t xml:space="preserve"> </w:t>
      </w:r>
    </w:p>
    <w:p w14:paraId="38E71B20" w14:textId="77777777" w:rsidR="00132015" w:rsidRDefault="00132015" w:rsidP="00132015">
      <w:pPr>
        <w:pStyle w:val="01squarebullet"/>
      </w:pPr>
      <w:r>
        <w:t>C</w:t>
      </w:r>
      <w:r w:rsidR="002625A6" w:rsidRPr="00B0157E">
        <w:t xml:space="preserve">onsolidating or splitting items </w:t>
      </w:r>
      <w:r w:rsidR="00C35F15" w:rsidRPr="00B0157E">
        <w:t>to address potential</w:t>
      </w:r>
      <w:r w:rsidR="002625A6" w:rsidRPr="00B0157E">
        <w:t xml:space="preserve"> misuse</w:t>
      </w:r>
      <w:r w:rsidR="00C35F15" w:rsidRPr="00B0157E">
        <w:t xml:space="preserve">; </w:t>
      </w:r>
    </w:p>
    <w:p w14:paraId="15085D64" w14:textId="77777777" w:rsidR="00132015" w:rsidRDefault="00132015" w:rsidP="00132015">
      <w:pPr>
        <w:pStyle w:val="01squarebullet"/>
      </w:pPr>
      <w:r>
        <w:t>M</w:t>
      </w:r>
      <w:r w:rsidR="004F48B5" w:rsidRPr="00B0157E">
        <w:t>odernising item descriptors to reflect best practice</w:t>
      </w:r>
      <w:r w:rsidR="004739B5" w:rsidRPr="00B0157E">
        <w:t>;</w:t>
      </w:r>
      <w:r w:rsidR="00004B0C" w:rsidRPr="00B0157E">
        <w:t xml:space="preserve"> </w:t>
      </w:r>
      <w:r w:rsidR="002415C2" w:rsidRPr="00B0157E">
        <w:t>and</w:t>
      </w:r>
      <w:r w:rsidR="004F48B5" w:rsidRPr="00B0157E">
        <w:t xml:space="preserve"> </w:t>
      </w:r>
    </w:p>
    <w:p w14:paraId="7CF372BB" w14:textId="77777777" w:rsidR="00132015" w:rsidRDefault="00132015" w:rsidP="00132015">
      <w:pPr>
        <w:pStyle w:val="01squarebullet"/>
      </w:pPr>
      <w:r>
        <w:t>P</w:t>
      </w:r>
      <w:r w:rsidR="00AC3C49" w:rsidRPr="00B0157E">
        <w:t xml:space="preserve">roviding clinical guidance for appropriate use through explanatory notes. </w:t>
      </w:r>
    </w:p>
    <w:p w14:paraId="228572FC" w14:textId="77777777" w:rsidR="00610250" w:rsidRPr="00B0157E" w:rsidRDefault="00AC3C49" w:rsidP="00C33ED9">
      <w:pPr>
        <w:rPr>
          <w:highlight w:val="yellow"/>
          <w:lang w:val="en-AU"/>
        </w:rPr>
      </w:pPr>
      <w:r w:rsidRPr="00B0157E">
        <w:rPr>
          <w:lang w:val="en-AU"/>
        </w:rPr>
        <w:t>The most important recommendations are summarised below.</w:t>
      </w:r>
    </w:p>
    <w:p w14:paraId="7498FB8B" w14:textId="77777777" w:rsidR="00610250" w:rsidRPr="00B0157E" w:rsidRDefault="00B475B2" w:rsidP="00941D6A">
      <w:pPr>
        <w:pStyle w:val="01squarebullet"/>
        <w:rPr>
          <w:lang w:val="en-AU"/>
        </w:rPr>
      </w:pPr>
      <w:r w:rsidRPr="00B0157E">
        <w:rPr>
          <w:b/>
          <w:bCs/>
          <w:iCs/>
          <w:lang w:val="en-AU"/>
        </w:rPr>
        <w:t>Item</w:t>
      </w:r>
      <w:r w:rsidR="00610250" w:rsidRPr="00B0157E">
        <w:rPr>
          <w:b/>
          <w:lang w:val="en-AU"/>
        </w:rPr>
        <w:t xml:space="preserve"> for treating benign neoplasms of skin (other than common warts).</w:t>
      </w:r>
      <w:r w:rsidR="00610250" w:rsidRPr="00B0157E">
        <w:rPr>
          <w:lang w:val="en-AU"/>
        </w:rPr>
        <w:t xml:space="preserve"> Address</w:t>
      </w:r>
      <w:r w:rsidR="00D47431" w:rsidRPr="00B0157E">
        <w:rPr>
          <w:lang w:val="en-AU"/>
        </w:rPr>
        <w:t xml:space="preserve"> safety</w:t>
      </w:r>
      <w:r w:rsidR="00610250" w:rsidRPr="00B0157E">
        <w:rPr>
          <w:lang w:val="en-AU"/>
        </w:rPr>
        <w:t xml:space="preserve"> concerns </w:t>
      </w:r>
      <w:r w:rsidR="00D47431" w:rsidRPr="00B0157E">
        <w:rPr>
          <w:lang w:val="en-AU"/>
        </w:rPr>
        <w:t>that ma</w:t>
      </w:r>
      <w:r w:rsidR="0020664A" w:rsidRPr="00B0157E">
        <w:rPr>
          <w:lang w:val="en-AU"/>
        </w:rPr>
        <w:t>lignant</w:t>
      </w:r>
      <w:r w:rsidR="00132015">
        <w:rPr>
          <w:lang w:val="en-AU"/>
        </w:rPr>
        <w:t xml:space="preserve"> neoplasms may be missed or mis</w:t>
      </w:r>
      <w:r w:rsidR="0020664A" w:rsidRPr="00B0157E">
        <w:rPr>
          <w:lang w:val="en-AU"/>
        </w:rPr>
        <w:t>diagnosed</w:t>
      </w:r>
      <w:r w:rsidR="00832284" w:rsidRPr="00B0157E">
        <w:rPr>
          <w:lang w:val="en-AU"/>
        </w:rPr>
        <w:t xml:space="preserve">, as well as </w:t>
      </w:r>
      <w:r w:rsidR="00AF298D" w:rsidRPr="00B0157E">
        <w:rPr>
          <w:lang w:val="en-AU"/>
        </w:rPr>
        <w:t xml:space="preserve">suspected inappropriate cosmetic </w:t>
      </w:r>
      <w:r w:rsidR="00610250" w:rsidRPr="00B0157E">
        <w:rPr>
          <w:lang w:val="en-AU"/>
        </w:rPr>
        <w:t>use</w:t>
      </w:r>
      <w:r w:rsidR="0078536D" w:rsidRPr="00B0157E">
        <w:rPr>
          <w:lang w:val="en-AU"/>
        </w:rPr>
        <w:t>,</w:t>
      </w:r>
      <w:r w:rsidR="00610250" w:rsidRPr="00B0157E">
        <w:rPr>
          <w:lang w:val="en-AU"/>
        </w:rPr>
        <w:t xml:space="preserve"> by deleting item 30195. Neoplasms suspected of malignancy would </w:t>
      </w:r>
      <w:r w:rsidR="009F1A4E" w:rsidRPr="00B0157E">
        <w:rPr>
          <w:lang w:val="en-AU"/>
        </w:rPr>
        <w:t>instead</w:t>
      </w:r>
      <w:r w:rsidR="00610250" w:rsidRPr="00B0157E">
        <w:rPr>
          <w:lang w:val="en-AU"/>
        </w:rPr>
        <w:t xml:space="preserve"> be sent for pathology using biopsy item 30071</w:t>
      </w:r>
      <w:r w:rsidR="004F39F5" w:rsidRPr="00B0157E">
        <w:rPr>
          <w:lang w:val="en-AU"/>
        </w:rPr>
        <w:t>.</w:t>
      </w:r>
      <w:r w:rsidR="00610250" w:rsidRPr="00B0157E">
        <w:rPr>
          <w:lang w:val="en-AU"/>
        </w:rPr>
        <w:t xml:space="preserve"> </w:t>
      </w:r>
      <w:r w:rsidR="004F39F5" w:rsidRPr="00B0157E">
        <w:rPr>
          <w:lang w:val="en-AU"/>
        </w:rPr>
        <w:t>A</w:t>
      </w:r>
      <w:r w:rsidR="00610250" w:rsidRPr="00B0157E">
        <w:rPr>
          <w:lang w:val="en-AU"/>
        </w:rPr>
        <w:t xml:space="preserve">ny cosmetic treatment—which the MBS does not fund—would need to be provided privately. </w:t>
      </w:r>
    </w:p>
    <w:p w14:paraId="2BF70712" w14:textId="77777777" w:rsidR="00610250" w:rsidRPr="00B0157E" w:rsidRDefault="00610250" w:rsidP="00941D6A">
      <w:pPr>
        <w:pStyle w:val="01squarebullet"/>
        <w:rPr>
          <w:lang w:val="en-AU"/>
        </w:rPr>
      </w:pPr>
      <w:r w:rsidRPr="00B0157E">
        <w:rPr>
          <w:b/>
          <w:lang w:val="en-AU"/>
        </w:rPr>
        <w:t>Allergy testing items.</w:t>
      </w:r>
      <w:r w:rsidRPr="00B0157E">
        <w:rPr>
          <w:lang w:val="en-AU"/>
        </w:rPr>
        <w:t xml:space="preserve"> Improve quality of care and address concerns about </w:t>
      </w:r>
      <w:r w:rsidR="00EE3E4F" w:rsidRPr="00B0157E">
        <w:rPr>
          <w:lang w:val="en-AU"/>
        </w:rPr>
        <w:t xml:space="preserve">potential </w:t>
      </w:r>
      <w:r w:rsidRPr="00B0157E">
        <w:rPr>
          <w:lang w:val="en-AU"/>
        </w:rPr>
        <w:t>misuse by encouraging best-practice allergy testing. This involve</w:t>
      </w:r>
      <w:r w:rsidR="00FF3255" w:rsidRPr="00B0157E">
        <w:rPr>
          <w:lang w:val="en-AU"/>
        </w:rPr>
        <w:t>s</w:t>
      </w:r>
      <w:r w:rsidRPr="00B0157E">
        <w:rPr>
          <w:lang w:val="en-AU"/>
        </w:rPr>
        <w:t xml:space="preserve">: </w:t>
      </w:r>
    </w:p>
    <w:p w14:paraId="3ED715E1" w14:textId="77777777" w:rsidR="00CF163C" w:rsidRPr="00B0157E" w:rsidRDefault="00CF163C" w:rsidP="008705F3">
      <w:pPr>
        <w:pStyle w:val="02dash"/>
        <w:rPr>
          <w:lang w:val="en-AU"/>
        </w:rPr>
      </w:pPr>
      <w:r w:rsidRPr="00B0157E">
        <w:rPr>
          <w:lang w:val="en-AU"/>
        </w:rPr>
        <w:t>Removing the specific item for testing more than 20 allergens</w:t>
      </w:r>
      <w:r w:rsidR="008231EB" w:rsidRPr="00B0157E">
        <w:rPr>
          <w:lang w:val="en-AU"/>
        </w:rPr>
        <w:t xml:space="preserve">, </w:t>
      </w:r>
      <w:r w:rsidRPr="00B0157E">
        <w:rPr>
          <w:lang w:val="en-AU"/>
        </w:rPr>
        <w:t xml:space="preserve">as there are relatively few circumstances </w:t>
      </w:r>
      <w:r w:rsidR="00E9028B" w:rsidRPr="00B0157E">
        <w:rPr>
          <w:lang w:val="en-AU"/>
        </w:rPr>
        <w:t xml:space="preserve">in which </w:t>
      </w:r>
      <w:r w:rsidRPr="00B0157E">
        <w:rPr>
          <w:lang w:val="en-AU"/>
        </w:rPr>
        <w:t>this is required</w:t>
      </w:r>
      <w:r w:rsidR="00B8078F" w:rsidRPr="00B0157E">
        <w:rPr>
          <w:lang w:val="en-AU"/>
        </w:rPr>
        <w:t>,</w:t>
      </w:r>
      <w:r w:rsidRPr="00B0157E">
        <w:rPr>
          <w:lang w:val="en-AU"/>
        </w:rPr>
        <w:t xml:space="preserve"> and the presence of the item may be encouraging misuse</w:t>
      </w:r>
      <w:r w:rsidR="00B910DB" w:rsidRPr="00B0157E">
        <w:rPr>
          <w:lang w:val="en-AU"/>
        </w:rPr>
        <w:t>.</w:t>
      </w:r>
      <w:r w:rsidR="006051CE" w:rsidRPr="00B0157E">
        <w:rPr>
          <w:lang w:val="en-AU"/>
        </w:rPr>
        <w:t xml:space="preserve"> </w:t>
      </w:r>
    </w:p>
    <w:p w14:paraId="5C6F387F" w14:textId="77777777" w:rsidR="009C7FA3" w:rsidRPr="00B0157E" w:rsidRDefault="006051CE" w:rsidP="008705F3">
      <w:pPr>
        <w:pStyle w:val="02dash"/>
        <w:ind w:right="0"/>
        <w:rPr>
          <w:lang w:val="en-AU"/>
        </w:rPr>
      </w:pPr>
      <w:r w:rsidRPr="00B0157E">
        <w:rPr>
          <w:lang w:val="en-AU"/>
        </w:rPr>
        <w:t>Restructur</w:t>
      </w:r>
      <w:r w:rsidR="00BD1F5C" w:rsidRPr="00B0157E">
        <w:rPr>
          <w:lang w:val="en-AU"/>
        </w:rPr>
        <w:t>ing</w:t>
      </w:r>
      <w:r w:rsidR="000665EF" w:rsidRPr="00B0157E">
        <w:rPr>
          <w:lang w:val="en-AU"/>
        </w:rPr>
        <w:t xml:space="preserve"> item 12000</w:t>
      </w:r>
      <w:r w:rsidR="00FE6A94" w:rsidRPr="00B0157E">
        <w:rPr>
          <w:lang w:val="en-AU"/>
        </w:rPr>
        <w:t>—</w:t>
      </w:r>
      <w:r w:rsidR="00E52B72" w:rsidRPr="00B0157E">
        <w:rPr>
          <w:lang w:val="en-AU"/>
        </w:rPr>
        <w:t>which</w:t>
      </w:r>
      <w:r w:rsidR="000665EF" w:rsidRPr="00B0157E">
        <w:rPr>
          <w:lang w:val="en-AU"/>
        </w:rPr>
        <w:t xml:space="preserve"> </w:t>
      </w:r>
      <w:r w:rsidR="00082CA4" w:rsidRPr="00B0157E">
        <w:rPr>
          <w:lang w:val="en-AU"/>
        </w:rPr>
        <w:t xml:space="preserve">would </w:t>
      </w:r>
      <w:r w:rsidR="00C90021" w:rsidRPr="00B0157E">
        <w:rPr>
          <w:lang w:val="en-AU"/>
        </w:rPr>
        <w:t xml:space="preserve">now </w:t>
      </w:r>
      <w:r w:rsidR="000665EF" w:rsidRPr="00B0157E">
        <w:rPr>
          <w:lang w:val="en-AU"/>
        </w:rPr>
        <w:t>cover</w:t>
      </w:r>
      <w:r w:rsidR="00610250" w:rsidRPr="00B0157E">
        <w:rPr>
          <w:lang w:val="en-AU"/>
        </w:rPr>
        <w:t xml:space="preserve"> testing for more than</w:t>
      </w:r>
      <w:r w:rsidR="000665EF" w:rsidRPr="00B0157E">
        <w:rPr>
          <w:lang w:val="en-AU"/>
        </w:rPr>
        <w:t xml:space="preserve"> </w:t>
      </w:r>
      <w:r w:rsidR="001476DD" w:rsidRPr="00B0157E">
        <w:rPr>
          <w:lang w:val="en-AU"/>
        </w:rPr>
        <w:t xml:space="preserve">and </w:t>
      </w:r>
      <w:r w:rsidR="000665EF" w:rsidRPr="00B0157E">
        <w:rPr>
          <w:lang w:val="en-AU"/>
        </w:rPr>
        <w:t>less than</w:t>
      </w:r>
      <w:r w:rsidR="00610250" w:rsidRPr="00B0157E">
        <w:rPr>
          <w:lang w:val="en-AU"/>
        </w:rPr>
        <w:t xml:space="preserve"> 20 allergen</w:t>
      </w:r>
      <w:r w:rsidR="00961BC6" w:rsidRPr="00B0157E">
        <w:rPr>
          <w:lang w:val="en-AU"/>
        </w:rPr>
        <w:t>s</w:t>
      </w:r>
      <w:r w:rsidR="00FE6A94" w:rsidRPr="00B0157E">
        <w:rPr>
          <w:lang w:val="en-AU"/>
        </w:rPr>
        <w:t>—</w:t>
      </w:r>
      <w:r w:rsidR="008924FF" w:rsidRPr="00B0157E">
        <w:rPr>
          <w:lang w:val="en-AU"/>
        </w:rPr>
        <w:t>into</w:t>
      </w:r>
      <w:r w:rsidR="00961BC6" w:rsidRPr="00B0157E">
        <w:rPr>
          <w:lang w:val="en-AU"/>
        </w:rPr>
        <w:t xml:space="preserve"> three new items that cover testing for three distinct groups of </w:t>
      </w:r>
      <w:r w:rsidR="009C7FA3" w:rsidRPr="00B0157E">
        <w:rPr>
          <w:lang w:val="en-AU"/>
        </w:rPr>
        <w:t>allergens and their required scope of practice: (a) aeroallergens, (b) food and latex allergens, and (c) medication (antibiotics and non-general anaesthetic agents) and venom allergens.</w:t>
      </w:r>
    </w:p>
    <w:p w14:paraId="31D73F39" w14:textId="77777777" w:rsidR="00237A08" w:rsidRPr="00B0157E" w:rsidRDefault="001F57EB" w:rsidP="008705F3">
      <w:pPr>
        <w:pStyle w:val="02dash"/>
        <w:rPr>
          <w:lang w:val="en-AU"/>
        </w:rPr>
      </w:pPr>
      <w:r w:rsidRPr="00B0157E">
        <w:rPr>
          <w:lang w:val="en-AU"/>
        </w:rPr>
        <w:t>Mov</w:t>
      </w:r>
      <w:r w:rsidR="006D1891" w:rsidRPr="00B0157E">
        <w:rPr>
          <w:lang w:val="en-AU"/>
        </w:rPr>
        <w:t>ing</w:t>
      </w:r>
      <w:r w:rsidRPr="00B0157E">
        <w:rPr>
          <w:lang w:val="en-AU"/>
        </w:rPr>
        <w:t xml:space="preserve"> the a</w:t>
      </w:r>
      <w:r w:rsidR="00237A08" w:rsidRPr="00B0157E">
        <w:rPr>
          <w:lang w:val="en-AU"/>
        </w:rPr>
        <w:t>naesthe</w:t>
      </w:r>
      <w:r w:rsidRPr="00B0157E">
        <w:rPr>
          <w:lang w:val="en-AU"/>
        </w:rPr>
        <w:t>tic allergy</w:t>
      </w:r>
      <w:r w:rsidR="006A5DE6" w:rsidRPr="00B0157E">
        <w:rPr>
          <w:lang w:val="en-AU"/>
        </w:rPr>
        <w:t>-</w:t>
      </w:r>
      <w:r w:rsidRPr="00B0157E">
        <w:rPr>
          <w:lang w:val="en-AU"/>
        </w:rPr>
        <w:t xml:space="preserve">testing item </w:t>
      </w:r>
      <w:r w:rsidR="004164A8" w:rsidRPr="00B0157E">
        <w:rPr>
          <w:lang w:val="en-AU"/>
        </w:rPr>
        <w:t>(</w:t>
      </w:r>
      <w:r w:rsidRPr="00B0157E">
        <w:rPr>
          <w:lang w:val="en-AU"/>
        </w:rPr>
        <w:t>21981</w:t>
      </w:r>
      <w:r w:rsidR="004164A8" w:rsidRPr="00B0157E">
        <w:rPr>
          <w:lang w:val="en-AU"/>
        </w:rPr>
        <w:t>)</w:t>
      </w:r>
      <w:r w:rsidRPr="00B0157E">
        <w:rPr>
          <w:lang w:val="en-AU"/>
        </w:rPr>
        <w:t xml:space="preserve"> </w:t>
      </w:r>
      <w:r w:rsidR="00237A08" w:rsidRPr="00B0157E">
        <w:rPr>
          <w:lang w:val="en-AU"/>
        </w:rPr>
        <w:t>to the same section</w:t>
      </w:r>
      <w:r w:rsidR="00020974" w:rsidRPr="00B0157E">
        <w:rPr>
          <w:lang w:val="en-AU"/>
        </w:rPr>
        <w:t xml:space="preserve"> of the MBS</w:t>
      </w:r>
      <w:r w:rsidR="00237A08" w:rsidRPr="00B0157E">
        <w:rPr>
          <w:lang w:val="en-AU"/>
        </w:rPr>
        <w:t xml:space="preserve"> as the above items</w:t>
      </w:r>
      <w:r w:rsidR="00635DA0" w:rsidRPr="00B0157E">
        <w:rPr>
          <w:lang w:val="en-AU"/>
        </w:rPr>
        <w:t>,</w:t>
      </w:r>
      <w:r w:rsidR="00237A08" w:rsidRPr="00B0157E">
        <w:rPr>
          <w:lang w:val="en-AU"/>
        </w:rPr>
        <w:t xml:space="preserve"> </w:t>
      </w:r>
      <w:r w:rsidRPr="00B0157E">
        <w:rPr>
          <w:lang w:val="en-AU"/>
        </w:rPr>
        <w:t>and</w:t>
      </w:r>
      <w:r w:rsidR="00237A08" w:rsidRPr="00B0157E">
        <w:rPr>
          <w:lang w:val="en-AU"/>
        </w:rPr>
        <w:t xml:space="preserve"> chang</w:t>
      </w:r>
      <w:r w:rsidR="006D0ED5" w:rsidRPr="00B0157E">
        <w:rPr>
          <w:lang w:val="en-AU"/>
        </w:rPr>
        <w:t>ing</w:t>
      </w:r>
      <w:r w:rsidR="00237A08" w:rsidRPr="00B0157E">
        <w:rPr>
          <w:lang w:val="en-AU"/>
        </w:rPr>
        <w:t xml:space="preserve"> </w:t>
      </w:r>
      <w:r w:rsidRPr="00B0157E">
        <w:rPr>
          <w:lang w:val="en-AU"/>
        </w:rPr>
        <w:t>the item descriptor to permit testing of</w:t>
      </w:r>
      <w:r w:rsidR="00237A08" w:rsidRPr="00B0157E">
        <w:rPr>
          <w:lang w:val="en-AU"/>
        </w:rPr>
        <w:t xml:space="preserve"> all agents in the perioperative period</w:t>
      </w:r>
      <w:r w:rsidRPr="00B0157E">
        <w:rPr>
          <w:lang w:val="en-AU"/>
        </w:rPr>
        <w:t>.</w:t>
      </w:r>
      <w:r w:rsidR="004A352E">
        <w:rPr>
          <w:lang w:val="en-AU"/>
        </w:rPr>
        <w:t xml:space="preserve"> </w:t>
      </w:r>
    </w:p>
    <w:p w14:paraId="29A13471" w14:textId="77777777" w:rsidR="00237A08" w:rsidRPr="00B0157E" w:rsidRDefault="001F57EB" w:rsidP="008705F3">
      <w:pPr>
        <w:pStyle w:val="02dash"/>
        <w:rPr>
          <w:lang w:val="en-AU"/>
        </w:rPr>
      </w:pPr>
      <w:r w:rsidRPr="00B0157E">
        <w:rPr>
          <w:lang w:val="en-AU"/>
        </w:rPr>
        <w:t>A</w:t>
      </w:r>
      <w:r w:rsidR="00624F8D" w:rsidRPr="00B0157E">
        <w:rPr>
          <w:lang w:val="en-AU"/>
        </w:rPr>
        <w:t xml:space="preserve">dding explanatory notes </w:t>
      </w:r>
      <w:r w:rsidRPr="00B0157E">
        <w:rPr>
          <w:lang w:val="en-AU"/>
        </w:rPr>
        <w:t xml:space="preserve">for the items to </w:t>
      </w:r>
      <w:r w:rsidR="00624F8D" w:rsidRPr="00B0157E">
        <w:rPr>
          <w:lang w:val="en-AU"/>
        </w:rPr>
        <w:t xml:space="preserve">guide </w:t>
      </w:r>
      <w:r w:rsidR="00237A08" w:rsidRPr="00B0157E">
        <w:rPr>
          <w:lang w:val="en-AU"/>
        </w:rPr>
        <w:t xml:space="preserve">doctors and patients </w:t>
      </w:r>
      <w:r w:rsidR="003A13E8" w:rsidRPr="00B0157E">
        <w:rPr>
          <w:lang w:val="en-AU"/>
        </w:rPr>
        <w:t>regarding</w:t>
      </w:r>
      <w:r w:rsidR="00237A08" w:rsidRPr="00B0157E">
        <w:rPr>
          <w:lang w:val="en-AU"/>
        </w:rPr>
        <w:t xml:space="preserve"> the appropriate providers of the </w:t>
      </w:r>
      <w:r w:rsidRPr="00B0157E">
        <w:rPr>
          <w:lang w:val="en-AU"/>
        </w:rPr>
        <w:t xml:space="preserve">different </w:t>
      </w:r>
      <w:r w:rsidR="00237A08" w:rsidRPr="00B0157E">
        <w:rPr>
          <w:lang w:val="en-AU"/>
        </w:rPr>
        <w:t xml:space="preserve">items. </w:t>
      </w:r>
    </w:p>
    <w:p w14:paraId="28659883" w14:textId="77777777" w:rsidR="00610250" w:rsidRPr="00B0157E" w:rsidRDefault="00610250" w:rsidP="00FF0C98">
      <w:pPr>
        <w:pStyle w:val="01squarebullet"/>
        <w:rPr>
          <w:lang w:val="en-AU"/>
        </w:rPr>
      </w:pPr>
      <w:r w:rsidRPr="00B0157E">
        <w:rPr>
          <w:b/>
          <w:lang w:val="en-AU"/>
        </w:rPr>
        <w:t>Wart removal items.</w:t>
      </w:r>
      <w:r w:rsidRPr="00B0157E">
        <w:rPr>
          <w:lang w:val="en-AU"/>
        </w:rPr>
        <w:t xml:space="preserve"> Improve quality of care and modernise the MBS by deleting items 30185–6. These items provide sub-optimal treatment compared to other modern treatment methods (such as cryotherapy). </w:t>
      </w:r>
    </w:p>
    <w:p w14:paraId="5C989BAD" w14:textId="77777777" w:rsidR="00610250" w:rsidRPr="00B0157E" w:rsidRDefault="00610250" w:rsidP="00FF0C98">
      <w:pPr>
        <w:pStyle w:val="01squarebullet"/>
        <w:rPr>
          <w:lang w:val="en-AU"/>
        </w:rPr>
      </w:pPr>
      <w:r w:rsidRPr="00B0157E">
        <w:rPr>
          <w:b/>
          <w:lang w:val="en-AU"/>
        </w:rPr>
        <w:lastRenderedPageBreak/>
        <w:t>Items for removing more than 10 malignant neoplasms using curettage, laser or cryotherapy.</w:t>
      </w:r>
      <w:r w:rsidRPr="00B0157E">
        <w:rPr>
          <w:lang w:val="en-AU"/>
        </w:rPr>
        <w:t xml:space="preserve"> Improve patient safety and address </w:t>
      </w:r>
      <w:r w:rsidR="00250343" w:rsidRPr="00B0157E">
        <w:rPr>
          <w:lang w:val="en-AU"/>
        </w:rPr>
        <w:t xml:space="preserve">potential </w:t>
      </w:r>
      <w:r w:rsidR="00605B22" w:rsidRPr="00B0157E">
        <w:rPr>
          <w:lang w:val="en-AU"/>
        </w:rPr>
        <w:t>misuse by consolidating</w:t>
      </w:r>
      <w:r w:rsidRPr="00B0157E">
        <w:rPr>
          <w:lang w:val="en-AU"/>
        </w:rPr>
        <w:t xml:space="preserve"> items for removing more than 10 malignant neoplasms (items 30197 and 30203)</w:t>
      </w:r>
      <w:r w:rsidR="00605B22" w:rsidRPr="00B0157E">
        <w:rPr>
          <w:lang w:val="en-AU"/>
        </w:rPr>
        <w:t xml:space="preserve"> under the equivalent items for removing 1 or more malignant neoplasms (items 30196 and 30202)</w:t>
      </w:r>
      <w:r w:rsidRPr="00B0157E">
        <w:rPr>
          <w:lang w:val="en-AU"/>
        </w:rPr>
        <w:t>.</w:t>
      </w:r>
      <w:r w:rsidR="00ED734C" w:rsidRPr="00B0157E">
        <w:rPr>
          <w:lang w:val="en-AU"/>
        </w:rPr>
        <w:t xml:space="preserve"> </w:t>
      </w:r>
      <w:r w:rsidR="00BA511A" w:rsidRPr="00B0157E">
        <w:rPr>
          <w:lang w:val="en-AU"/>
        </w:rPr>
        <w:t>Furthermore, p</w:t>
      </w:r>
      <w:r w:rsidR="00ED734C" w:rsidRPr="00B0157E">
        <w:rPr>
          <w:lang w:val="en-AU"/>
        </w:rPr>
        <w:t xml:space="preserve">roof of malignancy under item 30196 will require </w:t>
      </w:r>
      <w:r w:rsidRPr="00B0157E">
        <w:rPr>
          <w:lang w:val="en-AU"/>
        </w:rPr>
        <w:t>histopathology</w:t>
      </w:r>
      <w:r w:rsidR="00F56528" w:rsidRPr="00B0157E">
        <w:rPr>
          <w:bCs/>
          <w:iCs/>
          <w:lang w:val="en-AU"/>
        </w:rPr>
        <w:t xml:space="preserve"> – a procedure that already requires taking skin tissue</w:t>
      </w:r>
      <w:r w:rsidR="00ED734C" w:rsidRPr="00B0157E">
        <w:rPr>
          <w:lang w:val="en-AU"/>
        </w:rPr>
        <w:t>, while either histopathology</w:t>
      </w:r>
      <w:r w:rsidRPr="00B0157E">
        <w:rPr>
          <w:lang w:val="en-AU"/>
        </w:rPr>
        <w:t xml:space="preserve"> or </w:t>
      </w:r>
      <w:r w:rsidR="00ED734C" w:rsidRPr="00B0157E">
        <w:rPr>
          <w:lang w:val="en-AU"/>
        </w:rPr>
        <w:t xml:space="preserve">AMC recognised </w:t>
      </w:r>
      <w:r w:rsidRPr="00B0157E">
        <w:rPr>
          <w:lang w:val="en-AU"/>
        </w:rPr>
        <w:t>dermatologist opinion</w:t>
      </w:r>
      <w:r w:rsidR="00ED734C" w:rsidRPr="00B0157E">
        <w:rPr>
          <w:lang w:val="en-AU"/>
        </w:rPr>
        <w:t xml:space="preserve"> wi</w:t>
      </w:r>
      <w:r w:rsidR="00BA511A" w:rsidRPr="00B0157E">
        <w:rPr>
          <w:lang w:val="en-AU"/>
        </w:rPr>
        <w:t>l</w:t>
      </w:r>
      <w:r w:rsidR="00ED734C" w:rsidRPr="00B0157E">
        <w:rPr>
          <w:lang w:val="en-AU"/>
        </w:rPr>
        <w:t>l be required for</w:t>
      </w:r>
      <w:r w:rsidR="00BA511A" w:rsidRPr="00B0157E">
        <w:rPr>
          <w:lang w:val="en-AU"/>
        </w:rPr>
        <w:t xml:space="preserve"> item</w:t>
      </w:r>
      <w:r w:rsidR="00ED734C" w:rsidRPr="00B0157E">
        <w:rPr>
          <w:lang w:val="en-AU"/>
        </w:rPr>
        <w:t xml:space="preserve"> 30202.</w:t>
      </w:r>
      <w:r w:rsidR="004A352E">
        <w:rPr>
          <w:lang w:val="en-AU"/>
        </w:rPr>
        <w:t xml:space="preserve"> </w:t>
      </w:r>
    </w:p>
    <w:p w14:paraId="65991DA1" w14:textId="77777777" w:rsidR="00BA5E0F" w:rsidRPr="00B0157E" w:rsidRDefault="001A626A" w:rsidP="00FF0C98">
      <w:pPr>
        <w:pStyle w:val="01squarebullet"/>
        <w:rPr>
          <w:b/>
          <w:i/>
          <w:color w:val="4F81BD" w:themeColor="accent1"/>
          <w:lang w:val="en-AU"/>
        </w:rPr>
      </w:pPr>
      <w:r w:rsidRPr="00B0157E">
        <w:rPr>
          <w:b/>
          <w:lang w:val="en-AU"/>
        </w:rPr>
        <w:t>Phototherapy (</w:t>
      </w:r>
      <w:r w:rsidR="00610250" w:rsidRPr="00B0157E">
        <w:rPr>
          <w:b/>
          <w:lang w:val="en-AU"/>
        </w:rPr>
        <w:t>PUVA/UVB</w:t>
      </w:r>
      <w:r w:rsidRPr="00B0157E">
        <w:rPr>
          <w:b/>
          <w:lang w:val="en-AU"/>
        </w:rPr>
        <w:t>)</w:t>
      </w:r>
      <w:r w:rsidR="00610250" w:rsidRPr="00B0157E">
        <w:rPr>
          <w:b/>
          <w:lang w:val="en-AU"/>
        </w:rPr>
        <w:t xml:space="preserve"> items</w:t>
      </w:r>
      <w:r w:rsidR="003465EE" w:rsidRPr="00B0157E">
        <w:rPr>
          <w:lang w:val="en-AU"/>
        </w:rPr>
        <w:t xml:space="preserve"> (often used when treating conditions such as </w:t>
      </w:r>
      <w:r w:rsidR="00316147" w:rsidRPr="00B0157E">
        <w:rPr>
          <w:lang w:val="en-AU"/>
        </w:rPr>
        <w:t>p</w:t>
      </w:r>
      <w:r w:rsidR="003465EE" w:rsidRPr="00B0157E">
        <w:rPr>
          <w:lang w:val="en-AU"/>
        </w:rPr>
        <w:t xml:space="preserve">soriasis and </w:t>
      </w:r>
      <w:r w:rsidR="00316147" w:rsidRPr="00B0157E">
        <w:rPr>
          <w:lang w:val="en-AU"/>
        </w:rPr>
        <w:t>v</w:t>
      </w:r>
      <w:r w:rsidR="003465EE" w:rsidRPr="00B0157E">
        <w:rPr>
          <w:lang w:val="en-AU"/>
        </w:rPr>
        <w:t>itiligo)</w:t>
      </w:r>
      <w:r w:rsidR="00610250" w:rsidRPr="00B0157E">
        <w:rPr>
          <w:lang w:val="en-AU"/>
        </w:rPr>
        <w:t xml:space="preserve">. Address safety concerns about excess treatment leading to higher risks of skin cancer, and simplify the MBS. This involves (i) combining items 14050 and 14053 into one item number, (ii) setting an upper treatment limit of 150 treatments per patient over a 12-month period, and (iii) requiring initiation and ongoing involvement by a specialist dermatologist. </w:t>
      </w:r>
    </w:p>
    <w:p w14:paraId="3E1284E7" w14:textId="77777777" w:rsidR="005B0A9D" w:rsidRPr="00B0157E" w:rsidRDefault="005B0A9D">
      <w:pPr>
        <w:pStyle w:val="01squarebullet"/>
        <w:rPr>
          <w:b/>
          <w:i/>
          <w:lang w:val="en-AU"/>
        </w:rPr>
      </w:pPr>
      <w:r w:rsidRPr="00B0157E">
        <w:rPr>
          <w:b/>
          <w:lang w:val="en-AU"/>
        </w:rPr>
        <w:t>Laser photocoagulation items</w:t>
      </w:r>
      <w:r w:rsidR="00034233" w:rsidRPr="00B0157E">
        <w:rPr>
          <w:b/>
          <w:lang w:val="en-AU"/>
        </w:rPr>
        <w:t xml:space="preserve"> </w:t>
      </w:r>
      <w:r w:rsidR="00034233" w:rsidRPr="00B0157E">
        <w:rPr>
          <w:lang w:val="en-AU"/>
        </w:rPr>
        <w:t xml:space="preserve">(often used to treat </w:t>
      </w:r>
      <w:r w:rsidR="00507224" w:rsidRPr="00B0157E">
        <w:rPr>
          <w:lang w:val="en-AU"/>
        </w:rPr>
        <w:t xml:space="preserve">vascular </w:t>
      </w:r>
      <w:r w:rsidR="00034233" w:rsidRPr="00B0157E">
        <w:rPr>
          <w:lang w:val="en-AU"/>
        </w:rPr>
        <w:t xml:space="preserve">abnormalities </w:t>
      </w:r>
      <w:r w:rsidR="00507224" w:rsidRPr="00B0157E">
        <w:rPr>
          <w:lang w:val="en-AU"/>
        </w:rPr>
        <w:t>or malformations)</w:t>
      </w:r>
      <w:r w:rsidRPr="00B0157E">
        <w:rPr>
          <w:lang w:val="en-AU"/>
        </w:rPr>
        <w:t>.</w:t>
      </w:r>
      <w:r w:rsidRPr="00B0157E">
        <w:rPr>
          <w:b/>
          <w:lang w:val="en-AU"/>
        </w:rPr>
        <w:t xml:space="preserve"> </w:t>
      </w:r>
      <w:r w:rsidR="00D25B1C" w:rsidRPr="00B0157E">
        <w:rPr>
          <w:lang w:val="en-AU"/>
        </w:rPr>
        <w:t>A</w:t>
      </w:r>
      <w:r w:rsidR="009912CD" w:rsidRPr="00B0157E">
        <w:rPr>
          <w:lang w:val="en-AU"/>
        </w:rPr>
        <w:t>d</w:t>
      </w:r>
      <w:r w:rsidR="00D25B1C" w:rsidRPr="00B0157E">
        <w:rPr>
          <w:lang w:val="en-AU"/>
        </w:rPr>
        <w:t xml:space="preserve">dress safety concerns and modernise and simplify the MBS to improve ease of use and encourage best practice. This </w:t>
      </w:r>
      <w:r w:rsidR="00D841E9" w:rsidRPr="00B0157E">
        <w:rPr>
          <w:lang w:val="en-AU"/>
        </w:rPr>
        <w:t xml:space="preserve">involves </w:t>
      </w:r>
      <w:r w:rsidR="006E328D" w:rsidRPr="00B0157E">
        <w:rPr>
          <w:lang w:val="en-AU"/>
        </w:rPr>
        <w:t xml:space="preserve">(i) </w:t>
      </w:r>
      <w:r w:rsidR="00D25B1C" w:rsidRPr="00B0157E">
        <w:rPr>
          <w:lang w:val="en-AU"/>
        </w:rPr>
        <w:t xml:space="preserve">mandating </w:t>
      </w:r>
      <w:r w:rsidR="00D53ED4" w:rsidRPr="00B0157E">
        <w:rPr>
          <w:lang w:val="en-AU"/>
        </w:rPr>
        <w:t>Therapeutic Goods Administration (</w:t>
      </w:r>
      <w:r w:rsidR="00D25B1C" w:rsidRPr="00B0157E">
        <w:rPr>
          <w:lang w:val="en-AU"/>
        </w:rPr>
        <w:t>TGA</w:t>
      </w:r>
      <w:r w:rsidR="00D53ED4" w:rsidRPr="00B0157E">
        <w:rPr>
          <w:lang w:val="en-AU"/>
        </w:rPr>
        <w:t>)</w:t>
      </w:r>
      <w:r w:rsidR="00D25B1C" w:rsidRPr="00B0157E">
        <w:rPr>
          <w:lang w:val="en-AU"/>
        </w:rPr>
        <w:t xml:space="preserve"> listing for laser equipment</w:t>
      </w:r>
      <w:r w:rsidR="006E328D" w:rsidRPr="00B0157E">
        <w:rPr>
          <w:lang w:val="en-AU"/>
        </w:rPr>
        <w:t>;</w:t>
      </w:r>
      <w:r w:rsidR="009912CD" w:rsidRPr="00B0157E">
        <w:rPr>
          <w:lang w:val="en-AU"/>
        </w:rPr>
        <w:t xml:space="preserve"> </w:t>
      </w:r>
      <w:r w:rsidR="006E328D" w:rsidRPr="00B0157E">
        <w:rPr>
          <w:lang w:val="en-AU"/>
        </w:rPr>
        <w:t xml:space="preserve">(ii) </w:t>
      </w:r>
      <w:r w:rsidR="009912CD" w:rsidRPr="00B0157E">
        <w:rPr>
          <w:lang w:val="en-AU"/>
        </w:rPr>
        <w:t>updating descriptor terminology to reflect modern medical language</w:t>
      </w:r>
      <w:r w:rsidR="006E328D" w:rsidRPr="00B0157E">
        <w:rPr>
          <w:lang w:val="en-AU"/>
        </w:rPr>
        <w:t>; (iii)</w:t>
      </w:r>
      <w:r w:rsidR="009912CD" w:rsidRPr="00B0157E">
        <w:rPr>
          <w:lang w:val="en-AU"/>
        </w:rPr>
        <w:t xml:space="preserve"> inclu</w:t>
      </w:r>
      <w:r w:rsidR="00403462" w:rsidRPr="00B0157E">
        <w:rPr>
          <w:lang w:val="en-AU"/>
        </w:rPr>
        <w:t>ding</w:t>
      </w:r>
      <w:r w:rsidR="009912CD" w:rsidRPr="00B0157E">
        <w:rPr>
          <w:lang w:val="en-AU"/>
        </w:rPr>
        <w:t xml:space="preserve"> </w:t>
      </w:r>
      <w:r w:rsidR="007761C1" w:rsidRPr="00B0157E">
        <w:rPr>
          <w:lang w:val="en-AU"/>
        </w:rPr>
        <w:t>i</w:t>
      </w:r>
      <w:r w:rsidR="00E1074F" w:rsidRPr="00B0157E">
        <w:rPr>
          <w:lang w:val="en-AU"/>
        </w:rPr>
        <w:t xml:space="preserve">ntense </w:t>
      </w:r>
      <w:r w:rsidR="007761C1" w:rsidRPr="00B0157E">
        <w:rPr>
          <w:lang w:val="en-AU"/>
        </w:rPr>
        <w:t>p</w:t>
      </w:r>
      <w:r w:rsidR="00E1074F" w:rsidRPr="00B0157E">
        <w:rPr>
          <w:lang w:val="en-AU"/>
        </w:rPr>
        <w:t xml:space="preserve">ulsed </w:t>
      </w:r>
      <w:r w:rsidR="007761C1" w:rsidRPr="00B0157E">
        <w:rPr>
          <w:lang w:val="en-AU"/>
        </w:rPr>
        <w:t>l</w:t>
      </w:r>
      <w:r w:rsidR="00E1074F" w:rsidRPr="00B0157E">
        <w:rPr>
          <w:lang w:val="en-AU"/>
        </w:rPr>
        <w:t>ight (</w:t>
      </w:r>
      <w:r w:rsidR="009912CD" w:rsidRPr="00B0157E">
        <w:rPr>
          <w:lang w:val="en-AU"/>
        </w:rPr>
        <w:t>IPL</w:t>
      </w:r>
      <w:r w:rsidR="00E1074F" w:rsidRPr="00B0157E">
        <w:rPr>
          <w:lang w:val="en-AU"/>
        </w:rPr>
        <w:t>) treatment</w:t>
      </w:r>
      <w:r w:rsidR="009912CD" w:rsidRPr="00B0157E">
        <w:rPr>
          <w:lang w:val="en-AU"/>
        </w:rPr>
        <w:t xml:space="preserve"> within item 1</w:t>
      </w:r>
      <w:r w:rsidR="00D53ED4" w:rsidRPr="00B0157E">
        <w:rPr>
          <w:lang w:val="en-AU"/>
        </w:rPr>
        <w:t>4100</w:t>
      </w:r>
      <w:r w:rsidR="006E328D" w:rsidRPr="00B0157E">
        <w:rPr>
          <w:lang w:val="en-AU"/>
        </w:rPr>
        <w:t>;</w:t>
      </w:r>
      <w:r w:rsidR="00D53ED4" w:rsidRPr="00B0157E">
        <w:rPr>
          <w:lang w:val="en-AU"/>
        </w:rPr>
        <w:t xml:space="preserve"> and</w:t>
      </w:r>
      <w:r w:rsidR="006E328D" w:rsidRPr="00B0157E">
        <w:rPr>
          <w:lang w:val="en-AU"/>
        </w:rPr>
        <w:t xml:space="preserve"> (iv)</w:t>
      </w:r>
      <w:r w:rsidR="00D53ED4" w:rsidRPr="00B0157E">
        <w:rPr>
          <w:lang w:val="en-AU"/>
        </w:rPr>
        <w:t xml:space="preserve"> consolidating</w:t>
      </w:r>
      <w:r w:rsidR="009912CD" w:rsidRPr="00B0157E">
        <w:rPr>
          <w:lang w:val="en-AU"/>
        </w:rPr>
        <w:t xml:space="preserve"> item numbers 14106, 14109, 14112, 14115 and 14118</w:t>
      </w:r>
      <w:r w:rsidR="007D58E6" w:rsidRPr="00B0157E">
        <w:rPr>
          <w:lang w:val="en-AU"/>
        </w:rPr>
        <w:t xml:space="preserve"> </w:t>
      </w:r>
      <w:r w:rsidR="00AF34F7" w:rsidRPr="00B0157E">
        <w:rPr>
          <w:lang w:val="en-AU"/>
        </w:rPr>
        <w:t>in</w:t>
      </w:r>
      <w:r w:rsidR="007D58E6" w:rsidRPr="00B0157E">
        <w:rPr>
          <w:lang w:val="en-AU"/>
        </w:rPr>
        <w:t>to three</w:t>
      </w:r>
      <w:r w:rsidR="00AF34F7" w:rsidRPr="00B0157E">
        <w:rPr>
          <w:lang w:val="en-AU"/>
        </w:rPr>
        <w:t xml:space="preserve"> item numbers</w:t>
      </w:r>
      <w:r w:rsidR="007D58E6" w:rsidRPr="00B0157E">
        <w:rPr>
          <w:lang w:val="en-AU"/>
        </w:rPr>
        <w:t xml:space="preserve">, </w:t>
      </w:r>
      <w:r w:rsidR="009912CD" w:rsidRPr="00B0157E">
        <w:rPr>
          <w:lang w:val="en-AU"/>
        </w:rPr>
        <w:t>using more intuitive treatment area specifications.</w:t>
      </w:r>
      <w:r w:rsidR="004A352E">
        <w:rPr>
          <w:lang w:val="en-AU"/>
        </w:rPr>
        <w:t xml:space="preserve"> </w:t>
      </w:r>
    </w:p>
    <w:p w14:paraId="67815C78" w14:textId="77777777" w:rsidR="004F66AE" w:rsidRPr="00C92CAC" w:rsidRDefault="003410A4">
      <w:pPr>
        <w:pStyle w:val="01squarebullet"/>
        <w:rPr>
          <w:rFonts w:eastAsiaTheme="minorHAnsi" w:cs="Arial"/>
          <w:b/>
          <w:sz w:val="24"/>
          <w:szCs w:val="24"/>
          <w:lang w:val="en-AU"/>
        </w:rPr>
      </w:pPr>
      <w:r w:rsidRPr="00B0157E">
        <w:rPr>
          <w:b/>
          <w:lang w:val="en-AU"/>
        </w:rPr>
        <w:t>Mohs</w:t>
      </w:r>
      <w:r w:rsidR="00BA5E0F" w:rsidRPr="00B0157E">
        <w:rPr>
          <w:b/>
          <w:lang w:val="en-AU"/>
        </w:rPr>
        <w:t xml:space="preserve"> </w:t>
      </w:r>
      <w:r w:rsidR="00315FA0" w:rsidRPr="00B0157E">
        <w:rPr>
          <w:b/>
          <w:lang w:val="en-AU"/>
        </w:rPr>
        <w:t>s</w:t>
      </w:r>
      <w:r w:rsidR="00BA5E0F" w:rsidRPr="00B0157E">
        <w:rPr>
          <w:b/>
          <w:lang w:val="en-AU"/>
        </w:rPr>
        <w:t>urgery items</w:t>
      </w:r>
      <w:r w:rsidR="009B4849" w:rsidRPr="00B0157E">
        <w:rPr>
          <w:b/>
          <w:lang w:val="en-AU"/>
        </w:rPr>
        <w:t xml:space="preserve"> </w:t>
      </w:r>
      <w:r w:rsidR="009B4849" w:rsidRPr="00B0157E">
        <w:rPr>
          <w:lang w:val="en-AU"/>
        </w:rPr>
        <w:t>(</w:t>
      </w:r>
      <w:r w:rsidR="00302CAA" w:rsidRPr="00B0157E">
        <w:rPr>
          <w:lang w:val="en-AU"/>
        </w:rPr>
        <w:t>Micrographically co</w:t>
      </w:r>
      <w:r w:rsidR="009B4849" w:rsidRPr="00B0157E">
        <w:rPr>
          <w:lang w:val="en-AU"/>
        </w:rPr>
        <w:t>ntrolled serial excision of skin tumours</w:t>
      </w:r>
      <w:r w:rsidR="00302CAA" w:rsidRPr="00B0157E">
        <w:rPr>
          <w:lang w:val="en-AU"/>
        </w:rPr>
        <w:t>)</w:t>
      </w:r>
      <w:r w:rsidRPr="00B0157E">
        <w:rPr>
          <w:b/>
          <w:lang w:val="en-AU"/>
        </w:rPr>
        <w:t xml:space="preserve">. </w:t>
      </w:r>
      <w:r w:rsidR="00BA5E0F" w:rsidRPr="00B0157E">
        <w:rPr>
          <w:lang w:val="en-AU"/>
        </w:rPr>
        <w:t>Addre</w:t>
      </w:r>
      <w:r w:rsidR="002432EF" w:rsidRPr="00B0157E">
        <w:rPr>
          <w:lang w:val="en-AU"/>
        </w:rPr>
        <w:t xml:space="preserve">ss concerns </w:t>
      </w:r>
      <w:r w:rsidR="006174BC" w:rsidRPr="00B0157E">
        <w:rPr>
          <w:lang w:val="en-AU"/>
        </w:rPr>
        <w:t xml:space="preserve">about potentially </w:t>
      </w:r>
      <w:r w:rsidR="002432EF" w:rsidRPr="00B0157E">
        <w:rPr>
          <w:lang w:val="en-AU"/>
        </w:rPr>
        <w:t>inappropriate use</w:t>
      </w:r>
      <w:r w:rsidR="00ED1955" w:rsidRPr="00B0157E">
        <w:rPr>
          <w:lang w:val="en-AU"/>
        </w:rPr>
        <w:t>, which</w:t>
      </w:r>
      <w:r w:rsidR="002432EF" w:rsidRPr="00B0157E">
        <w:rPr>
          <w:lang w:val="en-AU"/>
        </w:rPr>
        <w:t xml:space="preserve"> may occur when </w:t>
      </w:r>
      <w:r w:rsidR="00D62641" w:rsidRPr="00B0157E">
        <w:rPr>
          <w:lang w:val="en-AU"/>
        </w:rPr>
        <w:t>under-qualified</w:t>
      </w:r>
      <w:r w:rsidR="002432EF" w:rsidRPr="00B0157E">
        <w:rPr>
          <w:lang w:val="en-AU"/>
        </w:rPr>
        <w:t xml:space="preserve"> doctors use items 3100</w:t>
      </w:r>
      <w:r w:rsidR="007D58E6" w:rsidRPr="00B0157E">
        <w:rPr>
          <w:lang w:val="en-AU"/>
        </w:rPr>
        <w:t>0</w:t>
      </w:r>
      <w:r w:rsidR="00B553D2" w:rsidRPr="00B0157E">
        <w:rPr>
          <w:lang w:val="en-AU"/>
        </w:rPr>
        <w:t>–</w:t>
      </w:r>
      <w:r w:rsidR="007D58E6" w:rsidRPr="00B0157E">
        <w:rPr>
          <w:lang w:val="en-AU"/>
        </w:rPr>
        <w:t>2</w:t>
      </w:r>
      <w:r w:rsidR="00A75867" w:rsidRPr="00B0157E">
        <w:rPr>
          <w:lang w:val="en-AU"/>
        </w:rPr>
        <w:t>,</w:t>
      </w:r>
      <w:r w:rsidR="002432EF" w:rsidRPr="00B0157E">
        <w:rPr>
          <w:lang w:val="en-AU"/>
        </w:rPr>
        <w:t xml:space="preserve"> or when </w:t>
      </w:r>
      <w:r w:rsidR="007D40C8" w:rsidRPr="00B0157E">
        <w:rPr>
          <w:lang w:val="en-AU"/>
        </w:rPr>
        <w:t xml:space="preserve">mohs </w:t>
      </w:r>
      <w:r w:rsidR="002432EF" w:rsidRPr="00B0157E">
        <w:rPr>
          <w:lang w:val="en-AU"/>
        </w:rPr>
        <w:t>surgery is performed on</w:t>
      </w:r>
      <w:r w:rsidR="008F457D" w:rsidRPr="00B0157E">
        <w:rPr>
          <w:lang w:val="en-AU"/>
        </w:rPr>
        <w:t xml:space="preserve"> inappropriate areas of the body. This </w:t>
      </w:r>
      <w:r w:rsidR="00793123" w:rsidRPr="00B0157E">
        <w:rPr>
          <w:lang w:val="en-AU"/>
        </w:rPr>
        <w:t>involves</w:t>
      </w:r>
      <w:r w:rsidR="00BA5E0F" w:rsidRPr="00B0157E">
        <w:rPr>
          <w:lang w:val="en-AU"/>
        </w:rPr>
        <w:t xml:space="preserve"> </w:t>
      </w:r>
      <w:r w:rsidR="00842F0E" w:rsidRPr="00B0157E">
        <w:rPr>
          <w:lang w:val="en-AU"/>
        </w:rPr>
        <w:t xml:space="preserve">(i) </w:t>
      </w:r>
      <w:r w:rsidR="00BA5E0F" w:rsidRPr="00B0157E">
        <w:rPr>
          <w:lang w:val="en-AU"/>
        </w:rPr>
        <w:t>restricting use of the items to appropriately qualified providers</w:t>
      </w:r>
      <w:r w:rsidR="002F2D08" w:rsidRPr="00B0157E">
        <w:rPr>
          <w:lang w:val="en-AU"/>
        </w:rPr>
        <w:t>,</w:t>
      </w:r>
      <w:r w:rsidR="00BA5E0F" w:rsidRPr="00B0157E">
        <w:rPr>
          <w:lang w:val="en-AU"/>
        </w:rPr>
        <w:t xml:space="preserve"> </w:t>
      </w:r>
      <w:r w:rsidR="008F457D" w:rsidRPr="00B0157E">
        <w:rPr>
          <w:lang w:val="en-AU"/>
        </w:rPr>
        <w:t>in cooperation with the Austral</w:t>
      </w:r>
      <w:r w:rsidR="005B0A9D" w:rsidRPr="00B0157E">
        <w:rPr>
          <w:lang w:val="en-AU"/>
        </w:rPr>
        <w:t>as</w:t>
      </w:r>
      <w:r w:rsidR="00CA17CE" w:rsidRPr="00B0157E">
        <w:rPr>
          <w:lang w:val="en-AU"/>
        </w:rPr>
        <w:t>ian C</w:t>
      </w:r>
      <w:r w:rsidR="008F457D" w:rsidRPr="00B0157E">
        <w:rPr>
          <w:lang w:val="en-AU"/>
        </w:rPr>
        <w:t>olleg</w:t>
      </w:r>
      <w:r w:rsidR="005B0A9D" w:rsidRPr="00B0157E">
        <w:rPr>
          <w:lang w:val="en-AU"/>
        </w:rPr>
        <w:t>e of Dermat</w:t>
      </w:r>
      <w:r w:rsidR="008F457D" w:rsidRPr="00B0157E">
        <w:rPr>
          <w:lang w:val="en-AU"/>
        </w:rPr>
        <w:t>ologists</w:t>
      </w:r>
      <w:r w:rsidR="003E53D7" w:rsidRPr="00B0157E">
        <w:rPr>
          <w:lang w:val="en-AU"/>
        </w:rPr>
        <w:t>;</w:t>
      </w:r>
      <w:r w:rsidR="008F457D" w:rsidRPr="00B0157E">
        <w:rPr>
          <w:lang w:val="en-AU"/>
        </w:rPr>
        <w:t xml:space="preserve"> </w:t>
      </w:r>
      <w:r w:rsidR="00B914B4" w:rsidRPr="00B0157E">
        <w:rPr>
          <w:lang w:val="en-AU"/>
        </w:rPr>
        <w:t>and</w:t>
      </w:r>
      <w:r w:rsidR="003E53D7" w:rsidRPr="00B0157E">
        <w:rPr>
          <w:lang w:val="en-AU"/>
        </w:rPr>
        <w:t xml:space="preserve"> (ii)</w:t>
      </w:r>
      <w:r w:rsidR="00B914B4" w:rsidRPr="00B0157E">
        <w:rPr>
          <w:lang w:val="en-AU"/>
        </w:rPr>
        <w:t xml:space="preserve"> changing item descriptors to include specific areas of the body</w:t>
      </w:r>
      <w:r w:rsidR="00D62641" w:rsidRPr="00B0157E">
        <w:rPr>
          <w:lang w:val="en-AU"/>
        </w:rPr>
        <w:t xml:space="preserve"> (</w:t>
      </w:r>
      <w:r w:rsidR="001D3DD1" w:rsidRPr="00B0157E">
        <w:rPr>
          <w:lang w:val="en-AU"/>
        </w:rPr>
        <w:t xml:space="preserve">for example, </w:t>
      </w:r>
      <w:r w:rsidR="0043328D" w:rsidRPr="00B0157E">
        <w:rPr>
          <w:lang w:val="en-AU"/>
        </w:rPr>
        <w:t xml:space="preserve">item </w:t>
      </w:r>
      <w:r w:rsidR="00D62641" w:rsidRPr="00B0157E">
        <w:rPr>
          <w:lang w:val="en-AU"/>
        </w:rPr>
        <w:t xml:space="preserve">3100-A </w:t>
      </w:r>
      <w:r w:rsidR="007D58E6" w:rsidRPr="00B0157E">
        <w:rPr>
          <w:lang w:val="en-AU"/>
        </w:rPr>
        <w:t xml:space="preserve">for </w:t>
      </w:r>
      <w:r w:rsidR="004B6C1F" w:rsidRPr="00B0157E">
        <w:rPr>
          <w:lang w:val="en-AU"/>
        </w:rPr>
        <w:t>head,</w:t>
      </w:r>
      <w:r w:rsidR="008A4D41" w:rsidRPr="00B0157E">
        <w:rPr>
          <w:lang w:val="en-AU"/>
        </w:rPr>
        <w:t xml:space="preserve"> neck, </w:t>
      </w:r>
      <w:r w:rsidR="004B6C1F" w:rsidRPr="00B0157E">
        <w:rPr>
          <w:lang w:val="en-AU"/>
        </w:rPr>
        <w:t xml:space="preserve">genitalia, hand, </w:t>
      </w:r>
      <w:r w:rsidR="008A4D41" w:rsidRPr="00B0157E">
        <w:rPr>
          <w:lang w:val="en-AU"/>
        </w:rPr>
        <w:t>digits</w:t>
      </w:r>
      <w:r w:rsidR="004B6C1F" w:rsidRPr="00B0157E">
        <w:rPr>
          <w:lang w:val="en-AU"/>
        </w:rPr>
        <w:t>, leg (below knee)</w:t>
      </w:r>
      <w:r w:rsidR="008A4D41" w:rsidRPr="00B0157E">
        <w:rPr>
          <w:lang w:val="en-AU"/>
        </w:rPr>
        <w:t xml:space="preserve"> and </w:t>
      </w:r>
      <w:r w:rsidR="004B6C1F" w:rsidRPr="00B0157E">
        <w:rPr>
          <w:lang w:val="en-AU"/>
        </w:rPr>
        <w:t>foot</w:t>
      </w:r>
      <w:r w:rsidR="00442C24" w:rsidRPr="00B0157E">
        <w:rPr>
          <w:lang w:val="en-AU"/>
        </w:rPr>
        <w:t>,</w:t>
      </w:r>
      <w:r w:rsidR="008A4D41" w:rsidRPr="00B0157E">
        <w:rPr>
          <w:lang w:val="en-AU"/>
        </w:rPr>
        <w:t xml:space="preserve"> </w:t>
      </w:r>
      <w:r w:rsidR="00D62641" w:rsidRPr="00B0157E">
        <w:rPr>
          <w:lang w:val="en-AU"/>
        </w:rPr>
        <w:t xml:space="preserve">and </w:t>
      </w:r>
      <w:r w:rsidR="00396E59" w:rsidRPr="00B0157E">
        <w:rPr>
          <w:lang w:val="en-AU"/>
        </w:rPr>
        <w:t xml:space="preserve">item </w:t>
      </w:r>
      <w:r w:rsidR="00D62641" w:rsidRPr="00B0157E">
        <w:rPr>
          <w:lang w:val="en-AU"/>
        </w:rPr>
        <w:t>3100-B</w:t>
      </w:r>
      <w:r w:rsidR="008A4D41" w:rsidRPr="00B0157E">
        <w:rPr>
          <w:lang w:val="en-AU"/>
        </w:rPr>
        <w:t xml:space="preserve"> for all other areas</w:t>
      </w:r>
      <w:r w:rsidR="00D62641" w:rsidRPr="00B0157E">
        <w:rPr>
          <w:lang w:val="en-AU"/>
        </w:rPr>
        <w:t>)</w:t>
      </w:r>
      <w:r w:rsidR="008A4D41" w:rsidRPr="00B0157E">
        <w:rPr>
          <w:lang w:val="en-AU"/>
        </w:rPr>
        <w:t xml:space="preserve"> to enable data collection for monitoring</w:t>
      </w:r>
      <w:r w:rsidR="002E1E9B" w:rsidRPr="00B0157E">
        <w:rPr>
          <w:lang w:val="en-AU"/>
        </w:rPr>
        <w:t xml:space="preserve"> purposes</w:t>
      </w:r>
      <w:r w:rsidR="00B914B4" w:rsidRPr="00B0157E">
        <w:rPr>
          <w:lang w:val="en-AU"/>
        </w:rPr>
        <w:t>.</w:t>
      </w:r>
      <w:r w:rsidR="00605B22" w:rsidRPr="00B0157E">
        <w:rPr>
          <w:lang w:val="en-AU"/>
        </w:rPr>
        <w:t xml:space="preserve"> These</w:t>
      </w:r>
      <w:r w:rsidR="004B6C1F" w:rsidRPr="00B0157E">
        <w:rPr>
          <w:lang w:val="en-AU"/>
        </w:rPr>
        <w:t xml:space="preserve"> recommendation</w:t>
      </w:r>
      <w:r w:rsidR="00605B22" w:rsidRPr="00B0157E">
        <w:rPr>
          <w:lang w:val="en-AU"/>
        </w:rPr>
        <w:t>s also include</w:t>
      </w:r>
      <w:r w:rsidR="004B6C1F" w:rsidRPr="00B0157E">
        <w:rPr>
          <w:lang w:val="en-AU"/>
        </w:rPr>
        <w:t xml:space="preserve"> updating the item descriptor to recognise the term </w:t>
      </w:r>
      <w:r w:rsidR="00605B22" w:rsidRPr="00B0157E">
        <w:rPr>
          <w:lang w:val="en-AU"/>
        </w:rPr>
        <w:t>“</w:t>
      </w:r>
      <w:r w:rsidR="004B6C1F" w:rsidRPr="00B0157E">
        <w:rPr>
          <w:lang w:val="en-AU"/>
        </w:rPr>
        <w:t>mohs surgery</w:t>
      </w:r>
      <w:r w:rsidR="00605B22" w:rsidRPr="00B0157E">
        <w:rPr>
          <w:lang w:val="en-AU"/>
        </w:rPr>
        <w:t>”</w:t>
      </w:r>
      <w:r w:rsidR="004B6C1F" w:rsidRPr="00B0157E">
        <w:rPr>
          <w:lang w:val="en-AU"/>
        </w:rPr>
        <w:t xml:space="preserve">, which replaces the previous words “micrographically controlled serial excision”. </w:t>
      </w:r>
    </w:p>
    <w:p w14:paraId="68C55D87" w14:textId="77777777" w:rsidR="002A1D97" w:rsidRPr="00B0157E" w:rsidRDefault="002A1D97" w:rsidP="00960389">
      <w:pPr>
        <w:pStyle w:val="Heading2"/>
        <w:rPr>
          <w:lang w:val="en-AU"/>
        </w:rPr>
      </w:pPr>
      <w:bookmarkStart w:id="7" w:name="_Toc465871858"/>
      <w:r w:rsidRPr="00B0157E">
        <w:rPr>
          <w:lang w:val="en-AU"/>
        </w:rPr>
        <w:t>Consumer engagement</w:t>
      </w:r>
      <w:bookmarkEnd w:id="7"/>
      <w:r w:rsidRPr="00B0157E">
        <w:rPr>
          <w:lang w:val="en-AU"/>
        </w:rPr>
        <w:t xml:space="preserve"> </w:t>
      </w:r>
    </w:p>
    <w:p w14:paraId="76A2007F" w14:textId="77777777" w:rsidR="002A1D97" w:rsidRPr="00B0157E" w:rsidRDefault="002A1D97" w:rsidP="002A1D97">
      <w:pPr>
        <w:rPr>
          <w:lang w:val="en-AU"/>
        </w:rPr>
      </w:pPr>
      <w:r w:rsidRPr="00B0157E">
        <w:rPr>
          <w:lang w:val="en-AU"/>
        </w:rPr>
        <w:t>Consumers rarely engage directly with MBS item numbers unless they are following up on out of pocket expenses. However, the descriptions of and restrictions on item numbers can have a major impact on consumer health experiences. This section summarises the report’s key recommendations from a consumer perspective. It aims to make it easier for health consumers and members of the general public to understand and comment on the report’s recommendations.</w:t>
      </w:r>
      <w:r w:rsidR="00132015">
        <w:rPr>
          <w:lang w:val="en-AU"/>
        </w:rPr>
        <w:t xml:space="preserve"> </w:t>
      </w:r>
      <w:r w:rsidR="00960389">
        <w:rPr>
          <w:lang w:val="en-AU"/>
        </w:rPr>
        <w:t xml:space="preserve">Additional information for consumers can be found in </w:t>
      </w:r>
      <w:r w:rsidR="00960389">
        <w:rPr>
          <w:lang w:val="en-AU"/>
        </w:rPr>
        <w:fldChar w:fldCharType="begin"/>
      </w:r>
      <w:r w:rsidR="00960389">
        <w:rPr>
          <w:lang w:val="en-AU"/>
        </w:rPr>
        <w:instrText xml:space="preserve"> REF _Ref463869525 \w \h </w:instrText>
      </w:r>
      <w:r w:rsidR="00960389">
        <w:rPr>
          <w:lang w:val="en-AU"/>
        </w:rPr>
      </w:r>
      <w:r w:rsidR="00960389">
        <w:rPr>
          <w:lang w:val="en-AU"/>
        </w:rPr>
        <w:fldChar w:fldCharType="separate"/>
      </w:r>
      <w:r w:rsidR="00076093">
        <w:rPr>
          <w:lang w:val="en-AU"/>
        </w:rPr>
        <w:t xml:space="preserve">Appendix B - </w:t>
      </w:r>
      <w:r w:rsidR="00960389">
        <w:rPr>
          <w:lang w:val="en-AU"/>
        </w:rPr>
        <w:fldChar w:fldCharType="end"/>
      </w:r>
      <w:r w:rsidR="00960389">
        <w:rPr>
          <w:lang w:val="en-AU"/>
        </w:rPr>
        <w:fldChar w:fldCharType="begin"/>
      </w:r>
      <w:r w:rsidR="00960389">
        <w:rPr>
          <w:lang w:val="en-AU"/>
        </w:rPr>
        <w:instrText xml:space="preserve"> REF _Ref463869525 \h </w:instrText>
      </w:r>
      <w:r w:rsidR="00960389">
        <w:rPr>
          <w:lang w:val="en-AU"/>
        </w:rPr>
      </w:r>
      <w:r w:rsidR="00960389">
        <w:rPr>
          <w:lang w:val="en-AU"/>
        </w:rPr>
        <w:fldChar w:fldCharType="separate"/>
      </w:r>
      <w:r w:rsidR="00076093">
        <w:t>Consumer Summary Table</w:t>
      </w:r>
      <w:r w:rsidR="00960389">
        <w:rPr>
          <w:lang w:val="en-AU"/>
        </w:rPr>
        <w:fldChar w:fldCharType="end"/>
      </w:r>
      <w:r w:rsidR="00960389">
        <w:rPr>
          <w:lang w:val="en-AU"/>
        </w:rPr>
        <w:t xml:space="preserve"> and </w:t>
      </w:r>
      <w:r w:rsidR="00960389">
        <w:rPr>
          <w:lang w:val="en-AU"/>
        </w:rPr>
        <w:fldChar w:fldCharType="begin"/>
      </w:r>
      <w:r w:rsidR="00960389">
        <w:rPr>
          <w:lang w:val="en-AU"/>
        </w:rPr>
        <w:instrText xml:space="preserve"> REF _Ref463869526 \w \h </w:instrText>
      </w:r>
      <w:r w:rsidR="00960389">
        <w:rPr>
          <w:lang w:val="en-AU"/>
        </w:rPr>
      </w:r>
      <w:r w:rsidR="00960389">
        <w:rPr>
          <w:lang w:val="en-AU"/>
        </w:rPr>
        <w:fldChar w:fldCharType="separate"/>
      </w:r>
      <w:r w:rsidR="00076093">
        <w:rPr>
          <w:lang w:val="en-AU"/>
        </w:rPr>
        <w:t xml:space="preserve">Appendix C - </w:t>
      </w:r>
      <w:r w:rsidR="00960389">
        <w:rPr>
          <w:lang w:val="en-AU"/>
        </w:rPr>
        <w:fldChar w:fldCharType="end"/>
      </w:r>
      <w:r w:rsidR="00960389">
        <w:rPr>
          <w:lang w:val="en-AU"/>
        </w:rPr>
        <w:fldChar w:fldCharType="begin"/>
      </w:r>
      <w:r w:rsidR="00960389">
        <w:rPr>
          <w:lang w:val="en-AU"/>
        </w:rPr>
        <w:instrText xml:space="preserve"> REF _Ref463869526 \h </w:instrText>
      </w:r>
      <w:r w:rsidR="00960389">
        <w:rPr>
          <w:lang w:val="en-AU"/>
        </w:rPr>
      </w:r>
      <w:r w:rsidR="00960389">
        <w:rPr>
          <w:lang w:val="en-AU"/>
        </w:rPr>
        <w:fldChar w:fldCharType="separate"/>
      </w:r>
      <w:r w:rsidR="00076093" w:rsidRPr="00B0157E">
        <w:rPr>
          <w:lang w:val="en-AU"/>
        </w:rPr>
        <w:t>Glossary</w:t>
      </w:r>
      <w:r w:rsidR="00960389">
        <w:rPr>
          <w:lang w:val="en-AU"/>
        </w:rPr>
        <w:fldChar w:fldCharType="end"/>
      </w:r>
      <w:r w:rsidR="00960389">
        <w:rPr>
          <w:lang w:val="en-AU"/>
        </w:rPr>
        <w:t xml:space="preserve">. </w:t>
      </w:r>
    </w:p>
    <w:p w14:paraId="3FF9FD06" w14:textId="77777777" w:rsidR="002A1D97" w:rsidRPr="00B0157E" w:rsidRDefault="002A1D97" w:rsidP="002A1D97">
      <w:pPr>
        <w:rPr>
          <w:lang w:val="en-AU"/>
        </w:rPr>
      </w:pPr>
      <w:r w:rsidRPr="00B0157E">
        <w:rPr>
          <w:lang w:val="en-AU"/>
        </w:rPr>
        <w:t xml:space="preserve">The Committee considered 38 MBS item numbers relating to dermatology, allergy and immunology. The majority of these items cover the treatment of potential skin cancers and associated conditions. A small group of allergy testing items were also included. In recommending changes, the Committee focused on encouraging best practice treatment, improving consumer care and safety; and ensuring MBS services provide value for consumers and the healthcare system. </w:t>
      </w:r>
      <w:r w:rsidR="00960389">
        <w:rPr>
          <w:lang w:val="en-AU"/>
        </w:rPr>
        <w:t>The Committee’s membership included specialists, GPs and a consumer representative.</w:t>
      </w:r>
    </w:p>
    <w:p w14:paraId="746CB6CD" w14:textId="77777777" w:rsidR="002A1D97" w:rsidRPr="00B0157E" w:rsidRDefault="002A1D97" w:rsidP="002A1D97">
      <w:pPr>
        <w:rPr>
          <w:lang w:val="en-AU"/>
        </w:rPr>
      </w:pPr>
      <w:r w:rsidRPr="00B0157E">
        <w:rPr>
          <w:lang w:val="en-AU"/>
        </w:rPr>
        <w:t>The Committee considered that no changes were required to three items, which provide current and medically appropriate treatment.</w:t>
      </w:r>
    </w:p>
    <w:p w14:paraId="09ADDEB2" w14:textId="77777777" w:rsidR="002A1D97" w:rsidRPr="00B0157E" w:rsidRDefault="002A1D97" w:rsidP="002A1D97">
      <w:pPr>
        <w:rPr>
          <w:lang w:val="en-AU"/>
        </w:rPr>
      </w:pPr>
      <w:r w:rsidRPr="00B0157E">
        <w:rPr>
          <w:lang w:val="en-AU"/>
        </w:rPr>
        <w:lastRenderedPageBreak/>
        <w:t>A further seven items have been recommended for deletion. In particular, this includes deleting several outdated items covering the removal of warts, skin cancers and other lesions by cutting, which are no longer considered best practice. Alternative treatment options, such as freezing, are already covered in the MBS. In many cases, these items are no longer used, with no or almost no claims made against them in recent years.</w:t>
      </w:r>
    </w:p>
    <w:p w14:paraId="6E450ED4" w14:textId="77777777" w:rsidR="002A1D97" w:rsidRPr="00B0157E" w:rsidRDefault="002A1D97" w:rsidP="002A1D97">
      <w:pPr>
        <w:rPr>
          <w:lang w:val="en-AU"/>
        </w:rPr>
      </w:pPr>
      <w:r w:rsidRPr="00B0157E">
        <w:rPr>
          <w:lang w:val="en-AU"/>
        </w:rPr>
        <w:t>The Committee recommended changes to 28 items. Generally, these changes include updating the item descriptions to reflect best practice medical treatment, and providing more detailed guidance for medical practitioners on appropriate use of the items. In some cases, this included providing more stringent safety guidelines, such as requiring specialist medical opinion prior to treatment, or limiting the number of times an item can be claimed for safety reasons (such as limiting potential radiation exposure for patients). One particular area where changes are recommended to reflect best practice treatment include modernising and updating laser-based treatments for skin cancers and other lesions to include additional types of lasers, and to ensure that laser equipment is appropriately certified.</w:t>
      </w:r>
    </w:p>
    <w:p w14:paraId="6A56D5BF" w14:textId="77777777" w:rsidR="002A1D97" w:rsidRPr="00B0157E" w:rsidRDefault="002A1D97" w:rsidP="002A1D97">
      <w:pPr>
        <w:rPr>
          <w:lang w:val="en-AU"/>
        </w:rPr>
      </w:pPr>
      <w:r w:rsidRPr="00B0157E">
        <w:rPr>
          <w:lang w:val="en-AU"/>
        </w:rPr>
        <w:t>Some items were also recommended for removal and/or consolidation with existing items because they were considered to be</w:t>
      </w:r>
      <w:r w:rsidR="004E004E" w:rsidRPr="00B0157E">
        <w:rPr>
          <w:lang w:val="en-AU"/>
        </w:rPr>
        <w:t xml:space="preserve"> potentially</w:t>
      </w:r>
      <w:r w:rsidRPr="00B0157E">
        <w:rPr>
          <w:lang w:val="en-AU"/>
        </w:rPr>
        <w:t xml:space="preserve"> misused or to provide low value care. This included bulk treatment items (covering procedures such as the removal of more than 10 malignant lesions, or the conduct of more than 20 allergy tests at one time), where evidence suggested that these items were being used more often than expected. The Committee was concerned that these items were potentially being used because they allow treatment providers to claim larger rebates, and has recommended that these bulk treatments be merged with existing non-bulk item numbers.</w:t>
      </w:r>
    </w:p>
    <w:p w14:paraId="2052EE9C" w14:textId="77777777" w:rsidR="002A1D97" w:rsidRPr="00B0157E" w:rsidRDefault="002A1D97" w:rsidP="002A1D97">
      <w:pPr>
        <w:rPr>
          <w:b/>
          <w:lang w:val="en-AU"/>
        </w:rPr>
      </w:pPr>
      <w:r w:rsidRPr="00B0157E">
        <w:rPr>
          <w:lang w:val="en-AU"/>
        </w:rPr>
        <w:t>Finally the Committee also recommended that certain items should be split to better reflect the true scope of practice. An example of this are the proposed changes to the allergy items. They would now specify different types of allergy testing that can be conducted, and provide guidance</w:t>
      </w:r>
      <w:r w:rsidR="004A352E">
        <w:rPr>
          <w:lang w:val="en-AU"/>
        </w:rPr>
        <w:t xml:space="preserve"> </w:t>
      </w:r>
      <w:r w:rsidRPr="00B0157E">
        <w:rPr>
          <w:lang w:val="en-AU"/>
        </w:rPr>
        <w:t>around the qualifications and experience that medical practitioners need to be able to provide</w:t>
      </w:r>
      <w:r w:rsidR="004A352E">
        <w:rPr>
          <w:lang w:val="en-AU"/>
        </w:rPr>
        <w:t xml:space="preserve"> </w:t>
      </w:r>
      <w:r w:rsidRPr="00B0157E">
        <w:rPr>
          <w:lang w:val="en-AU"/>
        </w:rPr>
        <w:t>the more technical, complex and potentially risky allergy testing items.</w:t>
      </w:r>
    </w:p>
    <w:p w14:paraId="28989191" w14:textId="77777777" w:rsidR="00235BD9" w:rsidRDefault="00235BD9">
      <w:pPr>
        <w:spacing w:before="0" w:after="0"/>
        <w:rPr>
          <w:sz w:val="24"/>
          <w:szCs w:val="20"/>
          <w:lang w:val="en-AU" w:eastAsia="en-US"/>
        </w:rPr>
      </w:pPr>
      <w:r>
        <w:rPr>
          <w:lang w:val="en-AU"/>
        </w:rPr>
        <w:br w:type="page"/>
      </w:r>
    </w:p>
    <w:p w14:paraId="001538AD" w14:textId="77777777" w:rsidR="00B42B73" w:rsidRPr="00B0157E" w:rsidRDefault="00B42B73" w:rsidP="00C33ED9">
      <w:pPr>
        <w:pStyle w:val="Heading1"/>
        <w:rPr>
          <w:lang w:val="en-AU"/>
        </w:rPr>
      </w:pPr>
      <w:bookmarkStart w:id="8" w:name="_Toc456045424"/>
      <w:bookmarkStart w:id="9" w:name="_Toc457411123"/>
      <w:bookmarkStart w:id="10" w:name="_Toc458774409"/>
      <w:bookmarkStart w:id="11" w:name="_Toc459973078"/>
      <w:bookmarkStart w:id="12" w:name="_Toc465871859"/>
      <w:r w:rsidRPr="00B0157E">
        <w:rPr>
          <w:lang w:val="en-AU"/>
        </w:rPr>
        <w:lastRenderedPageBreak/>
        <w:t>About the Medicare Benefits Schedule (MBS) Review</w:t>
      </w:r>
      <w:bookmarkEnd w:id="8"/>
      <w:bookmarkEnd w:id="9"/>
      <w:bookmarkEnd w:id="10"/>
      <w:bookmarkEnd w:id="11"/>
      <w:bookmarkEnd w:id="12"/>
    </w:p>
    <w:p w14:paraId="492C05E3" w14:textId="77777777" w:rsidR="00B42B73" w:rsidRPr="00B0157E" w:rsidRDefault="00B42B73" w:rsidP="005125E2">
      <w:pPr>
        <w:pStyle w:val="Heading2"/>
        <w:rPr>
          <w:lang w:val="en-AU"/>
        </w:rPr>
      </w:pPr>
      <w:bookmarkStart w:id="13" w:name="_Toc456045425"/>
      <w:bookmarkStart w:id="14" w:name="_Toc457411124"/>
      <w:bookmarkStart w:id="15" w:name="_Toc458774410"/>
      <w:bookmarkStart w:id="16" w:name="_Toc465871860"/>
      <w:r w:rsidRPr="00B0157E">
        <w:rPr>
          <w:lang w:val="en-AU"/>
        </w:rPr>
        <w:t>Medicare and the MBS</w:t>
      </w:r>
      <w:bookmarkEnd w:id="13"/>
      <w:bookmarkEnd w:id="14"/>
      <w:bookmarkEnd w:id="15"/>
      <w:bookmarkEnd w:id="16"/>
    </w:p>
    <w:p w14:paraId="38EAA26B" w14:textId="77777777" w:rsidR="00B42B73" w:rsidRPr="002808A4" w:rsidRDefault="00B42B73" w:rsidP="00077FFE">
      <w:pPr>
        <w:pStyle w:val="Boldhdg"/>
      </w:pPr>
      <w:r w:rsidRPr="002808A4">
        <w:t>What is Medicare?</w:t>
      </w:r>
    </w:p>
    <w:p w14:paraId="1C65B8E4" w14:textId="77777777" w:rsidR="00FB52A4" w:rsidRDefault="00B42B73" w:rsidP="00FF0C98">
      <w:pPr>
        <w:rPr>
          <w:lang w:val="en-AU"/>
        </w:rPr>
      </w:pPr>
      <w:r w:rsidRPr="00B0157E">
        <w:rPr>
          <w:lang w:val="en-AU"/>
        </w:rPr>
        <w:t>Medicare is Australia’s universal health scheme</w:t>
      </w:r>
      <w:r w:rsidR="00FB52A4">
        <w:rPr>
          <w:lang w:val="en-AU"/>
        </w:rPr>
        <w:t xml:space="preserve"> </w:t>
      </w:r>
      <w:r w:rsidRPr="00B0157E">
        <w:rPr>
          <w:lang w:val="en-AU"/>
        </w:rPr>
        <w:t xml:space="preserve">which enables all Australian residents (and some overseas visitors) to have access to a wide range of health services and medicines at little or no cost. </w:t>
      </w:r>
    </w:p>
    <w:p w14:paraId="0572CA63" w14:textId="77777777" w:rsidR="00077FFE" w:rsidRDefault="00B42B73" w:rsidP="00FF0C98">
      <w:pPr>
        <w:rPr>
          <w:lang w:val="en-AU"/>
        </w:rPr>
      </w:pPr>
      <w:r w:rsidRPr="00B0157E">
        <w:rPr>
          <w:lang w:val="en-AU"/>
        </w:rPr>
        <w:t xml:space="preserve">Introduced in 1984, Medicare has three components: </w:t>
      </w:r>
    </w:p>
    <w:p w14:paraId="1FCAFD5A" w14:textId="77777777" w:rsidR="00077FFE" w:rsidRDefault="00077FFE" w:rsidP="00077FFE">
      <w:pPr>
        <w:pStyle w:val="01squarebullet"/>
      </w:pPr>
      <w:r>
        <w:t>F</w:t>
      </w:r>
      <w:r w:rsidR="00B42B73" w:rsidRPr="00B0157E">
        <w:t xml:space="preserve">ree public hospital services for public patients; </w:t>
      </w:r>
    </w:p>
    <w:p w14:paraId="496620D0" w14:textId="77777777" w:rsidR="00077FFE" w:rsidRDefault="00077FFE" w:rsidP="00077FFE">
      <w:pPr>
        <w:pStyle w:val="01squarebullet"/>
      </w:pPr>
      <w:r>
        <w:t>S</w:t>
      </w:r>
      <w:r w:rsidR="00B42B73" w:rsidRPr="00B0157E">
        <w:t xml:space="preserve">ubsidised drugs covered by the Pharmaceutical Benefits Scheme (PBS); and </w:t>
      </w:r>
    </w:p>
    <w:p w14:paraId="6E05B176" w14:textId="77777777" w:rsidR="00B42B73" w:rsidRPr="00B0157E" w:rsidRDefault="00077FFE" w:rsidP="00077FFE">
      <w:pPr>
        <w:pStyle w:val="01squarebullet"/>
        <w:rPr>
          <w:rFonts w:eastAsiaTheme="minorHAnsi"/>
          <w:b/>
        </w:rPr>
      </w:pPr>
      <w:r>
        <w:t>S</w:t>
      </w:r>
      <w:r w:rsidR="00B42B73" w:rsidRPr="00B0157E">
        <w:t>ubsidised health professional services listed on the MBS.</w:t>
      </w:r>
    </w:p>
    <w:p w14:paraId="6B75FD44" w14:textId="77777777" w:rsidR="00B42B73" w:rsidRPr="002808A4" w:rsidRDefault="00B42B73" w:rsidP="00077FFE">
      <w:pPr>
        <w:pStyle w:val="Boldhdg"/>
      </w:pPr>
      <w:r w:rsidRPr="002808A4">
        <w:t>What is the MBS?</w:t>
      </w:r>
    </w:p>
    <w:p w14:paraId="28820E38" w14:textId="77777777" w:rsidR="00B42B73" w:rsidRPr="00B0157E" w:rsidRDefault="00B42B73" w:rsidP="00FF0C98">
      <w:pPr>
        <w:rPr>
          <w:lang w:val="en-AU"/>
        </w:rPr>
      </w:pPr>
      <w:r w:rsidRPr="00B0157E">
        <w:rPr>
          <w:lang w:val="en-AU"/>
        </w:rPr>
        <w:t xml:space="preserve">The MBS is a listing of the health professional services subsidised by the Australian </w:t>
      </w:r>
      <w:r w:rsidR="00FB52A4">
        <w:rPr>
          <w:lang w:val="en-AU"/>
        </w:rPr>
        <w:t>g</w:t>
      </w:r>
      <w:r w:rsidRPr="00B0157E">
        <w:rPr>
          <w:lang w:val="en-AU"/>
        </w:rPr>
        <w:t>overnment. There are over 5,700 MBS items, which provide benefits to patien</w:t>
      </w:r>
      <w:r w:rsidR="003F79D3">
        <w:rPr>
          <w:lang w:val="en-AU"/>
        </w:rPr>
        <w:t xml:space="preserve">ts for a comprehensive range of </w:t>
      </w:r>
      <w:r w:rsidRPr="00B0157E">
        <w:rPr>
          <w:lang w:val="en-AU"/>
        </w:rPr>
        <w:t xml:space="preserve">services including consultations, diagnostic tests and operations. </w:t>
      </w:r>
    </w:p>
    <w:p w14:paraId="20683F35" w14:textId="77777777" w:rsidR="00B42B73" w:rsidRPr="00B0157E" w:rsidRDefault="003F79D3" w:rsidP="005125E2">
      <w:pPr>
        <w:pStyle w:val="Heading2"/>
        <w:rPr>
          <w:lang w:val="en-AU"/>
        </w:rPr>
      </w:pPr>
      <w:bookmarkStart w:id="17" w:name="_Toc456045426"/>
      <w:bookmarkStart w:id="18" w:name="_Toc457411125"/>
      <w:bookmarkStart w:id="19" w:name="_Toc458774411"/>
      <w:bookmarkStart w:id="20" w:name="_Toc465871861"/>
      <w:r>
        <w:rPr>
          <w:lang w:val="en-AU"/>
        </w:rPr>
        <w:t xml:space="preserve">What is the </w:t>
      </w:r>
      <w:r w:rsidR="00B42B73" w:rsidRPr="00B0157E">
        <w:rPr>
          <w:lang w:val="en-AU"/>
        </w:rPr>
        <w:t>MBS Review Taskforce</w:t>
      </w:r>
      <w:bookmarkEnd w:id="17"/>
      <w:bookmarkEnd w:id="18"/>
      <w:bookmarkEnd w:id="19"/>
      <w:r>
        <w:rPr>
          <w:lang w:val="en-AU"/>
        </w:rPr>
        <w:t>?</w:t>
      </w:r>
      <w:bookmarkEnd w:id="20"/>
    </w:p>
    <w:p w14:paraId="5A4D84F5" w14:textId="77777777" w:rsidR="00E04E1A" w:rsidRPr="00B0157E" w:rsidRDefault="00357BD3" w:rsidP="00C33ED9">
      <w:pPr>
        <w:rPr>
          <w:lang w:val="en-AU"/>
        </w:rPr>
      </w:pPr>
      <w:r w:rsidRPr="00B0157E">
        <w:rPr>
          <w:lang w:val="en-AU"/>
        </w:rPr>
        <w:t xml:space="preserve">The Government established </w:t>
      </w:r>
      <w:r w:rsidR="003F79D3">
        <w:rPr>
          <w:lang w:val="en-AU"/>
        </w:rPr>
        <w:t xml:space="preserve">the </w:t>
      </w:r>
      <w:r w:rsidR="00E04E1A" w:rsidRPr="00B0157E">
        <w:rPr>
          <w:lang w:val="en-AU"/>
        </w:rPr>
        <w:t>MBS Review Taskforce (</w:t>
      </w:r>
      <w:r w:rsidRPr="00B0157E">
        <w:rPr>
          <w:lang w:val="en-AU"/>
        </w:rPr>
        <w:t xml:space="preserve">the Taskforce) </w:t>
      </w:r>
      <w:r w:rsidR="00ED7FA0">
        <w:rPr>
          <w:lang w:val="en-AU"/>
        </w:rPr>
        <w:t xml:space="preserve">as an advisory body </w:t>
      </w:r>
      <w:r w:rsidRPr="00B0157E">
        <w:rPr>
          <w:lang w:val="en-AU"/>
        </w:rPr>
        <w:t xml:space="preserve">to </w:t>
      </w:r>
      <w:r w:rsidR="00FB52A4">
        <w:rPr>
          <w:lang w:val="en-AU"/>
        </w:rPr>
        <w:t xml:space="preserve">review all of the 5,700 MBS items to ensure they are </w:t>
      </w:r>
      <w:r w:rsidR="00E04E1A" w:rsidRPr="00B0157E">
        <w:rPr>
          <w:lang w:val="en-AU"/>
        </w:rPr>
        <w:t xml:space="preserve">aligned with contemporary clinical evidence and practice </w:t>
      </w:r>
      <w:r w:rsidR="00FB52A4">
        <w:rPr>
          <w:lang w:val="en-AU"/>
        </w:rPr>
        <w:t>and</w:t>
      </w:r>
      <w:r w:rsidR="00E04E1A" w:rsidRPr="00B0157E">
        <w:rPr>
          <w:lang w:val="en-AU"/>
        </w:rPr>
        <w:t xml:space="preserve"> improve health outcomes for patients. The Taskforce </w:t>
      </w:r>
      <w:r w:rsidR="00ED7FA0">
        <w:rPr>
          <w:lang w:val="en-AU"/>
        </w:rPr>
        <w:t xml:space="preserve">will also modernise the MBS by </w:t>
      </w:r>
      <w:r w:rsidR="00E04E1A" w:rsidRPr="00B0157E">
        <w:rPr>
          <w:lang w:val="en-AU"/>
        </w:rPr>
        <w:t>identify</w:t>
      </w:r>
      <w:r w:rsidR="00ED7FA0">
        <w:rPr>
          <w:lang w:val="en-AU"/>
        </w:rPr>
        <w:t>ing</w:t>
      </w:r>
      <w:r w:rsidR="00E04E1A" w:rsidRPr="00B0157E">
        <w:rPr>
          <w:lang w:val="en-AU"/>
        </w:rPr>
        <w:t xml:space="preserve"> any services that may be unnecessary, outdated or potentially unsafe. </w:t>
      </w:r>
      <w:r w:rsidRPr="00B0157E">
        <w:rPr>
          <w:lang w:val="en-AU"/>
        </w:rPr>
        <w:t xml:space="preserve">The </w:t>
      </w:r>
      <w:r w:rsidR="00831C90">
        <w:rPr>
          <w:lang w:val="en-AU"/>
        </w:rPr>
        <w:t>Review</w:t>
      </w:r>
      <w:r w:rsidRPr="00B0157E">
        <w:rPr>
          <w:lang w:val="en-AU"/>
        </w:rPr>
        <w:t xml:space="preserve"> is clinician-led, and there are no targets for savings attached to the </w:t>
      </w:r>
      <w:r w:rsidR="00831C90">
        <w:rPr>
          <w:lang w:val="en-AU"/>
        </w:rPr>
        <w:t>Review</w:t>
      </w:r>
      <w:r w:rsidRPr="00B0157E">
        <w:rPr>
          <w:lang w:val="en-AU"/>
        </w:rPr>
        <w:t xml:space="preserve">. </w:t>
      </w:r>
    </w:p>
    <w:p w14:paraId="6AF28763" w14:textId="77777777" w:rsidR="00B42B73" w:rsidRPr="00B0157E" w:rsidRDefault="00B42B73" w:rsidP="003F79D3">
      <w:pPr>
        <w:pStyle w:val="Boldhdg"/>
        <w:rPr>
          <w:lang w:val="en-AU"/>
        </w:rPr>
      </w:pPr>
      <w:r w:rsidRPr="00B0157E">
        <w:rPr>
          <w:lang w:val="en-AU"/>
        </w:rPr>
        <w:t>What are the goals of the Taskforce?</w:t>
      </w:r>
    </w:p>
    <w:p w14:paraId="7540DFBE" w14:textId="77777777" w:rsidR="00B42B73" w:rsidRPr="00B0157E" w:rsidRDefault="00B42B73" w:rsidP="00C33ED9">
      <w:pPr>
        <w:rPr>
          <w:lang w:val="en-AU"/>
        </w:rPr>
      </w:pPr>
      <w:r w:rsidRPr="00B0157E">
        <w:rPr>
          <w:lang w:val="en-AU"/>
        </w:rPr>
        <w:t xml:space="preserve">The Taskforce is committed to providing recommendations to the </w:t>
      </w:r>
      <w:r w:rsidR="002A2665" w:rsidRPr="00B0157E">
        <w:rPr>
          <w:lang w:val="en-AU"/>
        </w:rPr>
        <w:t xml:space="preserve">Minister </w:t>
      </w:r>
      <w:r w:rsidR="00235BD9">
        <w:rPr>
          <w:lang w:val="en-AU"/>
        </w:rPr>
        <w:t xml:space="preserve">for Health </w:t>
      </w:r>
      <w:r w:rsidRPr="00B0157E">
        <w:rPr>
          <w:lang w:val="en-AU"/>
        </w:rPr>
        <w:t xml:space="preserve">that will allow the MBS to deliver on each of these four </w:t>
      </w:r>
      <w:r w:rsidR="00FB52A4">
        <w:rPr>
          <w:lang w:val="en-AU"/>
        </w:rPr>
        <w:t xml:space="preserve">key </w:t>
      </w:r>
      <w:r w:rsidRPr="00B0157E">
        <w:rPr>
          <w:lang w:val="en-AU"/>
        </w:rPr>
        <w:t>goals:</w:t>
      </w:r>
    </w:p>
    <w:p w14:paraId="54D462C0" w14:textId="77777777" w:rsidR="00B42B73" w:rsidRPr="00FB52A4" w:rsidRDefault="00B42B73" w:rsidP="00FB52A4">
      <w:pPr>
        <w:pStyle w:val="01squarebullet"/>
        <w:rPr>
          <w:lang w:val="en-AU"/>
        </w:rPr>
      </w:pPr>
      <w:r w:rsidRPr="00B0157E">
        <w:rPr>
          <w:b/>
          <w:lang w:val="en-AU"/>
        </w:rPr>
        <w:t>Affordable and universal access</w:t>
      </w:r>
      <w:r w:rsidR="00FB52A4">
        <w:rPr>
          <w:b/>
          <w:lang w:val="en-AU"/>
        </w:rPr>
        <w:t xml:space="preserve"> </w:t>
      </w:r>
      <w:r w:rsidR="00FB52A4" w:rsidRPr="00831C90">
        <w:rPr>
          <w:lang w:val="en-AU"/>
        </w:rPr>
        <w:t>–</w:t>
      </w:r>
      <w:r w:rsidRPr="00B0157E">
        <w:rPr>
          <w:lang w:val="en-AU"/>
        </w:rPr>
        <w:t xml:space="preserve"> </w:t>
      </w:r>
      <w:r w:rsidR="00FB52A4">
        <w:rPr>
          <w:lang w:val="en-AU"/>
        </w:rPr>
        <w:t>t</w:t>
      </w:r>
      <w:r w:rsidRPr="00FB52A4">
        <w:rPr>
          <w:lang w:val="en-AU"/>
        </w:rPr>
        <w:t xml:space="preserve">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w:t>
      </w:r>
      <w:r w:rsidR="00EA367E">
        <w:rPr>
          <w:lang w:val="en-AU"/>
        </w:rPr>
        <w:t xml:space="preserve">being </w:t>
      </w:r>
      <w:r w:rsidRPr="00FB52A4">
        <w:rPr>
          <w:lang w:val="en-AU"/>
        </w:rPr>
        <w:t>particularly under-serviced.</w:t>
      </w:r>
    </w:p>
    <w:p w14:paraId="72DD3AC9" w14:textId="77777777" w:rsidR="00B42B73" w:rsidRPr="00B0157E" w:rsidRDefault="00B42B73" w:rsidP="005125E2">
      <w:pPr>
        <w:pStyle w:val="01squarebullet"/>
        <w:rPr>
          <w:lang w:val="en-AU"/>
        </w:rPr>
      </w:pPr>
      <w:r w:rsidRPr="00B0157E">
        <w:rPr>
          <w:b/>
          <w:lang w:val="en-AU"/>
        </w:rPr>
        <w:t>Best-practice health services</w:t>
      </w:r>
      <w:r w:rsidR="00FB52A4">
        <w:rPr>
          <w:b/>
          <w:lang w:val="en-AU"/>
        </w:rPr>
        <w:t xml:space="preserve"> </w:t>
      </w:r>
      <w:r w:rsidR="00FB52A4" w:rsidRPr="00831C90">
        <w:rPr>
          <w:lang w:val="en-AU"/>
        </w:rPr>
        <w:t>–</w:t>
      </w:r>
      <w:r w:rsidR="00FB52A4">
        <w:rPr>
          <w:lang w:val="en-AU"/>
        </w:rPr>
        <w:softHyphen/>
      </w:r>
      <w:r w:rsidRPr="00B0157E">
        <w:rPr>
          <w:lang w:val="en-AU"/>
        </w:rPr>
        <w:t xml:space="preserve"> </w:t>
      </w:r>
      <w:r w:rsidR="00EA367E">
        <w:rPr>
          <w:lang w:val="en-AU"/>
        </w:rPr>
        <w:t>o</w:t>
      </w:r>
      <w:r w:rsidRPr="00B0157E">
        <w:rPr>
          <w:lang w:val="en-AU"/>
        </w:rPr>
        <w:t xml:space="preserve">ne of the core objectives of the </w:t>
      </w:r>
      <w:r w:rsidR="00EA367E">
        <w:rPr>
          <w:lang w:val="en-AU"/>
        </w:rPr>
        <w:t>R</w:t>
      </w:r>
      <w:r w:rsidRPr="00B0157E">
        <w:rPr>
          <w:lang w:val="en-AU"/>
        </w:rPr>
        <w:t>eview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majority of existing MBS items pre-date this process and have never been reviewed.</w:t>
      </w:r>
    </w:p>
    <w:p w14:paraId="2C252576" w14:textId="77777777" w:rsidR="00B42B73" w:rsidRPr="00B0157E" w:rsidRDefault="00B42B73" w:rsidP="005125E2">
      <w:pPr>
        <w:pStyle w:val="01squarebullet"/>
        <w:rPr>
          <w:lang w:val="en-AU"/>
        </w:rPr>
      </w:pPr>
      <w:r w:rsidRPr="00B0157E">
        <w:rPr>
          <w:b/>
          <w:lang w:val="en-AU"/>
        </w:rPr>
        <w:t>Value for the individual patient</w:t>
      </w:r>
      <w:r w:rsidR="00FB52A4">
        <w:rPr>
          <w:b/>
          <w:lang w:val="en-AU"/>
        </w:rPr>
        <w:t xml:space="preserve"> </w:t>
      </w:r>
      <w:r w:rsidR="00FB52A4" w:rsidRPr="002F6430">
        <w:rPr>
          <w:lang w:val="en-AU"/>
        </w:rPr>
        <w:t>–</w:t>
      </w:r>
      <w:r w:rsidRPr="00B0157E">
        <w:rPr>
          <w:b/>
          <w:lang w:val="en-AU"/>
        </w:rPr>
        <w:t xml:space="preserve"> </w:t>
      </w:r>
      <w:r w:rsidR="00EA367E">
        <w:rPr>
          <w:lang w:val="en-AU"/>
        </w:rPr>
        <w:t>a</w:t>
      </w:r>
      <w:r w:rsidRPr="00B0157E">
        <w:rPr>
          <w:lang w:val="en-AU"/>
        </w:rPr>
        <w:t xml:space="preserve">nother core objective of the </w:t>
      </w:r>
      <w:r w:rsidR="00EA367E">
        <w:rPr>
          <w:lang w:val="en-AU"/>
        </w:rPr>
        <w:t>R</w:t>
      </w:r>
      <w:r w:rsidRPr="00B0157E">
        <w:rPr>
          <w:lang w:val="en-AU"/>
        </w:rPr>
        <w:t>eview is to maintain an MBS that supports the delivery of services that are appropriate to the patient’s needs, provide real clinical value and do not expose the patient to unnecessary risk or expense.</w:t>
      </w:r>
    </w:p>
    <w:p w14:paraId="281ADDD6" w14:textId="77777777" w:rsidR="00B42B73" w:rsidRPr="00B0157E" w:rsidRDefault="00B42B73" w:rsidP="005125E2">
      <w:pPr>
        <w:pStyle w:val="01squarebullet"/>
        <w:rPr>
          <w:lang w:val="en-AU"/>
        </w:rPr>
      </w:pPr>
      <w:r w:rsidRPr="00B0157E">
        <w:rPr>
          <w:b/>
          <w:lang w:val="en-AU"/>
        </w:rPr>
        <w:t>Value for the health system</w:t>
      </w:r>
      <w:r w:rsidR="00FB52A4">
        <w:rPr>
          <w:b/>
          <w:lang w:val="en-AU"/>
        </w:rPr>
        <w:t xml:space="preserve"> </w:t>
      </w:r>
      <w:r w:rsidR="00FB52A4" w:rsidRPr="002F6430">
        <w:rPr>
          <w:lang w:val="en-AU"/>
        </w:rPr>
        <w:t>–</w:t>
      </w:r>
      <w:r w:rsidRPr="00B0157E">
        <w:rPr>
          <w:b/>
          <w:lang w:val="en-AU"/>
        </w:rPr>
        <w:t xml:space="preserve"> </w:t>
      </w:r>
      <w:r w:rsidR="00EA367E">
        <w:rPr>
          <w:lang w:val="en-AU"/>
        </w:rPr>
        <w:t>a</w:t>
      </w:r>
      <w:r w:rsidRPr="00B0157E">
        <w:rPr>
          <w:lang w:val="en-AU"/>
        </w:rPr>
        <w:t xml:space="preserve">chieving the above elements will go a long way towards achieving improved value for the health system overall. Reducing the volume of services that provide little or no clinical benefit will enable resources to be redirected to new and existing </w:t>
      </w:r>
      <w:r w:rsidRPr="00B0157E">
        <w:rPr>
          <w:lang w:val="en-AU"/>
        </w:rPr>
        <w:lastRenderedPageBreak/>
        <w:t>services that have proven benefits but are underused, particularly for patients who cannot readily access those services.</w:t>
      </w:r>
    </w:p>
    <w:p w14:paraId="29BD1689" w14:textId="77777777" w:rsidR="00B42B73" w:rsidRPr="00B0157E" w:rsidRDefault="00B42B73" w:rsidP="005125E2">
      <w:pPr>
        <w:pStyle w:val="Heading2"/>
        <w:rPr>
          <w:lang w:val="en-AU"/>
        </w:rPr>
      </w:pPr>
      <w:bookmarkStart w:id="21" w:name="_Toc456045427"/>
      <w:bookmarkStart w:id="22" w:name="_Toc457411126"/>
      <w:bookmarkStart w:id="23" w:name="_Toc458774412"/>
      <w:bookmarkStart w:id="24" w:name="_Toc465871862"/>
      <w:r w:rsidRPr="00B0157E">
        <w:rPr>
          <w:lang w:val="en-AU"/>
        </w:rPr>
        <w:t>The Taskforce’s approach</w:t>
      </w:r>
      <w:bookmarkEnd w:id="21"/>
      <w:bookmarkEnd w:id="22"/>
      <w:bookmarkEnd w:id="23"/>
      <w:bookmarkEnd w:id="24"/>
    </w:p>
    <w:p w14:paraId="56165DA9" w14:textId="77777777" w:rsidR="00B42B73" w:rsidRPr="00B0157E" w:rsidRDefault="00B42B73" w:rsidP="00C33ED9">
      <w:pPr>
        <w:rPr>
          <w:lang w:val="en-AU"/>
        </w:rPr>
      </w:pPr>
      <w:r w:rsidRPr="00B0157E">
        <w:rPr>
          <w:lang w:val="en-AU"/>
        </w:rPr>
        <w:t>The Taskforce is reviewing existing MBS items, with a primary focus on ensuring that individual items and usage meet the definition of best practice. Within the Taskforce’s brief, there is considerable scope to review and advise on all aspects that would contribute to a modern, transparent and responsive system. This includes not only making recommendations about adding new items or services to the MBS, but also about an MBS structure that could better accommodate changing health service models. 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review has concluded.</w:t>
      </w:r>
    </w:p>
    <w:p w14:paraId="3313F8B5" w14:textId="77777777" w:rsidR="00B42B73" w:rsidRPr="00B0157E" w:rsidRDefault="00B42B73" w:rsidP="00FF0C98">
      <w:pPr>
        <w:rPr>
          <w:lang w:val="en-AU"/>
        </w:rPr>
      </w:pPr>
      <w:r w:rsidRPr="00B0157E">
        <w:rPr>
          <w:lang w:val="en-AU"/>
        </w:rPr>
        <w:t xml:space="preserve">As the MBS Review is to be clinician-led, the Taskforce decided that </w:t>
      </w:r>
      <w:r w:rsidR="00674752">
        <w:rPr>
          <w:lang w:val="en-AU"/>
        </w:rPr>
        <w:t>Clinical Committee</w:t>
      </w:r>
      <w:r w:rsidR="00994937" w:rsidRPr="00B0157E">
        <w:rPr>
          <w:lang w:val="en-AU"/>
        </w:rPr>
        <w:t xml:space="preserve">s should conduct the </w:t>
      </w:r>
      <w:r w:rsidRPr="00B0157E">
        <w:rPr>
          <w:lang w:val="en-AU"/>
        </w:rPr>
        <w:t xml:space="preserve">detailed review of MBS items. The committees are broad-based in their membership, and members have been appointed in their individual capacity, rather than as representatives of any organisation. </w:t>
      </w:r>
    </w:p>
    <w:p w14:paraId="20390934" w14:textId="77777777" w:rsidR="00B42B73" w:rsidRPr="00B0157E" w:rsidRDefault="00B42B73" w:rsidP="00C33ED9">
      <w:pPr>
        <w:rPr>
          <w:lang w:val="en-AU"/>
        </w:rPr>
      </w:pPr>
      <w:r w:rsidRPr="00B0157E">
        <w:rPr>
          <w:lang w:val="en-AU"/>
        </w:rPr>
        <w:t xml:space="preserve">The Taskforce asked all committees in the second tranche of the </w:t>
      </w:r>
      <w:r w:rsidR="00831C90">
        <w:rPr>
          <w:lang w:val="en-AU"/>
        </w:rPr>
        <w:t>Review</w:t>
      </w:r>
      <w:r w:rsidRPr="00B0157E">
        <w:rPr>
          <w:lang w:val="en-AU"/>
        </w:rPr>
        <w:t xml:space="preserve"> process to review MBS items using a framework based on Professor Adam Elshaug’s appropriate use criteria</w:t>
      </w:r>
      <w:r w:rsidR="00534D22" w:rsidRPr="00B0157E">
        <w:rPr>
          <w:lang w:val="en-AU"/>
        </w:rPr>
        <w:t>.</w:t>
      </w:r>
      <w:r w:rsidR="00C1346F" w:rsidRPr="00B0157E">
        <w:rPr>
          <w:lang w:val="en-AU"/>
        </w:rPr>
        <w:fldChar w:fldCharType="begin" w:fldLock="1"/>
      </w:r>
      <w:r w:rsidR="00AD19C9" w:rsidRPr="00B0157E">
        <w:rPr>
          <w:lang w:val="en-AU"/>
        </w:rPr>
        <w:instrText>ADDIN CSL_CITATION { "citationItems" : [ { "id" : "ITEM-1", "itemData" : { "author" : [ { "dropping-particle" : "", "family" : "Elshaug", "given" : "Adam", "non-dropping-particle" : "", "parse-names" : false, "suffix" : "" } ], "id" : "ITEM-1", "issued" : { "date-parts" : [ [ "2016" ] ] }, "title" : "Appropriate Use Criteria", "type" : "report" }, "uris" : [ "http://www.mendeley.com/documents/?uuid=375cd0aa-679a-49a1-abd5-1350ed5a530b" ] } ], "mendeley" : { "formattedCitation" : "[1]", "plainTextFormattedCitation" : "[1]", "previouslyFormattedCitation" : "[1]" }, "properties" : { "noteIndex" : 0 }, "schema" : "https://github.com/citation-style-language/schema/raw/master/csl-citation.json" }</w:instrText>
      </w:r>
      <w:r w:rsidR="00C1346F" w:rsidRPr="00B0157E">
        <w:rPr>
          <w:lang w:val="en-AU"/>
        </w:rPr>
        <w:fldChar w:fldCharType="separate"/>
      </w:r>
      <w:r w:rsidR="000F0F2C" w:rsidRPr="00B0157E">
        <w:rPr>
          <w:lang w:val="en-AU"/>
        </w:rPr>
        <w:t>[1]</w:t>
      </w:r>
      <w:r w:rsidR="00C1346F" w:rsidRPr="00B0157E">
        <w:rPr>
          <w:lang w:val="en-AU"/>
        </w:rPr>
        <w:fldChar w:fldCharType="end"/>
      </w:r>
      <w:r w:rsidRPr="00B0157E">
        <w:rPr>
          <w:lang w:val="en-AU"/>
        </w:rPr>
        <w:t xml:space="preserve"> The framework used</w:t>
      </w:r>
      <w:r w:rsidR="00534D22" w:rsidRPr="00B0157E">
        <w:rPr>
          <w:lang w:val="en-AU"/>
        </w:rPr>
        <w:t xml:space="preserve"> by the committees</w:t>
      </w:r>
      <w:r w:rsidRPr="00B0157E">
        <w:rPr>
          <w:lang w:val="en-AU"/>
        </w:rPr>
        <w:t xml:space="preserve"> consists of seven steps:</w:t>
      </w:r>
    </w:p>
    <w:p w14:paraId="4722D460" w14:textId="77777777" w:rsidR="00B42B73" w:rsidRPr="00B0157E" w:rsidRDefault="00B42B73">
      <w:pPr>
        <w:pStyle w:val="01squarebullet"/>
        <w:numPr>
          <w:ilvl w:val="0"/>
          <w:numId w:val="16"/>
        </w:numPr>
        <w:rPr>
          <w:lang w:val="en-AU"/>
        </w:rPr>
      </w:pPr>
      <w:r w:rsidRPr="00B0157E">
        <w:rPr>
          <w:lang w:val="en-AU"/>
        </w:rPr>
        <w:t xml:space="preserve">Develop an initial fact base for all items under consideration, drawing on the relevant data and literature. </w:t>
      </w:r>
    </w:p>
    <w:p w14:paraId="1E3A4177" w14:textId="77777777" w:rsidR="00B42B73" w:rsidRPr="00B0157E" w:rsidRDefault="00B42B73">
      <w:pPr>
        <w:pStyle w:val="01squarebullet"/>
        <w:numPr>
          <w:ilvl w:val="0"/>
          <w:numId w:val="16"/>
        </w:numPr>
        <w:rPr>
          <w:lang w:val="en-AU"/>
        </w:rPr>
      </w:pPr>
      <w:r w:rsidRPr="00B0157E">
        <w:rPr>
          <w:lang w:val="en-AU"/>
        </w:rPr>
        <w:t xml:space="preserve">Identify </w:t>
      </w:r>
      <w:r w:rsidR="007B141A" w:rsidRPr="00B0157E">
        <w:rPr>
          <w:lang w:val="en-AU"/>
        </w:rPr>
        <w:t xml:space="preserve">items that are obsolete, provide </w:t>
      </w:r>
      <w:r w:rsidRPr="00B0157E">
        <w:rPr>
          <w:lang w:val="en-AU"/>
        </w:rPr>
        <w:t>questionable clinical value</w:t>
      </w:r>
      <w:r w:rsidR="007B141A" w:rsidRPr="00B0157E">
        <w:rPr>
          <w:lang w:val="en-AU"/>
        </w:rPr>
        <w:t xml:space="preserve"> or</w:t>
      </w:r>
      <w:r w:rsidR="00552DF9" w:rsidRPr="00B0157E">
        <w:rPr>
          <w:lang w:val="en-AU"/>
        </w:rPr>
        <w:t xml:space="preserve"> low-</w:t>
      </w:r>
      <w:r w:rsidR="007B141A" w:rsidRPr="00B0157E">
        <w:rPr>
          <w:lang w:val="en-AU"/>
        </w:rPr>
        <w:t>value</w:t>
      </w:r>
      <w:r w:rsidR="00552DF9" w:rsidRPr="00B0157E">
        <w:rPr>
          <w:lang w:val="en-AU"/>
        </w:rPr>
        <w:t xml:space="preserve"> care</w:t>
      </w:r>
      <w:r w:rsidRPr="00B0157E">
        <w:rPr>
          <w:lang w:val="en-AU"/>
        </w:rPr>
        <w:t xml:space="preserve">, are </w:t>
      </w:r>
      <w:r w:rsidR="00106F36" w:rsidRPr="00B0157E">
        <w:rPr>
          <w:lang w:val="en-AU"/>
        </w:rPr>
        <w:t xml:space="preserve">potentially </w:t>
      </w:r>
      <w:r w:rsidRPr="00B0157E">
        <w:rPr>
          <w:lang w:val="en-AU"/>
        </w:rPr>
        <w:t>misused and/or pose a risk to patient safety. This step includes prioritising items as “priority 1</w:t>
      </w:r>
      <w:r w:rsidR="00785DC6" w:rsidRPr="00B0157E">
        <w:rPr>
          <w:lang w:val="en-AU"/>
        </w:rPr>
        <w:t>,</w:t>
      </w:r>
      <w:r w:rsidRPr="00B0157E">
        <w:rPr>
          <w:lang w:val="en-AU"/>
        </w:rPr>
        <w:t>” “priority 2” or “priority 3,” using a prioritisation methodology (described in more detail below).</w:t>
      </w:r>
    </w:p>
    <w:p w14:paraId="3BEE3CDC" w14:textId="77777777" w:rsidR="00B42B73" w:rsidRPr="00B0157E" w:rsidRDefault="00B42B73">
      <w:pPr>
        <w:pStyle w:val="01squarebullet"/>
        <w:numPr>
          <w:ilvl w:val="0"/>
          <w:numId w:val="16"/>
        </w:numPr>
        <w:rPr>
          <w:lang w:val="en-AU"/>
        </w:rPr>
      </w:pPr>
      <w:r w:rsidRPr="00B0157E">
        <w:rPr>
          <w:lang w:val="en-AU"/>
        </w:rPr>
        <w:t xml:space="preserve">Identify any issues, develop hypotheses for recommendations and create a work plan (including establishing </w:t>
      </w:r>
      <w:r w:rsidR="00674752">
        <w:rPr>
          <w:lang w:val="en-AU"/>
        </w:rPr>
        <w:t>Working Groups</w:t>
      </w:r>
      <w:r w:rsidRPr="00B0157E">
        <w:rPr>
          <w:lang w:val="en-AU"/>
        </w:rPr>
        <w:t>, when required) to arrive at recommendations for each item.</w:t>
      </w:r>
    </w:p>
    <w:p w14:paraId="3DA19A77" w14:textId="77777777" w:rsidR="00B42B73" w:rsidRPr="00B0157E" w:rsidRDefault="00B42B73">
      <w:pPr>
        <w:pStyle w:val="01squarebullet"/>
        <w:numPr>
          <w:ilvl w:val="0"/>
          <w:numId w:val="16"/>
        </w:numPr>
        <w:rPr>
          <w:lang w:val="en-AU"/>
        </w:rPr>
      </w:pPr>
      <w:r w:rsidRPr="00B0157E">
        <w:rPr>
          <w:lang w:val="en-AU"/>
        </w:rPr>
        <w:t>Gather further data, clinical guidelines and relevant literature in order to make provisional recommendations and draft accompanying rationales, as per the work plan. This process begins with priority 1 items, continues with priority 2 item</w:t>
      </w:r>
      <w:r w:rsidR="00C43B69" w:rsidRPr="00B0157E">
        <w:rPr>
          <w:lang w:val="en-AU"/>
        </w:rPr>
        <w:t>s and concludes with priority 3 </w:t>
      </w:r>
      <w:r w:rsidRPr="00B0157E">
        <w:rPr>
          <w:lang w:val="en-AU"/>
        </w:rPr>
        <w:t xml:space="preserve">items. This step also involves consultation with relevant stakeholders within the Committee, </w:t>
      </w:r>
      <w:r w:rsidR="00674752">
        <w:rPr>
          <w:lang w:val="en-AU"/>
        </w:rPr>
        <w:t>Working Groups</w:t>
      </w:r>
      <w:r w:rsidRPr="00B0157E">
        <w:rPr>
          <w:lang w:val="en-AU"/>
        </w:rPr>
        <w:t xml:space="preserve">, and relevant colleagues or colleges. </w:t>
      </w:r>
      <w:r w:rsidR="006F6677" w:rsidRPr="00B0157E">
        <w:rPr>
          <w:lang w:val="en-AU"/>
        </w:rPr>
        <w:t>(</w:t>
      </w:r>
      <w:r w:rsidRPr="00B0157E">
        <w:rPr>
          <w:lang w:val="en-AU"/>
        </w:rPr>
        <w:t xml:space="preserve">For complex cases, full appropriate use criteria were developed for the item’s </w:t>
      </w:r>
      <w:r w:rsidR="00552DF9" w:rsidRPr="00B0157E">
        <w:rPr>
          <w:lang w:val="en-AU"/>
        </w:rPr>
        <w:t xml:space="preserve">descriptor and/or </w:t>
      </w:r>
      <w:r w:rsidRPr="00B0157E">
        <w:rPr>
          <w:lang w:val="en-AU"/>
        </w:rPr>
        <w:t>explanatory notes.</w:t>
      </w:r>
      <w:r w:rsidR="006F6677" w:rsidRPr="00B0157E">
        <w:rPr>
          <w:lang w:val="en-AU"/>
        </w:rPr>
        <w:t>)</w:t>
      </w:r>
    </w:p>
    <w:p w14:paraId="7BAF9933" w14:textId="77777777" w:rsidR="00B42B73" w:rsidRPr="00B0157E" w:rsidRDefault="00B42B73">
      <w:pPr>
        <w:pStyle w:val="01squarebullet"/>
        <w:numPr>
          <w:ilvl w:val="0"/>
          <w:numId w:val="16"/>
        </w:numPr>
        <w:rPr>
          <w:lang w:val="en-AU"/>
        </w:rPr>
      </w:pPr>
      <w:r w:rsidRPr="00B0157E">
        <w:rPr>
          <w:lang w:val="en-AU"/>
        </w:rPr>
        <w:t>Review provisional recommendations and the accompanying rationales, and gather further evidence as required.</w:t>
      </w:r>
    </w:p>
    <w:p w14:paraId="1A952ECB" w14:textId="77777777" w:rsidR="00B42B73" w:rsidRPr="00B0157E" w:rsidRDefault="00B42B73">
      <w:pPr>
        <w:pStyle w:val="01squarebullet"/>
        <w:numPr>
          <w:ilvl w:val="0"/>
          <w:numId w:val="16"/>
        </w:numPr>
        <w:rPr>
          <w:lang w:val="en-AU"/>
        </w:rPr>
      </w:pPr>
      <w:r w:rsidRPr="00B0157E">
        <w:rPr>
          <w:lang w:val="en-AU"/>
        </w:rPr>
        <w:t>Finalise recommendations in preparation for broader stakeholder consultation.</w:t>
      </w:r>
    </w:p>
    <w:p w14:paraId="6830DF8F" w14:textId="77777777" w:rsidR="00B42B73" w:rsidRPr="00B0157E" w:rsidRDefault="00B42B73">
      <w:pPr>
        <w:pStyle w:val="01squarebullet"/>
        <w:numPr>
          <w:ilvl w:val="0"/>
          <w:numId w:val="16"/>
        </w:numPr>
        <w:rPr>
          <w:lang w:val="en-AU"/>
        </w:rPr>
      </w:pPr>
      <w:r w:rsidRPr="00B0157E">
        <w:rPr>
          <w:lang w:val="en-AU"/>
        </w:rPr>
        <w:t xml:space="preserve">Incorporate feedback gathered during stakeholder consultation and finalise the </w:t>
      </w:r>
      <w:r w:rsidR="00831C90">
        <w:rPr>
          <w:lang w:val="en-AU"/>
        </w:rPr>
        <w:t>Review</w:t>
      </w:r>
      <w:r w:rsidRPr="00B0157E">
        <w:rPr>
          <w:lang w:val="en-AU"/>
        </w:rPr>
        <w:t xml:space="preserve"> report, which provides recommendations for the Taskforce. </w:t>
      </w:r>
    </w:p>
    <w:p w14:paraId="35FD6B88" w14:textId="77777777" w:rsidR="00B42B73" w:rsidRPr="00B0157E" w:rsidRDefault="00B42B73" w:rsidP="00C33ED9">
      <w:pPr>
        <w:rPr>
          <w:lang w:val="en-AU"/>
        </w:rPr>
      </w:pPr>
      <w:r w:rsidRPr="00B0157E">
        <w:rPr>
          <w:lang w:val="en-AU"/>
        </w:rPr>
        <w:t>All MBS items were reviewed during the course of the MBS Review</w:t>
      </w:r>
      <w:r w:rsidR="00B0157E" w:rsidRPr="00B0157E">
        <w:rPr>
          <w:lang w:val="en-AU"/>
        </w:rPr>
        <w:t>. However, given the breadth of </w:t>
      </w:r>
      <w:r w:rsidRPr="00B0157E">
        <w:rPr>
          <w:lang w:val="en-AU"/>
        </w:rPr>
        <w:t xml:space="preserve">and timeframe for the </w:t>
      </w:r>
      <w:r w:rsidR="00831C90">
        <w:rPr>
          <w:lang w:val="en-AU"/>
        </w:rPr>
        <w:t>Review</w:t>
      </w:r>
      <w:r w:rsidRPr="00B0157E">
        <w:rPr>
          <w:lang w:val="en-AU"/>
        </w:rPr>
        <w:t xml:space="preserve">, each </w:t>
      </w:r>
      <w:r w:rsidR="00674752">
        <w:rPr>
          <w:lang w:val="en-AU"/>
        </w:rPr>
        <w:t>Clinical Committee</w:t>
      </w:r>
      <w:r w:rsidRPr="00B0157E">
        <w:rPr>
          <w:lang w:val="en-AU"/>
        </w:rPr>
        <w:t xml:space="preserve"> had to develop a work plan and assign priorities, keeping in mind the objectives of the </w:t>
      </w:r>
      <w:r w:rsidR="00831C90">
        <w:rPr>
          <w:lang w:val="en-AU"/>
        </w:rPr>
        <w:t>Review</w:t>
      </w:r>
      <w:r w:rsidR="000F559E" w:rsidRPr="00B0157E">
        <w:rPr>
          <w:lang w:val="en-AU"/>
        </w:rPr>
        <w:t xml:space="preserve"> (this may not have been required for committees assigned a small number of items to review)</w:t>
      </w:r>
      <w:r w:rsidRPr="00B0157E">
        <w:rPr>
          <w:lang w:val="en-AU"/>
        </w:rPr>
        <w:t xml:space="preserve">. Committees used a robust prioritisation methodology to focus their attention and resources on the most important items requiring review. </w:t>
      </w:r>
      <w:r w:rsidRPr="00B0157E">
        <w:rPr>
          <w:lang w:val="en-AU"/>
        </w:rPr>
        <w:lastRenderedPageBreak/>
        <w:t>This was determined based on a combination of two standard metrics, derived from the appropriate use criteria</w:t>
      </w:r>
      <w:r w:rsidR="006F6677" w:rsidRPr="00B0157E">
        <w:rPr>
          <w:lang w:val="en-AU"/>
        </w:rPr>
        <w:t>:</w:t>
      </w:r>
      <w:r w:rsidR="00C1346F" w:rsidRPr="00B0157E">
        <w:rPr>
          <w:lang w:val="en-AU"/>
        </w:rPr>
        <w:fldChar w:fldCharType="begin" w:fldLock="1"/>
      </w:r>
      <w:r w:rsidR="00AD19C9" w:rsidRPr="00B0157E">
        <w:rPr>
          <w:lang w:val="en-AU"/>
        </w:rPr>
        <w:instrText>ADDIN CSL_CITATION { "citationItems" : [ { "id" : "ITEM-1", "itemData" : { "author" : [ { "dropping-particle" : "", "family" : "Elshaug", "given" : "Adam", "non-dropping-particle" : "", "parse-names" : false, "suffix" : "" } ], "id" : "ITEM-1", "issued" : { "date-parts" : [ [ "2016" ] ] }, "title" : "Appropriate Use Criteria", "type" : "report" }, "uris" : [ "http://www.mendeley.com/documents/?uuid=375cd0aa-679a-49a1-abd5-1350ed5a530b" ] } ], "mendeley" : { "formattedCitation" : "[1]", "plainTextFormattedCitation" : "[1]", "previouslyFormattedCitation" : "[1]" }, "properties" : { "noteIndex" : 0 }, "schema" : "https://github.com/citation-style-language/schema/raw/master/csl-citation.json" }</w:instrText>
      </w:r>
      <w:r w:rsidR="00C1346F" w:rsidRPr="00B0157E">
        <w:rPr>
          <w:lang w:val="en-AU"/>
        </w:rPr>
        <w:fldChar w:fldCharType="separate"/>
      </w:r>
      <w:r w:rsidR="000F0F2C" w:rsidRPr="00B0157E">
        <w:rPr>
          <w:lang w:val="en-AU"/>
        </w:rPr>
        <w:t>[1]</w:t>
      </w:r>
      <w:r w:rsidR="00C1346F" w:rsidRPr="00B0157E">
        <w:rPr>
          <w:lang w:val="en-AU"/>
        </w:rPr>
        <w:fldChar w:fldCharType="end"/>
      </w:r>
    </w:p>
    <w:p w14:paraId="5613208A" w14:textId="77777777" w:rsidR="00B42B73" w:rsidRPr="00B0157E" w:rsidRDefault="00B42B73" w:rsidP="005125E2">
      <w:pPr>
        <w:pStyle w:val="01squarebullet"/>
        <w:rPr>
          <w:lang w:val="en-AU"/>
        </w:rPr>
      </w:pPr>
      <w:r w:rsidRPr="00B0157E">
        <w:rPr>
          <w:lang w:val="en-AU"/>
        </w:rPr>
        <w:t>Service volume</w:t>
      </w:r>
      <w:r w:rsidR="00FE0705" w:rsidRPr="00B0157E">
        <w:rPr>
          <w:lang w:val="en-AU"/>
        </w:rPr>
        <w:t>.</w:t>
      </w:r>
    </w:p>
    <w:p w14:paraId="36D429B2" w14:textId="77777777" w:rsidR="00B42B73" w:rsidRPr="00B0157E" w:rsidRDefault="00B42B73" w:rsidP="005125E2">
      <w:pPr>
        <w:pStyle w:val="01squarebullet"/>
        <w:rPr>
          <w:lang w:val="en-AU"/>
        </w:rPr>
      </w:pPr>
      <w:r w:rsidRPr="00B0157E">
        <w:rPr>
          <w:lang w:val="en-AU"/>
        </w:rPr>
        <w:t>The likelihood that the item need</w:t>
      </w:r>
      <w:r w:rsidR="00484FBE" w:rsidRPr="00B0157E">
        <w:rPr>
          <w:lang w:val="en-AU"/>
        </w:rPr>
        <w:t>ed</w:t>
      </w:r>
      <w:r w:rsidRPr="00B0157E">
        <w:rPr>
          <w:lang w:val="en-AU"/>
        </w:rPr>
        <w:t xml:space="preserve"> to be revised, determined by indicators such as identified safety concerns, geographic or temporal variation, delivery irregularity, the potential misuse of indications or other concerns raised by the Committee (such as inappropriate co-claiming).</w:t>
      </w:r>
    </w:p>
    <w:p w14:paraId="04506A29" w14:textId="77777777" w:rsidR="00F95AAE" w:rsidRPr="00B0157E" w:rsidRDefault="00B42B73" w:rsidP="00C33ED9">
      <w:pPr>
        <w:rPr>
          <w:lang w:val="en-AU"/>
        </w:rPr>
      </w:pPr>
      <w:r w:rsidRPr="00B0157E">
        <w:rPr>
          <w:lang w:val="en-AU"/>
        </w:rPr>
        <w:t>For each item, these two metrics were ranked high, medium or low. These rankings were then combined to generate a priority ranking ranging from one to three (where priority 1</w:t>
      </w:r>
      <w:r w:rsidR="005353D9" w:rsidRPr="00B0157E">
        <w:rPr>
          <w:lang w:val="en-AU"/>
        </w:rPr>
        <w:t xml:space="preserve"> </w:t>
      </w:r>
      <w:r w:rsidRPr="00B0157E">
        <w:rPr>
          <w:lang w:val="en-AU"/>
        </w:rPr>
        <w:t>items are the highest priority and priority 3 items are the lowest priority for review), using a prioritisation matrix (</w:t>
      </w:r>
      <w:r w:rsidR="00791E30">
        <w:rPr>
          <w:lang w:val="en-AU"/>
        </w:rPr>
        <w:fldChar w:fldCharType="begin"/>
      </w:r>
      <w:r w:rsidR="00791E30">
        <w:rPr>
          <w:lang w:val="en-AU"/>
        </w:rPr>
        <w:instrText xml:space="preserve"> REF _Ref463874395 \h </w:instrText>
      </w:r>
      <w:r w:rsidR="00791E30">
        <w:rPr>
          <w:lang w:val="en-AU"/>
        </w:rPr>
      </w:r>
      <w:r w:rsidR="00791E30">
        <w:rPr>
          <w:lang w:val="en-AU"/>
        </w:rPr>
        <w:fldChar w:fldCharType="separate"/>
      </w:r>
      <w:r w:rsidR="00076093" w:rsidRPr="00E03DD0">
        <w:t xml:space="preserve">Figure </w:t>
      </w:r>
      <w:r w:rsidR="00076093">
        <w:rPr>
          <w:noProof/>
        </w:rPr>
        <w:t>1</w:t>
      </w:r>
      <w:r w:rsidR="00791E30">
        <w:rPr>
          <w:lang w:val="en-AU"/>
        </w:rPr>
        <w:fldChar w:fldCharType="end"/>
      </w:r>
      <w:r w:rsidRPr="00B0157E">
        <w:rPr>
          <w:lang w:val="en-AU"/>
        </w:rPr>
        <w:t xml:space="preserve">). The Committee used this priority ranking to organise its review of item numbers and apportion the amount of time spent on each item. </w:t>
      </w:r>
      <w:bookmarkStart w:id="25" w:name="_Toc457520395"/>
      <w:bookmarkStart w:id="26" w:name="_Toc457520635"/>
      <w:bookmarkStart w:id="27" w:name="_Toc457522658"/>
      <w:bookmarkEnd w:id="25"/>
      <w:bookmarkEnd w:id="26"/>
      <w:bookmarkEnd w:id="27"/>
    </w:p>
    <w:p w14:paraId="1C0547DE" w14:textId="77777777" w:rsidR="00164DEF" w:rsidRDefault="00164DEF" w:rsidP="00164DEF">
      <w:pPr>
        <w:pStyle w:val="Figure"/>
        <w:pBdr>
          <w:bottom w:val="single" w:sz="4" w:space="1" w:color="808080"/>
        </w:pBdr>
      </w:pPr>
      <w:bookmarkStart w:id="28" w:name="_Ref463874395"/>
      <w:bookmarkStart w:id="29" w:name="_Toc459904224"/>
      <w:bookmarkStart w:id="30" w:name="_Toc465871844"/>
      <w:bookmarkStart w:id="31" w:name="_Toc459973079"/>
      <w:r w:rsidRPr="00E03DD0">
        <w:t xml:space="preserve">Figure </w:t>
      </w:r>
      <w:fldSimple w:instr=" SEQ Exhibit\* Arabic ">
        <w:r w:rsidR="00076093">
          <w:rPr>
            <w:noProof/>
          </w:rPr>
          <w:t>1</w:t>
        </w:r>
      </w:fldSimple>
      <w:bookmarkEnd w:id="28"/>
      <w:r w:rsidRPr="00E03DD0">
        <w:t xml:space="preserve">: </w:t>
      </w:r>
      <w:bookmarkStart w:id="32" w:name="_Ref463874392"/>
      <w:r w:rsidRPr="00E03DD0">
        <w:t>Prioritisation matrix</w:t>
      </w:r>
      <w:bookmarkEnd w:id="29"/>
      <w:bookmarkEnd w:id="30"/>
      <w:bookmarkEnd w:id="32"/>
    </w:p>
    <w:p w14:paraId="11A2C021" w14:textId="77777777" w:rsidR="00ED656A" w:rsidRDefault="00ED656A" w:rsidP="00164DEF">
      <w:pPr>
        <w:jc w:val="center"/>
        <w:rPr>
          <w:lang w:eastAsia="en-US"/>
        </w:rPr>
      </w:pPr>
      <w:r w:rsidRPr="00ED656A">
        <w:rPr>
          <w:noProof/>
          <w:lang w:val="en-AU"/>
        </w:rPr>
        <w:drawing>
          <wp:inline distT="0" distB="0" distL="0" distR="0" wp14:anchorId="7CE8CD5F" wp14:editId="39E606F4">
            <wp:extent cx="5731510" cy="4073247"/>
            <wp:effectExtent l="0" t="0" r="0" b="0"/>
            <wp:docPr id="66" name="Picture 66"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073247"/>
                    </a:xfrm>
                    <a:prstGeom prst="rect">
                      <a:avLst/>
                    </a:prstGeom>
                    <a:noFill/>
                    <a:ln>
                      <a:noFill/>
                    </a:ln>
                  </pic:spPr>
                </pic:pic>
              </a:graphicData>
            </a:graphic>
          </wp:inline>
        </w:drawing>
      </w:r>
    </w:p>
    <w:p w14:paraId="6324ECA2" w14:textId="2A46981A" w:rsidR="00164DEF" w:rsidRPr="00164DEF" w:rsidRDefault="00224863" w:rsidP="00224863">
      <w:pPr>
        <w:spacing w:before="0" w:after="0"/>
        <w:rPr>
          <w:lang w:eastAsia="en-US"/>
        </w:rPr>
      </w:pPr>
      <w:r>
        <w:rPr>
          <w:lang w:eastAsia="en-US"/>
        </w:rPr>
        <w:br w:type="page"/>
      </w:r>
    </w:p>
    <w:p w14:paraId="528DD55F" w14:textId="77777777" w:rsidR="00864FFD" w:rsidRPr="00B0157E" w:rsidRDefault="00864FFD" w:rsidP="00C33ED9">
      <w:pPr>
        <w:pStyle w:val="Heading1"/>
        <w:rPr>
          <w:lang w:val="en-AU"/>
        </w:rPr>
      </w:pPr>
      <w:bookmarkStart w:id="33" w:name="_Toc457823579"/>
      <w:bookmarkStart w:id="34" w:name="_Toc457823580"/>
      <w:bookmarkStart w:id="35" w:name="_Toc457411127"/>
      <w:bookmarkStart w:id="36" w:name="_Toc458774413"/>
      <w:bookmarkStart w:id="37" w:name="_Toc459973080"/>
      <w:bookmarkStart w:id="38" w:name="_Toc465871863"/>
      <w:bookmarkEnd w:id="31"/>
      <w:bookmarkEnd w:id="33"/>
      <w:bookmarkEnd w:id="34"/>
      <w:r w:rsidRPr="00B0157E">
        <w:rPr>
          <w:lang w:val="en-AU"/>
        </w:rPr>
        <w:lastRenderedPageBreak/>
        <w:t xml:space="preserve">About the </w:t>
      </w:r>
      <w:r w:rsidR="00A632C5" w:rsidRPr="00B0157E">
        <w:rPr>
          <w:lang w:val="en-AU"/>
        </w:rPr>
        <w:t xml:space="preserve">Dermatology, Allergy and Immunology Clinical </w:t>
      </w:r>
      <w:r w:rsidRPr="00B0157E">
        <w:rPr>
          <w:lang w:val="en-AU"/>
        </w:rPr>
        <w:t>Committee</w:t>
      </w:r>
      <w:bookmarkEnd w:id="35"/>
      <w:bookmarkEnd w:id="36"/>
      <w:bookmarkEnd w:id="37"/>
      <w:bookmarkEnd w:id="38"/>
    </w:p>
    <w:p w14:paraId="263F831E" w14:textId="77777777" w:rsidR="00EA367E" w:rsidRDefault="00864FFD" w:rsidP="00C33ED9">
      <w:pPr>
        <w:rPr>
          <w:lang w:val="en-AU"/>
        </w:rPr>
      </w:pPr>
      <w:r w:rsidRPr="00B0157E">
        <w:rPr>
          <w:lang w:val="en-AU"/>
        </w:rPr>
        <w:t xml:space="preserve">The Dermatology, Allergy and Immunology Clinical Committee is part of the second tranche of </w:t>
      </w:r>
      <w:r w:rsidR="00674752">
        <w:rPr>
          <w:lang w:val="en-AU"/>
        </w:rPr>
        <w:t>Clinical Committee</w:t>
      </w:r>
      <w:r w:rsidRPr="00B0157E">
        <w:rPr>
          <w:lang w:val="en-AU"/>
        </w:rPr>
        <w:t xml:space="preserve">s. </w:t>
      </w:r>
    </w:p>
    <w:p w14:paraId="6D95D50F" w14:textId="77777777" w:rsidR="00864FFD" w:rsidRPr="00B0157E" w:rsidRDefault="00EA367E" w:rsidP="00C33ED9">
      <w:pPr>
        <w:rPr>
          <w:lang w:val="en-AU"/>
        </w:rPr>
      </w:pPr>
      <w:r w:rsidRPr="00B0157E">
        <w:rPr>
          <w:lang w:val="en-AU"/>
        </w:rPr>
        <w:t xml:space="preserve">The Dermatology, Allergy and Immunology Clinical Committee </w:t>
      </w:r>
      <w:r>
        <w:rPr>
          <w:lang w:val="en-AU"/>
        </w:rPr>
        <w:t xml:space="preserve">(the Committee) </w:t>
      </w:r>
      <w:r w:rsidR="00864FFD" w:rsidRPr="00B0157E">
        <w:rPr>
          <w:lang w:val="en-AU"/>
        </w:rPr>
        <w:t xml:space="preserve">was established in April 2016 to make recommendations to the </w:t>
      </w:r>
      <w:r>
        <w:rPr>
          <w:lang w:val="en-AU"/>
        </w:rPr>
        <w:t xml:space="preserve">MBS Review </w:t>
      </w:r>
      <w:r w:rsidR="00864FFD" w:rsidRPr="00B0157E">
        <w:rPr>
          <w:lang w:val="en-AU"/>
        </w:rPr>
        <w:t>Taskforce on MBS items within its remit, based on rapid evidence review and clinical expertise. The Taskforce asked t</w:t>
      </w:r>
      <w:r w:rsidR="00050E42" w:rsidRPr="00B0157E">
        <w:rPr>
          <w:lang w:val="en-AU"/>
        </w:rPr>
        <w:t xml:space="preserve">he Committee to review </w:t>
      </w:r>
      <w:r w:rsidR="006F0234" w:rsidRPr="00B0157E">
        <w:rPr>
          <w:lang w:val="en-AU"/>
        </w:rPr>
        <w:t xml:space="preserve">nominated </w:t>
      </w:r>
      <w:r w:rsidR="00050E42" w:rsidRPr="00B0157E">
        <w:rPr>
          <w:lang w:val="en-AU"/>
        </w:rPr>
        <w:t>dermatology, allergy and immunology</w:t>
      </w:r>
      <w:r w:rsidR="00864FFD" w:rsidRPr="00B0157E">
        <w:rPr>
          <w:lang w:val="en-AU"/>
        </w:rPr>
        <w:t xml:space="preserve">-related MBS items. </w:t>
      </w:r>
    </w:p>
    <w:p w14:paraId="281BA560" w14:textId="52A6E4F1" w:rsidR="00F52B4B" w:rsidRPr="00B0157E" w:rsidRDefault="00864FFD" w:rsidP="00C33ED9">
      <w:pPr>
        <w:rPr>
          <w:lang w:val="en-AU"/>
        </w:rPr>
      </w:pPr>
      <w:r w:rsidRPr="00B0157E">
        <w:rPr>
          <w:lang w:val="en-AU"/>
        </w:rPr>
        <w:t xml:space="preserve">The Committee consists of eight members, as well as two additional </w:t>
      </w:r>
      <w:r w:rsidR="00674752">
        <w:rPr>
          <w:lang w:val="en-AU"/>
        </w:rPr>
        <w:t>Working Group</w:t>
      </w:r>
      <w:r w:rsidRPr="00B0157E">
        <w:rPr>
          <w:lang w:val="en-AU"/>
        </w:rPr>
        <w:t xml:space="preserve"> members, whose names, positions/organisations</w:t>
      </w:r>
      <w:r w:rsidR="00283B95" w:rsidRPr="00B0157E">
        <w:rPr>
          <w:lang w:val="en-AU"/>
        </w:rPr>
        <w:t xml:space="preserve"> and</w:t>
      </w:r>
      <w:r w:rsidRPr="00B0157E">
        <w:rPr>
          <w:lang w:val="en-AU"/>
        </w:rPr>
        <w:t xml:space="preserve"> declared conflicts of interest are listed in Sections </w:t>
      </w:r>
      <w:r w:rsidR="00224863">
        <w:rPr>
          <w:lang w:val="en-AU"/>
        </w:rPr>
        <w:t>3.1 and 3</w:t>
      </w:r>
      <w:r w:rsidRPr="00B0157E">
        <w:rPr>
          <w:lang w:val="en-AU"/>
        </w:rPr>
        <w:t xml:space="preserve">.2. </w:t>
      </w:r>
      <w:r w:rsidR="00F52B4B" w:rsidRPr="00B0157E">
        <w:rPr>
          <w:lang w:val="en-AU"/>
        </w:rPr>
        <w:t xml:space="preserve">All members of the Taskforce, </w:t>
      </w:r>
      <w:r w:rsidR="00674752">
        <w:rPr>
          <w:lang w:val="en-AU"/>
        </w:rPr>
        <w:t>Clinical Committee</w:t>
      </w:r>
      <w:r w:rsidR="00F52B4B" w:rsidRPr="00B0157E">
        <w:rPr>
          <w:lang w:val="en-AU"/>
        </w:rPr>
        <w:t xml:space="preserve">s and </w:t>
      </w:r>
      <w:r w:rsidR="00674752">
        <w:rPr>
          <w:lang w:val="en-AU"/>
        </w:rPr>
        <w:t>Working Groups</w:t>
      </w:r>
      <w:r w:rsidR="00F52B4B" w:rsidRPr="00B0157E">
        <w:rPr>
          <w:lang w:val="en-AU"/>
        </w:rPr>
        <w:t xml:space="preserve"> are asked to declare any conflicts of interest at the start of their involvement and</w:t>
      </w:r>
      <w:r w:rsidR="009A6F5A" w:rsidRPr="00B0157E">
        <w:rPr>
          <w:lang w:val="en-AU"/>
        </w:rPr>
        <w:t xml:space="preserve"> are</w:t>
      </w:r>
      <w:r w:rsidR="00F52B4B" w:rsidRPr="00B0157E">
        <w:rPr>
          <w:lang w:val="en-AU"/>
        </w:rPr>
        <w:t xml:space="preserve"> reminded to update their declarations periodically.</w:t>
      </w:r>
    </w:p>
    <w:p w14:paraId="47A41058" w14:textId="77777777" w:rsidR="00026792" w:rsidRPr="00B0157E" w:rsidRDefault="00584E2E" w:rsidP="00C33ED9">
      <w:pPr>
        <w:pStyle w:val="Heading2"/>
        <w:rPr>
          <w:lang w:val="en-AU"/>
        </w:rPr>
      </w:pPr>
      <w:bookmarkStart w:id="39" w:name="_Toc456045429"/>
      <w:bookmarkStart w:id="40" w:name="_Toc458774414"/>
      <w:bookmarkStart w:id="41" w:name="_Toc465871864"/>
      <w:r w:rsidRPr="00B0157E">
        <w:rPr>
          <w:lang w:val="en-AU"/>
        </w:rPr>
        <w:t>Committee</w:t>
      </w:r>
      <w:r w:rsidR="00026792" w:rsidRPr="00B0157E">
        <w:rPr>
          <w:lang w:val="en-AU"/>
        </w:rPr>
        <w:t xml:space="preserve"> </w:t>
      </w:r>
      <w:r w:rsidR="00383B32" w:rsidRPr="00B0157E">
        <w:rPr>
          <w:lang w:val="en-AU"/>
        </w:rPr>
        <w:t>m</w:t>
      </w:r>
      <w:r w:rsidR="00026792" w:rsidRPr="00B0157E">
        <w:rPr>
          <w:lang w:val="en-AU"/>
        </w:rPr>
        <w:t>embers</w:t>
      </w:r>
      <w:bookmarkEnd w:id="39"/>
      <w:bookmarkEnd w:id="40"/>
      <w:bookmarkEnd w:id="41"/>
      <w:r w:rsidR="00170ABE" w:rsidRPr="00B0157E">
        <w:rPr>
          <w:lang w:val="en-AU"/>
        </w:rPr>
        <w:t xml:space="preserve"> </w:t>
      </w:r>
    </w:p>
    <w:p w14:paraId="7C13C9D8" w14:textId="77777777" w:rsidR="00C02D8B" w:rsidRPr="00B0157E" w:rsidRDefault="00C02D8B" w:rsidP="00C33ED9">
      <w:pPr>
        <w:pStyle w:val="Caption"/>
        <w:rPr>
          <w:lang w:val="en-AU"/>
        </w:rPr>
      </w:pPr>
      <w:bookmarkStart w:id="42" w:name="_Toc457520557"/>
      <w:bookmarkStart w:id="43" w:name="_Toc459236289"/>
      <w:bookmarkStart w:id="44" w:name="_Toc465871824"/>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1</w:t>
      </w:r>
      <w:r w:rsidR="00C1346F" w:rsidRPr="00B0157E">
        <w:rPr>
          <w:lang w:val="en-AU"/>
        </w:rPr>
        <w:fldChar w:fldCharType="end"/>
      </w:r>
      <w:r w:rsidRPr="00B0157E">
        <w:rPr>
          <w:lang w:val="en-AU"/>
        </w:rPr>
        <w:t xml:space="preserve">. </w:t>
      </w:r>
      <w:r w:rsidR="00AF64D8" w:rsidRPr="00B0157E">
        <w:rPr>
          <w:lang w:val="en-AU"/>
        </w:rPr>
        <w:t>Members of the Committee</w:t>
      </w:r>
      <w:bookmarkEnd w:id="42"/>
      <w:bookmarkEnd w:id="43"/>
      <w:bookmarkEnd w:id="44"/>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 lists the Committee members for the Dermatology, Allergy and Immunology Clinical Committee. The table also explains the declared conflict of interest were most of the members uses the items, except for one member, Mr Adam Friederich."/>
      </w:tblPr>
      <w:tblGrid>
        <w:gridCol w:w="1902"/>
        <w:gridCol w:w="5035"/>
        <w:gridCol w:w="2079"/>
      </w:tblGrid>
      <w:tr w:rsidR="00217E4B" w:rsidRPr="00B0157E" w14:paraId="5CFEA1FD" w14:textId="77777777" w:rsidTr="004A352E">
        <w:trPr>
          <w:trHeight w:val="452"/>
          <w:tblHeader/>
        </w:trPr>
        <w:tc>
          <w:tcPr>
            <w:tcW w:w="1055" w:type="pct"/>
            <w:shd w:val="clear" w:color="auto" w:fill="F2F2F2" w:themeFill="background1" w:themeFillShade="F2"/>
            <w:vAlign w:val="bottom"/>
          </w:tcPr>
          <w:p w14:paraId="1E33676B" w14:textId="77777777" w:rsidR="00217E4B" w:rsidRPr="00B0157E" w:rsidRDefault="00217E4B" w:rsidP="00AF3BFC">
            <w:pPr>
              <w:pStyle w:val="01Tableheaderrow"/>
              <w:spacing w:before="20" w:after="20"/>
              <w:rPr>
                <w:rFonts w:cs="Arial"/>
              </w:rPr>
            </w:pPr>
            <w:r w:rsidRPr="00B0157E">
              <w:rPr>
                <w:rFonts w:cs="Arial"/>
              </w:rPr>
              <w:t>Name</w:t>
            </w:r>
          </w:p>
        </w:tc>
        <w:tc>
          <w:tcPr>
            <w:tcW w:w="2791" w:type="pct"/>
            <w:shd w:val="clear" w:color="auto" w:fill="F2F2F2" w:themeFill="background1" w:themeFillShade="F2"/>
            <w:vAlign w:val="bottom"/>
          </w:tcPr>
          <w:p w14:paraId="351348C4" w14:textId="77777777" w:rsidR="00217E4B" w:rsidRPr="00B0157E" w:rsidRDefault="00217E4B" w:rsidP="00AF3BFC">
            <w:pPr>
              <w:pStyle w:val="01Tableheaderrow"/>
              <w:spacing w:before="20" w:after="20"/>
              <w:rPr>
                <w:rFonts w:cs="Arial"/>
              </w:rPr>
            </w:pPr>
            <w:r w:rsidRPr="00B0157E">
              <w:rPr>
                <w:rFonts w:cs="Arial"/>
              </w:rPr>
              <w:t>Position/Organisation</w:t>
            </w:r>
          </w:p>
        </w:tc>
        <w:tc>
          <w:tcPr>
            <w:tcW w:w="1153" w:type="pct"/>
            <w:shd w:val="clear" w:color="auto" w:fill="F2F2F2" w:themeFill="background1" w:themeFillShade="F2"/>
            <w:vAlign w:val="bottom"/>
          </w:tcPr>
          <w:p w14:paraId="3FDB5953" w14:textId="77777777" w:rsidR="00217E4B" w:rsidRPr="00B0157E" w:rsidRDefault="00217E4B" w:rsidP="00AF3BFC">
            <w:pPr>
              <w:pStyle w:val="01Tableheaderrow"/>
              <w:spacing w:before="20" w:after="20"/>
              <w:rPr>
                <w:rFonts w:cs="Arial"/>
              </w:rPr>
            </w:pPr>
            <w:r w:rsidRPr="00B0157E">
              <w:rPr>
                <w:rFonts w:cs="Arial"/>
              </w:rPr>
              <w:t>Declared conflict of interest</w:t>
            </w:r>
          </w:p>
        </w:tc>
      </w:tr>
      <w:tr w:rsidR="00217E4B" w:rsidRPr="00B0157E" w14:paraId="360DF4D3" w14:textId="77777777">
        <w:trPr>
          <w:trHeight w:val="1272"/>
        </w:trPr>
        <w:tc>
          <w:tcPr>
            <w:tcW w:w="1055" w:type="pct"/>
          </w:tcPr>
          <w:p w14:paraId="2F9942C6" w14:textId="77777777" w:rsidR="00217E4B" w:rsidRPr="00B0157E" w:rsidRDefault="00217E4B" w:rsidP="00D051BC">
            <w:pPr>
              <w:pStyle w:val="02Tabletext"/>
              <w:spacing w:after="20"/>
              <w:rPr>
                <w:rFonts w:cs="Arial"/>
                <w:szCs w:val="18"/>
                <w:highlight w:val="yellow"/>
              </w:rPr>
            </w:pPr>
            <w:r w:rsidRPr="00B0157E">
              <w:rPr>
                <w:rFonts w:cs="Arial"/>
                <w:szCs w:val="18"/>
              </w:rPr>
              <w:t>Assoc</w:t>
            </w:r>
            <w:r w:rsidR="00694CDD" w:rsidRPr="00B0157E">
              <w:rPr>
                <w:rFonts w:cs="Arial"/>
                <w:szCs w:val="18"/>
              </w:rPr>
              <w:t>iate</w:t>
            </w:r>
            <w:r w:rsidRPr="00B0157E">
              <w:rPr>
                <w:rFonts w:cs="Arial"/>
                <w:szCs w:val="18"/>
              </w:rPr>
              <w:t xml:space="preserve"> Professor Stephen Shumack (Chair)</w:t>
            </w:r>
          </w:p>
        </w:tc>
        <w:tc>
          <w:tcPr>
            <w:tcW w:w="2791" w:type="pct"/>
          </w:tcPr>
          <w:p w14:paraId="25A373EF" w14:textId="77777777" w:rsidR="00217E4B" w:rsidRPr="00B0157E" w:rsidRDefault="00217E4B" w:rsidP="00975A20">
            <w:pPr>
              <w:pStyle w:val="02Tabletext"/>
              <w:spacing w:after="20"/>
              <w:rPr>
                <w:rFonts w:cs="Arial"/>
                <w:szCs w:val="18"/>
              </w:rPr>
            </w:pPr>
            <w:r w:rsidRPr="00B0157E">
              <w:rPr>
                <w:rFonts w:cs="Arial"/>
                <w:szCs w:val="18"/>
              </w:rPr>
              <w:t xml:space="preserve">Consultant Dermatologist, Royal North Shore Hospital, </w:t>
            </w:r>
            <w:r w:rsidRPr="00B0157E">
              <w:rPr>
                <w:rFonts w:cs="Arial"/>
                <w:szCs w:val="18"/>
              </w:rPr>
              <w:br/>
              <w:t>Sydney Medical School, Northern, Royal North Shore Hospital, University of Sydney; Medical Director,</w:t>
            </w:r>
            <w:r w:rsidR="004A352E">
              <w:rPr>
                <w:rFonts w:cs="Arial"/>
                <w:szCs w:val="18"/>
              </w:rPr>
              <w:t xml:space="preserve"> </w:t>
            </w:r>
            <w:r w:rsidR="00975A20" w:rsidRPr="00B0157E">
              <w:rPr>
                <w:rFonts w:cs="Arial"/>
                <w:szCs w:val="18"/>
              </w:rPr>
              <w:t>The Skin Hospital Darlinghurst, NSW</w:t>
            </w:r>
          </w:p>
        </w:tc>
        <w:tc>
          <w:tcPr>
            <w:tcW w:w="1153" w:type="pct"/>
          </w:tcPr>
          <w:p w14:paraId="0AA34EAD" w14:textId="77777777" w:rsidR="00217E4B" w:rsidRPr="00B0157E" w:rsidRDefault="00217E4B" w:rsidP="00D051BC">
            <w:pPr>
              <w:pStyle w:val="02Tabletext"/>
              <w:spacing w:after="20"/>
              <w:rPr>
                <w:rFonts w:cs="Arial"/>
                <w:szCs w:val="18"/>
              </w:rPr>
            </w:pPr>
            <w:r w:rsidRPr="00B0157E">
              <w:rPr>
                <w:rFonts w:cs="Arial"/>
                <w:szCs w:val="18"/>
              </w:rPr>
              <w:t>Uses the items</w:t>
            </w:r>
          </w:p>
        </w:tc>
      </w:tr>
      <w:tr w:rsidR="00217E4B" w:rsidRPr="00B0157E" w14:paraId="009AB9CB" w14:textId="77777777">
        <w:trPr>
          <w:trHeight w:val="874"/>
        </w:trPr>
        <w:tc>
          <w:tcPr>
            <w:tcW w:w="1055" w:type="pct"/>
          </w:tcPr>
          <w:p w14:paraId="50762269" w14:textId="77777777" w:rsidR="00217E4B" w:rsidRPr="00B0157E" w:rsidRDefault="00217E4B" w:rsidP="00D051BC">
            <w:pPr>
              <w:pStyle w:val="02Tabletext"/>
              <w:spacing w:after="20"/>
              <w:rPr>
                <w:rFonts w:cs="Arial"/>
                <w:szCs w:val="18"/>
                <w:highlight w:val="yellow"/>
              </w:rPr>
            </w:pPr>
            <w:r w:rsidRPr="00B0157E">
              <w:rPr>
                <w:rFonts w:cs="Arial"/>
                <w:szCs w:val="18"/>
              </w:rPr>
              <w:t>Dr Elizabeth Willsteed</w:t>
            </w:r>
          </w:p>
        </w:tc>
        <w:tc>
          <w:tcPr>
            <w:tcW w:w="2791" w:type="pct"/>
          </w:tcPr>
          <w:p w14:paraId="5F12F53A" w14:textId="77777777" w:rsidR="00217E4B" w:rsidRPr="00B0157E" w:rsidRDefault="00217E4B" w:rsidP="00711E02">
            <w:pPr>
              <w:pStyle w:val="02Tabletext"/>
            </w:pPr>
            <w:r w:rsidRPr="00B0157E">
              <w:t>Consultant Dermatologist, The Skin Hospital, Darlinghurst, NSW</w:t>
            </w:r>
          </w:p>
          <w:p w14:paraId="75569F2A" w14:textId="77777777" w:rsidR="00217E4B" w:rsidRPr="00B0157E" w:rsidRDefault="00217E4B" w:rsidP="00D051BC">
            <w:pPr>
              <w:pStyle w:val="02Tabletext"/>
              <w:spacing w:after="20"/>
              <w:rPr>
                <w:rFonts w:cs="Arial"/>
                <w:szCs w:val="18"/>
                <w:highlight w:val="yellow"/>
              </w:rPr>
            </w:pPr>
            <w:r w:rsidRPr="00B0157E">
              <w:rPr>
                <w:rFonts w:cs="Arial"/>
                <w:szCs w:val="18"/>
              </w:rPr>
              <w:t xml:space="preserve">Dermatologist, Private Practice, Central Coast Dermatology, North Gosford </w:t>
            </w:r>
          </w:p>
        </w:tc>
        <w:tc>
          <w:tcPr>
            <w:tcW w:w="1153" w:type="pct"/>
          </w:tcPr>
          <w:p w14:paraId="1724FA15" w14:textId="77777777" w:rsidR="00217E4B" w:rsidRPr="00B0157E" w:rsidRDefault="00217E4B" w:rsidP="00D051BC">
            <w:pPr>
              <w:pStyle w:val="02Tabletext"/>
              <w:spacing w:after="20"/>
              <w:rPr>
                <w:rFonts w:cs="Arial"/>
                <w:szCs w:val="18"/>
              </w:rPr>
            </w:pPr>
            <w:r w:rsidRPr="00B0157E">
              <w:rPr>
                <w:rFonts w:cs="Arial"/>
                <w:szCs w:val="18"/>
              </w:rPr>
              <w:t>Uses the items</w:t>
            </w:r>
          </w:p>
        </w:tc>
      </w:tr>
      <w:tr w:rsidR="00217E4B" w:rsidRPr="00B0157E" w14:paraId="672E8D46" w14:textId="77777777">
        <w:trPr>
          <w:trHeight w:val="659"/>
        </w:trPr>
        <w:tc>
          <w:tcPr>
            <w:tcW w:w="1055" w:type="pct"/>
          </w:tcPr>
          <w:p w14:paraId="4AD66322" w14:textId="77777777" w:rsidR="00217E4B" w:rsidRPr="00B0157E" w:rsidRDefault="00217E4B" w:rsidP="00D051BC">
            <w:pPr>
              <w:pStyle w:val="02Tabletext"/>
              <w:spacing w:after="20"/>
              <w:rPr>
                <w:rFonts w:cs="Arial"/>
                <w:szCs w:val="18"/>
              </w:rPr>
            </w:pPr>
            <w:r w:rsidRPr="00B0157E">
              <w:rPr>
                <w:rFonts w:cs="Arial"/>
                <w:szCs w:val="18"/>
              </w:rPr>
              <w:t>Dr Phillip Bekhor</w:t>
            </w:r>
          </w:p>
        </w:tc>
        <w:tc>
          <w:tcPr>
            <w:tcW w:w="2791" w:type="pct"/>
          </w:tcPr>
          <w:p w14:paraId="1DA5E6A6" w14:textId="77777777" w:rsidR="00217E4B" w:rsidRPr="00B0157E" w:rsidRDefault="00217E4B" w:rsidP="00D051BC">
            <w:pPr>
              <w:pStyle w:val="02Tabletext"/>
              <w:spacing w:after="20"/>
              <w:rPr>
                <w:rFonts w:cs="Arial"/>
                <w:szCs w:val="18"/>
                <w:highlight w:val="yellow"/>
              </w:rPr>
            </w:pPr>
            <w:r w:rsidRPr="00B0157E">
              <w:rPr>
                <w:rFonts w:cs="Arial"/>
                <w:szCs w:val="18"/>
              </w:rPr>
              <w:t>Dermatologist, Laser Dermatology</w:t>
            </w:r>
            <w:r w:rsidRPr="00B0157E">
              <w:rPr>
                <w:rFonts w:cs="Arial"/>
                <w:szCs w:val="18"/>
              </w:rPr>
              <w:br/>
              <w:t>Director, Laser Unit, Department of Dermatology, Royal Children's Hospital</w:t>
            </w:r>
          </w:p>
        </w:tc>
        <w:tc>
          <w:tcPr>
            <w:tcW w:w="1153" w:type="pct"/>
          </w:tcPr>
          <w:p w14:paraId="008E1E57" w14:textId="77777777" w:rsidR="00217E4B" w:rsidRPr="00B0157E" w:rsidRDefault="00217E4B" w:rsidP="00D051BC">
            <w:pPr>
              <w:pStyle w:val="02Tabletext"/>
              <w:spacing w:after="20"/>
              <w:rPr>
                <w:rFonts w:cs="Arial"/>
                <w:szCs w:val="18"/>
              </w:rPr>
            </w:pPr>
            <w:r w:rsidRPr="00B0157E">
              <w:rPr>
                <w:rFonts w:cs="Arial"/>
                <w:szCs w:val="18"/>
              </w:rPr>
              <w:t>Uses the items</w:t>
            </w:r>
          </w:p>
        </w:tc>
      </w:tr>
      <w:tr w:rsidR="00217E4B" w:rsidRPr="00B0157E" w14:paraId="65683E9B" w14:textId="77777777">
        <w:trPr>
          <w:trHeight w:val="1065"/>
        </w:trPr>
        <w:tc>
          <w:tcPr>
            <w:tcW w:w="1055" w:type="pct"/>
          </w:tcPr>
          <w:p w14:paraId="7FEEB3EF" w14:textId="77777777" w:rsidR="00217E4B" w:rsidRPr="00B0157E" w:rsidRDefault="006D5633" w:rsidP="00D051BC">
            <w:pPr>
              <w:pStyle w:val="02Tabletext"/>
              <w:spacing w:after="20"/>
              <w:rPr>
                <w:rFonts w:cs="Arial"/>
                <w:szCs w:val="18"/>
              </w:rPr>
            </w:pPr>
            <w:r w:rsidRPr="00B0157E">
              <w:rPr>
                <w:rFonts w:cs="Arial"/>
                <w:szCs w:val="18"/>
              </w:rPr>
              <w:t xml:space="preserve">Associate </w:t>
            </w:r>
            <w:r w:rsidR="00217E4B" w:rsidRPr="00B0157E">
              <w:rPr>
                <w:rFonts w:cs="Arial"/>
                <w:szCs w:val="18"/>
              </w:rPr>
              <w:t>Professor Morton Rawlin</w:t>
            </w:r>
          </w:p>
        </w:tc>
        <w:tc>
          <w:tcPr>
            <w:tcW w:w="2791" w:type="pct"/>
          </w:tcPr>
          <w:p w14:paraId="0379C6A6" w14:textId="77777777" w:rsidR="00217E4B" w:rsidRPr="00B0157E" w:rsidRDefault="00217E4B" w:rsidP="00711E02">
            <w:pPr>
              <w:pStyle w:val="02Tabletext"/>
            </w:pPr>
            <w:r w:rsidRPr="00B0157E">
              <w:t>GP, Vice President &amp; Chair, Victorian Faculty,</w:t>
            </w:r>
            <w:r w:rsidRPr="00B0157E">
              <w:rPr>
                <w:rStyle w:val="apple-converted-space"/>
              </w:rPr>
              <w:t> </w:t>
            </w:r>
            <w:hyperlink r:id="rId17" w:tooltip="View this organisation profile" w:history="1">
              <w:r w:rsidRPr="00B0157E">
                <w:rPr>
                  <w:rStyle w:val="Hyperlink"/>
                  <w:color w:val="auto"/>
                  <w:u w:val="none"/>
                </w:rPr>
                <w:t>Royal Australian College of General Practitioners</w:t>
              </w:r>
            </w:hyperlink>
            <w:r w:rsidRPr="00B0157E">
              <w:br/>
              <w:t>Adjunct Associate Professor,</w:t>
            </w:r>
            <w:r w:rsidRPr="00B0157E">
              <w:rPr>
                <w:rStyle w:val="apple-converted-space"/>
              </w:rPr>
              <w:t> </w:t>
            </w:r>
            <w:hyperlink r:id="rId18" w:tooltip="View this organisation profile" w:history="1">
              <w:r w:rsidRPr="00B0157E">
                <w:rPr>
                  <w:rStyle w:val="Hyperlink"/>
                  <w:color w:val="auto"/>
                  <w:u w:val="none"/>
                </w:rPr>
                <w:t xml:space="preserve">University of Sydney </w:t>
              </w:r>
              <w:r w:rsidR="00467E62" w:rsidRPr="00B0157E">
                <w:rPr>
                  <w:rStyle w:val="Hyperlink"/>
                  <w:color w:val="auto"/>
                  <w:u w:val="none"/>
                </w:rPr>
                <w:t>–</w:t>
              </w:r>
              <w:r w:rsidRPr="00B0157E">
                <w:rPr>
                  <w:rStyle w:val="Hyperlink"/>
                  <w:color w:val="auto"/>
                  <w:u w:val="none"/>
                </w:rPr>
                <w:t xml:space="preserve"> Sydney Medical School</w:t>
              </w:r>
            </w:hyperlink>
          </w:p>
        </w:tc>
        <w:tc>
          <w:tcPr>
            <w:tcW w:w="1153" w:type="pct"/>
          </w:tcPr>
          <w:p w14:paraId="71C6744A" w14:textId="77777777" w:rsidR="00217E4B" w:rsidRPr="00B0157E" w:rsidRDefault="00217E4B" w:rsidP="00D051BC">
            <w:pPr>
              <w:pStyle w:val="02Tabletext"/>
              <w:spacing w:after="20"/>
              <w:rPr>
                <w:rFonts w:cs="Arial"/>
                <w:szCs w:val="18"/>
              </w:rPr>
            </w:pPr>
            <w:r w:rsidRPr="00B0157E">
              <w:rPr>
                <w:rFonts w:cs="Arial"/>
                <w:szCs w:val="18"/>
              </w:rPr>
              <w:t>Use the items</w:t>
            </w:r>
          </w:p>
        </w:tc>
      </w:tr>
      <w:tr w:rsidR="00217E4B" w:rsidRPr="00B0157E" w14:paraId="16185027" w14:textId="77777777">
        <w:trPr>
          <w:trHeight w:val="452"/>
        </w:trPr>
        <w:tc>
          <w:tcPr>
            <w:tcW w:w="1055" w:type="pct"/>
          </w:tcPr>
          <w:p w14:paraId="6B36A6BC" w14:textId="77777777" w:rsidR="00217E4B" w:rsidRPr="00B0157E" w:rsidRDefault="00217E4B" w:rsidP="00D051BC">
            <w:pPr>
              <w:pStyle w:val="02Tabletext"/>
              <w:spacing w:after="20"/>
              <w:rPr>
                <w:rFonts w:cs="Arial"/>
                <w:szCs w:val="18"/>
              </w:rPr>
            </w:pPr>
            <w:r w:rsidRPr="00B0157E">
              <w:rPr>
                <w:rFonts w:cs="Arial"/>
                <w:szCs w:val="18"/>
              </w:rPr>
              <w:t>Dr Joanne Smart</w:t>
            </w:r>
          </w:p>
        </w:tc>
        <w:tc>
          <w:tcPr>
            <w:tcW w:w="2791" w:type="pct"/>
          </w:tcPr>
          <w:p w14:paraId="2AA75FC0" w14:textId="77777777" w:rsidR="00217E4B" w:rsidRPr="00B0157E" w:rsidRDefault="00217E4B" w:rsidP="00D051BC">
            <w:pPr>
              <w:pStyle w:val="02Tabletext"/>
              <w:spacing w:after="20"/>
              <w:rPr>
                <w:rFonts w:cs="Arial"/>
                <w:szCs w:val="18"/>
                <w:highlight w:val="yellow"/>
              </w:rPr>
            </w:pPr>
            <w:r w:rsidRPr="00B0157E">
              <w:rPr>
                <w:rFonts w:cs="Arial"/>
                <w:szCs w:val="18"/>
              </w:rPr>
              <w:t>Head, Department of Allergy &amp; Immunology, Royal Children’s Hospital Melbourne</w:t>
            </w:r>
          </w:p>
        </w:tc>
        <w:tc>
          <w:tcPr>
            <w:tcW w:w="1153" w:type="pct"/>
          </w:tcPr>
          <w:p w14:paraId="7211207D" w14:textId="77777777" w:rsidR="00217E4B" w:rsidRPr="00B0157E" w:rsidRDefault="00217E4B" w:rsidP="00D051BC">
            <w:pPr>
              <w:pStyle w:val="02Tabletext"/>
              <w:spacing w:after="20"/>
              <w:rPr>
                <w:rFonts w:cs="Arial"/>
                <w:szCs w:val="18"/>
              </w:rPr>
            </w:pPr>
            <w:r w:rsidRPr="00B0157E">
              <w:rPr>
                <w:rFonts w:cs="Arial"/>
                <w:szCs w:val="18"/>
              </w:rPr>
              <w:t>Uses the items</w:t>
            </w:r>
          </w:p>
        </w:tc>
      </w:tr>
      <w:tr w:rsidR="00217E4B" w:rsidRPr="00B0157E" w14:paraId="01AB2DD4" w14:textId="77777777">
        <w:trPr>
          <w:trHeight w:val="652"/>
        </w:trPr>
        <w:tc>
          <w:tcPr>
            <w:tcW w:w="1055" w:type="pct"/>
          </w:tcPr>
          <w:p w14:paraId="3DC79BA5" w14:textId="77777777" w:rsidR="00217E4B" w:rsidRPr="00B0157E" w:rsidRDefault="00217E4B" w:rsidP="00D051BC">
            <w:pPr>
              <w:pStyle w:val="02Tabletext"/>
              <w:spacing w:after="20"/>
              <w:rPr>
                <w:rFonts w:cs="Arial"/>
                <w:szCs w:val="18"/>
              </w:rPr>
            </w:pPr>
            <w:r w:rsidRPr="00B0157E">
              <w:rPr>
                <w:rFonts w:cs="Arial"/>
                <w:szCs w:val="18"/>
              </w:rPr>
              <w:t>Dr Charles Cope</w:t>
            </w:r>
          </w:p>
        </w:tc>
        <w:tc>
          <w:tcPr>
            <w:tcW w:w="2791" w:type="pct"/>
          </w:tcPr>
          <w:p w14:paraId="2DAADA9D" w14:textId="77777777" w:rsidR="00217E4B" w:rsidRPr="00B0157E" w:rsidRDefault="00217E4B" w:rsidP="00D051BC">
            <w:pPr>
              <w:pStyle w:val="02Tabletext"/>
              <w:spacing w:after="20"/>
              <w:rPr>
                <w:rFonts w:cs="Arial"/>
                <w:szCs w:val="18"/>
                <w:highlight w:val="yellow"/>
              </w:rPr>
            </w:pPr>
            <w:r w:rsidRPr="00B0157E">
              <w:rPr>
                <w:rFonts w:cs="Arial"/>
                <w:szCs w:val="18"/>
              </w:rPr>
              <w:t xml:space="preserve">Plastic &amp; Cosmetic Surgeon, North Shore Cosmetic Surgery </w:t>
            </w:r>
            <w:r w:rsidRPr="00B0157E">
              <w:rPr>
                <w:rFonts w:cs="Arial"/>
                <w:szCs w:val="18"/>
              </w:rPr>
              <w:br/>
              <w:t xml:space="preserve">Private </w:t>
            </w:r>
            <w:r w:rsidR="000C40D0" w:rsidRPr="00B0157E">
              <w:rPr>
                <w:rFonts w:cs="Arial"/>
                <w:szCs w:val="18"/>
              </w:rPr>
              <w:t>P</w:t>
            </w:r>
            <w:r w:rsidRPr="00B0157E">
              <w:rPr>
                <w:rFonts w:cs="Arial"/>
                <w:szCs w:val="18"/>
              </w:rPr>
              <w:t>ractice</w:t>
            </w:r>
          </w:p>
        </w:tc>
        <w:tc>
          <w:tcPr>
            <w:tcW w:w="1153" w:type="pct"/>
          </w:tcPr>
          <w:p w14:paraId="0E91926E" w14:textId="77777777" w:rsidR="00217E4B" w:rsidRPr="00B0157E" w:rsidRDefault="00217E4B" w:rsidP="00D051BC">
            <w:pPr>
              <w:pStyle w:val="02Tabletext"/>
              <w:spacing w:after="20"/>
              <w:rPr>
                <w:rFonts w:cs="Arial"/>
                <w:szCs w:val="18"/>
              </w:rPr>
            </w:pPr>
            <w:r w:rsidRPr="00B0157E">
              <w:rPr>
                <w:rFonts w:cs="Arial"/>
                <w:szCs w:val="18"/>
              </w:rPr>
              <w:t>Uses the items</w:t>
            </w:r>
          </w:p>
        </w:tc>
      </w:tr>
      <w:tr w:rsidR="00217E4B" w:rsidRPr="00B0157E" w14:paraId="474A553D" w14:textId="77777777">
        <w:trPr>
          <w:trHeight w:val="445"/>
        </w:trPr>
        <w:tc>
          <w:tcPr>
            <w:tcW w:w="1055" w:type="pct"/>
          </w:tcPr>
          <w:p w14:paraId="1F09C368" w14:textId="77777777" w:rsidR="00217E4B" w:rsidRPr="00B0157E" w:rsidRDefault="00217E4B" w:rsidP="00D051BC">
            <w:pPr>
              <w:pStyle w:val="02Tabletext"/>
              <w:spacing w:after="20"/>
              <w:rPr>
                <w:rFonts w:cs="Arial"/>
                <w:szCs w:val="18"/>
              </w:rPr>
            </w:pPr>
            <w:r w:rsidRPr="00B0157E">
              <w:rPr>
                <w:rFonts w:cs="Arial"/>
                <w:szCs w:val="18"/>
              </w:rPr>
              <w:t>Mr Adam Friederich</w:t>
            </w:r>
          </w:p>
        </w:tc>
        <w:tc>
          <w:tcPr>
            <w:tcW w:w="2791" w:type="pct"/>
          </w:tcPr>
          <w:p w14:paraId="16671814" w14:textId="447382F9" w:rsidR="008111CA" w:rsidRDefault="008111CA" w:rsidP="008111CA">
            <w:pPr>
              <w:pStyle w:val="02Tabletext"/>
              <w:spacing w:after="20"/>
              <w:rPr>
                <w:rFonts w:cs="Arial"/>
                <w:szCs w:val="18"/>
              </w:rPr>
            </w:pPr>
            <w:r w:rsidRPr="008111CA">
              <w:rPr>
                <w:rFonts w:cs="Arial"/>
                <w:szCs w:val="18"/>
              </w:rPr>
              <w:t>MBS Review Representative Consumer</w:t>
            </w:r>
          </w:p>
          <w:p w14:paraId="549A38C3" w14:textId="5FE46D57" w:rsidR="00217E4B" w:rsidRPr="00B0157E" w:rsidRDefault="00217E4B" w:rsidP="008111CA">
            <w:pPr>
              <w:pStyle w:val="02Tabletext"/>
              <w:spacing w:after="20"/>
              <w:rPr>
                <w:rFonts w:cs="Arial"/>
                <w:szCs w:val="18"/>
                <w:highlight w:val="yellow"/>
              </w:rPr>
            </w:pPr>
            <w:r w:rsidRPr="00B0157E">
              <w:rPr>
                <w:rFonts w:cs="Arial"/>
                <w:szCs w:val="18"/>
              </w:rPr>
              <w:t>Immune Def</w:t>
            </w:r>
            <w:r w:rsidR="008111CA">
              <w:rPr>
                <w:rFonts w:cs="Arial"/>
                <w:szCs w:val="18"/>
              </w:rPr>
              <w:t>iciencies Foundation Australia,</w:t>
            </w:r>
          </w:p>
        </w:tc>
        <w:tc>
          <w:tcPr>
            <w:tcW w:w="1153" w:type="pct"/>
          </w:tcPr>
          <w:p w14:paraId="3B80625D" w14:textId="77777777" w:rsidR="00217E4B" w:rsidRPr="00B0157E" w:rsidRDefault="00217E4B" w:rsidP="00FF0C98">
            <w:pPr>
              <w:rPr>
                <w:lang w:val="en-AU"/>
              </w:rPr>
            </w:pPr>
            <w:r w:rsidRPr="002C38EE">
              <w:rPr>
                <w:rFonts w:ascii="Arial" w:hAnsi="Arial" w:cs="Arial"/>
                <w:sz w:val="18"/>
                <w:szCs w:val="18"/>
                <w:lang w:val="en-AU"/>
              </w:rPr>
              <w:t>None</w:t>
            </w:r>
          </w:p>
        </w:tc>
      </w:tr>
      <w:tr w:rsidR="00217E4B" w:rsidRPr="00B0157E" w14:paraId="0D837D7B" w14:textId="77777777">
        <w:trPr>
          <w:trHeight w:val="659"/>
        </w:trPr>
        <w:tc>
          <w:tcPr>
            <w:tcW w:w="1055" w:type="pct"/>
          </w:tcPr>
          <w:p w14:paraId="09B4DBA2" w14:textId="77777777" w:rsidR="00217E4B" w:rsidRPr="00B0157E" w:rsidRDefault="00217E4B" w:rsidP="00D051BC">
            <w:pPr>
              <w:pStyle w:val="02Tabletext"/>
              <w:spacing w:after="20"/>
              <w:rPr>
                <w:rFonts w:cs="Arial"/>
                <w:szCs w:val="18"/>
              </w:rPr>
            </w:pPr>
            <w:r w:rsidRPr="00B0157E">
              <w:rPr>
                <w:rFonts w:eastAsia="Times New Roman" w:cs="Arial"/>
                <w:color w:val="000000"/>
                <w:szCs w:val="18"/>
              </w:rPr>
              <w:t>Professor Connie Katelaris</w:t>
            </w:r>
          </w:p>
        </w:tc>
        <w:tc>
          <w:tcPr>
            <w:tcW w:w="2791" w:type="pct"/>
          </w:tcPr>
          <w:p w14:paraId="7A5A7A7D" w14:textId="77777777" w:rsidR="00217E4B" w:rsidRPr="00B0157E" w:rsidRDefault="00217E4B" w:rsidP="00445428">
            <w:pPr>
              <w:pStyle w:val="02Tabletext"/>
              <w:spacing w:after="20"/>
              <w:rPr>
                <w:rFonts w:cs="Arial"/>
                <w:szCs w:val="18"/>
                <w:highlight w:val="yellow"/>
              </w:rPr>
            </w:pPr>
            <w:r w:rsidRPr="00B0157E">
              <w:rPr>
                <w:rFonts w:cs="Arial"/>
                <w:szCs w:val="18"/>
              </w:rPr>
              <w:t>Professor of Immunology &amp; Allergy, University of Western Sydney</w:t>
            </w:r>
            <w:r w:rsidR="0021558C" w:rsidRPr="00B0157E">
              <w:rPr>
                <w:rFonts w:cs="Arial"/>
                <w:szCs w:val="18"/>
              </w:rPr>
              <w:t>,</w:t>
            </w:r>
            <w:r w:rsidRPr="00B0157E">
              <w:rPr>
                <w:rFonts w:cs="Arial"/>
                <w:szCs w:val="18"/>
              </w:rPr>
              <w:t xml:space="preserve"> and Head of Department and Senior Staff Specialist at Campbelltown Hospital</w:t>
            </w:r>
          </w:p>
        </w:tc>
        <w:tc>
          <w:tcPr>
            <w:tcW w:w="1153" w:type="pct"/>
          </w:tcPr>
          <w:p w14:paraId="7C1A06CA" w14:textId="77777777" w:rsidR="00217E4B" w:rsidRPr="002C38EE" w:rsidRDefault="00217E4B" w:rsidP="00FF0C98">
            <w:pPr>
              <w:rPr>
                <w:rFonts w:ascii="Arial" w:hAnsi="Arial" w:cs="Arial"/>
                <w:sz w:val="18"/>
                <w:szCs w:val="18"/>
                <w:lang w:val="en-AU"/>
              </w:rPr>
            </w:pPr>
            <w:r w:rsidRPr="002C38EE">
              <w:rPr>
                <w:rFonts w:ascii="Arial" w:hAnsi="Arial" w:cs="Arial"/>
                <w:sz w:val="18"/>
                <w:szCs w:val="18"/>
                <w:lang w:val="en-AU"/>
              </w:rPr>
              <w:t xml:space="preserve">Uses the items </w:t>
            </w:r>
          </w:p>
        </w:tc>
      </w:tr>
    </w:tbl>
    <w:p w14:paraId="0871822C" w14:textId="77777777" w:rsidR="00026792" w:rsidRPr="00B0157E" w:rsidRDefault="00026792" w:rsidP="00C33ED9">
      <w:pPr>
        <w:pStyle w:val="Heading2"/>
        <w:rPr>
          <w:lang w:val="en-AU"/>
        </w:rPr>
      </w:pPr>
      <w:bookmarkStart w:id="45" w:name="_Toc457823585"/>
      <w:bookmarkStart w:id="46" w:name="_Toc456045430"/>
      <w:bookmarkStart w:id="47" w:name="_Toc458774415"/>
      <w:bookmarkStart w:id="48" w:name="_Toc465871865"/>
      <w:bookmarkEnd w:id="45"/>
      <w:r w:rsidRPr="00B0157E">
        <w:rPr>
          <w:lang w:val="en-AU"/>
        </w:rPr>
        <w:lastRenderedPageBreak/>
        <w:t xml:space="preserve">Working Group </w:t>
      </w:r>
      <w:r w:rsidR="0002374A" w:rsidRPr="00B0157E">
        <w:rPr>
          <w:lang w:val="en-AU"/>
        </w:rPr>
        <w:t>m</w:t>
      </w:r>
      <w:r w:rsidRPr="00B0157E">
        <w:rPr>
          <w:lang w:val="en-AU"/>
        </w:rPr>
        <w:t>embers</w:t>
      </w:r>
      <w:bookmarkEnd w:id="46"/>
      <w:bookmarkEnd w:id="47"/>
      <w:bookmarkEnd w:id="48"/>
    </w:p>
    <w:p w14:paraId="059B8517" w14:textId="77777777" w:rsidR="00C02D8B" w:rsidRPr="00B0157E" w:rsidRDefault="00C02D8B" w:rsidP="00C33ED9">
      <w:pPr>
        <w:pStyle w:val="Caption"/>
        <w:rPr>
          <w:lang w:val="en-AU"/>
        </w:rPr>
      </w:pPr>
      <w:bookmarkStart w:id="49" w:name="_Toc457520558"/>
      <w:bookmarkStart w:id="50" w:name="_Toc459236290"/>
      <w:bookmarkStart w:id="51" w:name="_Toc465871825"/>
      <w:r w:rsidRPr="00B0157E">
        <w:rPr>
          <w:rStyle w:val="01TableheaderrowChar"/>
          <w:b/>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2</w:t>
      </w:r>
      <w:r w:rsidR="00C1346F" w:rsidRPr="00B0157E">
        <w:rPr>
          <w:lang w:val="en-AU"/>
        </w:rPr>
        <w:fldChar w:fldCharType="end"/>
      </w:r>
      <w:r w:rsidRPr="00B0157E">
        <w:rPr>
          <w:lang w:val="en-AU"/>
        </w:rPr>
        <w:t xml:space="preserve">. </w:t>
      </w:r>
      <w:r w:rsidR="00AF64D8" w:rsidRPr="00B0157E">
        <w:rPr>
          <w:lang w:val="en-AU"/>
        </w:rPr>
        <w:t xml:space="preserve">Members of the Laser Photocoagulation and </w:t>
      </w:r>
      <w:r w:rsidR="00F634CB" w:rsidRPr="00B0157E">
        <w:rPr>
          <w:lang w:val="en-AU"/>
        </w:rPr>
        <w:t>Mohs</w:t>
      </w:r>
      <w:r w:rsidR="00AF64D8" w:rsidRPr="00B0157E">
        <w:rPr>
          <w:lang w:val="en-AU"/>
        </w:rPr>
        <w:t xml:space="preserve"> </w:t>
      </w:r>
      <w:r w:rsidR="00F634CB" w:rsidRPr="00B0157E">
        <w:rPr>
          <w:lang w:val="en-AU"/>
        </w:rPr>
        <w:t>S</w:t>
      </w:r>
      <w:r w:rsidR="00AF64D8" w:rsidRPr="00B0157E">
        <w:rPr>
          <w:lang w:val="en-AU"/>
        </w:rPr>
        <w:t xml:space="preserve">urgery </w:t>
      </w:r>
      <w:r w:rsidR="00F634CB" w:rsidRPr="00B0157E">
        <w:rPr>
          <w:lang w:val="en-AU"/>
        </w:rPr>
        <w:t>W</w:t>
      </w:r>
      <w:r w:rsidR="00AF64D8" w:rsidRPr="00B0157E">
        <w:rPr>
          <w:lang w:val="en-AU"/>
        </w:rPr>
        <w:t xml:space="preserve">orking </w:t>
      </w:r>
      <w:r w:rsidR="00F634CB" w:rsidRPr="00B0157E">
        <w:rPr>
          <w:lang w:val="en-AU"/>
        </w:rPr>
        <w:t>G</w:t>
      </w:r>
      <w:r w:rsidR="00AF64D8" w:rsidRPr="00B0157E">
        <w:rPr>
          <w:lang w:val="en-AU"/>
        </w:rPr>
        <w:t>roup</w:t>
      </w:r>
      <w:bookmarkEnd w:id="49"/>
      <w:bookmarkEnd w:id="50"/>
      <w:bookmarkEnd w:id="51"/>
      <w:r w:rsidR="00AF64D8" w:rsidRPr="00B0157E">
        <w:rPr>
          <w:lang w:val="en-AU"/>
        </w:rPr>
        <w:t xml:space="preserve"> </w:t>
      </w:r>
    </w:p>
    <w:tbl>
      <w:tblPr>
        <w:tblStyle w:val="TableGrid"/>
        <w:tblW w:w="49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2 lists the working group members for the Laser Photocoagulation and Mohs Surgery Working Group. The table also shows the declared conflicts of interest for each member, whereby all working group members are using the items in discussion."/>
      </w:tblPr>
      <w:tblGrid>
        <w:gridCol w:w="1895"/>
        <w:gridCol w:w="5040"/>
        <w:gridCol w:w="2058"/>
      </w:tblGrid>
      <w:tr w:rsidR="00217E4B" w:rsidRPr="00B0157E" w14:paraId="1F9A8931" w14:textId="77777777">
        <w:trPr>
          <w:trHeight w:val="461"/>
          <w:tblHeader/>
        </w:trPr>
        <w:tc>
          <w:tcPr>
            <w:tcW w:w="1054" w:type="pct"/>
            <w:shd w:val="clear" w:color="auto" w:fill="F2F2F2" w:themeFill="background1" w:themeFillShade="F2"/>
            <w:vAlign w:val="bottom"/>
          </w:tcPr>
          <w:p w14:paraId="3A4D7230" w14:textId="77777777" w:rsidR="00217E4B" w:rsidRPr="00B0157E" w:rsidRDefault="00217E4B" w:rsidP="00B47735">
            <w:pPr>
              <w:pStyle w:val="01Tableheaderrow"/>
              <w:spacing w:before="20" w:after="20"/>
              <w:rPr>
                <w:rFonts w:cs="Arial"/>
              </w:rPr>
            </w:pPr>
            <w:r w:rsidRPr="00B0157E">
              <w:rPr>
                <w:rFonts w:cs="Arial"/>
              </w:rPr>
              <w:t>Name</w:t>
            </w:r>
          </w:p>
        </w:tc>
        <w:tc>
          <w:tcPr>
            <w:tcW w:w="2802" w:type="pct"/>
            <w:shd w:val="clear" w:color="auto" w:fill="F2F2F2" w:themeFill="background1" w:themeFillShade="F2"/>
            <w:vAlign w:val="bottom"/>
          </w:tcPr>
          <w:p w14:paraId="48226312" w14:textId="77777777" w:rsidR="00217E4B" w:rsidRPr="00B0157E" w:rsidRDefault="00217E4B" w:rsidP="00B47735">
            <w:pPr>
              <w:pStyle w:val="01Tableheaderrow"/>
              <w:spacing w:before="20" w:after="20"/>
              <w:rPr>
                <w:rFonts w:cs="Arial"/>
              </w:rPr>
            </w:pPr>
            <w:r w:rsidRPr="00B0157E">
              <w:rPr>
                <w:rFonts w:cs="Arial"/>
              </w:rPr>
              <w:t>Position/Organisation</w:t>
            </w:r>
          </w:p>
        </w:tc>
        <w:tc>
          <w:tcPr>
            <w:tcW w:w="1144" w:type="pct"/>
            <w:shd w:val="clear" w:color="auto" w:fill="F2F2F2" w:themeFill="background1" w:themeFillShade="F2"/>
            <w:vAlign w:val="bottom"/>
          </w:tcPr>
          <w:p w14:paraId="6A3F75E4" w14:textId="77777777" w:rsidR="00217E4B" w:rsidRPr="00B0157E" w:rsidRDefault="00217E4B" w:rsidP="00B47735">
            <w:pPr>
              <w:pStyle w:val="01Tableheaderrow"/>
              <w:spacing w:before="20" w:after="20"/>
              <w:rPr>
                <w:rFonts w:cs="Arial"/>
              </w:rPr>
            </w:pPr>
            <w:r w:rsidRPr="00B0157E">
              <w:rPr>
                <w:rFonts w:cs="Arial"/>
              </w:rPr>
              <w:t>Declared conflict of interest</w:t>
            </w:r>
          </w:p>
        </w:tc>
      </w:tr>
      <w:tr w:rsidR="00217E4B" w:rsidRPr="00B0157E" w14:paraId="63AAC6A5" w14:textId="77777777">
        <w:trPr>
          <w:trHeight w:val="242"/>
        </w:trPr>
        <w:tc>
          <w:tcPr>
            <w:tcW w:w="1054" w:type="pct"/>
          </w:tcPr>
          <w:p w14:paraId="068DDCB8" w14:textId="77777777" w:rsidR="00217E4B" w:rsidRPr="00B0157E" w:rsidRDefault="00217E4B" w:rsidP="00B47735">
            <w:pPr>
              <w:pStyle w:val="02Tabletext"/>
              <w:spacing w:after="20"/>
              <w:rPr>
                <w:rFonts w:cs="Arial"/>
                <w:szCs w:val="18"/>
              </w:rPr>
            </w:pPr>
            <w:r w:rsidRPr="00B0157E">
              <w:rPr>
                <w:rFonts w:cs="Arial"/>
                <w:szCs w:val="18"/>
              </w:rPr>
              <w:t>Dr Phillip Bekhor</w:t>
            </w:r>
            <w:r w:rsidR="00D7439C" w:rsidRPr="00B0157E">
              <w:rPr>
                <w:rFonts w:cs="Arial"/>
                <w:szCs w:val="18"/>
              </w:rPr>
              <w:t xml:space="preserve"> (</w:t>
            </w:r>
            <w:r w:rsidR="006A2AC1" w:rsidRPr="00B0157E">
              <w:rPr>
                <w:rFonts w:cs="Arial"/>
                <w:szCs w:val="18"/>
              </w:rPr>
              <w:t>C</w:t>
            </w:r>
            <w:r w:rsidR="00D7439C" w:rsidRPr="00B0157E">
              <w:rPr>
                <w:rFonts w:cs="Arial"/>
                <w:szCs w:val="18"/>
              </w:rPr>
              <w:t>hair)</w:t>
            </w:r>
          </w:p>
        </w:tc>
        <w:tc>
          <w:tcPr>
            <w:tcW w:w="2802" w:type="pct"/>
          </w:tcPr>
          <w:p w14:paraId="0B593000" w14:textId="49110FCC" w:rsidR="00217E4B" w:rsidRPr="00B0157E" w:rsidRDefault="00224863" w:rsidP="00B47735">
            <w:pPr>
              <w:pStyle w:val="02Tabletext"/>
              <w:spacing w:after="20"/>
              <w:rPr>
                <w:rFonts w:cs="Arial"/>
                <w:szCs w:val="18"/>
              </w:rPr>
            </w:pPr>
            <w:r w:rsidRPr="00B0157E">
              <w:rPr>
                <w:rFonts w:cs="Arial"/>
                <w:szCs w:val="18"/>
              </w:rPr>
              <w:t>Dermatologist, Laser Dermatology</w:t>
            </w:r>
            <w:r w:rsidRPr="00B0157E">
              <w:rPr>
                <w:rFonts w:cs="Arial"/>
                <w:szCs w:val="18"/>
              </w:rPr>
              <w:br/>
              <w:t>Director, Laser Unit, Department of Dermatology, Royal Children's Hospital</w:t>
            </w:r>
          </w:p>
        </w:tc>
        <w:tc>
          <w:tcPr>
            <w:tcW w:w="1144" w:type="pct"/>
          </w:tcPr>
          <w:p w14:paraId="77932978" w14:textId="571A4A6B" w:rsidR="00217E4B" w:rsidRPr="00B0157E" w:rsidRDefault="00224863" w:rsidP="00B47735">
            <w:pPr>
              <w:pStyle w:val="02Tabletext"/>
              <w:spacing w:after="20"/>
              <w:rPr>
                <w:rFonts w:cs="Arial"/>
                <w:szCs w:val="18"/>
              </w:rPr>
            </w:pPr>
            <w:r w:rsidRPr="00B0157E">
              <w:rPr>
                <w:rFonts w:cs="Arial"/>
                <w:szCs w:val="18"/>
              </w:rPr>
              <w:t>Uses the items</w:t>
            </w:r>
          </w:p>
        </w:tc>
      </w:tr>
      <w:tr w:rsidR="00217E4B" w:rsidRPr="00B0157E" w14:paraId="5C1AEDDF" w14:textId="77777777">
        <w:trPr>
          <w:trHeight w:val="461"/>
        </w:trPr>
        <w:tc>
          <w:tcPr>
            <w:tcW w:w="1054" w:type="pct"/>
          </w:tcPr>
          <w:p w14:paraId="29939111" w14:textId="77777777" w:rsidR="00217E4B" w:rsidRPr="00B0157E" w:rsidRDefault="00217E4B" w:rsidP="00B47735">
            <w:pPr>
              <w:pStyle w:val="02Tabletext"/>
              <w:spacing w:after="20"/>
              <w:rPr>
                <w:rFonts w:cs="Arial"/>
                <w:szCs w:val="18"/>
              </w:rPr>
            </w:pPr>
            <w:r w:rsidRPr="00B0157E">
              <w:rPr>
                <w:rFonts w:cs="Arial"/>
                <w:szCs w:val="18"/>
              </w:rPr>
              <w:t>Professor Morton Rawlin</w:t>
            </w:r>
          </w:p>
        </w:tc>
        <w:tc>
          <w:tcPr>
            <w:tcW w:w="2802" w:type="pct"/>
          </w:tcPr>
          <w:p w14:paraId="1D310CF3" w14:textId="3746F18E" w:rsidR="00217E4B" w:rsidRPr="00B0157E" w:rsidRDefault="00224863" w:rsidP="00B47735">
            <w:pPr>
              <w:pStyle w:val="02Tabletext"/>
              <w:spacing w:after="20"/>
              <w:rPr>
                <w:rFonts w:cs="Arial"/>
                <w:szCs w:val="18"/>
              </w:rPr>
            </w:pPr>
            <w:r w:rsidRPr="00B0157E">
              <w:t>GP, Vice President &amp; Chair, Victorian Faculty,</w:t>
            </w:r>
            <w:r w:rsidRPr="00B0157E">
              <w:rPr>
                <w:rStyle w:val="apple-converted-space"/>
              </w:rPr>
              <w:t> </w:t>
            </w:r>
            <w:hyperlink r:id="rId19" w:tooltip="View this organisation profile" w:history="1">
              <w:r w:rsidRPr="00B0157E">
                <w:rPr>
                  <w:rStyle w:val="Hyperlink"/>
                  <w:color w:val="auto"/>
                  <w:u w:val="none"/>
                </w:rPr>
                <w:t>Royal Australian College of General Practitioners</w:t>
              </w:r>
            </w:hyperlink>
            <w:r w:rsidRPr="00B0157E">
              <w:br/>
              <w:t>Adjunct Associate Professor,</w:t>
            </w:r>
            <w:r w:rsidRPr="00B0157E">
              <w:rPr>
                <w:rStyle w:val="apple-converted-space"/>
              </w:rPr>
              <w:t> </w:t>
            </w:r>
            <w:hyperlink r:id="rId20" w:tooltip="View this organisation profile" w:history="1">
              <w:r w:rsidRPr="00B0157E">
                <w:rPr>
                  <w:rStyle w:val="Hyperlink"/>
                  <w:color w:val="auto"/>
                  <w:u w:val="none"/>
                </w:rPr>
                <w:t>University of Sydney – Sydney Medical School</w:t>
              </w:r>
            </w:hyperlink>
          </w:p>
        </w:tc>
        <w:tc>
          <w:tcPr>
            <w:tcW w:w="1144" w:type="pct"/>
          </w:tcPr>
          <w:p w14:paraId="7DCA7C99" w14:textId="42F66F14" w:rsidR="00217E4B" w:rsidRPr="00B0157E" w:rsidRDefault="00224863" w:rsidP="00B47735">
            <w:pPr>
              <w:pStyle w:val="02Tabletext"/>
              <w:spacing w:after="20"/>
              <w:rPr>
                <w:rFonts w:cs="Arial"/>
                <w:szCs w:val="18"/>
              </w:rPr>
            </w:pPr>
            <w:r w:rsidRPr="00B0157E">
              <w:rPr>
                <w:rFonts w:cs="Arial"/>
                <w:szCs w:val="18"/>
              </w:rPr>
              <w:t>Uses the items</w:t>
            </w:r>
          </w:p>
        </w:tc>
      </w:tr>
      <w:tr w:rsidR="00217E4B" w:rsidRPr="00B0157E" w14:paraId="04945721" w14:textId="77777777">
        <w:trPr>
          <w:trHeight w:val="242"/>
        </w:trPr>
        <w:tc>
          <w:tcPr>
            <w:tcW w:w="1054" w:type="pct"/>
          </w:tcPr>
          <w:p w14:paraId="10245A42" w14:textId="77777777" w:rsidR="00217E4B" w:rsidRPr="00B0157E" w:rsidRDefault="00217E4B" w:rsidP="00B47735">
            <w:pPr>
              <w:pStyle w:val="02Tabletext"/>
              <w:spacing w:after="20"/>
              <w:rPr>
                <w:rFonts w:cs="Arial"/>
                <w:szCs w:val="18"/>
              </w:rPr>
            </w:pPr>
            <w:r w:rsidRPr="00B0157E">
              <w:rPr>
                <w:rFonts w:cs="Arial"/>
                <w:szCs w:val="18"/>
              </w:rPr>
              <w:t>Dr Charles Cope</w:t>
            </w:r>
          </w:p>
        </w:tc>
        <w:tc>
          <w:tcPr>
            <w:tcW w:w="2802" w:type="pct"/>
          </w:tcPr>
          <w:p w14:paraId="5DA74C13" w14:textId="4C008942" w:rsidR="00217E4B" w:rsidRPr="00B0157E" w:rsidRDefault="00224863" w:rsidP="00B47735">
            <w:pPr>
              <w:pStyle w:val="02Tabletext"/>
              <w:spacing w:after="20"/>
              <w:rPr>
                <w:rFonts w:cs="Arial"/>
                <w:szCs w:val="18"/>
              </w:rPr>
            </w:pPr>
            <w:r w:rsidRPr="00B0157E">
              <w:rPr>
                <w:rFonts w:cs="Arial"/>
                <w:szCs w:val="18"/>
              </w:rPr>
              <w:t xml:space="preserve">Plastic &amp; Cosmetic Surgeon, North Shore Cosmetic Surgery </w:t>
            </w:r>
            <w:r w:rsidRPr="00B0157E">
              <w:rPr>
                <w:rFonts w:cs="Arial"/>
                <w:szCs w:val="18"/>
              </w:rPr>
              <w:br/>
              <w:t>Private Practice</w:t>
            </w:r>
          </w:p>
        </w:tc>
        <w:tc>
          <w:tcPr>
            <w:tcW w:w="1144" w:type="pct"/>
          </w:tcPr>
          <w:p w14:paraId="761E5448" w14:textId="1F47D02C" w:rsidR="00217E4B" w:rsidRPr="00B0157E" w:rsidRDefault="00224863" w:rsidP="00B47735">
            <w:pPr>
              <w:pStyle w:val="02Tabletext"/>
              <w:spacing w:after="20"/>
              <w:rPr>
                <w:rFonts w:cs="Arial"/>
                <w:szCs w:val="18"/>
              </w:rPr>
            </w:pPr>
            <w:r w:rsidRPr="00B0157E">
              <w:rPr>
                <w:rFonts w:cs="Arial"/>
                <w:szCs w:val="18"/>
              </w:rPr>
              <w:t>Uses the items</w:t>
            </w:r>
          </w:p>
        </w:tc>
      </w:tr>
      <w:tr w:rsidR="00217E4B" w:rsidRPr="00B0157E" w14:paraId="6441414D" w14:textId="77777777">
        <w:trPr>
          <w:trHeight w:val="1135"/>
        </w:trPr>
        <w:tc>
          <w:tcPr>
            <w:tcW w:w="1054" w:type="pct"/>
          </w:tcPr>
          <w:p w14:paraId="49DF41F6" w14:textId="77777777" w:rsidR="00217E4B" w:rsidRPr="00B0157E" w:rsidRDefault="00217E4B" w:rsidP="00B47735">
            <w:pPr>
              <w:pStyle w:val="02Tabletext"/>
              <w:spacing w:after="20"/>
              <w:rPr>
                <w:rFonts w:cs="Arial"/>
                <w:szCs w:val="18"/>
              </w:rPr>
            </w:pPr>
            <w:r w:rsidRPr="00B0157E">
              <w:rPr>
                <w:rFonts w:cs="Arial"/>
                <w:szCs w:val="18"/>
              </w:rPr>
              <w:t xml:space="preserve">Dr Douglas Grose </w:t>
            </w:r>
          </w:p>
        </w:tc>
        <w:tc>
          <w:tcPr>
            <w:tcW w:w="2802" w:type="pct"/>
          </w:tcPr>
          <w:p w14:paraId="14F26452" w14:textId="77777777" w:rsidR="00217E4B" w:rsidRPr="00B0157E" w:rsidRDefault="00217E4B" w:rsidP="00B47735">
            <w:pPr>
              <w:pStyle w:val="02Tabletext"/>
              <w:spacing w:after="20"/>
              <w:rPr>
                <w:rFonts w:cs="Arial"/>
                <w:szCs w:val="18"/>
              </w:rPr>
            </w:pPr>
            <w:r w:rsidRPr="00B0157E">
              <w:rPr>
                <w:rFonts w:cs="Arial"/>
                <w:szCs w:val="18"/>
              </w:rPr>
              <w:t>DJG Cosmetic and Face Only</w:t>
            </w:r>
          </w:p>
          <w:p w14:paraId="31FF4B1F" w14:textId="77777777" w:rsidR="00217E4B" w:rsidRPr="00B0157E" w:rsidRDefault="00217E4B" w:rsidP="00B47735">
            <w:pPr>
              <w:pStyle w:val="02Tabletext"/>
              <w:spacing w:after="20"/>
              <w:rPr>
                <w:rFonts w:cs="Arial"/>
                <w:szCs w:val="18"/>
              </w:rPr>
            </w:pPr>
            <w:r w:rsidRPr="00B0157E">
              <w:rPr>
                <w:rFonts w:cs="Arial"/>
                <w:szCs w:val="18"/>
              </w:rPr>
              <w:t>President Cosmetic Physicians College of Australasia</w:t>
            </w:r>
          </w:p>
          <w:p w14:paraId="29F1B9FB" w14:textId="77777777" w:rsidR="00217E4B" w:rsidRPr="00B0157E" w:rsidRDefault="00217E4B" w:rsidP="00B47735">
            <w:pPr>
              <w:pStyle w:val="02Tabletext"/>
              <w:spacing w:after="20"/>
              <w:rPr>
                <w:rFonts w:cs="Arial"/>
                <w:szCs w:val="18"/>
              </w:rPr>
            </w:pPr>
            <w:r w:rsidRPr="00B0157E">
              <w:rPr>
                <w:rFonts w:cs="Arial"/>
                <w:szCs w:val="18"/>
              </w:rPr>
              <w:t>President Cosmetic Physicians Society of Australasia</w:t>
            </w:r>
          </w:p>
        </w:tc>
        <w:tc>
          <w:tcPr>
            <w:tcW w:w="1144" w:type="pct"/>
          </w:tcPr>
          <w:p w14:paraId="3978A43B" w14:textId="77777777" w:rsidR="00217E4B" w:rsidRPr="00B0157E" w:rsidRDefault="00217E4B" w:rsidP="00B47735">
            <w:pPr>
              <w:pStyle w:val="02Tabletext"/>
              <w:spacing w:after="20"/>
              <w:rPr>
                <w:rFonts w:cs="Arial"/>
                <w:szCs w:val="18"/>
                <w:highlight w:val="yellow"/>
              </w:rPr>
            </w:pPr>
            <w:r w:rsidRPr="00B0157E">
              <w:rPr>
                <w:rFonts w:cs="Arial"/>
                <w:szCs w:val="18"/>
              </w:rPr>
              <w:t xml:space="preserve">Has used items in the past and is still able to use them </w:t>
            </w:r>
          </w:p>
        </w:tc>
      </w:tr>
      <w:tr w:rsidR="00217E4B" w:rsidRPr="00B0157E" w14:paraId="38F0705D" w14:textId="77777777">
        <w:trPr>
          <w:trHeight w:val="875"/>
        </w:trPr>
        <w:tc>
          <w:tcPr>
            <w:tcW w:w="1054" w:type="pct"/>
          </w:tcPr>
          <w:p w14:paraId="367306F5" w14:textId="77777777" w:rsidR="00217E4B" w:rsidRPr="00B0157E" w:rsidRDefault="00217E4B" w:rsidP="00B47735">
            <w:pPr>
              <w:pStyle w:val="02Tabletext"/>
              <w:spacing w:after="20"/>
              <w:rPr>
                <w:rFonts w:cs="Arial"/>
              </w:rPr>
            </w:pPr>
            <w:r w:rsidRPr="00B0157E">
              <w:rPr>
                <w:rFonts w:cs="Arial"/>
              </w:rPr>
              <w:t>Dr Shawn Richards</w:t>
            </w:r>
          </w:p>
        </w:tc>
        <w:tc>
          <w:tcPr>
            <w:tcW w:w="2802" w:type="pct"/>
          </w:tcPr>
          <w:p w14:paraId="75DEB2A0" w14:textId="77777777" w:rsidR="00217E4B" w:rsidRPr="00B0157E" w:rsidRDefault="00217E4B" w:rsidP="008F69FE">
            <w:pPr>
              <w:pStyle w:val="02Tabletext"/>
              <w:spacing w:after="20"/>
              <w:rPr>
                <w:rFonts w:cs="Arial"/>
              </w:rPr>
            </w:pPr>
            <w:r w:rsidRPr="00B0157E">
              <w:rPr>
                <w:rFonts w:cs="Arial"/>
              </w:rPr>
              <w:t xml:space="preserve">Head of Laser Services, The Skin Hospital, </w:t>
            </w:r>
            <w:r w:rsidR="00272D17" w:rsidRPr="00B0157E">
              <w:rPr>
                <w:rFonts w:cs="Arial"/>
              </w:rPr>
              <w:t>C</w:t>
            </w:r>
            <w:r w:rsidRPr="00B0157E">
              <w:rPr>
                <w:rFonts w:cs="Arial"/>
              </w:rPr>
              <w:t>o-</w:t>
            </w:r>
            <w:r w:rsidR="00272D17" w:rsidRPr="00B0157E">
              <w:rPr>
                <w:rFonts w:cs="Arial"/>
              </w:rPr>
              <w:t>D</w:t>
            </w:r>
            <w:r w:rsidRPr="00B0157E">
              <w:rPr>
                <w:rFonts w:cs="Arial"/>
              </w:rPr>
              <w:t xml:space="preserve">irector of the </w:t>
            </w:r>
            <w:r w:rsidR="00F53AA1" w:rsidRPr="00B0157E">
              <w:rPr>
                <w:rFonts w:cs="Arial"/>
              </w:rPr>
              <w:t>Mohs</w:t>
            </w:r>
            <w:r w:rsidRPr="00B0157E">
              <w:rPr>
                <w:rFonts w:cs="Arial"/>
              </w:rPr>
              <w:t xml:space="preserve"> </w:t>
            </w:r>
            <w:r w:rsidR="00286CF7" w:rsidRPr="00B0157E">
              <w:rPr>
                <w:rFonts w:cs="Arial"/>
              </w:rPr>
              <w:t>P</w:t>
            </w:r>
            <w:r w:rsidRPr="00B0157E">
              <w:rPr>
                <w:rFonts w:cs="Arial"/>
              </w:rPr>
              <w:t xml:space="preserve">rogramme and </w:t>
            </w:r>
            <w:r w:rsidR="00286CF7" w:rsidRPr="00B0157E">
              <w:rPr>
                <w:rFonts w:cs="Arial"/>
              </w:rPr>
              <w:t>D</w:t>
            </w:r>
            <w:r w:rsidRPr="00B0157E">
              <w:rPr>
                <w:rFonts w:cs="Arial"/>
              </w:rPr>
              <w:t xml:space="preserve">irector of the </w:t>
            </w:r>
            <w:r w:rsidR="00224202" w:rsidRPr="00B0157E">
              <w:rPr>
                <w:rFonts w:cs="Arial"/>
              </w:rPr>
              <w:t>L</w:t>
            </w:r>
            <w:r w:rsidRPr="00B0157E">
              <w:rPr>
                <w:rFonts w:cs="Arial"/>
              </w:rPr>
              <w:t xml:space="preserve">aser and </w:t>
            </w:r>
            <w:r w:rsidR="00224202" w:rsidRPr="00B0157E">
              <w:rPr>
                <w:rFonts w:cs="Arial"/>
              </w:rPr>
              <w:t>P</w:t>
            </w:r>
            <w:r w:rsidRPr="00B0157E">
              <w:rPr>
                <w:rFonts w:cs="Arial"/>
              </w:rPr>
              <w:t xml:space="preserve">hotorejuvenation </w:t>
            </w:r>
            <w:r w:rsidR="00224202" w:rsidRPr="00B0157E">
              <w:rPr>
                <w:rFonts w:cs="Arial"/>
              </w:rPr>
              <w:t>U</w:t>
            </w:r>
            <w:r w:rsidRPr="00B0157E">
              <w:rPr>
                <w:rFonts w:cs="Arial"/>
              </w:rPr>
              <w:t>nit for the Foundation at Westmead</w:t>
            </w:r>
          </w:p>
        </w:tc>
        <w:tc>
          <w:tcPr>
            <w:tcW w:w="1144" w:type="pct"/>
          </w:tcPr>
          <w:p w14:paraId="7B77AB38" w14:textId="77777777" w:rsidR="00217E4B" w:rsidRPr="00B0157E" w:rsidRDefault="00217E4B" w:rsidP="00B47735">
            <w:pPr>
              <w:pStyle w:val="02Tabletext"/>
              <w:spacing w:after="20"/>
              <w:rPr>
                <w:rFonts w:cs="Arial"/>
              </w:rPr>
            </w:pPr>
            <w:r w:rsidRPr="00B0157E">
              <w:rPr>
                <w:rFonts w:cs="Arial"/>
              </w:rPr>
              <w:t>Uses</w:t>
            </w:r>
            <w:r w:rsidR="00F702E2" w:rsidRPr="00B0157E">
              <w:rPr>
                <w:rFonts w:cs="Arial"/>
              </w:rPr>
              <w:t xml:space="preserve"> the</w:t>
            </w:r>
            <w:r w:rsidRPr="00B0157E">
              <w:rPr>
                <w:rFonts w:cs="Arial"/>
              </w:rPr>
              <w:t xml:space="preserve"> items</w:t>
            </w:r>
          </w:p>
        </w:tc>
      </w:tr>
    </w:tbl>
    <w:p w14:paraId="7B1384B6" w14:textId="77777777" w:rsidR="00C716CA" w:rsidRDefault="00C716CA" w:rsidP="00C33ED9">
      <w:pPr>
        <w:pStyle w:val="Heading2"/>
        <w:rPr>
          <w:lang w:val="en-AU"/>
        </w:rPr>
      </w:pPr>
      <w:bookmarkStart w:id="52" w:name="_Toc465871866"/>
      <w:bookmarkStart w:id="53" w:name="_Toc456045431"/>
      <w:bookmarkStart w:id="54" w:name="_Toc458774416"/>
      <w:r>
        <w:rPr>
          <w:lang w:val="en-AU"/>
        </w:rPr>
        <w:t>Conflicts of interest</w:t>
      </w:r>
      <w:bookmarkEnd w:id="52"/>
    </w:p>
    <w:p w14:paraId="36D72DA8" w14:textId="1BD6389C" w:rsidR="00224863" w:rsidRDefault="00C716CA" w:rsidP="002808A4">
      <w:pPr>
        <w:rPr>
          <w:lang w:val="en-AU" w:eastAsia="en-US"/>
        </w:rPr>
      </w:pPr>
      <w:r>
        <w:rPr>
          <w:lang w:val="en-AU" w:eastAsia="en-US"/>
        </w:rPr>
        <w:t>All members of the Taskforce, Clinical Committees and Working Groups are asked to declare any conflicts of interest at the start of their involvement and reminded to update their declaration periodically.</w:t>
      </w:r>
    </w:p>
    <w:p w14:paraId="04466BB4" w14:textId="77777777" w:rsidR="00224863" w:rsidRDefault="00224863">
      <w:pPr>
        <w:spacing w:before="0" w:after="0"/>
        <w:rPr>
          <w:lang w:val="en-AU" w:eastAsia="en-US"/>
        </w:rPr>
      </w:pPr>
      <w:r>
        <w:rPr>
          <w:lang w:val="en-AU" w:eastAsia="en-US"/>
        </w:rPr>
        <w:br w:type="page"/>
      </w:r>
    </w:p>
    <w:p w14:paraId="77FF6377" w14:textId="77777777" w:rsidR="00512F2C" w:rsidRPr="00B0157E" w:rsidRDefault="00D7439C" w:rsidP="002808A4">
      <w:pPr>
        <w:pStyle w:val="Heading1"/>
        <w:rPr>
          <w:lang w:val="en-AU"/>
        </w:rPr>
      </w:pPr>
      <w:bookmarkStart w:id="55" w:name="_Toc465871867"/>
      <w:r w:rsidRPr="00B0157E">
        <w:rPr>
          <w:lang w:val="en-AU"/>
        </w:rPr>
        <w:lastRenderedPageBreak/>
        <w:t xml:space="preserve">Areas </w:t>
      </w:r>
      <w:r w:rsidRPr="002808A4">
        <w:t>of</w:t>
      </w:r>
      <w:r w:rsidRPr="00B0157E">
        <w:rPr>
          <w:lang w:val="en-AU"/>
        </w:rPr>
        <w:t xml:space="preserve"> responsibility of the </w:t>
      </w:r>
      <w:r w:rsidR="00F008A1" w:rsidRPr="00B0157E">
        <w:rPr>
          <w:lang w:val="en-AU"/>
        </w:rPr>
        <w:t>Committee</w:t>
      </w:r>
      <w:bookmarkEnd w:id="53"/>
      <w:bookmarkEnd w:id="54"/>
      <w:bookmarkEnd w:id="55"/>
    </w:p>
    <w:p w14:paraId="1B97B97A" w14:textId="77777777" w:rsidR="00E96B33" w:rsidRDefault="00D7439C" w:rsidP="00C33ED9">
      <w:pPr>
        <w:rPr>
          <w:lang w:val="en-AU"/>
        </w:rPr>
      </w:pPr>
      <w:r w:rsidRPr="00B0157E">
        <w:rPr>
          <w:lang w:val="en-AU"/>
        </w:rPr>
        <w:t xml:space="preserve">The </w:t>
      </w:r>
      <w:r w:rsidR="00E96B33">
        <w:rPr>
          <w:lang w:val="en-AU"/>
        </w:rPr>
        <w:t>following</w:t>
      </w:r>
      <w:r w:rsidRPr="00B0157E">
        <w:rPr>
          <w:lang w:val="en-AU"/>
        </w:rPr>
        <w:t xml:space="preserve"> 3</w:t>
      </w:r>
      <w:r w:rsidR="00FF72B7" w:rsidRPr="00B0157E">
        <w:rPr>
          <w:lang w:val="en-AU"/>
        </w:rPr>
        <w:t>8</w:t>
      </w:r>
      <w:r w:rsidRPr="00B0157E">
        <w:rPr>
          <w:lang w:val="en-AU"/>
        </w:rPr>
        <w:t xml:space="preserve"> MBS items</w:t>
      </w:r>
      <w:r w:rsidR="00E96B33">
        <w:rPr>
          <w:lang w:val="en-AU"/>
        </w:rPr>
        <w:t xml:space="preserve"> were identified for review</w:t>
      </w:r>
      <w:r w:rsidR="00604C88" w:rsidRPr="00B0157E">
        <w:rPr>
          <w:lang w:val="en-AU"/>
        </w:rPr>
        <w:t>,</w:t>
      </w:r>
      <w:r w:rsidRPr="00B0157E">
        <w:rPr>
          <w:lang w:val="en-AU"/>
        </w:rPr>
        <w:t xml:space="preserve"> and a complete list of these items can be found in Appendix A. </w:t>
      </w:r>
    </w:p>
    <w:p w14:paraId="26B350DE" w14:textId="77777777" w:rsidR="00E96B33" w:rsidRDefault="00E96B33" w:rsidP="00E96B33">
      <w:pPr>
        <w:pStyle w:val="01squarebullet"/>
      </w:pPr>
      <w:r w:rsidRPr="00E607D7">
        <w:t xml:space="preserve">Phototherapy: Items 14050 and 14053 </w:t>
      </w:r>
      <w:r>
        <w:t xml:space="preserve"> (2 items)</w:t>
      </w:r>
    </w:p>
    <w:p w14:paraId="48321C6E" w14:textId="77777777" w:rsidR="00E96B33" w:rsidRDefault="00E96B33" w:rsidP="00E96B33">
      <w:pPr>
        <w:pStyle w:val="01squarebullet"/>
      </w:pPr>
      <w:r w:rsidRPr="00E607D7">
        <w:t>Treatment of benign and malignant neoplasms: Items 30195–7</w:t>
      </w:r>
      <w:r>
        <w:t xml:space="preserve"> (3 items)</w:t>
      </w:r>
    </w:p>
    <w:p w14:paraId="45798240" w14:textId="77777777" w:rsidR="00E96B33" w:rsidRPr="00E607D7" w:rsidRDefault="00E96B33" w:rsidP="00E96B33">
      <w:pPr>
        <w:pStyle w:val="01squarebullet"/>
      </w:pPr>
      <w:r w:rsidRPr="00E607D7">
        <w:t xml:space="preserve">Allergy: Items 12003, 12000, 21981 and 53600 </w:t>
      </w:r>
      <w:r>
        <w:t xml:space="preserve"> (4 items)</w:t>
      </w:r>
    </w:p>
    <w:p w14:paraId="6186A65E" w14:textId="77777777" w:rsidR="00E96B33" w:rsidRPr="00E607D7" w:rsidRDefault="00E96B33" w:rsidP="00E96B33">
      <w:pPr>
        <w:pStyle w:val="01squarebullet"/>
      </w:pPr>
      <w:r w:rsidRPr="00E607D7">
        <w:t xml:space="preserve">Treating malignant lesions by liquid nitrogen cryotherapy using repeat freeze-thaw cycles: Items 30202, 30203 and 30205 </w:t>
      </w:r>
      <w:r>
        <w:t xml:space="preserve"> (3 items)</w:t>
      </w:r>
    </w:p>
    <w:p w14:paraId="05A94B2E" w14:textId="77777777" w:rsidR="00E96B33" w:rsidRPr="00E607D7" w:rsidRDefault="00E96B33" w:rsidP="00E96B33">
      <w:pPr>
        <w:pStyle w:val="01squarebullet"/>
      </w:pPr>
      <w:r w:rsidRPr="00E607D7">
        <w:t>Definitive removal of palmar or plantar warts: Items 30185 and 30186</w:t>
      </w:r>
      <w:r>
        <w:t xml:space="preserve"> (2 items)</w:t>
      </w:r>
    </w:p>
    <w:p w14:paraId="4AB5CDD2" w14:textId="77777777" w:rsidR="00E96B33" w:rsidRPr="00E607D7" w:rsidRDefault="00E96B33" w:rsidP="00E96B33">
      <w:pPr>
        <w:pStyle w:val="01squarebullet"/>
      </w:pPr>
      <w:r w:rsidRPr="00E607D7">
        <w:t>Laser photocoagulation: Items 14100, 14106, 14109, 14112, 14115, 14118 and 14124</w:t>
      </w:r>
      <w:r>
        <w:t xml:space="preserve"> (7 items)</w:t>
      </w:r>
    </w:p>
    <w:p w14:paraId="3BA5CE47" w14:textId="77777777" w:rsidR="00E96B33" w:rsidRPr="00E607D7" w:rsidRDefault="00E96B33" w:rsidP="00E96B33">
      <w:pPr>
        <w:pStyle w:val="01squarebullet"/>
      </w:pPr>
      <w:r w:rsidRPr="00E607D7">
        <w:t>Mohs: Items 31000–31002</w:t>
      </w:r>
      <w:r>
        <w:t xml:space="preserve"> (3 items)</w:t>
      </w:r>
    </w:p>
    <w:p w14:paraId="62E73D3A" w14:textId="77777777" w:rsidR="00E96B33" w:rsidRPr="00E607D7" w:rsidRDefault="00E96B33" w:rsidP="00E96B33">
      <w:pPr>
        <w:pStyle w:val="01squarebullet"/>
      </w:pPr>
      <w:r w:rsidRPr="00E607D7">
        <w:t>Telangiectases or starburst vessels: Items 30213 and 30214</w:t>
      </w:r>
      <w:r>
        <w:t xml:space="preserve"> (2 items)</w:t>
      </w:r>
    </w:p>
    <w:p w14:paraId="5C24C631" w14:textId="77777777" w:rsidR="00E96B33" w:rsidRDefault="00E96B33" w:rsidP="00E96B33">
      <w:pPr>
        <w:pStyle w:val="01squarebullet"/>
      </w:pPr>
      <w:r w:rsidRPr="00E607D7">
        <w:t>Treatment of pre-malignant skin lesions: Item 30192</w:t>
      </w:r>
      <w:r>
        <w:t xml:space="preserve"> ( 1 item)</w:t>
      </w:r>
    </w:p>
    <w:p w14:paraId="09D423C4" w14:textId="77777777" w:rsidR="00E96B33" w:rsidRPr="00E607D7" w:rsidRDefault="00E96B33" w:rsidP="00E96B33">
      <w:pPr>
        <w:pStyle w:val="01squarebullet"/>
      </w:pPr>
      <w:r w:rsidRPr="00E607D7">
        <w:t xml:space="preserve">Skin lesions, multiple injections of hydrocortisone or similar preparations: Items 30207 and 30210 </w:t>
      </w:r>
      <w:r>
        <w:t>(2 items)</w:t>
      </w:r>
    </w:p>
    <w:p w14:paraId="2A6CC124" w14:textId="77777777" w:rsidR="00E96B33" w:rsidRPr="00E607D7" w:rsidRDefault="00E96B33" w:rsidP="00E96B33">
      <w:pPr>
        <w:pStyle w:val="01squarebullet"/>
      </w:pPr>
      <w:r w:rsidRPr="00E607D7">
        <w:t xml:space="preserve">Superficial radiotherapy: Item 15000 </w:t>
      </w:r>
      <w:r>
        <w:t>(1 item)</w:t>
      </w:r>
    </w:p>
    <w:p w14:paraId="293A38A1" w14:textId="77777777" w:rsidR="00E96B33" w:rsidRPr="00E607D7" w:rsidRDefault="00E96B33" w:rsidP="00E96B33">
      <w:pPr>
        <w:pStyle w:val="01squarebullet"/>
      </w:pPr>
      <w:r w:rsidRPr="00E607D7">
        <w:t xml:space="preserve">Administration of immunomodulating agent: Item 14245 </w:t>
      </w:r>
      <w:r>
        <w:t xml:space="preserve"> (1 item)</w:t>
      </w:r>
    </w:p>
    <w:p w14:paraId="399B34F5" w14:textId="77777777" w:rsidR="00E96B33" w:rsidRPr="00E607D7" w:rsidRDefault="00E96B33" w:rsidP="00E96B33">
      <w:pPr>
        <w:pStyle w:val="01squarebullet"/>
      </w:pPr>
      <w:r w:rsidRPr="00E607D7">
        <w:t xml:space="preserve">Bone or cartilage excision: Item 31340 </w:t>
      </w:r>
      <w:r>
        <w:t>(1 item)</w:t>
      </w:r>
    </w:p>
    <w:p w14:paraId="124B64E3" w14:textId="77777777" w:rsidR="00E96B33" w:rsidRPr="00E607D7" w:rsidRDefault="00E96B33" w:rsidP="00E96B33">
      <w:pPr>
        <w:pStyle w:val="01squarebullet"/>
      </w:pPr>
      <w:r w:rsidRPr="00E607D7">
        <w:t xml:space="preserve">Laser excision of face or neck tumours: Item 30190 </w:t>
      </w:r>
      <w:r>
        <w:t xml:space="preserve"> (1 item)</w:t>
      </w:r>
    </w:p>
    <w:p w14:paraId="716A0FAF" w14:textId="77777777" w:rsidR="00E96B33" w:rsidRPr="00E607D7" w:rsidRDefault="00E96B33" w:rsidP="00E96B33">
      <w:pPr>
        <w:pStyle w:val="01squarebullet"/>
      </w:pPr>
      <w:r w:rsidRPr="00E607D7">
        <w:t xml:space="preserve">Laser resurfacing for face or neck: Items 45025 and 45026 </w:t>
      </w:r>
      <w:r>
        <w:t>(2 items)</w:t>
      </w:r>
    </w:p>
    <w:p w14:paraId="0CE8A7C3" w14:textId="77777777" w:rsidR="00E96B33" w:rsidRPr="00E607D7" w:rsidRDefault="00E96B33" w:rsidP="00E96B33">
      <w:pPr>
        <w:pStyle w:val="01squarebullet"/>
      </w:pPr>
      <w:r w:rsidRPr="00E607D7">
        <w:t xml:space="preserve">Vermilionectomy using laser: Item 45669 </w:t>
      </w:r>
      <w:r>
        <w:t>(1 item)</w:t>
      </w:r>
    </w:p>
    <w:p w14:paraId="547888A1" w14:textId="77777777" w:rsidR="00E96B33" w:rsidRPr="00E607D7" w:rsidRDefault="00E96B33" w:rsidP="00E96B33">
      <w:pPr>
        <w:pStyle w:val="01squarebullet"/>
      </w:pPr>
      <w:r w:rsidRPr="00E607D7">
        <w:t>Treatment of rhinophyma using laser: Item 45652</w:t>
      </w:r>
      <w:r>
        <w:t xml:space="preserve"> (1 item)</w:t>
      </w:r>
    </w:p>
    <w:p w14:paraId="2F1E6972" w14:textId="77777777" w:rsidR="00E96B33" w:rsidRPr="00E607D7" w:rsidRDefault="00E96B33" w:rsidP="00E96B33">
      <w:pPr>
        <w:pStyle w:val="01squarebullet"/>
      </w:pPr>
      <w:r w:rsidRPr="00E607D7">
        <w:t xml:space="preserve">Full-face chemical peel: Item 45019 </w:t>
      </w:r>
      <w:r>
        <w:t>(1 item)</w:t>
      </w:r>
    </w:p>
    <w:p w14:paraId="7F686ABE" w14:textId="77777777" w:rsidR="00224863" w:rsidRDefault="001A0D6A" w:rsidP="00224863">
      <w:pPr>
        <w:rPr>
          <w:lang w:val="en-AU"/>
        </w:rPr>
      </w:pPr>
      <w:r w:rsidRPr="00B0157E">
        <w:rPr>
          <w:lang w:val="en-AU"/>
        </w:rPr>
        <w:t>At its first meeting, the Committee noted the outcomes from the recently completed skin services review and the announced amendments to the skin patch</w:t>
      </w:r>
      <w:r w:rsidR="00B514E9" w:rsidRPr="00B0157E">
        <w:rPr>
          <w:lang w:val="en-AU"/>
        </w:rPr>
        <w:t>-</w:t>
      </w:r>
      <w:r w:rsidRPr="00B0157E">
        <w:rPr>
          <w:lang w:val="en-AU"/>
        </w:rPr>
        <w:t>testing items (items 12012</w:t>
      </w:r>
      <w:r w:rsidR="00971D08" w:rsidRPr="00B0157E">
        <w:rPr>
          <w:lang w:val="en-AU"/>
        </w:rPr>
        <w:t>–</w:t>
      </w:r>
      <w:r w:rsidRPr="00B0157E">
        <w:rPr>
          <w:lang w:val="en-AU"/>
        </w:rPr>
        <w:t>21). The Committee agreed that as these changes ha</w:t>
      </w:r>
      <w:r w:rsidR="00F54AFD" w:rsidRPr="00B0157E">
        <w:rPr>
          <w:lang w:val="en-AU"/>
        </w:rPr>
        <w:t>ve</w:t>
      </w:r>
      <w:r w:rsidRPr="00B0157E">
        <w:rPr>
          <w:lang w:val="en-AU"/>
        </w:rPr>
        <w:t xml:space="preserve"> the support of stakeholders and </w:t>
      </w:r>
      <w:r w:rsidR="006B1274" w:rsidRPr="00B0157E">
        <w:rPr>
          <w:lang w:val="en-AU"/>
        </w:rPr>
        <w:t xml:space="preserve">are </w:t>
      </w:r>
      <w:r w:rsidRPr="00B0157E">
        <w:rPr>
          <w:lang w:val="en-AU"/>
        </w:rPr>
        <w:t xml:space="preserve">expected to occur on 1 November 2016, the items did not need to be reviewed again. Further information on the skin services review </w:t>
      </w:r>
      <w:r w:rsidR="00710091" w:rsidRPr="00B0157E">
        <w:rPr>
          <w:lang w:val="en-AU"/>
        </w:rPr>
        <w:t xml:space="preserve">and </w:t>
      </w:r>
      <w:r w:rsidR="0021558C" w:rsidRPr="00B0157E">
        <w:rPr>
          <w:lang w:val="en-AU"/>
        </w:rPr>
        <w:t xml:space="preserve">proposed </w:t>
      </w:r>
      <w:r w:rsidRPr="00B0157E">
        <w:rPr>
          <w:lang w:val="en-AU"/>
        </w:rPr>
        <w:t>changes to the skin patch</w:t>
      </w:r>
      <w:r w:rsidR="00696CE7" w:rsidRPr="00B0157E">
        <w:rPr>
          <w:lang w:val="en-AU"/>
        </w:rPr>
        <w:t>-</w:t>
      </w:r>
      <w:r w:rsidRPr="00B0157E">
        <w:rPr>
          <w:lang w:val="en-AU"/>
        </w:rPr>
        <w:t xml:space="preserve">testing items is available </w:t>
      </w:r>
      <w:r w:rsidR="00C716CA">
        <w:rPr>
          <w:lang w:val="en-AU"/>
        </w:rPr>
        <w:t xml:space="preserve">on the </w:t>
      </w:r>
      <w:hyperlink r:id="rId21" w:history="1">
        <w:r w:rsidR="00C716CA" w:rsidRPr="00C716CA">
          <w:rPr>
            <w:rStyle w:val="Hyperlink"/>
            <w:lang w:val="en-AU"/>
          </w:rPr>
          <w:t>MBS Online website</w:t>
        </w:r>
      </w:hyperlink>
      <w:r w:rsidR="004B62BF">
        <w:rPr>
          <w:lang w:val="en-AU"/>
        </w:rPr>
        <w:t>.</w:t>
      </w:r>
    </w:p>
    <w:p w14:paraId="28063120" w14:textId="55B8B90F" w:rsidR="009F4F75" w:rsidRDefault="00D7439C" w:rsidP="00224863">
      <w:r w:rsidRPr="00B0157E">
        <w:t>The 3</w:t>
      </w:r>
      <w:r w:rsidR="008E27EA" w:rsidRPr="00B0157E">
        <w:t>8</w:t>
      </w:r>
      <w:r w:rsidRPr="00B0157E">
        <w:t xml:space="preserve"> items </w:t>
      </w:r>
      <w:r w:rsidR="00717EE1" w:rsidRPr="00B0157E">
        <w:t xml:space="preserve">largely consist of a range of </w:t>
      </w:r>
      <w:r w:rsidR="00DE6514" w:rsidRPr="00B0157E">
        <w:t>treatment</w:t>
      </w:r>
      <w:r w:rsidR="00717EE1" w:rsidRPr="00B0157E">
        <w:t xml:space="preserve"> items for removing malignant or severely disfiguring lesions or tumours, along with several allergy</w:t>
      </w:r>
      <w:r w:rsidR="00B140C4" w:rsidRPr="00B0157E">
        <w:t>-</w:t>
      </w:r>
      <w:r w:rsidR="00717EE1" w:rsidRPr="00B0157E">
        <w:t xml:space="preserve">testing items. </w:t>
      </w:r>
      <w:r w:rsidRPr="00B0157E">
        <w:t xml:space="preserve">In </w:t>
      </w:r>
      <w:r w:rsidR="00704661" w:rsidRPr="00B0157E">
        <w:t xml:space="preserve">the </w:t>
      </w:r>
      <w:r w:rsidRPr="00B0157E">
        <w:t>2014/15</w:t>
      </w:r>
      <w:r w:rsidR="00704661" w:rsidRPr="00B0157E">
        <w:t xml:space="preserve"> financial year (FY)</w:t>
      </w:r>
      <w:r w:rsidRPr="00B0157E">
        <w:t xml:space="preserve">, these items </w:t>
      </w:r>
      <w:r w:rsidR="00E65074" w:rsidRPr="00B0157E">
        <w:t>accounted for approximately 2</w:t>
      </w:r>
      <w:r w:rsidRPr="00B0157E">
        <w:t>,</w:t>
      </w:r>
      <w:r w:rsidR="00AD19C9" w:rsidRPr="00B0157E">
        <w:t>038</w:t>
      </w:r>
      <w:r w:rsidR="00E65074" w:rsidRPr="00B0157E">
        <w:t>,</w:t>
      </w:r>
      <w:r w:rsidR="00AD19C9" w:rsidRPr="00B0157E">
        <w:t>664</w:t>
      </w:r>
      <w:r w:rsidRPr="00B0157E">
        <w:t xml:space="preserve"> services </w:t>
      </w:r>
      <w:r w:rsidR="00AD19C9" w:rsidRPr="00B0157E">
        <w:t>and $102,464</w:t>
      </w:r>
      <w:r w:rsidRPr="00B0157E">
        <w:t xml:space="preserve"> million in benefits. Over the past five years, service volumes for these items have grown</w:t>
      </w:r>
      <w:r w:rsidR="00E65074" w:rsidRPr="00B0157E">
        <w:t xml:space="preserve"> at 3.8</w:t>
      </w:r>
      <w:r w:rsidRPr="00B0157E">
        <w:t xml:space="preserve"> per cent per year, and the cost of benefits has increased by</w:t>
      </w:r>
      <w:r w:rsidR="00E65074" w:rsidRPr="00B0157E">
        <w:t xml:space="preserve"> 5.4</w:t>
      </w:r>
      <w:r w:rsidRPr="00B0157E">
        <w:t xml:space="preserve"> per cent per year.</w:t>
      </w:r>
      <w:r w:rsidR="00C1346F" w:rsidRPr="00B0157E">
        <w:fldChar w:fldCharType="begin" w:fldLock="1"/>
      </w:r>
      <w:r w:rsidR="00C040E7" w:rsidRPr="00B0157E">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C1346F" w:rsidRPr="00B0157E">
        <w:fldChar w:fldCharType="separate"/>
      </w:r>
      <w:r w:rsidR="00C040E7" w:rsidRPr="00B0157E">
        <w:t>[2]</w:t>
      </w:r>
      <w:r w:rsidR="00C1346F" w:rsidRPr="00B0157E">
        <w:fldChar w:fldCharType="end"/>
      </w:r>
      <w:r w:rsidRPr="00B0157E">
        <w:t xml:space="preserve"> This growth is largely explained by an increase in the number of ser</w:t>
      </w:r>
      <w:r w:rsidR="009E407A" w:rsidRPr="00B0157E">
        <w:t>vices per capita (</w:t>
      </w:r>
      <w:r w:rsidR="00791E30">
        <w:fldChar w:fldCharType="begin"/>
      </w:r>
      <w:r w:rsidR="00791E30">
        <w:instrText xml:space="preserve"> REF _Ref463874415 \h </w:instrText>
      </w:r>
      <w:r w:rsidR="00791E30">
        <w:fldChar w:fldCharType="separate"/>
      </w:r>
      <w:r w:rsidR="00076093" w:rsidRPr="00B0157E">
        <w:t xml:space="preserve">Figure </w:t>
      </w:r>
      <w:r w:rsidR="00076093">
        <w:rPr>
          <w:noProof/>
        </w:rPr>
        <w:t>2</w:t>
      </w:r>
      <w:r w:rsidR="00791E30">
        <w:fldChar w:fldCharType="end"/>
      </w:r>
      <w:r w:rsidR="009E407A" w:rsidRPr="00B0157E">
        <w:t>)</w:t>
      </w:r>
      <w:r w:rsidR="00324419" w:rsidRPr="00B0157E">
        <w:t>.</w:t>
      </w:r>
      <w:r w:rsidR="00C1346F" w:rsidRPr="00B0157E">
        <w:fldChar w:fldCharType="begin" w:fldLock="1"/>
      </w:r>
      <w:r w:rsidR="00010550" w:rsidRPr="00B0157E">
        <w:instrText>ADDIN CSL_CITATION { "citationItems" : [ { "id" : "ITEM-1", "itemData" : { "URL" : "http://www.abs.gov.au/ausstats/abs@.nsf/Previousproducts/3101.0Main Features1Jun 2015?opendocument&amp;tabname=Summary&amp;prodno=3101.0&amp;issue=Jun 2015&amp;num=&amp;view=", "accessed" : { "date-parts" : [ [ "2016", "4", "25" ] ] }, "author" : [ { "dropping-particle" : "", "family" : "Statistics", "given" : "Australian Bureau of", "non-dropping-particle" : "", "parse-names" : false, "suffix" : "" } ], "container-title" : "3101.0 - Australian Demographic statistics Jun 2010 and Jun 2015", "id" : "ITEM-1", "issued" : { "date-parts" : [ [ "0" ] ] }, "title" : "Australian Demographic Statistics", "type" : "webpage" }, "uris" : [ "http://www.mendeley.com/documents/?uuid=d10251fe-4e2e-47b7-90e6-eb7e0d334d4c" ] } ], "mendeley" : { "formattedCitation" : "[3]", "plainTextFormattedCitation" : "[3]", "previouslyFormattedCitation" : "[3]" }, "properties" : { "noteIndex" : 0 }, "schema" : "https://github.com/citation-style-language/schema/raw/master/csl-citation.json" }</w:instrText>
      </w:r>
      <w:r w:rsidR="00C1346F" w:rsidRPr="00B0157E">
        <w:fldChar w:fldCharType="separate"/>
      </w:r>
      <w:r w:rsidR="00324419" w:rsidRPr="00B0157E">
        <w:t>[3]</w:t>
      </w:r>
      <w:r w:rsidR="00C1346F" w:rsidRPr="00B0157E">
        <w:fldChar w:fldCharType="end"/>
      </w:r>
      <w:r w:rsidR="00C040E7" w:rsidRPr="00B0157E">
        <w:rPr>
          <w:rStyle w:val="CommentReference"/>
        </w:rPr>
        <w:t xml:space="preserve"> </w:t>
      </w:r>
      <w:r w:rsidR="00C040E7" w:rsidRPr="00B0157E">
        <w:t>T</w:t>
      </w:r>
      <w:r w:rsidR="00AA5132" w:rsidRPr="00B0157E">
        <w:t>wo items</w:t>
      </w:r>
      <w:r w:rsidR="007E55BE" w:rsidRPr="00B0157E">
        <w:t>—</w:t>
      </w:r>
      <w:r w:rsidR="00AA5132" w:rsidRPr="00B0157E">
        <w:t>the ablation of pre-malignant lesions (</w:t>
      </w:r>
      <w:r w:rsidR="007E55BE" w:rsidRPr="00B0157E">
        <w:t xml:space="preserve">item </w:t>
      </w:r>
      <w:r w:rsidR="00AA5132" w:rsidRPr="00B0157E">
        <w:t xml:space="preserve">30192) and </w:t>
      </w:r>
      <w:r w:rsidR="005E6419" w:rsidRPr="00B0157E">
        <w:t>Phototherap</w:t>
      </w:r>
      <w:r w:rsidR="00A96704" w:rsidRPr="00B0157E">
        <w:t>y</w:t>
      </w:r>
      <w:r w:rsidR="00AD19C9" w:rsidRPr="00B0157E">
        <w:t xml:space="preserve"> (</w:t>
      </w:r>
      <w:r w:rsidR="00AA5132" w:rsidRPr="00B0157E">
        <w:t>P</w:t>
      </w:r>
      <w:r w:rsidR="00AD19C9" w:rsidRPr="00B0157E">
        <w:t>UVA/</w:t>
      </w:r>
      <w:r w:rsidR="00AA5132" w:rsidRPr="00B0157E">
        <w:t>UVB</w:t>
      </w:r>
      <w:r w:rsidR="00AD19C9" w:rsidRPr="00B0157E">
        <w:t>)</w:t>
      </w:r>
      <w:r w:rsidR="00AA5132" w:rsidRPr="00B0157E">
        <w:t xml:space="preserve"> for the whole body (</w:t>
      </w:r>
      <w:r w:rsidR="00C509F6" w:rsidRPr="00B0157E">
        <w:t xml:space="preserve">item </w:t>
      </w:r>
      <w:r w:rsidR="00AA5132" w:rsidRPr="00B0157E">
        <w:t>14050)</w:t>
      </w:r>
      <w:r w:rsidR="00C509F6" w:rsidRPr="00B0157E">
        <w:t>—</w:t>
      </w:r>
      <w:r w:rsidR="00AA5132" w:rsidRPr="00B0157E">
        <w:t xml:space="preserve"> a</w:t>
      </w:r>
      <w:r w:rsidRPr="00B0157E">
        <w:t>ccount for</w:t>
      </w:r>
      <w:r w:rsidR="00AA5132" w:rsidRPr="00B0157E">
        <w:t xml:space="preserve"> approximately 62</w:t>
      </w:r>
      <w:r w:rsidR="004A352E">
        <w:t xml:space="preserve"> </w:t>
      </w:r>
      <w:r w:rsidRPr="00B0157E">
        <w:t xml:space="preserve">per cent of total services </w:t>
      </w:r>
      <w:r w:rsidR="005B69B7" w:rsidRPr="00B0157E">
        <w:t>(</w:t>
      </w:r>
      <w:r w:rsidR="00791E30">
        <w:fldChar w:fldCharType="begin"/>
      </w:r>
      <w:r w:rsidR="00791E30">
        <w:instrText xml:space="preserve"> REF _Ref463874424 \h </w:instrText>
      </w:r>
      <w:r w:rsidR="00791E30">
        <w:fldChar w:fldCharType="separate"/>
      </w:r>
      <w:r w:rsidR="00076093" w:rsidRPr="00B0157E">
        <w:t xml:space="preserve">Figure </w:t>
      </w:r>
      <w:r w:rsidR="00076093">
        <w:rPr>
          <w:noProof/>
        </w:rPr>
        <w:t>3</w:t>
      </w:r>
      <w:r w:rsidR="00791E30">
        <w:fldChar w:fldCharType="end"/>
      </w:r>
      <w:r w:rsidR="005B69B7" w:rsidRPr="00B0157E">
        <w:t>)</w:t>
      </w:r>
      <w:r w:rsidRPr="00B0157E">
        <w:t>.</w:t>
      </w:r>
      <w:r w:rsidR="00C1346F" w:rsidRPr="00B0157E">
        <w:fldChar w:fldCharType="begin" w:fldLock="1"/>
      </w:r>
      <w:r w:rsidR="00C040E7" w:rsidRPr="00B0157E">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C1346F" w:rsidRPr="00B0157E">
        <w:fldChar w:fldCharType="separate"/>
      </w:r>
      <w:r w:rsidR="00C040E7" w:rsidRPr="00B0157E">
        <w:t>[2]</w:t>
      </w:r>
      <w:r w:rsidR="00C1346F" w:rsidRPr="00B0157E">
        <w:fldChar w:fldCharType="end"/>
      </w:r>
      <w:bookmarkStart w:id="56" w:name="_Ref463874415"/>
      <w:bookmarkStart w:id="57" w:name="_Toc459904225"/>
      <w:bookmarkStart w:id="58" w:name="_Toc465871845"/>
      <w:bookmarkStart w:id="59" w:name="_Toc459973081"/>
    </w:p>
    <w:p w14:paraId="109755FF" w14:textId="77777777" w:rsidR="00F95AAE" w:rsidRPr="00B0157E" w:rsidRDefault="00F95AAE" w:rsidP="00E03DD0">
      <w:pPr>
        <w:pStyle w:val="Figure"/>
      </w:pPr>
      <w:r w:rsidRPr="00B0157E">
        <w:lastRenderedPageBreak/>
        <w:t xml:space="preserve">Figure </w:t>
      </w:r>
      <w:r w:rsidR="00C1346F" w:rsidRPr="00B0157E">
        <w:fldChar w:fldCharType="begin"/>
      </w:r>
      <w:r w:rsidR="00CE5246" w:rsidRPr="00B0157E">
        <w:instrText xml:space="preserve"> SEQ Exhibit\* Arabic </w:instrText>
      </w:r>
      <w:r w:rsidR="00C1346F" w:rsidRPr="00B0157E">
        <w:fldChar w:fldCharType="separate"/>
      </w:r>
      <w:r w:rsidR="00076093">
        <w:rPr>
          <w:noProof/>
        </w:rPr>
        <w:t>2</w:t>
      </w:r>
      <w:r w:rsidR="00C1346F" w:rsidRPr="00B0157E">
        <w:fldChar w:fldCharType="end"/>
      </w:r>
      <w:bookmarkEnd w:id="56"/>
      <w:r w:rsidR="00EB6FFF" w:rsidRPr="00B0157E">
        <w:rPr>
          <w:noProof/>
        </w:rPr>
        <w:t>: Dermatology, allergy and immunology items drivers of growth</w:t>
      </w:r>
      <w:bookmarkEnd w:id="57"/>
      <w:bookmarkEnd w:id="58"/>
      <w:r w:rsidR="00EB6FFF" w:rsidRPr="00B0157E">
        <w:rPr>
          <w:noProof/>
        </w:rPr>
        <w:t xml:space="preserve"> </w:t>
      </w:r>
      <w:bookmarkEnd w:id="59"/>
    </w:p>
    <w:p w14:paraId="3CEE737B" w14:textId="77777777" w:rsidR="00224863" w:rsidRPr="00B0157E" w:rsidRDefault="00224863" w:rsidP="00C33ED9">
      <w:pPr>
        <w:pStyle w:val="70exhtblnormal"/>
        <w:rPr>
          <w:lang w:val="en-AU"/>
        </w:rPr>
      </w:pPr>
      <w:r w:rsidRPr="00261BB1">
        <w:rPr>
          <w:noProof/>
          <w:lang w:val="en-AU" w:eastAsia="en-AU"/>
        </w:rPr>
        <w:drawing>
          <wp:inline distT="0" distB="0" distL="0" distR="0" wp14:anchorId="22D0FD18" wp14:editId="48A59482">
            <wp:extent cx="4477385" cy="3357880"/>
            <wp:effectExtent l="0" t="0" r="0" b="0"/>
            <wp:docPr id="67" name="Picture 67" descr="Figure 2 is a graph that shows the increase in percentage for each of the drivers of dermatology, allergy and immunology from 2010 to 2015. The total benefits increased at 5.4%, due to a 3.8% increase on the number of services and 1.5% increase on the average benefits per service. The increase on the number of services was due to a 1.3% increase on the population and the 2.5% increase on services per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7385" cy="3357880"/>
                    </a:xfrm>
                    <a:prstGeom prst="rect">
                      <a:avLst/>
                    </a:prstGeom>
                    <a:noFill/>
                    <a:ln>
                      <a:noFill/>
                    </a:ln>
                  </pic:spPr>
                </pic:pic>
              </a:graphicData>
            </a:graphic>
          </wp:inline>
        </w:drawing>
      </w:r>
    </w:p>
    <w:p w14:paraId="015D62E1" w14:textId="77777777" w:rsidR="00F95AAE" w:rsidRPr="00B0157E" w:rsidRDefault="00F95AAE" w:rsidP="00601253">
      <w:pPr>
        <w:pStyle w:val="60exhnormal"/>
        <w:rPr>
          <w:lang w:val="en-AU"/>
        </w:rPr>
      </w:pPr>
      <w:bookmarkStart w:id="60" w:name="_Toc459973082"/>
      <w:bookmarkStart w:id="61" w:name="_Toc457520560"/>
      <w:bookmarkStart w:id="62" w:name="_Toc456045432"/>
    </w:p>
    <w:p w14:paraId="7DB700B9" w14:textId="77777777" w:rsidR="00F95AAE" w:rsidRPr="00B0157E" w:rsidRDefault="00F95AAE" w:rsidP="00E03DD0">
      <w:pPr>
        <w:pStyle w:val="Figure"/>
      </w:pPr>
      <w:bookmarkStart w:id="63" w:name="_Ref463874424"/>
      <w:bookmarkStart w:id="64" w:name="_Toc459904226"/>
      <w:bookmarkStart w:id="65" w:name="_Toc465871846"/>
      <w:r w:rsidRPr="00B0157E">
        <w:t xml:space="preserve">Figure </w:t>
      </w:r>
      <w:r w:rsidR="00C1346F" w:rsidRPr="00B0157E">
        <w:fldChar w:fldCharType="begin"/>
      </w:r>
      <w:r w:rsidR="00CE5246" w:rsidRPr="00B0157E">
        <w:instrText xml:space="preserve"> SEQ Exhibit\* Arabic </w:instrText>
      </w:r>
      <w:r w:rsidR="00C1346F" w:rsidRPr="00B0157E">
        <w:fldChar w:fldCharType="separate"/>
      </w:r>
      <w:r w:rsidR="00076093">
        <w:rPr>
          <w:noProof/>
        </w:rPr>
        <w:t>3</w:t>
      </w:r>
      <w:bookmarkEnd w:id="60"/>
      <w:r w:rsidR="00C1346F" w:rsidRPr="00B0157E">
        <w:fldChar w:fldCharType="end"/>
      </w:r>
      <w:bookmarkEnd w:id="63"/>
      <w:r w:rsidR="00EB6FFF" w:rsidRPr="00B0157E">
        <w:rPr>
          <w:noProof/>
        </w:rPr>
        <w:t>: Dermatology, al</w:t>
      </w:r>
      <w:r w:rsidR="007C5BA0" w:rsidRPr="00B0157E">
        <w:rPr>
          <w:noProof/>
        </w:rPr>
        <w:t>lergy and immunology top ten 10 items by service volume</w:t>
      </w:r>
      <w:bookmarkEnd w:id="64"/>
      <w:bookmarkEnd w:id="65"/>
      <w:r w:rsidR="004A352E">
        <w:rPr>
          <w:noProof/>
        </w:rPr>
        <w:t xml:space="preserve"> </w:t>
      </w:r>
    </w:p>
    <w:p w14:paraId="60584CA5" w14:textId="77777777" w:rsidR="00224863" w:rsidRPr="00B0157E" w:rsidRDefault="00224863" w:rsidP="00C33ED9">
      <w:pPr>
        <w:pStyle w:val="70exhtblnormal"/>
        <w:rPr>
          <w:lang w:val="en-AU"/>
        </w:rPr>
      </w:pPr>
      <w:r w:rsidRPr="00261BB1">
        <w:rPr>
          <w:noProof/>
          <w:lang w:val="en-AU" w:eastAsia="en-AU"/>
        </w:rPr>
        <w:drawing>
          <wp:inline distT="0" distB="0" distL="0" distR="0" wp14:anchorId="36813746" wp14:editId="133F1F36">
            <wp:extent cx="4477385" cy="3116340"/>
            <wp:effectExtent l="0" t="0" r="0" b="8255"/>
            <wp:docPr id="68" name="Picture 68" descr="Figure 3 lists the top 10 dermatology, allergy, and immunology items by service volume for financial year 2014-15. There are 5 columns:  1st column lists the top 10 item numbers starting from the highest total number of services, 2nd column is the item description, 3rd column shows total number of services by thousands, 4th column shows percent of total services for financial year 2014-15, 5th column shows services 5-year compound annual growth rate, and 6th column is the total benefits for financial year 2014-15 in millions. The graph shows that the top two rows for item 30192 Ablation of &gt;10 premalignant skin lesions (33.9% of total services) and 14050 phototherapy of the body (27.7%) are significantly larger than the remaining items. The next two are 30195 9.7% and 30196 8.5%, with the remaining 6 items less than 3.2% each. The 5th column shows annual growth rates from -0.9% to 8.5% with most around 3%. The benefits in column 6 are roughly proportional to the service volume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7193"/>
                    <a:stretch/>
                  </pic:blipFill>
                  <pic:spPr bwMode="auto">
                    <a:xfrm>
                      <a:off x="0" y="0"/>
                      <a:ext cx="4477385" cy="3116340"/>
                    </a:xfrm>
                    <a:prstGeom prst="rect">
                      <a:avLst/>
                    </a:prstGeom>
                    <a:noFill/>
                    <a:ln>
                      <a:noFill/>
                    </a:ln>
                    <a:extLst>
                      <a:ext uri="{53640926-AAD7-44D8-BBD7-CCE9431645EC}">
                        <a14:shadowObscured xmlns:a14="http://schemas.microsoft.com/office/drawing/2010/main"/>
                      </a:ext>
                    </a:extLst>
                  </pic:spPr>
                </pic:pic>
              </a:graphicData>
            </a:graphic>
          </wp:inline>
        </w:drawing>
      </w:r>
    </w:p>
    <w:p w14:paraId="5FAEBEC8" w14:textId="77777777" w:rsidR="00224863" w:rsidRDefault="00224863">
      <w:pPr>
        <w:spacing w:before="0" w:after="0"/>
        <w:rPr>
          <w:rFonts w:eastAsiaTheme="minorHAnsi" w:cs="Arial"/>
          <w:b/>
          <w:bCs/>
          <w:color w:val="01653F"/>
          <w:kern w:val="32"/>
          <w:sz w:val="32"/>
          <w:szCs w:val="28"/>
          <w:lang w:val="en-AU" w:eastAsia="en-US"/>
        </w:rPr>
      </w:pPr>
      <w:bookmarkStart w:id="66" w:name="_Toc457823588"/>
      <w:bookmarkStart w:id="67" w:name="_Toc456045433"/>
      <w:bookmarkStart w:id="68" w:name="_Toc458774418"/>
      <w:bookmarkStart w:id="69" w:name="_Toc459973083"/>
      <w:bookmarkStart w:id="70" w:name="_Ref463874221"/>
      <w:bookmarkStart w:id="71" w:name="_Toc465871868"/>
      <w:bookmarkEnd w:id="61"/>
      <w:bookmarkEnd w:id="62"/>
      <w:bookmarkEnd w:id="66"/>
      <w:r>
        <w:rPr>
          <w:lang w:val="en-AU"/>
        </w:rPr>
        <w:br w:type="page"/>
      </w:r>
    </w:p>
    <w:p w14:paraId="2752E51D" w14:textId="234315F9" w:rsidR="00512F2C" w:rsidRPr="00B0157E" w:rsidRDefault="005B268D" w:rsidP="00C33ED9">
      <w:pPr>
        <w:pStyle w:val="Heading1"/>
        <w:rPr>
          <w:lang w:val="en-AU"/>
        </w:rPr>
      </w:pPr>
      <w:r w:rsidRPr="00B0157E">
        <w:rPr>
          <w:lang w:val="en-AU"/>
        </w:rPr>
        <w:lastRenderedPageBreak/>
        <w:t>R</w:t>
      </w:r>
      <w:r w:rsidR="005703ED" w:rsidRPr="00B0157E">
        <w:rPr>
          <w:lang w:val="en-AU"/>
        </w:rPr>
        <w:t>ecommendations</w:t>
      </w:r>
      <w:bookmarkEnd w:id="67"/>
      <w:bookmarkEnd w:id="68"/>
      <w:bookmarkEnd w:id="69"/>
      <w:bookmarkEnd w:id="70"/>
      <w:bookmarkEnd w:id="71"/>
    </w:p>
    <w:p w14:paraId="322C5D3B" w14:textId="77777777" w:rsidR="0035590F" w:rsidRDefault="00071EB7" w:rsidP="00C33ED9">
      <w:pPr>
        <w:rPr>
          <w:lang w:val="en-AU"/>
        </w:rPr>
      </w:pPr>
      <w:r w:rsidRPr="00B0157E">
        <w:rPr>
          <w:lang w:val="en-AU"/>
        </w:rPr>
        <w:t xml:space="preserve">The Committee </w:t>
      </w:r>
      <w:r w:rsidR="00EF2140" w:rsidRPr="00B0157E">
        <w:rPr>
          <w:lang w:val="en-AU"/>
        </w:rPr>
        <w:t xml:space="preserve">reviewed </w:t>
      </w:r>
      <w:r w:rsidR="006A566A" w:rsidRPr="00B0157E">
        <w:rPr>
          <w:lang w:val="en-AU"/>
        </w:rPr>
        <w:t>3</w:t>
      </w:r>
      <w:r w:rsidR="002358A6" w:rsidRPr="00B0157E">
        <w:rPr>
          <w:lang w:val="en-AU"/>
        </w:rPr>
        <w:t>8</w:t>
      </w:r>
      <w:r w:rsidR="006A566A" w:rsidRPr="00B0157E">
        <w:rPr>
          <w:lang w:val="en-AU"/>
        </w:rPr>
        <w:t xml:space="preserve"> </w:t>
      </w:r>
      <w:r w:rsidR="006E6B09" w:rsidRPr="00B0157E">
        <w:rPr>
          <w:lang w:val="en-AU"/>
        </w:rPr>
        <w:t>d</w:t>
      </w:r>
      <w:r w:rsidR="006A566A" w:rsidRPr="00B0157E">
        <w:rPr>
          <w:lang w:val="en-AU"/>
        </w:rPr>
        <w:t>ermatology</w:t>
      </w:r>
      <w:r w:rsidR="002A40DD" w:rsidRPr="00B0157E">
        <w:rPr>
          <w:lang w:val="en-AU"/>
        </w:rPr>
        <w:t>, allergy and immunology</w:t>
      </w:r>
      <w:r w:rsidR="006E6B09" w:rsidRPr="00B0157E">
        <w:rPr>
          <w:lang w:val="en-AU"/>
        </w:rPr>
        <w:t>-</w:t>
      </w:r>
      <w:r w:rsidR="006A566A" w:rsidRPr="00B0157E">
        <w:rPr>
          <w:lang w:val="en-AU"/>
        </w:rPr>
        <w:t>related</w:t>
      </w:r>
      <w:r w:rsidRPr="00B0157E">
        <w:rPr>
          <w:lang w:val="en-AU"/>
        </w:rPr>
        <w:t xml:space="preserve"> MBS item</w:t>
      </w:r>
      <w:r w:rsidR="00E2183E" w:rsidRPr="00B0157E">
        <w:rPr>
          <w:lang w:val="en-AU"/>
        </w:rPr>
        <w:t>s</w:t>
      </w:r>
      <w:r w:rsidRPr="00B0157E">
        <w:rPr>
          <w:lang w:val="en-AU"/>
        </w:rPr>
        <w:t xml:space="preserve"> </w:t>
      </w:r>
      <w:r w:rsidR="00EF2140" w:rsidRPr="00B0157E">
        <w:rPr>
          <w:lang w:val="en-AU"/>
        </w:rPr>
        <w:t>and made</w:t>
      </w:r>
      <w:r w:rsidRPr="00B0157E">
        <w:rPr>
          <w:lang w:val="en-AU"/>
        </w:rPr>
        <w:t xml:space="preserve"> </w:t>
      </w:r>
      <w:r w:rsidR="005C14C4" w:rsidRPr="00B0157E">
        <w:rPr>
          <w:lang w:val="en-AU"/>
        </w:rPr>
        <w:t>recommendations</w:t>
      </w:r>
      <w:r w:rsidRPr="00B0157E">
        <w:rPr>
          <w:lang w:val="en-AU"/>
        </w:rPr>
        <w:t xml:space="preserve"> based on evidence</w:t>
      </w:r>
      <w:r w:rsidR="00DB6B70" w:rsidRPr="00B0157E">
        <w:rPr>
          <w:lang w:val="en-AU"/>
        </w:rPr>
        <w:t xml:space="preserve"> and</w:t>
      </w:r>
      <w:r w:rsidRPr="00B0157E">
        <w:rPr>
          <w:lang w:val="en-AU"/>
        </w:rPr>
        <w:t xml:space="preserve"> clinical expertise</w:t>
      </w:r>
      <w:r w:rsidR="00AF7A1E" w:rsidRPr="00B0157E">
        <w:rPr>
          <w:lang w:val="en-AU"/>
        </w:rPr>
        <w:t>,</w:t>
      </w:r>
      <w:r w:rsidRPr="00B0157E">
        <w:rPr>
          <w:lang w:val="en-AU"/>
        </w:rPr>
        <w:t xml:space="preserve"> </w:t>
      </w:r>
      <w:r w:rsidR="00297BD3" w:rsidRPr="00B0157E">
        <w:rPr>
          <w:lang w:val="en-AU"/>
        </w:rPr>
        <w:t xml:space="preserve">in </w:t>
      </w:r>
      <w:r w:rsidRPr="00B0157E">
        <w:rPr>
          <w:lang w:val="en-AU"/>
        </w:rPr>
        <w:t>consultation with relevant stakeholders.</w:t>
      </w:r>
      <w:r w:rsidR="00A26026" w:rsidRPr="00B0157E">
        <w:rPr>
          <w:lang w:val="en-AU"/>
        </w:rPr>
        <w:t xml:space="preserve"> The item</w:t>
      </w:r>
      <w:r w:rsidR="001C7BA7" w:rsidRPr="00B0157E">
        <w:rPr>
          <w:lang w:val="en-AU"/>
        </w:rPr>
        <w:t>-</w:t>
      </w:r>
      <w:r w:rsidR="00A26026" w:rsidRPr="00B0157E">
        <w:rPr>
          <w:lang w:val="en-AU"/>
        </w:rPr>
        <w:t xml:space="preserve">level recommendations can be found </w:t>
      </w:r>
      <w:r w:rsidR="0035590F">
        <w:rPr>
          <w:lang w:val="en-AU"/>
        </w:rPr>
        <w:t>below. A brief</w:t>
      </w:r>
      <w:r w:rsidR="00EF2140" w:rsidRPr="00B0157E">
        <w:rPr>
          <w:lang w:val="en-AU"/>
        </w:rPr>
        <w:t xml:space="preserve"> summary item recommendation table can be found in Appendix A</w:t>
      </w:r>
      <w:r w:rsidR="0035590F">
        <w:rPr>
          <w:lang w:val="en-AU"/>
        </w:rPr>
        <w:t xml:space="preserve"> and the consumer summary table in Appendix B</w:t>
      </w:r>
      <w:r w:rsidR="002A5B23" w:rsidRPr="00B0157E">
        <w:rPr>
          <w:lang w:val="en-AU"/>
        </w:rPr>
        <w:t>.</w:t>
      </w:r>
      <w:r w:rsidR="003A6E7F">
        <w:rPr>
          <w:lang w:val="en-AU"/>
        </w:rPr>
        <w:t xml:space="preserve"> </w:t>
      </w:r>
    </w:p>
    <w:p w14:paraId="6B017626" w14:textId="77777777" w:rsidR="00253D0D" w:rsidRDefault="00736C16" w:rsidP="00C33ED9">
      <w:pPr>
        <w:rPr>
          <w:lang w:val="en-AU"/>
        </w:rPr>
      </w:pPr>
      <w:r w:rsidRPr="00B0157E">
        <w:rPr>
          <w:lang w:val="en-AU"/>
        </w:rPr>
        <w:t xml:space="preserve">The Committee’s recommendations (prior to </w:t>
      </w:r>
      <w:r w:rsidR="0035590F">
        <w:rPr>
          <w:lang w:val="en-AU"/>
        </w:rPr>
        <w:t xml:space="preserve">public </w:t>
      </w:r>
      <w:r w:rsidRPr="00B0157E">
        <w:rPr>
          <w:lang w:val="en-AU"/>
        </w:rPr>
        <w:t xml:space="preserve">consultation) are that </w:t>
      </w:r>
      <w:r w:rsidR="0061197C" w:rsidRPr="00B0157E">
        <w:rPr>
          <w:lang w:val="en-AU"/>
        </w:rPr>
        <w:t>seven</w:t>
      </w:r>
      <w:r w:rsidRPr="00B0157E">
        <w:rPr>
          <w:lang w:val="en-AU"/>
        </w:rPr>
        <w:t xml:space="preserve"> items should be </w:t>
      </w:r>
      <w:r w:rsidR="00152671" w:rsidRPr="00B0157E">
        <w:rPr>
          <w:lang w:val="en-AU"/>
        </w:rPr>
        <w:t xml:space="preserve">deleted </w:t>
      </w:r>
      <w:r w:rsidR="00E82DDB" w:rsidRPr="00B0157E">
        <w:rPr>
          <w:lang w:val="en-AU"/>
        </w:rPr>
        <w:t>(</w:t>
      </w:r>
      <w:r w:rsidR="00152671" w:rsidRPr="00B0157E">
        <w:rPr>
          <w:lang w:val="en-AU"/>
        </w:rPr>
        <w:t>and their</w:t>
      </w:r>
      <w:r w:rsidR="0061197C" w:rsidRPr="00B0157E">
        <w:rPr>
          <w:lang w:val="en-AU"/>
        </w:rPr>
        <w:t xml:space="preserve"> services no longer provided under</w:t>
      </w:r>
      <w:r w:rsidRPr="00B0157E">
        <w:rPr>
          <w:lang w:val="en-AU"/>
        </w:rPr>
        <w:t xml:space="preserve"> the MBS</w:t>
      </w:r>
      <w:r w:rsidR="00E82DDB" w:rsidRPr="00B0157E">
        <w:rPr>
          <w:lang w:val="en-AU"/>
        </w:rPr>
        <w:t>);</w:t>
      </w:r>
      <w:r w:rsidRPr="00B0157E">
        <w:rPr>
          <w:lang w:val="en-AU"/>
        </w:rPr>
        <w:t xml:space="preserve"> </w:t>
      </w:r>
      <w:r w:rsidR="0061197C" w:rsidRPr="00B0157E">
        <w:rPr>
          <w:lang w:val="en-AU"/>
        </w:rPr>
        <w:t>2</w:t>
      </w:r>
      <w:r w:rsidR="00CD0606" w:rsidRPr="00B0157E">
        <w:rPr>
          <w:lang w:val="en-AU"/>
        </w:rPr>
        <w:t>8</w:t>
      </w:r>
      <w:r w:rsidRPr="00B0157E">
        <w:rPr>
          <w:lang w:val="en-AU"/>
        </w:rPr>
        <w:t xml:space="preserve"> items should be changed</w:t>
      </w:r>
      <w:r w:rsidR="000E2468" w:rsidRPr="00B0157E">
        <w:rPr>
          <w:lang w:val="en-AU"/>
        </w:rPr>
        <w:t>;</w:t>
      </w:r>
      <w:r w:rsidRPr="00B0157E">
        <w:rPr>
          <w:lang w:val="en-AU"/>
        </w:rPr>
        <w:t xml:space="preserve"> and </w:t>
      </w:r>
      <w:r w:rsidR="00CD0606" w:rsidRPr="00B0157E">
        <w:rPr>
          <w:lang w:val="en-AU"/>
        </w:rPr>
        <w:t>three</w:t>
      </w:r>
      <w:r w:rsidRPr="00B0157E">
        <w:rPr>
          <w:lang w:val="en-AU"/>
        </w:rPr>
        <w:t xml:space="preserve"> items should remain unchanged. The changes focus on encouraging best practice, improving patient care and safety, and ensuring that MBS services provide value for the patient and the healthcare system. </w:t>
      </w:r>
      <w:r w:rsidR="00F56528" w:rsidRPr="00B0157E">
        <w:rPr>
          <w:lang w:val="en-AU"/>
        </w:rPr>
        <w:t>Some of t</w:t>
      </w:r>
      <w:r w:rsidR="00B51E07" w:rsidRPr="00B0157E">
        <w:rPr>
          <w:lang w:val="en-AU"/>
        </w:rPr>
        <w:t xml:space="preserve">his can be achieved by: </w:t>
      </w:r>
    </w:p>
    <w:p w14:paraId="321E8837" w14:textId="77777777" w:rsidR="00253D0D" w:rsidRDefault="00253D0D" w:rsidP="00253D0D">
      <w:pPr>
        <w:pStyle w:val="01squarebullet"/>
      </w:pPr>
      <w:r>
        <w:t>D</w:t>
      </w:r>
      <w:r w:rsidR="00B51E07" w:rsidRPr="00B0157E">
        <w:t xml:space="preserve">eleting items that are obsolete, or that provide questionable clinical value or low-value care; </w:t>
      </w:r>
    </w:p>
    <w:p w14:paraId="585C7BEC" w14:textId="77777777" w:rsidR="00253D0D" w:rsidRDefault="00253D0D" w:rsidP="00253D0D">
      <w:pPr>
        <w:pStyle w:val="01squarebullet"/>
      </w:pPr>
      <w:r>
        <w:t>C</w:t>
      </w:r>
      <w:r w:rsidR="00B51E07" w:rsidRPr="00B0157E">
        <w:t xml:space="preserve">onsolidating or splitting items to address potential misuse; </w:t>
      </w:r>
    </w:p>
    <w:p w14:paraId="6F0AF3AF" w14:textId="77777777" w:rsidR="00253D0D" w:rsidRDefault="00253D0D" w:rsidP="00253D0D">
      <w:pPr>
        <w:pStyle w:val="01squarebullet"/>
      </w:pPr>
      <w:r>
        <w:t>M</w:t>
      </w:r>
      <w:r w:rsidR="00B51E07" w:rsidRPr="00B0157E">
        <w:t xml:space="preserve">odernising item descriptors to reflect best practice; and </w:t>
      </w:r>
    </w:p>
    <w:p w14:paraId="12337072" w14:textId="77777777" w:rsidR="00B51E07" w:rsidRPr="00B0157E" w:rsidRDefault="00253D0D" w:rsidP="00253D0D">
      <w:pPr>
        <w:pStyle w:val="01squarebullet"/>
      </w:pPr>
      <w:r>
        <w:t>P</w:t>
      </w:r>
      <w:r w:rsidR="00B51E07" w:rsidRPr="00B0157E">
        <w:t xml:space="preserve">roviding clinical guidance for appropriate use through explanatory notes. </w:t>
      </w:r>
    </w:p>
    <w:p w14:paraId="5A6D803B" w14:textId="77777777" w:rsidR="002A40DD" w:rsidRPr="00B0157E" w:rsidRDefault="00014305" w:rsidP="00C33ED9">
      <w:pPr>
        <w:rPr>
          <w:lang w:val="en-AU"/>
        </w:rPr>
      </w:pPr>
      <w:r w:rsidRPr="00B0157E">
        <w:rPr>
          <w:lang w:val="en-AU"/>
        </w:rPr>
        <w:t>The recommendations are presented in item groups below</w:t>
      </w:r>
      <w:r w:rsidR="005C1786" w:rsidRPr="00B0157E">
        <w:rPr>
          <w:lang w:val="en-AU"/>
        </w:rPr>
        <w:t>, with</w:t>
      </w:r>
      <w:r w:rsidRPr="00B0157E">
        <w:rPr>
          <w:lang w:val="en-AU"/>
        </w:rPr>
        <w:t xml:space="preserve"> </w:t>
      </w:r>
      <w:r w:rsidR="00C838E0" w:rsidRPr="00B0157E">
        <w:rPr>
          <w:lang w:val="en-AU"/>
        </w:rPr>
        <w:t xml:space="preserve">higher priority </w:t>
      </w:r>
      <w:r w:rsidR="0005665F" w:rsidRPr="00B0157E">
        <w:rPr>
          <w:lang w:val="en-AU"/>
        </w:rPr>
        <w:t>groups</w:t>
      </w:r>
      <w:r w:rsidR="00242398" w:rsidRPr="00B0157E">
        <w:rPr>
          <w:lang w:val="en-AU"/>
        </w:rPr>
        <w:t xml:space="preserve"> presented first.</w:t>
      </w:r>
      <w:r w:rsidR="00451934" w:rsidRPr="00B0157E">
        <w:rPr>
          <w:lang w:val="en-AU"/>
        </w:rPr>
        <w:t xml:space="preserve"> </w:t>
      </w:r>
    </w:p>
    <w:p w14:paraId="35DD47D4" w14:textId="77777777" w:rsidR="00AA1164" w:rsidRPr="00B0157E" w:rsidRDefault="00AA1164" w:rsidP="00C33ED9">
      <w:pPr>
        <w:pStyle w:val="Heading2"/>
        <w:rPr>
          <w:lang w:val="en-AU"/>
        </w:rPr>
      </w:pPr>
      <w:bookmarkStart w:id="72" w:name="_Toc452997143"/>
      <w:bookmarkStart w:id="73" w:name="_Toc458774419"/>
      <w:bookmarkStart w:id="74" w:name="_Toc465871869"/>
      <w:r w:rsidRPr="00B0157E">
        <w:rPr>
          <w:lang w:val="en-AU"/>
        </w:rPr>
        <w:t>Phototherapy</w:t>
      </w:r>
      <w:r w:rsidR="003E066B" w:rsidRPr="00B0157E">
        <w:rPr>
          <w:lang w:val="en-AU"/>
        </w:rPr>
        <w:t>:</w:t>
      </w:r>
      <w:r w:rsidRPr="00B0157E">
        <w:rPr>
          <w:lang w:val="en-AU"/>
        </w:rPr>
        <w:t xml:space="preserve"> </w:t>
      </w:r>
      <w:r w:rsidR="003E066B" w:rsidRPr="00B0157E">
        <w:rPr>
          <w:lang w:val="en-AU"/>
        </w:rPr>
        <w:t>I</w:t>
      </w:r>
      <w:r w:rsidRPr="00B0157E">
        <w:rPr>
          <w:lang w:val="en-AU"/>
        </w:rPr>
        <w:t xml:space="preserve">tems </w:t>
      </w:r>
      <w:r w:rsidR="005908F0" w:rsidRPr="00B0157E">
        <w:rPr>
          <w:lang w:val="en-AU"/>
        </w:rPr>
        <w:t>14050</w:t>
      </w:r>
      <w:bookmarkEnd w:id="72"/>
      <w:r w:rsidRPr="00B0157E">
        <w:rPr>
          <w:lang w:val="en-AU"/>
        </w:rPr>
        <w:t xml:space="preserve"> and 14053</w:t>
      </w:r>
      <w:bookmarkEnd w:id="73"/>
      <w:bookmarkEnd w:id="74"/>
      <w:r w:rsidRPr="00B0157E">
        <w:rPr>
          <w:lang w:val="en-AU"/>
        </w:rPr>
        <w:t xml:space="preserve"> </w:t>
      </w:r>
    </w:p>
    <w:p w14:paraId="0519552E" w14:textId="77777777" w:rsidR="00FB413D" w:rsidRPr="00B0157E" w:rsidRDefault="00FB413D" w:rsidP="00C33ED9">
      <w:pPr>
        <w:pStyle w:val="Caption"/>
        <w:rPr>
          <w:lang w:val="en-AU"/>
        </w:rPr>
      </w:pPr>
      <w:bookmarkStart w:id="75" w:name="_Toc457520561"/>
      <w:bookmarkStart w:id="76" w:name="_Toc459236291"/>
      <w:bookmarkStart w:id="77" w:name="_Toc465871826"/>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3</w:t>
      </w:r>
      <w:r w:rsidR="00C1346F" w:rsidRPr="00B0157E">
        <w:rPr>
          <w:lang w:val="en-AU"/>
        </w:rPr>
        <w:fldChar w:fldCharType="end"/>
      </w:r>
      <w:r w:rsidRPr="00B0157E">
        <w:rPr>
          <w:lang w:val="en-AU"/>
        </w:rPr>
        <w:t xml:space="preserve">: </w:t>
      </w:r>
      <w:r w:rsidR="00820D8F" w:rsidRPr="00B0157E">
        <w:rPr>
          <w:lang w:val="en-AU"/>
        </w:rPr>
        <w:t xml:space="preserve">Item introduction table for items </w:t>
      </w:r>
      <w:r w:rsidRPr="00B0157E">
        <w:rPr>
          <w:lang w:val="en-AU"/>
        </w:rPr>
        <w:t>14050</w:t>
      </w:r>
      <w:r w:rsidR="00820D8F" w:rsidRPr="00B0157E">
        <w:rPr>
          <w:lang w:val="en-AU"/>
        </w:rPr>
        <w:t xml:space="preserve"> and </w:t>
      </w:r>
      <w:r w:rsidRPr="00B0157E">
        <w:rPr>
          <w:lang w:val="en-AU"/>
        </w:rPr>
        <w:t>14053</w:t>
      </w:r>
      <w:bookmarkEnd w:id="75"/>
      <w:bookmarkEnd w:id="76"/>
      <w:bookmarkEnd w:id="77"/>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3 shows the item introduction table for Phototherapy items 14050 and 14053.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w:tblPr>
      <w:tblGrid>
        <w:gridCol w:w="716"/>
        <w:gridCol w:w="4111"/>
        <w:gridCol w:w="917"/>
        <w:gridCol w:w="997"/>
        <w:gridCol w:w="1080"/>
        <w:gridCol w:w="1195"/>
      </w:tblGrid>
      <w:tr w:rsidR="00FB413D" w:rsidRPr="00B0157E" w14:paraId="304A0298" w14:textId="77777777">
        <w:trPr>
          <w:tblHeader/>
        </w:trPr>
        <w:tc>
          <w:tcPr>
            <w:tcW w:w="717" w:type="dxa"/>
            <w:shd w:val="clear" w:color="auto" w:fill="F2F2F2" w:themeFill="background1" w:themeFillShade="F2"/>
            <w:vAlign w:val="bottom"/>
          </w:tcPr>
          <w:p w14:paraId="37E56BED" w14:textId="77777777" w:rsidR="00FB413D" w:rsidRPr="00B0157E" w:rsidRDefault="00FB413D" w:rsidP="0099315B">
            <w:pPr>
              <w:pStyle w:val="02Tabletext"/>
              <w:spacing w:before="100" w:beforeAutospacing="1" w:after="100" w:afterAutospacing="1"/>
              <w:rPr>
                <w:b/>
              </w:rPr>
            </w:pPr>
            <w:r w:rsidRPr="00B0157E">
              <w:rPr>
                <w:b/>
              </w:rPr>
              <w:t>Item</w:t>
            </w:r>
          </w:p>
        </w:tc>
        <w:tc>
          <w:tcPr>
            <w:tcW w:w="4119" w:type="dxa"/>
            <w:shd w:val="clear" w:color="auto" w:fill="F2F2F2" w:themeFill="background1" w:themeFillShade="F2"/>
            <w:vAlign w:val="bottom"/>
          </w:tcPr>
          <w:p w14:paraId="776A2EFF" w14:textId="77777777" w:rsidR="00FB413D" w:rsidRPr="00B0157E" w:rsidRDefault="00FB413D" w:rsidP="0099315B">
            <w:pPr>
              <w:pStyle w:val="02Tabletext"/>
              <w:spacing w:before="100" w:beforeAutospacing="1" w:after="100" w:afterAutospacing="1"/>
              <w:rPr>
                <w:b/>
              </w:rPr>
            </w:pPr>
            <w:r w:rsidRPr="00B0157E">
              <w:rPr>
                <w:b/>
              </w:rPr>
              <w:t>Descriptor</w:t>
            </w:r>
            <w:r w:rsidR="0099315B" w:rsidRPr="00B0157E">
              <w:rPr>
                <w:b/>
              </w:rPr>
              <w:br/>
            </w:r>
            <w:r w:rsidRPr="00B0157E">
              <w:rPr>
                <w:b/>
              </w:rPr>
              <w:t>[date last amended]</w:t>
            </w:r>
          </w:p>
        </w:tc>
        <w:tc>
          <w:tcPr>
            <w:tcW w:w="917" w:type="dxa"/>
            <w:shd w:val="clear" w:color="auto" w:fill="F2F2F2" w:themeFill="background1" w:themeFillShade="F2"/>
            <w:vAlign w:val="bottom"/>
          </w:tcPr>
          <w:p w14:paraId="3F99ECEA" w14:textId="77777777" w:rsidR="00FB413D" w:rsidRPr="00B0157E" w:rsidRDefault="00FB413D" w:rsidP="0099315B">
            <w:pPr>
              <w:pStyle w:val="02Tabletext"/>
              <w:spacing w:before="100" w:beforeAutospacing="1" w:after="100" w:afterAutospacing="1"/>
              <w:rPr>
                <w:b/>
              </w:rPr>
            </w:pPr>
            <w:r w:rsidRPr="00B0157E">
              <w:rPr>
                <w:b/>
              </w:rPr>
              <w:t>Schedule</w:t>
            </w:r>
            <w:r w:rsidR="00C1180C" w:rsidRPr="00B0157E">
              <w:rPr>
                <w:b/>
              </w:rPr>
              <w:t xml:space="preserve"> </w:t>
            </w:r>
            <w:r w:rsidRPr="00B0157E">
              <w:rPr>
                <w:b/>
              </w:rPr>
              <w:t>fee</w:t>
            </w:r>
          </w:p>
        </w:tc>
        <w:tc>
          <w:tcPr>
            <w:tcW w:w="997" w:type="dxa"/>
            <w:shd w:val="clear" w:color="auto" w:fill="F2F2F2" w:themeFill="background1" w:themeFillShade="F2"/>
            <w:vAlign w:val="bottom"/>
          </w:tcPr>
          <w:p w14:paraId="0F22A5A7" w14:textId="77777777" w:rsidR="00FB413D" w:rsidRPr="00B0157E" w:rsidRDefault="00FB413D" w:rsidP="0099315B">
            <w:pPr>
              <w:pStyle w:val="02Tabletext"/>
              <w:spacing w:before="100" w:beforeAutospacing="1" w:after="100" w:afterAutospacing="1"/>
              <w:rPr>
                <w:b/>
              </w:rPr>
            </w:pPr>
            <w:r w:rsidRPr="00B0157E">
              <w:rPr>
                <w:b/>
              </w:rPr>
              <w:t>Services FY2014/15</w:t>
            </w:r>
          </w:p>
        </w:tc>
        <w:tc>
          <w:tcPr>
            <w:tcW w:w="1080" w:type="dxa"/>
            <w:shd w:val="clear" w:color="auto" w:fill="F2F2F2" w:themeFill="background1" w:themeFillShade="F2"/>
            <w:vAlign w:val="bottom"/>
          </w:tcPr>
          <w:p w14:paraId="3F39A693" w14:textId="77777777" w:rsidR="00FB413D" w:rsidRPr="00B0157E" w:rsidRDefault="00FB413D" w:rsidP="0099315B">
            <w:pPr>
              <w:pStyle w:val="02Tabletext"/>
              <w:spacing w:before="100" w:beforeAutospacing="1" w:after="100" w:afterAutospacing="1"/>
              <w:rPr>
                <w:b/>
              </w:rPr>
            </w:pPr>
            <w:r w:rsidRPr="00B0157E">
              <w:rPr>
                <w:b/>
              </w:rPr>
              <w:t>Benefits FY2014/15</w:t>
            </w:r>
          </w:p>
        </w:tc>
        <w:tc>
          <w:tcPr>
            <w:tcW w:w="1196" w:type="dxa"/>
            <w:shd w:val="clear" w:color="auto" w:fill="F2F2F2" w:themeFill="background1" w:themeFillShade="F2"/>
            <w:vAlign w:val="bottom"/>
          </w:tcPr>
          <w:p w14:paraId="21B82401" w14:textId="77777777" w:rsidR="00FB413D" w:rsidRPr="00B0157E" w:rsidRDefault="003E5EBF" w:rsidP="0099315B">
            <w:pPr>
              <w:pStyle w:val="02Tabletext"/>
              <w:spacing w:before="100" w:beforeAutospacing="1" w:after="100" w:afterAutospacing="1"/>
              <w:rPr>
                <w:b/>
              </w:rPr>
            </w:pPr>
            <w:r>
              <w:rPr>
                <w:b/>
              </w:rPr>
              <w:t>Services 5-</w:t>
            </w:r>
            <w:r w:rsidR="00FB413D" w:rsidRPr="00B0157E">
              <w:rPr>
                <w:b/>
              </w:rPr>
              <w:t>year annual avg. growth</w:t>
            </w:r>
          </w:p>
        </w:tc>
      </w:tr>
      <w:tr w:rsidR="00FB413D" w:rsidRPr="00B0157E" w14:paraId="32DC24E5" w14:textId="77777777">
        <w:tc>
          <w:tcPr>
            <w:tcW w:w="717" w:type="dxa"/>
          </w:tcPr>
          <w:p w14:paraId="22525EF5" w14:textId="77777777" w:rsidR="00FB413D" w:rsidRPr="00B0157E" w:rsidRDefault="001835DC" w:rsidP="004248BD">
            <w:pPr>
              <w:pStyle w:val="02Tabletext"/>
              <w:spacing w:before="100" w:beforeAutospacing="1" w:after="100" w:afterAutospacing="1"/>
            </w:pPr>
            <w:r w:rsidRPr="00B0157E">
              <w:t>14050</w:t>
            </w:r>
          </w:p>
        </w:tc>
        <w:tc>
          <w:tcPr>
            <w:tcW w:w="4119" w:type="dxa"/>
          </w:tcPr>
          <w:p w14:paraId="4D119965" w14:textId="77777777" w:rsidR="00FB413D" w:rsidRPr="00B0157E" w:rsidRDefault="001835DC" w:rsidP="004248BD">
            <w:pPr>
              <w:pStyle w:val="02Tabletext"/>
              <w:spacing w:before="100" w:beforeAutospacing="1" w:after="100" w:afterAutospacing="1"/>
            </w:pPr>
            <w:r w:rsidRPr="00B0157E">
              <w:t>PUVA therapy or UVB therapy administered in whole body cabinet (not being a service associated with a service to which item 14053 applies) including associated consultations other than an initial consultation</w:t>
            </w:r>
            <w:r w:rsidR="00201176" w:rsidRPr="00B0157E">
              <w:t>.</w:t>
            </w:r>
            <w:r w:rsidR="00930B5F" w:rsidRPr="00B0157E">
              <w:t xml:space="preserve"> [1991]</w:t>
            </w:r>
          </w:p>
        </w:tc>
        <w:tc>
          <w:tcPr>
            <w:tcW w:w="917" w:type="dxa"/>
          </w:tcPr>
          <w:p w14:paraId="3736A0F7" w14:textId="77777777" w:rsidR="00FB413D" w:rsidRPr="00B0157E" w:rsidRDefault="001835DC" w:rsidP="004248BD">
            <w:pPr>
              <w:pStyle w:val="02Tabletext"/>
              <w:spacing w:before="100" w:beforeAutospacing="1" w:after="100" w:afterAutospacing="1"/>
              <w:jc w:val="center"/>
            </w:pPr>
            <w:r w:rsidRPr="00B0157E">
              <w:t>$52.75</w:t>
            </w:r>
          </w:p>
        </w:tc>
        <w:tc>
          <w:tcPr>
            <w:tcW w:w="997" w:type="dxa"/>
          </w:tcPr>
          <w:p w14:paraId="45CA0570" w14:textId="77777777" w:rsidR="00FB413D" w:rsidRPr="00B0157E" w:rsidRDefault="001835DC" w:rsidP="004248BD">
            <w:pPr>
              <w:pStyle w:val="02Tabletext"/>
              <w:spacing w:before="100" w:beforeAutospacing="1" w:after="100" w:afterAutospacing="1"/>
              <w:jc w:val="center"/>
            </w:pPr>
            <w:r w:rsidRPr="00B0157E">
              <w:t>564,939</w:t>
            </w:r>
          </w:p>
        </w:tc>
        <w:tc>
          <w:tcPr>
            <w:tcW w:w="1080" w:type="dxa"/>
          </w:tcPr>
          <w:p w14:paraId="723F6E21" w14:textId="77777777" w:rsidR="00FB413D" w:rsidRPr="00B0157E" w:rsidRDefault="001835DC" w:rsidP="004248BD">
            <w:pPr>
              <w:pStyle w:val="02Tabletext"/>
              <w:spacing w:before="100" w:beforeAutospacing="1" w:after="100" w:afterAutospacing="1"/>
              <w:jc w:val="center"/>
            </w:pPr>
            <w:r w:rsidRPr="00B0157E">
              <w:t>$25,420,269</w:t>
            </w:r>
          </w:p>
        </w:tc>
        <w:tc>
          <w:tcPr>
            <w:tcW w:w="1196" w:type="dxa"/>
          </w:tcPr>
          <w:p w14:paraId="0670DD08" w14:textId="77777777" w:rsidR="00FB413D" w:rsidRPr="00B0157E" w:rsidRDefault="001835DC" w:rsidP="004248BD">
            <w:pPr>
              <w:pStyle w:val="02Tabletext"/>
              <w:spacing w:before="100" w:beforeAutospacing="1" w:after="100" w:afterAutospacing="1"/>
              <w:jc w:val="center"/>
            </w:pPr>
            <w:r w:rsidRPr="00B0157E">
              <w:t>3.70%</w:t>
            </w:r>
          </w:p>
        </w:tc>
      </w:tr>
      <w:tr w:rsidR="00FB413D" w:rsidRPr="00B0157E" w14:paraId="4F0CBD36" w14:textId="77777777">
        <w:tc>
          <w:tcPr>
            <w:tcW w:w="717" w:type="dxa"/>
          </w:tcPr>
          <w:p w14:paraId="42802661" w14:textId="77777777" w:rsidR="00FB413D" w:rsidRPr="00B0157E" w:rsidRDefault="001835DC" w:rsidP="004248BD">
            <w:pPr>
              <w:pStyle w:val="02Tabletext"/>
              <w:spacing w:before="100" w:beforeAutospacing="1" w:after="100" w:afterAutospacing="1"/>
            </w:pPr>
            <w:r w:rsidRPr="00B0157E">
              <w:t>14053</w:t>
            </w:r>
          </w:p>
        </w:tc>
        <w:tc>
          <w:tcPr>
            <w:tcW w:w="4119" w:type="dxa"/>
          </w:tcPr>
          <w:p w14:paraId="494D3220" w14:textId="77777777" w:rsidR="00FB413D" w:rsidRPr="00B0157E" w:rsidRDefault="001835DC" w:rsidP="004248BD">
            <w:pPr>
              <w:pStyle w:val="02Tabletext"/>
              <w:spacing w:before="100" w:beforeAutospacing="1" w:after="100" w:afterAutospacing="1"/>
            </w:pPr>
            <w:r w:rsidRPr="00B0157E">
              <w:t>PUVA therapy or UVB therapy administered to localised body areas in a hand and foot cabinet (not being a service associated with a service to which item 14050 applies) including associated consultations other than an initial consultation</w:t>
            </w:r>
            <w:r w:rsidR="00201176" w:rsidRPr="00B0157E">
              <w:t>.</w:t>
            </w:r>
            <w:r w:rsidR="00930B5F" w:rsidRPr="00B0157E">
              <w:t xml:space="preserve"> [1991]</w:t>
            </w:r>
          </w:p>
        </w:tc>
        <w:tc>
          <w:tcPr>
            <w:tcW w:w="917" w:type="dxa"/>
          </w:tcPr>
          <w:p w14:paraId="3188DC21" w14:textId="77777777" w:rsidR="00FB413D" w:rsidRPr="00B0157E" w:rsidRDefault="001835DC" w:rsidP="004248BD">
            <w:pPr>
              <w:pStyle w:val="02Tabletext"/>
              <w:spacing w:before="100" w:beforeAutospacing="1" w:after="100" w:afterAutospacing="1"/>
              <w:jc w:val="center"/>
            </w:pPr>
            <w:r w:rsidRPr="00B0157E">
              <w:t>$52.75</w:t>
            </w:r>
          </w:p>
        </w:tc>
        <w:tc>
          <w:tcPr>
            <w:tcW w:w="997" w:type="dxa"/>
          </w:tcPr>
          <w:p w14:paraId="6A71A40B" w14:textId="77777777" w:rsidR="00FB413D" w:rsidRPr="00B0157E" w:rsidRDefault="001835DC" w:rsidP="004248BD">
            <w:pPr>
              <w:pStyle w:val="02Tabletext"/>
              <w:spacing w:before="100" w:beforeAutospacing="1" w:after="100" w:afterAutospacing="1"/>
              <w:jc w:val="center"/>
            </w:pPr>
            <w:r w:rsidRPr="00B0157E">
              <w:t>47,211</w:t>
            </w:r>
          </w:p>
        </w:tc>
        <w:tc>
          <w:tcPr>
            <w:tcW w:w="1080" w:type="dxa"/>
          </w:tcPr>
          <w:p w14:paraId="24AF33D5" w14:textId="77777777" w:rsidR="00FB413D" w:rsidRPr="00B0157E" w:rsidRDefault="001835DC" w:rsidP="004248BD">
            <w:pPr>
              <w:pStyle w:val="02Tabletext"/>
              <w:spacing w:before="100" w:beforeAutospacing="1" w:after="100" w:afterAutospacing="1"/>
              <w:jc w:val="center"/>
            </w:pPr>
            <w:r w:rsidRPr="00B0157E">
              <w:t>$2,120,443</w:t>
            </w:r>
          </w:p>
        </w:tc>
        <w:tc>
          <w:tcPr>
            <w:tcW w:w="1196" w:type="dxa"/>
          </w:tcPr>
          <w:p w14:paraId="70643330" w14:textId="77777777" w:rsidR="00FB413D" w:rsidRPr="00B0157E" w:rsidRDefault="001835DC" w:rsidP="004248BD">
            <w:pPr>
              <w:pStyle w:val="02Tabletext"/>
              <w:spacing w:before="100" w:beforeAutospacing="1" w:after="100" w:afterAutospacing="1"/>
              <w:jc w:val="center"/>
            </w:pPr>
            <w:r w:rsidRPr="00B0157E">
              <w:t>8.50%</w:t>
            </w:r>
          </w:p>
        </w:tc>
      </w:tr>
    </w:tbl>
    <w:p w14:paraId="36C3955D" w14:textId="77777777" w:rsidR="005908F0" w:rsidRPr="00B0157E" w:rsidRDefault="005908F0" w:rsidP="00C33ED9">
      <w:pPr>
        <w:rPr>
          <w:b/>
          <w:lang w:val="en-AU"/>
        </w:rPr>
      </w:pPr>
      <w:r w:rsidRPr="00B0157E">
        <w:rPr>
          <w:b/>
          <w:lang w:val="en-AU"/>
        </w:rPr>
        <w:t>Recommendation</w:t>
      </w:r>
      <w:r w:rsidR="00201176" w:rsidRPr="00B0157E">
        <w:rPr>
          <w:b/>
          <w:lang w:val="en-AU"/>
        </w:rPr>
        <w:t>s</w:t>
      </w:r>
      <w:r w:rsidRPr="00B0157E">
        <w:rPr>
          <w:b/>
          <w:lang w:val="en-AU"/>
        </w:rPr>
        <w:t xml:space="preserve"> </w:t>
      </w:r>
    </w:p>
    <w:p w14:paraId="0845D4F9" w14:textId="77777777" w:rsidR="00AA1164" w:rsidRPr="00B0157E" w:rsidRDefault="00CC7BA4">
      <w:pPr>
        <w:pStyle w:val="01squarebullet"/>
        <w:rPr>
          <w:rFonts w:eastAsia="MS Mincho"/>
          <w:b/>
          <w:lang w:val="en-AU"/>
        </w:rPr>
      </w:pPr>
      <w:r w:rsidRPr="00B0157E">
        <w:rPr>
          <w:rFonts w:eastAsia="MS Mincho"/>
          <w:lang w:val="en-AU"/>
        </w:rPr>
        <w:t>C</w:t>
      </w:r>
      <w:r w:rsidR="00257642" w:rsidRPr="00B0157E">
        <w:rPr>
          <w:rFonts w:eastAsia="MS Mincho"/>
          <w:lang w:val="en-AU"/>
        </w:rPr>
        <w:t>onsolidate</w:t>
      </w:r>
      <w:r w:rsidRPr="00B0157E">
        <w:rPr>
          <w:rFonts w:eastAsia="MS Mincho"/>
          <w:lang w:val="en-AU"/>
        </w:rPr>
        <w:t xml:space="preserve"> the two items into one item number that includes therapy administered in a whole body cabinet or hand and foot cabinet.</w:t>
      </w:r>
      <w:r w:rsidR="004A352E">
        <w:rPr>
          <w:rFonts w:eastAsia="MS Mincho"/>
          <w:lang w:val="en-AU"/>
        </w:rPr>
        <w:t xml:space="preserve"> </w:t>
      </w:r>
    </w:p>
    <w:p w14:paraId="7A08132B" w14:textId="77777777" w:rsidR="005908F0" w:rsidRPr="00B0157E" w:rsidRDefault="005908F0">
      <w:pPr>
        <w:pStyle w:val="01squarebullet"/>
        <w:rPr>
          <w:rFonts w:eastAsia="MS Mincho"/>
          <w:b/>
          <w:lang w:val="en-AU"/>
        </w:rPr>
      </w:pPr>
      <w:r w:rsidRPr="00B0157E">
        <w:rPr>
          <w:rFonts w:eastAsia="MS Mincho"/>
          <w:lang w:val="en-AU"/>
        </w:rPr>
        <w:t xml:space="preserve">Change </w:t>
      </w:r>
      <w:r w:rsidR="00462529" w:rsidRPr="00B0157E">
        <w:rPr>
          <w:rFonts w:eastAsia="MS Mincho"/>
          <w:lang w:val="en-AU"/>
        </w:rPr>
        <w:t xml:space="preserve">the descriptor for </w:t>
      </w:r>
      <w:r w:rsidR="006E58C9" w:rsidRPr="00B0157E">
        <w:rPr>
          <w:rFonts w:eastAsia="MS Mincho"/>
          <w:lang w:val="en-AU"/>
        </w:rPr>
        <w:t>this item</w:t>
      </w:r>
      <w:r w:rsidRPr="00B0157E">
        <w:rPr>
          <w:rFonts w:eastAsia="MS Mincho"/>
          <w:lang w:val="en-AU"/>
        </w:rPr>
        <w:t xml:space="preserve"> to include </w:t>
      </w:r>
      <w:r w:rsidR="006E58C9" w:rsidRPr="00B0157E">
        <w:rPr>
          <w:rFonts w:eastAsia="MS Mincho"/>
          <w:lang w:val="en-AU"/>
        </w:rPr>
        <w:t xml:space="preserve">a </w:t>
      </w:r>
      <w:r w:rsidR="003348EA" w:rsidRPr="00B0157E">
        <w:rPr>
          <w:rFonts w:eastAsia="MS Mincho"/>
          <w:lang w:val="en-AU"/>
        </w:rPr>
        <w:t>specif</w:t>
      </w:r>
      <w:r w:rsidR="006E58C9" w:rsidRPr="00B0157E">
        <w:rPr>
          <w:rFonts w:eastAsia="MS Mincho"/>
          <w:lang w:val="en-AU"/>
        </w:rPr>
        <w:t>ied</w:t>
      </w:r>
      <w:r w:rsidRPr="00B0157E">
        <w:rPr>
          <w:rFonts w:eastAsia="MS Mincho"/>
          <w:lang w:val="en-AU"/>
        </w:rPr>
        <w:t xml:space="preserve"> upper limit of 150 treatments per patient </w:t>
      </w:r>
      <w:r w:rsidR="0078195F" w:rsidRPr="00B0157E">
        <w:rPr>
          <w:rFonts w:eastAsia="MS Mincho"/>
          <w:lang w:val="en-AU"/>
        </w:rPr>
        <w:t>over a 12</w:t>
      </w:r>
      <w:r w:rsidR="0089604A" w:rsidRPr="00B0157E">
        <w:rPr>
          <w:rFonts w:eastAsia="MS Mincho"/>
          <w:lang w:val="en-AU"/>
        </w:rPr>
        <w:t>-</w:t>
      </w:r>
      <w:r w:rsidR="0078195F" w:rsidRPr="00B0157E">
        <w:rPr>
          <w:rFonts w:eastAsia="MS Mincho"/>
          <w:lang w:val="en-AU"/>
        </w:rPr>
        <w:t>month period</w:t>
      </w:r>
      <w:r w:rsidR="00B063A3" w:rsidRPr="00B0157E">
        <w:rPr>
          <w:rFonts w:eastAsia="MS Mincho"/>
          <w:lang w:val="en-AU"/>
        </w:rPr>
        <w:t>, as well as</w:t>
      </w:r>
      <w:r w:rsidRPr="00B0157E">
        <w:rPr>
          <w:rFonts w:eastAsia="MS Mincho"/>
          <w:lang w:val="en-AU"/>
        </w:rPr>
        <w:t xml:space="preserve"> a requirement </w:t>
      </w:r>
      <w:r w:rsidR="00467393" w:rsidRPr="00B0157E">
        <w:rPr>
          <w:rFonts w:eastAsia="MS Mincho"/>
          <w:lang w:val="en-AU"/>
        </w:rPr>
        <w:t xml:space="preserve">that </w:t>
      </w:r>
      <w:r w:rsidRPr="00B0157E">
        <w:rPr>
          <w:rFonts w:eastAsia="MS Mincho"/>
          <w:lang w:val="en-AU"/>
        </w:rPr>
        <w:t>initiation and supervision of treatment involve</w:t>
      </w:r>
      <w:r w:rsidR="0030606C" w:rsidRPr="00B0157E">
        <w:rPr>
          <w:rFonts w:eastAsia="MS Mincho"/>
          <w:lang w:val="en-AU"/>
        </w:rPr>
        <w:t>s</w:t>
      </w:r>
      <w:r w:rsidRPr="00B0157E">
        <w:rPr>
          <w:rFonts w:eastAsia="MS Mincho"/>
          <w:lang w:val="en-AU"/>
        </w:rPr>
        <w:t xml:space="preserve"> a </w:t>
      </w:r>
      <w:r w:rsidR="00522B45" w:rsidRPr="00B0157E">
        <w:rPr>
          <w:rFonts w:eastAsia="MS Mincho"/>
          <w:lang w:val="en-AU"/>
        </w:rPr>
        <w:t>d</w:t>
      </w:r>
      <w:r w:rsidRPr="00B0157E">
        <w:rPr>
          <w:rFonts w:eastAsia="MS Mincho"/>
          <w:lang w:val="en-AU"/>
        </w:rPr>
        <w:t>ermatologist.</w:t>
      </w:r>
      <w:r w:rsidR="00002A9D" w:rsidRPr="00B0157E">
        <w:rPr>
          <w:rFonts w:eastAsia="MS Mincho"/>
          <w:lang w:val="en-AU"/>
        </w:rPr>
        <w:t xml:space="preserve"> The proposed item descriptor is as follows:</w:t>
      </w:r>
      <w:r w:rsidRPr="00B0157E">
        <w:rPr>
          <w:rFonts w:eastAsia="MS Mincho"/>
          <w:lang w:val="en-AU"/>
        </w:rPr>
        <w:t xml:space="preserve"> </w:t>
      </w:r>
    </w:p>
    <w:p w14:paraId="22D45A19" w14:textId="77777777" w:rsidR="005908F0" w:rsidRPr="00B0157E" w:rsidRDefault="005908F0">
      <w:pPr>
        <w:pStyle w:val="02dash"/>
        <w:rPr>
          <w:rFonts w:eastAsiaTheme="minorHAnsi"/>
          <w:lang w:val="en-AU"/>
        </w:rPr>
      </w:pPr>
      <w:r w:rsidRPr="00B0157E">
        <w:rPr>
          <w:rFonts w:eastAsiaTheme="minorHAnsi"/>
          <w:lang w:val="en-AU"/>
        </w:rPr>
        <w:t>UVA or UVB phototherapy administered in a whole body cabinet or hand and foot cabinet including associated consultations other than the initial</w:t>
      </w:r>
      <w:r w:rsidR="00B0157E" w:rsidRPr="00B0157E">
        <w:rPr>
          <w:rFonts w:eastAsiaTheme="minorHAnsi"/>
          <w:lang w:val="en-AU"/>
        </w:rPr>
        <w:t xml:space="preserve"> consultation. A maximum of 150 </w:t>
      </w:r>
      <w:r w:rsidRPr="00B0157E">
        <w:rPr>
          <w:rFonts w:eastAsiaTheme="minorHAnsi"/>
          <w:lang w:val="en-AU"/>
        </w:rPr>
        <w:t>services in a</w:t>
      </w:r>
      <w:r w:rsidR="00972F47" w:rsidRPr="00B0157E">
        <w:rPr>
          <w:rFonts w:eastAsiaTheme="minorHAnsi"/>
          <w:lang w:val="en-AU"/>
        </w:rPr>
        <w:t xml:space="preserve"> 12 month period</w:t>
      </w:r>
      <w:r w:rsidRPr="00B0157E">
        <w:rPr>
          <w:rFonts w:eastAsiaTheme="minorHAnsi"/>
          <w:lang w:val="en-AU"/>
        </w:rPr>
        <w:t xml:space="preserve"> to be claimable per patient. Treatment to be initiated</w:t>
      </w:r>
      <w:r w:rsidR="00BB4C7D" w:rsidRPr="00B0157E">
        <w:rPr>
          <w:rFonts w:eastAsiaTheme="minorHAnsi"/>
          <w:lang w:val="en-AU"/>
        </w:rPr>
        <w:t xml:space="preserve"> and supervised by a</w:t>
      </w:r>
      <w:r w:rsidR="006F0234" w:rsidRPr="00B0157E">
        <w:rPr>
          <w:rFonts w:eastAsiaTheme="minorHAnsi"/>
          <w:lang w:val="en-AU"/>
        </w:rPr>
        <w:t>n</w:t>
      </w:r>
      <w:r w:rsidR="00BB4C7D" w:rsidRPr="00B0157E">
        <w:rPr>
          <w:rFonts w:eastAsiaTheme="minorHAnsi"/>
          <w:lang w:val="en-AU"/>
        </w:rPr>
        <w:t xml:space="preserve"> </w:t>
      </w:r>
      <w:r w:rsidR="00BB79F1" w:rsidRPr="00B0157E">
        <w:rPr>
          <w:rFonts w:eastAsiaTheme="minorHAnsi"/>
          <w:lang w:val="en-AU"/>
        </w:rPr>
        <w:t>AMC recognised</w:t>
      </w:r>
      <w:r w:rsidR="00475393" w:rsidRPr="00B0157E">
        <w:rPr>
          <w:rFonts w:eastAsiaTheme="minorHAnsi"/>
          <w:lang w:val="en-AU"/>
        </w:rPr>
        <w:t xml:space="preserve"> Dermatologist</w:t>
      </w:r>
      <w:r w:rsidR="006F0234" w:rsidRPr="00B0157E">
        <w:rPr>
          <w:rFonts w:eastAsiaTheme="minorHAnsi"/>
          <w:lang w:val="en-AU"/>
        </w:rPr>
        <w:t>.</w:t>
      </w:r>
    </w:p>
    <w:p w14:paraId="47914620" w14:textId="77777777" w:rsidR="005908F0" w:rsidRPr="00B0157E" w:rsidRDefault="003D7FEB">
      <w:pPr>
        <w:pStyle w:val="01squarebullet"/>
        <w:rPr>
          <w:rFonts w:eastAsia="MS Mincho"/>
          <w:lang w:val="en-AU"/>
        </w:rPr>
      </w:pPr>
      <w:r w:rsidRPr="00B0157E">
        <w:rPr>
          <w:rFonts w:eastAsia="MS Mincho"/>
          <w:lang w:val="en-AU"/>
        </w:rPr>
        <w:t>Amend t</w:t>
      </w:r>
      <w:r w:rsidR="005908F0" w:rsidRPr="00B0157E">
        <w:rPr>
          <w:rFonts w:eastAsia="MS Mincho"/>
          <w:lang w:val="en-AU"/>
        </w:rPr>
        <w:t xml:space="preserve">he explanatory notes </w:t>
      </w:r>
      <w:r w:rsidR="00A81088" w:rsidRPr="00B0157E">
        <w:rPr>
          <w:rFonts w:eastAsia="MS Mincho"/>
          <w:lang w:val="en-AU"/>
        </w:rPr>
        <w:t xml:space="preserve">for item 14050 </w:t>
      </w:r>
      <w:r w:rsidR="005908F0" w:rsidRPr="00B0157E">
        <w:rPr>
          <w:rFonts w:eastAsia="MS Mincho"/>
          <w:lang w:val="en-AU"/>
        </w:rPr>
        <w:t>to include appropriate use guidelines.</w:t>
      </w:r>
      <w:r w:rsidR="007A0848" w:rsidRPr="00B0157E">
        <w:rPr>
          <w:rFonts w:eastAsia="MS Mincho"/>
          <w:lang w:val="en-AU"/>
        </w:rPr>
        <w:t xml:space="preserve"> The p</w:t>
      </w:r>
      <w:r w:rsidR="005908F0" w:rsidRPr="00B0157E">
        <w:rPr>
          <w:rFonts w:eastAsia="MS Mincho"/>
          <w:lang w:val="en-AU"/>
        </w:rPr>
        <w:t>roposed explanatory notes</w:t>
      </w:r>
      <w:r w:rsidR="007A0848" w:rsidRPr="00B0157E">
        <w:rPr>
          <w:rFonts w:eastAsia="MS Mincho"/>
          <w:lang w:val="en-AU"/>
        </w:rPr>
        <w:t xml:space="preserve"> are </w:t>
      </w:r>
      <w:r w:rsidR="0024379A" w:rsidRPr="00B0157E">
        <w:rPr>
          <w:rFonts w:eastAsia="MS Mincho"/>
          <w:lang w:val="en-AU"/>
        </w:rPr>
        <w:t>outlined below</w:t>
      </w:r>
      <w:r w:rsidR="00486DF8" w:rsidRPr="00B0157E">
        <w:rPr>
          <w:rFonts w:eastAsia="MS Mincho"/>
          <w:lang w:val="en-AU"/>
        </w:rPr>
        <w:t>,</w:t>
      </w:r>
      <w:r w:rsidR="009F3782" w:rsidRPr="00B0157E">
        <w:rPr>
          <w:rFonts w:eastAsia="MS Mincho"/>
          <w:lang w:val="en-AU"/>
        </w:rPr>
        <w:t xml:space="preserve"> and</w:t>
      </w:r>
      <w:r w:rsidR="00486DF8" w:rsidRPr="00B0157E">
        <w:rPr>
          <w:rFonts w:eastAsia="MS Mincho"/>
          <w:lang w:val="en-AU"/>
        </w:rPr>
        <w:t xml:space="preserve"> they</w:t>
      </w:r>
      <w:r w:rsidR="009F3782" w:rsidRPr="00B0157E">
        <w:rPr>
          <w:rFonts w:eastAsia="MS Mincho"/>
          <w:lang w:val="en-AU"/>
        </w:rPr>
        <w:t xml:space="preserve"> should also include the </w:t>
      </w:r>
      <w:r w:rsidR="009F3782" w:rsidRPr="00B0157E">
        <w:rPr>
          <w:rFonts w:eastAsiaTheme="minorHAnsi"/>
          <w:lang w:val="en-AU"/>
        </w:rPr>
        <w:t xml:space="preserve">National </w:t>
      </w:r>
      <w:r w:rsidR="009F3782" w:rsidRPr="00B0157E">
        <w:rPr>
          <w:rFonts w:eastAsiaTheme="minorHAnsi"/>
          <w:lang w:val="en-AU"/>
        </w:rPr>
        <w:lastRenderedPageBreak/>
        <w:t>Institute of Health and Care Excellence (NICE)</w:t>
      </w:r>
      <w:r w:rsidR="00F13307" w:rsidRPr="00B0157E">
        <w:rPr>
          <w:rFonts w:eastAsiaTheme="minorHAnsi"/>
          <w:lang w:val="en-AU"/>
        </w:rPr>
        <w:t xml:space="preserve"> Guidelines’</w:t>
      </w:r>
      <w:r w:rsidR="00C1346F" w:rsidRPr="00B0157E">
        <w:rPr>
          <w:rFonts w:eastAsiaTheme="minorHAnsi"/>
          <w:lang w:val="en-AU"/>
        </w:rPr>
        <w:fldChar w:fldCharType="begin" w:fldLock="1"/>
      </w:r>
      <w:r w:rsidR="00C040E7" w:rsidRPr="00B0157E">
        <w:rPr>
          <w:rFonts w:eastAsiaTheme="minorHAnsi"/>
          <w:lang w:val="en-AU"/>
        </w:rPr>
        <w:instrText>ADDIN CSL_CITATION { "citationItems" : [ { "id" : "ITEM-1", "itemData" : { "URL" : "http://pathways.nice.org.uk/pathways/psoriasis#path=view%3A/pathways/psoriasis/phototherapy-for-psoriasis.xml&amp;content=view-node%3Anodes-risk-of-skin-cancer", "accessed" : { "date-parts" : [ [ "2016", "5", "20" ] ] }, "author" : [ { "dropping-particle" : "", "family" : "NICE", "given" : "National Institute for Health and Care Excellent", "non-dropping-particle" : "", "parse-names" : false, "suffix" : "" } ], "id" : "ITEM-1", "issued" : { "date-parts" : [ [ "2016" ] ] }, "title" : "Phototherapy for Psoriasis", "type" : "webpage" }, "uris" : [ "http://www.mendeley.com/documents/?uuid=957ead17-fb3e-48a9-ba40-6dc172987665" ] } ], "mendeley" : { "formattedCitation" : "[4]", "plainTextFormattedCitation" : "[4]", "previouslyFormattedCitation" : "[4]" }, "properties" : { "noteIndex" : 0 }, "schema" : "https://github.com/citation-style-language/schema/raw/master/csl-citation.json" }</w:instrText>
      </w:r>
      <w:r w:rsidR="00C1346F" w:rsidRPr="00B0157E">
        <w:rPr>
          <w:rFonts w:eastAsiaTheme="minorHAnsi"/>
          <w:lang w:val="en-AU"/>
        </w:rPr>
        <w:fldChar w:fldCharType="separate"/>
      </w:r>
      <w:r w:rsidR="00C040E7" w:rsidRPr="00B0157E">
        <w:rPr>
          <w:rFonts w:eastAsiaTheme="minorHAnsi"/>
          <w:lang w:val="en-AU"/>
        </w:rPr>
        <w:t>[4]</w:t>
      </w:r>
      <w:r w:rsidR="00C1346F" w:rsidRPr="00B0157E">
        <w:rPr>
          <w:rFonts w:eastAsiaTheme="minorHAnsi"/>
          <w:lang w:val="en-AU"/>
        </w:rPr>
        <w:fldChar w:fldCharType="end"/>
      </w:r>
      <w:r w:rsidR="000B46E2" w:rsidRPr="00B0157E">
        <w:rPr>
          <w:rFonts w:eastAsiaTheme="minorHAnsi"/>
          <w:lang w:val="en-AU"/>
        </w:rPr>
        <w:t xml:space="preserve"> </w:t>
      </w:r>
      <w:r w:rsidR="009F3782" w:rsidRPr="00B0157E">
        <w:rPr>
          <w:rFonts w:eastAsiaTheme="minorHAnsi"/>
          <w:lang w:val="en-AU"/>
        </w:rPr>
        <w:t>online link</w:t>
      </w:r>
      <w:r w:rsidR="00040E82" w:rsidRPr="00B0157E">
        <w:rPr>
          <w:rFonts w:eastAsiaTheme="minorHAnsi"/>
          <w:lang w:val="en-AU"/>
        </w:rPr>
        <w:t xml:space="preserve"> for phototherapy treatment for </w:t>
      </w:r>
      <w:r w:rsidR="005466D3" w:rsidRPr="00B0157E">
        <w:rPr>
          <w:rFonts w:eastAsiaTheme="minorHAnsi"/>
          <w:lang w:val="en-AU"/>
        </w:rPr>
        <w:t>p</w:t>
      </w:r>
      <w:r w:rsidR="00040E82" w:rsidRPr="00B0157E">
        <w:rPr>
          <w:rFonts w:eastAsiaTheme="minorHAnsi"/>
          <w:lang w:val="en-AU"/>
        </w:rPr>
        <w:t>soriasis and palmoplantar pust</w:t>
      </w:r>
      <w:r w:rsidR="00204EC1" w:rsidRPr="00B0157E">
        <w:rPr>
          <w:rFonts w:eastAsiaTheme="minorHAnsi"/>
          <w:lang w:val="en-AU"/>
        </w:rPr>
        <w:t>ulosis</w:t>
      </w:r>
      <w:r w:rsidR="00387C13" w:rsidRPr="00B0157E">
        <w:rPr>
          <w:rFonts w:eastAsia="MS Mincho"/>
          <w:lang w:val="en-AU"/>
        </w:rPr>
        <w:t>.</w:t>
      </w:r>
      <w:r w:rsidR="005908F0" w:rsidRPr="00B0157E">
        <w:rPr>
          <w:rFonts w:eastAsia="MS Mincho"/>
          <w:lang w:val="en-AU"/>
        </w:rPr>
        <w:t xml:space="preserve"> </w:t>
      </w:r>
    </w:p>
    <w:p w14:paraId="2B3C19AF" w14:textId="77777777" w:rsidR="005908F0" w:rsidRPr="00B0157E" w:rsidRDefault="005908F0">
      <w:pPr>
        <w:pStyle w:val="02dash"/>
        <w:rPr>
          <w:rFonts w:eastAsiaTheme="minorHAnsi"/>
          <w:lang w:val="en-AU"/>
        </w:rPr>
      </w:pPr>
      <w:r w:rsidRPr="00B0157E">
        <w:rPr>
          <w:rFonts w:eastAsiaTheme="minorHAnsi"/>
          <w:lang w:val="en-AU"/>
        </w:rPr>
        <w:t xml:space="preserve">Phototherapy should only be used when: </w:t>
      </w:r>
    </w:p>
    <w:p w14:paraId="3BB2232B" w14:textId="77777777" w:rsidR="005908F0" w:rsidRPr="00B0157E" w:rsidRDefault="005908F0">
      <w:pPr>
        <w:pStyle w:val="03opensquarebullet"/>
        <w:rPr>
          <w:rFonts w:eastAsiaTheme="minorHAnsi"/>
          <w:lang w:val="en-AU"/>
        </w:rPr>
      </w:pPr>
      <w:r w:rsidRPr="00B0157E">
        <w:rPr>
          <w:rFonts w:eastAsiaTheme="minorHAnsi"/>
          <w:lang w:val="en-AU"/>
        </w:rPr>
        <w:t>Topical therapy has failed or is inappropriate.</w:t>
      </w:r>
    </w:p>
    <w:p w14:paraId="3BFC053C" w14:textId="77777777" w:rsidR="005908F0" w:rsidRPr="00B0157E" w:rsidRDefault="005908F0">
      <w:pPr>
        <w:pStyle w:val="03opensquarebullet"/>
        <w:rPr>
          <w:rFonts w:eastAsiaTheme="minorHAnsi"/>
          <w:lang w:val="en-AU"/>
        </w:rPr>
      </w:pPr>
      <w:r w:rsidRPr="00B0157E">
        <w:rPr>
          <w:rFonts w:eastAsiaTheme="minorHAnsi"/>
          <w:lang w:val="en-AU"/>
        </w:rPr>
        <w:t xml:space="preserve">The severity of the condition as assessed by specialist opinion (including symptoms, extent of involvement and quality of life impairment) warrants its use. </w:t>
      </w:r>
    </w:p>
    <w:p w14:paraId="4E6195C1" w14:textId="77777777" w:rsidR="005908F0" w:rsidRPr="00B0157E" w:rsidRDefault="005908F0">
      <w:pPr>
        <w:pStyle w:val="02dash"/>
        <w:rPr>
          <w:rFonts w:eastAsiaTheme="minorHAnsi"/>
          <w:lang w:val="en-AU"/>
        </w:rPr>
      </w:pPr>
      <w:r w:rsidRPr="00B0157E">
        <w:rPr>
          <w:rFonts w:eastAsiaTheme="minorHAnsi"/>
          <w:lang w:val="en-AU"/>
        </w:rPr>
        <w:t>Narrow band UVB should be the preferred option for phototherapy unless there is documented evidence of superior efficacy of UVA phototherapy for the condition being treated.</w:t>
      </w:r>
    </w:p>
    <w:p w14:paraId="10BAE77B" w14:textId="0392783A" w:rsidR="009F3782" w:rsidRPr="00B0157E" w:rsidRDefault="00204EC1">
      <w:pPr>
        <w:pStyle w:val="02dash"/>
        <w:rPr>
          <w:rFonts w:eastAsiaTheme="minorHAnsi"/>
          <w:lang w:val="en-AU"/>
        </w:rPr>
      </w:pPr>
      <w:r w:rsidRPr="00B0157E">
        <w:rPr>
          <w:rFonts w:eastAsiaTheme="minorHAnsi"/>
          <w:lang w:val="en-AU"/>
        </w:rPr>
        <w:t xml:space="preserve">Phototherapy treatment for </w:t>
      </w:r>
      <w:r w:rsidR="00B519A0" w:rsidRPr="00B0157E">
        <w:rPr>
          <w:rFonts w:eastAsiaTheme="minorHAnsi"/>
          <w:lang w:val="en-AU"/>
        </w:rPr>
        <w:t>p</w:t>
      </w:r>
      <w:r w:rsidRPr="00B0157E">
        <w:rPr>
          <w:rFonts w:eastAsiaTheme="minorHAnsi"/>
          <w:lang w:val="en-AU"/>
        </w:rPr>
        <w:t xml:space="preserve">soriasis and palmoplantar pustulosis should consider the </w:t>
      </w:r>
      <w:hyperlink r:id="rId24" w:history="1">
        <w:r w:rsidR="006C70BB" w:rsidRPr="00224863">
          <w:rPr>
            <w:rStyle w:val="Hyperlink"/>
            <w:rFonts w:eastAsiaTheme="minorHAnsi"/>
            <w:lang w:val="en-AU"/>
          </w:rPr>
          <w:t>National Institute of Health and Care Excellence</w:t>
        </w:r>
        <w:r w:rsidR="000A3904" w:rsidRPr="00224863">
          <w:rPr>
            <w:rStyle w:val="Hyperlink"/>
            <w:rFonts w:eastAsiaTheme="minorHAnsi"/>
            <w:lang w:val="en-AU"/>
          </w:rPr>
          <w:t>’s</w:t>
        </w:r>
        <w:r w:rsidR="006C70BB" w:rsidRPr="00224863">
          <w:rPr>
            <w:rStyle w:val="Hyperlink"/>
            <w:rFonts w:eastAsiaTheme="minorHAnsi"/>
            <w:lang w:val="en-AU"/>
          </w:rPr>
          <w:t xml:space="preserve"> (NICE) </w:t>
        </w:r>
        <w:r w:rsidR="00387C13" w:rsidRPr="00224863">
          <w:rPr>
            <w:rStyle w:val="Hyperlink"/>
            <w:rFonts w:eastAsiaTheme="minorHAnsi"/>
            <w:lang w:val="en-AU"/>
          </w:rPr>
          <w:t>G</w:t>
        </w:r>
        <w:r w:rsidR="006C70BB" w:rsidRPr="00224863">
          <w:rPr>
            <w:rStyle w:val="Hyperlink"/>
            <w:rFonts w:eastAsiaTheme="minorHAnsi"/>
            <w:lang w:val="en-AU"/>
          </w:rPr>
          <w:t>uidelines</w:t>
        </w:r>
      </w:hyperlink>
      <w:r w:rsidR="00C1346F" w:rsidRPr="00B0157E">
        <w:rPr>
          <w:rFonts w:eastAsiaTheme="minorHAnsi"/>
          <w:vertAlign w:val="superscript"/>
          <w:lang w:val="en-AU"/>
        </w:rPr>
        <w:fldChar w:fldCharType="begin" w:fldLock="1"/>
      </w:r>
      <w:r w:rsidR="00C040E7" w:rsidRPr="00B0157E">
        <w:rPr>
          <w:rFonts w:eastAsiaTheme="minorHAnsi"/>
          <w:vertAlign w:val="superscript"/>
          <w:lang w:val="en-AU"/>
        </w:rPr>
        <w:instrText>ADDIN CSL_CITATION { "citationItems" : [ { "id" : "ITEM-1", "itemData" : { "URL" : "http://pathways.nice.org.uk/pathways/psoriasis#path=view%3A/pathways/psoriasis/phototherapy-for-psoriasis.xml&amp;content=view-node%3Anodes-risk-of-skin-cancer", "accessed" : { "date-parts" : [ [ "2016", "5", "20" ] ] }, "author" : [ { "dropping-particle" : "", "family" : "NICE", "given" : "National Institute for Health and Care Excellent", "non-dropping-particle" : "", "parse-names" : false, "suffix" : "" } ], "id" : "ITEM-1", "issued" : { "date-parts" : [ [ "2016" ] ] }, "title" : "Phototherapy for Psoriasis", "type" : "webpage" }, "uris" : [ "http://www.mendeley.com/documents/?uuid=957ead17-fb3e-48a9-ba40-6dc172987665" ] } ], "mendeley" : { "formattedCitation" : "[4]", "plainTextFormattedCitation" : "[4]", "previouslyFormattedCitation" : "[4]" }, "properties" : { "noteIndex" : 0 }, "schema" : "https://github.com/citation-style-language/schema/raw/master/csl-citation.json" }</w:instrText>
      </w:r>
      <w:r w:rsidR="00C1346F" w:rsidRPr="00B0157E">
        <w:rPr>
          <w:rFonts w:eastAsiaTheme="minorHAnsi"/>
          <w:vertAlign w:val="superscript"/>
          <w:lang w:val="en-AU"/>
        </w:rPr>
        <w:fldChar w:fldCharType="separate"/>
      </w:r>
      <w:r w:rsidR="00C040E7" w:rsidRPr="00B0157E">
        <w:rPr>
          <w:rFonts w:eastAsiaTheme="minorHAnsi"/>
          <w:lang w:val="en-AU"/>
        </w:rPr>
        <w:t>[4]</w:t>
      </w:r>
      <w:r w:rsidR="00C1346F" w:rsidRPr="00B0157E">
        <w:rPr>
          <w:rFonts w:eastAsiaTheme="minorHAnsi"/>
          <w:vertAlign w:val="superscript"/>
          <w:lang w:val="en-AU"/>
        </w:rPr>
        <w:fldChar w:fldCharType="end"/>
      </w:r>
      <w:r w:rsidR="006C70BB" w:rsidRPr="00B0157E">
        <w:rPr>
          <w:rFonts w:eastAsiaTheme="minorHAnsi"/>
          <w:lang w:val="en-AU"/>
        </w:rPr>
        <w:t xml:space="preserve"> </w:t>
      </w:r>
    </w:p>
    <w:p w14:paraId="6D4F0F68" w14:textId="77777777" w:rsidR="00B1416A" w:rsidRPr="00B0157E" w:rsidRDefault="00B1416A">
      <w:pPr>
        <w:pStyle w:val="02dash"/>
        <w:rPr>
          <w:rFonts w:eastAsia="MS Mincho"/>
          <w:lang w:val="en-AU"/>
        </w:rPr>
      </w:pPr>
      <w:r w:rsidRPr="00B0157E">
        <w:rPr>
          <w:rFonts w:eastAsia="MS Mincho"/>
          <w:lang w:val="en-AU"/>
        </w:rPr>
        <w:t>Involvement by a</w:t>
      </w:r>
      <w:r w:rsidR="006F0234" w:rsidRPr="00B0157E">
        <w:rPr>
          <w:rFonts w:eastAsia="MS Mincho"/>
          <w:lang w:val="en-AU"/>
        </w:rPr>
        <w:t>n AMC recognised</w:t>
      </w:r>
      <w:r w:rsidRPr="00B0157E">
        <w:rPr>
          <w:rFonts w:eastAsia="MS Mincho"/>
          <w:lang w:val="en-AU"/>
        </w:rPr>
        <w:t xml:space="preserve"> dermatologist at a minimum requires: a letter including the diagnosis, need for phototherapy, estimated time of treatment and review date. </w:t>
      </w:r>
    </w:p>
    <w:p w14:paraId="0D0EEBB1" w14:textId="77777777" w:rsidR="00AD7B1E" w:rsidRPr="00B0157E" w:rsidRDefault="00AD7B1E" w:rsidP="00C33ED9">
      <w:pPr>
        <w:rPr>
          <w:b/>
          <w:lang w:val="en-AU"/>
        </w:rPr>
      </w:pPr>
      <w:r w:rsidRPr="00B0157E">
        <w:rPr>
          <w:b/>
          <w:lang w:val="en-AU"/>
        </w:rPr>
        <w:t>Rationale</w:t>
      </w:r>
    </w:p>
    <w:p w14:paraId="10748FCA" w14:textId="77777777" w:rsidR="00AD7B1E" w:rsidRPr="00B0157E" w:rsidRDefault="00AD7B1E" w:rsidP="00C33ED9">
      <w:pPr>
        <w:rPr>
          <w:lang w:val="en-AU"/>
        </w:rPr>
      </w:pPr>
      <w:r w:rsidRPr="00B0157E">
        <w:rPr>
          <w:lang w:val="en-AU"/>
        </w:rPr>
        <w:t xml:space="preserve">The </w:t>
      </w:r>
      <w:r w:rsidR="00FE5D68" w:rsidRPr="00B0157E">
        <w:rPr>
          <w:lang w:val="en-AU"/>
        </w:rPr>
        <w:t>recommendations focus on improving</w:t>
      </w:r>
      <w:r w:rsidRPr="00B0157E">
        <w:rPr>
          <w:lang w:val="en-AU"/>
        </w:rPr>
        <w:t xml:space="preserve"> patient safety</w:t>
      </w:r>
      <w:r w:rsidR="00610C67" w:rsidRPr="00B0157E">
        <w:rPr>
          <w:lang w:val="en-AU"/>
        </w:rPr>
        <w:t xml:space="preserve"> and</w:t>
      </w:r>
      <w:r w:rsidRPr="00B0157E">
        <w:rPr>
          <w:lang w:val="en-AU"/>
        </w:rPr>
        <w:t xml:space="preserve"> are </w:t>
      </w:r>
      <w:r w:rsidR="00345693" w:rsidRPr="00B0157E">
        <w:rPr>
          <w:lang w:val="en-AU"/>
        </w:rPr>
        <w:t>based on the following observations</w:t>
      </w:r>
      <w:r w:rsidR="006378F4" w:rsidRPr="00B0157E">
        <w:rPr>
          <w:lang w:val="en-AU"/>
        </w:rPr>
        <w:t>.</w:t>
      </w:r>
      <w:r w:rsidR="00246633" w:rsidRPr="00B0157E">
        <w:rPr>
          <w:lang w:val="en-AU"/>
        </w:rPr>
        <w:t xml:space="preserve"> </w:t>
      </w:r>
    </w:p>
    <w:p w14:paraId="62BCEB7B" w14:textId="77777777" w:rsidR="00F54B88" w:rsidRPr="00B0157E" w:rsidRDefault="00F54B88">
      <w:pPr>
        <w:pStyle w:val="01squarebullet"/>
        <w:rPr>
          <w:rFonts w:eastAsiaTheme="minorHAnsi"/>
          <w:lang w:val="en-AU"/>
        </w:rPr>
      </w:pPr>
      <w:r w:rsidRPr="00B0157E">
        <w:rPr>
          <w:rFonts w:eastAsia="MS Mincho"/>
          <w:lang w:val="en-AU"/>
        </w:rPr>
        <w:t>The Committee agreed that there is no clinical requirement for two</w:t>
      </w:r>
      <w:r w:rsidR="00623794" w:rsidRPr="00B0157E">
        <w:rPr>
          <w:rFonts w:eastAsia="MS Mincho"/>
          <w:lang w:val="en-AU"/>
        </w:rPr>
        <w:t xml:space="preserve"> different item numbers, and </w:t>
      </w:r>
      <w:r w:rsidR="005D2E8B" w:rsidRPr="00B0157E">
        <w:rPr>
          <w:rFonts w:eastAsia="MS Mincho"/>
          <w:lang w:val="en-AU"/>
        </w:rPr>
        <w:t xml:space="preserve">that </w:t>
      </w:r>
      <w:r w:rsidR="00623794" w:rsidRPr="00B0157E">
        <w:rPr>
          <w:rFonts w:eastAsia="MS Mincho"/>
          <w:lang w:val="en-AU"/>
        </w:rPr>
        <w:t xml:space="preserve">consolidating the items </w:t>
      </w:r>
      <w:r w:rsidR="0060005E" w:rsidRPr="00B0157E">
        <w:rPr>
          <w:rFonts w:eastAsia="MS Mincho"/>
          <w:lang w:val="en-AU"/>
        </w:rPr>
        <w:t xml:space="preserve">would </w:t>
      </w:r>
      <w:r w:rsidR="00623794" w:rsidRPr="00B0157E">
        <w:rPr>
          <w:rFonts w:eastAsia="MS Mincho"/>
          <w:lang w:val="en-AU"/>
        </w:rPr>
        <w:t xml:space="preserve">have no cost impact on patients as both items have the same schedule fee. </w:t>
      </w:r>
    </w:p>
    <w:p w14:paraId="04A2C93F" w14:textId="77777777" w:rsidR="00C00A70" w:rsidRPr="00B0157E" w:rsidRDefault="00AD7B1E">
      <w:pPr>
        <w:pStyle w:val="01squarebullet"/>
        <w:rPr>
          <w:rFonts w:eastAsiaTheme="minorHAnsi"/>
          <w:lang w:val="en-AU"/>
        </w:rPr>
      </w:pPr>
      <w:r w:rsidRPr="00B0157E">
        <w:rPr>
          <w:rFonts w:eastAsia="MS Mincho"/>
          <w:lang w:val="en-AU"/>
        </w:rPr>
        <w:t xml:space="preserve">UV treatment </w:t>
      </w:r>
      <w:r w:rsidR="003916C0" w:rsidRPr="00B0157E">
        <w:rPr>
          <w:rFonts w:eastAsia="MS Mincho"/>
          <w:lang w:val="en-AU"/>
        </w:rPr>
        <w:t>may</w:t>
      </w:r>
      <w:r w:rsidRPr="00B0157E">
        <w:rPr>
          <w:rFonts w:eastAsia="MS Mincho"/>
          <w:lang w:val="en-AU"/>
        </w:rPr>
        <w:t xml:space="preserve"> cause skin cancer</w:t>
      </w:r>
      <w:r w:rsidR="002D1FF9" w:rsidRPr="00B0157E">
        <w:rPr>
          <w:rFonts w:eastAsia="MS Mincho"/>
          <w:lang w:val="en-AU"/>
        </w:rPr>
        <w:t>,</w:t>
      </w:r>
      <w:r w:rsidRPr="00B0157E">
        <w:rPr>
          <w:rFonts w:eastAsia="MS Mincho"/>
          <w:lang w:val="en-AU"/>
        </w:rPr>
        <w:t xml:space="preserve"> </w:t>
      </w:r>
      <w:r w:rsidR="00265748" w:rsidRPr="00B0157E">
        <w:rPr>
          <w:rFonts w:eastAsia="MS Mincho"/>
          <w:lang w:val="en-AU"/>
        </w:rPr>
        <w:t>and there is</w:t>
      </w:r>
      <w:r w:rsidR="00CA4372" w:rsidRPr="00B0157E">
        <w:rPr>
          <w:rFonts w:eastAsia="MS Mincho"/>
          <w:lang w:val="en-AU"/>
        </w:rPr>
        <w:t xml:space="preserve"> currently</w:t>
      </w:r>
      <w:r w:rsidR="00265748" w:rsidRPr="00B0157E">
        <w:rPr>
          <w:rFonts w:eastAsia="MS Mincho"/>
          <w:lang w:val="en-AU"/>
        </w:rPr>
        <w:t xml:space="preserve"> </w:t>
      </w:r>
      <w:r w:rsidR="00773B7E" w:rsidRPr="00B0157E">
        <w:rPr>
          <w:rFonts w:eastAsia="MS Mincho"/>
          <w:lang w:val="en-AU"/>
        </w:rPr>
        <w:t xml:space="preserve">insufficient evidence to determine maximum </w:t>
      </w:r>
      <w:r w:rsidR="00CA4372" w:rsidRPr="00B0157E">
        <w:rPr>
          <w:rFonts w:eastAsia="MS Mincho"/>
          <w:lang w:val="en-AU"/>
        </w:rPr>
        <w:t xml:space="preserve">lifetime </w:t>
      </w:r>
      <w:r w:rsidR="00773B7E" w:rsidRPr="00B0157E">
        <w:rPr>
          <w:rFonts w:eastAsia="MS Mincho"/>
          <w:lang w:val="en-AU"/>
        </w:rPr>
        <w:t xml:space="preserve">safe exposure levels with </w:t>
      </w:r>
      <w:r w:rsidR="00CA4372" w:rsidRPr="00B0157E">
        <w:rPr>
          <w:rFonts w:eastAsia="MS Mincho"/>
          <w:lang w:val="en-AU"/>
        </w:rPr>
        <w:t xml:space="preserve">complete </w:t>
      </w:r>
      <w:r w:rsidR="00773B7E" w:rsidRPr="00B0157E">
        <w:rPr>
          <w:rFonts w:eastAsia="MS Mincho"/>
          <w:lang w:val="en-AU"/>
        </w:rPr>
        <w:t>certainty</w:t>
      </w:r>
      <w:r w:rsidR="008F7145" w:rsidRPr="00B0157E">
        <w:rPr>
          <w:rFonts w:eastAsia="MS Mincho"/>
          <w:lang w:val="en-AU"/>
        </w:rPr>
        <w:t>.</w:t>
      </w:r>
      <w:r w:rsidR="00C1346F" w:rsidRPr="00B0157E">
        <w:rPr>
          <w:rFonts w:eastAsia="MS Mincho"/>
          <w:lang w:val="en-AU"/>
        </w:rPr>
        <w:fldChar w:fldCharType="begin" w:fldLock="1"/>
      </w:r>
      <w:r w:rsidR="00C040E7" w:rsidRPr="00B0157E">
        <w:rPr>
          <w:rFonts w:eastAsia="MS Mincho"/>
          <w:lang w:val="en-AU"/>
        </w:rPr>
        <w:instrText>ADDIN CSL_CITATION { "citationItems" : [ { "id" : "ITEM-1", "itemData" : { "URL" : "http://pathways.nice.org.uk/pathways/psoriasis#path=view%3A/pathways/psoriasis/phototherapy-for-psoriasis.xml&amp;content=view-node%3Anodes-risk-of-skin-cancer", "accessed" : { "date-parts" : [ [ "2016", "5", "20" ] ] }, "author" : [ { "dropping-particle" : "", "family" : "NICE", "given" : "National Institute for Health and Care Excellent", "non-dropping-particle" : "", "parse-names" : false, "suffix" : "" } ], "id" : "ITEM-1", "issued" : { "date-parts" : [ [ "2016" ] ] }, "title" : "Phototherapy for Psoriasis", "type" : "webpage" }, "uris" : [ "http://www.mendeley.com/documents/?uuid=957ead17-fb3e-48a9-ba40-6dc172987665" ] }, { "id" : "ITEM-2", "itemData" : { "DOI" : "10.1111/j.1365-2133.2008.08881.x", "ISSN" : "1365-2133", "PMID" : "19036036", "abstract" : "This detailed and user-friendly guideline for the diagnosis and management of vitiligo in children and adults aims to give high quality clinical advice, based on the best available evidence and expert consensus, taking into account patient choice and clinical expertise. The guideline was devised by a structured process and is intended for use by dermatologists and as a resource for interested parties including patients. Recommendations and levels of evidence have been graded according to the method developed by the Scottish Inter-Collegiate Guidelines Network. Where evidence was lacking, research recommendations were made. The types of vitiligo, process of diagnosis in primary and secondary care, and investigation of vitiligo were assessed. Treatments considered include offering no treatment other than camouflage cosmetics and sunscreens, the use of topical potent or highly potent corticosteroids, of vitamin D analogues, and of topical calcineurin inhibitors, and depigmentation with p-(benzyloxy)phenol. The use of systemic treatment, e.g. corticosteroids, ciclosporin and other immunosuppressive agents was analyzed. Phototherapy was considered, including narrowband ultraviolet B (UVB), psoralen with ultraviolet A (UVA), and khellin with UVA or UVB, along with combinations of topical preparations and various forms of UV. Surgical treatments that were assessed include full-thickness and split skin grafting, mini (punch) grafts, autologous epidermal cell suspensions, and autologous skin equivalents. The effectiveness of cognitive therapy and psychological treatments was considered. Therapeutic algorithms using grades of recommendation and levels of evidence have been produced for children and for adults with vitiligo.", "author" : [ { "dropping-particle" : "", "family" : "Gawkrodger", "given" : "D J", "non-dropping-particle" : "", "parse-names" : false, "suffix" : "" }, { "dropping-particle" : "", "family" : "Ormerod", "given" : "A D", "non-dropping-particle" : "", "parse-names" : false, "suffix" : "" }, { "dropping-particle" : "", "family" : "Shaw", "given" : "L", "non-dropping-particle" : "", "parse-names" : false, "suffix" : "" }, { "dropping-particle" : "", "family" : "Mauri-Sole", "given" : "I", "non-dropping-particle" : "", "parse-names" : false, "suffix" : "" }, { "dropping-particle" : "", "family" : "Whitton", "given" : "M E", "non-dropping-particle" : "", "parse-names" : false, "suffix" : "" }, { "dropping-particle" : "", "family" : "Watts", "given" : "M J", "non-dropping-particle" : "", "parse-names" : false, "suffix" : "" }, { "dropping-particle" : "V", "family" : "Anstey", "given" : "A", "non-dropping-particle" : "", "parse-names" : false, "suffix" : "" }, { "dropping-particle" : "", "family" : "Ingham", "given" : "J", "non-dropping-particle" : "", "parse-names" : false, "suffix" : "" }, { "dropping-particle" : "", "family" : "Young", "given" : "K", "non-dropping-particle" : "", "parse-names" : false, "suffix" : "" }, { "dropping-particle" : "", "family" : "Therapy Guidelines and Audit Subcommittee, British Association of Dermatologists", "given" : "", "non-dropping-particle" : "", "parse-names" : false, "suffix" : "" }, { "dropping-particle" : "", "family" : "Clinical Standards Department, Royal College of Physicians of London", "given" : "", "non-dropping-particle" : "", "parse-names" : false, "suffix" : "" }, { "dropping-particle" : "", "family" : "Cochrane Skin Group", "given" : "", "non-dropping-particle" : "", "parse-names" : false, "suffix" : "" }, { "dropping-particle" : "", "family" : "Vitiligo Society", "given" : "", "non-dropping-particle" : "", "parse-names" : false, "suffix" : "" } ], "container-title" : "The British journal of dermatology", "id" : "ITEM-2", "issue" : "5", "issued" : { "date-parts" : [ [ "2008", "11" ] ] }, "page" : "1051-76", "title" : "Guideline for the diagnosis and management of vitiligo.", "type" : "article-journal", "volume" : "159" }, "uris" : [ "http://www.mendeley.com/documents/?uuid=14fc10a8-d462-3516-acc4-b692fd716c49" ] }, { "id" : "ITEM-3", "itemData" : { "DOI" : "10.1111/j.1365-2133.2008.08776.x", "ISSN" : "1365-2133", "PMID" : "18834483", "abstract" : "BACKGROUND Narrow-band ultraviolet B (NB-UVB) phototherapy is a widely used treatment. Psoralen-UVA photochemotherapy (PUVA) increases skin cancer risk and some animal studies have raised the possibility of an increased risk with NB-UVB. The risk of skin cancer in humans following treatment with NB-UVB is unknown. OBJECTIVES This current analysis forms part of an ongoing study ultimately aiming to define the long-term carcinogenic risk of NB-UVB treatment in humans. METHODS Details of all patients receiving NB-UVB treatment until 31/12/2002 in Tayside, Scotland, were accessed from a treatment database and linked to the Scottish Cancer Registry. Indirect standardization was used to compare skin cancer incidence in the study population with age and sex matched cancer registry data for the Tayside population. We also assessed the effect of NB-UVB exposure treatment numbers on the risk of developing skin cancer. RESULTS Of 4690 records reviewed, 4665 were suitable for analysis with 3886 records linked with the cancer registry and 3867 followed-up for at least 6 months before 31/12/02 (the date at which cancer registration was deemed to be complete). The median number of NB-UVB treatments was 29 with 352 patients receiving &gt; or = 100 treatments. The study gave 24,753 person-years of follow up. First skin cancers recorded in study patients were 27 basal cell carcinomas (BCC), seven squamous cell carcinomas (SCC) and six melanomas. No association was found between NB-UVB exposure alone (without PUVA) and any skin cancer. For NB-UVB and PUVA treated patients there was an association with BCC, with 27 BCCs found compared with 14.1 expected in the matched population. CONCLUSION We found no significant association between NB-UVB treatment and BCC, SCC or melanoma. There was a small increase in BCCs amongst those also treated with PUVA. These reassuring results do not demonstrate the early increase in skin cancers that was found associated with PUVA treatment. However, cautious interpretation is required as the cohort contained relatively few patients who had a high treatment number and because the slow evolution of skin cancers may result in a delayed incidence peak. Ongoing risk assessment is therefore essential.", "author" : [ { "dropping-particle" : "", "family" : "Hearn", "given" : "R M R", "non-dropping-particle" : "", "parse-names" : false, "suffix" : "" }, { "dropping-particle" : "", "family" : "Kerr", "given" : "A C", "non-dropping-particle" : "", "parse-names" : false, "suffix" : "" }, { "dropping-particle" : "", "family" : "Rahim", "given" : "K F", "non-dropping-particle" : "", "parse-names" : false, "suffix" : "" }, { "dropping-particle" : "", "family" : "Ferguson", "given" : "J", "non-dropping-particle" : "", "parse-names" : false, "suffix" : "" }, { "dropping-particle" : "", "family" : "Dawe", "given" : "R S", "non-dropping-particle" : "", "parse-names" : false, "suffix" : "" } ], "container-title" : "The British journal of dermatology", "id" : "ITEM-3", "issue" : "4", "issued" : { "date-parts" : [ [ "2008", "9" ] ] }, "page" : "931-5", "title" : "Incidence of skin cancers in 3867 patients treated with narrow-band ultraviolet B phototherapy.", "type" : "article-journal", "volume" : "159" }, "uris" : [ "http://www.mendeley.com/documents/?uuid=dbfe9c54-3b1f-3c67-a546-832dab70cde8" ] } ], "mendeley" : { "formattedCitation" : "[4]\u2013[6]", "plainTextFormattedCitation" : "[4]\u2013[6]", "previouslyFormattedCitation" : "[4]\u2013[6]" }, "properties" : { "noteIndex" : 0 }, "schema" : "https://github.com/citation-style-language/schema/raw/master/csl-citation.json" }</w:instrText>
      </w:r>
      <w:r w:rsidR="00C1346F" w:rsidRPr="00B0157E">
        <w:rPr>
          <w:rFonts w:eastAsia="MS Mincho"/>
          <w:lang w:val="en-AU"/>
        </w:rPr>
        <w:fldChar w:fldCharType="separate"/>
      </w:r>
      <w:r w:rsidR="00C040E7" w:rsidRPr="00B0157E">
        <w:rPr>
          <w:rFonts w:eastAsia="MS Mincho"/>
          <w:lang w:val="en-AU"/>
        </w:rPr>
        <w:t>[4]–[6]</w:t>
      </w:r>
      <w:r w:rsidR="00C1346F" w:rsidRPr="00B0157E">
        <w:rPr>
          <w:rFonts w:eastAsia="MS Mincho"/>
          <w:lang w:val="en-AU"/>
        </w:rPr>
        <w:fldChar w:fldCharType="end"/>
      </w:r>
      <w:r w:rsidR="004C5215" w:rsidRPr="00B0157E">
        <w:rPr>
          <w:rFonts w:eastAsia="MS Mincho"/>
          <w:lang w:val="en-AU"/>
        </w:rPr>
        <w:t xml:space="preserve"> However, t</w:t>
      </w:r>
      <w:r w:rsidRPr="00B0157E">
        <w:rPr>
          <w:rFonts w:eastAsia="MS Mincho"/>
          <w:lang w:val="en-AU"/>
        </w:rPr>
        <w:t>hese treatments are becoming more common</w:t>
      </w:r>
      <w:r w:rsidR="00DC4133" w:rsidRPr="00B0157E">
        <w:rPr>
          <w:rFonts w:eastAsia="MS Mincho"/>
          <w:lang w:val="en-AU"/>
        </w:rPr>
        <w:t>,</w:t>
      </w:r>
      <w:r w:rsidRPr="00B0157E">
        <w:rPr>
          <w:rFonts w:eastAsia="MS Mincho"/>
          <w:lang w:val="en-AU"/>
        </w:rPr>
        <w:t xml:space="preserve"> and it appears that s</w:t>
      </w:r>
      <w:r w:rsidR="00B0157E" w:rsidRPr="00B0157E">
        <w:rPr>
          <w:rFonts w:eastAsia="MS Mincho"/>
          <w:lang w:val="en-AU"/>
        </w:rPr>
        <w:t>ome individuals are receiving a </w:t>
      </w:r>
      <w:r w:rsidRPr="00B0157E">
        <w:rPr>
          <w:rFonts w:eastAsia="MS Mincho"/>
          <w:lang w:val="en-AU"/>
        </w:rPr>
        <w:t xml:space="preserve">large number of treatments </w:t>
      </w:r>
      <w:r w:rsidR="00287160" w:rsidRPr="00B0157E">
        <w:rPr>
          <w:rFonts w:eastAsia="MS Mincho"/>
          <w:lang w:val="en-AU"/>
        </w:rPr>
        <w:t xml:space="preserve">each </w:t>
      </w:r>
      <w:r w:rsidRPr="00B0157E">
        <w:rPr>
          <w:rFonts w:eastAsia="MS Mincho"/>
          <w:lang w:val="en-AU"/>
        </w:rPr>
        <w:t xml:space="preserve">year. </w:t>
      </w:r>
      <w:r w:rsidR="00504CE2" w:rsidRPr="00B0157E">
        <w:rPr>
          <w:rFonts w:eastAsia="MS Mincho"/>
          <w:lang w:val="en-AU"/>
        </w:rPr>
        <w:t xml:space="preserve">Over the last five years, </w:t>
      </w:r>
      <w:r w:rsidR="005C7DD2" w:rsidRPr="00B0157E">
        <w:rPr>
          <w:rFonts w:eastAsia="MS Mincho"/>
          <w:lang w:val="en-AU"/>
        </w:rPr>
        <w:t xml:space="preserve">for example, </w:t>
      </w:r>
      <w:r w:rsidR="005D18B3" w:rsidRPr="00B0157E">
        <w:rPr>
          <w:rFonts w:eastAsia="MS Mincho"/>
          <w:lang w:val="en-AU"/>
        </w:rPr>
        <w:t xml:space="preserve">service volume </w:t>
      </w:r>
      <w:r w:rsidR="00706F0B" w:rsidRPr="00B0157E">
        <w:rPr>
          <w:rFonts w:eastAsia="MS Mincho"/>
          <w:lang w:val="en-AU"/>
        </w:rPr>
        <w:t>has grown</w:t>
      </w:r>
      <w:r w:rsidR="005D18B3" w:rsidRPr="00B0157E">
        <w:rPr>
          <w:rFonts w:eastAsia="MS Mincho"/>
          <w:lang w:val="en-AU"/>
        </w:rPr>
        <w:t xml:space="preserve"> by an annual </w:t>
      </w:r>
      <w:r w:rsidR="00F25105" w:rsidRPr="00B0157E">
        <w:rPr>
          <w:rFonts w:eastAsiaTheme="minorHAnsi"/>
          <w:lang w:val="en-AU"/>
        </w:rPr>
        <w:t>a</w:t>
      </w:r>
      <w:r w:rsidR="00FE5D68" w:rsidRPr="00B0157E">
        <w:rPr>
          <w:rFonts w:eastAsiaTheme="minorHAnsi"/>
          <w:lang w:val="en-AU"/>
        </w:rPr>
        <w:t xml:space="preserve">verage </w:t>
      </w:r>
      <w:r w:rsidR="006F24FF" w:rsidRPr="00B0157E">
        <w:rPr>
          <w:rFonts w:eastAsiaTheme="minorHAnsi"/>
          <w:lang w:val="en-AU"/>
        </w:rPr>
        <w:t xml:space="preserve">of </w:t>
      </w:r>
      <w:r w:rsidR="004D2A26" w:rsidRPr="00B0157E">
        <w:rPr>
          <w:rFonts w:eastAsiaTheme="minorHAnsi"/>
          <w:lang w:val="en-AU"/>
        </w:rPr>
        <w:t>4</w:t>
      </w:r>
      <w:r w:rsidR="00990ED2" w:rsidRPr="00B0157E">
        <w:rPr>
          <w:rFonts w:eastAsiaTheme="minorHAnsi"/>
          <w:lang w:val="en-AU"/>
        </w:rPr>
        <w:t xml:space="preserve"> per</w:t>
      </w:r>
      <w:r w:rsidR="0010704E" w:rsidRPr="00B0157E">
        <w:rPr>
          <w:rFonts w:eastAsiaTheme="minorHAnsi"/>
          <w:lang w:val="en-AU"/>
        </w:rPr>
        <w:t xml:space="preserve"> </w:t>
      </w:r>
      <w:r w:rsidR="00990ED2" w:rsidRPr="00B0157E">
        <w:rPr>
          <w:rFonts w:eastAsiaTheme="minorHAnsi"/>
          <w:lang w:val="en-AU"/>
        </w:rPr>
        <w:t>cent</w:t>
      </w:r>
      <w:r w:rsidR="00C1346F" w:rsidRPr="00B0157E">
        <w:rPr>
          <w:rFonts w:eastAsiaTheme="minorHAnsi"/>
          <w:lang w:val="en-AU"/>
        </w:rPr>
        <w:fldChar w:fldCharType="begin" w:fldLock="1"/>
      </w:r>
      <w:r w:rsidR="00C040E7"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C1346F" w:rsidRPr="00B0157E">
        <w:rPr>
          <w:rFonts w:eastAsiaTheme="minorHAnsi"/>
          <w:lang w:val="en-AU"/>
        </w:rPr>
        <w:fldChar w:fldCharType="separate"/>
      </w:r>
      <w:r w:rsidR="00C040E7" w:rsidRPr="00B0157E">
        <w:rPr>
          <w:rFonts w:eastAsiaTheme="minorHAnsi"/>
          <w:lang w:val="en-AU"/>
        </w:rPr>
        <w:t>[2]</w:t>
      </w:r>
      <w:r w:rsidR="00C1346F" w:rsidRPr="00B0157E">
        <w:rPr>
          <w:rFonts w:eastAsiaTheme="minorHAnsi"/>
          <w:lang w:val="en-AU"/>
        </w:rPr>
        <w:fldChar w:fldCharType="end"/>
      </w:r>
      <w:r w:rsidR="00990ED2" w:rsidRPr="00B0157E">
        <w:rPr>
          <w:rFonts w:eastAsiaTheme="minorHAnsi"/>
          <w:lang w:val="en-AU"/>
        </w:rPr>
        <w:t xml:space="preserve"> (</w:t>
      </w:r>
      <w:r w:rsidRPr="00B0157E">
        <w:rPr>
          <w:rFonts w:eastAsiaTheme="minorHAnsi"/>
          <w:lang w:val="en-AU"/>
        </w:rPr>
        <w:t>compared to population growth of 1.3</w:t>
      </w:r>
      <w:r w:rsidR="00990ED2" w:rsidRPr="00B0157E">
        <w:rPr>
          <w:rFonts w:eastAsiaTheme="minorHAnsi"/>
          <w:lang w:val="en-AU"/>
        </w:rPr>
        <w:t xml:space="preserve"> per</w:t>
      </w:r>
      <w:r w:rsidR="00CA45B2" w:rsidRPr="00B0157E">
        <w:rPr>
          <w:rFonts w:eastAsiaTheme="minorHAnsi"/>
          <w:lang w:val="en-AU"/>
        </w:rPr>
        <w:t xml:space="preserve"> </w:t>
      </w:r>
      <w:r w:rsidR="00990ED2" w:rsidRPr="00B0157E">
        <w:rPr>
          <w:rFonts w:eastAsiaTheme="minorHAnsi"/>
          <w:lang w:val="en-AU"/>
        </w:rPr>
        <w:t>cent</w:t>
      </w:r>
      <w:r w:rsidR="008A2412" w:rsidRPr="00B0157E">
        <w:rPr>
          <w:rFonts w:eastAsiaTheme="minorHAnsi"/>
          <w:lang w:val="en-AU"/>
        </w:rPr>
        <w:t>).</w:t>
      </w:r>
      <w:r w:rsidR="00C1346F" w:rsidRPr="00B0157E">
        <w:rPr>
          <w:rFonts w:eastAsiaTheme="minorHAnsi"/>
          <w:lang w:val="en-AU"/>
        </w:rPr>
        <w:fldChar w:fldCharType="begin" w:fldLock="1"/>
      </w:r>
      <w:r w:rsidR="00C040E7" w:rsidRPr="00B0157E">
        <w:rPr>
          <w:rFonts w:eastAsiaTheme="minorHAnsi"/>
          <w:lang w:val="en-AU"/>
        </w:rPr>
        <w:instrText>ADDIN CSL_CITATION { "citationItems" : [ { "id" : "ITEM-1", "itemData" : { "URL" : "http://www.abs.gov.au/ausstats/abs@.nsf/Previousproducts/3101.0Main Features1Jun 2015?opendocument&amp;tabname=Summary&amp;prodno=3101.0&amp;issue=Jun 2015&amp;num=&amp;view=", "accessed" : { "date-parts" : [ [ "2016", "4", "25" ] ] }, "author" : [ { "dropping-particle" : "", "family" : "Statistics", "given" : "Australian Bureau of", "non-dropping-particle" : "", "parse-names" : false, "suffix" : "" } ], "container-title" : "3101.0 - Australian Demographic statistics Jun 2010 and Jun 2015", "id" : "ITEM-1", "issued" : { "date-parts" : [ [ "0" ] ] }, "title" : "Australian Demographic Statistics", "type" : "webpage" }, "uris" : [ "http://www.mendeley.com/documents/?uuid=d10251fe-4e2e-47b7-90e6-eb7e0d334d4c" ] } ], "mendeley" : { "formattedCitation" : "[3]", "plainTextFormattedCitation" : "[3]", "previouslyFormattedCitation" : "[3]" }, "properties" : { "noteIndex" : 0 }, "schema" : "https://github.com/citation-style-language/schema/raw/master/csl-citation.json" }</w:instrText>
      </w:r>
      <w:r w:rsidR="00C1346F" w:rsidRPr="00B0157E">
        <w:rPr>
          <w:rFonts w:eastAsiaTheme="minorHAnsi"/>
          <w:lang w:val="en-AU"/>
        </w:rPr>
        <w:fldChar w:fldCharType="separate"/>
      </w:r>
      <w:r w:rsidR="00C040E7" w:rsidRPr="00B0157E">
        <w:rPr>
          <w:rFonts w:eastAsiaTheme="minorHAnsi"/>
          <w:lang w:val="en-AU"/>
        </w:rPr>
        <w:t>[3]</w:t>
      </w:r>
      <w:r w:rsidR="00C1346F" w:rsidRPr="00B0157E">
        <w:rPr>
          <w:rFonts w:eastAsiaTheme="minorHAnsi"/>
          <w:lang w:val="en-AU"/>
        </w:rPr>
        <w:fldChar w:fldCharType="end"/>
      </w:r>
      <w:r w:rsidRPr="00B0157E">
        <w:rPr>
          <w:rFonts w:eastAsiaTheme="minorHAnsi"/>
          <w:lang w:val="en-AU"/>
        </w:rPr>
        <w:t xml:space="preserve"> In</w:t>
      </w:r>
      <w:r w:rsidR="00990ED2" w:rsidRPr="00B0157E">
        <w:rPr>
          <w:rFonts w:eastAsiaTheme="minorHAnsi"/>
          <w:lang w:val="en-AU"/>
        </w:rPr>
        <w:t xml:space="preserve"> </w:t>
      </w:r>
      <w:r w:rsidR="00A522D3" w:rsidRPr="00B0157E">
        <w:rPr>
          <w:rFonts w:eastAsiaTheme="minorHAnsi"/>
          <w:lang w:val="en-AU"/>
        </w:rPr>
        <w:t xml:space="preserve">FY </w:t>
      </w:r>
      <w:r w:rsidRPr="00B0157E">
        <w:rPr>
          <w:rFonts w:eastAsiaTheme="minorHAnsi"/>
          <w:lang w:val="en-AU"/>
        </w:rPr>
        <w:t>2014/15</w:t>
      </w:r>
      <w:r w:rsidR="00FE5D68" w:rsidRPr="00B0157E">
        <w:rPr>
          <w:rFonts w:eastAsiaTheme="minorHAnsi"/>
          <w:lang w:val="en-AU"/>
        </w:rPr>
        <w:t>,</w:t>
      </w:r>
      <w:r w:rsidRPr="00B0157E">
        <w:rPr>
          <w:rFonts w:eastAsiaTheme="minorHAnsi"/>
          <w:lang w:val="en-AU"/>
        </w:rPr>
        <w:t xml:space="preserve"> the</w:t>
      </w:r>
      <w:r w:rsidR="004D2A26" w:rsidRPr="00B0157E">
        <w:rPr>
          <w:rFonts w:eastAsiaTheme="minorHAnsi"/>
          <w:lang w:val="en-AU"/>
        </w:rPr>
        <w:t>re were 27</w:t>
      </w:r>
      <w:r w:rsidR="00F86315" w:rsidRPr="00B0157E">
        <w:rPr>
          <w:rFonts w:eastAsiaTheme="minorHAnsi"/>
          <w:lang w:val="en-AU"/>
        </w:rPr>
        <w:t xml:space="preserve"> treatments per patient, on</w:t>
      </w:r>
      <w:r w:rsidRPr="00B0157E">
        <w:rPr>
          <w:rFonts w:eastAsiaTheme="minorHAnsi"/>
          <w:lang w:val="en-AU"/>
        </w:rPr>
        <w:t xml:space="preserve"> average</w:t>
      </w:r>
      <w:r w:rsidR="00FC132B" w:rsidRPr="00B0157E">
        <w:rPr>
          <w:rFonts w:eastAsiaTheme="minorHAnsi"/>
          <w:lang w:val="en-AU"/>
        </w:rPr>
        <w:t>.</w:t>
      </w:r>
      <w:r w:rsidR="00C1346F" w:rsidRPr="00B0157E">
        <w:rPr>
          <w:rFonts w:eastAsiaTheme="minorHAnsi"/>
          <w:lang w:val="en-AU"/>
        </w:rPr>
        <w:fldChar w:fldCharType="begin" w:fldLock="1"/>
      </w:r>
      <w:r w:rsidR="00C040E7"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C1346F" w:rsidRPr="00B0157E">
        <w:rPr>
          <w:rFonts w:eastAsiaTheme="minorHAnsi"/>
          <w:lang w:val="en-AU"/>
        </w:rPr>
        <w:fldChar w:fldCharType="separate"/>
      </w:r>
      <w:r w:rsidR="00C040E7" w:rsidRPr="00B0157E">
        <w:rPr>
          <w:rFonts w:eastAsiaTheme="minorHAnsi"/>
          <w:lang w:val="en-AU"/>
        </w:rPr>
        <w:t>[2]</w:t>
      </w:r>
      <w:r w:rsidR="00C1346F" w:rsidRPr="00B0157E">
        <w:rPr>
          <w:rFonts w:eastAsiaTheme="minorHAnsi"/>
          <w:lang w:val="en-AU"/>
        </w:rPr>
        <w:fldChar w:fldCharType="end"/>
      </w:r>
      <w:r w:rsidR="004D2A26" w:rsidRPr="00B0157E">
        <w:rPr>
          <w:rFonts w:eastAsiaTheme="minorHAnsi"/>
          <w:lang w:val="en-AU"/>
        </w:rPr>
        <w:t xml:space="preserve"> </w:t>
      </w:r>
      <w:r w:rsidR="00323BF0" w:rsidRPr="00B0157E">
        <w:rPr>
          <w:rFonts w:eastAsiaTheme="minorHAnsi"/>
          <w:lang w:val="en-AU"/>
        </w:rPr>
        <w:t xml:space="preserve">Approximately 55 </w:t>
      </w:r>
      <w:r w:rsidRPr="00B0157E">
        <w:rPr>
          <w:rFonts w:eastAsiaTheme="minorHAnsi"/>
          <w:lang w:val="en-AU"/>
        </w:rPr>
        <w:t xml:space="preserve">patients </w:t>
      </w:r>
      <w:r w:rsidR="00323BF0" w:rsidRPr="00B0157E">
        <w:rPr>
          <w:rFonts w:eastAsiaTheme="minorHAnsi"/>
          <w:lang w:val="en-AU"/>
        </w:rPr>
        <w:t xml:space="preserve">who </w:t>
      </w:r>
      <w:r w:rsidRPr="00B0157E">
        <w:rPr>
          <w:rFonts w:eastAsiaTheme="minorHAnsi"/>
          <w:lang w:val="en-AU"/>
        </w:rPr>
        <w:t>received</w:t>
      </w:r>
      <w:r w:rsidR="00323BF0" w:rsidRPr="00B0157E">
        <w:rPr>
          <w:rFonts w:eastAsiaTheme="minorHAnsi"/>
          <w:lang w:val="en-AU"/>
        </w:rPr>
        <w:t xml:space="preserve"> a treatment in 2014 had more than 150 treatments within a</w:t>
      </w:r>
      <w:r w:rsidRPr="00B0157E">
        <w:rPr>
          <w:rFonts w:eastAsiaTheme="minorHAnsi"/>
          <w:lang w:val="en-AU"/>
        </w:rPr>
        <w:t xml:space="preserve"> 12</w:t>
      </w:r>
      <w:r w:rsidR="00950B57" w:rsidRPr="00B0157E">
        <w:rPr>
          <w:rFonts w:eastAsiaTheme="minorHAnsi"/>
          <w:lang w:val="en-AU"/>
        </w:rPr>
        <w:t>-</w:t>
      </w:r>
      <w:r w:rsidRPr="00B0157E">
        <w:rPr>
          <w:rFonts w:eastAsiaTheme="minorHAnsi"/>
          <w:lang w:val="en-AU"/>
        </w:rPr>
        <w:t>month</w:t>
      </w:r>
      <w:r w:rsidR="009643AA" w:rsidRPr="00B0157E">
        <w:rPr>
          <w:rFonts w:eastAsiaTheme="minorHAnsi"/>
          <w:lang w:val="en-AU"/>
        </w:rPr>
        <w:t xml:space="preserve"> period.</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"0" ] ] }, "title" : "MBS data - Q20396", "type" : "report" }, "uris" : [ "http://www.mendeley.com/documents/?uuid=16efeeed-acff-4861-95b8-4af80a1cdb4f" ] } ], "mendeley" : { "formattedCitation" : "[7]", "plainTextFormattedCitation" : "[7]", "previouslyFormattedCitation" : "[7]"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[7]</w:t>
      </w:r>
      <w:r w:rsidR="00C1346F" w:rsidRPr="00B0157E">
        <w:rPr>
          <w:rFonts w:eastAsiaTheme="minorHAnsi"/>
          <w:lang w:val="en-AU"/>
        </w:rPr>
        <w:fldChar w:fldCharType="end"/>
      </w:r>
      <w:r w:rsidR="004A352E">
        <w:rPr>
          <w:rFonts w:eastAsiaTheme="minorHAnsi"/>
          <w:lang w:val="en-AU"/>
        </w:rPr>
        <w:t xml:space="preserve"> </w:t>
      </w:r>
    </w:p>
    <w:p w14:paraId="740F1727" w14:textId="77777777" w:rsidR="003A517A" w:rsidRPr="00B0157E" w:rsidRDefault="00791B0B">
      <w:pPr>
        <w:pStyle w:val="01squarebullet"/>
        <w:rPr>
          <w:rFonts w:eastAsiaTheme="minorHAnsi"/>
          <w:lang w:val="en-AU"/>
        </w:rPr>
      </w:pPr>
      <w:r w:rsidRPr="00B0157E">
        <w:rPr>
          <w:rFonts w:eastAsia="MS Mincho"/>
          <w:lang w:val="en-AU"/>
        </w:rPr>
        <w:t>Drawing</w:t>
      </w:r>
      <w:r w:rsidR="00E4252C" w:rsidRPr="00B0157E">
        <w:rPr>
          <w:rFonts w:eastAsia="MS Mincho"/>
          <w:lang w:val="en-AU"/>
        </w:rPr>
        <w:t xml:space="preserve"> on international guidelines and</w:t>
      </w:r>
      <w:r w:rsidR="00F74ED1" w:rsidRPr="00B0157E">
        <w:rPr>
          <w:rFonts w:eastAsia="MS Mincho"/>
          <w:lang w:val="en-AU"/>
        </w:rPr>
        <w:t xml:space="preserve"> </w:t>
      </w:r>
      <w:r w:rsidR="007430F8" w:rsidRPr="00B0157E">
        <w:rPr>
          <w:rFonts w:eastAsia="MS Mincho"/>
          <w:lang w:val="en-AU"/>
        </w:rPr>
        <w:t>the</w:t>
      </w:r>
      <w:r w:rsidR="00E4252C" w:rsidRPr="00B0157E">
        <w:rPr>
          <w:rFonts w:eastAsia="MS Mincho"/>
          <w:lang w:val="en-AU"/>
        </w:rPr>
        <w:t xml:space="preserve"> clinical judgement</w:t>
      </w:r>
      <w:r w:rsidR="007430F8" w:rsidRPr="00B0157E">
        <w:rPr>
          <w:rFonts w:eastAsia="MS Mincho"/>
          <w:lang w:val="en-AU"/>
        </w:rPr>
        <w:t xml:space="preserve"> of its members</w:t>
      </w:r>
      <w:r w:rsidR="00E4252C" w:rsidRPr="00B0157E">
        <w:rPr>
          <w:rFonts w:eastAsia="MS Mincho"/>
          <w:lang w:val="en-AU"/>
        </w:rPr>
        <w:t>,</w:t>
      </w:r>
      <w:r w:rsidR="007430F8" w:rsidRPr="00B0157E">
        <w:rPr>
          <w:rFonts w:eastAsia="MS Mincho"/>
          <w:lang w:val="en-AU"/>
        </w:rPr>
        <w:t xml:space="preserve"> the</w:t>
      </w:r>
      <w:r w:rsidR="00E4252C" w:rsidRPr="00B0157E">
        <w:rPr>
          <w:rFonts w:eastAsia="MS Mincho"/>
          <w:lang w:val="en-AU"/>
        </w:rPr>
        <w:t xml:space="preserve"> Committee </w:t>
      </w:r>
      <w:r w:rsidR="0079361B" w:rsidRPr="00B0157E">
        <w:rPr>
          <w:rFonts w:eastAsia="MS Mincho"/>
          <w:lang w:val="en-AU"/>
        </w:rPr>
        <w:t>agreed</w:t>
      </w:r>
      <w:r w:rsidR="00E4252C" w:rsidRPr="00B0157E">
        <w:rPr>
          <w:rFonts w:eastAsia="MS Mincho"/>
          <w:lang w:val="en-AU"/>
        </w:rPr>
        <w:t xml:space="preserve"> that </w:t>
      </w:r>
      <w:r w:rsidR="000B0085" w:rsidRPr="00B0157E">
        <w:rPr>
          <w:rFonts w:eastAsia="MS Mincho"/>
          <w:lang w:val="en-AU"/>
        </w:rPr>
        <w:t xml:space="preserve">limiting UV exposure by </w:t>
      </w:r>
      <w:r w:rsidR="00E4252C" w:rsidRPr="00B0157E">
        <w:rPr>
          <w:rFonts w:eastAsia="MS Mincho"/>
          <w:lang w:val="en-AU"/>
        </w:rPr>
        <w:t>r</w:t>
      </w:r>
      <w:r w:rsidR="00AD7B1E" w:rsidRPr="00B0157E">
        <w:rPr>
          <w:rFonts w:eastAsia="MS Mincho"/>
          <w:lang w:val="en-AU"/>
        </w:rPr>
        <w:t xml:space="preserve">estricting use to a maximum of 150 treatments per patient </w:t>
      </w:r>
      <w:r w:rsidR="0029759F" w:rsidRPr="00B0157E">
        <w:rPr>
          <w:rFonts w:eastAsia="MS Mincho"/>
          <w:lang w:val="en-AU"/>
        </w:rPr>
        <w:t>over a 12</w:t>
      </w:r>
      <w:r w:rsidR="002E2F53" w:rsidRPr="00B0157E">
        <w:rPr>
          <w:rFonts w:eastAsia="MS Mincho"/>
          <w:lang w:val="en-AU"/>
        </w:rPr>
        <w:t>-</w:t>
      </w:r>
      <w:r w:rsidR="0029759F" w:rsidRPr="00B0157E">
        <w:rPr>
          <w:rFonts w:eastAsia="MS Mincho"/>
          <w:lang w:val="en-AU"/>
        </w:rPr>
        <w:t>month period</w:t>
      </w:r>
      <w:r w:rsidR="002E2F53" w:rsidRPr="00B0157E">
        <w:rPr>
          <w:rFonts w:eastAsia="MS Mincho"/>
          <w:lang w:val="en-AU"/>
        </w:rPr>
        <w:t xml:space="preserve"> </w:t>
      </w:r>
      <w:r w:rsidR="007747A5" w:rsidRPr="00B0157E">
        <w:rPr>
          <w:rFonts w:eastAsia="MS Mincho"/>
          <w:lang w:val="en-AU"/>
        </w:rPr>
        <w:t>(with</w:t>
      </w:r>
      <w:r w:rsidR="000A3D88" w:rsidRPr="00B0157E">
        <w:rPr>
          <w:rFonts w:eastAsia="MS Mincho"/>
          <w:lang w:val="en-AU"/>
        </w:rPr>
        <w:t xml:space="preserve"> appropriate use guidelines in</w:t>
      </w:r>
      <w:r w:rsidR="007747A5" w:rsidRPr="00B0157E">
        <w:rPr>
          <w:rFonts w:eastAsia="MS Mincho"/>
          <w:lang w:val="en-AU"/>
        </w:rPr>
        <w:t>cluded in</w:t>
      </w:r>
      <w:r w:rsidR="000A3D88" w:rsidRPr="00B0157E">
        <w:rPr>
          <w:rFonts w:eastAsia="MS Mincho"/>
          <w:lang w:val="en-AU"/>
        </w:rPr>
        <w:t xml:space="preserve"> the explanatory notes</w:t>
      </w:r>
      <w:r w:rsidR="007747A5" w:rsidRPr="00B0157E">
        <w:rPr>
          <w:rFonts w:eastAsia="MS Mincho"/>
          <w:lang w:val="en-AU"/>
        </w:rPr>
        <w:t>)</w:t>
      </w:r>
      <w:r w:rsidR="007C2CA0" w:rsidRPr="00B0157E">
        <w:rPr>
          <w:rFonts w:eastAsia="MS Mincho"/>
          <w:lang w:val="en-AU"/>
        </w:rPr>
        <w:t xml:space="preserve"> would </w:t>
      </w:r>
      <w:r w:rsidR="00F54B88" w:rsidRPr="00B0157E">
        <w:rPr>
          <w:rFonts w:eastAsia="MS Mincho"/>
          <w:lang w:val="en-AU"/>
        </w:rPr>
        <w:t xml:space="preserve">improve </w:t>
      </w:r>
      <w:r w:rsidR="007C2CA0" w:rsidRPr="00B0157E">
        <w:rPr>
          <w:rFonts w:eastAsia="MS Mincho"/>
          <w:lang w:val="en-AU"/>
        </w:rPr>
        <w:t>patient safety</w:t>
      </w:r>
      <w:r w:rsidR="006C0251" w:rsidRPr="00B0157E">
        <w:rPr>
          <w:rFonts w:eastAsia="MS Mincho"/>
          <w:lang w:val="en-AU"/>
        </w:rPr>
        <w:t xml:space="preserve">, particularly </w:t>
      </w:r>
      <w:r w:rsidR="00A143C5" w:rsidRPr="00B0157E">
        <w:rPr>
          <w:rFonts w:eastAsia="MS Mincho"/>
          <w:lang w:val="en-AU"/>
        </w:rPr>
        <w:t xml:space="preserve">as </w:t>
      </w:r>
      <w:r w:rsidR="006C0251" w:rsidRPr="00B0157E">
        <w:rPr>
          <w:rFonts w:eastAsia="MS Mincho"/>
          <w:lang w:val="en-AU"/>
        </w:rPr>
        <w:t xml:space="preserve">there is </w:t>
      </w:r>
      <w:r w:rsidR="00A41233" w:rsidRPr="00B0157E">
        <w:rPr>
          <w:rFonts w:eastAsia="MS Mincho"/>
          <w:lang w:val="en-AU"/>
        </w:rPr>
        <w:t xml:space="preserve">currently </w:t>
      </w:r>
      <w:r w:rsidR="006C0251" w:rsidRPr="00B0157E">
        <w:rPr>
          <w:rFonts w:eastAsia="MS Mincho"/>
          <w:lang w:val="en-AU"/>
        </w:rPr>
        <w:t>no cap on a patient</w:t>
      </w:r>
      <w:r w:rsidR="00A41233" w:rsidRPr="00B0157E">
        <w:rPr>
          <w:rFonts w:eastAsia="MS Mincho"/>
          <w:lang w:val="en-AU"/>
        </w:rPr>
        <w:t>’</w:t>
      </w:r>
      <w:r w:rsidR="00B0157E" w:rsidRPr="00B0157E">
        <w:rPr>
          <w:rFonts w:eastAsia="MS Mincho"/>
          <w:lang w:val="en-AU"/>
        </w:rPr>
        <w:t>s UV </w:t>
      </w:r>
      <w:r w:rsidR="006C0251" w:rsidRPr="00B0157E">
        <w:rPr>
          <w:rFonts w:eastAsia="MS Mincho"/>
          <w:lang w:val="en-AU"/>
        </w:rPr>
        <w:t>exposure under these items</w:t>
      </w:r>
      <w:r w:rsidR="00AD7B1E" w:rsidRPr="00B0157E">
        <w:rPr>
          <w:rFonts w:eastAsia="MS Mincho"/>
          <w:lang w:val="en-AU"/>
        </w:rPr>
        <w:t>.</w:t>
      </w:r>
      <w:r w:rsidR="001E6661" w:rsidRPr="00B0157E">
        <w:rPr>
          <w:rFonts w:eastAsia="MS Mincho"/>
          <w:lang w:val="en-AU"/>
        </w:rPr>
        <w:t xml:space="preserve"> This restriction aligns with</w:t>
      </w:r>
      <w:r w:rsidR="00083D21" w:rsidRPr="00B0157E">
        <w:rPr>
          <w:rFonts w:eastAsia="MS Mincho"/>
          <w:lang w:val="en-AU"/>
        </w:rPr>
        <w:t xml:space="preserve"> the literature</w:t>
      </w:r>
      <w:r w:rsidR="00783D70" w:rsidRPr="00B0157E">
        <w:rPr>
          <w:rFonts w:eastAsia="MS Mincho"/>
          <w:lang w:val="en-AU"/>
        </w:rPr>
        <w:t xml:space="preserve"> and</w:t>
      </w:r>
      <w:r w:rsidR="00083D21" w:rsidRPr="00B0157E">
        <w:rPr>
          <w:rFonts w:eastAsia="MS Mincho"/>
          <w:lang w:val="en-AU"/>
        </w:rPr>
        <w:t xml:space="preserve"> </w:t>
      </w:r>
      <w:r w:rsidR="00002800" w:rsidRPr="00B0157E">
        <w:rPr>
          <w:rFonts w:eastAsia="MS Mincho"/>
          <w:lang w:val="en-AU"/>
        </w:rPr>
        <w:t>a number of guidelines for treating different conditions</w:t>
      </w:r>
      <w:r w:rsidR="00197152" w:rsidRPr="00B0157E">
        <w:rPr>
          <w:rFonts w:eastAsia="MS Mincho"/>
          <w:lang w:val="en-AU"/>
        </w:rPr>
        <w:t>, such as those outlined below.</w:t>
      </w:r>
      <w:r w:rsidR="00002800" w:rsidRPr="00B0157E">
        <w:rPr>
          <w:rFonts w:eastAsia="MS Mincho"/>
          <w:lang w:val="en-AU"/>
        </w:rPr>
        <w:t xml:space="preserve"> </w:t>
      </w:r>
      <w:r w:rsidR="003A517A" w:rsidRPr="00B0157E">
        <w:rPr>
          <w:rFonts w:eastAsia="MS Mincho"/>
          <w:lang w:val="en-AU"/>
        </w:rPr>
        <w:tab/>
      </w:r>
    </w:p>
    <w:p w14:paraId="01F825E3" w14:textId="77777777" w:rsidR="00B7636F" w:rsidRPr="00B0157E" w:rsidRDefault="00F54B88">
      <w:pPr>
        <w:pStyle w:val="02dash"/>
        <w:rPr>
          <w:rFonts w:eastAsiaTheme="minorHAnsi"/>
          <w:lang w:val="en-AU"/>
        </w:rPr>
      </w:pPr>
      <w:r w:rsidRPr="00B0157E">
        <w:rPr>
          <w:rFonts w:eastAsiaTheme="minorHAnsi"/>
          <w:lang w:val="en-AU"/>
        </w:rPr>
        <w:t>T</w:t>
      </w:r>
      <w:r w:rsidR="00AD7B1E" w:rsidRPr="00B0157E">
        <w:rPr>
          <w:rFonts w:eastAsiaTheme="minorHAnsi"/>
          <w:lang w:val="en-AU"/>
        </w:rPr>
        <w:t xml:space="preserve">he British Association of Dermatologists’ guidelines for the diagnosis and management of </w:t>
      </w:r>
      <w:r w:rsidR="000957D3" w:rsidRPr="00B0157E">
        <w:rPr>
          <w:rFonts w:eastAsiaTheme="minorHAnsi"/>
          <w:lang w:val="en-AU"/>
        </w:rPr>
        <w:t>v</w:t>
      </w:r>
      <w:r w:rsidR="00AD7B1E" w:rsidRPr="00B0157E">
        <w:rPr>
          <w:rFonts w:eastAsiaTheme="minorHAnsi"/>
          <w:lang w:val="en-AU"/>
        </w:rPr>
        <w:t>itiligo state</w:t>
      </w:r>
      <w:r w:rsidR="000957D3" w:rsidRPr="00B0157E">
        <w:rPr>
          <w:rFonts w:eastAsiaTheme="minorHAnsi"/>
          <w:lang w:val="en-AU"/>
        </w:rPr>
        <w:t>:</w:t>
      </w:r>
      <w:r w:rsidR="00AD7B1E" w:rsidRPr="00B0157E">
        <w:rPr>
          <w:rFonts w:eastAsiaTheme="minorHAnsi"/>
          <w:lang w:val="en-AU"/>
        </w:rPr>
        <w:t xml:space="preserve"> “patients treated with PUVA or UVB should have their treatment closely supervised by a consultant dermatologist and the treatment regimen for patients with skin types I–III should not exceed 200 treatments for NB-UVB and 150 treatments for PUVA</w:t>
      </w:r>
      <w:r w:rsidR="004065C9" w:rsidRPr="00B0157E">
        <w:rPr>
          <w:rFonts w:eastAsiaTheme="minorHAnsi"/>
          <w:lang w:val="en-AU"/>
        </w:rPr>
        <w:t xml:space="preserve"> (lifetime)</w:t>
      </w:r>
      <w:r w:rsidR="00B7636F" w:rsidRPr="00B0157E">
        <w:rPr>
          <w:rFonts w:eastAsiaTheme="minorHAnsi"/>
          <w:lang w:val="en-AU"/>
        </w:rPr>
        <w:t>.</w:t>
      </w:r>
      <w:r w:rsidR="00AD7B1E" w:rsidRPr="00B0157E">
        <w:rPr>
          <w:rFonts w:eastAsiaTheme="minorHAnsi"/>
          <w:lang w:val="en-AU"/>
        </w:rPr>
        <w:t>”</w:t>
      </w:r>
      <w:r w:rsidR="00C1346F" w:rsidRPr="00B0157E">
        <w:rPr>
          <w:rFonts w:eastAsiaTheme="minorHAnsi"/>
          <w:lang w:val="en-AU"/>
        </w:rPr>
        <w:fldChar w:fldCharType="begin" w:fldLock="1"/>
      </w:r>
      <w:r w:rsidR="00C040E7" w:rsidRPr="00B0157E">
        <w:rPr>
          <w:rFonts w:eastAsiaTheme="minorHAnsi"/>
          <w:lang w:val="en-AU"/>
        </w:rPr>
        <w:instrText>ADDIN CSL_CITATION { "citationItems" : [ { "id" : "ITEM-1", "itemData" : { "DOI" : "10.1111/j.1365-2133.2008.08881.x", "ISSN" : "1365-2133", "PMID" : "19036036", "abstract" : "This detailed and user-friendly guideline for the diagnosis and management of vitiligo in children and adults aims to give high quality clinical advice, based on the best available evidence and expert consensus, taking into account patient choice and clinical expertise. The guideline was devised by a structured process and is intended for use by dermatologists and as a resource for interested parties including patients. Recommendations and levels of evidence have been graded according to the method developed by the Scottish Inter-Collegiate Guidelines Network. Where evidence was lacking, research recommendations were made. The types of vitiligo, process of diagnosis in primary and secondary care, and investigation of vitiligo were assessed. Treatments considered include offering no treatment other than camouflage cosmetics and sunscreens, the use of topical potent or highly potent corticosteroids, of vitamin D analogues, and of topical calcineurin inhibitors, and depigmentation with p-(benzyloxy)phenol. The use of systemic treatment, e.g. corticosteroids, ciclosporin and other immunosuppressive agents was analyzed. Phototherapy was considered, including narrowband ultraviolet B (UVB), psoralen with ultraviolet A (UVA), and khellin with UVA or UVB, along with combinations of topical preparations and various forms of UV. Surgical treatments that were assessed include full-thickness and split skin grafting, mini (punch) grafts, autologous epidermal cell suspensions, and autologous skin equivalents. The effectiveness of cognitive therapy and psychological treatments was considered. Therapeutic algorithms using grades of recommendation and levels of evidence have been produced for children and for adults with vitiligo.", "author" : [ { "dropping-particle" : "", "family" : "Gawkrodger", "given" : "D J", "non-dropping-particle" : "", "parse-names" : false, "suffix" : "" }, { "dropping-particle" : "", "family" : "Ormerod", "given" : "A D", "non-dropping-particle" : "", "parse-names" : false, "suffix" : "" }, { "dropping-particle" : "", "family" : "Shaw", "given" : "L", "non-dropping-particle" : "", "parse-names" : false, "suffix" : "" }, { "dropping-particle" : "", "family" : "Mauri-Sole", "given" : "I", "non-dropping-particle" : "", "parse-names" : false, "suffix" : "" }, { "dropping-particle" : "", "family" : "Whitton", "given" : "M E", "non-dropping-particle" : "", "parse-names" : false, "suffix" : "" }, { "dropping-particle" : "", "family" : "Watts", "given" : "M J", "non-dropping-particle" : "", "parse-names" : false, "suffix" : "" }, { "dropping-particle" : "V", "family" : "Anstey", "given" : "A", "non-dropping-particle" : "", "parse-names" : false, "suffix" : "" }, { "dropping-particle" : "", "family" : "Ingham", "given" : "J", "non-dropping-particle" : "", "parse-names" : false, "suffix" : "" }, { "dropping-particle" : "", "family" : "Young", "given" : "K", "non-dropping-particle" : "", "parse-names" : false, "suffix" : "" }, { "dropping-particle" : "", "family" : "Therapy Guidelines and Audit Subcommittee, British Association of Dermatologists", "given" : "", "non-dropping-particle" : "", "parse-names" : false, "suffix" : "" }, { "dropping-particle" : "", "family" : "Clinical Standards Department, Royal College of Physicians of London", "given" : "", "non-dropping-particle" : "", "parse-names" : false, "suffix" : "" }, { "dropping-particle" : "", "family" : "Cochrane Skin Group", "given" : "", "non-dropping-particle" : "", "parse-names" : false, "suffix" : "" }, { "dropping-particle" : "", "family" : "Vitiligo Society", "given" : "", "non-dropping-particle" : "", "parse-names" : false, "suffix" : "" } ], "container-title" : "The British journal of dermatology", "id" : "ITEM-1", "issue" : "5", "issued" : { "date-parts" : [ [ "2008", "11" ] ] }, "page" : "1051-76", "title" : "Guideline for the diagnosis and management of vitiligo.", "type" : "article-journal", "volume" : "159" }, "uris" : [ "http://www.mendeley.com/documents/?uuid=14fc10a8-d462-3516-acc4-b692fd716c49" ] } ], "mendeley" : { "formattedCitation" : "[5]", "plainTextFormattedCitation" : "[5]", "previouslyFormattedCitation" : "[5]" }, "properties" : { "noteIndex" : 0 }, "schema" : "https://github.com/citation-style-language/schema/raw/master/csl-citation.json" }</w:instrText>
      </w:r>
      <w:r w:rsidR="00C1346F" w:rsidRPr="00B0157E">
        <w:rPr>
          <w:rFonts w:eastAsiaTheme="minorHAnsi"/>
          <w:lang w:val="en-AU"/>
        </w:rPr>
        <w:fldChar w:fldCharType="separate"/>
      </w:r>
      <w:r w:rsidR="00C040E7" w:rsidRPr="00B0157E">
        <w:rPr>
          <w:rFonts w:eastAsiaTheme="minorHAnsi"/>
          <w:lang w:val="en-AU"/>
        </w:rPr>
        <w:t>[5]</w:t>
      </w:r>
      <w:r w:rsidR="00C1346F" w:rsidRPr="00B0157E">
        <w:rPr>
          <w:rFonts w:eastAsiaTheme="minorHAnsi"/>
          <w:lang w:val="en-AU"/>
        </w:rPr>
        <w:fldChar w:fldCharType="end"/>
      </w:r>
      <w:r w:rsidR="0065629C" w:rsidRPr="00B0157E">
        <w:rPr>
          <w:rFonts w:eastAsiaTheme="minorHAnsi"/>
          <w:lang w:val="en-AU"/>
        </w:rPr>
        <w:t xml:space="preserve"> </w:t>
      </w:r>
    </w:p>
    <w:p w14:paraId="27D22C8A" w14:textId="77777777" w:rsidR="00AD7B1E" w:rsidRPr="00B0157E" w:rsidRDefault="00917341">
      <w:pPr>
        <w:pStyle w:val="02dash"/>
        <w:rPr>
          <w:rFonts w:eastAsiaTheme="minorHAnsi"/>
          <w:lang w:val="en-AU"/>
        </w:rPr>
      </w:pPr>
      <w:r w:rsidRPr="00B0157E">
        <w:rPr>
          <w:rFonts w:eastAsiaTheme="minorHAnsi"/>
          <w:lang w:val="en-AU"/>
        </w:rPr>
        <w:t>T</w:t>
      </w:r>
      <w:r w:rsidR="0065629C" w:rsidRPr="00B0157E">
        <w:rPr>
          <w:rFonts w:eastAsiaTheme="minorHAnsi"/>
          <w:lang w:val="en-AU"/>
        </w:rPr>
        <w:t xml:space="preserve">he </w:t>
      </w:r>
      <w:r w:rsidR="00AD7B1E" w:rsidRPr="00B0157E">
        <w:rPr>
          <w:rFonts w:eastAsiaTheme="minorHAnsi"/>
          <w:lang w:val="en-AU"/>
        </w:rPr>
        <w:t xml:space="preserve">NICE </w:t>
      </w:r>
      <w:r w:rsidR="00B9100C" w:rsidRPr="00B0157E">
        <w:rPr>
          <w:rFonts w:eastAsiaTheme="minorHAnsi"/>
          <w:lang w:val="en-AU"/>
        </w:rPr>
        <w:t>G</w:t>
      </w:r>
      <w:r w:rsidR="00AD7B1E" w:rsidRPr="00B0157E">
        <w:rPr>
          <w:rFonts w:eastAsiaTheme="minorHAnsi"/>
          <w:lang w:val="en-AU"/>
        </w:rPr>
        <w:t>uidelines</w:t>
      </w:r>
      <w:r w:rsidR="00C1346F" w:rsidRPr="00B0157E">
        <w:rPr>
          <w:rFonts w:eastAsiaTheme="minorHAnsi"/>
          <w:lang w:val="en-AU"/>
        </w:rPr>
        <w:fldChar w:fldCharType="begin" w:fldLock="1"/>
      </w:r>
      <w:r w:rsidR="00C040E7" w:rsidRPr="00B0157E">
        <w:rPr>
          <w:rFonts w:eastAsiaTheme="minorHAnsi"/>
          <w:lang w:val="en-AU"/>
        </w:rPr>
        <w:instrText>ADDIN CSL_CITATION { "citationItems" : [ { "id" : "ITEM-1", "itemData" : { "URL" : "http://pathways.nice.org.uk/pathways/psoriasis#path=view%3A/pathways/psoriasis/phototherapy-for-psoriasis.xml&amp;content=view-node%3Anodes-risk-of-skin-cancer", "accessed" : { "date-parts" : [ [ "2016", "5", "20" ] ] }, "author" : [ { "dropping-particle" : "", "family" : "NICE", "given" : "National Institute for Health and Care Excellent", "non-dropping-particle" : "", "parse-names" : false, "suffix" : "" } ], "id" : "ITEM-1", "issued" : { "date-parts" : [ [ "2016" ] ] }, "title" : "Phototherapy for Psoriasis", "type" : "webpage" }, "uris" : [ "http://www.mendeley.com/documents/?uuid=957ead17-fb3e-48a9-ba40-6dc172987665" ] } ], "mendeley" : { "formattedCitation" : "[4]", "plainTextFormattedCitation" : "[4]", "previouslyFormattedCitation" : "[4]" }, "properties" : { "noteIndex" : 0 }, "schema" : "https://github.com/citation-style-language/schema/raw/master/csl-citation.json" }</w:instrText>
      </w:r>
      <w:r w:rsidR="00C1346F" w:rsidRPr="00B0157E">
        <w:rPr>
          <w:rFonts w:eastAsiaTheme="minorHAnsi"/>
          <w:lang w:val="en-AU"/>
        </w:rPr>
        <w:fldChar w:fldCharType="separate"/>
      </w:r>
      <w:r w:rsidR="00C040E7" w:rsidRPr="00B0157E">
        <w:rPr>
          <w:rFonts w:eastAsiaTheme="minorHAnsi"/>
          <w:lang w:val="en-AU"/>
        </w:rPr>
        <w:t>[4]</w:t>
      </w:r>
      <w:r w:rsidR="00C1346F" w:rsidRPr="00B0157E">
        <w:rPr>
          <w:rFonts w:eastAsiaTheme="minorHAnsi"/>
          <w:lang w:val="en-AU"/>
        </w:rPr>
        <w:fldChar w:fldCharType="end"/>
      </w:r>
      <w:r w:rsidR="00AD7B1E" w:rsidRPr="00B0157E">
        <w:rPr>
          <w:rFonts w:eastAsiaTheme="minorHAnsi"/>
          <w:lang w:val="en-AU"/>
        </w:rPr>
        <w:t xml:space="preserve"> highlight a number </w:t>
      </w:r>
      <w:r w:rsidR="00F54B88" w:rsidRPr="00B0157E">
        <w:rPr>
          <w:rFonts w:eastAsiaTheme="minorHAnsi"/>
          <w:lang w:val="en-AU"/>
        </w:rPr>
        <w:t xml:space="preserve">of </w:t>
      </w:r>
      <w:r w:rsidR="00AD7B1E" w:rsidRPr="00B0157E">
        <w:rPr>
          <w:rFonts w:eastAsiaTheme="minorHAnsi"/>
          <w:lang w:val="en-AU"/>
        </w:rPr>
        <w:t>practices to avoid or consider for patients with plaque or guttate-pattern psoriasis or palmoplantar pustulosis, includ</w:t>
      </w:r>
      <w:r w:rsidR="00BF5F97" w:rsidRPr="00B0157E">
        <w:rPr>
          <w:rFonts w:eastAsiaTheme="minorHAnsi"/>
          <w:lang w:val="en-AU"/>
        </w:rPr>
        <w:t>ing the following</w:t>
      </w:r>
      <w:r w:rsidR="00AD7B1E" w:rsidRPr="00B0157E">
        <w:rPr>
          <w:rFonts w:eastAsiaTheme="minorHAnsi"/>
          <w:lang w:val="en-AU"/>
        </w:rPr>
        <w:t xml:space="preserve">: </w:t>
      </w:r>
    </w:p>
    <w:p w14:paraId="45037104" w14:textId="77777777" w:rsidR="00AD7B1E" w:rsidRPr="00B0157E" w:rsidRDefault="00AD7B1E">
      <w:pPr>
        <w:pStyle w:val="03opensquarebullet"/>
        <w:rPr>
          <w:rFonts w:eastAsiaTheme="minorHAnsi"/>
          <w:lang w:val="en-AU"/>
        </w:rPr>
      </w:pPr>
      <w:r w:rsidRPr="00B0157E">
        <w:rPr>
          <w:rFonts w:eastAsiaTheme="minorHAnsi"/>
          <w:lang w:val="en-AU"/>
        </w:rPr>
        <w:t>“Do not use PUVA when other appropriate treatments are available in: people with a personal history of skin cancer, people who have already received 150 PUVA treatments or children and young people.”</w:t>
      </w:r>
    </w:p>
    <w:p w14:paraId="301390DA" w14:textId="77777777" w:rsidR="00AD7B1E" w:rsidRPr="00B0157E" w:rsidRDefault="00AD7B1E">
      <w:pPr>
        <w:pStyle w:val="03opensquarebullet"/>
        <w:rPr>
          <w:rFonts w:eastAsiaTheme="minorHAnsi"/>
          <w:lang w:val="en-AU"/>
        </w:rPr>
      </w:pPr>
      <w:r w:rsidRPr="00B0157E">
        <w:rPr>
          <w:rFonts w:eastAsiaTheme="minorHAnsi"/>
          <w:lang w:val="en-AU"/>
        </w:rPr>
        <w:t xml:space="preserve">“Do not routinely use phototherapy (narrowband UVB, broadband UVB or psoralen plus ultraviolet A [PUVA]) as maintenance therapy.” </w:t>
      </w:r>
    </w:p>
    <w:p w14:paraId="79A8D255" w14:textId="77777777" w:rsidR="00AD7B1E" w:rsidRPr="00B0157E" w:rsidRDefault="00AD7B1E">
      <w:pPr>
        <w:pStyle w:val="03opensquarebullet"/>
        <w:rPr>
          <w:rFonts w:eastAsiaTheme="minorHAnsi"/>
          <w:lang w:val="en-AU"/>
        </w:rPr>
      </w:pPr>
      <w:r w:rsidRPr="00B0157E">
        <w:rPr>
          <w:rFonts w:eastAsiaTheme="minorHAnsi"/>
          <w:lang w:val="en-AU"/>
        </w:rPr>
        <w:lastRenderedPageBreak/>
        <w:t>“Do not use PUVA in people with psoriasis of any type and a genetic predisposition to</w:t>
      </w:r>
      <w:r w:rsidR="0079441F" w:rsidRPr="00B0157E">
        <w:rPr>
          <w:rFonts w:eastAsiaTheme="minorHAnsi"/>
          <w:lang w:val="en-AU"/>
        </w:rPr>
        <w:t> </w:t>
      </w:r>
      <w:r w:rsidRPr="00B0157E">
        <w:rPr>
          <w:rFonts w:eastAsiaTheme="minorHAnsi"/>
          <w:lang w:val="en-AU"/>
        </w:rPr>
        <w:t>skin cancer, for example xeroderma pigmentosum or familial melanoma.”</w:t>
      </w:r>
    </w:p>
    <w:p w14:paraId="5C9A1098" w14:textId="77777777" w:rsidR="00AD7B1E" w:rsidRPr="00B0157E" w:rsidRDefault="00AD7B1E">
      <w:pPr>
        <w:pStyle w:val="03opensquarebullet"/>
        <w:rPr>
          <w:rFonts w:eastAsiaTheme="minorHAnsi"/>
          <w:lang w:val="en-AU"/>
        </w:rPr>
      </w:pPr>
      <w:r w:rsidRPr="00B0157E">
        <w:rPr>
          <w:rFonts w:eastAsiaTheme="minorHAnsi"/>
          <w:lang w:val="en-AU"/>
        </w:rPr>
        <w:t>“Ensure that a permanent record of a person’s cumulative number of UV treatments is</w:t>
      </w:r>
      <w:r w:rsidR="0079441F" w:rsidRPr="00B0157E">
        <w:rPr>
          <w:rFonts w:eastAsiaTheme="minorHAnsi"/>
          <w:lang w:val="en-AU"/>
        </w:rPr>
        <w:t> </w:t>
      </w:r>
      <w:r w:rsidRPr="00B0157E">
        <w:rPr>
          <w:rFonts w:eastAsiaTheme="minorHAnsi"/>
          <w:lang w:val="en-AU"/>
        </w:rPr>
        <w:t>kept.”</w:t>
      </w:r>
      <w:r w:rsidR="004A352E">
        <w:rPr>
          <w:rFonts w:eastAsiaTheme="minorHAnsi"/>
          <w:lang w:val="en-AU"/>
        </w:rPr>
        <w:t xml:space="preserve"> </w:t>
      </w:r>
    </w:p>
    <w:p w14:paraId="1D7B9207" w14:textId="77777777" w:rsidR="00917341" w:rsidRPr="00B0157E" w:rsidRDefault="00917341">
      <w:pPr>
        <w:pStyle w:val="02dash"/>
        <w:rPr>
          <w:rFonts w:eastAsiaTheme="minorHAnsi"/>
          <w:lang w:val="en-AU"/>
        </w:rPr>
      </w:pPr>
      <w:r w:rsidRPr="00B0157E">
        <w:rPr>
          <w:rFonts w:eastAsiaTheme="minorHAnsi"/>
          <w:lang w:val="en-AU"/>
        </w:rPr>
        <w:t>Olsen et al. (2016)</w:t>
      </w:r>
      <w:r w:rsidR="005C665B" w:rsidRPr="00B0157E">
        <w:rPr>
          <w:rFonts w:eastAsiaTheme="minorHAnsi"/>
          <w:lang w:val="en-AU"/>
        </w:rPr>
        <w:t xml:space="preserve"> state that</w:t>
      </w:r>
      <w:r w:rsidRPr="00B0157E">
        <w:rPr>
          <w:rFonts w:eastAsiaTheme="minorHAnsi"/>
          <w:lang w:val="en-AU"/>
        </w:rPr>
        <w:t xml:space="preserve"> certain rare patients, such as those seeking treatment for cutaneous T-cell lymphoma, may require treatment three times per week for an extended period of time</w:t>
      </w:r>
      <w:r w:rsidR="00EB54A6" w:rsidRPr="00B0157E">
        <w:rPr>
          <w:rFonts w:eastAsiaTheme="minorHAnsi"/>
          <w:lang w:val="en-AU"/>
        </w:rPr>
        <w:t>,</w:t>
      </w:r>
      <w:r w:rsidR="00C1346F" w:rsidRPr="00B0157E">
        <w:rPr>
          <w:rFonts w:eastAsiaTheme="minorHAnsi"/>
          <w:lang w:val="en-AU"/>
        </w:rPr>
        <w:fldChar w:fldCharType="begin" w:fldLock="1"/>
      </w:r>
      <w:r w:rsidRPr="00B0157E">
        <w:rPr>
          <w:rFonts w:eastAsiaTheme="minorHAnsi"/>
          <w:lang w:val="en-AU"/>
        </w:rPr>
        <w:instrText>ADDIN CSL_CITATION { "citationItems" : [ { "id" : "ITEM-1", "itemData" : { "author" : [ { "dropping-particle" : "", "family" : "Olsen", "given" : "Elise A.", "non-dropping-particle" : "", "parse-names" : false, "suffix" : "" }, { "dropping-particle" : "", "family" : "Hodak", "given" : "Emilia", "non-dropping-particle" : "", "parse-names" : false, "suffix" : "" }, { "dropping-particle" : "", "family" : "Anderson", "given" : "Thomas", "non-dropping-particle" : "", "parse-names" : false, "suffix" : "" }, { "dropping-particle" : "", "family" : "Carter", "given" : "Joi B.", "non-dropping-particle" : "", "parse-names" : false, "suffix" : "" }, { "dropping-particle" : "", "family" : "Henderson", "given" : "Marsha", "non-dropping-particle" : "", "parse-names" : false, "suffix" : "" }, { "dropping-particle" : "", "family" : "Cooper", "given" : "Kevin", "non-dropping-particle" : "", "parse-names" : false, "suffix" : "" }, { "dropping-particle" : "", "family" : "Lim", "given" : "Henry W.", "non-dropping-particle" : "", "parse-names" : false, "suffix" : "" } ], "container-title" : "Journal of the American Academy of Dermatology", "id" : "ITEM-1", "issue" : "1", "issued" : { "date-parts" : [ [ "2016" ] ] }, "page" : "27-58", "title" : "Guidelines for phototherapy of mycosis fungoides and S\u00e9zary syndrome: A consensus statement of the United States Cutaneous Lymphoma Consortium", "type" : "article-journal", "volume" : "74" }, "uris" : [ "http://www.mendeley.com/documents/?uuid=09e01c7a-b55a-4177-902e-fe9c03f6720a" ] } ], "mendeley" : { "formattedCitation" : "[8]", "plainTextFormattedCitation" : "[8]", "previouslyFormattedCitation" : "[8]" }, "properties" : { "noteIndex" : 0 }, "schema" : "https://github.com/citation-style-language/schema/raw/master/csl-citation.json" }</w:instrText>
      </w:r>
      <w:r w:rsidR="00C1346F" w:rsidRPr="00B0157E">
        <w:rPr>
          <w:rFonts w:eastAsiaTheme="minorHAnsi"/>
          <w:lang w:val="en-AU"/>
        </w:rPr>
        <w:fldChar w:fldCharType="separate"/>
      </w:r>
      <w:r w:rsidRPr="00B0157E">
        <w:rPr>
          <w:rFonts w:eastAsiaTheme="minorHAnsi"/>
          <w:lang w:val="en-AU"/>
        </w:rPr>
        <w:t>[8]</w:t>
      </w:r>
      <w:r w:rsidR="00C1346F" w:rsidRPr="00B0157E">
        <w:rPr>
          <w:rFonts w:eastAsiaTheme="minorHAnsi"/>
          <w:lang w:val="en-AU"/>
        </w:rPr>
        <w:fldChar w:fldCharType="end"/>
      </w:r>
      <w:r w:rsidRPr="00B0157E">
        <w:rPr>
          <w:rFonts w:eastAsiaTheme="minorHAnsi"/>
          <w:lang w:val="en-AU"/>
        </w:rPr>
        <w:t xml:space="preserve"> which would result in approximately 150 treatments within a 12</w:t>
      </w:r>
      <w:r w:rsidR="00432FEE" w:rsidRPr="00B0157E">
        <w:rPr>
          <w:rFonts w:eastAsiaTheme="minorHAnsi"/>
          <w:lang w:val="en-AU"/>
        </w:rPr>
        <w:t>-</w:t>
      </w:r>
      <w:r w:rsidRPr="00B0157E">
        <w:rPr>
          <w:rFonts w:eastAsiaTheme="minorHAnsi"/>
          <w:lang w:val="en-AU"/>
        </w:rPr>
        <w:t>month period.</w:t>
      </w:r>
    </w:p>
    <w:p w14:paraId="289DE538" w14:textId="251B05B0" w:rsidR="00AD7B1E" w:rsidRPr="00B0157E" w:rsidRDefault="00F0570E">
      <w:pPr>
        <w:pStyle w:val="01squarebullet"/>
        <w:rPr>
          <w:rFonts w:eastAsiaTheme="minorHAnsi"/>
          <w:lang w:val="en-AU"/>
        </w:rPr>
      </w:pPr>
      <w:r w:rsidRPr="00B0157E">
        <w:rPr>
          <w:rFonts w:eastAsia="MS Mincho"/>
          <w:lang w:val="en-AU"/>
        </w:rPr>
        <w:t>The Committee also noted that c</w:t>
      </w:r>
      <w:r w:rsidR="00AD7B1E" w:rsidRPr="00B0157E">
        <w:rPr>
          <w:rFonts w:eastAsia="MS Mincho"/>
          <w:lang w:val="en-AU"/>
        </w:rPr>
        <w:t xml:space="preserve">ombination </w:t>
      </w:r>
      <w:r w:rsidR="00DE21F6" w:rsidRPr="00B0157E">
        <w:rPr>
          <w:rFonts w:eastAsia="MS Mincho"/>
          <w:lang w:val="en-AU"/>
        </w:rPr>
        <w:t xml:space="preserve">phototherapy </w:t>
      </w:r>
      <w:r w:rsidR="00AD7B1E" w:rsidRPr="00B0157E">
        <w:rPr>
          <w:rFonts w:eastAsia="MS Mincho"/>
          <w:lang w:val="en-AU"/>
        </w:rPr>
        <w:t xml:space="preserve">treatment </w:t>
      </w:r>
      <w:r w:rsidR="00F56DE9" w:rsidRPr="00B0157E">
        <w:rPr>
          <w:rFonts w:eastAsia="MS Mincho"/>
          <w:lang w:val="en-AU"/>
        </w:rPr>
        <w:t>i</w:t>
      </w:r>
      <w:r w:rsidR="00AD7B1E" w:rsidRPr="00B0157E">
        <w:rPr>
          <w:rFonts w:eastAsia="MS Mincho"/>
          <w:lang w:val="en-AU"/>
        </w:rPr>
        <w:t xml:space="preserve">s likely </w:t>
      </w:r>
      <w:r w:rsidR="005F388F" w:rsidRPr="00B0157E">
        <w:rPr>
          <w:rFonts w:eastAsia="MS Mincho"/>
          <w:lang w:val="en-AU"/>
        </w:rPr>
        <w:t xml:space="preserve">to be </w:t>
      </w:r>
      <w:r w:rsidR="00AD7B1E" w:rsidRPr="00B0157E">
        <w:rPr>
          <w:rFonts w:eastAsia="MS Mincho"/>
          <w:lang w:val="en-AU"/>
        </w:rPr>
        <w:t xml:space="preserve">ineffective in the long term. </w:t>
      </w:r>
      <w:r w:rsidR="00AF4DE3" w:rsidRPr="00B0157E">
        <w:rPr>
          <w:rFonts w:eastAsia="MS Mincho"/>
          <w:lang w:val="en-AU"/>
        </w:rPr>
        <w:t xml:space="preserve">For example, </w:t>
      </w:r>
      <w:r w:rsidR="00AF4DE3" w:rsidRPr="00B0157E">
        <w:rPr>
          <w:rFonts w:eastAsiaTheme="minorHAnsi"/>
          <w:lang w:val="en-AU"/>
        </w:rPr>
        <w:t>a</w:t>
      </w:r>
      <w:r w:rsidR="00053C73" w:rsidRPr="00B0157E">
        <w:rPr>
          <w:rFonts w:eastAsiaTheme="minorHAnsi"/>
          <w:lang w:val="en-AU"/>
        </w:rPr>
        <w:t xml:space="preserve">n </w:t>
      </w:r>
      <w:r w:rsidR="00AD7B1E" w:rsidRPr="00B0157E">
        <w:rPr>
          <w:rFonts w:eastAsiaTheme="minorHAnsi"/>
          <w:lang w:val="en-AU"/>
        </w:rPr>
        <w:t xml:space="preserve">Australia </w:t>
      </w:r>
      <w:r w:rsidR="00053C73" w:rsidRPr="00B0157E">
        <w:rPr>
          <w:rFonts w:eastAsiaTheme="minorHAnsi"/>
          <w:lang w:val="en-AU"/>
        </w:rPr>
        <w:t xml:space="preserve">study of </w:t>
      </w:r>
      <w:r w:rsidR="00AD7B1E" w:rsidRPr="00B0157E">
        <w:rPr>
          <w:rFonts w:eastAsiaTheme="minorHAnsi"/>
          <w:lang w:val="en-AU"/>
        </w:rPr>
        <w:t xml:space="preserve">150 potential low-value care practices </w:t>
      </w:r>
      <w:r w:rsidR="00053C73" w:rsidRPr="00B0157E">
        <w:rPr>
          <w:rFonts w:eastAsiaTheme="minorHAnsi"/>
          <w:lang w:val="en-AU"/>
        </w:rPr>
        <w:t>found that</w:t>
      </w:r>
      <w:r w:rsidR="00AD7B1E" w:rsidRPr="00B0157E">
        <w:rPr>
          <w:rFonts w:eastAsiaTheme="minorHAnsi"/>
          <w:lang w:val="en-AU"/>
        </w:rPr>
        <w:t xml:space="preserve"> “</w:t>
      </w:r>
      <w:r w:rsidR="00053C73" w:rsidRPr="00B0157E">
        <w:rPr>
          <w:rFonts w:eastAsiaTheme="minorHAnsi"/>
          <w:lang w:val="en-AU"/>
        </w:rPr>
        <w:t>c</w:t>
      </w:r>
      <w:r w:rsidR="00AD7B1E" w:rsidRPr="00B0157E">
        <w:rPr>
          <w:rFonts w:eastAsiaTheme="minorHAnsi"/>
          <w:lang w:val="en-AU"/>
        </w:rPr>
        <w:t>ombination treatment for Vitiligo using UVB to enhance re-pigmentation produces better results but no evidence of long term sustained benefit</w:t>
      </w:r>
      <w:r w:rsidR="0003238F" w:rsidRPr="00B0157E">
        <w:rPr>
          <w:rFonts w:eastAsiaTheme="minorHAnsi"/>
          <w:lang w:val="en-AU"/>
        </w:rPr>
        <w:t>.</w:t>
      </w:r>
      <w:r w:rsidR="00AD7B1E" w:rsidRPr="00B0157E">
        <w:rPr>
          <w:rFonts w:eastAsiaTheme="minorHAnsi"/>
          <w:lang w:val="en-AU"/>
        </w:rPr>
        <w:t>”</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"DOI" : "10.5694/mja12.11083", "ISSN" : "0025729X", "author" : [ { "dropping-particle" : "", "family" : "Elshaug", "given" : "Adam G", "non-dropping-particle" : "", "parse-names" : false, "suffix" : "" }, { "dropping-particle" : "", "family" : "Watt", "given" : "Amber M", "non-dropping-particle" : "", "parse-names" : false, "suffix" : "" }, { "dropping-particle" : "", "family" : "Mundy", "given" : "Linda", "non-dropping-particle" : "", "parse-names" : false, "suffix" : "" }, { "dropping-particle" : "", "family" : "Willis", "given" : "Cameron D", "non-dropping-particle" : "", "parse-names" : false, "suffix" : "" } ], "container-title" : "The Medical Journal of Australia", "id" : "ITEM-1", "issue" : "10", "issued" : { "date-parts" : [ [ "2012", "11", "19" ] ] }, "page" : "556-560 (Appendix)", "title" : "Over 150 potentially low-value health care practices: an Australian study", "type" : "article-journal", "volume" : "197" }, "uris" : [ "http://www.mendeley.com/documents/?uuid=026f0748-d044-3581-900a-e831cc9b5c9b" ] } ], "mendeley" : { "formattedCitation" : "[9]", "plainTextFormattedCitation" : "[9]", "previouslyFormattedCitation" : "[9]"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[9]</w:t>
      </w:r>
      <w:r w:rsidR="00C1346F" w:rsidRPr="00B0157E">
        <w:rPr>
          <w:rFonts w:eastAsiaTheme="minorHAnsi"/>
          <w:lang w:val="en-AU"/>
        </w:rPr>
        <w:fldChar w:fldCharType="end"/>
      </w:r>
      <w:r w:rsidR="004A352E">
        <w:rPr>
          <w:rFonts w:eastAsiaTheme="minorHAnsi"/>
          <w:lang w:val="en-AU"/>
        </w:rPr>
        <w:t xml:space="preserve"> </w:t>
      </w:r>
    </w:p>
    <w:p w14:paraId="4C6F648B" w14:textId="77777777" w:rsidR="00324946" w:rsidRPr="00B0157E" w:rsidRDefault="00E3685F" w:rsidP="00C33ED9">
      <w:pPr>
        <w:pStyle w:val="Heading2"/>
        <w:rPr>
          <w:lang w:val="en-AU"/>
        </w:rPr>
      </w:pPr>
      <w:bookmarkStart w:id="78" w:name="_Toc458774420"/>
      <w:bookmarkStart w:id="79" w:name="_Toc465871870"/>
      <w:r w:rsidRPr="00B0157E">
        <w:rPr>
          <w:lang w:val="en-AU"/>
        </w:rPr>
        <w:t xml:space="preserve">Treatment of benign and malignant </w:t>
      </w:r>
      <w:r w:rsidR="00293551" w:rsidRPr="00B0157E">
        <w:rPr>
          <w:lang w:val="en-AU"/>
        </w:rPr>
        <w:t>neoplasms</w:t>
      </w:r>
      <w:r w:rsidR="004173D8" w:rsidRPr="00B0157E">
        <w:rPr>
          <w:lang w:val="en-AU"/>
        </w:rPr>
        <w:t>:</w:t>
      </w:r>
      <w:r w:rsidR="00293551" w:rsidRPr="00B0157E">
        <w:rPr>
          <w:lang w:val="en-AU"/>
        </w:rPr>
        <w:t xml:space="preserve"> </w:t>
      </w:r>
      <w:r w:rsidR="004173D8" w:rsidRPr="00B0157E">
        <w:rPr>
          <w:lang w:val="en-AU"/>
        </w:rPr>
        <w:t>I</w:t>
      </w:r>
      <w:r w:rsidRPr="00B0157E">
        <w:rPr>
          <w:lang w:val="en-AU"/>
        </w:rPr>
        <w:t>tems 30195</w:t>
      </w:r>
      <w:r w:rsidR="00726026" w:rsidRPr="00B0157E">
        <w:rPr>
          <w:lang w:val="en-AU"/>
        </w:rPr>
        <w:t>–</w:t>
      </w:r>
      <w:r w:rsidRPr="00B0157E">
        <w:rPr>
          <w:lang w:val="en-AU"/>
        </w:rPr>
        <w:t>7</w:t>
      </w:r>
      <w:bookmarkEnd w:id="78"/>
      <w:bookmarkEnd w:id="79"/>
    </w:p>
    <w:p w14:paraId="6871021C" w14:textId="77777777" w:rsidR="00A53250" w:rsidRPr="00B0157E" w:rsidRDefault="00A53250" w:rsidP="00C33ED9">
      <w:pPr>
        <w:pStyle w:val="Caption"/>
        <w:rPr>
          <w:lang w:val="en-AU"/>
        </w:rPr>
      </w:pPr>
      <w:bookmarkStart w:id="80" w:name="_Toc457520562"/>
      <w:bookmarkStart w:id="81" w:name="_Toc459236292"/>
      <w:bookmarkStart w:id="82" w:name="_Toc465871827"/>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4</w:t>
      </w:r>
      <w:r w:rsidR="00C1346F" w:rsidRPr="00B0157E">
        <w:rPr>
          <w:lang w:val="en-AU"/>
        </w:rPr>
        <w:fldChar w:fldCharType="end"/>
      </w:r>
      <w:r w:rsidRPr="00B0157E">
        <w:rPr>
          <w:lang w:val="en-AU"/>
        </w:rPr>
        <w:t xml:space="preserve">: </w:t>
      </w:r>
      <w:r w:rsidR="00B22076" w:rsidRPr="00B0157E">
        <w:rPr>
          <w:lang w:val="en-AU"/>
        </w:rPr>
        <w:t xml:space="preserve">Item introduction table for items </w:t>
      </w:r>
      <w:r w:rsidRPr="00B0157E">
        <w:rPr>
          <w:lang w:val="en-AU"/>
        </w:rPr>
        <w:t>30195</w:t>
      </w:r>
      <w:r w:rsidR="00B22076" w:rsidRPr="00B0157E">
        <w:rPr>
          <w:lang w:val="en-AU"/>
        </w:rPr>
        <w:t>–</w:t>
      </w:r>
      <w:r w:rsidR="000D11E6" w:rsidRPr="00B0157E">
        <w:rPr>
          <w:lang w:val="en-AU"/>
        </w:rPr>
        <w:t>7</w:t>
      </w:r>
      <w:bookmarkEnd w:id="80"/>
      <w:bookmarkEnd w:id="81"/>
      <w:bookmarkEnd w:id="82"/>
      <w:r w:rsidR="000D11E6"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4 is an item introduction table for items 30195-7 which are for treatment for benign and malignant neoplasms.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w:tblPr>
      <w:tblGrid>
        <w:gridCol w:w="716"/>
        <w:gridCol w:w="4111"/>
        <w:gridCol w:w="917"/>
        <w:gridCol w:w="997"/>
        <w:gridCol w:w="1080"/>
        <w:gridCol w:w="1195"/>
      </w:tblGrid>
      <w:tr w:rsidR="00A53250" w:rsidRPr="00B0157E" w14:paraId="5B51031C" w14:textId="77777777">
        <w:trPr>
          <w:tblHeader/>
        </w:trPr>
        <w:tc>
          <w:tcPr>
            <w:tcW w:w="717" w:type="dxa"/>
            <w:shd w:val="clear" w:color="auto" w:fill="F2F2F2" w:themeFill="background1" w:themeFillShade="F2"/>
            <w:vAlign w:val="bottom"/>
          </w:tcPr>
          <w:p w14:paraId="526ACF4D" w14:textId="77777777" w:rsidR="00A53250" w:rsidRPr="00B0157E" w:rsidRDefault="00A53250" w:rsidP="004F0B3F">
            <w:pPr>
              <w:pStyle w:val="02Tabletext"/>
              <w:spacing w:after="20"/>
              <w:rPr>
                <w:b/>
              </w:rPr>
            </w:pPr>
            <w:r w:rsidRPr="00B0157E">
              <w:rPr>
                <w:b/>
              </w:rPr>
              <w:t>Item</w:t>
            </w:r>
          </w:p>
        </w:tc>
        <w:tc>
          <w:tcPr>
            <w:tcW w:w="4119" w:type="dxa"/>
            <w:shd w:val="clear" w:color="auto" w:fill="F2F2F2" w:themeFill="background1" w:themeFillShade="F2"/>
            <w:vAlign w:val="bottom"/>
          </w:tcPr>
          <w:p w14:paraId="669FA2B9" w14:textId="77777777" w:rsidR="00A53250" w:rsidRPr="00B0157E" w:rsidRDefault="00A53250" w:rsidP="004F0B3F">
            <w:pPr>
              <w:pStyle w:val="02Tabletext"/>
              <w:spacing w:after="20"/>
              <w:rPr>
                <w:b/>
              </w:rPr>
            </w:pPr>
            <w:r w:rsidRPr="00B0157E">
              <w:rPr>
                <w:b/>
              </w:rPr>
              <w:t>Descriptor</w:t>
            </w:r>
          </w:p>
          <w:p w14:paraId="153286AD" w14:textId="77777777" w:rsidR="00A53250" w:rsidRPr="00B0157E" w:rsidRDefault="00A53250" w:rsidP="004F0B3F">
            <w:pPr>
              <w:pStyle w:val="02Tabletext"/>
              <w:spacing w:after="20"/>
              <w:rPr>
                <w:b/>
              </w:rPr>
            </w:pPr>
            <w:r w:rsidRPr="00B0157E">
              <w:rPr>
                <w:b/>
              </w:rPr>
              <w:t>[date last amended]</w:t>
            </w:r>
          </w:p>
        </w:tc>
        <w:tc>
          <w:tcPr>
            <w:tcW w:w="917" w:type="dxa"/>
            <w:shd w:val="clear" w:color="auto" w:fill="F2F2F2" w:themeFill="background1" w:themeFillShade="F2"/>
            <w:vAlign w:val="bottom"/>
          </w:tcPr>
          <w:p w14:paraId="4E654ACD" w14:textId="77777777" w:rsidR="00A53250" w:rsidRPr="00B0157E" w:rsidRDefault="00A53250" w:rsidP="004F0B3F">
            <w:pPr>
              <w:pStyle w:val="02Tabletext"/>
              <w:spacing w:after="20"/>
              <w:rPr>
                <w:b/>
              </w:rPr>
            </w:pPr>
            <w:r w:rsidRPr="00B0157E">
              <w:rPr>
                <w:b/>
              </w:rPr>
              <w:t>Schedule</w:t>
            </w:r>
          </w:p>
          <w:p w14:paraId="1EF37DE8" w14:textId="77777777" w:rsidR="00A53250" w:rsidRPr="00B0157E" w:rsidRDefault="00A53250" w:rsidP="004F0B3F">
            <w:pPr>
              <w:pStyle w:val="02Tabletext"/>
              <w:spacing w:after="20"/>
              <w:rPr>
                <w:b/>
              </w:rPr>
            </w:pPr>
            <w:r w:rsidRPr="00B0157E">
              <w:rPr>
                <w:b/>
              </w:rPr>
              <w:t>fee</w:t>
            </w:r>
          </w:p>
        </w:tc>
        <w:tc>
          <w:tcPr>
            <w:tcW w:w="997" w:type="dxa"/>
            <w:shd w:val="clear" w:color="auto" w:fill="F2F2F2" w:themeFill="background1" w:themeFillShade="F2"/>
            <w:vAlign w:val="bottom"/>
          </w:tcPr>
          <w:p w14:paraId="7E31E22D" w14:textId="77777777" w:rsidR="00A53250" w:rsidRPr="00B0157E" w:rsidRDefault="00A53250" w:rsidP="004F0B3F">
            <w:pPr>
              <w:pStyle w:val="02Tabletext"/>
              <w:spacing w:after="20"/>
              <w:rPr>
                <w:b/>
              </w:rPr>
            </w:pPr>
            <w:r w:rsidRPr="00B0157E">
              <w:rPr>
                <w:b/>
              </w:rPr>
              <w:t>Services FY2014/15</w:t>
            </w:r>
          </w:p>
        </w:tc>
        <w:tc>
          <w:tcPr>
            <w:tcW w:w="1080" w:type="dxa"/>
            <w:shd w:val="clear" w:color="auto" w:fill="F2F2F2" w:themeFill="background1" w:themeFillShade="F2"/>
            <w:vAlign w:val="bottom"/>
          </w:tcPr>
          <w:p w14:paraId="5ABEE1B1" w14:textId="77777777" w:rsidR="00A53250" w:rsidRPr="00B0157E" w:rsidRDefault="00A53250" w:rsidP="004F0B3F">
            <w:pPr>
              <w:pStyle w:val="02Tabletext"/>
              <w:spacing w:after="20"/>
              <w:rPr>
                <w:b/>
              </w:rPr>
            </w:pPr>
            <w:r w:rsidRPr="00B0157E">
              <w:rPr>
                <w:b/>
              </w:rPr>
              <w:t>Benefits FY2014/15</w:t>
            </w:r>
          </w:p>
        </w:tc>
        <w:tc>
          <w:tcPr>
            <w:tcW w:w="1196" w:type="dxa"/>
            <w:shd w:val="clear" w:color="auto" w:fill="F2F2F2" w:themeFill="background1" w:themeFillShade="F2"/>
            <w:vAlign w:val="bottom"/>
          </w:tcPr>
          <w:p w14:paraId="67E51B31" w14:textId="77777777" w:rsidR="00A53250" w:rsidRPr="00B0157E" w:rsidRDefault="003E5EBF" w:rsidP="004F0B3F">
            <w:pPr>
              <w:pStyle w:val="02Tabletext"/>
              <w:spacing w:after="20"/>
              <w:rPr>
                <w:b/>
              </w:rPr>
            </w:pPr>
            <w:r>
              <w:rPr>
                <w:b/>
              </w:rPr>
              <w:t>Services 5-</w:t>
            </w:r>
            <w:r w:rsidR="00A53250" w:rsidRPr="00B0157E">
              <w:rPr>
                <w:b/>
              </w:rPr>
              <w:t>year annual avg. growth</w:t>
            </w:r>
          </w:p>
        </w:tc>
      </w:tr>
      <w:tr w:rsidR="00A53250" w:rsidRPr="00B0157E" w14:paraId="19CD2153" w14:textId="77777777">
        <w:tc>
          <w:tcPr>
            <w:tcW w:w="717" w:type="dxa"/>
          </w:tcPr>
          <w:p w14:paraId="4DF140FB" w14:textId="77777777" w:rsidR="00A53250" w:rsidRPr="00B0157E" w:rsidRDefault="00F019C1" w:rsidP="004F0B3F">
            <w:pPr>
              <w:pStyle w:val="02Tabletext"/>
              <w:spacing w:after="20"/>
            </w:pPr>
            <w:r w:rsidRPr="00B0157E">
              <w:t>30195</w:t>
            </w:r>
          </w:p>
        </w:tc>
        <w:tc>
          <w:tcPr>
            <w:tcW w:w="4119" w:type="dxa"/>
          </w:tcPr>
          <w:p w14:paraId="3B56C808" w14:textId="77777777" w:rsidR="00A53250" w:rsidRPr="00B0157E" w:rsidRDefault="00F019C1" w:rsidP="004F0B3F">
            <w:pPr>
              <w:pStyle w:val="02Tabletext"/>
              <w:spacing w:after="20"/>
            </w:pPr>
            <w:r w:rsidRPr="00B0157E">
              <w:t>Benign neoplasm of skin, other than viral verrucae (common warts) seborrheic keratoses, cysts and skin tags, treatment by electrosurgical destruction, simple curettage or shave excision, or laser photocoagulation, not being a service to which item 30196, 30197, 30202, 30203 or 30205 applies (1 or more lesions)</w:t>
            </w:r>
            <w:r w:rsidR="00BA10C1" w:rsidRPr="00B0157E">
              <w:t>.</w:t>
            </w:r>
            <w:r w:rsidRPr="00B0157E">
              <w:t xml:space="preserve"> (Anaes.)</w:t>
            </w:r>
            <w:r w:rsidR="00377766" w:rsidRPr="00B0157E">
              <w:t xml:space="preserve"> [2005]</w:t>
            </w:r>
          </w:p>
        </w:tc>
        <w:tc>
          <w:tcPr>
            <w:tcW w:w="917" w:type="dxa"/>
          </w:tcPr>
          <w:p w14:paraId="0B44B580" w14:textId="77777777" w:rsidR="00A53250" w:rsidRPr="00B0157E" w:rsidRDefault="00F019C1" w:rsidP="004F0B3F">
            <w:pPr>
              <w:pStyle w:val="02Tabletext"/>
              <w:spacing w:after="20"/>
              <w:jc w:val="center"/>
            </w:pPr>
            <w:r w:rsidRPr="00B0157E">
              <w:t>$63.50</w:t>
            </w:r>
          </w:p>
        </w:tc>
        <w:tc>
          <w:tcPr>
            <w:tcW w:w="997" w:type="dxa"/>
          </w:tcPr>
          <w:p w14:paraId="65F393C3" w14:textId="77777777" w:rsidR="00A53250" w:rsidRPr="00B0157E" w:rsidRDefault="00F019C1" w:rsidP="004F0B3F">
            <w:pPr>
              <w:pStyle w:val="02Tabletext"/>
              <w:spacing w:after="20"/>
              <w:jc w:val="center"/>
            </w:pPr>
            <w:r w:rsidRPr="00B0157E">
              <w:t>197,287</w:t>
            </w:r>
          </w:p>
        </w:tc>
        <w:tc>
          <w:tcPr>
            <w:tcW w:w="1080" w:type="dxa"/>
          </w:tcPr>
          <w:p w14:paraId="4C789CBF" w14:textId="77777777" w:rsidR="00A53250" w:rsidRPr="00B0157E" w:rsidRDefault="00F019C1" w:rsidP="004F0B3F">
            <w:pPr>
              <w:pStyle w:val="02Tabletext"/>
              <w:spacing w:after="20"/>
              <w:jc w:val="center"/>
            </w:pPr>
            <w:r w:rsidRPr="00B0157E">
              <w:t>$10,877,938</w:t>
            </w:r>
          </w:p>
        </w:tc>
        <w:tc>
          <w:tcPr>
            <w:tcW w:w="1196" w:type="dxa"/>
          </w:tcPr>
          <w:p w14:paraId="4A221D5C" w14:textId="77777777" w:rsidR="00A53250" w:rsidRPr="00B0157E" w:rsidRDefault="005047B2" w:rsidP="004F0B3F">
            <w:pPr>
              <w:pStyle w:val="02Tabletext"/>
              <w:spacing w:after="20"/>
              <w:jc w:val="center"/>
            </w:pPr>
            <w:r w:rsidRPr="00B0157E">
              <w:t>3.20%</w:t>
            </w:r>
          </w:p>
        </w:tc>
      </w:tr>
      <w:tr w:rsidR="00A53250" w:rsidRPr="00B0157E" w14:paraId="1B0EB0EF" w14:textId="77777777">
        <w:tc>
          <w:tcPr>
            <w:tcW w:w="717" w:type="dxa"/>
          </w:tcPr>
          <w:p w14:paraId="6D842AE4" w14:textId="77777777" w:rsidR="00A53250" w:rsidRPr="00B0157E" w:rsidRDefault="005047B2" w:rsidP="004F0B3F">
            <w:pPr>
              <w:pStyle w:val="02Tabletext"/>
              <w:spacing w:after="20"/>
            </w:pPr>
            <w:r w:rsidRPr="00B0157E">
              <w:t>30196</w:t>
            </w:r>
          </w:p>
        </w:tc>
        <w:tc>
          <w:tcPr>
            <w:tcW w:w="4119" w:type="dxa"/>
          </w:tcPr>
          <w:p w14:paraId="026E6072" w14:textId="77777777" w:rsidR="00A53250" w:rsidRPr="00B0157E" w:rsidRDefault="005047B2" w:rsidP="004F0B3F">
            <w:pPr>
              <w:pStyle w:val="02Tabletext"/>
              <w:spacing w:after="20"/>
            </w:pPr>
            <w:r w:rsidRPr="00B0157E">
              <w:t>Malignant neoplasm of skin or mucous membrane proven by histopathology or confirmed by specialist opinion, removal of, by serial curettage or carbon dioxide laser or erbium laser excision-ablation, including any associated cryotherapy or diathermy, not being a service to which item 30197 applies</w:t>
            </w:r>
            <w:r w:rsidR="00BA10C1" w:rsidRPr="00B0157E">
              <w:t>.</w:t>
            </w:r>
            <w:r w:rsidRPr="00B0157E">
              <w:t xml:space="preserve"> (Anaes.)</w:t>
            </w:r>
            <w:r w:rsidR="00377766" w:rsidRPr="00B0157E">
              <w:t xml:space="preserve"> [2003]</w:t>
            </w:r>
          </w:p>
        </w:tc>
        <w:tc>
          <w:tcPr>
            <w:tcW w:w="917" w:type="dxa"/>
          </w:tcPr>
          <w:p w14:paraId="5F76B361" w14:textId="77777777" w:rsidR="00A53250" w:rsidRPr="00B0157E" w:rsidRDefault="005047B2" w:rsidP="004F0B3F">
            <w:pPr>
              <w:pStyle w:val="02Tabletext"/>
              <w:spacing w:after="20"/>
              <w:jc w:val="center"/>
            </w:pPr>
            <w:r w:rsidRPr="00B0157E">
              <w:t>$126.3</w:t>
            </w:r>
          </w:p>
        </w:tc>
        <w:tc>
          <w:tcPr>
            <w:tcW w:w="997" w:type="dxa"/>
          </w:tcPr>
          <w:p w14:paraId="67CC7265" w14:textId="77777777" w:rsidR="00B36E93" w:rsidRPr="00B0157E" w:rsidRDefault="00B36E93" w:rsidP="00B36E93">
            <w:pPr>
              <w:pStyle w:val="02Tabletext"/>
              <w:spacing w:after="20"/>
              <w:jc w:val="center"/>
            </w:pPr>
            <w:r w:rsidRPr="00B0157E">
              <w:t>173,979</w:t>
            </w:r>
          </w:p>
        </w:tc>
        <w:tc>
          <w:tcPr>
            <w:tcW w:w="1080" w:type="dxa"/>
          </w:tcPr>
          <w:p w14:paraId="294D7B96" w14:textId="77777777" w:rsidR="00A53250" w:rsidRPr="00B0157E" w:rsidRDefault="00B36E93" w:rsidP="00B36E93">
            <w:pPr>
              <w:pStyle w:val="02Tabletext"/>
              <w:spacing w:after="20"/>
              <w:jc w:val="center"/>
            </w:pPr>
            <w:r w:rsidRPr="00B0157E">
              <w:t>$14,770,498</w:t>
            </w:r>
          </w:p>
        </w:tc>
        <w:tc>
          <w:tcPr>
            <w:tcW w:w="1196" w:type="dxa"/>
          </w:tcPr>
          <w:p w14:paraId="1C8AFCBD" w14:textId="77777777" w:rsidR="00A53250" w:rsidRPr="00B0157E" w:rsidRDefault="005047B2" w:rsidP="004F0B3F">
            <w:pPr>
              <w:pStyle w:val="02Tabletext"/>
              <w:spacing w:after="20"/>
              <w:jc w:val="center"/>
            </w:pPr>
            <w:r w:rsidRPr="00B0157E">
              <w:t>6.00%</w:t>
            </w:r>
          </w:p>
        </w:tc>
      </w:tr>
      <w:tr w:rsidR="00A53250" w:rsidRPr="00B0157E" w14:paraId="3FE596AC" w14:textId="77777777">
        <w:tc>
          <w:tcPr>
            <w:tcW w:w="717" w:type="dxa"/>
          </w:tcPr>
          <w:p w14:paraId="1DA6853C" w14:textId="77777777" w:rsidR="00A53250" w:rsidRPr="00B0157E" w:rsidRDefault="005047B2" w:rsidP="004F0B3F">
            <w:pPr>
              <w:pStyle w:val="02Tabletext"/>
              <w:spacing w:after="20"/>
            </w:pPr>
            <w:r w:rsidRPr="00B0157E">
              <w:t>30197</w:t>
            </w:r>
          </w:p>
        </w:tc>
        <w:tc>
          <w:tcPr>
            <w:tcW w:w="4119" w:type="dxa"/>
          </w:tcPr>
          <w:p w14:paraId="1852226B" w14:textId="77777777" w:rsidR="00A53250" w:rsidRPr="00B0157E" w:rsidRDefault="005047B2" w:rsidP="00BA293C">
            <w:pPr>
              <w:pStyle w:val="02Tabletext"/>
              <w:spacing w:after="20"/>
            </w:pPr>
            <w:r w:rsidRPr="00B0157E">
              <w:t>M</w:t>
            </w:r>
            <w:r w:rsidR="00BA10C1" w:rsidRPr="00B0157E">
              <w:t xml:space="preserve">alignant neoplasm of skin or mucous membrane </w:t>
            </w:r>
            <w:r w:rsidRPr="00B0157E">
              <w:t>proven by histopathology or confirmed by specialist opinion, removal of, by serial curettage or carbon dioxide laser excision-ablation, including any associated cryotherapy or diathermy (10</w:t>
            </w:r>
            <w:r w:rsidR="00BA293C" w:rsidRPr="00B0157E">
              <w:t xml:space="preserve"> or more lesions</w:t>
            </w:r>
            <w:r w:rsidRPr="00B0157E">
              <w:t>)</w:t>
            </w:r>
            <w:r w:rsidR="00BA293C" w:rsidRPr="00B0157E">
              <w:t>.</w:t>
            </w:r>
            <w:r w:rsidR="00377766" w:rsidRPr="00B0157E">
              <w:t xml:space="preserve"> [2003]</w:t>
            </w:r>
          </w:p>
        </w:tc>
        <w:tc>
          <w:tcPr>
            <w:tcW w:w="917" w:type="dxa"/>
          </w:tcPr>
          <w:p w14:paraId="21FF319F" w14:textId="77777777" w:rsidR="00A53250" w:rsidRPr="00B0157E" w:rsidRDefault="005047B2" w:rsidP="004F0B3F">
            <w:pPr>
              <w:pStyle w:val="02Tabletext"/>
              <w:spacing w:after="20"/>
              <w:jc w:val="center"/>
            </w:pPr>
            <w:r w:rsidRPr="00B0157E">
              <w:t>$440.05</w:t>
            </w:r>
          </w:p>
        </w:tc>
        <w:tc>
          <w:tcPr>
            <w:tcW w:w="997" w:type="dxa"/>
          </w:tcPr>
          <w:p w14:paraId="561F76EE" w14:textId="77777777" w:rsidR="00A53250" w:rsidRPr="00B0157E" w:rsidRDefault="00641256" w:rsidP="004F0B3F">
            <w:pPr>
              <w:pStyle w:val="02Tabletext"/>
              <w:spacing w:after="20"/>
              <w:jc w:val="center"/>
            </w:pPr>
            <w:r w:rsidRPr="00B0157E">
              <w:t>3,352</w:t>
            </w:r>
          </w:p>
        </w:tc>
        <w:tc>
          <w:tcPr>
            <w:tcW w:w="1080" w:type="dxa"/>
          </w:tcPr>
          <w:p w14:paraId="10225DF5" w14:textId="77777777" w:rsidR="00A53250" w:rsidRPr="00B0157E" w:rsidRDefault="00641256" w:rsidP="004F0B3F">
            <w:pPr>
              <w:pStyle w:val="02Tabletext"/>
              <w:spacing w:after="20"/>
              <w:jc w:val="center"/>
            </w:pPr>
            <w:r w:rsidRPr="00B0157E">
              <w:t>$1,207,089</w:t>
            </w:r>
          </w:p>
        </w:tc>
        <w:tc>
          <w:tcPr>
            <w:tcW w:w="1196" w:type="dxa"/>
          </w:tcPr>
          <w:p w14:paraId="117B3D26" w14:textId="77777777" w:rsidR="00A53250" w:rsidRPr="00B0157E" w:rsidRDefault="00641256" w:rsidP="004F0B3F">
            <w:pPr>
              <w:pStyle w:val="02Tabletext"/>
              <w:spacing w:after="20"/>
              <w:jc w:val="center"/>
            </w:pPr>
            <w:r w:rsidRPr="00B0157E">
              <w:t>7.80%</w:t>
            </w:r>
          </w:p>
        </w:tc>
      </w:tr>
    </w:tbl>
    <w:p w14:paraId="65D22357" w14:textId="77777777" w:rsidR="00324946" w:rsidRPr="002808A4" w:rsidRDefault="00324946" w:rsidP="002808A4">
      <w:pPr>
        <w:pStyle w:val="Heading3"/>
      </w:pPr>
      <w:bookmarkStart w:id="83" w:name="_Toc452997144"/>
      <w:bookmarkStart w:id="84" w:name="_Toc458774421"/>
      <w:r w:rsidRPr="002808A4">
        <w:t>Item 30195</w:t>
      </w:r>
      <w:bookmarkEnd w:id="83"/>
      <w:bookmarkEnd w:id="84"/>
    </w:p>
    <w:p w14:paraId="49A2BF29" w14:textId="77777777" w:rsidR="00324946" w:rsidRPr="00B0157E" w:rsidRDefault="00324946" w:rsidP="00FF0C98">
      <w:pPr>
        <w:rPr>
          <w:b/>
          <w:lang w:val="en-AU"/>
        </w:rPr>
      </w:pPr>
      <w:r w:rsidRPr="00B0157E">
        <w:rPr>
          <w:b/>
          <w:lang w:val="en-AU"/>
        </w:rPr>
        <w:t xml:space="preserve">Recommendation </w:t>
      </w:r>
    </w:p>
    <w:p w14:paraId="038C59B8" w14:textId="77777777" w:rsidR="00324946" w:rsidRPr="00B0157E" w:rsidRDefault="00324946">
      <w:pPr>
        <w:pStyle w:val="01squarebullet"/>
        <w:rPr>
          <w:rFonts w:eastAsia="MS Mincho"/>
          <w:lang w:val="en-AU"/>
        </w:rPr>
      </w:pPr>
      <w:r w:rsidRPr="00B0157E">
        <w:rPr>
          <w:rFonts w:eastAsia="MS Mincho"/>
          <w:lang w:val="en-AU"/>
        </w:rPr>
        <w:t xml:space="preserve">Delete this item from the MBS. Appropriate services should </w:t>
      </w:r>
      <w:r w:rsidR="00A672DE" w:rsidRPr="00B0157E">
        <w:rPr>
          <w:rFonts w:eastAsia="MS Mincho"/>
          <w:lang w:val="en-AU"/>
        </w:rPr>
        <w:t xml:space="preserve">instead </w:t>
      </w:r>
      <w:r w:rsidRPr="00B0157E">
        <w:rPr>
          <w:rFonts w:eastAsia="MS Mincho"/>
          <w:lang w:val="en-AU"/>
        </w:rPr>
        <w:t xml:space="preserve">be claimed under biopsy item 30071 and sent to </w:t>
      </w:r>
      <w:r w:rsidR="004865B8" w:rsidRPr="00B0157E">
        <w:rPr>
          <w:rFonts w:eastAsia="MS Mincho"/>
          <w:lang w:val="en-AU"/>
        </w:rPr>
        <w:t>p</w:t>
      </w:r>
      <w:r w:rsidRPr="00B0157E">
        <w:rPr>
          <w:rFonts w:eastAsia="MS Mincho"/>
          <w:lang w:val="en-AU"/>
        </w:rPr>
        <w:t>atho</w:t>
      </w:r>
      <w:r w:rsidR="000E22EC" w:rsidRPr="00B0157E">
        <w:rPr>
          <w:rFonts w:eastAsia="MS Mincho"/>
          <w:lang w:val="en-AU"/>
        </w:rPr>
        <w:t>logy for definitive diagnosis</w:t>
      </w:r>
      <w:r w:rsidR="00D7442B" w:rsidRPr="00B0157E">
        <w:rPr>
          <w:rFonts w:eastAsia="MS Mincho"/>
          <w:lang w:val="en-AU"/>
        </w:rPr>
        <w:t>.</w:t>
      </w:r>
      <w:r w:rsidR="000E22EC" w:rsidRPr="00B0157E">
        <w:rPr>
          <w:rFonts w:eastAsia="MS Mincho"/>
          <w:lang w:val="en-AU"/>
        </w:rPr>
        <w:t xml:space="preserve"> </w:t>
      </w:r>
      <w:r w:rsidR="00D7442B" w:rsidRPr="00B0157E">
        <w:rPr>
          <w:rFonts w:eastAsia="MS Mincho"/>
          <w:lang w:val="en-AU"/>
        </w:rPr>
        <w:t>I</w:t>
      </w:r>
      <w:r w:rsidR="000E22EC" w:rsidRPr="00B0157E">
        <w:rPr>
          <w:rFonts w:eastAsia="MS Mincho"/>
          <w:lang w:val="en-AU"/>
        </w:rPr>
        <w:t>n rare c</w:t>
      </w:r>
      <w:r w:rsidR="006148E0" w:rsidRPr="00B0157E">
        <w:rPr>
          <w:rFonts w:eastAsia="MS Mincho"/>
          <w:lang w:val="en-AU"/>
        </w:rPr>
        <w:t>ircumstances</w:t>
      </w:r>
      <w:r w:rsidR="00867665" w:rsidRPr="00B0157E">
        <w:rPr>
          <w:rFonts w:eastAsia="MS Mincho"/>
          <w:lang w:val="en-AU"/>
        </w:rPr>
        <w:t xml:space="preserve">, appropriate services </w:t>
      </w:r>
      <w:r w:rsidR="00F57233" w:rsidRPr="00B0157E">
        <w:rPr>
          <w:rFonts w:eastAsia="MS Mincho"/>
          <w:lang w:val="en-AU"/>
        </w:rPr>
        <w:t>could</w:t>
      </w:r>
      <w:r w:rsidR="00867665" w:rsidRPr="00B0157E">
        <w:rPr>
          <w:rFonts w:eastAsia="MS Mincho"/>
          <w:lang w:val="en-AU"/>
        </w:rPr>
        <w:t xml:space="preserve"> be claimed</w:t>
      </w:r>
      <w:r w:rsidR="006148E0" w:rsidRPr="00B0157E">
        <w:rPr>
          <w:rFonts w:eastAsia="MS Mincho"/>
          <w:lang w:val="en-AU"/>
        </w:rPr>
        <w:t xml:space="preserve"> under the </w:t>
      </w:r>
      <w:r w:rsidR="000E22EC" w:rsidRPr="00B0157E">
        <w:rPr>
          <w:rFonts w:eastAsia="MS Mincho"/>
          <w:lang w:val="en-AU"/>
        </w:rPr>
        <w:t>proposed</w:t>
      </w:r>
      <w:r w:rsidR="006148E0" w:rsidRPr="00B0157E">
        <w:rPr>
          <w:rFonts w:eastAsia="MS Mincho"/>
          <w:lang w:val="en-AU"/>
        </w:rPr>
        <w:t xml:space="preserve"> new item 3019X</w:t>
      </w:r>
      <w:r w:rsidR="004427F9" w:rsidRPr="00B0157E">
        <w:rPr>
          <w:rFonts w:eastAsia="MS Mincho"/>
          <w:lang w:val="en-AU"/>
        </w:rPr>
        <w:t xml:space="preserve"> [Note: this item is to be created, please see recommendations for 30190]</w:t>
      </w:r>
      <w:r w:rsidR="00900EA5" w:rsidRPr="00B0157E">
        <w:rPr>
          <w:rFonts w:eastAsia="MS Mincho"/>
          <w:lang w:val="en-AU"/>
        </w:rPr>
        <w:t xml:space="preserve"> for less than 10 lesions</w:t>
      </w:r>
      <w:r w:rsidR="000E22EC" w:rsidRPr="00B0157E">
        <w:rPr>
          <w:rFonts w:eastAsia="MS Mincho"/>
          <w:lang w:val="en-AU"/>
        </w:rPr>
        <w:t xml:space="preserve">. </w:t>
      </w:r>
    </w:p>
    <w:p w14:paraId="3A5AA8CF" w14:textId="77777777" w:rsidR="00324946" w:rsidRPr="00B0157E" w:rsidRDefault="00324946" w:rsidP="00C33ED9">
      <w:pPr>
        <w:rPr>
          <w:b/>
          <w:lang w:val="en-AU"/>
        </w:rPr>
      </w:pPr>
      <w:r w:rsidRPr="00B0157E">
        <w:rPr>
          <w:b/>
          <w:lang w:val="en-AU"/>
        </w:rPr>
        <w:t>Rationale</w:t>
      </w:r>
    </w:p>
    <w:p w14:paraId="430AD32F" w14:textId="77777777" w:rsidR="00324946" w:rsidRPr="00B0157E" w:rsidRDefault="00324946" w:rsidP="00C33ED9">
      <w:pPr>
        <w:rPr>
          <w:lang w:val="en-AU"/>
        </w:rPr>
      </w:pPr>
      <w:r w:rsidRPr="00B0157E">
        <w:rPr>
          <w:lang w:val="en-AU"/>
        </w:rPr>
        <w:t>T</w:t>
      </w:r>
      <w:r w:rsidR="006148E0" w:rsidRPr="00B0157E">
        <w:rPr>
          <w:lang w:val="en-AU"/>
        </w:rPr>
        <w:t>he recommendation</w:t>
      </w:r>
      <w:r w:rsidR="001119E8" w:rsidRPr="00B0157E">
        <w:rPr>
          <w:lang w:val="en-AU"/>
        </w:rPr>
        <w:t xml:space="preserve"> </w:t>
      </w:r>
      <w:r w:rsidRPr="00B0157E">
        <w:rPr>
          <w:lang w:val="en-AU"/>
        </w:rPr>
        <w:t>focuse</w:t>
      </w:r>
      <w:r w:rsidR="001119E8" w:rsidRPr="00B0157E">
        <w:rPr>
          <w:lang w:val="en-AU"/>
        </w:rPr>
        <w:t xml:space="preserve">s </w:t>
      </w:r>
      <w:r w:rsidRPr="00B0157E">
        <w:rPr>
          <w:lang w:val="en-AU"/>
        </w:rPr>
        <w:t>on improving patient safety</w:t>
      </w:r>
      <w:r w:rsidR="006148E0" w:rsidRPr="00B0157E">
        <w:rPr>
          <w:lang w:val="en-AU"/>
        </w:rPr>
        <w:t xml:space="preserve"> and value for the healthcare system</w:t>
      </w:r>
      <w:r w:rsidR="000000E3" w:rsidRPr="00B0157E">
        <w:rPr>
          <w:lang w:val="en-AU"/>
        </w:rPr>
        <w:t>.</w:t>
      </w:r>
      <w:r w:rsidRPr="00B0157E">
        <w:rPr>
          <w:lang w:val="en-AU"/>
        </w:rPr>
        <w:t xml:space="preserve"> </w:t>
      </w:r>
      <w:r w:rsidR="000000E3" w:rsidRPr="00B0157E">
        <w:rPr>
          <w:lang w:val="en-AU"/>
        </w:rPr>
        <w:t>I</w:t>
      </w:r>
      <w:r w:rsidR="0082341B" w:rsidRPr="00B0157E">
        <w:rPr>
          <w:lang w:val="en-AU"/>
        </w:rPr>
        <w:t>t is</w:t>
      </w:r>
      <w:r w:rsidR="00796513" w:rsidRPr="00B0157E">
        <w:rPr>
          <w:lang w:val="en-AU"/>
        </w:rPr>
        <w:t xml:space="preserve"> </w:t>
      </w:r>
      <w:r w:rsidR="00345693" w:rsidRPr="00B0157E">
        <w:rPr>
          <w:lang w:val="en-AU"/>
        </w:rPr>
        <w:t>based on the following observations</w:t>
      </w:r>
      <w:r w:rsidR="000B7B5F" w:rsidRPr="00B0157E">
        <w:rPr>
          <w:lang w:val="en-AU"/>
        </w:rPr>
        <w:t>:</w:t>
      </w:r>
    </w:p>
    <w:p w14:paraId="11547E94" w14:textId="77777777" w:rsidR="00324946" w:rsidRPr="00B0157E" w:rsidRDefault="00324946">
      <w:pPr>
        <w:pStyle w:val="01squarebullet"/>
        <w:rPr>
          <w:rFonts w:eastAsiaTheme="minorHAnsi"/>
          <w:lang w:val="en-AU"/>
        </w:rPr>
      </w:pPr>
      <w:r w:rsidRPr="00B0157E">
        <w:rPr>
          <w:rFonts w:eastAsia="MS Mincho"/>
          <w:lang w:val="en-AU"/>
        </w:rPr>
        <w:t>Use of this item is unexpectedly high</w:t>
      </w:r>
      <w:r w:rsidR="00586426" w:rsidRPr="00B0157E">
        <w:rPr>
          <w:rFonts w:eastAsia="MS Mincho"/>
          <w:lang w:val="en-AU"/>
        </w:rPr>
        <w:t>, with</w:t>
      </w:r>
      <w:r w:rsidRPr="00B0157E">
        <w:rPr>
          <w:rFonts w:eastAsia="MS Mincho"/>
          <w:lang w:val="en-AU"/>
        </w:rPr>
        <w:t xml:space="preserve"> </w:t>
      </w:r>
      <w:r w:rsidR="00586426" w:rsidRPr="00B0157E">
        <w:rPr>
          <w:rFonts w:eastAsia="MS Mincho"/>
          <w:lang w:val="en-AU"/>
        </w:rPr>
        <w:t>s</w:t>
      </w:r>
      <w:r w:rsidRPr="00B0157E">
        <w:rPr>
          <w:rFonts w:eastAsia="MS Mincho"/>
          <w:lang w:val="en-AU"/>
        </w:rPr>
        <w:t>ervice growth exceed</w:t>
      </w:r>
      <w:r w:rsidR="00950667" w:rsidRPr="00B0157E">
        <w:rPr>
          <w:rFonts w:eastAsia="MS Mincho"/>
          <w:lang w:val="en-AU"/>
        </w:rPr>
        <w:t>ing</w:t>
      </w:r>
      <w:r w:rsidRPr="00B0157E">
        <w:rPr>
          <w:rFonts w:eastAsia="MS Mincho"/>
          <w:lang w:val="en-AU"/>
        </w:rPr>
        <w:t xml:space="preserve"> population growth. </w:t>
      </w:r>
      <w:r w:rsidR="00D50B96" w:rsidRPr="00B0157E">
        <w:rPr>
          <w:rFonts w:eastAsia="MS Mincho"/>
          <w:lang w:val="en-AU"/>
        </w:rPr>
        <w:t xml:space="preserve">In FY2014/15, </w:t>
      </w:r>
      <w:r w:rsidR="00DD7939" w:rsidRPr="00B0157E">
        <w:rPr>
          <w:rFonts w:eastAsia="MS Mincho"/>
          <w:lang w:val="en-AU"/>
        </w:rPr>
        <w:t xml:space="preserve">for example, </w:t>
      </w:r>
      <w:r w:rsidRPr="00B0157E">
        <w:rPr>
          <w:rFonts w:eastAsiaTheme="minorHAnsi"/>
          <w:lang w:val="en-AU"/>
        </w:rPr>
        <w:t xml:space="preserve">197,000 services </w:t>
      </w:r>
      <w:r w:rsidR="00D50B96" w:rsidRPr="00B0157E">
        <w:rPr>
          <w:rFonts w:eastAsiaTheme="minorHAnsi"/>
          <w:lang w:val="en-AU"/>
        </w:rPr>
        <w:t>were provided,</w:t>
      </w:r>
      <w:r w:rsidRPr="00B0157E">
        <w:rPr>
          <w:rFonts w:eastAsiaTheme="minorHAnsi"/>
          <w:lang w:val="en-AU"/>
        </w:rPr>
        <w:t xml:space="preserve"> and services have been growing at</w:t>
      </w:r>
      <w:r w:rsidR="00DE7B6F" w:rsidRPr="00B0157E">
        <w:rPr>
          <w:rFonts w:eastAsiaTheme="minorHAnsi"/>
          <w:lang w:val="en-AU"/>
        </w:rPr>
        <w:t xml:space="preserve"> </w:t>
      </w:r>
      <w:r w:rsidR="00DE7B6F" w:rsidRPr="00B0157E">
        <w:rPr>
          <w:rFonts w:eastAsiaTheme="minorHAnsi"/>
          <w:lang w:val="en-AU"/>
        </w:rPr>
        <w:lastRenderedPageBreak/>
        <w:t>an average of</w:t>
      </w:r>
      <w:r w:rsidRPr="00B0157E">
        <w:rPr>
          <w:rFonts w:eastAsiaTheme="minorHAnsi"/>
          <w:lang w:val="en-AU"/>
        </w:rPr>
        <w:t xml:space="preserve"> </w:t>
      </w:r>
      <w:r w:rsidR="0082341B" w:rsidRPr="00B0157E">
        <w:rPr>
          <w:rFonts w:eastAsiaTheme="minorHAnsi"/>
          <w:lang w:val="en-AU"/>
        </w:rPr>
        <w:t>3.2</w:t>
      </w:r>
      <w:r w:rsidR="00DE7B6F" w:rsidRPr="00B0157E">
        <w:rPr>
          <w:rFonts w:eastAsiaTheme="minorHAnsi"/>
          <w:lang w:val="en-AU"/>
        </w:rPr>
        <w:t xml:space="preserve"> per cent</w:t>
      </w:r>
      <w:r w:rsidR="0082341B" w:rsidRPr="00B0157E">
        <w:rPr>
          <w:rFonts w:eastAsiaTheme="minorHAnsi"/>
          <w:lang w:val="en-AU"/>
        </w:rPr>
        <w:t xml:space="preserve"> per year </w:t>
      </w:r>
      <w:r w:rsidR="00422E04" w:rsidRPr="00B0157E">
        <w:rPr>
          <w:rFonts w:eastAsiaTheme="minorHAnsi"/>
          <w:lang w:val="en-AU"/>
        </w:rPr>
        <w:t>over</w:t>
      </w:r>
      <w:r w:rsidRPr="00B0157E">
        <w:rPr>
          <w:rFonts w:eastAsiaTheme="minorHAnsi"/>
          <w:lang w:val="en-AU"/>
        </w:rPr>
        <w:t xml:space="preserve"> the last </w:t>
      </w:r>
      <w:r w:rsidR="00422E04" w:rsidRPr="00B0157E">
        <w:rPr>
          <w:rFonts w:eastAsiaTheme="minorHAnsi"/>
          <w:lang w:val="en-AU"/>
        </w:rPr>
        <w:t xml:space="preserve">five </w:t>
      </w:r>
      <w:r w:rsidRPr="00B0157E">
        <w:rPr>
          <w:rFonts w:eastAsiaTheme="minorHAnsi"/>
          <w:lang w:val="en-AU"/>
        </w:rPr>
        <w:t>years</w:t>
      </w:r>
      <w:r w:rsidR="00C1346F" w:rsidRPr="00B0157E">
        <w:rPr>
          <w:rFonts w:eastAsiaTheme="minorHAnsi"/>
          <w:lang w:val="en-AU"/>
        </w:rPr>
        <w:fldChar w:fldCharType="begin" w:fldLock="1"/>
      </w:r>
      <w:r w:rsidR="00C040E7"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C1346F" w:rsidRPr="00B0157E">
        <w:rPr>
          <w:rFonts w:eastAsiaTheme="minorHAnsi"/>
          <w:lang w:val="en-AU"/>
        </w:rPr>
        <w:fldChar w:fldCharType="separate"/>
      </w:r>
      <w:r w:rsidR="00C040E7" w:rsidRPr="00B0157E">
        <w:rPr>
          <w:rFonts w:eastAsiaTheme="minorHAnsi"/>
          <w:lang w:val="en-AU"/>
        </w:rPr>
        <w:t>[2]</w:t>
      </w:r>
      <w:r w:rsidR="00C1346F" w:rsidRPr="00B0157E">
        <w:rPr>
          <w:rFonts w:eastAsiaTheme="minorHAnsi"/>
          <w:lang w:val="en-AU"/>
        </w:rPr>
        <w:fldChar w:fldCharType="end"/>
      </w:r>
      <w:r w:rsidR="00422E04" w:rsidRPr="00B0157E">
        <w:rPr>
          <w:rFonts w:eastAsiaTheme="minorHAnsi"/>
          <w:lang w:val="en-AU"/>
        </w:rPr>
        <w:t xml:space="preserve"> (compared to population</w:t>
      </w:r>
      <w:r w:rsidRPr="00B0157E">
        <w:rPr>
          <w:rFonts w:eastAsiaTheme="minorHAnsi"/>
          <w:lang w:val="en-AU"/>
        </w:rPr>
        <w:t xml:space="preserve"> </w:t>
      </w:r>
      <w:r w:rsidR="0082341B" w:rsidRPr="00B0157E">
        <w:rPr>
          <w:rFonts w:eastAsiaTheme="minorHAnsi"/>
          <w:lang w:val="en-AU"/>
        </w:rPr>
        <w:t xml:space="preserve">growth </w:t>
      </w:r>
      <w:r w:rsidR="00422E04" w:rsidRPr="00B0157E">
        <w:rPr>
          <w:rFonts w:eastAsiaTheme="minorHAnsi"/>
          <w:lang w:val="en-AU"/>
        </w:rPr>
        <w:t>of</w:t>
      </w:r>
      <w:r w:rsidRPr="00B0157E">
        <w:rPr>
          <w:rFonts w:eastAsiaTheme="minorHAnsi"/>
          <w:lang w:val="en-AU"/>
        </w:rPr>
        <w:t xml:space="preserve"> 1.3</w:t>
      </w:r>
      <w:r w:rsidR="00422E04" w:rsidRPr="00B0157E">
        <w:rPr>
          <w:rFonts w:eastAsiaTheme="minorHAnsi"/>
          <w:lang w:val="en-AU"/>
        </w:rPr>
        <w:t xml:space="preserve"> per cent</w:t>
      </w:r>
      <w:r w:rsidR="000F203E" w:rsidRPr="00B0157E">
        <w:rPr>
          <w:rFonts w:eastAsiaTheme="minorHAnsi"/>
          <w:lang w:val="en-AU"/>
        </w:rPr>
        <w:t>).</w:t>
      </w:r>
      <w:r w:rsidR="00C1346F" w:rsidRPr="00B0157E">
        <w:rPr>
          <w:rFonts w:eastAsiaTheme="minorHAnsi"/>
          <w:lang w:val="en-AU"/>
        </w:rPr>
        <w:fldChar w:fldCharType="begin" w:fldLock="1"/>
      </w:r>
      <w:r w:rsidR="00C040E7" w:rsidRPr="00B0157E">
        <w:rPr>
          <w:rFonts w:eastAsiaTheme="minorHAnsi"/>
          <w:lang w:val="en-AU"/>
        </w:rPr>
        <w:instrText>ADDIN CSL_CITATION { "citationItems" : [ { "id" : "ITEM-1", "itemData" : { "URL" : "http://www.abs.gov.au/ausstats/abs@.nsf/Previousproducts/3101.0Main Features1Jun 2015?opendocument&amp;tabname=Summary&amp;prodno=3101.0&amp;issue=Jun 2015&amp;num=&amp;view=", "accessed" : { "date-parts" : [ [ "2016", "4", "25" ] ] }, "author" : [ { "dropping-particle" : "", "family" : "Statistics", "given" : "Australian Bureau of", "non-dropping-particle" : "", "parse-names" : false, "suffix" : "" } ], "container-title" : "3101.0 - Australian Demographic statistics Jun 2010 and Jun 2015", "id" : "ITEM-1", "issued" : { "date-parts" : [ [ "0" ] ] }, "title" : "Australian Demographic Statistics", "type" : "webpage" }, "uris" : [ "http://www.mendeley.com/documents/?uuid=d10251fe-4e2e-47b7-90e6-eb7e0d334d4c" ] } ], "mendeley" : { "formattedCitation" : "[3]", "plainTextFormattedCitation" : "[3]", "previouslyFormattedCitation" : "[3]" }, "properties" : { "noteIndex" : 0 }, "schema" : "https://github.com/citation-style-language/schema/raw/master/csl-citation.json" }</w:instrText>
      </w:r>
      <w:r w:rsidR="00C1346F" w:rsidRPr="00B0157E">
        <w:rPr>
          <w:rFonts w:eastAsiaTheme="minorHAnsi"/>
          <w:lang w:val="en-AU"/>
        </w:rPr>
        <w:fldChar w:fldCharType="separate"/>
      </w:r>
      <w:r w:rsidR="00C040E7" w:rsidRPr="00B0157E">
        <w:rPr>
          <w:rFonts w:eastAsiaTheme="minorHAnsi"/>
          <w:lang w:val="en-AU"/>
        </w:rPr>
        <w:t>[3]</w:t>
      </w:r>
      <w:r w:rsidR="00C1346F" w:rsidRPr="00B0157E">
        <w:rPr>
          <w:rFonts w:eastAsiaTheme="minorHAnsi"/>
          <w:lang w:val="en-AU"/>
        </w:rPr>
        <w:fldChar w:fldCharType="end"/>
      </w:r>
      <w:r w:rsidRPr="00B0157E">
        <w:rPr>
          <w:rFonts w:eastAsiaTheme="minorHAnsi"/>
          <w:lang w:val="en-AU"/>
        </w:rPr>
        <w:t xml:space="preserve"> </w:t>
      </w:r>
      <w:r w:rsidRPr="00B0157E">
        <w:rPr>
          <w:rFonts w:eastAsia="MS Mincho"/>
          <w:lang w:val="en-AU"/>
        </w:rPr>
        <w:t>It is unclear what this item is being used for</w:t>
      </w:r>
      <w:r w:rsidR="0016480B" w:rsidRPr="00B0157E">
        <w:rPr>
          <w:rFonts w:eastAsia="MS Mincho"/>
          <w:lang w:val="en-AU"/>
        </w:rPr>
        <w:t>,</w:t>
      </w:r>
      <w:r w:rsidRPr="00B0157E">
        <w:rPr>
          <w:rFonts w:eastAsia="MS Mincho"/>
          <w:lang w:val="en-AU"/>
        </w:rPr>
        <w:t xml:space="preserve"> as there are few instances in whi</w:t>
      </w:r>
      <w:r w:rsidR="00BA6BB7" w:rsidRPr="00B0157E">
        <w:rPr>
          <w:rFonts w:eastAsia="MS Mincho"/>
          <w:lang w:val="en-AU"/>
        </w:rPr>
        <w:t>ch treatment of benign lesions</w:t>
      </w:r>
      <w:r w:rsidRPr="00B0157E">
        <w:rPr>
          <w:rFonts w:eastAsia="MS Mincho"/>
          <w:lang w:val="en-AU"/>
        </w:rPr>
        <w:t xml:space="preserve"> is not purely cosmetic </w:t>
      </w:r>
      <w:r w:rsidR="00D636AD" w:rsidRPr="00B0157E">
        <w:rPr>
          <w:rFonts w:eastAsia="MS Mincho"/>
          <w:lang w:val="en-AU"/>
        </w:rPr>
        <w:t>(</w:t>
      </w:r>
      <w:r w:rsidRPr="00B0157E">
        <w:rPr>
          <w:rFonts w:eastAsia="MS Mincho"/>
          <w:lang w:val="en-AU"/>
        </w:rPr>
        <w:t xml:space="preserve">such as treating benign naevi and </w:t>
      </w:r>
      <w:r w:rsidR="0082341B" w:rsidRPr="00B0157E">
        <w:rPr>
          <w:rFonts w:eastAsia="MS Mincho"/>
          <w:lang w:val="en-AU"/>
        </w:rPr>
        <w:t>keratosis</w:t>
      </w:r>
      <w:r w:rsidR="00D636AD" w:rsidRPr="00B0157E">
        <w:rPr>
          <w:rFonts w:eastAsia="MS Mincho"/>
          <w:lang w:val="en-AU"/>
        </w:rPr>
        <w:t>)</w:t>
      </w:r>
      <w:r w:rsidR="00EB3C35" w:rsidRPr="00B0157E">
        <w:rPr>
          <w:rFonts w:eastAsia="MS Mincho"/>
          <w:lang w:val="en-AU"/>
        </w:rPr>
        <w:t>. C</w:t>
      </w:r>
      <w:r w:rsidR="0082341B" w:rsidRPr="00B0157E">
        <w:rPr>
          <w:rFonts w:eastAsia="MS Mincho"/>
          <w:lang w:val="en-AU"/>
        </w:rPr>
        <w:t>osmetic services are not funded in the MBS</w:t>
      </w:r>
      <w:r w:rsidR="00A4278A" w:rsidRPr="00B0157E">
        <w:rPr>
          <w:rFonts w:eastAsia="MS Mincho"/>
          <w:lang w:val="en-AU"/>
        </w:rPr>
        <w:t>, and</w:t>
      </w:r>
      <w:r w:rsidRPr="00B0157E">
        <w:rPr>
          <w:rFonts w:eastAsia="MS Mincho"/>
          <w:lang w:val="en-AU"/>
        </w:rPr>
        <w:t xml:space="preserve"> </w:t>
      </w:r>
      <w:r w:rsidR="00A4278A" w:rsidRPr="00B0157E">
        <w:rPr>
          <w:rFonts w:eastAsia="MS Mincho"/>
          <w:lang w:val="en-AU"/>
        </w:rPr>
        <w:t>c</w:t>
      </w:r>
      <w:r w:rsidR="00101467" w:rsidRPr="00B0157E">
        <w:rPr>
          <w:rFonts w:eastAsia="MS Mincho"/>
          <w:lang w:val="en-AU"/>
        </w:rPr>
        <w:t>osmetic t</w:t>
      </w:r>
      <w:r w:rsidRPr="00B0157E">
        <w:rPr>
          <w:rFonts w:eastAsia="MS Mincho"/>
          <w:lang w:val="en-AU"/>
        </w:rPr>
        <w:t xml:space="preserve">reatment should not be billed under </w:t>
      </w:r>
      <w:r w:rsidR="00177CD5" w:rsidRPr="00B0157E">
        <w:rPr>
          <w:rFonts w:eastAsia="MS Mincho"/>
          <w:lang w:val="en-AU"/>
        </w:rPr>
        <w:t xml:space="preserve">item </w:t>
      </w:r>
      <w:r w:rsidRPr="00B0157E">
        <w:rPr>
          <w:rFonts w:eastAsia="MS Mincho"/>
          <w:lang w:val="en-AU"/>
        </w:rPr>
        <w:t>30195</w:t>
      </w:r>
      <w:r w:rsidR="00AE446F" w:rsidRPr="00B0157E">
        <w:rPr>
          <w:rFonts w:eastAsia="MS Mincho"/>
          <w:lang w:val="en-AU"/>
        </w:rPr>
        <w:t>.</w:t>
      </w:r>
      <w:r w:rsidRPr="00B0157E">
        <w:rPr>
          <w:rFonts w:eastAsia="MS Mincho"/>
          <w:lang w:val="en-AU"/>
        </w:rPr>
        <w:t xml:space="preserve"> </w:t>
      </w:r>
      <w:r w:rsidR="00AE446F" w:rsidRPr="00B0157E">
        <w:rPr>
          <w:rFonts w:eastAsia="MS Mincho"/>
          <w:lang w:val="en-AU"/>
        </w:rPr>
        <w:t xml:space="preserve">Instead, it </w:t>
      </w:r>
      <w:r w:rsidRPr="00B0157E">
        <w:rPr>
          <w:rFonts w:eastAsia="MS Mincho"/>
          <w:lang w:val="en-AU"/>
        </w:rPr>
        <w:t>should occur as part of a consultation or be billed privately. There is high variation in use across providers</w:t>
      </w:r>
      <w:r w:rsidR="009431F6" w:rsidRPr="00B0157E">
        <w:rPr>
          <w:rFonts w:eastAsia="MS Mincho"/>
          <w:lang w:val="en-AU"/>
        </w:rPr>
        <w:t>,</w:t>
      </w:r>
      <w:r w:rsidRPr="00B0157E">
        <w:rPr>
          <w:rFonts w:eastAsia="MS Mincho"/>
          <w:lang w:val="en-AU"/>
        </w:rPr>
        <w:t xml:space="preserve"> </w:t>
      </w:r>
      <w:r w:rsidR="0098033E" w:rsidRPr="00B0157E">
        <w:rPr>
          <w:rFonts w:eastAsia="MS Mincho"/>
          <w:lang w:val="en-AU"/>
        </w:rPr>
        <w:t xml:space="preserve">which </w:t>
      </w:r>
      <w:r w:rsidRPr="00B0157E">
        <w:rPr>
          <w:rFonts w:eastAsia="MS Mincho"/>
          <w:lang w:val="en-AU"/>
        </w:rPr>
        <w:t>suggest</w:t>
      </w:r>
      <w:r w:rsidR="0098033E" w:rsidRPr="00B0157E">
        <w:rPr>
          <w:rFonts w:eastAsia="MS Mincho"/>
          <w:lang w:val="en-AU"/>
        </w:rPr>
        <w:t>s</w:t>
      </w:r>
      <w:r w:rsidRPr="00B0157E">
        <w:rPr>
          <w:rFonts w:eastAsia="MS Mincho"/>
          <w:lang w:val="en-AU"/>
        </w:rPr>
        <w:t xml:space="preserve"> </w:t>
      </w:r>
      <w:r w:rsidR="008C3474" w:rsidRPr="00B0157E">
        <w:rPr>
          <w:rFonts w:eastAsia="MS Mincho"/>
          <w:lang w:val="en-AU"/>
        </w:rPr>
        <w:t xml:space="preserve">that </w:t>
      </w:r>
      <w:r w:rsidRPr="00B0157E">
        <w:rPr>
          <w:rFonts w:eastAsia="MS Mincho"/>
          <w:lang w:val="en-AU"/>
        </w:rPr>
        <w:t xml:space="preserve">a small number of providers may be misusing the item. </w:t>
      </w:r>
      <w:r w:rsidR="002D711C" w:rsidRPr="00B0157E">
        <w:rPr>
          <w:rFonts w:eastAsiaTheme="minorHAnsi"/>
          <w:lang w:val="en-AU"/>
        </w:rPr>
        <w:t>In FY2014/15, a</w:t>
      </w:r>
      <w:r w:rsidRPr="00B0157E">
        <w:rPr>
          <w:rFonts w:eastAsiaTheme="minorHAnsi"/>
          <w:lang w:val="en-AU"/>
        </w:rPr>
        <w:t>pproximately 10</w:t>
      </w:r>
      <w:r w:rsidR="007C0E43" w:rsidRPr="00B0157E">
        <w:rPr>
          <w:rFonts w:eastAsiaTheme="minorHAnsi"/>
          <w:lang w:val="en-AU"/>
        </w:rPr>
        <w:t xml:space="preserve"> per cent</w:t>
      </w:r>
      <w:r w:rsidRPr="00B0157E">
        <w:rPr>
          <w:rFonts w:eastAsiaTheme="minorHAnsi"/>
          <w:lang w:val="en-AU"/>
        </w:rPr>
        <w:t xml:space="preserve"> of doctors</w:t>
      </w:r>
      <w:r w:rsidR="00302E92" w:rsidRPr="00B0157E">
        <w:rPr>
          <w:rFonts w:eastAsiaTheme="minorHAnsi"/>
          <w:lang w:val="en-AU"/>
        </w:rPr>
        <w:t xml:space="preserve"> who </w:t>
      </w:r>
      <w:r w:rsidR="00982765" w:rsidRPr="00B0157E">
        <w:rPr>
          <w:rFonts w:eastAsiaTheme="minorHAnsi"/>
          <w:lang w:val="en-AU"/>
        </w:rPr>
        <w:t>billed the item</w:t>
      </w:r>
      <w:r w:rsidRPr="00B0157E">
        <w:rPr>
          <w:rFonts w:eastAsiaTheme="minorHAnsi"/>
          <w:lang w:val="en-AU"/>
        </w:rPr>
        <w:t xml:space="preserve"> account</w:t>
      </w:r>
      <w:r w:rsidR="002D711C" w:rsidRPr="00B0157E">
        <w:rPr>
          <w:rFonts w:eastAsiaTheme="minorHAnsi"/>
          <w:lang w:val="en-AU"/>
        </w:rPr>
        <w:t>ed for 80</w:t>
      </w:r>
      <w:r w:rsidR="00B41B67" w:rsidRPr="00B0157E">
        <w:rPr>
          <w:rFonts w:eastAsiaTheme="minorHAnsi"/>
          <w:lang w:val="en-AU"/>
        </w:rPr>
        <w:t xml:space="preserve"> per cent</w:t>
      </w:r>
      <w:r w:rsidR="002D711C" w:rsidRPr="00B0157E">
        <w:rPr>
          <w:rFonts w:eastAsiaTheme="minorHAnsi"/>
          <w:lang w:val="en-AU"/>
        </w:rPr>
        <w:t xml:space="preserve"> of </w:t>
      </w:r>
      <w:r w:rsidRPr="00B0157E">
        <w:rPr>
          <w:rFonts w:eastAsiaTheme="minorHAnsi"/>
          <w:lang w:val="en-AU"/>
        </w:rPr>
        <w:t>services</w:t>
      </w:r>
      <w:r w:rsidR="00EA38CF" w:rsidRPr="00B0157E">
        <w:rPr>
          <w:rFonts w:eastAsiaTheme="minorHAnsi"/>
          <w:lang w:val="en-AU"/>
        </w:rPr>
        <w:t xml:space="preserve"> for item 30195</w:t>
      </w:r>
      <w:r w:rsidR="009D0480" w:rsidRPr="00B0157E">
        <w:rPr>
          <w:rFonts w:eastAsiaTheme="minorHAnsi"/>
          <w:lang w:val="en-AU"/>
        </w:rPr>
        <w:t>.</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Q20214", "type" : "report" }, "uris" : [ "http://www.mendeley.com/documents/?uuid=62ab9dad-6d4d-432f-8b2e-fed4522b4a80" ] } ], "mendeley" : { "formattedCitation" : "[10]", "plainTextFormattedCitation" : "[10]", "previouslyFormattedCitation" : "[10]"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[10]</w:t>
      </w:r>
      <w:r w:rsidR="00C1346F" w:rsidRPr="00B0157E">
        <w:rPr>
          <w:rFonts w:eastAsiaTheme="minorHAnsi"/>
          <w:lang w:val="en-AU"/>
        </w:rPr>
        <w:fldChar w:fldCharType="end"/>
      </w:r>
      <w:r w:rsidR="004A352E">
        <w:rPr>
          <w:rFonts w:eastAsiaTheme="minorHAnsi"/>
          <w:lang w:val="en-AU"/>
        </w:rPr>
        <w:t xml:space="preserve"> </w:t>
      </w:r>
    </w:p>
    <w:p w14:paraId="7188B8B2" w14:textId="77777777" w:rsidR="00974320" w:rsidRPr="00B0157E" w:rsidRDefault="00324946" w:rsidP="005125E2">
      <w:pPr>
        <w:pStyle w:val="01squarebullet"/>
        <w:rPr>
          <w:rFonts w:eastAsiaTheme="minorHAnsi"/>
          <w:lang w:val="en-AU"/>
        </w:rPr>
      </w:pPr>
      <w:r w:rsidRPr="00B0157E">
        <w:rPr>
          <w:rFonts w:eastAsia="MS Mincho"/>
          <w:lang w:val="en-AU"/>
        </w:rPr>
        <w:t>There is a safety concern that malignant neoplasms ar</w:t>
      </w:r>
      <w:r w:rsidR="002D711C" w:rsidRPr="00B0157E">
        <w:rPr>
          <w:rFonts w:eastAsia="MS Mincho"/>
          <w:lang w:val="en-AU"/>
        </w:rPr>
        <w:t xml:space="preserve">e being missed or mis-diagnosed, as </w:t>
      </w:r>
      <w:r w:rsidR="00EA38CF" w:rsidRPr="00B0157E">
        <w:rPr>
          <w:rFonts w:eastAsia="MS Mincho"/>
          <w:lang w:val="en-AU"/>
        </w:rPr>
        <w:t xml:space="preserve">relatively </w:t>
      </w:r>
      <w:r w:rsidR="002D711C" w:rsidRPr="00B0157E">
        <w:rPr>
          <w:rFonts w:eastAsia="MS Mincho"/>
          <w:lang w:val="en-AU"/>
        </w:rPr>
        <w:t xml:space="preserve">few are being sent to </w:t>
      </w:r>
      <w:r w:rsidR="00360397" w:rsidRPr="00B0157E">
        <w:rPr>
          <w:rFonts w:eastAsia="MS Mincho"/>
          <w:lang w:val="en-AU"/>
        </w:rPr>
        <w:t>p</w:t>
      </w:r>
      <w:r w:rsidR="002D711C" w:rsidRPr="00B0157E">
        <w:rPr>
          <w:rFonts w:eastAsia="MS Mincho"/>
          <w:lang w:val="en-AU"/>
        </w:rPr>
        <w:t>athology or confirmed by specialist</w:t>
      </w:r>
      <w:r w:rsidR="005A46BF" w:rsidRPr="00B0157E">
        <w:rPr>
          <w:rFonts w:eastAsia="MS Mincho"/>
          <w:lang w:val="en-AU"/>
        </w:rPr>
        <w:t xml:space="preserve"> opinion (as required under item numbers 30196 and 30197). </w:t>
      </w:r>
      <w:r w:rsidRPr="00B0157E">
        <w:rPr>
          <w:rFonts w:eastAsiaTheme="minorHAnsi"/>
          <w:lang w:val="en-AU"/>
        </w:rPr>
        <w:t>In FY2014</w:t>
      </w:r>
      <w:r w:rsidR="00BB3EA6" w:rsidRPr="00B0157E">
        <w:rPr>
          <w:rFonts w:eastAsiaTheme="minorHAnsi"/>
          <w:lang w:val="en-AU"/>
        </w:rPr>
        <w:t xml:space="preserve">/15, histopathology or </w:t>
      </w:r>
      <w:r w:rsidR="00611789" w:rsidRPr="00B0157E">
        <w:rPr>
          <w:rFonts w:eastAsiaTheme="minorHAnsi"/>
          <w:lang w:val="en-AU"/>
        </w:rPr>
        <w:t xml:space="preserve">the </w:t>
      </w:r>
      <w:r w:rsidR="00BB3EA6" w:rsidRPr="00B0157E">
        <w:rPr>
          <w:rFonts w:eastAsiaTheme="minorHAnsi"/>
          <w:lang w:val="en-AU"/>
        </w:rPr>
        <w:t xml:space="preserve">biopsy item 30071 </w:t>
      </w:r>
      <w:r w:rsidR="009D0480" w:rsidRPr="00B0157E">
        <w:rPr>
          <w:rFonts w:eastAsiaTheme="minorHAnsi"/>
          <w:lang w:val="en-AU"/>
        </w:rPr>
        <w:t xml:space="preserve">was </w:t>
      </w:r>
      <w:r w:rsidR="00BB3EA6" w:rsidRPr="00B0157E">
        <w:rPr>
          <w:rFonts w:eastAsiaTheme="minorHAnsi"/>
          <w:lang w:val="en-AU"/>
        </w:rPr>
        <w:t xml:space="preserve">used </w:t>
      </w:r>
      <w:r w:rsidR="00010DE7" w:rsidRPr="00B0157E">
        <w:rPr>
          <w:rFonts w:eastAsiaTheme="minorHAnsi"/>
          <w:lang w:val="en-AU"/>
        </w:rPr>
        <w:t xml:space="preserve">within </w:t>
      </w:r>
      <w:r w:rsidR="00646AF9" w:rsidRPr="00B0157E">
        <w:rPr>
          <w:rFonts w:eastAsiaTheme="minorHAnsi"/>
          <w:lang w:val="en-AU"/>
        </w:rPr>
        <w:t xml:space="preserve">the period </w:t>
      </w:r>
      <w:r w:rsidR="00BB3EA6" w:rsidRPr="00B0157E">
        <w:rPr>
          <w:rFonts w:eastAsiaTheme="minorHAnsi"/>
          <w:lang w:val="en-AU"/>
        </w:rPr>
        <w:t>30 days before or aft</w:t>
      </w:r>
      <w:r w:rsidR="00646AF9" w:rsidRPr="00B0157E">
        <w:rPr>
          <w:rFonts w:eastAsiaTheme="minorHAnsi"/>
          <w:lang w:val="en-AU"/>
        </w:rPr>
        <w:t>er service delivery</w:t>
      </w:r>
      <w:r w:rsidR="00402AEF" w:rsidRPr="00B0157E">
        <w:rPr>
          <w:rFonts w:eastAsiaTheme="minorHAnsi"/>
          <w:lang w:val="en-AU"/>
        </w:rPr>
        <w:t xml:space="preserve"> on only 45 per cent of occasions:</w:t>
      </w:r>
      <w:r w:rsidR="00611789" w:rsidRPr="00B0157E">
        <w:rPr>
          <w:rFonts w:eastAsiaTheme="minorHAnsi"/>
          <w:lang w:val="en-AU"/>
        </w:rPr>
        <w:t xml:space="preserve"> </w:t>
      </w:r>
      <w:r w:rsidR="002A3C2B" w:rsidRPr="00B0157E">
        <w:rPr>
          <w:rFonts w:eastAsiaTheme="minorHAnsi"/>
          <w:lang w:val="en-AU"/>
        </w:rPr>
        <w:t xml:space="preserve">General Practitioners (GPs) used it on </w:t>
      </w:r>
      <w:r w:rsidR="00611789" w:rsidRPr="00B0157E">
        <w:rPr>
          <w:rFonts w:eastAsiaTheme="minorHAnsi"/>
          <w:lang w:val="en-AU"/>
        </w:rPr>
        <w:t xml:space="preserve">44 per cent </w:t>
      </w:r>
      <w:r w:rsidR="00CA01EC" w:rsidRPr="00B0157E">
        <w:rPr>
          <w:rFonts w:eastAsiaTheme="minorHAnsi"/>
          <w:lang w:val="en-AU"/>
        </w:rPr>
        <w:t>of occasions</w:t>
      </w:r>
      <w:r w:rsidR="00CF5C32" w:rsidRPr="00B0157E">
        <w:rPr>
          <w:rFonts w:eastAsiaTheme="minorHAnsi"/>
          <w:lang w:val="en-AU"/>
        </w:rPr>
        <w:t>,</w:t>
      </w:r>
      <w:r w:rsidR="00CA01EC" w:rsidRPr="00B0157E">
        <w:rPr>
          <w:rFonts w:eastAsiaTheme="minorHAnsi"/>
          <w:lang w:val="en-AU"/>
        </w:rPr>
        <w:t xml:space="preserve"> </w:t>
      </w:r>
      <w:r w:rsidR="00611789" w:rsidRPr="00B0157E">
        <w:rPr>
          <w:rFonts w:eastAsiaTheme="minorHAnsi"/>
          <w:lang w:val="en-AU"/>
        </w:rPr>
        <w:t xml:space="preserve">and </w:t>
      </w:r>
      <w:r w:rsidR="00CF5C32" w:rsidRPr="00B0157E">
        <w:rPr>
          <w:rFonts w:eastAsiaTheme="minorHAnsi"/>
          <w:lang w:val="en-AU"/>
        </w:rPr>
        <w:t xml:space="preserve">specialists used it on </w:t>
      </w:r>
      <w:r w:rsidR="00611789" w:rsidRPr="00B0157E">
        <w:rPr>
          <w:rFonts w:eastAsiaTheme="minorHAnsi"/>
          <w:lang w:val="en-AU"/>
        </w:rPr>
        <w:t>54 per</w:t>
      </w:r>
      <w:r w:rsidR="009D6E6B" w:rsidRPr="00B0157E">
        <w:rPr>
          <w:rFonts w:eastAsiaTheme="minorHAnsi"/>
          <w:lang w:val="en-AU"/>
        </w:rPr>
        <w:t xml:space="preserve"> </w:t>
      </w:r>
      <w:r w:rsidR="00611789" w:rsidRPr="00B0157E">
        <w:rPr>
          <w:rFonts w:eastAsiaTheme="minorHAnsi"/>
          <w:lang w:val="en-AU"/>
        </w:rPr>
        <w:t>cent of occasions</w:t>
      </w:r>
      <w:r w:rsidR="003C1F92" w:rsidRPr="00B0157E">
        <w:rPr>
          <w:rFonts w:eastAsiaTheme="minorHAnsi"/>
          <w:lang w:val="en-AU"/>
        </w:rPr>
        <w:t>.</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Q20423", "type" : "report" }, "uris" : [ "http://www.mendeley.com/documents/?uuid=814bfa07-e796-4347-b173-55d8f42a3936" ] } ], "mendeley" : { "formattedCitation" : "[11]", "plainTextFormattedCitation" : "[11]", "previouslyFormattedCitation" : "[11]"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[11]</w:t>
      </w:r>
      <w:r w:rsidR="00C1346F" w:rsidRPr="00B0157E">
        <w:rPr>
          <w:rFonts w:eastAsiaTheme="minorHAnsi"/>
          <w:lang w:val="en-AU"/>
        </w:rPr>
        <w:fldChar w:fldCharType="end"/>
      </w:r>
      <w:r w:rsidR="00611789" w:rsidRPr="00B0157E">
        <w:rPr>
          <w:rFonts w:eastAsiaTheme="minorHAnsi"/>
          <w:lang w:val="en-AU"/>
        </w:rPr>
        <w:t xml:space="preserve"> </w:t>
      </w:r>
      <w:r w:rsidR="00792CC7" w:rsidRPr="00B0157E">
        <w:rPr>
          <w:rFonts w:eastAsiaTheme="minorHAnsi"/>
          <w:lang w:val="en-AU"/>
        </w:rPr>
        <w:t xml:space="preserve">GPs </w:t>
      </w:r>
      <w:r w:rsidR="00271C60" w:rsidRPr="00B0157E">
        <w:rPr>
          <w:rFonts w:eastAsiaTheme="minorHAnsi"/>
          <w:lang w:val="en-AU"/>
        </w:rPr>
        <w:t xml:space="preserve">who billed the item </w:t>
      </w:r>
      <w:r w:rsidR="00792CC7" w:rsidRPr="00B0157E">
        <w:rPr>
          <w:rFonts w:eastAsiaTheme="minorHAnsi"/>
          <w:lang w:val="en-AU"/>
        </w:rPr>
        <w:t xml:space="preserve">accounted for 87 per cent of </w:t>
      </w:r>
      <w:r w:rsidR="004A47F0" w:rsidRPr="00B0157E">
        <w:rPr>
          <w:rFonts w:eastAsiaTheme="minorHAnsi"/>
          <w:lang w:val="en-AU"/>
        </w:rPr>
        <w:t xml:space="preserve">total </w:t>
      </w:r>
      <w:r w:rsidR="00792CC7" w:rsidRPr="00B0157E">
        <w:rPr>
          <w:rFonts w:eastAsiaTheme="minorHAnsi"/>
          <w:lang w:val="en-AU"/>
        </w:rPr>
        <w:t>services</w:t>
      </w:r>
      <w:r w:rsidR="00B00F42" w:rsidRPr="00B0157E">
        <w:rPr>
          <w:rFonts w:eastAsiaTheme="minorHAnsi"/>
          <w:lang w:val="en-AU"/>
        </w:rPr>
        <w:t>.</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COGNOS", "type" : "report" }, "uris" : [ "http://www.mendeley.com/documents/?uuid=0c6a31be-a58c-4483-bca9-b8a96ba7acd4" ] } ], "mendeley" : { "formattedCitation" : "[12]", "plainTextFormattedCitation" : "[12]", "previouslyFormattedCitation" : "[12]"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[12]</w:t>
      </w:r>
      <w:r w:rsidR="00C1346F" w:rsidRPr="00B0157E">
        <w:rPr>
          <w:rFonts w:eastAsiaTheme="minorHAnsi"/>
          <w:lang w:val="en-AU"/>
        </w:rPr>
        <w:fldChar w:fldCharType="end"/>
      </w:r>
      <w:r w:rsidR="00792CC7" w:rsidRPr="00B0157E">
        <w:rPr>
          <w:rFonts w:eastAsiaTheme="minorHAnsi"/>
          <w:lang w:val="en-AU"/>
        </w:rPr>
        <w:t xml:space="preserve"> </w:t>
      </w:r>
      <w:r w:rsidR="00611789" w:rsidRPr="00B0157E">
        <w:rPr>
          <w:rFonts w:eastAsiaTheme="minorHAnsi"/>
          <w:lang w:val="en-AU"/>
        </w:rPr>
        <w:t>Furthermore</w:t>
      </w:r>
      <w:r w:rsidR="00F20425" w:rsidRPr="00B0157E">
        <w:rPr>
          <w:rFonts w:eastAsiaTheme="minorHAnsi"/>
          <w:lang w:val="en-AU"/>
        </w:rPr>
        <w:t>,</w:t>
      </w:r>
      <w:r w:rsidR="0016480B" w:rsidRPr="00B0157E">
        <w:rPr>
          <w:rFonts w:eastAsiaTheme="minorHAnsi"/>
          <w:lang w:val="en-AU"/>
        </w:rPr>
        <w:t xml:space="preserve"> </w:t>
      </w:r>
      <w:r w:rsidR="00D27B18" w:rsidRPr="00B0157E">
        <w:rPr>
          <w:rFonts w:eastAsiaTheme="minorHAnsi"/>
          <w:lang w:val="en-AU"/>
        </w:rPr>
        <w:t>m</w:t>
      </w:r>
      <w:r w:rsidRPr="00B0157E">
        <w:rPr>
          <w:rFonts w:eastAsiaTheme="minorHAnsi"/>
          <w:lang w:val="en-AU"/>
        </w:rPr>
        <w:t xml:space="preserve">elanoma excisions were claimed within 30 days of </w:t>
      </w:r>
      <w:r w:rsidR="003B3870" w:rsidRPr="00B0157E">
        <w:rPr>
          <w:rFonts w:eastAsiaTheme="minorHAnsi"/>
          <w:lang w:val="en-AU"/>
        </w:rPr>
        <w:t xml:space="preserve">item </w:t>
      </w:r>
      <w:r w:rsidRPr="00B0157E">
        <w:rPr>
          <w:rFonts w:eastAsiaTheme="minorHAnsi"/>
          <w:lang w:val="en-AU"/>
        </w:rPr>
        <w:t>30195</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Q20285", "type" : "report" }, "uris" : [ "http://www.mendeley.com/documents/?uuid=be9f9560-71d2-4350-a262-f5e710ea3472" ] } ], "mendeley" : { "formattedCitation" : "[13]", "plainTextFormattedCitation" : "[13]", "previouslyFormattedCitation" : "[13]"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[13]</w:t>
      </w:r>
      <w:r w:rsidR="00C1346F" w:rsidRPr="00B0157E">
        <w:rPr>
          <w:rFonts w:eastAsiaTheme="minorHAnsi"/>
          <w:lang w:val="en-AU"/>
        </w:rPr>
        <w:fldChar w:fldCharType="end"/>
      </w:r>
      <w:r w:rsidR="00602E95" w:rsidRPr="00B0157E">
        <w:rPr>
          <w:rFonts w:eastAsiaTheme="minorHAnsi"/>
          <w:lang w:val="en-AU"/>
        </w:rPr>
        <w:t xml:space="preserve"> on 1,205 occasions,</w:t>
      </w:r>
      <w:r w:rsidR="00850DB0" w:rsidRPr="00B0157E">
        <w:rPr>
          <w:rFonts w:eastAsiaTheme="minorHAnsi"/>
          <w:lang w:val="en-AU"/>
        </w:rPr>
        <w:t xml:space="preserve"> potentially indicating that a number of melanomas may be missed </w:t>
      </w:r>
      <w:r w:rsidR="00006444" w:rsidRPr="00B0157E">
        <w:rPr>
          <w:rFonts w:eastAsiaTheme="minorHAnsi"/>
          <w:lang w:val="en-AU"/>
        </w:rPr>
        <w:t>due to</w:t>
      </w:r>
      <w:r w:rsidR="00850DB0" w:rsidRPr="00B0157E">
        <w:rPr>
          <w:rFonts w:eastAsiaTheme="minorHAnsi"/>
          <w:lang w:val="en-AU"/>
        </w:rPr>
        <w:t xml:space="preserve"> use of item number 30195, </w:t>
      </w:r>
      <w:r w:rsidR="00CE40CD" w:rsidRPr="00B0157E">
        <w:rPr>
          <w:rFonts w:eastAsiaTheme="minorHAnsi"/>
          <w:lang w:val="en-AU"/>
        </w:rPr>
        <w:t>where</w:t>
      </w:r>
      <w:r w:rsidR="00752270" w:rsidRPr="00B0157E">
        <w:rPr>
          <w:rFonts w:eastAsiaTheme="minorHAnsi"/>
          <w:lang w:val="en-AU"/>
        </w:rPr>
        <w:t xml:space="preserve"> </w:t>
      </w:r>
      <w:r w:rsidR="00850DB0" w:rsidRPr="00B0157E">
        <w:rPr>
          <w:rFonts w:eastAsiaTheme="minorHAnsi"/>
          <w:lang w:val="en-AU"/>
        </w:rPr>
        <w:t>tissue</w:t>
      </w:r>
      <w:r w:rsidR="009A1DAE" w:rsidRPr="00B0157E">
        <w:rPr>
          <w:rFonts w:eastAsiaTheme="minorHAnsi"/>
          <w:lang w:val="en-AU"/>
        </w:rPr>
        <w:t xml:space="preserve"> is</w:t>
      </w:r>
      <w:r w:rsidR="00850DB0" w:rsidRPr="00B0157E">
        <w:rPr>
          <w:rFonts w:eastAsiaTheme="minorHAnsi"/>
          <w:lang w:val="en-AU"/>
        </w:rPr>
        <w:t xml:space="preserve"> not sent for pathological examination.</w:t>
      </w:r>
      <w:r w:rsidRPr="00B0157E">
        <w:rPr>
          <w:rFonts w:eastAsiaTheme="minorHAnsi"/>
          <w:lang w:val="en-AU"/>
        </w:rPr>
        <w:t xml:space="preserve"> </w:t>
      </w:r>
    </w:p>
    <w:p w14:paraId="25228910" w14:textId="77777777" w:rsidR="001D43E9" w:rsidRPr="00B0157E" w:rsidRDefault="002219C3">
      <w:pPr>
        <w:pStyle w:val="01squarebullet"/>
        <w:rPr>
          <w:rFonts w:eastAsia="MS Mincho"/>
          <w:lang w:val="en-AU"/>
        </w:rPr>
      </w:pPr>
      <w:r w:rsidRPr="00B0157E">
        <w:rPr>
          <w:rFonts w:eastAsia="MS Mincho"/>
          <w:lang w:val="en-AU"/>
        </w:rPr>
        <w:t>The Committee felt that it was reasonable to delete this</w:t>
      </w:r>
      <w:r w:rsidR="00324946" w:rsidRPr="00B0157E">
        <w:rPr>
          <w:rFonts w:eastAsia="MS Mincho"/>
          <w:lang w:val="en-AU"/>
        </w:rPr>
        <w:t xml:space="preserve"> item</w:t>
      </w:r>
      <w:r w:rsidRPr="00B0157E">
        <w:rPr>
          <w:rFonts w:eastAsia="MS Mincho"/>
          <w:lang w:val="en-AU"/>
        </w:rPr>
        <w:t>, given</w:t>
      </w:r>
      <w:r w:rsidR="00324946" w:rsidRPr="00B0157E">
        <w:rPr>
          <w:rFonts w:eastAsia="MS Mincho"/>
          <w:lang w:val="en-AU"/>
        </w:rPr>
        <w:t xml:space="preserve"> </w:t>
      </w:r>
      <w:r w:rsidR="00BE091D" w:rsidRPr="00B0157E">
        <w:rPr>
          <w:rFonts w:eastAsia="MS Mincho"/>
          <w:lang w:val="en-AU"/>
        </w:rPr>
        <w:t xml:space="preserve">that </w:t>
      </w:r>
      <w:r w:rsidR="00F332F3" w:rsidRPr="00B0157E">
        <w:rPr>
          <w:rFonts w:eastAsia="MS Mincho"/>
          <w:lang w:val="en-AU"/>
        </w:rPr>
        <w:t>item 30071 can be used</w:t>
      </w:r>
      <w:r w:rsidR="00324946" w:rsidRPr="00B0157E">
        <w:rPr>
          <w:rFonts w:eastAsia="MS Mincho"/>
          <w:lang w:val="en-AU"/>
        </w:rPr>
        <w:t xml:space="preserve"> </w:t>
      </w:r>
      <w:r w:rsidR="00F332F3" w:rsidRPr="00B0157E">
        <w:rPr>
          <w:rFonts w:eastAsia="MS Mincho"/>
          <w:lang w:val="en-AU"/>
        </w:rPr>
        <w:t>if</w:t>
      </w:r>
      <w:r w:rsidR="00324946" w:rsidRPr="00B0157E">
        <w:rPr>
          <w:rFonts w:eastAsia="MS Mincho"/>
          <w:lang w:val="en-AU"/>
        </w:rPr>
        <w:t xml:space="preserve"> there is uncertainty about whether a lesion is benign or malignant</w:t>
      </w:r>
      <w:r w:rsidR="00493F88" w:rsidRPr="00B0157E">
        <w:rPr>
          <w:rFonts w:eastAsia="MS Mincho"/>
          <w:lang w:val="en-AU"/>
        </w:rPr>
        <w:t>. This</w:t>
      </w:r>
      <w:r w:rsidR="00324946" w:rsidRPr="00B0157E">
        <w:rPr>
          <w:rFonts w:eastAsia="MS Mincho"/>
          <w:lang w:val="en-AU"/>
        </w:rPr>
        <w:t xml:space="preserve"> </w:t>
      </w:r>
      <w:r w:rsidR="00C41AAD" w:rsidRPr="00B0157E">
        <w:rPr>
          <w:rFonts w:eastAsia="MS Mincho"/>
          <w:lang w:val="en-AU"/>
        </w:rPr>
        <w:t xml:space="preserve">recommendation </w:t>
      </w:r>
      <w:r w:rsidR="00324946" w:rsidRPr="00B0157E">
        <w:rPr>
          <w:rFonts w:eastAsia="MS Mincho"/>
          <w:lang w:val="en-AU"/>
        </w:rPr>
        <w:t>will</w:t>
      </w:r>
      <w:r w:rsidR="00493F88" w:rsidRPr="00B0157E">
        <w:rPr>
          <w:rFonts w:eastAsia="MS Mincho"/>
          <w:lang w:val="en-AU"/>
        </w:rPr>
        <w:t xml:space="preserve"> also</w:t>
      </w:r>
      <w:r w:rsidR="00324946" w:rsidRPr="00B0157E">
        <w:rPr>
          <w:rFonts w:eastAsia="MS Mincho"/>
          <w:lang w:val="en-AU"/>
        </w:rPr>
        <w:t xml:space="preserve"> ensure</w:t>
      </w:r>
      <w:r w:rsidR="00B47452" w:rsidRPr="00B0157E">
        <w:rPr>
          <w:rFonts w:eastAsia="MS Mincho"/>
          <w:lang w:val="en-AU"/>
        </w:rPr>
        <w:t xml:space="preserve"> that</w:t>
      </w:r>
      <w:r w:rsidR="00324946" w:rsidRPr="00B0157E">
        <w:rPr>
          <w:rFonts w:eastAsia="MS Mincho"/>
          <w:lang w:val="en-AU"/>
        </w:rPr>
        <w:t xml:space="preserve"> lesions are sent to pathology. </w:t>
      </w:r>
    </w:p>
    <w:p w14:paraId="38F10327" w14:textId="77777777" w:rsidR="00324946" w:rsidRPr="00B0157E" w:rsidRDefault="0010743D">
      <w:pPr>
        <w:pStyle w:val="01squarebullet"/>
        <w:rPr>
          <w:rFonts w:eastAsia="MS Mincho"/>
          <w:lang w:val="en-AU"/>
        </w:rPr>
      </w:pPr>
      <w:r w:rsidRPr="00B0157E">
        <w:rPr>
          <w:rFonts w:eastAsia="MS Mincho"/>
          <w:lang w:val="en-AU"/>
        </w:rPr>
        <w:t xml:space="preserve">The Committee </w:t>
      </w:r>
      <w:r w:rsidR="00F57233" w:rsidRPr="00B0157E">
        <w:rPr>
          <w:rFonts w:eastAsia="MS Mincho"/>
          <w:lang w:val="en-AU"/>
        </w:rPr>
        <w:t>pointed out</w:t>
      </w:r>
      <w:r w:rsidRPr="00B0157E">
        <w:rPr>
          <w:rFonts w:eastAsia="MS Mincho"/>
          <w:lang w:val="en-AU"/>
        </w:rPr>
        <w:t xml:space="preserve"> that a small number of severely disfiguring </w:t>
      </w:r>
      <w:r w:rsidR="00945692" w:rsidRPr="00B0157E">
        <w:rPr>
          <w:rFonts w:eastAsia="MS Mincho"/>
          <w:lang w:val="en-AU"/>
        </w:rPr>
        <w:t>tumours</w:t>
      </w:r>
      <w:r w:rsidR="00167F70" w:rsidRPr="00B0157E">
        <w:rPr>
          <w:rFonts w:eastAsia="MS Mincho"/>
          <w:lang w:val="en-AU"/>
        </w:rPr>
        <w:t>—</w:t>
      </w:r>
      <w:r w:rsidR="00945692" w:rsidRPr="00B0157E">
        <w:rPr>
          <w:rFonts w:eastAsia="MS Mincho"/>
          <w:lang w:val="en-AU"/>
        </w:rPr>
        <w:t>such as</w:t>
      </w:r>
      <w:r w:rsidR="00BA6BB7" w:rsidRPr="00B0157E">
        <w:rPr>
          <w:rFonts w:eastAsia="MS Mincho"/>
          <w:lang w:val="en-AU"/>
        </w:rPr>
        <w:t xml:space="preserve"> </w:t>
      </w:r>
      <w:r w:rsidR="00167F70" w:rsidRPr="00B0157E">
        <w:rPr>
          <w:lang w:val="en-AU"/>
        </w:rPr>
        <w:t>x</w:t>
      </w:r>
      <w:r w:rsidR="00BA6BB7" w:rsidRPr="00B0157E">
        <w:rPr>
          <w:lang w:val="en-AU"/>
        </w:rPr>
        <w:t xml:space="preserve">anthelasma, </w:t>
      </w:r>
      <w:r w:rsidR="00167F70" w:rsidRPr="00B0157E">
        <w:rPr>
          <w:lang w:val="en-AU"/>
        </w:rPr>
        <w:t>p</w:t>
      </w:r>
      <w:r w:rsidR="00BA6BB7" w:rsidRPr="00B0157E">
        <w:rPr>
          <w:lang w:val="en-AU"/>
        </w:rPr>
        <w:t xml:space="preserve">yogenic granuloma and </w:t>
      </w:r>
      <w:r w:rsidR="00167F70" w:rsidRPr="00B0157E">
        <w:rPr>
          <w:lang w:val="en-AU"/>
        </w:rPr>
        <w:t>e</w:t>
      </w:r>
      <w:r w:rsidR="00BA6BB7" w:rsidRPr="00B0157E">
        <w:rPr>
          <w:lang w:val="en-AU"/>
        </w:rPr>
        <w:t xml:space="preserve">pidermal </w:t>
      </w:r>
      <w:r w:rsidR="00167F70" w:rsidRPr="00B0157E">
        <w:rPr>
          <w:lang w:val="en-AU"/>
        </w:rPr>
        <w:t>n</w:t>
      </w:r>
      <w:r w:rsidR="00BA6BB7" w:rsidRPr="00B0157E">
        <w:rPr>
          <w:lang w:val="en-AU"/>
        </w:rPr>
        <w:t>aevi</w:t>
      </w:r>
      <w:r w:rsidR="00167F70" w:rsidRPr="00B0157E">
        <w:rPr>
          <w:rFonts w:eastAsia="MS Mincho"/>
          <w:lang w:val="en-AU"/>
        </w:rPr>
        <w:t>—</w:t>
      </w:r>
      <w:r w:rsidRPr="00B0157E">
        <w:rPr>
          <w:rFonts w:eastAsia="MS Mincho"/>
          <w:lang w:val="en-AU"/>
        </w:rPr>
        <w:t>were pr</w:t>
      </w:r>
      <w:r w:rsidR="00C111AE" w:rsidRPr="00B0157E">
        <w:rPr>
          <w:rFonts w:eastAsia="MS Mincho"/>
          <w:lang w:val="en-AU"/>
        </w:rPr>
        <w:t xml:space="preserve">eviously </w:t>
      </w:r>
      <w:r w:rsidR="003720D6" w:rsidRPr="00B0157E">
        <w:rPr>
          <w:rFonts w:eastAsia="MS Mincho"/>
          <w:lang w:val="en-AU"/>
        </w:rPr>
        <w:t xml:space="preserve">(and </w:t>
      </w:r>
      <w:r w:rsidR="00C111AE" w:rsidRPr="00B0157E">
        <w:rPr>
          <w:rFonts w:eastAsia="MS Mincho"/>
          <w:lang w:val="en-AU"/>
        </w:rPr>
        <w:t>appropriately</w:t>
      </w:r>
      <w:r w:rsidR="003720D6" w:rsidRPr="00B0157E">
        <w:rPr>
          <w:rFonts w:eastAsia="MS Mincho"/>
          <w:lang w:val="en-AU"/>
        </w:rPr>
        <w:t>)</w:t>
      </w:r>
      <w:r w:rsidR="00C111AE" w:rsidRPr="00B0157E">
        <w:rPr>
          <w:rFonts w:eastAsia="MS Mincho"/>
          <w:lang w:val="en-AU"/>
        </w:rPr>
        <w:t xml:space="preserve"> treated</w:t>
      </w:r>
      <w:r w:rsidRPr="00B0157E">
        <w:rPr>
          <w:rFonts w:eastAsia="MS Mincho"/>
          <w:lang w:val="en-AU"/>
        </w:rPr>
        <w:t xml:space="preserve"> under this item</w:t>
      </w:r>
      <w:r w:rsidR="00C111AE" w:rsidRPr="00B0157E">
        <w:rPr>
          <w:rFonts w:eastAsia="MS Mincho"/>
          <w:lang w:val="en-AU"/>
        </w:rPr>
        <w:t>. T</w:t>
      </w:r>
      <w:r w:rsidR="00945692" w:rsidRPr="00B0157E">
        <w:rPr>
          <w:rFonts w:eastAsia="MS Mincho"/>
          <w:lang w:val="en-AU"/>
        </w:rPr>
        <w:t>he</w:t>
      </w:r>
      <w:r w:rsidR="000255D3" w:rsidRPr="00B0157E">
        <w:rPr>
          <w:rFonts w:eastAsia="MS Mincho"/>
          <w:lang w:val="en-AU"/>
        </w:rPr>
        <w:t xml:space="preserve"> Committee recommended that the</w:t>
      </w:r>
      <w:r w:rsidR="00945692" w:rsidRPr="00B0157E">
        <w:rPr>
          <w:rFonts w:eastAsia="MS Mincho"/>
          <w:lang w:val="en-AU"/>
        </w:rPr>
        <w:t xml:space="preserve">se should now be billed under the proposed </w:t>
      </w:r>
      <w:r w:rsidR="00C111AE" w:rsidRPr="00B0157E">
        <w:rPr>
          <w:rFonts w:eastAsia="MS Mincho"/>
          <w:lang w:val="en-AU"/>
        </w:rPr>
        <w:t xml:space="preserve">new </w:t>
      </w:r>
      <w:r w:rsidR="00945692" w:rsidRPr="00B0157E">
        <w:rPr>
          <w:rFonts w:eastAsia="MS Mincho"/>
          <w:lang w:val="en-AU"/>
        </w:rPr>
        <w:t xml:space="preserve">item number 3019X </w:t>
      </w:r>
      <w:r w:rsidR="002F616D" w:rsidRPr="00B0157E">
        <w:rPr>
          <w:rFonts w:eastAsia="MS Mincho"/>
          <w:lang w:val="en-AU"/>
        </w:rPr>
        <w:t xml:space="preserve">[Note: this item is to be created, please see recommendations for 30190] </w:t>
      </w:r>
      <w:r w:rsidR="00945692" w:rsidRPr="00B0157E">
        <w:rPr>
          <w:rFonts w:eastAsia="MS Mincho"/>
          <w:lang w:val="en-AU"/>
        </w:rPr>
        <w:t>for less than 10</w:t>
      </w:r>
      <w:r w:rsidR="002F616D" w:rsidRPr="00B0157E">
        <w:rPr>
          <w:rFonts w:eastAsia="MS Mincho"/>
          <w:lang w:val="en-AU"/>
        </w:rPr>
        <w:t xml:space="preserve"> lesions</w:t>
      </w:r>
      <w:r w:rsidR="00945692" w:rsidRPr="00B0157E">
        <w:rPr>
          <w:rFonts w:eastAsia="MS Mincho"/>
          <w:lang w:val="en-AU"/>
        </w:rPr>
        <w:t>.</w:t>
      </w:r>
      <w:r w:rsidR="004A352E">
        <w:rPr>
          <w:rFonts w:eastAsia="MS Mincho"/>
          <w:lang w:val="en-AU"/>
        </w:rPr>
        <w:t xml:space="preserve"> </w:t>
      </w:r>
    </w:p>
    <w:p w14:paraId="1112CEEE" w14:textId="77777777" w:rsidR="00324946" w:rsidRPr="002808A4" w:rsidRDefault="00324946" w:rsidP="002808A4">
      <w:pPr>
        <w:pStyle w:val="Heading3"/>
      </w:pPr>
      <w:bookmarkStart w:id="85" w:name="_Toc452997145"/>
      <w:bookmarkStart w:id="86" w:name="_Toc458774422"/>
      <w:r w:rsidRPr="002808A4">
        <w:t>Item 30196</w:t>
      </w:r>
      <w:bookmarkEnd w:id="85"/>
      <w:bookmarkEnd w:id="86"/>
    </w:p>
    <w:p w14:paraId="1999392F" w14:textId="77777777" w:rsidR="00324946" w:rsidRPr="00B0157E" w:rsidRDefault="00324946" w:rsidP="00C33ED9">
      <w:pPr>
        <w:rPr>
          <w:b/>
          <w:lang w:val="en-AU"/>
        </w:rPr>
      </w:pPr>
      <w:r w:rsidRPr="00B0157E">
        <w:rPr>
          <w:b/>
          <w:lang w:val="en-AU"/>
        </w:rPr>
        <w:t>Recommendation</w:t>
      </w:r>
      <w:r w:rsidR="0004619F" w:rsidRPr="00B0157E">
        <w:rPr>
          <w:b/>
          <w:lang w:val="en-AU"/>
        </w:rPr>
        <w:t>s</w:t>
      </w:r>
      <w:r w:rsidRPr="00B0157E">
        <w:rPr>
          <w:b/>
          <w:lang w:val="en-AU"/>
        </w:rPr>
        <w:t xml:space="preserve"> </w:t>
      </w:r>
    </w:p>
    <w:p w14:paraId="263386CF" w14:textId="77777777" w:rsidR="00324946" w:rsidRPr="00B0157E" w:rsidRDefault="00D4475B">
      <w:pPr>
        <w:pStyle w:val="01squarebullet"/>
        <w:rPr>
          <w:rFonts w:eastAsia="MS Mincho"/>
          <w:lang w:val="en-AU"/>
        </w:rPr>
      </w:pPr>
      <w:r w:rsidRPr="00B0157E">
        <w:rPr>
          <w:rFonts w:eastAsia="MS Mincho"/>
          <w:lang w:val="en-AU"/>
        </w:rPr>
        <w:t>Change the item descriptor to mandate histopathology by removing “</w:t>
      </w:r>
      <w:r w:rsidR="002F616D" w:rsidRPr="00B0157E">
        <w:rPr>
          <w:rFonts w:eastAsia="MS Mincho"/>
          <w:lang w:val="en-AU"/>
        </w:rPr>
        <w:t>conf</w:t>
      </w:r>
      <w:r w:rsidR="00690E7B">
        <w:rPr>
          <w:rFonts w:eastAsia="MS Mincho"/>
          <w:lang w:val="en-AU"/>
        </w:rPr>
        <w:t>irmation of malignancy</w:t>
      </w:r>
      <w:r w:rsidRPr="00B0157E">
        <w:rPr>
          <w:rFonts w:eastAsia="MS Mincho"/>
          <w:lang w:val="en-AU"/>
        </w:rPr>
        <w:t xml:space="preserve"> by specialist opinion</w:t>
      </w:r>
      <w:r w:rsidR="009D0FDB" w:rsidRPr="00B0157E">
        <w:rPr>
          <w:rFonts w:eastAsia="MS Mincho"/>
          <w:lang w:val="en-AU"/>
        </w:rPr>
        <w:t>”</w:t>
      </w:r>
      <w:r w:rsidRPr="00B0157E">
        <w:rPr>
          <w:rFonts w:eastAsia="MS Mincho"/>
          <w:lang w:val="en-AU"/>
        </w:rPr>
        <w:t xml:space="preserve"> from the item descriptor</w:t>
      </w:r>
      <w:r w:rsidR="00CF1D45" w:rsidRPr="00B0157E">
        <w:rPr>
          <w:rFonts w:eastAsia="MS Mincho"/>
          <w:lang w:val="en-AU"/>
        </w:rPr>
        <w:t>.</w:t>
      </w:r>
      <w:r w:rsidR="00324946" w:rsidRPr="00B0157E">
        <w:rPr>
          <w:rFonts w:eastAsia="MS Mincho"/>
          <w:lang w:val="en-AU"/>
        </w:rPr>
        <w:t xml:space="preserve"> </w:t>
      </w:r>
    </w:p>
    <w:p w14:paraId="21C778A9" w14:textId="77777777" w:rsidR="00324946" w:rsidRPr="00B0157E" w:rsidRDefault="00324946">
      <w:pPr>
        <w:pStyle w:val="01squarebullet"/>
        <w:rPr>
          <w:rFonts w:eastAsia="MS Mincho"/>
          <w:lang w:val="en-AU"/>
        </w:rPr>
      </w:pPr>
      <w:r w:rsidRPr="00B0157E">
        <w:rPr>
          <w:rFonts w:eastAsia="MS Mincho"/>
          <w:lang w:val="en-AU"/>
        </w:rPr>
        <w:t xml:space="preserve">Advise </w:t>
      </w:r>
      <w:r w:rsidR="00CF7D95" w:rsidRPr="00B0157E">
        <w:rPr>
          <w:rFonts w:eastAsia="MS Mincho"/>
          <w:lang w:val="en-AU"/>
        </w:rPr>
        <w:t xml:space="preserve">the </w:t>
      </w:r>
      <w:r w:rsidRPr="00B0157E">
        <w:rPr>
          <w:rFonts w:eastAsia="MS Mincho"/>
          <w:lang w:val="en-AU"/>
        </w:rPr>
        <w:t xml:space="preserve">Department </w:t>
      </w:r>
      <w:r w:rsidR="00CF7D95" w:rsidRPr="00B0157E">
        <w:rPr>
          <w:rFonts w:eastAsia="MS Mincho"/>
          <w:lang w:val="en-AU"/>
        </w:rPr>
        <w:t xml:space="preserve">of Health </w:t>
      </w:r>
      <w:r w:rsidR="004E004E" w:rsidRPr="00B0157E">
        <w:rPr>
          <w:rFonts w:eastAsia="MS Mincho"/>
          <w:lang w:val="en-AU"/>
        </w:rPr>
        <w:t>(the Department)</w:t>
      </w:r>
      <w:r w:rsidR="00CF7D95" w:rsidRPr="00B0157E">
        <w:rPr>
          <w:rFonts w:eastAsia="MS Mincho"/>
          <w:lang w:val="en-AU"/>
        </w:rPr>
        <w:t xml:space="preserve"> </w:t>
      </w:r>
      <w:r w:rsidRPr="00B0157E">
        <w:rPr>
          <w:rFonts w:eastAsia="MS Mincho"/>
          <w:lang w:val="en-AU"/>
        </w:rPr>
        <w:t xml:space="preserve">to </w:t>
      </w:r>
      <w:r w:rsidR="0060765C" w:rsidRPr="00B0157E">
        <w:rPr>
          <w:rFonts w:eastAsia="MS Mincho"/>
          <w:lang w:val="en-AU"/>
        </w:rPr>
        <w:t>monitor</w:t>
      </w:r>
      <w:r w:rsidR="003A472E" w:rsidRPr="00B0157E">
        <w:rPr>
          <w:rFonts w:eastAsia="MS Mincho"/>
          <w:lang w:val="en-AU"/>
        </w:rPr>
        <w:t xml:space="preserve"> and conduct audits </w:t>
      </w:r>
      <w:r w:rsidR="00295326" w:rsidRPr="00B0157E">
        <w:rPr>
          <w:rFonts w:eastAsia="MS Mincho"/>
          <w:lang w:val="en-AU"/>
        </w:rPr>
        <w:t>(</w:t>
      </w:r>
      <w:r w:rsidR="003A472E" w:rsidRPr="00B0157E">
        <w:rPr>
          <w:rFonts w:eastAsia="MS Mincho"/>
          <w:lang w:val="en-AU"/>
        </w:rPr>
        <w:t>where appropriate</w:t>
      </w:r>
      <w:r w:rsidR="00295326" w:rsidRPr="00B0157E">
        <w:rPr>
          <w:rFonts w:eastAsia="MS Mincho"/>
          <w:lang w:val="en-AU"/>
        </w:rPr>
        <w:t>)</w:t>
      </w:r>
      <w:r w:rsidR="003A472E" w:rsidRPr="00B0157E">
        <w:rPr>
          <w:rFonts w:eastAsia="MS Mincho"/>
          <w:lang w:val="en-AU"/>
        </w:rPr>
        <w:t xml:space="preserve"> of</w:t>
      </w:r>
      <w:r w:rsidR="0060765C" w:rsidRPr="00B0157E">
        <w:rPr>
          <w:rFonts w:eastAsia="MS Mincho"/>
          <w:lang w:val="en-AU"/>
        </w:rPr>
        <w:t xml:space="preserve"> </w:t>
      </w:r>
      <w:r w:rsidRPr="00B0157E">
        <w:rPr>
          <w:rFonts w:eastAsia="MS Mincho"/>
          <w:lang w:val="en-AU"/>
        </w:rPr>
        <w:t>high</w:t>
      </w:r>
      <w:r w:rsidR="00AA4E51" w:rsidRPr="00B0157E">
        <w:rPr>
          <w:rFonts w:eastAsia="MS Mincho"/>
          <w:lang w:val="en-AU"/>
        </w:rPr>
        <w:t>-</w:t>
      </w:r>
      <w:r w:rsidRPr="00B0157E">
        <w:rPr>
          <w:rFonts w:eastAsia="MS Mincho"/>
          <w:lang w:val="en-AU"/>
        </w:rPr>
        <w:t xml:space="preserve">volume providers to ensure </w:t>
      </w:r>
      <w:r w:rsidR="00AA4E51" w:rsidRPr="00B0157E">
        <w:rPr>
          <w:rFonts w:eastAsia="MS Mincho"/>
          <w:lang w:val="en-AU"/>
        </w:rPr>
        <w:t xml:space="preserve">that </w:t>
      </w:r>
      <w:r w:rsidRPr="00B0157E">
        <w:rPr>
          <w:rFonts w:eastAsia="MS Mincho"/>
          <w:lang w:val="en-AU"/>
        </w:rPr>
        <w:t xml:space="preserve">providers are requesting the appropriate pathology tests. </w:t>
      </w:r>
      <w:r w:rsidR="00E600FD" w:rsidRPr="00B0157E">
        <w:rPr>
          <w:lang w:val="en-AU"/>
        </w:rPr>
        <w:t>T</w:t>
      </w:r>
      <w:r w:rsidR="00EF5875" w:rsidRPr="00B0157E">
        <w:rPr>
          <w:lang w:val="en-AU"/>
        </w:rPr>
        <w:t xml:space="preserve">his item should </w:t>
      </w:r>
      <w:r w:rsidR="00281922" w:rsidRPr="00B0157E">
        <w:rPr>
          <w:lang w:val="en-AU"/>
        </w:rPr>
        <w:t xml:space="preserve">also </w:t>
      </w:r>
      <w:r w:rsidR="00EF5875" w:rsidRPr="00B0157E">
        <w:rPr>
          <w:lang w:val="en-AU"/>
        </w:rPr>
        <w:t xml:space="preserve">be reviewed after 12 months to </w:t>
      </w:r>
      <w:r w:rsidR="001027BD" w:rsidRPr="00B0157E">
        <w:rPr>
          <w:lang w:val="en-AU"/>
        </w:rPr>
        <w:t xml:space="preserve">assess </w:t>
      </w:r>
      <w:r w:rsidR="00EF5875" w:rsidRPr="00B0157E">
        <w:rPr>
          <w:lang w:val="en-AU"/>
        </w:rPr>
        <w:t>the effect of deleting item 30197</w:t>
      </w:r>
      <w:r w:rsidR="00BD6042" w:rsidRPr="00B0157E">
        <w:rPr>
          <w:lang w:val="en-AU"/>
        </w:rPr>
        <w:t>,</w:t>
      </w:r>
      <w:r w:rsidR="00EF5875" w:rsidRPr="00B0157E">
        <w:rPr>
          <w:lang w:val="en-AU"/>
        </w:rPr>
        <w:t xml:space="preserve"> and</w:t>
      </w:r>
      <w:r w:rsidR="00BD6042" w:rsidRPr="00B0157E">
        <w:rPr>
          <w:lang w:val="en-AU"/>
        </w:rPr>
        <w:t xml:space="preserve"> to</w:t>
      </w:r>
      <w:r w:rsidR="00EF5875" w:rsidRPr="00B0157E">
        <w:rPr>
          <w:lang w:val="en-AU"/>
        </w:rPr>
        <w:t xml:space="preserve"> </w:t>
      </w:r>
      <w:r w:rsidR="00506CC9" w:rsidRPr="00B0157E">
        <w:rPr>
          <w:lang w:val="en-AU"/>
        </w:rPr>
        <w:t xml:space="preserve">determine </w:t>
      </w:r>
      <w:r w:rsidR="00EF5875" w:rsidRPr="00B0157E">
        <w:rPr>
          <w:lang w:val="en-AU"/>
        </w:rPr>
        <w:t>whether providers ar</w:t>
      </w:r>
      <w:r w:rsidR="00B0157E" w:rsidRPr="00B0157E">
        <w:rPr>
          <w:lang w:val="en-AU"/>
        </w:rPr>
        <w:t>e billing for many more than 10 </w:t>
      </w:r>
      <w:r w:rsidR="00EF5875" w:rsidRPr="00B0157E">
        <w:rPr>
          <w:lang w:val="en-AU"/>
        </w:rPr>
        <w:t>lesions.</w:t>
      </w:r>
      <w:r w:rsidR="004A352E">
        <w:rPr>
          <w:lang w:val="en-AU"/>
        </w:rPr>
        <w:t xml:space="preserve"> </w:t>
      </w:r>
    </w:p>
    <w:p w14:paraId="7C6CAD7A" w14:textId="77777777" w:rsidR="00324946" w:rsidRPr="00B0157E" w:rsidRDefault="00FD3D8B">
      <w:pPr>
        <w:pStyle w:val="01squarebullet"/>
        <w:rPr>
          <w:rFonts w:eastAsia="MS Mincho"/>
          <w:lang w:val="en-AU"/>
        </w:rPr>
      </w:pPr>
      <w:r w:rsidRPr="00B0157E">
        <w:rPr>
          <w:rFonts w:eastAsia="MS Mincho"/>
          <w:lang w:val="en-AU"/>
        </w:rPr>
        <w:t xml:space="preserve">The Committee calls on </w:t>
      </w:r>
      <w:r w:rsidR="00324946" w:rsidRPr="00B0157E">
        <w:rPr>
          <w:rFonts w:eastAsia="MS Mincho"/>
          <w:lang w:val="en-AU"/>
        </w:rPr>
        <w:t>relevant colleges to encourage best</w:t>
      </w:r>
      <w:r w:rsidR="00BB1BE1" w:rsidRPr="00B0157E">
        <w:rPr>
          <w:rFonts w:eastAsia="MS Mincho"/>
          <w:lang w:val="en-AU"/>
        </w:rPr>
        <w:t>-</w:t>
      </w:r>
      <w:r w:rsidR="00324946" w:rsidRPr="00B0157E">
        <w:rPr>
          <w:rFonts w:eastAsia="MS Mincho"/>
          <w:lang w:val="en-AU"/>
        </w:rPr>
        <w:t xml:space="preserve">practice use of </w:t>
      </w:r>
      <w:r w:rsidR="00AA5AAE" w:rsidRPr="00B0157E">
        <w:rPr>
          <w:rFonts w:eastAsia="MS Mincho"/>
          <w:lang w:val="en-AU"/>
        </w:rPr>
        <w:t>p</w:t>
      </w:r>
      <w:r w:rsidR="00324946" w:rsidRPr="00B0157E">
        <w:rPr>
          <w:rFonts w:eastAsia="MS Mincho"/>
          <w:lang w:val="en-AU"/>
        </w:rPr>
        <w:t>athology post-treatment.</w:t>
      </w:r>
      <w:r w:rsidR="004A352E">
        <w:rPr>
          <w:rFonts w:eastAsia="MS Mincho"/>
          <w:lang w:val="en-AU"/>
        </w:rPr>
        <w:t xml:space="preserve"> </w:t>
      </w:r>
    </w:p>
    <w:p w14:paraId="70482976" w14:textId="77777777" w:rsidR="00324946" w:rsidRPr="00B0157E" w:rsidRDefault="00324946" w:rsidP="00C33ED9">
      <w:pPr>
        <w:rPr>
          <w:b/>
          <w:lang w:val="en-AU"/>
        </w:rPr>
      </w:pPr>
      <w:r w:rsidRPr="00B0157E">
        <w:rPr>
          <w:b/>
          <w:lang w:val="en-AU"/>
        </w:rPr>
        <w:t>Rationale</w:t>
      </w:r>
    </w:p>
    <w:p w14:paraId="1B6B95B8" w14:textId="77777777" w:rsidR="00324946" w:rsidRPr="00B0157E" w:rsidRDefault="00324946" w:rsidP="00C33ED9">
      <w:pPr>
        <w:rPr>
          <w:lang w:val="en-AU"/>
        </w:rPr>
      </w:pPr>
      <w:r w:rsidRPr="00B0157E">
        <w:rPr>
          <w:lang w:val="en-AU"/>
        </w:rPr>
        <w:t xml:space="preserve">The </w:t>
      </w:r>
      <w:r w:rsidR="00796513" w:rsidRPr="00B0157E">
        <w:rPr>
          <w:lang w:val="en-AU"/>
        </w:rPr>
        <w:t>recommendations focus on increasing</w:t>
      </w:r>
      <w:r w:rsidRPr="00B0157E">
        <w:rPr>
          <w:lang w:val="en-AU"/>
        </w:rPr>
        <w:t xml:space="preserve"> patient safety</w:t>
      </w:r>
      <w:r w:rsidR="00796513" w:rsidRPr="00B0157E">
        <w:rPr>
          <w:lang w:val="en-AU"/>
        </w:rPr>
        <w:t xml:space="preserve"> and encouraging</w:t>
      </w:r>
      <w:r w:rsidRPr="00B0157E">
        <w:rPr>
          <w:lang w:val="en-AU"/>
        </w:rPr>
        <w:t xml:space="preserve"> best practice</w:t>
      </w:r>
      <w:r w:rsidR="00113413" w:rsidRPr="00B0157E">
        <w:rPr>
          <w:lang w:val="en-AU"/>
        </w:rPr>
        <w:t>.</w:t>
      </w:r>
      <w:r w:rsidRPr="00B0157E">
        <w:rPr>
          <w:lang w:val="en-AU"/>
        </w:rPr>
        <w:t xml:space="preserve"> </w:t>
      </w:r>
      <w:r w:rsidR="00113413" w:rsidRPr="00B0157E">
        <w:rPr>
          <w:lang w:val="en-AU"/>
        </w:rPr>
        <w:t>T</w:t>
      </w:r>
      <w:r w:rsidR="00796513" w:rsidRPr="00B0157E">
        <w:rPr>
          <w:lang w:val="en-AU"/>
        </w:rPr>
        <w:t xml:space="preserve">hey are </w:t>
      </w:r>
      <w:r w:rsidR="00345693" w:rsidRPr="00B0157E">
        <w:rPr>
          <w:lang w:val="en-AU"/>
        </w:rPr>
        <w:t>based on the following observations</w:t>
      </w:r>
      <w:r w:rsidR="00FB2709" w:rsidRPr="00B0157E">
        <w:rPr>
          <w:lang w:val="en-AU"/>
        </w:rPr>
        <w:t>.</w:t>
      </w:r>
    </w:p>
    <w:p w14:paraId="095B8572" w14:textId="77777777" w:rsidR="008412F9" w:rsidRPr="00B0157E" w:rsidRDefault="008412F9" w:rsidP="005125E2">
      <w:pPr>
        <w:pStyle w:val="01squarebullet"/>
        <w:rPr>
          <w:rFonts w:eastAsiaTheme="minorHAnsi"/>
          <w:lang w:val="en-AU"/>
        </w:rPr>
      </w:pPr>
      <w:r w:rsidRPr="00B0157E">
        <w:rPr>
          <w:rFonts w:eastAsiaTheme="minorHAnsi"/>
          <w:lang w:val="en-AU"/>
        </w:rPr>
        <w:t xml:space="preserve">The </w:t>
      </w:r>
      <w:r w:rsidR="00E87606" w:rsidRPr="00B0157E">
        <w:rPr>
          <w:rFonts w:eastAsiaTheme="minorHAnsi"/>
          <w:lang w:val="en-AU"/>
        </w:rPr>
        <w:t>position of the Committee is</w:t>
      </w:r>
      <w:r w:rsidR="001145DC" w:rsidRPr="00B0157E">
        <w:rPr>
          <w:rFonts w:eastAsiaTheme="minorHAnsi"/>
          <w:lang w:val="en-AU"/>
        </w:rPr>
        <w:t xml:space="preserve"> that item </w:t>
      </w:r>
      <w:r w:rsidR="00B754CF" w:rsidRPr="00B0157E">
        <w:rPr>
          <w:rFonts w:eastAsiaTheme="minorHAnsi"/>
          <w:lang w:val="en-AU"/>
        </w:rPr>
        <w:t xml:space="preserve">30196 </w:t>
      </w:r>
      <w:r w:rsidR="00840E02" w:rsidRPr="00B0157E">
        <w:rPr>
          <w:rFonts w:eastAsiaTheme="minorHAnsi"/>
          <w:lang w:val="en-AU"/>
        </w:rPr>
        <w:t xml:space="preserve">provides the </w:t>
      </w:r>
      <w:r w:rsidRPr="00B0157E">
        <w:rPr>
          <w:rFonts w:eastAsiaTheme="minorHAnsi"/>
          <w:lang w:val="en-AU"/>
        </w:rPr>
        <w:t xml:space="preserve">most appropriate </w:t>
      </w:r>
      <w:r w:rsidR="00840E02" w:rsidRPr="00B0157E">
        <w:rPr>
          <w:rFonts w:eastAsiaTheme="minorHAnsi"/>
          <w:lang w:val="en-AU"/>
        </w:rPr>
        <w:t xml:space="preserve">service </w:t>
      </w:r>
      <w:r w:rsidRPr="00B0157E">
        <w:rPr>
          <w:rFonts w:eastAsiaTheme="minorHAnsi"/>
          <w:lang w:val="en-AU"/>
        </w:rPr>
        <w:t xml:space="preserve">for the treatment of malignant </w:t>
      </w:r>
      <w:r w:rsidR="00840E02" w:rsidRPr="00B0157E">
        <w:rPr>
          <w:rFonts w:eastAsiaTheme="minorHAnsi"/>
          <w:lang w:val="en-AU"/>
        </w:rPr>
        <w:t xml:space="preserve">neoplasms within this group of items. </w:t>
      </w:r>
    </w:p>
    <w:p w14:paraId="171B127A" w14:textId="77777777" w:rsidR="00324946" w:rsidRPr="00B0157E" w:rsidRDefault="0087745F" w:rsidP="005125E2">
      <w:pPr>
        <w:pStyle w:val="01squarebullet"/>
        <w:rPr>
          <w:rFonts w:eastAsiaTheme="minorHAnsi"/>
          <w:lang w:val="en-AU"/>
        </w:rPr>
      </w:pPr>
      <w:r w:rsidRPr="00B0157E">
        <w:rPr>
          <w:rFonts w:eastAsia="MS Mincho"/>
          <w:lang w:val="en-AU"/>
        </w:rPr>
        <w:t>However</w:t>
      </w:r>
      <w:r w:rsidR="00621FE1" w:rsidRPr="00B0157E">
        <w:rPr>
          <w:rFonts w:eastAsia="MS Mincho"/>
          <w:lang w:val="en-AU"/>
        </w:rPr>
        <w:t>,</w:t>
      </w:r>
      <w:r w:rsidR="008412F9" w:rsidRPr="00B0157E">
        <w:rPr>
          <w:rFonts w:eastAsia="MS Mincho"/>
          <w:lang w:val="en-AU"/>
        </w:rPr>
        <w:t xml:space="preserve"> </w:t>
      </w:r>
      <w:r w:rsidR="00CF283E" w:rsidRPr="00B0157E">
        <w:rPr>
          <w:rFonts w:eastAsia="MS Mincho"/>
          <w:lang w:val="en-AU"/>
        </w:rPr>
        <w:t xml:space="preserve">it </w:t>
      </w:r>
      <w:r w:rsidR="008412F9" w:rsidRPr="00B0157E">
        <w:rPr>
          <w:rFonts w:eastAsia="MS Mincho"/>
          <w:lang w:val="en-AU"/>
        </w:rPr>
        <w:t>identified that some</w:t>
      </w:r>
      <w:r w:rsidR="00204C9F" w:rsidRPr="00B0157E">
        <w:rPr>
          <w:rFonts w:eastAsia="MS Mincho"/>
          <w:lang w:val="en-AU"/>
        </w:rPr>
        <w:t xml:space="preserve"> </w:t>
      </w:r>
      <w:r w:rsidR="00324946" w:rsidRPr="00B0157E">
        <w:rPr>
          <w:rFonts w:eastAsia="MS Mincho"/>
          <w:lang w:val="en-AU"/>
        </w:rPr>
        <w:t xml:space="preserve">lesions </w:t>
      </w:r>
      <w:r w:rsidR="00076811" w:rsidRPr="00B0157E">
        <w:rPr>
          <w:rFonts w:eastAsia="MS Mincho"/>
          <w:lang w:val="en-AU"/>
        </w:rPr>
        <w:t xml:space="preserve">are </w:t>
      </w:r>
      <w:r w:rsidR="008412F9" w:rsidRPr="00B0157E">
        <w:rPr>
          <w:rFonts w:eastAsia="MS Mincho"/>
          <w:lang w:val="en-AU"/>
        </w:rPr>
        <w:t xml:space="preserve">not being </w:t>
      </w:r>
      <w:r w:rsidR="00621FE1" w:rsidRPr="00B0157E">
        <w:rPr>
          <w:rFonts w:eastAsia="MS Mincho"/>
          <w:lang w:val="en-AU"/>
        </w:rPr>
        <w:t>sent for</w:t>
      </w:r>
      <w:r w:rsidR="00324946" w:rsidRPr="00B0157E">
        <w:rPr>
          <w:rFonts w:eastAsia="MS Mincho"/>
          <w:lang w:val="en-AU"/>
        </w:rPr>
        <w:t xml:space="preserve"> </w:t>
      </w:r>
      <w:r w:rsidR="00621FE1" w:rsidRPr="00B0157E">
        <w:rPr>
          <w:rFonts w:eastAsia="MS Mincho"/>
          <w:lang w:val="en-AU"/>
        </w:rPr>
        <w:t>histo</w:t>
      </w:r>
      <w:r w:rsidR="00324946" w:rsidRPr="00B0157E">
        <w:rPr>
          <w:rFonts w:eastAsia="MS Mincho"/>
          <w:lang w:val="en-AU"/>
        </w:rPr>
        <w:t>pathology</w:t>
      </w:r>
      <w:r w:rsidR="004807DA" w:rsidRPr="00B0157E">
        <w:rPr>
          <w:rFonts w:eastAsia="MS Mincho"/>
          <w:lang w:val="en-AU"/>
        </w:rPr>
        <w:t>,</w:t>
      </w:r>
      <w:r w:rsidR="008A1BAC" w:rsidRPr="00B0157E">
        <w:rPr>
          <w:rFonts w:eastAsia="MS Mincho"/>
          <w:lang w:val="en-AU"/>
        </w:rPr>
        <w:t xml:space="preserve"> which</w:t>
      </w:r>
      <w:r w:rsidR="00324946" w:rsidRPr="00B0157E">
        <w:rPr>
          <w:rFonts w:eastAsia="MS Mincho"/>
          <w:lang w:val="en-AU"/>
        </w:rPr>
        <w:t xml:space="preserve"> </w:t>
      </w:r>
      <w:r w:rsidR="00427DD8" w:rsidRPr="00B0157E">
        <w:rPr>
          <w:rFonts w:eastAsia="MS Mincho"/>
          <w:lang w:val="en-AU"/>
        </w:rPr>
        <w:t xml:space="preserve">represents </w:t>
      </w:r>
      <w:r w:rsidR="008412F9" w:rsidRPr="00B0157E">
        <w:rPr>
          <w:rFonts w:eastAsia="MS Mincho"/>
          <w:lang w:val="en-AU"/>
        </w:rPr>
        <w:t>a</w:t>
      </w:r>
      <w:r w:rsidR="00324946" w:rsidRPr="00B0157E">
        <w:rPr>
          <w:rFonts w:eastAsia="MS Mincho"/>
          <w:lang w:val="en-AU"/>
        </w:rPr>
        <w:t xml:space="preserve"> safety concern and does not reflect best practice. </w:t>
      </w:r>
      <w:r w:rsidR="00063124" w:rsidRPr="00B0157E">
        <w:rPr>
          <w:rFonts w:eastAsiaTheme="minorHAnsi"/>
          <w:lang w:val="en-AU"/>
        </w:rPr>
        <w:t>In FY2014/15, histopathology or the biopsy item 30071 was used in the period 30 days before or after service delivery</w:t>
      </w:r>
      <w:r w:rsidR="00FD714E" w:rsidRPr="00B0157E">
        <w:rPr>
          <w:rFonts w:eastAsiaTheme="minorHAnsi"/>
          <w:lang w:val="en-AU"/>
        </w:rPr>
        <w:t xml:space="preserve"> on 89 per cent of occasions:</w:t>
      </w:r>
      <w:r w:rsidR="00063124" w:rsidRPr="00B0157E">
        <w:rPr>
          <w:rFonts w:eastAsiaTheme="minorHAnsi"/>
          <w:lang w:val="en-AU"/>
        </w:rPr>
        <w:t xml:space="preserve"> </w:t>
      </w:r>
      <w:r w:rsidR="00800D59" w:rsidRPr="00B0157E">
        <w:rPr>
          <w:rFonts w:eastAsiaTheme="minorHAnsi"/>
          <w:lang w:val="en-AU"/>
        </w:rPr>
        <w:t xml:space="preserve">GPs used it on </w:t>
      </w:r>
      <w:r w:rsidR="00063124" w:rsidRPr="00B0157E">
        <w:rPr>
          <w:rFonts w:eastAsiaTheme="minorHAnsi"/>
          <w:lang w:val="en-AU"/>
        </w:rPr>
        <w:t>90 per cent</w:t>
      </w:r>
      <w:r w:rsidR="00575401" w:rsidRPr="00B0157E">
        <w:rPr>
          <w:rFonts w:eastAsiaTheme="minorHAnsi"/>
          <w:lang w:val="en-AU"/>
        </w:rPr>
        <w:t xml:space="preserve"> of occasions,</w:t>
      </w:r>
      <w:r w:rsidR="00063124" w:rsidRPr="00B0157E">
        <w:rPr>
          <w:rFonts w:eastAsiaTheme="minorHAnsi"/>
          <w:lang w:val="en-AU"/>
        </w:rPr>
        <w:t xml:space="preserve"> and</w:t>
      </w:r>
      <w:r w:rsidR="005D794B" w:rsidRPr="00B0157E">
        <w:rPr>
          <w:rFonts w:eastAsiaTheme="minorHAnsi"/>
          <w:lang w:val="en-AU"/>
        </w:rPr>
        <w:t xml:space="preserve"> specialists used it on</w:t>
      </w:r>
      <w:r w:rsidR="00063124" w:rsidRPr="00B0157E">
        <w:rPr>
          <w:rFonts w:eastAsiaTheme="minorHAnsi"/>
          <w:lang w:val="en-AU"/>
        </w:rPr>
        <w:t xml:space="preserve"> 87 per</w:t>
      </w:r>
      <w:r w:rsidR="009D6E6B" w:rsidRPr="00B0157E">
        <w:rPr>
          <w:rFonts w:eastAsiaTheme="minorHAnsi"/>
          <w:lang w:val="en-AU"/>
        </w:rPr>
        <w:t xml:space="preserve"> </w:t>
      </w:r>
      <w:r w:rsidR="00063124" w:rsidRPr="00B0157E">
        <w:rPr>
          <w:rFonts w:eastAsiaTheme="minorHAnsi"/>
          <w:lang w:val="en-AU"/>
        </w:rPr>
        <w:t xml:space="preserve">cent </w:t>
      </w:r>
      <w:r w:rsidR="00063124" w:rsidRPr="00B0157E">
        <w:rPr>
          <w:rFonts w:eastAsiaTheme="minorHAnsi"/>
          <w:lang w:val="en-AU"/>
        </w:rPr>
        <w:lastRenderedPageBreak/>
        <w:t>of occasions</w:t>
      </w:r>
      <w:r w:rsidR="00832683" w:rsidRPr="00B0157E">
        <w:rPr>
          <w:rFonts w:eastAsiaTheme="minorHAnsi"/>
          <w:lang w:val="en-AU"/>
        </w:rPr>
        <w:t>.</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Q20423", "type" : "report" }, "uris" : [ "http://www.mendeley.com/documents/?uuid=814bfa07-e796-4347-b173-55d8f42a3936" ] } ], "mendeley" : { "formattedCitation" : "[11]", "plainTextFormattedCitation" : "[11]", "previouslyFormattedCitation" : "[11]"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[11]</w:t>
      </w:r>
      <w:r w:rsidR="00C1346F" w:rsidRPr="00B0157E">
        <w:rPr>
          <w:rFonts w:eastAsiaTheme="minorHAnsi"/>
          <w:lang w:val="en-AU"/>
        </w:rPr>
        <w:fldChar w:fldCharType="end"/>
      </w:r>
      <w:r w:rsidR="00063124" w:rsidRPr="00B0157E">
        <w:rPr>
          <w:rFonts w:eastAsiaTheme="minorHAnsi"/>
          <w:lang w:val="en-AU"/>
        </w:rPr>
        <w:t xml:space="preserve"> </w:t>
      </w:r>
      <w:r w:rsidR="0000452E" w:rsidRPr="00B0157E">
        <w:rPr>
          <w:rFonts w:eastAsiaTheme="minorHAnsi"/>
          <w:lang w:val="en-AU"/>
        </w:rPr>
        <w:t xml:space="preserve">GPs </w:t>
      </w:r>
      <w:r w:rsidR="005E333A" w:rsidRPr="00B0157E">
        <w:rPr>
          <w:rFonts w:eastAsiaTheme="minorHAnsi"/>
          <w:lang w:val="en-AU"/>
        </w:rPr>
        <w:t xml:space="preserve">who billed this item </w:t>
      </w:r>
      <w:r w:rsidR="0000452E" w:rsidRPr="00B0157E">
        <w:rPr>
          <w:rFonts w:eastAsiaTheme="minorHAnsi"/>
          <w:lang w:val="en-AU"/>
        </w:rPr>
        <w:t xml:space="preserve">accounted for 55 per cent of </w:t>
      </w:r>
      <w:r w:rsidR="004A47F0" w:rsidRPr="00B0157E">
        <w:rPr>
          <w:rFonts w:eastAsiaTheme="minorHAnsi"/>
          <w:lang w:val="en-AU"/>
        </w:rPr>
        <w:t xml:space="preserve">total </w:t>
      </w:r>
      <w:r w:rsidR="0000452E" w:rsidRPr="00B0157E">
        <w:rPr>
          <w:rFonts w:eastAsiaTheme="minorHAnsi"/>
          <w:lang w:val="en-AU"/>
        </w:rPr>
        <w:t>services</w:t>
      </w:r>
      <w:r w:rsidR="00151113" w:rsidRPr="00B0157E">
        <w:rPr>
          <w:rFonts w:eastAsiaTheme="minorHAnsi"/>
          <w:lang w:val="en-AU"/>
        </w:rPr>
        <w:t>.</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COGNOS", "type" : "report" }, "uris" : [ "http://www.mendeley.com/documents/?uuid=0c6a31be-a58c-4483-bca9-b8a96ba7acd4" ] } ], "mendeley" : { "formattedCitation" : "[12]", "plainTextFormattedCitation" : "[12]", "previouslyFormattedCitation" : "[12]"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[12]</w:t>
      </w:r>
      <w:r w:rsidR="00C1346F" w:rsidRPr="00B0157E">
        <w:rPr>
          <w:rFonts w:eastAsiaTheme="minorHAnsi"/>
          <w:lang w:val="en-AU"/>
        </w:rPr>
        <w:fldChar w:fldCharType="end"/>
      </w:r>
      <w:r w:rsidR="004B2437" w:rsidRPr="00B0157E">
        <w:rPr>
          <w:rFonts w:eastAsiaTheme="minorHAnsi"/>
          <w:lang w:val="en-AU"/>
        </w:rPr>
        <w:t xml:space="preserve"> </w:t>
      </w:r>
      <w:r w:rsidR="00CA7279" w:rsidRPr="00B0157E">
        <w:rPr>
          <w:rFonts w:eastAsiaTheme="minorHAnsi"/>
          <w:lang w:val="en-AU"/>
        </w:rPr>
        <w:t>Within the same year</w:t>
      </w:r>
      <w:r w:rsidR="004B2437" w:rsidRPr="00B0157E">
        <w:rPr>
          <w:rFonts w:eastAsiaTheme="minorHAnsi"/>
          <w:lang w:val="en-AU"/>
        </w:rPr>
        <w:t xml:space="preserve">, </w:t>
      </w:r>
      <w:r w:rsidR="00324946" w:rsidRPr="00B0157E">
        <w:rPr>
          <w:rFonts w:eastAsiaTheme="minorHAnsi"/>
          <w:lang w:val="en-AU"/>
        </w:rPr>
        <w:t xml:space="preserve">844 </w:t>
      </w:r>
      <w:r w:rsidR="00CA1370" w:rsidRPr="00B0157E">
        <w:rPr>
          <w:rFonts w:eastAsiaTheme="minorHAnsi"/>
          <w:lang w:val="en-AU"/>
        </w:rPr>
        <w:t>m</w:t>
      </w:r>
      <w:r w:rsidR="00324946" w:rsidRPr="00B0157E">
        <w:rPr>
          <w:rFonts w:eastAsiaTheme="minorHAnsi"/>
          <w:lang w:val="en-AU"/>
        </w:rPr>
        <w:t xml:space="preserve">elanoma excisions were claimed within 30 days of </w:t>
      </w:r>
      <w:r w:rsidR="003F6E5E" w:rsidRPr="00B0157E">
        <w:rPr>
          <w:rFonts w:eastAsiaTheme="minorHAnsi"/>
          <w:lang w:val="en-AU"/>
        </w:rPr>
        <w:t xml:space="preserve">item </w:t>
      </w:r>
      <w:r w:rsidR="004B2437" w:rsidRPr="00B0157E">
        <w:rPr>
          <w:rFonts w:eastAsiaTheme="minorHAnsi"/>
          <w:lang w:val="en-AU"/>
        </w:rPr>
        <w:t>30196</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Q20285", "type" : "report" }, "uris" : [ "http://www.mendeley.com/documents/?uuid=be9f9560-71d2-4350-a262-f5e710ea3472" ] } ], "mendeley" : { "formattedCitation" : "[13]", "plainTextFormattedCitation" : "[13]", "previouslyFormattedCitation" : "[13]"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[13]</w:t>
      </w:r>
      <w:r w:rsidR="00C1346F" w:rsidRPr="00B0157E">
        <w:rPr>
          <w:rFonts w:eastAsiaTheme="minorHAnsi"/>
          <w:lang w:val="en-AU"/>
        </w:rPr>
        <w:fldChar w:fldCharType="end"/>
      </w:r>
      <w:r w:rsidR="004B2437" w:rsidRPr="00B0157E">
        <w:rPr>
          <w:rFonts w:eastAsiaTheme="minorHAnsi"/>
          <w:lang w:val="en-AU"/>
        </w:rPr>
        <w:t xml:space="preserve">, potentially indicating that a number of melanomas may be missed </w:t>
      </w:r>
      <w:r w:rsidR="000D3310" w:rsidRPr="00B0157E">
        <w:rPr>
          <w:rFonts w:eastAsiaTheme="minorHAnsi"/>
          <w:lang w:val="en-AU"/>
        </w:rPr>
        <w:t xml:space="preserve">due to </w:t>
      </w:r>
      <w:r w:rsidR="004B2437" w:rsidRPr="00B0157E">
        <w:rPr>
          <w:rFonts w:eastAsiaTheme="minorHAnsi"/>
          <w:lang w:val="en-AU"/>
        </w:rPr>
        <w:t xml:space="preserve">use of item number 30196, </w:t>
      </w:r>
      <w:r w:rsidR="00D81945" w:rsidRPr="00B0157E">
        <w:rPr>
          <w:rFonts w:eastAsiaTheme="minorHAnsi"/>
          <w:lang w:val="en-AU"/>
        </w:rPr>
        <w:t>where</w:t>
      </w:r>
      <w:r w:rsidR="00DB25A8" w:rsidRPr="00B0157E">
        <w:rPr>
          <w:rFonts w:eastAsiaTheme="minorHAnsi"/>
          <w:lang w:val="en-AU"/>
        </w:rPr>
        <w:t xml:space="preserve"> </w:t>
      </w:r>
      <w:r w:rsidR="004B2437" w:rsidRPr="00B0157E">
        <w:rPr>
          <w:rFonts w:eastAsiaTheme="minorHAnsi"/>
          <w:lang w:val="en-AU"/>
        </w:rPr>
        <w:t xml:space="preserve">tissue </w:t>
      </w:r>
      <w:r w:rsidR="00DB25A8" w:rsidRPr="00B0157E">
        <w:rPr>
          <w:rFonts w:eastAsiaTheme="minorHAnsi"/>
          <w:lang w:val="en-AU"/>
        </w:rPr>
        <w:t xml:space="preserve">is </w:t>
      </w:r>
      <w:r w:rsidR="004B2437" w:rsidRPr="00B0157E">
        <w:rPr>
          <w:rFonts w:eastAsiaTheme="minorHAnsi"/>
          <w:lang w:val="en-AU"/>
        </w:rPr>
        <w:t>not sent for pathological examination.</w:t>
      </w:r>
      <w:r w:rsidR="004A352E">
        <w:rPr>
          <w:rFonts w:eastAsiaTheme="minorHAnsi"/>
          <w:lang w:val="en-AU"/>
        </w:rPr>
        <w:t xml:space="preserve"> </w:t>
      </w:r>
    </w:p>
    <w:p w14:paraId="04A07E4F" w14:textId="77777777" w:rsidR="00D4475B" w:rsidRDefault="005C47DA" w:rsidP="005125E2">
      <w:pPr>
        <w:pStyle w:val="01squarebullet"/>
        <w:rPr>
          <w:rFonts w:eastAsiaTheme="minorHAnsi"/>
          <w:lang w:val="en-AU"/>
        </w:rPr>
      </w:pPr>
      <w:r w:rsidRPr="00B0157E">
        <w:rPr>
          <w:rFonts w:eastAsiaTheme="minorHAnsi"/>
          <w:lang w:val="en-AU"/>
        </w:rPr>
        <w:t>The</w:t>
      </w:r>
      <w:r w:rsidR="00D4475B" w:rsidRPr="00B0157E">
        <w:rPr>
          <w:rFonts w:eastAsiaTheme="minorHAnsi"/>
          <w:lang w:val="en-AU"/>
        </w:rPr>
        <w:t xml:space="preserve"> Committee was </w:t>
      </w:r>
      <w:r w:rsidRPr="00B0157E">
        <w:rPr>
          <w:rFonts w:eastAsiaTheme="minorHAnsi"/>
          <w:lang w:val="en-AU"/>
        </w:rPr>
        <w:t xml:space="preserve">also </w:t>
      </w:r>
      <w:r w:rsidR="00D4475B" w:rsidRPr="00B0157E">
        <w:rPr>
          <w:rFonts w:eastAsiaTheme="minorHAnsi"/>
          <w:lang w:val="en-AU"/>
        </w:rPr>
        <w:t xml:space="preserve">concerned </w:t>
      </w:r>
      <w:r w:rsidR="007A50C3" w:rsidRPr="00B0157E">
        <w:rPr>
          <w:rFonts w:eastAsiaTheme="minorHAnsi"/>
          <w:lang w:val="en-AU"/>
        </w:rPr>
        <w:t xml:space="preserve">to learn from </w:t>
      </w:r>
      <w:r w:rsidR="00080D80" w:rsidRPr="00B0157E">
        <w:rPr>
          <w:rFonts w:eastAsiaTheme="minorHAnsi"/>
          <w:lang w:val="en-AU"/>
        </w:rPr>
        <w:t xml:space="preserve">the </w:t>
      </w:r>
      <w:r w:rsidR="00372CDD" w:rsidRPr="00B0157E">
        <w:rPr>
          <w:rFonts w:eastAsiaTheme="minorHAnsi"/>
          <w:lang w:val="en-AU"/>
        </w:rPr>
        <w:t>Department</w:t>
      </w:r>
      <w:r w:rsidR="004A352E">
        <w:rPr>
          <w:rFonts w:eastAsiaTheme="minorHAnsi"/>
          <w:lang w:val="en-AU"/>
        </w:rPr>
        <w:t xml:space="preserve"> </w:t>
      </w:r>
      <w:r w:rsidR="00D4475B" w:rsidRPr="00B0157E">
        <w:rPr>
          <w:rFonts w:eastAsiaTheme="minorHAnsi"/>
          <w:lang w:val="en-AU"/>
        </w:rPr>
        <w:t>that certain GPs who specialise in skin are classifying themselves as specialists</w:t>
      </w:r>
      <w:r w:rsidR="007A50C3" w:rsidRPr="00B0157E">
        <w:rPr>
          <w:rFonts w:eastAsiaTheme="minorHAnsi"/>
          <w:lang w:val="en-AU"/>
        </w:rPr>
        <w:t xml:space="preserve"> and </w:t>
      </w:r>
      <w:r w:rsidR="00615C1B" w:rsidRPr="00B0157E">
        <w:rPr>
          <w:rFonts w:eastAsiaTheme="minorHAnsi"/>
          <w:lang w:val="en-AU"/>
        </w:rPr>
        <w:t xml:space="preserve">are </w:t>
      </w:r>
      <w:r w:rsidR="007A50C3" w:rsidRPr="00B0157E">
        <w:rPr>
          <w:rFonts w:eastAsiaTheme="minorHAnsi"/>
          <w:lang w:val="en-AU"/>
        </w:rPr>
        <w:t>not performing histopathology.</w:t>
      </w:r>
      <w:r w:rsidR="004A352E">
        <w:rPr>
          <w:rFonts w:eastAsiaTheme="minorHAnsi"/>
          <w:lang w:val="en-AU"/>
        </w:rPr>
        <w:t xml:space="preserve"> </w:t>
      </w:r>
    </w:p>
    <w:p w14:paraId="1C1A41B7" w14:textId="77777777" w:rsidR="00B2220D" w:rsidRPr="00B0157E" w:rsidRDefault="00B2220D" w:rsidP="00B2220D">
      <w:pPr>
        <w:pStyle w:val="01squarebullet"/>
        <w:rPr>
          <w:rFonts w:eastAsiaTheme="minorHAnsi"/>
          <w:lang w:val="en-AU"/>
        </w:rPr>
      </w:pPr>
      <w:r>
        <w:rPr>
          <w:rFonts w:eastAsiaTheme="minorHAnsi"/>
          <w:lang w:val="en-AU"/>
        </w:rPr>
        <w:t xml:space="preserve">The </w:t>
      </w:r>
      <w:r w:rsidRPr="00B0157E">
        <w:rPr>
          <w:rFonts w:eastAsiaTheme="minorHAnsi"/>
          <w:lang w:val="en-AU"/>
        </w:rPr>
        <w:t xml:space="preserve">Committee was also concerned to learn that certain GPs who specialise in skin </w:t>
      </w:r>
      <w:r>
        <w:rPr>
          <w:rFonts w:eastAsiaTheme="minorHAnsi"/>
          <w:lang w:val="en-AU"/>
        </w:rPr>
        <w:t xml:space="preserve">lesions </w:t>
      </w:r>
      <w:r w:rsidRPr="00B0157E">
        <w:rPr>
          <w:rFonts w:eastAsiaTheme="minorHAnsi"/>
          <w:lang w:val="en-AU"/>
        </w:rPr>
        <w:t xml:space="preserve">are classifying themselves as specialists and </w:t>
      </w:r>
      <w:r>
        <w:rPr>
          <w:rFonts w:eastAsiaTheme="minorHAnsi"/>
          <w:lang w:val="en-AU"/>
        </w:rPr>
        <w:t xml:space="preserve">MBS data reflects that the data shows providers that are listed as GPs who </w:t>
      </w:r>
      <w:r w:rsidRPr="00B0157E">
        <w:rPr>
          <w:rFonts w:eastAsiaTheme="minorHAnsi"/>
          <w:lang w:val="en-AU"/>
        </w:rPr>
        <w:t>are not performing histopathology.</w:t>
      </w:r>
      <w:r w:rsidR="004A352E">
        <w:rPr>
          <w:rFonts w:eastAsiaTheme="minorHAnsi"/>
          <w:lang w:val="en-AU"/>
        </w:rPr>
        <w:t xml:space="preserve"> </w:t>
      </w:r>
    </w:p>
    <w:p w14:paraId="632BE44E" w14:textId="2549E4A2" w:rsidR="00EC144E" w:rsidRPr="00224863" w:rsidRDefault="00B83FE6" w:rsidP="00FF0C98">
      <w:pPr>
        <w:pStyle w:val="01squarebullet"/>
        <w:rPr>
          <w:rFonts w:eastAsia="MS Mincho"/>
          <w:b/>
          <w:lang w:val="en-AU"/>
        </w:rPr>
      </w:pPr>
      <w:r w:rsidRPr="00B0157E">
        <w:rPr>
          <w:rFonts w:eastAsia="MS Mincho"/>
          <w:lang w:val="en-AU"/>
        </w:rPr>
        <w:t xml:space="preserve">In light of </w:t>
      </w:r>
      <w:r w:rsidR="001E58D0" w:rsidRPr="00B0157E">
        <w:rPr>
          <w:rFonts w:eastAsia="MS Mincho"/>
          <w:lang w:val="en-AU"/>
        </w:rPr>
        <w:t xml:space="preserve">the </w:t>
      </w:r>
      <w:r w:rsidR="00621FE1" w:rsidRPr="00B0157E">
        <w:rPr>
          <w:rFonts w:eastAsia="MS Mincho"/>
          <w:lang w:val="en-AU"/>
        </w:rPr>
        <w:t xml:space="preserve">safety concerns and </w:t>
      </w:r>
      <w:r w:rsidRPr="00B0157E">
        <w:rPr>
          <w:rFonts w:eastAsia="MS Mincho"/>
          <w:lang w:val="en-AU"/>
        </w:rPr>
        <w:t>the proposed</w:t>
      </w:r>
      <w:r w:rsidR="00E527EE" w:rsidRPr="00B0157E">
        <w:rPr>
          <w:rFonts w:eastAsia="MS Mincho"/>
          <w:lang w:val="en-AU"/>
        </w:rPr>
        <w:t xml:space="preserve"> </w:t>
      </w:r>
      <w:r w:rsidR="007A50C3" w:rsidRPr="00B0157E">
        <w:rPr>
          <w:rFonts w:eastAsia="MS Mincho"/>
          <w:lang w:val="en-AU"/>
        </w:rPr>
        <w:t>removal</w:t>
      </w:r>
      <w:r w:rsidR="00DE48B0" w:rsidRPr="00B0157E">
        <w:rPr>
          <w:rFonts w:eastAsia="MS Mincho"/>
          <w:lang w:val="en-AU"/>
        </w:rPr>
        <w:t xml:space="preserve"> of</w:t>
      </w:r>
      <w:r w:rsidR="00E527EE" w:rsidRPr="00B0157E">
        <w:rPr>
          <w:rFonts w:eastAsia="MS Mincho"/>
          <w:lang w:val="en-AU"/>
        </w:rPr>
        <w:t xml:space="preserve"> item 30197 </w:t>
      </w:r>
      <w:r w:rsidR="00170AE4" w:rsidRPr="00B0157E">
        <w:rPr>
          <w:rFonts w:eastAsia="MS Mincho"/>
          <w:lang w:val="en-AU"/>
        </w:rPr>
        <w:t>(</w:t>
      </w:r>
      <w:r w:rsidR="007A50C3" w:rsidRPr="00B0157E">
        <w:rPr>
          <w:rFonts w:eastAsia="MS Mincho"/>
          <w:lang w:val="en-AU"/>
        </w:rPr>
        <w:t>a large number of lesions under this item were not sent for histopathology</w:t>
      </w:r>
      <w:r w:rsidR="001214D4" w:rsidRPr="00B0157E">
        <w:rPr>
          <w:rFonts w:eastAsia="MS Mincho"/>
          <w:lang w:val="en-AU"/>
        </w:rPr>
        <w:t>,</w:t>
      </w:r>
      <w:r w:rsidR="007A50C3" w:rsidRPr="00B0157E">
        <w:rPr>
          <w:rFonts w:eastAsia="MS Mincho"/>
          <w:lang w:val="en-AU"/>
        </w:rPr>
        <w:t xml:space="preserve"> and </w:t>
      </w:r>
      <w:r w:rsidR="007B72C7" w:rsidRPr="00B0157E">
        <w:rPr>
          <w:rFonts w:eastAsia="MS Mincho"/>
          <w:lang w:val="en-AU"/>
        </w:rPr>
        <w:t>its services</w:t>
      </w:r>
      <w:r w:rsidR="007A50C3" w:rsidRPr="00B0157E">
        <w:rPr>
          <w:rFonts w:eastAsia="MS Mincho"/>
          <w:lang w:val="en-AU"/>
        </w:rPr>
        <w:t xml:space="preserve"> </w:t>
      </w:r>
      <w:r w:rsidR="0058384C" w:rsidRPr="00B0157E">
        <w:rPr>
          <w:rFonts w:eastAsia="MS Mincho"/>
          <w:lang w:val="en-AU"/>
        </w:rPr>
        <w:t>will now fall</w:t>
      </w:r>
      <w:r w:rsidR="007B72C7" w:rsidRPr="00B0157E">
        <w:rPr>
          <w:rFonts w:eastAsia="MS Mincho"/>
          <w:lang w:val="en-AU"/>
        </w:rPr>
        <w:t xml:space="preserve"> under </w:t>
      </w:r>
      <w:r w:rsidR="00170AE4" w:rsidRPr="00B0157E">
        <w:rPr>
          <w:rFonts w:eastAsia="MS Mincho"/>
          <w:lang w:val="en-AU"/>
        </w:rPr>
        <w:t xml:space="preserve">item </w:t>
      </w:r>
      <w:r w:rsidR="007B72C7" w:rsidRPr="00B0157E">
        <w:rPr>
          <w:rFonts w:eastAsia="MS Mincho"/>
          <w:lang w:val="en-AU"/>
        </w:rPr>
        <w:t>30196</w:t>
      </w:r>
      <w:r w:rsidR="00170AE4" w:rsidRPr="00B0157E">
        <w:rPr>
          <w:rFonts w:eastAsia="MS Mincho"/>
          <w:lang w:val="en-AU"/>
        </w:rPr>
        <w:t>)</w:t>
      </w:r>
      <w:r w:rsidR="007B72C7" w:rsidRPr="00B0157E">
        <w:rPr>
          <w:rFonts w:eastAsia="MS Mincho"/>
          <w:lang w:val="en-AU"/>
        </w:rPr>
        <w:t>,</w:t>
      </w:r>
      <w:r w:rsidR="00B100FD" w:rsidRPr="00B0157E">
        <w:rPr>
          <w:rFonts w:eastAsia="MS Mincho"/>
          <w:lang w:val="en-AU"/>
        </w:rPr>
        <w:t xml:space="preserve"> the Committee recommends</w:t>
      </w:r>
      <w:r w:rsidR="0058384C" w:rsidRPr="00B0157E">
        <w:rPr>
          <w:rFonts w:eastAsia="MS Mincho"/>
          <w:lang w:val="en-AU"/>
        </w:rPr>
        <w:t>: (i)</w:t>
      </w:r>
      <w:r w:rsidR="00B100FD" w:rsidRPr="00B0157E">
        <w:rPr>
          <w:rFonts w:eastAsia="MS Mincho"/>
          <w:lang w:val="en-AU"/>
        </w:rPr>
        <w:t xml:space="preserve"> </w:t>
      </w:r>
      <w:r w:rsidR="0058384C" w:rsidRPr="00B0157E">
        <w:rPr>
          <w:rFonts w:eastAsia="MS Mincho"/>
          <w:lang w:val="en-AU"/>
        </w:rPr>
        <w:t>mandating histopathology by removing confirmation “by specialist opinion”</w:t>
      </w:r>
      <w:r w:rsidR="00715FFF" w:rsidRPr="00B0157E">
        <w:rPr>
          <w:rFonts w:eastAsia="MS Mincho"/>
          <w:lang w:val="en-AU"/>
        </w:rPr>
        <w:t>;</w:t>
      </w:r>
      <w:r w:rsidR="0058384C" w:rsidRPr="00B0157E">
        <w:rPr>
          <w:rFonts w:eastAsia="MS Mincho"/>
          <w:lang w:val="en-AU"/>
        </w:rPr>
        <w:t xml:space="preserve"> (ii) </w:t>
      </w:r>
      <w:r w:rsidR="00621FE1" w:rsidRPr="00B0157E">
        <w:rPr>
          <w:rFonts w:eastAsia="MS Mincho"/>
          <w:lang w:val="en-AU"/>
        </w:rPr>
        <w:t>encouraging colleges to promote best</w:t>
      </w:r>
      <w:r w:rsidR="005D3BE7" w:rsidRPr="00B0157E">
        <w:rPr>
          <w:rFonts w:eastAsia="MS Mincho"/>
          <w:lang w:val="en-AU"/>
        </w:rPr>
        <w:t>-</w:t>
      </w:r>
      <w:r w:rsidR="00621FE1" w:rsidRPr="00B0157E">
        <w:rPr>
          <w:rFonts w:eastAsia="MS Mincho"/>
          <w:lang w:val="en-AU"/>
        </w:rPr>
        <w:t xml:space="preserve">practice </w:t>
      </w:r>
      <w:r w:rsidR="003E5EBF">
        <w:rPr>
          <w:rFonts w:eastAsia="MS Mincho"/>
          <w:lang w:val="en-AU"/>
        </w:rPr>
        <w:t>use of </w:t>
      </w:r>
      <w:r w:rsidR="005467D5" w:rsidRPr="00B0157E">
        <w:rPr>
          <w:rFonts w:eastAsia="MS Mincho"/>
          <w:lang w:val="en-AU"/>
        </w:rPr>
        <w:t>histopathology amongst their members</w:t>
      </w:r>
      <w:r w:rsidR="00F114AE" w:rsidRPr="00B0157E">
        <w:rPr>
          <w:rFonts w:eastAsia="MS Mincho"/>
          <w:lang w:val="en-AU"/>
        </w:rPr>
        <w:t>;</w:t>
      </w:r>
      <w:r w:rsidR="0058384C" w:rsidRPr="00B0157E">
        <w:rPr>
          <w:rFonts w:eastAsia="MS Mincho"/>
          <w:lang w:val="en-AU"/>
        </w:rPr>
        <w:t xml:space="preserve"> (iii)</w:t>
      </w:r>
      <w:r w:rsidR="005467D5" w:rsidRPr="00B0157E">
        <w:rPr>
          <w:rFonts w:eastAsia="MS Mincho"/>
          <w:lang w:val="en-AU"/>
        </w:rPr>
        <w:t xml:space="preserve"> monitoring high</w:t>
      </w:r>
      <w:r w:rsidR="009A3E8B" w:rsidRPr="00B0157E">
        <w:rPr>
          <w:rFonts w:eastAsia="MS Mincho"/>
          <w:lang w:val="en-AU"/>
        </w:rPr>
        <w:t>-</w:t>
      </w:r>
      <w:r w:rsidR="005467D5" w:rsidRPr="00B0157E">
        <w:rPr>
          <w:rFonts w:eastAsia="MS Mincho"/>
          <w:lang w:val="en-AU"/>
        </w:rPr>
        <w:t xml:space="preserve">volume users of the item </w:t>
      </w:r>
      <w:r w:rsidR="00BB532F" w:rsidRPr="00B0157E">
        <w:rPr>
          <w:rFonts w:eastAsia="MS Mincho"/>
          <w:lang w:val="en-AU"/>
        </w:rPr>
        <w:t xml:space="preserve">(performed </w:t>
      </w:r>
      <w:r w:rsidR="005467D5" w:rsidRPr="00B0157E">
        <w:rPr>
          <w:rFonts w:eastAsia="MS Mincho"/>
          <w:lang w:val="en-AU"/>
        </w:rPr>
        <w:t xml:space="preserve">by </w:t>
      </w:r>
      <w:r w:rsidR="00BB532F" w:rsidRPr="00B0157E">
        <w:rPr>
          <w:rFonts w:eastAsia="MS Mincho"/>
          <w:lang w:val="en-AU"/>
        </w:rPr>
        <w:t xml:space="preserve">the </w:t>
      </w:r>
      <w:r w:rsidR="00E90DD2" w:rsidRPr="00B0157E">
        <w:rPr>
          <w:rFonts w:eastAsia="MS Mincho"/>
          <w:lang w:val="en-AU"/>
        </w:rPr>
        <w:t>Department</w:t>
      </w:r>
      <w:r w:rsidR="00BB532F" w:rsidRPr="00B0157E">
        <w:rPr>
          <w:rFonts w:eastAsia="MS Mincho"/>
          <w:lang w:val="en-AU"/>
        </w:rPr>
        <w:t>)</w:t>
      </w:r>
      <w:r w:rsidR="00823EEC" w:rsidRPr="00B0157E">
        <w:rPr>
          <w:rFonts w:eastAsia="MS Mincho"/>
          <w:lang w:val="en-AU"/>
        </w:rPr>
        <w:t>;</w:t>
      </w:r>
      <w:r w:rsidR="005467D5" w:rsidRPr="00B0157E">
        <w:rPr>
          <w:rFonts w:eastAsia="MS Mincho"/>
          <w:lang w:val="en-AU"/>
        </w:rPr>
        <w:t xml:space="preserve"> and </w:t>
      </w:r>
      <w:r w:rsidR="0058384C" w:rsidRPr="00B0157E">
        <w:rPr>
          <w:rFonts w:eastAsia="MS Mincho"/>
          <w:lang w:val="en-AU"/>
        </w:rPr>
        <w:t xml:space="preserve">(iv) </w:t>
      </w:r>
      <w:r w:rsidR="00B100FD" w:rsidRPr="00B0157E">
        <w:rPr>
          <w:rFonts w:eastAsia="MS Mincho"/>
          <w:lang w:val="en-AU"/>
        </w:rPr>
        <w:t>a</w:t>
      </w:r>
      <w:r w:rsidR="005467D5" w:rsidRPr="00B0157E">
        <w:rPr>
          <w:rFonts w:eastAsia="MS Mincho"/>
          <w:lang w:val="en-AU"/>
        </w:rPr>
        <w:t xml:space="preserve"> further</w:t>
      </w:r>
      <w:r w:rsidR="007B72C7" w:rsidRPr="00B0157E">
        <w:rPr>
          <w:rFonts w:eastAsia="MS Mincho"/>
          <w:lang w:val="en-AU"/>
        </w:rPr>
        <w:t xml:space="preserve"> review </w:t>
      </w:r>
      <w:r w:rsidR="00E5749B" w:rsidRPr="00B0157E">
        <w:rPr>
          <w:rFonts w:eastAsia="MS Mincho"/>
          <w:lang w:val="en-AU"/>
        </w:rPr>
        <w:t xml:space="preserve">in 12 months’ time </w:t>
      </w:r>
      <w:r w:rsidR="00B100FD" w:rsidRPr="00B0157E">
        <w:rPr>
          <w:rFonts w:eastAsia="MS Mincho"/>
          <w:lang w:val="en-AU"/>
        </w:rPr>
        <w:t>of p</w:t>
      </w:r>
      <w:r w:rsidR="006A27FE" w:rsidRPr="00B0157E">
        <w:rPr>
          <w:rFonts w:eastAsia="MS Mincho"/>
          <w:lang w:val="en-AU"/>
        </w:rPr>
        <w:t>roviders</w:t>
      </w:r>
      <w:r w:rsidR="00B100FD" w:rsidRPr="00B0157E">
        <w:rPr>
          <w:rFonts w:eastAsia="MS Mincho"/>
          <w:lang w:val="en-AU"/>
        </w:rPr>
        <w:t xml:space="preserve"> </w:t>
      </w:r>
      <w:r w:rsidR="00ED1EB0" w:rsidRPr="00B0157E">
        <w:rPr>
          <w:rFonts w:eastAsia="MS Mincho"/>
          <w:lang w:val="en-AU"/>
        </w:rPr>
        <w:t xml:space="preserve">that </w:t>
      </w:r>
      <w:r w:rsidR="00B100FD" w:rsidRPr="00B0157E">
        <w:rPr>
          <w:rFonts w:eastAsia="MS Mincho"/>
          <w:lang w:val="en-AU"/>
        </w:rPr>
        <w:t>bill multiple</w:t>
      </w:r>
      <w:r w:rsidR="007B72C7" w:rsidRPr="00B0157E">
        <w:rPr>
          <w:rFonts w:eastAsia="MS Mincho"/>
          <w:lang w:val="en-AU"/>
        </w:rPr>
        <w:t xml:space="preserve"> lesions in a single day under </w:t>
      </w:r>
      <w:r w:rsidR="0035188B" w:rsidRPr="00B0157E">
        <w:rPr>
          <w:rFonts w:eastAsia="MS Mincho"/>
          <w:lang w:val="en-AU"/>
        </w:rPr>
        <w:t xml:space="preserve">item </w:t>
      </w:r>
      <w:r w:rsidR="007B72C7" w:rsidRPr="00B0157E">
        <w:rPr>
          <w:rFonts w:eastAsia="MS Mincho"/>
          <w:lang w:val="en-AU"/>
        </w:rPr>
        <w:t>30196</w:t>
      </w:r>
      <w:r w:rsidR="00E527EE" w:rsidRPr="00B0157E">
        <w:rPr>
          <w:rFonts w:eastAsia="MS Mincho"/>
          <w:lang w:val="en-AU"/>
        </w:rPr>
        <w:t xml:space="preserve">. The Committee does not anticipate this </w:t>
      </w:r>
      <w:r w:rsidR="00B100FD" w:rsidRPr="00B0157E">
        <w:rPr>
          <w:rFonts w:eastAsia="MS Mincho"/>
          <w:lang w:val="en-AU"/>
        </w:rPr>
        <w:t xml:space="preserve">procedure volume </w:t>
      </w:r>
      <w:r w:rsidR="00E527EE" w:rsidRPr="00B0157E">
        <w:rPr>
          <w:rFonts w:eastAsia="MS Mincho"/>
          <w:lang w:val="en-AU"/>
        </w:rPr>
        <w:t xml:space="preserve">to be </w:t>
      </w:r>
      <w:r w:rsidR="003D36D2" w:rsidRPr="00B0157E">
        <w:rPr>
          <w:rFonts w:eastAsia="MS Mincho"/>
          <w:lang w:val="en-AU"/>
        </w:rPr>
        <w:t>high</w:t>
      </w:r>
      <w:r w:rsidR="00B100FD" w:rsidRPr="00B0157E">
        <w:rPr>
          <w:rFonts w:eastAsia="MS Mincho"/>
          <w:lang w:val="en-AU"/>
        </w:rPr>
        <w:t xml:space="preserve">, as </w:t>
      </w:r>
      <w:r w:rsidR="00E74A04" w:rsidRPr="00B0157E">
        <w:rPr>
          <w:rFonts w:eastAsia="MS Mincho"/>
          <w:lang w:val="en-AU"/>
        </w:rPr>
        <w:t>discussed</w:t>
      </w:r>
      <w:r w:rsidR="003D36D2" w:rsidRPr="00B0157E">
        <w:rPr>
          <w:rFonts w:eastAsia="MS Mincho"/>
          <w:lang w:val="en-AU"/>
        </w:rPr>
        <w:t xml:space="preserve"> </w:t>
      </w:r>
      <w:r w:rsidR="00B100FD" w:rsidRPr="00B0157E">
        <w:rPr>
          <w:rFonts w:eastAsia="MS Mincho"/>
          <w:lang w:val="en-AU"/>
        </w:rPr>
        <w:t xml:space="preserve">in </w:t>
      </w:r>
      <w:r w:rsidR="00E74A04" w:rsidRPr="00B0157E">
        <w:rPr>
          <w:rFonts w:eastAsia="MS Mincho"/>
          <w:lang w:val="en-AU"/>
        </w:rPr>
        <w:t>S</w:t>
      </w:r>
      <w:r w:rsidR="00B100FD" w:rsidRPr="00B0157E">
        <w:rPr>
          <w:rFonts w:eastAsia="MS Mincho"/>
          <w:lang w:val="en-AU"/>
        </w:rPr>
        <w:t xml:space="preserve">ection </w:t>
      </w:r>
      <w:r w:rsidR="00FE00FD">
        <w:rPr>
          <w:rFonts w:eastAsia="MS Mincho"/>
          <w:lang w:val="en-AU"/>
        </w:rPr>
        <w:fldChar w:fldCharType="begin"/>
      </w:r>
      <w:r w:rsidR="00FE00FD">
        <w:rPr>
          <w:rFonts w:eastAsia="MS Mincho"/>
          <w:lang w:val="en-AU"/>
        </w:rPr>
        <w:instrText xml:space="preserve"> REF _Ref463874277 \r \h </w:instrText>
      </w:r>
      <w:r w:rsidR="00FE00FD">
        <w:rPr>
          <w:rFonts w:eastAsia="MS Mincho"/>
          <w:lang w:val="en-AU"/>
        </w:rPr>
      </w:r>
      <w:r w:rsidR="00FE00FD">
        <w:rPr>
          <w:rFonts w:eastAsia="MS Mincho"/>
          <w:lang w:val="en-AU"/>
        </w:rPr>
        <w:fldChar w:fldCharType="separate"/>
      </w:r>
      <w:r w:rsidR="00076093">
        <w:rPr>
          <w:rFonts w:eastAsia="MS Mincho"/>
          <w:lang w:val="en-AU"/>
        </w:rPr>
        <w:t>5.2.3</w:t>
      </w:r>
      <w:r w:rsidR="00FE00FD">
        <w:rPr>
          <w:rFonts w:eastAsia="MS Mincho"/>
          <w:lang w:val="en-AU"/>
        </w:rPr>
        <w:fldChar w:fldCharType="end"/>
      </w:r>
      <w:r w:rsidR="003D36D2" w:rsidRPr="00B0157E">
        <w:rPr>
          <w:rFonts w:eastAsia="MS Mincho"/>
          <w:lang w:val="en-AU"/>
        </w:rPr>
        <w:t xml:space="preserve"> </w:t>
      </w:r>
      <w:r w:rsidR="00A92C75" w:rsidRPr="00B0157E">
        <w:rPr>
          <w:rFonts w:eastAsia="MS Mincho"/>
          <w:lang w:val="en-AU"/>
        </w:rPr>
        <w:t>(</w:t>
      </w:r>
      <w:r w:rsidR="003D36D2" w:rsidRPr="00B0157E">
        <w:rPr>
          <w:rFonts w:eastAsia="MS Mincho"/>
          <w:lang w:val="en-AU"/>
        </w:rPr>
        <w:t>item 30197</w:t>
      </w:r>
      <w:r w:rsidR="00A92C75" w:rsidRPr="00B0157E">
        <w:rPr>
          <w:rFonts w:eastAsia="MS Mincho"/>
          <w:lang w:val="en-AU"/>
        </w:rPr>
        <w:t>)</w:t>
      </w:r>
      <w:r w:rsidR="003D36D2" w:rsidRPr="00B0157E">
        <w:rPr>
          <w:rFonts w:eastAsia="MS Mincho"/>
          <w:lang w:val="en-AU"/>
        </w:rPr>
        <w:t>.</w:t>
      </w:r>
      <w:r w:rsidR="004A352E">
        <w:rPr>
          <w:rFonts w:eastAsia="MS Mincho"/>
          <w:lang w:val="en-AU"/>
        </w:rPr>
        <w:t xml:space="preserve"> </w:t>
      </w:r>
    </w:p>
    <w:p w14:paraId="25E27D59" w14:textId="77777777" w:rsidR="00324946" w:rsidRPr="002808A4" w:rsidRDefault="00324946" w:rsidP="002808A4">
      <w:pPr>
        <w:pStyle w:val="Heading3"/>
      </w:pPr>
      <w:bookmarkStart w:id="87" w:name="_Toc452997146"/>
      <w:bookmarkStart w:id="88" w:name="_Toc458774423"/>
      <w:bookmarkStart w:id="89" w:name="_Ref463874277"/>
      <w:r w:rsidRPr="002808A4">
        <w:t>Item 30197</w:t>
      </w:r>
      <w:bookmarkEnd w:id="87"/>
      <w:bookmarkEnd w:id="88"/>
      <w:bookmarkEnd w:id="89"/>
    </w:p>
    <w:p w14:paraId="7CEF8037" w14:textId="77777777" w:rsidR="00324946" w:rsidRPr="00B0157E" w:rsidRDefault="00324946" w:rsidP="00C33ED9">
      <w:pPr>
        <w:rPr>
          <w:b/>
          <w:lang w:val="en-AU"/>
        </w:rPr>
      </w:pPr>
      <w:r w:rsidRPr="00B0157E">
        <w:rPr>
          <w:b/>
          <w:lang w:val="en-AU"/>
        </w:rPr>
        <w:t xml:space="preserve">Recommendation </w:t>
      </w:r>
    </w:p>
    <w:p w14:paraId="0B16C9BA" w14:textId="77777777" w:rsidR="00324946" w:rsidRPr="00B0157E" w:rsidRDefault="00CA63B9">
      <w:pPr>
        <w:pStyle w:val="01squarebullet"/>
        <w:rPr>
          <w:rFonts w:eastAsia="MS Mincho"/>
          <w:lang w:val="en-AU"/>
        </w:rPr>
      </w:pPr>
      <w:r w:rsidRPr="00B0157E">
        <w:rPr>
          <w:rFonts w:eastAsia="MS Mincho"/>
          <w:lang w:val="en-AU"/>
        </w:rPr>
        <w:t xml:space="preserve">Consolidate </w:t>
      </w:r>
      <w:r w:rsidR="001B24C2" w:rsidRPr="00B0157E">
        <w:rPr>
          <w:rFonts w:eastAsia="MS Mincho"/>
          <w:lang w:val="en-AU"/>
        </w:rPr>
        <w:t>this</w:t>
      </w:r>
      <w:r w:rsidR="00324946" w:rsidRPr="00B0157E">
        <w:rPr>
          <w:rFonts w:eastAsia="MS Mincho"/>
          <w:lang w:val="en-AU"/>
        </w:rPr>
        <w:t xml:space="preserve"> item under item 30196. </w:t>
      </w:r>
    </w:p>
    <w:p w14:paraId="04458EE9" w14:textId="77777777" w:rsidR="00324946" w:rsidRPr="00B0157E" w:rsidRDefault="00324946" w:rsidP="00FF0C98">
      <w:pPr>
        <w:rPr>
          <w:b/>
          <w:lang w:val="en-AU"/>
        </w:rPr>
      </w:pPr>
      <w:r w:rsidRPr="00B0157E">
        <w:rPr>
          <w:b/>
          <w:lang w:val="en-AU"/>
        </w:rPr>
        <w:t>Rationale</w:t>
      </w:r>
    </w:p>
    <w:p w14:paraId="7B8825CE" w14:textId="77777777" w:rsidR="00324946" w:rsidRPr="00B0157E" w:rsidRDefault="00796513" w:rsidP="00C33ED9">
      <w:pPr>
        <w:rPr>
          <w:lang w:val="en-AU"/>
        </w:rPr>
      </w:pPr>
      <w:r w:rsidRPr="00B0157E">
        <w:rPr>
          <w:lang w:val="en-AU"/>
        </w:rPr>
        <w:t>The recommendation</w:t>
      </w:r>
      <w:r w:rsidR="00324946" w:rsidRPr="00B0157E">
        <w:rPr>
          <w:lang w:val="en-AU"/>
        </w:rPr>
        <w:t xml:space="preserve"> </w:t>
      </w:r>
      <w:r w:rsidRPr="00B0157E">
        <w:rPr>
          <w:lang w:val="en-AU"/>
        </w:rPr>
        <w:t>focuse</w:t>
      </w:r>
      <w:r w:rsidR="0078250C" w:rsidRPr="00B0157E">
        <w:rPr>
          <w:lang w:val="en-AU"/>
        </w:rPr>
        <w:t>s</w:t>
      </w:r>
      <w:r w:rsidRPr="00B0157E">
        <w:rPr>
          <w:lang w:val="en-AU"/>
        </w:rPr>
        <w:t xml:space="preserve"> on improving</w:t>
      </w:r>
      <w:r w:rsidR="00324946" w:rsidRPr="00B0157E">
        <w:rPr>
          <w:lang w:val="en-AU"/>
        </w:rPr>
        <w:t xml:space="preserve"> patient care and addressing potential incentives for misuse</w:t>
      </w:r>
      <w:r w:rsidR="00811C2E" w:rsidRPr="00B0157E">
        <w:rPr>
          <w:lang w:val="en-AU"/>
        </w:rPr>
        <w:t>.</w:t>
      </w:r>
      <w:r w:rsidR="00324946" w:rsidRPr="00B0157E">
        <w:rPr>
          <w:lang w:val="en-AU"/>
        </w:rPr>
        <w:t xml:space="preserve"> </w:t>
      </w:r>
      <w:r w:rsidR="00811C2E" w:rsidRPr="00B0157E">
        <w:rPr>
          <w:lang w:val="en-AU"/>
        </w:rPr>
        <w:t>I</w:t>
      </w:r>
      <w:r w:rsidRPr="00B0157E">
        <w:rPr>
          <w:lang w:val="en-AU"/>
        </w:rPr>
        <w:t xml:space="preserve">t is </w:t>
      </w:r>
      <w:r w:rsidR="00345693" w:rsidRPr="00B0157E">
        <w:rPr>
          <w:lang w:val="en-AU"/>
        </w:rPr>
        <w:t>based on the following observations</w:t>
      </w:r>
      <w:r w:rsidR="00FA0F68" w:rsidRPr="00B0157E">
        <w:rPr>
          <w:lang w:val="en-AU"/>
        </w:rPr>
        <w:t>.</w:t>
      </w:r>
    </w:p>
    <w:p w14:paraId="311F53A3" w14:textId="77777777" w:rsidR="00324946" w:rsidRPr="00B0157E" w:rsidRDefault="00AC057C">
      <w:pPr>
        <w:pStyle w:val="01squarebullet"/>
        <w:rPr>
          <w:rFonts w:eastAsiaTheme="minorHAnsi"/>
          <w:lang w:val="en-AU"/>
        </w:rPr>
      </w:pPr>
      <w:r w:rsidRPr="00B0157E">
        <w:rPr>
          <w:rFonts w:eastAsia="MS Mincho"/>
          <w:lang w:val="en-AU"/>
        </w:rPr>
        <w:t>T</w:t>
      </w:r>
      <w:r w:rsidR="00324946" w:rsidRPr="00B0157E">
        <w:rPr>
          <w:rFonts w:eastAsia="MS Mincho"/>
          <w:lang w:val="en-AU"/>
        </w:rPr>
        <w:t>he Committee</w:t>
      </w:r>
      <w:r w:rsidR="00882CD3" w:rsidRPr="00B0157E">
        <w:rPr>
          <w:rFonts w:eastAsia="MS Mincho"/>
          <w:lang w:val="en-AU"/>
        </w:rPr>
        <w:t xml:space="preserve"> </w:t>
      </w:r>
      <w:r w:rsidR="00416861" w:rsidRPr="00B0157E">
        <w:rPr>
          <w:rFonts w:eastAsia="MS Mincho"/>
          <w:lang w:val="en-AU"/>
        </w:rPr>
        <w:t xml:space="preserve">felt </w:t>
      </w:r>
      <w:r w:rsidR="00882CD3" w:rsidRPr="00B0157E">
        <w:rPr>
          <w:rFonts w:eastAsia="MS Mincho"/>
          <w:lang w:val="en-AU"/>
        </w:rPr>
        <w:t xml:space="preserve">that </w:t>
      </w:r>
      <w:r w:rsidR="00324946" w:rsidRPr="00B0157E">
        <w:rPr>
          <w:rFonts w:eastAsia="MS Mincho"/>
          <w:lang w:val="en-AU"/>
        </w:rPr>
        <w:t>there are few circumstances in which the removal of 10</w:t>
      </w:r>
      <w:r w:rsidR="004829AF" w:rsidRPr="00B0157E">
        <w:rPr>
          <w:rFonts w:eastAsia="MS Mincho"/>
          <w:lang w:val="en-AU"/>
        </w:rPr>
        <w:t> </w:t>
      </w:r>
      <w:r w:rsidR="00324946" w:rsidRPr="00B0157E">
        <w:rPr>
          <w:rFonts w:eastAsia="MS Mincho"/>
          <w:lang w:val="en-AU"/>
        </w:rPr>
        <w:t>or more lesions is required</w:t>
      </w:r>
      <w:r w:rsidR="00FC6B3E" w:rsidRPr="00B0157E">
        <w:rPr>
          <w:rFonts w:eastAsia="MS Mincho"/>
          <w:lang w:val="en-AU"/>
        </w:rPr>
        <w:t>. However,</w:t>
      </w:r>
      <w:r w:rsidR="00BB5D48" w:rsidRPr="00B0157E">
        <w:rPr>
          <w:rFonts w:eastAsia="MS Mincho"/>
          <w:lang w:val="en-AU"/>
        </w:rPr>
        <w:t xml:space="preserve"> the item is becoming more commonly used</w:t>
      </w:r>
      <w:r w:rsidR="00324946" w:rsidRPr="00B0157E">
        <w:rPr>
          <w:rFonts w:eastAsia="MS Mincho"/>
          <w:lang w:val="en-AU"/>
        </w:rPr>
        <w:t>.</w:t>
      </w:r>
      <w:r w:rsidR="00BB5D48" w:rsidRPr="00B0157E" w:rsidDel="00BB5D48">
        <w:rPr>
          <w:rFonts w:eastAsia="MS Mincho"/>
          <w:lang w:val="en-AU"/>
        </w:rPr>
        <w:t xml:space="preserve"> </w:t>
      </w:r>
      <w:r w:rsidR="00BB5D48" w:rsidRPr="00B0157E">
        <w:rPr>
          <w:rFonts w:eastAsia="MS Mincho"/>
          <w:lang w:val="en-AU"/>
        </w:rPr>
        <w:t>I</w:t>
      </w:r>
      <w:r w:rsidR="00BB5D48" w:rsidRPr="00B0157E">
        <w:rPr>
          <w:rFonts w:eastAsiaTheme="minorHAnsi"/>
          <w:lang w:val="en-AU"/>
        </w:rPr>
        <w:t>n FY2014/15</w:t>
      </w:r>
      <w:r w:rsidR="00AF61EE" w:rsidRPr="00B0157E">
        <w:rPr>
          <w:rFonts w:eastAsiaTheme="minorHAnsi"/>
          <w:lang w:val="en-AU"/>
        </w:rPr>
        <w:t>,</w:t>
      </w:r>
      <w:r w:rsidR="00BB5D48" w:rsidRPr="00B0157E">
        <w:rPr>
          <w:rFonts w:eastAsiaTheme="minorHAnsi"/>
          <w:lang w:val="en-AU"/>
        </w:rPr>
        <w:t xml:space="preserve"> </w:t>
      </w:r>
      <w:r w:rsidR="004E7F79" w:rsidRPr="00B0157E">
        <w:rPr>
          <w:rFonts w:eastAsiaTheme="minorHAnsi"/>
          <w:lang w:val="en-AU"/>
        </w:rPr>
        <w:t xml:space="preserve">for example, </w:t>
      </w:r>
      <w:r w:rsidR="00324946" w:rsidRPr="00B0157E">
        <w:rPr>
          <w:rFonts w:eastAsiaTheme="minorHAnsi"/>
          <w:lang w:val="en-AU"/>
        </w:rPr>
        <w:t>3,352 services</w:t>
      </w:r>
      <w:r w:rsidR="00775B73" w:rsidRPr="00B0157E">
        <w:rPr>
          <w:rFonts w:eastAsiaTheme="minorHAnsi"/>
          <w:lang w:val="en-AU"/>
        </w:rPr>
        <w:t xml:space="preserve"> were provided,</w:t>
      </w:r>
      <w:r w:rsidR="00BB5D48" w:rsidRPr="00B0157E">
        <w:rPr>
          <w:rFonts w:eastAsiaTheme="minorHAnsi"/>
          <w:lang w:val="en-AU"/>
        </w:rPr>
        <w:t xml:space="preserve"> and </w:t>
      </w:r>
      <w:r w:rsidR="00BD62D8" w:rsidRPr="00B0157E">
        <w:rPr>
          <w:rFonts w:eastAsiaTheme="minorHAnsi"/>
          <w:lang w:val="en-AU"/>
        </w:rPr>
        <w:t xml:space="preserve">service volume has grown by </w:t>
      </w:r>
      <w:r w:rsidR="00324946" w:rsidRPr="00B0157E">
        <w:rPr>
          <w:rFonts w:eastAsiaTheme="minorHAnsi"/>
          <w:lang w:val="en-AU"/>
        </w:rPr>
        <w:t>7.8</w:t>
      </w:r>
      <w:r w:rsidR="00BD62D8" w:rsidRPr="00B0157E">
        <w:rPr>
          <w:rFonts w:eastAsiaTheme="minorHAnsi"/>
          <w:lang w:val="en-AU"/>
        </w:rPr>
        <w:t xml:space="preserve"> per cent</w:t>
      </w:r>
      <w:r w:rsidR="00324946" w:rsidRPr="00B0157E">
        <w:rPr>
          <w:rFonts w:eastAsiaTheme="minorHAnsi"/>
          <w:lang w:val="en-AU"/>
        </w:rPr>
        <w:t xml:space="preserve"> per year </w:t>
      </w:r>
      <w:r w:rsidR="00BB5D48" w:rsidRPr="00B0157E">
        <w:rPr>
          <w:rFonts w:eastAsiaTheme="minorHAnsi"/>
          <w:lang w:val="en-AU"/>
        </w:rPr>
        <w:t>over</w:t>
      </w:r>
      <w:r w:rsidR="00324946" w:rsidRPr="00B0157E">
        <w:rPr>
          <w:rFonts w:eastAsiaTheme="minorHAnsi"/>
          <w:lang w:val="en-AU"/>
        </w:rPr>
        <w:t xml:space="preserve"> the last </w:t>
      </w:r>
      <w:r w:rsidR="00D9683E" w:rsidRPr="00B0157E">
        <w:rPr>
          <w:rFonts w:eastAsiaTheme="minorHAnsi"/>
          <w:lang w:val="en-AU"/>
        </w:rPr>
        <w:t>five</w:t>
      </w:r>
      <w:r w:rsidR="00324946" w:rsidRPr="00B0157E">
        <w:rPr>
          <w:rFonts w:eastAsiaTheme="minorHAnsi"/>
          <w:lang w:val="en-AU"/>
        </w:rPr>
        <w:t xml:space="preserve"> years</w:t>
      </w:r>
      <w:r w:rsidR="0026398C" w:rsidRPr="00B0157E">
        <w:rPr>
          <w:rFonts w:eastAsiaTheme="minorHAnsi"/>
          <w:lang w:val="en-AU"/>
        </w:rPr>
        <w:t>.</w:t>
      </w:r>
      <w:r w:rsidR="00C1346F" w:rsidRPr="00B0157E">
        <w:rPr>
          <w:rFonts w:eastAsiaTheme="minorHAnsi"/>
          <w:lang w:val="en-AU"/>
        </w:rPr>
        <w:fldChar w:fldCharType="begin" w:fldLock="1"/>
      </w:r>
      <w:r w:rsidR="00C040E7"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C1346F" w:rsidRPr="00B0157E">
        <w:rPr>
          <w:rFonts w:eastAsiaTheme="minorHAnsi"/>
          <w:lang w:val="en-AU"/>
        </w:rPr>
        <w:fldChar w:fldCharType="separate"/>
      </w:r>
      <w:r w:rsidR="00C040E7" w:rsidRPr="00B0157E">
        <w:rPr>
          <w:rFonts w:eastAsiaTheme="minorHAnsi"/>
          <w:lang w:val="en-AU"/>
        </w:rPr>
        <w:t>[2]</w:t>
      </w:r>
      <w:r w:rsidR="00C1346F" w:rsidRPr="00B0157E">
        <w:rPr>
          <w:rFonts w:eastAsiaTheme="minorHAnsi"/>
          <w:lang w:val="en-AU"/>
        </w:rPr>
        <w:fldChar w:fldCharType="end"/>
      </w:r>
      <w:r w:rsidR="00324946" w:rsidRPr="00B0157E">
        <w:rPr>
          <w:rFonts w:eastAsiaTheme="minorHAnsi"/>
          <w:lang w:val="en-AU"/>
        </w:rPr>
        <w:t xml:space="preserve"> </w:t>
      </w:r>
      <w:r w:rsidR="00B24065" w:rsidRPr="00B0157E">
        <w:rPr>
          <w:rFonts w:eastAsiaTheme="minorHAnsi"/>
          <w:lang w:val="en-AU"/>
        </w:rPr>
        <w:t>Furthermore,</w:t>
      </w:r>
      <w:r w:rsidR="00B24065" w:rsidRPr="00B0157E">
        <w:rPr>
          <w:rFonts w:eastAsia="MS Mincho"/>
          <w:lang w:val="en-AU"/>
        </w:rPr>
        <w:t xml:space="preserve"> </w:t>
      </w:r>
      <w:r w:rsidR="00806C93" w:rsidRPr="00B0157E">
        <w:rPr>
          <w:rFonts w:eastAsia="MS Mincho"/>
          <w:lang w:val="en-AU"/>
        </w:rPr>
        <w:t xml:space="preserve">527 </w:t>
      </w:r>
      <w:r w:rsidR="00BD61A4" w:rsidRPr="00B0157E">
        <w:rPr>
          <w:rFonts w:eastAsia="MS Mincho"/>
          <w:lang w:val="en-AU"/>
        </w:rPr>
        <w:t xml:space="preserve">patients </w:t>
      </w:r>
      <w:r w:rsidR="00806C93" w:rsidRPr="00B0157E">
        <w:rPr>
          <w:rFonts w:eastAsia="MS Mincho"/>
          <w:lang w:val="en-AU"/>
        </w:rPr>
        <w:t>(</w:t>
      </w:r>
      <w:r w:rsidR="00324946" w:rsidRPr="00B0157E">
        <w:rPr>
          <w:rFonts w:eastAsiaTheme="minorHAnsi"/>
          <w:lang w:val="en-AU"/>
        </w:rPr>
        <w:t>21</w:t>
      </w:r>
      <w:r w:rsidR="00BD61A4" w:rsidRPr="00B0157E">
        <w:rPr>
          <w:rFonts w:eastAsiaTheme="minorHAnsi"/>
          <w:lang w:val="en-AU"/>
        </w:rPr>
        <w:t xml:space="preserve"> per cent</w:t>
      </w:r>
      <w:r w:rsidR="00806C93" w:rsidRPr="00B0157E">
        <w:rPr>
          <w:rFonts w:eastAsiaTheme="minorHAnsi"/>
          <w:lang w:val="en-AU"/>
        </w:rPr>
        <w:t>)</w:t>
      </w:r>
      <w:r w:rsidR="0084306F" w:rsidRPr="00B0157E">
        <w:rPr>
          <w:rFonts w:eastAsiaTheme="minorHAnsi"/>
          <w:lang w:val="en-AU"/>
        </w:rPr>
        <w:t xml:space="preserve"> </w:t>
      </w:r>
      <w:r w:rsidR="00324946" w:rsidRPr="00B0157E">
        <w:rPr>
          <w:rFonts w:eastAsiaTheme="minorHAnsi"/>
          <w:lang w:val="en-AU"/>
        </w:rPr>
        <w:t xml:space="preserve">received two or more services under </w:t>
      </w:r>
      <w:r w:rsidR="00880836" w:rsidRPr="00B0157E">
        <w:rPr>
          <w:rFonts w:eastAsiaTheme="minorHAnsi"/>
          <w:lang w:val="en-AU"/>
        </w:rPr>
        <w:t xml:space="preserve">item </w:t>
      </w:r>
      <w:r w:rsidR="00324946" w:rsidRPr="00B0157E">
        <w:rPr>
          <w:rFonts w:eastAsiaTheme="minorHAnsi"/>
          <w:lang w:val="en-AU"/>
        </w:rPr>
        <w:t xml:space="preserve">30197 in </w:t>
      </w:r>
      <w:r w:rsidR="00D50A6A" w:rsidRPr="00B0157E">
        <w:rPr>
          <w:rFonts w:eastAsiaTheme="minorHAnsi"/>
          <w:lang w:val="en-AU"/>
        </w:rPr>
        <w:t>FY2014/</w:t>
      </w:r>
      <w:r w:rsidR="00324946" w:rsidRPr="00B0157E">
        <w:rPr>
          <w:rFonts w:eastAsiaTheme="minorHAnsi"/>
          <w:lang w:val="en-AU"/>
        </w:rPr>
        <w:t>15</w:t>
      </w:r>
      <w:r w:rsidR="005027EF" w:rsidRPr="00B0157E">
        <w:rPr>
          <w:rFonts w:eastAsiaTheme="minorHAnsi"/>
          <w:lang w:val="en-AU"/>
        </w:rPr>
        <w:t>,</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COGNOS", "type" : "report" }, "uris" : [ "http://www.mendeley.com/documents/?uuid=0c6a31be-a58c-4483-bca9-b8a96ba7acd4" ] } ], "mendeley" : { "formattedCitation" : "[12]", "plainTextFormattedCitation" : "[12]", "previouslyFormattedCitation" : "[12]"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[12]</w:t>
      </w:r>
      <w:r w:rsidR="00C1346F" w:rsidRPr="00B0157E">
        <w:rPr>
          <w:rFonts w:eastAsiaTheme="minorHAnsi"/>
          <w:lang w:val="en-AU"/>
        </w:rPr>
        <w:fldChar w:fldCharType="end"/>
      </w:r>
      <w:r w:rsidR="00B24065" w:rsidRPr="00B0157E">
        <w:rPr>
          <w:rFonts w:eastAsiaTheme="minorHAnsi"/>
          <w:lang w:val="en-AU"/>
        </w:rPr>
        <w:t xml:space="preserve"> </w:t>
      </w:r>
      <w:r w:rsidR="00DB26F1" w:rsidRPr="00B0157E">
        <w:rPr>
          <w:rFonts w:eastAsiaTheme="minorHAnsi"/>
          <w:lang w:val="en-AU"/>
        </w:rPr>
        <w:t>which is not commonly likely to be necessary</w:t>
      </w:r>
      <w:r w:rsidR="00B24065" w:rsidRPr="00B0157E">
        <w:rPr>
          <w:rFonts w:eastAsiaTheme="minorHAnsi"/>
          <w:lang w:val="en-AU"/>
        </w:rPr>
        <w:t>.</w:t>
      </w:r>
      <w:r w:rsidR="00B0157E">
        <w:rPr>
          <w:rFonts w:eastAsiaTheme="minorHAnsi"/>
          <w:lang w:val="en-AU"/>
        </w:rPr>
        <w:t xml:space="preserve"> It is </w:t>
      </w:r>
      <w:r w:rsidR="00B24065" w:rsidRPr="00B0157E">
        <w:rPr>
          <w:rFonts w:eastAsiaTheme="minorHAnsi"/>
          <w:lang w:val="en-AU"/>
        </w:rPr>
        <w:t xml:space="preserve">likely </w:t>
      </w:r>
      <w:r w:rsidR="00CC29E0" w:rsidRPr="00B0157E">
        <w:rPr>
          <w:rFonts w:eastAsiaTheme="minorHAnsi"/>
          <w:lang w:val="en-AU"/>
        </w:rPr>
        <w:t xml:space="preserve">that </w:t>
      </w:r>
      <w:r w:rsidR="00B24065" w:rsidRPr="00B0157E">
        <w:rPr>
          <w:rFonts w:eastAsiaTheme="minorHAnsi"/>
          <w:lang w:val="en-AU"/>
        </w:rPr>
        <w:t xml:space="preserve">a perverse incentive exists </w:t>
      </w:r>
      <w:r w:rsidR="00200653" w:rsidRPr="00B0157E">
        <w:rPr>
          <w:rFonts w:eastAsiaTheme="minorHAnsi"/>
          <w:lang w:val="en-AU"/>
        </w:rPr>
        <w:t xml:space="preserve">for </w:t>
      </w:r>
      <w:r w:rsidR="00B24065" w:rsidRPr="00B0157E">
        <w:rPr>
          <w:rFonts w:eastAsiaTheme="minorHAnsi"/>
          <w:lang w:val="en-AU"/>
        </w:rPr>
        <w:t>claim</w:t>
      </w:r>
      <w:r w:rsidR="00200653" w:rsidRPr="00B0157E">
        <w:rPr>
          <w:rFonts w:eastAsiaTheme="minorHAnsi"/>
          <w:lang w:val="en-AU"/>
        </w:rPr>
        <w:t>ing</w:t>
      </w:r>
      <w:r w:rsidR="00B24065" w:rsidRPr="00B0157E">
        <w:rPr>
          <w:rFonts w:eastAsiaTheme="minorHAnsi"/>
          <w:lang w:val="en-AU"/>
        </w:rPr>
        <w:t xml:space="preserve"> the higher schedule fee for </w:t>
      </w:r>
      <w:r w:rsidR="00E53CE2" w:rsidRPr="00B0157E">
        <w:rPr>
          <w:rFonts w:eastAsiaTheme="minorHAnsi"/>
          <w:lang w:val="en-AU"/>
        </w:rPr>
        <w:t xml:space="preserve">item </w:t>
      </w:r>
      <w:r w:rsidR="00B24065" w:rsidRPr="00B0157E">
        <w:rPr>
          <w:rFonts w:eastAsiaTheme="minorHAnsi"/>
          <w:lang w:val="en-AU"/>
        </w:rPr>
        <w:t>30197</w:t>
      </w:r>
      <w:r w:rsidR="00E53CE2" w:rsidRPr="00B0157E">
        <w:rPr>
          <w:rFonts w:eastAsiaTheme="minorHAnsi"/>
          <w:lang w:val="en-AU"/>
        </w:rPr>
        <w:t>,</w:t>
      </w:r>
      <w:r w:rsidR="00B24065" w:rsidRPr="00B0157E">
        <w:rPr>
          <w:rFonts w:eastAsiaTheme="minorHAnsi"/>
          <w:lang w:val="en-AU"/>
        </w:rPr>
        <w:t xml:space="preserve"> </w:t>
      </w:r>
      <w:r w:rsidR="006F5DCA" w:rsidRPr="00B0157E">
        <w:rPr>
          <w:rFonts w:eastAsiaTheme="minorHAnsi"/>
          <w:lang w:val="en-AU"/>
        </w:rPr>
        <w:t>instead of</w:t>
      </w:r>
      <w:r w:rsidR="00B24065" w:rsidRPr="00B0157E">
        <w:rPr>
          <w:rFonts w:eastAsiaTheme="minorHAnsi"/>
          <w:lang w:val="en-AU"/>
        </w:rPr>
        <w:t xml:space="preserve"> using </w:t>
      </w:r>
      <w:r w:rsidR="00B228DA" w:rsidRPr="00B0157E">
        <w:rPr>
          <w:rFonts w:eastAsiaTheme="minorHAnsi"/>
          <w:lang w:val="en-AU"/>
        </w:rPr>
        <w:t xml:space="preserve">item </w:t>
      </w:r>
      <w:r w:rsidR="00235D03" w:rsidRPr="00B0157E">
        <w:rPr>
          <w:rFonts w:eastAsiaTheme="minorHAnsi"/>
          <w:lang w:val="en-AU"/>
        </w:rPr>
        <w:t>30196</w:t>
      </w:r>
      <w:r w:rsidR="00B24065" w:rsidRPr="00B0157E">
        <w:rPr>
          <w:rFonts w:eastAsiaTheme="minorHAnsi"/>
          <w:lang w:val="en-AU"/>
        </w:rPr>
        <w:t xml:space="preserve">. This can be seen </w:t>
      </w:r>
      <w:r w:rsidR="002028DE" w:rsidRPr="00B0157E">
        <w:rPr>
          <w:rFonts w:eastAsiaTheme="minorHAnsi"/>
          <w:lang w:val="en-AU"/>
        </w:rPr>
        <w:t xml:space="preserve">in </w:t>
      </w:r>
      <w:r w:rsidR="00235D03" w:rsidRPr="00B0157E">
        <w:rPr>
          <w:rFonts w:eastAsiaTheme="minorHAnsi"/>
          <w:lang w:val="en-AU"/>
        </w:rPr>
        <w:t xml:space="preserve">an analysis of the </w:t>
      </w:r>
      <w:r w:rsidR="00A409A1" w:rsidRPr="00B0157E">
        <w:rPr>
          <w:rFonts w:eastAsiaTheme="minorHAnsi"/>
          <w:lang w:val="en-AU"/>
        </w:rPr>
        <w:t>frequency of claims for different numbers of lesions</w:t>
      </w:r>
      <w:r w:rsidR="00F92358" w:rsidRPr="00B0157E">
        <w:rPr>
          <w:rFonts w:eastAsiaTheme="minorHAnsi"/>
          <w:lang w:val="en-AU"/>
        </w:rPr>
        <w:t xml:space="preserve">: </w:t>
      </w:r>
      <w:r w:rsidR="00F92358" w:rsidRPr="00B0157E">
        <w:rPr>
          <w:rFonts w:eastAsia="MS Mincho"/>
          <w:lang w:val="en-AU"/>
        </w:rPr>
        <w:t>10</w:t>
      </w:r>
      <w:r w:rsidR="00467020" w:rsidRPr="00B0157E">
        <w:rPr>
          <w:rFonts w:eastAsia="MS Mincho"/>
          <w:lang w:val="en-AU"/>
        </w:rPr>
        <w:t xml:space="preserve"> or more lesions are claimed three times as often as six to nine lesions</w:t>
      </w:r>
      <w:r w:rsidR="00B44FBC" w:rsidRPr="00B0157E">
        <w:rPr>
          <w:rFonts w:eastAsia="MS Mincho"/>
          <w:lang w:val="en-AU"/>
        </w:rPr>
        <w:t>,</w:t>
      </w:r>
      <w:r w:rsidR="00467020" w:rsidRPr="00B0157E">
        <w:rPr>
          <w:rFonts w:eastAsia="MS Mincho"/>
          <w:lang w:val="en-AU"/>
        </w:rPr>
        <w:t xml:space="preserve"> and marginally more </w:t>
      </w:r>
      <w:r w:rsidR="00AC7C47" w:rsidRPr="00B0157E">
        <w:rPr>
          <w:rFonts w:eastAsia="MS Mincho"/>
          <w:lang w:val="en-AU"/>
        </w:rPr>
        <w:t xml:space="preserve">often </w:t>
      </w:r>
      <w:r w:rsidR="00467020" w:rsidRPr="00B0157E">
        <w:rPr>
          <w:rFonts w:eastAsia="MS Mincho"/>
          <w:lang w:val="en-AU"/>
        </w:rPr>
        <w:t xml:space="preserve">than four lesions </w:t>
      </w:r>
      <w:r w:rsidR="00467020" w:rsidRPr="00B0157E">
        <w:rPr>
          <w:rFonts w:eastAsiaTheme="minorHAnsi"/>
          <w:lang w:val="en-AU"/>
        </w:rPr>
        <w:t>(</w:t>
      </w:r>
      <w:r w:rsidR="00791E30">
        <w:rPr>
          <w:rFonts w:eastAsiaTheme="minorHAnsi"/>
          <w:lang w:val="en-AU"/>
        </w:rPr>
        <w:fldChar w:fldCharType="begin"/>
      </w:r>
      <w:r w:rsidR="00791E30">
        <w:rPr>
          <w:rFonts w:eastAsiaTheme="minorHAnsi"/>
          <w:lang w:val="en-AU"/>
        </w:rPr>
        <w:instrText xml:space="preserve"> REF _Ref463874436 \h </w:instrText>
      </w:r>
      <w:r w:rsidR="00791E30">
        <w:rPr>
          <w:rFonts w:eastAsiaTheme="minorHAnsi"/>
          <w:lang w:val="en-AU"/>
        </w:rPr>
      </w:r>
      <w:r w:rsidR="00791E30">
        <w:rPr>
          <w:rFonts w:eastAsiaTheme="minorHAnsi"/>
          <w:lang w:val="en-AU"/>
        </w:rPr>
        <w:fldChar w:fldCharType="separate"/>
      </w:r>
      <w:r w:rsidR="00076093" w:rsidRPr="00E03DD0">
        <w:t xml:space="preserve">Figure </w:t>
      </w:r>
      <w:r w:rsidR="00076093">
        <w:rPr>
          <w:noProof/>
        </w:rPr>
        <w:t>4</w:t>
      </w:r>
      <w:r w:rsidR="00791E30">
        <w:rPr>
          <w:rFonts w:eastAsiaTheme="minorHAnsi"/>
          <w:lang w:val="en-AU"/>
        </w:rPr>
        <w:fldChar w:fldCharType="end"/>
      </w:r>
      <w:r w:rsidR="00467020" w:rsidRPr="00B0157E">
        <w:rPr>
          <w:rFonts w:eastAsiaTheme="minorHAnsi"/>
          <w:lang w:val="en-AU"/>
        </w:rPr>
        <w:t>)</w:t>
      </w:r>
      <w:r w:rsidR="00467020" w:rsidRPr="00B0157E">
        <w:rPr>
          <w:rFonts w:eastAsia="MS Mincho"/>
          <w:lang w:val="en-AU"/>
        </w:rPr>
        <w:t>.</w:t>
      </w:r>
      <w:r w:rsidR="00C1346F" w:rsidRPr="00B0157E">
        <w:rPr>
          <w:rFonts w:eastAsia="MS Mincho"/>
          <w:lang w:val="en-AU"/>
        </w:rPr>
        <w:fldChar w:fldCharType="begin" w:fldLock="1"/>
      </w:r>
      <w:r w:rsidR="00C47315" w:rsidRPr="00B0157E">
        <w:rPr>
          <w:rFonts w:eastAsia="MS Mincho"/>
          <w:lang w:val="en-AU"/>
        </w:rPr>
        <w:instrText>ADDIN CSL_CITATION { "citationItems" : [ { "id" : "ITEM-1", "itemData" : { "author" : [ { "dropping-particle" : "", "family" : "Department of Health Australlia", "given" : "Medicare Reviews Unit", "non-dropping-particle" : "", "parse-names" : false, "suffix" : "" } ], "id" : "ITEM-1", "issued" : { "date-parts" : [ [ "2016" ] ] }, "title" : "MBS data - Q20360", "type" : "report" }, "uris" : [ "http://www.mendeley.com/documents/?uuid=d55908f0-7b9b-4c84-a21f-b7af4046dec1" ] } ], "mendeley" : { "formattedCitation" : "[14]", "plainTextFormattedCitation" : "[14]", "previouslyFormattedCitation" : "[14]" }, "properties" : { "noteIndex" : 0 }, "schema" : "https://github.com/citation-style-language/schema/raw/master/csl-citation.json" }</w:instrText>
      </w:r>
      <w:r w:rsidR="00C1346F" w:rsidRPr="00B0157E">
        <w:rPr>
          <w:rFonts w:eastAsia="MS Mincho"/>
          <w:lang w:val="en-AU"/>
        </w:rPr>
        <w:fldChar w:fldCharType="separate"/>
      </w:r>
      <w:r w:rsidR="00010550" w:rsidRPr="00B0157E">
        <w:rPr>
          <w:rFonts w:eastAsia="MS Mincho"/>
          <w:noProof/>
          <w:lang w:val="en-AU"/>
        </w:rPr>
        <w:t>[14]</w:t>
      </w:r>
      <w:r w:rsidR="00C1346F" w:rsidRPr="00B0157E">
        <w:rPr>
          <w:rFonts w:eastAsia="MS Mincho"/>
          <w:lang w:val="en-AU"/>
        </w:rPr>
        <w:fldChar w:fldCharType="end"/>
      </w:r>
    </w:p>
    <w:p w14:paraId="19D85B2D" w14:textId="77777777" w:rsidR="00270D43" w:rsidRPr="00B0157E" w:rsidRDefault="00161712">
      <w:pPr>
        <w:pStyle w:val="01squarebullet"/>
        <w:rPr>
          <w:rFonts w:eastAsiaTheme="minorHAnsi"/>
          <w:lang w:val="en-AU"/>
        </w:rPr>
      </w:pPr>
      <w:r w:rsidRPr="00B0157E">
        <w:rPr>
          <w:rFonts w:eastAsia="MS Mincho"/>
          <w:lang w:val="en-AU"/>
        </w:rPr>
        <w:t xml:space="preserve">There is </w:t>
      </w:r>
      <w:r w:rsidR="00A409A1" w:rsidRPr="00B0157E">
        <w:rPr>
          <w:rFonts w:eastAsia="MS Mincho"/>
          <w:lang w:val="en-AU"/>
        </w:rPr>
        <w:t xml:space="preserve">also </w:t>
      </w:r>
      <w:r w:rsidRPr="00B0157E">
        <w:rPr>
          <w:rFonts w:eastAsia="MS Mincho"/>
          <w:lang w:val="en-AU"/>
        </w:rPr>
        <w:t xml:space="preserve">a safety concern that lesions are not </w:t>
      </w:r>
      <w:r w:rsidR="00017D4D" w:rsidRPr="00B0157E">
        <w:rPr>
          <w:rFonts w:eastAsia="MS Mincho"/>
          <w:lang w:val="en-AU"/>
        </w:rPr>
        <w:t xml:space="preserve">consistently </w:t>
      </w:r>
      <w:r w:rsidRPr="00B0157E">
        <w:rPr>
          <w:rFonts w:eastAsia="MS Mincho"/>
          <w:lang w:val="en-AU"/>
        </w:rPr>
        <w:t>sent to pathology</w:t>
      </w:r>
      <w:r w:rsidR="00E0371D" w:rsidRPr="00B0157E">
        <w:rPr>
          <w:rFonts w:eastAsia="MS Mincho"/>
          <w:lang w:val="en-AU"/>
        </w:rPr>
        <w:t>,</w:t>
      </w:r>
      <w:r w:rsidR="00B0157E">
        <w:rPr>
          <w:rFonts w:eastAsia="MS Mincho"/>
          <w:lang w:val="en-AU"/>
        </w:rPr>
        <w:t xml:space="preserve"> and there is a </w:t>
      </w:r>
      <w:r w:rsidR="00467020" w:rsidRPr="00B0157E">
        <w:rPr>
          <w:rFonts w:eastAsia="MS Mincho"/>
          <w:lang w:val="en-AU"/>
        </w:rPr>
        <w:t xml:space="preserve">limited </w:t>
      </w:r>
      <w:r w:rsidRPr="00B0157E">
        <w:rPr>
          <w:rFonts w:eastAsia="MS Mincho"/>
          <w:lang w:val="en-AU"/>
        </w:rPr>
        <w:t xml:space="preserve">audit trail </w:t>
      </w:r>
      <w:r w:rsidR="00D82BC7" w:rsidRPr="00B0157E">
        <w:rPr>
          <w:rFonts w:eastAsia="MS Mincho"/>
          <w:lang w:val="en-AU"/>
        </w:rPr>
        <w:t xml:space="preserve">because </w:t>
      </w:r>
      <w:r w:rsidR="00017D4D" w:rsidRPr="00B0157E">
        <w:rPr>
          <w:rFonts w:eastAsia="MS Mincho"/>
          <w:lang w:val="en-AU"/>
        </w:rPr>
        <w:t xml:space="preserve">providers are not required to </w:t>
      </w:r>
      <w:r w:rsidR="007025E3" w:rsidRPr="00B0157E">
        <w:rPr>
          <w:rFonts w:eastAsia="MS Mincho"/>
          <w:lang w:val="en-AU"/>
        </w:rPr>
        <w:t>disclos</w:t>
      </w:r>
      <w:r w:rsidR="00017D4D" w:rsidRPr="00B0157E">
        <w:rPr>
          <w:rFonts w:eastAsia="MS Mincho"/>
          <w:lang w:val="en-AU"/>
        </w:rPr>
        <w:t>e</w:t>
      </w:r>
      <w:r w:rsidR="007025E3" w:rsidRPr="00B0157E">
        <w:rPr>
          <w:rFonts w:eastAsia="MS Mincho"/>
          <w:lang w:val="en-AU"/>
        </w:rPr>
        <w:t xml:space="preserve"> </w:t>
      </w:r>
      <w:r w:rsidR="00BE00F3" w:rsidRPr="00B0157E">
        <w:rPr>
          <w:rFonts w:eastAsia="MS Mincho"/>
          <w:lang w:val="en-AU"/>
        </w:rPr>
        <w:t xml:space="preserve">treatment </w:t>
      </w:r>
      <w:r w:rsidR="007025E3" w:rsidRPr="00B0157E">
        <w:rPr>
          <w:rFonts w:eastAsia="MS Mincho"/>
          <w:lang w:val="en-AU"/>
        </w:rPr>
        <w:t xml:space="preserve">sites </w:t>
      </w:r>
      <w:r w:rsidRPr="00B0157E">
        <w:rPr>
          <w:rFonts w:eastAsia="MS Mincho"/>
          <w:lang w:val="en-AU"/>
        </w:rPr>
        <w:t xml:space="preserve">for this item. </w:t>
      </w:r>
      <w:r w:rsidR="00270D43" w:rsidRPr="00B0157E">
        <w:rPr>
          <w:rFonts w:eastAsiaTheme="minorHAnsi"/>
          <w:lang w:val="en-AU"/>
        </w:rPr>
        <w:t>In FY2014/15, histopathology or the biopsy item 30071 was used in the period 30 days before or after service delivery</w:t>
      </w:r>
      <w:r w:rsidR="00D57B95" w:rsidRPr="00B0157E">
        <w:rPr>
          <w:rFonts w:eastAsiaTheme="minorHAnsi"/>
          <w:lang w:val="en-AU"/>
        </w:rPr>
        <w:t xml:space="preserve"> on 65 per cent of occasions</w:t>
      </w:r>
      <w:r w:rsidR="00A37B04" w:rsidRPr="00B0157E">
        <w:rPr>
          <w:rFonts w:eastAsiaTheme="minorHAnsi"/>
          <w:lang w:val="en-AU"/>
        </w:rPr>
        <w:t>:</w:t>
      </w:r>
      <w:r w:rsidR="00270D43" w:rsidRPr="00B0157E">
        <w:rPr>
          <w:rFonts w:eastAsiaTheme="minorHAnsi"/>
          <w:lang w:val="en-AU"/>
        </w:rPr>
        <w:t xml:space="preserve"> </w:t>
      </w:r>
      <w:r w:rsidR="00621AA4" w:rsidRPr="00B0157E">
        <w:rPr>
          <w:rFonts w:eastAsiaTheme="minorHAnsi"/>
          <w:lang w:val="en-AU"/>
        </w:rPr>
        <w:t xml:space="preserve">GPs used </w:t>
      </w:r>
      <w:r w:rsidR="002C43F3" w:rsidRPr="00B0157E">
        <w:rPr>
          <w:rFonts w:eastAsiaTheme="minorHAnsi"/>
          <w:lang w:val="en-AU"/>
        </w:rPr>
        <w:t>it</w:t>
      </w:r>
      <w:r w:rsidR="00621AA4" w:rsidRPr="00B0157E">
        <w:rPr>
          <w:rFonts w:eastAsiaTheme="minorHAnsi"/>
          <w:lang w:val="en-AU"/>
        </w:rPr>
        <w:t xml:space="preserve"> on </w:t>
      </w:r>
      <w:r w:rsidR="00450A5B" w:rsidRPr="00B0157E">
        <w:rPr>
          <w:rFonts w:eastAsiaTheme="minorHAnsi"/>
          <w:lang w:val="en-AU"/>
        </w:rPr>
        <w:t>73</w:t>
      </w:r>
      <w:r w:rsidR="00270D43" w:rsidRPr="00B0157E">
        <w:rPr>
          <w:rFonts w:eastAsiaTheme="minorHAnsi"/>
          <w:lang w:val="en-AU"/>
        </w:rPr>
        <w:t xml:space="preserve"> per cent</w:t>
      </w:r>
      <w:r w:rsidR="00DA303B" w:rsidRPr="00B0157E">
        <w:rPr>
          <w:rFonts w:eastAsiaTheme="minorHAnsi"/>
          <w:lang w:val="en-AU"/>
        </w:rPr>
        <w:t xml:space="preserve"> of occasions,</w:t>
      </w:r>
      <w:r w:rsidR="00270D43" w:rsidRPr="00B0157E">
        <w:rPr>
          <w:rFonts w:eastAsiaTheme="minorHAnsi"/>
          <w:lang w:val="en-AU"/>
        </w:rPr>
        <w:t xml:space="preserve"> </w:t>
      </w:r>
      <w:r w:rsidR="00450A5B" w:rsidRPr="00B0157E">
        <w:rPr>
          <w:rFonts w:eastAsiaTheme="minorHAnsi"/>
          <w:lang w:val="en-AU"/>
        </w:rPr>
        <w:t>and</w:t>
      </w:r>
      <w:r w:rsidR="002809A4" w:rsidRPr="00B0157E">
        <w:rPr>
          <w:rFonts w:eastAsiaTheme="minorHAnsi"/>
          <w:lang w:val="en-AU"/>
        </w:rPr>
        <w:t xml:space="preserve"> specialists used it on</w:t>
      </w:r>
      <w:r w:rsidR="00450A5B" w:rsidRPr="00B0157E">
        <w:rPr>
          <w:rFonts w:eastAsiaTheme="minorHAnsi"/>
          <w:lang w:val="en-AU"/>
        </w:rPr>
        <w:t xml:space="preserve"> 51</w:t>
      </w:r>
      <w:r w:rsidR="00270D43" w:rsidRPr="00B0157E">
        <w:rPr>
          <w:rFonts w:eastAsiaTheme="minorHAnsi"/>
          <w:lang w:val="en-AU"/>
        </w:rPr>
        <w:t xml:space="preserve"> per</w:t>
      </w:r>
      <w:r w:rsidR="009D6E6B" w:rsidRPr="00B0157E">
        <w:rPr>
          <w:rFonts w:eastAsiaTheme="minorHAnsi"/>
          <w:lang w:val="en-AU"/>
        </w:rPr>
        <w:t xml:space="preserve"> </w:t>
      </w:r>
      <w:r w:rsidR="00270D43" w:rsidRPr="00B0157E">
        <w:rPr>
          <w:rFonts w:eastAsiaTheme="minorHAnsi"/>
          <w:lang w:val="en-AU"/>
        </w:rPr>
        <w:t>cent of occasions</w:t>
      </w:r>
      <w:r w:rsidR="001D17E4" w:rsidRPr="00B0157E">
        <w:rPr>
          <w:rFonts w:eastAsiaTheme="minorHAnsi"/>
          <w:lang w:val="en-AU"/>
        </w:rPr>
        <w:t>.</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Q20423", "type" : "report" }, "uris" : [ "http://www.mendeley.com/documents/?uuid=814bfa07-e796-4347-b173-55d8f42a3936" ] } ], "mendeley" : { "formattedCitation" : "[11]", "plainTextFormattedCitation" : "[11]", "previouslyFormattedCitation" : "[11]"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[11]</w:t>
      </w:r>
      <w:r w:rsidR="00C1346F" w:rsidRPr="00B0157E">
        <w:rPr>
          <w:rFonts w:eastAsiaTheme="minorHAnsi"/>
          <w:lang w:val="en-AU"/>
        </w:rPr>
        <w:fldChar w:fldCharType="end"/>
      </w:r>
      <w:r w:rsidR="004A47F0" w:rsidRPr="00B0157E">
        <w:rPr>
          <w:rFonts w:eastAsiaTheme="minorHAnsi"/>
          <w:lang w:val="en-AU"/>
        </w:rPr>
        <w:t xml:space="preserve"> GPs</w:t>
      </w:r>
      <w:r w:rsidR="00287B92" w:rsidRPr="00B0157E">
        <w:rPr>
          <w:rFonts w:eastAsiaTheme="minorHAnsi"/>
          <w:lang w:val="en-AU"/>
        </w:rPr>
        <w:t xml:space="preserve"> who billed this item</w:t>
      </w:r>
      <w:r w:rsidR="001537D6" w:rsidRPr="00B0157E">
        <w:rPr>
          <w:rFonts w:eastAsiaTheme="minorHAnsi"/>
          <w:lang w:val="en-AU"/>
        </w:rPr>
        <w:t xml:space="preserve"> </w:t>
      </w:r>
      <w:r w:rsidR="004A47F0" w:rsidRPr="00B0157E">
        <w:rPr>
          <w:rFonts w:eastAsiaTheme="minorHAnsi"/>
          <w:lang w:val="en-AU"/>
        </w:rPr>
        <w:t>accounted for 61 per cent of total services</w:t>
      </w:r>
      <w:r w:rsidR="000A5C70" w:rsidRPr="00B0157E">
        <w:rPr>
          <w:rFonts w:eastAsiaTheme="minorHAnsi"/>
          <w:lang w:val="en-AU"/>
        </w:rPr>
        <w:t>.</w:t>
      </w:r>
      <w:r w:rsidR="00A262F0" w:rsidRPr="00B0157E">
        <w:rPr>
          <w:rFonts w:eastAsiaTheme="minorHAnsi"/>
          <w:lang w:val="en-AU"/>
        </w:rPr>
        <w:fldChar w:fldCharType="begin" w:fldLock="1"/>
      </w:r>
      <w:r w:rsidR="00A262F0"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COGNOS", "type" : "report" }, "uris" : [ "http://www.mendeley.com/documents/?uuid=0c6a31be-a58c-4483-bca9-b8a96ba7acd4" ] } ], "mendeley" : { "formattedCitation" : "[12]", "plainTextFormattedCitation" : "[12]", "previouslyFormattedCitation" : "[12]" }, "properties" : { "noteIndex" : 0 }, "schema" : "https://github.com/citation-style-language/schema/raw/master/csl-citation.json" }</w:instrText>
      </w:r>
      <w:r w:rsidR="00A262F0" w:rsidRPr="00B0157E">
        <w:rPr>
          <w:rFonts w:eastAsiaTheme="minorHAnsi"/>
          <w:lang w:val="en-AU"/>
        </w:rPr>
        <w:fldChar w:fldCharType="separate"/>
      </w:r>
      <w:r w:rsidR="00A262F0" w:rsidRPr="00B0157E">
        <w:rPr>
          <w:rFonts w:eastAsiaTheme="minorHAnsi"/>
          <w:lang w:val="en-AU"/>
        </w:rPr>
        <w:t>[12]</w:t>
      </w:r>
      <w:r w:rsidR="00A262F0" w:rsidRPr="00B0157E">
        <w:rPr>
          <w:rFonts w:eastAsiaTheme="minorHAnsi"/>
          <w:lang w:val="en-AU"/>
        </w:rPr>
        <w:fldChar w:fldCharType="end"/>
      </w:r>
      <w:r w:rsidR="000A5C70" w:rsidRPr="00B0157E">
        <w:rPr>
          <w:rFonts w:eastAsiaTheme="minorHAnsi"/>
          <w:lang w:val="en-AU"/>
        </w:rPr>
        <w:t xml:space="preserve"> </w:t>
      </w:r>
    </w:p>
    <w:p w14:paraId="1C2E815A" w14:textId="77777777" w:rsidR="00283F88" w:rsidRDefault="00011E5F" w:rsidP="009A516B">
      <w:pPr>
        <w:pStyle w:val="01squarebullet"/>
        <w:rPr>
          <w:rFonts w:eastAsia="MS Mincho"/>
          <w:lang w:val="en-AU"/>
        </w:rPr>
      </w:pPr>
      <w:r w:rsidRPr="00B0157E">
        <w:rPr>
          <w:rFonts w:eastAsia="MS Mincho"/>
          <w:lang w:val="en-AU"/>
        </w:rPr>
        <w:t xml:space="preserve">In light of </w:t>
      </w:r>
      <w:r w:rsidR="00324946" w:rsidRPr="00B0157E">
        <w:rPr>
          <w:rFonts w:eastAsia="MS Mincho"/>
          <w:lang w:val="en-AU"/>
        </w:rPr>
        <w:t>the s</w:t>
      </w:r>
      <w:r w:rsidR="00791E30">
        <w:rPr>
          <w:rFonts w:eastAsia="MS Mincho"/>
          <w:lang w:val="en-AU"/>
        </w:rPr>
        <w:t>afety concerns and apparent mis</w:t>
      </w:r>
      <w:r w:rsidR="00324946" w:rsidRPr="00B0157E">
        <w:rPr>
          <w:rFonts w:eastAsia="MS Mincho"/>
          <w:lang w:val="en-AU"/>
        </w:rPr>
        <w:t xml:space="preserve">coding, the Committee </w:t>
      </w:r>
      <w:r w:rsidR="004A6170" w:rsidRPr="00B0157E">
        <w:rPr>
          <w:rFonts w:eastAsia="MS Mincho"/>
          <w:lang w:val="en-AU"/>
        </w:rPr>
        <w:t xml:space="preserve">felt </w:t>
      </w:r>
      <w:r w:rsidR="00324946" w:rsidRPr="00B0157E">
        <w:rPr>
          <w:rFonts w:eastAsia="MS Mincho"/>
          <w:lang w:val="en-AU"/>
        </w:rPr>
        <w:t xml:space="preserve">that deleting the item </w:t>
      </w:r>
      <w:r w:rsidR="00FF6E29" w:rsidRPr="00B0157E">
        <w:rPr>
          <w:rFonts w:eastAsia="MS Mincho"/>
          <w:lang w:val="en-AU"/>
        </w:rPr>
        <w:t xml:space="preserve">was </w:t>
      </w:r>
      <w:r w:rsidR="00324946" w:rsidRPr="00B0157E">
        <w:rPr>
          <w:rFonts w:eastAsia="MS Mincho"/>
          <w:lang w:val="en-AU"/>
        </w:rPr>
        <w:t>a</w:t>
      </w:r>
      <w:r w:rsidR="00017D4D" w:rsidRPr="00B0157E">
        <w:rPr>
          <w:rFonts w:eastAsia="MS Mincho"/>
          <w:lang w:val="en-AU"/>
        </w:rPr>
        <w:t>n appropriate measure</w:t>
      </w:r>
      <w:r w:rsidR="002B5A63" w:rsidRPr="00B0157E">
        <w:rPr>
          <w:rFonts w:eastAsia="MS Mincho"/>
          <w:lang w:val="en-AU"/>
        </w:rPr>
        <w:t xml:space="preserve">. </w:t>
      </w:r>
      <w:r w:rsidR="00665741" w:rsidRPr="00B0157E">
        <w:rPr>
          <w:rFonts w:eastAsia="MS Mincho"/>
          <w:lang w:val="en-AU"/>
        </w:rPr>
        <w:t xml:space="preserve">Removal of multiple </w:t>
      </w:r>
      <w:r w:rsidR="00C402B2" w:rsidRPr="00B0157E">
        <w:rPr>
          <w:rFonts w:eastAsia="MS Mincho"/>
          <w:lang w:val="en-AU"/>
        </w:rPr>
        <w:t xml:space="preserve">lesions </w:t>
      </w:r>
      <w:r w:rsidR="00665741" w:rsidRPr="00B0157E">
        <w:rPr>
          <w:rFonts w:eastAsia="MS Mincho"/>
          <w:lang w:val="en-AU"/>
        </w:rPr>
        <w:t xml:space="preserve">can still be </w:t>
      </w:r>
      <w:r w:rsidR="00812DF3" w:rsidRPr="00B0157E">
        <w:rPr>
          <w:rFonts w:eastAsia="MS Mincho"/>
          <w:lang w:val="en-AU"/>
        </w:rPr>
        <w:t xml:space="preserve">billed under </w:t>
      </w:r>
      <w:r w:rsidR="00814242" w:rsidRPr="00B0157E">
        <w:rPr>
          <w:rFonts w:eastAsia="MS Mincho"/>
          <w:lang w:val="en-AU"/>
        </w:rPr>
        <w:t xml:space="preserve">item </w:t>
      </w:r>
      <w:r w:rsidR="00812DF3" w:rsidRPr="00B0157E">
        <w:rPr>
          <w:rFonts w:eastAsia="MS Mincho"/>
          <w:lang w:val="en-AU"/>
        </w:rPr>
        <w:t>30196</w:t>
      </w:r>
      <w:r w:rsidR="00486D12" w:rsidRPr="00B0157E">
        <w:rPr>
          <w:rFonts w:eastAsia="MS Mincho"/>
          <w:lang w:val="en-AU"/>
        </w:rPr>
        <w:t>. This</w:t>
      </w:r>
      <w:r w:rsidR="00665741" w:rsidRPr="00B0157E">
        <w:rPr>
          <w:rFonts w:eastAsia="MS Mincho"/>
          <w:lang w:val="en-AU"/>
        </w:rPr>
        <w:t xml:space="preserve"> </w:t>
      </w:r>
      <w:r w:rsidR="00812DF3" w:rsidRPr="00B0157E">
        <w:rPr>
          <w:rFonts w:eastAsia="MS Mincho"/>
          <w:lang w:val="en-AU"/>
        </w:rPr>
        <w:t xml:space="preserve">would require each lesion to be individually sent for pathological examination and treatment areas </w:t>
      </w:r>
      <w:r w:rsidR="002F1708" w:rsidRPr="00B0157E">
        <w:rPr>
          <w:rFonts w:eastAsia="MS Mincho"/>
          <w:lang w:val="en-AU"/>
        </w:rPr>
        <w:t xml:space="preserve">to be </w:t>
      </w:r>
      <w:r w:rsidR="00812DF3" w:rsidRPr="00B0157E">
        <w:rPr>
          <w:rFonts w:eastAsia="MS Mincho"/>
          <w:lang w:val="en-AU"/>
        </w:rPr>
        <w:t>specified</w:t>
      </w:r>
      <w:r w:rsidR="00CF273B" w:rsidRPr="00B0157E">
        <w:rPr>
          <w:rFonts w:eastAsia="MS Mincho"/>
          <w:lang w:val="en-AU"/>
        </w:rPr>
        <w:t>,</w:t>
      </w:r>
      <w:r w:rsidR="00812DF3" w:rsidRPr="00B0157E">
        <w:rPr>
          <w:rFonts w:eastAsia="MS Mincho"/>
          <w:lang w:val="en-AU"/>
        </w:rPr>
        <w:t xml:space="preserve"> in line with best practice.</w:t>
      </w:r>
      <w:bookmarkStart w:id="90" w:name="_Toc459973084"/>
    </w:p>
    <w:p w14:paraId="3F250F6B" w14:textId="77777777" w:rsidR="009A516B" w:rsidRPr="00AB314A" w:rsidRDefault="009A516B" w:rsidP="00283F88">
      <w:pPr>
        <w:pStyle w:val="01squarebullet"/>
        <w:numPr>
          <w:ilvl w:val="0"/>
          <w:numId w:val="0"/>
        </w:numPr>
        <w:ind w:left="360" w:hanging="360"/>
        <w:rPr>
          <w:rFonts w:eastAsia="MS Mincho"/>
          <w:lang w:val="en-AU"/>
        </w:rPr>
      </w:pPr>
    </w:p>
    <w:p w14:paraId="0BCD5EC8" w14:textId="77777777" w:rsidR="00351AC7" w:rsidRPr="00E03DD0" w:rsidRDefault="00B8588C" w:rsidP="00E03DD0">
      <w:pPr>
        <w:pStyle w:val="Figure"/>
      </w:pPr>
      <w:bookmarkStart w:id="91" w:name="_Ref463874436"/>
      <w:bookmarkStart w:id="92" w:name="_Toc459904227"/>
      <w:bookmarkStart w:id="93" w:name="_Toc465871847"/>
      <w:r w:rsidRPr="00E03DD0">
        <w:lastRenderedPageBreak/>
        <w:t xml:space="preserve">Figure </w:t>
      </w:r>
      <w:r w:rsidR="00C1346F" w:rsidRPr="00E03DD0">
        <w:fldChar w:fldCharType="begin"/>
      </w:r>
      <w:r w:rsidR="00CE5246" w:rsidRPr="00E03DD0">
        <w:instrText xml:space="preserve"> SEQ Exhibit\* Arabic </w:instrText>
      </w:r>
      <w:r w:rsidR="00C1346F" w:rsidRPr="00E03DD0">
        <w:fldChar w:fldCharType="separate"/>
      </w:r>
      <w:r w:rsidR="00076093">
        <w:rPr>
          <w:noProof/>
        </w:rPr>
        <w:t>4</w:t>
      </w:r>
      <w:bookmarkEnd w:id="90"/>
      <w:r w:rsidR="00C1346F" w:rsidRPr="00E03DD0">
        <w:fldChar w:fldCharType="end"/>
      </w:r>
      <w:bookmarkStart w:id="94" w:name="_Toc457823598"/>
      <w:bookmarkStart w:id="95" w:name="_Toc457823599"/>
      <w:bookmarkStart w:id="96" w:name="_Toc457823600"/>
      <w:bookmarkStart w:id="97" w:name="ExhibitNum"/>
      <w:bookmarkEnd w:id="91"/>
      <w:bookmarkEnd w:id="94"/>
      <w:bookmarkEnd w:id="95"/>
      <w:bookmarkEnd w:id="96"/>
      <w:bookmarkEnd w:id="97"/>
      <w:r w:rsidR="007C5BA0" w:rsidRPr="00E03DD0">
        <w:t xml:space="preserve">: </w:t>
      </w:r>
      <w:r w:rsidR="008A2C0A" w:rsidRPr="00E03DD0">
        <w:t>Count of patients by the number of</w:t>
      </w:r>
      <w:r w:rsidR="00891EE3" w:rsidRPr="00E03DD0">
        <w:t xml:space="preserve"> lesions removed on the</w:t>
      </w:r>
      <w:r w:rsidR="008A2C0A" w:rsidRPr="00E03DD0">
        <w:t xml:space="preserve"> same day under items 30196-301</w:t>
      </w:r>
      <w:r w:rsidR="00891EE3" w:rsidRPr="00E03DD0">
        <w:t>97</w:t>
      </w:r>
      <w:bookmarkEnd w:id="92"/>
      <w:bookmarkEnd w:id="93"/>
      <w:r w:rsidR="00891EE3" w:rsidRPr="00E03DD0">
        <w:t xml:space="preserve"> </w:t>
      </w:r>
    </w:p>
    <w:p w14:paraId="383A00B1" w14:textId="4F1E8623" w:rsidR="009A516B" w:rsidRPr="00224863" w:rsidRDefault="00224863" w:rsidP="00224863">
      <w:pPr>
        <w:pStyle w:val="70exhtblnormal"/>
        <w:rPr>
          <w:lang w:val="en-AU"/>
        </w:rPr>
      </w:pPr>
      <w:r>
        <w:rPr>
          <w:lang w:val="en-AU"/>
        </w:rPr>
        <w:t xml:space="preserve"> </w:t>
      </w:r>
      <w:r w:rsidRPr="00261BB1">
        <w:rPr>
          <w:noProof/>
          <w:lang w:val="en-AU" w:eastAsia="en-AU"/>
        </w:rPr>
        <w:drawing>
          <wp:inline distT="0" distB="0" distL="0" distR="0" wp14:anchorId="101E2D44" wp14:editId="779D283D">
            <wp:extent cx="4477385" cy="3054051"/>
            <wp:effectExtent l="0" t="0" r="0" b="0"/>
            <wp:docPr id="69" name="Picture 69" descr="Figure 4 is a bar graph that shows the count of patients by the number of lesions removed on the same day under items 30196 and 30197 for the financial year 2014-15. The blue bar is item 30196 and the red bar is item 30197. The blue bars show declining trend as number of lesions increases, from 74,716 for one lesion down to 951 for five lesions. There are low numbers in 5-9 lesions with 477 patients for 6 lesions, 187 patients for 7 lesions, 96 patients for 8 lesions, and 39 patients for 9 lesions. The graph then increases again with the red bar claimed by 2,496 patients for 10 or more le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8997"/>
                    <a:stretch/>
                  </pic:blipFill>
                  <pic:spPr bwMode="auto">
                    <a:xfrm>
                      <a:off x="0" y="0"/>
                      <a:ext cx="4477385" cy="3054051"/>
                    </a:xfrm>
                    <a:prstGeom prst="rect">
                      <a:avLst/>
                    </a:prstGeom>
                    <a:noFill/>
                    <a:ln>
                      <a:noFill/>
                    </a:ln>
                    <a:extLst>
                      <a:ext uri="{53640926-AAD7-44D8-BBD7-CCE9431645EC}">
                        <a14:shadowObscured xmlns:a14="http://schemas.microsoft.com/office/drawing/2010/main"/>
                      </a:ext>
                    </a:extLst>
                  </pic:spPr>
                </pic:pic>
              </a:graphicData>
            </a:graphic>
          </wp:inline>
        </w:drawing>
      </w:r>
      <w:bookmarkStart w:id="98" w:name="_Toc458774424"/>
    </w:p>
    <w:p w14:paraId="24394DEF" w14:textId="77777777" w:rsidR="002765FC" w:rsidRPr="00B0157E" w:rsidRDefault="009C7FA3" w:rsidP="00C33ED9">
      <w:pPr>
        <w:pStyle w:val="Heading2"/>
        <w:rPr>
          <w:lang w:val="en-AU"/>
        </w:rPr>
      </w:pPr>
      <w:bookmarkStart w:id="99" w:name="_Toc465871871"/>
      <w:r w:rsidRPr="00B0157E">
        <w:rPr>
          <w:lang w:val="en-AU"/>
        </w:rPr>
        <w:t>Allergy</w:t>
      </w:r>
      <w:r w:rsidR="00320C67" w:rsidRPr="00B0157E">
        <w:rPr>
          <w:lang w:val="en-AU"/>
        </w:rPr>
        <w:t>:</w:t>
      </w:r>
      <w:r w:rsidR="002765FC" w:rsidRPr="00B0157E">
        <w:rPr>
          <w:lang w:val="en-AU"/>
        </w:rPr>
        <w:t xml:space="preserve"> </w:t>
      </w:r>
      <w:r w:rsidR="00320C67" w:rsidRPr="00B0157E">
        <w:rPr>
          <w:lang w:val="en-AU"/>
        </w:rPr>
        <w:t>I</w:t>
      </w:r>
      <w:r w:rsidR="002765FC" w:rsidRPr="00B0157E">
        <w:rPr>
          <w:lang w:val="en-AU"/>
        </w:rPr>
        <w:t>tems 12003,</w:t>
      </w:r>
      <w:r w:rsidR="00B2007D" w:rsidRPr="00B0157E">
        <w:rPr>
          <w:lang w:val="en-AU"/>
        </w:rPr>
        <w:t xml:space="preserve"> 12000,</w:t>
      </w:r>
      <w:r w:rsidR="002765FC" w:rsidRPr="00B0157E">
        <w:rPr>
          <w:lang w:val="en-AU"/>
        </w:rPr>
        <w:t xml:space="preserve"> 21981 and 53600</w:t>
      </w:r>
      <w:bookmarkEnd w:id="98"/>
      <w:bookmarkEnd w:id="99"/>
      <w:r w:rsidR="002765FC" w:rsidRPr="00B0157E">
        <w:rPr>
          <w:lang w:val="en-AU"/>
        </w:rPr>
        <w:t xml:space="preserve"> </w:t>
      </w:r>
    </w:p>
    <w:p w14:paraId="456F962D" w14:textId="77777777" w:rsidR="0020032E" w:rsidRPr="00B0157E" w:rsidRDefault="0020032E" w:rsidP="00C33ED9">
      <w:pPr>
        <w:pStyle w:val="Caption"/>
        <w:rPr>
          <w:lang w:val="en-AU"/>
        </w:rPr>
      </w:pPr>
      <w:bookmarkStart w:id="100" w:name="_Toc457520564"/>
      <w:bookmarkStart w:id="101" w:name="_Toc459236293"/>
      <w:bookmarkStart w:id="102" w:name="_Toc465871828"/>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5</w:t>
      </w:r>
      <w:r w:rsidR="00C1346F" w:rsidRPr="00B0157E">
        <w:rPr>
          <w:lang w:val="en-AU"/>
        </w:rPr>
        <w:fldChar w:fldCharType="end"/>
      </w:r>
      <w:r w:rsidRPr="00B0157E">
        <w:rPr>
          <w:lang w:val="en-AU"/>
        </w:rPr>
        <w:t xml:space="preserve">: </w:t>
      </w:r>
      <w:r w:rsidR="001B33B0" w:rsidRPr="00B0157E">
        <w:rPr>
          <w:lang w:val="en-AU"/>
        </w:rPr>
        <w:t xml:space="preserve">Item introduction table for items </w:t>
      </w:r>
      <w:r w:rsidR="00A12190" w:rsidRPr="00B0157E">
        <w:rPr>
          <w:lang w:val="en-AU"/>
        </w:rPr>
        <w:t xml:space="preserve">12003, </w:t>
      </w:r>
      <w:r w:rsidR="00AC61AD" w:rsidRPr="00B0157E">
        <w:rPr>
          <w:lang w:val="en-AU"/>
        </w:rPr>
        <w:t>12000,</w:t>
      </w:r>
      <w:r w:rsidR="001B33B0" w:rsidRPr="00B0157E">
        <w:rPr>
          <w:lang w:val="en-AU"/>
        </w:rPr>
        <w:t xml:space="preserve"> 21981 and </w:t>
      </w:r>
      <w:r w:rsidRPr="00B0157E">
        <w:rPr>
          <w:lang w:val="en-AU"/>
        </w:rPr>
        <w:t>53600</w:t>
      </w:r>
      <w:bookmarkEnd w:id="100"/>
      <w:bookmarkEnd w:id="101"/>
      <w:bookmarkEnd w:id="102"/>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5 is an item introduction table for allergy items 12003, 12000, 21981 and 53600.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20032E" w:rsidRPr="00B0157E" w14:paraId="50B1407A" w14:textId="77777777">
        <w:trPr>
          <w:tblHeader/>
        </w:trPr>
        <w:tc>
          <w:tcPr>
            <w:tcW w:w="717" w:type="dxa"/>
            <w:shd w:val="clear" w:color="auto" w:fill="F2F2F2" w:themeFill="background1" w:themeFillShade="F2"/>
            <w:vAlign w:val="bottom"/>
          </w:tcPr>
          <w:p w14:paraId="64E119B5" w14:textId="77777777" w:rsidR="0020032E" w:rsidRPr="00B0157E" w:rsidRDefault="0020032E" w:rsidP="005B09FB">
            <w:pPr>
              <w:pStyle w:val="02Tabletext"/>
              <w:spacing w:after="20"/>
              <w:rPr>
                <w:b/>
              </w:rPr>
            </w:pPr>
            <w:r w:rsidRPr="00B0157E">
              <w:rPr>
                <w:b/>
              </w:rPr>
              <w:t>Item</w:t>
            </w:r>
          </w:p>
        </w:tc>
        <w:tc>
          <w:tcPr>
            <w:tcW w:w="4119" w:type="dxa"/>
            <w:shd w:val="clear" w:color="auto" w:fill="F2F2F2" w:themeFill="background1" w:themeFillShade="F2"/>
            <w:vAlign w:val="bottom"/>
          </w:tcPr>
          <w:p w14:paraId="2AA41B08" w14:textId="77777777" w:rsidR="0020032E" w:rsidRPr="00B0157E" w:rsidRDefault="0020032E" w:rsidP="005B09FB">
            <w:pPr>
              <w:pStyle w:val="02Tabletext"/>
              <w:spacing w:after="20"/>
              <w:rPr>
                <w:b/>
              </w:rPr>
            </w:pPr>
            <w:r w:rsidRPr="00B0157E">
              <w:rPr>
                <w:b/>
              </w:rPr>
              <w:t>Descriptor</w:t>
            </w:r>
          </w:p>
          <w:p w14:paraId="74ADD96B" w14:textId="77777777" w:rsidR="0020032E" w:rsidRPr="00B0157E" w:rsidRDefault="0020032E" w:rsidP="005B09FB">
            <w:pPr>
              <w:pStyle w:val="02Tabletext"/>
              <w:spacing w:after="20"/>
              <w:rPr>
                <w:b/>
              </w:rPr>
            </w:pPr>
            <w:r w:rsidRPr="00B0157E">
              <w:rPr>
                <w:b/>
              </w:rPr>
              <w:t>[date last amended]</w:t>
            </w:r>
          </w:p>
        </w:tc>
        <w:tc>
          <w:tcPr>
            <w:tcW w:w="917" w:type="dxa"/>
            <w:shd w:val="clear" w:color="auto" w:fill="F2F2F2" w:themeFill="background1" w:themeFillShade="F2"/>
            <w:vAlign w:val="bottom"/>
          </w:tcPr>
          <w:p w14:paraId="4C7AE411" w14:textId="77777777" w:rsidR="0020032E" w:rsidRPr="00B0157E" w:rsidRDefault="0020032E" w:rsidP="005B09FB">
            <w:pPr>
              <w:pStyle w:val="02Tabletext"/>
              <w:spacing w:after="20"/>
              <w:rPr>
                <w:b/>
              </w:rPr>
            </w:pPr>
            <w:r w:rsidRPr="00B0157E">
              <w:rPr>
                <w:b/>
              </w:rPr>
              <w:t>Schedule</w:t>
            </w:r>
          </w:p>
          <w:p w14:paraId="218C464E" w14:textId="77777777" w:rsidR="0020032E" w:rsidRPr="00B0157E" w:rsidRDefault="0020032E" w:rsidP="005B09FB">
            <w:pPr>
              <w:pStyle w:val="02Tabletext"/>
              <w:spacing w:after="20"/>
              <w:rPr>
                <w:b/>
              </w:rPr>
            </w:pPr>
            <w:r w:rsidRPr="00B0157E">
              <w:rPr>
                <w:b/>
              </w:rPr>
              <w:t>fee</w:t>
            </w:r>
          </w:p>
        </w:tc>
        <w:tc>
          <w:tcPr>
            <w:tcW w:w="997" w:type="dxa"/>
            <w:shd w:val="clear" w:color="auto" w:fill="F2F2F2" w:themeFill="background1" w:themeFillShade="F2"/>
            <w:vAlign w:val="bottom"/>
          </w:tcPr>
          <w:p w14:paraId="1D71E7EB" w14:textId="77777777" w:rsidR="0020032E" w:rsidRPr="00B0157E" w:rsidRDefault="0020032E" w:rsidP="005B09FB">
            <w:pPr>
              <w:pStyle w:val="02Tabletext"/>
              <w:spacing w:after="20"/>
              <w:rPr>
                <w:b/>
              </w:rPr>
            </w:pPr>
            <w:r w:rsidRPr="00B0157E">
              <w:rPr>
                <w:b/>
              </w:rPr>
              <w:t>Services FY2014/15</w:t>
            </w:r>
          </w:p>
        </w:tc>
        <w:tc>
          <w:tcPr>
            <w:tcW w:w="1080" w:type="dxa"/>
            <w:shd w:val="clear" w:color="auto" w:fill="F2F2F2" w:themeFill="background1" w:themeFillShade="F2"/>
            <w:vAlign w:val="bottom"/>
          </w:tcPr>
          <w:p w14:paraId="35DAE416" w14:textId="77777777" w:rsidR="0020032E" w:rsidRPr="00B0157E" w:rsidRDefault="0020032E" w:rsidP="005B09FB">
            <w:pPr>
              <w:pStyle w:val="02Tabletext"/>
              <w:spacing w:after="20"/>
              <w:rPr>
                <w:b/>
              </w:rPr>
            </w:pPr>
            <w:r w:rsidRPr="00B0157E">
              <w:rPr>
                <w:b/>
              </w:rPr>
              <w:t>Benefits FY2014/15</w:t>
            </w:r>
          </w:p>
        </w:tc>
        <w:tc>
          <w:tcPr>
            <w:tcW w:w="1196" w:type="dxa"/>
            <w:shd w:val="clear" w:color="auto" w:fill="F2F2F2" w:themeFill="background1" w:themeFillShade="F2"/>
            <w:vAlign w:val="bottom"/>
          </w:tcPr>
          <w:p w14:paraId="296CDEEF" w14:textId="77777777" w:rsidR="0020032E" w:rsidRPr="00B0157E" w:rsidRDefault="0020032E" w:rsidP="005B09FB">
            <w:pPr>
              <w:pStyle w:val="02Tabletext"/>
              <w:spacing w:after="20"/>
              <w:rPr>
                <w:b/>
              </w:rPr>
            </w:pPr>
            <w:r w:rsidRPr="00B0157E">
              <w:rPr>
                <w:b/>
              </w:rPr>
              <w:t>Services 5</w:t>
            </w:r>
            <w:r w:rsidR="004829AF" w:rsidRPr="00B0157E">
              <w:rPr>
                <w:b/>
              </w:rPr>
              <w:t>-</w:t>
            </w:r>
            <w:r w:rsidRPr="00B0157E">
              <w:rPr>
                <w:b/>
              </w:rPr>
              <w:t xml:space="preserve"> year annual avg. growth</w:t>
            </w:r>
          </w:p>
        </w:tc>
      </w:tr>
      <w:tr w:rsidR="0020032E" w:rsidRPr="00B0157E" w14:paraId="6A2659F5" w14:textId="77777777">
        <w:tc>
          <w:tcPr>
            <w:tcW w:w="717" w:type="dxa"/>
          </w:tcPr>
          <w:p w14:paraId="3B03775D" w14:textId="77777777" w:rsidR="0020032E" w:rsidRPr="00B0157E" w:rsidRDefault="00927C37" w:rsidP="005B09FB">
            <w:pPr>
              <w:pStyle w:val="02Tabletext"/>
              <w:spacing w:after="20"/>
            </w:pPr>
            <w:r w:rsidRPr="00B0157E">
              <w:rPr>
                <w:rFonts w:eastAsiaTheme="minorEastAsia"/>
                <w:szCs w:val="18"/>
              </w:rPr>
              <w:t>12003</w:t>
            </w:r>
          </w:p>
        </w:tc>
        <w:tc>
          <w:tcPr>
            <w:tcW w:w="4119" w:type="dxa"/>
          </w:tcPr>
          <w:p w14:paraId="0F070BF8" w14:textId="77777777" w:rsidR="0020032E" w:rsidRPr="00B0157E" w:rsidRDefault="00927C37" w:rsidP="005B09FB">
            <w:pPr>
              <w:pStyle w:val="02Tabletext"/>
              <w:spacing w:after="20"/>
            </w:pPr>
            <w:r w:rsidRPr="00B0157E">
              <w:rPr>
                <w:rFonts w:eastAsiaTheme="minorEastAsia"/>
                <w:szCs w:val="18"/>
              </w:rPr>
              <w:t>Skin sensitivity testing for allergens, using more than 20 allergens, not being a service associated with a service to which item 12012, 12015, 12018 or 12021</w:t>
            </w:r>
            <w:r w:rsidR="00C74473" w:rsidRPr="00B0157E">
              <w:rPr>
                <w:rFonts w:eastAsiaTheme="minorEastAsia"/>
                <w:szCs w:val="18"/>
              </w:rPr>
              <w:t xml:space="preserve"> </w:t>
            </w:r>
            <w:r w:rsidRPr="00B0157E">
              <w:rPr>
                <w:rFonts w:eastAsiaTheme="minorEastAsia"/>
                <w:szCs w:val="18"/>
              </w:rPr>
              <w:t>applies</w:t>
            </w:r>
            <w:r w:rsidR="00C74473" w:rsidRPr="00B0157E">
              <w:rPr>
                <w:rFonts w:eastAsiaTheme="minorEastAsia"/>
                <w:szCs w:val="18"/>
              </w:rPr>
              <w:t>.</w:t>
            </w:r>
            <w:r w:rsidR="00A05AFA" w:rsidRPr="00B0157E">
              <w:rPr>
                <w:rFonts w:eastAsiaTheme="minorEastAsia"/>
                <w:szCs w:val="18"/>
              </w:rPr>
              <w:t xml:space="preserve"> [1995]</w:t>
            </w:r>
          </w:p>
        </w:tc>
        <w:tc>
          <w:tcPr>
            <w:tcW w:w="917" w:type="dxa"/>
          </w:tcPr>
          <w:p w14:paraId="1C62F320" w14:textId="77777777" w:rsidR="0020032E" w:rsidRPr="00B0157E" w:rsidRDefault="00927C37" w:rsidP="005B09FB">
            <w:pPr>
              <w:pStyle w:val="02Tabletext"/>
              <w:spacing w:after="20"/>
              <w:jc w:val="center"/>
            </w:pPr>
            <w:r w:rsidRPr="00B0157E">
              <w:rPr>
                <w:rFonts w:eastAsiaTheme="minorEastAsia"/>
                <w:szCs w:val="18"/>
              </w:rPr>
              <w:t>$58.85</w:t>
            </w:r>
          </w:p>
        </w:tc>
        <w:tc>
          <w:tcPr>
            <w:tcW w:w="997" w:type="dxa"/>
          </w:tcPr>
          <w:p w14:paraId="1B15D7C9" w14:textId="77777777" w:rsidR="0020032E" w:rsidRPr="00B0157E" w:rsidRDefault="00927C37" w:rsidP="005B09FB">
            <w:pPr>
              <w:pStyle w:val="02Tabletext"/>
              <w:spacing w:after="20"/>
              <w:jc w:val="center"/>
            </w:pPr>
            <w:r w:rsidRPr="00B0157E">
              <w:rPr>
                <w:rFonts w:eastAsiaTheme="minorEastAsia"/>
                <w:szCs w:val="18"/>
              </w:rPr>
              <w:t>50,241</w:t>
            </w:r>
          </w:p>
        </w:tc>
        <w:tc>
          <w:tcPr>
            <w:tcW w:w="1080" w:type="dxa"/>
          </w:tcPr>
          <w:p w14:paraId="30040699" w14:textId="77777777" w:rsidR="0020032E" w:rsidRPr="00B0157E" w:rsidRDefault="00927C37" w:rsidP="005B09FB">
            <w:pPr>
              <w:pStyle w:val="02Tabletext"/>
              <w:spacing w:after="20"/>
              <w:jc w:val="center"/>
            </w:pPr>
            <w:r w:rsidRPr="00B0157E">
              <w:rPr>
                <w:rFonts w:eastAsiaTheme="minorEastAsia"/>
                <w:szCs w:val="18"/>
              </w:rPr>
              <w:t>$2,632,167</w:t>
            </w:r>
          </w:p>
        </w:tc>
        <w:tc>
          <w:tcPr>
            <w:tcW w:w="1196" w:type="dxa"/>
          </w:tcPr>
          <w:p w14:paraId="257DE77D" w14:textId="77777777" w:rsidR="0020032E" w:rsidRPr="00B0157E" w:rsidRDefault="00927C37" w:rsidP="005B09FB">
            <w:pPr>
              <w:pStyle w:val="02Tabletext"/>
              <w:spacing w:after="20"/>
              <w:jc w:val="center"/>
            </w:pPr>
            <w:r w:rsidRPr="00B0157E">
              <w:t>-0.90%</w:t>
            </w:r>
          </w:p>
        </w:tc>
      </w:tr>
      <w:tr w:rsidR="0020032E" w:rsidRPr="00B0157E" w14:paraId="7FAE9726" w14:textId="77777777">
        <w:tc>
          <w:tcPr>
            <w:tcW w:w="717" w:type="dxa"/>
          </w:tcPr>
          <w:p w14:paraId="5C560B02" w14:textId="77777777" w:rsidR="0020032E" w:rsidRPr="00B0157E" w:rsidRDefault="00A15186" w:rsidP="005B09FB">
            <w:pPr>
              <w:pStyle w:val="02Tabletext"/>
              <w:spacing w:after="20"/>
            </w:pPr>
            <w:r w:rsidRPr="00B0157E">
              <w:t>12000</w:t>
            </w:r>
          </w:p>
        </w:tc>
        <w:tc>
          <w:tcPr>
            <w:tcW w:w="4119" w:type="dxa"/>
          </w:tcPr>
          <w:p w14:paraId="6BF120FE" w14:textId="77777777" w:rsidR="0020032E" w:rsidRPr="00B0157E" w:rsidRDefault="00A15186" w:rsidP="005B09FB">
            <w:pPr>
              <w:pStyle w:val="02Tabletext"/>
              <w:spacing w:after="20"/>
            </w:pPr>
            <w:r w:rsidRPr="00B0157E">
              <w:t>Skin sensitivity testing for allergens, using 1 to 20 allergens, not being a service associated with a service to which item 12012, 12015, 12018 or 12021 applies</w:t>
            </w:r>
            <w:r w:rsidR="00652B09" w:rsidRPr="00B0157E">
              <w:t>.</w:t>
            </w:r>
            <w:r w:rsidR="00A05AFA" w:rsidRPr="00B0157E">
              <w:t xml:space="preserve"> [</w:t>
            </w:r>
            <w:r w:rsidR="00A05AFA" w:rsidRPr="00B0157E">
              <w:rPr>
                <w:rFonts w:eastAsiaTheme="minorEastAsia"/>
                <w:szCs w:val="18"/>
              </w:rPr>
              <w:t>1995</w:t>
            </w:r>
            <w:r w:rsidR="00A05AFA" w:rsidRPr="00B0157E">
              <w:t>]</w:t>
            </w:r>
          </w:p>
        </w:tc>
        <w:tc>
          <w:tcPr>
            <w:tcW w:w="917" w:type="dxa"/>
          </w:tcPr>
          <w:p w14:paraId="1C8BA53D" w14:textId="77777777" w:rsidR="0020032E" w:rsidRPr="00B0157E" w:rsidRDefault="00A15186" w:rsidP="005B09FB">
            <w:pPr>
              <w:pStyle w:val="02Tabletext"/>
              <w:spacing w:after="20"/>
              <w:jc w:val="center"/>
            </w:pPr>
            <w:r w:rsidRPr="00B0157E">
              <w:t>$38.95</w:t>
            </w:r>
          </w:p>
        </w:tc>
        <w:tc>
          <w:tcPr>
            <w:tcW w:w="997" w:type="dxa"/>
          </w:tcPr>
          <w:p w14:paraId="344EDD78" w14:textId="77777777" w:rsidR="0020032E" w:rsidRPr="00B0157E" w:rsidRDefault="00A15186" w:rsidP="005B09FB">
            <w:pPr>
              <w:pStyle w:val="02Tabletext"/>
              <w:spacing w:after="20"/>
              <w:jc w:val="center"/>
            </w:pPr>
            <w:r w:rsidRPr="00B0157E">
              <w:t>64,630</w:t>
            </w:r>
          </w:p>
        </w:tc>
        <w:tc>
          <w:tcPr>
            <w:tcW w:w="1080" w:type="dxa"/>
          </w:tcPr>
          <w:p w14:paraId="509302EF" w14:textId="77777777" w:rsidR="0020032E" w:rsidRPr="00B0157E" w:rsidRDefault="00A15186" w:rsidP="005B09FB">
            <w:pPr>
              <w:pStyle w:val="02Tabletext"/>
              <w:spacing w:after="20"/>
              <w:jc w:val="center"/>
            </w:pPr>
            <w:r w:rsidRPr="00B0157E">
              <w:t>$2,275,306</w:t>
            </w:r>
          </w:p>
        </w:tc>
        <w:tc>
          <w:tcPr>
            <w:tcW w:w="1196" w:type="dxa"/>
          </w:tcPr>
          <w:p w14:paraId="32E46976" w14:textId="77777777" w:rsidR="0020032E" w:rsidRPr="00B0157E" w:rsidRDefault="00A15186" w:rsidP="005B09FB">
            <w:pPr>
              <w:pStyle w:val="02Tabletext"/>
              <w:spacing w:after="20"/>
              <w:jc w:val="center"/>
            </w:pPr>
            <w:r w:rsidRPr="00B0157E">
              <w:t>4.40%</w:t>
            </w:r>
          </w:p>
        </w:tc>
      </w:tr>
      <w:tr w:rsidR="0020032E" w:rsidRPr="00B0157E" w14:paraId="1957394F" w14:textId="77777777">
        <w:tc>
          <w:tcPr>
            <w:tcW w:w="717" w:type="dxa"/>
          </w:tcPr>
          <w:p w14:paraId="67E9915A" w14:textId="77777777" w:rsidR="0020032E" w:rsidRPr="00B0157E" w:rsidRDefault="00A15186" w:rsidP="005B09FB">
            <w:pPr>
              <w:pStyle w:val="02Tabletext"/>
              <w:spacing w:after="20"/>
            </w:pPr>
            <w:r w:rsidRPr="00B0157E">
              <w:t>21981</w:t>
            </w:r>
          </w:p>
        </w:tc>
        <w:tc>
          <w:tcPr>
            <w:tcW w:w="4119" w:type="dxa"/>
          </w:tcPr>
          <w:p w14:paraId="067A0FFA" w14:textId="77777777" w:rsidR="0020032E" w:rsidRPr="00B0157E" w:rsidRDefault="00A15186" w:rsidP="00E76C29">
            <w:pPr>
              <w:pStyle w:val="02Tabletext"/>
              <w:spacing w:after="20"/>
            </w:pPr>
            <w:r w:rsidRPr="00B0157E">
              <w:rPr>
                <w:rFonts w:cs="Arial"/>
                <w:szCs w:val="18"/>
              </w:rPr>
              <w:t>A</w:t>
            </w:r>
            <w:r w:rsidR="00E76C29" w:rsidRPr="00B0157E">
              <w:rPr>
                <w:rFonts w:cs="Arial"/>
                <w:szCs w:val="18"/>
              </w:rPr>
              <w:t>naesthetic agent allergy testing</w:t>
            </w:r>
            <w:r w:rsidRPr="00B0157E">
              <w:rPr>
                <w:rFonts w:cs="Arial"/>
                <w:szCs w:val="18"/>
              </w:rPr>
              <w:t>, using skin sensitivity methods in a patient with a history of prior anaphylactic or anaphylactoid reaction or cardiovascular collapse associated with the management of anaesthesia agents</w:t>
            </w:r>
            <w:r w:rsidR="00E245FF" w:rsidRPr="00B0157E">
              <w:rPr>
                <w:rFonts w:cs="Arial"/>
                <w:szCs w:val="18"/>
              </w:rPr>
              <w:t xml:space="preserve"> (4 basic units)</w:t>
            </w:r>
            <w:r w:rsidR="00FE52F9" w:rsidRPr="00B0157E">
              <w:rPr>
                <w:rFonts w:cs="Arial"/>
                <w:szCs w:val="18"/>
              </w:rPr>
              <w:t>.</w:t>
            </w:r>
            <w:r w:rsidR="00A05AFA" w:rsidRPr="00B0157E">
              <w:rPr>
                <w:rFonts w:cs="Arial"/>
                <w:szCs w:val="18"/>
              </w:rPr>
              <w:t xml:space="preserve"> [2011]</w:t>
            </w:r>
          </w:p>
        </w:tc>
        <w:tc>
          <w:tcPr>
            <w:tcW w:w="917" w:type="dxa"/>
          </w:tcPr>
          <w:p w14:paraId="13C39AFA" w14:textId="77777777" w:rsidR="0020032E" w:rsidRPr="00B0157E" w:rsidRDefault="007B3E98" w:rsidP="005B09FB">
            <w:pPr>
              <w:pStyle w:val="02Tabletext"/>
              <w:spacing w:after="20"/>
              <w:jc w:val="center"/>
            </w:pPr>
            <w:r w:rsidRPr="00B0157E">
              <w:rPr>
                <w:rFonts w:cs="Arial"/>
                <w:szCs w:val="18"/>
              </w:rPr>
              <w:t>$</w:t>
            </w:r>
            <w:r w:rsidR="00A15186" w:rsidRPr="00B0157E">
              <w:rPr>
                <w:rFonts w:cs="Arial"/>
                <w:szCs w:val="18"/>
              </w:rPr>
              <w:t>79.20</w:t>
            </w:r>
          </w:p>
        </w:tc>
        <w:tc>
          <w:tcPr>
            <w:tcW w:w="997" w:type="dxa"/>
          </w:tcPr>
          <w:p w14:paraId="521D224A" w14:textId="77777777" w:rsidR="0020032E" w:rsidRPr="00B0157E" w:rsidRDefault="00487463" w:rsidP="005B09FB">
            <w:pPr>
              <w:pStyle w:val="02Tabletext"/>
              <w:spacing w:after="20"/>
              <w:jc w:val="center"/>
            </w:pPr>
            <w:r w:rsidRPr="00B0157E">
              <w:rPr>
                <w:rFonts w:cs="Arial"/>
                <w:bCs/>
                <w:color w:val="000000"/>
                <w:szCs w:val="18"/>
              </w:rPr>
              <w:t>63</w:t>
            </w:r>
          </w:p>
        </w:tc>
        <w:tc>
          <w:tcPr>
            <w:tcW w:w="1080" w:type="dxa"/>
          </w:tcPr>
          <w:p w14:paraId="42B956EF" w14:textId="77777777" w:rsidR="0020032E" w:rsidRPr="00B0157E" w:rsidRDefault="00487463" w:rsidP="005B09FB">
            <w:pPr>
              <w:pStyle w:val="02Tabletext"/>
              <w:spacing w:after="20"/>
              <w:jc w:val="center"/>
            </w:pPr>
            <w:r w:rsidRPr="00B0157E">
              <w:rPr>
                <w:rFonts w:cs="Arial"/>
                <w:bCs/>
                <w:color w:val="000000"/>
                <w:szCs w:val="18"/>
              </w:rPr>
              <w:t>$9,500</w:t>
            </w:r>
          </w:p>
        </w:tc>
        <w:tc>
          <w:tcPr>
            <w:tcW w:w="1196" w:type="dxa"/>
          </w:tcPr>
          <w:p w14:paraId="5B48F7CC" w14:textId="77777777" w:rsidR="0020032E" w:rsidRPr="00B0157E" w:rsidRDefault="00487463" w:rsidP="005B09FB">
            <w:pPr>
              <w:pStyle w:val="02Tabletext"/>
              <w:spacing w:after="20"/>
              <w:jc w:val="center"/>
            </w:pPr>
            <w:r w:rsidRPr="00B0157E">
              <w:t>14.50%</w:t>
            </w:r>
          </w:p>
        </w:tc>
      </w:tr>
      <w:tr w:rsidR="00236BB3" w:rsidRPr="00B0157E" w14:paraId="0D9BDA81" w14:textId="77777777">
        <w:tc>
          <w:tcPr>
            <w:tcW w:w="717" w:type="dxa"/>
          </w:tcPr>
          <w:p w14:paraId="423E4A44" w14:textId="77777777" w:rsidR="00236BB3" w:rsidRPr="00B0157E" w:rsidRDefault="00236BB3" w:rsidP="005B09FB">
            <w:pPr>
              <w:pStyle w:val="02Tabletext"/>
              <w:spacing w:after="20"/>
            </w:pPr>
            <w:r w:rsidRPr="00B0157E">
              <w:t>53600</w:t>
            </w:r>
          </w:p>
        </w:tc>
        <w:tc>
          <w:tcPr>
            <w:tcW w:w="4119" w:type="dxa"/>
          </w:tcPr>
          <w:p w14:paraId="6AB3DFE1" w14:textId="77777777" w:rsidR="00236BB3" w:rsidRPr="00B0157E" w:rsidRDefault="00236BB3" w:rsidP="00445329">
            <w:pPr>
              <w:pStyle w:val="02Tabletext"/>
              <w:spacing w:after="20"/>
            </w:pPr>
            <w:r w:rsidRPr="00B0157E">
              <w:t>S</w:t>
            </w:r>
            <w:r w:rsidR="00FE52F9" w:rsidRPr="00B0157E">
              <w:t xml:space="preserve">kin sensitivity testing </w:t>
            </w:r>
            <w:r w:rsidRPr="00B0157E">
              <w:t xml:space="preserve">for allergens to anaesthetics and materials used in OMS surgery, </w:t>
            </w:r>
            <w:r w:rsidR="00445329" w:rsidRPr="00B0157E">
              <w:t xml:space="preserve">using </w:t>
            </w:r>
            <w:r w:rsidRPr="00B0157E">
              <w:t xml:space="preserve">1 </w:t>
            </w:r>
            <w:r w:rsidR="00445329" w:rsidRPr="00B0157E">
              <w:t>to</w:t>
            </w:r>
            <w:r w:rsidRPr="00B0157E">
              <w:t xml:space="preserve"> 20 </w:t>
            </w:r>
            <w:r w:rsidR="00445329" w:rsidRPr="00B0157E">
              <w:t xml:space="preserve">allergens. </w:t>
            </w:r>
            <w:r w:rsidR="00A05AFA" w:rsidRPr="00B0157E">
              <w:t>[2000]</w:t>
            </w:r>
          </w:p>
        </w:tc>
        <w:tc>
          <w:tcPr>
            <w:tcW w:w="917" w:type="dxa"/>
          </w:tcPr>
          <w:p w14:paraId="11A09807" w14:textId="77777777" w:rsidR="00236BB3" w:rsidRPr="00B0157E" w:rsidRDefault="00236BB3" w:rsidP="005B09FB">
            <w:pPr>
              <w:pStyle w:val="02Tabletext"/>
              <w:spacing w:after="20"/>
              <w:jc w:val="center"/>
            </w:pPr>
            <w:r w:rsidRPr="00B0157E">
              <w:t>$38.95</w:t>
            </w:r>
          </w:p>
        </w:tc>
        <w:tc>
          <w:tcPr>
            <w:tcW w:w="997" w:type="dxa"/>
          </w:tcPr>
          <w:p w14:paraId="58F4FD7D" w14:textId="77777777" w:rsidR="00236BB3" w:rsidRPr="00B0157E" w:rsidRDefault="00236BB3" w:rsidP="005B09FB">
            <w:pPr>
              <w:pStyle w:val="02Tabletext"/>
              <w:spacing w:after="20"/>
              <w:jc w:val="center"/>
            </w:pPr>
            <w:r w:rsidRPr="00B0157E">
              <w:t>0</w:t>
            </w:r>
          </w:p>
        </w:tc>
        <w:tc>
          <w:tcPr>
            <w:tcW w:w="1080" w:type="dxa"/>
          </w:tcPr>
          <w:p w14:paraId="49AD800C" w14:textId="77777777" w:rsidR="00236BB3" w:rsidRPr="00B0157E" w:rsidRDefault="00236BB3" w:rsidP="005B09FB">
            <w:pPr>
              <w:pStyle w:val="02Tabletext"/>
              <w:spacing w:after="20"/>
              <w:jc w:val="center"/>
            </w:pPr>
            <w:r w:rsidRPr="00B0157E">
              <w:t>$0</w:t>
            </w:r>
          </w:p>
        </w:tc>
        <w:tc>
          <w:tcPr>
            <w:tcW w:w="1196" w:type="dxa"/>
          </w:tcPr>
          <w:p w14:paraId="20162BD2" w14:textId="77777777" w:rsidR="00236BB3" w:rsidRPr="00B0157E" w:rsidRDefault="00236BB3" w:rsidP="005B09FB">
            <w:pPr>
              <w:pStyle w:val="02Tabletext"/>
              <w:spacing w:after="20"/>
              <w:jc w:val="center"/>
            </w:pPr>
            <w:r w:rsidRPr="00B0157E">
              <w:t>N/A</w:t>
            </w:r>
          </w:p>
        </w:tc>
      </w:tr>
    </w:tbl>
    <w:p w14:paraId="1BD851CE" w14:textId="77777777" w:rsidR="00293551" w:rsidRPr="002808A4" w:rsidRDefault="00293551" w:rsidP="002808A4">
      <w:pPr>
        <w:pStyle w:val="Heading3"/>
      </w:pPr>
      <w:bookmarkStart w:id="103" w:name="_Toc458774425"/>
      <w:r w:rsidRPr="002808A4">
        <w:t>Item 12003</w:t>
      </w:r>
      <w:bookmarkEnd w:id="103"/>
    </w:p>
    <w:p w14:paraId="54C71C02" w14:textId="77777777" w:rsidR="002765FC" w:rsidRPr="00B0157E" w:rsidRDefault="002765FC" w:rsidP="00C33ED9">
      <w:pPr>
        <w:rPr>
          <w:b/>
          <w:lang w:val="en-AU"/>
        </w:rPr>
      </w:pPr>
      <w:r w:rsidRPr="00B0157E">
        <w:rPr>
          <w:b/>
          <w:lang w:val="en-AU"/>
        </w:rPr>
        <w:t xml:space="preserve">Recommendation </w:t>
      </w:r>
    </w:p>
    <w:p w14:paraId="758A6033" w14:textId="77777777" w:rsidR="002765FC" w:rsidRPr="00B0157E" w:rsidRDefault="00F01F4B">
      <w:pPr>
        <w:pStyle w:val="01squarebullet"/>
        <w:rPr>
          <w:lang w:val="en-AU"/>
        </w:rPr>
      </w:pPr>
      <w:r w:rsidRPr="00B0157E">
        <w:rPr>
          <w:lang w:val="en-AU"/>
        </w:rPr>
        <w:t xml:space="preserve">Remove the specific item for testing </w:t>
      </w:r>
      <w:r w:rsidR="009F158E" w:rsidRPr="00B0157E">
        <w:rPr>
          <w:lang w:val="en-AU"/>
        </w:rPr>
        <w:t xml:space="preserve">more </w:t>
      </w:r>
      <w:r w:rsidRPr="00B0157E">
        <w:rPr>
          <w:lang w:val="en-AU"/>
        </w:rPr>
        <w:t>than 20 allergens</w:t>
      </w:r>
      <w:r w:rsidR="00CF0755" w:rsidRPr="00B0157E">
        <w:rPr>
          <w:lang w:val="en-AU"/>
        </w:rPr>
        <w:t>,</w:t>
      </w:r>
      <w:r w:rsidRPr="00B0157E">
        <w:rPr>
          <w:lang w:val="en-AU"/>
        </w:rPr>
        <w:t xml:space="preserve"> and </w:t>
      </w:r>
      <w:r w:rsidR="004175CA" w:rsidRPr="00B0157E">
        <w:rPr>
          <w:lang w:val="en-AU"/>
        </w:rPr>
        <w:t>consolidate under item 12000 as part of the proposed changes to this item.</w:t>
      </w:r>
      <w:r w:rsidR="004A352E">
        <w:rPr>
          <w:lang w:val="en-AU"/>
        </w:rPr>
        <w:t xml:space="preserve"> </w:t>
      </w:r>
    </w:p>
    <w:p w14:paraId="58997ECF" w14:textId="77777777" w:rsidR="002765FC" w:rsidRPr="00B0157E" w:rsidRDefault="002765FC" w:rsidP="00FF0C98">
      <w:pPr>
        <w:keepNext/>
        <w:keepLines/>
        <w:rPr>
          <w:b/>
          <w:lang w:val="en-AU"/>
        </w:rPr>
      </w:pPr>
      <w:r w:rsidRPr="00B0157E">
        <w:rPr>
          <w:b/>
          <w:lang w:val="en-AU"/>
        </w:rPr>
        <w:t>Rationale</w:t>
      </w:r>
    </w:p>
    <w:p w14:paraId="13A2B5D3" w14:textId="77777777" w:rsidR="00D628BF" w:rsidRPr="00B0157E" w:rsidRDefault="00D628BF" w:rsidP="00C33ED9">
      <w:pPr>
        <w:rPr>
          <w:lang w:val="en-AU"/>
        </w:rPr>
      </w:pPr>
      <w:r w:rsidRPr="00B0157E">
        <w:rPr>
          <w:lang w:val="en-AU"/>
        </w:rPr>
        <w:t>The recommendation focuse</w:t>
      </w:r>
      <w:r w:rsidR="00C61D10" w:rsidRPr="00B0157E">
        <w:rPr>
          <w:lang w:val="en-AU"/>
        </w:rPr>
        <w:t>s</w:t>
      </w:r>
      <w:r w:rsidRPr="00B0157E">
        <w:rPr>
          <w:lang w:val="en-AU"/>
        </w:rPr>
        <w:t xml:space="preserve"> on improving patient care and encouraging best practice</w:t>
      </w:r>
      <w:r w:rsidR="00CB40E9" w:rsidRPr="00B0157E">
        <w:rPr>
          <w:lang w:val="en-AU"/>
        </w:rPr>
        <w:t>.</w:t>
      </w:r>
      <w:r w:rsidRPr="00B0157E">
        <w:rPr>
          <w:lang w:val="en-AU"/>
        </w:rPr>
        <w:t xml:space="preserve"> </w:t>
      </w:r>
      <w:r w:rsidR="00CB40E9" w:rsidRPr="00B0157E">
        <w:rPr>
          <w:lang w:val="en-AU"/>
        </w:rPr>
        <w:t>I</w:t>
      </w:r>
      <w:r w:rsidRPr="00B0157E">
        <w:rPr>
          <w:lang w:val="en-AU"/>
        </w:rPr>
        <w:t xml:space="preserve">t is </w:t>
      </w:r>
      <w:r w:rsidR="00345693" w:rsidRPr="00B0157E">
        <w:rPr>
          <w:lang w:val="en-AU"/>
        </w:rPr>
        <w:t>based on the following observations</w:t>
      </w:r>
      <w:r w:rsidRPr="00B0157E">
        <w:rPr>
          <w:lang w:val="en-AU"/>
        </w:rPr>
        <w:t>.</w:t>
      </w:r>
    </w:p>
    <w:p w14:paraId="64262555" w14:textId="77777777" w:rsidR="00504B6B" w:rsidRPr="00B0157E" w:rsidRDefault="002F0892">
      <w:pPr>
        <w:pStyle w:val="01squarebullet"/>
        <w:rPr>
          <w:lang w:val="en-AU"/>
        </w:rPr>
      </w:pPr>
      <w:r w:rsidRPr="00B0157E">
        <w:rPr>
          <w:lang w:val="en-AU"/>
        </w:rPr>
        <w:lastRenderedPageBreak/>
        <w:t>A</w:t>
      </w:r>
      <w:r w:rsidR="000E2301" w:rsidRPr="00B0157E">
        <w:rPr>
          <w:lang w:val="en-AU"/>
        </w:rPr>
        <w:t xml:space="preserve"> relatively high</w:t>
      </w:r>
      <w:r w:rsidR="00FA4448" w:rsidRPr="00B0157E">
        <w:rPr>
          <w:lang w:val="en-AU"/>
        </w:rPr>
        <w:t xml:space="preserve"> number of tests</w:t>
      </w:r>
      <w:r w:rsidR="000E2301" w:rsidRPr="00B0157E">
        <w:rPr>
          <w:lang w:val="en-AU"/>
        </w:rPr>
        <w:t xml:space="preserve"> </w:t>
      </w:r>
      <w:r w:rsidR="00300038" w:rsidRPr="00B0157E">
        <w:rPr>
          <w:lang w:val="en-AU"/>
        </w:rPr>
        <w:t xml:space="preserve">are performed </w:t>
      </w:r>
      <w:r w:rsidR="000E2301" w:rsidRPr="00B0157E">
        <w:rPr>
          <w:lang w:val="en-AU"/>
        </w:rPr>
        <w:t xml:space="preserve">for 20 or more allergens. In FY2014/15, </w:t>
      </w:r>
      <w:r w:rsidR="004E02C7" w:rsidRPr="00B0157E">
        <w:rPr>
          <w:lang w:val="en-AU"/>
        </w:rPr>
        <w:t xml:space="preserve">for example, </w:t>
      </w:r>
      <w:r w:rsidR="000E2301" w:rsidRPr="00B0157E">
        <w:rPr>
          <w:lang w:val="en-AU"/>
        </w:rPr>
        <w:t>tests for 20 or more allergens accounted for 44</w:t>
      </w:r>
      <w:r w:rsidR="0034316F" w:rsidRPr="00B0157E">
        <w:rPr>
          <w:lang w:val="en-AU"/>
        </w:rPr>
        <w:t xml:space="preserve"> per cent</w:t>
      </w:r>
      <w:r w:rsidR="000E2301" w:rsidRPr="00B0157E">
        <w:rPr>
          <w:lang w:val="en-AU"/>
        </w:rPr>
        <w:t xml:space="preserve"> of total general allergy tests (12000 and 12003 services</w:t>
      </w:r>
      <w:r w:rsidR="001C2B8A" w:rsidRPr="00B0157E">
        <w:rPr>
          <w:lang w:val="en-AU"/>
        </w:rPr>
        <w:t>), and</w:t>
      </w:r>
      <w:r w:rsidR="000E2301" w:rsidRPr="00B0157E">
        <w:rPr>
          <w:lang w:val="en-AU"/>
        </w:rPr>
        <w:t xml:space="preserve"> approximately</w:t>
      </w:r>
      <w:r w:rsidR="00D376D7" w:rsidRPr="00B0157E">
        <w:rPr>
          <w:lang w:val="en-AU"/>
        </w:rPr>
        <w:t xml:space="preserve"> 2,340</w:t>
      </w:r>
      <w:r w:rsidR="000E2301" w:rsidRPr="00B0157E">
        <w:rPr>
          <w:lang w:val="en-AU"/>
        </w:rPr>
        <w:t xml:space="preserve"> patients were tested for 20 or more allergens more than once</w:t>
      </w:r>
      <w:r w:rsidR="00EE2232" w:rsidRPr="00B0157E">
        <w:rPr>
          <w:lang w:val="en-AU"/>
        </w:rPr>
        <w:t>.</w:t>
      </w:r>
      <w:r w:rsidR="000E2301" w:rsidRPr="00B0157E">
        <w:rPr>
          <w:lang w:val="en-AU"/>
        </w:rPr>
        <w:t xml:space="preserve"> </w:t>
      </w:r>
      <w:r w:rsidR="00EE2232" w:rsidRPr="00B0157E">
        <w:rPr>
          <w:lang w:val="en-AU"/>
        </w:rPr>
        <w:t>T</w:t>
      </w:r>
      <w:r w:rsidR="000E2301" w:rsidRPr="00B0157E">
        <w:rPr>
          <w:lang w:val="en-AU"/>
        </w:rPr>
        <w:t xml:space="preserve">wo patients were tested </w:t>
      </w:r>
      <w:r w:rsidR="00FA4448" w:rsidRPr="00B0157E">
        <w:rPr>
          <w:lang w:val="en-AU"/>
        </w:rPr>
        <w:t>more than seven</w:t>
      </w:r>
      <w:r w:rsidR="000E2301" w:rsidRPr="00B0157E">
        <w:rPr>
          <w:lang w:val="en-AU"/>
        </w:rPr>
        <w:t xml:space="preserve"> times</w:t>
      </w:r>
      <w:r w:rsidR="00E84B1A" w:rsidRPr="00B0157E">
        <w:rPr>
          <w:lang w:val="en-AU"/>
        </w:rPr>
        <w:t xml:space="preserve"> (at least 140 allergens tested each)</w:t>
      </w:r>
      <w:r w:rsidR="000E2301" w:rsidRPr="00B0157E">
        <w:rPr>
          <w:lang w:val="en-AU"/>
        </w:rPr>
        <w:t>.</w:t>
      </w:r>
      <w:r w:rsidR="00CD79FC" w:rsidRPr="00B0157E">
        <w:rPr>
          <w:lang w:val="en-AU"/>
        </w:rPr>
        <w:t xml:space="preserve"> </w:t>
      </w:r>
      <w:r w:rsidR="00BA7A9A" w:rsidRPr="00B0157E">
        <w:rPr>
          <w:lang w:val="en-AU"/>
        </w:rPr>
        <w:t>The Committee</w:t>
      </w:r>
      <w:r w:rsidR="00AA52CE" w:rsidRPr="00B0157E">
        <w:rPr>
          <w:lang w:val="en-AU"/>
        </w:rPr>
        <w:t xml:space="preserve"> noted </w:t>
      </w:r>
      <w:r w:rsidR="00BA7A9A" w:rsidRPr="00B0157E">
        <w:rPr>
          <w:lang w:val="en-AU"/>
        </w:rPr>
        <w:t>that t</w:t>
      </w:r>
      <w:r w:rsidR="002765FC" w:rsidRPr="00B0157E">
        <w:rPr>
          <w:lang w:val="en-AU"/>
        </w:rPr>
        <w:t xml:space="preserve">here are few </w:t>
      </w:r>
      <w:r w:rsidR="00BA7A9A" w:rsidRPr="00B0157E">
        <w:rPr>
          <w:lang w:val="en-AU"/>
        </w:rPr>
        <w:t xml:space="preserve">circumstances </w:t>
      </w:r>
      <w:r w:rsidR="005442EB" w:rsidRPr="00B0157E">
        <w:rPr>
          <w:lang w:val="en-AU"/>
        </w:rPr>
        <w:t xml:space="preserve">in which </w:t>
      </w:r>
      <w:r w:rsidR="002765FC" w:rsidRPr="00B0157E">
        <w:rPr>
          <w:lang w:val="en-AU"/>
        </w:rPr>
        <w:t>a patient requires a test for 20 or more all</w:t>
      </w:r>
      <w:r w:rsidR="00BA7A9A" w:rsidRPr="00B0157E">
        <w:rPr>
          <w:lang w:val="en-AU"/>
        </w:rPr>
        <w:t>ergens, and</w:t>
      </w:r>
      <w:r w:rsidR="002843C5" w:rsidRPr="00B0157E">
        <w:rPr>
          <w:lang w:val="en-AU"/>
        </w:rPr>
        <w:t xml:space="preserve"> even</w:t>
      </w:r>
      <w:r w:rsidR="00BA7A9A" w:rsidRPr="00B0157E">
        <w:rPr>
          <w:lang w:val="en-AU"/>
        </w:rPr>
        <w:t xml:space="preserve"> fewer circumstances</w:t>
      </w:r>
      <w:r w:rsidR="002765FC" w:rsidRPr="00B0157E">
        <w:rPr>
          <w:lang w:val="en-AU"/>
        </w:rPr>
        <w:t xml:space="preserve"> </w:t>
      </w:r>
      <w:r w:rsidR="00592378" w:rsidRPr="00B0157E">
        <w:rPr>
          <w:lang w:val="en-AU"/>
        </w:rPr>
        <w:t xml:space="preserve">in which </w:t>
      </w:r>
      <w:r w:rsidR="002765FC" w:rsidRPr="00B0157E">
        <w:rPr>
          <w:lang w:val="en-AU"/>
        </w:rPr>
        <w:t xml:space="preserve">this would be required more than once a year. </w:t>
      </w:r>
      <w:r w:rsidR="00F77F5D" w:rsidRPr="00B0157E">
        <w:rPr>
          <w:lang w:val="en-AU"/>
        </w:rPr>
        <w:t>This is true for</w:t>
      </w:r>
      <w:r w:rsidR="003F2EFD" w:rsidRPr="00B0157E">
        <w:rPr>
          <w:lang w:val="en-AU"/>
        </w:rPr>
        <w:t xml:space="preserve"> both food and environmental allergens</w:t>
      </w:r>
      <w:r w:rsidR="002B63C3" w:rsidRPr="00B0157E">
        <w:rPr>
          <w:lang w:val="en-AU"/>
        </w:rPr>
        <w:t>,</w:t>
      </w:r>
      <w:r w:rsidR="003F2EFD" w:rsidRPr="00B0157E">
        <w:rPr>
          <w:lang w:val="en-AU"/>
        </w:rPr>
        <w:t xml:space="preserve"> at all ages</w:t>
      </w:r>
      <w:r w:rsidR="00E30028" w:rsidRPr="00B0157E">
        <w:rPr>
          <w:lang w:val="en-AU"/>
        </w:rPr>
        <w:t>:</w:t>
      </w:r>
    </w:p>
    <w:p w14:paraId="26732B3C" w14:textId="77777777" w:rsidR="002765FC" w:rsidRPr="00B0157E" w:rsidRDefault="00E30028">
      <w:pPr>
        <w:pStyle w:val="02dash"/>
        <w:rPr>
          <w:lang w:val="en-AU"/>
        </w:rPr>
      </w:pPr>
      <w:r w:rsidRPr="00B0157E">
        <w:rPr>
          <w:lang w:val="en-AU"/>
        </w:rPr>
        <w:t>The</w:t>
      </w:r>
      <w:r w:rsidR="00776112" w:rsidRPr="00B0157E">
        <w:rPr>
          <w:lang w:val="en-AU"/>
        </w:rPr>
        <w:t xml:space="preserve"> c</w:t>
      </w:r>
      <w:r w:rsidR="002765FC" w:rsidRPr="00B0157E">
        <w:rPr>
          <w:lang w:val="en-AU"/>
        </w:rPr>
        <w:t>linical need for</w:t>
      </w:r>
      <w:r w:rsidR="00D376D7" w:rsidRPr="00B0157E">
        <w:rPr>
          <w:lang w:val="en-AU"/>
        </w:rPr>
        <w:t xml:space="preserve"> Immunoglobulin E</w:t>
      </w:r>
      <w:r w:rsidR="002765FC" w:rsidRPr="00B0157E">
        <w:rPr>
          <w:lang w:val="en-AU"/>
        </w:rPr>
        <w:t xml:space="preserve"> </w:t>
      </w:r>
      <w:r w:rsidR="003A4B44" w:rsidRPr="00B0157E">
        <w:rPr>
          <w:lang w:val="en-AU"/>
        </w:rPr>
        <w:t>(</w:t>
      </w:r>
      <w:r w:rsidR="002765FC" w:rsidRPr="00B0157E">
        <w:rPr>
          <w:lang w:val="en-AU"/>
        </w:rPr>
        <w:t>IgE</w:t>
      </w:r>
      <w:r w:rsidR="003A4B44" w:rsidRPr="00B0157E">
        <w:rPr>
          <w:lang w:val="en-AU"/>
        </w:rPr>
        <w:t>)</w:t>
      </w:r>
      <w:r w:rsidR="002765FC" w:rsidRPr="00B0157E">
        <w:rPr>
          <w:lang w:val="en-AU"/>
        </w:rPr>
        <w:t xml:space="preserve"> food allergy </w:t>
      </w:r>
      <w:r w:rsidR="00CF70F6" w:rsidRPr="00B0157E">
        <w:rPr>
          <w:lang w:val="en-AU"/>
        </w:rPr>
        <w:t>s</w:t>
      </w:r>
      <w:r w:rsidR="002765FC" w:rsidRPr="00B0157E">
        <w:rPr>
          <w:lang w:val="en-AU"/>
        </w:rPr>
        <w:t xml:space="preserve">kin </w:t>
      </w:r>
      <w:r w:rsidR="00C25DBB" w:rsidRPr="00B0157E">
        <w:rPr>
          <w:lang w:val="en-AU"/>
        </w:rPr>
        <w:t>p</w:t>
      </w:r>
      <w:r w:rsidR="002765FC" w:rsidRPr="00B0157E">
        <w:rPr>
          <w:lang w:val="en-AU"/>
        </w:rPr>
        <w:t xml:space="preserve">rick </w:t>
      </w:r>
      <w:r w:rsidR="00C25DBB" w:rsidRPr="00B0157E">
        <w:rPr>
          <w:lang w:val="en-AU"/>
        </w:rPr>
        <w:t>t</w:t>
      </w:r>
      <w:r w:rsidR="002765FC" w:rsidRPr="00B0157E">
        <w:rPr>
          <w:lang w:val="en-AU"/>
        </w:rPr>
        <w:t xml:space="preserve">esting (SPT) </w:t>
      </w:r>
      <w:r w:rsidR="00534DCC" w:rsidRPr="00B0157E">
        <w:rPr>
          <w:lang w:val="en-AU"/>
        </w:rPr>
        <w:t xml:space="preserve">generally focuses on </w:t>
      </w:r>
      <w:r w:rsidR="002765FC" w:rsidRPr="00B0157E">
        <w:rPr>
          <w:lang w:val="en-AU"/>
        </w:rPr>
        <w:t xml:space="preserve">a </w:t>
      </w:r>
      <w:r w:rsidR="00534DCC" w:rsidRPr="00B0157E">
        <w:rPr>
          <w:lang w:val="en-AU"/>
        </w:rPr>
        <w:t xml:space="preserve">limited </w:t>
      </w:r>
      <w:r w:rsidR="002765FC" w:rsidRPr="00B0157E">
        <w:rPr>
          <w:lang w:val="en-AU"/>
        </w:rPr>
        <w:t>number of food allergens</w:t>
      </w:r>
      <w:r w:rsidR="002D7F21" w:rsidRPr="00B0157E">
        <w:rPr>
          <w:lang w:val="en-AU"/>
        </w:rPr>
        <w:t>,</w:t>
      </w:r>
      <w:r w:rsidR="00C124FA" w:rsidRPr="00B0157E">
        <w:rPr>
          <w:lang w:val="en-AU"/>
        </w:rPr>
        <w:t xml:space="preserve"> as</w:t>
      </w:r>
      <w:r w:rsidR="002765FC" w:rsidRPr="00B0157E">
        <w:rPr>
          <w:lang w:val="en-AU"/>
        </w:rPr>
        <w:t xml:space="preserve"> 98</w:t>
      </w:r>
      <w:r w:rsidR="00C124FA" w:rsidRPr="00B0157E">
        <w:rPr>
          <w:lang w:val="en-AU"/>
        </w:rPr>
        <w:t xml:space="preserve"> per cent</w:t>
      </w:r>
      <w:r w:rsidR="002765FC" w:rsidRPr="00B0157E">
        <w:rPr>
          <w:lang w:val="en-AU"/>
        </w:rPr>
        <w:t xml:space="preserve"> of IgE</w:t>
      </w:r>
      <w:r w:rsidR="001B2472" w:rsidRPr="00B0157E">
        <w:rPr>
          <w:lang w:val="en-AU"/>
        </w:rPr>
        <w:t>-</w:t>
      </w:r>
      <w:r w:rsidR="002765FC" w:rsidRPr="00B0157E">
        <w:rPr>
          <w:lang w:val="en-AU"/>
        </w:rPr>
        <w:t>mediated food allerg</w:t>
      </w:r>
      <w:r w:rsidR="007F303B" w:rsidRPr="00B0157E">
        <w:rPr>
          <w:lang w:val="en-AU"/>
        </w:rPr>
        <w:t>ies</w:t>
      </w:r>
      <w:r w:rsidR="002765FC" w:rsidRPr="00B0157E">
        <w:rPr>
          <w:lang w:val="en-AU"/>
        </w:rPr>
        <w:t xml:space="preserve"> </w:t>
      </w:r>
      <w:r w:rsidR="00EB4EBE" w:rsidRPr="00B0157E">
        <w:rPr>
          <w:lang w:val="en-AU"/>
        </w:rPr>
        <w:t>are</w:t>
      </w:r>
      <w:r w:rsidR="002765FC" w:rsidRPr="00B0157E">
        <w:rPr>
          <w:lang w:val="en-AU"/>
        </w:rPr>
        <w:t xml:space="preserve"> due to </w:t>
      </w:r>
      <w:r w:rsidR="006C1D39" w:rsidRPr="00B0157E">
        <w:rPr>
          <w:lang w:val="en-AU"/>
        </w:rPr>
        <w:t xml:space="preserve">nine </w:t>
      </w:r>
      <w:r w:rsidR="002765FC" w:rsidRPr="00B0157E">
        <w:rPr>
          <w:lang w:val="en-AU"/>
        </w:rPr>
        <w:t>food groups: egg</w:t>
      </w:r>
      <w:r w:rsidR="00564BC0" w:rsidRPr="00B0157E">
        <w:rPr>
          <w:lang w:val="en-AU"/>
        </w:rPr>
        <w:t>s</w:t>
      </w:r>
      <w:r w:rsidR="002765FC" w:rsidRPr="00B0157E">
        <w:rPr>
          <w:lang w:val="en-AU"/>
        </w:rPr>
        <w:t>, milk, wheat, soy, fish, shellfish, peanut</w:t>
      </w:r>
      <w:r w:rsidR="00564BC0" w:rsidRPr="00B0157E">
        <w:rPr>
          <w:lang w:val="en-AU"/>
        </w:rPr>
        <w:t>s</w:t>
      </w:r>
      <w:r w:rsidR="002765FC" w:rsidRPr="00B0157E">
        <w:rPr>
          <w:lang w:val="en-AU"/>
        </w:rPr>
        <w:t>, tree nuts and seeds</w:t>
      </w:r>
      <w:r w:rsidR="00711CB2" w:rsidRPr="00B0157E">
        <w:rPr>
          <w:lang w:val="en-AU"/>
        </w:rPr>
        <w:t>.</w:t>
      </w:r>
      <w:r w:rsidR="00C1346F" w:rsidRPr="00B0157E">
        <w:rPr>
          <w:lang w:val="en-AU"/>
        </w:rPr>
        <w:fldChar w:fldCharType="begin" w:fldLock="1"/>
      </w:r>
      <w:r w:rsidR="00C47315" w:rsidRPr="00B0157E">
        <w:rPr>
          <w:lang w:val="en-AU"/>
        </w:rPr>
        <w:instrText>ADDIN CSL_CITATION { "citationItems" : [ { "id" : "ITEM-1", "itemData" : { "DOI" : "10.1016/j.jaci.2014.05.013", "ISSN" : "10976825", "PMID" : "25174862", "abstract" : "This parameter was developed by the Joint Task Force on Practice Parameters, representing the American Academy of Allergy, Asthma &amp; Immunology (AAAAI); the American College of Allergy, Asthma &amp; Immunology (ACAAI); and the Joint Council of Allergy, Asthma &amp; Immunology (JCAAI). The AAAAI and the ACAAI have jointly accepted responsibility for establishing \"Food Allergy: A practice parameter update - 2014.\" This is a complete and comprehensive document at the current time. The medical environment is a changing one, and not all recommendations will be appropriate for all patients. Because this document incorporated the efforts of many participants, no single individual, including those who served on the Joint Task Force, is authorized to provide an official AAAAI or ACAAI interpretation of these practice parameters. Any request for information about or an interpretation of these practice parameters by the AAAAI or ACAAI should be directed to the Executive Offices of the AAAAI, ACAAI, and JCAAI. These parameters are not designed for use by pharmaceutical companies in drug promotion.", "author" : [ { "dropping-particle" : "", "family" : "Sampson", "given" : "Hugh A.", "non-dropping-particle" : "", "parse-names" : false, "suffix" : "" }, { "dropping-particle" : "", "family" : "Aceves", "given" : "Seema", "non-dropping-particle" : "", "parse-names" : false, "suffix" : "" }, { "dropping-particle" : "", "family" : "Bock", "given" : "S. Allan", "non-dropping-particle" : "", "parse-names" : false, "suffix" : "" }, { "dropping-particle" : "", "family" : "James", "given" : "John", "non-dropping-particle" : "", "parse-names" : false, "suffix" : "" }, { "dropping-particle" : "", "family" : "Jones", "given" : "Stacie", "non-dropping-particle" : "", "parse-names" : false, "suffix" : "" }, { "dropping-particle" : "", "family" : "Lang", "given" : "David", "non-dropping-particle" : "", "parse-names" : false, "suffix" : "" }, { "dropping-particle" : "", "family" : "Nadeau", "given" : "Kari", "non-dropping-particle" : "", "parse-names" : false, "suffix" : "" }, { "dropping-particle" : "", "family" : "Nowak-Wegrzyn", "given" : "Anna", "non-dropping-particle" : "", "parse-names" : false, "suffix" : "" }, { "dropping-particle" : "", "family" : "Oppenheimer", "given" : "John", "non-dropping-particle" : "", "parse-names" : false, "suffix" : "" }, { "dropping-particle" : "", "family" : "Perry", "given" : "Tamara T.", "non-dropping-particle" : "", "parse-names" : false, "suffix" : "" }, { "dropping-particle" : "", "family" : "Randolph", "given" : "Christopher", "non-dropping-particle" : "", "parse-names" : false, "suffix" : "" }, { "dropping-particle" : "", "family" : "Sicherer", "given" : "Scott H.", "non-dropping-particle" : "", "parse-names" : false, "suffix" : "" }, { "dropping-particle" : "", "family" : "Simon", "given" : "Ronald A.", "non-dropping-particle" : "", "parse-names" : false, "suffix" : "" }, { "dropping-particle" : "", "family" : "Vickery", "given" : "Brian P.", "non-dropping-particle" : "", "parse-names" : false, "suffix" : "" }, { "dropping-particle" : "", "family" : "Wood", "given" : "Robert", "non-dropping-particle" : "", "parse-names" : false, "suffix" : "" }, { "dropping-particle" : "", "family" : "Bernstein", "given" : "David", "non-dropping-particle" : "", "parse-names" : false, "suffix" : "" }, { "dropping-particle" : "", "family" : "Blessing-Moore", "given" : "Joann", "non-dropping-particle" : "", "parse-names" : false, "suffix" : "" }, { "dropping-particle" : "", "family" : "Khan", "given" : "David", "non-dropping-particle" : "", "parse-names" : false, "suffix" : "" }, { "dropping-particle" : "", "family" : "Nicklas", "given" : "Richard", "non-dropping-particle" : "", "parse-names" : false, "suffix" : "" }, { "dropping-particle" : "", "family" : "Portnoy", "given" : "Jay", "non-dropping-particle" : "", "parse-names" : false, "suffix" : "" }, { "dropping-particle" : "", "family" : "Schuller", "given" : "Diane", "non-dropping-particle" : "", "parse-names" : false, "suffix" : "" }, { "dropping-particle" : "", "family" : "Spector", "given" : "Sheldon", "non-dropping-particle" : "", "parse-names" : false, "suffix" : "" }, { "dropping-particle" : "", "family" : "Tilles", "given" : "Stephen A.", "non-dropping-particle" : "", "parse-names" : false, "suffix" : "" }, { "dropping-particle" : "", "family" : "Wallace", "given" : "Dana", "non-dropping-particle" : "", "parse-names" : false, "suffix" : "" } ], "container-title" : "Journal of Allergy and Clinical Immunology", "id" : "ITEM-1", "issue" : "5", "issued" : { "date-parts" : [ [ "2014" ] ] }, "page" : "1016-1025.e43", "title" : "Food allergy: A practice parameter update - 2014", "type" : "article-journal", "volume" : "134" }, "uris" : [ "http://www.mendeley.com/documents/?uuid=21e03fba-206d-4577-91d2-e44293de764b" ] } ], "mendeley" : { "formattedCitation" : "[15]", "plainTextFormattedCitation" : "[15]", "previouslyFormattedCitation" : "[15]" }, "properties" : { "noteIndex" : 0 }, "schema" : "https://github.com/citation-style-language/schema/raw/master/csl-citation.json" }</w:instrText>
      </w:r>
      <w:r w:rsidR="00C1346F" w:rsidRPr="00B0157E">
        <w:rPr>
          <w:lang w:val="en-AU"/>
        </w:rPr>
        <w:fldChar w:fldCharType="separate"/>
      </w:r>
      <w:r w:rsidR="00010550" w:rsidRPr="00B0157E">
        <w:rPr>
          <w:lang w:val="en-AU"/>
        </w:rPr>
        <w:t>[15]</w:t>
      </w:r>
      <w:r w:rsidR="00C1346F" w:rsidRPr="00B0157E">
        <w:rPr>
          <w:lang w:val="en-AU"/>
        </w:rPr>
        <w:fldChar w:fldCharType="end"/>
      </w:r>
      <w:r w:rsidR="00357165" w:rsidRPr="00B0157E">
        <w:rPr>
          <w:lang w:val="en-AU"/>
        </w:rPr>
        <w:t xml:space="preserve"> </w:t>
      </w:r>
      <w:r w:rsidR="00895D53" w:rsidRPr="00B0157E">
        <w:rPr>
          <w:lang w:val="en-AU"/>
        </w:rPr>
        <w:t>This applies to both children and adults</w:t>
      </w:r>
      <w:r w:rsidR="00AB08D5" w:rsidRPr="00B0157E">
        <w:rPr>
          <w:lang w:val="en-AU"/>
        </w:rPr>
        <w:t>.</w:t>
      </w:r>
      <w:r w:rsidR="00DB3F5B" w:rsidRPr="00B0157E">
        <w:rPr>
          <w:lang w:val="en-AU"/>
        </w:rPr>
        <w:t xml:space="preserve"> </w:t>
      </w:r>
      <w:r w:rsidR="00AB08D5" w:rsidRPr="00B0157E">
        <w:rPr>
          <w:lang w:val="en-AU"/>
        </w:rPr>
        <w:t>M</w:t>
      </w:r>
      <w:r w:rsidR="00DB3F5B" w:rsidRPr="00B0157E">
        <w:rPr>
          <w:lang w:val="en-AU"/>
        </w:rPr>
        <w:t xml:space="preserve">ost egg, </w:t>
      </w:r>
      <w:r w:rsidR="003A472E" w:rsidRPr="00B0157E">
        <w:rPr>
          <w:lang w:val="en-AU"/>
        </w:rPr>
        <w:t xml:space="preserve">milk, </w:t>
      </w:r>
      <w:r w:rsidR="00DB3F5B" w:rsidRPr="00B0157E">
        <w:rPr>
          <w:lang w:val="en-AU"/>
        </w:rPr>
        <w:t>wheat and soy allergens resolve with time</w:t>
      </w:r>
      <w:r w:rsidR="009D4676" w:rsidRPr="00B0157E">
        <w:rPr>
          <w:lang w:val="en-AU"/>
        </w:rPr>
        <w:t>, and</w:t>
      </w:r>
      <w:r w:rsidR="00534DCC" w:rsidRPr="00B0157E">
        <w:rPr>
          <w:lang w:val="en-AU"/>
        </w:rPr>
        <w:t xml:space="preserve"> </w:t>
      </w:r>
      <w:r w:rsidR="0052391A" w:rsidRPr="00B0157E">
        <w:rPr>
          <w:lang w:val="en-AU"/>
        </w:rPr>
        <w:t>m</w:t>
      </w:r>
      <w:r w:rsidR="00077671" w:rsidRPr="00B0157E">
        <w:rPr>
          <w:lang w:val="en-AU"/>
        </w:rPr>
        <w:t>ost food allerg</w:t>
      </w:r>
      <w:r w:rsidR="00EB4EBE" w:rsidRPr="00B0157E">
        <w:rPr>
          <w:lang w:val="en-AU"/>
        </w:rPr>
        <w:t>ies</w:t>
      </w:r>
      <w:r w:rsidR="00077671" w:rsidRPr="00B0157E">
        <w:rPr>
          <w:lang w:val="en-AU"/>
        </w:rPr>
        <w:t xml:space="preserve"> present in infancy and early childhood</w:t>
      </w:r>
      <w:r w:rsidR="00770FF1" w:rsidRPr="00B0157E">
        <w:rPr>
          <w:lang w:val="en-AU"/>
        </w:rPr>
        <w:t>. Even</w:t>
      </w:r>
      <w:r w:rsidR="00B8047C" w:rsidRPr="00B0157E">
        <w:rPr>
          <w:lang w:val="en-AU"/>
        </w:rPr>
        <w:t xml:space="preserve"> then, it would be </w:t>
      </w:r>
      <w:r w:rsidR="00676F7D" w:rsidRPr="00B0157E">
        <w:rPr>
          <w:lang w:val="en-AU"/>
        </w:rPr>
        <w:t>rare</w:t>
      </w:r>
      <w:r w:rsidR="00B8047C" w:rsidRPr="00B0157E">
        <w:rPr>
          <w:lang w:val="en-AU"/>
        </w:rPr>
        <w:t xml:space="preserve"> to</w:t>
      </w:r>
      <w:r w:rsidR="00676F7D" w:rsidRPr="00B0157E">
        <w:rPr>
          <w:lang w:val="en-AU"/>
        </w:rPr>
        <w:t xml:space="preserve"> require more than 20 food allergens to be tested at one time</w:t>
      </w:r>
      <w:r w:rsidR="00C142A1" w:rsidRPr="00B0157E">
        <w:rPr>
          <w:lang w:val="en-AU"/>
        </w:rPr>
        <w:t>.</w:t>
      </w:r>
      <w:r w:rsidR="00C1346F" w:rsidRPr="00B0157E">
        <w:rPr>
          <w:lang w:val="en-AU"/>
        </w:rPr>
        <w:fldChar w:fldCharType="begin" w:fldLock="1"/>
      </w:r>
      <w:r w:rsidR="00C47315" w:rsidRPr="00B0157E">
        <w:rPr>
          <w:lang w:val="en-AU"/>
        </w:rPr>
        <w:instrText>ADDIN CSL_CITATION { "citationItems" : [ { "id" : "ITEM-1", "itemData" : { "DOI" : "10.1016/j.jaci.2014.05.013", "ISSN" : "10976825", "PMID" : "25174862", "abstract" : "This parameter was developed by the Joint Task Force on Practice Parameters, representing the American Academy of Allergy, Asthma &amp; Immunology (AAAAI); the American College of Allergy, Asthma &amp; Immunology (ACAAI); and the Joint Council of Allergy, Asthma &amp; Immunology (JCAAI). The AAAAI and the ACAAI have jointly accepted responsibility for establishing \"Food Allergy: A practice parameter update - 2014.\" This is a complete and comprehensive document at the current time. The medical environment is a changing one, and not all recommendations will be appropriate for all patients. Because this document incorporated the efforts of many participants, no single individual, including those who served on the Joint Task Force, is authorized to provide an official AAAAI or ACAAI interpretation of these practice parameters. Any request for information about or an interpretation of these practice parameters by the AAAAI or ACAAI should be directed to the Executive Offices of the AAAAI, ACAAI, and JCAAI. These parameters are not designed for use by pharmaceutical companies in drug promotion.", "author" : [ { "dropping-particle" : "", "family" : "Sampson", "given" : "Hugh A.", "non-dropping-particle" : "", "parse-names" : false, "suffix" : "" }, { "dropping-particle" : "", "family" : "Aceves", "given" : "Seema", "non-dropping-particle" : "", "parse-names" : false, "suffix" : "" }, { "dropping-particle" : "", "family" : "Bock", "given" : "S. Allan", "non-dropping-particle" : "", "parse-names" : false, "suffix" : "" }, { "dropping-particle" : "", "family" : "James", "given" : "John", "non-dropping-particle" : "", "parse-names" : false, "suffix" : "" }, { "dropping-particle" : "", "family" : "Jones", "given" : "Stacie", "non-dropping-particle" : "", "parse-names" : false, "suffix" : "" }, { "dropping-particle" : "", "family" : "Lang", "given" : "David", "non-dropping-particle" : "", "parse-names" : false, "suffix" : "" }, { "dropping-particle" : "", "family" : "Nadeau", "given" : "Kari", "non-dropping-particle" : "", "parse-names" : false, "suffix" : "" }, { "dropping-particle" : "", "family" : "Nowak-Wegrzyn", "given" : "Anna", "non-dropping-particle" : "", "parse-names" : false, "suffix" : "" }, { "dropping-particle" : "", "family" : "Oppenheimer", "given" : "John", "non-dropping-particle" : "", "parse-names" : false, "suffix" : "" }, { "dropping-particle" : "", "family" : "Perry", "given" : "Tamara T.", "non-dropping-particle" : "", "parse-names" : false, "suffix" : "" }, { "dropping-particle" : "", "family" : "Randolph", "given" : "Christopher", "non-dropping-particle" : "", "parse-names" : false, "suffix" : "" }, { "dropping-particle" : "", "family" : "Sicherer", "given" : "Scott H.", "non-dropping-particle" : "", "parse-names" : false, "suffix" : "" }, { "dropping-particle" : "", "family" : "Simon", "given" : "Ronald A.", "non-dropping-particle" : "", "parse-names" : false, "suffix" : "" }, { "dropping-particle" : "", "family" : "Vickery", "given" : "Brian P.", "non-dropping-particle" : "", "parse-names" : false, "suffix" : "" }, { "dropping-particle" : "", "family" : "Wood", "given" : "Robert", "non-dropping-particle" : "", "parse-names" : false, "suffix" : "" }, { "dropping-particle" : "", "family" : "Bernstein", "given" : "David", "non-dropping-particle" : "", "parse-names" : false, "suffix" : "" }, { "dropping-particle" : "", "family" : "Blessing-Moore", "given" : "Joann", "non-dropping-particle" : "", "parse-names" : false, "suffix" : "" }, { "dropping-particle" : "", "family" : "Khan", "given" : "David", "non-dropping-particle" : "", "parse-names" : false, "suffix" : "" }, { "dropping-particle" : "", "family" : "Nicklas", "given" : "Richard", "non-dropping-particle" : "", "parse-names" : false, "suffix" : "" }, { "dropping-particle" : "", "family" : "Portnoy", "given" : "Jay", "non-dropping-particle" : "", "parse-names" : false, "suffix" : "" }, { "dropping-particle" : "", "family" : "Schuller", "given" : "Diane", "non-dropping-particle" : "", "parse-names" : false, "suffix" : "" }, { "dropping-particle" : "", "family" : "Spector", "given" : "Sheldon", "non-dropping-particle" : "", "parse-names" : false, "suffix" : "" }, { "dropping-particle" : "", "family" : "Tilles", "given" : "Stephen A.", "non-dropping-particle" : "", "parse-names" : false, "suffix" : "" }, { "dropping-particle" : "", "family" : "Wallace", "given" : "Dana", "non-dropping-particle" : "", "parse-names" : false, "suffix" : "" } ], "container-title" : "Journal of Allergy and Clinical Immunology", "id" : "ITEM-1", "issue" : "5", "issued" : { "date-parts" : [ [ "2014" ] ] }, "page" : "1016-1025.e43", "title" : "Food allergy: A practice parameter update - 2014", "type" : "article-journal", "volume" : "134" }, "uris" : [ "http://www.mendeley.com/documents/?uuid=21e03fba-206d-4577-91d2-e44293de764b" ] } ], "mendeley" : { "formattedCitation" : "[15]", "plainTextFormattedCitation" : "[15]", "previouslyFormattedCitation" : "[15]" }, "properties" : { "noteIndex" : 0 }, "schema" : "https://github.com/citation-style-language/schema/raw/master/csl-citation.json" }</w:instrText>
      </w:r>
      <w:r w:rsidR="00C1346F" w:rsidRPr="00B0157E">
        <w:rPr>
          <w:lang w:val="en-AU"/>
        </w:rPr>
        <w:fldChar w:fldCharType="separate"/>
      </w:r>
      <w:r w:rsidR="00010550" w:rsidRPr="00B0157E">
        <w:rPr>
          <w:lang w:val="en-AU"/>
        </w:rPr>
        <w:t>[15]</w:t>
      </w:r>
      <w:r w:rsidR="00C1346F" w:rsidRPr="00B0157E">
        <w:rPr>
          <w:lang w:val="en-AU"/>
        </w:rPr>
        <w:fldChar w:fldCharType="end"/>
      </w:r>
      <w:r w:rsidR="00077671" w:rsidRPr="00B0157E">
        <w:rPr>
          <w:lang w:val="en-AU"/>
        </w:rPr>
        <w:t xml:space="preserve"> </w:t>
      </w:r>
    </w:p>
    <w:p w14:paraId="2B4E7237" w14:textId="77777777" w:rsidR="002765FC" w:rsidRPr="00B0157E" w:rsidRDefault="00E01D0C">
      <w:pPr>
        <w:pStyle w:val="02dash"/>
        <w:rPr>
          <w:lang w:val="en-AU"/>
        </w:rPr>
      </w:pPr>
      <w:r w:rsidRPr="00B0157E">
        <w:rPr>
          <w:lang w:val="en-AU"/>
        </w:rPr>
        <w:t>It is not necessary to t</w:t>
      </w:r>
      <w:r w:rsidR="00077671" w:rsidRPr="00B0157E">
        <w:rPr>
          <w:lang w:val="en-AU"/>
        </w:rPr>
        <w:t>es</w:t>
      </w:r>
      <w:r w:rsidR="001D11DF" w:rsidRPr="00B0157E">
        <w:rPr>
          <w:lang w:val="en-AU"/>
        </w:rPr>
        <w:t>t</w:t>
      </w:r>
      <w:r w:rsidR="00077671" w:rsidRPr="00B0157E">
        <w:rPr>
          <w:lang w:val="en-AU"/>
        </w:rPr>
        <w:t xml:space="preserve"> for more than 20 environmental </w:t>
      </w:r>
      <w:r w:rsidR="00644AF9" w:rsidRPr="00B0157E">
        <w:rPr>
          <w:lang w:val="en-AU"/>
        </w:rPr>
        <w:t xml:space="preserve">(aeroallergens) </w:t>
      </w:r>
      <w:r w:rsidR="00077671" w:rsidRPr="00B0157E">
        <w:rPr>
          <w:lang w:val="en-AU"/>
        </w:rPr>
        <w:t xml:space="preserve">allergens </w:t>
      </w:r>
      <w:r w:rsidR="008F3CD1" w:rsidRPr="00B0157E">
        <w:rPr>
          <w:lang w:val="en-AU"/>
        </w:rPr>
        <w:t xml:space="preserve">for </w:t>
      </w:r>
      <w:r w:rsidR="003F2EFD" w:rsidRPr="00B0157E">
        <w:rPr>
          <w:lang w:val="en-AU"/>
        </w:rPr>
        <w:t>a</w:t>
      </w:r>
      <w:r w:rsidR="002765FC" w:rsidRPr="00B0157E">
        <w:rPr>
          <w:lang w:val="en-AU"/>
        </w:rPr>
        <w:t xml:space="preserve">llergic </w:t>
      </w:r>
      <w:r w:rsidR="003F2EFD" w:rsidRPr="00B0157E">
        <w:rPr>
          <w:lang w:val="en-AU"/>
        </w:rPr>
        <w:t>r</w:t>
      </w:r>
      <w:r w:rsidR="002765FC" w:rsidRPr="00B0157E">
        <w:rPr>
          <w:lang w:val="en-AU"/>
        </w:rPr>
        <w:t>hinitis (AR)</w:t>
      </w:r>
      <w:r w:rsidR="003F2EFD" w:rsidRPr="00B0157E">
        <w:rPr>
          <w:lang w:val="en-AU"/>
        </w:rPr>
        <w:t>,</w:t>
      </w:r>
      <w:r w:rsidR="002765FC" w:rsidRPr="00B0157E">
        <w:rPr>
          <w:lang w:val="en-AU"/>
        </w:rPr>
        <w:t xml:space="preserve"> </w:t>
      </w:r>
      <w:r w:rsidR="003F2EFD" w:rsidRPr="00B0157E">
        <w:rPr>
          <w:lang w:val="en-AU"/>
        </w:rPr>
        <w:t>a</w:t>
      </w:r>
      <w:r w:rsidR="002765FC" w:rsidRPr="00B0157E">
        <w:rPr>
          <w:lang w:val="en-AU"/>
        </w:rPr>
        <w:t xml:space="preserve">sthma </w:t>
      </w:r>
      <w:r w:rsidR="0056553B" w:rsidRPr="00B0157E">
        <w:rPr>
          <w:lang w:val="en-AU"/>
        </w:rPr>
        <w:t xml:space="preserve">or </w:t>
      </w:r>
      <w:r w:rsidR="003F2EFD" w:rsidRPr="00B0157E">
        <w:rPr>
          <w:lang w:val="en-AU"/>
        </w:rPr>
        <w:t>a</w:t>
      </w:r>
      <w:r w:rsidR="002765FC" w:rsidRPr="00B0157E">
        <w:rPr>
          <w:lang w:val="en-AU"/>
        </w:rPr>
        <w:t xml:space="preserve">topic </w:t>
      </w:r>
      <w:r w:rsidR="003F2EFD" w:rsidRPr="00B0157E">
        <w:rPr>
          <w:lang w:val="en-AU"/>
        </w:rPr>
        <w:t>d</w:t>
      </w:r>
      <w:r w:rsidR="002765FC" w:rsidRPr="00B0157E">
        <w:rPr>
          <w:lang w:val="en-AU"/>
        </w:rPr>
        <w:t>ermatitis (AD)</w:t>
      </w:r>
      <w:r w:rsidR="000A03C1" w:rsidRPr="00B0157E">
        <w:rPr>
          <w:lang w:val="en-AU"/>
        </w:rPr>
        <w:t>, as</w:t>
      </w:r>
      <w:r w:rsidR="002765FC" w:rsidRPr="00B0157E">
        <w:rPr>
          <w:lang w:val="en-AU"/>
        </w:rPr>
        <w:t xml:space="preserve"> </w:t>
      </w:r>
      <w:r w:rsidR="000A03C1" w:rsidRPr="00B0157E">
        <w:rPr>
          <w:lang w:val="en-AU"/>
        </w:rPr>
        <w:t>f</w:t>
      </w:r>
      <w:r w:rsidR="003F2EFD" w:rsidRPr="00B0157E">
        <w:rPr>
          <w:lang w:val="en-AU"/>
        </w:rPr>
        <w:t xml:space="preserve">or these conditions, </w:t>
      </w:r>
      <w:r w:rsidR="002765FC" w:rsidRPr="00B0157E">
        <w:rPr>
          <w:lang w:val="en-AU"/>
        </w:rPr>
        <w:t xml:space="preserve">SPT is limited to common environmental allergens, such as </w:t>
      </w:r>
      <w:r w:rsidR="00784E7F" w:rsidRPr="00B0157E">
        <w:rPr>
          <w:lang w:val="en-AU"/>
        </w:rPr>
        <w:t>house dust mites,</w:t>
      </w:r>
      <w:r w:rsidR="002765FC" w:rsidRPr="00B0157E">
        <w:rPr>
          <w:lang w:val="en-AU"/>
        </w:rPr>
        <w:t xml:space="preserve"> furred animals (</w:t>
      </w:r>
      <w:r w:rsidR="001E0DAD" w:rsidRPr="00B0157E">
        <w:rPr>
          <w:lang w:val="en-AU"/>
        </w:rPr>
        <w:t>for example</w:t>
      </w:r>
      <w:r w:rsidR="00057D60" w:rsidRPr="00B0157E">
        <w:rPr>
          <w:lang w:val="en-AU"/>
        </w:rPr>
        <w:t xml:space="preserve">, </w:t>
      </w:r>
      <w:r w:rsidR="002765FC" w:rsidRPr="00B0157E">
        <w:rPr>
          <w:lang w:val="en-AU"/>
        </w:rPr>
        <w:t>cat</w:t>
      </w:r>
      <w:r w:rsidR="00057D60" w:rsidRPr="00B0157E">
        <w:rPr>
          <w:lang w:val="en-AU"/>
        </w:rPr>
        <w:t>s</w:t>
      </w:r>
      <w:r w:rsidR="002765FC" w:rsidRPr="00B0157E">
        <w:rPr>
          <w:lang w:val="en-AU"/>
        </w:rPr>
        <w:t>, dog</w:t>
      </w:r>
      <w:r w:rsidR="00057D60" w:rsidRPr="00B0157E">
        <w:rPr>
          <w:lang w:val="en-AU"/>
        </w:rPr>
        <w:t>s</w:t>
      </w:r>
      <w:r w:rsidR="002765FC" w:rsidRPr="00B0157E">
        <w:rPr>
          <w:lang w:val="en-AU"/>
        </w:rPr>
        <w:t xml:space="preserve">), grass pollens, weed pollen and tree pollen. </w:t>
      </w:r>
    </w:p>
    <w:p w14:paraId="7B808483" w14:textId="77777777" w:rsidR="002537BC" w:rsidRPr="00B0157E" w:rsidRDefault="00753091">
      <w:pPr>
        <w:pStyle w:val="02dash"/>
        <w:rPr>
          <w:lang w:val="en-AU"/>
        </w:rPr>
      </w:pPr>
      <w:r w:rsidRPr="00B0157E">
        <w:rPr>
          <w:lang w:val="en-AU"/>
        </w:rPr>
        <w:t>When testing for both food and environmental allergies it is</w:t>
      </w:r>
      <w:r w:rsidR="00644AF9" w:rsidRPr="00B0157E">
        <w:rPr>
          <w:lang w:val="en-AU"/>
        </w:rPr>
        <w:t xml:space="preserve"> </w:t>
      </w:r>
      <w:r w:rsidR="003E0695" w:rsidRPr="00B0157E">
        <w:rPr>
          <w:lang w:val="en-AU"/>
        </w:rPr>
        <w:t>also</w:t>
      </w:r>
      <w:r w:rsidRPr="00B0157E">
        <w:rPr>
          <w:lang w:val="en-AU"/>
        </w:rPr>
        <w:t xml:space="preserve"> unlikely that testing for more than 20 allergies at one time would be necessary. </w:t>
      </w:r>
    </w:p>
    <w:p w14:paraId="0C68A24F" w14:textId="77777777" w:rsidR="002765FC" w:rsidRPr="00B0157E" w:rsidRDefault="002765FC">
      <w:pPr>
        <w:pStyle w:val="01squarebullet"/>
        <w:rPr>
          <w:lang w:val="en-AU"/>
        </w:rPr>
      </w:pPr>
      <w:r w:rsidRPr="00B0157E">
        <w:rPr>
          <w:lang w:val="en-AU"/>
        </w:rPr>
        <w:t xml:space="preserve">Testing for many allergens </w:t>
      </w:r>
      <w:r w:rsidR="005129F2" w:rsidRPr="00B0157E">
        <w:rPr>
          <w:lang w:val="en-AU"/>
        </w:rPr>
        <w:t xml:space="preserve">is </w:t>
      </w:r>
      <w:r w:rsidR="00E63A7E" w:rsidRPr="00B0157E">
        <w:rPr>
          <w:lang w:val="en-AU"/>
        </w:rPr>
        <w:t>likely to lead to clinically irrelevant</w:t>
      </w:r>
      <w:r w:rsidRPr="00B0157E">
        <w:rPr>
          <w:lang w:val="en-AU"/>
        </w:rPr>
        <w:t xml:space="preserve"> positives. </w:t>
      </w:r>
      <w:r w:rsidR="005438DD" w:rsidRPr="00B0157E">
        <w:rPr>
          <w:lang w:val="en-AU"/>
        </w:rPr>
        <w:t>Indeed, r</w:t>
      </w:r>
      <w:r w:rsidRPr="00B0157E">
        <w:rPr>
          <w:lang w:val="en-AU"/>
        </w:rPr>
        <w:t>elevant literature from HealthNuts publications</w:t>
      </w:r>
      <w:r w:rsidR="00C1346F" w:rsidRPr="00B0157E">
        <w:rPr>
          <w:lang w:val="en-AU"/>
        </w:rPr>
        <w:fldChar w:fldCharType="begin" w:fldLock="1"/>
      </w:r>
      <w:r w:rsidR="00C47315" w:rsidRPr="00B0157E">
        <w:rPr>
          <w:lang w:val="en-AU"/>
        </w:rPr>
        <w:instrText>ADDIN CSL_CITATION { "citationItems" : [ { "id" : "ITEM-1", "itemData" : { "DOI" : "10.1016/j.jaci.2011.01.039", "ISBN" : "1097-6825 (Electronic)\\r0091-6749 (Linking)", "ISSN" : "00916749", "PMID" : "21377036", "abstract" : "Background: Several indicators suggest that food allergy in infants is common and possibly increasing. Few studies have used oral food challenge to measure this phenomenon at the population level. Objective: To measure the prevalence of common IgE-mediated childhood food allergies in a population-based sample of 12-month-old infants by using predetermined food challenge criteria to measure outcomes. Methods: A sampling frame was used to select recruitment areas to attain a representative population base. Recruitment occurred at childhood immunization sessions in Melbourne, Australia. Infants underwent skin prick testing, and those with any sensitization (wheal size ???1 mm) to 1 or more foods (raw egg, peanut, sesame, shellfish, or cow's milk) were invited to attend an allergy research clinic. Those who registered a wheal size ???1 mm to raw egg, peanut, or sesame underwent oral food challenge. Results: Amongst 2848 infants (73% participation rate), the prevalence of any sensitization to peanut was 8.9% (95% CI, 7.9-10.0); raw egg white, 16.5% (95% CI, 15.1-17.9); sesame, 2.5% (95% CI, 2.0-3.1); cow's milk, 5.6% (95% CI, 3.2-8.0); and shellfish, 0.9% (95% CI, 0.6-1.5). The prevalence of challenge-proven peanut allergy was 3.0% (95% CI, 2.4-3.8); raw egg allergy, 8.9% (95% CI, 7.8-10.0); and sesame allergy, 0.8% (95% CI, 0.5-1.1). Oral food challenges to cow's milk and shellfish were not performed. Of those with raw egg allergy, 80.3% could tolerate baked egg. Conclusion: More than 10% of 1-year-old infants had challenge-proven IgE-mediated food allergy to one of the common allergenic foods of infancy. The high prevalence of allergic disease in Australia requires further investigation and may be related to modifiable environmental factors. ?? 2010 American Academy of Allergy, Asthma and Immunology.", "author" : [ { "dropping-particle" : "", "family" : "Osborne", "given" : "Nicholas J.", "non-dropping-particle" : "", "parse-names" : false, "suffix" : "" }, { "dropping-particle" : "", "family" : "Koplin", "given" : "Jennifer J.", "non-dropping-particle" : "", "parse-names" : false, "suffix" : "" }, { "dropping-particle" : "", "family" : "Martin", "given" : "Pamela E.", "non-dropping-particle" : "", "parse-names" : false, "suffix" : "" }, { "dropping-particle" : "", "family" : "Gurrin", "given" : "Lyle C.", "non-dropping-particle" : "", "parse-names" : false, "suffix" : "" }, { "dropping-particle" : "", "family" : "Lowe", "given" : "Adrian J.", "non-dropping-particle" : "", "parse-names" : false, "suffix" : "" }, { "dropping-particle" : "", "family" : "Matheson", "given" : "Melanie C.", "non-dropping-particle" : "", "parse-names" : false, "suffix" : "" }, { "dropping-particle" : "", "family" : "Ponsonby", "given" : "Anne Louise", "non-dropping-particle" : "", "parse-names" : false, "suffix" : "" }, { "dropping-particle" : "", "family" : "Wake", "given" : "Melissa", "non-dropping-particle" : "", "parse-names" : false, "suffix" : "" }, { "dropping-particle" : "", "family" : "Tang", "given" : "Mimi L K", "non-dropping-particle" : "", "parse-names" : false, "suffix" : "" }, { "dropping-particle" : "", "family" : "Dharmage", "given" : "Shyamali C.", "non-dropping-particle" : "", "parse-names" : false, "suffix" : "" }, { "dropping-particle" : "", "family" : "Allen", "given" : "Katrina J.", "non-dropping-particle" : "", "parse-names" : false, "suffix" : "" } ], "container-title" : "Journal of Allergy and Clinical Immunology", "id" : "ITEM-1", "issue" : "3", "issued" : { "date-parts" : [ [ "2011" ] ] }, "page" : "668-676", "title" : "Prevalence of challenge-proven IgE-mediated food allergy using population-based sampling and predetermined challenge criteria in infants", "type" : "article-journal", "volume" : "127" }, "uris" : [ "http://www.mendeley.com/documents/?uuid=75b52fe8-7fe7-4070-a223-37ceb4c200cd" ] } ], "mendeley" : { "formattedCitation" : "[16]", "plainTextFormattedCitation" : "[16]", "previouslyFormattedCitation" : "[16]" }, "properties" : { "noteIndex" : 0 }, "schema" : "https://github.com/citation-style-language/schema/raw/master/csl-citation.json" }</w:instrText>
      </w:r>
      <w:r w:rsidR="00C1346F" w:rsidRPr="00B0157E">
        <w:rPr>
          <w:lang w:val="en-AU"/>
        </w:rPr>
        <w:fldChar w:fldCharType="separate"/>
      </w:r>
      <w:r w:rsidR="00010550" w:rsidRPr="00B0157E">
        <w:rPr>
          <w:lang w:val="en-AU"/>
        </w:rPr>
        <w:t>[16]</w:t>
      </w:r>
      <w:r w:rsidR="00C1346F" w:rsidRPr="00B0157E">
        <w:rPr>
          <w:lang w:val="en-AU"/>
        </w:rPr>
        <w:fldChar w:fldCharType="end"/>
      </w:r>
      <w:r w:rsidRPr="00B0157E">
        <w:rPr>
          <w:lang w:val="en-AU"/>
        </w:rPr>
        <w:t xml:space="preserve"> highlights that SPTs have the potential to over-diagnose food allergies</w:t>
      </w:r>
      <w:r w:rsidR="00FC1B36" w:rsidRPr="00B0157E">
        <w:rPr>
          <w:lang w:val="en-AU"/>
        </w:rPr>
        <w:t>, especially when multiple</w:t>
      </w:r>
      <w:r w:rsidR="003F2EFD" w:rsidRPr="00B0157E">
        <w:rPr>
          <w:lang w:val="en-AU"/>
        </w:rPr>
        <w:t xml:space="preserve"> tests</w:t>
      </w:r>
      <w:r w:rsidR="00FC1B36" w:rsidRPr="00B0157E">
        <w:rPr>
          <w:lang w:val="en-AU"/>
        </w:rPr>
        <w:t xml:space="preserve"> are conducted at the same time</w:t>
      </w:r>
      <w:r w:rsidRPr="00B0157E">
        <w:rPr>
          <w:lang w:val="en-AU"/>
        </w:rPr>
        <w:t xml:space="preserve">. </w:t>
      </w:r>
      <w:r w:rsidR="00F30FF9" w:rsidRPr="00B0157E">
        <w:rPr>
          <w:lang w:val="en-AU"/>
        </w:rPr>
        <w:t>For instance, only 3</w:t>
      </w:r>
      <w:r w:rsidR="00EB6C59" w:rsidRPr="00B0157E">
        <w:rPr>
          <w:lang w:val="en-AU"/>
        </w:rPr>
        <w:t xml:space="preserve"> per cent</w:t>
      </w:r>
      <w:r w:rsidR="00F30FF9" w:rsidRPr="00B0157E">
        <w:rPr>
          <w:lang w:val="en-AU"/>
        </w:rPr>
        <w:t xml:space="preserve"> of </w:t>
      </w:r>
      <w:r w:rsidRPr="00B0157E">
        <w:rPr>
          <w:lang w:val="en-AU"/>
        </w:rPr>
        <w:t xml:space="preserve">children </w:t>
      </w:r>
      <w:r w:rsidR="00F30FF9" w:rsidRPr="00B0157E">
        <w:rPr>
          <w:lang w:val="en-AU"/>
        </w:rPr>
        <w:t xml:space="preserve">have </w:t>
      </w:r>
      <w:r w:rsidRPr="00B0157E">
        <w:rPr>
          <w:lang w:val="en-AU"/>
        </w:rPr>
        <w:t xml:space="preserve">proven </w:t>
      </w:r>
      <w:r w:rsidR="00F30FF9" w:rsidRPr="00B0157E">
        <w:rPr>
          <w:lang w:val="en-AU"/>
        </w:rPr>
        <w:t xml:space="preserve">peanut </w:t>
      </w:r>
      <w:r w:rsidRPr="00B0157E">
        <w:rPr>
          <w:lang w:val="en-AU"/>
        </w:rPr>
        <w:t>allergies</w:t>
      </w:r>
      <w:r w:rsidR="003B37EC" w:rsidRPr="00B0157E">
        <w:rPr>
          <w:lang w:val="en-AU"/>
        </w:rPr>
        <w:t>,</w:t>
      </w:r>
      <w:r w:rsidRPr="00B0157E">
        <w:rPr>
          <w:lang w:val="en-AU"/>
        </w:rPr>
        <w:t xml:space="preserve"> </w:t>
      </w:r>
      <w:r w:rsidR="00E6687B" w:rsidRPr="00B0157E">
        <w:rPr>
          <w:lang w:val="en-AU"/>
        </w:rPr>
        <w:t>despite an</w:t>
      </w:r>
      <w:r w:rsidR="00F30FF9" w:rsidRPr="00B0157E">
        <w:rPr>
          <w:lang w:val="en-AU"/>
        </w:rPr>
        <w:t xml:space="preserve"> </w:t>
      </w:r>
      <w:r w:rsidRPr="00B0157E">
        <w:rPr>
          <w:lang w:val="en-AU"/>
        </w:rPr>
        <w:t>SPT</w:t>
      </w:r>
      <w:r w:rsidR="00F30FF9" w:rsidRPr="00B0157E">
        <w:rPr>
          <w:lang w:val="en-AU"/>
        </w:rPr>
        <w:t xml:space="preserve"> </w:t>
      </w:r>
      <w:r w:rsidR="00DB3F5B" w:rsidRPr="00B0157E">
        <w:rPr>
          <w:lang w:val="en-AU"/>
        </w:rPr>
        <w:t>positive</w:t>
      </w:r>
      <w:r w:rsidR="00F30FF9" w:rsidRPr="00B0157E">
        <w:rPr>
          <w:lang w:val="en-AU"/>
        </w:rPr>
        <w:t xml:space="preserve"> rate of </w:t>
      </w:r>
      <w:r w:rsidRPr="00B0157E">
        <w:rPr>
          <w:lang w:val="en-AU"/>
        </w:rPr>
        <w:t>8.9</w:t>
      </w:r>
      <w:r w:rsidR="00971574" w:rsidRPr="00B0157E">
        <w:rPr>
          <w:lang w:val="en-AU"/>
        </w:rPr>
        <w:t xml:space="preserve"> per cent</w:t>
      </w:r>
      <w:r w:rsidR="00F30FF9" w:rsidRPr="00B0157E">
        <w:rPr>
          <w:lang w:val="en-AU"/>
        </w:rPr>
        <w:t>. Similarly,</w:t>
      </w:r>
      <w:r w:rsidRPr="00B0157E">
        <w:rPr>
          <w:lang w:val="en-AU"/>
        </w:rPr>
        <w:t xml:space="preserve"> </w:t>
      </w:r>
      <w:r w:rsidR="00497199" w:rsidRPr="00B0157E">
        <w:rPr>
          <w:lang w:val="en-AU"/>
        </w:rPr>
        <w:t xml:space="preserve">although </w:t>
      </w:r>
      <w:r w:rsidRPr="00B0157E">
        <w:rPr>
          <w:lang w:val="en-AU"/>
        </w:rPr>
        <w:t>16.5</w:t>
      </w:r>
      <w:r w:rsidR="00BD43E1" w:rsidRPr="00B0157E">
        <w:rPr>
          <w:lang w:val="en-AU"/>
        </w:rPr>
        <w:t xml:space="preserve"> per cent</w:t>
      </w:r>
      <w:r w:rsidR="00F30FF9" w:rsidRPr="00B0157E">
        <w:rPr>
          <w:lang w:val="en-AU"/>
        </w:rPr>
        <w:t xml:space="preserve"> of SPT</w:t>
      </w:r>
      <w:r w:rsidR="00C9022A" w:rsidRPr="00B0157E">
        <w:rPr>
          <w:lang w:val="en-AU"/>
        </w:rPr>
        <w:t xml:space="preserve">s </w:t>
      </w:r>
      <w:r w:rsidR="00866515" w:rsidRPr="00B0157E">
        <w:rPr>
          <w:lang w:val="en-AU"/>
        </w:rPr>
        <w:t xml:space="preserve">are positive for </w:t>
      </w:r>
      <w:r w:rsidR="00F30FF9" w:rsidRPr="00B0157E">
        <w:rPr>
          <w:lang w:val="en-AU"/>
        </w:rPr>
        <w:t>egg</w:t>
      </w:r>
      <w:r w:rsidR="00595128" w:rsidRPr="00B0157E">
        <w:rPr>
          <w:lang w:val="en-AU"/>
        </w:rPr>
        <w:t>, only</w:t>
      </w:r>
      <w:r w:rsidR="00F30FF9" w:rsidRPr="00B0157E">
        <w:rPr>
          <w:lang w:val="en-AU"/>
        </w:rPr>
        <w:t xml:space="preserve"> </w:t>
      </w:r>
      <w:r w:rsidRPr="00B0157E">
        <w:rPr>
          <w:lang w:val="en-AU"/>
        </w:rPr>
        <w:t>8.9</w:t>
      </w:r>
      <w:r w:rsidR="00595128" w:rsidRPr="00B0157E">
        <w:rPr>
          <w:lang w:val="en-AU"/>
        </w:rPr>
        <w:t xml:space="preserve"> per cent</w:t>
      </w:r>
      <w:r w:rsidRPr="00B0157E">
        <w:rPr>
          <w:lang w:val="en-AU"/>
        </w:rPr>
        <w:t xml:space="preserve"> </w:t>
      </w:r>
      <w:r w:rsidR="00866515" w:rsidRPr="00B0157E">
        <w:rPr>
          <w:lang w:val="en-AU"/>
        </w:rPr>
        <w:t>have challenge</w:t>
      </w:r>
      <w:r w:rsidR="00E93222" w:rsidRPr="00B0157E">
        <w:rPr>
          <w:lang w:val="en-AU"/>
        </w:rPr>
        <w:t>-</w:t>
      </w:r>
      <w:r w:rsidR="00F30FF9" w:rsidRPr="00B0157E">
        <w:rPr>
          <w:lang w:val="en-AU"/>
        </w:rPr>
        <w:t xml:space="preserve">proven </w:t>
      </w:r>
      <w:r w:rsidR="00866515" w:rsidRPr="00B0157E">
        <w:rPr>
          <w:lang w:val="en-AU"/>
        </w:rPr>
        <w:t>raw egg allergy</w:t>
      </w:r>
      <w:r w:rsidR="00E63A7E" w:rsidRPr="00B0157E">
        <w:rPr>
          <w:lang w:val="en-AU"/>
        </w:rPr>
        <w:t xml:space="preserve"> </w:t>
      </w:r>
      <w:r w:rsidR="00F30FF9" w:rsidRPr="00B0157E">
        <w:rPr>
          <w:lang w:val="en-AU"/>
        </w:rPr>
        <w:t>(</w:t>
      </w:r>
      <w:r w:rsidR="00B062B2" w:rsidRPr="00B0157E">
        <w:rPr>
          <w:lang w:val="en-AU"/>
        </w:rPr>
        <w:t xml:space="preserve">dropping to </w:t>
      </w:r>
      <w:r w:rsidRPr="00B0157E">
        <w:rPr>
          <w:lang w:val="en-AU"/>
        </w:rPr>
        <w:t>1.8</w:t>
      </w:r>
      <w:r w:rsidR="00A3511D" w:rsidRPr="00B0157E">
        <w:rPr>
          <w:lang w:val="en-AU"/>
        </w:rPr>
        <w:t xml:space="preserve"> per cent</w:t>
      </w:r>
      <w:r w:rsidRPr="00B0157E">
        <w:rPr>
          <w:lang w:val="en-AU"/>
        </w:rPr>
        <w:t xml:space="preserve"> for cooked eggs)</w:t>
      </w:r>
      <w:r w:rsidR="00F30FF9" w:rsidRPr="00B0157E">
        <w:rPr>
          <w:lang w:val="en-AU"/>
        </w:rPr>
        <w:t>.</w:t>
      </w:r>
      <w:r w:rsidR="004A352E">
        <w:rPr>
          <w:lang w:val="en-AU"/>
        </w:rPr>
        <w:t xml:space="preserve"> </w:t>
      </w:r>
    </w:p>
    <w:p w14:paraId="252768F9" w14:textId="77777777" w:rsidR="005E6419" w:rsidRPr="00531089" w:rsidRDefault="009A0B4A" w:rsidP="002D0E61">
      <w:pPr>
        <w:pStyle w:val="01squarebullet"/>
        <w:rPr>
          <w:lang w:val="en-AU"/>
        </w:rPr>
      </w:pPr>
      <w:r w:rsidRPr="00B0157E">
        <w:rPr>
          <w:lang w:val="en-AU"/>
        </w:rPr>
        <w:t>Drawing on its</w:t>
      </w:r>
      <w:r w:rsidR="00814CC2" w:rsidRPr="00B0157E">
        <w:rPr>
          <w:lang w:val="en-AU"/>
        </w:rPr>
        <w:t xml:space="preserve"> clinical experience</w:t>
      </w:r>
      <w:r w:rsidRPr="00B0157E">
        <w:rPr>
          <w:lang w:val="en-AU"/>
        </w:rPr>
        <w:t>, the Committee also noted that</w:t>
      </w:r>
      <w:r w:rsidR="00814CC2" w:rsidRPr="00B0157E">
        <w:rPr>
          <w:lang w:val="en-AU"/>
        </w:rPr>
        <w:t xml:space="preserve"> t</w:t>
      </w:r>
      <w:r w:rsidR="002765FC" w:rsidRPr="00B0157E">
        <w:rPr>
          <w:lang w:val="en-AU"/>
        </w:rPr>
        <w:t>esting for many allergens is unpleasant for patients, particularly small children</w:t>
      </w:r>
      <w:r w:rsidR="007F6B7C" w:rsidRPr="00B0157E">
        <w:rPr>
          <w:lang w:val="en-AU"/>
        </w:rPr>
        <w:t>.</w:t>
      </w:r>
      <w:r w:rsidR="00F30FF9" w:rsidRPr="00B0157E">
        <w:rPr>
          <w:lang w:val="en-AU"/>
        </w:rPr>
        <w:t xml:space="preserve"> </w:t>
      </w:r>
      <w:r w:rsidR="007F6B7C" w:rsidRPr="00B0157E">
        <w:rPr>
          <w:lang w:val="en-AU"/>
        </w:rPr>
        <w:t xml:space="preserve">This </w:t>
      </w:r>
      <w:r w:rsidR="00F30FF9" w:rsidRPr="00B0157E">
        <w:rPr>
          <w:lang w:val="en-AU"/>
        </w:rPr>
        <w:t>can harm consumers’ experience of receiving healthcare services.</w:t>
      </w:r>
      <w:r w:rsidR="00814CC2" w:rsidRPr="00B0157E">
        <w:rPr>
          <w:lang w:val="en-AU"/>
        </w:rPr>
        <w:t xml:space="preserve"> </w:t>
      </w:r>
      <w:r w:rsidR="006D59EF" w:rsidRPr="00B0157E">
        <w:rPr>
          <w:lang w:val="en-AU"/>
        </w:rPr>
        <w:t xml:space="preserve">In FY2014/15, </w:t>
      </w:r>
      <w:r w:rsidR="00834CD5" w:rsidRPr="00B0157E">
        <w:rPr>
          <w:lang w:val="en-AU"/>
        </w:rPr>
        <w:t>5,000</w:t>
      </w:r>
      <w:r w:rsidR="00814CC2" w:rsidRPr="00B0157E">
        <w:rPr>
          <w:lang w:val="en-AU"/>
        </w:rPr>
        <w:t xml:space="preserve"> </w:t>
      </w:r>
      <w:r w:rsidR="003D0CFF" w:rsidRPr="00B0157E">
        <w:rPr>
          <w:lang w:val="en-AU"/>
        </w:rPr>
        <w:t>tests for more than 20 allergens</w:t>
      </w:r>
      <w:r w:rsidR="00517C40" w:rsidRPr="00B0157E">
        <w:rPr>
          <w:lang w:val="en-AU"/>
        </w:rPr>
        <w:t xml:space="preserve"> </w:t>
      </w:r>
      <w:r w:rsidR="00AE6C3D" w:rsidRPr="00B0157E">
        <w:rPr>
          <w:lang w:val="en-AU"/>
        </w:rPr>
        <w:t xml:space="preserve">were </w:t>
      </w:r>
      <w:r w:rsidR="003D0CFF" w:rsidRPr="00B0157E">
        <w:rPr>
          <w:lang w:val="en-AU"/>
        </w:rPr>
        <w:t>performed on</w:t>
      </w:r>
      <w:r w:rsidR="00814CC2" w:rsidRPr="00B0157E">
        <w:rPr>
          <w:lang w:val="en-AU"/>
        </w:rPr>
        <w:t xml:space="preserve"> infants</w:t>
      </w:r>
      <w:r w:rsidR="003D0CFF" w:rsidRPr="00B0157E">
        <w:rPr>
          <w:lang w:val="en-AU"/>
        </w:rPr>
        <w:t xml:space="preserve"> age</w:t>
      </w:r>
      <w:r w:rsidR="00AE6C3D" w:rsidRPr="00B0157E">
        <w:rPr>
          <w:lang w:val="en-AU"/>
        </w:rPr>
        <w:t>d</w:t>
      </w:r>
      <w:r w:rsidR="003D0CFF" w:rsidRPr="00B0157E">
        <w:rPr>
          <w:lang w:val="en-AU"/>
        </w:rPr>
        <w:t xml:space="preserve"> 0</w:t>
      </w:r>
      <w:r w:rsidR="00AE6C3D" w:rsidRPr="00B0157E">
        <w:rPr>
          <w:lang w:val="en-AU"/>
        </w:rPr>
        <w:t>–</w:t>
      </w:r>
      <w:r w:rsidR="003D0CFF" w:rsidRPr="00B0157E">
        <w:rPr>
          <w:lang w:val="en-AU"/>
        </w:rPr>
        <w:t>4</w:t>
      </w:r>
      <w:r w:rsidR="00517C40" w:rsidRPr="00B0157E">
        <w:rPr>
          <w:lang w:val="en-AU"/>
        </w:rPr>
        <w:t xml:space="preserve"> (10 per cent of total tests)</w:t>
      </w:r>
      <w:r w:rsidR="003D0CFF" w:rsidRPr="00B0157E">
        <w:rPr>
          <w:lang w:val="en-AU"/>
        </w:rPr>
        <w:t>.</w:t>
      </w:r>
      <w:r w:rsidR="004A352E">
        <w:rPr>
          <w:lang w:val="en-AU"/>
        </w:rPr>
        <w:t xml:space="preserve"> </w:t>
      </w:r>
      <w:bookmarkStart w:id="104" w:name="_Toc452997148"/>
      <w:bookmarkStart w:id="105" w:name="_Toc458774426"/>
    </w:p>
    <w:p w14:paraId="73F2DBBD" w14:textId="77777777" w:rsidR="002765FC" w:rsidRPr="002808A4" w:rsidRDefault="002765FC" w:rsidP="002808A4">
      <w:pPr>
        <w:pStyle w:val="Heading3"/>
      </w:pPr>
      <w:r w:rsidRPr="002808A4">
        <w:t>Item 12000</w:t>
      </w:r>
      <w:bookmarkEnd w:id="104"/>
      <w:r w:rsidRPr="002808A4">
        <w:t xml:space="preserve"> </w:t>
      </w:r>
      <w:r w:rsidR="004E2983" w:rsidRPr="002808A4">
        <w:t>and 21981</w:t>
      </w:r>
      <w:bookmarkEnd w:id="105"/>
    </w:p>
    <w:p w14:paraId="46E4E635" w14:textId="77777777" w:rsidR="005C5FD2" w:rsidRPr="00B0157E" w:rsidRDefault="002765FC" w:rsidP="00531089">
      <w:pPr>
        <w:keepNext/>
        <w:keepLines/>
        <w:rPr>
          <w:b/>
          <w:lang w:val="en-AU"/>
        </w:rPr>
      </w:pPr>
      <w:r w:rsidRPr="00B0157E">
        <w:rPr>
          <w:b/>
          <w:lang w:val="en-AU"/>
        </w:rPr>
        <w:t>Recommendation</w:t>
      </w:r>
      <w:r w:rsidR="002024B5" w:rsidRPr="00B0157E">
        <w:rPr>
          <w:b/>
          <w:lang w:val="en-AU"/>
        </w:rPr>
        <w:t>s</w:t>
      </w:r>
      <w:r w:rsidRPr="00B0157E">
        <w:rPr>
          <w:b/>
          <w:lang w:val="en-AU"/>
        </w:rPr>
        <w:t xml:space="preserve"> </w:t>
      </w:r>
    </w:p>
    <w:p w14:paraId="56606588" w14:textId="77777777" w:rsidR="00503817" w:rsidRPr="00B0157E" w:rsidRDefault="000855D3" w:rsidP="00531089">
      <w:pPr>
        <w:pStyle w:val="01squarebullet"/>
        <w:keepNext/>
        <w:keepLines/>
        <w:rPr>
          <w:lang w:val="en-AU"/>
        </w:rPr>
      </w:pPr>
      <w:r w:rsidRPr="00B0157E">
        <w:rPr>
          <w:lang w:val="en-AU"/>
        </w:rPr>
        <w:t>Split item</w:t>
      </w:r>
      <w:r w:rsidR="005C5FD2" w:rsidRPr="00B0157E">
        <w:rPr>
          <w:lang w:val="en-AU"/>
        </w:rPr>
        <w:t xml:space="preserve"> 12000 </w:t>
      </w:r>
      <w:r w:rsidR="00711A73" w:rsidRPr="00B0157E">
        <w:rPr>
          <w:lang w:val="en-AU"/>
        </w:rPr>
        <w:t xml:space="preserve">and </w:t>
      </w:r>
      <w:r w:rsidRPr="00B0157E">
        <w:rPr>
          <w:lang w:val="en-AU"/>
        </w:rPr>
        <w:t xml:space="preserve">change item </w:t>
      </w:r>
      <w:r w:rsidR="00711A73" w:rsidRPr="00B0157E">
        <w:rPr>
          <w:lang w:val="en-AU"/>
        </w:rPr>
        <w:t xml:space="preserve">21981 </w:t>
      </w:r>
      <w:r w:rsidRPr="00B0157E">
        <w:rPr>
          <w:lang w:val="en-AU"/>
        </w:rPr>
        <w:t>to</w:t>
      </w:r>
      <w:r w:rsidR="00AD6162" w:rsidRPr="00B0157E">
        <w:rPr>
          <w:lang w:val="en-AU"/>
        </w:rPr>
        <w:t xml:space="preserve"> </w:t>
      </w:r>
      <w:r w:rsidRPr="00B0157E">
        <w:rPr>
          <w:lang w:val="en-AU"/>
        </w:rPr>
        <w:t>four MBS</w:t>
      </w:r>
      <w:r w:rsidR="005C5FD2" w:rsidRPr="00B0157E">
        <w:rPr>
          <w:lang w:val="en-AU"/>
        </w:rPr>
        <w:t xml:space="preserve"> ite</w:t>
      </w:r>
      <w:r w:rsidRPr="00B0157E">
        <w:rPr>
          <w:lang w:val="en-AU"/>
        </w:rPr>
        <w:t>ms</w:t>
      </w:r>
      <w:r w:rsidR="003277F2" w:rsidRPr="00B0157E">
        <w:rPr>
          <w:lang w:val="en-AU"/>
        </w:rPr>
        <w:t xml:space="preserve"> </w:t>
      </w:r>
      <w:r w:rsidR="009C6BDD" w:rsidRPr="00B0157E">
        <w:rPr>
          <w:lang w:val="en-AU"/>
        </w:rPr>
        <w:t>that</w:t>
      </w:r>
      <w:r w:rsidR="00C0202B" w:rsidRPr="00B0157E">
        <w:rPr>
          <w:lang w:val="en-AU"/>
        </w:rPr>
        <w:t>:</w:t>
      </w:r>
      <w:r w:rsidR="004A352E">
        <w:rPr>
          <w:lang w:val="en-AU"/>
        </w:rPr>
        <w:t xml:space="preserve"> </w:t>
      </w:r>
    </w:p>
    <w:p w14:paraId="4B23E9EC" w14:textId="77777777" w:rsidR="00E446D5" w:rsidRPr="00B0157E" w:rsidRDefault="00E446D5">
      <w:pPr>
        <w:pStyle w:val="02dash"/>
        <w:rPr>
          <w:lang w:val="en-AU"/>
        </w:rPr>
      </w:pPr>
      <w:r w:rsidRPr="00B0157E">
        <w:rPr>
          <w:lang w:val="en-AU"/>
        </w:rPr>
        <w:t xml:space="preserve">Accurately describe the allergens tested and the scope of practice required for each. </w:t>
      </w:r>
    </w:p>
    <w:p w14:paraId="3BD1E291" w14:textId="77777777" w:rsidR="00E446D5" w:rsidRPr="00B0157E" w:rsidRDefault="00E446D5">
      <w:pPr>
        <w:pStyle w:val="02dash"/>
        <w:rPr>
          <w:lang w:val="en-AU"/>
        </w:rPr>
      </w:pPr>
      <w:r w:rsidRPr="00B0157E">
        <w:rPr>
          <w:lang w:val="en-AU"/>
        </w:rPr>
        <w:t xml:space="preserve">Remove the specification of 1–20 tests, making </w:t>
      </w:r>
      <w:r w:rsidR="00EA38BB" w:rsidRPr="00B0157E">
        <w:rPr>
          <w:lang w:val="en-AU"/>
        </w:rPr>
        <w:t xml:space="preserve">it </w:t>
      </w:r>
      <w:r w:rsidRPr="00B0157E">
        <w:rPr>
          <w:lang w:val="en-AU"/>
        </w:rPr>
        <w:t>clear that all allergens tested under the relevant item number on the same day are included</w:t>
      </w:r>
      <w:r w:rsidR="00C30E2D" w:rsidRPr="00B0157E">
        <w:rPr>
          <w:lang w:val="en-AU"/>
        </w:rPr>
        <w:t xml:space="preserve">, </w:t>
      </w:r>
      <w:r w:rsidR="00D40F13" w:rsidRPr="00B0157E">
        <w:rPr>
          <w:lang w:val="en-AU"/>
        </w:rPr>
        <w:t>t</w:t>
      </w:r>
      <w:r w:rsidRPr="00B0157E">
        <w:rPr>
          <w:lang w:val="en-AU"/>
        </w:rPr>
        <w:t xml:space="preserve">hereby prohibiting co-claiming with itself. </w:t>
      </w:r>
      <w:r w:rsidR="00C30E2D" w:rsidRPr="00B0157E">
        <w:rPr>
          <w:lang w:val="en-AU"/>
        </w:rPr>
        <w:t>(These items cover billing for m</w:t>
      </w:r>
      <w:r w:rsidR="00775D36" w:rsidRPr="00B0157E">
        <w:rPr>
          <w:lang w:val="en-AU"/>
        </w:rPr>
        <w:t>ore</w:t>
      </w:r>
      <w:r w:rsidR="007604B2" w:rsidRPr="00B0157E">
        <w:rPr>
          <w:lang w:val="en-AU"/>
        </w:rPr>
        <w:t xml:space="preserve"> than 20 allergens, on the rare occasions when this is necessary.</w:t>
      </w:r>
      <w:r w:rsidR="00634433" w:rsidRPr="00B0157E">
        <w:rPr>
          <w:lang w:val="en-AU"/>
        </w:rPr>
        <w:t>)</w:t>
      </w:r>
    </w:p>
    <w:p w14:paraId="7DEDBABA" w14:textId="77777777" w:rsidR="008545AC" w:rsidRPr="00B0157E" w:rsidRDefault="008545AC" w:rsidP="00CB65CD">
      <w:pPr>
        <w:pStyle w:val="02dash"/>
        <w:ind w:right="0"/>
        <w:rPr>
          <w:lang w:val="en-AU"/>
        </w:rPr>
      </w:pPr>
      <w:r w:rsidRPr="00B0157E">
        <w:rPr>
          <w:lang w:val="en-AU"/>
        </w:rPr>
        <w:t>Shift MBS item 21981 to the allergy and immunology section of the MBS as 1200-D and amend the descriptor to bring in line with 1200-A to C.</w:t>
      </w:r>
      <w:r w:rsidR="004A352E">
        <w:rPr>
          <w:lang w:val="en-AU"/>
        </w:rPr>
        <w:t xml:space="preserve"> </w:t>
      </w:r>
    </w:p>
    <w:p w14:paraId="24215A8C" w14:textId="77777777" w:rsidR="00E446D5" w:rsidRPr="00B0157E" w:rsidRDefault="00E446D5">
      <w:pPr>
        <w:pStyle w:val="02dash"/>
        <w:rPr>
          <w:lang w:val="en-AU"/>
        </w:rPr>
      </w:pPr>
      <w:r w:rsidRPr="00B0157E">
        <w:rPr>
          <w:lang w:val="en-AU"/>
        </w:rPr>
        <w:t>Prohibit billing of repeat testing in a 12-month period for item 1200-A.</w:t>
      </w:r>
    </w:p>
    <w:p w14:paraId="2E9B72C5" w14:textId="77777777" w:rsidR="00E446D5" w:rsidRPr="00B0157E" w:rsidRDefault="00E446D5">
      <w:pPr>
        <w:pStyle w:val="02dash"/>
        <w:rPr>
          <w:lang w:val="en-AU"/>
        </w:rPr>
      </w:pPr>
      <w:r w:rsidRPr="00B0157E">
        <w:rPr>
          <w:lang w:val="en-AU"/>
        </w:rPr>
        <w:t xml:space="preserve">Prohibit co-claiming between items 1200-A, 1200-B and 1200-D. </w:t>
      </w:r>
    </w:p>
    <w:p w14:paraId="1C8EB51A" w14:textId="77777777" w:rsidR="00E446D5" w:rsidRPr="00B0157E" w:rsidRDefault="00C0202B">
      <w:pPr>
        <w:pStyle w:val="01squarebullet"/>
        <w:rPr>
          <w:lang w:val="en-AU"/>
        </w:rPr>
      </w:pPr>
      <w:r w:rsidRPr="00B0157E">
        <w:rPr>
          <w:lang w:val="en-AU"/>
        </w:rPr>
        <w:t>The proposed item descriptors are</w:t>
      </w:r>
      <w:r w:rsidR="003411EE" w:rsidRPr="00B0157E">
        <w:rPr>
          <w:lang w:val="en-AU"/>
        </w:rPr>
        <w:t xml:space="preserve"> as follows</w:t>
      </w:r>
      <w:r w:rsidRPr="00B0157E">
        <w:rPr>
          <w:lang w:val="en-AU"/>
        </w:rPr>
        <w:t>:</w:t>
      </w:r>
    </w:p>
    <w:p w14:paraId="29C66F81" w14:textId="77777777" w:rsidR="00EA35FB" w:rsidRPr="00B0157E" w:rsidRDefault="00EA35FB">
      <w:pPr>
        <w:pStyle w:val="02dash"/>
        <w:rPr>
          <w:lang w:val="en-AU"/>
        </w:rPr>
      </w:pPr>
      <w:r w:rsidRPr="00B0157E">
        <w:rPr>
          <w:lang w:val="en-AU"/>
        </w:rPr>
        <w:lastRenderedPageBreak/>
        <w:t>1200-A: Skin prick testing for aeroallergens, including all allergens tested on the same day, not being a service associated with a service to which item 1200</w:t>
      </w:r>
      <w:r w:rsidR="002864E6">
        <w:rPr>
          <w:lang w:val="en-AU"/>
        </w:rPr>
        <w:t>-</w:t>
      </w:r>
      <w:r w:rsidRPr="00B0157E">
        <w:rPr>
          <w:lang w:val="en-AU"/>
        </w:rPr>
        <w:t>B, 1200</w:t>
      </w:r>
      <w:r w:rsidR="002864E6">
        <w:rPr>
          <w:lang w:val="en-AU"/>
        </w:rPr>
        <w:t>-</w:t>
      </w:r>
      <w:r w:rsidRPr="00B0157E">
        <w:rPr>
          <w:lang w:val="en-AU"/>
        </w:rPr>
        <w:t>D, 12012, 12015, 12018 or 12021 applies. Item only claimable once per 12 month period.</w:t>
      </w:r>
      <w:r w:rsidR="004A352E">
        <w:rPr>
          <w:lang w:val="en-AU"/>
        </w:rPr>
        <w:t xml:space="preserve"> </w:t>
      </w:r>
    </w:p>
    <w:p w14:paraId="3CB05F29" w14:textId="77777777" w:rsidR="00EA35FB" w:rsidRPr="00B0157E" w:rsidRDefault="00EA35FB">
      <w:pPr>
        <w:pStyle w:val="02dash"/>
        <w:rPr>
          <w:lang w:val="en-AU"/>
        </w:rPr>
      </w:pPr>
      <w:r w:rsidRPr="00B0157E">
        <w:rPr>
          <w:lang w:val="en-AU"/>
        </w:rPr>
        <w:t>1200-B:</w:t>
      </w:r>
      <w:r w:rsidR="00817351" w:rsidRPr="00B0157E">
        <w:rPr>
          <w:lang w:val="en-AU"/>
        </w:rPr>
        <w:t xml:space="preserve"> </w:t>
      </w:r>
      <w:r w:rsidRPr="00B0157E">
        <w:rPr>
          <w:lang w:val="en-AU"/>
        </w:rPr>
        <w:t>Skin prick testing for food and latex allergens, including all allergens tested on the same day, not being a service associated with a service to which item 1200</w:t>
      </w:r>
      <w:r w:rsidR="002864E6">
        <w:rPr>
          <w:lang w:val="en-AU"/>
        </w:rPr>
        <w:t>-</w:t>
      </w:r>
      <w:r w:rsidRPr="00B0157E">
        <w:rPr>
          <w:lang w:val="en-AU"/>
        </w:rPr>
        <w:t>A, 1200</w:t>
      </w:r>
      <w:r w:rsidR="002864E6">
        <w:rPr>
          <w:lang w:val="en-AU"/>
        </w:rPr>
        <w:t>-</w:t>
      </w:r>
      <w:r w:rsidRPr="00B0157E">
        <w:rPr>
          <w:lang w:val="en-AU"/>
        </w:rPr>
        <w:t>D, 12012, 12015, 12018 or 12021 applies.</w:t>
      </w:r>
    </w:p>
    <w:p w14:paraId="553F83AE" w14:textId="77777777" w:rsidR="00817351" w:rsidRPr="00B0157E" w:rsidRDefault="00EA35FB">
      <w:pPr>
        <w:pStyle w:val="02dash"/>
        <w:rPr>
          <w:lang w:val="en-AU"/>
        </w:rPr>
      </w:pPr>
      <w:r w:rsidRPr="00B0157E">
        <w:rPr>
          <w:lang w:val="en-AU"/>
        </w:rPr>
        <w:t>1200-C:</w:t>
      </w:r>
      <w:r w:rsidR="0030439F" w:rsidRPr="00B0157E">
        <w:rPr>
          <w:lang w:val="en-AU"/>
        </w:rPr>
        <w:t xml:space="preserve"> </w:t>
      </w:r>
      <w:r w:rsidR="00817351" w:rsidRPr="00B0157E">
        <w:rPr>
          <w:lang w:val="en-AU"/>
        </w:rPr>
        <w:t xml:space="preserve">Skin testing for medication allergens (antibiotics, non-general </w:t>
      </w:r>
      <w:r w:rsidR="00952501" w:rsidRPr="00B0157E">
        <w:rPr>
          <w:lang w:val="en-AU"/>
        </w:rPr>
        <w:t>anaesthetic</w:t>
      </w:r>
      <w:r w:rsidR="000739F4" w:rsidRPr="00B0157E">
        <w:rPr>
          <w:lang w:val="en-AU"/>
        </w:rPr>
        <w:t>s</w:t>
      </w:r>
      <w:r w:rsidR="00CE1C4A" w:rsidRPr="00B0157E">
        <w:rPr>
          <w:lang w:val="en-AU"/>
        </w:rPr>
        <w:t xml:space="preserve"> agents</w:t>
      </w:r>
      <w:r w:rsidR="000739F4" w:rsidRPr="00B0157E">
        <w:rPr>
          <w:lang w:val="en-AU"/>
        </w:rPr>
        <w:t xml:space="preserve">) </w:t>
      </w:r>
      <w:r w:rsidR="00817351" w:rsidRPr="00B0157E">
        <w:rPr>
          <w:lang w:val="en-AU"/>
        </w:rPr>
        <w:t>and venom</w:t>
      </w:r>
      <w:r w:rsidR="000739F4" w:rsidRPr="00B0157E">
        <w:rPr>
          <w:lang w:val="en-AU"/>
        </w:rPr>
        <w:t>s</w:t>
      </w:r>
      <w:r w:rsidR="00817351" w:rsidRPr="00B0157E">
        <w:rPr>
          <w:lang w:val="en-AU"/>
        </w:rPr>
        <w:t xml:space="preserve"> including prick testing and intradermal testing with a number of dilutions, including all allergens tested on the same day, not being a service associated with a service to which item 1200</w:t>
      </w:r>
      <w:r w:rsidR="002864E6">
        <w:rPr>
          <w:lang w:val="en-AU"/>
        </w:rPr>
        <w:t>-</w:t>
      </w:r>
      <w:r w:rsidR="00817351" w:rsidRPr="00B0157E">
        <w:rPr>
          <w:lang w:val="en-AU"/>
        </w:rPr>
        <w:t>D, 12012, 12015, 12018 or 12021 applies.</w:t>
      </w:r>
    </w:p>
    <w:p w14:paraId="00AB979C" w14:textId="77777777" w:rsidR="00E446D5" w:rsidRPr="00B0157E" w:rsidRDefault="00C0202B">
      <w:pPr>
        <w:pStyle w:val="02dash"/>
        <w:rPr>
          <w:lang w:val="en-AU"/>
        </w:rPr>
      </w:pPr>
      <w:r w:rsidRPr="00B0157E">
        <w:rPr>
          <w:lang w:val="en-AU"/>
        </w:rPr>
        <w:t xml:space="preserve">1200-D: Skin testing for agents used in the perioperative period including prick testing and intradermal testing with a number of dilutions, to investigate </w:t>
      </w:r>
      <w:r w:rsidR="006779FA">
        <w:rPr>
          <w:lang w:val="en-AU"/>
        </w:rPr>
        <w:t>anaphylaxis in a patient with a </w:t>
      </w:r>
      <w:r w:rsidRPr="00B0157E">
        <w:rPr>
          <w:lang w:val="en-AU"/>
        </w:rPr>
        <w:t>history of prior anaphylactic reaction or cardiovascular collapse associated with the administration of an anaesthetic. Including all allergens test</w:t>
      </w:r>
      <w:r w:rsidR="003E5EBF">
        <w:rPr>
          <w:lang w:val="en-AU"/>
        </w:rPr>
        <w:t>ed on the same day, not being a </w:t>
      </w:r>
      <w:r w:rsidRPr="00B0157E">
        <w:rPr>
          <w:lang w:val="en-AU"/>
        </w:rPr>
        <w:t>service associated with a service to which item 1200</w:t>
      </w:r>
      <w:r w:rsidR="002864E6">
        <w:rPr>
          <w:lang w:val="en-AU"/>
        </w:rPr>
        <w:t>-</w:t>
      </w:r>
      <w:r w:rsidRPr="00B0157E">
        <w:rPr>
          <w:lang w:val="en-AU"/>
        </w:rPr>
        <w:t>A, 1200</w:t>
      </w:r>
      <w:r w:rsidR="002864E6">
        <w:rPr>
          <w:lang w:val="en-AU"/>
        </w:rPr>
        <w:t>-</w:t>
      </w:r>
      <w:r w:rsidRPr="00B0157E">
        <w:rPr>
          <w:lang w:val="en-AU"/>
        </w:rPr>
        <w:t>B, 1200</w:t>
      </w:r>
      <w:r w:rsidR="002864E6">
        <w:rPr>
          <w:lang w:val="en-AU"/>
        </w:rPr>
        <w:t>-</w:t>
      </w:r>
      <w:r w:rsidRPr="00B0157E">
        <w:rPr>
          <w:lang w:val="en-AU"/>
        </w:rPr>
        <w:t>C, 12012, 12015, 12018 or 12021 applies</w:t>
      </w:r>
      <w:r w:rsidR="00952501" w:rsidRPr="00B0157E">
        <w:rPr>
          <w:lang w:val="en-AU"/>
        </w:rPr>
        <w:t>.</w:t>
      </w:r>
    </w:p>
    <w:p w14:paraId="51E3F6A4" w14:textId="77777777" w:rsidR="00E633EE" w:rsidRPr="00B0157E" w:rsidRDefault="004E2983">
      <w:pPr>
        <w:pStyle w:val="01squarebullet"/>
        <w:rPr>
          <w:lang w:val="en-AU"/>
        </w:rPr>
      </w:pPr>
      <w:r w:rsidRPr="00B0157E">
        <w:rPr>
          <w:lang w:val="en-AU"/>
        </w:rPr>
        <w:t xml:space="preserve">Add explanatory notes for </w:t>
      </w:r>
      <w:r w:rsidR="005C5FD2" w:rsidRPr="00B0157E">
        <w:rPr>
          <w:lang w:val="en-AU"/>
        </w:rPr>
        <w:t xml:space="preserve">item 1200-B </w:t>
      </w:r>
      <w:r w:rsidR="0074199E" w:rsidRPr="00B0157E">
        <w:rPr>
          <w:lang w:val="en-AU"/>
        </w:rPr>
        <w:t>(</w:t>
      </w:r>
      <w:r w:rsidR="005C5FD2" w:rsidRPr="00B0157E">
        <w:rPr>
          <w:lang w:val="en-AU"/>
        </w:rPr>
        <w:t xml:space="preserve">testing for food </w:t>
      </w:r>
      <w:r w:rsidR="000B3C3F" w:rsidRPr="00B0157E">
        <w:rPr>
          <w:lang w:val="en-AU"/>
        </w:rPr>
        <w:t>allergens</w:t>
      </w:r>
      <w:r w:rsidR="0074199E" w:rsidRPr="00B0157E">
        <w:rPr>
          <w:lang w:val="en-AU"/>
        </w:rPr>
        <w:t>)</w:t>
      </w:r>
      <w:r w:rsidR="000B3C3F" w:rsidRPr="00B0157E">
        <w:rPr>
          <w:lang w:val="en-AU"/>
        </w:rPr>
        <w:t xml:space="preserve"> to guide appropriate provider use. </w:t>
      </w:r>
      <w:r w:rsidR="00711A73" w:rsidRPr="00B0157E">
        <w:rPr>
          <w:lang w:val="en-AU"/>
        </w:rPr>
        <w:t>The p</w:t>
      </w:r>
      <w:r w:rsidR="000B3C3F" w:rsidRPr="00B0157E">
        <w:rPr>
          <w:lang w:val="en-AU"/>
        </w:rPr>
        <w:t>roposed explanatory notes</w:t>
      </w:r>
      <w:r w:rsidR="00711A73" w:rsidRPr="00B0157E">
        <w:rPr>
          <w:lang w:val="en-AU"/>
        </w:rPr>
        <w:t xml:space="preserve"> are</w:t>
      </w:r>
      <w:r w:rsidR="0059431E" w:rsidRPr="00B0157E">
        <w:rPr>
          <w:lang w:val="en-AU"/>
        </w:rPr>
        <w:t xml:space="preserve"> as follows</w:t>
      </w:r>
      <w:r w:rsidR="000B3C3F" w:rsidRPr="00B0157E">
        <w:rPr>
          <w:lang w:val="en-AU"/>
        </w:rPr>
        <w:t xml:space="preserve">: </w:t>
      </w:r>
    </w:p>
    <w:p w14:paraId="3179C98C" w14:textId="77777777" w:rsidR="004E2983" w:rsidRPr="00B0157E" w:rsidRDefault="004E2983">
      <w:pPr>
        <w:pStyle w:val="02dash"/>
        <w:rPr>
          <w:lang w:val="en-AU"/>
        </w:rPr>
      </w:pPr>
      <w:r w:rsidRPr="00B0157E">
        <w:rPr>
          <w:lang w:val="en-AU"/>
        </w:rPr>
        <w:t xml:space="preserve">Item 1200-B should only be used by appropriately trained doctors such as allergist immunologists or equivalently trained medical practitioners. An alternative to Skin Prick Testing (SPT) is </w:t>
      </w:r>
      <w:r w:rsidR="000B3C3F" w:rsidRPr="00B0157E">
        <w:rPr>
          <w:lang w:val="en-AU"/>
        </w:rPr>
        <w:t xml:space="preserve">serum </w:t>
      </w:r>
      <w:r w:rsidRPr="00B0157E">
        <w:rPr>
          <w:lang w:val="en-AU"/>
        </w:rPr>
        <w:t>specific IgE food</w:t>
      </w:r>
      <w:r w:rsidR="000B3C3F" w:rsidRPr="00B0157E">
        <w:rPr>
          <w:lang w:val="en-AU"/>
        </w:rPr>
        <w:t xml:space="preserve"> allergen</w:t>
      </w:r>
      <w:r w:rsidRPr="00B0157E">
        <w:rPr>
          <w:lang w:val="en-AU"/>
        </w:rPr>
        <w:t xml:space="preserve"> testing. </w:t>
      </w:r>
      <w:r w:rsidR="000B3C3F" w:rsidRPr="00B0157E">
        <w:rPr>
          <w:lang w:val="en-AU"/>
        </w:rPr>
        <w:t>Serum specific I</w:t>
      </w:r>
      <w:r w:rsidR="00FF6F6E" w:rsidRPr="00B0157E">
        <w:rPr>
          <w:lang w:val="en-AU"/>
        </w:rPr>
        <w:t>gE (ss</w:t>
      </w:r>
      <w:r w:rsidR="000B3C3F" w:rsidRPr="00B0157E">
        <w:rPr>
          <w:lang w:val="en-AU"/>
        </w:rPr>
        <w:t>IgE) allergy blood testing to food panels is not recommended</w:t>
      </w:r>
      <w:r w:rsidR="00167480" w:rsidRPr="00B0157E">
        <w:rPr>
          <w:lang w:val="en-AU"/>
        </w:rPr>
        <w:t>.</w:t>
      </w:r>
      <w:r w:rsidR="000B3C3F" w:rsidRPr="00B0157E">
        <w:rPr>
          <w:lang w:val="en-AU"/>
        </w:rPr>
        <w:t xml:space="preserve"> </w:t>
      </w:r>
    </w:p>
    <w:p w14:paraId="2835C83E" w14:textId="77777777" w:rsidR="00E633EE" w:rsidRPr="00B0157E" w:rsidRDefault="0026214E">
      <w:pPr>
        <w:pStyle w:val="01squarebullet"/>
        <w:rPr>
          <w:lang w:val="en-AU"/>
        </w:rPr>
      </w:pPr>
      <w:r w:rsidRPr="00B0157E">
        <w:rPr>
          <w:lang w:val="en-AU"/>
        </w:rPr>
        <w:t>Add explanatory notes for item</w:t>
      </w:r>
      <w:r w:rsidR="00766F63" w:rsidRPr="00B0157E">
        <w:rPr>
          <w:lang w:val="en-AU"/>
        </w:rPr>
        <w:t>s</w:t>
      </w:r>
      <w:r w:rsidRPr="00B0157E">
        <w:rPr>
          <w:lang w:val="en-AU"/>
        </w:rPr>
        <w:t xml:space="preserve"> 1200-C and 1200-D to guid</w:t>
      </w:r>
      <w:r w:rsidR="003E5EBF">
        <w:rPr>
          <w:lang w:val="en-AU"/>
        </w:rPr>
        <w:t>e appropriate provider use. The </w:t>
      </w:r>
      <w:r w:rsidRPr="00B0157E">
        <w:rPr>
          <w:lang w:val="en-AU"/>
        </w:rPr>
        <w:t>proposed explanatory notes are as follows:</w:t>
      </w:r>
      <w:r w:rsidR="00E633EE" w:rsidRPr="00B0157E">
        <w:rPr>
          <w:lang w:val="en-AU"/>
        </w:rPr>
        <w:t xml:space="preserve"> </w:t>
      </w:r>
    </w:p>
    <w:p w14:paraId="324FB7D5" w14:textId="77777777" w:rsidR="0026214E" w:rsidRPr="00B0157E" w:rsidRDefault="00104BF4">
      <w:pPr>
        <w:pStyle w:val="02dash"/>
        <w:rPr>
          <w:lang w:val="en-AU"/>
        </w:rPr>
      </w:pPr>
      <w:r w:rsidRPr="00B0157E">
        <w:rPr>
          <w:lang w:val="en-AU"/>
        </w:rPr>
        <w:t>Item 1200-C should only be used by appropriately trained doctors such as allergist immunologists or equivalently trained medical practitioners.</w:t>
      </w:r>
    </w:p>
    <w:p w14:paraId="374C40E5" w14:textId="77777777" w:rsidR="00E633EE" w:rsidRPr="00B0157E" w:rsidRDefault="00E633EE">
      <w:pPr>
        <w:pStyle w:val="02dash"/>
        <w:rPr>
          <w:lang w:val="en-AU"/>
        </w:rPr>
      </w:pPr>
      <w:r w:rsidRPr="00B0157E">
        <w:rPr>
          <w:lang w:val="en-AU"/>
        </w:rPr>
        <w:t>Item 1200-D should only be used by appropriately trained doctors such as allergist immunologists, anaesthetists or equivalently trained medical practitioners.</w:t>
      </w:r>
    </w:p>
    <w:p w14:paraId="036254DB" w14:textId="77777777" w:rsidR="00A177F9" w:rsidRPr="00B0157E" w:rsidRDefault="00A177F9">
      <w:pPr>
        <w:pStyle w:val="01squarebullet"/>
        <w:rPr>
          <w:lang w:val="en-AU"/>
        </w:rPr>
      </w:pPr>
      <w:r w:rsidRPr="00B0157E">
        <w:rPr>
          <w:lang w:val="en-AU"/>
        </w:rPr>
        <w:t>The Committee advises that utilisation of the</w:t>
      </w:r>
      <w:r w:rsidR="001F632E" w:rsidRPr="00B0157E">
        <w:rPr>
          <w:lang w:val="en-AU"/>
        </w:rPr>
        <w:t>se</w:t>
      </w:r>
      <w:r w:rsidRPr="00B0157E">
        <w:rPr>
          <w:lang w:val="en-AU"/>
        </w:rPr>
        <w:t xml:space="preserve"> items should be monitored and reviewed again in 12 months to check whether the restructured items are being used appropriately. </w:t>
      </w:r>
    </w:p>
    <w:p w14:paraId="6E5E09DB" w14:textId="77777777" w:rsidR="005C5FD2" w:rsidRPr="00B0157E" w:rsidRDefault="005C5FD2">
      <w:pPr>
        <w:pStyle w:val="01squarebullet"/>
        <w:rPr>
          <w:lang w:val="en-AU"/>
        </w:rPr>
      </w:pPr>
      <w:r w:rsidRPr="00B0157E">
        <w:rPr>
          <w:lang w:val="en-AU"/>
        </w:rPr>
        <w:t xml:space="preserve">The Committee suggests </w:t>
      </w:r>
      <w:r w:rsidR="00A24AD1" w:rsidRPr="00B0157E">
        <w:rPr>
          <w:lang w:val="en-AU"/>
        </w:rPr>
        <w:t xml:space="preserve">revising </w:t>
      </w:r>
      <w:r w:rsidRPr="00B0157E">
        <w:rPr>
          <w:lang w:val="en-AU"/>
        </w:rPr>
        <w:t>the schedule fee for these items</w:t>
      </w:r>
      <w:r w:rsidR="00FF6F6E" w:rsidRPr="00B0157E">
        <w:rPr>
          <w:lang w:val="en-AU"/>
        </w:rPr>
        <w:t xml:space="preserve"> </w:t>
      </w:r>
      <w:r w:rsidR="003E610E" w:rsidRPr="00B0157E">
        <w:rPr>
          <w:lang w:val="en-AU"/>
        </w:rPr>
        <w:t xml:space="preserve">to </w:t>
      </w:r>
      <w:r w:rsidRPr="00B0157E">
        <w:rPr>
          <w:lang w:val="en-AU"/>
        </w:rPr>
        <w:t xml:space="preserve">reflect the complexity and expense of testing, which scale </w:t>
      </w:r>
      <w:r w:rsidR="003E610E" w:rsidRPr="00B0157E">
        <w:rPr>
          <w:lang w:val="en-AU"/>
        </w:rPr>
        <w:t>from 1200-A (least complex) to 1200-D (most complex</w:t>
      </w:r>
      <w:r w:rsidRPr="00B0157E">
        <w:rPr>
          <w:lang w:val="en-AU"/>
        </w:rPr>
        <w:t xml:space="preserve">). </w:t>
      </w:r>
    </w:p>
    <w:p w14:paraId="28AD0E85" w14:textId="77777777" w:rsidR="009A17EF" w:rsidRPr="00B0157E" w:rsidRDefault="009A17EF">
      <w:pPr>
        <w:pStyle w:val="01squarebullet"/>
        <w:rPr>
          <w:lang w:val="en-AU"/>
        </w:rPr>
      </w:pPr>
      <w:r w:rsidRPr="00B0157E">
        <w:rPr>
          <w:lang w:val="en-AU"/>
        </w:rPr>
        <w:t xml:space="preserve">The Committee calls on </w:t>
      </w:r>
      <w:r w:rsidR="008129B3" w:rsidRPr="00B0157E">
        <w:rPr>
          <w:lang w:val="en-AU"/>
        </w:rPr>
        <w:t>the Australasian Society of Clinical Immunology and Allergy (</w:t>
      </w:r>
      <w:r w:rsidR="004B368A" w:rsidRPr="00B0157E">
        <w:rPr>
          <w:lang w:val="en-AU"/>
        </w:rPr>
        <w:t>ASCIA</w:t>
      </w:r>
      <w:r w:rsidR="008129B3" w:rsidRPr="00B0157E">
        <w:rPr>
          <w:lang w:val="en-AU"/>
        </w:rPr>
        <w:t>)</w:t>
      </w:r>
      <w:r w:rsidR="004B368A" w:rsidRPr="00B0157E">
        <w:rPr>
          <w:lang w:val="en-AU"/>
        </w:rPr>
        <w:t xml:space="preserve"> to </w:t>
      </w:r>
      <w:r w:rsidRPr="00B0157E">
        <w:rPr>
          <w:lang w:val="en-AU"/>
        </w:rPr>
        <w:t>create a scope</w:t>
      </w:r>
      <w:r w:rsidR="00DE41EF" w:rsidRPr="00B0157E">
        <w:rPr>
          <w:lang w:val="en-AU"/>
        </w:rPr>
        <w:t>-</w:t>
      </w:r>
      <w:r w:rsidRPr="00B0157E">
        <w:rPr>
          <w:lang w:val="en-AU"/>
        </w:rPr>
        <w:t>of</w:t>
      </w:r>
      <w:r w:rsidR="00DE41EF" w:rsidRPr="00B0157E">
        <w:rPr>
          <w:lang w:val="en-AU"/>
        </w:rPr>
        <w:t>-</w:t>
      </w:r>
      <w:r w:rsidRPr="00B0157E">
        <w:rPr>
          <w:lang w:val="en-AU"/>
        </w:rPr>
        <w:t xml:space="preserve">practice </w:t>
      </w:r>
      <w:r w:rsidR="004B368A" w:rsidRPr="00B0157E">
        <w:rPr>
          <w:lang w:val="en-AU"/>
        </w:rPr>
        <w:t>document</w:t>
      </w:r>
      <w:r w:rsidR="00F01F4B" w:rsidRPr="00B0157E">
        <w:rPr>
          <w:lang w:val="en-AU"/>
        </w:rPr>
        <w:t xml:space="preserve">. </w:t>
      </w:r>
    </w:p>
    <w:p w14:paraId="1212D6D1" w14:textId="77777777" w:rsidR="00AB51DF" w:rsidRPr="00B0157E" w:rsidRDefault="002765FC" w:rsidP="00C33ED9">
      <w:pPr>
        <w:rPr>
          <w:b/>
          <w:lang w:val="en-AU"/>
        </w:rPr>
      </w:pPr>
      <w:r w:rsidRPr="00B0157E">
        <w:rPr>
          <w:b/>
          <w:lang w:val="en-AU"/>
        </w:rPr>
        <w:t>Rationale</w:t>
      </w:r>
    </w:p>
    <w:p w14:paraId="77C7C2E0" w14:textId="77777777" w:rsidR="00AB51DF" w:rsidRPr="00B0157E" w:rsidRDefault="00C21BB5" w:rsidP="00C33ED9">
      <w:pPr>
        <w:rPr>
          <w:lang w:val="en-AU"/>
        </w:rPr>
      </w:pPr>
      <w:r w:rsidRPr="00B0157E">
        <w:rPr>
          <w:lang w:val="en-AU"/>
        </w:rPr>
        <w:t>The r</w:t>
      </w:r>
      <w:r w:rsidR="00AB51DF" w:rsidRPr="00B0157E">
        <w:rPr>
          <w:lang w:val="en-AU"/>
        </w:rPr>
        <w:t>ecommendations focus on improving patient care and encouraging be</w:t>
      </w:r>
      <w:r w:rsidR="00F5467A" w:rsidRPr="00B0157E">
        <w:rPr>
          <w:lang w:val="en-AU"/>
        </w:rPr>
        <w:t>st practice</w:t>
      </w:r>
      <w:r w:rsidR="00605702" w:rsidRPr="00B0157E">
        <w:rPr>
          <w:lang w:val="en-AU"/>
        </w:rPr>
        <w:t>.</w:t>
      </w:r>
      <w:r w:rsidR="00F5467A" w:rsidRPr="00B0157E">
        <w:rPr>
          <w:lang w:val="en-AU"/>
        </w:rPr>
        <w:t xml:space="preserve"> </w:t>
      </w:r>
      <w:r w:rsidR="00605702" w:rsidRPr="00B0157E">
        <w:rPr>
          <w:lang w:val="en-AU"/>
        </w:rPr>
        <w:t>T</w:t>
      </w:r>
      <w:r w:rsidR="00F5467A" w:rsidRPr="00B0157E">
        <w:rPr>
          <w:lang w:val="en-AU"/>
        </w:rPr>
        <w:t xml:space="preserve">hey are </w:t>
      </w:r>
      <w:r w:rsidR="00345693" w:rsidRPr="00B0157E">
        <w:rPr>
          <w:lang w:val="en-AU"/>
        </w:rPr>
        <w:t>based on the following observations</w:t>
      </w:r>
      <w:r w:rsidR="00AB51DF" w:rsidRPr="00B0157E">
        <w:rPr>
          <w:lang w:val="en-AU"/>
        </w:rPr>
        <w:t xml:space="preserve">. </w:t>
      </w:r>
    </w:p>
    <w:p w14:paraId="458BF8FF" w14:textId="77777777" w:rsidR="00083726" w:rsidRPr="00B0157E" w:rsidRDefault="00C619E8">
      <w:pPr>
        <w:pStyle w:val="01squarebullet"/>
        <w:rPr>
          <w:b/>
          <w:lang w:val="en-AU"/>
        </w:rPr>
      </w:pPr>
      <w:r w:rsidRPr="00B0157E">
        <w:rPr>
          <w:lang w:val="en-AU"/>
        </w:rPr>
        <w:t xml:space="preserve">The Committee noted that inappropriate testing patterns </w:t>
      </w:r>
      <w:r w:rsidR="00414501" w:rsidRPr="00B0157E">
        <w:rPr>
          <w:lang w:val="en-AU"/>
        </w:rPr>
        <w:t xml:space="preserve">could </w:t>
      </w:r>
      <w:r w:rsidRPr="00B0157E">
        <w:rPr>
          <w:lang w:val="en-AU"/>
        </w:rPr>
        <w:t xml:space="preserve">be contributing to relatively high </w:t>
      </w:r>
      <w:r w:rsidR="00D26FFE" w:rsidRPr="00B0157E">
        <w:rPr>
          <w:lang w:val="en-AU"/>
        </w:rPr>
        <w:t>service volumes</w:t>
      </w:r>
      <w:r w:rsidRPr="00B0157E">
        <w:rPr>
          <w:lang w:val="en-AU"/>
        </w:rPr>
        <w:t xml:space="preserve">. </w:t>
      </w:r>
      <w:r w:rsidR="00C20011" w:rsidRPr="00B0157E">
        <w:rPr>
          <w:lang w:val="en-AU"/>
        </w:rPr>
        <w:t xml:space="preserve">For instance, </w:t>
      </w:r>
      <w:r w:rsidR="00162ADA" w:rsidRPr="00B0157E">
        <w:rPr>
          <w:lang w:val="en-AU"/>
        </w:rPr>
        <w:t>i</w:t>
      </w:r>
      <w:r w:rsidR="00AB51DF" w:rsidRPr="00B0157E">
        <w:rPr>
          <w:lang w:val="en-AU"/>
        </w:rPr>
        <w:t xml:space="preserve">tem </w:t>
      </w:r>
      <w:r w:rsidRPr="00B0157E">
        <w:rPr>
          <w:lang w:val="en-AU"/>
        </w:rPr>
        <w:t xml:space="preserve">12000 </w:t>
      </w:r>
      <w:r w:rsidR="00AB51DF" w:rsidRPr="00B0157E">
        <w:rPr>
          <w:lang w:val="en-AU"/>
        </w:rPr>
        <w:t>was used 64,630 times in FY2014/15</w:t>
      </w:r>
      <w:r w:rsidR="00141C74" w:rsidRPr="00B0157E">
        <w:rPr>
          <w:lang w:val="en-AU"/>
        </w:rPr>
        <w:t>,</w:t>
      </w:r>
      <w:r w:rsidR="00AB51DF" w:rsidRPr="00B0157E">
        <w:rPr>
          <w:lang w:val="en-AU"/>
        </w:rPr>
        <w:t xml:space="preserve"> and</w:t>
      </w:r>
      <w:r w:rsidR="00141C74" w:rsidRPr="00B0157E">
        <w:rPr>
          <w:lang w:val="en-AU"/>
        </w:rPr>
        <w:t xml:space="preserve"> service </w:t>
      </w:r>
      <w:r w:rsidR="008E33C6" w:rsidRPr="00B0157E">
        <w:rPr>
          <w:lang w:val="en-AU"/>
        </w:rPr>
        <w:t xml:space="preserve">volume </w:t>
      </w:r>
      <w:r w:rsidR="00AB51DF" w:rsidRPr="00B0157E">
        <w:rPr>
          <w:lang w:val="en-AU"/>
        </w:rPr>
        <w:t xml:space="preserve">has been growing </w:t>
      </w:r>
      <w:r w:rsidR="00923777" w:rsidRPr="00B0157E">
        <w:rPr>
          <w:lang w:val="en-AU"/>
        </w:rPr>
        <w:t xml:space="preserve">by an average of </w:t>
      </w:r>
      <w:r w:rsidR="00B841F4" w:rsidRPr="00B0157E">
        <w:rPr>
          <w:lang w:val="en-AU"/>
        </w:rPr>
        <w:t>4.4</w:t>
      </w:r>
      <w:r w:rsidR="00923777" w:rsidRPr="00B0157E">
        <w:rPr>
          <w:lang w:val="en-AU"/>
        </w:rPr>
        <w:t xml:space="preserve"> per cent</w:t>
      </w:r>
      <w:r w:rsidR="00B841F4" w:rsidRPr="00B0157E">
        <w:rPr>
          <w:lang w:val="en-AU"/>
        </w:rPr>
        <w:t xml:space="preserve"> per year </w:t>
      </w:r>
      <w:r w:rsidR="00AB51DF" w:rsidRPr="00B0157E">
        <w:rPr>
          <w:lang w:val="en-AU"/>
        </w:rPr>
        <w:t xml:space="preserve">over the last </w:t>
      </w:r>
      <w:r w:rsidR="008D6F1B" w:rsidRPr="00B0157E">
        <w:rPr>
          <w:lang w:val="en-AU"/>
        </w:rPr>
        <w:t xml:space="preserve">five </w:t>
      </w:r>
      <w:r w:rsidR="00AB51DF" w:rsidRPr="00B0157E">
        <w:rPr>
          <w:lang w:val="en-AU"/>
        </w:rPr>
        <w:t>years</w:t>
      </w:r>
      <w:r w:rsidR="00A262F0" w:rsidRPr="00B0157E">
        <w:rPr>
          <w:lang w:val="en-AU"/>
        </w:rPr>
        <w:fldChar w:fldCharType="begin" w:fldLock="1"/>
      </w:r>
      <w:r w:rsidR="00A262F0"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A262F0" w:rsidRPr="00B0157E">
        <w:rPr>
          <w:lang w:val="en-AU"/>
        </w:rPr>
        <w:fldChar w:fldCharType="separate"/>
      </w:r>
      <w:r w:rsidR="00A262F0" w:rsidRPr="00B0157E">
        <w:rPr>
          <w:lang w:val="en-AU"/>
        </w:rPr>
        <w:t>[2]</w:t>
      </w:r>
      <w:r w:rsidR="00A262F0" w:rsidRPr="00B0157E">
        <w:rPr>
          <w:lang w:val="en-AU"/>
        </w:rPr>
        <w:fldChar w:fldCharType="end"/>
      </w:r>
      <w:r w:rsidR="00D87EA6" w:rsidRPr="00B0157E">
        <w:rPr>
          <w:lang w:val="en-AU"/>
        </w:rPr>
        <w:t xml:space="preserve"> (compared to</w:t>
      </w:r>
      <w:r w:rsidR="00AB51DF" w:rsidRPr="00B0157E">
        <w:rPr>
          <w:lang w:val="en-AU"/>
        </w:rPr>
        <w:t xml:space="preserve"> population growth of 1.3</w:t>
      </w:r>
      <w:r w:rsidR="00D87EA6" w:rsidRPr="00B0157E">
        <w:rPr>
          <w:lang w:val="en-AU"/>
        </w:rPr>
        <w:t xml:space="preserve"> per cent)</w:t>
      </w:r>
      <w:r w:rsidR="00A262F0" w:rsidRPr="00B0157E">
        <w:rPr>
          <w:lang w:val="en-AU"/>
        </w:rPr>
        <w:fldChar w:fldCharType="begin" w:fldLock="1"/>
      </w:r>
      <w:r w:rsidR="00957E07" w:rsidRPr="00B0157E">
        <w:rPr>
          <w:lang w:val="en-AU"/>
        </w:rPr>
        <w:instrText>ADDIN CSL_CITATION { "citationItems" : [ { "id" : "ITEM-1", "itemData" : { "URL" : "http://www.abs.gov.au/ausstats/abs@.nsf/Previousproducts/3101.0Main Features1Jun 2015?opendocument&amp;tabname=Summary&amp;prodno=3101.0&amp;issue=Jun 2015&amp;num=&amp;view=", "accessed" : { "date-parts" : [ [ "2016", "4", "25" ] ] }, "author" : [ { "dropping-particle" : "", "family" : "Statistics", "given" : "Australian Bureau of", "non-dropping-particle" : "", "parse-names" : false, "suffix" : "" } ], "container-title" : "3101.0 - Australian Demographic statistics Jun 2010 and Jun 2015", "id" : "ITEM-1", "issued" : { "date-parts" : [ [ "0" ] ] }, "title" : "Australian Demographic Statistics", "type" : "webpage" }, "uris" : [ "http://www.mendeley.com/documents/?uuid=d10251fe-4e2e-47b7-90e6-eb7e0d334d4c" ] } ], "mendeley" : { "formattedCitation" : "[3]", "plainTextFormattedCitation" : "[3]", "previouslyFormattedCitation" : "[3]" }, "properties" : { "noteIndex" : 0 }, "schema" : "https://github.com/citation-style-language/schema/raw/master/csl-citation.json" }</w:instrText>
      </w:r>
      <w:r w:rsidR="00A262F0" w:rsidRPr="00B0157E">
        <w:rPr>
          <w:lang w:val="en-AU"/>
        </w:rPr>
        <w:fldChar w:fldCharType="separate"/>
      </w:r>
      <w:r w:rsidR="00A262F0" w:rsidRPr="00B0157E">
        <w:rPr>
          <w:lang w:val="en-AU"/>
        </w:rPr>
        <w:t>[3]</w:t>
      </w:r>
      <w:r w:rsidR="00A262F0" w:rsidRPr="00B0157E">
        <w:rPr>
          <w:lang w:val="en-AU"/>
        </w:rPr>
        <w:fldChar w:fldCharType="end"/>
      </w:r>
      <w:r w:rsidR="00D87EA6" w:rsidRPr="00B0157E">
        <w:rPr>
          <w:lang w:val="en-AU"/>
        </w:rPr>
        <w:t xml:space="preserve">. This </w:t>
      </w:r>
      <w:r w:rsidR="00AB51DF" w:rsidRPr="00B0157E">
        <w:rPr>
          <w:lang w:val="en-AU"/>
        </w:rPr>
        <w:t xml:space="preserve">can </w:t>
      </w:r>
      <w:r w:rsidR="00F45A13" w:rsidRPr="00B0157E">
        <w:rPr>
          <w:lang w:val="en-AU"/>
        </w:rPr>
        <w:t xml:space="preserve">also </w:t>
      </w:r>
      <w:r w:rsidR="00AB51DF" w:rsidRPr="00B0157E">
        <w:rPr>
          <w:lang w:val="en-AU"/>
        </w:rPr>
        <w:t xml:space="preserve">be attributed to increased servicing of the population (services per 100,000 </w:t>
      </w:r>
      <w:r w:rsidR="004B1A4F" w:rsidRPr="00B0157E">
        <w:rPr>
          <w:lang w:val="en-AU"/>
        </w:rPr>
        <w:t>has grown by</w:t>
      </w:r>
      <w:r w:rsidR="00AB51DF" w:rsidRPr="00B0157E">
        <w:rPr>
          <w:lang w:val="en-AU"/>
        </w:rPr>
        <w:t xml:space="preserve"> 3.1</w:t>
      </w:r>
      <w:r w:rsidR="00FB4142" w:rsidRPr="00B0157E">
        <w:rPr>
          <w:lang w:val="en-AU"/>
        </w:rPr>
        <w:t xml:space="preserve"> per cent</w:t>
      </w:r>
      <w:r w:rsidR="00AB51DF" w:rsidRPr="00B0157E">
        <w:rPr>
          <w:lang w:val="en-AU"/>
        </w:rPr>
        <w:t>)</w:t>
      </w:r>
      <w:r w:rsidR="00C1346F" w:rsidRPr="00B0157E">
        <w:rPr>
          <w:lang w:val="en-AU"/>
        </w:rPr>
        <w:fldChar w:fldCharType="begin" w:fldLock="1"/>
      </w:r>
      <w:r w:rsidR="00C040E7"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C1346F" w:rsidRPr="00B0157E">
        <w:rPr>
          <w:lang w:val="en-AU"/>
        </w:rPr>
        <w:fldChar w:fldCharType="separate"/>
      </w:r>
      <w:r w:rsidR="00C040E7" w:rsidRPr="00B0157E">
        <w:rPr>
          <w:lang w:val="en-AU"/>
        </w:rPr>
        <w:t>[2]</w:t>
      </w:r>
      <w:r w:rsidR="00C1346F" w:rsidRPr="00B0157E">
        <w:rPr>
          <w:lang w:val="en-AU"/>
        </w:rPr>
        <w:fldChar w:fldCharType="end"/>
      </w:r>
      <w:r w:rsidR="00AB51DF" w:rsidRPr="00B0157E">
        <w:rPr>
          <w:lang w:val="en-AU"/>
        </w:rPr>
        <w:t xml:space="preserve"> and the increasing prevalence of food allergy and atopic disease. </w:t>
      </w:r>
    </w:p>
    <w:p w14:paraId="25DC1E96" w14:textId="77777777" w:rsidR="00AB51DF" w:rsidRPr="00B0157E" w:rsidRDefault="00AB51DF">
      <w:pPr>
        <w:pStyle w:val="01squarebullet"/>
        <w:rPr>
          <w:b/>
          <w:lang w:val="en-AU"/>
        </w:rPr>
      </w:pPr>
      <w:r w:rsidRPr="00B0157E">
        <w:rPr>
          <w:lang w:val="en-AU"/>
        </w:rPr>
        <w:lastRenderedPageBreak/>
        <w:t xml:space="preserve">The Committee expressed concern </w:t>
      </w:r>
      <w:r w:rsidR="004B68F6" w:rsidRPr="00B0157E">
        <w:rPr>
          <w:lang w:val="en-AU"/>
        </w:rPr>
        <w:t xml:space="preserve">about </w:t>
      </w:r>
      <w:r w:rsidRPr="00B0157E">
        <w:rPr>
          <w:lang w:val="en-AU"/>
        </w:rPr>
        <w:t xml:space="preserve">the high volume of use </w:t>
      </w:r>
      <w:r w:rsidR="00B51A74" w:rsidRPr="00B0157E">
        <w:rPr>
          <w:lang w:val="en-AU"/>
        </w:rPr>
        <w:t xml:space="preserve">and </w:t>
      </w:r>
      <w:r w:rsidR="00B846F3" w:rsidRPr="00B0157E">
        <w:rPr>
          <w:lang w:val="en-AU"/>
        </w:rPr>
        <w:t xml:space="preserve">noted </w:t>
      </w:r>
      <w:r w:rsidR="00B51A74" w:rsidRPr="00B0157E">
        <w:rPr>
          <w:lang w:val="en-AU"/>
        </w:rPr>
        <w:t xml:space="preserve">that the current </w:t>
      </w:r>
      <w:r w:rsidR="00A177F9" w:rsidRPr="00B0157E">
        <w:rPr>
          <w:lang w:val="en-AU"/>
        </w:rPr>
        <w:t xml:space="preserve">allergy </w:t>
      </w:r>
      <w:r w:rsidR="00B51A74" w:rsidRPr="00B0157E">
        <w:rPr>
          <w:lang w:val="en-AU"/>
        </w:rPr>
        <w:t>item</w:t>
      </w:r>
      <w:r w:rsidR="00A177F9" w:rsidRPr="00B0157E">
        <w:rPr>
          <w:lang w:val="en-AU"/>
        </w:rPr>
        <w:t>s do</w:t>
      </w:r>
      <w:r w:rsidR="00B51A74" w:rsidRPr="00B0157E">
        <w:rPr>
          <w:lang w:val="en-AU"/>
        </w:rPr>
        <w:t xml:space="preserve"> not capture the true scope of practice</w:t>
      </w:r>
      <w:r w:rsidR="00083726" w:rsidRPr="00B0157E">
        <w:rPr>
          <w:lang w:val="en-AU"/>
        </w:rPr>
        <w:t xml:space="preserve"> required to test for </w:t>
      </w:r>
      <w:r w:rsidR="00F45A13" w:rsidRPr="00B0157E">
        <w:rPr>
          <w:lang w:val="en-AU"/>
        </w:rPr>
        <w:t xml:space="preserve">different </w:t>
      </w:r>
      <w:r w:rsidR="00083726" w:rsidRPr="00B0157E">
        <w:rPr>
          <w:lang w:val="en-AU"/>
        </w:rPr>
        <w:t>allergies</w:t>
      </w:r>
      <w:r w:rsidR="00B51A74" w:rsidRPr="00B0157E">
        <w:rPr>
          <w:lang w:val="en-AU"/>
        </w:rPr>
        <w:t xml:space="preserve">. There was particular concern </w:t>
      </w:r>
      <w:r w:rsidRPr="00B0157E">
        <w:rPr>
          <w:lang w:val="en-AU"/>
        </w:rPr>
        <w:t>that food allerg</w:t>
      </w:r>
      <w:r w:rsidR="00F45A13" w:rsidRPr="00B0157E">
        <w:rPr>
          <w:lang w:val="en-AU"/>
        </w:rPr>
        <w:t>y</w:t>
      </w:r>
      <w:r w:rsidRPr="00B0157E">
        <w:rPr>
          <w:lang w:val="en-AU"/>
        </w:rPr>
        <w:t xml:space="preserve"> may be over-teste</w:t>
      </w:r>
      <w:r w:rsidR="00083726" w:rsidRPr="00B0157E">
        <w:rPr>
          <w:lang w:val="en-AU"/>
        </w:rPr>
        <w:t>d</w:t>
      </w:r>
      <w:r w:rsidRPr="00B0157E">
        <w:rPr>
          <w:lang w:val="en-AU"/>
        </w:rPr>
        <w:t xml:space="preserve"> </w:t>
      </w:r>
      <w:r w:rsidR="003674D2" w:rsidRPr="00B0157E">
        <w:rPr>
          <w:lang w:val="en-AU"/>
        </w:rPr>
        <w:t xml:space="preserve">leading to </w:t>
      </w:r>
      <w:r w:rsidRPr="00B0157E">
        <w:rPr>
          <w:lang w:val="en-AU"/>
        </w:rPr>
        <w:t>over-diagnos</w:t>
      </w:r>
      <w:r w:rsidR="003674D2" w:rsidRPr="00B0157E">
        <w:rPr>
          <w:lang w:val="en-AU"/>
        </w:rPr>
        <w:t>is</w:t>
      </w:r>
      <w:r w:rsidR="00C619E8" w:rsidRPr="00B0157E">
        <w:rPr>
          <w:lang w:val="en-AU"/>
        </w:rPr>
        <w:t>,</w:t>
      </w:r>
      <w:r w:rsidRPr="00B0157E">
        <w:rPr>
          <w:lang w:val="en-AU"/>
        </w:rPr>
        <w:t xml:space="preserve"> </w:t>
      </w:r>
      <w:r w:rsidR="00B35B3F" w:rsidRPr="00B0157E">
        <w:rPr>
          <w:lang w:val="en-AU"/>
        </w:rPr>
        <w:t xml:space="preserve">which </w:t>
      </w:r>
      <w:r w:rsidRPr="00B0157E">
        <w:rPr>
          <w:lang w:val="en-AU"/>
        </w:rPr>
        <w:t>potentially lead</w:t>
      </w:r>
      <w:r w:rsidR="00B35B3F" w:rsidRPr="00B0157E">
        <w:rPr>
          <w:lang w:val="en-AU"/>
        </w:rPr>
        <w:t>s</w:t>
      </w:r>
      <w:r w:rsidRPr="00B0157E">
        <w:rPr>
          <w:lang w:val="en-AU"/>
        </w:rPr>
        <w:t xml:space="preserve"> to </w:t>
      </w:r>
      <w:r w:rsidR="00465E4D" w:rsidRPr="00B0157E">
        <w:rPr>
          <w:lang w:val="en-AU"/>
        </w:rPr>
        <w:t>clinically irrelevant</w:t>
      </w:r>
      <w:r w:rsidR="00DF4F17" w:rsidRPr="00B0157E">
        <w:rPr>
          <w:lang w:val="en-AU"/>
        </w:rPr>
        <w:t xml:space="preserve"> positives</w:t>
      </w:r>
      <w:r w:rsidR="00F45A13" w:rsidRPr="00B0157E">
        <w:rPr>
          <w:lang w:val="en-AU"/>
        </w:rPr>
        <w:t>,</w:t>
      </w:r>
      <w:r w:rsidR="00DF4F17" w:rsidRPr="00B0157E">
        <w:rPr>
          <w:lang w:val="en-AU"/>
        </w:rPr>
        <w:t xml:space="preserve"> unnecessary </w:t>
      </w:r>
      <w:r w:rsidR="00534AD5" w:rsidRPr="00B0157E">
        <w:rPr>
          <w:lang w:val="en-AU"/>
        </w:rPr>
        <w:t xml:space="preserve">dietary restriction and </w:t>
      </w:r>
      <w:r w:rsidR="00DF4F17" w:rsidRPr="00B0157E">
        <w:rPr>
          <w:lang w:val="en-AU"/>
        </w:rPr>
        <w:t xml:space="preserve">patient concern. </w:t>
      </w:r>
    </w:p>
    <w:p w14:paraId="088E3311" w14:textId="77777777" w:rsidR="006925FD" w:rsidRPr="00B0157E" w:rsidRDefault="005B0D4C">
      <w:pPr>
        <w:pStyle w:val="01squarebullet"/>
        <w:rPr>
          <w:b/>
          <w:lang w:val="en-AU"/>
        </w:rPr>
      </w:pPr>
      <w:r w:rsidRPr="00B0157E">
        <w:rPr>
          <w:lang w:val="en-AU"/>
        </w:rPr>
        <w:t xml:space="preserve">The Committee </w:t>
      </w:r>
      <w:r w:rsidR="00EA5FF1" w:rsidRPr="00B0157E">
        <w:rPr>
          <w:lang w:val="en-AU"/>
        </w:rPr>
        <w:t xml:space="preserve">reviewed the </w:t>
      </w:r>
      <w:r w:rsidR="00A14FAF" w:rsidRPr="00B0157E">
        <w:rPr>
          <w:lang w:val="en-AU"/>
        </w:rPr>
        <w:t>clinically accepted allergy</w:t>
      </w:r>
      <w:r w:rsidR="002B3051" w:rsidRPr="00B0157E">
        <w:rPr>
          <w:lang w:val="en-AU"/>
        </w:rPr>
        <w:t xml:space="preserve"> groups, the </w:t>
      </w:r>
      <w:r w:rsidR="00EA5FF1" w:rsidRPr="00B0157E">
        <w:rPr>
          <w:lang w:val="en-AU"/>
        </w:rPr>
        <w:t xml:space="preserve">scope of practice </w:t>
      </w:r>
      <w:r w:rsidR="002B3051" w:rsidRPr="00B0157E">
        <w:rPr>
          <w:lang w:val="en-AU"/>
        </w:rPr>
        <w:t xml:space="preserve">and complexity </w:t>
      </w:r>
      <w:r w:rsidR="00EA5FF1" w:rsidRPr="00B0157E">
        <w:rPr>
          <w:lang w:val="en-AU"/>
        </w:rPr>
        <w:t xml:space="preserve">required </w:t>
      </w:r>
      <w:r w:rsidR="002B3051" w:rsidRPr="00B0157E">
        <w:rPr>
          <w:lang w:val="en-AU"/>
        </w:rPr>
        <w:t>to test for different</w:t>
      </w:r>
      <w:r w:rsidR="00EA5FF1" w:rsidRPr="00B0157E">
        <w:rPr>
          <w:lang w:val="en-AU"/>
        </w:rPr>
        <w:t xml:space="preserve"> </w:t>
      </w:r>
      <w:r w:rsidR="002B3051" w:rsidRPr="00B0157E">
        <w:rPr>
          <w:lang w:val="en-AU"/>
        </w:rPr>
        <w:t>allergies</w:t>
      </w:r>
      <w:r w:rsidR="00EA5FF1" w:rsidRPr="00B0157E">
        <w:rPr>
          <w:lang w:val="en-AU"/>
        </w:rPr>
        <w:t xml:space="preserve"> and </w:t>
      </w:r>
      <w:r w:rsidRPr="00B0157E">
        <w:rPr>
          <w:lang w:val="en-AU"/>
        </w:rPr>
        <w:t xml:space="preserve">recommended splitting the items </w:t>
      </w:r>
      <w:r w:rsidR="00EA5FF1" w:rsidRPr="00B0157E">
        <w:rPr>
          <w:lang w:val="en-AU"/>
        </w:rPr>
        <w:t>ac</w:t>
      </w:r>
      <w:r w:rsidR="006925FD" w:rsidRPr="00B0157E">
        <w:rPr>
          <w:lang w:val="en-AU"/>
        </w:rPr>
        <w:t>cordingly (as seen above).</w:t>
      </w:r>
      <w:r w:rsidR="004A352E">
        <w:rPr>
          <w:lang w:val="en-AU"/>
        </w:rPr>
        <w:t xml:space="preserve"> </w:t>
      </w:r>
    </w:p>
    <w:p w14:paraId="5249CD18" w14:textId="77777777" w:rsidR="00A14FAF" w:rsidRPr="00B0157E" w:rsidRDefault="00B80941">
      <w:pPr>
        <w:pStyle w:val="01squarebullet"/>
        <w:rPr>
          <w:b/>
          <w:lang w:val="en-AU"/>
        </w:rPr>
      </w:pPr>
      <w:r w:rsidRPr="00B0157E">
        <w:rPr>
          <w:lang w:val="en-AU"/>
        </w:rPr>
        <w:t xml:space="preserve">The </w:t>
      </w:r>
      <w:r w:rsidR="006925FD" w:rsidRPr="00B0157E">
        <w:rPr>
          <w:lang w:val="en-AU"/>
        </w:rPr>
        <w:t>restructuring of the allergy items is intended to encourage best</w:t>
      </w:r>
      <w:r w:rsidR="00842A3D" w:rsidRPr="00B0157E">
        <w:rPr>
          <w:lang w:val="en-AU"/>
        </w:rPr>
        <w:t>-</w:t>
      </w:r>
      <w:r w:rsidR="006925FD" w:rsidRPr="00B0157E">
        <w:rPr>
          <w:lang w:val="en-AU"/>
        </w:rPr>
        <w:t>practice use and p</w:t>
      </w:r>
      <w:r w:rsidR="003E5EBF">
        <w:rPr>
          <w:lang w:val="en-AU"/>
        </w:rPr>
        <w:t>rovide a </w:t>
      </w:r>
      <w:r w:rsidR="0033557B" w:rsidRPr="00B0157E">
        <w:rPr>
          <w:lang w:val="en-AU"/>
        </w:rPr>
        <w:t>means of monitoring the types of providers testing for f</w:t>
      </w:r>
      <w:r w:rsidR="00A14FAF" w:rsidRPr="00B0157E">
        <w:rPr>
          <w:lang w:val="en-AU"/>
        </w:rPr>
        <w:t>ood allergies in particular, as well as</w:t>
      </w:r>
      <w:r w:rsidR="0033557B" w:rsidRPr="00B0157E">
        <w:rPr>
          <w:lang w:val="en-AU"/>
        </w:rPr>
        <w:t xml:space="preserve"> latex and medication</w:t>
      </w:r>
      <w:r w:rsidR="0091129C" w:rsidRPr="00B0157E">
        <w:rPr>
          <w:lang w:val="en-AU"/>
        </w:rPr>
        <w:t xml:space="preserve"> (antibiotics and non-general anaesthetics) and venom</w:t>
      </w:r>
      <w:r w:rsidR="0033557B" w:rsidRPr="00B0157E">
        <w:rPr>
          <w:lang w:val="en-AU"/>
        </w:rPr>
        <w:t xml:space="preserve"> allergies.</w:t>
      </w:r>
      <w:r w:rsidR="00A14FAF" w:rsidRPr="00B0157E">
        <w:rPr>
          <w:lang w:val="en-AU"/>
        </w:rPr>
        <w:t xml:space="preserve"> Food and latex</w:t>
      </w:r>
      <w:r w:rsidR="00022E9B" w:rsidRPr="00B0157E">
        <w:rPr>
          <w:lang w:val="en-AU"/>
        </w:rPr>
        <w:t xml:space="preserve"> </w:t>
      </w:r>
      <w:r w:rsidR="00A14FAF" w:rsidRPr="00B0157E">
        <w:rPr>
          <w:lang w:val="en-AU"/>
        </w:rPr>
        <w:t>were grouped together because they have a similar scope of practice and level of complexity in testing, and because the volume for latex aller</w:t>
      </w:r>
      <w:r w:rsidR="00022E9B" w:rsidRPr="00B0157E">
        <w:rPr>
          <w:lang w:val="en-AU"/>
        </w:rPr>
        <w:t xml:space="preserve">gy </w:t>
      </w:r>
      <w:r w:rsidR="00A14FAF" w:rsidRPr="00B0157E">
        <w:rPr>
          <w:lang w:val="en-AU"/>
        </w:rPr>
        <w:t>testing w</w:t>
      </w:r>
      <w:r w:rsidR="00022E9B" w:rsidRPr="00B0157E">
        <w:rPr>
          <w:lang w:val="en-AU"/>
        </w:rPr>
        <w:t>ill most likely</w:t>
      </w:r>
      <w:r w:rsidR="00A14FAF" w:rsidRPr="00B0157E">
        <w:rPr>
          <w:lang w:val="en-AU"/>
        </w:rPr>
        <w:t xml:space="preserve"> be too small to justify a specific item number. </w:t>
      </w:r>
      <w:r w:rsidR="00022E9B" w:rsidRPr="00B0157E">
        <w:rPr>
          <w:lang w:val="en-AU"/>
        </w:rPr>
        <w:t>Similarly medication (antibiotics and non-general anaesthetics) and venom</w:t>
      </w:r>
      <w:r w:rsidR="00F70B75" w:rsidRPr="00B0157E">
        <w:rPr>
          <w:lang w:val="en-AU"/>
        </w:rPr>
        <w:t xml:space="preserve"> were grouped together, and in this case venom allergy testing is unlikely to have a large enough volume to justify a specific item number.</w:t>
      </w:r>
      <w:r w:rsidR="004A352E">
        <w:rPr>
          <w:lang w:val="en-AU"/>
        </w:rPr>
        <w:t xml:space="preserve"> </w:t>
      </w:r>
    </w:p>
    <w:p w14:paraId="744DFB37" w14:textId="77777777" w:rsidR="0033557B" w:rsidRPr="00B0157E" w:rsidRDefault="00BD2C59">
      <w:pPr>
        <w:pStyle w:val="01squarebullet"/>
        <w:rPr>
          <w:lang w:val="en-AU"/>
        </w:rPr>
      </w:pPr>
      <w:r w:rsidRPr="00B0157E">
        <w:rPr>
          <w:lang w:val="en-AU"/>
        </w:rPr>
        <w:t>The Committee considered placing a provider restriction in the item descriptor for</w:t>
      </w:r>
      <w:r w:rsidR="00275BCB" w:rsidRPr="00B0157E">
        <w:rPr>
          <w:lang w:val="en-AU"/>
        </w:rPr>
        <w:t xml:space="preserve"> items 1200-B, C and D</w:t>
      </w:r>
      <w:r w:rsidRPr="00B0157E">
        <w:rPr>
          <w:lang w:val="en-AU"/>
        </w:rPr>
        <w:t xml:space="preserve">. However, it ultimately decided against this due to (i) the challenges associated with appropriately restricting providers, (ii) the lack of appropriate restriction mechanisms that acknowledge the skills of non-allergist immunologists, and (iii) the potential impact of an immediate restriction on patient access. Nonetheless, the Committee agreed that data showing which providers are performing allergen testing should be gathered over a 12-month period, after which a further review should be conducted to determine whether a restriction is necessary. </w:t>
      </w:r>
      <w:r w:rsidR="005924AA" w:rsidRPr="00B0157E">
        <w:rPr>
          <w:lang w:val="en-AU"/>
        </w:rPr>
        <w:t>The</w:t>
      </w:r>
      <w:r w:rsidRPr="00B0157E">
        <w:rPr>
          <w:lang w:val="en-AU"/>
        </w:rPr>
        <w:t xml:space="preserve"> Committee </w:t>
      </w:r>
      <w:r w:rsidR="0010665D" w:rsidRPr="00B0157E">
        <w:rPr>
          <w:lang w:val="en-AU"/>
        </w:rPr>
        <w:t xml:space="preserve">also </w:t>
      </w:r>
      <w:r w:rsidRPr="00B0157E">
        <w:rPr>
          <w:lang w:val="en-AU"/>
        </w:rPr>
        <w:t>recommend</w:t>
      </w:r>
      <w:r w:rsidR="0010665D" w:rsidRPr="00B0157E">
        <w:rPr>
          <w:lang w:val="en-AU"/>
        </w:rPr>
        <w:t>ed</w:t>
      </w:r>
      <w:r w:rsidRPr="00B0157E">
        <w:rPr>
          <w:lang w:val="en-AU"/>
        </w:rPr>
        <w:t xml:space="preserve"> </w:t>
      </w:r>
      <w:r w:rsidR="00EE125B" w:rsidRPr="00B0157E">
        <w:rPr>
          <w:lang w:val="en-AU"/>
        </w:rPr>
        <w:t>including</w:t>
      </w:r>
      <w:r w:rsidRPr="00B0157E">
        <w:rPr>
          <w:lang w:val="en-AU"/>
        </w:rPr>
        <w:t xml:space="preserve"> appropriate provider guidelines in the explanatory notes to encourage appropriate provider use of the items. </w:t>
      </w:r>
    </w:p>
    <w:p w14:paraId="6EAB6397" w14:textId="77777777" w:rsidR="00AB51DF" w:rsidRPr="00B0157E" w:rsidRDefault="004B06A4">
      <w:pPr>
        <w:pStyle w:val="01squarebullet"/>
        <w:rPr>
          <w:lang w:val="en-AU"/>
        </w:rPr>
      </w:pPr>
      <w:r w:rsidRPr="00B0157E">
        <w:rPr>
          <w:lang w:val="en-AU"/>
        </w:rPr>
        <w:t xml:space="preserve">The </w:t>
      </w:r>
      <w:r w:rsidR="00F5467A" w:rsidRPr="00B0157E">
        <w:rPr>
          <w:lang w:val="en-AU"/>
        </w:rPr>
        <w:t>provider guidelines</w:t>
      </w:r>
      <w:r w:rsidR="00472DB8" w:rsidRPr="00B0157E">
        <w:rPr>
          <w:lang w:val="en-AU"/>
        </w:rPr>
        <w:t xml:space="preserve"> in the proposed explanatory notes</w:t>
      </w:r>
      <w:r w:rsidR="00395A22" w:rsidRPr="00B0157E">
        <w:rPr>
          <w:lang w:val="en-AU"/>
        </w:rPr>
        <w:t xml:space="preserve"> align with the clinical literature,</w:t>
      </w:r>
      <w:r w:rsidR="00AB51DF" w:rsidRPr="00B0157E">
        <w:rPr>
          <w:lang w:val="en-AU"/>
        </w:rPr>
        <w:t xml:space="preserve"> </w:t>
      </w:r>
      <w:r w:rsidR="00E7151D" w:rsidRPr="00B0157E">
        <w:rPr>
          <w:lang w:val="en-AU"/>
        </w:rPr>
        <w:t xml:space="preserve">which </w:t>
      </w:r>
      <w:r w:rsidR="00AB51DF" w:rsidRPr="00B0157E">
        <w:rPr>
          <w:lang w:val="en-AU"/>
        </w:rPr>
        <w:t>indica</w:t>
      </w:r>
      <w:r w:rsidR="00E7151D" w:rsidRPr="00B0157E">
        <w:rPr>
          <w:lang w:val="en-AU"/>
        </w:rPr>
        <w:t>tes</w:t>
      </w:r>
      <w:r w:rsidR="00AB51DF" w:rsidRPr="00B0157E">
        <w:rPr>
          <w:lang w:val="en-AU"/>
        </w:rPr>
        <w:t xml:space="preserve"> that SPT is appropriate for evaluatin</w:t>
      </w:r>
      <w:r w:rsidR="007D3DFE" w:rsidRPr="00B0157E">
        <w:rPr>
          <w:lang w:val="en-AU"/>
        </w:rPr>
        <w:t>g</w:t>
      </w:r>
      <w:r w:rsidR="00AB51DF" w:rsidRPr="00B0157E">
        <w:rPr>
          <w:lang w:val="en-AU"/>
        </w:rPr>
        <w:t xml:space="preserve"> </w:t>
      </w:r>
      <w:r w:rsidR="004B67A9" w:rsidRPr="00B0157E">
        <w:rPr>
          <w:lang w:val="en-AU"/>
        </w:rPr>
        <w:t>the following conditions:</w:t>
      </w:r>
    </w:p>
    <w:p w14:paraId="40188660" w14:textId="77777777" w:rsidR="00AB51DF" w:rsidRPr="00B0157E" w:rsidRDefault="00AB51DF">
      <w:pPr>
        <w:pStyle w:val="02dash"/>
        <w:rPr>
          <w:lang w:val="en-AU"/>
        </w:rPr>
      </w:pPr>
      <w:r w:rsidRPr="00B0157E">
        <w:rPr>
          <w:lang w:val="en-AU"/>
        </w:rPr>
        <w:t xml:space="preserve">IgE food allergy: </w:t>
      </w:r>
    </w:p>
    <w:p w14:paraId="07E7E7B8" w14:textId="77777777" w:rsidR="00AB51DF" w:rsidRPr="00B0157E" w:rsidRDefault="00AB51DF">
      <w:pPr>
        <w:pStyle w:val="03opensquarebullet"/>
        <w:rPr>
          <w:lang w:val="en-AU"/>
        </w:rPr>
      </w:pPr>
      <w:r w:rsidRPr="00B0157E">
        <w:rPr>
          <w:lang w:val="en-AU"/>
        </w:rPr>
        <w:t>The performance and interpretation of SPT to food allergens requires specialised training and should be restricted to specialists or equivalently trained medical practitioners</w:t>
      </w:r>
      <w:r w:rsidR="00C45A23" w:rsidRPr="00B0157E">
        <w:rPr>
          <w:lang w:val="en-AU"/>
        </w:rPr>
        <w:t>.</w:t>
      </w:r>
      <w:r w:rsidR="00C1346F" w:rsidRPr="00B0157E">
        <w:rPr>
          <w:lang w:val="en-AU"/>
        </w:rPr>
        <w:fldChar w:fldCharType="begin" w:fldLock="1"/>
      </w:r>
      <w:r w:rsidR="00C47315" w:rsidRPr="00B0157E">
        <w:rPr>
          <w:lang w:val="en-AU"/>
        </w:rPr>
        <w:instrText>ADDIN CSL_CITATION { "citationItems" : [ { "id" : "ITEM-1", "itemData" : { "DOI" : "10.1097/WOX.0b013e3181651689", "ISSN" : "1939-4551", "PMID" : "23283309", "author" : [ { "dropping-particle" : "", "family" : "Kaliner", "given" : "Michael A.", "non-dropping-particle" : "", "parse-names" : false, "suffix" : "" }, { "dropping-particle" : "", "family" : "Giacco", "given" : "Sergio", "non-dropping-particle" : "Del", "parse-names" : false, "suffix" : "" }, { "dropping-particle" : "", "family" : "Crisci", "given" : "Carlos D.", "non-dropping-particle" : "", "parse-names" : false, "suffix" : "" }, { "dropping-particle" : "", "family" : "Frew", "given" : "Anthony J.", "non-dropping-particle" : "", "parse-names" : false, "suffix" : "" }, { "dropping-particle" : "", "family" : "Liu", "given" : "Guanghui", "non-dropping-particle" : "", "parse-names" : false, "suffix" : "" }, { "dropping-particle" : "", "family" : "Maspero", "given" : "Jorge", "non-dropping-particle" : "", "parse-names" : false, "suffix" : "" }, { "dropping-particle" : "", "family" : "Moon", "given" : "Hee-Bom", "non-dropping-particle" : "", "parse-names" : false, "suffix" : "" }, { "dropping-particle" : "", "family" : "Nakagawa", "given" : "Takemasa", "non-dropping-particle" : "", "parse-names" : false, "suffix" : "" }, { "dropping-particle" : "", "family" : "Potter", "given" : "Paul C.", "non-dropping-particle" : "", "parse-names" : false, "suffix" : "" }, { "dropping-particle" : "", "family" : "Rosenwasser", "given" : "Lanny J.", "non-dropping-particle" : "", "parse-names" : false, "suffix" : "" }, { "dropping-particle" : "", "family" : "Singh", "given" : "Anand B.", "non-dropping-particle" : "", "parse-names" : false, "suffix" : "" }, { "dropping-particle" : "", "family" : "Valovirta", "given" : "Erkka", "non-dropping-particle" : "", "parse-names" : false, "suffix" : "" }, { "dropping-particle" : "", "family" : "Cauwenberge", "given" : "Paul", "non-dropping-particle" : "Van", "parse-names" : false, "suffix" : "" }, { "dropping-particle" : "", "family" : "Warner", "given" : "John O.", "non-dropping-particle" : "", "parse-names" : false, "suffix" : "" } ], "container-title" : "World Allergy Organization Journal", "id" : "ITEM-1", "issue" : "2", "issued" : { "date-parts" : [ [ "2008" ] ] }, "page" : "42-46", "title" : "Requirements for Physician Competencies in Allergy: Key Clinical Competencies Appropriate for the Care of Patients With Allergic or Immunologic Diseases", "type" : "article-journal", "volume" : "1" }, "uris" : [ "http://www.mendeley.com/documents/?uuid=1cb3e14b-f7df-4f1b-9311-1bccc91fdfa4" ] }, { "id" : "ITEM-2", "itemData" : { "ISBN" : "1756-1833 (Electronic)\\r0959-535X (Linking)", "ISSN" : "1756-1833", "PMID" : "12193355", "author" : [ { "dropping-particle" : "", "family" : "Berger", "given" : "Abi", "non-dropping-particle" : "", "parse-names" : false, "suffix" : "" } ], "container-title" : "BMJ (Clinical research ed.)", "id" : "ITEM-2", "issue" : "7361", "issued" : { "date-parts" : [ [ "2002" ] ] }, "page" : "414", "title" : "Skin prick testing: for the diagnosis of allergic disease, a manual for practitioners", "type" : "article-journal", "volume" : "325" }, "uris" : [ "http://www.mendeley.com/documents/?uuid=4cf119fb-d940-4892-96fa-ad8d9e357534" ] } ], "mendeley" : { "formattedCitation" : "[17], [18]", "plainTextFormattedCitation" : "[17], [18]", "previouslyFormattedCitation" : "[17], [18]" }, "properties" : { "noteIndex" : 0 }, "schema" : "https://github.com/citation-style-language/schema/raw/master/csl-citation.json" }</w:instrText>
      </w:r>
      <w:r w:rsidR="00C1346F" w:rsidRPr="00B0157E">
        <w:rPr>
          <w:lang w:val="en-AU"/>
        </w:rPr>
        <w:fldChar w:fldCharType="separate"/>
      </w:r>
      <w:r w:rsidR="00010550" w:rsidRPr="00B0157E">
        <w:rPr>
          <w:lang w:val="en-AU"/>
        </w:rPr>
        <w:t>[17], [18]</w:t>
      </w:r>
      <w:r w:rsidR="00C1346F" w:rsidRPr="00B0157E">
        <w:rPr>
          <w:lang w:val="en-AU"/>
        </w:rPr>
        <w:fldChar w:fldCharType="end"/>
      </w:r>
    </w:p>
    <w:p w14:paraId="66B14553" w14:textId="77777777" w:rsidR="00AB51DF" w:rsidRPr="00B0157E" w:rsidRDefault="00AB51DF">
      <w:pPr>
        <w:pStyle w:val="03opensquarebullet"/>
        <w:rPr>
          <w:lang w:val="en-AU"/>
        </w:rPr>
      </w:pPr>
      <w:r w:rsidRPr="00B0157E">
        <w:rPr>
          <w:lang w:val="en-AU"/>
        </w:rPr>
        <w:t xml:space="preserve">Although rare, SPT </w:t>
      </w:r>
      <w:r w:rsidR="007A7B75" w:rsidRPr="00B0157E">
        <w:rPr>
          <w:lang w:val="en-AU"/>
        </w:rPr>
        <w:t xml:space="preserve">for </w:t>
      </w:r>
      <w:r w:rsidRPr="00B0157E">
        <w:rPr>
          <w:lang w:val="en-AU"/>
        </w:rPr>
        <w:t>food</w:t>
      </w:r>
      <w:r w:rsidR="00F8585A" w:rsidRPr="00B0157E">
        <w:rPr>
          <w:lang w:val="en-AU"/>
        </w:rPr>
        <w:t xml:space="preserve"> allergies</w:t>
      </w:r>
      <w:r w:rsidRPr="00B0157E">
        <w:rPr>
          <w:lang w:val="en-AU"/>
        </w:rPr>
        <w:t xml:space="preserve"> can lead to immediate allergic reactions, including anaphylaxis. Practitioners performing SPT must be able to identify and manage allergic reactions and anaphylaxis</w:t>
      </w:r>
      <w:r w:rsidR="000E27EF" w:rsidRPr="00B0157E">
        <w:rPr>
          <w:lang w:val="en-AU"/>
        </w:rPr>
        <w:t>.</w:t>
      </w:r>
      <w:r w:rsidR="00C1346F" w:rsidRPr="00B0157E">
        <w:rPr>
          <w:lang w:val="en-AU"/>
        </w:rPr>
        <w:fldChar w:fldCharType="begin" w:fldLock="1"/>
      </w:r>
      <w:r w:rsidR="00C47315" w:rsidRPr="00B0157E">
        <w:rPr>
          <w:lang w:val="en-AU"/>
        </w:rPr>
        <w:instrText>ADDIN CSL_CITATION { "citationItems" : [ { "id" : "ITEM-1", "itemData" : { "DOI" : "10.1097/WOX.0b013e3181651689", "ISSN" : "1939-4551", "PMID" : "23283309", "author" : [ { "dropping-particle" : "", "family" : "Kaliner", "given" : "Michael A.", "non-dropping-particle" : "", "parse-names" : false, "suffix" : "" }, { "dropping-particle" : "", "family" : "Giacco", "given" : "Sergio", "non-dropping-particle" : "Del", "parse-names" : false, "suffix" : "" }, { "dropping-particle" : "", "family" : "Crisci", "given" : "Carlos D.", "non-dropping-particle" : "", "parse-names" : false, "suffix" : "" }, { "dropping-particle" : "", "family" : "Frew", "given" : "Anthony J.", "non-dropping-particle" : "", "parse-names" : false, "suffix" : "" }, { "dropping-particle" : "", "family" : "Liu", "given" : "Guanghui", "non-dropping-particle" : "", "parse-names" : false, "suffix" : "" }, { "dropping-particle" : "", "family" : "Maspero", "given" : "Jorge", "non-dropping-particle" : "", "parse-names" : false, "suffix" : "" }, { "dropping-particle" : "", "family" : "Moon", "given" : "Hee-Bom", "non-dropping-particle" : "", "parse-names" : false, "suffix" : "" }, { "dropping-particle" : "", "family" : "Nakagawa", "given" : "Takemasa", "non-dropping-particle" : "", "parse-names" : false, "suffix" : "" }, { "dropping-particle" : "", "family" : "Potter", "given" : "Paul C.", "non-dropping-particle" : "", "parse-names" : false, "suffix" : "" }, { "dropping-particle" : "", "family" : "Rosenwasser", "given" : "Lanny J.", "non-dropping-particle" : "", "parse-names" : false, "suffix" : "" }, { "dropping-particle" : "", "family" : "Singh", "given" : "Anand B.", "non-dropping-particle" : "", "parse-names" : false, "suffix" : "" }, { "dropping-particle" : "", "family" : "Valovirta", "given" : "Erkka", "non-dropping-particle" : "", "parse-names" : false, "suffix" : "" }, { "dropping-particle" : "", "family" : "Cauwenberge", "given" : "Paul", "non-dropping-particle" : "Van", "parse-names" : false, "suffix" : "" }, { "dropping-particle" : "", "family" : "Warner", "given" : "John O.", "non-dropping-particle" : "", "parse-names" : false, "suffix" : "" } ], "container-title" : "World Allergy Organization Journal", "id" : "ITEM-1", "issue" : "2", "issued" : { "date-parts" : [ [ "2008" ] ] }, "page" : "42-46", "title" : "Requirements for Physician Competencies in Allergy: Key Clinical Competencies Appropriate for the Care of Patients With Allergic or Immunologic Diseases", "type" : "article-journal", "volume" : "1" }, "uris" : [ "http://www.mendeley.com/documents/?uuid=1cb3e14b-f7df-4f1b-9311-1bccc91fdfa4" ] } ], "mendeley" : { "formattedCitation" : "[17]", "plainTextFormattedCitation" : "[17]", "previouslyFormattedCitation" : "[17]" }, "properties" : { "noteIndex" : 0 }, "schema" : "https://github.com/citation-style-language/schema/raw/master/csl-citation.json" }</w:instrText>
      </w:r>
      <w:r w:rsidR="00C1346F" w:rsidRPr="00B0157E">
        <w:rPr>
          <w:lang w:val="en-AU"/>
        </w:rPr>
        <w:fldChar w:fldCharType="separate"/>
      </w:r>
      <w:r w:rsidR="00010550" w:rsidRPr="00B0157E">
        <w:rPr>
          <w:lang w:val="en-AU"/>
        </w:rPr>
        <w:t>[17]</w:t>
      </w:r>
      <w:r w:rsidR="00C1346F" w:rsidRPr="00B0157E">
        <w:rPr>
          <w:lang w:val="en-AU"/>
        </w:rPr>
        <w:fldChar w:fldCharType="end"/>
      </w:r>
    </w:p>
    <w:p w14:paraId="39BD65EE" w14:textId="77777777" w:rsidR="00704DCF" w:rsidRPr="00B0157E" w:rsidRDefault="00204EEA">
      <w:pPr>
        <w:pStyle w:val="03opensquarebullet"/>
        <w:rPr>
          <w:lang w:val="en-AU"/>
        </w:rPr>
      </w:pPr>
      <w:r w:rsidRPr="00B0157E">
        <w:rPr>
          <w:lang w:val="en-AU"/>
        </w:rPr>
        <w:t xml:space="preserve">Using </w:t>
      </w:r>
      <w:r w:rsidR="00AB51DF" w:rsidRPr="00B0157E">
        <w:rPr>
          <w:lang w:val="en-AU"/>
        </w:rPr>
        <w:t xml:space="preserve">SPT </w:t>
      </w:r>
      <w:r w:rsidR="000A7F94" w:rsidRPr="00B0157E">
        <w:rPr>
          <w:lang w:val="en-AU"/>
        </w:rPr>
        <w:t>to</w:t>
      </w:r>
      <w:r w:rsidR="00AB51DF" w:rsidRPr="00B0157E">
        <w:rPr>
          <w:lang w:val="en-AU"/>
        </w:rPr>
        <w:t xml:space="preserve"> </w:t>
      </w:r>
      <w:r w:rsidRPr="00B0157E">
        <w:rPr>
          <w:lang w:val="en-AU"/>
        </w:rPr>
        <w:t>screen f</w:t>
      </w:r>
      <w:r w:rsidR="000A7F94" w:rsidRPr="00B0157E">
        <w:rPr>
          <w:lang w:val="en-AU"/>
        </w:rPr>
        <w:t>or</w:t>
      </w:r>
      <w:r w:rsidRPr="00B0157E">
        <w:rPr>
          <w:lang w:val="en-AU"/>
        </w:rPr>
        <w:t xml:space="preserve"> </w:t>
      </w:r>
      <w:r w:rsidR="00AB51DF" w:rsidRPr="00B0157E">
        <w:rPr>
          <w:lang w:val="en-AU"/>
        </w:rPr>
        <w:t xml:space="preserve">food </w:t>
      </w:r>
      <w:r w:rsidR="00A665DD" w:rsidRPr="00B0157E">
        <w:rPr>
          <w:lang w:val="en-AU"/>
        </w:rPr>
        <w:t xml:space="preserve">allergy </w:t>
      </w:r>
      <w:r w:rsidR="00AB51DF" w:rsidRPr="00B0157E">
        <w:rPr>
          <w:lang w:val="en-AU"/>
        </w:rPr>
        <w:t>is not recommended and should be discouraged. Allergy testing for foods is indicated to confirm suspected food allergy where there has been a clinical reaction following known exposure. It is not a</w:t>
      </w:r>
      <w:r w:rsidRPr="00B0157E">
        <w:rPr>
          <w:lang w:val="en-AU"/>
        </w:rPr>
        <w:t>n appropriate</w:t>
      </w:r>
      <w:r w:rsidR="00AB51DF" w:rsidRPr="00B0157E">
        <w:rPr>
          <w:lang w:val="en-AU"/>
        </w:rPr>
        <w:t xml:space="preserve"> tool for screening for possible food allerg</w:t>
      </w:r>
      <w:r w:rsidR="00806A4E" w:rsidRPr="00B0157E">
        <w:rPr>
          <w:lang w:val="en-AU"/>
        </w:rPr>
        <w:t>ies</w:t>
      </w:r>
      <w:r w:rsidR="00AB51DF" w:rsidRPr="00B0157E">
        <w:rPr>
          <w:lang w:val="en-AU"/>
        </w:rPr>
        <w:t xml:space="preserve"> as there can be high rates of clinically irrelevant low</w:t>
      </w:r>
      <w:r w:rsidR="001C3A92" w:rsidRPr="00B0157E">
        <w:rPr>
          <w:lang w:val="en-AU"/>
        </w:rPr>
        <w:t>-</w:t>
      </w:r>
      <w:r w:rsidR="00AB51DF" w:rsidRPr="00B0157E">
        <w:rPr>
          <w:lang w:val="en-AU"/>
        </w:rPr>
        <w:t>level SPT positi</w:t>
      </w:r>
      <w:r w:rsidR="00343C8D" w:rsidRPr="00B0157E">
        <w:rPr>
          <w:lang w:val="en-AU"/>
        </w:rPr>
        <w:t>vity</w:t>
      </w:r>
      <w:r w:rsidR="00085391" w:rsidRPr="00B0157E">
        <w:rPr>
          <w:lang w:val="en-AU"/>
        </w:rPr>
        <w:t>.</w:t>
      </w:r>
      <w:r w:rsidR="00C1346F" w:rsidRPr="00B0157E">
        <w:rPr>
          <w:lang w:val="en-AU"/>
        </w:rPr>
        <w:fldChar w:fldCharType="begin" w:fldLock="1"/>
      </w:r>
      <w:r w:rsidR="00C47315" w:rsidRPr="00B0157E">
        <w:rPr>
          <w:lang w:val="en-AU"/>
        </w:rPr>
        <w:instrText>ADDIN CSL_CITATION { "citationItems" : [ { "id" : "ITEM-1", "itemData" : { "DOI" : "10.1016/j.jaci.2011.01.039", "ISBN" : "1097-6825 (Electronic)\\r0091-6749 (Linking)", "ISSN" : "00916749", "PMID" : "21377036", "abstract" : "Background: Several indicators suggest that food allergy in infants is common and possibly increasing. Few studies have used oral food challenge to measure this phenomenon at the population level. Objective: To measure the prevalence of common IgE-mediated childhood food allergies in a population-based sample of 12-month-old infants by using predetermined food challenge criteria to measure outcomes. Methods: A sampling frame was used to select recruitment areas to attain a representative population base. Recruitment occurred at childhood immunization sessions in Melbourne, Australia. Infants underwent skin prick testing, and those with any sensitization (wheal size ???1 mm) to 1 or more foods (raw egg, peanut, sesame, shellfish, or cow's milk) were invited to attend an allergy research clinic. Those who registered a wheal size ???1 mm to raw egg, peanut, or sesame underwent oral food challenge. Results: Amongst 2848 infants (73% participation rate), the prevalence of any sensitization to peanut was 8.9% (95% CI, 7.9-10.0); raw egg white, 16.5% (95% CI, 15.1-17.9); sesame, 2.5% (95% CI, 2.0-3.1); cow's milk, 5.6% (95% CI, 3.2-8.0); and shellfish, 0.9% (95% CI, 0.6-1.5). The prevalence of challenge-proven peanut allergy was 3.0% (95% CI, 2.4-3.8); raw egg allergy, 8.9% (95% CI, 7.8-10.0); and sesame allergy, 0.8% (95% CI, 0.5-1.1). Oral food challenges to cow's milk and shellfish were not performed. Of those with raw egg allergy, 80.3% could tolerate baked egg. Conclusion: More than 10% of 1-year-old infants had challenge-proven IgE-mediated food allergy to one of the common allergenic foods of infancy. The high prevalence of allergic disease in Australia requires further investigation and may be related to modifiable environmental factors. ?? 2010 American Academy of Allergy, Asthma and Immunology.", "author" : [ { "dropping-particle" : "", "family" : "Osborne", "given" : "Nicholas J.", "non-dropping-particle" : "", "parse-names" : false, "suffix" : "" }, { "dropping-particle" : "", "family" : "Koplin", "given" : "Jennifer J.", "non-dropping-particle" : "", "parse-names" : false, "suffix" : "" }, { "dropping-particle" : "", "family" : "Martin", "given" : "Pamela E.", "non-dropping-particle" : "", "parse-names" : false, "suffix" : "" }, { "dropping-particle" : "", "family" : "Gurrin", "given" : "Lyle C.", "non-dropping-particle" : "", "parse-names" : false, "suffix" : "" }, { "dropping-particle" : "", "family" : "Lowe", "given" : "Adrian J.", "non-dropping-particle" : "", "parse-names" : false, "suffix" : "" }, { "dropping-particle" : "", "family" : "Matheson", "given" : "Melanie C.", "non-dropping-particle" : "", "parse-names" : false, "suffix" : "" }, { "dropping-particle" : "", "family" : "Ponsonby", "given" : "Anne Louise", "non-dropping-particle" : "", "parse-names" : false, "suffix" : "" }, { "dropping-particle" : "", "family" : "Wake", "given" : "Melissa", "non-dropping-particle" : "", "parse-names" : false, "suffix" : "" }, { "dropping-particle" : "", "family" : "Tang", "given" : "Mimi L K", "non-dropping-particle" : "", "parse-names" : false, "suffix" : "" }, { "dropping-particle" : "", "family" : "Dharmage", "given" : "Shyamali C.", "non-dropping-particle" : "", "parse-names" : false, "suffix" : "" }, { "dropping-particle" : "", "family" : "Allen", "given" : "Katrina J.", "non-dropping-particle" : "", "parse-names" : false, "suffix" : "" } ], "container-title" : "Journal of Allergy and Clinical Immunology", "id" : "ITEM-1", "issue" : "3", "issued" : { "date-parts" : [ [ "2011" ] ] }, "page" : "668-676", "title" : "Prevalence of challenge-proven IgE-mediated food allergy using population-based sampling and predetermined challenge criteria in infants", "type" : "article-journal", "volume" : "127" }, "uris" : [ "http://www.mendeley.com/documents/?uuid=75b52fe8-7fe7-4070-a223-37ceb4c200cd" ] } ], "mendeley" : { "formattedCitation" : "[16]", "plainTextFormattedCitation" : "[16]", "previouslyFormattedCitation" : "[16]" }, "properties" : { "noteIndex" : 0 }, "schema" : "https://github.com/citation-style-language/schema/raw/master/csl-citation.json" }</w:instrText>
      </w:r>
      <w:r w:rsidR="00C1346F" w:rsidRPr="00B0157E">
        <w:rPr>
          <w:lang w:val="en-AU"/>
        </w:rPr>
        <w:fldChar w:fldCharType="separate"/>
      </w:r>
      <w:r w:rsidR="00010550" w:rsidRPr="00B0157E">
        <w:rPr>
          <w:lang w:val="en-AU"/>
        </w:rPr>
        <w:t>[16]</w:t>
      </w:r>
      <w:r w:rsidR="00C1346F" w:rsidRPr="00B0157E">
        <w:rPr>
          <w:lang w:val="en-AU"/>
        </w:rPr>
        <w:fldChar w:fldCharType="end"/>
      </w:r>
      <w:r w:rsidR="00AB51DF" w:rsidRPr="00B0157E">
        <w:rPr>
          <w:lang w:val="en-AU"/>
        </w:rPr>
        <w:t xml:space="preserve"> Screening SPT</w:t>
      </w:r>
      <w:r w:rsidR="00E251C1" w:rsidRPr="00B0157E">
        <w:rPr>
          <w:lang w:val="en-AU"/>
        </w:rPr>
        <w:t>s</w:t>
      </w:r>
      <w:r w:rsidR="00AB51DF" w:rsidRPr="00B0157E">
        <w:rPr>
          <w:lang w:val="en-AU"/>
        </w:rPr>
        <w:t xml:space="preserve"> can lead to over-diagnosis of food </w:t>
      </w:r>
      <w:r w:rsidR="002D24AD" w:rsidRPr="00B0157E">
        <w:rPr>
          <w:lang w:val="en-AU"/>
        </w:rPr>
        <w:t xml:space="preserve">allergy </w:t>
      </w:r>
      <w:r w:rsidR="00AB51DF" w:rsidRPr="00B0157E">
        <w:rPr>
          <w:lang w:val="en-AU"/>
        </w:rPr>
        <w:t>and unnecessary dietary restriction/delayed introduction of allergenic foods</w:t>
      </w:r>
      <w:r w:rsidR="00F81B28" w:rsidRPr="00B0157E">
        <w:rPr>
          <w:lang w:val="en-AU"/>
        </w:rPr>
        <w:t>,</w:t>
      </w:r>
      <w:r w:rsidR="00C1346F" w:rsidRPr="00B0157E">
        <w:rPr>
          <w:lang w:val="en-AU"/>
        </w:rPr>
        <w:fldChar w:fldCharType="begin" w:fldLock="1"/>
      </w:r>
      <w:r w:rsidR="00C47315" w:rsidRPr="00B0157E">
        <w:rPr>
          <w:lang w:val="en-AU"/>
        </w:rPr>
        <w:instrText>ADDIN CSL_CITATION { "citationItems" : [ { "id" : "ITEM-1", "itemData" : { "DOI" : "10.1016/j.jaci.2014.05.013", "ISSN" : "10976825", "PMID" : "25174862", "abstract" : "This parameter was developed by the Joint Task Force on Practice Parameters, representing the American Academy of Allergy, Asthma &amp; Immunology (AAAAI); the American College of Allergy, Asthma &amp; Immunology (ACAAI); and the Joint Council of Allergy, Asthma &amp; Immunology (JCAAI). The AAAAI and the ACAAI have jointly accepted responsibility for establishing \"Food Allergy: A practice parameter update - 2014.\" This is a complete and comprehensive document at the current time. The medical environment is a changing one, and not all recommendations will be appropriate for all patients. Because this document incorporated the efforts of many participants, no single individual, including those who served on the Joint Task Force, is authorized to provide an official AAAAI or ACAAI interpretation of these practice parameters. Any request for information about or an interpretation of these practice parameters by the AAAAI or ACAAI should be directed to the Executive Offices of the AAAAI, ACAAI, and JCAAI. These parameters are not designed for use by pharmaceutical companies in drug promotion.", "author" : [ { "dropping-particle" : "", "family" : "Sampson", "given" : "Hugh A.", "non-dropping-particle" : "", "parse-names" : false, "suffix" : "" }, { "dropping-particle" : "", "family" : "Aceves", "given" : "Seema", "non-dropping-particle" : "", "parse-names" : false, "suffix" : "" }, { "dropping-particle" : "", "family" : "Bock", "given" : "S. Allan", "non-dropping-particle" : "", "parse-names" : false, "suffix" : "" }, { "dropping-particle" : "", "family" : "James", "given" : "John", "non-dropping-particle" : "", "parse-names" : false, "suffix" : "" }, { "dropping-particle" : "", "family" : "Jones", "given" : "Stacie", "non-dropping-particle" : "", "parse-names" : false, "suffix" : "" }, { "dropping-particle" : "", "family" : "Lang", "given" : "David", "non-dropping-particle" : "", "parse-names" : false, "suffix" : "" }, { "dropping-particle" : "", "family" : "Nadeau", "given" : "Kari", "non-dropping-particle" : "", "parse-names" : false, "suffix" : "" }, { "dropping-particle" : "", "family" : "Nowak-Wegrzyn", "given" : "Anna", "non-dropping-particle" : "", "parse-names" : false, "suffix" : "" }, { "dropping-particle" : "", "family" : "Oppenheimer", "given" : "John", "non-dropping-particle" : "", "parse-names" : false, "suffix" : "" }, { "dropping-particle" : "", "family" : "Perry", "given" : "Tamara T.", "non-dropping-particle" : "", "parse-names" : false, "suffix" : "" }, { "dropping-particle" : "", "family" : "Randolph", "given" : "Christopher", "non-dropping-particle" : "", "parse-names" : false, "suffix" : "" }, { "dropping-particle" : "", "family" : "Sicherer", "given" : "Scott H.", "non-dropping-particle" : "", "parse-names" : false, "suffix" : "" }, { "dropping-particle" : "", "family" : "Simon", "given" : "Ronald A.", "non-dropping-particle" : "", "parse-names" : false, "suffix" : "" }, { "dropping-particle" : "", "family" : "Vickery", "given" : "Brian P.", "non-dropping-particle" : "", "parse-names" : false, "suffix" : "" }, { "dropping-particle" : "", "family" : "Wood", "given" : "Robert", "non-dropping-particle" : "", "parse-names" : false, "suffix" : "" }, { "dropping-particle" : "", "family" : "Bernstein", "given" : "David", "non-dropping-particle" : "", "parse-names" : false, "suffix" : "" }, { "dropping-particle" : "", "family" : "Blessing-Moore", "given" : "Joann", "non-dropping-particle" : "", "parse-names" : false, "suffix" : "" }, { "dropping-particle" : "", "family" : "Khan", "given" : "David", "non-dropping-particle" : "", "parse-names" : false, "suffix" : "" }, { "dropping-particle" : "", "family" : "Nicklas", "given" : "Richard", "non-dropping-particle" : "", "parse-names" : false, "suffix" : "" }, { "dropping-particle" : "", "family" : "Portnoy", "given" : "Jay", "non-dropping-particle" : "", "parse-names" : false, "suffix" : "" }, { "dropping-particle" : "", "family" : "Schuller", "given" : "Diane", "non-dropping-particle" : "", "parse-names" : false, "suffix" : "" }, { "dropping-particle" : "", "family" : "Spector", "given" : "Sheldon", "non-dropping-particle" : "", "parse-names" : false, "suffix" : "" }, { "dropping-particle" : "", "family" : "Tilles", "given" : "Stephen A.", "non-dropping-particle" : "", "parse-names" : false, "suffix" : "" }, { "dropping-particle" : "", "family" : "Wallace", "given" : "Dana", "non-dropping-particle" : "", "parse-names" : false, "suffix" : "" } ], "container-title" : "Journal of Allergy and Clinical Immunology", "id" : "ITEM-1", "issue" : "5", "issued" : { "date-parts" : [ [ "2014" ] ] }, "page" : "1016-1025.e43", "title" : "Food allergy: A practice parameter update - 2014", "type" : "article-journal", "volume" : "134" }, "uris" : [ "http://www.mendeley.com/documents/?uuid=21e03fba-206d-4577-91d2-e44293de764b" ] }, { "id" : "ITEM-2", "itemData" : { "ISBN" : "1756-1833 (Electronic)\\r0959-535X (Linking)", "ISSN" : "1756-1833", "PMID" : "12193355", "author" : [ { "dropping-particle" : "", "family" : "Berger", "given" : "Abi", "non-dropping-particle" : "", "parse-names" : false, "suffix" : "" } ], "container-title" : "BMJ (Clinical research ed.)", "id" : "ITEM-2", "issue" : "7361", "issued" : { "date-parts" : [ [ "2002" ] ] }, "page" : "414", "title" : "Skin prick testing: for the diagnosis of allergic disease, a manual for practitioners", "type" : "article-journal", "volume" : "325" }, "uris" : [ "http://www.mendeley.com/documents/?uuid=4cf119fb-d940-4892-96fa-ad8d9e357534" ] } ], "mendeley" : { "formattedCitation" : "[15], [18]", "plainTextFormattedCitation" : "[15], [18]", "previouslyFormattedCitation" : "[15], [18]" }, "properties" : { "noteIndex" : 0 }, "schema" : "https://github.com/citation-style-language/schema/raw/master/csl-citation.json" }</w:instrText>
      </w:r>
      <w:r w:rsidR="00C1346F" w:rsidRPr="00B0157E">
        <w:rPr>
          <w:lang w:val="en-AU"/>
        </w:rPr>
        <w:fldChar w:fldCharType="separate"/>
      </w:r>
      <w:r w:rsidR="00010550" w:rsidRPr="00B0157E">
        <w:rPr>
          <w:lang w:val="en-AU"/>
        </w:rPr>
        <w:t>[15], [18]</w:t>
      </w:r>
      <w:r w:rsidR="00C1346F" w:rsidRPr="00B0157E">
        <w:rPr>
          <w:lang w:val="en-AU"/>
        </w:rPr>
        <w:fldChar w:fldCharType="end"/>
      </w:r>
      <w:r w:rsidR="00AB51DF" w:rsidRPr="00B0157E">
        <w:rPr>
          <w:lang w:val="en-AU"/>
        </w:rPr>
        <w:t xml:space="preserve"> which recent evidence suggest</w:t>
      </w:r>
      <w:r w:rsidR="007C3436" w:rsidRPr="00B0157E">
        <w:rPr>
          <w:lang w:val="en-AU"/>
        </w:rPr>
        <w:t>s</w:t>
      </w:r>
      <w:r w:rsidR="00AB51DF" w:rsidRPr="00B0157E">
        <w:rPr>
          <w:lang w:val="en-AU"/>
        </w:rPr>
        <w:t xml:space="preserve"> may be contributing to rising rates of food allerg</w:t>
      </w:r>
      <w:r w:rsidR="00A13063" w:rsidRPr="00B0157E">
        <w:rPr>
          <w:lang w:val="en-AU"/>
        </w:rPr>
        <w:t>ies</w:t>
      </w:r>
      <w:r w:rsidR="0031170E" w:rsidRPr="00B0157E">
        <w:rPr>
          <w:lang w:val="en-AU"/>
        </w:rPr>
        <w:t>.</w:t>
      </w:r>
      <w:r w:rsidR="00C1346F" w:rsidRPr="00B0157E">
        <w:rPr>
          <w:lang w:val="en-AU"/>
        </w:rPr>
        <w:fldChar w:fldCharType="begin" w:fldLock="1"/>
      </w:r>
      <w:r w:rsidR="00C47315" w:rsidRPr="00B0157E">
        <w:rPr>
          <w:lang w:val="en-AU"/>
        </w:rPr>
        <w:instrText>ADDIN CSL_CITATION { "citationItems" : [ { "id" : "ITEM-1", "itemData" : { "abstract" : "BackgroundThe prevalence of peanut allergy among children in Western countries has doubled in the past 10 years, and peanut allergy is becoming apparent in Africa and Asia. We evaluated strategies of peanut consumption and avoidance to determine which strategy is most effective in preventing the development of peanut allergy in infants at high risk for the allergy. MethodsWe randomly assigned 640 infants with severe eczema, egg allergy, or both to consume or avoid peanuts until 60 months of age. Participants, who were at least 4 months but younger than 11 months of age at randomization, were assigned to separate study cohorts on the basis of preexisting sensitivity to peanut extract, which was determined with the use of a skin-prick test \u2014 one consisting of participants with no measurable wheal after testing and the other consisting of those with a wheal measuring 1 to 4 mm in diameter. The primary outcome, which was assessed independently in each cohort, was the proportion of participants with peanut all...", "author" : [ { "dropping-particle" : "", "family" : "Toit", "given" : "George", "non-dropping-particle" : "Du", "parse-names" : false, "suffix" : "" }, { "dropping-particle" : "", "family" : "Roberts", "given" : "Graham", "non-dropping-particle" : "", "parse-names" : false, "suffix" : "" }, { "dropping-particle" : "", "family" : "Sayre", "given" : "Peter H.", "non-dropping-particle" : "", "parse-names" : false, "suffix" : "" }, { "dropping-particle" : "", "family" : "Bahnson", "given" : "Henry T.", "non-dropping-particle" : "", "parse-names" : false, "suffix" : "" }, { "dropping-particle" : "", "family" : "Radulovic", "given" : "Suzana", "non-dropping-particle" : "", "parse-names" : false, "suffix" : "" }, { "dropping-particle" : "", "family" : "Santos", "given" : "Alexandra F.", "non-dropping-particle" : "", "parse-names" : false, "suffix" : "" }, { "dropping-particle" : "", "family" : "Brough", "given" : "Helen A.", "non-dropping-particle" : "", "parse-names" : false, "suffix" : "" }, { "dropping-particle" : "", "family" : "Phippard", "given" : "Deborah", "non-dropping-particle" : "", "parse-names" : false, "suffix" : "" }, { "dropping-particle" : "", "family" : "Basting", "given" : "Monica", "non-dropping-particle" : "", "parse-names" : false, "suffix" : "" }, { "dropping-particle" : "", "family" : "Feeney", "given" : "Mary", "non-dropping-particle" : "", "parse-names" : false, "suffix" : "" }, { "dropping-particle" : "", "family" : "Turcanu", "given" : "Victor", "non-dropping-particle" : "", "parse-names" : false, "suffix" : "" }, { "dropping-particle" : "", "family" : "Sever", "given" : "Michelle L.", "non-dropping-particle" : "", "parse-names" : false, "suffix" : "" }, { "dropping-particle" : "", "family" : "Gomez Lorenzo", "given" : "Margarita", "non-dropping-particle" : "", "parse-names" : false, "suffix" : "" }, { "dropping-particle" : "", "family" : "Plaut", "given" : "Marshall", "non-dropping-particle" : "", "parse-names" : false, "suffix" : "" }, { "dropping-particle" : "", "family" : "Lack", "given" : "Gideon", "non-dropping-particle" : "", "parse-names" : false, "suffix" : "" } ], "container-title" : "http://dx.doi.org/10.1056/NEJMoa1414850", "id" : "ITEM-1", "issued" : { "date-parts" : [ [ "2015" ] ] }, "publisher" : "Massachusetts Medical Society", "title" : "Randomized Trial of Peanut Consumption in Infants at Risk for Peanut Allergy", "type" : "article-journal" }, "uris" : [ "http://www.mendeley.com/documents/?uuid=33164544-c2ee-3c11-90e4-4f86e7dff831" ] } ], "mendeley" : { "formattedCitation" : "[19]", "plainTextFormattedCitation" : "[19]", "previouslyFormattedCitation" : "[19]" }, "properties" : { "noteIndex" : 0 }, "schema" : "https://github.com/citation-style-language/schema/raw/master/csl-citation.json" }</w:instrText>
      </w:r>
      <w:r w:rsidR="00C1346F" w:rsidRPr="00B0157E">
        <w:rPr>
          <w:lang w:val="en-AU"/>
        </w:rPr>
        <w:fldChar w:fldCharType="separate"/>
      </w:r>
      <w:r w:rsidR="00010550" w:rsidRPr="00B0157E">
        <w:rPr>
          <w:lang w:val="en-AU"/>
        </w:rPr>
        <w:t>[19]</w:t>
      </w:r>
      <w:r w:rsidR="00C1346F" w:rsidRPr="00B0157E">
        <w:rPr>
          <w:lang w:val="en-AU"/>
        </w:rPr>
        <w:fldChar w:fldCharType="end"/>
      </w:r>
    </w:p>
    <w:p w14:paraId="31FC4111" w14:textId="77777777" w:rsidR="00AB51DF" w:rsidRPr="00B0157E" w:rsidRDefault="00AB51DF">
      <w:pPr>
        <w:pStyle w:val="02dash"/>
        <w:rPr>
          <w:lang w:val="en-AU"/>
        </w:rPr>
      </w:pPr>
      <w:r w:rsidRPr="00B0157E">
        <w:rPr>
          <w:lang w:val="en-AU"/>
        </w:rPr>
        <w:t>Allergy to aeroallergens associated with AR</w:t>
      </w:r>
      <w:r w:rsidR="004B67A9" w:rsidRPr="00B0157E">
        <w:rPr>
          <w:lang w:val="en-AU"/>
        </w:rPr>
        <w:t>, a</w:t>
      </w:r>
      <w:r w:rsidRPr="00B0157E">
        <w:rPr>
          <w:lang w:val="en-AU"/>
        </w:rPr>
        <w:t>sthma and</w:t>
      </w:r>
      <w:r w:rsidR="004B67A9" w:rsidRPr="00B0157E">
        <w:rPr>
          <w:lang w:val="en-AU"/>
        </w:rPr>
        <w:t xml:space="preserve"> </w:t>
      </w:r>
      <w:r w:rsidRPr="00B0157E">
        <w:rPr>
          <w:lang w:val="en-AU"/>
        </w:rPr>
        <w:t>AD:</w:t>
      </w:r>
    </w:p>
    <w:p w14:paraId="3558E857" w14:textId="77777777" w:rsidR="00AB51DF" w:rsidRPr="00B0157E" w:rsidRDefault="00AB51DF">
      <w:pPr>
        <w:pStyle w:val="03opensquarebullet"/>
        <w:rPr>
          <w:lang w:val="en-AU"/>
        </w:rPr>
      </w:pPr>
      <w:r w:rsidRPr="00B0157E">
        <w:rPr>
          <w:lang w:val="en-AU"/>
        </w:rPr>
        <w:t>This is generally confined to common environmental allergens</w:t>
      </w:r>
      <w:r w:rsidR="00A967E7" w:rsidRPr="00B0157E">
        <w:rPr>
          <w:lang w:val="en-AU"/>
        </w:rPr>
        <w:t>.</w:t>
      </w:r>
      <w:r w:rsidR="00D52781" w:rsidRPr="00B0157E">
        <w:rPr>
          <w:lang w:val="en-AU"/>
        </w:rPr>
        <w:t xml:space="preserve"> It is not unreasonable for a non-specialist to perform</w:t>
      </w:r>
      <w:r w:rsidRPr="00B0157E">
        <w:rPr>
          <w:lang w:val="en-AU"/>
        </w:rPr>
        <w:t xml:space="preserve"> </w:t>
      </w:r>
      <w:r w:rsidR="00D52781" w:rsidRPr="00B0157E">
        <w:rPr>
          <w:lang w:val="en-AU"/>
        </w:rPr>
        <w:t>aeroallerge</w:t>
      </w:r>
      <w:r w:rsidR="00A37DA4" w:rsidRPr="00B0157E">
        <w:rPr>
          <w:lang w:val="en-AU"/>
        </w:rPr>
        <w:t>n</w:t>
      </w:r>
      <w:r w:rsidR="00D52781" w:rsidRPr="00B0157E">
        <w:rPr>
          <w:lang w:val="en-AU"/>
        </w:rPr>
        <w:t xml:space="preserve">s allergy tests, </w:t>
      </w:r>
      <w:r w:rsidR="00506065" w:rsidRPr="00B0157E">
        <w:rPr>
          <w:lang w:val="en-AU"/>
        </w:rPr>
        <w:t xml:space="preserve">but </w:t>
      </w:r>
      <w:r w:rsidR="00D52781" w:rsidRPr="00B0157E">
        <w:rPr>
          <w:lang w:val="en-AU"/>
        </w:rPr>
        <w:t>p</w:t>
      </w:r>
      <w:r w:rsidRPr="00B0157E">
        <w:rPr>
          <w:lang w:val="en-AU"/>
        </w:rPr>
        <w:t xml:space="preserve">erformance and interpretation of </w:t>
      </w:r>
      <w:r w:rsidR="00D52781" w:rsidRPr="00B0157E">
        <w:rPr>
          <w:lang w:val="en-AU"/>
        </w:rPr>
        <w:t xml:space="preserve">SPT </w:t>
      </w:r>
      <w:r w:rsidRPr="00B0157E">
        <w:rPr>
          <w:lang w:val="en-AU"/>
        </w:rPr>
        <w:t>does require training</w:t>
      </w:r>
      <w:r w:rsidR="002C298F" w:rsidRPr="00B0157E">
        <w:rPr>
          <w:lang w:val="en-AU"/>
        </w:rPr>
        <w:t>.</w:t>
      </w:r>
      <w:r w:rsidR="00C1346F" w:rsidRPr="00B0157E">
        <w:rPr>
          <w:lang w:val="en-AU"/>
        </w:rPr>
        <w:fldChar w:fldCharType="begin" w:fldLock="1"/>
      </w:r>
      <w:r w:rsidR="00C47315" w:rsidRPr="00B0157E">
        <w:rPr>
          <w:lang w:val="en-AU"/>
        </w:rPr>
        <w:instrText>ADDIN CSL_CITATION { "citationItems" : [ { "id" : "ITEM-1", "itemData" : { "ISBN" : "1756-1833 (Electronic)\\r0959-535X (Linking)", "ISSN" : "1756-1833", "PMID" : "12193355", "author" : [ { "dropping-particle" : "", "family" : "Berger", "given" : "Abi", "non-dropping-particle" : "", "parse-names" : false, "suffix" : "" } ], "container-title" : "BMJ (Clinical research ed.)", "id" : "ITEM-1", "issue" : "7361", "issued" : { "date-parts" : [ [ "2002" ] ] }, "page" : "414", "title" : "Skin prick testing: for the diagnosis of allergic disease, a manual for practitioners", "type" : "article-journal", "volume" : "325" }, "uris" : [ "http://www.mendeley.com/documents/?uuid=4cf119fb-d940-4892-96fa-ad8d9e357534" ] } ], "mendeley" : { "formattedCitation" : "[18]", "plainTextFormattedCitation" : "[18]", "previouslyFormattedCitation" : "[18]" }, "properties" : { "noteIndex" : 0 }, "schema" : "https://github.com/citation-style-language/schema/raw/master/csl-citation.json" }</w:instrText>
      </w:r>
      <w:r w:rsidR="00C1346F" w:rsidRPr="00B0157E">
        <w:rPr>
          <w:lang w:val="en-AU"/>
        </w:rPr>
        <w:fldChar w:fldCharType="separate"/>
      </w:r>
      <w:r w:rsidR="00010550" w:rsidRPr="00B0157E">
        <w:rPr>
          <w:lang w:val="en-AU"/>
        </w:rPr>
        <w:t>[18]</w:t>
      </w:r>
      <w:r w:rsidR="00C1346F" w:rsidRPr="00B0157E">
        <w:rPr>
          <w:lang w:val="en-AU"/>
        </w:rPr>
        <w:fldChar w:fldCharType="end"/>
      </w:r>
    </w:p>
    <w:p w14:paraId="2ED6302B" w14:textId="77777777" w:rsidR="00AB51DF" w:rsidRPr="00B0157E" w:rsidRDefault="00AB51DF">
      <w:pPr>
        <w:pStyle w:val="02dash"/>
        <w:rPr>
          <w:lang w:val="en-AU"/>
        </w:rPr>
      </w:pPr>
      <w:r w:rsidRPr="00B0157E">
        <w:rPr>
          <w:lang w:val="en-AU"/>
        </w:rPr>
        <w:t xml:space="preserve">Latex allergy: </w:t>
      </w:r>
    </w:p>
    <w:p w14:paraId="6A029DF0" w14:textId="77777777" w:rsidR="00AB51DF" w:rsidRPr="00B0157E" w:rsidRDefault="00AB51DF">
      <w:pPr>
        <w:pStyle w:val="03opensquarebullet"/>
        <w:rPr>
          <w:lang w:val="en-AU"/>
        </w:rPr>
      </w:pPr>
      <w:r w:rsidRPr="00B0157E">
        <w:rPr>
          <w:lang w:val="en-AU"/>
        </w:rPr>
        <w:lastRenderedPageBreak/>
        <w:t>Performance and interpretation of SPT require</w:t>
      </w:r>
      <w:r w:rsidR="004305B9" w:rsidRPr="00B0157E">
        <w:rPr>
          <w:lang w:val="en-AU"/>
        </w:rPr>
        <w:t>s</w:t>
      </w:r>
      <w:r w:rsidRPr="00B0157E">
        <w:rPr>
          <w:lang w:val="en-AU"/>
        </w:rPr>
        <w:t xml:space="preserve"> specialised training and should be restricted to specialists or equivalently trained medical practitioners</w:t>
      </w:r>
      <w:r w:rsidR="00587518" w:rsidRPr="00B0157E">
        <w:rPr>
          <w:lang w:val="en-AU"/>
        </w:rPr>
        <w:t>.</w:t>
      </w:r>
      <w:r w:rsidR="00C1346F" w:rsidRPr="00B0157E">
        <w:rPr>
          <w:lang w:val="en-AU"/>
        </w:rPr>
        <w:fldChar w:fldCharType="begin" w:fldLock="1"/>
      </w:r>
      <w:r w:rsidR="00C47315" w:rsidRPr="00B0157E">
        <w:rPr>
          <w:lang w:val="en-AU"/>
        </w:rPr>
        <w:instrText>ADDIN CSL_CITATION { "citationItems" : [ { "id" : "ITEM-1", "itemData" : { "ISBN" : "1756-1833 (Electronic)\\r0959-535X (Linking)", "ISSN" : "1756-1833", "PMID" : "12193355", "author" : [ { "dropping-particle" : "", "family" : "Berger", "given" : "Abi", "non-dropping-particle" : "", "parse-names" : false, "suffix" : "" } ], "container-title" : "BMJ (Clinical research ed.)", "id" : "ITEM-1", "issue" : "7361", "issued" : { "date-parts" : [ [ "2002" ] ] }, "page" : "414", "title" : "Skin prick testing: for the diagnosis of allergic disease, a manual for practitioners", "type" : "article-journal", "volume" : "325" }, "uris" : [ "http://www.mendeley.com/documents/?uuid=4cf119fb-d940-4892-96fa-ad8d9e357534" ] } ], "mendeley" : { "formattedCitation" : "[18]", "plainTextFormattedCitation" : "[18]", "previouslyFormattedCitation" : "[18]" }, "properties" : { "noteIndex" : 0 }, "schema" : "https://github.com/citation-style-language/schema/raw/master/csl-citation.json" }</w:instrText>
      </w:r>
      <w:r w:rsidR="00C1346F" w:rsidRPr="00B0157E">
        <w:rPr>
          <w:lang w:val="en-AU"/>
        </w:rPr>
        <w:fldChar w:fldCharType="separate"/>
      </w:r>
      <w:r w:rsidR="00010550" w:rsidRPr="00B0157E">
        <w:rPr>
          <w:lang w:val="en-AU"/>
        </w:rPr>
        <w:t>[18]</w:t>
      </w:r>
      <w:r w:rsidR="00C1346F" w:rsidRPr="00B0157E">
        <w:rPr>
          <w:lang w:val="en-AU"/>
        </w:rPr>
        <w:fldChar w:fldCharType="end"/>
      </w:r>
    </w:p>
    <w:p w14:paraId="0171E27F" w14:textId="77777777" w:rsidR="0038562C" w:rsidRPr="00B0157E" w:rsidRDefault="00E63A7E">
      <w:pPr>
        <w:pStyle w:val="02dash"/>
        <w:rPr>
          <w:lang w:val="en-AU"/>
        </w:rPr>
      </w:pPr>
      <w:r w:rsidRPr="00B0157E">
        <w:rPr>
          <w:lang w:val="en-AU"/>
        </w:rPr>
        <w:t>Me</w:t>
      </w:r>
      <w:r w:rsidR="00796E7F" w:rsidRPr="00B0157E">
        <w:rPr>
          <w:lang w:val="en-AU"/>
        </w:rPr>
        <w:t>d</w:t>
      </w:r>
      <w:r w:rsidRPr="00B0157E">
        <w:rPr>
          <w:lang w:val="en-AU"/>
        </w:rPr>
        <w:t>ication</w:t>
      </w:r>
      <w:r w:rsidR="0038562C" w:rsidRPr="00B0157E">
        <w:rPr>
          <w:lang w:val="en-AU"/>
        </w:rPr>
        <w:t xml:space="preserve"> allergy: </w:t>
      </w:r>
    </w:p>
    <w:p w14:paraId="090AE19B" w14:textId="77777777" w:rsidR="0038562C" w:rsidRPr="00B0157E" w:rsidDel="00BD2C59" w:rsidRDefault="0038562C">
      <w:pPr>
        <w:pStyle w:val="03opensquarebullet"/>
        <w:rPr>
          <w:lang w:val="en-AU"/>
        </w:rPr>
      </w:pPr>
      <w:r w:rsidRPr="00B0157E">
        <w:rPr>
          <w:lang w:val="en-AU"/>
        </w:rPr>
        <w:t>Performance and interpretation of SPT require</w:t>
      </w:r>
      <w:r w:rsidR="006E762E" w:rsidRPr="00B0157E">
        <w:rPr>
          <w:lang w:val="en-AU"/>
        </w:rPr>
        <w:t>s</w:t>
      </w:r>
      <w:r w:rsidRPr="00B0157E">
        <w:rPr>
          <w:lang w:val="en-AU"/>
        </w:rPr>
        <w:t xml:space="preserve"> specialised training and should be restricted to specialists or equivalently trained medical practitioners</w:t>
      </w:r>
      <w:r w:rsidR="00DC7CD2" w:rsidRPr="00B0157E">
        <w:rPr>
          <w:lang w:val="en-AU"/>
        </w:rPr>
        <w:t>.</w:t>
      </w:r>
      <w:r w:rsidR="00C1346F" w:rsidRPr="00B0157E">
        <w:rPr>
          <w:lang w:val="en-AU"/>
        </w:rPr>
        <w:fldChar w:fldCharType="begin" w:fldLock="1"/>
      </w:r>
      <w:r w:rsidR="00C47315" w:rsidRPr="00B0157E">
        <w:rPr>
          <w:lang w:val="en-AU"/>
        </w:rPr>
        <w:instrText>ADDIN CSL_CITATION { "citationItems" : [ { "id" : "ITEM-1", "itemData" : { "ISBN" : "1756-1833 (Electronic)\\r0959-535X (Linking)", "ISSN" : "1756-1833", "PMID" : "12193355", "author" : [ { "dropping-particle" : "", "family" : "Berger", "given" : "Abi", "non-dropping-particle" : "", "parse-names" : false, "suffix" : "" } ], "container-title" : "BMJ (Clinical research ed.)", "id" : "ITEM-1", "issue" : "7361", "issued" : { "date-parts" : [ [ "2002" ] ] }, "page" : "414", "title" : "Skin prick testing: for the diagnosis of allergic disease, a manual for practitioners", "type" : "article-journal", "volume" : "325" }, "uris" : [ "http://www.mendeley.com/documents/?uuid=4cf119fb-d940-4892-96fa-ad8d9e357534" ] } ], "mendeley" : { "formattedCitation" : "[18]", "plainTextFormattedCitation" : "[18]", "previouslyFormattedCitation" : "[18]" }, "properties" : { "noteIndex" : 0 }, "schema" : "https://github.com/citation-style-language/schema/raw/master/csl-citation.json" }</w:instrText>
      </w:r>
      <w:r w:rsidR="00C1346F" w:rsidRPr="00B0157E">
        <w:rPr>
          <w:lang w:val="en-AU"/>
        </w:rPr>
        <w:fldChar w:fldCharType="separate"/>
      </w:r>
      <w:r w:rsidR="00010550" w:rsidRPr="00B0157E">
        <w:rPr>
          <w:lang w:val="en-AU"/>
        </w:rPr>
        <w:t>[18]</w:t>
      </w:r>
      <w:r w:rsidR="00C1346F" w:rsidRPr="00B0157E">
        <w:rPr>
          <w:lang w:val="en-AU"/>
        </w:rPr>
        <w:fldChar w:fldCharType="end"/>
      </w:r>
    </w:p>
    <w:p w14:paraId="017DA505" w14:textId="77777777" w:rsidR="001B01BE" w:rsidRPr="00B0157E" w:rsidRDefault="009E6F45">
      <w:pPr>
        <w:pStyle w:val="01squarebullet"/>
        <w:rPr>
          <w:lang w:val="en-AU"/>
        </w:rPr>
      </w:pPr>
      <w:r w:rsidRPr="00B0157E">
        <w:rPr>
          <w:lang w:val="en-AU"/>
        </w:rPr>
        <w:t>The Committee proposed</w:t>
      </w:r>
      <w:r w:rsidR="002A5EC6" w:rsidRPr="00B0157E">
        <w:rPr>
          <w:lang w:val="en-AU"/>
        </w:rPr>
        <w:t xml:space="preserve"> a</w:t>
      </w:r>
      <w:r w:rsidRPr="00B0157E">
        <w:rPr>
          <w:lang w:val="en-AU"/>
        </w:rPr>
        <w:t xml:space="preserve"> new</w:t>
      </w:r>
      <w:r w:rsidR="002A5EC6" w:rsidRPr="00B0157E">
        <w:rPr>
          <w:lang w:val="en-AU"/>
        </w:rPr>
        <w:t xml:space="preserve"> item for medication</w:t>
      </w:r>
      <w:r w:rsidR="00DF6C3B" w:rsidRPr="00B0157E">
        <w:rPr>
          <w:lang w:val="en-AU"/>
        </w:rPr>
        <w:t xml:space="preserve"> </w:t>
      </w:r>
      <w:r w:rsidR="002A5EC6" w:rsidRPr="00B0157E">
        <w:rPr>
          <w:lang w:val="en-AU"/>
        </w:rPr>
        <w:t>allergy testing (antibiotics,</w:t>
      </w:r>
      <w:r w:rsidR="00DF6C3B" w:rsidRPr="00B0157E">
        <w:rPr>
          <w:lang w:val="en-AU"/>
        </w:rPr>
        <w:t xml:space="preserve"> non-general anaesthetic</w:t>
      </w:r>
      <w:r w:rsidR="000739F4" w:rsidRPr="00B0157E">
        <w:rPr>
          <w:lang w:val="en-AU"/>
        </w:rPr>
        <w:t>s)</w:t>
      </w:r>
      <w:r w:rsidR="002A5EC6" w:rsidRPr="00B0157E">
        <w:rPr>
          <w:lang w:val="en-AU"/>
        </w:rPr>
        <w:t xml:space="preserve"> and venom</w:t>
      </w:r>
      <w:r w:rsidR="003D38E8" w:rsidRPr="00B0157E">
        <w:rPr>
          <w:lang w:val="en-AU"/>
        </w:rPr>
        <w:t xml:space="preserve"> allergy testing</w:t>
      </w:r>
      <w:r w:rsidR="00DF6C3B" w:rsidRPr="00B0157E">
        <w:rPr>
          <w:lang w:val="en-AU"/>
        </w:rPr>
        <w:t xml:space="preserve">, which </w:t>
      </w:r>
      <w:r w:rsidR="003200C2" w:rsidRPr="00B0157E">
        <w:rPr>
          <w:lang w:val="en-AU"/>
        </w:rPr>
        <w:t xml:space="preserve">have </w:t>
      </w:r>
      <w:r w:rsidR="00DF6C3B" w:rsidRPr="00B0157E">
        <w:rPr>
          <w:lang w:val="en-AU"/>
        </w:rPr>
        <w:t>previously not had a specific item number on the MBS</w:t>
      </w:r>
      <w:r w:rsidR="00BD6BF7" w:rsidRPr="00B0157E">
        <w:rPr>
          <w:lang w:val="en-AU"/>
        </w:rPr>
        <w:t xml:space="preserve">. </w:t>
      </w:r>
      <w:r w:rsidR="00AB730E" w:rsidRPr="00B0157E">
        <w:rPr>
          <w:lang w:val="en-AU"/>
        </w:rPr>
        <w:t xml:space="preserve">This item </w:t>
      </w:r>
      <w:r w:rsidR="00413598" w:rsidRPr="00B0157E">
        <w:rPr>
          <w:lang w:val="en-AU"/>
        </w:rPr>
        <w:t>was</w:t>
      </w:r>
      <w:r w:rsidR="00AB730E" w:rsidRPr="00B0157E">
        <w:rPr>
          <w:lang w:val="en-AU"/>
        </w:rPr>
        <w:t xml:space="preserve"> added to </w:t>
      </w:r>
      <w:r w:rsidR="00DF6C3B" w:rsidRPr="00B0157E">
        <w:rPr>
          <w:lang w:val="en-AU"/>
        </w:rPr>
        <w:t>reflect the true scope of practi</w:t>
      </w:r>
      <w:r w:rsidR="003674D2" w:rsidRPr="00B0157E">
        <w:rPr>
          <w:lang w:val="en-AU"/>
        </w:rPr>
        <w:t xml:space="preserve">ce </w:t>
      </w:r>
      <w:r w:rsidR="00B9092D" w:rsidRPr="00B0157E">
        <w:rPr>
          <w:lang w:val="en-AU"/>
        </w:rPr>
        <w:t>required to</w:t>
      </w:r>
      <w:r w:rsidR="007E0FCD" w:rsidRPr="00B0157E">
        <w:rPr>
          <w:lang w:val="en-AU"/>
        </w:rPr>
        <w:t xml:space="preserve"> </w:t>
      </w:r>
      <w:r w:rsidR="003674D2" w:rsidRPr="00B0157E">
        <w:rPr>
          <w:lang w:val="en-AU"/>
        </w:rPr>
        <w:t>adequately test patients</w:t>
      </w:r>
      <w:r w:rsidR="007E0FCD" w:rsidRPr="00B0157E">
        <w:rPr>
          <w:lang w:val="en-AU"/>
        </w:rPr>
        <w:t>.</w:t>
      </w:r>
      <w:r w:rsidR="003674D2" w:rsidRPr="00B0157E">
        <w:rPr>
          <w:lang w:val="en-AU"/>
        </w:rPr>
        <w:t xml:space="preserve"> (</w:t>
      </w:r>
      <w:r w:rsidR="007E0FCD" w:rsidRPr="00B0157E">
        <w:rPr>
          <w:lang w:val="en-AU"/>
        </w:rPr>
        <w:t>O</w:t>
      </w:r>
      <w:r w:rsidR="00DF6C3B" w:rsidRPr="00B0157E">
        <w:rPr>
          <w:lang w:val="en-AU"/>
        </w:rPr>
        <w:t>n the limited occasions when test</w:t>
      </w:r>
      <w:r w:rsidR="00321DDD" w:rsidRPr="00B0157E">
        <w:rPr>
          <w:lang w:val="en-AU"/>
        </w:rPr>
        <w:t>s for these allergies were conducted</w:t>
      </w:r>
      <w:r w:rsidR="00DF6C3B" w:rsidRPr="00B0157E">
        <w:rPr>
          <w:lang w:val="en-AU"/>
        </w:rPr>
        <w:t xml:space="preserve"> in the past, </w:t>
      </w:r>
      <w:r w:rsidR="00E23920" w:rsidRPr="00B0157E">
        <w:rPr>
          <w:lang w:val="en-AU"/>
        </w:rPr>
        <w:t>it is</w:t>
      </w:r>
      <w:r w:rsidR="00DF6C3B" w:rsidRPr="00B0157E">
        <w:rPr>
          <w:lang w:val="en-AU"/>
        </w:rPr>
        <w:t xml:space="preserve"> likely </w:t>
      </w:r>
      <w:r w:rsidR="00EE7664" w:rsidRPr="00B0157E">
        <w:rPr>
          <w:lang w:val="en-AU"/>
        </w:rPr>
        <w:t>that they were</w:t>
      </w:r>
      <w:r w:rsidR="00DF6C3B" w:rsidRPr="00B0157E">
        <w:rPr>
          <w:lang w:val="en-AU"/>
        </w:rPr>
        <w:t xml:space="preserve"> performed under items 12000 and 12003</w:t>
      </w:r>
      <w:r w:rsidR="003A302F" w:rsidRPr="00B0157E">
        <w:rPr>
          <w:lang w:val="en-AU"/>
        </w:rPr>
        <w:t>.</w:t>
      </w:r>
      <w:r w:rsidR="003674D2" w:rsidRPr="00B0157E">
        <w:rPr>
          <w:lang w:val="en-AU"/>
        </w:rPr>
        <w:t>)</w:t>
      </w:r>
      <w:r w:rsidR="00DF6C3B" w:rsidRPr="00B0157E">
        <w:rPr>
          <w:lang w:val="en-AU"/>
        </w:rPr>
        <w:t xml:space="preserve"> </w:t>
      </w:r>
      <w:r w:rsidR="00133D0B" w:rsidRPr="00B0157E">
        <w:rPr>
          <w:lang w:val="en-AU"/>
        </w:rPr>
        <w:t>C</w:t>
      </w:r>
      <w:r w:rsidR="004B67A9" w:rsidRPr="00B0157E">
        <w:rPr>
          <w:lang w:val="en-AU"/>
        </w:rPr>
        <w:t>onduct</w:t>
      </w:r>
      <w:r w:rsidR="00133D0B" w:rsidRPr="00B0157E">
        <w:rPr>
          <w:lang w:val="en-AU"/>
        </w:rPr>
        <w:t>ing</w:t>
      </w:r>
      <w:r w:rsidR="0038562C" w:rsidRPr="00B0157E">
        <w:rPr>
          <w:lang w:val="en-AU"/>
        </w:rPr>
        <w:t xml:space="preserve"> </w:t>
      </w:r>
      <w:r w:rsidR="00D93395" w:rsidRPr="00B0157E">
        <w:rPr>
          <w:lang w:val="en-AU"/>
        </w:rPr>
        <w:t xml:space="preserve">these </w:t>
      </w:r>
      <w:r w:rsidR="0038562C" w:rsidRPr="00B0157E">
        <w:rPr>
          <w:lang w:val="en-AU"/>
        </w:rPr>
        <w:t xml:space="preserve">tests </w:t>
      </w:r>
      <w:r w:rsidR="00C34DF2" w:rsidRPr="00B0157E">
        <w:rPr>
          <w:lang w:val="en-AU"/>
        </w:rPr>
        <w:t xml:space="preserve">will </w:t>
      </w:r>
      <w:r w:rsidR="00BB6581" w:rsidRPr="00B0157E">
        <w:rPr>
          <w:lang w:val="en-AU"/>
        </w:rPr>
        <w:t xml:space="preserve">help </w:t>
      </w:r>
      <w:r w:rsidR="00C34DF2" w:rsidRPr="00B0157E">
        <w:rPr>
          <w:lang w:val="en-AU"/>
        </w:rPr>
        <w:t>p</w:t>
      </w:r>
      <w:r w:rsidR="004C0CD0" w:rsidRPr="00B0157E">
        <w:rPr>
          <w:lang w:val="en-AU"/>
        </w:rPr>
        <w:t xml:space="preserve">atients to better understand what </w:t>
      </w:r>
      <w:r w:rsidR="00C34DF2" w:rsidRPr="00B0157E">
        <w:rPr>
          <w:lang w:val="en-AU"/>
        </w:rPr>
        <w:t>they are allergic to</w:t>
      </w:r>
      <w:r w:rsidR="00012A5D" w:rsidRPr="00B0157E">
        <w:rPr>
          <w:lang w:val="en-AU"/>
        </w:rPr>
        <w:t>,</w:t>
      </w:r>
      <w:r w:rsidR="00C34DF2" w:rsidRPr="00B0157E">
        <w:rPr>
          <w:lang w:val="en-AU"/>
        </w:rPr>
        <w:t xml:space="preserve"> and </w:t>
      </w:r>
      <w:r w:rsidR="00012A5D" w:rsidRPr="00B0157E">
        <w:rPr>
          <w:lang w:val="en-AU"/>
        </w:rPr>
        <w:t>could</w:t>
      </w:r>
      <w:r w:rsidR="0038562C" w:rsidRPr="00B0157E">
        <w:rPr>
          <w:lang w:val="en-AU"/>
        </w:rPr>
        <w:t xml:space="preserve"> lead to more rational </w:t>
      </w:r>
      <w:r w:rsidR="00BB79F1" w:rsidRPr="00B0157E">
        <w:rPr>
          <w:lang w:val="en-AU"/>
        </w:rPr>
        <w:t>medication</w:t>
      </w:r>
      <w:r w:rsidR="0038562C" w:rsidRPr="00B0157E">
        <w:rPr>
          <w:lang w:val="en-AU"/>
        </w:rPr>
        <w:t xml:space="preserve"> allergy labelling</w:t>
      </w:r>
      <w:r w:rsidR="00C34DF2" w:rsidRPr="00B0157E">
        <w:rPr>
          <w:lang w:val="en-AU"/>
        </w:rPr>
        <w:t xml:space="preserve"> for</w:t>
      </w:r>
      <w:r w:rsidR="009A66B0" w:rsidRPr="00B0157E">
        <w:rPr>
          <w:lang w:val="en-AU"/>
        </w:rPr>
        <w:t xml:space="preserve"> patient</w:t>
      </w:r>
      <w:r w:rsidR="00C34DF2" w:rsidRPr="00B0157E">
        <w:rPr>
          <w:lang w:val="en-AU"/>
        </w:rPr>
        <w:t>s</w:t>
      </w:r>
      <w:r w:rsidR="0038562C" w:rsidRPr="00B0157E">
        <w:rPr>
          <w:lang w:val="en-AU"/>
        </w:rPr>
        <w:t xml:space="preserve">. </w:t>
      </w:r>
      <w:r w:rsidR="00172BCB" w:rsidRPr="00B0157E">
        <w:rPr>
          <w:lang w:val="en-AU"/>
        </w:rPr>
        <w:t>The Com</w:t>
      </w:r>
      <w:r w:rsidR="00DC5D02" w:rsidRPr="00B0157E">
        <w:rPr>
          <w:lang w:val="en-AU"/>
        </w:rPr>
        <w:t>mittee acknowledged</w:t>
      </w:r>
      <w:r w:rsidR="00172BCB" w:rsidRPr="00B0157E">
        <w:rPr>
          <w:lang w:val="en-AU"/>
        </w:rPr>
        <w:t xml:space="preserve"> that</w:t>
      </w:r>
      <w:r w:rsidR="0037049D" w:rsidRPr="00B0157E">
        <w:rPr>
          <w:lang w:val="en-AU"/>
        </w:rPr>
        <w:t xml:space="preserve"> </w:t>
      </w:r>
      <w:r w:rsidR="00402AE6" w:rsidRPr="00B0157E">
        <w:rPr>
          <w:lang w:val="en-AU"/>
        </w:rPr>
        <w:t>medication</w:t>
      </w:r>
      <w:r w:rsidR="0038562C" w:rsidRPr="00B0157E">
        <w:rPr>
          <w:lang w:val="en-AU"/>
        </w:rPr>
        <w:t xml:space="preserve"> allergy testing is time-consuming, reagents are expensive and test interpretation is complex</w:t>
      </w:r>
      <w:r w:rsidR="00B838FE" w:rsidRPr="00B0157E">
        <w:rPr>
          <w:lang w:val="en-AU"/>
        </w:rPr>
        <w:t xml:space="preserve">. It therefore </w:t>
      </w:r>
      <w:r w:rsidR="0038562C" w:rsidRPr="00B0157E">
        <w:rPr>
          <w:lang w:val="en-AU"/>
        </w:rPr>
        <w:t xml:space="preserve">anticipates that this item </w:t>
      </w:r>
      <w:r w:rsidR="002C60D8" w:rsidRPr="00B0157E">
        <w:rPr>
          <w:lang w:val="en-AU"/>
        </w:rPr>
        <w:t xml:space="preserve">will </w:t>
      </w:r>
      <w:r w:rsidR="0038562C" w:rsidRPr="00B0157E">
        <w:rPr>
          <w:lang w:val="en-AU"/>
        </w:rPr>
        <w:t xml:space="preserve">be </w:t>
      </w:r>
      <w:r w:rsidR="00FA0FF1" w:rsidRPr="00B0157E">
        <w:rPr>
          <w:lang w:val="en-AU"/>
        </w:rPr>
        <w:t xml:space="preserve">rarely </w:t>
      </w:r>
      <w:r w:rsidR="0038562C" w:rsidRPr="00B0157E">
        <w:rPr>
          <w:lang w:val="en-AU"/>
        </w:rPr>
        <w:t>used</w:t>
      </w:r>
      <w:r w:rsidR="00FA0FF1" w:rsidRPr="00B0157E">
        <w:rPr>
          <w:lang w:val="en-AU"/>
        </w:rPr>
        <w:t>, and only</w:t>
      </w:r>
      <w:r w:rsidR="0038562C" w:rsidRPr="00B0157E">
        <w:rPr>
          <w:lang w:val="en-AU"/>
        </w:rPr>
        <w:t xml:space="preserve"> by appropriately trained specialists or medical practitioners. </w:t>
      </w:r>
    </w:p>
    <w:p w14:paraId="4C306827" w14:textId="77777777" w:rsidR="002765FC" w:rsidRPr="00B0157E" w:rsidRDefault="007B65BD">
      <w:pPr>
        <w:pStyle w:val="01squarebullet"/>
        <w:rPr>
          <w:lang w:val="en-AU"/>
        </w:rPr>
      </w:pPr>
      <w:r w:rsidRPr="00B0157E">
        <w:rPr>
          <w:lang w:val="en-AU"/>
        </w:rPr>
        <w:t>Testing for anaesth</w:t>
      </w:r>
      <w:r w:rsidR="001B01BE" w:rsidRPr="00B0157E">
        <w:rPr>
          <w:lang w:val="en-AU"/>
        </w:rPr>
        <w:t xml:space="preserve">etics under </w:t>
      </w:r>
      <w:r w:rsidR="007E00B9" w:rsidRPr="00B0157E">
        <w:rPr>
          <w:lang w:val="en-AU"/>
        </w:rPr>
        <w:t xml:space="preserve">item </w:t>
      </w:r>
      <w:r w:rsidR="001B01BE" w:rsidRPr="00B0157E">
        <w:rPr>
          <w:lang w:val="en-AU"/>
        </w:rPr>
        <w:t>21981 is currently listed in a</w:t>
      </w:r>
      <w:r w:rsidR="00472DB8" w:rsidRPr="00B0157E">
        <w:rPr>
          <w:lang w:val="en-AU"/>
        </w:rPr>
        <w:t xml:space="preserve"> different </w:t>
      </w:r>
      <w:r w:rsidR="001B01BE" w:rsidRPr="00B0157E">
        <w:rPr>
          <w:lang w:val="en-AU"/>
        </w:rPr>
        <w:t xml:space="preserve">section of </w:t>
      </w:r>
      <w:r w:rsidR="007714E0" w:rsidRPr="00B0157E">
        <w:rPr>
          <w:lang w:val="en-AU"/>
        </w:rPr>
        <w:t>the MBS due to its item number</w:t>
      </w:r>
      <w:r w:rsidR="00C522EC" w:rsidRPr="00B0157E">
        <w:rPr>
          <w:lang w:val="en-AU"/>
        </w:rPr>
        <w:t>.</w:t>
      </w:r>
      <w:r w:rsidR="007714E0" w:rsidRPr="00B0157E">
        <w:rPr>
          <w:lang w:val="en-AU"/>
        </w:rPr>
        <w:t xml:space="preserve"> </w:t>
      </w:r>
      <w:r w:rsidR="00C522EC" w:rsidRPr="00B0157E">
        <w:rPr>
          <w:lang w:val="en-AU"/>
        </w:rPr>
        <w:t>T</w:t>
      </w:r>
      <w:r w:rsidR="007714E0" w:rsidRPr="00B0157E">
        <w:rPr>
          <w:lang w:val="en-AU"/>
        </w:rPr>
        <w:t xml:space="preserve">he </w:t>
      </w:r>
      <w:r w:rsidR="004E6C1A" w:rsidRPr="00B0157E">
        <w:rPr>
          <w:lang w:val="en-AU"/>
        </w:rPr>
        <w:t xml:space="preserve">Committee’s </w:t>
      </w:r>
      <w:r w:rsidR="00C522EC" w:rsidRPr="00B0157E">
        <w:rPr>
          <w:lang w:val="en-AU"/>
        </w:rPr>
        <w:t xml:space="preserve">proposed </w:t>
      </w:r>
      <w:r w:rsidR="007714E0" w:rsidRPr="00B0157E">
        <w:rPr>
          <w:lang w:val="en-AU"/>
        </w:rPr>
        <w:t>change is design</w:t>
      </w:r>
      <w:r w:rsidR="003F4D41" w:rsidRPr="00B0157E">
        <w:rPr>
          <w:lang w:val="en-AU"/>
        </w:rPr>
        <w:t>ed</w:t>
      </w:r>
      <w:r w:rsidR="007714E0" w:rsidRPr="00B0157E">
        <w:rPr>
          <w:lang w:val="en-AU"/>
        </w:rPr>
        <w:t xml:space="preserve"> to simplify the MBS and encourag</w:t>
      </w:r>
      <w:r w:rsidR="00472DB8" w:rsidRPr="00B0157E">
        <w:rPr>
          <w:lang w:val="en-AU"/>
        </w:rPr>
        <w:t xml:space="preserve">e the appropriate use of items by grouping </w:t>
      </w:r>
      <w:r w:rsidR="00087313" w:rsidRPr="00B0157E">
        <w:rPr>
          <w:lang w:val="en-AU"/>
        </w:rPr>
        <w:t xml:space="preserve">the four types of allergen testing together. </w:t>
      </w:r>
      <w:r w:rsidR="00603813" w:rsidRPr="00B0157E">
        <w:rPr>
          <w:lang w:val="en-AU"/>
        </w:rPr>
        <w:t>The</w:t>
      </w:r>
      <w:r w:rsidR="00402AE6" w:rsidRPr="00B0157E">
        <w:rPr>
          <w:lang w:val="en-AU"/>
        </w:rPr>
        <w:t xml:space="preserve"> proposed wording adjustment to the descriptor is intended to improve quality of testing by allowing for agents used in the perioperative period</w:t>
      </w:r>
      <w:r w:rsidR="00D96343" w:rsidRPr="00B0157E">
        <w:rPr>
          <w:lang w:val="en-AU"/>
        </w:rPr>
        <w:t xml:space="preserve"> that sometimes go beyond anaesthetics</w:t>
      </w:r>
      <w:r w:rsidR="00402AE6" w:rsidRPr="00B0157E">
        <w:rPr>
          <w:lang w:val="en-AU"/>
        </w:rPr>
        <w:t xml:space="preserve">. </w:t>
      </w:r>
    </w:p>
    <w:p w14:paraId="78186C41" w14:textId="77777777" w:rsidR="00306124" w:rsidRPr="00B0157E" w:rsidRDefault="003F4D41">
      <w:pPr>
        <w:pStyle w:val="01squarebullet"/>
        <w:rPr>
          <w:lang w:val="en-AU"/>
        </w:rPr>
      </w:pPr>
      <w:r w:rsidRPr="00B0157E">
        <w:rPr>
          <w:lang w:val="en-AU"/>
        </w:rPr>
        <w:t xml:space="preserve">The Committee </w:t>
      </w:r>
      <w:r w:rsidR="00D32EB0" w:rsidRPr="00B0157E">
        <w:rPr>
          <w:lang w:val="en-AU"/>
        </w:rPr>
        <w:t xml:space="preserve">decided </w:t>
      </w:r>
      <w:r w:rsidRPr="00B0157E">
        <w:rPr>
          <w:lang w:val="en-AU"/>
        </w:rPr>
        <w:t>to restrict</w:t>
      </w:r>
      <w:r w:rsidR="00306124" w:rsidRPr="00B0157E">
        <w:rPr>
          <w:lang w:val="en-AU"/>
        </w:rPr>
        <w:t xml:space="preserve"> co-claiming </w:t>
      </w:r>
      <w:r w:rsidR="004926DE" w:rsidRPr="00B0157E">
        <w:rPr>
          <w:lang w:val="en-AU"/>
        </w:rPr>
        <w:t xml:space="preserve">between </w:t>
      </w:r>
      <w:r w:rsidR="00306124" w:rsidRPr="00B0157E">
        <w:rPr>
          <w:lang w:val="en-AU"/>
        </w:rPr>
        <w:t>item numbers</w:t>
      </w:r>
      <w:r w:rsidR="008611BC" w:rsidRPr="00B0157E">
        <w:rPr>
          <w:lang w:val="en-AU"/>
        </w:rPr>
        <w:t xml:space="preserve"> </w:t>
      </w:r>
      <w:r w:rsidR="00402AE6" w:rsidRPr="00B0157E">
        <w:rPr>
          <w:lang w:val="en-AU"/>
        </w:rPr>
        <w:t xml:space="preserve">1200-A, B and D </w:t>
      </w:r>
      <w:r w:rsidR="008611BC" w:rsidRPr="00B0157E">
        <w:rPr>
          <w:lang w:val="en-AU"/>
        </w:rPr>
        <w:t xml:space="preserve">to prevent the </w:t>
      </w:r>
      <w:r w:rsidR="00D51623" w:rsidRPr="00B0157E">
        <w:rPr>
          <w:lang w:val="en-AU"/>
        </w:rPr>
        <w:t xml:space="preserve">proposed </w:t>
      </w:r>
      <w:r w:rsidR="008611BC" w:rsidRPr="00B0157E">
        <w:rPr>
          <w:lang w:val="en-AU"/>
        </w:rPr>
        <w:t xml:space="preserve">changes resulting in </w:t>
      </w:r>
      <w:r w:rsidR="00F9504F" w:rsidRPr="00B0157E">
        <w:rPr>
          <w:lang w:val="en-AU"/>
        </w:rPr>
        <w:t>higher costs for the patient</w:t>
      </w:r>
      <w:r w:rsidR="000A0C0B" w:rsidRPr="00B0157E">
        <w:rPr>
          <w:lang w:val="en-AU"/>
        </w:rPr>
        <w:t>.</w:t>
      </w:r>
      <w:r w:rsidR="0045321E" w:rsidRPr="00B0157E">
        <w:rPr>
          <w:lang w:val="en-AU"/>
        </w:rPr>
        <w:t xml:space="preserve"> (</w:t>
      </w:r>
      <w:r w:rsidR="000A0C0B" w:rsidRPr="00B0157E">
        <w:rPr>
          <w:lang w:val="en-AU"/>
        </w:rPr>
        <w:t>U</w:t>
      </w:r>
      <w:r w:rsidR="008611BC" w:rsidRPr="00B0157E">
        <w:rPr>
          <w:lang w:val="en-AU"/>
        </w:rPr>
        <w:t>nder the previous item numbers</w:t>
      </w:r>
      <w:r w:rsidR="0094485D" w:rsidRPr="00B0157E">
        <w:rPr>
          <w:lang w:val="en-AU"/>
        </w:rPr>
        <w:t>,</w:t>
      </w:r>
      <w:r w:rsidR="008611BC" w:rsidRPr="00B0157E">
        <w:rPr>
          <w:lang w:val="en-AU"/>
        </w:rPr>
        <w:t xml:space="preserve"> these were billed together</w:t>
      </w:r>
      <w:r w:rsidR="003D1BBE" w:rsidRPr="00B0157E">
        <w:rPr>
          <w:lang w:val="en-AU"/>
        </w:rPr>
        <w:t>.</w:t>
      </w:r>
      <w:r w:rsidR="0094485D" w:rsidRPr="00B0157E">
        <w:rPr>
          <w:lang w:val="en-AU"/>
        </w:rPr>
        <w:t>)</w:t>
      </w:r>
      <w:r w:rsidR="00F9504F" w:rsidRPr="00B0157E">
        <w:rPr>
          <w:lang w:val="en-AU"/>
        </w:rPr>
        <w:t xml:space="preserve"> These tests can still be performed together, </w:t>
      </w:r>
      <w:r w:rsidR="00E14202" w:rsidRPr="00B0157E">
        <w:rPr>
          <w:lang w:val="en-AU"/>
        </w:rPr>
        <w:t xml:space="preserve">but </w:t>
      </w:r>
      <w:r w:rsidR="00F9504F" w:rsidRPr="00B0157E">
        <w:rPr>
          <w:lang w:val="en-AU"/>
        </w:rPr>
        <w:t>a patient w</w:t>
      </w:r>
      <w:r w:rsidR="00E14202" w:rsidRPr="00B0157E">
        <w:rPr>
          <w:lang w:val="en-AU"/>
        </w:rPr>
        <w:t>ill not</w:t>
      </w:r>
      <w:r w:rsidR="00F9504F" w:rsidRPr="00B0157E">
        <w:rPr>
          <w:lang w:val="en-AU"/>
        </w:rPr>
        <w:t xml:space="preserve"> be billed for </w:t>
      </w:r>
      <w:r w:rsidR="00F36934" w:rsidRPr="00B0157E">
        <w:rPr>
          <w:lang w:val="en-AU"/>
        </w:rPr>
        <w:t>all of the tests</w:t>
      </w:r>
      <w:r w:rsidR="00FE6AD1" w:rsidRPr="00B0157E">
        <w:rPr>
          <w:lang w:val="en-AU"/>
        </w:rPr>
        <w:t>,</w:t>
      </w:r>
      <w:r w:rsidR="00F9504F" w:rsidRPr="00B0157E">
        <w:rPr>
          <w:lang w:val="en-AU"/>
        </w:rPr>
        <w:t xml:space="preserve"> and the fees should be adjusted to reflect this.</w:t>
      </w:r>
      <w:r w:rsidR="0067528C" w:rsidRPr="00B0157E">
        <w:rPr>
          <w:lang w:val="en-AU"/>
        </w:rPr>
        <w:t xml:space="preserve"> </w:t>
      </w:r>
      <w:r w:rsidR="00964905" w:rsidRPr="00B0157E">
        <w:rPr>
          <w:lang w:val="en-AU"/>
        </w:rPr>
        <w:t>The</w:t>
      </w:r>
      <w:r w:rsidR="0067528C" w:rsidRPr="00B0157E">
        <w:rPr>
          <w:lang w:val="en-AU"/>
        </w:rPr>
        <w:t xml:space="preserve"> Committee decided not to restrict co-claiming with item 1200-C as</w:t>
      </w:r>
      <w:r w:rsidR="003426BA" w:rsidRPr="00B0157E">
        <w:rPr>
          <w:lang w:val="en-AU"/>
        </w:rPr>
        <w:t xml:space="preserve"> this will be required</w:t>
      </w:r>
      <w:r w:rsidR="0067528C" w:rsidRPr="00B0157E">
        <w:rPr>
          <w:lang w:val="en-AU"/>
        </w:rPr>
        <w:t xml:space="preserve"> on certain occasions</w:t>
      </w:r>
      <w:r w:rsidR="00714C0A" w:rsidRPr="00B0157E">
        <w:rPr>
          <w:lang w:val="en-AU"/>
        </w:rPr>
        <w:t>,</w:t>
      </w:r>
      <w:r w:rsidR="0067528C" w:rsidRPr="00B0157E">
        <w:rPr>
          <w:lang w:val="en-AU"/>
        </w:rPr>
        <w:t xml:space="preserve"> </w:t>
      </w:r>
      <w:r w:rsidR="00E764D4" w:rsidRPr="00B0157E">
        <w:rPr>
          <w:lang w:val="en-AU"/>
        </w:rPr>
        <w:t>and the associated schedule fee is unlikely to reimburse the costs involved.</w:t>
      </w:r>
      <w:r w:rsidR="004A352E">
        <w:rPr>
          <w:lang w:val="en-AU"/>
        </w:rPr>
        <w:t xml:space="preserve"> </w:t>
      </w:r>
    </w:p>
    <w:p w14:paraId="5BFE03A1" w14:textId="77777777" w:rsidR="002864E4" w:rsidRPr="00B0157E" w:rsidRDefault="002864E4">
      <w:pPr>
        <w:pStyle w:val="01squarebullet"/>
        <w:rPr>
          <w:lang w:val="en-AU"/>
        </w:rPr>
      </w:pPr>
      <w:r w:rsidRPr="00B0157E">
        <w:rPr>
          <w:lang w:val="en-AU"/>
        </w:rPr>
        <w:t xml:space="preserve">The Committee also agreed that testing for aeroallergens more than once in a 12 month period would be unnecessary </w:t>
      </w:r>
      <w:r w:rsidR="00C505DF" w:rsidRPr="00B0157E">
        <w:rPr>
          <w:lang w:val="en-AU"/>
        </w:rPr>
        <w:t>and billing for this should not be permitted.</w:t>
      </w:r>
      <w:r w:rsidR="004A352E">
        <w:rPr>
          <w:lang w:val="en-AU"/>
        </w:rPr>
        <w:t xml:space="preserve"> </w:t>
      </w:r>
    </w:p>
    <w:p w14:paraId="3ADE27CE" w14:textId="77777777" w:rsidR="001C7EA8" w:rsidRPr="002808A4" w:rsidRDefault="001C7EA8" w:rsidP="002808A4">
      <w:pPr>
        <w:pStyle w:val="Heading3"/>
      </w:pPr>
      <w:bookmarkStart w:id="106" w:name="_Toc458774427"/>
      <w:r w:rsidRPr="002808A4">
        <w:t>Item 53600</w:t>
      </w:r>
      <w:bookmarkEnd w:id="106"/>
    </w:p>
    <w:p w14:paraId="77A9EE63" w14:textId="77777777" w:rsidR="001C7EA8" w:rsidRPr="00B0157E" w:rsidRDefault="001C7EA8" w:rsidP="00C33ED9">
      <w:pPr>
        <w:rPr>
          <w:b/>
          <w:lang w:val="en-AU"/>
        </w:rPr>
      </w:pPr>
      <w:r w:rsidRPr="00B0157E">
        <w:rPr>
          <w:b/>
          <w:lang w:val="en-AU"/>
        </w:rPr>
        <w:t xml:space="preserve">Recommendation </w:t>
      </w:r>
    </w:p>
    <w:p w14:paraId="4D2B4307" w14:textId="77777777" w:rsidR="001C7EA8" w:rsidRPr="00B0157E" w:rsidRDefault="001C7EA8">
      <w:pPr>
        <w:pStyle w:val="01squarebullet"/>
        <w:rPr>
          <w:lang w:val="en-AU"/>
        </w:rPr>
      </w:pPr>
      <w:r w:rsidRPr="00B0157E">
        <w:rPr>
          <w:lang w:val="en-AU"/>
        </w:rPr>
        <w:t>Delete this item from</w:t>
      </w:r>
      <w:r w:rsidR="00696599" w:rsidRPr="00B0157E">
        <w:rPr>
          <w:lang w:val="en-AU"/>
        </w:rPr>
        <w:t xml:space="preserve"> the MBS.</w:t>
      </w:r>
      <w:r w:rsidR="004A352E">
        <w:rPr>
          <w:lang w:val="en-AU"/>
        </w:rPr>
        <w:t xml:space="preserve"> </w:t>
      </w:r>
    </w:p>
    <w:p w14:paraId="0FB72F26" w14:textId="77777777" w:rsidR="001C7EA8" w:rsidRPr="00B0157E" w:rsidRDefault="001C7EA8" w:rsidP="00C33ED9">
      <w:pPr>
        <w:rPr>
          <w:b/>
          <w:lang w:val="en-AU"/>
        </w:rPr>
      </w:pPr>
      <w:r w:rsidRPr="00B0157E">
        <w:rPr>
          <w:b/>
          <w:lang w:val="en-AU"/>
        </w:rPr>
        <w:t>Rationale</w:t>
      </w:r>
    </w:p>
    <w:p w14:paraId="019882D9" w14:textId="77777777" w:rsidR="00696599" w:rsidRPr="00B0157E" w:rsidRDefault="00696599" w:rsidP="00C33ED9">
      <w:pPr>
        <w:rPr>
          <w:lang w:val="en-AU"/>
        </w:rPr>
      </w:pPr>
      <w:r w:rsidRPr="00B0157E">
        <w:rPr>
          <w:lang w:val="en-AU"/>
        </w:rPr>
        <w:t xml:space="preserve">The </w:t>
      </w:r>
      <w:r w:rsidR="00F07390" w:rsidRPr="00B0157E">
        <w:rPr>
          <w:lang w:val="en-AU"/>
        </w:rPr>
        <w:t>r</w:t>
      </w:r>
      <w:r w:rsidRPr="00B0157E">
        <w:rPr>
          <w:lang w:val="en-AU"/>
        </w:rPr>
        <w:t>ecommendation focuse</w:t>
      </w:r>
      <w:r w:rsidR="00692591" w:rsidRPr="00B0157E">
        <w:rPr>
          <w:lang w:val="en-AU"/>
        </w:rPr>
        <w:t>s</w:t>
      </w:r>
      <w:r w:rsidRPr="00B0157E">
        <w:rPr>
          <w:lang w:val="en-AU"/>
        </w:rPr>
        <w:t xml:space="preserve"> on encouraging b</w:t>
      </w:r>
      <w:r w:rsidR="00494EDB" w:rsidRPr="00B0157E">
        <w:rPr>
          <w:lang w:val="en-AU"/>
        </w:rPr>
        <w:t>est practice and moder</w:t>
      </w:r>
      <w:r w:rsidRPr="00B0157E">
        <w:rPr>
          <w:lang w:val="en-AU"/>
        </w:rPr>
        <w:t>nising the MBS</w:t>
      </w:r>
      <w:r w:rsidR="000F173F" w:rsidRPr="00B0157E">
        <w:rPr>
          <w:lang w:val="en-AU"/>
        </w:rPr>
        <w:t>.</w:t>
      </w:r>
      <w:r w:rsidRPr="00B0157E">
        <w:rPr>
          <w:lang w:val="en-AU"/>
        </w:rPr>
        <w:t xml:space="preserve"> </w:t>
      </w:r>
      <w:r w:rsidR="000F173F" w:rsidRPr="00B0157E">
        <w:rPr>
          <w:lang w:val="en-AU"/>
        </w:rPr>
        <w:t>I</w:t>
      </w:r>
      <w:r w:rsidRPr="00B0157E">
        <w:rPr>
          <w:lang w:val="en-AU"/>
        </w:rPr>
        <w:t xml:space="preserve">t is </w:t>
      </w:r>
      <w:r w:rsidR="00345693" w:rsidRPr="00B0157E">
        <w:rPr>
          <w:lang w:val="en-AU"/>
        </w:rPr>
        <w:t>based on the following observations</w:t>
      </w:r>
      <w:r w:rsidR="005C2C4B" w:rsidRPr="00B0157E">
        <w:rPr>
          <w:lang w:val="en-AU"/>
        </w:rPr>
        <w:t>.</w:t>
      </w:r>
      <w:r w:rsidR="004A352E">
        <w:rPr>
          <w:lang w:val="en-AU"/>
        </w:rPr>
        <w:t xml:space="preserve"> </w:t>
      </w:r>
    </w:p>
    <w:p w14:paraId="52E08198" w14:textId="77777777" w:rsidR="0005770F" w:rsidRPr="00B0157E" w:rsidRDefault="0005770F">
      <w:pPr>
        <w:pStyle w:val="01squarebullet"/>
        <w:rPr>
          <w:lang w:val="en-AU"/>
        </w:rPr>
      </w:pPr>
      <w:r w:rsidRPr="00B0157E">
        <w:rPr>
          <w:lang w:val="en-AU"/>
        </w:rPr>
        <w:t>The Committee concluded that this item is obsolete and no longer reflects best practice. MBS data indicates that the item has only been billed twice in the last decade.</w:t>
      </w:r>
      <w:r w:rsidR="00957E07" w:rsidRPr="00B0157E">
        <w:rPr>
          <w:lang w:val="en-AU"/>
        </w:rPr>
        <w:fldChar w:fldCharType="begin" w:fldLock="1"/>
      </w:r>
      <w:r w:rsidR="00957E07"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957E07" w:rsidRPr="00B0157E">
        <w:rPr>
          <w:lang w:val="en-AU"/>
        </w:rPr>
        <w:fldChar w:fldCharType="separate"/>
      </w:r>
      <w:r w:rsidR="00957E07" w:rsidRPr="00B0157E">
        <w:rPr>
          <w:lang w:val="en-AU"/>
        </w:rPr>
        <w:t>[2]</w:t>
      </w:r>
      <w:r w:rsidR="00957E07" w:rsidRPr="00B0157E">
        <w:rPr>
          <w:lang w:val="en-AU"/>
        </w:rPr>
        <w:fldChar w:fldCharType="end"/>
      </w:r>
      <w:r w:rsidRPr="00B0157E">
        <w:rPr>
          <w:lang w:val="en-AU"/>
        </w:rPr>
        <w:t xml:space="preserve"> </w:t>
      </w:r>
    </w:p>
    <w:p w14:paraId="09D877FE" w14:textId="77777777" w:rsidR="007B2B40" w:rsidRPr="00B0157E" w:rsidRDefault="007B2B40" w:rsidP="00510D51">
      <w:pPr>
        <w:pStyle w:val="01squarebullet"/>
        <w:tabs>
          <w:tab w:val="left" w:pos="7230"/>
        </w:tabs>
        <w:rPr>
          <w:lang w:val="en-AU"/>
        </w:rPr>
      </w:pPr>
      <w:r w:rsidRPr="00B0157E">
        <w:rPr>
          <w:lang w:val="en-AU"/>
        </w:rPr>
        <w:t xml:space="preserve">There are already large restrictions placed on </w:t>
      </w:r>
      <w:r w:rsidR="00B774EE" w:rsidRPr="00B0157E">
        <w:rPr>
          <w:lang w:val="en-AU"/>
        </w:rPr>
        <w:t xml:space="preserve">this </w:t>
      </w:r>
      <w:r w:rsidRPr="00B0157E">
        <w:rPr>
          <w:lang w:val="en-AU"/>
        </w:rPr>
        <w:t>item</w:t>
      </w:r>
      <w:r w:rsidR="00EA1598" w:rsidRPr="00B0157E">
        <w:rPr>
          <w:lang w:val="en-AU"/>
        </w:rPr>
        <w:t>, which</w:t>
      </w:r>
      <w:r w:rsidR="00DF7AF1" w:rsidRPr="00B0157E">
        <w:rPr>
          <w:lang w:val="en-AU"/>
        </w:rPr>
        <w:t xml:space="preserve"> </w:t>
      </w:r>
      <w:r w:rsidR="006A04AE" w:rsidRPr="00B0157E">
        <w:rPr>
          <w:lang w:val="en-AU"/>
        </w:rPr>
        <w:t>prohibit use</w:t>
      </w:r>
      <w:r w:rsidR="00DF7AF1" w:rsidRPr="00B0157E">
        <w:rPr>
          <w:lang w:val="en-AU"/>
        </w:rPr>
        <w:t>.</w:t>
      </w:r>
      <w:r w:rsidRPr="00B0157E">
        <w:rPr>
          <w:lang w:val="en-AU"/>
        </w:rPr>
        <w:t xml:space="preserve"> The term “OMS surgery” in the item descriptor restricts the use of this item to dental practitioners who were approved by the</w:t>
      </w:r>
      <w:r w:rsidR="00510D51">
        <w:rPr>
          <w:lang w:val="en-AU"/>
        </w:rPr>
        <w:t xml:space="preserve"> then</w:t>
      </w:r>
      <w:r w:rsidRPr="00B0157E">
        <w:rPr>
          <w:lang w:val="en-AU"/>
        </w:rPr>
        <w:t xml:space="preserve"> Minister </w:t>
      </w:r>
      <w:r w:rsidR="00235BD9">
        <w:rPr>
          <w:lang w:val="en-AU"/>
        </w:rPr>
        <w:t xml:space="preserve">for Health </w:t>
      </w:r>
      <w:r w:rsidRPr="00B0157E">
        <w:rPr>
          <w:lang w:val="en-AU"/>
        </w:rPr>
        <w:t xml:space="preserve">prior to 1 November 2004 for the provision of oral and maxillofacial surgery services and relevant attendances. </w:t>
      </w:r>
    </w:p>
    <w:p w14:paraId="50800D0F" w14:textId="77777777" w:rsidR="00101396" w:rsidRPr="00B0157E" w:rsidRDefault="004E63EC" w:rsidP="00C33ED9">
      <w:pPr>
        <w:pStyle w:val="Heading2"/>
        <w:rPr>
          <w:lang w:val="en-AU"/>
        </w:rPr>
      </w:pPr>
      <w:bookmarkStart w:id="107" w:name="_Toc458774428"/>
      <w:bookmarkStart w:id="108" w:name="_Toc465871872"/>
      <w:r w:rsidRPr="00B0157E">
        <w:rPr>
          <w:lang w:val="en-AU"/>
        </w:rPr>
        <w:lastRenderedPageBreak/>
        <w:t>Treating malignant lesions by</w:t>
      </w:r>
      <w:r w:rsidR="00101396" w:rsidRPr="00B0157E">
        <w:rPr>
          <w:lang w:val="en-AU"/>
        </w:rPr>
        <w:t xml:space="preserve"> liquid nitrogen cryotherapy </w:t>
      </w:r>
      <w:r w:rsidRPr="00B0157E">
        <w:rPr>
          <w:lang w:val="en-AU"/>
        </w:rPr>
        <w:t>using repeat freeze-thaw cycles</w:t>
      </w:r>
      <w:r w:rsidR="007877E6" w:rsidRPr="00B0157E">
        <w:rPr>
          <w:lang w:val="en-AU"/>
        </w:rPr>
        <w:t>:</w:t>
      </w:r>
      <w:r w:rsidRPr="00B0157E">
        <w:rPr>
          <w:lang w:val="en-AU"/>
        </w:rPr>
        <w:t xml:space="preserve"> </w:t>
      </w:r>
      <w:r w:rsidR="007877E6" w:rsidRPr="00B0157E">
        <w:rPr>
          <w:lang w:val="en-AU"/>
        </w:rPr>
        <w:t>I</w:t>
      </w:r>
      <w:r w:rsidR="00101396" w:rsidRPr="00B0157E">
        <w:rPr>
          <w:lang w:val="en-AU"/>
        </w:rPr>
        <w:t>tems 30202, 30203 and 30205</w:t>
      </w:r>
      <w:bookmarkEnd w:id="107"/>
      <w:bookmarkEnd w:id="108"/>
      <w:r w:rsidR="00101396" w:rsidRPr="00B0157E">
        <w:rPr>
          <w:lang w:val="en-AU"/>
        </w:rPr>
        <w:t xml:space="preserve"> </w:t>
      </w:r>
    </w:p>
    <w:p w14:paraId="5B81E4B8" w14:textId="77777777" w:rsidR="007417CE" w:rsidRPr="00B0157E" w:rsidRDefault="007417CE" w:rsidP="00C33ED9">
      <w:pPr>
        <w:pStyle w:val="Caption"/>
        <w:rPr>
          <w:lang w:val="en-AU"/>
        </w:rPr>
      </w:pPr>
      <w:bookmarkStart w:id="109" w:name="_Toc457520565"/>
      <w:bookmarkStart w:id="110" w:name="_Toc459236294"/>
      <w:bookmarkStart w:id="111" w:name="_Toc465871829"/>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6</w:t>
      </w:r>
      <w:r w:rsidR="00C1346F" w:rsidRPr="00B0157E">
        <w:rPr>
          <w:lang w:val="en-AU"/>
        </w:rPr>
        <w:fldChar w:fldCharType="end"/>
      </w:r>
      <w:r w:rsidRPr="00B0157E">
        <w:rPr>
          <w:lang w:val="en-AU"/>
        </w:rPr>
        <w:t xml:space="preserve">: </w:t>
      </w:r>
      <w:r w:rsidR="006866FF" w:rsidRPr="00B0157E">
        <w:rPr>
          <w:lang w:val="en-AU"/>
        </w:rPr>
        <w:t xml:space="preserve">Item introduction table for items </w:t>
      </w:r>
      <w:r w:rsidRPr="00B0157E">
        <w:rPr>
          <w:lang w:val="en-AU"/>
        </w:rPr>
        <w:t>30202</w:t>
      </w:r>
      <w:r w:rsidR="006866FF" w:rsidRPr="00B0157E">
        <w:rPr>
          <w:lang w:val="en-AU"/>
        </w:rPr>
        <w:t xml:space="preserve">–3 and </w:t>
      </w:r>
      <w:r w:rsidRPr="00B0157E">
        <w:rPr>
          <w:lang w:val="en-AU"/>
        </w:rPr>
        <w:t>30205</w:t>
      </w:r>
      <w:bookmarkEnd w:id="109"/>
      <w:bookmarkEnd w:id="110"/>
      <w:bookmarkEnd w:id="111"/>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6 is an item introduction table for items 30202, 30203, and 30205 which are used when treating malignant lesions by liquid nitrogen cryotherapy using repeat freeze-thaw cycles.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7417CE" w:rsidRPr="00B0157E" w14:paraId="15C69E03" w14:textId="77777777">
        <w:trPr>
          <w:tblHeader/>
        </w:trPr>
        <w:tc>
          <w:tcPr>
            <w:tcW w:w="717" w:type="dxa"/>
            <w:shd w:val="clear" w:color="auto" w:fill="F2F2F2" w:themeFill="background1" w:themeFillShade="F2"/>
            <w:vAlign w:val="bottom"/>
          </w:tcPr>
          <w:p w14:paraId="213052BE" w14:textId="77777777" w:rsidR="007417CE" w:rsidRPr="00B0157E" w:rsidRDefault="007417CE" w:rsidP="005B09FB">
            <w:pPr>
              <w:pStyle w:val="02Tabletext"/>
              <w:spacing w:after="20"/>
              <w:rPr>
                <w:b/>
              </w:rPr>
            </w:pPr>
            <w:r w:rsidRPr="00B0157E">
              <w:rPr>
                <w:b/>
              </w:rPr>
              <w:t>Item</w:t>
            </w:r>
          </w:p>
        </w:tc>
        <w:tc>
          <w:tcPr>
            <w:tcW w:w="4119" w:type="dxa"/>
            <w:shd w:val="clear" w:color="auto" w:fill="F2F2F2" w:themeFill="background1" w:themeFillShade="F2"/>
            <w:vAlign w:val="bottom"/>
          </w:tcPr>
          <w:p w14:paraId="55E30C14" w14:textId="77777777" w:rsidR="007417CE" w:rsidRPr="00B0157E" w:rsidRDefault="007417CE" w:rsidP="005B09FB">
            <w:pPr>
              <w:pStyle w:val="02Tabletext"/>
              <w:spacing w:after="20"/>
              <w:rPr>
                <w:b/>
              </w:rPr>
            </w:pPr>
            <w:r w:rsidRPr="00B0157E">
              <w:rPr>
                <w:b/>
              </w:rPr>
              <w:t>Descriptor</w:t>
            </w:r>
          </w:p>
          <w:p w14:paraId="025338EE" w14:textId="77777777" w:rsidR="007417CE" w:rsidRPr="00B0157E" w:rsidRDefault="007417CE" w:rsidP="005B09FB">
            <w:pPr>
              <w:pStyle w:val="02Tabletext"/>
              <w:spacing w:after="20"/>
              <w:rPr>
                <w:b/>
              </w:rPr>
            </w:pPr>
            <w:r w:rsidRPr="00B0157E">
              <w:rPr>
                <w:b/>
              </w:rPr>
              <w:t>[date last amended]</w:t>
            </w:r>
          </w:p>
        </w:tc>
        <w:tc>
          <w:tcPr>
            <w:tcW w:w="917" w:type="dxa"/>
            <w:shd w:val="clear" w:color="auto" w:fill="F2F2F2" w:themeFill="background1" w:themeFillShade="F2"/>
            <w:vAlign w:val="bottom"/>
          </w:tcPr>
          <w:p w14:paraId="4DBBB7E2" w14:textId="77777777" w:rsidR="007417CE" w:rsidRPr="00B0157E" w:rsidRDefault="007417CE" w:rsidP="005B09FB">
            <w:pPr>
              <w:pStyle w:val="02Tabletext"/>
              <w:spacing w:after="20"/>
              <w:rPr>
                <w:b/>
              </w:rPr>
            </w:pPr>
            <w:r w:rsidRPr="00B0157E">
              <w:rPr>
                <w:b/>
              </w:rPr>
              <w:t>Schedule</w:t>
            </w:r>
          </w:p>
          <w:p w14:paraId="358A4680" w14:textId="77777777" w:rsidR="007417CE" w:rsidRPr="00B0157E" w:rsidRDefault="007417CE" w:rsidP="005B09FB">
            <w:pPr>
              <w:pStyle w:val="02Tabletext"/>
              <w:spacing w:after="20"/>
              <w:rPr>
                <w:b/>
              </w:rPr>
            </w:pPr>
            <w:r w:rsidRPr="00B0157E">
              <w:rPr>
                <w:b/>
              </w:rPr>
              <w:t>fee</w:t>
            </w:r>
          </w:p>
        </w:tc>
        <w:tc>
          <w:tcPr>
            <w:tcW w:w="997" w:type="dxa"/>
            <w:shd w:val="clear" w:color="auto" w:fill="F2F2F2" w:themeFill="background1" w:themeFillShade="F2"/>
            <w:vAlign w:val="bottom"/>
          </w:tcPr>
          <w:p w14:paraId="14BF6E79" w14:textId="77777777" w:rsidR="007417CE" w:rsidRPr="00B0157E" w:rsidRDefault="007417CE" w:rsidP="005B09FB">
            <w:pPr>
              <w:pStyle w:val="02Tabletext"/>
              <w:spacing w:after="20"/>
              <w:rPr>
                <w:b/>
              </w:rPr>
            </w:pPr>
            <w:r w:rsidRPr="00B0157E">
              <w:rPr>
                <w:b/>
              </w:rPr>
              <w:t>Services FY2014/15</w:t>
            </w:r>
          </w:p>
        </w:tc>
        <w:tc>
          <w:tcPr>
            <w:tcW w:w="1080" w:type="dxa"/>
            <w:shd w:val="clear" w:color="auto" w:fill="F2F2F2" w:themeFill="background1" w:themeFillShade="F2"/>
            <w:vAlign w:val="bottom"/>
          </w:tcPr>
          <w:p w14:paraId="0EFDE6DC" w14:textId="77777777" w:rsidR="007417CE" w:rsidRPr="00B0157E" w:rsidRDefault="007417CE" w:rsidP="005B09FB">
            <w:pPr>
              <w:pStyle w:val="02Tabletext"/>
              <w:spacing w:after="20"/>
              <w:rPr>
                <w:b/>
              </w:rPr>
            </w:pPr>
            <w:r w:rsidRPr="00B0157E">
              <w:rPr>
                <w:b/>
              </w:rPr>
              <w:t>Benefits FY2014/15</w:t>
            </w:r>
          </w:p>
        </w:tc>
        <w:tc>
          <w:tcPr>
            <w:tcW w:w="1196" w:type="dxa"/>
            <w:shd w:val="clear" w:color="auto" w:fill="F2F2F2" w:themeFill="background1" w:themeFillShade="F2"/>
            <w:vAlign w:val="bottom"/>
          </w:tcPr>
          <w:p w14:paraId="3D8E43AA" w14:textId="77777777" w:rsidR="007417CE" w:rsidRPr="00B0157E" w:rsidRDefault="003E5EBF" w:rsidP="005B09FB">
            <w:pPr>
              <w:pStyle w:val="02Tabletext"/>
              <w:spacing w:after="20"/>
              <w:rPr>
                <w:b/>
              </w:rPr>
            </w:pPr>
            <w:r>
              <w:rPr>
                <w:b/>
              </w:rPr>
              <w:t>Services 5-</w:t>
            </w:r>
            <w:r w:rsidR="007417CE" w:rsidRPr="00B0157E">
              <w:rPr>
                <w:b/>
              </w:rPr>
              <w:t>year annual avg. growth</w:t>
            </w:r>
          </w:p>
        </w:tc>
      </w:tr>
      <w:tr w:rsidR="007417CE" w:rsidRPr="00B0157E" w14:paraId="422F7B6B" w14:textId="77777777">
        <w:tc>
          <w:tcPr>
            <w:tcW w:w="717" w:type="dxa"/>
          </w:tcPr>
          <w:p w14:paraId="7FA896FA" w14:textId="77777777" w:rsidR="007417CE" w:rsidRPr="00B0157E" w:rsidRDefault="00EB6B0D" w:rsidP="005B09FB">
            <w:pPr>
              <w:pStyle w:val="02Tabletext"/>
              <w:spacing w:after="20"/>
            </w:pPr>
            <w:r w:rsidRPr="00B0157E">
              <w:rPr>
                <w:szCs w:val="18"/>
              </w:rPr>
              <w:t>30202</w:t>
            </w:r>
          </w:p>
        </w:tc>
        <w:tc>
          <w:tcPr>
            <w:tcW w:w="4119" w:type="dxa"/>
          </w:tcPr>
          <w:p w14:paraId="01B4F660" w14:textId="77777777" w:rsidR="007417CE" w:rsidRPr="00B0157E" w:rsidRDefault="00EB6B0D" w:rsidP="00443D14">
            <w:pPr>
              <w:pStyle w:val="02Tabletext"/>
              <w:spacing w:after="20"/>
            </w:pPr>
            <w:r w:rsidRPr="00B0157E">
              <w:rPr>
                <w:szCs w:val="18"/>
              </w:rPr>
              <w:t>M</w:t>
            </w:r>
            <w:r w:rsidR="001A2EA7" w:rsidRPr="00B0157E">
              <w:rPr>
                <w:szCs w:val="18"/>
              </w:rPr>
              <w:t xml:space="preserve">alignant neoplasm of skin or mucous membrane </w:t>
            </w:r>
            <w:r w:rsidRPr="00B0157E">
              <w:rPr>
                <w:szCs w:val="18"/>
              </w:rPr>
              <w:t xml:space="preserve">proven by histopathology or confirmed by specialist opinion, removal of, </w:t>
            </w:r>
            <w:r w:rsidR="00F54846" w:rsidRPr="00B0157E">
              <w:rPr>
                <w:szCs w:val="18"/>
              </w:rPr>
              <w:t xml:space="preserve">by liquid nitrogen </w:t>
            </w:r>
            <w:r w:rsidR="003A4B44" w:rsidRPr="00B0157E">
              <w:rPr>
                <w:szCs w:val="18"/>
              </w:rPr>
              <w:t>cryotherapy</w:t>
            </w:r>
            <w:r w:rsidRPr="00B0157E">
              <w:rPr>
                <w:szCs w:val="18"/>
              </w:rPr>
              <w:t xml:space="preserve"> using repeat freeze-thaw cycles, not being a service to which item 30203 applies.</w:t>
            </w:r>
            <w:r w:rsidR="00231B57" w:rsidRPr="00B0157E">
              <w:rPr>
                <w:szCs w:val="18"/>
              </w:rPr>
              <w:t xml:space="preserve"> </w:t>
            </w:r>
            <w:r w:rsidR="00A05AFA" w:rsidRPr="00B0157E">
              <w:rPr>
                <w:szCs w:val="18"/>
              </w:rPr>
              <w:t>[2003]</w:t>
            </w:r>
          </w:p>
        </w:tc>
        <w:tc>
          <w:tcPr>
            <w:tcW w:w="917" w:type="dxa"/>
          </w:tcPr>
          <w:p w14:paraId="165C769A" w14:textId="77777777" w:rsidR="007417CE" w:rsidRPr="00B0157E" w:rsidRDefault="00EB6B0D" w:rsidP="005B09FB">
            <w:pPr>
              <w:pStyle w:val="02Tabletext"/>
              <w:spacing w:after="20"/>
              <w:jc w:val="center"/>
            </w:pPr>
            <w:r w:rsidRPr="00B0157E">
              <w:rPr>
                <w:szCs w:val="18"/>
              </w:rPr>
              <w:t>$48.35</w:t>
            </w:r>
          </w:p>
        </w:tc>
        <w:tc>
          <w:tcPr>
            <w:tcW w:w="997" w:type="dxa"/>
          </w:tcPr>
          <w:p w14:paraId="743EAE7D" w14:textId="77777777" w:rsidR="007417CE" w:rsidRPr="00B0157E" w:rsidRDefault="00EB6B0D" w:rsidP="005B09FB">
            <w:pPr>
              <w:pStyle w:val="02Tabletext"/>
              <w:spacing w:after="20"/>
              <w:jc w:val="center"/>
            </w:pPr>
            <w:r w:rsidRPr="00B0157E">
              <w:rPr>
                <w:szCs w:val="18"/>
              </w:rPr>
              <w:t>61,776</w:t>
            </w:r>
          </w:p>
        </w:tc>
        <w:tc>
          <w:tcPr>
            <w:tcW w:w="1080" w:type="dxa"/>
          </w:tcPr>
          <w:p w14:paraId="23B8D943" w14:textId="77777777" w:rsidR="007417CE" w:rsidRPr="00B0157E" w:rsidRDefault="00EB6B0D" w:rsidP="005B09FB">
            <w:pPr>
              <w:pStyle w:val="02Tabletext"/>
              <w:spacing w:after="20"/>
              <w:jc w:val="center"/>
            </w:pPr>
            <w:r w:rsidRPr="00B0157E">
              <w:rPr>
                <w:szCs w:val="18"/>
              </w:rPr>
              <w:t>$2,004,167</w:t>
            </w:r>
          </w:p>
        </w:tc>
        <w:tc>
          <w:tcPr>
            <w:tcW w:w="1196" w:type="dxa"/>
          </w:tcPr>
          <w:p w14:paraId="0573AFE4" w14:textId="77777777" w:rsidR="007417CE" w:rsidRPr="00B0157E" w:rsidRDefault="00636816" w:rsidP="005B09FB">
            <w:pPr>
              <w:pStyle w:val="02Tabletext"/>
              <w:spacing w:after="20"/>
              <w:jc w:val="center"/>
            </w:pPr>
            <w:r w:rsidRPr="00B0157E">
              <w:t>3.40%</w:t>
            </w:r>
          </w:p>
        </w:tc>
      </w:tr>
      <w:tr w:rsidR="007417CE" w:rsidRPr="00B0157E" w14:paraId="029C8F5C" w14:textId="77777777">
        <w:tc>
          <w:tcPr>
            <w:tcW w:w="717" w:type="dxa"/>
          </w:tcPr>
          <w:p w14:paraId="329E9D8D" w14:textId="77777777" w:rsidR="007417CE" w:rsidRPr="00B0157E" w:rsidRDefault="00B81C1B" w:rsidP="005B09FB">
            <w:pPr>
              <w:pStyle w:val="02Tabletext"/>
              <w:spacing w:after="20"/>
            </w:pPr>
            <w:r w:rsidRPr="00B0157E">
              <w:t>30203</w:t>
            </w:r>
          </w:p>
        </w:tc>
        <w:tc>
          <w:tcPr>
            <w:tcW w:w="4119" w:type="dxa"/>
          </w:tcPr>
          <w:p w14:paraId="0A0EF05C" w14:textId="77777777" w:rsidR="007417CE" w:rsidRPr="00B0157E" w:rsidRDefault="00B81C1B" w:rsidP="005B09FB">
            <w:pPr>
              <w:pStyle w:val="02Tabletext"/>
              <w:spacing w:after="20"/>
            </w:pPr>
            <w:r w:rsidRPr="00B0157E">
              <w:t>Malignant neoplasm of skin or mucous membrane proven by histopathology or confirmed by specialist opinion, removal of, by liquid nitrogen cryotherapy using repeat freeze-thaw cycles (10 or more lesions).</w:t>
            </w:r>
            <w:r w:rsidR="00690560" w:rsidRPr="00B0157E">
              <w:t xml:space="preserve"> </w:t>
            </w:r>
            <w:r w:rsidR="00A05AFA" w:rsidRPr="00B0157E">
              <w:t>[2003]</w:t>
            </w:r>
          </w:p>
        </w:tc>
        <w:tc>
          <w:tcPr>
            <w:tcW w:w="917" w:type="dxa"/>
          </w:tcPr>
          <w:p w14:paraId="7A27AD7E" w14:textId="77777777" w:rsidR="007417CE" w:rsidRPr="00B0157E" w:rsidRDefault="00B81C1B" w:rsidP="005B09FB">
            <w:pPr>
              <w:pStyle w:val="02Tabletext"/>
              <w:spacing w:after="20"/>
              <w:jc w:val="center"/>
            </w:pPr>
            <w:r w:rsidRPr="00B0157E">
              <w:t>$170.25</w:t>
            </w:r>
          </w:p>
        </w:tc>
        <w:tc>
          <w:tcPr>
            <w:tcW w:w="997" w:type="dxa"/>
          </w:tcPr>
          <w:p w14:paraId="5F37C431" w14:textId="77777777" w:rsidR="007417CE" w:rsidRPr="00B0157E" w:rsidRDefault="00B81C1B" w:rsidP="005B09FB">
            <w:pPr>
              <w:pStyle w:val="02Tabletext"/>
              <w:spacing w:after="20"/>
              <w:jc w:val="center"/>
            </w:pPr>
            <w:r w:rsidRPr="00B0157E">
              <w:t>12,383</w:t>
            </w:r>
          </w:p>
        </w:tc>
        <w:tc>
          <w:tcPr>
            <w:tcW w:w="1080" w:type="dxa"/>
          </w:tcPr>
          <w:p w14:paraId="796E6ABB" w14:textId="77777777" w:rsidR="007417CE" w:rsidRPr="00B0157E" w:rsidRDefault="00B81C1B" w:rsidP="005B09FB">
            <w:pPr>
              <w:pStyle w:val="02Tabletext"/>
              <w:spacing w:after="20"/>
              <w:jc w:val="center"/>
            </w:pPr>
            <w:r w:rsidRPr="00B0157E">
              <w:t>$1,751,331</w:t>
            </w:r>
          </w:p>
        </w:tc>
        <w:tc>
          <w:tcPr>
            <w:tcW w:w="1196" w:type="dxa"/>
          </w:tcPr>
          <w:p w14:paraId="1C018D75" w14:textId="77777777" w:rsidR="007417CE" w:rsidRPr="00B0157E" w:rsidRDefault="00B81C1B" w:rsidP="005B09FB">
            <w:pPr>
              <w:pStyle w:val="02Tabletext"/>
              <w:spacing w:after="20"/>
              <w:jc w:val="center"/>
            </w:pPr>
            <w:r w:rsidRPr="00B0157E">
              <w:t>5.50%</w:t>
            </w:r>
          </w:p>
        </w:tc>
      </w:tr>
      <w:tr w:rsidR="001966DA" w:rsidRPr="00B0157E" w14:paraId="31D22615" w14:textId="77777777">
        <w:tc>
          <w:tcPr>
            <w:tcW w:w="717" w:type="dxa"/>
          </w:tcPr>
          <w:p w14:paraId="4B346555" w14:textId="77777777" w:rsidR="001966DA" w:rsidRPr="00B0157E" w:rsidRDefault="001966DA" w:rsidP="005B09FB">
            <w:pPr>
              <w:pStyle w:val="02Tabletext"/>
              <w:spacing w:after="20"/>
            </w:pPr>
            <w:r w:rsidRPr="00B0157E">
              <w:rPr>
                <w:szCs w:val="18"/>
              </w:rPr>
              <w:t>30205</w:t>
            </w:r>
          </w:p>
        </w:tc>
        <w:tc>
          <w:tcPr>
            <w:tcW w:w="4119" w:type="dxa"/>
          </w:tcPr>
          <w:p w14:paraId="34204E77" w14:textId="77777777" w:rsidR="001966DA" w:rsidRPr="00B0157E" w:rsidRDefault="001966DA" w:rsidP="005B09FB">
            <w:pPr>
              <w:pStyle w:val="02Tabletext"/>
              <w:spacing w:after="20"/>
            </w:pPr>
            <w:r w:rsidRPr="00B0157E">
              <w:rPr>
                <w:szCs w:val="18"/>
              </w:rPr>
              <w:t>Malignant neoplasm of skin proven by histopathology, removal of, by liquid nitrogen cryotherapy using repeat freeze-thaw cycles where the malignant neoplasm extends into cartilage</w:t>
            </w:r>
            <w:r w:rsidR="00186450" w:rsidRPr="00B0157E">
              <w:rPr>
                <w:szCs w:val="18"/>
              </w:rPr>
              <w:t>.</w:t>
            </w:r>
            <w:r w:rsidRPr="00B0157E">
              <w:rPr>
                <w:szCs w:val="18"/>
              </w:rPr>
              <w:t xml:space="preserve"> (Anaes.)</w:t>
            </w:r>
            <w:r w:rsidR="00A05AFA" w:rsidRPr="00B0157E">
              <w:rPr>
                <w:szCs w:val="18"/>
              </w:rPr>
              <w:t xml:space="preserve"> [2003]</w:t>
            </w:r>
          </w:p>
        </w:tc>
        <w:tc>
          <w:tcPr>
            <w:tcW w:w="917" w:type="dxa"/>
          </w:tcPr>
          <w:p w14:paraId="566EFAE1" w14:textId="77777777" w:rsidR="001966DA" w:rsidRPr="00B0157E" w:rsidRDefault="001966DA" w:rsidP="005B09FB">
            <w:pPr>
              <w:pStyle w:val="02Tabletext"/>
              <w:spacing w:after="20"/>
              <w:jc w:val="center"/>
            </w:pPr>
            <w:r w:rsidRPr="00B0157E">
              <w:rPr>
                <w:szCs w:val="18"/>
              </w:rPr>
              <w:t>$126.30</w:t>
            </w:r>
          </w:p>
        </w:tc>
        <w:tc>
          <w:tcPr>
            <w:tcW w:w="997" w:type="dxa"/>
          </w:tcPr>
          <w:p w14:paraId="7A9B66CC" w14:textId="77777777" w:rsidR="001966DA" w:rsidRPr="00B0157E" w:rsidRDefault="001966DA" w:rsidP="005B09FB">
            <w:pPr>
              <w:pStyle w:val="02Tabletext"/>
              <w:spacing w:after="20"/>
              <w:jc w:val="center"/>
            </w:pPr>
            <w:r w:rsidRPr="00B0157E">
              <w:rPr>
                <w:szCs w:val="18"/>
              </w:rPr>
              <w:t>180</w:t>
            </w:r>
          </w:p>
        </w:tc>
        <w:tc>
          <w:tcPr>
            <w:tcW w:w="1080" w:type="dxa"/>
          </w:tcPr>
          <w:p w14:paraId="36C390E1" w14:textId="77777777" w:rsidR="001966DA" w:rsidRPr="00B0157E" w:rsidRDefault="001966DA" w:rsidP="005B09FB">
            <w:pPr>
              <w:pStyle w:val="02Tabletext"/>
              <w:spacing w:after="20"/>
              <w:jc w:val="center"/>
            </w:pPr>
            <w:r w:rsidRPr="00B0157E">
              <w:rPr>
                <w:szCs w:val="18"/>
              </w:rPr>
              <w:t>$15,608</w:t>
            </w:r>
          </w:p>
        </w:tc>
        <w:tc>
          <w:tcPr>
            <w:tcW w:w="1196" w:type="dxa"/>
          </w:tcPr>
          <w:p w14:paraId="0799C974" w14:textId="77777777" w:rsidR="001966DA" w:rsidRPr="00B0157E" w:rsidRDefault="001966DA" w:rsidP="005B09FB">
            <w:pPr>
              <w:pStyle w:val="02Tabletext"/>
              <w:spacing w:after="20"/>
              <w:jc w:val="center"/>
            </w:pPr>
            <w:r w:rsidRPr="00B0157E">
              <w:t>-0.90%</w:t>
            </w:r>
          </w:p>
        </w:tc>
      </w:tr>
    </w:tbl>
    <w:p w14:paraId="660BBD48" w14:textId="77777777" w:rsidR="00101396" w:rsidRPr="002808A4" w:rsidRDefault="00101396" w:rsidP="002808A4">
      <w:pPr>
        <w:pStyle w:val="Heading3"/>
      </w:pPr>
      <w:bookmarkStart w:id="112" w:name="_Toc452997149"/>
      <w:bookmarkStart w:id="113" w:name="_Toc458774429"/>
      <w:r w:rsidRPr="002808A4">
        <w:t>Item 30202</w:t>
      </w:r>
      <w:bookmarkEnd w:id="112"/>
      <w:bookmarkEnd w:id="113"/>
    </w:p>
    <w:p w14:paraId="6B696233" w14:textId="77777777" w:rsidR="00101396" w:rsidRPr="00B0157E" w:rsidRDefault="00101396" w:rsidP="00C33ED9">
      <w:pPr>
        <w:rPr>
          <w:b/>
          <w:lang w:val="en-AU"/>
        </w:rPr>
      </w:pPr>
      <w:r w:rsidRPr="00B0157E">
        <w:rPr>
          <w:b/>
          <w:lang w:val="en-AU"/>
        </w:rPr>
        <w:t>Recommendation</w:t>
      </w:r>
      <w:r w:rsidR="00686560" w:rsidRPr="00B0157E">
        <w:rPr>
          <w:b/>
          <w:lang w:val="en-AU"/>
        </w:rPr>
        <w:t>s</w:t>
      </w:r>
      <w:r w:rsidRPr="00B0157E">
        <w:rPr>
          <w:b/>
          <w:lang w:val="en-AU"/>
        </w:rPr>
        <w:t xml:space="preserve"> </w:t>
      </w:r>
    </w:p>
    <w:p w14:paraId="44E91FB6" w14:textId="77777777" w:rsidR="00101396" w:rsidRPr="00B0157E" w:rsidRDefault="00064C6B">
      <w:pPr>
        <w:pStyle w:val="01squarebullet"/>
        <w:rPr>
          <w:lang w:val="en-AU"/>
        </w:rPr>
      </w:pPr>
      <w:r w:rsidRPr="00B0157E">
        <w:rPr>
          <w:lang w:val="en-AU"/>
        </w:rPr>
        <w:t xml:space="preserve">Change the wording of the item descriptor </w:t>
      </w:r>
      <w:r w:rsidR="00964207" w:rsidRPr="00B0157E">
        <w:rPr>
          <w:lang w:val="en-AU"/>
        </w:rPr>
        <w:t xml:space="preserve">by replacing </w:t>
      </w:r>
      <w:r w:rsidR="00FB1337" w:rsidRPr="00B0157E">
        <w:rPr>
          <w:lang w:val="en-AU"/>
        </w:rPr>
        <w:t xml:space="preserve">“specialist” </w:t>
      </w:r>
      <w:r w:rsidR="005C405E" w:rsidRPr="00B0157E">
        <w:rPr>
          <w:lang w:val="en-AU"/>
        </w:rPr>
        <w:t xml:space="preserve">with </w:t>
      </w:r>
      <w:r w:rsidR="00FB1337" w:rsidRPr="00B0157E">
        <w:rPr>
          <w:lang w:val="en-AU"/>
        </w:rPr>
        <w:t>“AMC recognised dermatologist</w:t>
      </w:r>
      <w:r w:rsidR="00282BA0" w:rsidRPr="00B0157E">
        <w:rPr>
          <w:lang w:val="en-AU"/>
        </w:rPr>
        <w:t>.</w:t>
      </w:r>
      <w:r w:rsidR="00FB1337" w:rsidRPr="00B0157E">
        <w:rPr>
          <w:lang w:val="en-AU"/>
        </w:rPr>
        <w:t>”</w:t>
      </w:r>
      <w:r w:rsidR="00101396" w:rsidRPr="00B0157E">
        <w:rPr>
          <w:lang w:val="en-AU"/>
        </w:rPr>
        <w:t xml:space="preserve"> </w:t>
      </w:r>
    </w:p>
    <w:p w14:paraId="3E725339" w14:textId="77777777" w:rsidR="00621632" w:rsidRPr="00B0157E" w:rsidRDefault="00621632">
      <w:pPr>
        <w:pStyle w:val="01squarebullet"/>
        <w:rPr>
          <w:rFonts w:eastAsia="MS Mincho"/>
          <w:lang w:val="en-AU"/>
        </w:rPr>
      </w:pPr>
      <w:r w:rsidRPr="00B0157E">
        <w:rPr>
          <w:rFonts w:eastAsia="MS Mincho"/>
          <w:lang w:val="en-AU"/>
        </w:rPr>
        <w:t xml:space="preserve">Advise </w:t>
      </w:r>
      <w:r w:rsidR="00194D03" w:rsidRPr="00B0157E">
        <w:rPr>
          <w:rFonts w:eastAsia="MS Mincho"/>
          <w:lang w:val="en-AU"/>
        </w:rPr>
        <w:t xml:space="preserve">the </w:t>
      </w:r>
      <w:r w:rsidRPr="00B0157E">
        <w:rPr>
          <w:rFonts w:eastAsia="MS Mincho"/>
          <w:lang w:val="en-AU"/>
        </w:rPr>
        <w:t xml:space="preserve">Department to </w:t>
      </w:r>
      <w:r w:rsidR="00207245" w:rsidRPr="00B0157E">
        <w:rPr>
          <w:rFonts w:eastAsia="MS Mincho"/>
          <w:lang w:val="en-AU"/>
        </w:rPr>
        <w:t xml:space="preserve">monitor </w:t>
      </w:r>
      <w:r w:rsidRPr="00B0157E">
        <w:rPr>
          <w:rFonts w:eastAsia="MS Mincho"/>
          <w:lang w:val="en-AU"/>
        </w:rPr>
        <w:t>high</w:t>
      </w:r>
      <w:r w:rsidR="00D802B8" w:rsidRPr="00B0157E">
        <w:rPr>
          <w:rFonts w:eastAsia="MS Mincho"/>
          <w:lang w:val="en-AU"/>
        </w:rPr>
        <w:t>-</w:t>
      </w:r>
      <w:r w:rsidRPr="00B0157E">
        <w:rPr>
          <w:rFonts w:eastAsia="MS Mincho"/>
          <w:lang w:val="en-AU"/>
        </w:rPr>
        <w:t xml:space="preserve">volume providers to ensure </w:t>
      </w:r>
      <w:r w:rsidR="001F1160" w:rsidRPr="00B0157E">
        <w:rPr>
          <w:rFonts w:eastAsia="MS Mincho"/>
          <w:lang w:val="en-AU"/>
        </w:rPr>
        <w:t xml:space="preserve">that </w:t>
      </w:r>
      <w:r w:rsidRPr="00B0157E">
        <w:rPr>
          <w:rFonts w:eastAsia="MS Mincho"/>
          <w:lang w:val="en-AU"/>
        </w:rPr>
        <w:t xml:space="preserve">providers are requesting the appropriate pathology tests. </w:t>
      </w:r>
      <w:r w:rsidR="00592BE3" w:rsidRPr="00B0157E">
        <w:rPr>
          <w:rFonts w:eastAsia="MS Mincho"/>
          <w:lang w:val="en-AU"/>
        </w:rPr>
        <w:t>This</w:t>
      </w:r>
      <w:r w:rsidRPr="00B0157E">
        <w:rPr>
          <w:lang w:val="en-AU"/>
        </w:rPr>
        <w:t xml:space="preserve"> item should</w:t>
      </w:r>
      <w:r w:rsidR="00823945" w:rsidRPr="00B0157E">
        <w:rPr>
          <w:lang w:val="en-AU"/>
        </w:rPr>
        <w:t xml:space="preserve"> also</w:t>
      </w:r>
      <w:r w:rsidRPr="00B0157E">
        <w:rPr>
          <w:lang w:val="en-AU"/>
        </w:rPr>
        <w:t xml:space="preserve"> be reviewed after 12 months to </w:t>
      </w:r>
      <w:r w:rsidR="00F44DCE" w:rsidRPr="00B0157E">
        <w:rPr>
          <w:lang w:val="en-AU"/>
        </w:rPr>
        <w:t xml:space="preserve">assess </w:t>
      </w:r>
      <w:r w:rsidRPr="00B0157E">
        <w:rPr>
          <w:lang w:val="en-AU"/>
        </w:rPr>
        <w:t>the effect of deleting item 30197</w:t>
      </w:r>
      <w:r w:rsidR="00C92943" w:rsidRPr="00B0157E">
        <w:rPr>
          <w:lang w:val="en-AU"/>
        </w:rPr>
        <w:t>,</w:t>
      </w:r>
      <w:r w:rsidRPr="00B0157E">
        <w:rPr>
          <w:lang w:val="en-AU"/>
        </w:rPr>
        <w:t xml:space="preserve"> and</w:t>
      </w:r>
      <w:r w:rsidR="00C92943" w:rsidRPr="00B0157E">
        <w:rPr>
          <w:lang w:val="en-AU"/>
        </w:rPr>
        <w:t xml:space="preserve"> to</w:t>
      </w:r>
      <w:r w:rsidRPr="00B0157E">
        <w:rPr>
          <w:lang w:val="en-AU"/>
        </w:rPr>
        <w:t xml:space="preserve"> </w:t>
      </w:r>
      <w:r w:rsidR="00535A79" w:rsidRPr="00B0157E">
        <w:rPr>
          <w:lang w:val="en-AU"/>
        </w:rPr>
        <w:t xml:space="preserve">determine </w:t>
      </w:r>
      <w:r w:rsidRPr="00B0157E">
        <w:rPr>
          <w:lang w:val="en-AU"/>
        </w:rPr>
        <w:t>whether providers are billing for many more than 10 lesions.</w:t>
      </w:r>
      <w:r w:rsidR="004A352E">
        <w:rPr>
          <w:lang w:val="en-AU"/>
        </w:rPr>
        <w:t xml:space="preserve"> </w:t>
      </w:r>
    </w:p>
    <w:p w14:paraId="42EF7DD6" w14:textId="77777777" w:rsidR="005E6419" w:rsidRDefault="00B731C8" w:rsidP="00101396">
      <w:pPr>
        <w:pStyle w:val="01squarebullet"/>
        <w:rPr>
          <w:lang w:val="en-AU"/>
        </w:rPr>
      </w:pPr>
      <w:r w:rsidRPr="00B0157E">
        <w:rPr>
          <w:lang w:val="en-AU"/>
        </w:rPr>
        <w:t xml:space="preserve">The Committee calls on </w:t>
      </w:r>
      <w:r w:rsidR="00101396" w:rsidRPr="00B0157E">
        <w:rPr>
          <w:lang w:val="en-AU"/>
        </w:rPr>
        <w:t>relevant colleges to encourage best</w:t>
      </w:r>
      <w:r w:rsidR="00F459E8" w:rsidRPr="00B0157E">
        <w:rPr>
          <w:lang w:val="en-AU"/>
        </w:rPr>
        <w:t>-</w:t>
      </w:r>
      <w:r w:rsidR="00621632" w:rsidRPr="00B0157E">
        <w:rPr>
          <w:lang w:val="en-AU"/>
        </w:rPr>
        <w:t>practice</w:t>
      </w:r>
      <w:r w:rsidR="00101396" w:rsidRPr="00B0157E">
        <w:rPr>
          <w:lang w:val="en-AU"/>
        </w:rPr>
        <w:t xml:space="preserve"> use of pathology post-treatment.</w:t>
      </w:r>
      <w:r w:rsidR="004A352E">
        <w:rPr>
          <w:lang w:val="en-AU"/>
        </w:rPr>
        <w:t xml:space="preserve"> </w:t>
      </w:r>
    </w:p>
    <w:p w14:paraId="78BB4332" w14:textId="77777777" w:rsidR="00101396" w:rsidRPr="00B0157E" w:rsidRDefault="00101396" w:rsidP="006779FA">
      <w:pPr>
        <w:keepNext/>
        <w:keepLines/>
        <w:rPr>
          <w:b/>
          <w:lang w:val="en-AU"/>
        </w:rPr>
      </w:pPr>
      <w:r w:rsidRPr="00B0157E">
        <w:rPr>
          <w:b/>
          <w:lang w:val="en-AU"/>
        </w:rPr>
        <w:t>Rationale</w:t>
      </w:r>
    </w:p>
    <w:p w14:paraId="430DC7CE" w14:textId="77777777" w:rsidR="00101396" w:rsidRPr="00B0157E" w:rsidRDefault="00101396" w:rsidP="00C33ED9">
      <w:pPr>
        <w:rPr>
          <w:b/>
          <w:lang w:val="en-AU"/>
        </w:rPr>
      </w:pPr>
      <w:r w:rsidRPr="00B0157E">
        <w:rPr>
          <w:lang w:val="en-AU"/>
        </w:rPr>
        <w:t xml:space="preserve">The recommendations </w:t>
      </w:r>
      <w:r w:rsidR="00BB22DC" w:rsidRPr="00B0157E">
        <w:rPr>
          <w:lang w:val="en-AU"/>
        </w:rPr>
        <w:t xml:space="preserve">focus on </w:t>
      </w:r>
      <w:r w:rsidRPr="00B0157E">
        <w:rPr>
          <w:lang w:val="en-AU"/>
        </w:rPr>
        <w:t>increas</w:t>
      </w:r>
      <w:r w:rsidR="00BB22DC" w:rsidRPr="00B0157E">
        <w:rPr>
          <w:lang w:val="en-AU"/>
        </w:rPr>
        <w:t>ing</w:t>
      </w:r>
      <w:r w:rsidRPr="00B0157E">
        <w:rPr>
          <w:lang w:val="en-AU"/>
        </w:rPr>
        <w:t xml:space="preserve"> patient safety and encourag</w:t>
      </w:r>
      <w:r w:rsidR="00EF4D1F" w:rsidRPr="00B0157E">
        <w:rPr>
          <w:lang w:val="en-AU"/>
        </w:rPr>
        <w:t>ing</w:t>
      </w:r>
      <w:r w:rsidRPr="00B0157E">
        <w:rPr>
          <w:lang w:val="en-AU"/>
        </w:rPr>
        <w:t xml:space="preserve"> best practice</w:t>
      </w:r>
      <w:r w:rsidR="00853210" w:rsidRPr="00B0157E">
        <w:rPr>
          <w:lang w:val="en-AU"/>
        </w:rPr>
        <w:t>. They are</w:t>
      </w:r>
      <w:r w:rsidRPr="00B0157E">
        <w:rPr>
          <w:lang w:val="en-AU"/>
        </w:rPr>
        <w:t xml:space="preserve"> </w:t>
      </w:r>
      <w:r w:rsidR="00345693" w:rsidRPr="00B0157E">
        <w:rPr>
          <w:lang w:val="en-AU"/>
        </w:rPr>
        <w:t>based on the following observations</w:t>
      </w:r>
      <w:r w:rsidR="00875E97" w:rsidRPr="00B0157E">
        <w:rPr>
          <w:lang w:val="en-AU"/>
        </w:rPr>
        <w:t>.</w:t>
      </w:r>
    </w:p>
    <w:p w14:paraId="02B70062" w14:textId="77777777" w:rsidR="001145DC" w:rsidRPr="00B0157E" w:rsidRDefault="00840E02">
      <w:pPr>
        <w:pStyle w:val="01squarebullet"/>
        <w:rPr>
          <w:rFonts w:eastAsiaTheme="minorHAnsi"/>
          <w:lang w:val="en-AU"/>
        </w:rPr>
      </w:pPr>
      <w:r w:rsidRPr="00B0157E">
        <w:rPr>
          <w:rFonts w:eastAsiaTheme="minorHAnsi"/>
          <w:lang w:val="en-AU"/>
        </w:rPr>
        <w:t>The position of the Committee is that item 30</w:t>
      </w:r>
      <w:r w:rsidR="004B1AE0" w:rsidRPr="00B0157E">
        <w:rPr>
          <w:rFonts w:eastAsiaTheme="minorHAnsi"/>
          <w:lang w:val="en-AU"/>
        </w:rPr>
        <w:t>202</w:t>
      </w:r>
      <w:r w:rsidRPr="00B0157E">
        <w:rPr>
          <w:rFonts w:eastAsiaTheme="minorHAnsi"/>
          <w:lang w:val="en-AU"/>
        </w:rPr>
        <w:t xml:space="preserve"> provides the most appropriate service for the treatment of malignant neoplasms within this group of items.</w:t>
      </w:r>
      <w:r w:rsidR="004A352E">
        <w:rPr>
          <w:rFonts w:eastAsiaTheme="minorHAnsi"/>
          <w:lang w:val="en-AU"/>
        </w:rPr>
        <w:t xml:space="preserve"> </w:t>
      </w:r>
    </w:p>
    <w:p w14:paraId="41965B36" w14:textId="77777777" w:rsidR="00777455" w:rsidRPr="00B0157E" w:rsidRDefault="00C51B1C">
      <w:pPr>
        <w:pStyle w:val="01squarebullet"/>
        <w:rPr>
          <w:lang w:val="en-AU"/>
        </w:rPr>
      </w:pPr>
      <w:r w:rsidRPr="00B0157E">
        <w:rPr>
          <w:lang w:val="en-AU"/>
        </w:rPr>
        <w:t>However, t</w:t>
      </w:r>
      <w:r w:rsidR="00101396" w:rsidRPr="00B0157E">
        <w:rPr>
          <w:lang w:val="en-AU"/>
        </w:rPr>
        <w:t xml:space="preserve">he surprisingly low number of lesions sent to pathology </w:t>
      </w:r>
      <w:r w:rsidR="00353123" w:rsidRPr="00B0157E">
        <w:rPr>
          <w:lang w:val="en-AU"/>
        </w:rPr>
        <w:t xml:space="preserve">represents </w:t>
      </w:r>
      <w:r w:rsidR="00101396" w:rsidRPr="00B0157E">
        <w:rPr>
          <w:lang w:val="en-AU"/>
        </w:rPr>
        <w:t>a large safety concern and does not reflect best practice.</w:t>
      </w:r>
      <w:r w:rsidR="009B7E95" w:rsidRPr="00B0157E">
        <w:rPr>
          <w:lang w:val="en-AU"/>
        </w:rPr>
        <w:t xml:space="preserve"> </w:t>
      </w:r>
      <w:r w:rsidR="00777455" w:rsidRPr="00B0157E">
        <w:rPr>
          <w:rFonts w:eastAsiaTheme="minorHAnsi"/>
          <w:lang w:val="en-AU"/>
        </w:rPr>
        <w:t xml:space="preserve">In FY2014/15, </w:t>
      </w:r>
      <w:r w:rsidR="00C84B7E" w:rsidRPr="00B0157E">
        <w:rPr>
          <w:rFonts w:eastAsiaTheme="minorHAnsi"/>
          <w:lang w:val="en-AU"/>
        </w:rPr>
        <w:t>for example</w:t>
      </w:r>
      <w:r w:rsidR="00375ECA" w:rsidRPr="00B0157E">
        <w:rPr>
          <w:rFonts w:eastAsiaTheme="minorHAnsi"/>
          <w:lang w:val="en-AU"/>
        </w:rPr>
        <w:t>,</w:t>
      </w:r>
      <w:r w:rsidR="00777455" w:rsidRPr="00B0157E">
        <w:rPr>
          <w:rFonts w:eastAsiaTheme="minorHAnsi"/>
          <w:lang w:val="en-AU"/>
        </w:rPr>
        <w:t xml:space="preserve"> histopathology or the </w:t>
      </w:r>
      <w:r w:rsidR="00C84B7E" w:rsidRPr="00B0157E">
        <w:rPr>
          <w:rFonts w:eastAsiaTheme="minorHAnsi"/>
          <w:lang w:val="en-AU"/>
        </w:rPr>
        <w:t xml:space="preserve">biopsy item 30071 </w:t>
      </w:r>
      <w:r w:rsidR="00007AC0" w:rsidRPr="00B0157E">
        <w:rPr>
          <w:rFonts w:eastAsiaTheme="minorHAnsi"/>
          <w:lang w:val="en-AU"/>
        </w:rPr>
        <w:t xml:space="preserve">was </w:t>
      </w:r>
      <w:r w:rsidR="00777455" w:rsidRPr="00B0157E">
        <w:rPr>
          <w:rFonts w:eastAsiaTheme="minorHAnsi"/>
          <w:lang w:val="en-AU"/>
        </w:rPr>
        <w:t>used in the period 30 days before or after service delivery</w:t>
      </w:r>
      <w:r w:rsidR="003E5EBF">
        <w:rPr>
          <w:rFonts w:eastAsiaTheme="minorHAnsi"/>
          <w:lang w:val="en-AU"/>
        </w:rPr>
        <w:t xml:space="preserve"> on only 42 </w:t>
      </w:r>
      <w:r w:rsidR="00197C32" w:rsidRPr="00B0157E">
        <w:rPr>
          <w:rFonts w:eastAsiaTheme="minorHAnsi"/>
          <w:lang w:val="en-AU"/>
        </w:rPr>
        <w:t>per cent of occasions:</w:t>
      </w:r>
      <w:r w:rsidR="00777455" w:rsidRPr="00B0157E">
        <w:rPr>
          <w:rFonts w:eastAsiaTheme="minorHAnsi"/>
          <w:lang w:val="en-AU"/>
        </w:rPr>
        <w:t xml:space="preserve"> </w:t>
      </w:r>
      <w:r w:rsidR="008B1C7E" w:rsidRPr="00B0157E">
        <w:rPr>
          <w:rFonts w:eastAsiaTheme="minorHAnsi"/>
          <w:lang w:val="en-AU"/>
        </w:rPr>
        <w:t xml:space="preserve">GPs used it </w:t>
      </w:r>
      <w:r w:rsidR="00777455" w:rsidRPr="00B0157E">
        <w:rPr>
          <w:rFonts w:eastAsiaTheme="minorHAnsi"/>
          <w:lang w:val="en-AU"/>
        </w:rPr>
        <w:t xml:space="preserve">on </w:t>
      </w:r>
      <w:r w:rsidR="00C84B7E" w:rsidRPr="00B0157E">
        <w:rPr>
          <w:rFonts w:eastAsiaTheme="minorHAnsi"/>
          <w:lang w:val="en-AU"/>
        </w:rPr>
        <w:t>55</w:t>
      </w:r>
      <w:r w:rsidR="00777455" w:rsidRPr="00B0157E">
        <w:rPr>
          <w:rFonts w:eastAsiaTheme="minorHAnsi"/>
          <w:lang w:val="en-AU"/>
        </w:rPr>
        <w:t xml:space="preserve"> per cent</w:t>
      </w:r>
      <w:r w:rsidR="00917D04" w:rsidRPr="00B0157E">
        <w:rPr>
          <w:rFonts w:eastAsiaTheme="minorHAnsi"/>
          <w:lang w:val="en-AU"/>
        </w:rPr>
        <w:t xml:space="preserve"> of occasions,</w:t>
      </w:r>
      <w:r w:rsidR="00777455" w:rsidRPr="00B0157E">
        <w:rPr>
          <w:rFonts w:eastAsiaTheme="minorHAnsi"/>
          <w:lang w:val="en-AU"/>
        </w:rPr>
        <w:t xml:space="preserve"> a</w:t>
      </w:r>
      <w:r w:rsidR="00C84B7E" w:rsidRPr="00B0157E">
        <w:rPr>
          <w:rFonts w:eastAsiaTheme="minorHAnsi"/>
          <w:lang w:val="en-AU"/>
        </w:rPr>
        <w:t xml:space="preserve">nd </w:t>
      </w:r>
      <w:r w:rsidR="0040769F" w:rsidRPr="00B0157E">
        <w:rPr>
          <w:rFonts w:eastAsiaTheme="minorHAnsi"/>
          <w:lang w:val="en-AU"/>
        </w:rPr>
        <w:t xml:space="preserve">specialists used it on </w:t>
      </w:r>
      <w:r w:rsidR="00C84B7E" w:rsidRPr="00B0157E">
        <w:rPr>
          <w:rFonts w:eastAsiaTheme="minorHAnsi"/>
          <w:lang w:val="en-AU"/>
        </w:rPr>
        <w:t>25</w:t>
      </w:r>
      <w:r w:rsidR="003E5EBF">
        <w:rPr>
          <w:rFonts w:eastAsiaTheme="minorHAnsi"/>
          <w:lang w:val="en-AU"/>
        </w:rPr>
        <w:t> </w:t>
      </w:r>
      <w:r w:rsidR="00777455" w:rsidRPr="00B0157E">
        <w:rPr>
          <w:rFonts w:eastAsiaTheme="minorHAnsi"/>
          <w:lang w:val="en-AU"/>
        </w:rPr>
        <w:t>per</w:t>
      </w:r>
      <w:r w:rsidR="009D6E6B" w:rsidRPr="00B0157E">
        <w:rPr>
          <w:rFonts w:eastAsiaTheme="minorHAnsi"/>
          <w:lang w:val="en-AU"/>
        </w:rPr>
        <w:t xml:space="preserve"> </w:t>
      </w:r>
      <w:r w:rsidR="00777455" w:rsidRPr="00B0157E">
        <w:rPr>
          <w:rFonts w:eastAsiaTheme="minorHAnsi"/>
          <w:lang w:val="en-AU"/>
        </w:rPr>
        <w:t>cent of occasions</w:t>
      </w:r>
      <w:r w:rsidR="000E031D" w:rsidRPr="00B0157E">
        <w:rPr>
          <w:rFonts w:eastAsiaTheme="minorHAnsi"/>
          <w:lang w:val="en-AU"/>
        </w:rPr>
        <w:t>.</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Q20423", "type" : "report" }, "uris" : [ "http://www.mendeley.com/documents/?uuid=814bfa07-e796-4347-b173-55d8f42a3936" ] } ], "mendeley" : { "formattedCitation" : "[11]", "plainTextFormattedCitation" : "[11]", "previouslyFormattedCitation" : "[11]"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[11]</w:t>
      </w:r>
      <w:r w:rsidR="00C1346F" w:rsidRPr="00B0157E">
        <w:rPr>
          <w:rFonts w:eastAsiaTheme="minorHAnsi"/>
          <w:lang w:val="en-AU"/>
        </w:rPr>
        <w:fldChar w:fldCharType="end"/>
      </w:r>
      <w:r w:rsidR="00777455" w:rsidRPr="00B0157E">
        <w:rPr>
          <w:rFonts w:eastAsiaTheme="minorHAnsi"/>
          <w:lang w:val="en-AU"/>
        </w:rPr>
        <w:t xml:space="preserve"> GPs </w:t>
      </w:r>
      <w:r w:rsidR="003B4725" w:rsidRPr="00B0157E">
        <w:rPr>
          <w:rFonts w:eastAsiaTheme="minorHAnsi"/>
          <w:lang w:val="en-AU"/>
        </w:rPr>
        <w:t xml:space="preserve">who billed this item </w:t>
      </w:r>
      <w:r w:rsidR="00777455" w:rsidRPr="00B0157E">
        <w:rPr>
          <w:rFonts w:eastAsiaTheme="minorHAnsi"/>
          <w:lang w:val="en-AU"/>
        </w:rPr>
        <w:t>accounted</w:t>
      </w:r>
      <w:r w:rsidR="00C84B7E" w:rsidRPr="00B0157E">
        <w:rPr>
          <w:rFonts w:eastAsiaTheme="minorHAnsi"/>
          <w:lang w:val="en-AU"/>
        </w:rPr>
        <w:t xml:space="preserve"> for 58</w:t>
      </w:r>
      <w:r w:rsidR="00777455" w:rsidRPr="00B0157E">
        <w:rPr>
          <w:rFonts w:eastAsiaTheme="minorHAnsi"/>
          <w:lang w:val="en-AU"/>
        </w:rPr>
        <w:t xml:space="preserve"> per cent of total services.</w:t>
      </w:r>
      <w:r w:rsidR="00957E07" w:rsidRPr="00B0157E">
        <w:rPr>
          <w:rFonts w:eastAsiaTheme="minorHAnsi"/>
          <w:lang w:val="en-AU"/>
        </w:rPr>
        <w:fldChar w:fldCharType="begin" w:fldLock="1"/>
      </w:r>
      <w:r w:rsidR="007071F8"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COGNOS", "type" : "report" }, "uris" : [ "http://www.mendeley.com/documents/?uuid=0c6a31be-a58c-4483-bca9-b8a96ba7acd4" ] } ], "mendeley" : { "formattedCitation" : "[12]", "plainTextFormattedCitation" : "[12]", "previouslyFormattedCitation" : "[12]" }, "properties" : { "noteIndex" : 0 }, "schema" : "https://github.com/citation-style-language/schema/raw/master/csl-citation.json" }</w:instrText>
      </w:r>
      <w:r w:rsidR="00957E07" w:rsidRPr="00B0157E">
        <w:rPr>
          <w:rFonts w:eastAsiaTheme="minorHAnsi"/>
          <w:lang w:val="en-AU"/>
        </w:rPr>
        <w:fldChar w:fldCharType="separate"/>
      </w:r>
      <w:r w:rsidR="00957E07" w:rsidRPr="00B0157E">
        <w:rPr>
          <w:rFonts w:eastAsiaTheme="minorHAnsi"/>
          <w:lang w:val="en-AU"/>
        </w:rPr>
        <w:t>[12]</w:t>
      </w:r>
      <w:r w:rsidR="00957E07" w:rsidRPr="00B0157E">
        <w:rPr>
          <w:rFonts w:eastAsiaTheme="minorHAnsi"/>
          <w:lang w:val="en-AU"/>
        </w:rPr>
        <w:fldChar w:fldCharType="end"/>
      </w:r>
      <w:r w:rsidR="00DA42DD" w:rsidRPr="00B0157E">
        <w:rPr>
          <w:rFonts w:eastAsiaTheme="minorHAnsi"/>
          <w:lang w:val="en-AU"/>
        </w:rPr>
        <w:t xml:space="preserve"> </w:t>
      </w:r>
      <w:r w:rsidR="00DA42DD" w:rsidRPr="00B0157E">
        <w:rPr>
          <w:lang w:val="en-AU"/>
        </w:rPr>
        <w:t>Auditing provider practice and encouraging best practice (via the relevant colleges) may contribute to improving practice patterns.</w:t>
      </w:r>
    </w:p>
    <w:p w14:paraId="4035F585" w14:textId="77777777" w:rsidR="00064C6B" w:rsidRPr="00B0157E" w:rsidRDefault="00510D51">
      <w:pPr>
        <w:pStyle w:val="01squarebullet"/>
        <w:rPr>
          <w:rFonts w:eastAsiaTheme="minorHAnsi"/>
          <w:lang w:val="en-AU"/>
        </w:rPr>
      </w:pPr>
      <w:r>
        <w:rPr>
          <w:rFonts w:eastAsiaTheme="minorHAnsi"/>
          <w:lang w:val="en-AU"/>
        </w:rPr>
        <w:t>As mentioned above, t</w:t>
      </w:r>
      <w:r w:rsidR="008C3164" w:rsidRPr="00B0157E">
        <w:rPr>
          <w:rFonts w:eastAsiaTheme="minorHAnsi"/>
          <w:lang w:val="en-AU"/>
        </w:rPr>
        <w:t>he</w:t>
      </w:r>
      <w:r w:rsidR="00064C6B" w:rsidRPr="00B0157E">
        <w:rPr>
          <w:rFonts w:eastAsiaTheme="minorHAnsi"/>
          <w:lang w:val="en-AU"/>
        </w:rPr>
        <w:t xml:space="preserve"> Committee was </w:t>
      </w:r>
      <w:r w:rsidR="00E30C3F" w:rsidRPr="00B0157E">
        <w:rPr>
          <w:rFonts w:eastAsiaTheme="minorHAnsi"/>
          <w:lang w:val="en-AU"/>
        </w:rPr>
        <w:t xml:space="preserve">also </w:t>
      </w:r>
      <w:r w:rsidR="00064C6B" w:rsidRPr="00B0157E">
        <w:rPr>
          <w:rFonts w:eastAsiaTheme="minorHAnsi"/>
          <w:lang w:val="en-AU"/>
        </w:rPr>
        <w:t xml:space="preserve">concerned to learn that certain GPs who specialise in skin </w:t>
      </w:r>
      <w:r w:rsidR="007C0672">
        <w:rPr>
          <w:rFonts w:eastAsiaTheme="minorHAnsi"/>
          <w:lang w:val="en-AU"/>
        </w:rPr>
        <w:t xml:space="preserve">lesions </w:t>
      </w:r>
      <w:r w:rsidR="00064C6B" w:rsidRPr="00B0157E">
        <w:rPr>
          <w:rFonts w:eastAsiaTheme="minorHAnsi"/>
          <w:lang w:val="en-AU"/>
        </w:rPr>
        <w:t xml:space="preserve">are classifying themselves as specialists and </w:t>
      </w:r>
      <w:r w:rsidR="007C0672">
        <w:rPr>
          <w:rFonts w:eastAsiaTheme="minorHAnsi"/>
          <w:lang w:val="en-AU"/>
        </w:rPr>
        <w:t xml:space="preserve">MBS data reflects that the data shows providers that are listed as GPs who </w:t>
      </w:r>
      <w:r w:rsidR="00AA3348" w:rsidRPr="00B0157E">
        <w:rPr>
          <w:rFonts w:eastAsiaTheme="minorHAnsi"/>
          <w:lang w:val="en-AU"/>
        </w:rPr>
        <w:t xml:space="preserve">are </w:t>
      </w:r>
      <w:r w:rsidR="00064C6B" w:rsidRPr="00B0157E">
        <w:rPr>
          <w:rFonts w:eastAsiaTheme="minorHAnsi"/>
          <w:lang w:val="en-AU"/>
        </w:rPr>
        <w:t>not performing histopathology.</w:t>
      </w:r>
      <w:r w:rsidR="004A352E">
        <w:rPr>
          <w:rFonts w:eastAsiaTheme="minorHAnsi"/>
          <w:lang w:val="en-AU"/>
        </w:rPr>
        <w:t xml:space="preserve"> </w:t>
      </w:r>
    </w:p>
    <w:p w14:paraId="7118C40F" w14:textId="77777777" w:rsidR="003916C0" w:rsidRPr="00B0157E" w:rsidRDefault="00CD0959">
      <w:pPr>
        <w:pStyle w:val="01squarebullet"/>
        <w:rPr>
          <w:lang w:val="en-AU"/>
        </w:rPr>
      </w:pPr>
      <w:r w:rsidRPr="00B0157E">
        <w:rPr>
          <w:rFonts w:eastAsia="MS Mincho"/>
          <w:lang w:val="en-AU"/>
        </w:rPr>
        <w:lastRenderedPageBreak/>
        <w:t xml:space="preserve">In light of safety concerns and the </w:t>
      </w:r>
      <w:r w:rsidR="002E7CBD" w:rsidRPr="00B0157E">
        <w:rPr>
          <w:rFonts w:eastAsia="MS Mincho"/>
          <w:lang w:val="en-AU"/>
        </w:rPr>
        <w:t>consolidation of</w:t>
      </w:r>
      <w:r w:rsidRPr="00B0157E">
        <w:rPr>
          <w:rFonts w:eastAsia="MS Mincho"/>
          <w:lang w:val="en-AU"/>
        </w:rPr>
        <w:t xml:space="preserve"> item 30</w:t>
      </w:r>
      <w:r w:rsidR="004B1AE0" w:rsidRPr="00B0157E">
        <w:rPr>
          <w:rFonts w:eastAsia="MS Mincho"/>
          <w:lang w:val="en-AU"/>
        </w:rPr>
        <w:t>203</w:t>
      </w:r>
      <w:r w:rsidR="00977CEE" w:rsidRPr="00B0157E">
        <w:rPr>
          <w:rFonts w:eastAsia="MS Mincho"/>
          <w:lang w:val="en-AU"/>
        </w:rPr>
        <w:t xml:space="preserve"> under</w:t>
      </w:r>
      <w:r w:rsidRPr="00B0157E">
        <w:rPr>
          <w:rFonts w:eastAsia="MS Mincho"/>
          <w:lang w:val="en-AU"/>
        </w:rPr>
        <w:t xml:space="preserve"> item </w:t>
      </w:r>
      <w:r w:rsidR="001E58D0" w:rsidRPr="00B0157E">
        <w:rPr>
          <w:rFonts w:eastAsia="MS Mincho"/>
          <w:lang w:val="en-AU"/>
        </w:rPr>
        <w:t>30202</w:t>
      </w:r>
      <w:r w:rsidRPr="00B0157E">
        <w:rPr>
          <w:rFonts w:eastAsia="MS Mincho"/>
          <w:lang w:val="en-AU"/>
        </w:rPr>
        <w:t>, the Committee recommends</w:t>
      </w:r>
      <w:r w:rsidR="00064C6B" w:rsidRPr="00B0157E">
        <w:rPr>
          <w:rFonts w:eastAsia="MS Mincho"/>
          <w:lang w:val="en-AU"/>
        </w:rPr>
        <w:t>: (i)</w:t>
      </w:r>
      <w:r w:rsidRPr="00B0157E">
        <w:rPr>
          <w:rFonts w:eastAsia="MS Mincho"/>
          <w:lang w:val="en-AU"/>
        </w:rPr>
        <w:t xml:space="preserve"> </w:t>
      </w:r>
      <w:r w:rsidR="00FB1337" w:rsidRPr="00B0157E">
        <w:rPr>
          <w:rFonts w:eastAsia="MS Mincho"/>
          <w:lang w:val="en-AU"/>
        </w:rPr>
        <w:t>changing the word “specialist” to “AMC recognised dermatologist”</w:t>
      </w:r>
      <w:r w:rsidR="00FA31F4" w:rsidRPr="00B0157E">
        <w:rPr>
          <w:rFonts w:eastAsia="MS Mincho"/>
          <w:lang w:val="en-AU"/>
        </w:rPr>
        <w:t>;</w:t>
      </w:r>
      <w:r w:rsidR="00FB1337" w:rsidRPr="00B0157E">
        <w:rPr>
          <w:rFonts w:eastAsia="MS Mincho"/>
          <w:lang w:val="en-AU"/>
        </w:rPr>
        <w:t xml:space="preserve"> (ii) </w:t>
      </w:r>
      <w:r w:rsidRPr="00B0157E">
        <w:rPr>
          <w:rFonts w:eastAsia="MS Mincho"/>
          <w:lang w:val="en-AU"/>
        </w:rPr>
        <w:t>encouraging colleges to promote best</w:t>
      </w:r>
      <w:r w:rsidR="00C474EC" w:rsidRPr="00B0157E">
        <w:rPr>
          <w:rFonts w:eastAsia="MS Mincho"/>
          <w:lang w:val="en-AU"/>
        </w:rPr>
        <w:t>-</w:t>
      </w:r>
      <w:r w:rsidRPr="00B0157E">
        <w:rPr>
          <w:rFonts w:eastAsia="MS Mincho"/>
          <w:lang w:val="en-AU"/>
        </w:rPr>
        <w:t>practice use of histopathology amongst their members</w:t>
      </w:r>
      <w:r w:rsidR="00FA31F4" w:rsidRPr="00B0157E">
        <w:rPr>
          <w:rFonts w:eastAsia="MS Mincho"/>
          <w:lang w:val="en-AU"/>
        </w:rPr>
        <w:t>;</w:t>
      </w:r>
      <w:r w:rsidRPr="00B0157E">
        <w:rPr>
          <w:rFonts w:eastAsia="MS Mincho"/>
          <w:lang w:val="en-AU"/>
        </w:rPr>
        <w:t xml:space="preserve"> </w:t>
      </w:r>
      <w:r w:rsidR="00FB1337" w:rsidRPr="00B0157E">
        <w:rPr>
          <w:rFonts w:eastAsia="MS Mincho"/>
          <w:lang w:val="en-AU"/>
        </w:rPr>
        <w:t xml:space="preserve">(iii) </w:t>
      </w:r>
      <w:r w:rsidRPr="00B0157E">
        <w:rPr>
          <w:rFonts w:eastAsia="MS Mincho"/>
          <w:lang w:val="en-AU"/>
        </w:rPr>
        <w:t>monitoring high</w:t>
      </w:r>
      <w:r w:rsidR="00C474EC" w:rsidRPr="00B0157E">
        <w:rPr>
          <w:rFonts w:eastAsia="MS Mincho"/>
          <w:lang w:val="en-AU"/>
        </w:rPr>
        <w:t>-</w:t>
      </w:r>
      <w:r w:rsidRPr="00B0157E">
        <w:rPr>
          <w:rFonts w:eastAsia="MS Mincho"/>
          <w:lang w:val="en-AU"/>
        </w:rPr>
        <w:t xml:space="preserve">volume users of the item </w:t>
      </w:r>
      <w:r w:rsidR="00C474EC" w:rsidRPr="00B0157E">
        <w:rPr>
          <w:rFonts w:eastAsia="MS Mincho"/>
          <w:lang w:val="en-AU"/>
        </w:rPr>
        <w:t xml:space="preserve">(conducted </w:t>
      </w:r>
      <w:r w:rsidRPr="00B0157E">
        <w:rPr>
          <w:rFonts w:eastAsia="MS Mincho"/>
          <w:lang w:val="en-AU"/>
        </w:rPr>
        <w:t xml:space="preserve">by </w:t>
      </w:r>
      <w:r w:rsidR="00FA31F4" w:rsidRPr="00B0157E">
        <w:rPr>
          <w:rFonts w:eastAsia="MS Mincho"/>
          <w:lang w:val="en-AU"/>
        </w:rPr>
        <w:t xml:space="preserve">the </w:t>
      </w:r>
      <w:r w:rsidR="00EE5F44" w:rsidRPr="00B0157E">
        <w:rPr>
          <w:rFonts w:eastAsia="MS Mincho"/>
          <w:lang w:val="en-AU"/>
        </w:rPr>
        <w:t>Department)</w:t>
      </w:r>
      <w:r w:rsidR="00FA31F4" w:rsidRPr="00B0157E">
        <w:rPr>
          <w:rFonts w:eastAsia="MS Mincho"/>
          <w:lang w:val="en-AU"/>
        </w:rPr>
        <w:t>;</w:t>
      </w:r>
      <w:r w:rsidRPr="00B0157E">
        <w:rPr>
          <w:rFonts w:eastAsia="MS Mincho"/>
          <w:lang w:val="en-AU"/>
        </w:rPr>
        <w:t xml:space="preserve"> and</w:t>
      </w:r>
      <w:r w:rsidR="00FB1337" w:rsidRPr="00B0157E">
        <w:rPr>
          <w:rFonts w:eastAsia="MS Mincho"/>
          <w:lang w:val="en-AU"/>
        </w:rPr>
        <w:t xml:space="preserve"> (iv)</w:t>
      </w:r>
      <w:r w:rsidRPr="00B0157E">
        <w:rPr>
          <w:rFonts w:eastAsia="MS Mincho"/>
          <w:lang w:val="en-AU"/>
        </w:rPr>
        <w:t xml:space="preserve"> </w:t>
      </w:r>
      <w:r w:rsidR="007F1EDA" w:rsidRPr="00B0157E">
        <w:rPr>
          <w:rFonts w:eastAsia="MS Mincho"/>
          <w:lang w:val="en-AU"/>
        </w:rPr>
        <w:t xml:space="preserve">conducting </w:t>
      </w:r>
      <w:r w:rsidRPr="00B0157E">
        <w:rPr>
          <w:rFonts w:eastAsia="MS Mincho"/>
          <w:lang w:val="en-AU"/>
        </w:rPr>
        <w:t>a further review in 12 months’ time of pro</w:t>
      </w:r>
      <w:r w:rsidR="00F70B75" w:rsidRPr="00B0157E">
        <w:rPr>
          <w:rFonts w:eastAsia="MS Mincho"/>
          <w:lang w:val="en-AU"/>
        </w:rPr>
        <w:t xml:space="preserve">viders </w:t>
      </w:r>
      <w:r w:rsidRPr="00B0157E">
        <w:rPr>
          <w:rFonts w:eastAsia="MS Mincho"/>
          <w:lang w:val="en-AU"/>
        </w:rPr>
        <w:t xml:space="preserve">that bill multiple lesions in a single day under item </w:t>
      </w:r>
      <w:r w:rsidR="001E58D0" w:rsidRPr="00B0157E">
        <w:rPr>
          <w:rFonts w:eastAsia="MS Mincho"/>
          <w:lang w:val="en-AU"/>
        </w:rPr>
        <w:t>30202</w:t>
      </w:r>
      <w:r w:rsidRPr="00B0157E">
        <w:rPr>
          <w:rFonts w:eastAsia="MS Mincho"/>
          <w:lang w:val="en-AU"/>
        </w:rPr>
        <w:t xml:space="preserve">. The Committee does not anticipate this procedure volume to be high, as discussed in Section </w:t>
      </w:r>
      <w:r w:rsidR="00FE00FD">
        <w:rPr>
          <w:rFonts w:eastAsia="MS Mincho"/>
          <w:lang w:val="en-AU"/>
        </w:rPr>
        <w:fldChar w:fldCharType="begin"/>
      </w:r>
      <w:r w:rsidR="00FE00FD">
        <w:rPr>
          <w:rFonts w:eastAsia="MS Mincho"/>
          <w:lang w:val="en-AU"/>
        </w:rPr>
        <w:instrText xml:space="preserve"> REF _Ref463874300 \r \h </w:instrText>
      </w:r>
      <w:r w:rsidR="00FE00FD">
        <w:rPr>
          <w:rFonts w:eastAsia="MS Mincho"/>
          <w:lang w:val="en-AU"/>
        </w:rPr>
      </w:r>
      <w:r w:rsidR="00FE00FD">
        <w:rPr>
          <w:rFonts w:eastAsia="MS Mincho"/>
          <w:lang w:val="en-AU"/>
        </w:rPr>
        <w:fldChar w:fldCharType="separate"/>
      </w:r>
      <w:r w:rsidR="00076093">
        <w:rPr>
          <w:rFonts w:eastAsia="MS Mincho"/>
          <w:lang w:val="en-AU"/>
        </w:rPr>
        <w:t>5.4.2</w:t>
      </w:r>
      <w:r w:rsidR="00FE00FD">
        <w:rPr>
          <w:rFonts w:eastAsia="MS Mincho"/>
          <w:lang w:val="en-AU"/>
        </w:rPr>
        <w:fldChar w:fldCharType="end"/>
      </w:r>
      <w:r w:rsidRPr="00B0157E">
        <w:rPr>
          <w:rFonts w:eastAsia="MS Mincho"/>
          <w:lang w:val="en-AU"/>
        </w:rPr>
        <w:t xml:space="preserve"> (</w:t>
      </w:r>
      <w:r w:rsidR="001E58D0" w:rsidRPr="00B0157E">
        <w:rPr>
          <w:rFonts w:eastAsia="MS Mincho"/>
          <w:lang w:val="en-AU"/>
        </w:rPr>
        <w:t>item 30203</w:t>
      </w:r>
      <w:r w:rsidRPr="00B0157E">
        <w:rPr>
          <w:rFonts w:eastAsia="MS Mincho"/>
          <w:lang w:val="en-AU"/>
        </w:rPr>
        <w:t>).</w:t>
      </w:r>
      <w:r w:rsidR="00D93D77" w:rsidRPr="00B0157E">
        <w:rPr>
          <w:rFonts w:eastAsia="MS Mincho"/>
          <w:lang w:val="en-AU"/>
        </w:rPr>
        <w:t xml:space="preserve"> The Committee notes that the recommendation regarding the word “specialist” in the item descriptor is slightly different </w:t>
      </w:r>
      <w:r w:rsidR="00A000B2" w:rsidRPr="00B0157E">
        <w:rPr>
          <w:rFonts w:eastAsia="MS Mincho"/>
          <w:lang w:val="en-AU"/>
        </w:rPr>
        <w:t xml:space="preserve">from the wording change recommended for </w:t>
      </w:r>
      <w:r w:rsidR="00D93D77" w:rsidRPr="00B0157E">
        <w:rPr>
          <w:rFonts w:eastAsia="MS Mincho"/>
          <w:lang w:val="en-AU"/>
        </w:rPr>
        <w:t xml:space="preserve">item 30196. This </w:t>
      </w:r>
      <w:r w:rsidR="002D7B7F" w:rsidRPr="00B0157E">
        <w:rPr>
          <w:rFonts w:eastAsia="MS Mincho"/>
          <w:lang w:val="en-AU"/>
        </w:rPr>
        <w:t>decision was made because</w:t>
      </w:r>
      <w:r w:rsidR="00D93D77" w:rsidRPr="00B0157E">
        <w:rPr>
          <w:rFonts w:eastAsia="MS Mincho"/>
          <w:lang w:val="en-AU"/>
        </w:rPr>
        <w:t xml:space="preserve"> the procedure under 30202 is different</w:t>
      </w:r>
      <w:r w:rsidR="003A017B" w:rsidRPr="00B0157E">
        <w:rPr>
          <w:rFonts w:eastAsia="MS Mincho"/>
          <w:lang w:val="en-AU"/>
        </w:rPr>
        <w:t>,</w:t>
      </w:r>
      <w:r w:rsidR="00D93D77" w:rsidRPr="00B0157E">
        <w:rPr>
          <w:rFonts w:eastAsia="MS Mincho"/>
          <w:lang w:val="en-AU"/>
        </w:rPr>
        <w:t xml:space="preserve"> and dermatologists often try to avoid removing tissue where possible to avoid scarring.</w:t>
      </w:r>
      <w:r w:rsidR="004A352E">
        <w:rPr>
          <w:rFonts w:eastAsia="MS Mincho"/>
          <w:lang w:val="en-AU"/>
        </w:rPr>
        <w:t xml:space="preserve"> </w:t>
      </w:r>
    </w:p>
    <w:p w14:paraId="5E265DFF" w14:textId="77777777" w:rsidR="00101396" w:rsidRPr="002808A4" w:rsidRDefault="00101396" w:rsidP="002808A4">
      <w:pPr>
        <w:pStyle w:val="Heading3"/>
      </w:pPr>
      <w:bookmarkStart w:id="114" w:name="_Toc452997150"/>
      <w:bookmarkStart w:id="115" w:name="_Toc458774430"/>
      <w:bookmarkStart w:id="116" w:name="_Ref463874300"/>
      <w:r w:rsidRPr="002808A4">
        <w:t>Item 30203</w:t>
      </w:r>
      <w:bookmarkEnd w:id="114"/>
      <w:bookmarkEnd w:id="115"/>
      <w:bookmarkEnd w:id="116"/>
      <w:r w:rsidRPr="002808A4">
        <w:t xml:space="preserve"> </w:t>
      </w:r>
    </w:p>
    <w:p w14:paraId="00F0E4DE" w14:textId="77777777" w:rsidR="00101396" w:rsidRPr="00B0157E" w:rsidRDefault="00101396" w:rsidP="00FF0C98">
      <w:pPr>
        <w:rPr>
          <w:b/>
          <w:lang w:val="en-AU"/>
        </w:rPr>
      </w:pPr>
      <w:r w:rsidRPr="00B0157E">
        <w:rPr>
          <w:b/>
          <w:lang w:val="en-AU"/>
        </w:rPr>
        <w:t xml:space="preserve">Recommendation </w:t>
      </w:r>
    </w:p>
    <w:p w14:paraId="3488DB56" w14:textId="77777777" w:rsidR="00306EE4" w:rsidRPr="00B0157E" w:rsidRDefault="000A053F">
      <w:pPr>
        <w:pStyle w:val="01squarebullet"/>
        <w:rPr>
          <w:rFonts w:eastAsia="MS Mincho"/>
          <w:lang w:val="en-AU"/>
        </w:rPr>
      </w:pPr>
      <w:r w:rsidRPr="00B0157E">
        <w:rPr>
          <w:rFonts w:eastAsia="MS Mincho"/>
          <w:lang w:val="en-AU"/>
        </w:rPr>
        <w:t xml:space="preserve">Consolidate </w:t>
      </w:r>
      <w:r w:rsidR="00306EE4" w:rsidRPr="00B0157E">
        <w:rPr>
          <w:rFonts w:eastAsia="MS Mincho"/>
          <w:lang w:val="en-AU"/>
        </w:rPr>
        <w:t xml:space="preserve">this item under item 30202. </w:t>
      </w:r>
    </w:p>
    <w:p w14:paraId="01533F0D" w14:textId="77777777" w:rsidR="00101396" w:rsidRPr="00B0157E" w:rsidRDefault="00101396" w:rsidP="00FF0C98">
      <w:pPr>
        <w:rPr>
          <w:b/>
          <w:lang w:val="en-AU"/>
        </w:rPr>
      </w:pPr>
      <w:r w:rsidRPr="00B0157E">
        <w:rPr>
          <w:b/>
          <w:lang w:val="en-AU"/>
        </w:rPr>
        <w:t>Rationale</w:t>
      </w:r>
    </w:p>
    <w:p w14:paraId="71A6754D" w14:textId="77777777" w:rsidR="00845265" w:rsidRPr="00B0157E" w:rsidRDefault="00845265" w:rsidP="00C33ED9">
      <w:pPr>
        <w:rPr>
          <w:lang w:val="en-AU"/>
        </w:rPr>
      </w:pPr>
      <w:r w:rsidRPr="00B0157E">
        <w:rPr>
          <w:lang w:val="en-AU"/>
        </w:rPr>
        <w:t>The recommendation focuse</w:t>
      </w:r>
      <w:r w:rsidR="00863EC9" w:rsidRPr="00B0157E">
        <w:rPr>
          <w:lang w:val="en-AU"/>
        </w:rPr>
        <w:t>s</w:t>
      </w:r>
      <w:r w:rsidRPr="00B0157E">
        <w:rPr>
          <w:lang w:val="en-AU"/>
        </w:rPr>
        <w:t xml:space="preserve"> on improving patient care and addressing incentives for misuse</w:t>
      </w:r>
      <w:r w:rsidR="00D32F3F" w:rsidRPr="00B0157E">
        <w:rPr>
          <w:lang w:val="en-AU"/>
        </w:rPr>
        <w:t>.</w:t>
      </w:r>
      <w:r w:rsidRPr="00B0157E">
        <w:rPr>
          <w:lang w:val="en-AU"/>
        </w:rPr>
        <w:t xml:space="preserve"> </w:t>
      </w:r>
      <w:r w:rsidR="00D32F3F" w:rsidRPr="00B0157E">
        <w:rPr>
          <w:lang w:val="en-AU"/>
        </w:rPr>
        <w:t>I</w:t>
      </w:r>
      <w:r w:rsidRPr="00B0157E">
        <w:rPr>
          <w:lang w:val="en-AU"/>
        </w:rPr>
        <w:t xml:space="preserve">t is </w:t>
      </w:r>
      <w:r w:rsidR="00345693" w:rsidRPr="00B0157E">
        <w:rPr>
          <w:lang w:val="en-AU"/>
        </w:rPr>
        <w:t>based on the following observations</w:t>
      </w:r>
      <w:r w:rsidR="00DC1E4B" w:rsidRPr="00B0157E">
        <w:rPr>
          <w:lang w:val="en-AU"/>
        </w:rPr>
        <w:t>.</w:t>
      </w:r>
    </w:p>
    <w:p w14:paraId="19EF0D8A" w14:textId="77777777" w:rsidR="00323A7C" w:rsidRPr="00B0157E" w:rsidRDefault="00845265">
      <w:pPr>
        <w:pStyle w:val="01squarebullet"/>
        <w:rPr>
          <w:lang w:val="en-AU"/>
        </w:rPr>
      </w:pPr>
      <w:r w:rsidRPr="00B0157E">
        <w:rPr>
          <w:rFonts w:eastAsia="MS Mincho"/>
          <w:lang w:val="en-AU"/>
        </w:rPr>
        <w:t>The Committee’s position is that there are few circumstances in which the removal of 10</w:t>
      </w:r>
      <w:r w:rsidR="004829AF" w:rsidRPr="00B0157E">
        <w:rPr>
          <w:rFonts w:eastAsia="MS Mincho"/>
          <w:lang w:val="en-AU"/>
        </w:rPr>
        <w:t> </w:t>
      </w:r>
      <w:r w:rsidR="003E5EBF">
        <w:rPr>
          <w:rFonts w:eastAsia="MS Mincho"/>
          <w:lang w:val="en-AU"/>
        </w:rPr>
        <w:t>or </w:t>
      </w:r>
      <w:r w:rsidRPr="00B0157E">
        <w:rPr>
          <w:rFonts w:eastAsia="MS Mincho"/>
          <w:lang w:val="en-AU"/>
        </w:rPr>
        <w:t xml:space="preserve">more </w:t>
      </w:r>
      <w:r w:rsidR="00F82B2A" w:rsidRPr="00B0157E">
        <w:rPr>
          <w:rFonts w:eastAsia="MS Mincho"/>
          <w:lang w:val="en-AU"/>
        </w:rPr>
        <w:t xml:space="preserve">malignant </w:t>
      </w:r>
      <w:r w:rsidRPr="00B0157E">
        <w:rPr>
          <w:rFonts w:eastAsia="MS Mincho"/>
          <w:lang w:val="en-AU"/>
        </w:rPr>
        <w:t xml:space="preserve">lesions </w:t>
      </w:r>
      <w:r w:rsidR="000542FE" w:rsidRPr="00B0157E">
        <w:rPr>
          <w:rFonts w:eastAsia="MS Mincho"/>
          <w:lang w:val="en-AU"/>
        </w:rPr>
        <w:t xml:space="preserve">by liquid nitrogen cryotherapy with repeat freeze-thaw cycles </w:t>
      </w:r>
      <w:r w:rsidR="003E5EBF">
        <w:rPr>
          <w:rFonts w:eastAsia="MS Mincho"/>
          <w:lang w:val="en-AU"/>
        </w:rPr>
        <w:t>is </w:t>
      </w:r>
      <w:r w:rsidR="00F82B2A" w:rsidRPr="00B0157E">
        <w:rPr>
          <w:rFonts w:eastAsia="MS Mincho"/>
          <w:lang w:val="en-AU"/>
        </w:rPr>
        <w:t>appropriate</w:t>
      </w:r>
      <w:r w:rsidRPr="00B0157E">
        <w:rPr>
          <w:rFonts w:eastAsia="MS Mincho"/>
          <w:lang w:val="en-AU"/>
        </w:rPr>
        <w:t xml:space="preserve">, </w:t>
      </w:r>
      <w:r w:rsidRPr="00B0157E">
        <w:rPr>
          <w:lang w:val="en-AU"/>
        </w:rPr>
        <w:t>particularly as it causes significant pain and damage to the skin.</w:t>
      </w:r>
      <w:r w:rsidR="00406705" w:rsidRPr="00B0157E">
        <w:rPr>
          <w:lang w:val="en-AU"/>
        </w:rPr>
        <w:t xml:space="preserve"> </w:t>
      </w:r>
      <w:r w:rsidR="004D40DB" w:rsidRPr="00B0157E">
        <w:rPr>
          <w:lang w:val="en-AU"/>
        </w:rPr>
        <w:t>Despite this</w:t>
      </w:r>
      <w:r w:rsidR="003C12DE" w:rsidRPr="00B0157E">
        <w:rPr>
          <w:lang w:val="en-AU"/>
        </w:rPr>
        <w:t xml:space="preserve">, </w:t>
      </w:r>
      <w:r w:rsidR="00603682" w:rsidRPr="00B0157E">
        <w:rPr>
          <w:lang w:val="en-AU"/>
        </w:rPr>
        <w:t>12,383 services were provided</w:t>
      </w:r>
      <w:r w:rsidR="003C12DE" w:rsidRPr="00B0157E">
        <w:rPr>
          <w:lang w:val="en-AU"/>
        </w:rPr>
        <w:t xml:space="preserve"> in FY</w:t>
      </w:r>
      <w:r w:rsidR="001174CC" w:rsidRPr="00B0157E">
        <w:rPr>
          <w:lang w:val="en-AU"/>
        </w:rPr>
        <w:t>2014/</w:t>
      </w:r>
      <w:r w:rsidR="001911D5" w:rsidRPr="00B0157E">
        <w:rPr>
          <w:lang w:val="en-AU"/>
        </w:rPr>
        <w:t>1</w:t>
      </w:r>
      <w:r w:rsidR="001174CC" w:rsidRPr="00B0157E">
        <w:rPr>
          <w:lang w:val="en-AU"/>
        </w:rPr>
        <w:t>5</w:t>
      </w:r>
      <w:r w:rsidR="00603682" w:rsidRPr="00B0157E">
        <w:rPr>
          <w:lang w:val="en-AU"/>
        </w:rPr>
        <w:t>, and services hav</w:t>
      </w:r>
      <w:r w:rsidR="003E7FC1">
        <w:rPr>
          <w:lang w:val="en-AU"/>
        </w:rPr>
        <w:t>e been growing at an average of </w:t>
      </w:r>
      <w:r w:rsidR="00603682" w:rsidRPr="00B0157E">
        <w:rPr>
          <w:lang w:val="en-AU"/>
        </w:rPr>
        <w:t xml:space="preserve">5.5 per cent year per over the last </w:t>
      </w:r>
      <w:r w:rsidR="003C12DE" w:rsidRPr="00B0157E">
        <w:rPr>
          <w:lang w:val="en-AU"/>
        </w:rPr>
        <w:t>five</w:t>
      </w:r>
      <w:r w:rsidR="00603682" w:rsidRPr="00B0157E">
        <w:rPr>
          <w:lang w:val="en-AU"/>
        </w:rPr>
        <w:t xml:space="preserve"> years</w:t>
      </w:r>
      <w:r w:rsidR="007071F8" w:rsidRPr="00B0157E">
        <w:rPr>
          <w:lang w:val="en-AU"/>
        </w:rPr>
        <w:fldChar w:fldCharType="begin" w:fldLock="1"/>
      </w:r>
      <w:r w:rsidR="007071F8"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7071F8" w:rsidRPr="00B0157E">
        <w:rPr>
          <w:lang w:val="en-AU"/>
        </w:rPr>
        <w:fldChar w:fldCharType="separate"/>
      </w:r>
      <w:r w:rsidR="007071F8" w:rsidRPr="00B0157E">
        <w:rPr>
          <w:lang w:val="en-AU"/>
        </w:rPr>
        <w:t>[2]</w:t>
      </w:r>
      <w:r w:rsidR="007071F8" w:rsidRPr="00B0157E">
        <w:rPr>
          <w:lang w:val="en-AU"/>
        </w:rPr>
        <w:fldChar w:fldCharType="end"/>
      </w:r>
      <w:r w:rsidR="00603682" w:rsidRPr="00B0157E">
        <w:rPr>
          <w:lang w:val="en-AU"/>
        </w:rPr>
        <w:t xml:space="preserve"> (compared to population growth of 1.3 per cent)</w:t>
      </w:r>
      <w:r w:rsidR="007071F8" w:rsidRPr="00B0157E">
        <w:rPr>
          <w:lang w:val="en-AU"/>
        </w:rPr>
        <w:fldChar w:fldCharType="begin" w:fldLock="1"/>
      </w:r>
      <w:r w:rsidR="004E545A" w:rsidRPr="00B0157E">
        <w:rPr>
          <w:lang w:val="en-AU"/>
        </w:rPr>
        <w:instrText>ADDIN CSL_CITATION { "citationItems" : [ { "id" : "ITEM-1", "itemData" : { "URL" : "http://www.abs.gov.au/ausstats/abs@.nsf/Previousproducts/3101.0Main Features1Jun 2015?opendocument&amp;tabname=Summary&amp;prodno=3101.0&amp;issue=Jun 2015&amp;num=&amp;view=", "accessed" : { "date-parts" : [ [ "2016", "4", "25" ] ] }, "author" : [ { "dropping-particle" : "", "family" : "Statistics", "given" : "Australian Bureau of", "non-dropping-particle" : "", "parse-names" : false, "suffix" : "" } ], "container-title" : "3101.0 - Australian Demographic statistics Jun 2010 and Jun 2015", "id" : "ITEM-1", "issued" : { "date-parts" : [ [ "0" ] ] }, "title" : "Australian Demographic Statistics", "type" : "webpage" }, "uris" : [ "http://www.mendeley.com/documents/?uuid=d10251fe-4e2e-47b7-90e6-eb7e0d334d4c" ] } ], "mendeley" : { "formattedCitation" : "[3]", "plainTextFormattedCitation" : "[3]", "previouslyFormattedCitation" : "[3]" }, "properties" : { "noteIndex" : 0 }, "schema" : "https://github.com/citation-style-language/schema/raw/master/csl-citation.json" }</w:instrText>
      </w:r>
      <w:r w:rsidR="007071F8" w:rsidRPr="00B0157E">
        <w:rPr>
          <w:lang w:val="en-AU"/>
        </w:rPr>
        <w:fldChar w:fldCharType="separate"/>
      </w:r>
      <w:r w:rsidR="007071F8" w:rsidRPr="00B0157E">
        <w:rPr>
          <w:lang w:val="en-AU"/>
        </w:rPr>
        <w:t>[3]</w:t>
      </w:r>
      <w:r w:rsidR="007071F8" w:rsidRPr="00B0157E">
        <w:rPr>
          <w:lang w:val="en-AU"/>
        </w:rPr>
        <w:fldChar w:fldCharType="end"/>
      </w:r>
      <w:r w:rsidR="00603682" w:rsidRPr="00B0157E">
        <w:rPr>
          <w:lang w:val="en-AU"/>
        </w:rPr>
        <w:t xml:space="preserve">. </w:t>
      </w:r>
      <w:r w:rsidR="0033246B" w:rsidRPr="00B0157E">
        <w:rPr>
          <w:lang w:val="en-AU"/>
        </w:rPr>
        <w:t xml:space="preserve">Furthermore, a substantial number of patients </w:t>
      </w:r>
      <w:r w:rsidR="00E341E7" w:rsidRPr="00B0157E">
        <w:rPr>
          <w:lang w:val="en-AU"/>
        </w:rPr>
        <w:t xml:space="preserve">undergo </w:t>
      </w:r>
      <w:r w:rsidR="0033246B" w:rsidRPr="00B0157E">
        <w:rPr>
          <w:lang w:val="en-AU"/>
        </w:rPr>
        <w:t>over 20 lesion removals in a year</w:t>
      </w:r>
      <w:r w:rsidR="007F3B4A" w:rsidRPr="00B0157E">
        <w:rPr>
          <w:lang w:val="en-AU"/>
        </w:rPr>
        <w:t xml:space="preserve">: in FY2014/15, </w:t>
      </w:r>
      <w:r w:rsidR="004A51BA" w:rsidRPr="00B0157E">
        <w:rPr>
          <w:lang w:val="en-AU"/>
        </w:rPr>
        <w:t xml:space="preserve">for example, </w:t>
      </w:r>
      <w:r w:rsidR="007F3B4A" w:rsidRPr="00B0157E">
        <w:rPr>
          <w:lang w:val="en-AU"/>
        </w:rPr>
        <w:t>26 per cent of patients received two or more services under item 30203.</w:t>
      </w:r>
      <w:r w:rsidR="004E545A" w:rsidRPr="00B0157E">
        <w:rPr>
          <w:lang w:val="en-AU"/>
        </w:rPr>
        <w:fldChar w:fldCharType="begin" w:fldLock="1"/>
      </w:r>
      <w:r w:rsidR="00720190"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Q20214", "type" : "report" }, "uris" : [ "http://www.mendeley.com/documents/?uuid=62ab9dad-6d4d-432f-8b2e-fed4522b4a80" ] } ], "mendeley" : { "formattedCitation" : "[10]", "plainTextFormattedCitation" : "[10]", "previouslyFormattedCitation" : "[10]" }, "properties" : { "noteIndex" : 0 }, "schema" : "https://github.com/citation-style-language/schema/raw/master/csl-citation.json" }</w:instrText>
      </w:r>
      <w:r w:rsidR="004E545A" w:rsidRPr="00B0157E">
        <w:rPr>
          <w:lang w:val="en-AU"/>
        </w:rPr>
        <w:fldChar w:fldCharType="separate"/>
      </w:r>
      <w:r w:rsidR="004E545A" w:rsidRPr="00B0157E">
        <w:rPr>
          <w:lang w:val="en-AU"/>
        </w:rPr>
        <w:t>[10]</w:t>
      </w:r>
      <w:r w:rsidR="004E545A" w:rsidRPr="00B0157E">
        <w:rPr>
          <w:lang w:val="en-AU"/>
        </w:rPr>
        <w:fldChar w:fldCharType="end"/>
      </w:r>
      <w:r w:rsidR="00323A7C" w:rsidRPr="00B0157E">
        <w:rPr>
          <w:lang w:val="en-AU"/>
        </w:rPr>
        <w:t xml:space="preserve"> </w:t>
      </w:r>
      <w:r w:rsidR="00764279" w:rsidRPr="00B0157E">
        <w:rPr>
          <w:lang w:val="en-AU"/>
        </w:rPr>
        <w:t xml:space="preserve">This may be because </w:t>
      </w:r>
      <w:r w:rsidR="00764279" w:rsidRPr="00B0157E">
        <w:rPr>
          <w:rFonts w:eastAsia="MS Mincho"/>
          <w:lang w:val="en-AU"/>
        </w:rPr>
        <w:t>t</w:t>
      </w:r>
      <w:r w:rsidR="00964D25" w:rsidRPr="00B0157E">
        <w:rPr>
          <w:rFonts w:eastAsia="MS Mincho"/>
          <w:lang w:val="en-AU"/>
        </w:rPr>
        <w:t xml:space="preserve">he higher schedule fee for item 30203 </w:t>
      </w:r>
      <w:r w:rsidR="0011552A" w:rsidRPr="00B0157E">
        <w:rPr>
          <w:rFonts w:eastAsia="MS Mincho"/>
          <w:lang w:val="en-AU"/>
        </w:rPr>
        <w:t>has</w:t>
      </w:r>
      <w:r w:rsidR="00964D25" w:rsidRPr="00B0157E">
        <w:rPr>
          <w:rFonts w:eastAsia="MS Mincho"/>
          <w:lang w:val="en-AU"/>
        </w:rPr>
        <w:t xml:space="preserve"> create</w:t>
      </w:r>
      <w:r w:rsidR="003306C7" w:rsidRPr="00B0157E">
        <w:rPr>
          <w:rFonts w:eastAsia="MS Mincho"/>
          <w:lang w:val="en-AU"/>
        </w:rPr>
        <w:t>d</w:t>
      </w:r>
      <w:r w:rsidR="00964D25" w:rsidRPr="00B0157E">
        <w:rPr>
          <w:rFonts w:eastAsia="MS Mincho"/>
          <w:lang w:val="en-AU"/>
        </w:rPr>
        <w:t xml:space="preserve"> a perverse incentive to bill this item, rather than billing mult</w:t>
      </w:r>
      <w:r w:rsidR="00C43234" w:rsidRPr="00B0157E">
        <w:rPr>
          <w:rFonts w:eastAsia="MS Mincho"/>
          <w:lang w:val="en-AU"/>
        </w:rPr>
        <w:t xml:space="preserve">iple times under item 30202 </w:t>
      </w:r>
      <w:r w:rsidR="00791E30">
        <w:rPr>
          <w:rFonts w:eastAsia="MS Mincho"/>
          <w:lang w:val="en-AU"/>
        </w:rPr>
        <w:t>(</w:t>
      </w:r>
      <w:r w:rsidR="00791E30">
        <w:rPr>
          <w:rFonts w:eastAsia="MS Mincho"/>
          <w:lang w:val="en-AU"/>
        </w:rPr>
        <w:fldChar w:fldCharType="begin"/>
      </w:r>
      <w:r w:rsidR="00791E30">
        <w:rPr>
          <w:rFonts w:eastAsia="MS Mincho"/>
          <w:lang w:val="en-AU"/>
        </w:rPr>
        <w:instrText xml:space="preserve"> REF _Ref463874459 \h </w:instrText>
      </w:r>
      <w:r w:rsidR="00791E30">
        <w:rPr>
          <w:rFonts w:eastAsia="MS Mincho"/>
          <w:lang w:val="en-AU"/>
        </w:rPr>
      </w:r>
      <w:r w:rsidR="00791E30">
        <w:rPr>
          <w:rFonts w:eastAsia="MS Mincho"/>
          <w:lang w:val="en-AU"/>
        </w:rPr>
        <w:fldChar w:fldCharType="separate"/>
      </w:r>
      <w:r w:rsidR="00076093" w:rsidRPr="00B0157E">
        <w:t xml:space="preserve">Figure </w:t>
      </w:r>
      <w:r w:rsidR="00076093">
        <w:rPr>
          <w:noProof/>
        </w:rPr>
        <w:t>5</w:t>
      </w:r>
      <w:r w:rsidR="00791E30">
        <w:rPr>
          <w:rFonts w:eastAsia="MS Mincho"/>
          <w:lang w:val="en-AU"/>
        </w:rPr>
        <w:fldChar w:fldCharType="end"/>
      </w:r>
      <w:r w:rsidR="00C47315" w:rsidRPr="00B0157E">
        <w:rPr>
          <w:rFonts w:eastAsia="MS Mincho"/>
          <w:lang w:val="en-AU"/>
        </w:rPr>
        <w:t>)</w:t>
      </w:r>
      <w:r w:rsidR="00C1346F" w:rsidRPr="00B0157E">
        <w:rPr>
          <w:rFonts w:eastAsia="MS Mincho"/>
          <w:lang w:val="en-AU"/>
        </w:rPr>
        <w:fldChar w:fldCharType="begin" w:fldLock="1"/>
      </w:r>
      <w:r w:rsidR="00C47315" w:rsidRPr="00B0157E">
        <w:rPr>
          <w:rFonts w:eastAsia="MS Mincho"/>
          <w:lang w:val="en-AU"/>
        </w:rPr>
        <w:instrText>ADDIN CSL_CITATION { "citationItems" : [ { "id" : "ITEM-1", "itemData" : { "author" : [ { "dropping-particle" : "", "family" : "Department of Health Australlia", "given" : "Medicare Reviews Unit", "non-dropping-particle" : "", "parse-names" : false, "suffix" : "" } ], "id" : "ITEM-1", "issued" : { "date-parts" : [ [ "2016" ] ] }, "title" : "MBS data - Q20360", "type" : "report" }, "uris" : [ "http://www.mendeley.com/documents/?uuid=d55908f0-7b9b-4c84-a21f-b7af4046dec1" ] } ], "mendeley" : { "formattedCitation" : "[14]", "plainTextFormattedCitation" : "[14]", "previouslyFormattedCitation" : "[14]" }, "properties" : { "noteIndex" : 0 }, "schema" : "https://github.com/citation-style-language/schema/raw/master/csl-citation.json" }</w:instrText>
      </w:r>
      <w:r w:rsidR="00C1346F" w:rsidRPr="00B0157E">
        <w:rPr>
          <w:rFonts w:eastAsia="MS Mincho"/>
          <w:lang w:val="en-AU"/>
        </w:rPr>
        <w:fldChar w:fldCharType="separate"/>
      </w:r>
      <w:r w:rsidR="00C47315" w:rsidRPr="00B0157E">
        <w:rPr>
          <w:rFonts w:eastAsia="MS Mincho"/>
          <w:noProof/>
          <w:lang w:val="en-AU"/>
        </w:rPr>
        <w:t>[14]</w:t>
      </w:r>
      <w:r w:rsidR="00C1346F" w:rsidRPr="00B0157E">
        <w:rPr>
          <w:rFonts w:eastAsia="MS Mincho"/>
          <w:lang w:val="en-AU"/>
        </w:rPr>
        <w:fldChar w:fldCharType="end"/>
      </w:r>
      <w:r w:rsidR="00FE4A45" w:rsidRPr="00B0157E">
        <w:rPr>
          <w:rFonts w:eastAsia="MS Mincho"/>
          <w:lang w:val="en-AU"/>
        </w:rPr>
        <w:t>.</w:t>
      </w:r>
      <w:r w:rsidR="00E3504C" w:rsidRPr="00B0157E">
        <w:rPr>
          <w:lang w:val="en-AU"/>
        </w:rPr>
        <w:t xml:space="preserve"> </w:t>
      </w:r>
      <w:r w:rsidR="00964D25" w:rsidRPr="00B0157E">
        <w:rPr>
          <w:lang w:val="en-AU"/>
        </w:rPr>
        <w:t xml:space="preserve">The Committee noted with surprise that the number of patients </w:t>
      </w:r>
      <w:r w:rsidR="004C6A1D" w:rsidRPr="00B0157E">
        <w:rPr>
          <w:lang w:val="en-AU"/>
        </w:rPr>
        <w:t xml:space="preserve">undergoing </w:t>
      </w:r>
      <w:r w:rsidR="003E7FC1">
        <w:rPr>
          <w:lang w:val="en-AU"/>
        </w:rPr>
        <w:t>at least 10 </w:t>
      </w:r>
      <w:r w:rsidR="00964D25" w:rsidRPr="00B0157E">
        <w:rPr>
          <w:lang w:val="en-AU"/>
        </w:rPr>
        <w:t>lesion</w:t>
      </w:r>
      <w:r w:rsidR="00997E30" w:rsidRPr="00B0157E">
        <w:rPr>
          <w:lang w:val="en-AU"/>
        </w:rPr>
        <w:t xml:space="preserve"> removals</w:t>
      </w:r>
      <w:r w:rsidR="00964D25" w:rsidRPr="00B0157E">
        <w:rPr>
          <w:lang w:val="en-AU"/>
        </w:rPr>
        <w:t xml:space="preserve"> is double the number of patients </w:t>
      </w:r>
      <w:r w:rsidR="00EA2CFE" w:rsidRPr="00B0157E">
        <w:rPr>
          <w:lang w:val="en-AU"/>
        </w:rPr>
        <w:t xml:space="preserve">undergoing </w:t>
      </w:r>
      <w:r w:rsidR="00964D25" w:rsidRPr="00B0157E">
        <w:rPr>
          <w:lang w:val="en-AU"/>
        </w:rPr>
        <w:t>two lesion</w:t>
      </w:r>
      <w:r w:rsidR="00364402" w:rsidRPr="00B0157E">
        <w:rPr>
          <w:lang w:val="en-AU"/>
        </w:rPr>
        <w:t xml:space="preserve"> removals</w:t>
      </w:r>
      <w:r w:rsidR="00964D25" w:rsidRPr="00B0157E">
        <w:rPr>
          <w:lang w:val="en-AU"/>
        </w:rPr>
        <w:t xml:space="preserve"> on the same day. </w:t>
      </w:r>
    </w:p>
    <w:p w14:paraId="02E72674" w14:textId="77777777" w:rsidR="00153D4B" w:rsidRPr="00B0157E" w:rsidRDefault="008E038E">
      <w:pPr>
        <w:pStyle w:val="01squarebullet"/>
        <w:rPr>
          <w:lang w:val="en-AU"/>
        </w:rPr>
      </w:pPr>
      <w:r w:rsidRPr="00B0157E">
        <w:rPr>
          <w:lang w:val="en-AU"/>
        </w:rPr>
        <w:t>There is a safety concern that lesions are not consistently sent to pathology</w:t>
      </w:r>
      <w:r w:rsidR="008B6517" w:rsidRPr="00B0157E">
        <w:rPr>
          <w:lang w:val="en-AU"/>
        </w:rPr>
        <w:t>,</w:t>
      </w:r>
      <w:r w:rsidRPr="00B0157E">
        <w:rPr>
          <w:lang w:val="en-AU"/>
        </w:rPr>
        <w:t xml:space="preserve"> and there is</w:t>
      </w:r>
      <w:r w:rsidR="004829AF" w:rsidRPr="00B0157E">
        <w:rPr>
          <w:lang w:val="en-AU"/>
        </w:rPr>
        <w:t> </w:t>
      </w:r>
      <w:r w:rsidRPr="00B0157E">
        <w:rPr>
          <w:lang w:val="en-AU"/>
        </w:rPr>
        <w:t xml:space="preserve">a limited audit trail </w:t>
      </w:r>
      <w:r w:rsidR="001832AA" w:rsidRPr="00B0157E">
        <w:rPr>
          <w:lang w:val="en-AU"/>
        </w:rPr>
        <w:t>because</w:t>
      </w:r>
      <w:r w:rsidR="00DD2E57" w:rsidRPr="00B0157E">
        <w:rPr>
          <w:lang w:val="en-AU"/>
        </w:rPr>
        <w:t xml:space="preserve"> providers are not required to disclose</w:t>
      </w:r>
      <w:r w:rsidRPr="00B0157E">
        <w:rPr>
          <w:lang w:val="en-AU"/>
        </w:rPr>
        <w:t xml:space="preserve"> </w:t>
      </w:r>
      <w:r w:rsidR="00A01F1D" w:rsidRPr="00B0157E">
        <w:rPr>
          <w:lang w:val="en-AU"/>
        </w:rPr>
        <w:t>treatment</w:t>
      </w:r>
      <w:r w:rsidRPr="00B0157E">
        <w:rPr>
          <w:lang w:val="en-AU"/>
        </w:rPr>
        <w:t xml:space="preserve"> sites for this item. </w:t>
      </w:r>
      <w:r w:rsidR="00153D4B" w:rsidRPr="00B0157E">
        <w:rPr>
          <w:rFonts w:eastAsiaTheme="minorHAnsi"/>
          <w:lang w:val="en-AU"/>
        </w:rPr>
        <w:t xml:space="preserve">In FY2014/15, histopathology or the biopsy item 30071 </w:t>
      </w:r>
      <w:r w:rsidR="00AB5D64" w:rsidRPr="00B0157E">
        <w:rPr>
          <w:rFonts w:eastAsiaTheme="minorHAnsi"/>
          <w:lang w:val="en-AU"/>
        </w:rPr>
        <w:t xml:space="preserve">was </w:t>
      </w:r>
      <w:r w:rsidR="00153D4B" w:rsidRPr="00B0157E">
        <w:rPr>
          <w:rFonts w:eastAsiaTheme="minorHAnsi"/>
          <w:lang w:val="en-AU"/>
        </w:rPr>
        <w:t>used in the period 30 days before or after service delivery</w:t>
      </w:r>
      <w:r w:rsidR="00D529DE" w:rsidRPr="00B0157E">
        <w:rPr>
          <w:rFonts w:eastAsiaTheme="minorHAnsi"/>
          <w:lang w:val="en-AU"/>
        </w:rPr>
        <w:t xml:space="preserve"> o</w:t>
      </w:r>
      <w:r w:rsidR="000C3AD5" w:rsidRPr="00B0157E">
        <w:rPr>
          <w:rFonts w:eastAsiaTheme="minorHAnsi"/>
          <w:lang w:val="en-AU"/>
        </w:rPr>
        <w:t>n only 43 per cent of occasions:</w:t>
      </w:r>
      <w:r w:rsidR="00153D4B" w:rsidRPr="00B0157E">
        <w:rPr>
          <w:rFonts w:eastAsiaTheme="minorHAnsi"/>
          <w:lang w:val="en-AU"/>
        </w:rPr>
        <w:t xml:space="preserve"> </w:t>
      </w:r>
      <w:r w:rsidR="000C3AD5" w:rsidRPr="00B0157E">
        <w:rPr>
          <w:rFonts w:eastAsiaTheme="minorHAnsi"/>
          <w:lang w:val="en-AU"/>
        </w:rPr>
        <w:t xml:space="preserve">GPs used it on </w:t>
      </w:r>
      <w:r w:rsidR="00153D4B" w:rsidRPr="00B0157E">
        <w:rPr>
          <w:rFonts w:eastAsiaTheme="minorHAnsi"/>
          <w:lang w:val="en-AU"/>
        </w:rPr>
        <w:t>47</w:t>
      </w:r>
      <w:r w:rsidR="004829AF" w:rsidRPr="00B0157E">
        <w:rPr>
          <w:rFonts w:eastAsiaTheme="minorHAnsi"/>
          <w:lang w:val="en-AU"/>
        </w:rPr>
        <w:t> </w:t>
      </w:r>
      <w:r w:rsidR="00153D4B" w:rsidRPr="00B0157E">
        <w:rPr>
          <w:rFonts w:eastAsiaTheme="minorHAnsi"/>
          <w:lang w:val="en-AU"/>
        </w:rPr>
        <w:t xml:space="preserve">per cent </w:t>
      </w:r>
      <w:r w:rsidR="00A83B96" w:rsidRPr="00B0157E">
        <w:rPr>
          <w:rFonts w:eastAsiaTheme="minorHAnsi"/>
          <w:lang w:val="en-AU"/>
        </w:rPr>
        <w:t xml:space="preserve">of occasions, </w:t>
      </w:r>
      <w:r w:rsidR="00153D4B" w:rsidRPr="00B0157E">
        <w:rPr>
          <w:rFonts w:eastAsiaTheme="minorHAnsi"/>
          <w:lang w:val="en-AU"/>
        </w:rPr>
        <w:t xml:space="preserve">and </w:t>
      </w:r>
      <w:r w:rsidR="009B3E79" w:rsidRPr="00B0157E">
        <w:rPr>
          <w:rFonts w:eastAsiaTheme="minorHAnsi"/>
          <w:lang w:val="en-AU"/>
        </w:rPr>
        <w:t>specialists used it on</w:t>
      </w:r>
      <w:r w:rsidR="00605962" w:rsidRPr="00B0157E">
        <w:rPr>
          <w:rFonts w:eastAsiaTheme="minorHAnsi"/>
          <w:lang w:val="en-AU"/>
        </w:rPr>
        <w:t xml:space="preserve"> </w:t>
      </w:r>
      <w:r w:rsidR="00153D4B" w:rsidRPr="00B0157E">
        <w:rPr>
          <w:rFonts w:eastAsiaTheme="minorHAnsi"/>
          <w:lang w:val="en-AU"/>
        </w:rPr>
        <w:t>29 per</w:t>
      </w:r>
      <w:r w:rsidR="009D6E6B" w:rsidRPr="00B0157E">
        <w:rPr>
          <w:rFonts w:eastAsiaTheme="minorHAnsi"/>
          <w:lang w:val="en-AU"/>
        </w:rPr>
        <w:t xml:space="preserve"> </w:t>
      </w:r>
      <w:r w:rsidR="00153D4B" w:rsidRPr="00B0157E">
        <w:rPr>
          <w:rFonts w:eastAsiaTheme="minorHAnsi"/>
          <w:lang w:val="en-AU"/>
        </w:rPr>
        <w:t>cent of occasions</w:t>
      </w:r>
      <w:r w:rsidR="00972C45" w:rsidRPr="00B0157E">
        <w:rPr>
          <w:rFonts w:eastAsiaTheme="minorHAnsi"/>
          <w:lang w:val="en-AU"/>
        </w:rPr>
        <w:t>.</w:t>
      </w:r>
      <w:r w:rsidR="00C1346F" w:rsidRPr="00B0157E">
        <w:rPr>
          <w:rFonts w:eastAsiaTheme="minorHAnsi"/>
          <w:lang w:val="en-AU"/>
        </w:rPr>
        <w:fldChar w:fldCharType="begin" w:fldLock="1"/>
      </w:r>
      <w:r w:rsidR="000F0F2C"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Q20423", "type" : "report" }, "uris" : [ "http://www.mendeley.com/documents/?uuid=814bfa07-e796-4347-b173-55d8f42a3936" ] } ], "mendeley" : { "formattedCitation" : "[11]", "plainTextFormattedCitation" : "[11]", "previouslyFormattedCitation" : "[11]" }, "properties" : { "noteIndex" : 0 }, "schema" : "https://github.com/citation-style-language/schema/raw/master/csl-citation.json" }</w:instrText>
      </w:r>
      <w:r w:rsidR="00C1346F" w:rsidRPr="00B0157E">
        <w:rPr>
          <w:rFonts w:eastAsiaTheme="minorHAnsi"/>
          <w:lang w:val="en-AU"/>
        </w:rPr>
        <w:fldChar w:fldCharType="separate"/>
      </w:r>
      <w:r w:rsidR="000F0F2C" w:rsidRPr="00B0157E">
        <w:rPr>
          <w:rFonts w:eastAsiaTheme="minorHAnsi"/>
          <w:lang w:val="en-AU"/>
        </w:rPr>
        <w:t>[11]</w:t>
      </w:r>
      <w:r w:rsidR="00C1346F" w:rsidRPr="00B0157E">
        <w:rPr>
          <w:rFonts w:eastAsiaTheme="minorHAnsi"/>
          <w:lang w:val="en-AU"/>
        </w:rPr>
        <w:fldChar w:fldCharType="end"/>
      </w:r>
      <w:r w:rsidR="00153D4B" w:rsidRPr="00B0157E">
        <w:rPr>
          <w:rFonts w:eastAsiaTheme="minorHAnsi"/>
          <w:lang w:val="en-AU"/>
        </w:rPr>
        <w:t xml:space="preserve"> GPs</w:t>
      </w:r>
      <w:r w:rsidR="00EF0C3D" w:rsidRPr="00B0157E">
        <w:rPr>
          <w:rFonts w:eastAsiaTheme="minorHAnsi"/>
          <w:lang w:val="en-AU"/>
        </w:rPr>
        <w:t xml:space="preserve"> who billed this item</w:t>
      </w:r>
      <w:r w:rsidR="00153D4B" w:rsidRPr="00B0157E">
        <w:rPr>
          <w:rFonts w:eastAsiaTheme="minorHAnsi"/>
          <w:lang w:val="en-AU"/>
        </w:rPr>
        <w:t xml:space="preserve"> accounted</w:t>
      </w:r>
      <w:r w:rsidR="005C2A33" w:rsidRPr="00B0157E">
        <w:rPr>
          <w:rFonts w:eastAsiaTheme="minorHAnsi"/>
          <w:lang w:val="en-AU"/>
        </w:rPr>
        <w:t xml:space="preserve"> for 7</w:t>
      </w:r>
      <w:r w:rsidR="00153D4B" w:rsidRPr="00B0157E">
        <w:rPr>
          <w:rFonts w:eastAsiaTheme="minorHAnsi"/>
          <w:lang w:val="en-AU"/>
        </w:rPr>
        <w:t>8 per cent of total services.</w:t>
      </w:r>
      <w:r w:rsidR="00720190" w:rsidRPr="00B0157E">
        <w:rPr>
          <w:rFonts w:eastAsiaTheme="minorHAnsi"/>
          <w:lang w:val="en-AU"/>
        </w:rPr>
        <w:fldChar w:fldCharType="begin" w:fldLock="1"/>
      </w:r>
      <w:r w:rsidR="00720190" w:rsidRPr="00B0157E">
        <w:rPr>
          <w:rFonts w:eastAsiaTheme="minorHAnsi"/>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COGNOS", "type" : "report" }, "uris" : [ "http://www.mendeley.com/documents/?uuid=0c6a31be-a58c-4483-bca9-b8a96ba7acd4" ] } ], "mendeley" : { "formattedCitation" : "[12]", "plainTextFormattedCitation" : "[12]", "previouslyFormattedCitation" : "[12]" }, "properties" : { "noteIndex" : 0 }, "schema" : "https://github.com/citation-style-language/schema/raw/master/csl-citation.json" }</w:instrText>
      </w:r>
      <w:r w:rsidR="00720190" w:rsidRPr="00B0157E">
        <w:rPr>
          <w:rFonts w:eastAsiaTheme="minorHAnsi"/>
          <w:lang w:val="en-AU"/>
        </w:rPr>
        <w:fldChar w:fldCharType="separate"/>
      </w:r>
      <w:r w:rsidR="00720190" w:rsidRPr="00B0157E">
        <w:rPr>
          <w:rFonts w:eastAsiaTheme="minorHAnsi"/>
          <w:lang w:val="en-AU"/>
        </w:rPr>
        <w:t>[12]</w:t>
      </w:r>
      <w:r w:rsidR="00720190" w:rsidRPr="00B0157E">
        <w:rPr>
          <w:rFonts w:eastAsiaTheme="minorHAnsi"/>
          <w:lang w:val="en-AU"/>
        </w:rPr>
        <w:fldChar w:fldCharType="end"/>
      </w:r>
      <w:r w:rsidR="00153D4B" w:rsidRPr="00B0157E">
        <w:rPr>
          <w:rFonts w:eastAsiaTheme="minorHAnsi"/>
          <w:lang w:val="en-AU"/>
        </w:rPr>
        <w:t xml:space="preserve"> </w:t>
      </w:r>
    </w:p>
    <w:p w14:paraId="78BACFE8" w14:textId="77777777" w:rsidR="001E52F7" w:rsidRPr="00B0157E" w:rsidRDefault="00F114F4">
      <w:pPr>
        <w:pStyle w:val="01squarebullet"/>
        <w:rPr>
          <w:rFonts w:eastAsia="MS Mincho"/>
          <w:lang w:val="en-AU"/>
        </w:rPr>
      </w:pPr>
      <w:r w:rsidRPr="00B0157E">
        <w:rPr>
          <w:rFonts w:eastAsia="MS Mincho"/>
          <w:lang w:val="en-AU"/>
        </w:rPr>
        <w:t xml:space="preserve">In light of </w:t>
      </w:r>
      <w:r w:rsidR="00306EE4" w:rsidRPr="00B0157E">
        <w:rPr>
          <w:rFonts w:eastAsia="MS Mincho"/>
          <w:lang w:val="en-AU"/>
        </w:rPr>
        <w:t xml:space="preserve">the safety concerns and apparent mis-coding, the Committee </w:t>
      </w:r>
      <w:r w:rsidR="00181774" w:rsidRPr="00B0157E">
        <w:rPr>
          <w:rFonts w:eastAsia="MS Mincho"/>
          <w:lang w:val="en-AU"/>
        </w:rPr>
        <w:t xml:space="preserve">felt </w:t>
      </w:r>
      <w:r w:rsidR="00306EE4" w:rsidRPr="00B0157E">
        <w:rPr>
          <w:rFonts w:eastAsia="MS Mincho"/>
          <w:lang w:val="en-AU"/>
        </w:rPr>
        <w:t xml:space="preserve">that deleting the item </w:t>
      </w:r>
      <w:r w:rsidR="00CD6E17" w:rsidRPr="00B0157E">
        <w:rPr>
          <w:rFonts w:eastAsia="MS Mincho"/>
          <w:lang w:val="en-AU"/>
        </w:rPr>
        <w:t xml:space="preserve">was </w:t>
      </w:r>
      <w:r w:rsidR="00306EE4" w:rsidRPr="00B0157E">
        <w:rPr>
          <w:rFonts w:eastAsia="MS Mincho"/>
          <w:lang w:val="en-AU"/>
        </w:rPr>
        <w:t xml:space="preserve">a reasonable action. </w:t>
      </w:r>
      <w:r w:rsidR="00C85156" w:rsidRPr="00B0157E">
        <w:rPr>
          <w:rFonts w:eastAsia="MS Mincho"/>
          <w:lang w:val="en-AU"/>
        </w:rPr>
        <w:t>Under item</w:t>
      </w:r>
      <w:r w:rsidR="001E58D0" w:rsidRPr="00B0157E">
        <w:rPr>
          <w:rFonts w:eastAsia="MS Mincho"/>
          <w:lang w:val="en-AU"/>
        </w:rPr>
        <w:t xml:space="preserve"> 30202</w:t>
      </w:r>
      <w:r w:rsidR="0013619F" w:rsidRPr="00B0157E">
        <w:rPr>
          <w:rFonts w:eastAsia="MS Mincho"/>
          <w:lang w:val="en-AU"/>
        </w:rPr>
        <w:t>,</w:t>
      </w:r>
      <w:r w:rsidR="00306EE4" w:rsidRPr="00B0157E">
        <w:rPr>
          <w:rFonts w:eastAsia="MS Mincho"/>
          <w:lang w:val="en-AU"/>
        </w:rPr>
        <w:t xml:space="preserve"> each lesion </w:t>
      </w:r>
      <w:r w:rsidR="00C86F05" w:rsidRPr="00B0157E">
        <w:rPr>
          <w:rFonts w:eastAsia="MS Mincho"/>
          <w:lang w:val="en-AU"/>
        </w:rPr>
        <w:t xml:space="preserve">would need </w:t>
      </w:r>
      <w:r w:rsidR="00306EE4" w:rsidRPr="00B0157E">
        <w:rPr>
          <w:rFonts w:eastAsia="MS Mincho"/>
          <w:lang w:val="en-AU"/>
        </w:rPr>
        <w:t xml:space="preserve">to be individually sent for pathological examination and treatment areas </w:t>
      </w:r>
      <w:r w:rsidR="0014683D" w:rsidRPr="00B0157E">
        <w:rPr>
          <w:rFonts w:eastAsia="MS Mincho"/>
          <w:lang w:val="en-AU"/>
        </w:rPr>
        <w:t xml:space="preserve">would need to be </w:t>
      </w:r>
      <w:r w:rsidR="00306EE4" w:rsidRPr="00B0157E">
        <w:rPr>
          <w:rFonts w:eastAsia="MS Mincho"/>
          <w:lang w:val="en-AU"/>
        </w:rPr>
        <w:t>specified</w:t>
      </w:r>
      <w:r w:rsidR="00046B1F" w:rsidRPr="00B0157E">
        <w:rPr>
          <w:rFonts w:eastAsia="MS Mincho"/>
          <w:lang w:val="en-AU"/>
        </w:rPr>
        <w:t>,</w:t>
      </w:r>
      <w:r w:rsidR="00306EE4" w:rsidRPr="00B0157E">
        <w:rPr>
          <w:rFonts w:eastAsia="MS Mincho"/>
          <w:lang w:val="en-AU"/>
        </w:rPr>
        <w:t xml:space="preserve"> in line with best practice.</w:t>
      </w:r>
      <w:r w:rsidR="004A352E">
        <w:rPr>
          <w:rFonts w:eastAsia="MS Mincho"/>
          <w:lang w:val="en-AU"/>
        </w:rPr>
        <w:t xml:space="preserve"> </w:t>
      </w:r>
    </w:p>
    <w:p w14:paraId="31C6F816" w14:textId="77777777" w:rsidR="00B3543F" w:rsidRPr="00B0157E" w:rsidRDefault="00B3543F" w:rsidP="00B3543F">
      <w:pPr>
        <w:pStyle w:val="01squarebullet"/>
        <w:numPr>
          <w:ilvl w:val="0"/>
          <w:numId w:val="0"/>
        </w:numPr>
        <w:ind w:left="357" w:hanging="357"/>
        <w:rPr>
          <w:rFonts w:eastAsia="MS Mincho"/>
          <w:lang w:val="en-AU"/>
        </w:rPr>
      </w:pPr>
      <w:bookmarkStart w:id="117" w:name="_Toc459973085"/>
    </w:p>
    <w:p w14:paraId="392837B0" w14:textId="77777777" w:rsidR="00E76580" w:rsidRPr="00B0157E" w:rsidRDefault="00E76580" w:rsidP="00E03DD0">
      <w:pPr>
        <w:pStyle w:val="Figure"/>
      </w:pPr>
      <w:bookmarkStart w:id="118" w:name="_Ref463874459"/>
      <w:bookmarkStart w:id="119" w:name="_Toc459904228"/>
      <w:bookmarkStart w:id="120" w:name="_Toc465871848"/>
      <w:r w:rsidRPr="00B0157E">
        <w:lastRenderedPageBreak/>
        <w:t xml:space="preserve">Figure </w:t>
      </w:r>
      <w:r w:rsidR="00C1346F" w:rsidRPr="00B0157E">
        <w:fldChar w:fldCharType="begin"/>
      </w:r>
      <w:r w:rsidR="00CE5246" w:rsidRPr="00B0157E">
        <w:instrText xml:space="preserve"> SEQ Exhibit\* Arabic </w:instrText>
      </w:r>
      <w:r w:rsidR="00C1346F" w:rsidRPr="00B0157E">
        <w:fldChar w:fldCharType="separate"/>
      </w:r>
      <w:r w:rsidR="00076093">
        <w:rPr>
          <w:noProof/>
        </w:rPr>
        <w:t>5</w:t>
      </w:r>
      <w:bookmarkEnd w:id="117"/>
      <w:r w:rsidR="00C1346F" w:rsidRPr="00B0157E">
        <w:fldChar w:fldCharType="end"/>
      </w:r>
      <w:bookmarkEnd w:id="118"/>
      <w:r w:rsidR="008A2C0A" w:rsidRPr="00B0157E">
        <w:rPr>
          <w:noProof/>
        </w:rPr>
        <w:t>: Count of patients by the number of lesions removed on the same day under items 30202-30203</w:t>
      </w:r>
      <w:bookmarkEnd w:id="119"/>
      <w:bookmarkEnd w:id="120"/>
    </w:p>
    <w:p w14:paraId="48622822" w14:textId="7A781BC5" w:rsidR="00656906" w:rsidRPr="00B0157E" w:rsidRDefault="00224863" w:rsidP="00224863">
      <w:pPr>
        <w:pStyle w:val="70exhtblnormal"/>
        <w:rPr>
          <w:lang w:val="en-AU"/>
        </w:rPr>
      </w:pPr>
      <w:r>
        <w:rPr>
          <w:lang w:val="en-AU"/>
        </w:rPr>
        <w:t xml:space="preserve"> </w:t>
      </w:r>
      <w:r w:rsidRPr="00261BB1">
        <w:rPr>
          <w:noProof/>
          <w:lang w:val="en-AU" w:eastAsia="en-AU"/>
        </w:rPr>
        <w:drawing>
          <wp:inline distT="0" distB="0" distL="0" distR="0" wp14:anchorId="055974DA" wp14:editId="631DB341">
            <wp:extent cx="4477385" cy="3028172"/>
            <wp:effectExtent l="0" t="0" r="0" b="1270"/>
            <wp:docPr id="70" name="Picture 70" descr="Figure 5 is a bar graph that shows the count of patients by the number of lesions removed on the same day under items 30202 and 30203. The blue bar is item 30202, while the red bar is item 30203. The trend is similar to Figure 4 which shows a declining frequency from left to right and then a spike at 10 or more. The majority of patients have a single lesion removed (blue) and in this figure the second highest value is the red bar with 8,077 claims for 10 or more lesions on the same day. The remaining blue bars show 4,183 with 2 lesions, 1,566  with 3 lesions, 613 with 4 lesions, 322 with 5 lesions, 188 with 6 lesions, 153 with 7 lesions, 154 with 8 lesions, 9 with 9 lesions, and 6 patients who had 10 or more lesions claimed using item 30202 instead of 30203 which is for 10 or more lesions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9768"/>
                    <a:stretch/>
                  </pic:blipFill>
                  <pic:spPr bwMode="auto">
                    <a:xfrm>
                      <a:off x="0" y="0"/>
                      <a:ext cx="4477385" cy="3028172"/>
                    </a:xfrm>
                    <a:prstGeom prst="rect">
                      <a:avLst/>
                    </a:prstGeom>
                    <a:noFill/>
                    <a:ln>
                      <a:noFill/>
                    </a:ln>
                    <a:extLst>
                      <a:ext uri="{53640926-AAD7-44D8-BBD7-CCE9431645EC}">
                        <a14:shadowObscured xmlns:a14="http://schemas.microsoft.com/office/drawing/2010/main"/>
                      </a:ext>
                    </a:extLst>
                  </pic:spPr>
                </pic:pic>
              </a:graphicData>
            </a:graphic>
          </wp:inline>
        </w:drawing>
      </w:r>
      <w:bookmarkStart w:id="121" w:name="_Toc457823610"/>
      <w:bookmarkStart w:id="122" w:name="_Toc457823611"/>
      <w:bookmarkStart w:id="123" w:name="_Toc458774431"/>
      <w:bookmarkEnd w:id="121"/>
      <w:bookmarkEnd w:id="122"/>
    </w:p>
    <w:p w14:paraId="78AA8055" w14:textId="77777777" w:rsidR="00101396" w:rsidRPr="002808A4" w:rsidRDefault="00101396" w:rsidP="002808A4">
      <w:pPr>
        <w:pStyle w:val="Heading3"/>
      </w:pPr>
      <w:r w:rsidRPr="002808A4">
        <w:t>Item 30205</w:t>
      </w:r>
      <w:bookmarkEnd w:id="123"/>
      <w:r w:rsidRPr="002808A4">
        <w:tab/>
      </w:r>
    </w:p>
    <w:p w14:paraId="400A30DE" w14:textId="77777777" w:rsidR="00101396" w:rsidRPr="00B0157E" w:rsidRDefault="00101396" w:rsidP="00FF0C98">
      <w:pPr>
        <w:rPr>
          <w:b/>
          <w:lang w:val="en-AU"/>
        </w:rPr>
      </w:pPr>
      <w:r w:rsidRPr="00B0157E">
        <w:rPr>
          <w:b/>
          <w:lang w:val="en-AU"/>
        </w:rPr>
        <w:t xml:space="preserve">Recommendation </w:t>
      </w:r>
    </w:p>
    <w:p w14:paraId="62019561" w14:textId="77777777" w:rsidR="00101396" w:rsidRPr="00B0157E" w:rsidRDefault="00101396">
      <w:pPr>
        <w:pStyle w:val="01squarebullet"/>
        <w:rPr>
          <w:lang w:val="en-AU"/>
        </w:rPr>
      </w:pPr>
      <w:r w:rsidRPr="00B0157E">
        <w:rPr>
          <w:lang w:val="en-AU"/>
        </w:rPr>
        <w:t>Delete this item from the MBS</w:t>
      </w:r>
      <w:r w:rsidR="00C2356B" w:rsidRPr="00B0157E">
        <w:rPr>
          <w:lang w:val="en-AU"/>
        </w:rPr>
        <w:t>, and instead use item 30202.</w:t>
      </w:r>
      <w:r w:rsidR="004A352E">
        <w:rPr>
          <w:lang w:val="en-AU"/>
        </w:rPr>
        <w:t xml:space="preserve"> </w:t>
      </w:r>
    </w:p>
    <w:p w14:paraId="71CC972E" w14:textId="77777777" w:rsidR="00101396" w:rsidRPr="00B0157E" w:rsidRDefault="00101396" w:rsidP="00C33ED9">
      <w:pPr>
        <w:rPr>
          <w:b/>
          <w:lang w:val="en-AU"/>
        </w:rPr>
      </w:pPr>
      <w:r w:rsidRPr="00B0157E">
        <w:rPr>
          <w:b/>
          <w:lang w:val="en-AU"/>
        </w:rPr>
        <w:t>Rationale</w:t>
      </w:r>
    </w:p>
    <w:p w14:paraId="50D0C3F5" w14:textId="77777777" w:rsidR="00041267" w:rsidRPr="00B0157E" w:rsidRDefault="00041267" w:rsidP="00C33ED9">
      <w:pPr>
        <w:rPr>
          <w:lang w:val="en-AU"/>
        </w:rPr>
      </w:pPr>
      <w:r w:rsidRPr="00B0157E">
        <w:rPr>
          <w:lang w:val="en-AU"/>
        </w:rPr>
        <w:t xml:space="preserve">The </w:t>
      </w:r>
      <w:r w:rsidR="00CD1260" w:rsidRPr="00B0157E">
        <w:rPr>
          <w:lang w:val="en-AU"/>
        </w:rPr>
        <w:t>r</w:t>
      </w:r>
      <w:r w:rsidRPr="00B0157E">
        <w:rPr>
          <w:lang w:val="en-AU"/>
        </w:rPr>
        <w:t>ecommendation focuse</w:t>
      </w:r>
      <w:r w:rsidR="0060694D" w:rsidRPr="00B0157E">
        <w:rPr>
          <w:lang w:val="en-AU"/>
        </w:rPr>
        <w:t>s</w:t>
      </w:r>
      <w:r w:rsidRPr="00B0157E">
        <w:rPr>
          <w:lang w:val="en-AU"/>
        </w:rPr>
        <w:t xml:space="preserve"> on encouraging best practice and patient safety</w:t>
      </w:r>
      <w:r w:rsidR="006A4A81" w:rsidRPr="00B0157E">
        <w:rPr>
          <w:lang w:val="en-AU"/>
        </w:rPr>
        <w:t>. It</w:t>
      </w:r>
      <w:r w:rsidRPr="00B0157E">
        <w:rPr>
          <w:lang w:val="en-AU"/>
        </w:rPr>
        <w:t xml:space="preserve"> is </w:t>
      </w:r>
      <w:r w:rsidR="00345693" w:rsidRPr="00B0157E">
        <w:rPr>
          <w:lang w:val="en-AU"/>
        </w:rPr>
        <w:t>based on the following observations</w:t>
      </w:r>
      <w:r w:rsidRPr="00B0157E">
        <w:rPr>
          <w:lang w:val="en-AU"/>
        </w:rPr>
        <w:t xml:space="preserve">. </w:t>
      </w:r>
    </w:p>
    <w:p w14:paraId="73FA7EC5" w14:textId="77777777" w:rsidR="00041267" w:rsidRPr="00B0157E" w:rsidRDefault="00041267">
      <w:pPr>
        <w:pStyle w:val="01squarebullet"/>
        <w:rPr>
          <w:lang w:val="en-AU"/>
        </w:rPr>
      </w:pPr>
      <w:r w:rsidRPr="00B0157E">
        <w:rPr>
          <w:lang w:val="en-AU"/>
        </w:rPr>
        <w:t>T</w:t>
      </w:r>
      <w:r w:rsidR="00101396" w:rsidRPr="00B0157E">
        <w:rPr>
          <w:lang w:val="en-AU"/>
        </w:rPr>
        <w:t xml:space="preserve">he </w:t>
      </w:r>
      <w:r w:rsidRPr="00B0157E">
        <w:rPr>
          <w:lang w:val="en-AU"/>
        </w:rPr>
        <w:t xml:space="preserve">position of the </w:t>
      </w:r>
      <w:r w:rsidR="00101396" w:rsidRPr="00B0157E">
        <w:rPr>
          <w:lang w:val="en-AU"/>
        </w:rPr>
        <w:t xml:space="preserve">Committee </w:t>
      </w:r>
      <w:r w:rsidRPr="00B0157E">
        <w:rPr>
          <w:lang w:val="en-AU"/>
        </w:rPr>
        <w:t xml:space="preserve">is that this </w:t>
      </w:r>
      <w:r w:rsidR="00846029" w:rsidRPr="00B0157E">
        <w:rPr>
          <w:lang w:val="en-AU"/>
        </w:rPr>
        <w:t>treatment</w:t>
      </w:r>
      <w:r w:rsidRPr="00B0157E">
        <w:rPr>
          <w:lang w:val="en-AU"/>
        </w:rPr>
        <w:t xml:space="preserve"> no longer reflects be</w:t>
      </w:r>
      <w:r w:rsidR="002443EF" w:rsidRPr="00B0157E">
        <w:rPr>
          <w:lang w:val="en-AU"/>
        </w:rPr>
        <w:t>st practice</w:t>
      </w:r>
      <w:r w:rsidR="00CA1349" w:rsidRPr="00B0157E">
        <w:rPr>
          <w:lang w:val="en-AU"/>
        </w:rPr>
        <w:t>,</w:t>
      </w:r>
      <w:r w:rsidR="002443EF" w:rsidRPr="00B0157E">
        <w:rPr>
          <w:lang w:val="en-AU"/>
        </w:rPr>
        <w:t xml:space="preserve"> </w:t>
      </w:r>
      <w:r w:rsidR="00004624" w:rsidRPr="00B0157E">
        <w:rPr>
          <w:lang w:val="en-AU"/>
        </w:rPr>
        <w:t>given that</w:t>
      </w:r>
      <w:r w:rsidR="002443EF" w:rsidRPr="00B0157E">
        <w:rPr>
          <w:lang w:val="en-AU"/>
        </w:rPr>
        <w:t xml:space="preserve"> </w:t>
      </w:r>
      <w:r w:rsidR="001E22FD" w:rsidRPr="00B0157E">
        <w:rPr>
          <w:lang w:val="en-AU"/>
        </w:rPr>
        <w:t xml:space="preserve">freezing cartilage results in longer </w:t>
      </w:r>
      <w:r w:rsidR="002443EF" w:rsidRPr="00B0157E">
        <w:rPr>
          <w:lang w:val="en-AU"/>
        </w:rPr>
        <w:t>recovery times for patients</w:t>
      </w:r>
      <w:r w:rsidR="00125909" w:rsidRPr="00B0157E">
        <w:rPr>
          <w:lang w:val="en-AU"/>
        </w:rPr>
        <w:t xml:space="preserve">, definitive treatment </w:t>
      </w:r>
      <w:r w:rsidR="007B6492" w:rsidRPr="00B0157E">
        <w:rPr>
          <w:lang w:val="en-AU"/>
        </w:rPr>
        <w:t xml:space="preserve">cannot be assured, </w:t>
      </w:r>
      <w:r w:rsidR="00125909" w:rsidRPr="00B0157E">
        <w:rPr>
          <w:lang w:val="en-AU"/>
        </w:rPr>
        <w:t>and there are better alternative treatments available such as</w:t>
      </w:r>
      <w:r w:rsidR="002443EF" w:rsidRPr="00B0157E">
        <w:rPr>
          <w:lang w:val="en-AU"/>
        </w:rPr>
        <w:t xml:space="preserve"> </w:t>
      </w:r>
      <w:r w:rsidR="007B6492" w:rsidRPr="00B0157E">
        <w:rPr>
          <w:lang w:val="en-AU"/>
        </w:rPr>
        <w:t>surgical excision</w:t>
      </w:r>
      <w:r w:rsidR="002443EF" w:rsidRPr="00B0157E">
        <w:rPr>
          <w:lang w:val="en-AU"/>
        </w:rPr>
        <w:t xml:space="preserve">. </w:t>
      </w:r>
      <w:r w:rsidR="00E26D29" w:rsidRPr="00B0157E">
        <w:rPr>
          <w:lang w:val="en-AU"/>
        </w:rPr>
        <w:t xml:space="preserve">MBS data </w:t>
      </w:r>
      <w:r w:rsidR="0023449B" w:rsidRPr="00B0157E">
        <w:rPr>
          <w:lang w:val="en-AU"/>
        </w:rPr>
        <w:t xml:space="preserve">also </w:t>
      </w:r>
      <w:r w:rsidR="001231D5" w:rsidRPr="00B0157E">
        <w:rPr>
          <w:lang w:val="en-AU"/>
        </w:rPr>
        <w:t>suggests</w:t>
      </w:r>
      <w:r w:rsidR="00E26D29" w:rsidRPr="00B0157E">
        <w:rPr>
          <w:lang w:val="en-AU"/>
        </w:rPr>
        <w:t xml:space="preserve"> a general trend away from using the item. </w:t>
      </w:r>
      <w:r w:rsidR="00A57E0D" w:rsidRPr="00B0157E">
        <w:rPr>
          <w:lang w:val="en-AU"/>
        </w:rPr>
        <w:t>In FY2014/15, for example,</w:t>
      </w:r>
      <w:r w:rsidR="00446479" w:rsidRPr="00B0157E">
        <w:rPr>
          <w:lang w:val="en-AU"/>
        </w:rPr>
        <w:t xml:space="preserve"> </w:t>
      </w:r>
      <w:r w:rsidR="0048015E" w:rsidRPr="00B0157E">
        <w:rPr>
          <w:lang w:val="en-AU"/>
        </w:rPr>
        <w:t>t</w:t>
      </w:r>
      <w:r w:rsidR="00101396" w:rsidRPr="00B0157E">
        <w:rPr>
          <w:lang w:val="en-AU"/>
        </w:rPr>
        <w:t>he item was only used 180 times</w:t>
      </w:r>
      <w:r w:rsidR="00794E88" w:rsidRPr="00B0157E">
        <w:rPr>
          <w:lang w:val="en-AU"/>
        </w:rPr>
        <w:t>,</w:t>
      </w:r>
      <w:r w:rsidR="00101396" w:rsidRPr="00B0157E">
        <w:rPr>
          <w:lang w:val="en-AU"/>
        </w:rPr>
        <w:t xml:space="preserve"> and use has been decreasing by </w:t>
      </w:r>
      <w:r w:rsidR="00C66EE9" w:rsidRPr="00B0157E">
        <w:rPr>
          <w:lang w:val="en-AU"/>
        </w:rPr>
        <w:t xml:space="preserve">an average of </w:t>
      </w:r>
      <w:r w:rsidR="00101396" w:rsidRPr="00B0157E">
        <w:rPr>
          <w:lang w:val="en-AU"/>
        </w:rPr>
        <w:t>0.9</w:t>
      </w:r>
      <w:r w:rsidR="00C66EE9" w:rsidRPr="00B0157E">
        <w:rPr>
          <w:lang w:val="en-AU"/>
        </w:rPr>
        <w:t xml:space="preserve"> per cent</w:t>
      </w:r>
      <w:r w:rsidR="00101396" w:rsidRPr="00B0157E">
        <w:rPr>
          <w:lang w:val="en-AU"/>
        </w:rPr>
        <w:t xml:space="preserve"> </w:t>
      </w:r>
      <w:r w:rsidR="00DE057F" w:rsidRPr="00B0157E">
        <w:rPr>
          <w:lang w:val="en-AU"/>
        </w:rPr>
        <w:t xml:space="preserve">per year </w:t>
      </w:r>
      <w:r w:rsidR="002A1D0D" w:rsidRPr="00B0157E">
        <w:rPr>
          <w:lang w:val="en-AU"/>
        </w:rPr>
        <w:t>over</w:t>
      </w:r>
      <w:r w:rsidR="00101396" w:rsidRPr="00B0157E">
        <w:rPr>
          <w:lang w:val="en-AU"/>
        </w:rPr>
        <w:t xml:space="preserve"> the last </w:t>
      </w:r>
      <w:r w:rsidR="002A1D0D" w:rsidRPr="00B0157E">
        <w:rPr>
          <w:lang w:val="en-AU"/>
        </w:rPr>
        <w:t>five</w:t>
      </w:r>
      <w:r w:rsidR="00101396" w:rsidRPr="00B0157E">
        <w:rPr>
          <w:lang w:val="en-AU"/>
        </w:rPr>
        <w:t xml:space="preserve"> years</w:t>
      </w:r>
      <w:r w:rsidR="00720190" w:rsidRPr="00B0157E">
        <w:rPr>
          <w:lang w:val="en-AU"/>
        </w:rPr>
        <w:fldChar w:fldCharType="begin" w:fldLock="1"/>
      </w:r>
      <w:r w:rsidR="00720190"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720190" w:rsidRPr="00B0157E">
        <w:rPr>
          <w:lang w:val="en-AU"/>
        </w:rPr>
        <w:fldChar w:fldCharType="separate"/>
      </w:r>
      <w:r w:rsidR="00720190" w:rsidRPr="00B0157E">
        <w:rPr>
          <w:lang w:val="en-AU"/>
        </w:rPr>
        <w:t>[2]</w:t>
      </w:r>
      <w:r w:rsidR="00720190" w:rsidRPr="00B0157E">
        <w:rPr>
          <w:lang w:val="en-AU"/>
        </w:rPr>
        <w:fldChar w:fldCharType="end"/>
      </w:r>
      <w:r w:rsidR="003A62BF" w:rsidRPr="00B0157E">
        <w:rPr>
          <w:lang w:val="en-AU"/>
        </w:rPr>
        <w:t xml:space="preserve"> (compared to</w:t>
      </w:r>
      <w:r w:rsidR="00DE057F" w:rsidRPr="00B0157E">
        <w:rPr>
          <w:lang w:val="en-AU"/>
        </w:rPr>
        <w:t xml:space="preserve"> </w:t>
      </w:r>
      <w:r w:rsidR="003A62BF" w:rsidRPr="00B0157E">
        <w:rPr>
          <w:lang w:val="en-AU"/>
        </w:rPr>
        <w:t>population growth of</w:t>
      </w:r>
      <w:r w:rsidR="00DE057F" w:rsidRPr="00B0157E">
        <w:rPr>
          <w:lang w:val="en-AU"/>
        </w:rPr>
        <w:t xml:space="preserve"> 1.3</w:t>
      </w:r>
      <w:r w:rsidR="003A62BF" w:rsidRPr="00B0157E">
        <w:rPr>
          <w:lang w:val="en-AU"/>
        </w:rPr>
        <w:t xml:space="preserve"> per cent)</w:t>
      </w:r>
      <w:r w:rsidR="00720190" w:rsidRPr="00B0157E">
        <w:rPr>
          <w:lang w:val="en-AU"/>
        </w:rPr>
        <w:fldChar w:fldCharType="begin" w:fldLock="1"/>
      </w:r>
      <w:r w:rsidR="00670051" w:rsidRPr="00B0157E">
        <w:rPr>
          <w:lang w:val="en-AU"/>
        </w:rPr>
        <w:instrText>ADDIN CSL_CITATION { "citationItems" : [ { "id" : "ITEM-1", "itemData" : { "URL" : "http://www.abs.gov.au/ausstats/abs@.nsf/Previousproducts/3101.0Main Features1Jun 2015?opendocument&amp;tabname=Summary&amp;prodno=3101.0&amp;issue=Jun 2015&amp;num=&amp;view=", "accessed" : { "date-parts" : [ [ "2016", "4", "25" ] ] }, "author" : [ { "dropping-particle" : "", "family" : "Statistics", "given" : "Australian Bureau of", "non-dropping-particle" : "", "parse-names" : false, "suffix" : "" } ], "container-title" : "3101.0 - Australian Demographic statistics Jun 2010 and Jun 2015", "id" : "ITEM-1", "issued" : { "date-parts" : [ [ "0" ] ] }, "title" : "Australian Demographic Statistics", "type" : "webpage" }, "uris" : [ "http://www.mendeley.com/documents/?uuid=d10251fe-4e2e-47b7-90e6-eb7e0d334d4c" ] } ], "mendeley" : { "formattedCitation" : "[3]", "plainTextFormattedCitation" : "[3]", "previouslyFormattedCitation" : "[3]" }, "properties" : { "noteIndex" : 0 }, "schema" : "https://github.com/citation-style-language/schema/raw/master/csl-citation.json" }</w:instrText>
      </w:r>
      <w:r w:rsidR="00720190" w:rsidRPr="00B0157E">
        <w:rPr>
          <w:lang w:val="en-AU"/>
        </w:rPr>
        <w:fldChar w:fldCharType="separate"/>
      </w:r>
      <w:r w:rsidR="00720190" w:rsidRPr="00B0157E">
        <w:rPr>
          <w:lang w:val="en-AU"/>
        </w:rPr>
        <w:t>[3]</w:t>
      </w:r>
      <w:r w:rsidR="00720190" w:rsidRPr="00B0157E">
        <w:rPr>
          <w:lang w:val="en-AU"/>
        </w:rPr>
        <w:fldChar w:fldCharType="end"/>
      </w:r>
      <w:r w:rsidR="00DE057F" w:rsidRPr="00B0157E">
        <w:rPr>
          <w:lang w:val="en-AU"/>
        </w:rPr>
        <w:t>.</w:t>
      </w:r>
      <w:r w:rsidR="004A352E">
        <w:rPr>
          <w:lang w:val="en-AU"/>
        </w:rPr>
        <w:t xml:space="preserve"> </w:t>
      </w:r>
    </w:p>
    <w:p w14:paraId="6BDE3391" w14:textId="77777777" w:rsidR="00101396" w:rsidRPr="00B0157E" w:rsidRDefault="00101396">
      <w:pPr>
        <w:pStyle w:val="01squarebullet"/>
        <w:rPr>
          <w:lang w:val="en-AU"/>
        </w:rPr>
      </w:pPr>
      <w:r w:rsidRPr="00B0157E">
        <w:rPr>
          <w:lang w:val="en-AU"/>
        </w:rPr>
        <w:t xml:space="preserve">The Committee </w:t>
      </w:r>
      <w:r w:rsidR="00FD75A5" w:rsidRPr="00B0157E">
        <w:rPr>
          <w:lang w:val="en-AU"/>
        </w:rPr>
        <w:t>agreed</w:t>
      </w:r>
      <w:r w:rsidR="00F467E2" w:rsidRPr="00B0157E">
        <w:rPr>
          <w:lang w:val="en-AU"/>
        </w:rPr>
        <w:t xml:space="preserve"> </w:t>
      </w:r>
      <w:r w:rsidR="00D47AD7" w:rsidRPr="00B0157E">
        <w:rPr>
          <w:lang w:val="en-AU"/>
        </w:rPr>
        <w:t xml:space="preserve">that deleting this item </w:t>
      </w:r>
      <w:r w:rsidR="00330FF1" w:rsidRPr="00B0157E">
        <w:rPr>
          <w:lang w:val="en-AU"/>
        </w:rPr>
        <w:t xml:space="preserve">would </w:t>
      </w:r>
      <w:r w:rsidR="005076BA" w:rsidRPr="00B0157E">
        <w:rPr>
          <w:lang w:val="en-AU"/>
        </w:rPr>
        <w:t xml:space="preserve">not cause any access issues for patients as </w:t>
      </w:r>
      <w:r w:rsidR="00C51420" w:rsidRPr="00B0157E">
        <w:rPr>
          <w:lang w:val="en-AU"/>
        </w:rPr>
        <w:t xml:space="preserve">item 30202 is provided far more often and has a lower </w:t>
      </w:r>
      <w:r w:rsidR="005076BA" w:rsidRPr="00B0157E">
        <w:rPr>
          <w:lang w:val="en-AU"/>
        </w:rPr>
        <w:t>schedule fee</w:t>
      </w:r>
      <w:r w:rsidR="00C51420" w:rsidRPr="00B0157E">
        <w:rPr>
          <w:lang w:val="en-AU"/>
        </w:rPr>
        <w:t>.</w:t>
      </w:r>
    </w:p>
    <w:p w14:paraId="466D2003" w14:textId="77777777" w:rsidR="00FD37C2" w:rsidRPr="00B0157E" w:rsidRDefault="00FD37C2" w:rsidP="00C33ED9">
      <w:pPr>
        <w:pStyle w:val="Heading2"/>
        <w:rPr>
          <w:lang w:val="en-AU"/>
        </w:rPr>
      </w:pPr>
      <w:bookmarkStart w:id="124" w:name="_Toc458774432"/>
      <w:bookmarkStart w:id="125" w:name="_Toc465871873"/>
      <w:bookmarkStart w:id="126" w:name="_Toc452997151"/>
      <w:r w:rsidRPr="00B0157E">
        <w:rPr>
          <w:lang w:val="en-AU"/>
        </w:rPr>
        <w:t xml:space="preserve">Definitive removal of </w:t>
      </w:r>
      <w:r w:rsidR="000661DB" w:rsidRPr="00B0157E">
        <w:rPr>
          <w:lang w:val="en-AU"/>
        </w:rPr>
        <w:t>p</w:t>
      </w:r>
      <w:r w:rsidRPr="00B0157E">
        <w:rPr>
          <w:lang w:val="en-AU"/>
        </w:rPr>
        <w:t>almar or plantar warts</w:t>
      </w:r>
      <w:r w:rsidR="002241EA" w:rsidRPr="00B0157E">
        <w:rPr>
          <w:lang w:val="en-AU"/>
        </w:rPr>
        <w:t>:</w:t>
      </w:r>
      <w:r w:rsidRPr="00B0157E">
        <w:rPr>
          <w:lang w:val="en-AU"/>
        </w:rPr>
        <w:t xml:space="preserve"> </w:t>
      </w:r>
      <w:r w:rsidR="002241EA" w:rsidRPr="00B0157E">
        <w:rPr>
          <w:lang w:val="en-AU"/>
        </w:rPr>
        <w:t>I</w:t>
      </w:r>
      <w:r w:rsidRPr="00B0157E">
        <w:rPr>
          <w:lang w:val="en-AU"/>
        </w:rPr>
        <w:t>tems 30185 and 30186</w:t>
      </w:r>
      <w:bookmarkEnd w:id="124"/>
      <w:bookmarkEnd w:id="125"/>
    </w:p>
    <w:p w14:paraId="6371E0F0" w14:textId="77777777" w:rsidR="004E289A" w:rsidRPr="00B0157E" w:rsidRDefault="004E289A" w:rsidP="00C33ED9">
      <w:pPr>
        <w:pStyle w:val="Caption"/>
        <w:rPr>
          <w:lang w:val="en-AU"/>
        </w:rPr>
      </w:pPr>
      <w:bookmarkStart w:id="127" w:name="_Toc457520567"/>
      <w:bookmarkStart w:id="128" w:name="_Toc459236295"/>
      <w:bookmarkStart w:id="129" w:name="_Toc465871830"/>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7</w:t>
      </w:r>
      <w:r w:rsidR="00C1346F" w:rsidRPr="00B0157E">
        <w:rPr>
          <w:lang w:val="en-AU"/>
        </w:rPr>
        <w:fldChar w:fldCharType="end"/>
      </w:r>
      <w:r w:rsidRPr="00B0157E">
        <w:rPr>
          <w:lang w:val="en-AU"/>
        </w:rPr>
        <w:t xml:space="preserve">: </w:t>
      </w:r>
      <w:r w:rsidR="002241EA" w:rsidRPr="00B0157E">
        <w:rPr>
          <w:lang w:val="en-AU"/>
        </w:rPr>
        <w:t xml:space="preserve">Item introduction table for items </w:t>
      </w:r>
      <w:r w:rsidRPr="00B0157E">
        <w:rPr>
          <w:lang w:val="en-AU"/>
        </w:rPr>
        <w:t>30185</w:t>
      </w:r>
      <w:r w:rsidR="002241EA" w:rsidRPr="00B0157E">
        <w:rPr>
          <w:lang w:val="en-AU"/>
        </w:rPr>
        <w:t>–</w:t>
      </w:r>
      <w:r w:rsidRPr="00B0157E">
        <w:rPr>
          <w:lang w:val="en-AU"/>
        </w:rPr>
        <w:t>6</w:t>
      </w:r>
      <w:bookmarkEnd w:id="127"/>
      <w:bookmarkEnd w:id="128"/>
      <w:bookmarkEnd w:id="129"/>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7 is an item introduction table for items 30185 and 30186 which are for definitive removal of palmar or plantar warts.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4E289A" w:rsidRPr="00B0157E" w14:paraId="56C688D2" w14:textId="77777777">
        <w:trPr>
          <w:tblHeader/>
        </w:trPr>
        <w:tc>
          <w:tcPr>
            <w:tcW w:w="717" w:type="dxa"/>
            <w:shd w:val="clear" w:color="auto" w:fill="F2F2F2" w:themeFill="background1" w:themeFillShade="F2"/>
            <w:vAlign w:val="bottom"/>
          </w:tcPr>
          <w:p w14:paraId="22CF4CD4" w14:textId="77777777" w:rsidR="004E289A" w:rsidRPr="00B0157E" w:rsidRDefault="004E289A" w:rsidP="007C5545">
            <w:pPr>
              <w:pStyle w:val="02Tabletext"/>
              <w:spacing w:after="20"/>
              <w:rPr>
                <w:b/>
              </w:rPr>
            </w:pPr>
            <w:r w:rsidRPr="00B0157E">
              <w:rPr>
                <w:b/>
              </w:rPr>
              <w:t>Item</w:t>
            </w:r>
          </w:p>
        </w:tc>
        <w:tc>
          <w:tcPr>
            <w:tcW w:w="4119" w:type="dxa"/>
            <w:shd w:val="clear" w:color="auto" w:fill="F2F2F2" w:themeFill="background1" w:themeFillShade="F2"/>
            <w:vAlign w:val="bottom"/>
          </w:tcPr>
          <w:p w14:paraId="05C31B3D" w14:textId="77777777" w:rsidR="004E289A" w:rsidRPr="00B0157E" w:rsidRDefault="004E289A" w:rsidP="007C5545">
            <w:pPr>
              <w:pStyle w:val="02Tabletext"/>
              <w:spacing w:after="20"/>
              <w:rPr>
                <w:b/>
              </w:rPr>
            </w:pPr>
            <w:r w:rsidRPr="00B0157E">
              <w:rPr>
                <w:b/>
              </w:rPr>
              <w:t>Descriptor</w:t>
            </w:r>
          </w:p>
          <w:p w14:paraId="28F8ABCF" w14:textId="77777777" w:rsidR="004E289A" w:rsidRPr="00B0157E" w:rsidRDefault="004E289A" w:rsidP="007C5545">
            <w:pPr>
              <w:pStyle w:val="02Tabletext"/>
              <w:spacing w:after="20"/>
              <w:rPr>
                <w:b/>
              </w:rPr>
            </w:pPr>
            <w:r w:rsidRPr="00B0157E">
              <w:rPr>
                <w:b/>
              </w:rPr>
              <w:t>[date last amended]</w:t>
            </w:r>
          </w:p>
        </w:tc>
        <w:tc>
          <w:tcPr>
            <w:tcW w:w="917" w:type="dxa"/>
            <w:shd w:val="clear" w:color="auto" w:fill="F2F2F2" w:themeFill="background1" w:themeFillShade="F2"/>
            <w:vAlign w:val="bottom"/>
          </w:tcPr>
          <w:p w14:paraId="66E3E3F6" w14:textId="77777777" w:rsidR="004E289A" w:rsidRPr="00B0157E" w:rsidRDefault="004E289A" w:rsidP="007C5545">
            <w:pPr>
              <w:pStyle w:val="02Tabletext"/>
              <w:spacing w:after="20"/>
              <w:rPr>
                <w:b/>
              </w:rPr>
            </w:pPr>
            <w:r w:rsidRPr="00B0157E">
              <w:rPr>
                <w:b/>
              </w:rPr>
              <w:t>Schedule</w:t>
            </w:r>
          </w:p>
          <w:p w14:paraId="4FAD444F" w14:textId="77777777" w:rsidR="004E289A" w:rsidRPr="00B0157E" w:rsidRDefault="004E289A" w:rsidP="007C5545">
            <w:pPr>
              <w:pStyle w:val="02Tabletext"/>
              <w:spacing w:after="20"/>
              <w:rPr>
                <w:b/>
              </w:rPr>
            </w:pPr>
            <w:r w:rsidRPr="00B0157E">
              <w:rPr>
                <w:b/>
              </w:rPr>
              <w:t>fee</w:t>
            </w:r>
          </w:p>
        </w:tc>
        <w:tc>
          <w:tcPr>
            <w:tcW w:w="997" w:type="dxa"/>
            <w:shd w:val="clear" w:color="auto" w:fill="F2F2F2" w:themeFill="background1" w:themeFillShade="F2"/>
            <w:vAlign w:val="bottom"/>
          </w:tcPr>
          <w:p w14:paraId="452272C6" w14:textId="77777777" w:rsidR="004E289A" w:rsidRPr="00B0157E" w:rsidRDefault="004E289A" w:rsidP="007C5545">
            <w:pPr>
              <w:pStyle w:val="02Tabletext"/>
              <w:spacing w:after="20"/>
              <w:rPr>
                <w:b/>
              </w:rPr>
            </w:pPr>
            <w:r w:rsidRPr="00B0157E">
              <w:rPr>
                <w:b/>
              </w:rPr>
              <w:t>Services FY2014/15</w:t>
            </w:r>
          </w:p>
        </w:tc>
        <w:tc>
          <w:tcPr>
            <w:tcW w:w="1080" w:type="dxa"/>
            <w:shd w:val="clear" w:color="auto" w:fill="F2F2F2" w:themeFill="background1" w:themeFillShade="F2"/>
            <w:vAlign w:val="bottom"/>
          </w:tcPr>
          <w:p w14:paraId="5599FB3B" w14:textId="77777777" w:rsidR="004E289A" w:rsidRPr="00B0157E" w:rsidRDefault="004E289A" w:rsidP="007C5545">
            <w:pPr>
              <w:pStyle w:val="02Tabletext"/>
              <w:spacing w:after="20"/>
              <w:rPr>
                <w:b/>
              </w:rPr>
            </w:pPr>
            <w:r w:rsidRPr="00B0157E">
              <w:rPr>
                <w:b/>
              </w:rPr>
              <w:t>Benefits FY2014/15</w:t>
            </w:r>
          </w:p>
        </w:tc>
        <w:tc>
          <w:tcPr>
            <w:tcW w:w="1196" w:type="dxa"/>
            <w:shd w:val="clear" w:color="auto" w:fill="F2F2F2" w:themeFill="background1" w:themeFillShade="F2"/>
            <w:vAlign w:val="bottom"/>
          </w:tcPr>
          <w:p w14:paraId="0F47F674" w14:textId="77777777" w:rsidR="004E289A" w:rsidRPr="00B0157E" w:rsidRDefault="003E5EBF" w:rsidP="007C5545">
            <w:pPr>
              <w:pStyle w:val="02Tabletext"/>
              <w:spacing w:after="20"/>
              <w:rPr>
                <w:b/>
              </w:rPr>
            </w:pPr>
            <w:r>
              <w:rPr>
                <w:b/>
              </w:rPr>
              <w:t>Services 5-</w:t>
            </w:r>
            <w:r w:rsidR="004E289A" w:rsidRPr="00B0157E">
              <w:rPr>
                <w:b/>
              </w:rPr>
              <w:t>year annual avg. growth</w:t>
            </w:r>
          </w:p>
        </w:tc>
      </w:tr>
      <w:tr w:rsidR="004E289A" w:rsidRPr="00B0157E" w14:paraId="29C66863" w14:textId="77777777">
        <w:tc>
          <w:tcPr>
            <w:tcW w:w="717" w:type="dxa"/>
          </w:tcPr>
          <w:p w14:paraId="197BC179" w14:textId="77777777" w:rsidR="004E289A" w:rsidRPr="00B0157E" w:rsidRDefault="0007163A" w:rsidP="007C5545">
            <w:pPr>
              <w:pStyle w:val="02Tabletext"/>
              <w:spacing w:after="20"/>
            </w:pPr>
            <w:r w:rsidRPr="00B0157E">
              <w:rPr>
                <w:szCs w:val="18"/>
              </w:rPr>
              <w:t>30185</w:t>
            </w:r>
          </w:p>
        </w:tc>
        <w:tc>
          <w:tcPr>
            <w:tcW w:w="4119" w:type="dxa"/>
          </w:tcPr>
          <w:p w14:paraId="3BBA08FD" w14:textId="77777777" w:rsidR="004E289A" w:rsidRPr="00B0157E" w:rsidRDefault="0007163A" w:rsidP="007C5545">
            <w:pPr>
              <w:pStyle w:val="02Tabletext"/>
              <w:spacing w:after="20"/>
            </w:pPr>
            <w:r w:rsidRPr="00B0157E">
              <w:rPr>
                <w:szCs w:val="18"/>
              </w:rPr>
              <w:t>Palmar or plantar warts (10 or more), definitive removal of, excluding ablative methods alone, not being a service to which item 30186 or 30187 applies</w:t>
            </w:r>
            <w:r w:rsidR="00147CD9" w:rsidRPr="00B0157E">
              <w:rPr>
                <w:szCs w:val="18"/>
              </w:rPr>
              <w:t>.</w:t>
            </w:r>
            <w:r w:rsidRPr="00B0157E">
              <w:rPr>
                <w:szCs w:val="18"/>
              </w:rPr>
              <w:t xml:space="preserve"> (Anaes.)</w:t>
            </w:r>
            <w:r w:rsidR="000854CB" w:rsidRPr="00B0157E">
              <w:rPr>
                <w:szCs w:val="18"/>
              </w:rPr>
              <w:t xml:space="preserve"> [2003]</w:t>
            </w:r>
          </w:p>
        </w:tc>
        <w:tc>
          <w:tcPr>
            <w:tcW w:w="917" w:type="dxa"/>
          </w:tcPr>
          <w:p w14:paraId="6AF79711" w14:textId="77777777" w:rsidR="004E289A" w:rsidRPr="00B0157E" w:rsidRDefault="0007163A" w:rsidP="007C5545">
            <w:pPr>
              <w:pStyle w:val="02Tabletext"/>
              <w:spacing w:after="20"/>
              <w:jc w:val="center"/>
            </w:pPr>
            <w:r w:rsidRPr="00B0157E">
              <w:rPr>
                <w:szCs w:val="18"/>
              </w:rPr>
              <w:t>$182.50</w:t>
            </w:r>
          </w:p>
        </w:tc>
        <w:tc>
          <w:tcPr>
            <w:tcW w:w="997" w:type="dxa"/>
          </w:tcPr>
          <w:p w14:paraId="376B5A1E" w14:textId="77777777" w:rsidR="004E289A" w:rsidRPr="00B0157E" w:rsidRDefault="0007163A" w:rsidP="007C5545">
            <w:pPr>
              <w:pStyle w:val="02Tabletext"/>
              <w:spacing w:after="20"/>
              <w:jc w:val="center"/>
            </w:pPr>
            <w:r w:rsidRPr="00B0157E">
              <w:rPr>
                <w:szCs w:val="18"/>
              </w:rPr>
              <w:t>1,068</w:t>
            </w:r>
          </w:p>
        </w:tc>
        <w:tc>
          <w:tcPr>
            <w:tcW w:w="1080" w:type="dxa"/>
          </w:tcPr>
          <w:p w14:paraId="2C6CFCF4" w14:textId="77777777" w:rsidR="004E289A" w:rsidRPr="00B0157E" w:rsidRDefault="0007163A" w:rsidP="007C5545">
            <w:pPr>
              <w:pStyle w:val="02Tabletext"/>
              <w:spacing w:after="20"/>
              <w:jc w:val="center"/>
            </w:pPr>
            <w:r w:rsidRPr="00B0157E">
              <w:rPr>
                <w:szCs w:val="18"/>
              </w:rPr>
              <w:t>$163,974</w:t>
            </w:r>
          </w:p>
        </w:tc>
        <w:tc>
          <w:tcPr>
            <w:tcW w:w="1196" w:type="dxa"/>
          </w:tcPr>
          <w:p w14:paraId="6C30DE20" w14:textId="77777777" w:rsidR="004E289A" w:rsidRPr="00B0157E" w:rsidRDefault="0007163A" w:rsidP="007C5545">
            <w:pPr>
              <w:pStyle w:val="02Tabletext"/>
              <w:spacing w:after="20"/>
              <w:jc w:val="center"/>
            </w:pPr>
            <w:r w:rsidRPr="00B0157E">
              <w:t>0.30%</w:t>
            </w:r>
          </w:p>
        </w:tc>
      </w:tr>
      <w:tr w:rsidR="0078593F" w:rsidRPr="00B0157E" w14:paraId="6F01E3D7" w14:textId="77777777">
        <w:tc>
          <w:tcPr>
            <w:tcW w:w="717" w:type="dxa"/>
          </w:tcPr>
          <w:p w14:paraId="3B9F740F" w14:textId="77777777" w:rsidR="0078593F" w:rsidRPr="00B0157E" w:rsidRDefault="0078593F" w:rsidP="007C5545">
            <w:pPr>
              <w:pStyle w:val="02Tabletext"/>
              <w:spacing w:after="20"/>
            </w:pPr>
            <w:r w:rsidRPr="00B0157E">
              <w:t>30186</w:t>
            </w:r>
          </w:p>
        </w:tc>
        <w:tc>
          <w:tcPr>
            <w:tcW w:w="4119" w:type="dxa"/>
          </w:tcPr>
          <w:p w14:paraId="6F3431F9" w14:textId="77777777" w:rsidR="0078593F" w:rsidRPr="00B0157E" w:rsidRDefault="0078593F" w:rsidP="007C5545">
            <w:pPr>
              <w:pStyle w:val="02Tabletext"/>
              <w:spacing w:after="20"/>
            </w:pPr>
            <w:r w:rsidRPr="00B0157E">
              <w:t>Palmar or plantar warts (less than 10), definitive removal of, excluding ablative methods alone, not being a service to which item 30185 or 30187 applies</w:t>
            </w:r>
            <w:r w:rsidR="00147CD9" w:rsidRPr="00B0157E">
              <w:t>.</w:t>
            </w:r>
            <w:r w:rsidRPr="00B0157E">
              <w:t xml:space="preserve"> (Anaes.)</w:t>
            </w:r>
            <w:r w:rsidR="000854CB" w:rsidRPr="00B0157E">
              <w:t xml:space="preserve"> [</w:t>
            </w:r>
            <w:r w:rsidR="000854CB" w:rsidRPr="00B0157E">
              <w:rPr>
                <w:szCs w:val="18"/>
              </w:rPr>
              <w:t>2003</w:t>
            </w:r>
            <w:r w:rsidR="000854CB" w:rsidRPr="00B0157E">
              <w:t>]</w:t>
            </w:r>
          </w:p>
        </w:tc>
        <w:tc>
          <w:tcPr>
            <w:tcW w:w="917" w:type="dxa"/>
          </w:tcPr>
          <w:p w14:paraId="406E0515" w14:textId="77777777" w:rsidR="0078593F" w:rsidRPr="00B0157E" w:rsidRDefault="0078593F" w:rsidP="007C5545">
            <w:pPr>
              <w:pStyle w:val="02Tabletext"/>
              <w:spacing w:after="20"/>
              <w:jc w:val="center"/>
            </w:pPr>
            <w:r w:rsidRPr="00B0157E">
              <w:t>$47.45</w:t>
            </w:r>
          </w:p>
        </w:tc>
        <w:tc>
          <w:tcPr>
            <w:tcW w:w="997" w:type="dxa"/>
          </w:tcPr>
          <w:p w14:paraId="57C5D88F" w14:textId="77777777" w:rsidR="0078593F" w:rsidRPr="00B0157E" w:rsidRDefault="0078593F" w:rsidP="007C5545">
            <w:pPr>
              <w:pStyle w:val="02Tabletext"/>
              <w:spacing w:after="20"/>
              <w:jc w:val="center"/>
            </w:pPr>
            <w:r w:rsidRPr="00B0157E">
              <w:t>35,149</w:t>
            </w:r>
          </w:p>
        </w:tc>
        <w:tc>
          <w:tcPr>
            <w:tcW w:w="1080" w:type="dxa"/>
          </w:tcPr>
          <w:p w14:paraId="5C11CF4C" w14:textId="77777777" w:rsidR="0078593F" w:rsidRPr="00B0157E" w:rsidRDefault="0078593F" w:rsidP="007C5545">
            <w:pPr>
              <w:pStyle w:val="02Tabletext"/>
              <w:spacing w:after="20"/>
              <w:jc w:val="center"/>
            </w:pPr>
            <w:r w:rsidRPr="00B0157E">
              <w:t>$1,378,442</w:t>
            </w:r>
          </w:p>
        </w:tc>
        <w:tc>
          <w:tcPr>
            <w:tcW w:w="1196" w:type="dxa"/>
          </w:tcPr>
          <w:p w14:paraId="324A7F49" w14:textId="77777777" w:rsidR="0078593F" w:rsidRPr="00B0157E" w:rsidRDefault="0078593F" w:rsidP="007C5545">
            <w:pPr>
              <w:pStyle w:val="02Tabletext"/>
              <w:spacing w:after="20"/>
              <w:jc w:val="center"/>
            </w:pPr>
            <w:r w:rsidRPr="00B0157E">
              <w:t>-0.40%</w:t>
            </w:r>
          </w:p>
        </w:tc>
      </w:tr>
    </w:tbl>
    <w:bookmarkEnd w:id="126"/>
    <w:p w14:paraId="368EA485" w14:textId="77777777" w:rsidR="00FC732F" w:rsidRPr="00B0157E" w:rsidRDefault="00FC732F" w:rsidP="00C33ED9">
      <w:pPr>
        <w:rPr>
          <w:b/>
          <w:lang w:val="en-AU"/>
        </w:rPr>
      </w:pPr>
      <w:r w:rsidRPr="00B0157E">
        <w:rPr>
          <w:b/>
          <w:lang w:val="en-AU"/>
        </w:rPr>
        <w:lastRenderedPageBreak/>
        <w:t xml:space="preserve">Recommendation </w:t>
      </w:r>
    </w:p>
    <w:p w14:paraId="194A4E12" w14:textId="77777777" w:rsidR="00FC732F" w:rsidRPr="00B0157E" w:rsidRDefault="00FC732F">
      <w:pPr>
        <w:pStyle w:val="01squarebullet"/>
        <w:rPr>
          <w:lang w:val="en-AU"/>
        </w:rPr>
      </w:pPr>
      <w:r w:rsidRPr="00B0157E">
        <w:rPr>
          <w:lang w:val="en-AU"/>
        </w:rPr>
        <w:t xml:space="preserve">Delete </w:t>
      </w:r>
      <w:r w:rsidR="00CF0818" w:rsidRPr="00B0157E">
        <w:rPr>
          <w:lang w:val="en-AU"/>
        </w:rPr>
        <w:t xml:space="preserve">both </w:t>
      </w:r>
      <w:r w:rsidRPr="00B0157E">
        <w:rPr>
          <w:lang w:val="en-AU"/>
        </w:rPr>
        <w:t>item</w:t>
      </w:r>
      <w:r w:rsidR="00E0240C" w:rsidRPr="00B0157E">
        <w:rPr>
          <w:lang w:val="en-AU"/>
        </w:rPr>
        <w:t>s</w:t>
      </w:r>
      <w:r w:rsidRPr="00B0157E">
        <w:rPr>
          <w:lang w:val="en-AU"/>
        </w:rPr>
        <w:t xml:space="preserve"> from the MBS. Treatment should be provided using other </w:t>
      </w:r>
      <w:r w:rsidR="00FD3D8B" w:rsidRPr="00B0157E">
        <w:rPr>
          <w:lang w:val="en-AU"/>
        </w:rPr>
        <w:t xml:space="preserve">therapies </w:t>
      </w:r>
      <w:r w:rsidR="00E432FE" w:rsidRPr="00B0157E">
        <w:rPr>
          <w:lang w:val="en-AU"/>
        </w:rPr>
        <w:t>(</w:t>
      </w:r>
      <w:r w:rsidR="00FD3D8B" w:rsidRPr="00B0157E">
        <w:rPr>
          <w:lang w:val="en-AU"/>
        </w:rPr>
        <w:t>such as cryotherapy</w:t>
      </w:r>
      <w:r w:rsidR="00E432FE" w:rsidRPr="00B0157E">
        <w:rPr>
          <w:lang w:val="en-AU"/>
        </w:rPr>
        <w:t>)</w:t>
      </w:r>
      <w:r w:rsidRPr="00B0157E">
        <w:rPr>
          <w:lang w:val="en-AU"/>
        </w:rPr>
        <w:t xml:space="preserve"> within a normal consult</w:t>
      </w:r>
      <w:r w:rsidR="00FE4A45" w:rsidRPr="00B0157E">
        <w:rPr>
          <w:lang w:val="en-AU"/>
        </w:rPr>
        <w:t>ation</w:t>
      </w:r>
      <w:r w:rsidR="00CB437F" w:rsidRPr="00B0157E">
        <w:rPr>
          <w:lang w:val="en-AU"/>
        </w:rPr>
        <w:t>.</w:t>
      </w:r>
      <w:r w:rsidR="004A352E">
        <w:rPr>
          <w:lang w:val="en-AU"/>
        </w:rPr>
        <w:t xml:space="preserve"> </w:t>
      </w:r>
    </w:p>
    <w:p w14:paraId="52A1D484" w14:textId="77777777" w:rsidR="00FC732F" w:rsidRPr="00B0157E" w:rsidRDefault="00FC732F" w:rsidP="00FF0C98">
      <w:pPr>
        <w:rPr>
          <w:b/>
          <w:lang w:val="en-AU"/>
        </w:rPr>
      </w:pPr>
      <w:r w:rsidRPr="00B0157E">
        <w:rPr>
          <w:b/>
          <w:lang w:val="en-AU"/>
        </w:rPr>
        <w:t>Rationale</w:t>
      </w:r>
    </w:p>
    <w:p w14:paraId="2562ACD6" w14:textId="77777777" w:rsidR="00FC732F" w:rsidRPr="00B0157E" w:rsidRDefault="00FC732F" w:rsidP="00C33ED9">
      <w:pPr>
        <w:rPr>
          <w:lang w:val="en-AU"/>
        </w:rPr>
      </w:pPr>
      <w:r w:rsidRPr="00B0157E">
        <w:rPr>
          <w:lang w:val="en-AU"/>
        </w:rPr>
        <w:t xml:space="preserve">The recommendation </w:t>
      </w:r>
      <w:r w:rsidR="00106EB5" w:rsidRPr="00B0157E">
        <w:rPr>
          <w:lang w:val="en-AU"/>
        </w:rPr>
        <w:t>focus</w:t>
      </w:r>
      <w:r w:rsidR="003B017E" w:rsidRPr="00B0157E">
        <w:rPr>
          <w:lang w:val="en-AU"/>
        </w:rPr>
        <w:t>es</w:t>
      </w:r>
      <w:r w:rsidR="00106EB5" w:rsidRPr="00B0157E">
        <w:rPr>
          <w:lang w:val="en-AU"/>
        </w:rPr>
        <w:t xml:space="preserve"> on improving patient care and promoting best practice. </w:t>
      </w:r>
      <w:r w:rsidR="00836964" w:rsidRPr="00B0157E">
        <w:rPr>
          <w:lang w:val="en-AU"/>
        </w:rPr>
        <w:t>It is</w:t>
      </w:r>
      <w:r w:rsidRPr="00B0157E">
        <w:rPr>
          <w:lang w:val="en-AU"/>
        </w:rPr>
        <w:t xml:space="preserve"> </w:t>
      </w:r>
      <w:r w:rsidR="00345693" w:rsidRPr="00B0157E">
        <w:rPr>
          <w:lang w:val="en-AU"/>
        </w:rPr>
        <w:t>based on the following observations</w:t>
      </w:r>
      <w:r w:rsidR="00E136D2" w:rsidRPr="00B0157E">
        <w:rPr>
          <w:lang w:val="en-AU"/>
        </w:rPr>
        <w:t xml:space="preserve">. </w:t>
      </w:r>
    </w:p>
    <w:p w14:paraId="558D6243" w14:textId="77777777" w:rsidR="00FC732F" w:rsidRPr="00B0157E" w:rsidRDefault="00FC732F">
      <w:pPr>
        <w:pStyle w:val="01squarebullet"/>
        <w:rPr>
          <w:lang w:val="en-AU"/>
        </w:rPr>
      </w:pPr>
      <w:r w:rsidRPr="00B0157E">
        <w:rPr>
          <w:lang w:val="en-AU"/>
        </w:rPr>
        <w:t>The Commi</w:t>
      </w:r>
      <w:r w:rsidR="00526718" w:rsidRPr="00B0157E">
        <w:rPr>
          <w:lang w:val="en-AU"/>
        </w:rPr>
        <w:t>ttee identified these</w:t>
      </w:r>
      <w:r w:rsidRPr="00B0157E">
        <w:rPr>
          <w:lang w:val="en-AU"/>
        </w:rPr>
        <w:t xml:space="preserve"> item</w:t>
      </w:r>
      <w:r w:rsidR="00526718" w:rsidRPr="00B0157E">
        <w:rPr>
          <w:lang w:val="en-AU"/>
        </w:rPr>
        <w:t>s as obsolete</w:t>
      </w:r>
      <w:r w:rsidR="00DF67AA" w:rsidRPr="00B0157E">
        <w:rPr>
          <w:lang w:val="en-AU"/>
        </w:rPr>
        <w:t>, noting</w:t>
      </w:r>
      <w:r w:rsidR="00526718" w:rsidRPr="00B0157E">
        <w:rPr>
          <w:lang w:val="en-AU"/>
        </w:rPr>
        <w:t xml:space="preserve"> </w:t>
      </w:r>
      <w:r w:rsidR="00DF67AA" w:rsidRPr="00B0157E">
        <w:rPr>
          <w:lang w:val="en-AU"/>
        </w:rPr>
        <w:t>that</w:t>
      </w:r>
      <w:r w:rsidR="007A3CB7" w:rsidRPr="00B0157E">
        <w:rPr>
          <w:lang w:val="en-AU"/>
        </w:rPr>
        <w:t xml:space="preserve"> </w:t>
      </w:r>
      <w:r w:rsidR="00526718" w:rsidRPr="00B0157E">
        <w:rPr>
          <w:lang w:val="en-AU"/>
        </w:rPr>
        <w:t>they no longer reflect</w:t>
      </w:r>
      <w:r w:rsidR="00106EB5" w:rsidRPr="00B0157E">
        <w:rPr>
          <w:lang w:val="en-AU"/>
        </w:rPr>
        <w:t xml:space="preserve"> best practice. Item 301</w:t>
      </w:r>
      <w:r w:rsidR="002B0C60" w:rsidRPr="00B0157E">
        <w:rPr>
          <w:lang w:val="en-AU"/>
        </w:rPr>
        <w:t>8</w:t>
      </w:r>
      <w:r w:rsidR="00106EB5" w:rsidRPr="00B0157E">
        <w:rPr>
          <w:lang w:val="en-AU"/>
        </w:rPr>
        <w:t>5 is cause for particular concern</w:t>
      </w:r>
      <w:r w:rsidR="00E136D2" w:rsidRPr="00B0157E">
        <w:rPr>
          <w:lang w:val="en-AU"/>
        </w:rPr>
        <w:t>,</w:t>
      </w:r>
      <w:r w:rsidR="00106EB5" w:rsidRPr="00B0157E">
        <w:rPr>
          <w:lang w:val="en-AU"/>
        </w:rPr>
        <w:t xml:space="preserve"> given that </w:t>
      </w:r>
      <w:r w:rsidR="007B2A4A" w:rsidRPr="00B0157E">
        <w:rPr>
          <w:lang w:val="en-AU"/>
        </w:rPr>
        <w:t xml:space="preserve">it </w:t>
      </w:r>
      <w:r w:rsidR="00122D02" w:rsidRPr="00B0157E">
        <w:rPr>
          <w:lang w:val="en-AU"/>
        </w:rPr>
        <w:t xml:space="preserve">covers </w:t>
      </w:r>
      <w:r w:rsidR="00106EB5" w:rsidRPr="00B0157E">
        <w:rPr>
          <w:lang w:val="en-AU"/>
        </w:rPr>
        <w:t xml:space="preserve">treatment of more than 10 warts. </w:t>
      </w:r>
      <w:r w:rsidRPr="00B0157E">
        <w:rPr>
          <w:lang w:val="en-AU"/>
        </w:rPr>
        <w:t xml:space="preserve">MBS data </w:t>
      </w:r>
      <w:r w:rsidR="005345E7" w:rsidRPr="00B0157E">
        <w:rPr>
          <w:lang w:val="en-AU"/>
        </w:rPr>
        <w:t xml:space="preserve">also </w:t>
      </w:r>
      <w:r w:rsidRPr="00B0157E">
        <w:rPr>
          <w:lang w:val="en-AU"/>
        </w:rPr>
        <w:t xml:space="preserve">suggests </w:t>
      </w:r>
      <w:r w:rsidR="00300019" w:rsidRPr="00B0157E">
        <w:rPr>
          <w:lang w:val="en-AU"/>
        </w:rPr>
        <w:t>a general trend away from</w:t>
      </w:r>
      <w:r w:rsidR="005E4E47" w:rsidRPr="00B0157E">
        <w:rPr>
          <w:lang w:val="en-AU"/>
        </w:rPr>
        <w:t xml:space="preserve"> using</w:t>
      </w:r>
      <w:r w:rsidR="00300019" w:rsidRPr="00B0157E">
        <w:rPr>
          <w:lang w:val="en-AU"/>
        </w:rPr>
        <w:t xml:space="preserve"> these items. </w:t>
      </w:r>
      <w:r w:rsidR="00F47ADE" w:rsidRPr="00B0157E">
        <w:rPr>
          <w:lang w:val="en-AU"/>
        </w:rPr>
        <w:t>Over th</w:t>
      </w:r>
      <w:r w:rsidR="00BF494A" w:rsidRPr="00B0157E">
        <w:rPr>
          <w:lang w:val="en-AU"/>
        </w:rPr>
        <w:t>e last five years, for example, t</w:t>
      </w:r>
      <w:r w:rsidRPr="00B0157E">
        <w:rPr>
          <w:lang w:val="en-AU"/>
        </w:rPr>
        <w:t xml:space="preserve">he </w:t>
      </w:r>
      <w:r w:rsidR="002062E5" w:rsidRPr="00B0157E">
        <w:rPr>
          <w:lang w:val="en-AU"/>
        </w:rPr>
        <w:t>service</w:t>
      </w:r>
      <w:r w:rsidR="00E135E9" w:rsidRPr="00B0157E">
        <w:rPr>
          <w:lang w:val="en-AU"/>
        </w:rPr>
        <w:t xml:space="preserve"> volumes for these items</w:t>
      </w:r>
      <w:r w:rsidR="002062E5" w:rsidRPr="00B0157E">
        <w:rPr>
          <w:lang w:val="en-AU"/>
        </w:rPr>
        <w:t xml:space="preserve"> have</w:t>
      </w:r>
      <w:r w:rsidRPr="00B0157E">
        <w:rPr>
          <w:lang w:val="en-AU"/>
        </w:rPr>
        <w:t xml:space="preserve"> </w:t>
      </w:r>
      <w:r w:rsidR="00B805D1" w:rsidRPr="00B0157E">
        <w:rPr>
          <w:lang w:val="en-AU"/>
        </w:rPr>
        <w:t>fallen</w:t>
      </w:r>
      <w:r w:rsidR="006E5D78" w:rsidRPr="00B0157E">
        <w:rPr>
          <w:lang w:val="en-AU"/>
        </w:rPr>
        <w:t xml:space="preserve"> </w:t>
      </w:r>
      <w:r w:rsidR="00526718" w:rsidRPr="00B0157E">
        <w:rPr>
          <w:lang w:val="en-AU"/>
        </w:rPr>
        <w:t xml:space="preserve">by </w:t>
      </w:r>
      <w:r w:rsidR="00E0512E" w:rsidRPr="00B0157E">
        <w:rPr>
          <w:lang w:val="en-AU"/>
        </w:rPr>
        <w:t xml:space="preserve">an average of </w:t>
      </w:r>
      <w:r w:rsidR="00526718" w:rsidRPr="00B0157E">
        <w:rPr>
          <w:lang w:val="en-AU"/>
        </w:rPr>
        <w:t>0.4</w:t>
      </w:r>
      <w:r w:rsidR="00E0512E" w:rsidRPr="00B0157E">
        <w:rPr>
          <w:lang w:val="en-AU"/>
        </w:rPr>
        <w:t xml:space="preserve"> per cent</w:t>
      </w:r>
      <w:r w:rsidR="00526718" w:rsidRPr="00B0157E">
        <w:rPr>
          <w:lang w:val="en-AU"/>
        </w:rPr>
        <w:t xml:space="preserve"> per year</w:t>
      </w:r>
      <w:r w:rsidR="00670051" w:rsidRPr="00B0157E">
        <w:rPr>
          <w:lang w:val="en-AU"/>
        </w:rPr>
        <w:fldChar w:fldCharType="begin" w:fldLock="1"/>
      </w:r>
      <w:r w:rsidR="00670051"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670051" w:rsidRPr="00B0157E">
        <w:rPr>
          <w:lang w:val="en-AU"/>
        </w:rPr>
        <w:fldChar w:fldCharType="separate"/>
      </w:r>
      <w:r w:rsidR="00670051" w:rsidRPr="00B0157E">
        <w:rPr>
          <w:lang w:val="en-AU"/>
        </w:rPr>
        <w:t>[2]</w:t>
      </w:r>
      <w:r w:rsidR="00670051" w:rsidRPr="00B0157E">
        <w:rPr>
          <w:lang w:val="en-AU"/>
        </w:rPr>
        <w:fldChar w:fldCharType="end"/>
      </w:r>
      <w:r w:rsidR="00526718" w:rsidRPr="00B0157E">
        <w:rPr>
          <w:lang w:val="en-AU"/>
        </w:rPr>
        <w:t xml:space="preserve"> </w:t>
      </w:r>
      <w:r w:rsidR="004D5998" w:rsidRPr="00B0157E">
        <w:rPr>
          <w:lang w:val="en-AU"/>
        </w:rPr>
        <w:t xml:space="preserve">(compared to </w:t>
      </w:r>
      <w:r w:rsidRPr="00B0157E">
        <w:rPr>
          <w:lang w:val="en-AU"/>
        </w:rPr>
        <w:t xml:space="preserve">population growth </w:t>
      </w:r>
      <w:r w:rsidR="004D5998" w:rsidRPr="00B0157E">
        <w:rPr>
          <w:lang w:val="en-AU"/>
        </w:rPr>
        <w:t>of</w:t>
      </w:r>
      <w:r w:rsidRPr="00B0157E">
        <w:rPr>
          <w:lang w:val="en-AU"/>
        </w:rPr>
        <w:t xml:space="preserve"> 1.3</w:t>
      </w:r>
      <w:r w:rsidR="004D5998" w:rsidRPr="00B0157E">
        <w:rPr>
          <w:lang w:val="en-AU"/>
        </w:rPr>
        <w:t xml:space="preserve"> per cent)</w:t>
      </w:r>
      <w:r w:rsidR="00670051" w:rsidRPr="00B0157E">
        <w:rPr>
          <w:lang w:val="en-AU"/>
        </w:rPr>
        <w:fldChar w:fldCharType="begin" w:fldLock="1"/>
      </w:r>
      <w:r w:rsidR="00595019" w:rsidRPr="00B0157E">
        <w:rPr>
          <w:lang w:val="en-AU"/>
        </w:rPr>
        <w:instrText>ADDIN CSL_CITATION { "citationItems" : [ { "id" : "ITEM-1", "itemData" : { "URL" : "http://www.abs.gov.au/ausstats/abs@.nsf/Previousproducts/3101.0Main Features1Jun 2015?opendocument&amp;tabname=Summary&amp;prodno=3101.0&amp;issue=Jun 2015&amp;num=&amp;view=", "accessed" : { "date-parts" : [ [ "2016", "4", "25" ] ] }, "author" : [ { "dropping-particle" : "", "family" : "Statistics", "given" : "Australian Bureau of", "non-dropping-particle" : "", "parse-names" : false, "suffix" : "" } ], "container-title" : "3101.0 - Australian Demographic statistics Jun 2010 and Jun 2015", "id" : "ITEM-1", "issued" : { "date-parts" : [ [ "0" ] ] }, "title" : "Australian Demographic Statistics", "type" : "webpage" }, "uris" : [ "http://www.mendeley.com/documents/?uuid=d10251fe-4e2e-47b7-90e6-eb7e0d334d4c" ] } ], "mendeley" : { "formattedCitation" : "[3]", "plainTextFormattedCitation" : "[3]", "previouslyFormattedCitation" : "[3]" }, "properties" : { "noteIndex" : 0 }, "schema" : "https://github.com/citation-style-language/schema/raw/master/csl-citation.json" }</w:instrText>
      </w:r>
      <w:r w:rsidR="00670051" w:rsidRPr="00B0157E">
        <w:rPr>
          <w:lang w:val="en-AU"/>
        </w:rPr>
        <w:fldChar w:fldCharType="separate"/>
      </w:r>
      <w:r w:rsidR="00670051" w:rsidRPr="00B0157E">
        <w:rPr>
          <w:noProof/>
          <w:lang w:val="en-AU"/>
        </w:rPr>
        <w:t>[3]</w:t>
      </w:r>
      <w:r w:rsidR="00670051" w:rsidRPr="00B0157E">
        <w:rPr>
          <w:lang w:val="en-AU"/>
        </w:rPr>
        <w:fldChar w:fldCharType="end"/>
      </w:r>
      <w:r w:rsidR="00910D66" w:rsidRPr="00B0157E">
        <w:rPr>
          <w:lang w:val="en-AU"/>
        </w:rPr>
        <w:t>.</w:t>
      </w:r>
      <w:r w:rsidRPr="00B0157E">
        <w:rPr>
          <w:lang w:val="en-AU"/>
        </w:rPr>
        <w:t xml:space="preserve"> </w:t>
      </w:r>
    </w:p>
    <w:p w14:paraId="2BFF79FC" w14:textId="77777777" w:rsidR="00FC732F" w:rsidRPr="00B0157E" w:rsidRDefault="000E7E75">
      <w:pPr>
        <w:pStyle w:val="02dash"/>
        <w:rPr>
          <w:lang w:val="en-AU"/>
        </w:rPr>
      </w:pPr>
      <w:r w:rsidRPr="00B0157E">
        <w:rPr>
          <w:lang w:val="en-AU"/>
        </w:rPr>
        <w:t>The Committee’s clinical judgment</w:t>
      </w:r>
      <w:r w:rsidR="005A6F15" w:rsidRPr="00B0157E">
        <w:rPr>
          <w:lang w:val="en-AU"/>
        </w:rPr>
        <w:t xml:space="preserve"> is</w:t>
      </w:r>
      <w:r w:rsidRPr="00B0157E">
        <w:rPr>
          <w:lang w:val="en-AU"/>
        </w:rPr>
        <w:t xml:space="preserve"> that </w:t>
      </w:r>
      <w:r w:rsidR="00FC732F" w:rsidRPr="00B0157E">
        <w:rPr>
          <w:lang w:val="en-AU"/>
        </w:rPr>
        <w:t>treatment</w:t>
      </w:r>
      <w:r w:rsidRPr="00B0157E">
        <w:rPr>
          <w:lang w:val="en-AU"/>
        </w:rPr>
        <w:t xml:space="preserve"> modalities such as cryotherapy </w:t>
      </w:r>
      <w:r w:rsidR="00870782" w:rsidRPr="00B0157E">
        <w:rPr>
          <w:lang w:val="en-AU"/>
        </w:rPr>
        <w:t>reflect best practice</w:t>
      </w:r>
      <w:r w:rsidRPr="00B0157E">
        <w:rPr>
          <w:lang w:val="en-AU"/>
        </w:rPr>
        <w:t xml:space="preserve">, </w:t>
      </w:r>
      <w:r w:rsidR="00A3246C" w:rsidRPr="00B0157E">
        <w:rPr>
          <w:lang w:val="en-AU"/>
        </w:rPr>
        <w:t xml:space="preserve">as outlined in </w:t>
      </w:r>
      <w:r w:rsidRPr="00B0157E">
        <w:rPr>
          <w:lang w:val="en-AU"/>
        </w:rPr>
        <w:t>international consensus clinical guidelines</w:t>
      </w:r>
      <w:r w:rsidR="007D7461" w:rsidRPr="00B0157E">
        <w:rPr>
          <w:lang w:val="en-AU"/>
        </w:rPr>
        <w:t xml:space="preserve">. </w:t>
      </w:r>
      <w:r w:rsidR="00013667" w:rsidRPr="00B0157E">
        <w:rPr>
          <w:lang w:val="en-AU"/>
        </w:rPr>
        <w:t xml:space="preserve">For instance, </w:t>
      </w:r>
      <w:r w:rsidR="00B6430C" w:rsidRPr="00B0157E">
        <w:rPr>
          <w:lang w:val="en-AU"/>
        </w:rPr>
        <w:t xml:space="preserve">Lipke (2006) </w:t>
      </w:r>
      <w:r w:rsidR="00731F7E" w:rsidRPr="00B0157E">
        <w:rPr>
          <w:lang w:val="en-AU"/>
        </w:rPr>
        <w:t>notes:</w:t>
      </w:r>
      <w:r w:rsidR="00AA3264" w:rsidRPr="00B0157E">
        <w:rPr>
          <w:lang w:val="en-AU"/>
        </w:rPr>
        <w:t xml:space="preserve"> “Surgical excision and cautery of warts is not recommended as a standard therapy because it can be painful and cause scars that are difficult to treat. Like any destructive therapy, there is no assurance that the wart will not recur. Recurrence rates can be as high as 30%.</w:t>
      </w:r>
      <w:r w:rsidR="00DB05CC" w:rsidRPr="00B0157E">
        <w:rPr>
          <w:lang w:val="en-AU"/>
        </w:rPr>
        <w:t>”</w:t>
      </w:r>
      <w:r w:rsidR="00C1346F" w:rsidRPr="00B0157E">
        <w:rPr>
          <w:lang w:val="en-AU"/>
        </w:rPr>
        <w:fldChar w:fldCharType="begin" w:fldLock="1"/>
      </w:r>
      <w:r w:rsidR="00C47315" w:rsidRPr="00B0157E">
        <w:rPr>
          <w:lang w:val="en-AU"/>
        </w:rPr>
        <w:instrText>ADDIN CSL_CITATION { "citationItems" : [ { "id" : "ITEM-1", "itemData" : { "DOI" : "10.3121/cmr.4.4.273", "ISSN" : "15394182", "PMID" : "17210977", "abstract" : "Patients and clinicians experience the frustration of cutaneous viral warts caused by infection with the human papilloma virus (HPV).Warts appear in various forms on different sites of the body and include common warts (verruca vulgaris), plane or flat warts, myrmecia, plantar warts, coalesced mosaic warts, filiform warts, periungual warts, anogenital warts (venereal or condyloma acuminata), oral warts and respiratory papillomas. Cervical infection with HPV is now known to cause cervical cancer if untreated. A review of the medical literature reveals a huge armamentarium of wart monotherapies and combination therapies. Official evidence-based guidelines exist for the treatment of warts, but very few of the reported treatments have been tested by rigorous blinded, randomized controlled trials.Therefore, official recommendations do not often include treatments with reportedly high success rates, but they should not be ignored when considering treatment options. It is the purpose of this review to provide a comprehensive overview of the wart treatment literature to expand awareness of the options available to practitioners faced with patients presenting with problematic warts.", "author" : [ { "dropping-particle" : "", "family" : "Lipke", "given" : "Michelle M.", "non-dropping-particle" : "", "parse-names" : false, "suffix" : "" } ], "container-title" : "Clinical Medicine and Research", "id" : "ITEM-1", "issue" : "4", "issued" : { "date-parts" : [ [ "2006" ] ] }, "page" : "273-293", "title" : "An armamentarium of wart treatments", "type" : "article-journal", "volume" : "4" }, "uris" : [ "http://www.mendeley.com/documents/?uuid=f5910de6-3187-4c49-a849-468a9069655a" ] } ], "mendeley" : { "formattedCitation" : "[20]", "plainTextFormattedCitation" : "[20]", "previouslyFormattedCitation" : "[20]" }, "properties" : { "noteIndex" : 0 }, "schema" : "https://github.com/citation-style-language/schema/raw/master/csl-citation.json" }</w:instrText>
      </w:r>
      <w:r w:rsidR="00C1346F" w:rsidRPr="00B0157E">
        <w:rPr>
          <w:lang w:val="en-AU"/>
        </w:rPr>
        <w:fldChar w:fldCharType="separate"/>
      </w:r>
      <w:r w:rsidR="00010550" w:rsidRPr="00B0157E">
        <w:rPr>
          <w:lang w:val="en-AU"/>
        </w:rPr>
        <w:t>[20]</w:t>
      </w:r>
      <w:r w:rsidR="00C1346F" w:rsidRPr="00B0157E">
        <w:rPr>
          <w:lang w:val="en-AU"/>
        </w:rPr>
        <w:fldChar w:fldCharType="end"/>
      </w:r>
      <w:r w:rsidR="00AA3264" w:rsidRPr="00B0157E">
        <w:rPr>
          <w:lang w:val="en-AU"/>
        </w:rPr>
        <w:t xml:space="preserve"> </w:t>
      </w:r>
      <w:r w:rsidR="00FC732F" w:rsidRPr="00B0157E">
        <w:rPr>
          <w:lang w:val="en-AU"/>
        </w:rPr>
        <w:t>The British Association of Dermatology’s recommendations for treating plantar warts</w:t>
      </w:r>
      <w:r w:rsidR="00C1346F" w:rsidRPr="00B0157E">
        <w:rPr>
          <w:lang w:val="en-AU"/>
        </w:rPr>
        <w:fldChar w:fldCharType="begin" w:fldLock="1"/>
      </w:r>
      <w:r w:rsidR="00C47315" w:rsidRPr="00B0157E">
        <w:rPr>
          <w:lang w:val="en-AU"/>
        </w:rPr>
        <w:instrText>ADDIN CSL_CITATION { "citationItems" : [ { "id" : "ITEM-1", "itemData" : { "DOI" : "10.1111/bjd.13310", "ISBN" : "0007-0963\\r1365-2133", "ISSN" : "13652133", "PMID" : "25273231", "abstract" : "The article presents information on the updated set of guidelines prepared for the British Association of Dermatologists (BAD) for 2014. It states that the guidelines offers an up-to-date information for the management of infectious cutaneous warts due to papillomavirus infection. It stresses the morphological varieties of warts that turn to lesions such as seborrhoeic keratoses or seborrhoeic warts.", "author" : [ { "dropping-particle" : "", "family" : "Sterling", "given" : "J. C.", "non-dropping-particle" : "", "parse-names" : false, "suffix" : "" }, { "dropping-particle" : "", "family" : "Gibbs", "given" : "S.", "non-dropping-particle" : "", "parse-names" : false, "suffix" : "" }, { "dropping-particle" : "", "family" : "Haque Hussain", "given" : "S. S.", "non-dropping-particle" : "", "parse-names" : false, "suffix" : "" }, { "dropping-particle" : "", "family" : "Mohd Mustapa", "given" : "M. F.", "non-dropping-particle" : "", "parse-names" : false, "suffix" : "" }, { "dropping-particle" : "", "family" : "Handfield-Jones", "given" : "S. E.", "non-dropping-particle" : "", "parse-names" : false, "suffix" : "" } ], "container-title" : "British Journal of Dermatology", "id" : "ITEM-1", "issue" : "Agree Ii", "issued" : { "date-parts" : [ [ "2014" ] ] }, "page" : "696-712", "title" : "British Association of Dermatologists' guidelines for the management of cutaneous warts 2014", "type" : "article-journal" }, "uris" : [ "http://www.mendeley.com/documents/?uuid=823e8302-d608-45c5-a97a-56003f7c5a05" ] } ], "mendeley" : { "formattedCitation" : "[21]", "plainTextFormattedCitation" : "[21]", "previouslyFormattedCitation" : "[21]" }, "properties" : { "noteIndex" : 0 }, "schema" : "https://github.com/citation-style-language/schema/raw/master/csl-citation.json" }</w:instrText>
      </w:r>
      <w:r w:rsidR="00C1346F" w:rsidRPr="00B0157E">
        <w:rPr>
          <w:lang w:val="en-AU"/>
        </w:rPr>
        <w:fldChar w:fldCharType="separate"/>
      </w:r>
      <w:r w:rsidR="00010550" w:rsidRPr="00B0157E">
        <w:rPr>
          <w:lang w:val="en-AU"/>
        </w:rPr>
        <w:t>[21]</w:t>
      </w:r>
      <w:r w:rsidR="00C1346F" w:rsidRPr="00B0157E">
        <w:rPr>
          <w:lang w:val="en-AU"/>
        </w:rPr>
        <w:fldChar w:fldCharType="end"/>
      </w:r>
      <w:r w:rsidR="00FC732F" w:rsidRPr="00B0157E">
        <w:rPr>
          <w:lang w:val="en-AU"/>
        </w:rPr>
        <w:t xml:space="preserve"> identif</w:t>
      </w:r>
      <w:r w:rsidR="00C72E71" w:rsidRPr="00B0157E">
        <w:rPr>
          <w:lang w:val="en-AU"/>
        </w:rPr>
        <w:t>y</w:t>
      </w:r>
      <w:r w:rsidR="00FC732F" w:rsidRPr="00B0157E">
        <w:rPr>
          <w:lang w:val="en-AU"/>
        </w:rPr>
        <w:t xml:space="preserve"> cryotherapy and other treatments as the best forms of treatment</w:t>
      </w:r>
      <w:r w:rsidR="00422EE6" w:rsidRPr="00B0157E">
        <w:rPr>
          <w:lang w:val="en-AU"/>
        </w:rPr>
        <w:t>, including</w:t>
      </w:r>
      <w:r w:rsidR="00DE0926" w:rsidRPr="00B0157E">
        <w:rPr>
          <w:lang w:val="en-AU"/>
        </w:rPr>
        <w:t>:</w:t>
      </w:r>
      <w:r w:rsidR="00FC732F" w:rsidRPr="00B0157E">
        <w:rPr>
          <w:lang w:val="en-AU"/>
        </w:rPr>
        <w:t xml:space="preserve"> “Salicylic acid (15–40%) topical paints or ointments</w:t>
      </w:r>
      <w:r w:rsidR="00A00239" w:rsidRPr="00B0157E">
        <w:rPr>
          <w:lang w:val="en-AU"/>
        </w:rPr>
        <w:t>.</w:t>
      </w:r>
      <w:r w:rsidR="00FC732F" w:rsidRPr="00B0157E">
        <w:rPr>
          <w:lang w:val="en-AU"/>
        </w:rPr>
        <w:t>” </w:t>
      </w:r>
    </w:p>
    <w:p w14:paraId="02F783A1" w14:textId="77777777" w:rsidR="00FC732F" w:rsidRPr="00B0157E" w:rsidRDefault="00FC732F">
      <w:pPr>
        <w:pStyle w:val="02dash"/>
        <w:rPr>
          <w:lang w:val="en-AU"/>
        </w:rPr>
      </w:pPr>
      <w:r w:rsidRPr="00B0157E">
        <w:rPr>
          <w:lang w:val="en-AU"/>
        </w:rPr>
        <w:t>“Cryotherapy, fortnightly for 3–4 months.”</w:t>
      </w:r>
    </w:p>
    <w:p w14:paraId="6C816B1D" w14:textId="77777777" w:rsidR="00FC732F" w:rsidRPr="00B0157E" w:rsidRDefault="00FC732F">
      <w:pPr>
        <w:pStyle w:val="02dash"/>
        <w:rPr>
          <w:lang w:val="en-AU"/>
        </w:rPr>
      </w:pPr>
      <w:r w:rsidRPr="00B0157E">
        <w:rPr>
          <w:lang w:val="en-AU"/>
        </w:rPr>
        <w:t>“Salicylic acid and/or cryotherapy used with more aggressive regimens is probably more effective than standard regimens, but care is needed with worse side-effects. Combination treatments can be undertaken.”</w:t>
      </w:r>
    </w:p>
    <w:p w14:paraId="3BF71726" w14:textId="77777777" w:rsidR="00FC732F" w:rsidRPr="00B0157E" w:rsidRDefault="00FC732F">
      <w:pPr>
        <w:pStyle w:val="02dash"/>
        <w:rPr>
          <w:lang w:val="en-AU"/>
        </w:rPr>
      </w:pPr>
      <w:r w:rsidRPr="00B0157E">
        <w:rPr>
          <w:lang w:val="en-AU"/>
        </w:rPr>
        <w:t xml:space="preserve">“Other treatments: dithranol, 5-FU, formaldehyde, glutaraldehyde, hyperthermia, laser, PDT, podophyllotoxin, topical immunotherapy.” </w:t>
      </w:r>
    </w:p>
    <w:p w14:paraId="113FCEAB" w14:textId="77777777" w:rsidR="00821EDE" w:rsidRPr="00B0157E" w:rsidRDefault="00D64BEB" w:rsidP="00FF0C98">
      <w:pPr>
        <w:pStyle w:val="02dash"/>
        <w:rPr>
          <w:lang w:val="en-AU"/>
        </w:rPr>
      </w:pPr>
      <w:r w:rsidRPr="00B0157E">
        <w:rPr>
          <w:lang w:val="en-AU"/>
        </w:rPr>
        <w:t xml:space="preserve">The recommendations also note: </w:t>
      </w:r>
      <w:r w:rsidR="00821EDE" w:rsidRPr="00B0157E">
        <w:rPr>
          <w:lang w:val="en-AU"/>
        </w:rPr>
        <w:t>“Cure rates are lower at this site probably due to a thicker cornified layer and subsequent poorer penetration of treatments to the lower epidermis. Paring, if used to remove excess skin from warts before treatment, should avoid damaging surrounding skin because of the risk of spreading infection.”</w:t>
      </w:r>
    </w:p>
    <w:p w14:paraId="57E842FF" w14:textId="77777777" w:rsidR="00FC732F" w:rsidRPr="00B0157E" w:rsidRDefault="002C35FE" w:rsidP="00FF0C98">
      <w:pPr>
        <w:pStyle w:val="01squarebullet"/>
        <w:rPr>
          <w:lang w:val="en-AU"/>
        </w:rPr>
      </w:pPr>
      <w:r w:rsidRPr="00B0157E">
        <w:rPr>
          <w:lang w:val="en-AU"/>
        </w:rPr>
        <w:t>Furthermore, a</w:t>
      </w:r>
      <w:r w:rsidR="00AA3264" w:rsidRPr="00B0157E">
        <w:rPr>
          <w:lang w:val="en-AU"/>
        </w:rPr>
        <w:t xml:space="preserve"> 2012 </w:t>
      </w:r>
      <w:r w:rsidR="00FC732F" w:rsidRPr="00B0157E">
        <w:rPr>
          <w:lang w:val="en-AU"/>
        </w:rPr>
        <w:t xml:space="preserve">Cochrane </w:t>
      </w:r>
      <w:r w:rsidR="00AA3264" w:rsidRPr="00B0157E">
        <w:rPr>
          <w:lang w:val="en-AU"/>
        </w:rPr>
        <w:t>R</w:t>
      </w:r>
      <w:r w:rsidR="00FC732F" w:rsidRPr="00B0157E">
        <w:rPr>
          <w:lang w:val="en-AU"/>
        </w:rPr>
        <w:t xml:space="preserve">eview </w:t>
      </w:r>
      <w:r w:rsidR="00AA3264" w:rsidRPr="00B0157E">
        <w:rPr>
          <w:lang w:val="en-AU"/>
        </w:rPr>
        <w:t>found</w:t>
      </w:r>
      <w:r w:rsidR="00FC732F" w:rsidRPr="00B0157E">
        <w:rPr>
          <w:lang w:val="en-AU"/>
        </w:rPr>
        <w:t xml:space="preserve"> that “</w:t>
      </w:r>
      <w:r w:rsidR="00A00239" w:rsidRPr="00B0157E">
        <w:rPr>
          <w:lang w:val="en-AU"/>
        </w:rPr>
        <w:t>s</w:t>
      </w:r>
      <w:r w:rsidR="00FC732F" w:rsidRPr="00B0157E">
        <w:rPr>
          <w:lang w:val="en-AU"/>
        </w:rPr>
        <w:t>urgical excision and curettage with cautery have certainly been recognised treatments for common warts in the past, but fewer dermatologists advocate these treatments now due to the morbidity of the procedure, particularly scarring, and the anecdotal experience of high rates of recurrence. We did not identify any controlled trials or RCTs</w:t>
      </w:r>
      <w:r w:rsidR="00C3313C" w:rsidRPr="00B0157E">
        <w:rPr>
          <w:lang w:val="en-AU"/>
        </w:rPr>
        <w:t xml:space="preserve"> [randomis</w:t>
      </w:r>
      <w:r w:rsidR="009C4271" w:rsidRPr="00B0157E">
        <w:rPr>
          <w:lang w:val="en-AU"/>
        </w:rPr>
        <w:t>ed</w:t>
      </w:r>
      <w:r w:rsidR="002B0807" w:rsidRPr="00B0157E">
        <w:rPr>
          <w:lang w:val="en-AU"/>
        </w:rPr>
        <w:t xml:space="preserve"> controlled trials]</w:t>
      </w:r>
      <w:r w:rsidR="00FC732F" w:rsidRPr="00B0157E">
        <w:rPr>
          <w:lang w:val="en-AU"/>
        </w:rPr>
        <w:t xml:space="preserve"> that evaluated these treatments</w:t>
      </w:r>
      <w:r w:rsidR="00F575BA" w:rsidRPr="00B0157E">
        <w:rPr>
          <w:lang w:val="en-AU"/>
        </w:rPr>
        <w:t>.”</w:t>
      </w:r>
      <w:r w:rsidR="00C1346F" w:rsidRPr="00B0157E">
        <w:rPr>
          <w:lang w:val="en-AU"/>
        </w:rPr>
        <w:fldChar w:fldCharType="begin" w:fldLock="1"/>
      </w:r>
      <w:r w:rsidR="00C47315" w:rsidRPr="00B0157E">
        <w:rPr>
          <w:lang w:val="en-AU"/>
        </w:rPr>
        <w:instrText>ADDIN CSL_CITATION { "citationItems" : [ { "id" : "ITEM-1", "itemData" : { "DOI" : "10.1002/14651858.CD001781.pub3", "ISSN" : "1469-493X", "PMID" : "22972052", "abstract" : "BACKGROUND Viral warts are a common skin condition, which can range in severity from a minor nuisance that resolve spontaneously to a troublesome, chronic condition. Many different topical treatments are available. OBJECTIVES To evaluate the efficacy of local treatments for cutaneous non-genital warts in healthy, immunocompetent adults and children. SEARCH METHODS We updated our searches of the following databases to May 2011: the Cochrane Skin Group Specialised Register, CENTRAL in The Cochrane Library, MEDLINE (from 2005), EMBASE (from 2010), AMED (from 1985), LILACS (from 1982), and CINAHL (from 1981). We searched reference lists of articles and online trials registries for ongoing trials. SELECTION CRITERIA Randomised controlled trials (RCTs) of topical treatments for cutaneous non-genital warts. DATA COLLECTION AND ANALYSIS Two authors independently selected trials and extracted data; a third author resolved any disagreements. MAIN RESULTS We included 85 trials involving a total of 8815 randomised participants (26 new studies were included in this update). There was a wide range of different treatments and a variety of trial designs. Many of the studies were judged to be at high risk of bias in one or more areas of trial design.Trials of salicylic acid (SA) versus placebo showed that the former significantly increased the chance of clearance of warts at all sites (RR (risk ratio) 1.56, 95% CI (confidence interval) 1.20 to 2.03). Subgroup analysis for different sites, hands (RR 2.67, 95% CI 1.43 to 5.01) and feet (RR 1.29, 95% CI 1.07 to 1.55), suggested it might be more effective for hands than feet.A meta-analysis of cryotherapy versus placebo for warts at all sites favoured neither intervention nor control (RR 1.45, 95% CI 0.65 to 3.23). Subgroup analysis for different sites, hands (RR 2.63, 95% CI 0.43 to 15.94) and feet (RR 0.90, 95% CI 0.26 to 3.07), again suggested better outcomes for hands than feet. One trial showed cryotherapy to be better than both placebo and SA, but only for hand warts.There was no significant difference in cure rates between cryotherapy at 2-, 3-, and 4-weekly intervals.Aggressive cryotherapy appeared more effective than gentle cryotherapy (RR 1.90, 95% CI 1.15 to 3.15), but with increased adverse effects.Meta-analysis did not demonstrate a significant difference in effectiveness between cryotherapy and SA at all sites (RR 1.23, 95% CI 0.88 to 1.71) or in subgroup analyses for hands and feet.Two trials with 328 partici\u2026", "author" : [ { "dropping-particle" : "", "family" : "Kwok", "given" : "Chun Shing", "non-dropping-particle" : "", "parse-names" : false, "suffix" : "" }, { "dropping-particle" : "", "family" : "Gibbs", "given" : "Sam", "non-dropping-particle" : "", "parse-names" : false, "suffix" : "" }, { "dropping-particle" : "", "family" : "Bennett", "given" : "Cathy", "non-dropping-particle" : "", "parse-names" : false, "suffix" : "" }, { "dropping-particle" : "", "family" : "Holland", "given" : "Richard", "non-dropping-particle" : "", "parse-names" : false, "suffix" : "" }, { "dropping-particle" : "", "family" : "Abbott", "given" : "Rachel", "non-dropping-particle" : "", "parse-names" : false, "suffix" : "" } ], "container-title" : "The Cochrane database of systematic reviews", "id" : "ITEM-1", "issue" : "9", "issued" : { "date-parts" : [ [ "2012" ] ] }, "page" : "CD001781", "title" : "Topical treatments for cutaneous warts.", "type" : "article-journal" }, "uris" : [ "http://www.mendeley.com/documents/?uuid=b2b95826-231f-33e7-822e-3a979a1fb35d" ] } ], "mendeley" : { "formattedCitation" : "[22]", "plainTextFormattedCitation" : "[22]", "previouslyFormattedCitation" : "[22]" }, "properties" : { "noteIndex" : 0 }, "schema" : "https://github.com/citation-style-language/schema/raw/master/csl-citation.json" }</w:instrText>
      </w:r>
      <w:r w:rsidR="00C1346F" w:rsidRPr="00B0157E">
        <w:rPr>
          <w:lang w:val="en-AU"/>
        </w:rPr>
        <w:fldChar w:fldCharType="separate"/>
      </w:r>
      <w:r w:rsidR="00010550" w:rsidRPr="00B0157E">
        <w:rPr>
          <w:lang w:val="en-AU"/>
        </w:rPr>
        <w:t>[22]</w:t>
      </w:r>
      <w:r w:rsidR="00C1346F" w:rsidRPr="00B0157E">
        <w:rPr>
          <w:lang w:val="en-AU"/>
        </w:rPr>
        <w:fldChar w:fldCharType="end"/>
      </w:r>
    </w:p>
    <w:p w14:paraId="045F186B" w14:textId="77777777" w:rsidR="00FC732F" w:rsidRPr="00B0157E" w:rsidRDefault="00DB7BBC">
      <w:pPr>
        <w:pStyle w:val="01squarebullet"/>
        <w:rPr>
          <w:lang w:val="en-AU"/>
        </w:rPr>
      </w:pPr>
      <w:r w:rsidRPr="00B0157E">
        <w:rPr>
          <w:lang w:val="en-AU"/>
        </w:rPr>
        <w:t>The Committee agreed</w:t>
      </w:r>
      <w:r w:rsidR="00FC732F" w:rsidRPr="00B0157E">
        <w:rPr>
          <w:lang w:val="en-AU"/>
        </w:rPr>
        <w:t xml:space="preserve"> that other treatment options are available to patients</w:t>
      </w:r>
      <w:r w:rsidR="002D7829" w:rsidRPr="00B0157E">
        <w:rPr>
          <w:lang w:val="en-AU"/>
        </w:rPr>
        <w:t xml:space="preserve"> (</w:t>
      </w:r>
      <w:r w:rsidR="00FC732F" w:rsidRPr="00B0157E">
        <w:rPr>
          <w:lang w:val="en-AU"/>
        </w:rPr>
        <w:t xml:space="preserve">such as </w:t>
      </w:r>
      <w:r w:rsidR="00B6635C" w:rsidRPr="00B0157E">
        <w:rPr>
          <w:lang w:val="en-AU"/>
        </w:rPr>
        <w:t>c</w:t>
      </w:r>
      <w:r w:rsidR="00FC732F" w:rsidRPr="00B0157E">
        <w:rPr>
          <w:lang w:val="en-AU"/>
        </w:rPr>
        <w:t>ryotherapy</w:t>
      </w:r>
      <w:r w:rsidR="002D7829" w:rsidRPr="00B0157E">
        <w:rPr>
          <w:lang w:val="en-AU"/>
        </w:rPr>
        <w:t>)</w:t>
      </w:r>
      <w:r w:rsidR="004C2E6A" w:rsidRPr="00B0157E">
        <w:rPr>
          <w:lang w:val="en-AU"/>
        </w:rPr>
        <w:t>,</w:t>
      </w:r>
      <w:r w:rsidR="00FC732F" w:rsidRPr="00B0157E">
        <w:rPr>
          <w:lang w:val="en-AU"/>
        </w:rPr>
        <w:t xml:space="preserve"> </w:t>
      </w:r>
      <w:r w:rsidRPr="00B0157E">
        <w:rPr>
          <w:lang w:val="en-AU"/>
        </w:rPr>
        <w:t xml:space="preserve">and </w:t>
      </w:r>
      <w:r w:rsidR="005076BA" w:rsidRPr="00B0157E">
        <w:rPr>
          <w:lang w:val="en-AU"/>
        </w:rPr>
        <w:t>these should be conducted</w:t>
      </w:r>
      <w:r w:rsidR="00FC732F" w:rsidRPr="00B0157E">
        <w:rPr>
          <w:lang w:val="en-AU"/>
        </w:rPr>
        <w:t xml:space="preserve"> as part of a normal consult</w:t>
      </w:r>
      <w:r w:rsidR="00FE4A45" w:rsidRPr="00B0157E">
        <w:rPr>
          <w:lang w:val="en-AU"/>
        </w:rPr>
        <w:t>ation</w:t>
      </w:r>
      <w:r w:rsidR="00FC732F" w:rsidRPr="00B0157E">
        <w:rPr>
          <w:lang w:val="en-AU"/>
        </w:rPr>
        <w:t>.</w:t>
      </w:r>
      <w:r w:rsidR="004A352E">
        <w:rPr>
          <w:lang w:val="en-AU"/>
        </w:rPr>
        <w:t xml:space="preserve"> </w:t>
      </w:r>
    </w:p>
    <w:p w14:paraId="4F3863F0" w14:textId="77777777" w:rsidR="00FC732F" w:rsidRPr="00B0157E" w:rsidRDefault="00FC732F">
      <w:pPr>
        <w:pStyle w:val="01squarebullet"/>
        <w:rPr>
          <w:lang w:val="en-AU"/>
        </w:rPr>
      </w:pPr>
      <w:r w:rsidRPr="00B0157E">
        <w:rPr>
          <w:lang w:val="en-AU"/>
        </w:rPr>
        <w:t xml:space="preserve">The Committee </w:t>
      </w:r>
      <w:r w:rsidR="004B473B" w:rsidRPr="00B0157E">
        <w:rPr>
          <w:lang w:val="en-AU"/>
        </w:rPr>
        <w:t xml:space="preserve">agreed </w:t>
      </w:r>
      <w:r w:rsidRPr="00B0157E">
        <w:rPr>
          <w:lang w:val="en-AU"/>
        </w:rPr>
        <w:t xml:space="preserve">that deleting this item </w:t>
      </w:r>
      <w:r w:rsidR="0055671F" w:rsidRPr="00B0157E">
        <w:rPr>
          <w:lang w:val="en-AU"/>
        </w:rPr>
        <w:t xml:space="preserve">would </w:t>
      </w:r>
      <w:r w:rsidRPr="00B0157E">
        <w:rPr>
          <w:lang w:val="en-AU"/>
        </w:rPr>
        <w:t xml:space="preserve">create greater value for patients as it </w:t>
      </w:r>
      <w:r w:rsidR="007209CD" w:rsidRPr="00B0157E">
        <w:rPr>
          <w:lang w:val="en-AU"/>
        </w:rPr>
        <w:t xml:space="preserve">would </w:t>
      </w:r>
      <w:r w:rsidRPr="00B0157E">
        <w:rPr>
          <w:lang w:val="en-AU"/>
        </w:rPr>
        <w:t>encourage best</w:t>
      </w:r>
      <w:r w:rsidR="000726CA" w:rsidRPr="00B0157E">
        <w:rPr>
          <w:lang w:val="en-AU"/>
        </w:rPr>
        <w:t>-</w:t>
      </w:r>
      <w:r w:rsidRPr="00B0157E">
        <w:rPr>
          <w:lang w:val="en-AU"/>
        </w:rPr>
        <w:t xml:space="preserve">practice treatment and </w:t>
      </w:r>
      <w:r w:rsidR="00FA00E8" w:rsidRPr="00B0157E">
        <w:rPr>
          <w:lang w:val="en-AU"/>
        </w:rPr>
        <w:t xml:space="preserve">allow </w:t>
      </w:r>
      <w:r w:rsidRPr="00B0157E">
        <w:rPr>
          <w:lang w:val="en-AU"/>
        </w:rPr>
        <w:t xml:space="preserve">funds </w:t>
      </w:r>
      <w:r w:rsidR="00800B4E" w:rsidRPr="00B0157E">
        <w:rPr>
          <w:lang w:val="en-AU"/>
        </w:rPr>
        <w:t xml:space="preserve">to </w:t>
      </w:r>
      <w:r w:rsidRPr="00B0157E">
        <w:rPr>
          <w:lang w:val="en-AU"/>
        </w:rPr>
        <w:t xml:space="preserve">be re-allocated to higher value </w:t>
      </w:r>
      <w:r w:rsidR="006005DA" w:rsidRPr="00B0157E">
        <w:rPr>
          <w:lang w:val="en-AU"/>
        </w:rPr>
        <w:t xml:space="preserve">care for </w:t>
      </w:r>
      <w:r w:rsidR="00670051" w:rsidRPr="00B0157E">
        <w:rPr>
          <w:lang w:val="en-AU"/>
        </w:rPr>
        <w:t>patients</w:t>
      </w:r>
      <w:r w:rsidRPr="00B0157E">
        <w:rPr>
          <w:lang w:val="en-AU"/>
        </w:rPr>
        <w:t xml:space="preserve">. </w:t>
      </w:r>
    </w:p>
    <w:p w14:paraId="415EC854" w14:textId="77777777" w:rsidR="000B75A7" w:rsidRPr="00B0157E" w:rsidRDefault="000B75A7" w:rsidP="00C33ED9">
      <w:pPr>
        <w:pStyle w:val="Heading2"/>
        <w:rPr>
          <w:lang w:val="en-AU"/>
        </w:rPr>
      </w:pPr>
      <w:bookmarkStart w:id="130" w:name="_Toc456897545"/>
      <w:bookmarkStart w:id="131" w:name="_Toc456897691"/>
      <w:bookmarkStart w:id="132" w:name="_Toc456897745"/>
      <w:bookmarkStart w:id="133" w:name="_Toc456897798"/>
      <w:bookmarkStart w:id="134" w:name="_Toc456898019"/>
      <w:bookmarkStart w:id="135" w:name="_Toc456899259"/>
      <w:bookmarkStart w:id="136" w:name="_Toc458774433"/>
      <w:bookmarkStart w:id="137" w:name="_Toc465871874"/>
      <w:bookmarkEnd w:id="130"/>
      <w:bookmarkEnd w:id="131"/>
      <w:bookmarkEnd w:id="132"/>
      <w:bookmarkEnd w:id="133"/>
      <w:bookmarkEnd w:id="134"/>
      <w:bookmarkEnd w:id="135"/>
      <w:r w:rsidRPr="00B0157E">
        <w:rPr>
          <w:lang w:val="en-AU"/>
        </w:rPr>
        <w:lastRenderedPageBreak/>
        <w:t>Laser photocoagulation</w:t>
      </w:r>
      <w:r w:rsidR="00C62122" w:rsidRPr="00B0157E">
        <w:rPr>
          <w:lang w:val="en-AU"/>
        </w:rPr>
        <w:t>:</w:t>
      </w:r>
      <w:r w:rsidRPr="00B0157E">
        <w:rPr>
          <w:lang w:val="en-AU"/>
        </w:rPr>
        <w:t xml:space="preserve"> </w:t>
      </w:r>
      <w:r w:rsidR="00C62122" w:rsidRPr="00B0157E">
        <w:rPr>
          <w:lang w:val="en-AU"/>
        </w:rPr>
        <w:t>I</w:t>
      </w:r>
      <w:r w:rsidRPr="00B0157E">
        <w:rPr>
          <w:lang w:val="en-AU"/>
        </w:rPr>
        <w:t>tems 14100</w:t>
      </w:r>
      <w:r w:rsidR="00F25A7D" w:rsidRPr="00B0157E">
        <w:rPr>
          <w:lang w:val="en-AU"/>
        </w:rPr>
        <w:t xml:space="preserve">, 14106, 14109, 14112, 14115, 14118 and </w:t>
      </w:r>
      <w:r w:rsidRPr="00B0157E">
        <w:rPr>
          <w:lang w:val="en-AU"/>
        </w:rPr>
        <w:t>14124</w:t>
      </w:r>
      <w:bookmarkEnd w:id="136"/>
      <w:bookmarkEnd w:id="137"/>
    </w:p>
    <w:p w14:paraId="6C3805B2" w14:textId="77777777" w:rsidR="00615C92" w:rsidRPr="00B0157E" w:rsidRDefault="00615C92" w:rsidP="00C33ED9">
      <w:pPr>
        <w:pStyle w:val="Caption"/>
        <w:rPr>
          <w:lang w:val="en-AU"/>
        </w:rPr>
      </w:pPr>
      <w:bookmarkStart w:id="138" w:name="_Toc457520568"/>
      <w:bookmarkStart w:id="139" w:name="_Toc459236296"/>
      <w:bookmarkStart w:id="140" w:name="_Toc465871831"/>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8</w:t>
      </w:r>
      <w:r w:rsidR="00C1346F" w:rsidRPr="00B0157E">
        <w:rPr>
          <w:lang w:val="en-AU"/>
        </w:rPr>
        <w:fldChar w:fldCharType="end"/>
      </w:r>
      <w:r w:rsidRPr="00B0157E">
        <w:rPr>
          <w:lang w:val="en-AU"/>
        </w:rPr>
        <w:t xml:space="preserve">: </w:t>
      </w:r>
      <w:r w:rsidR="00B145D7" w:rsidRPr="00B0157E">
        <w:rPr>
          <w:lang w:val="en-AU"/>
        </w:rPr>
        <w:t xml:space="preserve">Item introduction table for items </w:t>
      </w:r>
      <w:r w:rsidRPr="00B0157E">
        <w:rPr>
          <w:lang w:val="en-AU"/>
        </w:rPr>
        <w:t>14100</w:t>
      </w:r>
      <w:r w:rsidR="00853EB4" w:rsidRPr="00B0157E">
        <w:rPr>
          <w:lang w:val="en-AU"/>
        </w:rPr>
        <w:t xml:space="preserve">, 14106, 14109, 14112, 14115, 14118 and </w:t>
      </w:r>
      <w:r w:rsidRPr="00B0157E">
        <w:rPr>
          <w:lang w:val="en-AU"/>
        </w:rPr>
        <w:t>14124</w:t>
      </w:r>
      <w:bookmarkEnd w:id="138"/>
      <w:bookmarkEnd w:id="139"/>
      <w:bookmarkEnd w:id="140"/>
      <w:r w:rsidR="00AA63F5"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8 is an item introduction table for items 14100, 14106, 14109, 14112, 14115, 14118 and 14124 which are for Laser Photocoagulation.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615C92" w:rsidRPr="00B0157E" w14:paraId="3FAD758C" w14:textId="77777777">
        <w:trPr>
          <w:tblHeader/>
        </w:trPr>
        <w:tc>
          <w:tcPr>
            <w:tcW w:w="717" w:type="dxa"/>
            <w:shd w:val="clear" w:color="auto" w:fill="F2F2F2" w:themeFill="background1" w:themeFillShade="F2"/>
            <w:vAlign w:val="bottom"/>
          </w:tcPr>
          <w:p w14:paraId="3C3F6CEF" w14:textId="77777777" w:rsidR="00615C92" w:rsidRPr="00B0157E" w:rsidRDefault="00615C92" w:rsidP="007C5545">
            <w:pPr>
              <w:pStyle w:val="02Tabletext"/>
              <w:spacing w:after="20"/>
              <w:rPr>
                <w:b/>
              </w:rPr>
            </w:pPr>
            <w:r w:rsidRPr="00B0157E">
              <w:rPr>
                <w:b/>
              </w:rPr>
              <w:t>Item</w:t>
            </w:r>
          </w:p>
        </w:tc>
        <w:tc>
          <w:tcPr>
            <w:tcW w:w="4119" w:type="dxa"/>
            <w:shd w:val="clear" w:color="auto" w:fill="F2F2F2" w:themeFill="background1" w:themeFillShade="F2"/>
            <w:vAlign w:val="bottom"/>
          </w:tcPr>
          <w:p w14:paraId="6842DC9F" w14:textId="77777777" w:rsidR="00615C92" w:rsidRPr="00B0157E" w:rsidRDefault="00615C92" w:rsidP="007C5545">
            <w:pPr>
              <w:pStyle w:val="02Tabletext"/>
              <w:spacing w:after="20"/>
              <w:rPr>
                <w:b/>
              </w:rPr>
            </w:pPr>
            <w:r w:rsidRPr="00B0157E">
              <w:rPr>
                <w:b/>
              </w:rPr>
              <w:t>Descriptor</w:t>
            </w:r>
          </w:p>
          <w:p w14:paraId="6816AAC2" w14:textId="77777777" w:rsidR="00615C92" w:rsidRPr="00B0157E" w:rsidRDefault="00615C92" w:rsidP="007C5545">
            <w:pPr>
              <w:pStyle w:val="02Tabletext"/>
              <w:spacing w:after="20"/>
              <w:rPr>
                <w:b/>
              </w:rPr>
            </w:pPr>
            <w:r w:rsidRPr="00B0157E">
              <w:rPr>
                <w:b/>
              </w:rPr>
              <w:t>[date last amended]</w:t>
            </w:r>
          </w:p>
        </w:tc>
        <w:tc>
          <w:tcPr>
            <w:tcW w:w="917" w:type="dxa"/>
            <w:shd w:val="clear" w:color="auto" w:fill="F2F2F2" w:themeFill="background1" w:themeFillShade="F2"/>
            <w:vAlign w:val="bottom"/>
          </w:tcPr>
          <w:p w14:paraId="48A1BD00" w14:textId="77777777" w:rsidR="00615C92" w:rsidRPr="00B0157E" w:rsidRDefault="00615C92" w:rsidP="007C5545">
            <w:pPr>
              <w:pStyle w:val="02Tabletext"/>
              <w:spacing w:after="20"/>
              <w:rPr>
                <w:b/>
              </w:rPr>
            </w:pPr>
            <w:r w:rsidRPr="00B0157E">
              <w:rPr>
                <w:b/>
              </w:rPr>
              <w:t>Schedule</w:t>
            </w:r>
          </w:p>
          <w:p w14:paraId="7FDC91BF" w14:textId="77777777" w:rsidR="00615C92" w:rsidRPr="00B0157E" w:rsidRDefault="00615C92" w:rsidP="007C5545">
            <w:pPr>
              <w:pStyle w:val="02Tabletext"/>
              <w:spacing w:after="20"/>
              <w:rPr>
                <w:b/>
              </w:rPr>
            </w:pPr>
            <w:r w:rsidRPr="00B0157E">
              <w:rPr>
                <w:b/>
              </w:rPr>
              <w:t>fee</w:t>
            </w:r>
          </w:p>
        </w:tc>
        <w:tc>
          <w:tcPr>
            <w:tcW w:w="997" w:type="dxa"/>
            <w:shd w:val="clear" w:color="auto" w:fill="F2F2F2" w:themeFill="background1" w:themeFillShade="F2"/>
            <w:vAlign w:val="bottom"/>
          </w:tcPr>
          <w:p w14:paraId="4BD04A0B" w14:textId="77777777" w:rsidR="00615C92" w:rsidRPr="00B0157E" w:rsidRDefault="00615C92" w:rsidP="007C5545">
            <w:pPr>
              <w:pStyle w:val="02Tabletext"/>
              <w:spacing w:after="20"/>
              <w:rPr>
                <w:b/>
              </w:rPr>
            </w:pPr>
            <w:r w:rsidRPr="00B0157E">
              <w:rPr>
                <w:b/>
              </w:rPr>
              <w:t>Services FY2014/15</w:t>
            </w:r>
          </w:p>
        </w:tc>
        <w:tc>
          <w:tcPr>
            <w:tcW w:w="1080" w:type="dxa"/>
            <w:shd w:val="clear" w:color="auto" w:fill="F2F2F2" w:themeFill="background1" w:themeFillShade="F2"/>
            <w:vAlign w:val="bottom"/>
          </w:tcPr>
          <w:p w14:paraId="10B55301" w14:textId="77777777" w:rsidR="00615C92" w:rsidRPr="00B0157E" w:rsidRDefault="00615C92" w:rsidP="007C5545">
            <w:pPr>
              <w:pStyle w:val="02Tabletext"/>
              <w:spacing w:after="20"/>
              <w:rPr>
                <w:b/>
              </w:rPr>
            </w:pPr>
            <w:r w:rsidRPr="00B0157E">
              <w:rPr>
                <w:b/>
              </w:rPr>
              <w:t>Benefits FY2014/15</w:t>
            </w:r>
          </w:p>
        </w:tc>
        <w:tc>
          <w:tcPr>
            <w:tcW w:w="1196" w:type="dxa"/>
            <w:shd w:val="clear" w:color="auto" w:fill="F2F2F2" w:themeFill="background1" w:themeFillShade="F2"/>
            <w:vAlign w:val="bottom"/>
          </w:tcPr>
          <w:p w14:paraId="173DFA06" w14:textId="77777777" w:rsidR="00615C92" w:rsidRPr="00B0157E" w:rsidRDefault="003E5EBF" w:rsidP="007C5545">
            <w:pPr>
              <w:pStyle w:val="02Tabletext"/>
              <w:spacing w:after="20"/>
              <w:rPr>
                <w:b/>
              </w:rPr>
            </w:pPr>
            <w:r>
              <w:rPr>
                <w:b/>
              </w:rPr>
              <w:t>Services 5-</w:t>
            </w:r>
            <w:r w:rsidR="00615C92" w:rsidRPr="00B0157E">
              <w:rPr>
                <w:b/>
              </w:rPr>
              <w:t>year annual avg. growth</w:t>
            </w:r>
          </w:p>
        </w:tc>
      </w:tr>
      <w:tr w:rsidR="00615C92" w:rsidRPr="00B0157E" w14:paraId="0E18DB69" w14:textId="77777777">
        <w:tc>
          <w:tcPr>
            <w:tcW w:w="717" w:type="dxa"/>
          </w:tcPr>
          <w:p w14:paraId="7C834CA1" w14:textId="77777777" w:rsidR="00615C92" w:rsidRPr="00B0157E" w:rsidRDefault="00615C92" w:rsidP="007C5545">
            <w:pPr>
              <w:pStyle w:val="02Tabletext"/>
              <w:spacing w:after="20"/>
            </w:pPr>
            <w:r w:rsidRPr="00B0157E">
              <w:rPr>
                <w:szCs w:val="18"/>
              </w:rPr>
              <w:t>14100</w:t>
            </w:r>
          </w:p>
        </w:tc>
        <w:tc>
          <w:tcPr>
            <w:tcW w:w="4119" w:type="dxa"/>
          </w:tcPr>
          <w:p w14:paraId="541FB559" w14:textId="77777777" w:rsidR="00615C92" w:rsidRPr="00B0157E" w:rsidRDefault="00615C92" w:rsidP="007C5545">
            <w:pPr>
              <w:pStyle w:val="02Tabletext"/>
              <w:spacing w:after="20"/>
            </w:pPr>
            <w:r w:rsidRPr="00B0157E">
              <w:rPr>
                <w:szCs w:val="18"/>
              </w:rPr>
              <w:t>Laser photocoagulation using laser light within the wave length of 510</w:t>
            </w:r>
            <w:r w:rsidR="008C1127" w:rsidRPr="00B0157E">
              <w:rPr>
                <w:szCs w:val="18"/>
              </w:rPr>
              <w:t>–</w:t>
            </w:r>
            <w:r w:rsidRPr="00B0157E">
              <w:rPr>
                <w:szCs w:val="18"/>
              </w:rPr>
              <w:t>1064nm in the treatment of vascular lesions of the head or neck where abnormality is visible from 3 metres, including any associated consultation, up to a maximum of 6 sessions (including any sessions to which items 14100 to 14118 and 30213 apply) in any 12 month period</w:t>
            </w:r>
            <w:r w:rsidR="000E0E9C" w:rsidRPr="00B0157E">
              <w:rPr>
                <w:szCs w:val="18"/>
              </w:rPr>
              <w:t>.</w:t>
            </w:r>
            <w:r w:rsidRPr="00B0157E">
              <w:rPr>
                <w:szCs w:val="18"/>
              </w:rPr>
              <w:t xml:space="preserve"> (Anaes.)</w:t>
            </w:r>
            <w:r w:rsidR="000854CB" w:rsidRPr="00B0157E">
              <w:rPr>
                <w:szCs w:val="18"/>
              </w:rPr>
              <w:t xml:space="preserve"> [2004]</w:t>
            </w:r>
          </w:p>
        </w:tc>
        <w:tc>
          <w:tcPr>
            <w:tcW w:w="917" w:type="dxa"/>
          </w:tcPr>
          <w:p w14:paraId="5F7CF0B8" w14:textId="77777777" w:rsidR="00615C92" w:rsidRPr="00B0157E" w:rsidRDefault="00615C92" w:rsidP="007C5545">
            <w:pPr>
              <w:pStyle w:val="02Tabletext"/>
              <w:spacing w:after="20"/>
              <w:jc w:val="center"/>
            </w:pPr>
            <w:r w:rsidRPr="00B0157E">
              <w:rPr>
                <w:szCs w:val="18"/>
              </w:rPr>
              <w:t>$152.5</w:t>
            </w:r>
          </w:p>
        </w:tc>
        <w:tc>
          <w:tcPr>
            <w:tcW w:w="997" w:type="dxa"/>
          </w:tcPr>
          <w:p w14:paraId="572BB76E" w14:textId="77777777" w:rsidR="00615C92" w:rsidRPr="00B0157E" w:rsidRDefault="00615C92" w:rsidP="007C5545">
            <w:pPr>
              <w:pStyle w:val="02Tabletext"/>
              <w:spacing w:after="20"/>
              <w:jc w:val="center"/>
            </w:pPr>
            <w:r w:rsidRPr="00B0157E">
              <w:rPr>
                <w:szCs w:val="18"/>
              </w:rPr>
              <w:t>23,881</w:t>
            </w:r>
          </w:p>
        </w:tc>
        <w:tc>
          <w:tcPr>
            <w:tcW w:w="1080" w:type="dxa"/>
          </w:tcPr>
          <w:p w14:paraId="4328E914" w14:textId="77777777" w:rsidR="00615C92" w:rsidRPr="00B0157E" w:rsidRDefault="00615C92" w:rsidP="007C5545">
            <w:pPr>
              <w:pStyle w:val="02Tabletext"/>
              <w:spacing w:after="20"/>
              <w:jc w:val="center"/>
            </w:pPr>
            <w:r w:rsidRPr="00B0157E">
              <w:rPr>
                <w:szCs w:val="18"/>
              </w:rPr>
              <w:t>$3,507,367</w:t>
            </w:r>
          </w:p>
        </w:tc>
        <w:tc>
          <w:tcPr>
            <w:tcW w:w="1196" w:type="dxa"/>
          </w:tcPr>
          <w:p w14:paraId="1382703F" w14:textId="77777777" w:rsidR="00615C92" w:rsidRPr="00B0157E" w:rsidRDefault="00615C92" w:rsidP="007C5545">
            <w:pPr>
              <w:pStyle w:val="02Tabletext"/>
              <w:spacing w:after="20"/>
              <w:jc w:val="center"/>
            </w:pPr>
            <w:r w:rsidRPr="00B0157E">
              <w:t>6.00%</w:t>
            </w:r>
          </w:p>
        </w:tc>
      </w:tr>
      <w:tr w:rsidR="00615C92" w:rsidRPr="00B0157E" w14:paraId="555C76B6" w14:textId="77777777">
        <w:tc>
          <w:tcPr>
            <w:tcW w:w="717" w:type="dxa"/>
          </w:tcPr>
          <w:p w14:paraId="6AA5F94C" w14:textId="77777777" w:rsidR="00615C92" w:rsidRPr="00B0157E" w:rsidRDefault="00615C92" w:rsidP="007C5545">
            <w:pPr>
              <w:pStyle w:val="02Tabletext"/>
              <w:spacing w:after="20"/>
            </w:pPr>
            <w:r w:rsidRPr="00B0157E">
              <w:rPr>
                <w:szCs w:val="18"/>
              </w:rPr>
              <w:t>14106</w:t>
            </w:r>
          </w:p>
        </w:tc>
        <w:tc>
          <w:tcPr>
            <w:tcW w:w="4119" w:type="dxa"/>
          </w:tcPr>
          <w:p w14:paraId="7C59D49D" w14:textId="77777777" w:rsidR="00615C92" w:rsidRPr="00B0157E" w:rsidRDefault="00615C92" w:rsidP="007C5545">
            <w:pPr>
              <w:pStyle w:val="02Tabletext"/>
              <w:spacing w:after="20"/>
            </w:pPr>
            <w:r w:rsidRPr="00B0157E">
              <w:rPr>
                <w:szCs w:val="18"/>
              </w:rPr>
              <w:t>Laser photocoagulation using laser light within the wave length of 510</w:t>
            </w:r>
            <w:r w:rsidR="000E0E9C" w:rsidRPr="00B0157E">
              <w:rPr>
                <w:szCs w:val="18"/>
              </w:rPr>
              <w:t>–</w:t>
            </w:r>
            <w:r w:rsidRPr="00B0157E">
              <w:rPr>
                <w:szCs w:val="18"/>
              </w:rPr>
              <w:t xml:space="preserve">1064nm in the treatment of port wine stains, haemangiomas of infancy, cafe-au-lait macules and naevi of Ota, other than melanocytic naevi (common moles), where the abnormality is visible from 3 metres, including any associated consultation, up to a maximum of 6 sessions (including any sessions to which items 14100 to 14118 and 30213 apply) in any 12 month period </w:t>
            </w:r>
            <w:r w:rsidR="000E4064" w:rsidRPr="00B0157E">
              <w:rPr>
                <w:szCs w:val="18"/>
              </w:rPr>
              <w:t>–</w:t>
            </w:r>
            <w:r w:rsidRPr="00B0157E">
              <w:rPr>
                <w:szCs w:val="18"/>
              </w:rPr>
              <w:t xml:space="preserve"> area of treatment up to 50cm2</w:t>
            </w:r>
            <w:r w:rsidR="00FC4437" w:rsidRPr="00B0157E">
              <w:rPr>
                <w:szCs w:val="18"/>
              </w:rPr>
              <w:t>.</w:t>
            </w:r>
            <w:r w:rsidRPr="00B0157E">
              <w:rPr>
                <w:szCs w:val="18"/>
              </w:rPr>
              <w:t xml:space="preserve"> (Anaes.)</w:t>
            </w:r>
            <w:r w:rsidR="000854CB" w:rsidRPr="00B0157E">
              <w:rPr>
                <w:szCs w:val="18"/>
              </w:rPr>
              <w:t xml:space="preserve"> [2005]</w:t>
            </w:r>
          </w:p>
        </w:tc>
        <w:tc>
          <w:tcPr>
            <w:tcW w:w="917" w:type="dxa"/>
          </w:tcPr>
          <w:p w14:paraId="1D3E7C7B" w14:textId="77777777" w:rsidR="00615C92" w:rsidRPr="00B0157E" w:rsidRDefault="00615C92" w:rsidP="007C5545">
            <w:pPr>
              <w:pStyle w:val="02Tabletext"/>
              <w:spacing w:after="20"/>
              <w:jc w:val="center"/>
            </w:pPr>
            <w:r w:rsidRPr="00B0157E">
              <w:rPr>
                <w:szCs w:val="18"/>
              </w:rPr>
              <w:t>$152.5</w:t>
            </w:r>
            <w:r w:rsidR="00E64210" w:rsidRPr="00B0157E">
              <w:rPr>
                <w:szCs w:val="18"/>
              </w:rPr>
              <w:t>0</w:t>
            </w:r>
          </w:p>
        </w:tc>
        <w:tc>
          <w:tcPr>
            <w:tcW w:w="997" w:type="dxa"/>
          </w:tcPr>
          <w:p w14:paraId="013A2E77" w14:textId="77777777" w:rsidR="00615C92" w:rsidRPr="00B0157E" w:rsidRDefault="00615C92" w:rsidP="007C5545">
            <w:pPr>
              <w:pStyle w:val="02Tabletext"/>
              <w:spacing w:after="20"/>
              <w:jc w:val="center"/>
            </w:pPr>
            <w:r w:rsidRPr="00B0157E">
              <w:rPr>
                <w:szCs w:val="18"/>
              </w:rPr>
              <w:t>2,991</w:t>
            </w:r>
          </w:p>
        </w:tc>
        <w:tc>
          <w:tcPr>
            <w:tcW w:w="1080" w:type="dxa"/>
          </w:tcPr>
          <w:p w14:paraId="30152C0D" w14:textId="77777777" w:rsidR="00615C92" w:rsidRPr="00B0157E" w:rsidRDefault="00615C92" w:rsidP="007C5545">
            <w:pPr>
              <w:pStyle w:val="02Tabletext"/>
              <w:spacing w:after="20"/>
              <w:jc w:val="center"/>
            </w:pPr>
            <w:r w:rsidRPr="00B0157E">
              <w:rPr>
                <w:szCs w:val="18"/>
              </w:rPr>
              <w:t>$470,789</w:t>
            </w:r>
          </w:p>
        </w:tc>
        <w:tc>
          <w:tcPr>
            <w:tcW w:w="1196" w:type="dxa"/>
          </w:tcPr>
          <w:p w14:paraId="3747B7A1" w14:textId="77777777" w:rsidR="00615C92" w:rsidRPr="00B0157E" w:rsidRDefault="0076107F" w:rsidP="007C5545">
            <w:pPr>
              <w:pStyle w:val="02Tabletext"/>
              <w:spacing w:after="20"/>
              <w:jc w:val="center"/>
            </w:pPr>
            <w:r w:rsidRPr="00B0157E">
              <w:t>-1.20%</w:t>
            </w:r>
          </w:p>
        </w:tc>
      </w:tr>
      <w:tr w:rsidR="00615C92" w:rsidRPr="00B0157E" w14:paraId="6FD81809" w14:textId="77777777">
        <w:tc>
          <w:tcPr>
            <w:tcW w:w="717" w:type="dxa"/>
          </w:tcPr>
          <w:p w14:paraId="574316C2" w14:textId="77777777" w:rsidR="00615C92" w:rsidRPr="00B0157E" w:rsidRDefault="0076107F" w:rsidP="007C5545">
            <w:pPr>
              <w:pStyle w:val="02Tabletext"/>
              <w:spacing w:after="20"/>
            </w:pPr>
            <w:r w:rsidRPr="00B0157E">
              <w:rPr>
                <w:szCs w:val="18"/>
              </w:rPr>
              <w:t>14109</w:t>
            </w:r>
          </w:p>
        </w:tc>
        <w:tc>
          <w:tcPr>
            <w:tcW w:w="4119" w:type="dxa"/>
          </w:tcPr>
          <w:p w14:paraId="43CCE6DE" w14:textId="77777777" w:rsidR="00615C92" w:rsidRPr="00B0157E" w:rsidRDefault="00AA63F5" w:rsidP="000145E9">
            <w:pPr>
              <w:pStyle w:val="02Tabletext"/>
              <w:spacing w:after="20"/>
              <w:rPr>
                <w:szCs w:val="18"/>
              </w:rPr>
            </w:pPr>
            <w:r w:rsidRPr="00B0157E">
              <w:rPr>
                <w:szCs w:val="18"/>
              </w:rPr>
              <w:t>“</w:t>
            </w:r>
            <w:r w:rsidR="0076107F" w:rsidRPr="00B0157E">
              <w:rPr>
                <w:szCs w:val="18"/>
              </w:rPr>
              <w:t>area of treatment more than 50cm 2 and up to 100cm 2</w:t>
            </w:r>
            <w:r w:rsidRPr="00B0157E">
              <w:rPr>
                <w:szCs w:val="18"/>
              </w:rPr>
              <w:t>”</w:t>
            </w:r>
            <w:r w:rsidR="007B39DA" w:rsidRPr="00B0157E">
              <w:rPr>
                <w:szCs w:val="18"/>
              </w:rPr>
              <w:t xml:space="preserve"> </w:t>
            </w:r>
            <w:r w:rsidR="000854CB" w:rsidRPr="00B0157E">
              <w:rPr>
                <w:szCs w:val="18"/>
              </w:rPr>
              <w:t>[2004]</w:t>
            </w:r>
          </w:p>
        </w:tc>
        <w:tc>
          <w:tcPr>
            <w:tcW w:w="917" w:type="dxa"/>
          </w:tcPr>
          <w:p w14:paraId="26C1BD0C" w14:textId="77777777" w:rsidR="00615C92" w:rsidRPr="00B0157E" w:rsidRDefault="0076107F" w:rsidP="007C5545">
            <w:pPr>
              <w:pStyle w:val="02Tabletext"/>
              <w:spacing w:after="20"/>
              <w:jc w:val="center"/>
            </w:pPr>
            <w:r w:rsidRPr="00B0157E">
              <w:rPr>
                <w:szCs w:val="18"/>
              </w:rPr>
              <w:t>$187.35</w:t>
            </w:r>
          </w:p>
        </w:tc>
        <w:tc>
          <w:tcPr>
            <w:tcW w:w="997" w:type="dxa"/>
          </w:tcPr>
          <w:p w14:paraId="717E4C80" w14:textId="77777777" w:rsidR="00615C92" w:rsidRPr="00B0157E" w:rsidRDefault="0076107F" w:rsidP="007C5545">
            <w:pPr>
              <w:pStyle w:val="02Tabletext"/>
              <w:spacing w:after="20"/>
              <w:jc w:val="center"/>
            </w:pPr>
            <w:r w:rsidRPr="00B0157E">
              <w:rPr>
                <w:szCs w:val="18"/>
              </w:rPr>
              <w:t>331</w:t>
            </w:r>
          </w:p>
        </w:tc>
        <w:tc>
          <w:tcPr>
            <w:tcW w:w="1080" w:type="dxa"/>
          </w:tcPr>
          <w:p w14:paraId="1549ADDC" w14:textId="77777777" w:rsidR="00615C92" w:rsidRPr="00B0157E" w:rsidRDefault="0076107F" w:rsidP="007C5545">
            <w:pPr>
              <w:pStyle w:val="02Tabletext"/>
              <w:spacing w:after="20"/>
              <w:jc w:val="center"/>
            </w:pPr>
            <w:r w:rsidRPr="00B0157E">
              <w:rPr>
                <w:szCs w:val="18"/>
              </w:rPr>
              <w:t>$74,485</w:t>
            </w:r>
          </w:p>
        </w:tc>
        <w:tc>
          <w:tcPr>
            <w:tcW w:w="1196" w:type="dxa"/>
          </w:tcPr>
          <w:p w14:paraId="469F7F01" w14:textId="77777777" w:rsidR="00615C92" w:rsidRPr="00B0157E" w:rsidRDefault="006A1230" w:rsidP="007C5545">
            <w:pPr>
              <w:pStyle w:val="02Tabletext"/>
              <w:spacing w:after="20"/>
              <w:jc w:val="center"/>
            </w:pPr>
            <w:r w:rsidRPr="00B0157E">
              <w:t>-7.00%</w:t>
            </w:r>
          </w:p>
        </w:tc>
      </w:tr>
      <w:tr w:rsidR="00615C92" w:rsidRPr="00B0157E" w14:paraId="3FCEBA09" w14:textId="77777777">
        <w:trPr>
          <w:trHeight w:val="663"/>
        </w:trPr>
        <w:tc>
          <w:tcPr>
            <w:tcW w:w="717" w:type="dxa"/>
          </w:tcPr>
          <w:p w14:paraId="501F06D5" w14:textId="77777777" w:rsidR="00615C92" w:rsidRPr="00B0157E" w:rsidRDefault="00973FCC" w:rsidP="007C5545">
            <w:pPr>
              <w:pStyle w:val="02Tabletext"/>
              <w:spacing w:after="20"/>
            </w:pPr>
            <w:r w:rsidRPr="00B0157E">
              <w:rPr>
                <w:szCs w:val="18"/>
              </w:rPr>
              <w:t>14112</w:t>
            </w:r>
          </w:p>
        </w:tc>
        <w:tc>
          <w:tcPr>
            <w:tcW w:w="4119" w:type="dxa"/>
          </w:tcPr>
          <w:p w14:paraId="5155F311" w14:textId="77777777" w:rsidR="00AA63F5" w:rsidRPr="00B0157E" w:rsidRDefault="00AA63F5" w:rsidP="000145E9">
            <w:pPr>
              <w:pStyle w:val="02Tabletext"/>
              <w:spacing w:after="20"/>
              <w:rPr>
                <w:szCs w:val="18"/>
              </w:rPr>
            </w:pPr>
            <w:r w:rsidRPr="00B0157E">
              <w:rPr>
                <w:szCs w:val="18"/>
              </w:rPr>
              <w:t>“</w:t>
            </w:r>
            <w:r w:rsidR="00973FCC" w:rsidRPr="00B0157E">
              <w:rPr>
                <w:szCs w:val="18"/>
              </w:rPr>
              <w:t>area of treatment more than 100cm 2 and up to 150cm 2</w:t>
            </w:r>
            <w:r w:rsidRPr="00B0157E">
              <w:rPr>
                <w:szCs w:val="18"/>
              </w:rPr>
              <w:t>”</w:t>
            </w:r>
            <w:r w:rsidR="000145E9" w:rsidRPr="00B0157E">
              <w:rPr>
                <w:szCs w:val="18"/>
              </w:rPr>
              <w:t xml:space="preserve"> </w:t>
            </w:r>
            <w:r w:rsidR="000854CB" w:rsidRPr="00B0157E">
              <w:rPr>
                <w:szCs w:val="18"/>
              </w:rPr>
              <w:t>[2004]</w:t>
            </w:r>
          </w:p>
        </w:tc>
        <w:tc>
          <w:tcPr>
            <w:tcW w:w="917" w:type="dxa"/>
          </w:tcPr>
          <w:p w14:paraId="695ABD46" w14:textId="77777777" w:rsidR="00615C92" w:rsidRPr="00B0157E" w:rsidRDefault="008F5747" w:rsidP="007C5545">
            <w:pPr>
              <w:pStyle w:val="02Tabletext"/>
              <w:spacing w:after="20"/>
              <w:jc w:val="center"/>
            </w:pPr>
            <w:r w:rsidRPr="00B0157E">
              <w:rPr>
                <w:szCs w:val="18"/>
              </w:rPr>
              <w:t>$</w:t>
            </w:r>
            <w:r w:rsidR="00973FCC" w:rsidRPr="00B0157E">
              <w:rPr>
                <w:szCs w:val="18"/>
              </w:rPr>
              <w:t>221.75</w:t>
            </w:r>
          </w:p>
        </w:tc>
        <w:tc>
          <w:tcPr>
            <w:tcW w:w="997" w:type="dxa"/>
          </w:tcPr>
          <w:p w14:paraId="591C080F" w14:textId="77777777" w:rsidR="00615C92" w:rsidRPr="00B0157E" w:rsidRDefault="00973FCC" w:rsidP="007C5545">
            <w:pPr>
              <w:pStyle w:val="02Tabletext"/>
              <w:spacing w:after="20"/>
              <w:jc w:val="center"/>
            </w:pPr>
            <w:r w:rsidRPr="00B0157E">
              <w:rPr>
                <w:szCs w:val="18"/>
              </w:rPr>
              <w:t>146</w:t>
            </w:r>
          </w:p>
        </w:tc>
        <w:tc>
          <w:tcPr>
            <w:tcW w:w="1080" w:type="dxa"/>
          </w:tcPr>
          <w:p w14:paraId="236E1B4A" w14:textId="77777777" w:rsidR="00615C92" w:rsidRPr="00B0157E" w:rsidRDefault="00973FCC" w:rsidP="007C5545">
            <w:pPr>
              <w:pStyle w:val="02Tabletext"/>
              <w:spacing w:after="20"/>
              <w:jc w:val="center"/>
            </w:pPr>
            <w:r w:rsidRPr="00B0157E">
              <w:rPr>
                <w:szCs w:val="18"/>
              </w:rPr>
              <w:t>$38,195</w:t>
            </w:r>
          </w:p>
        </w:tc>
        <w:tc>
          <w:tcPr>
            <w:tcW w:w="1196" w:type="dxa"/>
          </w:tcPr>
          <w:p w14:paraId="5219B8AE" w14:textId="77777777" w:rsidR="00615C92" w:rsidRPr="00B0157E" w:rsidRDefault="00973FCC" w:rsidP="007C5545">
            <w:pPr>
              <w:pStyle w:val="02Tabletext"/>
              <w:spacing w:after="20"/>
              <w:jc w:val="center"/>
            </w:pPr>
            <w:r w:rsidRPr="00B0157E">
              <w:t>-6.20%</w:t>
            </w:r>
          </w:p>
        </w:tc>
      </w:tr>
      <w:tr w:rsidR="00615C92" w:rsidRPr="00B0157E" w14:paraId="73799D62" w14:textId="77777777">
        <w:tc>
          <w:tcPr>
            <w:tcW w:w="717" w:type="dxa"/>
          </w:tcPr>
          <w:p w14:paraId="78C3C867" w14:textId="77777777" w:rsidR="00615C92" w:rsidRPr="00B0157E" w:rsidRDefault="00D34E53" w:rsidP="007C5545">
            <w:pPr>
              <w:pStyle w:val="02Tabletext"/>
              <w:spacing w:after="20"/>
            </w:pPr>
            <w:r w:rsidRPr="00B0157E">
              <w:rPr>
                <w:szCs w:val="18"/>
              </w:rPr>
              <w:t>14115</w:t>
            </w:r>
          </w:p>
        </w:tc>
        <w:tc>
          <w:tcPr>
            <w:tcW w:w="4119" w:type="dxa"/>
          </w:tcPr>
          <w:p w14:paraId="09EC0F28" w14:textId="77777777" w:rsidR="00615C92" w:rsidRPr="00B0157E" w:rsidRDefault="001963D2" w:rsidP="000145E9">
            <w:pPr>
              <w:pStyle w:val="02Tabletext"/>
              <w:spacing w:after="20"/>
            </w:pPr>
            <w:r w:rsidRPr="00B0157E">
              <w:rPr>
                <w:szCs w:val="18"/>
              </w:rPr>
              <w:t>“</w:t>
            </w:r>
            <w:r w:rsidR="00D34E53" w:rsidRPr="00B0157E">
              <w:rPr>
                <w:szCs w:val="18"/>
              </w:rPr>
              <w:t>area of treatment more than 150cm 2 and up to 250cm 2</w:t>
            </w:r>
            <w:r w:rsidRPr="00B0157E">
              <w:rPr>
                <w:szCs w:val="18"/>
              </w:rPr>
              <w:t>”</w:t>
            </w:r>
            <w:r w:rsidR="000145E9" w:rsidRPr="00B0157E">
              <w:rPr>
                <w:szCs w:val="18"/>
              </w:rPr>
              <w:t xml:space="preserve"> </w:t>
            </w:r>
            <w:r w:rsidR="000854CB" w:rsidRPr="00B0157E">
              <w:rPr>
                <w:szCs w:val="18"/>
              </w:rPr>
              <w:t>[2004]</w:t>
            </w:r>
          </w:p>
        </w:tc>
        <w:tc>
          <w:tcPr>
            <w:tcW w:w="917" w:type="dxa"/>
          </w:tcPr>
          <w:p w14:paraId="400E2F33" w14:textId="77777777" w:rsidR="00615C92" w:rsidRPr="00B0157E" w:rsidRDefault="008F5747" w:rsidP="007C5545">
            <w:pPr>
              <w:pStyle w:val="02Tabletext"/>
              <w:spacing w:after="20"/>
              <w:jc w:val="center"/>
            </w:pPr>
            <w:r w:rsidRPr="00B0157E">
              <w:rPr>
                <w:szCs w:val="18"/>
              </w:rPr>
              <w:t>$</w:t>
            </w:r>
            <w:r w:rsidR="00D34E53" w:rsidRPr="00B0157E">
              <w:rPr>
                <w:szCs w:val="18"/>
              </w:rPr>
              <w:t>256.50</w:t>
            </w:r>
          </w:p>
        </w:tc>
        <w:tc>
          <w:tcPr>
            <w:tcW w:w="997" w:type="dxa"/>
          </w:tcPr>
          <w:p w14:paraId="7B357DCF" w14:textId="77777777" w:rsidR="00615C92" w:rsidRPr="00B0157E" w:rsidRDefault="00D34E53" w:rsidP="007C5545">
            <w:pPr>
              <w:pStyle w:val="02Tabletext"/>
              <w:spacing w:after="20"/>
              <w:jc w:val="center"/>
            </w:pPr>
            <w:r w:rsidRPr="00B0157E">
              <w:rPr>
                <w:szCs w:val="18"/>
              </w:rPr>
              <w:t>148</w:t>
            </w:r>
          </w:p>
        </w:tc>
        <w:tc>
          <w:tcPr>
            <w:tcW w:w="1080" w:type="dxa"/>
          </w:tcPr>
          <w:p w14:paraId="4E285693" w14:textId="77777777" w:rsidR="00615C92" w:rsidRPr="00B0157E" w:rsidRDefault="00D34E53" w:rsidP="007C5545">
            <w:pPr>
              <w:pStyle w:val="02Tabletext"/>
              <w:spacing w:after="20"/>
              <w:jc w:val="center"/>
            </w:pPr>
            <w:r w:rsidRPr="00B0157E">
              <w:rPr>
                <w:szCs w:val="18"/>
              </w:rPr>
              <w:t>$48,166</w:t>
            </w:r>
          </w:p>
        </w:tc>
        <w:tc>
          <w:tcPr>
            <w:tcW w:w="1196" w:type="dxa"/>
          </w:tcPr>
          <w:p w14:paraId="7C8E2049" w14:textId="77777777" w:rsidR="00615C92" w:rsidRPr="00B0157E" w:rsidRDefault="00EC785A" w:rsidP="007C5545">
            <w:pPr>
              <w:pStyle w:val="02Tabletext"/>
              <w:spacing w:after="20"/>
              <w:jc w:val="center"/>
            </w:pPr>
            <w:r w:rsidRPr="00B0157E">
              <w:t>-14.10%</w:t>
            </w:r>
          </w:p>
        </w:tc>
      </w:tr>
      <w:tr w:rsidR="00615C92" w:rsidRPr="00B0157E" w14:paraId="29D18E7F" w14:textId="77777777">
        <w:tc>
          <w:tcPr>
            <w:tcW w:w="717" w:type="dxa"/>
          </w:tcPr>
          <w:p w14:paraId="1B97A506" w14:textId="77777777" w:rsidR="00615C92" w:rsidRPr="00B0157E" w:rsidRDefault="001535D6" w:rsidP="007C5545">
            <w:pPr>
              <w:pStyle w:val="02Tabletext"/>
              <w:spacing w:after="20"/>
            </w:pPr>
            <w:r w:rsidRPr="00B0157E">
              <w:rPr>
                <w:szCs w:val="18"/>
              </w:rPr>
              <w:t>14118</w:t>
            </w:r>
          </w:p>
        </w:tc>
        <w:tc>
          <w:tcPr>
            <w:tcW w:w="4119" w:type="dxa"/>
          </w:tcPr>
          <w:p w14:paraId="23A2AABA" w14:textId="77777777" w:rsidR="001963D2" w:rsidRPr="00B0157E" w:rsidRDefault="001963D2" w:rsidP="000145E9">
            <w:pPr>
              <w:pStyle w:val="02Tabletext"/>
              <w:spacing w:after="20"/>
              <w:rPr>
                <w:szCs w:val="18"/>
              </w:rPr>
            </w:pPr>
            <w:r w:rsidRPr="00B0157E">
              <w:rPr>
                <w:szCs w:val="18"/>
              </w:rPr>
              <w:t>“</w:t>
            </w:r>
            <w:r w:rsidR="001535D6" w:rsidRPr="00B0157E">
              <w:rPr>
                <w:szCs w:val="18"/>
              </w:rPr>
              <w:t>area of treatment more than 250cm 2</w:t>
            </w:r>
            <w:r w:rsidRPr="00B0157E">
              <w:rPr>
                <w:szCs w:val="18"/>
              </w:rPr>
              <w:t xml:space="preserve">” </w:t>
            </w:r>
            <w:r w:rsidR="000854CB" w:rsidRPr="00B0157E">
              <w:rPr>
                <w:szCs w:val="18"/>
              </w:rPr>
              <w:t>[2004]</w:t>
            </w:r>
          </w:p>
        </w:tc>
        <w:tc>
          <w:tcPr>
            <w:tcW w:w="917" w:type="dxa"/>
          </w:tcPr>
          <w:p w14:paraId="327C695A" w14:textId="77777777" w:rsidR="00615C92" w:rsidRPr="00B0157E" w:rsidRDefault="008F5747" w:rsidP="007C5545">
            <w:pPr>
              <w:pStyle w:val="02Tabletext"/>
              <w:spacing w:after="20"/>
              <w:jc w:val="center"/>
            </w:pPr>
            <w:r w:rsidRPr="00B0157E">
              <w:rPr>
                <w:szCs w:val="18"/>
              </w:rPr>
              <w:t>$</w:t>
            </w:r>
            <w:r w:rsidR="001535D6" w:rsidRPr="00B0157E">
              <w:rPr>
                <w:szCs w:val="18"/>
              </w:rPr>
              <w:t>325.75</w:t>
            </w:r>
          </w:p>
        </w:tc>
        <w:tc>
          <w:tcPr>
            <w:tcW w:w="997" w:type="dxa"/>
          </w:tcPr>
          <w:p w14:paraId="69E27BFB" w14:textId="77777777" w:rsidR="00615C92" w:rsidRPr="00B0157E" w:rsidRDefault="001535D6" w:rsidP="007C5545">
            <w:pPr>
              <w:pStyle w:val="02Tabletext"/>
              <w:spacing w:after="20"/>
              <w:jc w:val="center"/>
            </w:pPr>
            <w:r w:rsidRPr="00B0157E">
              <w:rPr>
                <w:szCs w:val="18"/>
              </w:rPr>
              <w:t>148</w:t>
            </w:r>
          </w:p>
        </w:tc>
        <w:tc>
          <w:tcPr>
            <w:tcW w:w="1080" w:type="dxa"/>
          </w:tcPr>
          <w:p w14:paraId="30BB47AB" w14:textId="77777777" w:rsidR="00615C92" w:rsidRPr="00B0157E" w:rsidRDefault="001535D6" w:rsidP="007C5545">
            <w:pPr>
              <w:pStyle w:val="02Tabletext"/>
              <w:spacing w:after="20"/>
              <w:jc w:val="center"/>
            </w:pPr>
            <w:r w:rsidRPr="00B0157E">
              <w:rPr>
                <w:szCs w:val="18"/>
              </w:rPr>
              <w:t>$67,543</w:t>
            </w:r>
          </w:p>
        </w:tc>
        <w:tc>
          <w:tcPr>
            <w:tcW w:w="1196" w:type="dxa"/>
          </w:tcPr>
          <w:p w14:paraId="1BB92BC9" w14:textId="77777777" w:rsidR="00615C92" w:rsidRPr="00B0157E" w:rsidRDefault="001535D6" w:rsidP="007C5545">
            <w:pPr>
              <w:pStyle w:val="02Tabletext"/>
              <w:spacing w:after="20"/>
              <w:jc w:val="center"/>
            </w:pPr>
            <w:r w:rsidRPr="00B0157E">
              <w:t>-1.20%</w:t>
            </w:r>
          </w:p>
        </w:tc>
      </w:tr>
      <w:tr w:rsidR="00615C92" w:rsidRPr="00B0157E" w14:paraId="79571710" w14:textId="77777777">
        <w:tc>
          <w:tcPr>
            <w:tcW w:w="717" w:type="dxa"/>
          </w:tcPr>
          <w:p w14:paraId="675454C2" w14:textId="77777777" w:rsidR="00615C92" w:rsidRPr="00B0157E" w:rsidRDefault="0087021B" w:rsidP="007C5545">
            <w:pPr>
              <w:pStyle w:val="02Tabletext"/>
              <w:spacing w:after="20"/>
            </w:pPr>
            <w:r w:rsidRPr="00B0157E">
              <w:rPr>
                <w:szCs w:val="18"/>
              </w:rPr>
              <w:t>14124</w:t>
            </w:r>
          </w:p>
        </w:tc>
        <w:tc>
          <w:tcPr>
            <w:tcW w:w="4119" w:type="dxa"/>
          </w:tcPr>
          <w:p w14:paraId="29448047" w14:textId="77777777" w:rsidR="00615C92" w:rsidRPr="00B0157E" w:rsidRDefault="0087021B" w:rsidP="00EB5352">
            <w:pPr>
              <w:pStyle w:val="02Tabletext"/>
              <w:spacing w:after="20"/>
            </w:pPr>
            <w:r w:rsidRPr="00B0157E">
              <w:rPr>
                <w:szCs w:val="18"/>
              </w:rPr>
              <w:t>L</w:t>
            </w:r>
            <w:r w:rsidR="00EB5352" w:rsidRPr="00B0157E">
              <w:rPr>
                <w:szCs w:val="18"/>
              </w:rPr>
              <w:t xml:space="preserve">aser photocoagulation </w:t>
            </w:r>
            <w:r w:rsidRPr="00B0157E">
              <w:rPr>
                <w:szCs w:val="18"/>
              </w:rPr>
              <w:t>using laser light within the wave length of 510</w:t>
            </w:r>
            <w:r w:rsidR="00014705" w:rsidRPr="00B0157E">
              <w:rPr>
                <w:szCs w:val="18"/>
              </w:rPr>
              <w:t>–</w:t>
            </w:r>
            <w:r w:rsidRPr="00B0157E">
              <w:rPr>
                <w:szCs w:val="18"/>
              </w:rPr>
              <w:t xml:space="preserve">1064nm in the treatment of haemangiomas of infancy, including any associated consultation </w:t>
            </w:r>
            <w:r w:rsidR="000D0189" w:rsidRPr="00B0157E">
              <w:rPr>
                <w:szCs w:val="18"/>
              </w:rPr>
              <w:t>–</w:t>
            </w:r>
            <w:r w:rsidRPr="00B0157E">
              <w:rPr>
                <w:szCs w:val="18"/>
              </w:rPr>
              <w:t xml:space="preserve"> where a 7th or subsequent session (including any sessions to which items 14100 to 14118 and 30213 apply) is indicated in a 12 month period</w:t>
            </w:r>
            <w:r w:rsidR="00E575D8" w:rsidRPr="00B0157E">
              <w:rPr>
                <w:szCs w:val="18"/>
              </w:rPr>
              <w:t>.</w:t>
            </w:r>
            <w:r w:rsidR="000854CB" w:rsidRPr="00B0157E">
              <w:rPr>
                <w:szCs w:val="18"/>
              </w:rPr>
              <w:t xml:space="preserve"> [2014]</w:t>
            </w:r>
          </w:p>
        </w:tc>
        <w:tc>
          <w:tcPr>
            <w:tcW w:w="917" w:type="dxa"/>
          </w:tcPr>
          <w:p w14:paraId="43F9E98D" w14:textId="77777777" w:rsidR="00615C92" w:rsidRPr="00B0157E" w:rsidRDefault="008F5747" w:rsidP="007C5545">
            <w:pPr>
              <w:pStyle w:val="02Tabletext"/>
              <w:spacing w:after="20"/>
              <w:jc w:val="center"/>
            </w:pPr>
            <w:r w:rsidRPr="00B0157E">
              <w:rPr>
                <w:szCs w:val="18"/>
              </w:rPr>
              <w:t>$</w:t>
            </w:r>
            <w:r w:rsidR="0087021B" w:rsidRPr="00B0157E">
              <w:rPr>
                <w:szCs w:val="18"/>
              </w:rPr>
              <w:t>152.50</w:t>
            </w:r>
          </w:p>
        </w:tc>
        <w:tc>
          <w:tcPr>
            <w:tcW w:w="997" w:type="dxa"/>
          </w:tcPr>
          <w:p w14:paraId="6581A42E" w14:textId="77777777" w:rsidR="00615C92" w:rsidRPr="00B0157E" w:rsidRDefault="0087021B" w:rsidP="007C5545">
            <w:pPr>
              <w:pStyle w:val="02Tabletext"/>
              <w:spacing w:after="20"/>
              <w:jc w:val="center"/>
            </w:pPr>
            <w:r w:rsidRPr="00B0157E">
              <w:rPr>
                <w:szCs w:val="18"/>
              </w:rPr>
              <w:t>54</w:t>
            </w:r>
          </w:p>
        </w:tc>
        <w:tc>
          <w:tcPr>
            <w:tcW w:w="1080" w:type="dxa"/>
          </w:tcPr>
          <w:p w14:paraId="3984705F" w14:textId="77777777" w:rsidR="00615C92" w:rsidRPr="00B0157E" w:rsidRDefault="0087021B" w:rsidP="007C5545">
            <w:pPr>
              <w:pStyle w:val="02Tabletext"/>
              <w:spacing w:after="20"/>
              <w:jc w:val="center"/>
            </w:pPr>
            <w:r w:rsidRPr="00B0157E">
              <w:rPr>
                <w:szCs w:val="18"/>
              </w:rPr>
              <w:t>$7,345</w:t>
            </w:r>
          </w:p>
        </w:tc>
        <w:tc>
          <w:tcPr>
            <w:tcW w:w="1196" w:type="dxa"/>
          </w:tcPr>
          <w:p w14:paraId="28D7C96D" w14:textId="77777777" w:rsidR="00615C92" w:rsidRPr="00B0157E" w:rsidRDefault="00F43E47" w:rsidP="007C5545">
            <w:pPr>
              <w:pStyle w:val="02Tabletext"/>
              <w:spacing w:after="20"/>
              <w:jc w:val="center"/>
            </w:pPr>
            <w:r w:rsidRPr="00B0157E">
              <w:t>-2.10%</w:t>
            </w:r>
          </w:p>
        </w:tc>
      </w:tr>
    </w:tbl>
    <w:p w14:paraId="1D1CB10F" w14:textId="77777777" w:rsidR="00A16F7D" w:rsidRPr="00B0157E" w:rsidRDefault="00A16F7D" w:rsidP="00A16F7D">
      <w:pPr>
        <w:pStyle w:val="01Tableheaderrow"/>
      </w:pPr>
      <w:r w:rsidRPr="00B0157E">
        <w:t>Some descriptors have been shortened; see Appendix A for complete descriptors</w:t>
      </w:r>
      <w:r w:rsidR="00B77B43" w:rsidRPr="00B0157E">
        <w:t>.</w:t>
      </w:r>
    </w:p>
    <w:p w14:paraId="42E2396C" w14:textId="77777777" w:rsidR="000B75A7" w:rsidRPr="002808A4" w:rsidRDefault="000B75A7" w:rsidP="002808A4">
      <w:pPr>
        <w:pStyle w:val="Heading3"/>
      </w:pPr>
      <w:bookmarkStart w:id="141" w:name="_Toc458774434"/>
      <w:r w:rsidRPr="002808A4">
        <w:t>Item 14100</w:t>
      </w:r>
      <w:bookmarkEnd w:id="141"/>
      <w:r w:rsidRPr="002808A4">
        <w:t xml:space="preserve"> </w:t>
      </w:r>
    </w:p>
    <w:p w14:paraId="7BC1AD83" w14:textId="77777777" w:rsidR="000B75A7" w:rsidRPr="00B0157E" w:rsidRDefault="000B75A7" w:rsidP="00C33ED9">
      <w:pPr>
        <w:rPr>
          <w:b/>
          <w:lang w:val="en-AU"/>
        </w:rPr>
      </w:pPr>
      <w:r w:rsidRPr="00B0157E">
        <w:rPr>
          <w:b/>
          <w:lang w:val="en-AU"/>
        </w:rPr>
        <w:t>Recommendation</w:t>
      </w:r>
      <w:r w:rsidR="00E575D8" w:rsidRPr="00B0157E">
        <w:rPr>
          <w:b/>
          <w:lang w:val="en-AU"/>
        </w:rPr>
        <w:t>s</w:t>
      </w:r>
      <w:r w:rsidRPr="00B0157E">
        <w:rPr>
          <w:b/>
          <w:lang w:val="en-AU"/>
        </w:rPr>
        <w:t xml:space="preserve"> </w:t>
      </w:r>
    </w:p>
    <w:p w14:paraId="502A6D28" w14:textId="77777777" w:rsidR="000B75A7" w:rsidRPr="00B0157E" w:rsidRDefault="000B75A7">
      <w:pPr>
        <w:pStyle w:val="01squarebullet"/>
        <w:rPr>
          <w:b/>
          <w:lang w:val="en-AU"/>
        </w:rPr>
      </w:pPr>
      <w:r w:rsidRPr="00B0157E">
        <w:rPr>
          <w:lang w:val="en-AU"/>
        </w:rPr>
        <w:t xml:space="preserve">Change the item descriptor wording </w:t>
      </w:r>
      <w:r w:rsidR="001900F2" w:rsidRPr="00B0157E">
        <w:rPr>
          <w:lang w:val="en-AU"/>
        </w:rPr>
        <w:t>for</w:t>
      </w:r>
      <w:r w:rsidRPr="00B0157E">
        <w:rPr>
          <w:lang w:val="en-AU"/>
        </w:rPr>
        <w:t xml:space="preserve"> </w:t>
      </w:r>
      <w:r w:rsidR="001900F2" w:rsidRPr="00B0157E">
        <w:rPr>
          <w:lang w:val="en-AU"/>
        </w:rPr>
        <w:t xml:space="preserve">item </w:t>
      </w:r>
      <w:r w:rsidRPr="00B0157E">
        <w:rPr>
          <w:lang w:val="en-AU"/>
        </w:rPr>
        <w:t>14100</w:t>
      </w:r>
      <w:r w:rsidR="00321054" w:rsidRPr="00B0157E">
        <w:rPr>
          <w:lang w:val="en-AU"/>
        </w:rPr>
        <w:t>, replacing</w:t>
      </w:r>
      <w:r w:rsidRPr="00B0157E">
        <w:rPr>
          <w:lang w:val="en-AU"/>
        </w:rPr>
        <w:t xml:space="preserve"> “vascular lesion” </w:t>
      </w:r>
      <w:r w:rsidR="00763259" w:rsidRPr="00B0157E">
        <w:rPr>
          <w:lang w:val="en-AU"/>
        </w:rPr>
        <w:t xml:space="preserve">with </w:t>
      </w:r>
      <w:r w:rsidRPr="00B0157E">
        <w:rPr>
          <w:lang w:val="en-AU"/>
        </w:rPr>
        <w:t>“vascular abnormalities</w:t>
      </w:r>
      <w:r w:rsidR="00256436" w:rsidRPr="00B0157E">
        <w:rPr>
          <w:lang w:val="en-AU"/>
        </w:rPr>
        <w:t>.</w:t>
      </w:r>
      <w:r w:rsidRPr="00B0157E">
        <w:rPr>
          <w:lang w:val="en-AU"/>
        </w:rPr>
        <w:t>”</w:t>
      </w:r>
      <w:r w:rsidR="004A352E">
        <w:rPr>
          <w:lang w:val="en-AU"/>
        </w:rPr>
        <w:t xml:space="preserve"> </w:t>
      </w:r>
    </w:p>
    <w:p w14:paraId="06AA6709" w14:textId="77777777" w:rsidR="000B75A7" w:rsidRPr="00B0157E" w:rsidRDefault="000B75A7">
      <w:pPr>
        <w:pStyle w:val="01squarebullet"/>
        <w:rPr>
          <w:b/>
          <w:lang w:val="en-AU"/>
        </w:rPr>
      </w:pPr>
      <w:r w:rsidRPr="00B0157E">
        <w:rPr>
          <w:lang w:val="en-AU"/>
        </w:rPr>
        <w:t>Change the maximum number of session</w:t>
      </w:r>
      <w:r w:rsidR="006005DA" w:rsidRPr="00B0157E">
        <w:rPr>
          <w:lang w:val="en-AU"/>
        </w:rPr>
        <w:t>s</w:t>
      </w:r>
      <w:r w:rsidRPr="00B0157E">
        <w:rPr>
          <w:lang w:val="en-AU"/>
        </w:rPr>
        <w:t xml:space="preserve"> from </w:t>
      </w:r>
      <w:r w:rsidR="002C6490" w:rsidRPr="00B0157E">
        <w:rPr>
          <w:lang w:val="en-AU"/>
        </w:rPr>
        <w:t>six</w:t>
      </w:r>
      <w:r w:rsidRPr="00B0157E">
        <w:rPr>
          <w:lang w:val="en-AU"/>
        </w:rPr>
        <w:t xml:space="preserve"> to </w:t>
      </w:r>
      <w:r w:rsidR="002C6490" w:rsidRPr="00B0157E">
        <w:rPr>
          <w:lang w:val="en-AU"/>
        </w:rPr>
        <w:t>four</w:t>
      </w:r>
      <w:r w:rsidRPr="00B0157E">
        <w:rPr>
          <w:lang w:val="en-AU"/>
        </w:rPr>
        <w:t xml:space="preserve"> within a 12</w:t>
      </w:r>
      <w:r w:rsidR="002C6490" w:rsidRPr="00B0157E">
        <w:rPr>
          <w:lang w:val="en-AU"/>
        </w:rPr>
        <w:t>-</w:t>
      </w:r>
      <w:r w:rsidRPr="00B0157E">
        <w:rPr>
          <w:lang w:val="en-AU"/>
        </w:rPr>
        <w:t>month period.</w:t>
      </w:r>
    </w:p>
    <w:p w14:paraId="523F6D08" w14:textId="77777777" w:rsidR="000B75A7" w:rsidRPr="00B0157E" w:rsidRDefault="000B75A7">
      <w:pPr>
        <w:pStyle w:val="01squarebullet"/>
        <w:rPr>
          <w:b/>
          <w:lang w:val="en-AU"/>
        </w:rPr>
      </w:pPr>
      <w:r w:rsidRPr="00B0157E">
        <w:rPr>
          <w:lang w:val="en-AU"/>
        </w:rPr>
        <w:t xml:space="preserve">Include </w:t>
      </w:r>
      <w:r w:rsidR="00A20199" w:rsidRPr="00B0157E">
        <w:rPr>
          <w:lang w:val="en-AU"/>
        </w:rPr>
        <w:t xml:space="preserve">a </w:t>
      </w:r>
      <w:r w:rsidRPr="00B0157E">
        <w:rPr>
          <w:lang w:val="en-AU"/>
        </w:rPr>
        <w:t xml:space="preserve">requirement for all laser equipment to be </w:t>
      </w:r>
      <w:r w:rsidR="009B71C1" w:rsidRPr="00B0157E">
        <w:rPr>
          <w:lang w:val="en-AU"/>
        </w:rPr>
        <w:t xml:space="preserve">listed by the </w:t>
      </w:r>
      <w:r w:rsidRPr="00B0157E">
        <w:rPr>
          <w:lang w:val="en-AU"/>
        </w:rPr>
        <w:t>T</w:t>
      </w:r>
      <w:r w:rsidR="009B71C1" w:rsidRPr="00B0157E">
        <w:rPr>
          <w:lang w:val="en-AU"/>
        </w:rPr>
        <w:t>herapeutic Goods Administration (T</w:t>
      </w:r>
      <w:r w:rsidRPr="00B0157E">
        <w:rPr>
          <w:lang w:val="en-AU"/>
        </w:rPr>
        <w:t>GA</w:t>
      </w:r>
      <w:r w:rsidR="009B71C1" w:rsidRPr="00B0157E">
        <w:rPr>
          <w:lang w:val="en-AU"/>
        </w:rPr>
        <w:t>)</w:t>
      </w:r>
      <w:r w:rsidR="00D47440" w:rsidRPr="00B0157E">
        <w:rPr>
          <w:lang w:val="en-AU"/>
        </w:rPr>
        <w:t>.</w:t>
      </w:r>
      <w:r w:rsidRPr="00B0157E">
        <w:rPr>
          <w:lang w:val="en-AU"/>
        </w:rPr>
        <w:t xml:space="preserve"> </w:t>
      </w:r>
    </w:p>
    <w:p w14:paraId="66469E8D" w14:textId="77777777" w:rsidR="000B75A7" w:rsidRPr="00B0157E" w:rsidRDefault="000B75A7">
      <w:pPr>
        <w:pStyle w:val="01squarebullet"/>
        <w:rPr>
          <w:b/>
          <w:lang w:val="en-AU"/>
        </w:rPr>
      </w:pPr>
      <w:r w:rsidRPr="00B0157E">
        <w:rPr>
          <w:lang w:val="en-AU"/>
        </w:rPr>
        <w:t xml:space="preserve">Include use of IPL within the item descriptor, recognising that this recommendation </w:t>
      </w:r>
      <w:r w:rsidR="00D52367" w:rsidRPr="00B0157E">
        <w:rPr>
          <w:lang w:val="en-AU"/>
        </w:rPr>
        <w:t>may</w:t>
      </w:r>
      <w:r w:rsidR="00036CD1" w:rsidRPr="00B0157E">
        <w:rPr>
          <w:lang w:val="en-AU"/>
        </w:rPr>
        <w:t xml:space="preserve"> </w:t>
      </w:r>
      <w:r w:rsidRPr="00B0157E">
        <w:rPr>
          <w:lang w:val="en-AU"/>
        </w:rPr>
        <w:t xml:space="preserve">need </w:t>
      </w:r>
      <w:r w:rsidR="005B43F0" w:rsidRPr="00B0157E">
        <w:rPr>
          <w:lang w:val="en-AU"/>
        </w:rPr>
        <w:t xml:space="preserve">to be evaluated by the </w:t>
      </w:r>
      <w:r w:rsidRPr="00B0157E">
        <w:rPr>
          <w:lang w:val="en-AU"/>
        </w:rPr>
        <w:t>MSAC.</w:t>
      </w:r>
      <w:r w:rsidR="004A352E">
        <w:rPr>
          <w:lang w:val="en-AU"/>
        </w:rPr>
        <w:t xml:space="preserve"> </w:t>
      </w:r>
    </w:p>
    <w:p w14:paraId="3E3D6E79" w14:textId="77777777" w:rsidR="00211EB7" w:rsidRPr="00B0157E" w:rsidRDefault="00170A1F">
      <w:pPr>
        <w:pStyle w:val="01squarebullet"/>
        <w:rPr>
          <w:b/>
          <w:lang w:val="en-AU"/>
        </w:rPr>
      </w:pPr>
      <w:r w:rsidRPr="00B0157E">
        <w:rPr>
          <w:lang w:val="en-AU"/>
        </w:rPr>
        <w:t xml:space="preserve">Include a </w:t>
      </w:r>
      <w:r w:rsidR="00211EB7" w:rsidRPr="00B0157E">
        <w:rPr>
          <w:lang w:val="en-AU"/>
        </w:rPr>
        <w:t xml:space="preserve">requirement for photo evidence to be captured during treatment to </w:t>
      </w:r>
      <w:r w:rsidR="00D04546" w:rsidRPr="00B0157E">
        <w:rPr>
          <w:lang w:val="en-AU"/>
        </w:rPr>
        <w:t xml:space="preserve">assist providers </w:t>
      </w:r>
      <w:r w:rsidR="00365131" w:rsidRPr="00B0157E">
        <w:rPr>
          <w:lang w:val="en-AU"/>
        </w:rPr>
        <w:t xml:space="preserve">with </w:t>
      </w:r>
      <w:r w:rsidR="00211EB7" w:rsidRPr="00B0157E">
        <w:rPr>
          <w:lang w:val="en-AU"/>
        </w:rPr>
        <w:t>document</w:t>
      </w:r>
      <w:r w:rsidR="00365131" w:rsidRPr="00B0157E">
        <w:rPr>
          <w:lang w:val="en-AU"/>
        </w:rPr>
        <w:t>ing</w:t>
      </w:r>
      <w:r w:rsidR="00211EB7" w:rsidRPr="00B0157E">
        <w:rPr>
          <w:lang w:val="en-AU"/>
        </w:rPr>
        <w:t xml:space="preserve"> compliance </w:t>
      </w:r>
      <w:r w:rsidR="00FB401F" w:rsidRPr="00B0157E">
        <w:rPr>
          <w:lang w:val="en-AU"/>
        </w:rPr>
        <w:t xml:space="preserve">with </w:t>
      </w:r>
      <w:r w:rsidR="00211EB7" w:rsidRPr="00B0157E">
        <w:rPr>
          <w:lang w:val="en-AU"/>
        </w:rPr>
        <w:t xml:space="preserve">the item descriptor. </w:t>
      </w:r>
    </w:p>
    <w:p w14:paraId="55C3FD56" w14:textId="77777777" w:rsidR="000B75A7" w:rsidRPr="00B0157E" w:rsidRDefault="000B75A7" w:rsidP="00C33ED9">
      <w:pPr>
        <w:rPr>
          <w:b/>
          <w:lang w:val="en-AU"/>
        </w:rPr>
      </w:pPr>
      <w:r w:rsidRPr="00B0157E">
        <w:rPr>
          <w:b/>
          <w:lang w:val="en-AU"/>
        </w:rPr>
        <w:lastRenderedPageBreak/>
        <w:t>Rationale</w:t>
      </w:r>
    </w:p>
    <w:p w14:paraId="5ADA9CDD" w14:textId="77777777" w:rsidR="000B75A7" w:rsidRPr="00B0157E" w:rsidRDefault="00DC3D10" w:rsidP="00C33ED9">
      <w:pPr>
        <w:rPr>
          <w:lang w:val="en-AU"/>
        </w:rPr>
      </w:pPr>
      <w:r w:rsidRPr="00B0157E">
        <w:rPr>
          <w:lang w:val="en-AU"/>
        </w:rPr>
        <w:t>The r</w:t>
      </w:r>
      <w:r w:rsidR="000B75A7" w:rsidRPr="00B0157E">
        <w:rPr>
          <w:lang w:val="en-AU"/>
        </w:rPr>
        <w:t>ecommendations focus on encouraging best practice and optimal patient care</w:t>
      </w:r>
      <w:r w:rsidR="00B802D6" w:rsidRPr="00B0157E">
        <w:rPr>
          <w:lang w:val="en-AU"/>
        </w:rPr>
        <w:t>.</w:t>
      </w:r>
      <w:r w:rsidR="000B75A7" w:rsidRPr="00B0157E">
        <w:rPr>
          <w:lang w:val="en-AU"/>
        </w:rPr>
        <w:t xml:space="preserve"> </w:t>
      </w:r>
      <w:r w:rsidR="00B802D6" w:rsidRPr="00B0157E">
        <w:rPr>
          <w:lang w:val="en-AU"/>
        </w:rPr>
        <w:t>T</w:t>
      </w:r>
      <w:r w:rsidR="000B75A7" w:rsidRPr="00B0157E">
        <w:rPr>
          <w:lang w:val="en-AU"/>
        </w:rPr>
        <w:t xml:space="preserve">hey </w:t>
      </w:r>
      <w:r w:rsidR="0084426D" w:rsidRPr="00B0157E">
        <w:rPr>
          <w:lang w:val="en-AU"/>
        </w:rPr>
        <w:t xml:space="preserve">are </w:t>
      </w:r>
      <w:r w:rsidR="00345693" w:rsidRPr="00B0157E">
        <w:rPr>
          <w:lang w:val="en-AU"/>
        </w:rPr>
        <w:t>based on the following observations</w:t>
      </w:r>
      <w:r w:rsidR="000B75A7" w:rsidRPr="00B0157E">
        <w:rPr>
          <w:lang w:val="en-AU"/>
        </w:rPr>
        <w:t xml:space="preserve">. </w:t>
      </w:r>
    </w:p>
    <w:p w14:paraId="0FC0B536" w14:textId="77777777" w:rsidR="000B75A7" w:rsidRPr="00B0157E" w:rsidRDefault="00F95FFB">
      <w:pPr>
        <w:pStyle w:val="01squarebullet"/>
        <w:rPr>
          <w:lang w:val="en-AU"/>
        </w:rPr>
      </w:pPr>
      <w:r w:rsidRPr="00B0157E">
        <w:rPr>
          <w:lang w:val="en-AU"/>
        </w:rPr>
        <w:t>“</w:t>
      </w:r>
      <w:r w:rsidR="000B75A7" w:rsidRPr="00B0157E">
        <w:rPr>
          <w:lang w:val="en-AU"/>
        </w:rPr>
        <w:t>Vascular abnormalities</w:t>
      </w:r>
      <w:r w:rsidRPr="00B0157E">
        <w:rPr>
          <w:lang w:val="en-AU"/>
        </w:rPr>
        <w:t>”</w:t>
      </w:r>
      <w:r w:rsidR="000B75A7" w:rsidRPr="00B0157E">
        <w:rPr>
          <w:lang w:val="en-AU"/>
        </w:rPr>
        <w:t xml:space="preserve"> is a clearer description of the required indications </w:t>
      </w:r>
      <w:r w:rsidR="00035080" w:rsidRPr="00B0157E">
        <w:rPr>
          <w:lang w:val="en-AU"/>
        </w:rPr>
        <w:t xml:space="preserve">for </w:t>
      </w:r>
      <w:r w:rsidR="000B75A7" w:rsidRPr="00B0157E">
        <w:rPr>
          <w:lang w:val="en-AU"/>
        </w:rPr>
        <w:t>this item. For example</w:t>
      </w:r>
      <w:r w:rsidR="006005DA" w:rsidRPr="00B0157E">
        <w:rPr>
          <w:lang w:val="en-AU"/>
        </w:rPr>
        <w:t>,</w:t>
      </w:r>
      <w:r w:rsidR="000B75A7" w:rsidRPr="00B0157E">
        <w:rPr>
          <w:lang w:val="en-AU"/>
        </w:rPr>
        <w:t xml:space="preserve"> </w:t>
      </w:r>
      <w:r w:rsidR="00F25780" w:rsidRPr="00B0157E">
        <w:rPr>
          <w:lang w:val="en-AU"/>
        </w:rPr>
        <w:t>“</w:t>
      </w:r>
      <w:r w:rsidR="000B75A7" w:rsidRPr="00B0157E">
        <w:rPr>
          <w:lang w:val="en-AU"/>
        </w:rPr>
        <w:t>vascular abnormality</w:t>
      </w:r>
      <w:r w:rsidR="00F25780" w:rsidRPr="00B0157E">
        <w:rPr>
          <w:lang w:val="en-AU"/>
        </w:rPr>
        <w:t>”</w:t>
      </w:r>
      <w:r w:rsidR="000B75A7" w:rsidRPr="00B0157E">
        <w:rPr>
          <w:lang w:val="en-AU"/>
        </w:rPr>
        <w:t xml:space="preserve"> better reflects </w:t>
      </w:r>
      <w:r w:rsidR="00CB5E7B" w:rsidRPr="00B0157E">
        <w:rPr>
          <w:lang w:val="en-AU"/>
        </w:rPr>
        <w:t xml:space="preserve">the fact </w:t>
      </w:r>
      <w:r w:rsidR="000B75A7" w:rsidRPr="00B0157E">
        <w:rPr>
          <w:lang w:val="en-AU"/>
        </w:rPr>
        <w:t xml:space="preserve">that </w:t>
      </w:r>
      <w:r w:rsidR="003919DB" w:rsidRPr="00B0157E">
        <w:rPr>
          <w:lang w:val="en-AU"/>
        </w:rPr>
        <w:t>r</w:t>
      </w:r>
      <w:r w:rsidR="000B75A7" w:rsidRPr="00B0157E">
        <w:rPr>
          <w:lang w:val="en-AU"/>
        </w:rPr>
        <w:t xml:space="preserve">osacea produces telangiectasia and erythema. </w:t>
      </w:r>
    </w:p>
    <w:p w14:paraId="6EF493CF" w14:textId="77777777" w:rsidR="000B75A7" w:rsidRPr="00B0157E" w:rsidRDefault="00051B61">
      <w:pPr>
        <w:pStyle w:val="01squarebullet"/>
        <w:rPr>
          <w:lang w:val="en-AU"/>
        </w:rPr>
      </w:pPr>
      <w:r w:rsidRPr="00B0157E">
        <w:rPr>
          <w:lang w:val="en-AU"/>
        </w:rPr>
        <w:t>Drawing on the</w:t>
      </w:r>
      <w:r w:rsidR="00490272" w:rsidRPr="00B0157E">
        <w:rPr>
          <w:lang w:val="en-AU"/>
        </w:rPr>
        <w:t xml:space="preserve"> clinical judgement</w:t>
      </w:r>
      <w:r w:rsidRPr="00B0157E">
        <w:rPr>
          <w:lang w:val="en-AU"/>
        </w:rPr>
        <w:t xml:space="preserve"> of its members,</w:t>
      </w:r>
      <w:r w:rsidR="00490272" w:rsidRPr="00B0157E">
        <w:rPr>
          <w:lang w:val="en-AU"/>
        </w:rPr>
        <w:t xml:space="preserve"> the Committee </w:t>
      </w:r>
      <w:r w:rsidR="00723D32" w:rsidRPr="00B0157E">
        <w:rPr>
          <w:lang w:val="en-AU"/>
        </w:rPr>
        <w:t>determined that</w:t>
      </w:r>
      <w:r w:rsidR="009435EB" w:rsidRPr="00B0157E">
        <w:rPr>
          <w:lang w:val="en-AU"/>
        </w:rPr>
        <w:t xml:space="preserve"> no more than</w:t>
      </w:r>
      <w:r w:rsidR="0087074E" w:rsidRPr="00B0157E">
        <w:rPr>
          <w:lang w:val="en-AU"/>
        </w:rPr>
        <w:t xml:space="preserve"> three sessions with</w:t>
      </w:r>
      <w:r w:rsidR="00723D32" w:rsidRPr="00B0157E">
        <w:rPr>
          <w:lang w:val="en-AU"/>
        </w:rPr>
        <w:t xml:space="preserve"> </w:t>
      </w:r>
      <w:r w:rsidR="00490272" w:rsidRPr="00B0157E">
        <w:rPr>
          <w:lang w:val="en-AU"/>
        </w:rPr>
        <w:t>m</w:t>
      </w:r>
      <w:r w:rsidR="000B75A7" w:rsidRPr="00B0157E">
        <w:rPr>
          <w:lang w:val="en-AU"/>
        </w:rPr>
        <w:t xml:space="preserve">odern lasers </w:t>
      </w:r>
      <w:r w:rsidR="00B63034" w:rsidRPr="00B0157E">
        <w:rPr>
          <w:lang w:val="en-AU"/>
        </w:rPr>
        <w:t>are</w:t>
      </w:r>
      <w:r w:rsidR="00443FBB" w:rsidRPr="00B0157E">
        <w:rPr>
          <w:lang w:val="en-AU"/>
        </w:rPr>
        <w:t xml:space="preserve"> required</w:t>
      </w:r>
      <w:r w:rsidR="000B75A7" w:rsidRPr="00B0157E">
        <w:rPr>
          <w:lang w:val="en-AU"/>
        </w:rPr>
        <w:t xml:space="preserve"> to </w:t>
      </w:r>
      <w:r w:rsidR="00C6051A" w:rsidRPr="00B0157E">
        <w:rPr>
          <w:lang w:val="en-AU"/>
        </w:rPr>
        <w:t xml:space="preserve">achieve </w:t>
      </w:r>
      <w:r w:rsidR="000B75A7" w:rsidRPr="00B0157E">
        <w:rPr>
          <w:lang w:val="en-AU"/>
        </w:rPr>
        <w:t xml:space="preserve">maximum reasonable improvement. Allowing </w:t>
      </w:r>
      <w:r w:rsidR="00BC5ADB" w:rsidRPr="00B0157E">
        <w:rPr>
          <w:lang w:val="en-AU"/>
        </w:rPr>
        <w:t>four</w:t>
      </w:r>
      <w:r w:rsidR="000B75A7" w:rsidRPr="00B0157E">
        <w:rPr>
          <w:lang w:val="en-AU"/>
        </w:rPr>
        <w:t xml:space="preserve"> session</w:t>
      </w:r>
      <w:r w:rsidR="006005DA" w:rsidRPr="00B0157E">
        <w:rPr>
          <w:lang w:val="en-AU"/>
        </w:rPr>
        <w:t>s</w:t>
      </w:r>
      <w:r w:rsidR="000B75A7" w:rsidRPr="00B0157E">
        <w:rPr>
          <w:lang w:val="en-AU"/>
        </w:rPr>
        <w:t xml:space="preserve"> provides patients with </w:t>
      </w:r>
      <w:r w:rsidR="00C25FA4" w:rsidRPr="00B0157E">
        <w:rPr>
          <w:lang w:val="en-AU"/>
        </w:rPr>
        <w:t xml:space="preserve">an </w:t>
      </w:r>
      <w:r w:rsidR="000B75A7" w:rsidRPr="00B0157E">
        <w:rPr>
          <w:lang w:val="en-AU"/>
        </w:rPr>
        <w:t xml:space="preserve">opportunity </w:t>
      </w:r>
      <w:r w:rsidR="001B4BDD" w:rsidRPr="00B0157E">
        <w:rPr>
          <w:lang w:val="en-AU"/>
        </w:rPr>
        <w:t xml:space="preserve">to receive </w:t>
      </w:r>
      <w:r w:rsidR="000B75A7" w:rsidRPr="00B0157E">
        <w:rPr>
          <w:lang w:val="en-AU"/>
        </w:rPr>
        <w:t>a maintenance session within the same 12</w:t>
      </w:r>
      <w:r w:rsidR="006D4509" w:rsidRPr="00B0157E">
        <w:rPr>
          <w:lang w:val="en-AU"/>
        </w:rPr>
        <w:t>-</w:t>
      </w:r>
      <w:r w:rsidR="000B75A7" w:rsidRPr="00B0157E">
        <w:rPr>
          <w:lang w:val="en-AU"/>
        </w:rPr>
        <w:t>month period.</w:t>
      </w:r>
    </w:p>
    <w:p w14:paraId="37D75912" w14:textId="77777777" w:rsidR="000B75A7" w:rsidRPr="00B0157E" w:rsidRDefault="000B75A7">
      <w:pPr>
        <w:pStyle w:val="01squarebullet"/>
        <w:rPr>
          <w:lang w:val="en-AU"/>
        </w:rPr>
      </w:pPr>
      <w:r w:rsidRPr="00B0157E">
        <w:rPr>
          <w:lang w:val="en-AU"/>
        </w:rPr>
        <w:t>All laser equipment should be TGA</w:t>
      </w:r>
      <w:r w:rsidR="006005DA" w:rsidRPr="00B0157E">
        <w:rPr>
          <w:lang w:val="en-AU"/>
        </w:rPr>
        <w:t>-</w:t>
      </w:r>
      <w:r w:rsidRPr="00B0157E">
        <w:rPr>
          <w:lang w:val="en-AU"/>
        </w:rPr>
        <w:t>listed</w:t>
      </w:r>
      <w:r w:rsidR="0077435B" w:rsidRPr="00B0157E">
        <w:rPr>
          <w:lang w:val="en-AU"/>
        </w:rPr>
        <w:t>. I</w:t>
      </w:r>
      <w:r w:rsidR="006005DA" w:rsidRPr="00B0157E">
        <w:rPr>
          <w:lang w:val="en-AU"/>
        </w:rPr>
        <w:t xml:space="preserve">nferior low-cost </w:t>
      </w:r>
      <w:r w:rsidRPr="00B0157E">
        <w:rPr>
          <w:lang w:val="en-AU"/>
        </w:rPr>
        <w:t>lasers are increasingly available</w:t>
      </w:r>
      <w:r w:rsidR="00B0100D" w:rsidRPr="00B0157E">
        <w:rPr>
          <w:lang w:val="en-AU"/>
        </w:rPr>
        <w:t>, which</w:t>
      </w:r>
      <w:r w:rsidRPr="00B0157E">
        <w:rPr>
          <w:lang w:val="en-AU"/>
        </w:rPr>
        <w:t xml:space="preserve"> </w:t>
      </w:r>
      <w:r w:rsidR="006005DA" w:rsidRPr="00B0157E">
        <w:rPr>
          <w:lang w:val="en-AU"/>
        </w:rPr>
        <w:t xml:space="preserve">may </w:t>
      </w:r>
      <w:r w:rsidRPr="00B0157E">
        <w:rPr>
          <w:lang w:val="en-AU"/>
        </w:rPr>
        <w:t>lead to poor patient outcomes</w:t>
      </w:r>
      <w:r w:rsidR="002A0D8E" w:rsidRPr="00B0157E">
        <w:rPr>
          <w:lang w:val="en-AU"/>
        </w:rPr>
        <w:t>.</w:t>
      </w:r>
      <w:r w:rsidRPr="00B0157E">
        <w:rPr>
          <w:lang w:val="en-AU"/>
        </w:rPr>
        <w:t xml:space="preserve"> </w:t>
      </w:r>
    </w:p>
    <w:p w14:paraId="5B80DE88" w14:textId="77777777" w:rsidR="000B75A7" w:rsidRPr="00B0157E" w:rsidRDefault="00EE2B13">
      <w:pPr>
        <w:pStyle w:val="01squarebullet"/>
        <w:rPr>
          <w:lang w:val="en-AU"/>
        </w:rPr>
      </w:pPr>
      <w:r w:rsidRPr="00B0157E">
        <w:rPr>
          <w:lang w:val="en-AU"/>
        </w:rPr>
        <w:t xml:space="preserve">The Committee agreed that </w:t>
      </w:r>
      <w:r w:rsidR="000B75A7" w:rsidRPr="00B0157E">
        <w:rPr>
          <w:lang w:val="en-AU"/>
        </w:rPr>
        <w:t>IPL should be included in the item descriptor</w:t>
      </w:r>
      <w:r w:rsidR="00240EBE" w:rsidRPr="00B0157E">
        <w:rPr>
          <w:lang w:val="en-AU"/>
        </w:rPr>
        <w:t>,</w:t>
      </w:r>
      <w:r w:rsidR="000B75A7" w:rsidRPr="00B0157E">
        <w:rPr>
          <w:lang w:val="en-AU"/>
        </w:rPr>
        <w:t xml:space="preserve"> based on clinical judgement and the relevant literature</w:t>
      </w:r>
      <w:r w:rsidR="00E31C1A" w:rsidRPr="00B0157E">
        <w:rPr>
          <w:lang w:val="en-AU"/>
        </w:rPr>
        <w:t>, which confirms</w:t>
      </w:r>
      <w:r w:rsidR="000B75A7" w:rsidRPr="00B0157E">
        <w:rPr>
          <w:lang w:val="en-AU"/>
        </w:rPr>
        <w:t xml:space="preserve"> that it provides equivalent patient care</w:t>
      </w:r>
      <w:r w:rsidR="00A72AAF" w:rsidRPr="00B0157E">
        <w:rPr>
          <w:lang w:val="en-AU"/>
        </w:rPr>
        <w:t>.</w:t>
      </w:r>
      <w:r w:rsidR="00C1346F" w:rsidRPr="00B0157E">
        <w:rPr>
          <w:lang w:val="en-AU"/>
        </w:rPr>
        <w:fldChar w:fldCharType="begin" w:fldLock="1"/>
      </w:r>
      <w:r w:rsidR="00C47315" w:rsidRPr="00B0157E">
        <w:rPr>
          <w:lang w:val="en-AU"/>
        </w:rPr>
        <w:instrText>ADDIN CSL_CITATION { "citationItems" : [ { "id" : "ITEM-1", "itemData" : { "DOI" : "10.1111/dsu.12424", "ISSN" : "15244725", "PMID" : "24495252", "abstract" : "BACKGROUND: The Food and Drug Administration (FDA) has approved intense pulsed light (IPL) devices for the treatment of a variety of benign pigmentary and vascular lesions, but the range of disease amenable to IPL treatment continues to expand, and there are no evidence-based clinical guidelines for its use in FDA-approved and off-label indications. OBJECTIVE: To provide evidence-based recommendations to guide physicians in the application of IPL for the treatment of dermatologic disease. EVIDENCE REVIEW: A literature search of the CENTRAL (1991 to May 6, 2013), EMBASE (1974 to May 6, 2013), and MEDLINE in-process and nonindexed citations and MEDLINE (1964 to present) databases was conducted. Studies that examined the role of IPL in primary dermatologic disease were identified, and multiple independent investigators extracted and synthesized data. Recommendations were based on the highest level of evidence available. FINDINGS: Level 1 evidence was found for the use of IPL for the treatment of melasma, acne vulgaris, and telangiectasia. Level 2 evidence was found for the treatment of lentiginous disease, rosacea, capillary malformations, actinic keratoses, and sebaceous gland hyperplasia. Level 3 or lower evidence was found for the treatment of poikiloderma of Civatte, venous malformations, infantile hemangioma, hypertrophic scars, superficial basal cell carcinoma, and Bowen's disease. CONCLUSIONS: IPL is an effective treatment modality for a growing range of dermatologic disease and in some cases may represent a treatment of choice. It is typically well tolerated. Further high-quality studies are required.", "author" : [ { "dropping-particle" : "", "family" : "Wat", "given" : "Heidi", "non-dropping-particle" : "", "parse-names" : false, "suffix" : "" }, { "dropping-particle" : "", "family" : "Wu", "given" : "Douglas C.", "non-dropping-particle" : "", "parse-names" : false, "suffix" : "" }, { "dropping-particle" : "", "family" : "Rao", "given" : "Jaggi", "non-dropping-particle" : "", "parse-names" : false, "suffix" : "" }, { "dropping-particle" : "", "family" : "Goldman", "given" : "Mitchel P.", "non-dropping-particle" : "", "parse-names" : false, "suffix" : "" } ], "container-title" : "Dermatologic Surgery", "id" : "ITEM-1", "issue" : "4", "issued" : { "date-parts" : [ [ "2014" ] ] }, "page" : "359-377", "title" : "Application of intense pulsed light in the treatment of dermatologic disease: A systematic review", "type" : "article-journal", "volume" : "40" }, "uris" : [ "http://www.mendeley.com/documents/?uuid=00dc96e6-cbb5-4611-a133-bc0e0f27e43d" ] }, { "id" : "ITEM-2", "itemData" : { "DOI" : "10.1002/lsm.20222", "ISSN" : "0196-8092", "PMID" : "16142765", "abstract" : "BACKGROUND AND OBJECTIVES The treatment of photodamaged skin with potassium-titanyl-phosphate (KTP) laser and intense pulsed light (IPL) has been reported in several studies. Each device has strengths and weaknesses; however, patient and device variability have made it difficult to ascertain the optimal device for photorejuvenation. The objective of this study was to obtain a head-to-head comparison of IPL and KTP laser for photorejuvenation. Each patient received one KTP laser treatment on one side of the face and one IPL treatment on the other side. STUDY DESIGN/MATERIALS AND METHODS Seventeen patients with skin types I-IV were accepted into the study based on existence of dyschromias (pigmented and vascular) and/or discrete telangiectases. After performance of test spots on each patient to determine optimal settings for both devices, patients were treated with both devices in a split face manner. Evaluations and photographs were performed 1 week and 1 month after treatment. Patient and observer evaluations of results were recorded, as well as time to perform each treatment, and patient feedback with regard to pain and edema. No anesthesia was used in these treatments. Photographs were reviewed by a panel of blinded observers to assess changes in red and brown dyschromias. RESULTS One month average improvement (evaluator) for IPL side was (mean) 38.16%/35.08% for vascular/pigment lesions versus 41.99%/30.21% for KTP side. Patient self-evaluated global improvement at 1 month was (mean) 65.59% for IPL side versus 60.88% for KTP side. A majority of patients found the KTP to be slightly more painful with a mean pain rating of 5.27 of 10 versus 4.4 of 10 for IPL. A majority of patients experienced subjectively greater post-procedure swelling on the KTP side. Time to conduct treatment was an average of 10.0 minutes for IPL, 8.7 minutes for KTP. CONCLUSIONS Both large spot KTP and IPL achieved marked improvement in vascular and pigmented lesions in one session. The KTP laser caused slightly more discomfort and edema than the IPL. On the other hand, the KTP laser was faster, and more ergonomically flexible.", "author" : [ { "dropping-particle" : "", "family" : "Butler", "given" : "E George", "non-dropping-particle" : "", "parse-names" : false, "suffix" : "" }, { "dropping-particle" : "", "family" : "McClellan", "given" : "Scott D", "non-dropping-particle" : "", "parse-names" : false, "suffix" : "" }, { "dropping-particle" : "", "family" : "Ross", "given" : "E Victor", "non-dropping-particle" : "", "parse-names" : false, "suffix" : "" } ], "container-title" : "Lasers in surgery and medicine", "id" : "ITEM-2", "issue" : "2", "issued" : { "date-parts" : [ [ "2006", "2" ] ] }, "page" : "124-8", "title" : "Split treatment of photodamaged skin with KTP 532 nm laser with 10 mm handpiece versus IPL: a cheek-to-cheek comparison.", "type" : "article-journal", "volume" : "38" }, "uris" : [ "http://www.mendeley.com/documents/?uuid=f8f8e8b7-cd5b-3284-ae9b-524ce95abb9e" ] }, { "id" : "ITEM-3", "itemData" : { "DOI" : "10.1093/rheumatology/keu006", "ISSN" : "1462-0332", "PMID" : "24625502", "abstract" : "OBJECTIVE Cutaneous telangiectases are a characteristic and psychologically distressing feature of SSc. Our aim was to assess the efficacy of two light-based treatments: pulsed dye laser (PDL) and intense pulsed light (IPL). METHODS Nineteen patients with facial or upper limb telangiectases underwent three treatments with PDL and IPL (randomly assigned to left- and right-sided lesions). Outcome measures were clinical photography (assessed by two clinicians), dermoscopy (assessed by two observers), laser Doppler imaging (LDI) and observer and patient opinion, including patient self-assessment psychological questionnaires [Hospital Anxiety and Depression Scale (HADS), Adapted Satisfaction with Appearance Scale (ASWAP)]. RESULTS Comparison between 16-week follow-up and baseline photography scores (from -2 to +2 on a Likert scale, with &gt;0 being improvement) were a mean score for PDL of 1.7 (95% CI 1.4, 2.0) and for IPL 1.4 (0.9, 1.8), with a mean difference between PDL and IPL of -0.3 (-0.5, -0.1) (P = 0.01). Dermoscopy scores also improved with both therapies: PDL 1.3 (1.1, 1.5) and IPL 0.8 (0.5, 1.1), again greater with PDL (P = 0.01). LDI showed decreases in blood flow at 16 weeks, indicating a response to both therapies. All patients reported benefit from treatment (more preferred PDL at 16 weeks). Psychological questionnaires also indicated improvement after therapy with mean change in ASWAP of -13.9 (95% CI -20.5, -7.4). No side effects were reported for IPL; PDL caused transient bruising in most cases. CONCLUSION Both PDL and IPL are effective treatments for SSc-related telangiectases. Outcome measures indicate that PDL has better outcomes in terms of appearance, although IPL had fewer side effects.", "author" : [ { "dropping-particle" : "", "family" : "Dinsdale", "given" : "Graham", "non-dropping-particle" : "", "parse-names" : false, "suffix" : "" }, { "dropping-particle" : "", "family" : "Murray", "given" : "Andrea", "non-dropping-particle" : "", "parse-names" : false, "suffix" : "" }, { "dropping-particle" : "", "family" : "Moore", "given" : "Tonia", "non-dropping-particle" : "", "parse-names" : false, "suffix" : "" }, { "dropping-particle" : "", "family" : "Ferguson", "given" : "Janice", "non-dropping-particle" : "", "parse-names" : false, "suffix" : "" }, { "dropping-particle" : "", "family" : "Wilkinson", "given" : "Jack", "non-dropping-particle" : "", "parse-names" : false, "suffix" : "" }, { "dropping-particle" : "", "family" : "Richards", "given" : "Helen", "non-dropping-particle" : "", "parse-names" : false, "suffix" : "" }, { "dropping-particle" : "", "family" : "Griffiths", "given" : "Christopher E M", "non-dropping-particle" : "", "parse-names" : false, "suffix" : "" }, { "dropping-particle" : "", "family" : "Herrick", "given" : "Ariane L", "non-dropping-particle" : "", "parse-names" : false, "suffix" : "" } ], "container-title" : "Rheumatology (Oxford, England)", "id" : "ITEM-3", "issue" : "8", "issued" : { "date-parts" : [ [ "2014", "8" ] ] }, "page" : "1422-30", "title" : "A comparison of intense pulsed light and laser treatment of telangiectases in patients with systemic sclerosis: a within-subject randomized trial.", "type" : "article-journal", "volume" : "53" }, "uris" : [ "http://www.mendeley.com/documents/?uuid=a3f96c6d-01c6-3d40-aee4-27dbae5cdcbf" ] }, { "id" : "ITEM-4", "itemData" : { "abstract" : "AbstractBeh\u00e7et's disease (BD) is a chronic systemic inflammatory disorder of unknown etiology with variable clinical manifestations. HLA-B51 allele is the most strongly associated known genetic factor. The mucocutaneous lesions (oral aphthae, genital aphthae, skin lesions such as pseudofolliculitis) constitute the hallmark of the disease, but also gastrointestinal, vascular, central nervous systems, and others may be involved. We report a case of a young man affected with Beh\u00e7et's disease who presented facial telangiectasias and striae rubra in the inner region of his arms and at the level of his hips, as uncommon minor superficial vascular manifestations of BD. To manage them we have subjected the patient to a cycle of Intense Pulsed Light (IPL) therapy. Our findings showed that the use of IPL is a safe and effective treatment for telangiectasias and striae rubra, also in the complex clinical condition of Beh\u00e7et's disease. In fact, the treatments were well tolerated, no sign of scarring or hyper/hypopigm...", "author" : [ { "dropping-particle" : "", "family" : "Fioramonti", "given" : "Paolo", "non-dropping-particle" : "", "parse-names" : false, "suffix" : "" }, { "dropping-particle" : "", "family" : "Fino", "given" : "Pasquale", "non-dropping-particle" : "", "parse-names" : false, "suffix" : "" }, { "dropping-particle" : "", "family" : "Ponzo", "given" : "Ida", "non-dropping-particle" : "", "parse-names" : false, "suffix" : "" }, { "dropping-particle" : "", "family" : "Ruggieri", "given" : "Martina", "non-dropping-particle" : "", "parse-names" : false, "suffix" : "" }, { "dropping-particle" : "", "family" : "Onesti", "given" : "Maria Giuseppina", "non-dropping-particle" : "", "parse-names" : false, "suffix" : "" } ], "container-title" : "http://dx.doi.org/10.3109/14764172.2013.854634", "id" : "ITEM-4", "issued" : { "date-parts" : [ [ "2013" ] ] }, "publisher" : "Taylor &amp; Francis", "title" : "Intense pulsed light in the treatment of telangiectasias: Case report of Beh\u00e7et's disease with superficial vascular involvement", "type" : "article-journal" }, "uris" : [ "http://www.mendeley.com/documents/?uuid=b56a4094-8393-3bed-8920-b879df89ae63" ] }, { "id" : "ITEM-5", "itemData" : { "DOI" : "10.1097/01.sap.0000196579.14954.d6", "ISSN" : "0148-7043", "PMID" : "16432325", "abstract" : "Recently, lasers and light systems are used more for the treatment of vascular lesions due to their noninvasiveness, ease of use, and short recovery time. This side-by-side prospective study compares results, satisfaction, and complications after intense pulsed light (IPL) and Nd:Yag laser treatment of small vascular lesions. Twenty-five patients with telangiectases, leg veins, or cherry angiomas underwent treatment of the same category of lesion in the same area. One year after completing treatment, patients were asked to report their satisfaction level after comparing digital photos before and after treatment; 72% felt they had good to excellent results after Nd:Yag treatment, while only 48% felt the same after IPL. The most common side effect after Nd:Yag was hyperpigmentation. Satisfaction level was significantly higher after Nd:Yag than after IPL. Patients with telangiectases, cherry angiomas, or leg veins &lt;1 mm were more satisfied after IPL, while those with leg veins &gt;1 mm were more satisfied after Nd:Yag. Overall, satisfaction with treatment of vascular lesions was greater with Nd:Yag although this method was more painful.", "author" : [ { "dropping-particle" : "", "family" : "Fodor", "given" : "Lucian", "non-dropping-particle" : "", "parse-names" : false, "suffix" : "" }, { "dropping-particle" : "", "family" : "Ramon", "given" : "Ytzhack", "non-dropping-particle" : "", "parse-names" : false, "suffix" : "" }, { "dropping-particle" : "", "family" : "Fodor", "given" : "Adriana", "non-dropping-particle" : "", "parse-names" : false, "suffix" : "" }, { "dropping-particle" : "", "family" : "Carmi", "given" : "Nurit", "non-dropping-particle" : "", "parse-names" : false, "suffix" : "" }, { "dropping-particle" : "", "family" : "Peled", "given" : "Isaac J", "non-dropping-particle" : "", "parse-names" : false, "suffix" : "" }, { "dropping-particle" : "", "family" : "Ullmann", "given" : "Yehuda", "non-dropping-particle" : "", "parse-names" : false, "suffix" : "" } ], "container-title" : "Annals of plastic surgery", "id" : "ITEM-5", "issue" : "2", "issued" : { "date-parts" : [ [ "2006", "2" ] ] }, "page" : "164-70", "title" : "A side-by-side prospective study of intense pulsed light and Nd:YAG laser treatment for vascular lesions.", "type" : "article-journal", "volume" : "56" }, "uris" : [ "http://www.mendeley.com/documents/?uuid=0ee33375-517c-3470-8e75-fbbf1da3e991" ] }, { "id" : "ITEM-6", "itemData" : { "DOI" : "10.3109/14764172.2011.613480", "ISSN" : "1476-4180", "PMID" : "21848421", "abstract" : "UNLABELLED Abstract Background: Rosacea is a chronic disease that affects the aesthetic appearance of skin. The use of intense pulsed light (IPL) has shown significant clearing in erythema, telangiectasia, and papules in rosacea. We seek parameters for IPL that will achieve optimal reduction in the appearance of rosacea with minimal adverse effects. OBJECTIVE To investigate the use of IPL on 102 patients at various parameters (fluence and pulse duration) in the treatment of rosacea. METHODS 102 patients with mild to severe rosacea were treated with IPL treatment using the NaturaLight IPL system (Focus Medical, Bethel, CT). Patients received treatments at 1-3 week intervals, with an average of 7.2 treatments. The Reveal Imager (Canfield Scientific, Fairfield, NJ) was used for photodocumentation and analyses. RESULTS Treatments were given at 2.5/5 ms double, triple, or quadruple pulsed with 20-30 ms delay time. A 530 nm filter was used with fluences varying from 10-30 J/cm(2), or 10-20 J/cm(2) with a 420 nm filter for those patients with acneiform breakouts in addition to telangiectasias. 80% of patients had reduction in redness, 78% of patients reported reduced flushing and improved skin texture, and 72% noted fewer acneiform breakouts. There were no complications or adverse effects. CONCLUSION The use of IPL at specified parameters provides optimal therapy for the treatment of rosacea.", "author" : [ { "dropping-particle" : "", "family" : "Kassir", "given" : "Ramtin", "non-dropping-particle" : "", "parse-names" : false, "suffix" : "" }, { "dropping-particle" : "", "family" : "Kolluru", "given" : "Aparanjita", "non-dropping-particle" : "", "parse-names" : false, "suffix" : "" }, { "dropping-particle" : "", "family" : "Kassir", "given" : "Martin", "non-dropping-particle" : "", "parse-names" : false, "suffix" : "" } ], "container-title" : "Journal of cosmetic and laser therapy : official publication of the European Society for Laser Dermatology", "id" : "ITEM-6", "issue" : "5", "issued" : { "date-parts" : [ [ "2011", "10" ] ] }, "page" : "216-22", "title" : "Intense pulsed light for the treatment of rosacea and telangiectasias.", "type" : "article-journal", "volume" : "13" }, "uris" : [ "http://www.mendeley.com/documents/?uuid=c984d513-2e9f-3377-9d45-f3718e81caa6" ] }, { "id" : "ITEM-7", "itemData" : { "DOI" : "10.1111/j.1365-2133.2009.09104.x", "ISSN" : "1365-2133", "PMID" : "19309367", "abstract" : "BACKGROUND Chronic radiodermatitis is a common sequela of treatment for breast cancer and potentially a psychologically distressing factor for the affected women. OBJECTIVES To evaluate the efficacy and adverse effects of treatments with a long-pulsed dye laser (LPDL) vs. intense pulsed light (IPL) in a randomized split-lesion trial. METHODS Thirteen female volunteers with radiodermatitis and Fitzpatrick skin types II-III were included in the study. Subjects received a series of three treatments at 6-week intervals with half-lesion LPDL (V-beam Perfecta, 595 nm) and half-lesion IPL (Ellipse Flex); the interventions were randomly assigned to left/right or upper/lower halves. Primary end-points were reduction in telangiectasia, patient satisfaction and preferred treatment. Secondary end-points were pain and adverse effects. Efficacy was registered by blinded photographic evaluations 3 months after the final treatment. RESULTS Eleven patients completed the study. Telangiectasia cleared with both treatments but the efficacy of LPDL was superior. Blinded photographic evaluations showed median vessel clearances of 90% (LPDL) and 50% (IPL) (P = 0.01). LPDL treatments were associated with lower pain scores than IPL treatments [median visual analogue scale (VAS) score 4.3 and 6.0, respectively, P &lt; 0.01]. Patients were slightly more satisfied with LPDL (median VAS score 8) than IPL treatments (median VAS score 7; P &lt; 0.05) and more preferred LPDL (n = 9) to IPL (n = 2) (P &lt; 0.01). Two patients withdrew from the study because of hypopigmentation of the IPL treated areas, which slowly repigmented within 1 year. CONCLUSIONS This study was based on two specific laser and IPL devices, and found the LPDL treatment to be advantageous compared with IPL due to superior vessel clearance and less pain.", "author" : [ { "dropping-particle" : "", "family" : "Nymann", "given" : "P", "non-dropping-particle" : "", "parse-names" : false, "suffix" : "" }, { "dropping-particle" : "", "family" : "Hedelund", "given" : "L", "non-dropping-particle" : "", "parse-names" : false, "suffix" : "" }, { "dropping-particle" : "", "family" : "Haedersdal", "given" : "M", "non-dropping-particle" : "", "parse-names" : false, "suffix" : "" } ], "container-title" : "The British journal of dermatology", "id" : "ITEM-7", "issue" : "6", "issued" : { "date-parts" : [ [ "2009", "6" ] ] }, "page" : "1237-41", "title" : "Intense pulsed light vs. long-pulsed dye laser treatment of telangiectasia after radiotherapy for breast cancer: a randomized split-lesion trial of two different treatments.", "type" : "article-journal", "volume" : "160" }, "uris" : [ "http://www.mendeley.com/documents/?uuid=595af5a1-9eb5-3f9c-96f2-e85ccf1c1468" ] }, { "id" : "ITEM-8", "itemData" : { "ISSN" : "1468-3083", "PMID" : "20205349", "abstract" : "OBJECTIVE This study aims to compare the efficacy and adverse effects of long-pulsed dye laser (LPDL) and intense pulsed light (IPL) in the treatment of facial telangiectasias. METHODS We used intra-individual, randomized, controlled trial with split-face treatments and single-blind outcome evaluations in this study. Forty patients with symmetrically located facial telangiectasias received a series of three LPDL (V-beam, 595 nm, Candela Laser Corp.) and three IPL treatments (Ellipse Flex, PR and VL2 applicators, Danish Dermatologic Development) at 6-week intervals. Patients were evaluated 3 months after the final treatment. Outcome measures were clinical efficacy (five-point ordinal scale), pain (10-point numerical scale), adverse effects, patient satisfaction (10-point numerical scale) and preferred treatment. RESULTS Thirty-nine of 40 patients completed the study. All but 2 patients obtained a reduction in facial telangiectasias from both IPL and LPDL treatments. Both treatments were effective with good or excellent response in 30 of 39 patients. The LPDL was superior in the overall reduction of telangiectasias by blinded photographic evaluations: Excellent clearance (75% to 100% vessel clearance) was found in 18 patients treated with LPDL (46%) and in 11 patients treated with IPL (28%) (P = 0.01). Patients experienced less pain from LPDL [4 (2-6)] than IPL treatments [7 (3-9)] (P &lt; 0.001). No adverse effects (hypo-/hyperpigmentation or scarring) were seen from any of the treatments. Patients were satisfied with both LPDL [8 (2-10)] and IPL treatments [7 (2-10)] (P = 0.05). Twenty-five patients preferred the LPDL (64%), 8 patients preferred IPL (21%) and 6 patients had no preference (15%) (P &lt; 0.001). CONCLUSION This study was based on two specific types of laser and IPL equipment, which effectively clear telangiectasias; however, the most beneficial outcome was from the LPDL.", "author" : [ { "dropping-particle" : "", "family" : "Nymann", "given" : "P", "non-dropping-particle" : "", "parse-names" : false, "suffix" : "" }, { "dropping-particle" : "", "family" : "Hedelund", "given" : "L", "non-dropping-particle" : "", "parse-names" : false, "suffix" : "" }, { "dropping-particle" : "", "family" : "Haedersdal", "given" : "M", "non-dropping-particle" : "", "parse-names" : false, "suffix" : "" } ], "container-title" : "Journal of the European Academy of Dermatology and Venereology : JEADV", "id" : "ITEM-8", "issue" : "2", "issued" : { "date-parts" : [ [ "2010", "2" ] ] }, "page" : "143-6", "title" : "Long-pulsed dye laser vs. intense pulsed light for the treatment of facial telangiectasias: a randomized controlled trial.", "type" : "article-journal", "volume" : "24" }, "uris" : [ "http://www.mendeley.com/documents/?uuid=f4cc107c-342e-376f-ae66-3ccfdee85724" ] }, { "id" : "ITEM-9", "itemData" : { "ISSN" : "1076-0512", "PMID" : "16176770", "abstract" : "BACKGROUND AND OBJECTIVE A comparative overview is presented, both theoretical and clinical, for intense pulsed light (IPL) and laser treatment of facial telangiectasias and pigmented lesions. MATERIALS AND METHODS A narrative approach describes light penetration into the epidermis, dermis, dermal-epidermal junction, and facial ectasias. Based on mathematical models, we examine some temperature profiles for monochromatic and broadband light sources. Specifically, temperature elevations of representative vascular targets are discussed. Also, clinical scenarios are reviewed for both IPL and laser. Although multiple monochromatic devices are reviewed, only the 532 and 595 nm wavelengths are emphasized. RESULTS In theory, an IPL can be filtered to simulate 532 and 595 nm laser light in the treatment of telangiectasias and dyschromias. In comparing our experiences with the different devices, all three (IPL, 532 nm laser, and 595 nm laser) are capable of achieving a reduction in ectasias and hyperpigmented macules. CONCLUSIONS With an optimal set of parameters, IPLs and lasers are comparable in the treatment of vascular and pigmented lesions with respect to treatment efficiency and safety.", "author" : [ { "dropping-particle" : "", "family" : "Ross", "given" : "E Victor", "non-dropping-particle" : "", "parse-names" : false, "suffix" : "" }, { "dropping-particle" : "", "family" : "Smirnov", "given" : "Michael", "non-dropping-particle" : "", "parse-names" : false, "suffix" : "" }, { "dropping-particle" : "", "family" : "Pankratov", "given" : "Michael", "non-dropping-particle" : "", "parse-names" : false, "suffix" : "" }, { "dropping-particle" : "", "family" : "Altshuler", "given" : "Gregory", "non-dropping-particle" : "", "parse-names" : false, "suffix" : "" } ], "container-title" : "Dermatologic surgery : official publication for American Society for Dermatologic Surgery [et al.]", "id" : "ITEM-9", "issue" : "9 Pt 2", "issued" : { "date-parts" : [ [ "2005", "9" ] ] }, "page" : "1188-98", "title" : "Intense pulsed light and laser treatment of facial telangiectasias and dyspigmentation: some theoretical and practical comparisons.", "type" : "article-journal", "volume" : "31" }, "uris" : [ "http://www.mendeley.com/documents/?uuid=d1597844-8d1b-3370-9c6d-9219cde4c565" ] }, { "id" : "ITEM-10", "itemData" : { "DOI" : "10.1002/lsm.21151", "ISSN" : "1096-9101", "PMID" : "22180317", "abstract" : "BACKGROUND AND OBJECTIVE Facial telangiectasia and other vascular lesions have historically been effectively treated with the pulsed dye laser (PDL). This study compares the safety and efficacy of the PDL to an intense pulsed-light (IPL) handpiece with dual-band spectral absorption, shorter pulse widths, and constant output power. STUDY DESIGN/MATERIALS AND METHODS Sixteen subjects were enrolled with facial telangiectasia in this single-site study. Subjects were randomized to receive up to two split-face treatments 1 month apart with PDL on one side and IPL on the other. PDL treatments were performed at 595 nm with either a 10 or 7 mm spot at a fluence range of 8.1-14.5 J/cm(2), and either 10 or 40 mseconds pulse width. Zimmer air cooling (setting of 4) and ultrasound gel were used for patient comfort. IPL treatments were performed with a spectral range of 500-670 and 870-1,200 nm, a 10 mm \u00d7 15 mm spot, fluence range of 34-70 J/cm(2), either a 10 or 100 mseconds pulse width, and 5\u00b0C contact cooling. Safety assessments were conducted by the study investigator immediately, 48-96 hours and 1-2 months post-treatment. Independent, blinded-review assessments were conducted 3 months post-treatment. Efficacy was evaluated using a seven-point Telangiectasia Grading Scale (TGS: -1 to 5). Subject self-assessment data were also collected. RESULTS The difference in incidence rate and severity of adverse side effects between the two devices were not statistically significant (P \u2265 0.39, Fisher's exact test) at any of the three evaluation periods. Per blinded-review assessment, the mean TGS score for both devices was 3.3 (IPL 95% CI: 2.8-3.7; PDL 95% CI: 2.9-3.8). The difference in blinded-ratings for the two devices were not statistically significant (P = 0.82, ANOVA for repeated measures). CONCLUSION The IPL studied here successfully treated facial telangiectasia, resulting in equivalent safety and efficacy outcomes as compared to the PDL.", "author" : [ { "dropping-particle" : "", "family" : "Tanghetti", "given" : "Emil A", "non-dropping-particle" : "", "parse-names" : false, "suffix" : "" } ], "container-title" : "Lasers in surgery and medicine", "id" : "ITEM-10", "issue" : "2", "issued" : { "date-parts" : [ [ "2012", "2" ] ] }, "page" : "97-102", "title" : "Split-face randomized treatment of facial telangiectasia comparing pulsed dye laser and an intense pulsed light handpiece.", "type" : "article-journal", "volume" : "44" }, "uris" : [ "http://www.mendeley.com/documents/?uuid=3ae63ee6-6ab2-31ba-b773-b77d7d2df89f" ] }, { "id" : "ITEM-11", "itemData" : { "ISSN" : "2326-6929", "PMID" : "24605343", "abstract" : "The fourth article in this 5-part series reviews physical modalities and devices used to treat cutaneous rosacea based on consensus recommendations from the American Acne &amp; Rosacea Society (AARS) on the management of the common presentations of cutaneous rosacea. The major therapeutic uses of physical modalities and devices, especially laser and light-based systems, are for treatment of telangiectases and persistent facial erythema (background erythema). Phymas, especially rhinophyma, also are treated with physical modalities such as ablative lasers or surgical devices (eg, electrosurgical loop). Appropriately selected and properly used lasers and intense pulsed light (IPL) devices can successfully address specific clinical manifestations of rosacea that exhibit limited or no response to available medical therapies, such as telangiectases and background centrofacial erythema. Rosacea-associated symptoms also may improve. In most cases, treatment will need to be repeated intermittently to sustain improvement.", "author" : [ { "dropping-particle" : "", "family" : "Tanghetti", "given" : "Emil", "non-dropping-particle" : "", "parse-names" : false, "suffix" : "" }, { "dropping-particle" : "", "family" : "Rosso", "given" : "James Q", "non-dropping-particle" : "Del", "parse-names" : false, "suffix" : "" }, { "dropping-particle" : "", "family" : "Thiboutot", "given" : "Diane", "non-dropping-particle" : "", "parse-names" : false, "suffix" : "" }, { "dropping-particle" : "", "family" : "Gallo", "given" : "Richard", "non-dropping-particle" : "", "parse-names" : false, "suffix" : "" }, { "dropping-particle" : "", "family" : "Webster", "given" : "Guy", "non-dropping-particle" : "", "parse-names" : false, "suffix" : "" }, { "dropping-particle" : "", "family" : "Eichenfield", "given" : "Lawrence F", "non-dropping-particle" : "", "parse-names" : false, "suffix" : "" }, { "dropping-particle" : "", "family" : "Stein-Gold", "given" : "Linda", "non-dropping-particle" : "", "parse-names" : false, "suffix" : "" }, { "dropping-particle" : "", "family" : "Berson", "given" : "Diane", "non-dropping-particle" : "", "parse-names" : false, "suffix" : "" }, { "dropping-particle" : "", "family" : "Zaenglein", "given" : "Andrea", "non-dropping-particle" : "", "parse-names" : false, "suffix" : "" }, { "dropping-particle" : "", "family" : "American Acne &amp; Rosacea Society", "given" : "", "non-dropping-particle" : "", "parse-names" : false, "suffix" : "" } ], "container-title" : "Cutis", "id" : "ITEM-11", "issue" : "2", "issued" : { "date-parts" : [ [ "2014", "2" ] ] }, "page" : "71-6", "title" : "Consensus recommendations from the American acne &amp;amp; rosacea society on the management of rosacea, part 4: a status report on physical modalities and devices.", "type" : "article-journal", "volume" : "93" }, "uris" : [ "http://www.mendeley.com/documents/?uuid=fcbbba27-d41a-3b07-8bf4-841cae2bd95f" ] }, { "id" : "ITEM-12", "itemData" : { "DOI" : "10.1111/dsu.12424", "ISSN" : "1524-4725", "PMID" : "24495252", "abstract" : "BACKGROUND The Food and Drug Administration (FDA) has approved intense pulsed light (IPL) devices for the treatment of a variety of benign pigmentary and vascular lesions, but the range of disease amenable to IPL treatment continues to expand, and there are no evidence-based clinical guidelines for its use in FDA-approved and off-label indications. OBJECTIVE To provide evidence-based recommendations to guide physicians in the application of IPL for the treatment of dermatologic disease. EVIDENCE REVIEW A literature search of the CENTRAL (1991 to May 6, 2013), EMBASE (1974 to May 6, 2013), and MEDLINE in-process and nonindexed citations and MEDLINE (1964 to present) databases was conducted. Studies that examined the role of IPL in primary dermatologic disease were identified, and multiple independent investigators extracted and synthesized data. Recommendations were based on the highest level of evidence available. FINDINGS Level 1 evidence was found for the use of IPL for the treatment of melasma, acne vulgaris, and telangiectasia. Level 2 evidence was found for the treatment of lentiginous disease, rosacea, capillary malformations, actinic keratoses, and sebaceous gland hyperplasia. Level 3 or lower evidence was found for the treatment of poikiloderma of Civatte, venous malformations, infantile hemangioma, hypertrophic scars, superficial basal cell carcinoma, and Bowen's disease. CONCLUSIONS IPL is an effective treatment modality for a growing range of dermatologic disease and in some cases may represent a treatment of choice. It is typically well tolerated. Further high-quality studies are required.", "author" : [ { "dropping-particle" : "", "family" : "Wat", "given" : "Heidi", "non-dropping-particle" : "", "parse-names" : false, "suffix" : "" }, { "dropping-particle" : "", "family" : "Wu", "given" : "Douglas C", "non-dropping-particle" : "", "parse-names" : false, "suffix" : "" }, { "dropping-particle" : "", "family" : "Rao", "given" : "Jaggi", "non-dropping-particle" : "", "parse-names" : false, "suffix" : "" }, { "dropping-particle" : "", "family" : "Goldman", "given" : "Mitchel P", "non-dropping-particle" : "", "parse-names" : false, "suffix" : "" } ], "container-title" : "Dermatologic surgery : official publication for American Society for Dermatologic Surgery [et al.]", "id" : "ITEM-12", "issue" : "4", "issued" : { "date-parts" : [ [ "2014", "4" ] ] }, "page" : "359-77", "title" : "Application of intense pulsed light in the treatment of dermatologic disease: a systematic review.", "type" : "article-journal", "volume" : "40" }, "uris" : [ "http://www.mendeley.com/documents/?uuid=0f068ec3-296f-377d-ade8-d1115ebc017c" ] }, { "id" : "ITEM-13", "itemData" : { "DOI" : "10.1002/lsm.21032", "ISSN" : "1096-9101", "PMID" : "21384389", "abstract" : "BACKGROUND AND OBJECTIVE An arc lamp-based device providing optimized spectrum and pulse shape was characterized and compared with two pulsed dye laser (PDL) systems using a vascular phantom. Safety and effectiveness for facial telangiectasia are presented in clinical case studies. STUDY DESIGN/MATERIALS AND METHODS An optimized pulsed light source's (OPL) spectral and power output were characterized and compared with two 595\u2009nm PDL devices. Purpuric threshold fluences were determined for the OPL and PDLs on Fitzpatrick type II normal skin. A vascular phantom comprising blood-filled quartz capillaries beneath porcine skin was treated by the devices at their respective purpuric threshold fluences for 3\u2009ms pulse widths, while vessel temperatures were monitored with an infrared (IR) camera. Patients with Fitzpatrick skin types II-III received a split-face treatment with the OPL and a 595\u2009nm PDL. RESULTS The OPL provided a dual-band output spectrum from 500 to 670\u2009nm and 850-1,200\u2009nm, pulse widths from 3 to 100\u2009ms, and fluences to 80\u2009J/cm(2). The smooth output power measured during all pulse widths provides unambiguous vessel size selectivity. Percent energy in the near infra-red increased with decreasing output power from 45% to 60% and contributed 15-26% to heating of deep vessels, respectively. At purpuric threshold fluences the ratio of OPL to PDL vessel temperature rise was 1.7-2.8. OPL treatments of facial telangiectasia were well-tolerated by patients demonstrating significant improvements comparable to PDL with no downtime. CONCLUSIONS Intense pulsed light (IPL) and PDL output pulse and spectral profiles are important for selective treatment of vessels in vascular lesions. The OPL's margin between purpuric threshold fluence and treatment fluence for deeper, larger vessels was greater than the corresponding margin with PDLs. The results warrant further comparison studies with IPLs and other PDLs.", "author" : [ { "dropping-particle" : "", "family" : "Weiss", "given" : "Robert A", "non-dropping-particle" : "", "parse-names" : false, "suffix" : "" }, { "dropping-particle" : "", "family" : "Ross", "given" : "E Victor", "non-dropping-particle" : "", "parse-names" : false, "suffix" : "" }, { "dropping-particle" : "", "family" : "Tanghetti", "given" : "Emil A", "non-dropping-particle" : "", "parse-names" : false, "suffix" : "" }, { "dropping-particle" : "", "family" : "Vasily", "given" : "David B", "non-dropping-particle" : "", "parse-names" : false, "suffix" : "" }, { "dropping-particle" : "", "family" : "Childs", "given" : "James J", "non-dropping-particle" : "", "parse-names" : false, "suffix" : "" }, { "dropping-particle" : "", "family" : "Smirnov", "given" : "Mikhail Z", "non-dropping-particle" : "", "parse-names" : false, "suffix" : "" }, { "dropping-particle" : "", "family" : "Altshuler", "given" : "Gregory B", "non-dropping-particle" : "", "parse-names" : false, "suffix" : "" } ], "container-title" : "Lasers in surgery and medicine", "id" : "ITEM-13", "issue" : "2", "issued" : { "date-parts" : [ [ "2011", "2" ] ] }, "page" : "92-8", "title" : "Characterization of an optimized light source and comparison to pulsed dye laser for superficial and deep vessel clearance.", "type" : "article-journal", "volume" : "43" }, "uris" : [ "http://www.mendeley.com/documents/?uuid=83b03f51-7ec7-3f8a-bd7d-ac03cf6ecb95" ] } ], "mendeley" : { "formattedCitation" : "[23]\u2013[35]", "plainTextFormattedCitation" : "[23]\u2013[35]", "previouslyFormattedCitation" : "[23]\u2013[35]" }, "properties" : { "noteIndex" : 0 }, "schema" : "https://github.com/citation-style-language/schema/raw/master/csl-citation.json" }</w:instrText>
      </w:r>
      <w:r w:rsidR="00C1346F" w:rsidRPr="00B0157E">
        <w:rPr>
          <w:lang w:val="en-AU"/>
        </w:rPr>
        <w:fldChar w:fldCharType="separate"/>
      </w:r>
      <w:r w:rsidR="00010550" w:rsidRPr="00B0157E">
        <w:rPr>
          <w:lang w:val="en-AU"/>
        </w:rPr>
        <w:t>[23]–[35]</w:t>
      </w:r>
      <w:r w:rsidR="00C1346F" w:rsidRPr="00B0157E">
        <w:rPr>
          <w:lang w:val="en-AU"/>
        </w:rPr>
        <w:fldChar w:fldCharType="end"/>
      </w:r>
      <w:r w:rsidR="00E46C4C" w:rsidRPr="00B0157E">
        <w:rPr>
          <w:lang w:val="en-AU"/>
        </w:rPr>
        <w:t xml:space="preserve"> </w:t>
      </w:r>
    </w:p>
    <w:p w14:paraId="79E5DCD2" w14:textId="77777777" w:rsidR="00211EB7" w:rsidRPr="00B0157E" w:rsidRDefault="00211EB7">
      <w:pPr>
        <w:pStyle w:val="01squarebullet"/>
        <w:rPr>
          <w:lang w:val="en-AU"/>
        </w:rPr>
      </w:pPr>
      <w:r w:rsidRPr="00B0157E">
        <w:rPr>
          <w:lang w:val="en-AU"/>
        </w:rPr>
        <w:t xml:space="preserve">The </w:t>
      </w:r>
      <w:r w:rsidR="00C9724F" w:rsidRPr="00B0157E">
        <w:rPr>
          <w:lang w:val="en-AU"/>
        </w:rPr>
        <w:t>Department</w:t>
      </w:r>
      <w:r w:rsidR="005A4113" w:rsidRPr="00B0157E">
        <w:rPr>
          <w:lang w:val="en-AU"/>
        </w:rPr>
        <w:t xml:space="preserve"> informed the </w:t>
      </w:r>
      <w:r w:rsidRPr="00B0157E">
        <w:rPr>
          <w:lang w:val="en-AU"/>
        </w:rPr>
        <w:t xml:space="preserve">Committee </w:t>
      </w:r>
      <w:r w:rsidR="007807F6" w:rsidRPr="00B0157E">
        <w:rPr>
          <w:lang w:val="en-AU"/>
        </w:rPr>
        <w:t>that</w:t>
      </w:r>
      <w:r w:rsidRPr="00B0157E">
        <w:rPr>
          <w:lang w:val="en-AU"/>
        </w:rPr>
        <w:t xml:space="preserve"> </w:t>
      </w:r>
      <w:r w:rsidR="00240AA8" w:rsidRPr="00B0157E">
        <w:rPr>
          <w:lang w:val="en-AU"/>
        </w:rPr>
        <w:t xml:space="preserve">providers </w:t>
      </w:r>
      <w:r w:rsidR="00616686" w:rsidRPr="00B0157E">
        <w:rPr>
          <w:lang w:val="en-AU"/>
        </w:rPr>
        <w:t xml:space="preserve">must </w:t>
      </w:r>
      <w:r w:rsidR="0063114D" w:rsidRPr="00B0157E">
        <w:rPr>
          <w:lang w:val="en-AU"/>
        </w:rPr>
        <w:t xml:space="preserve">produce </w:t>
      </w:r>
      <w:r w:rsidR="003564D2" w:rsidRPr="00B0157E">
        <w:rPr>
          <w:lang w:val="en-AU"/>
        </w:rPr>
        <w:t xml:space="preserve">evidence that they are compliant </w:t>
      </w:r>
      <w:r w:rsidR="00240AA8" w:rsidRPr="00B0157E">
        <w:rPr>
          <w:lang w:val="en-AU"/>
        </w:rPr>
        <w:t xml:space="preserve">with the item descriptor, </w:t>
      </w:r>
      <w:r w:rsidR="008734C2" w:rsidRPr="00B0157E">
        <w:rPr>
          <w:lang w:val="en-AU"/>
        </w:rPr>
        <w:t>and that it is</w:t>
      </w:r>
      <w:r w:rsidR="00240AA8" w:rsidRPr="00B0157E">
        <w:rPr>
          <w:lang w:val="en-AU"/>
        </w:rPr>
        <w:t xml:space="preserve"> unlikely </w:t>
      </w:r>
      <w:r w:rsidR="00DB73AD" w:rsidRPr="00B0157E">
        <w:rPr>
          <w:lang w:val="en-AU"/>
        </w:rPr>
        <w:t>that this is</w:t>
      </w:r>
      <w:r w:rsidR="00240AA8" w:rsidRPr="00B0157E">
        <w:rPr>
          <w:lang w:val="en-AU"/>
        </w:rPr>
        <w:t xml:space="preserve"> occurring at the</w:t>
      </w:r>
      <w:r w:rsidR="003564D2" w:rsidRPr="00B0157E">
        <w:rPr>
          <w:lang w:val="en-AU"/>
        </w:rPr>
        <w:t xml:space="preserve"> moment. The Committee recommended</w:t>
      </w:r>
      <w:r w:rsidR="00240AA8" w:rsidRPr="00B0157E">
        <w:rPr>
          <w:lang w:val="en-AU"/>
        </w:rPr>
        <w:t xml:space="preserve"> </w:t>
      </w:r>
      <w:r w:rsidR="003564D2" w:rsidRPr="00B0157E">
        <w:rPr>
          <w:lang w:val="en-AU"/>
        </w:rPr>
        <w:t>a simple solution</w:t>
      </w:r>
      <w:r w:rsidR="00C1098E" w:rsidRPr="00B0157E">
        <w:rPr>
          <w:lang w:val="en-AU"/>
        </w:rPr>
        <w:t>:</w:t>
      </w:r>
      <w:r w:rsidR="003564D2" w:rsidRPr="00B0157E">
        <w:rPr>
          <w:lang w:val="en-AU"/>
        </w:rPr>
        <w:t xml:space="preserve"> </w:t>
      </w:r>
      <w:r w:rsidR="000963D0" w:rsidRPr="00B0157E">
        <w:rPr>
          <w:lang w:val="en-AU"/>
        </w:rPr>
        <w:t xml:space="preserve">require </w:t>
      </w:r>
      <w:r w:rsidR="003564D2" w:rsidRPr="00B0157E">
        <w:rPr>
          <w:lang w:val="en-AU"/>
        </w:rPr>
        <w:t xml:space="preserve">providers to capture </w:t>
      </w:r>
      <w:r w:rsidR="00240AA8" w:rsidRPr="00B0157E">
        <w:rPr>
          <w:lang w:val="en-AU"/>
        </w:rPr>
        <w:t>photographic evidence</w:t>
      </w:r>
      <w:r w:rsidR="0039379F" w:rsidRPr="00B0157E">
        <w:rPr>
          <w:lang w:val="en-AU"/>
        </w:rPr>
        <w:t>, as</w:t>
      </w:r>
      <w:r w:rsidR="00240AA8" w:rsidRPr="00B0157E">
        <w:rPr>
          <w:lang w:val="en-AU"/>
        </w:rPr>
        <w:t xml:space="preserve"> cameras are available and </w:t>
      </w:r>
      <w:r w:rsidR="00387C3A" w:rsidRPr="00B0157E">
        <w:rPr>
          <w:lang w:val="en-AU"/>
        </w:rPr>
        <w:t xml:space="preserve">are </w:t>
      </w:r>
      <w:r w:rsidR="00240AA8" w:rsidRPr="00B0157E">
        <w:rPr>
          <w:lang w:val="en-AU"/>
        </w:rPr>
        <w:t xml:space="preserve">used by most providers </w:t>
      </w:r>
      <w:r w:rsidR="00BB1B41" w:rsidRPr="00B0157E">
        <w:rPr>
          <w:lang w:val="en-AU"/>
        </w:rPr>
        <w:t>(</w:t>
      </w:r>
      <w:r w:rsidR="00240AA8" w:rsidRPr="00B0157E">
        <w:rPr>
          <w:lang w:val="en-AU"/>
        </w:rPr>
        <w:t>especially to highlight to patients the impact of the</w:t>
      </w:r>
      <w:r w:rsidR="003564D2" w:rsidRPr="00B0157E">
        <w:rPr>
          <w:lang w:val="en-AU"/>
        </w:rPr>
        <w:t>ir</w:t>
      </w:r>
      <w:r w:rsidR="00240AA8" w:rsidRPr="00B0157E">
        <w:rPr>
          <w:lang w:val="en-AU"/>
        </w:rPr>
        <w:t xml:space="preserve"> treatment</w:t>
      </w:r>
      <w:r w:rsidR="00BB1B41" w:rsidRPr="00B0157E">
        <w:rPr>
          <w:lang w:val="en-AU"/>
        </w:rPr>
        <w:t>)</w:t>
      </w:r>
      <w:r w:rsidR="00240AA8" w:rsidRPr="00B0157E">
        <w:rPr>
          <w:lang w:val="en-AU"/>
        </w:rPr>
        <w:t>.</w:t>
      </w:r>
      <w:r w:rsidR="004A352E">
        <w:rPr>
          <w:lang w:val="en-AU"/>
        </w:rPr>
        <w:t xml:space="preserve"> </w:t>
      </w:r>
    </w:p>
    <w:p w14:paraId="02556731" w14:textId="77777777" w:rsidR="000B75A7" w:rsidRPr="002808A4" w:rsidRDefault="008E6A29" w:rsidP="002808A4">
      <w:pPr>
        <w:pStyle w:val="Heading3"/>
      </w:pPr>
      <w:bookmarkStart w:id="142" w:name="_Toc454380202"/>
      <w:bookmarkStart w:id="143" w:name="_Toc458774435"/>
      <w:r w:rsidRPr="002808A4">
        <w:t>I</w:t>
      </w:r>
      <w:r w:rsidR="000B75A7" w:rsidRPr="002808A4">
        <w:t>tems 14106</w:t>
      </w:r>
      <w:r w:rsidR="00D15909" w:rsidRPr="002808A4">
        <w:t xml:space="preserve">, 14109, 14112, 14115 and </w:t>
      </w:r>
      <w:r w:rsidR="000B75A7" w:rsidRPr="002808A4">
        <w:t>14118</w:t>
      </w:r>
      <w:bookmarkEnd w:id="142"/>
      <w:bookmarkEnd w:id="143"/>
    </w:p>
    <w:p w14:paraId="216482DE" w14:textId="77777777" w:rsidR="000B75A7" w:rsidRPr="00B0157E" w:rsidRDefault="000B75A7" w:rsidP="00FF0C98">
      <w:pPr>
        <w:rPr>
          <w:b/>
          <w:lang w:val="en-AU"/>
        </w:rPr>
      </w:pPr>
      <w:r w:rsidRPr="00B0157E">
        <w:rPr>
          <w:b/>
          <w:lang w:val="en-AU"/>
        </w:rPr>
        <w:t>Recommendation</w:t>
      </w:r>
      <w:r w:rsidR="00815FA2" w:rsidRPr="00B0157E">
        <w:rPr>
          <w:b/>
          <w:lang w:val="en-AU"/>
        </w:rPr>
        <w:t>s</w:t>
      </w:r>
      <w:r w:rsidRPr="00B0157E">
        <w:rPr>
          <w:b/>
          <w:lang w:val="en-AU"/>
        </w:rPr>
        <w:t xml:space="preserve"> </w:t>
      </w:r>
    </w:p>
    <w:p w14:paraId="27FD3DBE" w14:textId="77777777" w:rsidR="000B75A7" w:rsidRPr="00B0157E" w:rsidRDefault="000B75A7">
      <w:pPr>
        <w:pStyle w:val="01squarebullet"/>
        <w:rPr>
          <w:b/>
          <w:lang w:val="en-AU"/>
        </w:rPr>
      </w:pPr>
      <w:r w:rsidRPr="00B0157E">
        <w:rPr>
          <w:lang w:val="en-AU"/>
        </w:rPr>
        <w:t xml:space="preserve">Change the item descriptor wording </w:t>
      </w:r>
      <w:r w:rsidR="0074685B" w:rsidRPr="00B0157E">
        <w:rPr>
          <w:lang w:val="en-AU"/>
        </w:rPr>
        <w:t xml:space="preserve">for all items </w:t>
      </w:r>
      <w:r w:rsidRPr="00B0157E">
        <w:rPr>
          <w:lang w:val="en-AU"/>
        </w:rPr>
        <w:t xml:space="preserve">to include </w:t>
      </w:r>
      <w:r w:rsidR="00BB04C0" w:rsidRPr="00B0157E">
        <w:rPr>
          <w:lang w:val="en-AU"/>
        </w:rPr>
        <w:t>International Society for the Study of Vascular Anomalies (</w:t>
      </w:r>
      <w:r w:rsidRPr="00B0157E">
        <w:rPr>
          <w:lang w:val="en-AU"/>
        </w:rPr>
        <w:t>ISSVA</w:t>
      </w:r>
      <w:r w:rsidR="00BB04C0" w:rsidRPr="00B0157E">
        <w:rPr>
          <w:lang w:val="en-AU"/>
        </w:rPr>
        <w:t>)</w:t>
      </w:r>
      <w:r w:rsidRPr="00B0157E">
        <w:rPr>
          <w:lang w:val="en-AU"/>
        </w:rPr>
        <w:t xml:space="preserve"> terminology. </w:t>
      </w:r>
      <w:r w:rsidR="00C67E1B" w:rsidRPr="00B0157E">
        <w:rPr>
          <w:lang w:val="en-AU"/>
        </w:rPr>
        <w:t xml:space="preserve">Specifically, </w:t>
      </w:r>
      <w:r w:rsidR="00AE681E" w:rsidRPr="00B0157E">
        <w:rPr>
          <w:lang w:val="en-AU"/>
        </w:rPr>
        <w:t xml:space="preserve">use the term </w:t>
      </w:r>
      <w:r w:rsidR="00C67E1B" w:rsidRPr="00B0157E">
        <w:rPr>
          <w:lang w:val="en-AU"/>
        </w:rPr>
        <w:t>“v</w:t>
      </w:r>
      <w:r w:rsidRPr="00B0157E">
        <w:rPr>
          <w:lang w:val="en-AU"/>
        </w:rPr>
        <w:t>ascular malformations,</w:t>
      </w:r>
      <w:r w:rsidR="00C67E1B" w:rsidRPr="00B0157E">
        <w:rPr>
          <w:lang w:val="en-AU"/>
        </w:rPr>
        <w:t>”</w:t>
      </w:r>
      <w:r w:rsidRPr="00B0157E">
        <w:rPr>
          <w:lang w:val="en-AU"/>
        </w:rPr>
        <w:t xml:space="preserve"> which in ISSVA terminology encompasses: </w:t>
      </w:r>
    </w:p>
    <w:p w14:paraId="39366A41" w14:textId="77777777" w:rsidR="000B75A7" w:rsidRPr="00B0157E" w:rsidRDefault="000B75A7">
      <w:pPr>
        <w:pStyle w:val="02dash"/>
        <w:rPr>
          <w:lang w:val="en-AU"/>
        </w:rPr>
      </w:pPr>
      <w:r w:rsidRPr="00B0157E">
        <w:rPr>
          <w:lang w:val="en-AU"/>
        </w:rPr>
        <w:t xml:space="preserve">Capillary </w:t>
      </w:r>
      <w:r w:rsidR="00802F29" w:rsidRPr="00B0157E">
        <w:rPr>
          <w:lang w:val="en-AU"/>
        </w:rPr>
        <w:t>m</w:t>
      </w:r>
      <w:r w:rsidRPr="00B0157E">
        <w:rPr>
          <w:lang w:val="en-AU"/>
        </w:rPr>
        <w:t>alformation (CM</w:t>
      </w:r>
      <w:r w:rsidR="00934D95" w:rsidRPr="00B0157E">
        <w:rPr>
          <w:lang w:val="en-AU"/>
        </w:rPr>
        <w:t xml:space="preserve">; </w:t>
      </w:r>
      <w:r w:rsidR="006005DA" w:rsidRPr="00B0157E">
        <w:rPr>
          <w:lang w:val="en-AU"/>
        </w:rPr>
        <w:t xml:space="preserve">previously </w:t>
      </w:r>
      <w:r w:rsidRPr="00B0157E">
        <w:rPr>
          <w:lang w:val="en-AU"/>
        </w:rPr>
        <w:t>“</w:t>
      </w:r>
      <w:r w:rsidR="000A2350" w:rsidRPr="00B0157E">
        <w:rPr>
          <w:lang w:val="en-AU"/>
        </w:rPr>
        <w:t>p</w:t>
      </w:r>
      <w:r w:rsidRPr="00B0157E">
        <w:rPr>
          <w:lang w:val="en-AU"/>
        </w:rPr>
        <w:t xml:space="preserve">ort </w:t>
      </w:r>
      <w:r w:rsidR="000A2350" w:rsidRPr="00B0157E">
        <w:rPr>
          <w:lang w:val="en-AU"/>
        </w:rPr>
        <w:t>w</w:t>
      </w:r>
      <w:r w:rsidRPr="00B0157E">
        <w:rPr>
          <w:lang w:val="en-AU"/>
        </w:rPr>
        <w:t xml:space="preserve">ine </w:t>
      </w:r>
      <w:r w:rsidR="000A2350" w:rsidRPr="00B0157E">
        <w:rPr>
          <w:lang w:val="en-AU"/>
        </w:rPr>
        <w:t>s</w:t>
      </w:r>
      <w:r w:rsidRPr="00B0157E">
        <w:rPr>
          <w:lang w:val="en-AU"/>
        </w:rPr>
        <w:t>tain”</w:t>
      </w:r>
      <w:r w:rsidR="00934D95" w:rsidRPr="00B0157E">
        <w:rPr>
          <w:lang w:val="en-AU"/>
        </w:rPr>
        <w:t>)</w:t>
      </w:r>
      <w:r w:rsidR="00B14247" w:rsidRPr="00B0157E">
        <w:rPr>
          <w:lang w:val="en-AU"/>
        </w:rPr>
        <w:t>.</w:t>
      </w:r>
    </w:p>
    <w:p w14:paraId="77971D58" w14:textId="77777777" w:rsidR="000B75A7" w:rsidRPr="00B0157E" w:rsidRDefault="000B75A7">
      <w:pPr>
        <w:pStyle w:val="02dash"/>
        <w:rPr>
          <w:b/>
          <w:lang w:val="en-AU"/>
        </w:rPr>
      </w:pPr>
      <w:r w:rsidRPr="00B0157E">
        <w:rPr>
          <w:lang w:val="en-AU"/>
        </w:rPr>
        <w:t xml:space="preserve">Venous </w:t>
      </w:r>
      <w:r w:rsidR="000A2350" w:rsidRPr="00B0157E">
        <w:rPr>
          <w:lang w:val="en-AU"/>
        </w:rPr>
        <w:t>m</w:t>
      </w:r>
      <w:r w:rsidRPr="00B0157E">
        <w:rPr>
          <w:lang w:val="en-AU"/>
        </w:rPr>
        <w:t>alformation (VM</w:t>
      </w:r>
      <w:r w:rsidR="00CD2640" w:rsidRPr="00B0157E">
        <w:rPr>
          <w:lang w:val="en-AU"/>
        </w:rPr>
        <w:t xml:space="preserve">; </w:t>
      </w:r>
      <w:r w:rsidR="006005DA" w:rsidRPr="00B0157E">
        <w:rPr>
          <w:lang w:val="en-AU"/>
        </w:rPr>
        <w:t xml:space="preserve">previously </w:t>
      </w:r>
      <w:r w:rsidRPr="00B0157E">
        <w:rPr>
          <w:lang w:val="en-AU"/>
        </w:rPr>
        <w:t>“</w:t>
      </w:r>
      <w:r w:rsidR="00CD2640" w:rsidRPr="00B0157E">
        <w:rPr>
          <w:lang w:val="en-AU"/>
        </w:rPr>
        <w:t>c</w:t>
      </w:r>
      <w:r w:rsidRPr="00B0157E">
        <w:rPr>
          <w:lang w:val="en-AU"/>
        </w:rPr>
        <w:t xml:space="preserve">avernous </w:t>
      </w:r>
      <w:r w:rsidR="00CD2640" w:rsidRPr="00B0157E">
        <w:rPr>
          <w:lang w:val="en-AU"/>
        </w:rPr>
        <w:t>h</w:t>
      </w:r>
      <w:r w:rsidRPr="00B0157E">
        <w:rPr>
          <w:lang w:val="en-AU"/>
        </w:rPr>
        <w:t>aemangioma”</w:t>
      </w:r>
      <w:r w:rsidR="00CD2640" w:rsidRPr="00B0157E">
        <w:rPr>
          <w:lang w:val="en-AU"/>
        </w:rPr>
        <w:t>)</w:t>
      </w:r>
      <w:r w:rsidR="00F064AE" w:rsidRPr="00B0157E">
        <w:rPr>
          <w:lang w:val="en-AU"/>
        </w:rPr>
        <w:t>.</w:t>
      </w:r>
      <w:r w:rsidRPr="00B0157E">
        <w:rPr>
          <w:lang w:val="en-AU"/>
        </w:rPr>
        <w:t xml:space="preserve"> </w:t>
      </w:r>
    </w:p>
    <w:p w14:paraId="7B4DC216" w14:textId="77777777" w:rsidR="000B75A7" w:rsidRPr="00B0157E" w:rsidRDefault="000B75A7">
      <w:pPr>
        <w:pStyle w:val="02dash"/>
        <w:rPr>
          <w:b/>
          <w:lang w:val="en-AU"/>
        </w:rPr>
      </w:pPr>
      <w:r w:rsidRPr="00B0157E">
        <w:rPr>
          <w:lang w:val="en-AU"/>
        </w:rPr>
        <w:t xml:space="preserve">Arterio-venous </w:t>
      </w:r>
      <w:r w:rsidR="008A6AFB" w:rsidRPr="00B0157E">
        <w:rPr>
          <w:lang w:val="en-AU"/>
        </w:rPr>
        <w:t>m</w:t>
      </w:r>
      <w:r w:rsidRPr="00B0157E">
        <w:rPr>
          <w:lang w:val="en-AU"/>
        </w:rPr>
        <w:t>alformation (AVM).</w:t>
      </w:r>
    </w:p>
    <w:p w14:paraId="711BAF6A" w14:textId="77777777" w:rsidR="000B75A7" w:rsidRPr="00B0157E" w:rsidRDefault="000B75A7">
      <w:pPr>
        <w:pStyle w:val="01squarebullet"/>
        <w:rPr>
          <w:b/>
          <w:lang w:val="en-AU"/>
        </w:rPr>
      </w:pPr>
      <w:r w:rsidRPr="00B0157E">
        <w:rPr>
          <w:lang w:val="en-AU"/>
        </w:rPr>
        <w:t>Change the item descriptor wording</w:t>
      </w:r>
      <w:r w:rsidR="0026110A" w:rsidRPr="00B0157E">
        <w:rPr>
          <w:lang w:val="en-AU"/>
        </w:rPr>
        <w:t>, r</w:t>
      </w:r>
      <w:r w:rsidR="00036FF4" w:rsidRPr="00B0157E">
        <w:rPr>
          <w:lang w:val="en-AU"/>
        </w:rPr>
        <w:t>eplacing</w:t>
      </w:r>
      <w:r w:rsidR="00D33D2C" w:rsidRPr="00B0157E">
        <w:rPr>
          <w:lang w:val="en-AU"/>
        </w:rPr>
        <w:t xml:space="preserve"> </w:t>
      </w:r>
      <w:r w:rsidRPr="00B0157E">
        <w:rPr>
          <w:lang w:val="en-AU"/>
        </w:rPr>
        <w:t xml:space="preserve">“haemangiomas of infancy” </w:t>
      </w:r>
      <w:r w:rsidR="00641CB4" w:rsidRPr="00B0157E">
        <w:rPr>
          <w:lang w:val="en-AU"/>
        </w:rPr>
        <w:t xml:space="preserve">with </w:t>
      </w:r>
      <w:r w:rsidRPr="00B0157E">
        <w:rPr>
          <w:lang w:val="en-AU"/>
        </w:rPr>
        <w:t>“infantile haemangiomas</w:t>
      </w:r>
      <w:r w:rsidR="00A20FC6" w:rsidRPr="00B0157E">
        <w:rPr>
          <w:lang w:val="en-AU"/>
        </w:rPr>
        <w:t>,</w:t>
      </w:r>
      <w:r w:rsidRPr="00B0157E">
        <w:rPr>
          <w:lang w:val="en-AU"/>
        </w:rPr>
        <w:t>”</w:t>
      </w:r>
      <w:r w:rsidR="00A20FC6" w:rsidRPr="00B0157E">
        <w:rPr>
          <w:lang w:val="en-AU"/>
        </w:rPr>
        <w:t xml:space="preserve"> and replacing </w:t>
      </w:r>
      <w:r w:rsidR="00C20794" w:rsidRPr="00B0157E">
        <w:rPr>
          <w:lang w:val="en-AU"/>
        </w:rPr>
        <w:t>“</w:t>
      </w:r>
      <w:r w:rsidRPr="00B0157E">
        <w:rPr>
          <w:lang w:val="en-AU"/>
        </w:rPr>
        <w:t>laser light within wave length of 510</w:t>
      </w:r>
      <w:r w:rsidR="00C20794" w:rsidRPr="00B0157E">
        <w:rPr>
          <w:lang w:val="en-AU"/>
        </w:rPr>
        <w:t>–</w:t>
      </w:r>
      <w:r w:rsidRPr="00B0157E">
        <w:rPr>
          <w:lang w:val="en-AU"/>
        </w:rPr>
        <w:t>1064nm</w:t>
      </w:r>
      <w:r w:rsidR="00C20794" w:rsidRPr="00B0157E">
        <w:rPr>
          <w:lang w:val="en-AU"/>
        </w:rPr>
        <w:t>”</w:t>
      </w:r>
      <w:r w:rsidRPr="00B0157E">
        <w:rPr>
          <w:lang w:val="en-AU"/>
        </w:rPr>
        <w:t xml:space="preserve"> </w:t>
      </w:r>
      <w:r w:rsidR="00EB7314" w:rsidRPr="00B0157E">
        <w:rPr>
          <w:lang w:val="en-AU"/>
        </w:rPr>
        <w:t xml:space="preserve">with </w:t>
      </w:r>
      <w:r w:rsidRPr="00B0157E">
        <w:rPr>
          <w:lang w:val="en-AU"/>
        </w:rPr>
        <w:t>“laser radiation</w:t>
      </w:r>
      <w:r w:rsidR="00F16F50" w:rsidRPr="00B0157E">
        <w:rPr>
          <w:lang w:val="en-AU"/>
        </w:rPr>
        <w:t>.</w:t>
      </w:r>
      <w:r w:rsidRPr="00B0157E">
        <w:rPr>
          <w:lang w:val="en-AU"/>
        </w:rPr>
        <w:t xml:space="preserve">” </w:t>
      </w:r>
    </w:p>
    <w:p w14:paraId="4E25653A" w14:textId="77777777" w:rsidR="000B75A7" w:rsidRPr="00B0157E" w:rsidRDefault="000B75A7">
      <w:pPr>
        <w:pStyle w:val="01squarebullet"/>
        <w:rPr>
          <w:lang w:val="en-AU"/>
        </w:rPr>
      </w:pPr>
      <w:r w:rsidRPr="00B0157E">
        <w:rPr>
          <w:lang w:val="en-AU"/>
        </w:rPr>
        <w:t xml:space="preserve">Consolidate item numbers </w:t>
      </w:r>
      <w:r w:rsidR="008B2E05" w:rsidRPr="00B0157E">
        <w:rPr>
          <w:lang w:val="en-AU"/>
        </w:rPr>
        <w:t>into</w:t>
      </w:r>
      <w:r w:rsidRPr="00B0157E">
        <w:rPr>
          <w:lang w:val="en-AU"/>
        </w:rPr>
        <w:t xml:space="preserve"> three items:</w:t>
      </w:r>
    </w:p>
    <w:p w14:paraId="0BA93552" w14:textId="77777777" w:rsidR="000B75A7" w:rsidRPr="00B0157E" w:rsidRDefault="000B75A7">
      <w:pPr>
        <w:pStyle w:val="02dash"/>
        <w:rPr>
          <w:lang w:val="en-AU"/>
        </w:rPr>
      </w:pPr>
      <w:r w:rsidRPr="00B0157E">
        <w:rPr>
          <w:lang w:val="en-AU"/>
        </w:rPr>
        <w:t>Area of treatment less than 150 cm</w:t>
      </w:r>
      <w:r w:rsidRPr="00B0157E">
        <w:rPr>
          <w:vertAlign w:val="superscript"/>
          <w:lang w:val="en-AU"/>
        </w:rPr>
        <w:t>2</w:t>
      </w:r>
      <w:r w:rsidR="00720F8F" w:rsidRPr="00B0157E">
        <w:rPr>
          <w:lang w:val="en-AU"/>
        </w:rPr>
        <w:t>.</w:t>
      </w:r>
      <w:r w:rsidRPr="00B0157E">
        <w:rPr>
          <w:lang w:val="en-AU"/>
        </w:rPr>
        <w:t xml:space="preserve"> </w:t>
      </w:r>
    </w:p>
    <w:p w14:paraId="756F36B2" w14:textId="77777777" w:rsidR="000B75A7" w:rsidRPr="00B0157E" w:rsidRDefault="000B75A7">
      <w:pPr>
        <w:pStyle w:val="02dash"/>
        <w:rPr>
          <w:lang w:val="en-AU"/>
        </w:rPr>
      </w:pPr>
      <w:r w:rsidRPr="00B0157E">
        <w:rPr>
          <w:lang w:val="en-AU"/>
        </w:rPr>
        <w:t>Area of treatment 150 to 300 cm</w:t>
      </w:r>
      <w:r w:rsidRPr="00B0157E">
        <w:rPr>
          <w:vertAlign w:val="superscript"/>
          <w:lang w:val="en-AU"/>
        </w:rPr>
        <w:t>2</w:t>
      </w:r>
      <w:r w:rsidR="00720F8F" w:rsidRPr="00B0157E">
        <w:rPr>
          <w:lang w:val="en-AU"/>
        </w:rPr>
        <w:t>.</w:t>
      </w:r>
    </w:p>
    <w:p w14:paraId="46923570" w14:textId="77777777" w:rsidR="000B75A7" w:rsidRPr="00B0157E" w:rsidRDefault="000B75A7">
      <w:pPr>
        <w:pStyle w:val="02dash"/>
        <w:rPr>
          <w:lang w:val="en-AU"/>
        </w:rPr>
      </w:pPr>
      <w:r w:rsidRPr="00B0157E">
        <w:rPr>
          <w:lang w:val="en-AU"/>
        </w:rPr>
        <w:t>Area of treatment greater than 300 cm</w:t>
      </w:r>
      <w:r w:rsidRPr="00B0157E">
        <w:rPr>
          <w:vertAlign w:val="superscript"/>
          <w:lang w:val="en-AU"/>
        </w:rPr>
        <w:t>2</w:t>
      </w:r>
      <w:r w:rsidR="00720F8F" w:rsidRPr="00B0157E">
        <w:rPr>
          <w:lang w:val="en-AU"/>
        </w:rPr>
        <w:t>.</w:t>
      </w:r>
    </w:p>
    <w:p w14:paraId="7218DD61" w14:textId="77777777" w:rsidR="000B75A7" w:rsidRPr="00B0157E" w:rsidRDefault="000B75A7">
      <w:pPr>
        <w:pStyle w:val="01squarebullet"/>
        <w:rPr>
          <w:b/>
          <w:lang w:val="en-AU"/>
        </w:rPr>
      </w:pPr>
      <w:r w:rsidRPr="00B0157E">
        <w:rPr>
          <w:lang w:val="en-AU"/>
        </w:rPr>
        <w:t xml:space="preserve">Include </w:t>
      </w:r>
      <w:r w:rsidR="00013CD2" w:rsidRPr="00B0157E">
        <w:rPr>
          <w:lang w:val="en-AU"/>
        </w:rPr>
        <w:t xml:space="preserve">a </w:t>
      </w:r>
      <w:r w:rsidRPr="00B0157E">
        <w:rPr>
          <w:lang w:val="en-AU"/>
        </w:rPr>
        <w:t>requirement for all laser equipment to be TGA</w:t>
      </w:r>
      <w:r w:rsidR="00DB10CA" w:rsidRPr="00B0157E">
        <w:rPr>
          <w:lang w:val="en-AU"/>
        </w:rPr>
        <w:t>-</w:t>
      </w:r>
      <w:r w:rsidRPr="00B0157E">
        <w:rPr>
          <w:lang w:val="en-AU"/>
        </w:rPr>
        <w:t>listed</w:t>
      </w:r>
      <w:r w:rsidR="005F2931" w:rsidRPr="00B0157E">
        <w:rPr>
          <w:lang w:val="en-AU"/>
        </w:rPr>
        <w:t>.</w:t>
      </w:r>
      <w:r w:rsidRPr="00B0157E">
        <w:rPr>
          <w:lang w:val="en-AU"/>
        </w:rPr>
        <w:t xml:space="preserve"> </w:t>
      </w:r>
    </w:p>
    <w:p w14:paraId="3EF1CE52" w14:textId="77777777" w:rsidR="003564D2" w:rsidRPr="00B0157E" w:rsidRDefault="003564D2">
      <w:pPr>
        <w:pStyle w:val="01squarebullet"/>
        <w:rPr>
          <w:b/>
          <w:lang w:val="en-AU"/>
        </w:rPr>
      </w:pPr>
      <w:r w:rsidRPr="00B0157E">
        <w:rPr>
          <w:lang w:val="en-AU"/>
        </w:rPr>
        <w:t xml:space="preserve">Include </w:t>
      </w:r>
      <w:r w:rsidR="00266268" w:rsidRPr="00B0157E">
        <w:rPr>
          <w:lang w:val="en-AU"/>
        </w:rPr>
        <w:t xml:space="preserve">a </w:t>
      </w:r>
      <w:r w:rsidRPr="00B0157E">
        <w:rPr>
          <w:lang w:val="en-AU"/>
        </w:rPr>
        <w:t>requirement for photo evidence to be captured during treatment to</w:t>
      </w:r>
      <w:r w:rsidR="00D04546" w:rsidRPr="00B0157E">
        <w:rPr>
          <w:lang w:val="en-AU"/>
        </w:rPr>
        <w:t xml:space="preserve"> assist providers </w:t>
      </w:r>
      <w:r w:rsidR="00C175A6" w:rsidRPr="00B0157E">
        <w:rPr>
          <w:lang w:val="en-AU"/>
        </w:rPr>
        <w:t xml:space="preserve">with </w:t>
      </w:r>
      <w:r w:rsidRPr="00B0157E">
        <w:rPr>
          <w:lang w:val="en-AU"/>
        </w:rPr>
        <w:t>document</w:t>
      </w:r>
      <w:r w:rsidR="00C175A6" w:rsidRPr="00B0157E">
        <w:rPr>
          <w:lang w:val="en-AU"/>
        </w:rPr>
        <w:t>ing</w:t>
      </w:r>
      <w:r w:rsidRPr="00B0157E">
        <w:rPr>
          <w:lang w:val="en-AU"/>
        </w:rPr>
        <w:t xml:space="preserve"> compliance </w:t>
      </w:r>
      <w:r w:rsidR="00795E6A" w:rsidRPr="00B0157E">
        <w:rPr>
          <w:lang w:val="en-AU"/>
        </w:rPr>
        <w:t xml:space="preserve">with </w:t>
      </w:r>
      <w:r w:rsidRPr="00B0157E">
        <w:rPr>
          <w:lang w:val="en-AU"/>
        </w:rPr>
        <w:t xml:space="preserve">the item descriptor. </w:t>
      </w:r>
    </w:p>
    <w:p w14:paraId="5D84F1D6" w14:textId="77777777" w:rsidR="000B75A7" w:rsidRPr="00B0157E" w:rsidRDefault="000B75A7" w:rsidP="00FF0C98">
      <w:pPr>
        <w:rPr>
          <w:b/>
          <w:lang w:val="en-AU"/>
        </w:rPr>
      </w:pPr>
      <w:r w:rsidRPr="00B0157E">
        <w:rPr>
          <w:b/>
          <w:lang w:val="en-AU"/>
        </w:rPr>
        <w:t>Rationale</w:t>
      </w:r>
    </w:p>
    <w:p w14:paraId="503E749C" w14:textId="77777777" w:rsidR="000B75A7" w:rsidRPr="00B0157E" w:rsidRDefault="00C2773F" w:rsidP="00C33ED9">
      <w:pPr>
        <w:rPr>
          <w:lang w:val="en-AU"/>
        </w:rPr>
      </w:pPr>
      <w:r w:rsidRPr="00B0157E">
        <w:rPr>
          <w:lang w:val="en-AU"/>
        </w:rPr>
        <w:t>The r</w:t>
      </w:r>
      <w:r w:rsidR="000B75A7" w:rsidRPr="00B0157E">
        <w:rPr>
          <w:lang w:val="en-AU"/>
        </w:rPr>
        <w:t>ecommendations focus on modernising and simplifying the MBS</w:t>
      </w:r>
      <w:r w:rsidR="00356259" w:rsidRPr="00B0157E">
        <w:rPr>
          <w:lang w:val="en-AU"/>
        </w:rPr>
        <w:t xml:space="preserve"> and</w:t>
      </w:r>
      <w:r w:rsidR="000B75A7" w:rsidRPr="00B0157E">
        <w:rPr>
          <w:lang w:val="en-AU"/>
        </w:rPr>
        <w:t xml:space="preserve"> </w:t>
      </w:r>
      <w:r w:rsidR="00356259" w:rsidRPr="00B0157E">
        <w:rPr>
          <w:lang w:val="en-AU"/>
        </w:rPr>
        <w:t>are</w:t>
      </w:r>
      <w:r w:rsidR="000B75A7" w:rsidRPr="00B0157E">
        <w:rPr>
          <w:lang w:val="en-AU"/>
        </w:rPr>
        <w:t xml:space="preserve"> </w:t>
      </w:r>
      <w:r w:rsidR="00345693" w:rsidRPr="00B0157E">
        <w:rPr>
          <w:lang w:val="en-AU"/>
        </w:rPr>
        <w:t>based on the following observations</w:t>
      </w:r>
      <w:r w:rsidR="002D5F4D" w:rsidRPr="00B0157E">
        <w:rPr>
          <w:lang w:val="en-AU"/>
        </w:rPr>
        <w:t>.</w:t>
      </w:r>
      <w:r w:rsidR="004A352E">
        <w:rPr>
          <w:lang w:val="en-AU"/>
        </w:rPr>
        <w:t xml:space="preserve"> </w:t>
      </w:r>
    </w:p>
    <w:p w14:paraId="070C64A9" w14:textId="77777777" w:rsidR="000B75A7" w:rsidRPr="00B0157E" w:rsidRDefault="000B75A7">
      <w:pPr>
        <w:pStyle w:val="01squarebullet"/>
        <w:rPr>
          <w:lang w:val="en-AU"/>
        </w:rPr>
      </w:pPr>
      <w:r w:rsidRPr="00B0157E">
        <w:rPr>
          <w:lang w:val="en-AU"/>
        </w:rPr>
        <w:lastRenderedPageBreak/>
        <w:t xml:space="preserve">The wording of the item descriptors should be changed to reflect modern medical terminology. </w:t>
      </w:r>
    </w:p>
    <w:p w14:paraId="017E4EA9" w14:textId="77777777" w:rsidR="000B75A7" w:rsidRPr="00B0157E" w:rsidRDefault="000B75A7">
      <w:pPr>
        <w:pStyle w:val="01squarebullet"/>
        <w:rPr>
          <w:lang w:val="en-AU"/>
        </w:rPr>
      </w:pPr>
      <w:r w:rsidRPr="00B0157E">
        <w:rPr>
          <w:lang w:val="en-AU"/>
        </w:rPr>
        <w:t>Consolidating item numbers and making areas of treatment more intuitive (150</w:t>
      </w:r>
      <w:r w:rsidR="004B5F49" w:rsidRPr="00B0157E">
        <w:rPr>
          <w:lang w:val="en-AU"/>
        </w:rPr>
        <w:t xml:space="preserve"> </w:t>
      </w:r>
      <w:r w:rsidRPr="00B0157E">
        <w:rPr>
          <w:lang w:val="en-AU"/>
        </w:rPr>
        <w:t>cm</w:t>
      </w:r>
      <w:r w:rsidRPr="00B0157E">
        <w:rPr>
          <w:vertAlign w:val="superscript"/>
          <w:lang w:val="en-AU"/>
        </w:rPr>
        <w:t>2</w:t>
      </w:r>
      <w:r w:rsidRPr="00B0157E">
        <w:rPr>
          <w:lang w:val="en-AU"/>
        </w:rPr>
        <w:t xml:space="preserve"> is the approximate average area of a hand) will increase ease of use for providers. </w:t>
      </w:r>
      <w:r w:rsidR="004B5F49" w:rsidRPr="00B0157E">
        <w:rPr>
          <w:lang w:val="en-AU"/>
        </w:rPr>
        <w:t>It will also</w:t>
      </w:r>
      <w:r w:rsidRPr="00B0157E">
        <w:rPr>
          <w:lang w:val="en-AU"/>
        </w:rPr>
        <w:t xml:space="preserve"> decrease unintentional </w:t>
      </w:r>
      <w:r w:rsidR="00EE3B0E" w:rsidRPr="00B0157E">
        <w:rPr>
          <w:lang w:val="en-AU"/>
        </w:rPr>
        <w:t>mis-</w:t>
      </w:r>
      <w:r w:rsidRPr="00B0157E">
        <w:rPr>
          <w:lang w:val="en-AU"/>
        </w:rPr>
        <w:t xml:space="preserve">coding </w:t>
      </w:r>
      <w:r w:rsidR="00EE3B0E" w:rsidRPr="00B0157E">
        <w:rPr>
          <w:lang w:val="en-AU"/>
        </w:rPr>
        <w:t xml:space="preserve">of more complex procedures </w:t>
      </w:r>
      <w:r w:rsidRPr="00B0157E">
        <w:rPr>
          <w:lang w:val="en-AU"/>
        </w:rPr>
        <w:t>and encourage appropriate billing of patients.</w:t>
      </w:r>
      <w:r w:rsidR="004A352E">
        <w:rPr>
          <w:lang w:val="en-AU"/>
        </w:rPr>
        <w:t xml:space="preserve"> </w:t>
      </w:r>
    </w:p>
    <w:p w14:paraId="659C63C3" w14:textId="77777777" w:rsidR="000B75A7" w:rsidRPr="00B0157E" w:rsidRDefault="000B75A7">
      <w:pPr>
        <w:pStyle w:val="01squarebullet"/>
        <w:rPr>
          <w:lang w:val="en-AU"/>
        </w:rPr>
      </w:pPr>
      <w:r w:rsidRPr="00B0157E">
        <w:rPr>
          <w:lang w:val="en-AU"/>
        </w:rPr>
        <w:t>Removing the wavelength requirement will allow C</w:t>
      </w:r>
      <w:r w:rsidR="00EE3B0E" w:rsidRPr="00B0157E">
        <w:rPr>
          <w:lang w:val="en-AU"/>
        </w:rPr>
        <w:t>O</w:t>
      </w:r>
      <w:r w:rsidRPr="00B0157E">
        <w:rPr>
          <w:vertAlign w:val="subscript"/>
          <w:lang w:val="en-AU"/>
        </w:rPr>
        <w:t>2</w:t>
      </w:r>
      <w:r w:rsidRPr="00B0157E">
        <w:rPr>
          <w:lang w:val="en-AU"/>
        </w:rPr>
        <w:t xml:space="preserve"> lasers to be used, which are important for effectively treating a small number of conditions. </w:t>
      </w:r>
      <w:r w:rsidR="00526FE8" w:rsidRPr="00B0157E">
        <w:rPr>
          <w:lang w:val="en-AU"/>
        </w:rPr>
        <w:t>The</w:t>
      </w:r>
      <w:r w:rsidRPr="00B0157E">
        <w:rPr>
          <w:lang w:val="en-AU"/>
        </w:rPr>
        <w:t xml:space="preserve"> Committee </w:t>
      </w:r>
      <w:r w:rsidR="00F17EC1" w:rsidRPr="00B0157E">
        <w:rPr>
          <w:lang w:val="en-AU"/>
        </w:rPr>
        <w:t xml:space="preserve">felt </w:t>
      </w:r>
      <w:r w:rsidRPr="00B0157E">
        <w:rPr>
          <w:lang w:val="en-AU"/>
        </w:rPr>
        <w:t xml:space="preserve">that this change would not open the item number to intended or un-intended misuse. </w:t>
      </w:r>
    </w:p>
    <w:p w14:paraId="3BAC1CCA" w14:textId="77777777" w:rsidR="003564D2" w:rsidRPr="00B0157E" w:rsidRDefault="003564D2">
      <w:pPr>
        <w:pStyle w:val="01squarebullet"/>
        <w:rPr>
          <w:lang w:val="en-AU"/>
        </w:rPr>
      </w:pPr>
      <w:r w:rsidRPr="00B0157E">
        <w:rPr>
          <w:lang w:val="en-AU"/>
        </w:rPr>
        <w:t xml:space="preserve">The </w:t>
      </w:r>
      <w:r w:rsidR="00C9724F" w:rsidRPr="00B0157E">
        <w:rPr>
          <w:lang w:val="en-AU"/>
        </w:rPr>
        <w:t>Department</w:t>
      </w:r>
      <w:r w:rsidR="008F4F33" w:rsidRPr="00B0157E">
        <w:rPr>
          <w:lang w:val="en-AU"/>
        </w:rPr>
        <w:t xml:space="preserve"> informed the </w:t>
      </w:r>
      <w:r w:rsidRPr="00B0157E">
        <w:rPr>
          <w:lang w:val="en-AU"/>
        </w:rPr>
        <w:t xml:space="preserve">Committee that providers </w:t>
      </w:r>
      <w:r w:rsidR="00A97AD1" w:rsidRPr="00B0157E">
        <w:rPr>
          <w:lang w:val="en-AU"/>
        </w:rPr>
        <w:t>must produce</w:t>
      </w:r>
      <w:r w:rsidRPr="00B0157E">
        <w:rPr>
          <w:lang w:val="en-AU"/>
        </w:rPr>
        <w:t xml:space="preserve"> evidence that they are compliant with the item descriptor, </w:t>
      </w:r>
      <w:r w:rsidR="000760D6" w:rsidRPr="00B0157E">
        <w:rPr>
          <w:lang w:val="en-AU"/>
        </w:rPr>
        <w:t xml:space="preserve">and that </w:t>
      </w:r>
      <w:r w:rsidR="00807850" w:rsidRPr="00B0157E">
        <w:rPr>
          <w:lang w:val="en-AU"/>
        </w:rPr>
        <w:t>it</w:t>
      </w:r>
      <w:r w:rsidR="000760D6" w:rsidRPr="00B0157E">
        <w:rPr>
          <w:lang w:val="en-AU"/>
        </w:rPr>
        <w:t xml:space="preserve"> </w:t>
      </w:r>
      <w:r w:rsidRPr="00B0157E">
        <w:rPr>
          <w:lang w:val="en-AU"/>
        </w:rPr>
        <w:t xml:space="preserve">is unlikely </w:t>
      </w:r>
      <w:r w:rsidR="003E7041" w:rsidRPr="00B0157E">
        <w:rPr>
          <w:lang w:val="en-AU"/>
        </w:rPr>
        <w:t>that this is</w:t>
      </w:r>
      <w:r w:rsidRPr="00B0157E">
        <w:rPr>
          <w:lang w:val="en-AU"/>
        </w:rPr>
        <w:t xml:space="preserve"> occurring at the moment. The Committee recommended a simple solution</w:t>
      </w:r>
      <w:r w:rsidR="007E6EDD" w:rsidRPr="00B0157E">
        <w:rPr>
          <w:lang w:val="en-AU"/>
        </w:rPr>
        <w:t>:</w:t>
      </w:r>
      <w:r w:rsidRPr="00B0157E">
        <w:rPr>
          <w:lang w:val="en-AU"/>
        </w:rPr>
        <w:t xml:space="preserve"> </w:t>
      </w:r>
      <w:r w:rsidR="007E6EDD" w:rsidRPr="00B0157E">
        <w:rPr>
          <w:lang w:val="en-AU"/>
        </w:rPr>
        <w:t>require</w:t>
      </w:r>
      <w:r w:rsidRPr="00B0157E">
        <w:rPr>
          <w:lang w:val="en-AU"/>
        </w:rPr>
        <w:t xml:space="preserve"> providers to capture photographic evidence, as cameras are available and used by most providers</w:t>
      </w:r>
      <w:r w:rsidR="00BB1B41" w:rsidRPr="00B0157E">
        <w:rPr>
          <w:lang w:val="en-AU"/>
        </w:rPr>
        <w:t xml:space="preserve"> (</w:t>
      </w:r>
      <w:r w:rsidRPr="00B0157E">
        <w:rPr>
          <w:lang w:val="en-AU"/>
        </w:rPr>
        <w:t>especially to highlight to patients the impact of their treatment</w:t>
      </w:r>
      <w:r w:rsidR="00BB1B41" w:rsidRPr="00B0157E">
        <w:rPr>
          <w:lang w:val="en-AU"/>
        </w:rPr>
        <w:t>)</w:t>
      </w:r>
      <w:r w:rsidRPr="00B0157E">
        <w:rPr>
          <w:lang w:val="en-AU"/>
        </w:rPr>
        <w:t>.</w:t>
      </w:r>
      <w:r w:rsidR="004A352E">
        <w:rPr>
          <w:lang w:val="en-AU"/>
        </w:rPr>
        <w:t xml:space="preserve"> </w:t>
      </w:r>
    </w:p>
    <w:p w14:paraId="54D9345E" w14:textId="77777777" w:rsidR="000B75A7" w:rsidRPr="002808A4" w:rsidRDefault="000B75A7" w:rsidP="002808A4">
      <w:pPr>
        <w:pStyle w:val="Heading3"/>
      </w:pPr>
      <w:bookmarkStart w:id="144" w:name="_Toc454380203"/>
      <w:bookmarkStart w:id="145" w:name="_Toc458774436"/>
      <w:r w:rsidRPr="002808A4">
        <w:t>Item 14124</w:t>
      </w:r>
      <w:bookmarkEnd w:id="144"/>
      <w:bookmarkEnd w:id="145"/>
    </w:p>
    <w:p w14:paraId="2BBAE2D3" w14:textId="77777777" w:rsidR="000B75A7" w:rsidRPr="00B0157E" w:rsidRDefault="000B75A7" w:rsidP="00C33ED9">
      <w:pPr>
        <w:rPr>
          <w:b/>
          <w:lang w:val="en-AU"/>
        </w:rPr>
      </w:pPr>
      <w:r w:rsidRPr="00B0157E">
        <w:rPr>
          <w:b/>
          <w:lang w:val="en-AU"/>
        </w:rPr>
        <w:t>Recommendation</w:t>
      </w:r>
      <w:r w:rsidR="00866D48" w:rsidRPr="00B0157E">
        <w:rPr>
          <w:b/>
          <w:lang w:val="en-AU"/>
        </w:rPr>
        <w:t>s</w:t>
      </w:r>
      <w:r w:rsidRPr="00B0157E">
        <w:rPr>
          <w:b/>
          <w:lang w:val="en-AU"/>
        </w:rPr>
        <w:t xml:space="preserve"> </w:t>
      </w:r>
    </w:p>
    <w:p w14:paraId="3B9C88FA" w14:textId="77777777" w:rsidR="000B75A7" w:rsidRPr="00B0157E" w:rsidRDefault="000B75A7">
      <w:pPr>
        <w:pStyle w:val="01squarebullet"/>
        <w:rPr>
          <w:b/>
          <w:lang w:val="en-AU"/>
        </w:rPr>
      </w:pPr>
      <w:r w:rsidRPr="00B0157E">
        <w:rPr>
          <w:lang w:val="en-AU"/>
        </w:rPr>
        <w:t xml:space="preserve">Change </w:t>
      </w:r>
      <w:r w:rsidR="00F5108D" w:rsidRPr="00B0157E">
        <w:rPr>
          <w:lang w:val="en-AU"/>
        </w:rPr>
        <w:t xml:space="preserve">the </w:t>
      </w:r>
      <w:r w:rsidRPr="00B0157E">
        <w:rPr>
          <w:lang w:val="en-AU"/>
        </w:rPr>
        <w:t>wording in the item descriptor</w:t>
      </w:r>
      <w:r w:rsidR="00FB214B" w:rsidRPr="00B0157E">
        <w:rPr>
          <w:lang w:val="en-AU"/>
        </w:rPr>
        <w:t>,</w:t>
      </w:r>
      <w:r w:rsidRPr="00B0157E">
        <w:rPr>
          <w:lang w:val="en-AU"/>
        </w:rPr>
        <w:t xml:space="preserve"> </w:t>
      </w:r>
      <w:r w:rsidR="00870DF8" w:rsidRPr="00B0157E">
        <w:rPr>
          <w:lang w:val="en-AU"/>
        </w:rPr>
        <w:t xml:space="preserve">replacing </w:t>
      </w:r>
      <w:r w:rsidRPr="00B0157E">
        <w:rPr>
          <w:lang w:val="en-AU"/>
        </w:rPr>
        <w:t xml:space="preserve">“haemangiomas of infancy” </w:t>
      </w:r>
      <w:r w:rsidR="00581059" w:rsidRPr="00B0157E">
        <w:rPr>
          <w:lang w:val="en-AU"/>
        </w:rPr>
        <w:t xml:space="preserve">with </w:t>
      </w:r>
      <w:r w:rsidRPr="00B0157E">
        <w:rPr>
          <w:lang w:val="en-AU"/>
        </w:rPr>
        <w:t>“infantile haemangiomas</w:t>
      </w:r>
      <w:r w:rsidR="00311363" w:rsidRPr="00B0157E">
        <w:rPr>
          <w:lang w:val="en-AU"/>
        </w:rPr>
        <w:t>.</w:t>
      </w:r>
      <w:r w:rsidRPr="00B0157E">
        <w:rPr>
          <w:lang w:val="en-AU"/>
        </w:rPr>
        <w:t xml:space="preserve">” </w:t>
      </w:r>
    </w:p>
    <w:p w14:paraId="7F3FADDE" w14:textId="77777777" w:rsidR="000B75A7" w:rsidRPr="00B0157E" w:rsidRDefault="00A11658">
      <w:pPr>
        <w:pStyle w:val="01squarebullet"/>
        <w:rPr>
          <w:b/>
          <w:lang w:val="en-AU"/>
        </w:rPr>
      </w:pPr>
      <w:r w:rsidRPr="00B0157E">
        <w:rPr>
          <w:lang w:val="en-AU"/>
        </w:rPr>
        <w:t xml:space="preserve">Monitor </w:t>
      </w:r>
      <w:r w:rsidR="000B75A7" w:rsidRPr="00B0157E">
        <w:rPr>
          <w:lang w:val="en-AU"/>
        </w:rPr>
        <w:t xml:space="preserve">non-specialist providers to ensure </w:t>
      </w:r>
      <w:r w:rsidR="00D67B95" w:rsidRPr="00B0157E">
        <w:rPr>
          <w:lang w:val="en-AU"/>
        </w:rPr>
        <w:t xml:space="preserve">that </w:t>
      </w:r>
      <w:r w:rsidR="000B75A7" w:rsidRPr="00B0157E">
        <w:rPr>
          <w:lang w:val="en-AU"/>
        </w:rPr>
        <w:t>the item is being used properly.</w:t>
      </w:r>
    </w:p>
    <w:p w14:paraId="48FE0FB0" w14:textId="77777777" w:rsidR="000B75A7" w:rsidRPr="00B0157E" w:rsidRDefault="000B75A7">
      <w:pPr>
        <w:pStyle w:val="01squarebullet"/>
        <w:rPr>
          <w:b/>
          <w:lang w:val="en-AU"/>
        </w:rPr>
      </w:pPr>
      <w:r w:rsidRPr="00B0157E">
        <w:rPr>
          <w:lang w:val="en-AU"/>
        </w:rPr>
        <w:t xml:space="preserve">Include </w:t>
      </w:r>
      <w:r w:rsidR="00B73BC5" w:rsidRPr="00B0157E">
        <w:rPr>
          <w:lang w:val="en-AU"/>
        </w:rPr>
        <w:t xml:space="preserve">a </w:t>
      </w:r>
      <w:r w:rsidRPr="00B0157E">
        <w:rPr>
          <w:lang w:val="en-AU"/>
        </w:rPr>
        <w:t>requirement for all laser equipment to be TGA</w:t>
      </w:r>
      <w:r w:rsidR="00EE3B0E" w:rsidRPr="00B0157E">
        <w:rPr>
          <w:lang w:val="en-AU"/>
        </w:rPr>
        <w:t>-</w:t>
      </w:r>
      <w:r w:rsidRPr="00B0157E">
        <w:rPr>
          <w:lang w:val="en-AU"/>
        </w:rPr>
        <w:t>listed</w:t>
      </w:r>
      <w:r w:rsidR="00965CF0" w:rsidRPr="00B0157E">
        <w:rPr>
          <w:lang w:val="en-AU"/>
        </w:rPr>
        <w:t>.</w:t>
      </w:r>
      <w:r w:rsidRPr="00B0157E">
        <w:rPr>
          <w:lang w:val="en-AU"/>
        </w:rPr>
        <w:t xml:space="preserve"> </w:t>
      </w:r>
    </w:p>
    <w:p w14:paraId="55ACBE75" w14:textId="77777777" w:rsidR="003564D2" w:rsidRPr="00B0157E" w:rsidRDefault="003564D2">
      <w:pPr>
        <w:pStyle w:val="01squarebullet"/>
        <w:rPr>
          <w:b/>
          <w:lang w:val="en-AU"/>
        </w:rPr>
      </w:pPr>
      <w:r w:rsidRPr="00B0157E">
        <w:rPr>
          <w:lang w:val="en-AU"/>
        </w:rPr>
        <w:t xml:space="preserve">Include </w:t>
      </w:r>
      <w:r w:rsidR="0010480C" w:rsidRPr="00B0157E">
        <w:rPr>
          <w:lang w:val="en-AU"/>
        </w:rPr>
        <w:t xml:space="preserve">a </w:t>
      </w:r>
      <w:r w:rsidRPr="00B0157E">
        <w:rPr>
          <w:lang w:val="en-AU"/>
        </w:rPr>
        <w:t xml:space="preserve">requirement for photo evidence to be captured during treatment to </w:t>
      </w:r>
      <w:r w:rsidR="00D04546" w:rsidRPr="00B0157E">
        <w:rPr>
          <w:lang w:val="en-AU"/>
        </w:rPr>
        <w:t xml:space="preserve">assist providers </w:t>
      </w:r>
      <w:r w:rsidR="003A1F3C" w:rsidRPr="00B0157E">
        <w:rPr>
          <w:lang w:val="en-AU"/>
        </w:rPr>
        <w:t xml:space="preserve">with </w:t>
      </w:r>
      <w:r w:rsidRPr="00B0157E">
        <w:rPr>
          <w:lang w:val="en-AU"/>
        </w:rPr>
        <w:t>document</w:t>
      </w:r>
      <w:r w:rsidR="003A1F3C" w:rsidRPr="00B0157E">
        <w:rPr>
          <w:lang w:val="en-AU"/>
        </w:rPr>
        <w:t>ing</w:t>
      </w:r>
      <w:r w:rsidRPr="00B0157E">
        <w:rPr>
          <w:lang w:val="en-AU"/>
        </w:rPr>
        <w:t xml:space="preserve"> compliance </w:t>
      </w:r>
      <w:r w:rsidR="00DB231E" w:rsidRPr="00B0157E">
        <w:rPr>
          <w:lang w:val="en-AU"/>
        </w:rPr>
        <w:t xml:space="preserve">with </w:t>
      </w:r>
      <w:r w:rsidRPr="00B0157E">
        <w:rPr>
          <w:lang w:val="en-AU"/>
        </w:rPr>
        <w:t xml:space="preserve">the item descriptor. </w:t>
      </w:r>
    </w:p>
    <w:p w14:paraId="5F138171" w14:textId="77777777" w:rsidR="000B75A7" w:rsidRPr="00B0157E" w:rsidRDefault="000B75A7" w:rsidP="00C33ED9">
      <w:pPr>
        <w:rPr>
          <w:b/>
          <w:lang w:val="en-AU"/>
        </w:rPr>
      </w:pPr>
      <w:r w:rsidRPr="00B0157E">
        <w:rPr>
          <w:b/>
          <w:lang w:val="en-AU"/>
        </w:rPr>
        <w:t>Rationale</w:t>
      </w:r>
    </w:p>
    <w:p w14:paraId="0A59BE52" w14:textId="77777777" w:rsidR="000B75A7" w:rsidRPr="00B0157E" w:rsidRDefault="004F336B" w:rsidP="00C33ED9">
      <w:pPr>
        <w:rPr>
          <w:lang w:val="en-AU"/>
        </w:rPr>
      </w:pPr>
      <w:r w:rsidRPr="00B0157E">
        <w:rPr>
          <w:lang w:val="en-AU"/>
        </w:rPr>
        <w:t>The r</w:t>
      </w:r>
      <w:r w:rsidR="000B75A7" w:rsidRPr="00B0157E">
        <w:rPr>
          <w:lang w:val="en-AU"/>
        </w:rPr>
        <w:t>ecommendations focus on patient care and modernising the MBS</w:t>
      </w:r>
      <w:r w:rsidR="00620C4C" w:rsidRPr="00B0157E">
        <w:rPr>
          <w:lang w:val="en-AU"/>
        </w:rPr>
        <w:t>.</w:t>
      </w:r>
      <w:r w:rsidR="000B75A7" w:rsidRPr="00B0157E">
        <w:rPr>
          <w:lang w:val="en-AU"/>
        </w:rPr>
        <w:t xml:space="preserve"> </w:t>
      </w:r>
      <w:r w:rsidR="00620C4C" w:rsidRPr="00B0157E">
        <w:rPr>
          <w:lang w:val="en-AU"/>
        </w:rPr>
        <w:t>T</w:t>
      </w:r>
      <w:r w:rsidR="000B75A7" w:rsidRPr="00B0157E">
        <w:rPr>
          <w:lang w:val="en-AU"/>
        </w:rPr>
        <w:t xml:space="preserve">hey </w:t>
      </w:r>
      <w:r w:rsidR="008A1014" w:rsidRPr="00B0157E">
        <w:rPr>
          <w:lang w:val="en-AU"/>
        </w:rPr>
        <w:t xml:space="preserve">are </w:t>
      </w:r>
      <w:r w:rsidR="00345693" w:rsidRPr="00B0157E">
        <w:rPr>
          <w:lang w:val="en-AU"/>
        </w:rPr>
        <w:t>based on the following observations</w:t>
      </w:r>
      <w:r w:rsidR="000B75A7" w:rsidRPr="00B0157E">
        <w:rPr>
          <w:lang w:val="en-AU"/>
        </w:rPr>
        <w:t xml:space="preserve">. </w:t>
      </w:r>
    </w:p>
    <w:p w14:paraId="2FE70357" w14:textId="77777777" w:rsidR="000B75A7" w:rsidRPr="00B0157E" w:rsidRDefault="000B75A7">
      <w:pPr>
        <w:pStyle w:val="01squarebullet"/>
        <w:rPr>
          <w:lang w:val="en-AU"/>
        </w:rPr>
      </w:pPr>
      <w:r w:rsidRPr="00B0157E">
        <w:rPr>
          <w:lang w:val="en-AU"/>
        </w:rPr>
        <w:t xml:space="preserve">The wording of the item descriptors should be changed to reflect modern medical terminology. </w:t>
      </w:r>
    </w:p>
    <w:p w14:paraId="4C77F93F" w14:textId="77777777" w:rsidR="000B75A7" w:rsidRPr="00B0157E" w:rsidRDefault="00EE3B0E">
      <w:pPr>
        <w:pStyle w:val="01squarebullet"/>
        <w:rPr>
          <w:lang w:val="en-AU"/>
        </w:rPr>
      </w:pPr>
      <w:r w:rsidRPr="00B0157E">
        <w:rPr>
          <w:lang w:val="en-AU"/>
        </w:rPr>
        <w:t xml:space="preserve">The Committee noted that </w:t>
      </w:r>
      <w:r w:rsidR="000B75A7" w:rsidRPr="00B0157E">
        <w:rPr>
          <w:lang w:val="en-AU"/>
        </w:rPr>
        <w:t>paediatric dermatologists</w:t>
      </w:r>
      <w:r w:rsidR="00BA2CAF" w:rsidRPr="00B0157E">
        <w:rPr>
          <w:lang w:val="en-AU"/>
        </w:rPr>
        <w:t xml:space="preserve"> should be the primary users of this item</w:t>
      </w:r>
      <w:r w:rsidRPr="00B0157E">
        <w:rPr>
          <w:lang w:val="en-AU"/>
        </w:rPr>
        <w:t xml:space="preserve">, but </w:t>
      </w:r>
      <w:r w:rsidR="005867E2" w:rsidRPr="00B0157E">
        <w:rPr>
          <w:lang w:val="en-AU"/>
        </w:rPr>
        <w:t xml:space="preserve">that </w:t>
      </w:r>
      <w:r w:rsidRPr="00B0157E">
        <w:rPr>
          <w:lang w:val="en-AU"/>
        </w:rPr>
        <w:t xml:space="preserve">GPs </w:t>
      </w:r>
      <w:r w:rsidR="008F2954" w:rsidRPr="00B0157E">
        <w:rPr>
          <w:lang w:val="en-AU"/>
        </w:rPr>
        <w:t xml:space="preserve">who bill this item </w:t>
      </w:r>
      <w:r w:rsidRPr="00B0157E">
        <w:rPr>
          <w:lang w:val="en-AU"/>
        </w:rPr>
        <w:t xml:space="preserve">currently </w:t>
      </w:r>
      <w:r w:rsidR="008C24EF" w:rsidRPr="00B0157E">
        <w:rPr>
          <w:lang w:val="en-AU"/>
        </w:rPr>
        <w:t xml:space="preserve">account for </w:t>
      </w:r>
      <w:r w:rsidR="000B75A7" w:rsidRPr="00B0157E">
        <w:rPr>
          <w:lang w:val="en-AU"/>
        </w:rPr>
        <w:t>69</w:t>
      </w:r>
      <w:r w:rsidR="008C24EF" w:rsidRPr="00B0157E">
        <w:rPr>
          <w:lang w:val="en-AU"/>
        </w:rPr>
        <w:t xml:space="preserve"> per cent</w:t>
      </w:r>
      <w:r w:rsidR="000B75A7" w:rsidRPr="00B0157E">
        <w:rPr>
          <w:lang w:val="en-AU"/>
        </w:rPr>
        <w:t xml:space="preserve"> </w:t>
      </w:r>
      <w:r w:rsidRPr="00B0157E">
        <w:rPr>
          <w:lang w:val="en-AU"/>
        </w:rPr>
        <w:t>of usage volumes.</w:t>
      </w:r>
      <w:r w:rsidR="00595019" w:rsidRPr="00B0157E">
        <w:rPr>
          <w:lang w:val="en-AU"/>
        </w:rPr>
        <w:fldChar w:fldCharType="begin" w:fldLock="1"/>
      </w:r>
      <w:r w:rsidR="00595019"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COGNOS", "type" : "report" }, "uris" : [ "http://www.mendeley.com/documents/?uuid=0c6a31be-a58c-4483-bca9-b8a96ba7acd4" ] } ], "mendeley" : { "formattedCitation" : "[12]", "plainTextFormattedCitation" : "[12]", "previouslyFormattedCitation" : "[12]" }, "properties" : { "noteIndex" : 0 }, "schema" : "https://github.com/citation-style-language/schema/raw/master/csl-citation.json" }</w:instrText>
      </w:r>
      <w:r w:rsidR="00595019" w:rsidRPr="00B0157E">
        <w:rPr>
          <w:lang w:val="en-AU"/>
        </w:rPr>
        <w:fldChar w:fldCharType="separate"/>
      </w:r>
      <w:r w:rsidR="00595019" w:rsidRPr="00B0157E">
        <w:rPr>
          <w:lang w:val="en-AU"/>
        </w:rPr>
        <w:t>[12]</w:t>
      </w:r>
      <w:r w:rsidR="00595019" w:rsidRPr="00B0157E">
        <w:rPr>
          <w:lang w:val="en-AU"/>
        </w:rPr>
        <w:fldChar w:fldCharType="end"/>
      </w:r>
    </w:p>
    <w:p w14:paraId="31A1BB28" w14:textId="77777777" w:rsidR="003916C0" w:rsidRPr="00B0157E" w:rsidRDefault="003564D2">
      <w:pPr>
        <w:pStyle w:val="01squarebullet"/>
        <w:rPr>
          <w:lang w:val="en-AU"/>
        </w:rPr>
      </w:pPr>
      <w:r w:rsidRPr="00B0157E">
        <w:rPr>
          <w:lang w:val="en-AU"/>
        </w:rPr>
        <w:t xml:space="preserve">The </w:t>
      </w:r>
      <w:r w:rsidR="00C9724F" w:rsidRPr="00B0157E">
        <w:rPr>
          <w:lang w:val="en-AU"/>
        </w:rPr>
        <w:t>Department</w:t>
      </w:r>
      <w:r w:rsidR="009C3A45" w:rsidRPr="00B0157E">
        <w:rPr>
          <w:lang w:val="en-AU"/>
        </w:rPr>
        <w:t xml:space="preserve"> informed the </w:t>
      </w:r>
      <w:r w:rsidRPr="00B0157E">
        <w:rPr>
          <w:lang w:val="en-AU"/>
        </w:rPr>
        <w:t xml:space="preserve">Committee that providers </w:t>
      </w:r>
      <w:r w:rsidR="001B4E66" w:rsidRPr="00B0157E">
        <w:rPr>
          <w:lang w:val="en-AU"/>
        </w:rPr>
        <w:t>must produce</w:t>
      </w:r>
      <w:r w:rsidRPr="00B0157E">
        <w:rPr>
          <w:lang w:val="en-AU"/>
        </w:rPr>
        <w:t xml:space="preserve"> evidence that they are compliant with the item descriptor, </w:t>
      </w:r>
      <w:r w:rsidR="0079038C" w:rsidRPr="00B0157E">
        <w:rPr>
          <w:lang w:val="en-AU"/>
        </w:rPr>
        <w:t xml:space="preserve">and that </w:t>
      </w:r>
      <w:r w:rsidR="0047299F" w:rsidRPr="00B0157E">
        <w:rPr>
          <w:lang w:val="en-AU"/>
        </w:rPr>
        <w:t>it is</w:t>
      </w:r>
      <w:r w:rsidR="0079038C" w:rsidRPr="00B0157E">
        <w:rPr>
          <w:lang w:val="en-AU"/>
        </w:rPr>
        <w:t xml:space="preserve"> </w:t>
      </w:r>
      <w:r w:rsidRPr="00B0157E">
        <w:rPr>
          <w:lang w:val="en-AU"/>
        </w:rPr>
        <w:t xml:space="preserve">unlikely </w:t>
      </w:r>
      <w:r w:rsidR="003F7460" w:rsidRPr="00B0157E">
        <w:rPr>
          <w:lang w:val="en-AU"/>
        </w:rPr>
        <w:t xml:space="preserve">that this is </w:t>
      </w:r>
      <w:r w:rsidRPr="00B0157E">
        <w:rPr>
          <w:lang w:val="en-AU"/>
        </w:rPr>
        <w:t>occurring at the moment. The Committee recommended a simple solution</w:t>
      </w:r>
      <w:r w:rsidR="004924C5" w:rsidRPr="00B0157E">
        <w:rPr>
          <w:lang w:val="en-AU"/>
        </w:rPr>
        <w:t>: require</w:t>
      </w:r>
      <w:r w:rsidRPr="00B0157E">
        <w:rPr>
          <w:lang w:val="en-AU"/>
        </w:rPr>
        <w:t xml:space="preserve"> providers to capture photographic evidence, as cameras are available and used by most provider</w:t>
      </w:r>
      <w:r w:rsidR="00B71C5B" w:rsidRPr="00B0157E">
        <w:rPr>
          <w:lang w:val="en-AU"/>
        </w:rPr>
        <w:t>s (</w:t>
      </w:r>
      <w:r w:rsidRPr="00B0157E">
        <w:rPr>
          <w:lang w:val="en-AU"/>
        </w:rPr>
        <w:t>especially to highlight to patients the impact of their treatment</w:t>
      </w:r>
      <w:r w:rsidR="00B71C5B" w:rsidRPr="00B0157E">
        <w:rPr>
          <w:lang w:val="en-AU"/>
        </w:rPr>
        <w:t>)</w:t>
      </w:r>
      <w:r w:rsidRPr="00B0157E">
        <w:rPr>
          <w:lang w:val="en-AU"/>
        </w:rPr>
        <w:t>.</w:t>
      </w:r>
      <w:r w:rsidR="004A352E">
        <w:rPr>
          <w:lang w:val="en-AU"/>
        </w:rPr>
        <w:t xml:space="preserve"> </w:t>
      </w:r>
    </w:p>
    <w:p w14:paraId="2495BC22" w14:textId="77777777" w:rsidR="000B75A7" w:rsidRPr="00B0157E" w:rsidRDefault="003A34B4" w:rsidP="00C33ED9">
      <w:pPr>
        <w:pStyle w:val="Heading2"/>
        <w:rPr>
          <w:lang w:val="en-AU"/>
        </w:rPr>
      </w:pPr>
      <w:bookmarkStart w:id="146" w:name="_Toc454380204"/>
      <w:bookmarkStart w:id="147" w:name="_Toc458774437"/>
      <w:bookmarkStart w:id="148" w:name="_Toc465871875"/>
      <w:r w:rsidRPr="00B0157E">
        <w:rPr>
          <w:lang w:val="en-AU"/>
        </w:rPr>
        <w:t>Mohs</w:t>
      </w:r>
      <w:r w:rsidR="00A51F62" w:rsidRPr="00B0157E">
        <w:rPr>
          <w:lang w:val="en-AU"/>
        </w:rPr>
        <w:t>:</w:t>
      </w:r>
      <w:r w:rsidR="00A40114" w:rsidRPr="00B0157E">
        <w:rPr>
          <w:lang w:val="en-AU"/>
        </w:rPr>
        <w:t xml:space="preserve"> </w:t>
      </w:r>
      <w:r w:rsidR="00A51F62" w:rsidRPr="00B0157E">
        <w:rPr>
          <w:lang w:val="en-AU"/>
        </w:rPr>
        <w:t>I</w:t>
      </w:r>
      <w:r w:rsidR="00A40114" w:rsidRPr="00B0157E">
        <w:rPr>
          <w:lang w:val="en-AU"/>
        </w:rPr>
        <w:t xml:space="preserve">tems </w:t>
      </w:r>
      <w:r w:rsidR="000B75A7" w:rsidRPr="00B0157E">
        <w:rPr>
          <w:lang w:val="en-AU"/>
        </w:rPr>
        <w:t>31000</w:t>
      </w:r>
      <w:r w:rsidR="00920EA8" w:rsidRPr="00B0157E">
        <w:rPr>
          <w:lang w:val="en-AU"/>
        </w:rPr>
        <w:t>–</w:t>
      </w:r>
      <w:r w:rsidR="000B75A7" w:rsidRPr="00B0157E">
        <w:rPr>
          <w:lang w:val="en-AU"/>
        </w:rPr>
        <w:t>31002</w:t>
      </w:r>
      <w:bookmarkEnd w:id="146"/>
      <w:bookmarkEnd w:id="147"/>
      <w:bookmarkEnd w:id="148"/>
    </w:p>
    <w:p w14:paraId="1F5F2C96" w14:textId="77777777" w:rsidR="001B136D" w:rsidRPr="00B0157E" w:rsidRDefault="001B136D" w:rsidP="00C33ED9">
      <w:pPr>
        <w:pStyle w:val="Caption"/>
        <w:rPr>
          <w:lang w:val="en-AU"/>
        </w:rPr>
      </w:pPr>
      <w:bookmarkStart w:id="149" w:name="_Toc457520569"/>
      <w:bookmarkStart w:id="150" w:name="_Toc459236297"/>
      <w:bookmarkStart w:id="151" w:name="_Toc465871832"/>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9</w:t>
      </w:r>
      <w:r w:rsidR="00C1346F" w:rsidRPr="00B0157E">
        <w:rPr>
          <w:lang w:val="en-AU"/>
        </w:rPr>
        <w:fldChar w:fldCharType="end"/>
      </w:r>
      <w:r w:rsidRPr="00B0157E">
        <w:rPr>
          <w:lang w:val="en-AU"/>
        </w:rPr>
        <w:t xml:space="preserve">: </w:t>
      </w:r>
      <w:r w:rsidR="00645AAB" w:rsidRPr="00B0157E">
        <w:rPr>
          <w:lang w:val="en-AU"/>
        </w:rPr>
        <w:t xml:space="preserve">Item introduction table for items </w:t>
      </w:r>
      <w:r w:rsidRPr="00B0157E">
        <w:rPr>
          <w:lang w:val="en-AU"/>
        </w:rPr>
        <w:t>31000</w:t>
      </w:r>
      <w:r w:rsidR="00A256A1" w:rsidRPr="00B0157E">
        <w:rPr>
          <w:lang w:val="en-AU"/>
        </w:rPr>
        <w:t>–2</w:t>
      </w:r>
      <w:bookmarkEnd w:id="149"/>
      <w:bookmarkEnd w:id="150"/>
      <w:bookmarkEnd w:id="151"/>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9 is an item introduction table for items 31000 and 31002 which are for Mohs.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1B136D" w:rsidRPr="00B0157E" w14:paraId="5EF526D3" w14:textId="77777777">
        <w:trPr>
          <w:tblHeader/>
        </w:trPr>
        <w:tc>
          <w:tcPr>
            <w:tcW w:w="717" w:type="dxa"/>
            <w:shd w:val="clear" w:color="auto" w:fill="F2F2F2" w:themeFill="background1" w:themeFillShade="F2"/>
            <w:vAlign w:val="bottom"/>
          </w:tcPr>
          <w:p w14:paraId="213E2DDE" w14:textId="77777777" w:rsidR="001B136D" w:rsidRPr="00B0157E" w:rsidRDefault="001B136D" w:rsidP="006954F6">
            <w:pPr>
              <w:pStyle w:val="02Tabletext"/>
              <w:spacing w:after="20"/>
              <w:rPr>
                <w:b/>
              </w:rPr>
            </w:pPr>
            <w:r w:rsidRPr="00B0157E">
              <w:rPr>
                <w:b/>
              </w:rPr>
              <w:t>Item</w:t>
            </w:r>
          </w:p>
        </w:tc>
        <w:tc>
          <w:tcPr>
            <w:tcW w:w="4119" w:type="dxa"/>
            <w:shd w:val="clear" w:color="auto" w:fill="F2F2F2" w:themeFill="background1" w:themeFillShade="F2"/>
            <w:vAlign w:val="bottom"/>
          </w:tcPr>
          <w:p w14:paraId="69725A0A" w14:textId="77777777" w:rsidR="001B136D" w:rsidRPr="00B0157E" w:rsidRDefault="001B136D" w:rsidP="006954F6">
            <w:pPr>
              <w:pStyle w:val="02Tabletext"/>
              <w:spacing w:after="20"/>
              <w:rPr>
                <w:b/>
              </w:rPr>
            </w:pPr>
            <w:r w:rsidRPr="00B0157E">
              <w:rPr>
                <w:b/>
              </w:rPr>
              <w:t>Descriptor</w:t>
            </w:r>
          </w:p>
          <w:p w14:paraId="62F51AE8" w14:textId="77777777" w:rsidR="001B136D" w:rsidRPr="00B0157E" w:rsidRDefault="001B136D" w:rsidP="006954F6">
            <w:pPr>
              <w:pStyle w:val="02Tabletext"/>
              <w:spacing w:after="20"/>
              <w:rPr>
                <w:b/>
              </w:rPr>
            </w:pPr>
            <w:r w:rsidRPr="00B0157E">
              <w:rPr>
                <w:b/>
              </w:rPr>
              <w:t>[date last amended]</w:t>
            </w:r>
          </w:p>
        </w:tc>
        <w:tc>
          <w:tcPr>
            <w:tcW w:w="917" w:type="dxa"/>
            <w:shd w:val="clear" w:color="auto" w:fill="F2F2F2" w:themeFill="background1" w:themeFillShade="F2"/>
            <w:vAlign w:val="bottom"/>
          </w:tcPr>
          <w:p w14:paraId="701617FC" w14:textId="77777777" w:rsidR="001B136D" w:rsidRPr="00B0157E" w:rsidRDefault="001B136D" w:rsidP="006954F6">
            <w:pPr>
              <w:pStyle w:val="02Tabletext"/>
              <w:spacing w:after="20"/>
              <w:rPr>
                <w:b/>
              </w:rPr>
            </w:pPr>
            <w:r w:rsidRPr="00B0157E">
              <w:rPr>
                <w:b/>
              </w:rPr>
              <w:t>Schedule</w:t>
            </w:r>
          </w:p>
          <w:p w14:paraId="1AA3195B" w14:textId="77777777" w:rsidR="001B136D" w:rsidRPr="00B0157E" w:rsidRDefault="001B136D" w:rsidP="006954F6">
            <w:pPr>
              <w:pStyle w:val="02Tabletext"/>
              <w:spacing w:after="20"/>
              <w:rPr>
                <w:b/>
              </w:rPr>
            </w:pPr>
            <w:r w:rsidRPr="00B0157E">
              <w:rPr>
                <w:b/>
              </w:rPr>
              <w:t>fee</w:t>
            </w:r>
          </w:p>
        </w:tc>
        <w:tc>
          <w:tcPr>
            <w:tcW w:w="997" w:type="dxa"/>
            <w:shd w:val="clear" w:color="auto" w:fill="F2F2F2" w:themeFill="background1" w:themeFillShade="F2"/>
            <w:vAlign w:val="bottom"/>
          </w:tcPr>
          <w:p w14:paraId="7E1086CE" w14:textId="77777777" w:rsidR="001B136D" w:rsidRPr="00B0157E" w:rsidRDefault="001B136D" w:rsidP="006954F6">
            <w:pPr>
              <w:pStyle w:val="02Tabletext"/>
              <w:spacing w:after="20"/>
              <w:rPr>
                <w:b/>
              </w:rPr>
            </w:pPr>
            <w:r w:rsidRPr="00B0157E">
              <w:rPr>
                <w:b/>
              </w:rPr>
              <w:t>Services FY2014/15</w:t>
            </w:r>
          </w:p>
        </w:tc>
        <w:tc>
          <w:tcPr>
            <w:tcW w:w="1080" w:type="dxa"/>
            <w:shd w:val="clear" w:color="auto" w:fill="F2F2F2" w:themeFill="background1" w:themeFillShade="F2"/>
            <w:vAlign w:val="bottom"/>
          </w:tcPr>
          <w:p w14:paraId="5B10895E" w14:textId="77777777" w:rsidR="001B136D" w:rsidRPr="00B0157E" w:rsidRDefault="001B136D" w:rsidP="006954F6">
            <w:pPr>
              <w:pStyle w:val="02Tabletext"/>
              <w:spacing w:after="20"/>
              <w:rPr>
                <w:b/>
              </w:rPr>
            </w:pPr>
            <w:r w:rsidRPr="00B0157E">
              <w:rPr>
                <w:b/>
              </w:rPr>
              <w:t>Benefits FY2014/15</w:t>
            </w:r>
          </w:p>
        </w:tc>
        <w:tc>
          <w:tcPr>
            <w:tcW w:w="1196" w:type="dxa"/>
            <w:shd w:val="clear" w:color="auto" w:fill="F2F2F2" w:themeFill="background1" w:themeFillShade="F2"/>
            <w:vAlign w:val="bottom"/>
          </w:tcPr>
          <w:p w14:paraId="2472B0CB" w14:textId="77777777" w:rsidR="001B136D" w:rsidRPr="00B0157E" w:rsidRDefault="009A7890" w:rsidP="006954F6">
            <w:pPr>
              <w:pStyle w:val="02Tabletext"/>
              <w:spacing w:after="20"/>
              <w:rPr>
                <w:b/>
              </w:rPr>
            </w:pPr>
            <w:r>
              <w:rPr>
                <w:b/>
              </w:rPr>
              <w:t>Services 5-</w:t>
            </w:r>
            <w:r w:rsidR="001B136D" w:rsidRPr="00B0157E">
              <w:rPr>
                <w:b/>
              </w:rPr>
              <w:t>year annual avg. growth</w:t>
            </w:r>
          </w:p>
        </w:tc>
      </w:tr>
      <w:tr w:rsidR="001B136D" w:rsidRPr="00B0157E" w14:paraId="4F1984F4" w14:textId="77777777">
        <w:tc>
          <w:tcPr>
            <w:tcW w:w="717" w:type="dxa"/>
          </w:tcPr>
          <w:p w14:paraId="7DDF46A3" w14:textId="77777777" w:rsidR="001B136D" w:rsidRPr="00B0157E" w:rsidRDefault="00653696" w:rsidP="006954F6">
            <w:pPr>
              <w:pStyle w:val="02Tabletext"/>
              <w:spacing w:after="20"/>
            </w:pPr>
            <w:r w:rsidRPr="00B0157E">
              <w:rPr>
                <w:rFonts w:cs="Arial"/>
                <w:szCs w:val="18"/>
              </w:rPr>
              <w:t>31000</w:t>
            </w:r>
          </w:p>
        </w:tc>
        <w:tc>
          <w:tcPr>
            <w:tcW w:w="4119" w:type="dxa"/>
          </w:tcPr>
          <w:p w14:paraId="79A5E12F" w14:textId="77777777" w:rsidR="001B136D" w:rsidRPr="00B0157E" w:rsidRDefault="00653696" w:rsidP="00B62F0A">
            <w:pPr>
              <w:pStyle w:val="02Tabletext"/>
              <w:spacing w:after="20"/>
            </w:pPr>
            <w:r w:rsidRPr="00B0157E">
              <w:rPr>
                <w:rFonts w:cs="Arial"/>
                <w:szCs w:val="18"/>
              </w:rPr>
              <w:t>M</w:t>
            </w:r>
            <w:r w:rsidR="00B62F0A" w:rsidRPr="00B0157E">
              <w:rPr>
                <w:rFonts w:cs="Arial"/>
                <w:szCs w:val="18"/>
              </w:rPr>
              <w:t>icrographically</w:t>
            </w:r>
            <w:r w:rsidRPr="00B0157E">
              <w:rPr>
                <w:rFonts w:cs="Arial"/>
                <w:szCs w:val="18"/>
              </w:rPr>
              <w:t xml:space="preserve"> </w:t>
            </w:r>
            <w:r w:rsidR="00B62F0A" w:rsidRPr="00B0157E">
              <w:rPr>
                <w:rFonts w:cs="Arial"/>
                <w:szCs w:val="18"/>
              </w:rPr>
              <w:t>controlled serial excision</w:t>
            </w:r>
            <w:r w:rsidRPr="00B0157E">
              <w:rPr>
                <w:rFonts w:cs="Arial"/>
                <w:szCs w:val="18"/>
              </w:rPr>
              <w:t xml:space="preserve"> of skin tumour utilising horizontal frozen sections with mapping of all excised tissue, and histological examination of all excised tissue by the specialist performing the procedure </w:t>
            </w:r>
            <w:r w:rsidR="00C84DDC" w:rsidRPr="00B0157E">
              <w:rPr>
                <w:rFonts w:cs="Arial"/>
                <w:szCs w:val="18"/>
              </w:rPr>
              <w:t>–</w:t>
            </w:r>
            <w:r w:rsidRPr="00B0157E">
              <w:rPr>
                <w:rFonts w:cs="Arial"/>
                <w:szCs w:val="18"/>
              </w:rPr>
              <w:t xml:space="preserve"> 6 or fewer sections</w:t>
            </w:r>
            <w:r w:rsidR="00C84DDC" w:rsidRPr="00B0157E">
              <w:rPr>
                <w:rFonts w:cs="Arial"/>
                <w:szCs w:val="18"/>
              </w:rPr>
              <w:t>.</w:t>
            </w:r>
            <w:r w:rsidR="00A76517" w:rsidRPr="00B0157E">
              <w:rPr>
                <w:rFonts w:cs="Arial"/>
                <w:szCs w:val="18"/>
              </w:rPr>
              <w:t xml:space="preserve"> [1995]</w:t>
            </w:r>
          </w:p>
        </w:tc>
        <w:tc>
          <w:tcPr>
            <w:tcW w:w="917" w:type="dxa"/>
          </w:tcPr>
          <w:p w14:paraId="6BBCBF95" w14:textId="77777777" w:rsidR="001B136D" w:rsidRPr="00B0157E" w:rsidRDefault="00653696" w:rsidP="006954F6">
            <w:pPr>
              <w:pStyle w:val="02Tabletext"/>
              <w:spacing w:after="20"/>
              <w:jc w:val="center"/>
            </w:pPr>
            <w:r w:rsidRPr="00B0157E">
              <w:rPr>
                <w:rFonts w:cs="Arial"/>
                <w:szCs w:val="18"/>
              </w:rPr>
              <w:t>580.90</w:t>
            </w:r>
          </w:p>
        </w:tc>
        <w:tc>
          <w:tcPr>
            <w:tcW w:w="997" w:type="dxa"/>
          </w:tcPr>
          <w:p w14:paraId="430EAC8B" w14:textId="77777777" w:rsidR="001B136D" w:rsidRPr="00B0157E" w:rsidRDefault="00653696" w:rsidP="006954F6">
            <w:pPr>
              <w:pStyle w:val="02Tabletext"/>
              <w:spacing w:after="20"/>
              <w:jc w:val="center"/>
            </w:pPr>
            <w:r w:rsidRPr="00B0157E">
              <w:rPr>
                <w:rFonts w:cs="Arial"/>
                <w:bCs/>
                <w:color w:val="000000"/>
                <w:szCs w:val="18"/>
              </w:rPr>
              <w:t>9,076</w:t>
            </w:r>
          </w:p>
        </w:tc>
        <w:tc>
          <w:tcPr>
            <w:tcW w:w="1080" w:type="dxa"/>
          </w:tcPr>
          <w:p w14:paraId="24FE1C40" w14:textId="77777777" w:rsidR="001B136D" w:rsidRPr="00B0157E" w:rsidRDefault="00653696" w:rsidP="006954F6">
            <w:pPr>
              <w:pStyle w:val="02Tabletext"/>
              <w:spacing w:after="20"/>
              <w:jc w:val="center"/>
            </w:pPr>
            <w:r w:rsidRPr="00B0157E">
              <w:rPr>
                <w:rFonts w:cs="Arial"/>
                <w:bCs/>
                <w:color w:val="000000"/>
                <w:szCs w:val="18"/>
              </w:rPr>
              <w:t>$3,872,553</w:t>
            </w:r>
          </w:p>
        </w:tc>
        <w:tc>
          <w:tcPr>
            <w:tcW w:w="1196" w:type="dxa"/>
          </w:tcPr>
          <w:p w14:paraId="438E8F3A" w14:textId="77777777" w:rsidR="001B136D" w:rsidRPr="00B0157E" w:rsidRDefault="00653696" w:rsidP="006954F6">
            <w:pPr>
              <w:pStyle w:val="02Tabletext"/>
              <w:spacing w:after="20"/>
              <w:jc w:val="center"/>
            </w:pPr>
            <w:r w:rsidRPr="00B0157E">
              <w:t>8.00%</w:t>
            </w:r>
          </w:p>
        </w:tc>
      </w:tr>
      <w:tr w:rsidR="001B136D" w:rsidRPr="00B0157E" w14:paraId="0A23E74B" w14:textId="77777777">
        <w:tc>
          <w:tcPr>
            <w:tcW w:w="717" w:type="dxa"/>
          </w:tcPr>
          <w:p w14:paraId="210E5929" w14:textId="77777777" w:rsidR="001B136D" w:rsidRPr="00B0157E" w:rsidRDefault="00653696" w:rsidP="006954F6">
            <w:pPr>
              <w:pStyle w:val="02Tabletext"/>
              <w:spacing w:after="20"/>
            </w:pPr>
            <w:r w:rsidRPr="00B0157E">
              <w:rPr>
                <w:rFonts w:cs="Arial"/>
                <w:szCs w:val="18"/>
              </w:rPr>
              <w:lastRenderedPageBreak/>
              <w:t>31001</w:t>
            </w:r>
          </w:p>
        </w:tc>
        <w:tc>
          <w:tcPr>
            <w:tcW w:w="4119" w:type="dxa"/>
          </w:tcPr>
          <w:p w14:paraId="3E7F4F8A" w14:textId="77777777" w:rsidR="001B136D" w:rsidRPr="00B0157E" w:rsidRDefault="000145E9" w:rsidP="000145E9">
            <w:pPr>
              <w:pStyle w:val="02Tabletext"/>
              <w:spacing w:after="20"/>
            </w:pPr>
            <w:r w:rsidRPr="00B0157E">
              <w:rPr>
                <w:rFonts w:cs="Arial"/>
                <w:szCs w:val="18"/>
              </w:rPr>
              <w:t xml:space="preserve"> </w:t>
            </w:r>
            <w:r w:rsidR="00653696" w:rsidRPr="00B0157E">
              <w:rPr>
                <w:rFonts w:cs="Arial"/>
                <w:szCs w:val="18"/>
              </w:rPr>
              <w:t>7 to 12 sections (inclusive)</w:t>
            </w:r>
            <w:r w:rsidR="00833C4C" w:rsidRPr="00B0157E">
              <w:rPr>
                <w:rFonts w:cs="Arial"/>
                <w:szCs w:val="18"/>
              </w:rPr>
              <w:t>.</w:t>
            </w:r>
            <w:r w:rsidR="00A76517" w:rsidRPr="00B0157E">
              <w:rPr>
                <w:rFonts w:cs="Arial"/>
                <w:szCs w:val="18"/>
              </w:rPr>
              <w:t xml:space="preserve"> [1995]</w:t>
            </w:r>
          </w:p>
        </w:tc>
        <w:tc>
          <w:tcPr>
            <w:tcW w:w="917" w:type="dxa"/>
          </w:tcPr>
          <w:p w14:paraId="351B2C36" w14:textId="77777777" w:rsidR="001B136D" w:rsidRPr="00B0157E" w:rsidRDefault="00653696" w:rsidP="006954F6">
            <w:pPr>
              <w:pStyle w:val="02Tabletext"/>
              <w:spacing w:after="20"/>
              <w:jc w:val="center"/>
            </w:pPr>
            <w:r w:rsidRPr="00B0157E">
              <w:rPr>
                <w:rFonts w:cs="Arial"/>
                <w:szCs w:val="18"/>
              </w:rPr>
              <w:t>726.05</w:t>
            </w:r>
          </w:p>
        </w:tc>
        <w:tc>
          <w:tcPr>
            <w:tcW w:w="997" w:type="dxa"/>
          </w:tcPr>
          <w:p w14:paraId="6E7BED9B" w14:textId="77777777" w:rsidR="001B136D" w:rsidRPr="00B0157E" w:rsidRDefault="00653696" w:rsidP="006954F6">
            <w:pPr>
              <w:pStyle w:val="02Tabletext"/>
              <w:spacing w:after="20"/>
              <w:jc w:val="center"/>
            </w:pPr>
            <w:r w:rsidRPr="00B0157E">
              <w:rPr>
                <w:rFonts w:cs="Arial"/>
                <w:bCs/>
                <w:color w:val="000000"/>
                <w:szCs w:val="18"/>
              </w:rPr>
              <w:t>3,110</w:t>
            </w:r>
          </w:p>
        </w:tc>
        <w:tc>
          <w:tcPr>
            <w:tcW w:w="1080" w:type="dxa"/>
          </w:tcPr>
          <w:p w14:paraId="235732EB" w14:textId="77777777" w:rsidR="001B136D" w:rsidRPr="00B0157E" w:rsidRDefault="00653696" w:rsidP="006954F6">
            <w:pPr>
              <w:pStyle w:val="02Tabletext"/>
              <w:spacing w:after="20"/>
              <w:jc w:val="center"/>
            </w:pPr>
            <w:r w:rsidRPr="00B0157E">
              <w:rPr>
                <w:rFonts w:cs="Arial"/>
                <w:bCs/>
                <w:color w:val="000000"/>
                <w:szCs w:val="18"/>
              </w:rPr>
              <w:t>$1,716,609</w:t>
            </w:r>
          </w:p>
        </w:tc>
        <w:tc>
          <w:tcPr>
            <w:tcW w:w="1196" w:type="dxa"/>
          </w:tcPr>
          <w:p w14:paraId="63493284" w14:textId="77777777" w:rsidR="001B136D" w:rsidRPr="00B0157E" w:rsidRDefault="00653696" w:rsidP="006954F6">
            <w:pPr>
              <w:pStyle w:val="02Tabletext"/>
              <w:spacing w:after="20"/>
              <w:jc w:val="center"/>
            </w:pPr>
            <w:r w:rsidRPr="00B0157E">
              <w:t>8.90%</w:t>
            </w:r>
          </w:p>
        </w:tc>
      </w:tr>
      <w:tr w:rsidR="007F2147" w:rsidRPr="00B0157E" w14:paraId="3EBC70D6" w14:textId="77777777">
        <w:tc>
          <w:tcPr>
            <w:tcW w:w="717" w:type="dxa"/>
          </w:tcPr>
          <w:p w14:paraId="1E6CECF5" w14:textId="77777777" w:rsidR="007F2147" w:rsidRPr="00B0157E" w:rsidRDefault="007F2147" w:rsidP="006954F6">
            <w:pPr>
              <w:pStyle w:val="02Tabletext"/>
              <w:spacing w:after="20"/>
            </w:pPr>
            <w:r w:rsidRPr="00B0157E">
              <w:rPr>
                <w:rFonts w:cs="Arial"/>
                <w:szCs w:val="18"/>
              </w:rPr>
              <w:t>31002</w:t>
            </w:r>
          </w:p>
        </w:tc>
        <w:tc>
          <w:tcPr>
            <w:tcW w:w="4119" w:type="dxa"/>
          </w:tcPr>
          <w:p w14:paraId="53CB3C22" w14:textId="77777777" w:rsidR="00042CE4" w:rsidRPr="00B0157E" w:rsidRDefault="007F2147" w:rsidP="00A76517">
            <w:pPr>
              <w:pStyle w:val="02Tabletext"/>
              <w:spacing w:after="20"/>
              <w:rPr>
                <w:rFonts w:cs="Arial"/>
                <w:szCs w:val="18"/>
              </w:rPr>
            </w:pPr>
            <w:r w:rsidRPr="00B0157E">
              <w:rPr>
                <w:rFonts w:cs="Arial"/>
                <w:szCs w:val="18"/>
              </w:rPr>
              <w:t>13 or more sections</w:t>
            </w:r>
            <w:r w:rsidR="00833C4C" w:rsidRPr="00B0157E">
              <w:rPr>
                <w:rFonts w:cs="Arial"/>
                <w:szCs w:val="18"/>
              </w:rPr>
              <w:t>.</w:t>
            </w:r>
            <w:r w:rsidR="00A76517" w:rsidRPr="00B0157E">
              <w:rPr>
                <w:rFonts w:cs="Arial"/>
                <w:szCs w:val="18"/>
              </w:rPr>
              <w:t xml:space="preserve"> [1995]</w:t>
            </w:r>
          </w:p>
        </w:tc>
        <w:tc>
          <w:tcPr>
            <w:tcW w:w="917" w:type="dxa"/>
          </w:tcPr>
          <w:p w14:paraId="36CEC8FB" w14:textId="77777777" w:rsidR="007F2147" w:rsidRPr="00B0157E" w:rsidRDefault="007F2147" w:rsidP="006954F6">
            <w:pPr>
              <w:pStyle w:val="02Tabletext"/>
              <w:spacing w:after="20"/>
              <w:jc w:val="center"/>
            </w:pPr>
            <w:r w:rsidRPr="00B0157E">
              <w:rPr>
                <w:rFonts w:cs="Arial"/>
                <w:szCs w:val="18"/>
              </w:rPr>
              <w:t>871.30</w:t>
            </w:r>
          </w:p>
        </w:tc>
        <w:tc>
          <w:tcPr>
            <w:tcW w:w="997" w:type="dxa"/>
          </w:tcPr>
          <w:p w14:paraId="36011CDA" w14:textId="77777777" w:rsidR="007F2147" w:rsidRPr="00B0157E" w:rsidRDefault="007F2147" w:rsidP="006954F6">
            <w:pPr>
              <w:pStyle w:val="02Tabletext"/>
              <w:spacing w:after="20"/>
              <w:jc w:val="center"/>
            </w:pPr>
            <w:r w:rsidRPr="00B0157E">
              <w:rPr>
                <w:rFonts w:cs="Arial"/>
                <w:bCs/>
                <w:color w:val="000000"/>
                <w:szCs w:val="18"/>
              </w:rPr>
              <w:t>452</w:t>
            </w:r>
          </w:p>
        </w:tc>
        <w:tc>
          <w:tcPr>
            <w:tcW w:w="1080" w:type="dxa"/>
          </w:tcPr>
          <w:p w14:paraId="63BC9E9A" w14:textId="77777777" w:rsidR="007F2147" w:rsidRPr="00B0157E" w:rsidRDefault="007F2147" w:rsidP="006954F6">
            <w:pPr>
              <w:pStyle w:val="02Tabletext"/>
              <w:spacing w:after="20"/>
              <w:jc w:val="center"/>
            </w:pPr>
            <w:r w:rsidRPr="00B0157E">
              <w:rPr>
                <w:rFonts w:cs="Arial"/>
                <w:bCs/>
                <w:color w:val="000000"/>
                <w:szCs w:val="18"/>
              </w:rPr>
              <w:t>$306,793</w:t>
            </w:r>
          </w:p>
        </w:tc>
        <w:tc>
          <w:tcPr>
            <w:tcW w:w="1196" w:type="dxa"/>
          </w:tcPr>
          <w:p w14:paraId="561D57C1" w14:textId="77777777" w:rsidR="007F2147" w:rsidRPr="00B0157E" w:rsidRDefault="007F2147" w:rsidP="006954F6">
            <w:pPr>
              <w:pStyle w:val="02Tabletext"/>
              <w:spacing w:after="20"/>
              <w:jc w:val="center"/>
            </w:pPr>
            <w:r w:rsidRPr="00B0157E">
              <w:t>5.20%</w:t>
            </w:r>
          </w:p>
        </w:tc>
      </w:tr>
    </w:tbl>
    <w:p w14:paraId="5E41A6E5" w14:textId="77777777" w:rsidR="00B76DCB" w:rsidRPr="00B0157E" w:rsidRDefault="00B76DCB" w:rsidP="00B76DCB">
      <w:pPr>
        <w:pStyle w:val="01Tableheaderrow"/>
      </w:pPr>
      <w:r w:rsidRPr="00B0157E">
        <w:t>Some descriptors have been shortened; see Appendix A for complete descriptors</w:t>
      </w:r>
      <w:r w:rsidR="00E70555" w:rsidRPr="00B0157E">
        <w:t>.</w:t>
      </w:r>
      <w:r w:rsidRPr="00B0157E">
        <w:t xml:space="preserve"> </w:t>
      </w:r>
    </w:p>
    <w:p w14:paraId="17AC8146" w14:textId="77777777" w:rsidR="000B75A7" w:rsidRPr="00B0157E" w:rsidRDefault="000B75A7" w:rsidP="00C33ED9">
      <w:pPr>
        <w:rPr>
          <w:b/>
          <w:lang w:val="en-AU"/>
        </w:rPr>
      </w:pPr>
      <w:r w:rsidRPr="00B0157E">
        <w:rPr>
          <w:b/>
          <w:lang w:val="en-AU"/>
        </w:rPr>
        <w:t>Recommendation</w:t>
      </w:r>
      <w:r w:rsidR="00176CE8" w:rsidRPr="00B0157E">
        <w:rPr>
          <w:b/>
          <w:lang w:val="en-AU"/>
        </w:rPr>
        <w:t>s</w:t>
      </w:r>
      <w:r w:rsidRPr="00B0157E">
        <w:rPr>
          <w:b/>
          <w:lang w:val="en-AU"/>
        </w:rPr>
        <w:t xml:space="preserve"> </w:t>
      </w:r>
    </w:p>
    <w:p w14:paraId="4FE82B5A" w14:textId="77777777" w:rsidR="00A26A68" w:rsidRPr="00B0157E" w:rsidRDefault="00A26A68">
      <w:pPr>
        <w:pStyle w:val="01squarebullet"/>
        <w:rPr>
          <w:lang w:val="en-AU"/>
        </w:rPr>
      </w:pPr>
      <w:r w:rsidRPr="00B0157E">
        <w:rPr>
          <w:lang w:val="en-AU"/>
        </w:rPr>
        <w:t xml:space="preserve">Change </w:t>
      </w:r>
      <w:r w:rsidR="00C02379" w:rsidRPr="00B0157E">
        <w:rPr>
          <w:lang w:val="en-AU"/>
        </w:rPr>
        <w:t xml:space="preserve">the </w:t>
      </w:r>
      <w:r w:rsidRPr="00B0157E">
        <w:rPr>
          <w:lang w:val="en-AU"/>
        </w:rPr>
        <w:t xml:space="preserve">item descriptor to recognise the term </w:t>
      </w:r>
      <w:r w:rsidR="008B67CA" w:rsidRPr="00B0157E">
        <w:rPr>
          <w:lang w:val="en-AU"/>
        </w:rPr>
        <w:t>“</w:t>
      </w:r>
      <w:r w:rsidR="00F53AA1" w:rsidRPr="00B0157E">
        <w:rPr>
          <w:lang w:val="en-AU"/>
        </w:rPr>
        <w:t>Mohs</w:t>
      </w:r>
      <w:r w:rsidRPr="00B0157E">
        <w:rPr>
          <w:lang w:val="en-AU"/>
        </w:rPr>
        <w:t xml:space="preserve"> </w:t>
      </w:r>
      <w:r w:rsidR="0052107A" w:rsidRPr="00B0157E">
        <w:rPr>
          <w:lang w:val="en-AU"/>
        </w:rPr>
        <w:t>surgery</w:t>
      </w:r>
      <w:r w:rsidR="003D5CCE" w:rsidRPr="00B0157E">
        <w:rPr>
          <w:lang w:val="en-AU"/>
        </w:rPr>
        <w:t>.</w:t>
      </w:r>
      <w:r w:rsidR="008B67CA" w:rsidRPr="00B0157E">
        <w:rPr>
          <w:lang w:val="en-AU"/>
        </w:rPr>
        <w:t>”</w:t>
      </w:r>
      <w:r w:rsidR="00D84EFF" w:rsidRPr="00B0157E">
        <w:rPr>
          <w:lang w:val="en-AU"/>
        </w:rPr>
        <w:t xml:space="preserve"> </w:t>
      </w:r>
      <w:r w:rsidR="000B6D94" w:rsidRPr="00B0157E">
        <w:rPr>
          <w:lang w:val="en-AU"/>
        </w:rPr>
        <w:t xml:space="preserve">This term </w:t>
      </w:r>
      <w:r w:rsidR="00D84EFF" w:rsidRPr="00B0157E">
        <w:rPr>
          <w:lang w:val="en-AU"/>
        </w:rPr>
        <w:t>would replace “Micrographically controlled serial excision”</w:t>
      </w:r>
      <w:r w:rsidR="000A10F0" w:rsidRPr="00B0157E">
        <w:rPr>
          <w:lang w:val="en-AU"/>
        </w:rPr>
        <w:t xml:space="preserve"> and</w:t>
      </w:r>
      <w:r w:rsidR="0052107A" w:rsidRPr="00B0157E">
        <w:rPr>
          <w:lang w:val="en-AU"/>
        </w:rPr>
        <w:t xml:space="preserve"> would </w:t>
      </w:r>
      <w:r w:rsidR="0079052F" w:rsidRPr="00B0157E">
        <w:rPr>
          <w:lang w:val="en-AU"/>
        </w:rPr>
        <w:t>appear</w:t>
      </w:r>
      <w:r w:rsidR="0052107A" w:rsidRPr="00B0157E">
        <w:rPr>
          <w:lang w:val="en-AU"/>
        </w:rPr>
        <w:t xml:space="preserve"> at the b</w:t>
      </w:r>
      <w:r w:rsidR="00D84EFF" w:rsidRPr="00B0157E">
        <w:rPr>
          <w:lang w:val="en-AU"/>
        </w:rPr>
        <w:t xml:space="preserve">eginning of the item descriptor. </w:t>
      </w:r>
    </w:p>
    <w:p w14:paraId="18D3FC21" w14:textId="77777777" w:rsidR="000B75A7" w:rsidRPr="00B0157E" w:rsidRDefault="000B75A7">
      <w:pPr>
        <w:pStyle w:val="01squarebullet"/>
        <w:rPr>
          <w:lang w:val="en-AU"/>
        </w:rPr>
      </w:pPr>
      <w:r w:rsidRPr="00B0157E">
        <w:rPr>
          <w:lang w:val="en-AU"/>
        </w:rPr>
        <w:t xml:space="preserve">Change the item descriptor to include provider restrictions. Providers must be certified under the Australasian College of Dermatologists </w:t>
      </w:r>
      <w:r w:rsidR="00CB56AF" w:rsidRPr="00B0157E">
        <w:rPr>
          <w:lang w:val="en-AU"/>
        </w:rPr>
        <w:t>(ACD)</w:t>
      </w:r>
      <w:r w:rsidRPr="00B0157E">
        <w:rPr>
          <w:lang w:val="en-AU"/>
        </w:rPr>
        <w:t xml:space="preserve"> or have an equivalent qualification accepted by the </w:t>
      </w:r>
      <w:r w:rsidR="007E11B9" w:rsidRPr="00B0157E">
        <w:rPr>
          <w:lang w:val="en-AU"/>
        </w:rPr>
        <w:t>c</w:t>
      </w:r>
      <w:r w:rsidRPr="00B0157E">
        <w:rPr>
          <w:lang w:val="en-AU"/>
        </w:rPr>
        <w:t xml:space="preserve">ollege. </w:t>
      </w:r>
    </w:p>
    <w:p w14:paraId="177C4F10" w14:textId="77777777" w:rsidR="000B75A7" w:rsidRPr="00B0157E" w:rsidRDefault="000B75A7">
      <w:pPr>
        <w:pStyle w:val="01squarebullet"/>
        <w:rPr>
          <w:lang w:val="en-AU"/>
        </w:rPr>
      </w:pPr>
      <w:r w:rsidRPr="00B0157E">
        <w:rPr>
          <w:lang w:val="en-AU"/>
        </w:rPr>
        <w:t xml:space="preserve">Split each </w:t>
      </w:r>
      <w:r w:rsidR="003A34B4" w:rsidRPr="00B0157E">
        <w:rPr>
          <w:lang w:val="en-AU"/>
        </w:rPr>
        <w:t>Mohs</w:t>
      </w:r>
      <w:r w:rsidRPr="00B0157E">
        <w:rPr>
          <w:lang w:val="en-AU"/>
        </w:rPr>
        <w:t xml:space="preserve"> item into two</w:t>
      </w:r>
      <w:r w:rsidR="000A4733" w:rsidRPr="00B0157E">
        <w:rPr>
          <w:lang w:val="en-AU"/>
        </w:rPr>
        <w:t xml:space="preserve"> separate items</w:t>
      </w:r>
      <w:r w:rsidR="00585941" w:rsidRPr="00B0157E">
        <w:rPr>
          <w:lang w:val="en-AU"/>
        </w:rPr>
        <w:t>:</w:t>
      </w:r>
      <w:r w:rsidRPr="00B0157E">
        <w:rPr>
          <w:lang w:val="en-AU"/>
        </w:rPr>
        <w:t xml:space="preserve"> </w:t>
      </w:r>
    </w:p>
    <w:p w14:paraId="16F1E0D2" w14:textId="77777777" w:rsidR="00D84EFF" w:rsidRPr="00B0157E" w:rsidRDefault="00D84EFF">
      <w:pPr>
        <w:pStyle w:val="02dash"/>
        <w:rPr>
          <w:lang w:val="en-AU"/>
        </w:rPr>
      </w:pPr>
      <w:r w:rsidRPr="00B0157E">
        <w:rPr>
          <w:lang w:val="en-AU"/>
        </w:rPr>
        <w:t>Area A: Head, neck, genitalia, hand, digi</w:t>
      </w:r>
      <w:r w:rsidR="00605B22" w:rsidRPr="00B0157E">
        <w:rPr>
          <w:lang w:val="en-AU"/>
        </w:rPr>
        <w:t>ts, leg (below knee) and foot</w:t>
      </w:r>
      <w:r w:rsidR="00F328D1" w:rsidRPr="00B0157E">
        <w:rPr>
          <w:lang w:val="en-AU"/>
        </w:rPr>
        <w:t>.</w:t>
      </w:r>
    </w:p>
    <w:p w14:paraId="584AA11E" w14:textId="77777777" w:rsidR="00585941" w:rsidRPr="00B0157E" w:rsidRDefault="000B75A7">
      <w:pPr>
        <w:pStyle w:val="02dash"/>
        <w:rPr>
          <w:lang w:val="en-AU"/>
        </w:rPr>
      </w:pPr>
      <w:r w:rsidRPr="00B0157E">
        <w:rPr>
          <w:lang w:val="en-AU"/>
        </w:rPr>
        <w:t>Area B: All other areas</w:t>
      </w:r>
      <w:r w:rsidR="00D84EFF" w:rsidRPr="00B0157E">
        <w:rPr>
          <w:lang w:val="en-AU"/>
        </w:rPr>
        <w:t xml:space="preserve"> (e.g.</w:t>
      </w:r>
      <w:r w:rsidR="0055605D" w:rsidRPr="00B0157E">
        <w:rPr>
          <w:lang w:val="en-AU"/>
        </w:rPr>
        <w:t>,</w:t>
      </w:r>
      <w:r w:rsidR="00D84EFF" w:rsidRPr="00B0157E">
        <w:rPr>
          <w:lang w:val="en-AU"/>
        </w:rPr>
        <w:t xml:space="preserve"> areas not included in </w:t>
      </w:r>
      <w:r w:rsidR="00CB56AF" w:rsidRPr="00B0157E">
        <w:rPr>
          <w:lang w:val="en-AU"/>
        </w:rPr>
        <w:t>A</w:t>
      </w:r>
      <w:r w:rsidR="00D84EFF" w:rsidRPr="00B0157E">
        <w:rPr>
          <w:lang w:val="en-AU"/>
        </w:rPr>
        <w:t>rea A)</w:t>
      </w:r>
      <w:r w:rsidR="00F328D1" w:rsidRPr="00B0157E">
        <w:rPr>
          <w:lang w:val="en-AU"/>
        </w:rPr>
        <w:t>.</w:t>
      </w:r>
    </w:p>
    <w:p w14:paraId="4213EB04" w14:textId="77777777" w:rsidR="00822FE8" w:rsidRPr="00B0157E" w:rsidRDefault="00822FE8">
      <w:pPr>
        <w:pStyle w:val="01squarebullet"/>
        <w:rPr>
          <w:lang w:val="en-AU"/>
        </w:rPr>
      </w:pPr>
      <w:r w:rsidRPr="00B0157E">
        <w:rPr>
          <w:lang w:val="en-AU"/>
        </w:rPr>
        <w:t>Add the following explanatory notes: “</w:t>
      </w:r>
      <w:r w:rsidR="00A4339D" w:rsidRPr="00B0157E">
        <w:rPr>
          <w:lang w:val="en-AU"/>
        </w:rPr>
        <w:t xml:space="preserve">Services under Area A items </w:t>
      </w:r>
      <w:r w:rsidRPr="00B0157E">
        <w:rPr>
          <w:lang w:val="en-AU"/>
        </w:rPr>
        <w:t xml:space="preserve">should make up at least 90% of a </w:t>
      </w:r>
      <w:r w:rsidR="00F53AA1" w:rsidRPr="00B0157E">
        <w:rPr>
          <w:lang w:val="en-AU"/>
        </w:rPr>
        <w:t>Mohs</w:t>
      </w:r>
      <w:r w:rsidRPr="00B0157E">
        <w:rPr>
          <w:lang w:val="en-AU"/>
        </w:rPr>
        <w:t xml:space="preserve"> su</w:t>
      </w:r>
      <w:r w:rsidR="00A4339D" w:rsidRPr="00B0157E">
        <w:rPr>
          <w:lang w:val="en-AU"/>
        </w:rPr>
        <w:t>rgeon</w:t>
      </w:r>
      <w:r w:rsidR="00F328D1" w:rsidRPr="00B0157E">
        <w:rPr>
          <w:lang w:val="en-AU"/>
        </w:rPr>
        <w:t>’</w:t>
      </w:r>
      <w:r w:rsidR="00A4339D" w:rsidRPr="00B0157E">
        <w:rPr>
          <w:lang w:val="en-AU"/>
        </w:rPr>
        <w:t>s caseload of category A and B items</w:t>
      </w:r>
      <w:r w:rsidRPr="00B0157E">
        <w:rPr>
          <w:lang w:val="en-AU"/>
        </w:rPr>
        <w:t xml:space="preserve"> annually.</w:t>
      </w:r>
      <w:r w:rsidR="00A4339D" w:rsidRPr="00B0157E">
        <w:rPr>
          <w:lang w:val="en-AU"/>
        </w:rPr>
        <w:t>”</w:t>
      </w:r>
      <w:r w:rsidR="00590E92" w:rsidRPr="00B0157E">
        <w:rPr>
          <w:lang w:val="en-AU"/>
        </w:rPr>
        <w:t xml:space="preserve"> </w:t>
      </w:r>
      <w:r w:rsidR="00DC1A33" w:rsidRPr="00B0157E">
        <w:rPr>
          <w:lang w:val="en-AU"/>
        </w:rPr>
        <w:t>(</w:t>
      </w:r>
      <w:r w:rsidR="00F328D1" w:rsidRPr="00B0157E">
        <w:rPr>
          <w:lang w:val="en-AU"/>
        </w:rPr>
        <w:t>Explanatory notes are not</w:t>
      </w:r>
      <w:r w:rsidR="00DC1A33" w:rsidRPr="00B0157E">
        <w:rPr>
          <w:lang w:val="en-AU"/>
        </w:rPr>
        <w:t xml:space="preserve"> currently </w:t>
      </w:r>
      <w:r w:rsidR="00294100" w:rsidRPr="00B0157E">
        <w:rPr>
          <w:lang w:val="en-AU"/>
        </w:rPr>
        <w:t>provided</w:t>
      </w:r>
      <w:r w:rsidR="00DC1A33" w:rsidRPr="00B0157E">
        <w:rPr>
          <w:lang w:val="en-AU"/>
        </w:rPr>
        <w:t xml:space="preserve"> for these items.)</w:t>
      </w:r>
    </w:p>
    <w:p w14:paraId="112BE09B" w14:textId="77777777" w:rsidR="000B75A7" w:rsidRPr="00B0157E" w:rsidRDefault="008A4D41">
      <w:pPr>
        <w:pStyle w:val="01squarebullet"/>
        <w:rPr>
          <w:lang w:val="en-AU"/>
        </w:rPr>
      </w:pPr>
      <w:r w:rsidRPr="00B0157E">
        <w:rPr>
          <w:lang w:val="en-AU"/>
        </w:rPr>
        <w:t>Monitor</w:t>
      </w:r>
      <w:r w:rsidR="00585941" w:rsidRPr="00B0157E">
        <w:rPr>
          <w:lang w:val="en-AU"/>
        </w:rPr>
        <w:t xml:space="preserve"> providers who bill </w:t>
      </w:r>
      <w:r w:rsidR="00F85988" w:rsidRPr="00B0157E">
        <w:rPr>
          <w:lang w:val="en-AU"/>
        </w:rPr>
        <w:t xml:space="preserve">a </w:t>
      </w:r>
      <w:r w:rsidR="00585941" w:rsidRPr="00B0157E">
        <w:rPr>
          <w:lang w:val="en-AU"/>
        </w:rPr>
        <w:t>relatively high number of services within Area B.</w:t>
      </w:r>
    </w:p>
    <w:p w14:paraId="5B546037" w14:textId="77777777" w:rsidR="000B75A7" w:rsidRPr="00B0157E" w:rsidRDefault="000B75A7" w:rsidP="00C33ED9">
      <w:pPr>
        <w:rPr>
          <w:b/>
          <w:lang w:val="en-AU"/>
        </w:rPr>
      </w:pPr>
      <w:r w:rsidRPr="00B0157E">
        <w:rPr>
          <w:b/>
          <w:lang w:val="en-AU"/>
        </w:rPr>
        <w:t xml:space="preserve">Rationale </w:t>
      </w:r>
    </w:p>
    <w:p w14:paraId="4EFC09E0" w14:textId="77777777" w:rsidR="000B75A7" w:rsidRPr="00B0157E" w:rsidRDefault="001C7A54" w:rsidP="00C33ED9">
      <w:pPr>
        <w:rPr>
          <w:lang w:val="en-AU"/>
        </w:rPr>
      </w:pPr>
      <w:r w:rsidRPr="00B0157E">
        <w:rPr>
          <w:lang w:val="en-AU"/>
        </w:rPr>
        <w:t>The r</w:t>
      </w:r>
      <w:r w:rsidR="000B75A7" w:rsidRPr="00B0157E">
        <w:rPr>
          <w:lang w:val="en-AU"/>
        </w:rPr>
        <w:t>ecommendations focus on ensuring patient safety and appropriate use of the items</w:t>
      </w:r>
      <w:r w:rsidR="00594D1F" w:rsidRPr="00B0157E">
        <w:rPr>
          <w:lang w:val="en-AU"/>
        </w:rPr>
        <w:t>. They are</w:t>
      </w:r>
      <w:r w:rsidR="000B75A7" w:rsidRPr="00B0157E">
        <w:rPr>
          <w:lang w:val="en-AU"/>
        </w:rPr>
        <w:t xml:space="preserve"> base</w:t>
      </w:r>
      <w:r w:rsidR="00EE3B0E" w:rsidRPr="00B0157E">
        <w:rPr>
          <w:lang w:val="en-AU"/>
        </w:rPr>
        <w:t>d</w:t>
      </w:r>
      <w:r w:rsidR="000B75A7" w:rsidRPr="00B0157E">
        <w:rPr>
          <w:lang w:val="en-AU"/>
        </w:rPr>
        <w:t xml:space="preserve"> on </w:t>
      </w:r>
      <w:r w:rsidR="00490272" w:rsidRPr="00B0157E">
        <w:rPr>
          <w:lang w:val="en-AU"/>
        </w:rPr>
        <w:t xml:space="preserve">the following </w:t>
      </w:r>
      <w:r w:rsidR="000B75A7" w:rsidRPr="00B0157E">
        <w:rPr>
          <w:lang w:val="en-AU"/>
        </w:rPr>
        <w:t>observations</w:t>
      </w:r>
      <w:r w:rsidR="00B47FB1" w:rsidRPr="00B0157E">
        <w:rPr>
          <w:lang w:val="en-AU"/>
        </w:rPr>
        <w:t>.</w:t>
      </w:r>
    </w:p>
    <w:p w14:paraId="3613C5CB" w14:textId="77777777" w:rsidR="000B75A7" w:rsidRPr="00B0157E" w:rsidRDefault="00F53AA1">
      <w:pPr>
        <w:pStyle w:val="01squarebullet"/>
        <w:rPr>
          <w:b/>
          <w:lang w:val="en-AU"/>
        </w:rPr>
      </w:pPr>
      <w:r w:rsidRPr="00B0157E">
        <w:rPr>
          <w:lang w:val="en-AU"/>
        </w:rPr>
        <w:t>Mohs</w:t>
      </w:r>
      <w:r w:rsidR="000B75A7" w:rsidRPr="00B0157E">
        <w:rPr>
          <w:lang w:val="en-AU"/>
        </w:rPr>
        <w:t xml:space="preserve"> surgery is complex</w:t>
      </w:r>
      <w:r w:rsidR="00794AEA" w:rsidRPr="00B0157E">
        <w:rPr>
          <w:lang w:val="en-AU"/>
        </w:rPr>
        <w:t>,</w:t>
      </w:r>
      <w:r w:rsidR="000B75A7" w:rsidRPr="00B0157E">
        <w:rPr>
          <w:lang w:val="en-AU"/>
        </w:rPr>
        <w:t xml:space="preserve"> and providers require a sufficient level of training and certification to ensure patient safety and procedural quality</w:t>
      </w:r>
      <w:r w:rsidR="0052537C" w:rsidRPr="00B0157E">
        <w:rPr>
          <w:lang w:val="en-AU"/>
        </w:rPr>
        <w:t>. H</w:t>
      </w:r>
      <w:r w:rsidR="000B75A7" w:rsidRPr="00B0157E">
        <w:rPr>
          <w:lang w:val="en-AU"/>
        </w:rPr>
        <w:t xml:space="preserve">owever, there is no current requirement </w:t>
      </w:r>
      <w:r w:rsidR="00EE3B0E" w:rsidRPr="00B0157E">
        <w:rPr>
          <w:lang w:val="en-AU"/>
        </w:rPr>
        <w:t xml:space="preserve">for this </w:t>
      </w:r>
      <w:r w:rsidR="000B75A7" w:rsidRPr="00B0157E">
        <w:rPr>
          <w:lang w:val="en-AU"/>
        </w:rPr>
        <w:t>in the MBS.</w:t>
      </w:r>
      <w:r w:rsidR="00B87C62" w:rsidRPr="00B0157E">
        <w:rPr>
          <w:lang w:val="en-AU"/>
        </w:rPr>
        <w:t xml:space="preserve"> Furthermore, a</w:t>
      </w:r>
      <w:r w:rsidR="009A3834" w:rsidRPr="00B0157E">
        <w:rPr>
          <w:lang w:val="en-AU"/>
        </w:rPr>
        <w:t>n</w:t>
      </w:r>
      <w:r w:rsidR="000B75A7" w:rsidRPr="00B0157E">
        <w:rPr>
          <w:lang w:val="en-AU"/>
        </w:rPr>
        <w:t xml:space="preserve"> increasing number of short and insufficient training courses </w:t>
      </w:r>
      <w:r w:rsidR="00A63D72" w:rsidRPr="00B0157E">
        <w:rPr>
          <w:lang w:val="en-AU"/>
        </w:rPr>
        <w:t xml:space="preserve">are </w:t>
      </w:r>
      <w:r w:rsidR="000B75A7" w:rsidRPr="00B0157E">
        <w:rPr>
          <w:lang w:val="en-AU"/>
        </w:rPr>
        <w:t>available</w:t>
      </w:r>
      <w:r w:rsidR="009B5ED8" w:rsidRPr="00B0157E">
        <w:rPr>
          <w:lang w:val="en-AU"/>
        </w:rPr>
        <w:t>, and</w:t>
      </w:r>
      <w:r w:rsidR="000B75A7" w:rsidRPr="00B0157E">
        <w:rPr>
          <w:lang w:val="en-AU"/>
        </w:rPr>
        <w:t xml:space="preserve"> </w:t>
      </w:r>
      <w:r w:rsidR="009B5ED8" w:rsidRPr="00B0157E">
        <w:rPr>
          <w:lang w:val="en-AU"/>
        </w:rPr>
        <w:t>a</w:t>
      </w:r>
      <w:r w:rsidR="000B75A7" w:rsidRPr="00B0157E">
        <w:rPr>
          <w:lang w:val="en-AU"/>
        </w:rPr>
        <w:t>lthough</w:t>
      </w:r>
      <w:r w:rsidR="00486E18" w:rsidRPr="00B0157E">
        <w:rPr>
          <w:lang w:val="en-AU"/>
        </w:rPr>
        <w:t xml:space="preserve"> certified doctors </w:t>
      </w:r>
      <w:r w:rsidR="00EA48E9" w:rsidRPr="00B0157E">
        <w:rPr>
          <w:lang w:val="en-AU"/>
        </w:rPr>
        <w:t xml:space="preserve">currently </w:t>
      </w:r>
      <w:r w:rsidR="00486E18" w:rsidRPr="00B0157E">
        <w:rPr>
          <w:lang w:val="en-AU"/>
        </w:rPr>
        <w:t>provide</w:t>
      </w:r>
      <w:r w:rsidR="000B75A7" w:rsidRPr="00B0157E">
        <w:rPr>
          <w:lang w:val="en-AU"/>
        </w:rPr>
        <w:t xml:space="preserve"> the majority of services </w:t>
      </w:r>
      <w:r w:rsidR="00B4794B" w:rsidRPr="00B0157E">
        <w:rPr>
          <w:lang w:val="en-AU"/>
        </w:rPr>
        <w:t>(</w:t>
      </w:r>
      <w:r w:rsidR="000B75A7" w:rsidRPr="00B0157E">
        <w:rPr>
          <w:lang w:val="en-AU"/>
        </w:rPr>
        <w:t>99</w:t>
      </w:r>
      <w:r w:rsidR="00B4794B" w:rsidRPr="00B0157E">
        <w:rPr>
          <w:lang w:val="en-AU"/>
        </w:rPr>
        <w:t xml:space="preserve"> per cent of providers</w:t>
      </w:r>
      <w:r w:rsidR="000B75A7" w:rsidRPr="00B0157E">
        <w:rPr>
          <w:lang w:val="en-AU"/>
        </w:rPr>
        <w:t xml:space="preserve"> are </w:t>
      </w:r>
      <w:r w:rsidR="00B4794B" w:rsidRPr="00B0157E">
        <w:rPr>
          <w:lang w:val="en-AU"/>
        </w:rPr>
        <w:t>d</w:t>
      </w:r>
      <w:r w:rsidR="000B75A7" w:rsidRPr="00B0157E">
        <w:rPr>
          <w:lang w:val="en-AU"/>
        </w:rPr>
        <w:t>ermatologists</w:t>
      </w:r>
      <w:r w:rsidR="00B4794B" w:rsidRPr="00B0157E">
        <w:rPr>
          <w:lang w:val="en-AU"/>
        </w:rPr>
        <w:t>)</w:t>
      </w:r>
      <w:r w:rsidR="000B75A7" w:rsidRPr="00B0157E">
        <w:rPr>
          <w:lang w:val="en-AU"/>
        </w:rPr>
        <w:t xml:space="preserve">, this may change in the near future. The ACD </w:t>
      </w:r>
      <w:r w:rsidRPr="00B0157E">
        <w:rPr>
          <w:lang w:val="en-AU"/>
        </w:rPr>
        <w:t>has a register of certified Mohs</w:t>
      </w:r>
      <w:r w:rsidR="000B75A7" w:rsidRPr="00B0157E">
        <w:rPr>
          <w:lang w:val="en-AU"/>
        </w:rPr>
        <w:t xml:space="preserve"> surgeons who have undergone specific ACD</w:t>
      </w:r>
      <w:r w:rsidR="00ED762A" w:rsidRPr="00B0157E">
        <w:rPr>
          <w:lang w:val="en-AU"/>
        </w:rPr>
        <w:t>-</w:t>
      </w:r>
      <w:r w:rsidR="000B75A7" w:rsidRPr="00B0157E">
        <w:rPr>
          <w:lang w:val="en-AU"/>
        </w:rPr>
        <w:t>approved training</w:t>
      </w:r>
      <w:r w:rsidR="00ED762A" w:rsidRPr="00B0157E">
        <w:rPr>
          <w:lang w:val="en-AU"/>
        </w:rPr>
        <w:t>,</w:t>
      </w:r>
      <w:r w:rsidR="000B75A7" w:rsidRPr="00B0157E">
        <w:rPr>
          <w:lang w:val="en-AU"/>
        </w:rPr>
        <w:t xml:space="preserve"> or whose skills have been recognised by</w:t>
      </w:r>
      <w:r w:rsidR="00ED762A" w:rsidRPr="00B0157E">
        <w:rPr>
          <w:lang w:val="en-AU"/>
        </w:rPr>
        <w:t xml:space="preserve"> the</w:t>
      </w:r>
      <w:r w:rsidR="000B75A7" w:rsidRPr="00B0157E">
        <w:rPr>
          <w:lang w:val="en-AU"/>
        </w:rPr>
        <w:t xml:space="preserve"> ACD. A process to certify doctors currently </w:t>
      </w:r>
      <w:r w:rsidR="001628B2" w:rsidRPr="00B0157E">
        <w:rPr>
          <w:lang w:val="en-AU"/>
        </w:rPr>
        <w:t xml:space="preserve">performing </w:t>
      </w:r>
      <w:r w:rsidRPr="00B0157E">
        <w:rPr>
          <w:lang w:val="en-AU"/>
        </w:rPr>
        <w:t>or intending to perform Mohs</w:t>
      </w:r>
      <w:r w:rsidR="000B75A7" w:rsidRPr="00B0157E">
        <w:rPr>
          <w:lang w:val="en-AU"/>
        </w:rPr>
        <w:t xml:space="preserve"> could be used as a means to assure service quality. It is recognised that equivalently qualified doctors from overseas should also be allowed to perform </w:t>
      </w:r>
      <w:r w:rsidR="003A34B4" w:rsidRPr="00B0157E">
        <w:rPr>
          <w:lang w:val="en-AU"/>
        </w:rPr>
        <w:t>Mohs</w:t>
      </w:r>
      <w:r w:rsidR="003C1267" w:rsidRPr="00B0157E">
        <w:rPr>
          <w:lang w:val="en-AU"/>
        </w:rPr>
        <w:t>.</w:t>
      </w:r>
      <w:r w:rsidR="000B75A7" w:rsidRPr="00B0157E">
        <w:rPr>
          <w:lang w:val="en-AU"/>
        </w:rPr>
        <w:t xml:space="preserve"> </w:t>
      </w:r>
      <w:r w:rsidR="008248A0" w:rsidRPr="00B0157E">
        <w:rPr>
          <w:lang w:val="en-AU"/>
        </w:rPr>
        <w:t>E</w:t>
      </w:r>
      <w:r w:rsidR="000B75A7" w:rsidRPr="00B0157E">
        <w:rPr>
          <w:lang w:val="en-AU"/>
        </w:rPr>
        <w:t>quivalent qualifications could be assessed and recognised by the ACD.</w:t>
      </w:r>
      <w:r w:rsidR="004A352E">
        <w:rPr>
          <w:lang w:val="en-AU"/>
        </w:rPr>
        <w:t xml:space="preserve"> </w:t>
      </w:r>
    </w:p>
    <w:p w14:paraId="2F97DA68" w14:textId="77777777" w:rsidR="000B75A7" w:rsidRPr="00B0157E" w:rsidRDefault="008A534D">
      <w:pPr>
        <w:pStyle w:val="01squarebullet"/>
        <w:rPr>
          <w:lang w:val="en-AU"/>
        </w:rPr>
      </w:pPr>
      <w:r w:rsidRPr="00B0157E">
        <w:rPr>
          <w:lang w:val="en-AU"/>
        </w:rPr>
        <w:t xml:space="preserve">Clinical experience and </w:t>
      </w:r>
      <w:r w:rsidR="00D368C9" w:rsidRPr="00B0157E">
        <w:rPr>
          <w:lang w:val="en-AU"/>
        </w:rPr>
        <w:t>g</w:t>
      </w:r>
      <w:r w:rsidR="000B75A7" w:rsidRPr="00B0157E">
        <w:rPr>
          <w:lang w:val="en-AU"/>
        </w:rPr>
        <w:t>uidelines</w:t>
      </w:r>
      <w:r w:rsidR="00C1346F" w:rsidRPr="00B0157E">
        <w:rPr>
          <w:lang w:val="en-AU"/>
        </w:rPr>
        <w:fldChar w:fldCharType="begin" w:fldLock="1"/>
      </w:r>
      <w:r w:rsidR="00C47315" w:rsidRPr="00B0157E">
        <w:rPr>
          <w:lang w:val="en-AU"/>
        </w:rPr>
        <w:instrText>ADDIN CSL_CITATION { "citationItems" : [ { "id" : "ITEM-1", "itemData" : { "DOI" : "10.1016/j.jaad.2012.06.009", "ISBN" : "1097-6787", "ISSN" : "0190-9622", "PMID" : "22959232", "abstract" : "The appropriate use criteria process synthesizes evidence-based medicine, clinical practice experience, and expert judgment. The American Academy of Dermatology in collaboration with the American College of Mohs Surgery, the American Society for Dermatologic Surgery Association, and the American Society for Mohs Surgery has developed appropriate use criteria for 270 scenarios for which Mohs micrographic surgery (MMS) is frequently considered based on tumor and patient characteristics. This document reflects the rating of appropriateness of MMS for each of these clinical scenarios by a ratings panel in a process based on the appropriateness method developed by the RAND Corp (Santa Monica, CA)/University of California\u2013Los Angeles (RAND/UCLA).\\n\\nAt the conclusion of the rating process, consensus was reached for all 270 (100%) scenarios by the Ratings Panel, with 200 (74.07%) deemed as appropriate, 24 (8.89%) as uncertain, and 46 (17.04%) as inappropriate. For the 69 basal cell carcinoma scenarios, 53 were deemed appropriate, 6 uncertain, and 10 inappropriate. For the 143 squamous cell carcinoma scenarios, 102 were deemed appropriate, 7 uncertain, and 34 inappropriate. For the 12 lentigo maligna and melanoma in situ scenarios, 10 were deemed appropriate, 2 uncertain, and 0 inappropriate. For the 46 rare cutaneous malignancies scenarios, 35 were deemed appropriate, 9 uncertain, and 2 inappropriate.\\n\\nThese appropriate use criteria have the potential to impact health care delivery, reimbursement policy, and physician decision making on patient selection for MMS, and aim to optimize the use of MMS for scenarios in which the expected clinical benefit is anticipated to be the greatest. In addition, recognition of those scenarios rated as uncertain facilitates an understanding of areas that would benefit from further research. Each clinical scenario identified in this document is crafted for the average patient and not the exception. Thus, the ultimate decision regarding the appropriateness of MMS should be determined by the expertise and clinical experience of the physician.", "author" : [ { "dropping-particle" : "", "family" : "Connolly", "given" : "Suzanne M.", "non-dropping-particle" : "", "parse-names" : false, "suffix" : "" }, { "dropping-particle" : "", "family" : "Baker", "given" : "Diane R.", "non-dropping-particle" : "", "parse-names" : false, "suffix" : "" }, { "dropping-particle" : "", "family" : "Coldiron", "given" : "Brett M.", "non-dropping-particle" : "", "parse-names" : false, "suffix" : "" }, { "dropping-particle" : "", "family" : "Fazio", "given" : "Michael J.", "non-dropping-particle" : "", "parse-names" : false, "suffix" : "" }, { "dropping-particle" : "", "family" : "Storrs", "given" : "Paul A.", "non-dropping-particle" : "", "parse-names" : false, "suffix" : "" }, { "dropping-particle" : "", "family" : "Vidimos", "given" : "Allison T.", "non-dropping-particle" : "", "parse-names" : false, "suffix" : "" }, { "dropping-particle" : "", "family" : "Zalla", "given" : "Mark J.", "non-dropping-particle" : "", "parse-names" : false, "suffix" : "" }, { "dropping-particle" : "", "family" : "Brewer", "given" : "Jerry D.", "non-dropping-particle" : "", "parse-names" : false, "suffix" : "" }, { "dropping-particle" : "", "family" : "Smith Begolka", "given" : "Wendy", "non-dropping-particle" : "", "parse-names" : false, "suffix" : "" }, { "dropping-particle" : "", "family" : "Berger", "given" : "Timothy G.", "non-dropping-particle" : "", "parse-names" : false, "suffix" : "" }, { "dropping-particle" : "", "family" : "Bigby", "given" : "Michael", "non-dropping-particle" : "", "parse-names" : false, "suffix" : "" }, { "dropping-particle" : "", "family" : "Bolognia", "given" : "Jean L.", "non-dropping-particle" : "", "parse-names" : false, "suffix" : "" }, { "dropping-particle" : "", "family" : "Brodland", "given" : "David G.", "non-dropping-particle" : "", "parse-names" : false, "suffix" : "" }, { "dropping-particle" : "", "family" : "Collins", "given" : "Scott", "non-dropping-particle" : "", "parse-names" : false, "suffix" : "" }, { "dropping-particle" : "", "family" : "Cronin Jr.", "given" : "Terrence A.", "non-dropping-particle" : "", "parse-names" : false, "suffix" : "" }, { "dropping-particle" : "V.", "family" : "Dahl", "given" : "Mark", "non-dropping-particle" : "", "parse-names" : false, "suffix" : "" }, { "dropping-particle" : "", "family" : "Grant-Kels", "given" : "Jane M.", "non-dropping-particle" : "", "parse-names" : false, "suffix" : "" }, { "dropping-particle" : "", "family" : "Hanke", "given" : "C. William", "non-dropping-particle" : "", "parse-names" : false, "suffix" : "" }, { "dropping-particle" : "", "family" : "Hruza", "given" : "George J.", "non-dropping-particle" : "", "parse-names" : false, "suffix" : "" }, { "dropping-particle" : "", "family" : "James", "given" : "William D.", "non-dropping-particle" : "", "parse-names" : false, "suffix" : "" }, { "dropping-particle" : "", "family" : "Lober", "given" : "Clifford Warren", "non-dropping-particle" : "", "parse-names" : false, "suffix" : "" }, { "dropping-particle" : "", "family" : "McBurney", "given" : "Elizabeth I.", "non-dropping-particle" : "", "parse-names" : false, "suffix" : "" }, { "dropping-particle" : "", "family" : "Norton", "given" : "Scott A.", "non-dropping-particle" : "", "parse-names" : false, "suffix" : "" }, { "dropping-particle" : "", "family" : "Roenigk", "given" : "Randall K.", "non-dropping-particle" : "", "parse-names" : false, "suffix" : "" }, { "dropping-particle" : "", "family" : "Wheeland", "given" : "Ronald G.", "non-dropping-particle" : "", "parse-names" : false, "suffix" : "" }, { "dropping-particle" : "", "family" : "Wisco", "given" : "Oliver J.", "non-dropping-particle" : "", "parse-names" : false, "suffix" : "" } ], "container-title" : "Journal of the American Academy of Dermatology", "id" : "ITEM-1", "issue" : "4", "issued" : { "date-parts" : [ [ "2012" ] ] }, "page" : "531-550", "publisher" : "Elsevier Inc", "title" : "AAD/ACMS/ASDSA/ASMS 2012 appropriate use criteria for Mohs micrographic surgery: A report of the American Academy of Dermatology, American College of Mohs Surgery, American Society for Dermatologic Surgery Association, and the American Society for Mohs Su", "type" : "article-journal", "volume" : "67" }, "uris" : [ "http://www.mendeley.com/documents/?uuid=5eca8f18-8340-427e-9d49-5959f2177192" ] } ], "mendeley" : { "formattedCitation" : "[36]", "plainTextFormattedCitation" : "[36]", "previouslyFormattedCitation" : "[36]" }, "properties" : { "noteIndex" : 0 }, "schema" : "https://github.com/citation-style-language/schema/raw/master/csl-citation.json" }</w:instrText>
      </w:r>
      <w:r w:rsidR="00C1346F" w:rsidRPr="00B0157E">
        <w:rPr>
          <w:lang w:val="en-AU"/>
        </w:rPr>
        <w:fldChar w:fldCharType="separate"/>
      </w:r>
      <w:r w:rsidR="00010550" w:rsidRPr="00B0157E">
        <w:rPr>
          <w:lang w:val="en-AU"/>
        </w:rPr>
        <w:t>[36]</w:t>
      </w:r>
      <w:r w:rsidR="00C1346F" w:rsidRPr="00B0157E">
        <w:rPr>
          <w:lang w:val="en-AU"/>
        </w:rPr>
        <w:fldChar w:fldCharType="end"/>
      </w:r>
      <w:r w:rsidR="000B75A7" w:rsidRPr="00B0157E">
        <w:rPr>
          <w:lang w:val="en-AU"/>
        </w:rPr>
        <w:t xml:space="preserve"> indicate that the</w:t>
      </w:r>
      <w:r w:rsidRPr="00B0157E">
        <w:rPr>
          <w:lang w:val="en-AU"/>
        </w:rPr>
        <w:t xml:space="preserve"> majority of </w:t>
      </w:r>
      <w:r w:rsidR="003A34B4" w:rsidRPr="00B0157E">
        <w:rPr>
          <w:lang w:val="en-AU"/>
        </w:rPr>
        <w:t>Mohs</w:t>
      </w:r>
      <w:r w:rsidRPr="00B0157E">
        <w:rPr>
          <w:lang w:val="en-AU"/>
        </w:rPr>
        <w:t xml:space="preserve"> surgery</w:t>
      </w:r>
      <w:r w:rsidR="00F71C85" w:rsidRPr="00B0157E">
        <w:rPr>
          <w:lang w:val="en-AU"/>
        </w:rPr>
        <w:t xml:space="preserve"> (</w:t>
      </w:r>
      <w:r w:rsidRPr="00B0157E">
        <w:rPr>
          <w:lang w:val="en-AU"/>
        </w:rPr>
        <w:t>approximately 90</w:t>
      </w:r>
      <w:r w:rsidR="001372C6" w:rsidRPr="00B0157E">
        <w:rPr>
          <w:lang w:val="en-AU"/>
        </w:rPr>
        <w:t xml:space="preserve"> per cent</w:t>
      </w:r>
      <w:r w:rsidR="00F71C85" w:rsidRPr="00B0157E">
        <w:rPr>
          <w:lang w:val="en-AU"/>
        </w:rPr>
        <w:t>)</w:t>
      </w:r>
      <w:r w:rsidR="000B75A7" w:rsidRPr="00B0157E">
        <w:rPr>
          <w:lang w:val="en-AU"/>
        </w:rPr>
        <w:t xml:space="preserve"> should be conducted on </w:t>
      </w:r>
      <w:r w:rsidR="003503B8" w:rsidRPr="00B0157E">
        <w:rPr>
          <w:lang w:val="en-AU"/>
        </w:rPr>
        <w:t>A</w:t>
      </w:r>
      <w:r w:rsidR="000B75A7" w:rsidRPr="00B0157E">
        <w:rPr>
          <w:lang w:val="en-AU"/>
        </w:rPr>
        <w:t xml:space="preserve">rea A. Creating two separate item numbers will encourage more appropriate use </w:t>
      </w:r>
      <w:r w:rsidR="003A34B4" w:rsidRPr="00B0157E">
        <w:rPr>
          <w:lang w:val="en-AU"/>
        </w:rPr>
        <w:t>of these items</w:t>
      </w:r>
      <w:r w:rsidR="004E2CB9" w:rsidRPr="00B0157E">
        <w:rPr>
          <w:lang w:val="en-AU"/>
        </w:rPr>
        <w:t xml:space="preserve"> </w:t>
      </w:r>
      <w:r w:rsidR="000B75A7" w:rsidRPr="00B0157E">
        <w:rPr>
          <w:lang w:val="en-AU"/>
        </w:rPr>
        <w:t xml:space="preserve">and </w:t>
      </w:r>
      <w:r w:rsidR="0093714B" w:rsidRPr="00B0157E">
        <w:rPr>
          <w:lang w:val="en-AU"/>
        </w:rPr>
        <w:t>facilitate</w:t>
      </w:r>
      <w:r w:rsidR="000B75A7" w:rsidRPr="00B0157E">
        <w:rPr>
          <w:lang w:val="en-AU"/>
        </w:rPr>
        <w:t xml:space="preserve"> </w:t>
      </w:r>
      <w:r w:rsidR="002C1F37" w:rsidRPr="00B0157E">
        <w:rPr>
          <w:lang w:val="en-AU"/>
        </w:rPr>
        <w:t xml:space="preserve">monitoring and potential </w:t>
      </w:r>
      <w:r w:rsidR="000B75A7" w:rsidRPr="00B0157E">
        <w:rPr>
          <w:lang w:val="en-AU"/>
        </w:rPr>
        <w:t>auditing of providers who bill relatively high amou</w:t>
      </w:r>
      <w:r w:rsidR="009D0D90" w:rsidRPr="00B0157E">
        <w:rPr>
          <w:lang w:val="en-AU"/>
        </w:rPr>
        <w:t xml:space="preserve">nts of services under </w:t>
      </w:r>
      <w:r w:rsidR="006B41FC" w:rsidRPr="00B0157E">
        <w:rPr>
          <w:lang w:val="en-AU"/>
        </w:rPr>
        <w:t>A</w:t>
      </w:r>
      <w:r w:rsidR="009D0D90" w:rsidRPr="00B0157E">
        <w:rPr>
          <w:lang w:val="en-AU"/>
        </w:rPr>
        <w:t>rea B.</w:t>
      </w:r>
      <w:r w:rsidR="004A352E">
        <w:rPr>
          <w:lang w:val="en-AU"/>
        </w:rPr>
        <w:t xml:space="preserve"> </w:t>
      </w:r>
    </w:p>
    <w:p w14:paraId="6FA2A391" w14:textId="77777777" w:rsidR="00157D25" w:rsidRPr="00B0157E" w:rsidRDefault="00157D25">
      <w:pPr>
        <w:pStyle w:val="01squarebullet"/>
        <w:rPr>
          <w:lang w:val="en-AU"/>
        </w:rPr>
      </w:pPr>
      <w:r w:rsidRPr="00B0157E">
        <w:rPr>
          <w:lang w:val="en-AU"/>
        </w:rPr>
        <w:t xml:space="preserve">The term </w:t>
      </w:r>
      <w:r w:rsidR="003261CE" w:rsidRPr="00B0157E">
        <w:rPr>
          <w:lang w:val="en-AU"/>
        </w:rPr>
        <w:t>“</w:t>
      </w:r>
      <w:r w:rsidR="003A34B4" w:rsidRPr="00B0157E">
        <w:rPr>
          <w:lang w:val="en-AU"/>
        </w:rPr>
        <w:t>Mohs</w:t>
      </w:r>
      <w:r w:rsidRPr="00B0157E">
        <w:rPr>
          <w:lang w:val="en-AU"/>
        </w:rPr>
        <w:t xml:space="preserve"> surgery</w:t>
      </w:r>
      <w:r w:rsidR="003261CE" w:rsidRPr="00B0157E">
        <w:rPr>
          <w:lang w:val="en-AU"/>
        </w:rPr>
        <w:t>”</w:t>
      </w:r>
      <w:r w:rsidRPr="00B0157E">
        <w:rPr>
          <w:lang w:val="en-AU"/>
        </w:rPr>
        <w:t xml:space="preserve"> reflect</w:t>
      </w:r>
      <w:r w:rsidR="002C35C4" w:rsidRPr="00B0157E">
        <w:rPr>
          <w:lang w:val="en-AU"/>
        </w:rPr>
        <w:t>s</w:t>
      </w:r>
      <w:r w:rsidRPr="00B0157E">
        <w:rPr>
          <w:lang w:val="en-AU"/>
        </w:rPr>
        <w:t xml:space="preserve"> the most up</w:t>
      </w:r>
      <w:r w:rsidR="00297AC8" w:rsidRPr="00B0157E">
        <w:rPr>
          <w:lang w:val="en-AU"/>
        </w:rPr>
        <w:t>-</w:t>
      </w:r>
      <w:r w:rsidRPr="00B0157E">
        <w:rPr>
          <w:lang w:val="en-AU"/>
        </w:rPr>
        <w:t>to</w:t>
      </w:r>
      <w:r w:rsidR="00297AC8" w:rsidRPr="00B0157E">
        <w:rPr>
          <w:lang w:val="en-AU"/>
        </w:rPr>
        <w:t>-</w:t>
      </w:r>
      <w:r w:rsidR="003A34B4" w:rsidRPr="00B0157E">
        <w:rPr>
          <w:lang w:val="en-AU"/>
        </w:rPr>
        <w:t xml:space="preserve">date medical terminology and removes any potential misinterpretation of what procedure is included under these items. </w:t>
      </w:r>
    </w:p>
    <w:p w14:paraId="4D69DF12" w14:textId="77777777" w:rsidR="000B75A7" w:rsidRPr="00B0157E" w:rsidRDefault="000B75A7" w:rsidP="00C33ED9">
      <w:pPr>
        <w:pStyle w:val="Heading2"/>
        <w:rPr>
          <w:lang w:val="en-AU"/>
        </w:rPr>
      </w:pPr>
      <w:bookmarkStart w:id="152" w:name="_Toc458774438"/>
      <w:bookmarkStart w:id="153" w:name="_Toc465871876"/>
      <w:r w:rsidRPr="00B0157E">
        <w:rPr>
          <w:lang w:val="en-AU"/>
        </w:rPr>
        <w:lastRenderedPageBreak/>
        <w:t xml:space="preserve">Telangiectases or </w:t>
      </w:r>
      <w:r w:rsidR="00845835" w:rsidRPr="00B0157E">
        <w:rPr>
          <w:lang w:val="en-AU"/>
        </w:rPr>
        <w:t>s</w:t>
      </w:r>
      <w:r w:rsidRPr="00B0157E">
        <w:rPr>
          <w:lang w:val="en-AU"/>
        </w:rPr>
        <w:t>tarbu</w:t>
      </w:r>
      <w:r w:rsidR="00186923" w:rsidRPr="00B0157E">
        <w:rPr>
          <w:lang w:val="en-AU"/>
        </w:rPr>
        <w:t>r</w:t>
      </w:r>
      <w:r w:rsidRPr="00B0157E">
        <w:rPr>
          <w:lang w:val="en-AU"/>
        </w:rPr>
        <w:t>st vessels</w:t>
      </w:r>
      <w:r w:rsidR="006B5343" w:rsidRPr="00B0157E">
        <w:rPr>
          <w:lang w:val="en-AU"/>
        </w:rPr>
        <w:t>:</w:t>
      </w:r>
      <w:r w:rsidRPr="00B0157E">
        <w:rPr>
          <w:lang w:val="en-AU"/>
        </w:rPr>
        <w:t xml:space="preserve"> </w:t>
      </w:r>
      <w:r w:rsidR="006B5343" w:rsidRPr="00B0157E">
        <w:rPr>
          <w:lang w:val="en-AU"/>
        </w:rPr>
        <w:t>I</w:t>
      </w:r>
      <w:r w:rsidRPr="00B0157E">
        <w:rPr>
          <w:lang w:val="en-AU"/>
        </w:rPr>
        <w:t>tem</w:t>
      </w:r>
      <w:r w:rsidR="00510975" w:rsidRPr="00B0157E">
        <w:rPr>
          <w:lang w:val="en-AU"/>
        </w:rPr>
        <w:t>s</w:t>
      </w:r>
      <w:r w:rsidRPr="00B0157E">
        <w:rPr>
          <w:lang w:val="en-AU"/>
        </w:rPr>
        <w:t xml:space="preserve"> 30213</w:t>
      </w:r>
      <w:r w:rsidR="00510975" w:rsidRPr="00B0157E">
        <w:rPr>
          <w:lang w:val="en-AU"/>
        </w:rPr>
        <w:t xml:space="preserve"> and 30214</w:t>
      </w:r>
      <w:bookmarkEnd w:id="152"/>
      <w:bookmarkEnd w:id="153"/>
    </w:p>
    <w:p w14:paraId="719F96DE" w14:textId="77777777" w:rsidR="007B3D8D" w:rsidRPr="00B0157E" w:rsidRDefault="007B3D8D" w:rsidP="00C33ED9">
      <w:pPr>
        <w:pStyle w:val="Caption"/>
        <w:rPr>
          <w:lang w:val="en-AU"/>
        </w:rPr>
      </w:pPr>
      <w:bookmarkStart w:id="154" w:name="_Toc457520570"/>
      <w:bookmarkStart w:id="155" w:name="_Toc459236298"/>
      <w:bookmarkStart w:id="156" w:name="_Toc465871833"/>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10</w:t>
      </w:r>
      <w:r w:rsidR="00C1346F" w:rsidRPr="00B0157E">
        <w:rPr>
          <w:lang w:val="en-AU"/>
        </w:rPr>
        <w:fldChar w:fldCharType="end"/>
      </w:r>
      <w:r w:rsidRPr="00B0157E">
        <w:rPr>
          <w:lang w:val="en-AU"/>
        </w:rPr>
        <w:t xml:space="preserve">: </w:t>
      </w:r>
      <w:r w:rsidR="00DD4BD6" w:rsidRPr="00B0157E">
        <w:rPr>
          <w:lang w:val="en-AU"/>
        </w:rPr>
        <w:t xml:space="preserve">Item introduction table for items </w:t>
      </w:r>
      <w:r w:rsidRPr="00B0157E">
        <w:rPr>
          <w:lang w:val="en-AU"/>
        </w:rPr>
        <w:t>30213</w:t>
      </w:r>
      <w:r w:rsidR="00DE4CBA" w:rsidRPr="00B0157E">
        <w:rPr>
          <w:lang w:val="en-AU"/>
        </w:rPr>
        <w:t>–</w:t>
      </w:r>
      <w:r w:rsidRPr="00B0157E">
        <w:rPr>
          <w:lang w:val="en-AU"/>
        </w:rPr>
        <w:t>4</w:t>
      </w:r>
      <w:bookmarkEnd w:id="154"/>
      <w:bookmarkEnd w:id="155"/>
      <w:bookmarkEnd w:id="156"/>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0 is an item introduction table for items 30213 and 30214 which are for telangiectases or starburst vessels.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7B3D8D" w:rsidRPr="00B0157E" w14:paraId="490F286D" w14:textId="77777777">
        <w:trPr>
          <w:tblHeader/>
        </w:trPr>
        <w:tc>
          <w:tcPr>
            <w:tcW w:w="717" w:type="dxa"/>
            <w:shd w:val="clear" w:color="auto" w:fill="F2F2F2" w:themeFill="background1" w:themeFillShade="F2"/>
            <w:vAlign w:val="bottom"/>
          </w:tcPr>
          <w:p w14:paraId="126BC0FB" w14:textId="77777777" w:rsidR="007B3D8D" w:rsidRPr="00B0157E" w:rsidRDefault="007B3D8D" w:rsidP="006954F6">
            <w:pPr>
              <w:pStyle w:val="02Tabletext"/>
              <w:spacing w:after="20"/>
              <w:rPr>
                <w:b/>
              </w:rPr>
            </w:pPr>
            <w:r w:rsidRPr="00B0157E">
              <w:rPr>
                <w:b/>
              </w:rPr>
              <w:t>Item</w:t>
            </w:r>
          </w:p>
        </w:tc>
        <w:tc>
          <w:tcPr>
            <w:tcW w:w="4119" w:type="dxa"/>
            <w:shd w:val="clear" w:color="auto" w:fill="F2F2F2" w:themeFill="background1" w:themeFillShade="F2"/>
            <w:vAlign w:val="bottom"/>
          </w:tcPr>
          <w:p w14:paraId="4AD71A40" w14:textId="77777777" w:rsidR="007B3D8D" w:rsidRPr="00B0157E" w:rsidRDefault="007B3D8D" w:rsidP="006954F6">
            <w:pPr>
              <w:pStyle w:val="02Tabletext"/>
              <w:spacing w:after="20"/>
              <w:rPr>
                <w:b/>
              </w:rPr>
            </w:pPr>
            <w:r w:rsidRPr="00B0157E">
              <w:rPr>
                <w:b/>
              </w:rPr>
              <w:t>Descriptor</w:t>
            </w:r>
          </w:p>
          <w:p w14:paraId="3916E483" w14:textId="77777777" w:rsidR="007B3D8D" w:rsidRPr="00B0157E" w:rsidRDefault="007B3D8D" w:rsidP="006954F6">
            <w:pPr>
              <w:pStyle w:val="02Tabletext"/>
              <w:spacing w:after="20"/>
              <w:rPr>
                <w:b/>
              </w:rPr>
            </w:pPr>
            <w:r w:rsidRPr="00B0157E">
              <w:rPr>
                <w:b/>
              </w:rPr>
              <w:t>[date last amended]</w:t>
            </w:r>
          </w:p>
        </w:tc>
        <w:tc>
          <w:tcPr>
            <w:tcW w:w="917" w:type="dxa"/>
            <w:shd w:val="clear" w:color="auto" w:fill="F2F2F2" w:themeFill="background1" w:themeFillShade="F2"/>
            <w:vAlign w:val="bottom"/>
          </w:tcPr>
          <w:p w14:paraId="3E495892" w14:textId="77777777" w:rsidR="007B3D8D" w:rsidRPr="00B0157E" w:rsidRDefault="007B3D8D" w:rsidP="006954F6">
            <w:pPr>
              <w:pStyle w:val="02Tabletext"/>
              <w:spacing w:after="20"/>
              <w:rPr>
                <w:b/>
              </w:rPr>
            </w:pPr>
            <w:r w:rsidRPr="00B0157E">
              <w:rPr>
                <w:b/>
              </w:rPr>
              <w:t>Schedule</w:t>
            </w:r>
          </w:p>
          <w:p w14:paraId="1ED7B0DB" w14:textId="77777777" w:rsidR="007B3D8D" w:rsidRPr="00B0157E" w:rsidRDefault="007B3D8D" w:rsidP="006954F6">
            <w:pPr>
              <w:pStyle w:val="02Tabletext"/>
              <w:spacing w:after="20"/>
              <w:rPr>
                <w:b/>
              </w:rPr>
            </w:pPr>
            <w:r w:rsidRPr="00B0157E">
              <w:rPr>
                <w:b/>
              </w:rPr>
              <w:t>fee</w:t>
            </w:r>
          </w:p>
        </w:tc>
        <w:tc>
          <w:tcPr>
            <w:tcW w:w="997" w:type="dxa"/>
            <w:shd w:val="clear" w:color="auto" w:fill="F2F2F2" w:themeFill="background1" w:themeFillShade="F2"/>
            <w:vAlign w:val="bottom"/>
          </w:tcPr>
          <w:p w14:paraId="53A896E7" w14:textId="77777777" w:rsidR="007B3D8D" w:rsidRPr="00B0157E" w:rsidRDefault="007B3D8D" w:rsidP="006954F6">
            <w:pPr>
              <w:pStyle w:val="02Tabletext"/>
              <w:spacing w:after="20"/>
              <w:rPr>
                <w:b/>
              </w:rPr>
            </w:pPr>
            <w:r w:rsidRPr="00B0157E">
              <w:rPr>
                <w:b/>
              </w:rPr>
              <w:t>Services FY2014/15</w:t>
            </w:r>
          </w:p>
        </w:tc>
        <w:tc>
          <w:tcPr>
            <w:tcW w:w="1080" w:type="dxa"/>
            <w:shd w:val="clear" w:color="auto" w:fill="F2F2F2" w:themeFill="background1" w:themeFillShade="F2"/>
            <w:vAlign w:val="bottom"/>
          </w:tcPr>
          <w:p w14:paraId="05B1F17D" w14:textId="77777777" w:rsidR="007B3D8D" w:rsidRPr="00B0157E" w:rsidRDefault="007B3D8D" w:rsidP="006954F6">
            <w:pPr>
              <w:pStyle w:val="02Tabletext"/>
              <w:spacing w:after="20"/>
              <w:rPr>
                <w:b/>
              </w:rPr>
            </w:pPr>
            <w:r w:rsidRPr="00B0157E">
              <w:rPr>
                <w:b/>
              </w:rPr>
              <w:t>Benefits FY2014/15</w:t>
            </w:r>
          </w:p>
        </w:tc>
        <w:tc>
          <w:tcPr>
            <w:tcW w:w="1196" w:type="dxa"/>
            <w:shd w:val="clear" w:color="auto" w:fill="F2F2F2" w:themeFill="background1" w:themeFillShade="F2"/>
            <w:vAlign w:val="bottom"/>
          </w:tcPr>
          <w:p w14:paraId="168A0C86" w14:textId="77777777" w:rsidR="007B3D8D" w:rsidRPr="00B0157E" w:rsidRDefault="009A7890" w:rsidP="006954F6">
            <w:pPr>
              <w:pStyle w:val="02Tabletext"/>
              <w:spacing w:after="20"/>
              <w:rPr>
                <w:b/>
              </w:rPr>
            </w:pPr>
            <w:r>
              <w:rPr>
                <w:b/>
              </w:rPr>
              <w:t>Services 5-</w:t>
            </w:r>
            <w:r w:rsidR="007B3D8D" w:rsidRPr="00B0157E">
              <w:rPr>
                <w:b/>
              </w:rPr>
              <w:t>year annual avg. growth</w:t>
            </w:r>
          </w:p>
        </w:tc>
      </w:tr>
      <w:tr w:rsidR="007B3D8D" w:rsidRPr="00B0157E" w14:paraId="388D397E" w14:textId="77777777">
        <w:tc>
          <w:tcPr>
            <w:tcW w:w="717" w:type="dxa"/>
          </w:tcPr>
          <w:p w14:paraId="658EBCD4" w14:textId="77777777" w:rsidR="007B3D8D" w:rsidRPr="00B0157E" w:rsidRDefault="007B3D8D" w:rsidP="006954F6">
            <w:pPr>
              <w:pStyle w:val="02Tabletext"/>
              <w:spacing w:after="20"/>
            </w:pPr>
            <w:r w:rsidRPr="00B0157E">
              <w:rPr>
                <w:szCs w:val="18"/>
              </w:rPr>
              <w:t>30213</w:t>
            </w:r>
          </w:p>
        </w:tc>
        <w:tc>
          <w:tcPr>
            <w:tcW w:w="4119" w:type="dxa"/>
          </w:tcPr>
          <w:p w14:paraId="2FEF0C0D" w14:textId="77777777" w:rsidR="007B3D8D" w:rsidRPr="00B0157E" w:rsidRDefault="007B3D8D" w:rsidP="0024166E">
            <w:pPr>
              <w:pStyle w:val="02Tabletext"/>
              <w:spacing w:after="20"/>
            </w:pPr>
            <w:r w:rsidRPr="00B0157E">
              <w:rPr>
                <w:szCs w:val="18"/>
              </w:rPr>
              <w:t>T</w:t>
            </w:r>
            <w:r w:rsidR="0024166E" w:rsidRPr="00B0157E">
              <w:rPr>
                <w:szCs w:val="18"/>
              </w:rPr>
              <w:t>elangiectases or starburst vessels</w:t>
            </w:r>
            <w:r w:rsidRPr="00B0157E">
              <w:rPr>
                <w:szCs w:val="18"/>
              </w:rPr>
              <w:t xml:space="preserve"> on the head or neck where lesions are visible from 4 metres, diathermy or sclerosant injection of, including associated consultation </w:t>
            </w:r>
            <w:r w:rsidR="00B068E3" w:rsidRPr="00B0157E">
              <w:rPr>
                <w:szCs w:val="18"/>
              </w:rPr>
              <w:t>–</w:t>
            </w:r>
            <w:r w:rsidRPr="00B0157E">
              <w:rPr>
                <w:szCs w:val="18"/>
              </w:rPr>
              <w:t xml:space="preserve"> limited to a maximum of 6 sessions (including any sessions to which items 14100 to 14118 and 30213 apply) in any 12 month period </w:t>
            </w:r>
            <w:r w:rsidR="00E174CE" w:rsidRPr="00B0157E">
              <w:rPr>
                <w:szCs w:val="18"/>
              </w:rPr>
              <w:t>–</w:t>
            </w:r>
            <w:r w:rsidRPr="00B0157E">
              <w:rPr>
                <w:szCs w:val="18"/>
              </w:rPr>
              <w:t xml:space="preserve"> for a session of at least 20 minutes duration</w:t>
            </w:r>
            <w:r w:rsidR="00AE4BFE" w:rsidRPr="00B0157E">
              <w:rPr>
                <w:szCs w:val="18"/>
              </w:rPr>
              <w:t>.</w:t>
            </w:r>
            <w:r w:rsidR="00ED379D" w:rsidRPr="00B0157E">
              <w:rPr>
                <w:szCs w:val="18"/>
              </w:rPr>
              <w:t xml:space="preserve"> [1996]</w:t>
            </w:r>
          </w:p>
        </w:tc>
        <w:tc>
          <w:tcPr>
            <w:tcW w:w="917" w:type="dxa"/>
          </w:tcPr>
          <w:p w14:paraId="00AE0BF1" w14:textId="77777777" w:rsidR="007B3D8D" w:rsidRPr="00B0157E" w:rsidRDefault="00540F37" w:rsidP="006954F6">
            <w:pPr>
              <w:pStyle w:val="02Tabletext"/>
              <w:spacing w:after="20"/>
              <w:jc w:val="center"/>
            </w:pPr>
            <w:r w:rsidRPr="00B0157E">
              <w:rPr>
                <w:szCs w:val="18"/>
              </w:rPr>
              <w:t>$109.80</w:t>
            </w:r>
          </w:p>
        </w:tc>
        <w:tc>
          <w:tcPr>
            <w:tcW w:w="997" w:type="dxa"/>
          </w:tcPr>
          <w:p w14:paraId="300CDF63" w14:textId="77777777" w:rsidR="007B3D8D" w:rsidRPr="00B0157E" w:rsidRDefault="00540F37" w:rsidP="006954F6">
            <w:pPr>
              <w:pStyle w:val="02Tabletext"/>
              <w:spacing w:after="20"/>
              <w:jc w:val="center"/>
            </w:pPr>
            <w:r w:rsidRPr="00B0157E">
              <w:rPr>
                <w:szCs w:val="18"/>
              </w:rPr>
              <w:t>3,888</w:t>
            </w:r>
          </w:p>
        </w:tc>
        <w:tc>
          <w:tcPr>
            <w:tcW w:w="1080" w:type="dxa"/>
          </w:tcPr>
          <w:p w14:paraId="78E2B3B3" w14:textId="77777777" w:rsidR="007B3D8D" w:rsidRPr="00B0157E" w:rsidRDefault="00540F37" w:rsidP="006954F6">
            <w:pPr>
              <w:pStyle w:val="02Tabletext"/>
              <w:spacing w:after="20"/>
              <w:jc w:val="center"/>
            </w:pPr>
            <w:r w:rsidRPr="00B0157E">
              <w:rPr>
                <w:szCs w:val="18"/>
              </w:rPr>
              <w:t>$517,478</w:t>
            </w:r>
          </w:p>
        </w:tc>
        <w:tc>
          <w:tcPr>
            <w:tcW w:w="1196" w:type="dxa"/>
          </w:tcPr>
          <w:p w14:paraId="2C14E475" w14:textId="77777777" w:rsidR="007B3D8D" w:rsidRPr="00B0157E" w:rsidRDefault="00540F37" w:rsidP="006954F6">
            <w:pPr>
              <w:pStyle w:val="02Tabletext"/>
              <w:spacing w:after="20"/>
              <w:jc w:val="center"/>
            </w:pPr>
            <w:r w:rsidRPr="00B0157E">
              <w:t>-3.60%</w:t>
            </w:r>
          </w:p>
        </w:tc>
      </w:tr>
      <w:tr w:rsidR="00E37F73" w:rsidRPr="00B0157E" w14:paraId="25DD2966" w14:textId="77777777">
        <w:tc>
          <w:tcPr>
            <w:tcW w:w="717" w:type="dxa"/>
          </w:tcPr>
          <w:p w14:paraId="1CE35A36" w14:textId="77777777" w:rsidR="00E37F73" w:rsidRPr="00B0157E" w:rsidRDefault="00E37F73" w:rsidP="006954F6">
            <w:pPr>
              <w:pStyle w:val="02Tabletext"/>
              <w:spacing w:after="20"/>
            </w:pPr>
            <w:r w:rsidRPr="00B0157E">
              <w:t>30214</w:t>
            </w:r>
          </w:p>
        </w:tc>
        <w:tc>
          <w:tcPr>
            <w:tcW w:w="4119" w:type="dxa"/>
          </w:tcPr>
          <w:p w14:paraId="59088F60" w14:textId="77777777" w:rsidR="00E37F73" w:rsidRPr="00B0157E" w:rsidRDefault="00E37F73" w:rsidP="006954F6">
            <w:pPr>
              <w:pStyle w:val="02Tabletext"/>
              <w:spacing w:after="20"/>
            </w:pPr>
            <w:r w:rsidRPr="00B0157E">
              <w:t xml:space="preserve">Telangiectases or starburst vessels on the head or neck where lesions are visible from 4 metres, diathermy or sclerosant injection of, including associated consultation </w:t>
            </w:r>
            <w:r w:rsidR="00E549A4" w:rsidRPr="00B0157E">
              <w:t>–</w:t>
            </w:r>
            <w:r w:rsidRPr="00B0157E">
              <w:t xml:space="preserve"> session of at least 20 minutes duration </w:t>
            </w:r>
            <w:r w:rsidR="00A53125" w:rsidRPr="00B0157E">
              <w:t>–</w:t>
            </w:r>
            <w:r w:rsidRPr="00B0157E">
              <w:t xml:space="preserve"> where it can be demonstrated that a 7th or subsequent session (including any sessions to which items 14100 to 14118 and 30213 apply) is indicated in a 12 month period</w:t>
            </w:r>
            <w:r w:rsidR="0074655A" w:rsidRPr="00B0157E">
              <w:t>.</w:t>
            </w:r>
            <w:r w:rsidR="00ED379D" w:rsidRPr="00B0157E">
              <w:t xml:space="preserve"> [1997]</w:t>
            </w:r>
          </w:p>
        </w:tc>
        <w:tc>
          <w:tcPr>
            <w:tcW w:w="917" w:type="dxa"/>
          </w:tcPr>
          <w:p w14:paraId="387133D6" w14:textId="77777777" w:rsidR="00E37F73" w:rsidRPr="00B0157E" w:rsidRDefault="00E37F73" w:rsidP="006954F6">
            <w:pPr>
              <w:pStyle w:val="02Tabletext"/>
              <w:spacing w:after="20"/>
              <w:jc w:val="center"/>
            </w:pPr>
            <w:r w:rsidRPr="00B0157E">
              <w:t>$109.8</w:t>
            </w:r>
          </w:p>
        </w:tc>
        <w:tc>
          <w:tcPr>
            <w:tcW w:w="997" w:type="dxa"/>
          </w:tcPr>
          <w:p w14:paraId="69DE6A0A" w14:textId="77777777" w:rsidR="00E37F73" w:rsidRPr="00B0157E" w:rsidRDefault="00E37F73" w:rsidP="006954F6">
            <w:pPr>
              <w:pStyle w:val="02Tabletext"/>
              <w:spacing w:after="20"/>
              <w:jc w:val="center"/>
            </w:pPr>
            <w:r w:rsidRPr="00B0157E">
              <w:t>0</w:t>
            </w:r>
          </w:p>
        </w:tc>
        <w:tc>
          <w:tcPr>
            <w:tcW w:w="1080" w:type="dxa"/>
          </w:tcPr>
          <w:p w14:paraId="1496DE8C" w14:textId="77777777" w:rsidR="00E37F73" w:rsidRPr="00B0157E" w:rsidRDefault="00E37F73" w:rsidP="006954F6">
            <w:pPr>
              <w:pStyle w:val="02Tabletext"/>
              <w:spacing w:after="20"/>
              <w:jc w:val="center"/>
            </w:pPr>
            <w:r w:rsidRPr="00B0157E">
              <w:t>$0</w:t>
            </w:r>
          </w:p>
        </w:tc>
        <w:tc>
          <w:tcPr>
            <w:tcW w:w="1196" w:type="dxa"/>
          </w:tcPr>
          <w:p w14:paraId="7AE45D53" w14:textId="77777777" w:rsidR="00E37F73" w:rsidRPr="00B0157E" w:rsidRDefault="00E37F73" w:rsidP="006954F6">
            <w:pPr>
              <w:pStyle w:val="02Tabletext"/>
              <w:spacing w:after="20"/>
              <w:jc w:val="center"/>
            </w:pPr>
            <w:r w:rsidRPr="00B0157E">
              <w:t>N/A</w:t>
            </w:r>
          </w:p>
        </w:tc>
      </w:tr>
    </w:tbl>
    <w:p w14:paraId="3089E56E" w14:textId="77777777" w:rsidR="000B75A7" w:rsidRPr="00B0157E" w:rsidRDefault="000B75A7" w:rsidP="00FF0C98">
      <w:pPr>
        <w:rPr>
          <w:b/>
          <w:lang w:val="en-AU"/>
        </w:rPr>
      </w:pPr>
      <w:r w:rsidRPr="00B0157E">
        <w:rPr>
          <w:b/>
          <w:lang w:val="en-AU"/>
        </w:rPr>
        <w:t xml:space="preserve">Recommendation </w:t>
      </w:r>
    </w:p>
    <w:p w14:paraId="3533695B" w14:textId="77777777" w:rsidR="000B75A7" w:rsidRPr="00B0157E" w:rsidRDefault="003433E5" w:rsidP="00FF0C98">
      <w:pPr>
        <w:pStyle w:val="01squarebullet"/>
        <w:rPr>
          <w:b/>
          <w:lang w:val="en-AU"/>
        </w:rPr>
      </w:pPr>
      <w:r w:rsidRPr="00B0157E">
        <w:rPr>
          <w:lang w:val="en-AU"/>
        </w:rPr>
        <w:t>Delete both</w:t>
      </w:r>
      <w:r w:rsidR="000B75A7" w:rsidRPr="00B0157E">
        <w:rPr>
          <w:lang w:val="en-AU"/>
        </w:rPr>
        <w:t xml:space="preserve"> item</w:t>
      </w:r>
      <w:r w:rsidRPr="00B0157E">
        <w:rPr>
          <w:lang w:val="en-AU"/>
        </w:rPr>
        <w:t>s</w:t>
      </w:r>
      <w:r w:rsidR="000B75A7" w:rsidRPr="00B0157E">
        <w:rPr>
          <w:lang w:val="en-AU"/>
        </w:rPr>
        <w:t xml:space="preserve"> from the MBS. </w:t>
      </w:r>
    </w:p>
    <w:p w14:paraId="105D8AF9" w14:textId="77777777" w:rsidR="00D877A7" w:rsidRPr="00B0157E" w:rsidRDefault="000B75A7" w:rsidP="00FF0C98">
      <w:pPr>
        <w:rPr>
          <w:b/>
          <w:lang w:val="en-AU"/>
        </w:rPr>
      </w:pPr>
      <w:r w:rsidRPr="00B0157E">
        <w:rPr>
          <w:b/>
          <w:lang w:val="en-AU"/>
        </w:rPr>
        <w:t>Rationale</w:t>
      </w:r>
      <w:r w:rsidR="003433E5" w:rsidRPr="00B0157E">
        <w:rPr>
          <w:b/>
          <w:lang w:val="en-AU"/>
        </w:rPr>
        <w:t xml:space="preserve"> </w:t>
      </w:r>
    </w:p>
    <w:p w14:paraId="6FA92DCC" w14:textId="77777777" w:rsidR="00D877A7" w:rsidRPr="00B0157E" w:rsidRDefault="00D877A7" w:rsidP="00C33ED9">
      <w:pPr>
        <w:rPr>
          <w:lang w:val="en-AU"/>
        </w:rPr>
      </w:pPr>
      <w:r w:rsidRPr="00B0157E">
        <w:rPr>
          <w:lang w:val="en-AU"/>
        </w:rPr>
        <w:t>The recommendation focuse</w:t>
      </w:r>
      <w:r w:rsidR="009B7716" w:rsidRPr="00B0157E">
        <w:rPr>
          <w:lang w:val="en-AU"/>
        </w:rPr>
        <w:t>s</w:t>
      </w:r>
      <w:r w:rsidRPr="00B0157E">
        <w:rPr>
          <w:lang w:val="en-AU"/>
        </w:rPr>
        <w:t xml:space="preserve"> on encouraging best practice and optimal patient care</w:t>
      </w:r>
      <w:r w:rsidR="001B24EE" w:rsidRPr="00B0157E">
        <w:rPr>
          <w:lang w:val="en-AU"/>
        </w:rPr>
        <w:t>.</w:t>
      </w:r>
      <w:r w:rsidRPr="00B0157E">
        <w:rPr>
          <w:lang w:val="en-AU"/>
        </w:rPr>
        <w:t xml:space="preserve"> </w:t>
      </w:r>
      <w:r w:rsidR="001B24EE" w:rsidRPr="00B0157E">
        <w:rPr>
          <w:lang w:val="en-AU"/>
        </w:rPr>
        <w:t>It</w:t>
      </w:r>
      <w:r w:rsidRPr="00B0157E">
        <w:rPr>
          <w:lang w:val="en-AU"/>
        </w:rPr>
        <w:t xml:space="preserve"> is </w:t>
      </w:r>
      <w:r w:rsidR="00345693" w:rsidRPr="00B0157E">
        <w:rPr>
          <w:lang w:val="en-AU"/>
        </w:rPr>
        <w:t>based on the following observations</w:t>
      </w:r>
      <w:r w:rsidRPr="00B0157E">
        <w:rPr>
          <w:lang w:val="en-AU"/>
        </w:rPr>
        <w:t xml:space="preserve">. </w:t>
      </w:r>
    </w:p>
    <w:p w14:paraId="484EE5EB" w14:textId="77777777" w:rsidR="00CD70D7" w:rsidRPr="00B0157E" w:rsidRDefault="00CD70D7">
      <w:pPr>
        <w:pStyle w:val="01squarebullet"/>
        <w:rPr>
          <w:lang w:val="en-AU"/>
        </w:rPr>
      </w:pPr>
      <w:r w:rsidRPr="00B0157E">
        <w:rPr>
          <w:lang w:val="en-AU"/>
        </w:rPr>
        <w:t>The position of the Committee is that these</w:t>
      </w:r>
      <w:r w:rsidR="000B75A7" w:rsidRPr="00B0157E">
        <w:rPr>
          <w:lang w:val="en-AU"/>
        </w:rPr>
        <w:t xml:space="preserve"> item</w:t>
      </w:r>
      <w:r w:rsidRPr="00B0157E">
        <w:rPr>
          <w:lang w:val="en-AU"/>
        </w:rPr>
        <w:t xml:space="preserve">s </w:t>
      </w:r>
      <w:r w:rsidR="00505FFE" w:rsidRPr="00B0157E">
        <w:rPr>
          <w:lang w:val="en-AU"/>
        </w:rPr>
        <w:t xml:space="preserve">are obsolete, </w:t>
      </w:r>
      <w:r w:rsidRPr="00B0157E">
        <w:rPr>
          <w:lang w:val="en-AU"/>
        </w:rPr>
        <w:t>do not reflect best practice</w:t>
      </w:r>
      <w:r w:rsidR="000B75A7" w:rsidRPr="00B0157E">
        <w:rPr>
          <w:lang w:val="en-AU"/>
        </w:rPr>
        <w:t xml:space="preserve"> and s</w:t>
      </w:r>
      <w:r w:rsidR="00E279C6" w:rsidRPr="00B0157E">
        <w:rPr>
          <w:lang w:val="en-AU"/>
        </w:rPr>
        <w:t xml:space="preserve">hould be removed from the MBS. Necessary treatment can be provided under laser item 14100. </w:t>
      </w:r>
      <w:r w:rsidRPr="00B0157E">
        <w:rPr>
          <w:lang w:val="en-AU"/>
        </w:rPr>
        <w:t>MBS data</w:t>
      </w:r>
      <w:r w:rsidR="00ED649D" w:rsidRPr="00B0157E">
        <w:rPr>
          <w:lang w:val="en-AU"/>
        </w:rPr>
        <w:t xml:space="preserve"> </w:t>
      </w:r>
      <w:r w:rsidR="00BB4FFB" w:rsidRPr="00B0157E">
        <w:rPr>
          <w:lang w:val="en-AU"/>
        </w:rPr>
        <w:t>demonstrates</w:t>
      </w:r>
      <w:r w:rsidR="00ED649D" w:rsidRPr="00B0157E">
        <w:rPr>
          <w:lang w:val="en-AU"/>
        </w:rPr>
        <w:t xml:space="preserve"> </w:t>
      </w:r>
      <w:r w:rsidRPr="00B0157E">
        <w:rPr>
          <w:lang w:val="en-AU"/>
        </w:rPr>
        <w:t xml:space="preserve">that services are not being provided under </w:t>
      </w:r>
      <w:r w:rsidR="00ED3757" w:rsidRPr="00B0157E">
        <w:rPr>
          <w:lang w:val="en-AU"/>
        </w:rPr>
        <w:t xml:space="preserve">item </w:t>
      </w:r>
      <w:r w:rsidRPr="00B0157E">
        <w:rPr>
          <w:lang w:val="en-AU"/>
        </w:rPr>
        <w:t>30214</w:t>
      </w:r>
      <w:r w:rsidR="00ED3757" w:rsidRPr="00B0157E">
        <w:rPr>
          <w:lang w:val="en-AU"/>
        </w:rPr>
        <w:t>, which</w:t>
      </w:r>
      <w:r w:rsidRPr="00B0157E">
        <w:rPr>
          <w:lang w:val="en-AU"/>
        </w:rPr>
        <w:t xml:space="preserve"> has only ever been billed once.</w:t>
      </w:r>
      <w:r w:rsidR="00595019" w:rsidRPr="00B0157E">
        <w:rPr>
          <w:lang w:val="en-AU"/>
        </w:rPr>
        <w:fldChar w:fldCharType="begin" w:fldLock="1"/>
      </w:r>
      <w:r w:rsidR="0079098A"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595019" w:rsidRPr="00B0157E">
        <w:rPr>
          <w:lang w:val="en-AU"/>
        </w:rPr>
        <w:fldChar w:fldCharType="separate"/>
      </w:r>
      <w:r w:rsidR="00595019" w:rsidRPr="00B0157E">
        <w:rPr>
          <w:lang w:val="en-AU"/>
        </w:rPr>
        <w:t>[2]</w:t>
      </w:r>
      <w:r w:rsidR="00595019" w:rsidRPr="00B0157E">
        <w:rPr>
          <w:lang w:val="en-AU"/>
        </w:rPr>
        <w:fldChar w:fldCharType="end"/>
      </w:r>
      <w:r w:rsidR="004A352E">
        <w:rPr>
          <w:lang w:val="en-AU"/>
        </w:rPr>
        <w:t xml:space="preserve"> </w:t>
      </w:r>
    </w:p>
    <w:p w14:paraId="15D73720" w14:textId="6CCE5C09" w:rsidR="008F11A4" w:rsidRPr="00B0157E" w:rsidRDefault="0035618F">
      <w:pPr>
        <w:pStyle w:val="01squarebullet"/>
        <w:rPr>
          <w:lang w:val="en-AU"/>
        </w:rPr>
      </w:pPr>
      <w:r w:rsidRPr="00B0157E">
        <w:rPr>
          <w:lang w:val="en-AU"/>
        </w:rPr>
        <w:t xml:space="preserve">The Committee’s only reservation </w:t>
      </w:r>
      <w:r w:rsidR="008741A7" w:rsidRPr="00B0157E">
        <w:rPr>
          <w:lang w:val="en-AU"/>
        </w:rPr>
        <w:t xml:space="preserve">about </w:t>
      </w:r>
      <w:r w:rsidRPr="00B0157E">
        <w:rPr>
          <w:lang w:val="en-AU"/>
        </w:rPr>
        <w:t>deleting item 30213 was the potential</w:t>
      </w:r>
      <w:r w:rsidR="00140448" w:rsidRPr="00B0157E">
        <w:rPr>
          <w:lang w:val="en-AU"/>
        </w:rPr>
        <w:t xml:space="preserve"> impact </w:t>
      </w:r>
      <w:r w:rsidR="00402FF2" w:rsidRPr="00B0157E">
        <w:rPr>
          <w:lang w:val="en-AU"/>
        </w:rPr>
        <w:t xml:space="preserve">on </w:t>
      </w:r>
      <w:r w:rsidRPr="00B0157E">
        <w:rPr>
          <w:lang w:val="en-AU"/>
        </w:rPr>
        <w:t xml:space="preserve">patient </w:t>
      </w:r>
      <w:r w:rsidR="00A1120C" w:rsidRPr="00B0157E">
        <w:rPr>
          <w:lang w:val="en-AU"/>
        </w:rPr>
        <w:t>access. H</w:t>
      </w:r>
      <w:r w:rsidRPr="00B0157E">
        <w:rPr>
          <w:lang w:val="en-AU"/>
        </w:rPr>
        <w:t>owever</w:t>
      </w:r>
      <w:r w:rsidR="00186923" w:rsidRPr="00B0157E">
        <w:rPr>
          <w:lang w:val="en-AU"/>
        </w:rPr>
        <w:t>,</w:t>
      </w:r>
      <w:r w:rsidRPr="00B0157E">
        <w:rPr>
          <w:lang w:val="en-AU"/>
        </w:rPr>
        <w:t xml:space="preserve"> MBS data </w:t>
      </w:r>
      <w:r w:rsidR="003C57CF" w:rsidRPr="00B0157E">
        <w:rPr>
          <w:lang w:val="en-AU"/>
        </w:rPr>
        <w:t>revealed</w:t>
      </w:r>
      <w:r w:rsidRPr="00B0157E">
        <w:rPr>
          <w:lang w:val="en-AU"/>
        </w:rPr>
        <w:t xml:space="preserve"> that t</w:t>
      </w:r>
      <w:r w:rsidR="000B75A7" w:rsidRPr="00B0157E">
        <w:rPr>
          <w:lang w:val="en-AU"/>
        </w:rPr>
        <w:t xml:space="preserve">here are </w:t>
      </w:r>
      <w:r w:rsidR="00A1120C" w:rsidRPr="00B0157E">
        <w:rPr>
          <w:lang w:val="en-AU"/>
        </w:rPr>
        <w:t>limited rural access concerns</w:t>
      </w:r>
      <w:r w:rsidR="00B50179" w:rsidRPr="00B0157E">
        <w:rPr>
          <w:lang w:val="en-AU"/>
        </w:rPr>
        <w:t>:</w:t>
      </w:r>
      <w:r w:rsidR="00A1120C" w:rsidRPr="00B0157E">
        <w:rPr>
          <w:lang w:val="en-AU"/>
        </w:rPr>
        <w:t xml:space="preserve"> </w:t>
      </w:r>
      <w:r w:rsidR="00E279C6" w:rsidRPr="00B0157E">
        <w:rPr>
          <w:lang w:val="en-AU"/>
        </w:rPr>
        <w:t xml:space="preserve">less than six services </w:t>
      </w:r>
      <w:r w:rsidR="00861FF6" w:rsidRPr="00B0157E">
        <w:rPr>
          <w:lang w:val="en-AU"/>
        </w:rPr>
        <w:t xml:space="preserve">were </w:t>
      </w:r>
      <w:r w:rsidR="002022FC" w:rsidRPr="00B0157E">
        <w:rPr>
          <w:lang w:val="en-AU"/>
        </w:rPr>
        <w:t xml:space="preserve">provided </w:t>
      </w:r>
      <w:r w:rsidR="00E279C6" w:rsidRPr="00B0157E">
        <w:rPr>
          <w:lang w:val="en-AU"/>
        </w:rPr>
        <w:t>in remote and very remote areas of Australia in FY2014/15</w:t>
      </w:r>
      <w:r w:rsidR="0039459C" w:rsidRPr="00B0157E">
        <w:rPr>
          <w:lang w:val="en-AU"/>
        </w:rPr>
        <w:t>, and</w:t>
      </w:r>
      <w:r w:rsidR="00B50179" w:rsidRPr="00B0157E">
        <w:rPr>
          <w:lang w:val="en-AU"/>
        </w:rPr>
        <w:t xml:space="preserve"> </w:t>
      </w:r>
      <w:r w:rsidR="006F6F00" w:rsidRPr="00B0157E">
        <w:rPr>
          <w:lang w:val="en-AU"/>
        </w:rPr>
        <w:t>l</w:t>
      </w:r>
      <w:r w:rsidR="000B75A7" w:rsidRPr="00B0157E">
        <w:rPr>
          <w:lang w:val="en-AU"/>
        </w:rPr>
        <w:t>aser treatment is sufficiently availa</w:t>
      </w:r>
      <w:r w:rsidRPr="00B0157E">
        <w:rPr>
          <w:lang w:val="en-AU"/>
        </w:rPr>
        <w:t>ble</w:t>
      </w:r>
      <w:r w:rsidR="00E279C6" w:rsidRPr="00B0157E">
        <w:rPr>
          <w:lang w:val="en-AU"/>
        </w:rPr>
        <w:t xml:space="preserve"> as an alternative</w:t>
      </w:r>
      <w:r w:rsidRPr="00B0157E">
        <w:rPr>
          <w:lang w:val="en-AU"/>
        </w:rPr>
        <w:t xml:space="preserve"> for rural patients</w:t>
      </w:r>
      <w:r w:rsidR="00E279C6" w:rsidRPr="00B0157E">
        <w:rPr>
          <w:lang w:val="en-AU"/>
        </w:rPr>
        <w:t>.</w:t>
      </w:r>
      <w:r w:rsidR="00C1346F" w:rsidRPr="00B0157E">
        <w:rPr>
          <w:lang w:val="en-AU"/>
        </w:rPr>
        <w:fldChar w:fldCharType="begin" w:fldLock="1"/>
      </w:r>
      <w:r w:rsidR="00986735"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COGNOS", "type" : "report" }, "uris" : [ "http://www.mendeley.com/documents/?uuid=0c6a31be-a58c-4483-bca9-b8a96ba7acd4" ] } ], "mendeley" : { "formattedCitation" : "[12]", "plainTextFormattedCitation" : "[12]", "previouslyFormattedCitation" : "[12]" }, "properties" : { "noteIndex" : 0 }, "schema" : "https://github.com/citation-style-language/schema/raw/master/csl-citation.json" }</w:instrText>
      </w:r>
      <w:r w:rsidR="00C1346F" w:rsidRPr="00B0157E">
        <w:rPr>
          <w:lang w:val="en-AU"/>
        </w:rPr>
        <w:fldChar w:fldCharType="separate"/>
      </w:r>
      <w:r w:rsidR="00C47315" w:rsidRPr="00B0157E">
        <w:rPr>
          <w:lang w:val="en-AU"/>
        </w:rPr>
        <w:t>[12]</w:t>
      </w:r>
      <w:r w:rsidR="00C1346F" w:rsidRPr="00B0157E">
        <w:rPr>
          <w:lang w:val="en-AU"/>
        </w:rPr>
        <w:fldChar w:fldCharType="end"/>
      </w:r>
    </w:p>
    <w:p w14:paraId="7C6A766D" w14:textId="77777777" w:rsidR="00586A72" w:rsidRPr="00B0157E" w:rsidRDefault="007470DF" w:rsidP="00C33ED9">
      <w:pPr>
        <w:pStyle w:val="Heading2"/>
        <w:rPr>
          <w:lang w:val="en-AU"/>
        </w:rPr>
      </w:pPr>
      <w:bookmarkStart w:id="157" w:name="_Toc458774439"/>
      <w:bookmarkStart w:id="158" w:name="_Toc465871877"/>
      <w:r w:rsidRPr="00B0157E">
        <w:rPr>
          <w:lang w:val="en-AU"/>
        </w:rPr>
        <w:t xml:space="preserve">Treatment of </w:t>
      </w:r>
      <w:r w:rsidR="00746A13" w:rsidRPr="00B0157E">
        <w:rPr>
          <w:lang w:val="en-AU"/>
        </w:rPr>
        <w:t>p</w:t>
      </w:r>
      <w:r w:rsidRPr="00B0157E">
        <w:rPr>
          <w:lang w:val="en-AU"/>
        </w:rPr>
        <w:t>re-malignant skin lesions</w:t>
      </w:r>
      <w:r w:rsidR="000D42D6" w:rsidRPr="00B0157E">
        <w:rPr>
          <w:lang w:val="en-AU"/>
        </w:rPr>
        <w:t>:</w:t>
      </w:r>
      <w:r w:rsidRPr="00B0157E">
        <w:rPr>
          <w:lang w:val="en-AU"/>
        </w:rPr>
        <w:t xml:space="preserve"> </w:t>
      </w:r>
      <w:r w:rsidR="00586A72" w:rsidRPr="00B0157E">
        <w:rPr>
          <w:lang w:val="en-AU"/>
        </w:rPr>
        <w:t>Item 30192</w:t>
      </w:r>
      <w:bookmarkEnd w:id="157"/>
      <w:bookmarkEnd w:id="158"/>
    </w:p>
    <w:p w14:paraId="1B4E2F75" w14:textId="77777777" w:rsidR="00BE0986" w:rsidRPr="00B0157E" w:rsidRDefault="00BE0986" w:rsidP="00C33ED9">
      <w:pPr>
        <w:pStyle w:val="Caption"/>
        <w:rPr>
          <w:lang w:val="en-AU"/>
        </w:rPr>
      </w:pPr>
      <w:bookmarkStart w:id="159" w:name="_Toc457520571"/>
      <w:bookmarkStart w:id="160" w:name="_Toc459236299"/>
      <w:bookmarkStart w:id="161" w:name="_Toc465871834"/>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11</w:t>
      </w:r>
      <w:r w:rsidR="00C1346F" w:rsidRPr="00B0157E">
        <w:rPr>
          <w:lang w:val="en-AU"/>
        </w:rPr>
        <w:fldChar w:fldCharType="end"/>
      </w:r>
      <w:r w:rsidRPr="00B0157E">
        <w:rPr>
          <w:lang w:val="en-AU"/>
        </w:rPr>
        <w:t xml:space="preserve">: </w:t>
      </w:r>
      <w:r w:rsidR="003117A7" w:rsidRPr="00B0157E">
        <w:rPr>
          <w:lang w:val="en-AU"/>
        </w:rPr>
        <w:t xml:space="preserve">Item introduction table for item </w:t>
      </w:r>
      <w:r w:rsidRPr="00B0157E">
        <w:rPr>
          <w:lang w:val="en-AU"/>
        </w:rPr>
        <w:t>30192</w:t>
      </w:r>
      <w:bookmarkEnd w:id="159"/>
      <w:bookmarkEnd w:id="160"/>
      <w:bookmarkEnd w:id="161"/>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1 is an item introduction table for item 30192 which is for treatment of pre-malignant skin lesions.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BE0986" w:rsidRPr="00B0157E" w14:paraId="220352D5" w14:textId="77777777">
        <w:trPr>
          <w:tblHeader/>
        </w:trPr>
        <w:tc>
          <w:tcPr>
            <w:tcW w:w="717" w:type="dxa"/>
            <w:shd w:val="clear" w:color="auto" w:fill="F2F2F2" w:themeFill="background1" w:themeFillShade="F2"/>
            <w:vAlign w:val="bottom"/>
          </w:tcPr>
          <w:p w14:paraId="217F58B9" w14:textId="77777777" w:rsidR="00BE0986" w:rsidRPr="00B0157E" w:rsidRDefault="00BE0986" w:rsidP="006954F6">
            <w:pPr>
              <w:pStyle w:val="02Tabletext"/>
              <w:spacing w:after="20"/>
              <w:rPr>
                <w:b/>
              </w:rPr>
            </w:pPr>
            <w:r w:rsidRPr="00B0157E">
              <w:rPr>
                <w:b/>
              </w:rPr>
              <w:t>Item</w:t>
            </w:r>
          </w:p>
        </w:tc>
        <w:tc>
          <w:tcPr>
            <w:tcW w:w="4119" w:type="dxa"/>
            <w:shd w:val="clear" w:color="auto" w:fill="F2F2F2" w:themeFill="background1" w:themeFillShade="F2"/>
            <w:vAlign w:val="bottom"/>
          </w:tcPr>
          <w:p w14:paraId="2D7B740B" w14:textId="77777777" w:rsidR="00BE0986" w:rsidRPr="00B0157E" w:rsidRDefault="00BE0986" w:rsidP="006954F6">
            <w:pPr>
              <w:pStyle w:val="02Tabletext"/>
              <w:spacing w:after="20"/>
              <w:rPr>
                <w:b/>
              </w:rPr>
            </w:pPr>
            <w:r w:rsidRPr="00B0157E">
              <w:rPr>
                <w:b/>
              </w:rPr>
              <w:t>Descriptor</w:t>
            </w:r>
          </w:p>
          <w:p w14:paraId="741FA4BB" w14:textId="77777777" w:rsidR="00BE0986" w:rsidRPr="00B0157E" w:rsidRDefault="00BE0986" w:rsidP="006954F6">
            <w:pPr>
              <w:pStyle w:val="02Tabletext"/>
              <w:spacing w:after="20"/>
              <w:rPr>
                <w:b/>
              </w:rPr>
            </w:pPr>
            <w:r w:rsidRPr="00B0157E">
              <w:rPr>
                <w:b/>
              </w:rPr>
              <w:t>[date last amended]</w:t>
            </w:r>
          </w:p>
        </w:tc>
        <w:tc>
          <w:tcPr>
            <w:tcW w:w="917" w:type="dxa"/>
            <w:shd w:val="clear" w:color="auto" w:fill="F2F2F2" w:themeFill="background1" w:themeFillShade="F2"/>
            <w:vAlign w:val="bottom"/>
          </w:tcPr>
          <w:p w14:paraId="7CFF98DC" w14:textId="77777777" w:rsidR="00BE0986" w:rsidRPr="00B0157E" w:rsidRDefault="00BE0986" w:rsidP="006954F6">
            <w:pPr>
              <w:pStyle w:val="02Tabletext"/>
              <w:spacing w:after="20"/>
              <w:rPr>
                <w:b/>
              </w:rPr>
            </w:pPr>
            <w:r w:rsidRPr="00B0157E">
              <w:rPr>
                <w:b/>
              </w:rPr>
              <w:t>Schedule</w:t>
            </w:r>
          </w:p>
          <w:p w14:paraId="749824BB" w14:textId="77777777" w:rsidR="00BE0986" w:rsidRPr="00B0157E" w:rsidRDefault="00BE0986" w:rsidP="006954F6">
            <w:pPr>
              <w:pStyle w:val="02Tabletext"/>
              <w:spacing w:after="20"/>
              <w:rPr>
                <w:b/>
              </w:rPr>
            </w:pPr>
            <w:r w:rsidRPr="00B0157E">
              <w:rPr>
                <w:b/>
              </w:rPr>
              <w:t>fee</w:t>
            </w:r>
          </w:p>
        </w:tc>
        <w:tc>
          <w:tcPr>
            <w:tcW w:w="997" w:type="dxa"/>
            <w:shd w:val="clear" w:color="auto" w:fill="F2F2F2" w:themeFill="background1" w:themeFillShade="F2"/>
            <w:vAlign w:val="bottom"/>
          </w:tcPr>
          <w:p w14:paraId="0BC62108" w14:textId="77777777" w:rsidR="00BE0986" w:rsidRPr="00B0157E" w:rsidRDefault="00BE0986" w:rsidP="006954F6">
            <w:pPr>
              <w:pStyle w:val="02Tabletext"/>
              <w:spacing w:after="20"/>
              <w:rPr>
                <w:b/>
              </w:rPr>
            </w:pPr>
            <w:r w:rsidRPr="00B0157E">
              <w:rPr>
                <w:b/>
              </w:rPr>
              <w:t>Services FY2014/15</w:t>
            </w:r>
          </w:p>
        </w:tc>
        <w:tc>
          <w:tcPr>
            <w:tcW w:w="1080" w:type="dxa"/>
            <w:shd w:val="clear" w:color="auto" w:fill="F2F2F2" w:themeFill="background1" w:themeFillShade="F2"/>
            <w:vAlign w:val="bottom"/>
          </w:tcPr>
          <w:p w14:paraId="4AEDF690" w14:textId="77777777" w:rsidR="00BE0986" w:rsidRPr="00B0157E" w:rsidRDefault="00BE0986" w:rsidP="006954F6">
            <w:pPr>
              <w:pStyle w:val="02Tabletext"/>
              <w:spacing w:after="20"/>
              <w:rPr>
                <w:b/>
              </w:rPr>
            </w:pPr>
            <w:r w:rsidRPr="00B0157E">
              <w:rPr>
                <w:b/>
              </w:rPr>
              <w:t>Benefits FY2014/15</w:t>
            </w:r>
          </w:p>
        </w:tc>
        <w:tc>
          <w:tcPr>
            <w:tcW w:w="1196" w:type="dxa"/>
            <w:shd w:val="clear" w:color="auto" w:fill="F2F2F2" w:themeFill="background1" w:themeFillShade="F2"/>
            <w:vAlign w:val="bottom"/>
          </w:tcPr>
          <w:p w14:paraId="2618D72B" w14:textId="77777777" w:rsidR="00BE0986" w:rsidRPr="00B0157E" w:rsidRDefault="009A7890" w:rsidP="006954F6">
            <w:pPr>
              <w:pStyle w:val="02Tabletext"/>
              <w:spacing w:after="20"/>
              <w:rPr>
                <w:b/>
              </w:rPr>
            </w:pPr>
            <w:r>
              <w:rPr>
                <w:b/>
              </w:rPr>
              <w:t>Services 5-</w:t>
            </w:r>
            <w:r w:rsidR="00BE0986" w:rsidRPr="00B0157E">
              <w:rPr>
                <w:b/>
              </w:rPr>
              <w:t>year annual avg. growth</w:t>
            </w:r>
          </w:p>
        </w:tc>
      </w:tr>
      <w:tr w:rsidR="007E763A" w:rsidRPr="00B0157E" w14:paraId="09B82CCF" w14:textId="77777777">
        <w:tc>
          <w:tcPr>
            <w:tcW w:w="717" w:type="dxa"/>
          </w:tcPr>
          <w:p w14:paraId="748D706B" w14:textId="77777777" w:rsidR="007E763A" w:rsidRPr="00B0157E" w:rsidRDefault="007E763A" w:rsidP="006954F6">
            <w:pPr>
              <w:pStyle w:val="02Tabletext"/>
              <w:spacing w:after="20"/>
            </w:pPr>
            <w:r w:rsidRPr="00B0157E">
              <w:rPr>
                <w:szCs w:val="18"/>
              </w:rPr>
              <w:t>30192</w:t>
            </w:r>
          </w:p>
        </w:tc>
        <w:tc>
          <w:tcPr>
            <w:tcW w:w="4119" w:type="dxa"/>
          </w:tcPr>
          <w:p w14:paraId="711EBE2A" w14:textId="77777777" w:rsidR="007E763A" w:rsidRPr="00B0157E" w:rsidRDefault="007E763A" w:rsidP="00B66BD3">
            <w:pPr>
              <w:pStyle w:val="02Tabletext"/>
              <w:spacing w:after="20"/>
            </w:pPr>
            <w:r w:rsidRPr="00B0157E">
              <w:rPr>
                <w:szCs w:val="18"/>
              </w:rPr>
              <w:t>P</w:t>
            </w:r>
            <w:r w:rsidR="00B66BD3" w:rsidRPr="00B0157E">
              <w:rPr>
                <w:szCs w:val="18"/>
              </w:rPr>
              <w:t xml:space="preserve">remalignant skin lesions </w:t>
            </w:r>
            <w:r w:rsidRPr="00B0157E">
              <w:rPr>
                <w:szCs w:val="18"/>
              </w:rPr>
              <w:t>(including solar keratoses), treatment of, by ablative technique (10 or more lesions)</w:t>
            </w:r>
            <w:r w:rsidR="00E50404" w:rsidRPr="00B0157E">
              <w:rPr>
                <w:szCs w:val="18"/>
              </w:rPr>
              <w:t>.</w:t>
            </w:r>
            <w:r w:rsidR="00A05E08" w:rsidRPr="00B0157E">
              <w:rPr>
                <w:szCs w:val="18"/>
              </w:rPr>
              <w:t xml:space="preserve"> [2003]</w:t>
            </w:r>
          </w:p>
        </w:tc>
        <w:tc>
          <w:tcPr>
            <w:tcW w:w="917" w:type="dxa"/>
          </w:tcPr>
          <w:p w14:paraId="437256DB" w14:textId="77777777" w:rsidR="007E763A" w:rsidRPr="00B0157E" w:rsidRDefault="007E763A" w:rsidP="006954F6">
            <w:pPr>
              <w:pStyle w:val="02Tabletext"/>
              <w:spacing w:after="20"/>
              <w:jc w:val="center"/>
            </w:pPr>
            <w:r w:rsidRPr="00B0157E">
              <w:rPr>
                <w:szCs w:val="18"/>
              </w:rPr>
              <w:t>$39.55</w:t>
            </w:r>
          </w:p>
        </w:tc>
        <w:tc>
          <w:tcPr>
            <w:tcW w:w="997" w:type="dxa"/>
          </w:tcPr>
          <w:p w14:paraId="147AE44E" w14:textId="77777777" w:rsidR="007E763A" w:rsidRPr="00B0157E" w:rsidRDefault="007E763A" w:rsidP="006954F6">
            <w:pPr>
              <w:pStyle w:val="02Tabletext"/>
              <w:spacing w:after="20"/>
              <w:jc w:val="center"/>
            </w:pPr>
            <w:r w:rsidRPr="00B0157E">
              <w:rPr>
                <w:szCs w:val="18"/>
              </w:rPr>
              <w:t>690,879</w:t>
            </w:r>
          </w:p>
        </w:tc>
        <w:tc>
          <w:tcPr>
            <w:tcW w:w="1080" w:type="dxa"/>
          </w:tcPr>
          <w:p w14:paraId="49954885" w14:textId="77777777" w:rsidR="007E763A" w:rsidRPr="00B0157E" w:rsidRDefault="007E763A" w:rsidP="006954F6">
            <w:pPr>
              <w:pStyle w:val="02Tabletext"/>
              <w:spacing w:after="20"/>
              <w:jc w:val="center"/>
            </w:pPr>
            <w:r w:rsidRPr="00B0157E">
              <w:rPr>
                <w:szCs w:val="18"/>
              </w:rPr>
              <w:t>$21,388,250</w:t>
            </w:r>
          </w:p>
        </w:tc>
        <w:tc>
          <w:tcPr>
            <w:tcW w:w="1196" w:type="dxa"/>
          </w:tcPr>
          <w:p w14:paraId="7F0BFB64" w14:textId="77777777" w:rsidR="007E763A" w:rsidRPr="00B0157E" w:rsidRDefault="007E763A" w:rsidP="006954F6">
            <w:pPr>
              <w:pStyle w:val="02Tabletext"/>
              <w:spacing w:after="20"/>
              <w:jc w:val="center"/>
            </w:pPr>
            <w:r w:rsidRPr="00B0157E">
              <w:t>3.20%</w:t>
            </w:r>
          </w:p>
        </w:tc>
      </w:tr>
    </w:tbl>
    <w:p w14:paraId="799BAFE0" w14:textId="77777777" w:rsidR="00586A72" w:rsidRPr="00B0157E" w:rsidRDefault="00586A72" w:rsidP="002405E9">
      <w:pPr>
        <w:keepNext/>
        <w:keepLines/>
        <w:rPr>
          <w:b/>
          <w:lang w:val="en-AU"/>
        </w:rPr>
      </w:pPr>
      <w:r w:rsidRPr="00B0157E">
        <w:rPr>
          <w:b/>
          <w:lang w:val="en-AU"/>
        </w:rPr>
        <w:t xml:space="preserve">Recommendation </w:t>
      </w:r>
    </w:p>
    <w:p w14:paraId="64B72ACB" w14:textId="77777777" w:rsidR="00586A72" w:rsidRPr="00B0157E" w:rsidRDefault="00D07A5F">
      <w:pPr>
        <w:pStyle w:val="01squarebullet"/>
        <w:rPr>
          <w:lang w:val="en-AU"/>
        </w:rPr>
      </w:pPr>
      <w:r w:rsidRPr="00B0157E">
        <w:rPr>
          <w:lang w:val="en-AU"/>
        </w:rPr>
        <w:t>Leave</w:t>
      </w:r>
      <w:r w:rsidR="00997260" w:rsidRPr="00B0157E">
        <w:rPr>
          <w:lang w:val="en-AU"/>
        </w:rPr>
        <w:t xml:space="preserve"> this</w:t>
      </w:r>
      <w:r w:rsidRPr="00B0157E">
        <w:rPr>
          <w:lang w:val="en-AU"/>
        </w:rPr>
        <w:t xml:space="preserve"> item</w:t>
      </w:r>
      <w:r w:rsidR="00586A72" w:rsidRPr="00B0157E">
        <w:rPr>
          <w:lang w:val="en-AU"/>
        </w:rPr>
        <w:t xml:space="preserve"> </w:t>
      </w:r>
      <w:r w:rsidRPr="00B0157E">
        <w:rPr>
          <w:lang w:val="en-AU"/>
        </w:rPr>
        <w:t>un</w:t>
      </w:r>
      <w:r w:rsidR="00586A72" w:rsidRPr="00B0157E">
        <w:rPr>
          <w:lang w:val="en-AU"/>
        </w:rPr>
        <w:t>change</w:t>
      </w:r>
      <w:r w:rsidRPr="00B0157E">
        <w:rPr>
          <w:lang w:val="en-AU"/>
        </w:rPr>
        <w:t>d</w:t>
      </w:r>
      <w:r w:rsidR="00586A72" w:rsidRPr="00B0157E">
        <w:rPr>
          <w:lang w:val="en-AU"/>
        </w:rPr>
        <w:t xml:space="preserve">. </w:t>
      </w:r>
    </w:p>
    <w:p w14:paraId="61F1A8DA" w14:textId="77777777" w:rsidR="00586A72" w:rsidRPr="00B0157E" w:rsidRDefault="00586A72" w:rsidP="00FF0C98">
      <w:pPr>
        <w:keepNext/>
        <w:keepLines/>
        <w:rPr>
          <w:b/>
          <w:lang w:val="en-AU"/>
        </w:rPr>
      </w:pPr>
      <w:r w:rsidRPr="00B0157E">
        <w:rPr>
          <w:b/>
          <w:lang w:val="en-AU"/>
        </w:rPr>
        <w:lastRenderedPageBreak/>
        <w:t>Rationale</w:t>
      </w:r>
    </w:p>
    <w:p w14:paraId="0EE79DBF" w14:textId="77777777" w:rsidR="00586A72" w:rsidRPr="00B0157E" w:rsidRDefault="00E26F2F">
      <w:pPr>
        <w:pStyle w:val="01squarebullet"/>
        <w:rPr>
          <w:lang w:val="en-AU"/>
        </w:rPr>
      </w:pPr>
      <w:r w:rsidRPr="00B0157E">
        <w:rPr>
          <w:lang w:val="en-AU"/>
        </w:rPr>
        <w:t>T</w:t>
      </w:r>
      <w:r w:rsidR="00586A72" w:rsidRPr="00B0157E">
        <w:rPr>
          <w:lang w:val="en-AU"/>
        </w:rPr>
        <w:t>he</w:t>
      </w:r>
      <w:r w:rsidRPr="00B0157E">
        <w:rPr>
          <w:lang w:val="en-AU"/>
        </w:rPr>
        <w:t xml:space="preserve"> position of </w:t>
      </w:r>
      <w:r w:rsidR="00586A72" w:rsidRPr="00B0157E">
        <w:rPr>
          <w:lang w:val="en-AU"/>
        </w:rPr>
        <w:t>the Committee</w:t>
      </w:r>
      <w:r w:rsidRPr="00B0157E">
        <w:rPr>
          <w:lang w:val="en-AU"/>
        </w:rPr>
        <w:t xml:space="preserve"> is that</w:t>
      </w:r>
      <w:r w:rsidR="00586A72" w:rsidRPr="00B0157E">
        <w:rPr>
          <w:lang w:val="en-AU"/>
        </w:rPr>
        <w:t xml:space="preserve"> this treatment is still required, and </w:t>
      </w:r>
      <w:r w:rsidR="00353E6B" w:rsidRPr="00B0157E">
        <w:rPr>
          <w:lang w:val="en-AU"/>
        </w:rPr>
        <w:t xml:space="preserve">that </w:t>
      </w:r>
      <w:r w:rsidR="00586A72" w:rsidRPr="00B0157E">
        <w:rPr>
          <w:lang w:val="en-AU"/>
        </w:rPr>
        <w:t>the significant service volume is likely to</w:t>
      </w:r>
      <w:r w:rsidR="00050B36" w:rsidRPr="00B0157E">
        <w:rPr>
          <w:lang w:val="en-AU"/>
        </w:rPr>
        <w:t xml:space="preserve"> be appropriate given the incidence</w:t>
      </w:r>
      <w:r w:rsidR="00586A72" w:rsidRPr="00B0157E">
        <w:rPr>
          <w:lang w:val="en-AU"/>
        </w:rPr>
        <w:t xml:space="preserve"> of skin cancer in Australia</w:t>
      </w:r>
      <w:r w:rsidR="003B2DD5" w:rsidRPr="00B0157E">
        <w:rPr>
          <w:lang w:val="en-AU"/>
        </w:rPr>
        <w:t>.</w:t>
      </w:r>
      <w:r w:rsidR="00C1346F" w:rsidRPr="00B0157E">
        <w:rPr>
          <w:lang w:val="en-AU"/>
        </w:rPr>
        <w:fldChar w:fldCharType="begin" w:fldLock="1"/>
      </w:r>
      <w:r w:rsidR="00C47315" w:rsidRPr="00B0157E">
        <w:rPr>
          <w:lang w:val="en-AU"/>
        </w:rPr>
        <w:instrText>ADDIN CSL_CITATION { "citationItems" : [ { "id" : "ITEM-1", "itemData" : { "ISSN" : "03008495", "author" : [ { "dropping-particle" : "", "family" : "Pollack", "given" : "Allan", "non-dropping-particle" : "", "parse-names" : false, "suffix" : "" }, { "dropping-particle" : "", "family" : "McGrath", "given" : "Mark", "non-dropping-particle" : "", "parse-names" : false, "suffix" : "" }, { "dropping-particle" : "", "family" : "Henderson", "given" : "Joan", "non-dropping-particle" : "", "parse-names" : false, "suffix" : "" }, { "dropping-particle" : "", "family" : "Britt", "given" : "Helena", "non-dropping-particle" : "", "parse-names" : false, "suffix" : "" } ], "container-title" : "Australian Family Physician", "id" : "ITEM-1", "issue" : "8", "issued" : { "date-parts" : [ [ "2014" ] ] }, "page" : "507", "title" : "Skin cancer by state and territory", "type" : "article-journal", "volume" : "43" }, "uris" : [ "http://www.mendeley.com/documents/?uuid=0d107da5-b41c-465c-93c8-2e6e8665bac3" ] } ], "mendeley" : { "formattedCitation" : "[37]", "plainTextFormattedCitation" : "[37]", "previouslyFormattedCitation" : "[37]" }, "properties" : { "noteIndex" : 0 }, "schema" : "https://github.com/citation-style-language/schema/raw/master/csl-citation.json" }</w:instrText>
      </w:r>
      <w:r w:rsidR="00C1346F" w:rsidRPr="00B0157E">
        <w:rPr>
          <w:lang w:val="en-AU"/>
        </w:rPr>
        <w:fldChar w:fldCharType="separate"/>
      </w:r>
      <w:r w:rsidR="00010550" w:rsidRPr="00B0157E">
        <w:rPr>
          <w:lang w:val="en-AU"/>
        </w:rPr>
        <w:t>[37]</w:t>
      </w:r>
      <w:r w:rsidR="00C1346F" w:rsidRPr="00B0157E">
        <w:rPr>
          <w:lang w:val="en-AU"/>
        </w:rPr>
        <w:fldChar w:fldCharType="end"/>
      </w:r>
      <w:r w:rsidR="00586A72" w:rsidRPr="00B0157E">
        <w:rPr>
          <w:lang w:val="en-AU"/>
        </w:rPr>
        <w:t xml:space="preserve"> </w:t>
      </w:r>
    </w:p>
    <w:p w14:paraId="669B671A" w14:textId="77777777" w:rsidR="005373F8" w:rsidRPr="00B0157E" w:rsidRDefault="005373F8" w:rsidP="0041557F">
      <w:pPr>
        <w:pStyle w:val="01squarebullet"/>
        <w:rPr>
          <w:lang w:val="en-AU"/>
        </w:rPr>
      </w:pPr>
      <w:r w:rsidRPr="00B0157E">
        <w:rPr>
          <w:lang w:val="en-AU"/>
        </w:rPr>
        <w:t xml:space="preserve">The Committee considered recommending topical and field therapies in the explanatory notes as they are increasingly becoming available and often provide better treatment. </w:t>
      </w:r>
      <w:r w:rsidRPr="00B0157E">
        <w:rPr>
          <w:lang w:val="en-AU"/>
        </w:rPr>
        <w:fldChar w:fldCharType="begin" w:fldLock="1"/>
      </w:r>
      <w:r w:rsidRPr="00B0157E">
        <w:rPr>
          <w:lang w:val="en-AU"/>
        </w:rPr>
        <w:instrText>ADDIN CSL_CITATION { "citationItems" : [ { "id" : "ITEM-1", "itemData" : { "DOI" : "10.1111/jdv.13180", "ISSN" : "1468-3083", "PMID" : "26370093", "abstract" : "BACKGROUND Actinic keratosis (AK) is a frequent health condition attributable to chronic exposure to ultraviolet radiation. Several treatment options are available and evidence based guidelines are missing. OBJECTIVES The goal of these evidence- and consensus-based guidelines was the development of treatment recommendations appropriate for different subgroups of patients presenting with AK. A secondary aim of these guidelines was the implementation of knowledge relating to the clinical background of AK, including consensus-based recommendations for the histopathological definition, diagnosis and the assessment of patients. METHODS The guidelines development followed a pre-defined and structured process. For the underlying systematic literature review of interventions for AK, the methodology suggested by the Cochrane Handbook for Systematic Reviews of Interventions, the Preferred Reporting Items for Systematic Reviews and Meta-Analyses (PRISMA) statement and Grading of Recommendations Assessment, Development and Evaluation (GRADE) methodology was adapted. All recommendations were consented during a consensus conference using a formal consensus methodology. Strength of recommendations was expressed based on the GRADE approach. If expert opinion without external evidence was incorporated into the reasoning for making a certain recommendation, the rationale was provided. The Guidelines underwent open public review and approval by the commissioning societies. RESULTS Various interventions for the treatment of AK have been assessed for their efficacy. The consenting procedure led to a treatment algorithm as shown in the guidelines document. Based on expert consensus, the present guidelines present recommendations on the classification of patients, diagnosis and histopathological definition of AK. Details on the methods and results of the systematic literature review and guideline development process have been published separately. CONCLUSIONS International guidelines are intended to be adapted to national or regional circumstances (regulatory approval, availability and reimbursement of treatments).", "author" : [ { "dropping-particle" : "", "family" : "Werner", "given" : "R N", "non-dropping-particle" : "", "parse-names" : false, "suffix" : "" }, { "dropping-particle" : "", "family" : "Stockfleth", "given" : "E", "non-dropping-particle" : "", "parse-names" : false, "suffix" : "" }, { "dropping-particle" : "", "family" : "Connolly", "given" : "S M", "non-dropping-particle" : "", "parse-names" : false, "suffix" : "" }, { "dropping-particle" : "", "family" : "Correia", "given" : "O", "non-dropping-particle" : "", "parse-names" : false, "suffix" : "" }, { "dropping-particle" : "", "family" : "Erdmann", "given" : "R", "non-dropping-particle" : "", "parse-names" : false, "suffix" : "" }, { "dropping-particle" : "", "family" : "Foley", "given" : "P", "non-dropping-particle" : "", "parse-names" : false, "suffix" : "" }, { "dropping-particle" : "", "family" : "Gupta", "given" : "A K", "non-dropping-particle" : "", "parse-names" : false, "suffix" : "" }, { "dropping-particle" : "", "family" : "Jacobs", "given" : "A", "non-dropping-particle" : "", "parse-names" : false, "suffix" : "" }, { "dropping-particle" : "", "family" : "Kerl", "given" : "H", "non-dropping-particle" : "", "parse-names" : false, "suffix" : "" }, { "dropping-particle" : "", "family" : "Lim", "given" : "H W", "non-dropping-particle" : "", "parse-names" : false, "suffix" : "" }, { "dropping-particle" : "", "family" : "Martin", "given" : "G", "non-dropping-particle" : "", "parse-names" : false, "suffix" : "" }, { "dropping-particle" : "", "family" : "Paquet", "given" : "M", "non-dropping-particle" : "", "parse-names" : false, "suffix" : "" }, { "dropping-particle" : "", "family" : "Pariser", "given" : "D M", "non-dropping-particle" : "", "parse-names" : false, "suffix" : "" }, { "dropping-particle" : "", "family" : "Rosumeck", "given" : "S", "non-dropping-particle" : "", "parse-names" : false, "suffix" : "" }, { "dropping-particle" : "", "family" : "R\u00f6wert-Huber", "given" : "H-J", "non-dropping-particle" : "", "parse-names" : false, "suffix" : "" }, { "dropping-particle" : "", "family" : "Sahota", "given" : "A", "non-dropping-particle" : "", "parse-names" : false, "suffix" : "" }, { "dropping-particle" : "", "family" : "Sangueza", "given" : "O P", "non-dropping-particle" : "", "parse-names" : false, "suffix" : "" }, { "dropping-particle" : "", "family" : "Shumack", "given" : "S", "non-dropping-particle" : "", "parse-names" : false, "suffix" : "" }, { "dropping-particle" : "", "family" : "Sporbeck", "given" : "B", "non-dropping-particle" : "", "parse-names" : false, "suffix" : "" }, { "dropping-particle" : "", "family" : "Swanson", "given" : "N A", "non-dropping-particle" : "", "parse-names" : false, "suffix" : "" }, { "dropping-particle" : "", "family" : "Torezan", "given" : "L", "non-dropping-particle" : "", "parse-names" : false, "suffix" : "" }, { "dropping-particle" : "", "family" : "Nast", "given" : "A", "non-dropping-particle" : "", "parse-names" : false, "suffix" : "" } ], "container-title" : "Journal of the European Academy of Dermatology and Venereology : JEADV", "id" : "ITEM-1", "issue" : "11", "issued" : { "date-parts" : [ [ "2015", "11" ] ] }, "page" : "2069-79", "title" : "Evidence- and consensus-based (S3) Guidelines for the Treatment of Actinic Keratosis - International League of Dermatological Societies in cooperation with the European Dermatology Forum - Short version.", "type" : "article-journal", "volume" : "29" }, "uris" : [ "http://www.mendeley.com/documents/?uuid=bc0a0ff9-6293-3185-a368-3d09f5b94f8c" ] } ], "mendeley" : { "formattedCitation" : "[38]", "plainTextFormattedCitation" : "[38]", "previouslyFormattedCitation" : "[38]" }, "properties" : { "noteIndex" : 0 }, "schema" : "https://github.com/citation-style-language/schema/raw/master/csl-citation.json" }</w:instrText>
      </w:r>
      <w:r w:rsidRPr="00B0157E">
        <w:rPr>
          <w:lang w:val="en-AU"/>
        </w:rPr>
        <w:fldChar w:fldCharType="separate"/>
      </w:r>
      <w:r w:rsidRPr="00B0157E">
        <w:rPr>
          <w:noProof/>
          <w:lang w:val="en-AU"/>
        </w:rPr>
        <w:t>[38]</w:t>
      </w:r>
      <w:r w:rsidRPr="00B0157E">
        <w:rPr>
          <w:lang w:val="en-AU"/>
        </w:rPr>
        <w:fldChar w:fldCharType="end"/>
      </w:r>
      <w:r w:rsidRPr="00B0157E">
        <w:rPr>
          <w:lang w:val="en-AU"/>
        </w:rPr>
        <w:t xml:space="preserve"> However they noted that such therapies are not currently listed on the PBS and require a submission that is approved through the</w:t>
      </w:r>
      <w:r w:rsidR="0041557F" w:rsidRPr="00B0157E">
        <w:rPr>
          <w:lang w:val="en-AU"/>
        </w:rPr>
        <w:t xml:space="preserve"> Pharmaceutical Benefits Advisory </w:t>
      </w:r>
      <w:r w:rsidR="00DD2B91">
        <w:rPr>
          <w:lang w:val="en-AU"/>
        </w:rPr>
        <w:t>Committee</w:t>
      </w:r>
      <w:r w:rsidRPr="00B0157E">
        <w:rPr>
          <w:lang w:val="en-AU"/>
        </w:rPr>
        <w:t xml:space="preserve"> </w:t>
      </w:r>
      <w:r w:rsidR="0041557F" w:rsidRPr="00B0157E">
        <w:rPr>
          <w:lang w:val="en-AU"/>
        </w:rPr>
        <w:t>(</w:t>
      </w:r>
      <w:r w:rsidRPr="00B0157E">
        <w:rPr>
          <w:lang w:val="en-AU"/>
        </w:rPr>
        <w:t>PBAC</w:t>
      </w:r>
      <w:r w:rsidR="0041557F" w:rsidRPr="00B0157E">
        <w:rPr>
          <w:lang w:val="en-AU"/>
        </w:rPr>
        <w:t>)</w:t>
      </w:r>
      <w:r w:rsidRPr="00B0157E">
        <w:rPr>
          <w:lang w:val="en-AU"/>
        </w:rPr>
        <w:t xml:space="preserve"> process. Furthermore a large education campaign would be required to inform doctors of these new treatments. Therefore they decided not to include such explanatory notes. </w:t>
      </w:r>
    </w:p>
    <w:p w14:paraId="72CF2B8E" w14:textId="77777777" w:rsidR="007470DF" w:rsidRPr="00B0157E" w:rsidRDefault="002A07F3" w:rsidP="00C33ED9">
      <w:pPr>
        <w:pStyle w:val="Heading2"/>
        <w:rPr>
          <w:lang w:val="en-AU"/>
        </w:rPr>
      </w:pPr>
      <w:bookmarkStart w:id="162" w:name="_Toc458774440"/>
      <w:bookmarkStart w:id="163" w:name="_Toc465871878"/>
      <w:r w:rsidRPr="00B0157E">
        <w:rPr>
          <w:lang w:val="en-AU"/>
        </w:rPr>
        <w:t>S</w:t>
      </w:r>
      <w:r w:rsidR="00AD72E2" w:rsidRPr="00B0157E">
        <w:rPr>
          <w:lang w:val="en-AU"/>
        </w:rPr>
        <w:t>kin lesions</w:t>
      </w:r>
      <w:r w:rsidRPr="00B0157E">
        <w:rPr>
          <w:lang w:val="en-AU"/>
        </w:rPr>
        <w:t>, multiple injections of hydrocortisone or similar preparations</w:t>
      </w:r>
      <w:r w:rsidR="00E11F86" w:rsidRPr="00B0157E">
        <w:rPr>
          <w:lang w:val="en-AU"/>
        </w:rPr>
        <w:t>:</w:t>
      </w:r>
      <w:r w:rsidR="0021449F" w:rsidRPr="00B0157E">
        <w:rPr>
          <w:lang w:val="en-AU"/>
        </w:rPr>
        <w:t xml:space="preserve"> </w:t>
      </w:r>
      <w:r w:rsidR="007470DF" w:rsidRPr="00B0157E">
        <w:rPr>
          <w:lang w:val="en-AU"/>
        </w:rPr>
        <w:t>Item</w:t>
      </w:r>
      <w:r w:rsidRPr="00B0157E">
        <w:rPr>
          <w:lang w:val="en-AU"/>
        </w:rPr>
        <w:t>s</w:t>
      </w:r>
      <w:r w:rsidR="007470DF" w:rsidRPr="00B0157E">
        <w:rPr>
          <w:lang w:val="en-AU"/>
        </w:rPr>
        <w:t xml:space="preserve"> 30207</w:t>
      </w:r>
      <w:r w:rsidRPr="00B0157E">
        <w:rPr>
          <w:lang w:val="en-AU"/>
        </w:rPr>
        <w:t xml:space="preserve"> and 30210</w:t>
      </w:r>
      <w:bookmarkEnd w:id="162"/>
      <w:bookmarkEnd w:id="163"/>
      <w:r w:rsidR="004A352E">
        <w:rPr>
          <w:lang w:val="en-AU"/>
        </w:rPr>
        <w:t xml:space="preserve"> </w:t>
      </w:r>
    </w:p>
    <w:p w14:paraId="10C6E1FF" w14:textId="77777777" w:rsidR="00E03C37" w:rsidRPr="00B0157E" w:rsidRDefault="00E03C37" w:rsidP="00C33ED9">
      <w:pPr>
        <w:pStyle w:val="Caption"/>
        <w:rPr>
          <w:lang w:val="en-AU"/>
        </w:rPr>
      </w:pPr>
      <w:bookmarkStart w:id="164" w:name="_Toc457520572"/>
      <w:bookmarkStart w:id="165" w:name="_Toc459236300"/>
      <w:bookmarkStart w:id="166" w:name="_Toc465871835"/>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12</w:t>
      </w:r>
      <w:r w:rsidR="00C1346F" w:rsidRPr="00B0157E">
        <w:rPr>
          <w:lang w:val="en-AU"/>
        </w:rPr>
        <w:fldChar w:fldCharType="end"/>
      </w:r>
      <w:r w:rsidRPr="00B0157E">
        <w:rPr>
          <w:lang w:val="en-AU"/>
        </w:rPr>
        <w:t xml:space="preserve">: </w:t>
      </w:r>
      <w:r w:rsidR="00965524" w:rsidRPr="00B0157E">
        <w:rPr>
          <w:lang w:val="en-AU"/>
        </w:rPr>
        <w:t xml:space="preserve">Item introduction table for items </w:t>
      </w:r>
      <w:r w:rsidR="00FE06D7" w:rsidRPr="00B0157E">
        <w:rPr>
          <w:lang w:val="en-AU"/>
        </w:rPr>
        <w:t>30207</w:t>
      </w:r>
      <w:r w:rsidR="00560BEC" w:rsidRPr="00B0157E">
        <w:rPr>
          <w:lang w:val="en-AU"/>
        </w:rPr>
        <w:t xml:space="preserve"> and </w:t>
      </w:r>
      <w:r w:rsidR="00FE06D7" w:rsidRPr="00B0157E">
        <w:rPr>
          <w:lang w:val="en-AU"/>
        </w:rPr>
        <w:t>30210</w:t>
      </w:r>
      <w:bookmarkEnd w:id="164"/>
      <w:bookmarkEnd w:id="165"/>
      <w:bookmarkEnd w:id="166"/>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2 is an item introduction table for items 30207 and 30210 which are for skin lesions, multiple injections of hydrocortisone or similar preparations.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E03C37" w:rsidRPr="00B0157E" w14:paraId="5E42FF96" w14:textId="77777777">
        <w:trPr>
          <w:tblHeader/>
        </w:trPr>
        <w:tc>
          <w:tcPr>
            <w:tcW w:w="717" w:type="dxa"/>
            <w:shd w:val="clear" w:color="auto" w:fill="F2F2F2" w:themeFill="background1" w:themeFillShade="F2"/>
            <w:vAlign w:val="bottom"/>
          </w:tcPr>
          <w:p w14:paraId="38D8AD68" w14:textId="77777777" w:rsidR="00E03C37" w:rsidRPr="00B0157E" w:rsidRDefault="00E03C37" w:rsidP="006954F6">
            <w:pPr>
              <w:pStyle w:val="02Tabletext"/>
              <w:spacing w:after="20"/>
              <w:rPr>
                <w:b/>
              </w:rPr>
            </w:pPr>
            <w:r w:rsidRPr="00B0157E">
              <w:rPr>
                <w:b/>
              </w:rPr>
              <w:t>Item</w:t>
            </w:r>
          </w:p>
        </w:tc>
        <w:tc>
          <w:tcPr>
            <w:tcW w:w="4119" w:type="dxa"/>
            <w:shd w:val="clear" w:color="auto" w:fill="F2F2F2" w:themeFill="background1" w:themeFillShade="F2"/>
            <w:vAlign w:val="bottom"/>
          </w:tcPr>
          <w:p w14:paraId="6B814A57" w14:textId="77777777" w:rsidR="00E03C37" w:rsidRPr="00B0157E" w:rsidRDefault="00E03C37" w:rsidP="006954F6">
            <w:pPr>
              <w:pStyle w:val="02Tabletext"/>
              <w:spacing w:after="20"/>
              <w:rPr>
                <w:b/>
              </w:rPr>
            </w:pPr>
            <w:r w:rsidRPr="00B0157E">
              <w:rPr>
                <w:b/>
              </w:rPr>
              <w:t>Descriptor</w:t>
            </w:r>
          </w:p>
          <w:p w14:paraId="5A0DEA75" w14:textId="77777777" w:rsidR="00E03C37" w:rsidRPr="00B0157E" w:rsidRDefault="00E03C37" w:rsidP="006954F6">
            <w:pPr>
              <w:pStyle w:val="02Tabletext"/>
              <w:spacing w:after="20"/>
              <w:rPr>
                <w:b/>
              </w:rPr>
            </w:pPr>
            <w:r w:rsidRPr="00B0157E">
              <w:rPr>
                <w:b/>
              </w:rPr>
              <w:t>[date last amended]</w:t>
            </w:r>
          </w:p>
        </w:tc>
        <w:tc>
          <w:tcPr>
            <w:tcW w:w="917" w:type="dxa"/>
            <w:shd w:val="clear" w:color="auto" w:fill="F2F2F2" w:themeFill="background1" w:themeFillShade="F2"/>
            <w:vAlign w:val="bottom"/>
          </w:tcPr>
          <w:p w14:paraId="62E87846" w14:textId="77777777" w:rsidR="00E03C37" w:rsidRPr="00B0157E" w:rsidRDefault="00E03C37" w:rsidP="006954F6">
            <w:pPr>
              <w:pStyle w:val="02Tabletext"/>
              <w:spacing w:after="20"/>
              <w:rPr>
                <w:b/>
              </w:rPr>
            </w:pPr>
            <w:r w:rsidRPr="00B0157E">
              <w:rPr>
                <w:b/>
              </w:rPr>
              <w:t>Schedule</w:t>
            </w:r>
          </w:p>
          <w:p w14:paraId="0B5AF33E" w14:textId="77777777" w:rsidR="00E03C37" w:rsidRPr="00B0157E" w:rsidRDefault="00E03C37" w:rsidP="006954F6">
            <w:pPr>
              <w:pStyle w:val="02Tabletext"/>
              <w:spacing w:after="20"/>
              <w:rPr>
                <w:b/>
              </w:rPr>
            </w:pPr>
            <w:r w:rsidRPr="00B0157E">
              <w:rPr>
                <w:b/>
              </w:rPr>
              <w:t>fee</w:t>
            </w:r>
          </w:p>
        </w:tc>
        <w:tc>
          <w:tcPr>
            <w:tcW w:w="997" w:type="dxa"/>
            <w:shd w:val="clear" w:color="auto" w:fill="F2F2F2" w:themeFill="background1" w:themeFillShade="F2"/>
            <w:vAlign w:val="bottom"/>
          </w:tcPr>
          <w:p w14:paraId="3B3254E2" w14:textId="77777777" w:rsidR="00E03C37" w:rsidRPr="00B0157E" w:rsidRDefault="00E03C37" w:rsidP="006954F6">
            <w:pPr>
              <w:pStyle w:val="02Tabletext"/>
              <w:spacing w:after="20"/>
              <w:rPr>
                <w:b/>
              </w:rPr>
            </w:pPr>
            <w:r w:rsidRPr="00B0157E">
              <w:rPr>
                <w:b/>
              </w:rPr>
              <w:t>Services FY2014/15</w:t>
            </w:r>
          </w:p>
        </w:tc>
        <w:tc>
          <w:tcPr>
            <w:tcW w:w="1080" w:type="dxa"/>
            <w:shd w:val="clear" w:color="auto" w:fill="F2F2F2" w:themeFill="background1" w:themeFillShade="F2"/>
            <w:vAlign w:val="bottom"/>
          </w:tcPr>
          <w:p w14:paraId="14EF4742" w14:textId="77777777" w:rsidR="00E03C37" w:rsidRPr="00B0157E" w:rsidRDefault="00E03C37" w:rsidP="006954F6">
            <w:pPr>
              <w:pStyle w:val="02Tabletext"/>
              <w:spacing w:after="20"/>
              <w:rPr>
                <w:b/>
              </w:rPr>
            </w:pPr>
            <w:r w:rsidRPr="00B0157E">
              <w:rPr>
                <w:b/>
              </w:rPr>
              <w:t>Benefits FY2014/15</w:t>
            </w:r>
          </w:p>
        </w:tc>
        <w:tc>
          <w:tcPr>
            <w:tcW w:w="1196" w:type="dxa"/>
            <w:shd w:val="clear" w:color="auto" w:fill="F2F2F2" w:themeFill="background1" w:themeFillShade="F2"/>
            <w:vAlign w:val="bottom"/>
          </w:tcPr>
          <w:p w14:paraId="3A8D6AB2" w14:textId="77777777" w:rsidR="00E03C37" w:rsidRPr="00B0157E" w:rsidRDefault="00E03C37" w:rsidP="006954F6">
            <w:pPr>
              <w:pStyle w:val="02Tabletext"/>
              <w:spacing w:after="20"/>
              <w:rPr>
                <w:b/>
              </w:rPr>
            </w:pPr>
            <w:r w:rsidRPr="00B0157E">
              <w:rPr>
                <w:b/>
              </w:rPr>
              <w:t>Se</w:t>
            </w:r>
            <w:r w:rsidR="009A7890">
              <w:rPr>
                <w:b/>
              </w:rPr>
              <w:t>rvices 5-</w:t>
            </w:r>
            <w:r w:rsidRPr="00B0157E">
              <w:rPr>
                <w:b/>
              </w:rPr>
              <w:t>year annual avg. growth</w:t>
            </w:r>
          </w:p>
        </w:tc>
      </w:tr>
      <w:tr w:rsidR="00E03C37" w:rsidRPr="00B0157E" w14:paraId="4D929D57" w14:textId="77777777">
        <w:tc>
          <w:tcPr>
            <w:tcW w:w="717" w:type="dxa"/>
          </w:tcPr>
          <w:p w14:paraId="4B53FDED" w14:textId="77777777" w:rsidR="00E03C37" w:rsidRPr="00B0157E" w:rsidRDefault="00C621EC" w:rsidP="006954F6">
            <w:pPr>
              <w:pStyle w:val="02Tabletext"/>
              <w:spacing w:after="20"/>
            </w:pPr>
            <w:r w:rsidRPr="00B0157E">
              <w:rPr>
                <w:szCs w:val="18"/>
              </w:rPr>
              <w:t>30207</w:t>
            </w:r>
          </w:p>
        </w:tc>
        <w:tc>
          <w:tcPr>
            <w:tcW w:w="4119" w:type="dxa"/>
          </w:tcPr>
          <w:p w14:paraId="70413E2B" w14:textId="77777777" w:rsidR="00E03C37" w:rsidRPr="00B0157E" w:rsidRDefault="00C621EC" w:rsidP="00685ABE">
            <w:pPr>
              <w:pStyle w:val="02Tabletext"/>
              <w:spacing w:after="20"/>
            </w:pPr>
            <w:r w:rsidRPr="00B0157E">
              <w:rPr>
                <w:szCs w:val="18"/>
              </w:rPr>
              <w:t>S</w:t>
            </w:r>
            <w:r w:rsidR="00685ABE" w:rsidRPr="00B0157E">
              <w:rPr>
                <w:szCs w:val="18"/>
              </w:rPr>
              <w:t>kin lesions</w:t>
            </w:r>
            <w:r w:rsidRPr="00B0157E">
              <w:rPr>
                <w:szCs w:val="18"/>
              </w:rPr>
              <w:t>, multiple injections with hydrocortisone or similar preparations</w:t>
            </w:r>
            <w:r w:rsidR="006B1BD7" w:rsidRPr="00B0157E">
              <w:rPr>
                <w:szCs w:val="18"/>
              </w:rPr>
              <w:t>.</w:t>
            </w:r>
            <w:r w:rsidR="00816460" w:rsidRPr="00B0157E">
              <w:rPr>
                <w:szCs w:val="18"/>
              </w:rPr>
              <w:t xml:space="preserve"> [1991]</w:t>
            </w:r>
          </w:p>
        </w:tc>
        <w:tc>
          <w:tcPr>
            <w:tcW w:w="917" w:type="dxa"/>
          </w:tcPr>
          <w:p w14:paraId="11FAE5FE" w14:textId="77777777" w:rsidR="00E03C37" w:rsidRPr="00B0157E" w:rsidRDefault="00C621EC" w:rsidP="006954F6">
            <w:pPr>
              <w:pStyle w:val="02Tabletext"/>
              <w:spacing w:after="20"/>
              <w:jc w:val="center"/>
            </w:pPr>
            <w:r w:rsidRPr="00B0157E">
              <w:rPr>
                <w:szCs w:val="18"/>
              </w:rPr>
              <w:t>$44.60</w:t>
            </w:r>
          </w:p>
        </w:tc>
        <w:tc>
          <w:tcPr>
            <w:tcW w:w="997" w:type="dxa"/>
          </w:tcPr>
          <w:p w14:paraId="61560A2D" w14:textId="77777777" w:rsidR="00E03C37" w:rsidRPr="00B0157E" w:rsidRDefault="00C621EC" w:rsidP="006954F6">
            <w:pPr>
              <w:pStyle w:val="02Tabletext"/>
              <w:spacing w:after="20"/>
              <w:jc w:val="center"/>
            </w:pPr>
            <w:r w:rsidRPr="00B0157E">
              <w:rPr>
                <w:szCs w:val="18"/>
              </w:rPr>
              <w:t>36,620</w:t>
            </w:r>
          </w:p>
        </w:tc>
        <w:tc>
          <w:tcPr>
            <w:tcW w:w="1080" w:type="dxa"/>
          </w:tcPr>
          <w:p w14:paraId="3CD1566F" w14:textId="77777777" w:rsidR="00E03C37" w:rsidRPr="00B0157E" w:rsidRDefault="00C621EC" w:rsidP="006954F6">
            <w:pPr>
              <w:pStyle w:val="02Tabletext"/>
              <w:spacing w:after="20"/>
              <w:jc w:val="center"/>
            </w:pPr>
            <w:r w:rsidRPr="00B0157E">
              <w:rPr>
                <w:szCs w:val="18"/>
              </w:rPr>
              <w:t>$1,602,971</w:t>
            </w:r>
          </w:p>
        </w:tc>
        <w:tc>
          <w:tcPr>
            <w:tcW w:w="1196" w:type="dxa"/>
          </w:tcPr>
          <w:p w14:paraId="45EDC45A" w14:textId="77777777" w:rsidR="00E03C37" w:rsidRPr="00B0157E" w:rsidRDefault="00C621EC" w:rsidP="006954F6">
            <w:pPr>
              <w:pStyle w:val="02Tabletext"/>
              <w:spacing w:after="20"/>
              <w:jc w:val="center"/>
            </w:pPr>
            <w:r w:rsidRPr="00B0157E">
              <w:t>6.00%</w:t>
            </w:r>
          </w:p>
        </w:tc>
      </w:tr>
      <w:tr w:rsidR="001E5F59" w:rsidRPr="00B0157E" w14:paraId="3D945D58" w14:textId="77777777">
        <w:tc>
          <w:tcPr>
            <w:tcW w:w="717" w:type="dxa"/>
          </w:tcPr>
          <w:p w14:paraId="0CAAFAFC" w14:textId="77777777" w:rsidR="001E5F59" w:rsidRPr="00B0157E" w:rsidRDefault="001E5F59" w:rsidP="006954F6">
            <w:pPr>
              <w:pStyle w:val="02Tabletext"/>
              <w:spacing w:after="20"/>
            </w:pPr>
            <w:r w:rsidRPr="00B0157E">
              <w:rPr>
                <w:szCs w:val="18"/>
              </w:rPr>
              <w:t>30210</w:t>
            </w:r>
          </w:p>
        </w:tc>
        <w:tc>
          <w:tcPr>
            <w:tcW w:w="4119" w:type="dxa"/>
          </w:tcPr>
          <w:p w14:paraId="166B4A00" w14:textId="77777777" w:rsidR="001E5F59" w:rsidRPr="00B0157E" w:rsidRDefault="001E5F59" w:rsidP="006954F6">
            <w:pPr>
              <w:pStyle w:val="02Tabletext"/>
              <w:spacing w:after="20"/>
            </w:pPr>
            <w:r w:rsidRPr="00B0157E">
              <w:rPr>
                <w:szCs w:val="18"/>
              </w:rPr>
              <w:t>Keloid and other skin lesions, extensive, multiple injections of hydrocortisone or similar preparations where undertaken in the operating theatre of a hospital</w:t>
            </w:r>
            <w:r w:rsidR="00A31DAC" w:rsidRPr="00B0157E">
              <w:rPr>
                <w:szCs w:val="18"/>
              </w:rPr>
              <w:t>.</w:t>
            </w:r>
            <w:r w:rsidRPr="00B0157E">
              <w:rPr>
                <w:szCs w:val="18"/>
              </w:rPr>
              <w:t xml:space="preserve"> (Anaes.)</w:t>
            </w:r>
            <w:r w:rsidR="00816460" w:rsidRPr="00B0157E">
              <w:rPr>
                <w:szCs w:val="18"/>
              </w:rPr>
              <w:t xml:space="preserve"> [1991]</w:t>
            </w:r>
          </w:p>
        </w:tc>
        <w:tc>
          <w:tcPr>
            <w:tcW w:w="917" w:type="dxa"/>
          </w:tcPr>
          <w:p w14:paraId="2D029B2C" w14:textId="77777777" w:rsidR="001E5F59" w:rsidRPr="00B0157E" w:rsidRDefault="001E5F59" w:rsidP="006954F6">
            <w:pPr>
              <w:pStyle w:val="02Tabletext"/>
              <w:spacing w:after="20"/>
              <w:jc w:val="center"/>
            </w:pPr>
            <w:r w:rsidRPr="00B0157E">
              <w:rPr>
                <w:szCs w:val="18"/>
              </w:rPr>
              <w:t>$162.95</w:t>
            </w:r>
          </w:p>
        </w:tc>
        <w:tc>
          <w:tcPr>
            <w:tcW w:w="997" w:type="dxa"/>
          </w:tcPr>
          <w:p w14:paraId="5807B12A" w14:textId="77777777" w:rsidR="001E5F59" w:rsidRPr="00B0157E" w:rsidRDefault="001E5F59" w:rsidP="006954F6">
            <w:pPr>
              <w:pStyle w:val="02Tabletext"/>
              <w:spacing w:after="20"/>
              <w:jc w:val="center"/>
            </w:pPr>
            <w:r w:rsidRPr="00B0157E">
              <w:rPr>
                <w:szCs w:val="18"/>
              </w:rPr>
              <w:t>740</w:t>
            </w:r>
          </w:p>
        </w:tc>
        <w:tc>
          <w:tcPr>
            <w:tcW w:w="1080" w:type="dxa"/>
          </w:tcPr>
          <w:p w14:paraId="3A246B5B" w14:textId="77777777" w:rsidR="001E5F59" w:rsidRPr="00B0157E" w:rsidRDefault="001E5F59" w:rsidP="006954F6">
            <w:pPr>
              <w:pStyle w:val="02Tabletext"/>
              <w:spacing w:after="20"/>
              <w:jc w:val="center"/>
            </w:pPr>
            <w:r w:rsidRPr="00B0157E">
              <w:rPr>
                <w:szCs w:val="18"/>
              </w:rPr>
              <w:t>$70,127</w:t>
            </w:r>
          </w:p>
        </w:tc>
        <w:tc>
          <w:tcPr>
            <w:tcW w:w="1196" w:type="dxa"/>
          </w:tcPr>
          <w:p w14:paraId="22374665" w14:textId="77777777" w:rsidR="001E5F59" w:rsidRPr="00B0157E" w:rsidRDefault="001E5F59" w:rsidP="006954F6">
            <w:pPr>
              <w:pStyle w:val="02Tabletext"/>
              <w:spacing w:after="20"/>
              <w:jc w:val="center"/>
            </w:pPr>
            <w:r w:rsidRPr="00B0157E">
              <w:t>-3.30%</w:t>
            </w:r>
          </w:p>
        </w:tc>
      </w:tr>
    </w:tbl>
    <w:p w14:paraId="7FCDCBD6" w14:textId="77777777" w:rsidR="007470DF" w:rsidRPr="00B0157E" w:rsidRDefault="007470DF" w:rsidP="00C33ED9">
      <w:pPr>
        <w:rPr>
          <w:b/>
          <w:lang w:val="en-AU"/>
        </w:rPr>
      </w:pPr>
      <w:r w:rsidRPr="00B0157E">
        <w:rPr>
          <w:b/>
          <w:lang w:val="en-AU"/>
        </w:rPr>
        <w:t>Recommendation</w:t>
      </w:r>
      <w:r w:rsidR="004F14C1" w:rsidRPr="00B0157E">
        <w:rPr>
          <w:b/>
          <w:lang w:val="en-AU"/>
        </w:rPr>
        <w:t>s</w:t>
      </w:r>
      <w:r w:rsidRPr="00B0157E">
        <w:rPr>
          <w:b/>
          <w:lang w:val="en-AU"/>
        </w:rPr>
        <w:t xml:space="preserve"> </w:t>
      </w:r>
    </w:p>
    <w:p w14:paraId="1511CCE7" w14:textId="77777777" w:rsidR="00E333B4" w:rsidRPr="00B0157E" w:rsidRDefault="00E333B4">
      <w:pPr>
        <w:pStyle w:val="01squarebullet"/>
        <w:rPr>
          <w:lang w:val="en-AU"/>
        </w:rPr>
      </w:pPr>
      <w:r w:rsidRPr="00B0157E">
        <w:rPr>
          <w:lang w:val="en-AU"/>
        </w:rPr>
        <w:t xml:space="preserve">Change the item descriptor </w:t>
      </w:r>
      <w:r w:rsidR="00E11A97" w:rsidRPr="00B0157E">
        <w:rPr>
          <w:lang w:val="en-AU"/>
        </w:rPr>
        <w:t xml:space="preserve">for item </w:t>
      </w:r>
      <w:r w:rsidRPr="00B0157E">
        <w:rPr>
          <w:lang w:val="en-AU"/>
        </w:rPr>
        <w:t xml:space="preserve">30210 to restrict use to patients </w:t>
      </w:r>
      <w:r w:rsidR="005233BE" w:rsidRPr="00B0157E">
        <w:rPr>
          <w:lang w:val="en-AU"/>
        </w:rPr>
        <w:t xml:space="preserve">of </w:t>
      </w:r>
      <w:r w:rsidRPr="00B0157E">
        <w:rPr>
          <w:lang w:val="en-AU"/>
        </w:rPr>
        <w:t>less than 16 years of age</w:t>
      </w:r>
      <w:r w:rsidR="003718DA" w:rsidRPr="00B0157E">
        <w:rPr>
          <w:lang w:val="en-AU"/>
        </w:rPr>
        <w:t>. Older</w:t>
      </w:r>
      <w:r w:rsidRPr="00B0157E">
        <w:rPr>
          <w:lang w:val="en-AU"/>
        </w:rPr>
        <w:t xml:space="preserve"> patients can be treated using item 30207. </w:t>
      </w:r>
    </w:p>
    <w:p w14:paraId="66EE6CA4" w14:textId="77777777" w:rsidR="007470DF" w:rsidRPr="00B0157E" w:rsidRDefault="008C6AD1">
      <w:pPr>
        <w:pStyle w:val="01squarebullet"/>
        <w:rPr>
          <w:lang w:val="en-AU"/>
        </w:rPr>
      </w:pPr>
      <w:r w:rsidRPr="00B0157E">
        <w:rPr>
          <w:lang w:val="en-AU"/>
        </w:rPr>
        <w:t>C</w:t>
      </w:r>
      <w:r w:rsidR="00E37BB5" w:rsidRPr="00B0157E">
        <w:rPr>
          <w:lang w:val="en-AU"/>
        </w:rPr>
        <w:t>hange the wording in</w:t>
      </w:r>
      <w:r w:rsidRPr="00B0157E">
        <w:rPr>
          <w:lang w:val="en-AU"/>
        </w:rPr>
        <w:t xml:space="preserve"> </w:t>
      </w:r>
      <w:r w:rsidR="00AF7F80" w:rsidRPr="00B0157E">
        <w:rPr>
          <w:lang w:val="en-AU"/>
        </w:rPr>
        <w:t xml:space="preserve">both </w:t>
      </w:r>
      <w:r w:rsidR="008B5CC8" w:rsidRPr="00B0157E">
        <w:rPr>
          <w:lang w:val="en-AU"/>
        </w:rPr>
        <w:t>item</w:t>
      </w:r>
      <w:r w:rsidRPr="00B0157E">
        <w:rPr>
          <w:lang w:val="en-AU"/>
        </w:rPr>
        <w:t xml:space="preserve"> descriptor</w:t>
      </w:r>
      <w:r w:rsidR="00E333B4" w:rsidRPr="00B0157E">
        <w:rPr>
          <w:lang w:val="en-AU"/>
        </w:rPr>
        <w:t>s</w:t>
      </w:r>
      <w:r w:rsidR="005407D1" w:rsidRPr="00B0157E">
        <w:rPr>
          <w:lang w:val="en-AU"/>
        </w:rPr>
        <w:t>,</w:t>
      </w:r>
      <w:r w:rsidRPr="00B0157E">
        <w:rPr>
          <w:lang w:val="en-AU"/>
        </w:rPr>
        <w:t xml:space="preserve"> </w:t>
      </w:r>
      <w:r w:rsidR="00A702BC" w:rsidRPr="00B0157E">
        <w:rPr>
          <w:lang w:val="en-AU"/>
        </w:rPr>
        <w:t xml:space="preserve">replacing </w:t>
      </w:r>
      <w:r w:rsidRPr="00B0157E">
        <w:rPr>
          <w:lang w:val="en-AU"/>
        </w:rPr>
        <w:t>“</w:t>
      </w:r>
      <w:r w:rsidR="000554C6" w:rsidRPr="00B0157E">
        <w:rPr>
          <w:lang w:val="en-AU"/>
        </w:rPr>
        <w:t xml:space="preserve">hydrocortisone or </w:t>
      </w:r>
      <w:r w:rsidRPr="00B0157E">
        <w:rPr>
          <w:lang w:val="en-AU"/>
        </w:rPr>
        <w:t xml:space="preserve">similar preparations” </w:t>
      </w:r>
      <w:r w:rsidR="000C53AF" w:rsidRPr="00B0157E">
        <w:rPr>
          <w:lang w:val="en-AU"/>
        </w:rPr>
        <w:t xml:space="preserve">with </w:t>
      </w:r>
      <w:r w:rsidR="00C64835" w:rsidRPr="00B0157E">
        <w:rPr>
          <w:lang w:val="en-AU"/>
        </w:rPr>
        <w:t>“glucocorticoid preparations</w:t>
      </w:r>
      <w:r w:rsidR="00697C8F" w:rsidRPr="00B0157E">
        <w:rPr>
          <w:lang w:val="en-AU"/>
        </w:rPr>
        <w:t>.</w:t>
      </w:r>
      <w:r w:rsidR="00C64835" w:rsidRPr="00B0157E">
        <w:rPr>
          <w:lang w:val="en-AU"/>
        </w:rPr>
        <w:t>”</w:t>
      </w:r>
      <w:r w:rsidR="004A352E">
        <w:rPr>
          <w:lang w:val="en-AU"/>
        </w:rPr>
        <w:t xml:space="preserve"> </w:t>
      </w:r>
    </w:p>
    <w:p w14:paraId="63CACEA8" w14:textId="77777777" w:rsidR="00C64835" w:rsidRPr="00B0157E" w:rsidRDefault="007470DF" w:rsidP="00C33ED9">
      <w:pPr>
        <w:rPr>
          <w:b/>
          <w:lang w:val="en-AU"/>
        </w:rPr>
      </w:pPr>
      <w:r w:rsidRPr="00B0157E">
        <w:rPr>
          <w:b/>
          <w:lang w:val="en-AU"/>
        </w:rPr>
        <w:t>Rationale</w:t>
      </w:r>
    </w:p>
    <w:p w14:paraId="7666DF44" w14:textId="77777777" w:rsidR="008B5CC8" w:rsidRPr="00B0157E" w:rsidRDefault="008B5CC8" w:rsidP="00C33ED9">
      <w:pPr>
        <w:rPr>
          <w:lang w:val="en-AU"/>
        </w:rPr>
      </w:pPr>
      <w:r w:rsidRPr="00B0157E">
        <w:rPr>
          <w:lang w:val="en-AU"/>
        </w:rPr>
        <w:t>The recommendation</w:t>
      </w:r>
      <w:r w:rsidR="00134659" w:rsidRPr="00B0157E">
        <w:rPr>
          <w:lang w:val="en-AU"/>
        </w:rPr>
        <w:t>s</w:t>
      </w:r>
      <w:r w:rsidRPr="00B0157E">
        <w:rPr>
          <w:lang w:val="en-AU"/>
        </w:rPr>
        <w:t xml:space="preserve"> focus on ensuring optima</w:t>
      </w:r>
      <w:r w:rsidR="00E333B4" w:rsidRPr="00B0157E">
        <w:rPr>
          <w:lang w:val="en-AU"/>
        </w:rPr>
        <w:t>l patient care</w:t>
      </w:r>
      <w:r w:rsidR="00134659" w:rsidRPr="00B0157E">
        <w:rPr>
          <w:lang w:val="en-AU"/>
        </w:rPr>
        <w:t xml:space="preserve"> and</w:t>
      </w:r>
      <w:r w:rsidR="00E333B4" w:rsidRPr="00B0157E">
        <w:rPr>
          <w:lang w:val="en-AU"/>
        </w:rPr>
        <w:t xml:space="preserve"> </w:t>
      </w:r>
      <w:r w:rsidR="0033564D" w:rsidRPr="00B0157E">
        <w:rPr>
          <w:lang w:val="en-AU"/>
        </w:rPr>
        <w:t xml:space="preserve">are </w:t>
      </w:r>
      <w:r w:rsidR="00345693" w:rsidRPr="00B0157E">
        <w:rPr>
          <w:lang w:val="en-AU"/>
        </w:rPr>
        <w:t>based on the following observations</w:t>
      </w:r>
      <w:r w:rsidR="006A5544" w:rsidRPr="00B0157E">
        <w:rPr>
          <w:lang w:val="en-AU"/>
        </w:rPr>
        <w:t>.</w:t>
      </w:r>
    </w:p>
    <w:p w14:paraId="6390248B" w14:textId="77777777" w:rsidR="0089399A" w:rsidRPr="00B0157E" w:rsidRDefault="00F17B56">
      <w:pPr>
        <w:pStyle w:val="01squarebullet"/>
        <w:rPr>
          <w:lang w:val="en-AU"/>
        </w:rPr>
      </w:pPr>
      <w:r w:rsidRPr="00B0157E">
        <w:rPr>
          <w:lang w:val="en-AU"/>
        </w:rPr>
        <w:t xml:space="preserve">Although </w:t>
      </w:r>
      <w:r w:rsidR="00A148FF" w:rsidRPr="00B0157E">
        <w:rPr>
          <w:lang w:val="en-AU"/>
        </w:rPr>
        <w:t>these are</w:t>
      </w:r>
      <w:r w:rsidR="00AD72E2" w:rsidRPr="00B0157E">
        <w:rPr>
          <w:lang w:val="en-AU"/>
        </w:rPr>
        <w:t xml:space="preserve"> painful procedure</w:t>
      </w:r>
      <w:r w:rsidR="00A148FF" w:rsidRPr="00B0157E">
        <w:rPr>
          <w:lang w:val="en-AU"/>
        </w:rPr>
        <w:t>s</w:t>
      </w:r>
      <w:r w:rsidR="003E02DF" w:rsidRPr="00B0157E">
        <w:rPr>
          <w:lang w:val="en-AU"/>
        </w:rPr>
        <w:t>,</w:t>
      </w:r>
      <w:r w:rsidR="00F202A2" w:rsidRPr="00B0157E">
        <w:rPr>
          <w:lang w:val="en-AU"/>
        </w:rPr>
        <w:t xml:space="preserve"> the Committee </w:t>
      </w:r>
      <w:r w:rsidR="009D7448" w:rsidRPr="00B0157E">
        <w:rPr>
          <w:lang w:val="en-AU"/>
        </w:rPr>
        <w:t>believes that</w:t>
      </w:r>
      <w:r w:rsidR="00AD72E2" w:rsidRPr="00B0157E">
        <w:rPr>
          <w:lang w:val="en-AU"/>
        </w:rPr>
        <w:t xml:space="preserve"> it i</w:t>
      </w:r>
      <w:r w:rsidR="00A148FF" w:rsidRPr="00B0157E">
        <w:rPr>
          <w:lang w:val="en-AU"/>
        </w:rPr>
        <w:t>s not necessary to conduct these</w:t>
      </w:r>
      <w:r w:rsidR="00AD72E2" w:rsidRPr="00B0157E">
        <w:rPr>
          <w:lang w:val="en-AU"/>
        </w:rPr>
        <w:t xml:space="preserve"> injections on adults or older teenagers in an operating theatre</w:t>
      </w:r>
      <w:r w:rsidR="008D1717" w:rsidRPr="00B0157E">
        <w:rPr>
          <w:lang w:val="en-AU"/>
        </w:rPr>
        <w:t>,</w:t>
      </w:r>
      <w:r w:rsidR="0089399A" w:rsidRPr="00B0157E">
        <w:rPr>
          <w:lang w:val="en-AU"/>
        </w:rPr>
        <w:t xml:space="preserve"> as </w:t>
      </w:r>
      <w:r w:rsidR="009036ED" w:rsidRPr="00B0157E">
        <w:rPr>
          <w:lang w:val="en-AU"/>
        </w:rPr>
        <w:t xml:space="preserve">per </w:t>
      </w:r>
      <w:r w:rsidR="0089399A" w:rsidRPr="00B0157E">
        <w:rPr>
          <w:lang w:val="en-AU"/>
        </w:rPr>
        <w:t>item 30210</w:t>
      </w:r>
      <w:r w:rsidR="00AD72E2" w:rsidRPr="00B0157E">
        <w:rPr>
          <w:lang w:val="en-AU"/>
        </w:rPr>
        <w:t xml:space="preserve">. </w:t>
      </w:r>
      <w:r w:rsidR="004E4F31" w:rsidRPr="00B0157E">
        <w:rPr>
          <w:lang w:val="en-AU"/>
        </w:rPr>
        <w:t>There</w:t>
      </w:r>
      <w:r w:rsidR="001F0C92" w:rsidRPr="00B0157E">
        <w:rPr>
          <w:lang w:val="en-AU"/>
        </w:rPr>
        <w:t xml:space="preserve"> are circumstances </w:t>
      </w:r>
      <w:r w:rsidR="003046F4" w:rsidRPr="00B0157E">
        <w:rPr>
          <w:lang w:val="en-AU"/>
        </w:rPr>
        <w:t xml:space="preserve">in which </w:t>
      </w:r>
      <w:r w:rsidR="001F0C92" w:rsidRPr="00B0157E">
        <w:rPr>
          <w:lang w:val="en-AU"/>
        </w:rPr>
        <w:t>patients under the age of 16</w:t>
      </w:r>
      <w:r w:rsidR="005455FE" w:rsidRPr="00B0157E">
        <w:rPr>
          <w:lang w:val="en-AU"/>
        </w:rPr>
        <w:t xml:space="preserve"> </w:t>
      </w:r>
      <w:r w:rsidR="001F0C92" w:rsidRPr="00B0157E">
        <w:rPr>
          <w:lang w:val="en-AU"/>
        </w:rPr>
        <w:t>may find the injections into keloids too painful to be conducted without general anaesthetic delivered in an operating theatre</w:t>
      </w:r>
      <w:r w:rsidR="00FA5EAD" w:rsidRPr="00B0157E">
        <w:rPr>
          <w:lang w:val="en-AU"/>
        </w:rPr>
        <w:t>, but</w:t>
      </w:r>
      <w:r w:rsidR="008D5EAA" w:rsidRPr="00B0157E">
        <w:rPr>
          <w:lang w:val="en-AU"/>
        </w:rPr>
        <w:t xml:space="preserve"> </w:t>
      </w:r>
      <w:r w:rsidR="00A148FF" w:rsidRPr="00B0157E">
        <w:rPr>
          <w:lang w:val="en-AU"/>
        </w:rPr>
        <w:t xml:space="preserve">MBS data indicates that </w:t>
      </w:r>
      <w:r w:rsidR="001F0C92" w:rsidRPr="00B0157E">
        <w:rPr>
          <w:lang w:val="en-AU"/>
        </w:rPr>
        <w:t xml:space="preserve">the majority </w:t>
      </w:r>
      <w:r w:rsidR="0089399A" w:rsidRPr="00B0157E">
        <w:rPr>
          <w:lang w:val="en-AU"/>
        </w:rPr>
        <w:t>of patients who</w:t>
      </w:r>
      <w:r w:rsidR="001F0C92" w:rsidRPr="00B0157E">
        <w:rPr>
          <w:lang w:val="en-AU"/>
        </w:rPr>
        <w:t xml:space="preserve"> receive these injections in an operating theatre are adults or older teenagers. I</w:t>
      </w:r>
      <w:r w:rsidR="00A148FF" w:rsidRPr="00B0157E">
        <w:rPr>
          <w:lang w:val="en-AU"/>
        </w:rPr>
        <w:t xml:space="preserve">n FY2014/15, </w:t>
      </w:r>
      <w:r w:rsidR="00EF0212" w:rsidRPr="00B0157E">
        <w:rPr>
          <w:lang w:val="en-AU"/>
        </w:rPr>
        <w:t xml:space="preserve">for example, </w:t>
      </w:r>
      <w:r w:rsidR="00A148FF" w:rsidRPr="00B0157E">
        <w:rPr>
          <w:lang w:val="en-AU"/>
        </w:rPr>
        <w:t>91</w:t>
      </w:r>
      <w:r w:rsidR="00F94D36" w:rsidRPr="00B0157E">
        <w:rPr>
          <w:lang w:val="en-AU"/>
        </w:rPr>
        <w:t xml:space="preserve"> per cent</w:t>
      </w:r>
      <w:r w:rsidR="00A148FF" w:rsidRPr="00B0157E">
        <w:rPr>
          <w:lang w:val="en-AU"/>
        </w:rPr>
        <w:t xml:space="preserve"> of patients treated under item 30210 were aged 15 or over.</w:t>
      </w:r>
      <w:r w:rsidR="0079098A" w:rsidRPr="00B0157E">
        <w:rPr>
          <w:lang w:val="en-AU"/>
        </w:rPr>
        <w:fldChar w:fldCharType="begin" w:fldLock="1"/>
      </w:r>
      <w:r w:rsidR="0073530D"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Q20214", "type" : "report" }, "uris" : [ "http://www.mendeley.com/documents/?uuid=62ab9dad-6d4d-432f-8b2e-fed4522b4a80" ] } ], "mendeley" : { "formattedCitation" : "[10]", "plainTextFormattedCitation" : "[10]", "previouslyFormattedCitation" : "[10]" }, "properties" : { "noteIndex" : 0 }, "schema" : "https://github.com/citation-style-language/schema/raw/master/csl-citation.json" }</w:instrText>
      </w:r>
      <w:r w:rsidR="0079098A" w:rsidRPr="00B0157E">
        <w:rPr>
          <w:lang w:val="en-AU"/>
        </w:rPr>
        <w:fldChar w:fldCharType="separate"/>
      </w:r>
      <w:r w:rsidR="0079098A" w:rsidRPr="00B0157E">
        <w:rPr>
          <w:lang w:val="en-AU"/>
        </w:rPr>
        <w:t>[10]</w:t>
      </w:r>
      <w:r w:rsidR="0079098A" w:rsidRPr="00B0157E">
        <w:rPr>
          <w:lang w:val="en-AU"/>
        </w:rPr>
        <w:fldChar w:fldCharType="end"/>
      </w:r>
      <w:r w:rsidR="00A148FF" w:rsidRPr="00B0157E">
        <w:rPr>
          <w:lang w:val="en-AU"/>
        </w:rPr>
        <w:t xml:space="preserve"> </w:t>
      </w:r>
      <w:r w:rsidR="0089399A" w:rsidRPr="00B0157E">
        <w:rPr>
          <w:lang w:val="en-AU"/>
        </w:rPr>
        <w:t>It</w:t>
      </w:r>
      <w:r w:rsidR="00E8783E" w:rsidRPr="00B0157E">
        <w:rPr>
          <w:lang w:val="en-AU"/>
        </w:rPr>
        <w:t xml:space="preserve"> therefore</w:t>
      </w:r>
      <w:r w:rsidR="0089399A" w:rsidRPr="00B0157E">
        <w:rPr>
          <w:lang w:val="en-AU"/>
        </w:rPr>
        <w:t xml:space="preserve"> seems reasonable to restrict use of </w:t>
      </w:r>
      <w:r w:rsidR="002F386B" w:rsidRPr="00B0157E">
        <w:rPr>
          <w:lang w:val="en-AU"/>
        </w:rPr>
        <w:t xml:space="preserve">item </w:t>
      </w:r>
      <w:r w:rsidR="0089399A" w:rsidRPr="00B0157E">
        <w:rPr>
          <w:lang w:val="en-AU"/>
        </w:rPr>
        <w:t xml:space="preserve">30210 to patients </w:t>
      </w:r>
      <w:r w:rsidR="003B3EB1" w:rsidRPr="00B0157E">
        <w:rPr>
          <w:lang w:val="en-AU"/>
        </w:rPr>
        <w:t xml:space="preserve">for </w:t>
      </w:r>
      <w:r w:rsidR="0089399A" w:rsidRPr="00B0157E">
        <w:rPr>
          <w:lang w:val="en-AU"/>
        </w:rPr>
        <w:t>whom it is most appropriate</w:t>
      </w:r>
      <w:r w:rsidR="00300137" w:rsidRPr="00B0157E">
        <w:rPr>
          <w:lang w:val="en-AU"/>
        </w:rPr>
        <w:t>.</w:t>
      </w:r>
      <w:r w:rsidR="0089399A" w:rsidRPr="00B0157E">
        <w:rPr>
          <w:lang w:val="en-AU"/>
        </w:rPr>
        <w:t xml:space="preserve"> </w:t>
      </w:r>
      <w:r w:rsidR="00300137" w:rsidRPr="00B0157E">
        <w:rPr>
          <w:lang w:val="en-AU"/>
        </w:rPr>
        <w:t>A</w:t>
      </w:r>
      <w:r w:rsidR="0089399A" w:rsidRPr="00B0157E">
        <w:rPr>
          <w:lang w:val="en-AU"/>
        </w:rPr>
        <w:t xml:space="preserve">ll other patients </w:t>
      </w:r>
      <w:r w:rsidR="005F1247" w:rsidRPr="00B0157E">
        <w:rPr>
          <w:lang w:val="en-AU"/>
        </w:rPr>
        <w:t xml:space="preserve">should </w:t>
      </w:r>
      <w:r w:rsidR="0089399A" w:rsidRPr="00B0157E">
        <w:rPr>
          <w:lang w:val="en-AU"/>
        </w:rPr>
        <w:t xml:space="preserve">be treated under </w:t>
      </w:r>
      <w:r w:rsidR="00805237" w:rsidRPr="00B0157E">
        <w:rPr>
          <w:lang w:val="en-AU"/>
        </w:rPr>
        <w:t xml:space="preserve">item </w:t>
      </w:r>
      <w:r w:rsidR="0089399A" w:rsidRPr="00B0157E">
        <w:rPr>
          <w:lang w:val="en-AU"/>
        </w:rPr>
        <w:t>302</w:t>
      </w:r>
      <w:r w:rsidR="00E333B4" w:rsidRPr="00B0157E">
        <w:rPr>
          <w:lang w:val="en-AU"/>
        </w:rPr>
        <w:t xml:space="preserve">07. </w:t>
      </w:r>
    </w:p>
    <w:p w14:paraId="2BD6D79E" w14:textId="77777777" w:rsidR="003433E5" w:rsidRPr="00B0157E" w:rsidRDefault="00E333B4">
      <w:pPr>
        <w:pStyle w:val="01squarebullet"/>
        <w:rPr>
          <w:lang w:val="en-AU"/>
        </w:rPr>
      </w:pPr>
      <w:r w:rsidRPr="00B0157E">
        <w:rPr>
          <w:lang w:val="en-AU"/>
        </w:rPr>
        <w:t xml:space="preserve">The wording in the item descriptors should be changed to remove any ambiguity regarding similar preparations </w:t>
      </w:r>
      <w:r w:rsidR="000642CC" w:rsidRPr="00B0157E">
        <w:rPr>
          <w:lang w:val="en-AU"/>
        </w:rPr>
        <w:t xml:space="preserve">for </w:t>
      </w:r>
      <w:r w:rsidRPr="00B0157E">
        <w:rPr>
          <w:lang w:val="en-AU"/>
        </w:rPr>
        <w:t xml:space="preserve">hydrocortisone injections </w:t>
      </w:r>
      <w:r w:rsidR="00DA6266" w:rsidRPr="00B0157E">
        <w:rPr>
          <w:lang w:val="en-AU"/>
        </w:rPr>
        <w:t xml:space="preserve">and </w:t>
      </w:r>
      <w:r w:rsidRPr="00B0157E">
        <w:rPr>
          <w:lang w:val="en-AU"/>
        </w:rPr>
        <w:t xml:space="preserve">ensure appropriate use of the item. </w:t>
      </w:r>
      <w:r w:rsidR="00874CA7" w:rsidRPr="00B0157E">
        <w:rPr>
          <w:lang w:val="en-AU"/>
        </w:rPr>
        <w:t>Hydrocortisone will now be captured in the term “glucocorticoid</w:t>
      </w:r>
      <w:r w:rsidR="00DE3C3D" w:rsidRPr="00B0157E">
        <w:rPr>
          <w:lang w:val="en-AU"/>
        </w:rPr>
        <w:t>.</w:t>
      </w:r>
      <w:r w:rsidR="00874CA7" w:rsidRPr="00B0157E">
        <w:rPr>
          <w:lang w:val="en-AU"/>
        </w:rPr>
        <w:t>”</w:t>
      </w:r>
      <w:r w:rsidR="004A352E">
        <w:rPr>
          <w:lang w:val="en-AU"/>
        </w:rPr>
        <w:t xml:space="preserve"> </w:t>
      </w:r>
    </w:p>
    <w:p w14:paraId="6C1A8A2F" w14:textId="77777777" w:rsidR="0021449F" w:rsidRPr="00B0157E" w:rsidRDefault="001946ED" w:rsidP="00C33ED9">
      <w:pPr>
        <w:pStyle w:val="Heading2"/>
        <w:rPr>
          <w:lang w:val="en-AU"/>
        </w:rPr>
      </w:pPr>
      <w:bookmarkStart w:id="167" w:name="_Toc458774441"/>
      <w:bookmarkStart w:id="168" w:name="_Toc465871879"/>
      <w:r w:rsidRPr="00B0157E">
        <w:rPr>
          <w:lang w:val="en-AU"/>
        </w:rPr>
        <w:t>Superficial radiotherapy</w:t>
      </w:r>
      <w:r w:rsidR="00C516FE" w:rsidRPr="00B0157E">
        <w:rPr>
          <w:lang w:val="en-AU"/>
        </w:rPr>
        <w:t>:</w:t>
      </w:r>
      <w:r w:rsidRPr="00B0157E">
        <w:rPr>
          <w:lang w:val="en-AU"/>
        </w:rPr>
        <w:t xml:space="preserve"> </w:t>
      </w:r>
      <w:r w:rsidR="00C516FE" w:rsidRPr="00B0157E">
        <w:rPr>
          <w:lang w:val="en-AU"/>
        </w:rPr>
        <w:t>I</w:t>
      </w:r>
      <w:r w:rsidR="0021449F" w:rsidRPr="00B0157E">
        <w:rPr>
          <w:lang w:val="en-AU"/>
        </w:rPr>
        <w:t>tem 15000</w:t>
      </w:r>
      <w:bookmarkEnd w:id="167"/>
      <w:bookmarkEnd w:id="168"/>
      <w:r w:rsidR="004A352E">
        <w:rPr>
          <w:lang w:val="en-AU"/>
        </w:rPr>
        <w:t xml:space="preserve"> </w:t>
      </w:r>
    </w:p>
    <w:p w14:paraId="51341958" w14:textId="77777777" w:rsidR="0021449F" w:rsidRPr="00B0157E" w:rsidRDefault="006F6F00" w:rsidP="00C33ED9">
      <w:pPr>
        <w:rPr>
          <w:lang w:val="en-AU"/>
        </w:rPr>
      </w:pPr>
      <w:r w:rsidRPr="00B0157E">
        <w:rPr>
          <w:lang w:val="en-AU"/>
        </w:rPr>
        <w:t>While reviewing this item number</w:t>
      </w:r>
      <w:r w:rsidR="008C4FD9" w:rsidRPr="00B0157E">
        <w:rPr>
          <w:lang w:val="en-AU"/>
        </w:rPr>
        <w:t>,</w:t>
      </w:r>
      <w:r w:rsidRPr="00B0157E">
        <w:rPr>
          <w:lang w:val="en-AU"/>
        </w:rPr>
        <w:t xml:space="preserve"> t</w:t>
      </w:r>
      <w:r w:rsidR="0021449F" w:rsidRPr="00B0157E">
        <w:rPr>
          <w:lang w:val="en-AU"/>
        </w:rPr>
        <w:t xml:space="preserve">he </w:t>
      </w:r>
      <w:r w:rsidR="00A11658" w:rsidRPr="00B0157E">
        <w:rPr>
          <w:lang w:val="en-AU"/>
        </w:rPr>
        <w:t>Committee</w:t>
      </w:r>
      <w:r w:rsidR="0021449F" w:rsidRPr="00B0157E">
        <w:rPr>
          <w:lang w:val="en-AU"/>
        </w:rPr>
        <w:t xml:space="preserve"> was contacted by the Radiation Oncology Working Group of the Oncology Clinical Committee</w:t>
      </w:r>
      <w:r w:rsidRPr="00B0157E">
        <w:rPr>
          <w:lang w:val="en-AU"/>
        </w:rPr>
        <w:t xml:space="preserve"> to discuss whether </w:t>
      </w:r>
      <w:r w:rsidR="00614663" w:rsidRPr="00B0157E">
        <w:rPr>
          <w:lang w:val="en-AU"/>
        </w:rPr>
        <w:t xml:space="preserve">it would be appropriate </w:t>
      </w:r>
      <w:r w:rsidR="0021449F" w:rsidRPr="00B0157E">
        <w:rPr>
          <w:lang w:val="en-AU"/>
        </w:rPr>
        <w:t xml:space="preserve">to </w:t>
      </w:r>
      <w:r w:rsidR="0021449F" w:rsidRPr="00B0157E">
        <w:rPr>
          <w:lang w:val="en-AU"/>
        </w:rPr>
        <w:lastRenderedPageBreak/>
        <w:t xml:space="preserve">consolidate the </w:t>
      </w:r>
      <w:r w:rsidR="00016982" w:rsidRPr="00B0157E">
        <w:rPr>
          <w:lang w:val="en-AU"/>
        </w:rPr>
        <w:t>o</w:t>
      </w:r>
      <w:r w:rsidR="0021449F" w:rsidRPr="00B0157E">
        <w:rPr>
          <w:lang w:val="en-AU"/>
        </w:rPr>
        <w:t>rthovoltage radiotherapy items (</w:t>
      </w:r>
      <w:r w:rsidR="00BD699D" w:rsidRPr="00B0157E">
        <w:rPr>
          <w:lang w:val="en-AU"/>
        </w:rPr>
        <w:t xml:space="preserve">items </w:t>
      </w:r>
      <w:r w:rsidR="0021449F" w:rsidRPr="00B0157E">
        <w:rPr>
          <w:lang w:val="en-AU"/>
        </w:rPr>
        <w:t>15100</w:t>
      </w:r>
      <w:r w:rsidR="00AD06F3" w:rsidRPr="00B0157E">
        <w:rPr>
          <w:lang w:val="en-AU"/>
        </w:rPr>
        <w:t>–</w:t>
      </w:r>
      <w:r w:rsidR="0021449F" w:rsidRPr="00B0157E">
        <w:rPr>
          <w:lang w:val="en-AU"/>
        </w:rPr>
        <w:t xml:space="preserve">15115) into the </w:t>
      </w:r>
      <w:r w:rsidR="00BF77AA" w:rsidRPr="00B0157E">
        <w:rPr>
          <w:lang w:val="en-AU"/>
        </w:rPr>
        <w:t>s</w:t>
      </w:r>
      <w:r w:rsidR="0021449F" w:rsidRPr="00B0157E">
        <w:rPr>
          <w:lang w:val="en-AU"/>
        </w:rPr>
        <w:t>uperficial radiotherapy items (</w:t>
      </w:r>
      <w:r w:rsidR="00514372" w:rsidRPr="00B0157E">
        <w:rPr>
          <w:lang w:val="en-AU"/>
        </w:rPr>
        <w:t xml:space="preserve">items </w:t>
      </w:r>
      <w:r w:rsidR="0021449F" w:rsidRPr="00B0157E">
        <w:rPr>
          <w:lang w:val="en-AU"/>
        </w:rPr>
        <w:t>15000</w:t>
      </w:r>
      <w:r w:rsidR="00514372" w:rsidRPr="00B0157E">
        <w:rPr>
          <w:lang w:val="en-AU"/>
        </w:rPr>
        <w:t>–</w:t>
      </w:r>
      <w:r w:rsidR="0021449F" w:rsidRPr="00B0157E">
        <w:rPr>
          <w:lang w:val="en-AU"/>
        </w:rPr>
        <w:t xml:space="preserve">15009). Comments regarding this are </w:t>
      </w:r>
      <w:r w:rsidR="002B0626" w:rsidRPr="00B0157E">
        <w:rPr>
          <w:lang w:val="en-AU"/>
        </w:rPr>
        <w:t xml:space="preserve">presented </w:t>
      </w:r>
      <w:r w:rsidR="0021449F" w:rsidRPr="00B0157E">
        <w:rPr>
          <w:lang w:val="en-AU"/>
        </w:rPr>
        <w:t xml:space="preserve">in the recommendation below. </w:t>
      </w:r>
    </w:p>
    <w:p w14:paraId="56BD30F0" w14:textId="77777777" w:rsidR="007861E2" w:rsidRPr="00B0157E" w:rsidRDefault="007861E2" w:rsidP="00C33ED9">
      <w:pPr>
        <w:pStyle w:val="Caption"/>
        <w:rPr>
          <w:lang w:val="en-AU"/>
        </w:rPr>
      </w:pPr>
      <w:bookmarkStart w:id="169" w:name="_Toc457520573"/>
      <w:bookmarkStart w:id="170" w:name="_Toc459236301"/>
      <w:bookmarkStart w:id="171" w:name="_Toc465871836"/>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13</w:t>
      </w:r>
      <w:r w:rsidR="00C1346F" w:rsidRPr="00B0157E">
        <w:rPr>
          <w:lang w:val="en-AU"/>
        </w:rPr>
        <w:fldChar w:fldCharType="end"/>
      </w:r>
      <w:r w:rsidRPr="00B0157E">
        <w:rPr>
          <w:lang w:val="en-AU"/>
        </w:rPr>
        <w:t xml:space="preserve">: </w:t>
      </w:r>
      <w:r w:rsidR="0027729A" w:rsidRPr="00B0157E">
        <w:rPr>
          <w:lang w:val="en-AU"/>
        </w:rPr>
        <w:t xml:space="preserve">Item introduction table for item </w:t>
      </w:r>
      <w:r w:rsidRPr="00B0157E">
        <w:rPr>
          <w:lang w:val="en-AU"/>
        </w:rPr>
        <w:t>15000</w:t>
      </w:r>
      <w:bookmarkEnd w:id="169"/>
      <w:bookmarkEnd w:id="170"/>
      <w:bookmarkEnd w:id="171"/>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3 is an item introduction table for item 15000 which is for superficial radiotherapy.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7861E2" w:rsidRPr="00B0157E" w14:paraId="35E12443" w14:textId="77777777">
        <w:trPr>
          <w:tblHeader/>
        </w:trPr>
        <w:tc>
          <w:tcPr>
            <w:tcW w:w="717" w:type="dxa"/>
            <w:shd w:val="clear" w:color="auto" w:fill="F2F2F2" w:themeFill="background1" w:themeFillShade="F2"/>
            <w:vAlign w:val="bottom"/>
          </w:tcPr>
          <w:p w14:paraId="330B5D93" w14:textId="77777777" w:rsidR="007861E2" w:rsidRPr="00B0157E" w:rsidRDefault="007861E2" w:rsidP="007F2036">
            <w:pPr>
              <w:pStyle w:val="02Tabletext"/>
              <w:spacing w:after="20"/>
              <w:rPr>
                <w:b/>
              </w:rPr>
            </w:pPr>
            <w:r w:rsidRPr="00B0157E">
              <w:rPr>
                <w:b/>
              </w:rPr>
              <w:t>Item</w:t>
            </w:r>
          </w:p>
        </w:tc>
        <w:tc>
          <w:tcPr>
            <w:tcW w:w="4119" w:type="dxa"/>
            <w:shd w:val="clear" w:color="auto" w:fill="F2F2F2" w:themeFill="background1" w:themeFillShade="F2"/>
            <w:vAlign w:val="bottom"/>
          </w:tcPr>
          <w:p w14:paraId="5611A9F1" w14:textId="77777777" w:rsidR="007861E2" w:rsidRPr="00B0157E" w:rsidRDefault="007861E2" w:rsidP="007F2036">
            <w:pPr>
              <w:pStyle w:val="02Tabletext"/>
              <w:spacing w:after="20"/>
              <w:rPr>
                <w:b/>
              </w:rPr>
            </w:pPr>
            <w:r w:rsidRPr="00B0157E">
              <w:rPr>
                <w:b/>
              </w:rPr>
              <w:t>Descriptor</w:t>
            </w:r>
          </w:p>
          <w:p w14:paraId="7EB15EB6" w14:textId="77777777" w:rsidR="007861E2" w:rsidRPr="00B0157E" w:rsidRDefault="007861E2" w:rsidP="007F2036">
            <w:pPr>
              <w:pStyle w:val="02Tabletext"/>
              <w:spacing w:after="20"/>
              <w:rPr>
                <w:b/>
              </w:rPr>
            </w:pPr>
            <w:r w:rsidRPr="00B0157E">
              <w:rPr>
                <w:b/>
              </w:rPr>
              <w:t>[date last amended]</w:t>
            </w:r>
          </w:p>
        </w:tc>
        <w:tc>
          <w:tcPr>
            <w:tcW w:w="917" w:type="dxa"/>
            <w:shd w:val="clear" w:color="auto" w:fill="F2F2F2" w:themeFill="background1" w:themeFillShade="F2"/>
            <w:vAlign w:val="bottom"/>
          </w:tcPr>
          <w:p w14:paraId="758B55FD" w14:textId="77777777" w:rsidR="007861E2" w:rsidRPr="00B0157E" w:rsidRDefault="007861E2" w:rsidP="007F2036">
            <w:pPr>
              <w:pStyle w:val="02Tabletext"/>
              <w:spacing w:after="20"/>
              <w:rPr>
                <w:b/>
              </w:rPr>
            </w:pPr>
            <w:r w:rsidRPr="00B0157E">
              <w:rPr>
                <w:b/>
              </w:rPr>
              <w:t>Schedule</w:t>
            </w:r>
          </w:p>
          <w:p w14:paraId="7D6EBE12" w14:textId="77777777" w:rsidR="007861E2" w:rsidRPr="00B0157E" w:rsidRDefault="007861E2" w:rsidP="007F2036">
            <w:pPr>
              <w:pStyle w:val="02Tabletext"/>
              <w:spacing w:after="20"/>
              <w:rPr>
                <w:b/>
              </w:rPr>
            </w:pPr>
            <w:r w:rsidRPr="00B0157E">
              <w:rPr>
                <w:b/>
              </w:rPr>
              <w:t>fee</w:t>
            </w:r>
          </w:p>
        </w:tc>
        <w:tc>
          <w:tcPr>
            <w:tcW w:w="997" w:type="dxa"/>
            <w:shd w:val="clear" w:color="auto" w:fill="F2F2F2" w:themeFill="background1" w:themeFillShade="F2"/>
            <w:vAlign w:val="bottom"/>
          </w:tcPr>
          <w:p w14:paraId="1C7EBFCA" w14:textId="77777777" w:rsidR="007861E2" w:rsidRPr="00B0157E" w:rsidRDefault="007861E2" w:rsidP="007F2036">
            <w:pPr>
              <w:pStyle w:val="02Tabletext"/>
              <w:spacing w:after="20"/>
              <w:rPr>
                <w:b/>
              </w:rPr>
            </w:pPr>
            <w:r w:rsidRPr="00B0157E">
              <w:rPr>
                <w:b/>
              </w:rPr>
              <w:t>Services FY2014/15</w:t>
            </w:r>
          </w:p>
        </w:tc>
        <w:tc>
          <w:tcPr>
            <w:tcW w:w="1080" w:type="dxa"/>
            <w:shd w:val="clear" w:color="auto" w:fill="F2F2F2" w:themeFill="background1" w:themeFillShade="F2"/>
            <w:vAlign w:val="bottom"/>
          </w:tcPr>
          <w:p w14:paraId="4590569D" w14:textId="77777777" w:rsidR="007861E2" w:rsidRPr="00B0157E" w:rsidRDefault="007861E2" w:rsidP="007F2036">
            <w:pPr>
              <w:pStyle w:val="02Tabletext"/>
              <w:spacing w:after="20"/>
              <w:rPr>
                <w:b/>
              </w:rPr>
            </w:pPr>
            <w:r w:rsidRPr="00B0157E">
              <w:rPr>
                <w:b/>
              </w:rPr>
              <w:t>Benefits FY2014/15</w:t>
            </w:r>
          </w:p>
        </w:tc>
        <w:tc>
          <w:tcPr>
            <w:tcW w:w="1196" w:type="dxa"/>
            <w:shd w:val="clear" w:color="auto" w:fill="F2F2F2" w:themeFill="background1" w:themeFillShade="F2"/>
            <w:vAlign w:val="bottom"/>
          </w:tcPr>
          <w:p w14:paraId="4D57A1A5" w14:textId="77777777" w:rsidR="007861E2" w:rsidRPr="00B0157E" w:rsidRDefault="009A7890" w:rsidP="007F2036">
            <w:pPr>
              <w:pStyle w:val="02Tabletext"/>
              <w:spacing w:after="20"/>
              <w:rPr>
                <w:b/>
              </w:rPr>
            </w:pPr>
            <w:r>
              <w:rPr>
                <w:b/>
              </w:rPr>
              <w:t>Services 5-</w:t>
            </w:r>
            <w:r w:rsidR="007861E2" w:rsidRPr="00B0157E">
              <w:rPr>
                <w:b/>
              </w:rPr>
              <w:t>year annual avg. growth</w:t>
            </w:r>
          </w:p>
        </w:tc>
      </w:tr>
      <w:tr w:rsidR="00BF0DC6" w:rsidRPr="00B0157E" w14:paraId="617FE5D1" w14:textId="77777777">
        <w:tc>
          <w:tcPr>
            <w:tcW w:w="717" w:type="dxa"/>
          </w:tcPr>
          <w:p w14:paraId="1938F8B5" w14:textId="77777777" w:rsidR="00BF0DC6" w:rsidRPr="00B0157E" w:rsidRDefault="00BF0DC6" w:rsidP="007F2036">
            <w:pPr>
              <w:pStyle w:val="02Tabletext"/>
              <w:spacing w:after="20"/>
            </w:pPr>
            <w:r w:rsidRPr="00B0157E">
              <w:rPr>
                <w:szCs w:val="18"/>
              </w:rPr>
              <w:t>15000</w:t>
            </w:r>
          </w:p>
        </w:tc>
        <w:tc>
          <w:tcPr>
            <w:tcW w:w="4119" w:type="dxa"/>
          </w:tcPr>
          <w:p w14:paraId="39A9ED7A" w14:textId="77777777" w:rsidR="00BF0DC6" w:rsidRPr="00B0157E" w:rsidRDefault="00BF0DC6" w:rsidP="00C60E54">
            <w:pPr>
              <w:pStyle w:val="02Tabletext"/>
              <w:spacing w:after="20"/>
            </w:pPr>
            <w:r w:rsidRPr="00B0157E">
              <w:rPr>
                <w:szCs w:val="18"/>
              </w:rPr>
              <w:t>(Benefits for administration of general anaesthetic for radiotherapy are payable under Group T10) R</w:t>
            </w:r>
            <w:r w:rsidR="00C60E54" w:rsidRPr="00B0157E">
              <w:rPr>
                <w:szCs w:val="18"/>
              </w:rPr>
              <w:t xml:space="preserve">adiotherapy, superficial </w:t>
            </w:r>
            <w:r w:rsidRPr="00B0157E">
              <w:rPr>
                <w:szCs w:val="18"/>
              </w:rPr>
              <w:t xml:space="preserve">(including treatment with xrays, radium rays or other radioactive substances), not being a service to which another item in this Group applies each attendance at which fractionated treatment is given </w:t>
            </w:r>
            <w:r w:rsidR="00E640A6" w:rsidRPr="00B0157E">
              <w:rPr>
                <w:szCs w:val="18"/>
              </w:rPr>
              <w:t>–</w:t>
            </w:r>
            <w:r w:rsidRPr="00B0157E">
              <w:rPr>
                <w:szCs w:val="18"/>
              </w:rPr>
              <w:t xml:space="preserve"> 1 field</w:t>
            </w:r>
            <w:r w:rsidR="00E640A6" w:rsidRPr="00B0157E">
              <w:rPr>
                <w:szCs w:val="18"/>
              </w:rPr>
              <w:t>.</w:t>
            </w:r>
            <w:r w:rsidR="00816460" w:rsidRPr="00B0157E">
              <w:rPr>
                <w:szCs w:val="18"/>
              </w:rPr>
              <w:t xml:space="preserve"> [1991]</w:t>
            </w:r>
          </w:p>
        </w:tc>
        <w:tc>
          <w:tcPr>
            <w:tcW w:w="917" w:type="dxa"/>
          </w:tcPr>
          <w:p w14:paraId="4708443A" w14:textId="77777777" w:rsidR="00BF0DC6" w:rsidRPr="00B0157E" w:rsidRDefault="00BF0DC6" w:rsidP="007F2036">
            <w:pPr>
              <w:pStyle w:val="02Tabletext"/>
              <w:spacing w:after="20"/>
              <w:jc w:val="center"/>
            </w:pPr>
            <w:r w:rsidRPr="00B0157E">
              <w:rPr>
                <w:szCs w:val="18"/>
              </w:rPr>
              <w:t>$42.55</w:t>
            </w:r>
          </w:p>
        </w:tc>
        <w:tc>
          <w:tcPr>
            <w:tcW w:w="997" w:type="dxa"/>
          </w:tcPr>
          <w:p w14:paraId="232E35EC" w14:textId="77777777" w:rsidR="00BF0DC6" w:rsidRPr="00B0157E" w:rsidRDefault="00BF0DC6" w:rsidP="007F2036">
            <w:pPr>
              <w:pStyle w:val="02Tabletext"/>
              <w:spacing w:after="20"/>
              <w:jc w:val="center"/>
            </w:pPr>
            <w:r w:rsidRPr="00B0157E">
              <w:rPr>
                <w:szCs w:val="18"/>
              </w:rPr>
              <w:t>22,738</w:t>
            </w:r>
          </w:p>
        </w:tc>
        <w:tc>
          <w:tcPr>
            <w:tcW w:w="1080" w:type="dxa"/>
          </w:tcPr>
          <w:p w14:paraId="3ED751D6" w14:textId="77777777" w:rsidR="00BF0DC6" w:rsidRPr="00B0157E" w:rsidRDefault="00BF0DC6" w:rsidP="007F2036">
            <w:pPr>
              <w:pStyle w:val="02Tabletext"/>
              <w:spacing w:after="20"/>
              <w:jc w:val="center"/>
            </w:pPr>
            <w:r w:rsidRPr="00B0157E">
              <w:rPr>
                <w:szCs w:val="18"/>
              </w:rPr>
              <w:t>$892,102</w:t>
            </w:r>
          </w:p>
        </w:tc>
        <w:tc>
          <w:tcPr>
            <w:tcW w:w="1196" w:type="dxa"/>
          </w:tcPr>
          <w:p w14:paraId="656B53EF" w14:textId="77777777" w:rsidR="00BF0DC6" w:rsidRPr="00B0157E" w:rsidRDefault="00BF0DC6" w:rsidP="007F2036">
            <w:pPr>
              <w:pStyle w:val="02Tabletext"/>
              <w:spacing w:after="20"/>
              <w:jc w:val="center"/>
            </w:pPr>
            <w:r w:rsidRPr="00B0157E">
              <w:t>9.80%</w:t>
            </w:r>
          </w:p>
        </w:tc>
      </w:tr>
    </w:tbl>
    <w:p w14:paraId="02A075A5" w14:textId="77777777" w:rsidR="0021449F" w:rsidRPr="00B0157E" w:rsidRDefault="0021449F" w:rsidP="00C33ED9">
      <w:pPr>
        <w:rPr>
          <w:b/>
          <w:lang w:val="en-AU"/>
        </w:rPr>
      </w:pPr>
      <w:r w:rsidRPr="00B0157E">
        <w:rPr>
          <w:b/>
          <w:lang w:val="en-AU"/>
        </w:rPr>
        <w:t xml:space="preserve">Recommendation </w:t>
      </w:r>
    </w:p>
    <w:p w14:paraId="60CDF1F0" w14:textId="77777777" w:rsidR="0021449F" w:rsidRPr="00B0157E" w:rsidRDefault="00D4750A">
      <w:pPr>
        <w:pStyle w:val="01squarebullet"/>
        <w:rPr>
          <w:lang w:val="en-AU"/>
        </w:rPr>
      </w:pPr>
      <w:r w:rsidRPr="00B0157E">
        <w:rPr>
          <w:lang w:val="en-AU"/>
        </w:rPr>
        <w:t>C</w:t>
      </w:r>
      <w:r w:rsidR="0021449F" w:rsidRPr="00B0157E">
        <w:rPr>
          <w:lang w:val="en-AU"/>
        </w:rPr>
        <w:t xml:space="preserve">onsolidate </w:t>
      </w:r>
      <w:r w:rsidR="00DC3CEF" w:rsidRPr="00B0157E">
        <w:rPr>
          <w:lang w:val="en-AU"/>
        </w:rPr>
        <w:t>o</w:t>
      </w:r>
      <w:r w:rsidR="0021449F" w:rsidRPr="00B0157E">
        <w:rPr>
          <w:lang w:val="en-AU"/>
        </w:rPr>
        <w:t>rthovoltage radiotherapy items (</w:t>
      </w:r>
      <w:r w:rsidR="00270F6C" w:rsidRPr="00B0157E">
        <w:rPr>
          <w:lang w:val="en-AU"/>
        </w:rPr>
        <w:t xml:space="preserve">items </w:t>
      </w:r>
      <w:r w:rsidR="0021449F" w:rsidRPr="00B0157E">
        <w:rPr>
          <w:lang w:val="en-AU"/>
        </w:rPr>
        <w:t>15100</w:t>
      </w:r>
      <w:r w:rsidR="00270F6C" w:rsidRPr="00B0157E">
        <w:rPr>
          <w:lang w:val="en-AU"/>
        </w:rPr>
        <w:t>–</w:t>
      </w:r>
      <w:r w:rsidR="0021449F" w:rsidRPr="00B0157E">
        <w:rPr>
          <w:lang w:val="en-AU"/>
        </w:rPr>
        <w:t xml:space="preserve">15115) into the </w:t>
      </w:r>
      <w:r w:rsidR="00666923" w:rsidRPr="00B0157E">
        <w:rPr>
          <w:lang w:val="en-AU"/>
        </w:rPr>
        <w:t>s</w:t>
      </w:r>
      <w:r w:rsidR="0021449F" w:rsidRPr="00B0157E">
        <w:rPr>
          <w:lang w:val="en-AU"/>
        </w:rPr>
        <w:t>uperficial radiotherapy items (</w:t>
      </w:r>
      <w:r w:rsidR="00B60395" w:rsidRPr="00B0157E">
        <w:rPr>
          <w:lang w:val="en-AU"/>
        </w:rPr>
        <w:t xml:space="preserve">items </w:t>
      </w:r>
      <w:r w:rsidR="0021449F" w:rsidRPr="00B0157E">
        <w:rPr>
          <w:lang w:val="en-AU"/>
        </w:rPr>
        <w:t>15000</w:t>
      </w:r>
      <w:r w:rsidR="00B60395" w:rsidRPr="00B0157E">
        <w:rPr>
          <w:lang w:val="en-AU"/>
        </w:rPr>
        <w:t>–</w:t>
      </w:r>
      <w:r w:rsidR="0021449F" w:rsidRPr="00B0157E">
        <w:rPr>
          <w:lang w:val="en-AU"/>
        </w:rPr>
        <w:t>15009)</w:t>
      </w:r>
      <w:r w:rsidR="00B2019F" w:rsidRPr="00B0157E">
        <w:rPr>
          <w:lang w:val="en-AU"/>
        </w:rPr>
        <w:t>, as recommended by the Radiation Oncology Working Group.</w:t>
      </w:r>
      <w:r w:rsidR="00DC0E6C" w:rsidRPr="00B0157E">
        <w:rPr>
          <w:lang w:val="en-AU"/>
        </w:rPr>
        <w:t xml:space="preserve"> This recommendation is not yet final</w:t>
      </w:r>
      <w:r w:rsidR="006E4EC4" w:rsidRPr="00B0157E">
        <w:rPr>
          <w:lang w:val="en-AU"/>
        </w:rPr>
        <w:t>,</w:t>
      </w:r>
      <w:r w:rsidR="00DC0E6C" w:rsidRPr="00B0157E">
        <w:rPr>
          <w:lang w:val="en-AU"/>
        </w:rPr>
        <w:t xml:space="preserve"> and the complete recommendation will be finalised and presented for consultation by </w:t>
      </w:r>
      <w:r w:rsidR="00A71B4C" w:rsidRPr="00B0157E">
        <w:rPr>
          <w:lang w:val="en-AU"/>
        </w:rPr>
        <w:t>t</w:t>
      </w:r>
      <w:r w:rsidR="00DC0E6C" w:rsidRPr="00B0157E">
        <w:rPr>
          <w:lang w:val="en-AU"/>
        </w:rPr>
        <w:t>he Oncology Clinical Committee.</w:t>
      </w:r>
      <w:r w:rsidR="004A352E">
        <w:rPr>
          <w:lang w:val="en-AU"/>
        </w:rPr>
        <w:t xml:space="preserve"> </w:t>
      </w:r>
    </w:p>
    <w:p w14:paraId="57C76A77" w14:textId="77777777" w:rsidR="0021449F" w:rsidRPr="00B0157E" w:rsidRDefault="0021449F" w:rsidP="00FF0C98">
      <w:pPr>
        <w:rPr>
          <w:b/>
          <w:lang w:val="en-AU"/>
        </w:rPr>
      </w:pPr>
      <w:r w:rsidRPr="00B0157E">
        <w:rPr>
          <w:b/>
          <w:lang w:val="en-AU"/>
        </w:rPr>
        <w:t>Rationale</w:t>
      </w:r>
    </w:p>
    <w:p w14:paraId="184C45C1" w14:textId="77777777" w:rsidR="00CA1711" w:rsidRPr="002405E9" w:rsidRDefault="00182F43" w:rsidP="00CA1711">
      <w:pPr>
        <w:pStyle w:val="01squarebullet"/>
        <w:rPr>
          <w:lang w:val="en-AU"/>
        </w:rPr>
      </w:pPr>
      <w:r w:rsidRPr="00B0157E">
        <w:rPr>
          <w:lang w:val="en-AU"/>
        </w:rPr>
        <w:t>T</w:t>
      </w:r>
      <w:r w:rsidR="0021449F" w:rsidRPr="00B0157E">
        <w:rPr>
          <w:lang w:val="en-AU"/>
        </w:rPr>
        <w:t xml:space="preserve">he </w:t>
      </w:r>
      <w:r w:rsidRPr="00B0157E">
        <w:rPr>
          <w:lang w:val="en-AU"/>
        </w:rPr>
        <w:t>position of t</w:t>
      </w:r>
      <w:r w:rsidR="0021449F" w:rsidRPr="00B0157E">
        <w:rPr>
          <w:lang w:val="en-AU"/>
        </w:rPr>
        <w:t xml:space="preserve">he Committee </w:t>
      </w:r>
      <w:r w:rsidRPr="00B0157E">
        <w:rPr>
          <w:lang w:val="en-AU"/>
        </w:rPr>
        <w:t xml:space="preserve">is that </w:t>
      </w:r>
      <w:r w:rsidR="0021449F" w:rsidRPr="00B0157E">
        <w:rPr>
          <w:lang w:val="en-AU"/>
        </w:rPr>
        <w:t xml:space="preserve">this is still a required </w:t>
      </w:r>
      <w:r w:rsidR="00436331" w:rsidRPr="00B0157E">
        <w:rPr>
          <w:lang w:val="en-AU"/>
        </w:rPr>
        <w:t xml:space="preserve">and </w:t>
      </w:r>
      <w:r w:rsidR="0021449F" w:rsidRPr="00B0157E">
        <w:rPr>
          <w:lang w:val="en-AU"/>
        </w:rPr>
        <w:t>clinically relevant treatment.</w:t>
      </w:r>
      <w:r w:rsidR="00296B0D" w:rsidRPr="00B0157E">
        <w:rPr>
          <w:lang w:val="en-AU"/>
        </w:rPr>
        <w:t xml:space="preserve"> However</w:t>
      </w:r>
      <w:r w:rsidR="00147792" w:rsidRPr="00B0157E">
        <w:rPr>
          <w:lang w:val="en-AU"/>
        </w:rPr>
        <w:t>,</w:t>
      </w:r>
      <w:r w:rsidR="006B7BD7" w:rsidRPr="00B0157E">
        <w:rPr>
          <w:lang w:val="en-AU"/>
        </w:rPr>
        <w:t xml:space="preserve"> in principle</w:t>
      </w:r>
      <w:r w:rsidR="00296B0D" w:rsidRPr="00B0157E">
        <w:rPr>
          <w:lang w:val="en-AU"/>
        </w:rPr>
        <w:t>,</w:t>
      </w:r>
      <w:r w:rsidR="0021449F" w:rsidRPr="00B0157E">
        <w:rPr>
          <w:lang w:val="en-AU"/>
        </w:rPr>
        <w:t xml:space="preserve"> </w:t>
      </w:r>
      <w:r w:rsidR="00296B0D" w:rsidRPr="00B0157E">
        <w:rPr>
          <w:lang w:val="en-AU"/>
        </w:rPr>
        <w:t>t</w:t>
      </w:r>
      <w:r w:rsidR="0021449F" w:rsidRPr="00B0157E">
        <w:rPr>
          <w:lang w:val="en-AU"/>
        </w:rPr>
        <w:t xml:space="preserve">he Committee </w:t>
      </w:r>
      <w:r w:rsidR="00DE1D9B" w:rsidRPr="00B0157E">
        <w:rPr>
          <w:lang w:val="en-AU"/>
        </w:rPr>
        <w:t xml:space="preserve">has </w:t>
      </w:r>
      <w:r w:rsidR="0021449F" w:rsidRPr="00B0157E">
        <w:rPr>
          <w:lang w:val="en-AU"/>
        </w:rPr>
        <w:t xml:space="preserve">no issues with consolidating the items to simplify the MBS. The Committee assumes that this change will be cost neutral for consumers, </w:t>
      </w:r>
      <w:r w:rsidR="005C5582" w:rsidRPr="00B0157E">
        <w:rPr>
          <w:lang w:val="en-AU"/>
        </w:rPr>
        <w:t>ensuring</w:t>
      </w:r>
      <w:r w:rsidR="0021449F" w:rsidRPr="00B0157E">
        <w:rPr>
          <w:lang w:val="en-AU"/>
        </w:rPr>
        <w:t xml:space="preserve"> no adverse impact </w:t>
      </w:r>
      <w:r w:rsidR="00934163" w:rsidRPr="00B0157E">
        <w:rPr>
          <w:lang w:val="en-AU"/>
        </w:rPr>
        <w:t xml:space="preserve">on </w:t>
      </w:r>
      <w:r w:rsidR="0021449F" w:rsidRPr="00B0157E">
        <w:rPr>
          <w:lang w:val="en-AU"/>
        </w:rPr>
        <w:t xml:space="preserve">patient access. </w:t>
      </w:r>
      <w:bookmarkStart w:id="172" w:name="_Toc458774442"/>
    </w:p>
    <w:p w14:paraId="411CAD84" w14:textId="77777777" w:rsidR="003E08D0" w:rsidRPr="00B0157E" w:rsidRDefault="003E08D0" w:rsidP="00C33ED9">
      <w:pPr>
        <w:pStyle w:val="Heading2"/>
        <w:rPr>
          <w:lang w:val="en-AU"/>
        </w:rPr>
      </w:pPr>
      <w:bookmarkStart w:id="173" w:name="_Toc465871880"/>
      <w:r w:rsidRPr="00B0157E">
        <w:rPr>
          <w:lang w:val="en-AU"/>
        </w:rPr>
        <w:t>Administration of immunomodulating agent</w:t>
      </w:r>
      <w:r w:rsidR="009642E3" w:rsidRPr="00B0157E">
        <w:rPr>
          <w:lang w:val="en-AU"/>
        </w:rPr>
        <w:t>:</w:t>
      </w:r>
      <w:r w:rsidRPr="00B0157E">
        <w:rPr>
          <w:lang w:val="en-AU"/>
        </w:rPr>
        <w:t xml:space="preserve"> </w:t>
      </w:r>
      <w:r w:rsidR="009642E3" w:rsidRPr="00B0157E">
        <w:rPr>
          <w:lang w:val="en-AU"/>
        </w:rPr>
        <w:t>I</w:t>
      </w:r>
      <w:r w:rsidRPr="00B0157E">
        <w:rPr>
          <w:lang w:val="en-AU"/>
        </w:rPr>
        <w:t>tem 14245</w:t>
      </w:r>
      <w:bookmarkEnd w:id="172"/>
      <w:bookmarkEnd w:id="173"/>
      <w:r w:rsidR="004A352E">
        <w:rPr>
          <w:lang w:val="en-AU"/>
        </w:rPr>
        <w:t xml:space="preserve"> </w:t>
      </w:r>
    </w:p>
    <w:p w14:paraId="043987D5" w14:textId="77777777" w:rsidR="00880FB9" w:rsidRPr="00B0157E" w:rsidRDefault="00880FB9" w:rsidP="00C33ED9">
      <w:pPr>
        <w:pStyle w:val="Caption"/>
        <w:rPr>
          <w:lang w:val="en-AU"/>
        </w:rPr>
      </w:pPr>
      <w:bookmarkStart w:id="174" w:name="_Toc457520574"/>
      <w:bookmarkStart w:id="175" w:name="_Toc459236302"/>
      <w:bookmarkStart w:id="176" w:name="_Toc465871837"/>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14</w:t>
      </w:r>
      <w:r w:rsidR="00C1346F" w:rsidRPr="00B0157E">
        <w:rPr>
          <w:lang w:val="en-AU"/>
        </w:rPr>
        <w:fldChar w:fldCharType="end"/>
      </w:r>
      <w:r w:rsidRPr="00B0157E">
        <w:rPr>
          <w:lang w:val="en-AU"/>
        </w:rPr>
        <w:t xml:space="preserve">: </w:t>
      </w:r>
      <w:r w:rsidR="009A60E6" w:rsidRPr="00B0157E">
        <w:rPr>
          <w:lang w:val="en-AU"/>
        </w:rPr>
        <w:t>I</w:t>
      </w:r>
      <w:r w:rsidR="00D67192" w:rsidRPr="00B0157E">
        <w:rPr>
          <w:lang w:val="en-AU"/>
        </w:rPr>
        <w:t>tem introduction table for item</w:t>
      </w:r>
      <w:r w:rsidR="009A60E6" w:rsidRPr="00B0157E">
        <w:rPr>
          <w:lang w:val="en-AU"/>
        </w:rPr>
        <w:t xml:space="preserve"> </w:t>
      </w:r>
      <w:r w:rsidRPr="00B0157E">
        <w:rPr>
          <w:lang w:val="en-AU"/>
        </w:rPr>
        <w:t>14245</w:t>
      </w:r>
      <w:bookmarkEnd w:id="174"/>
      <w:bookmarkEnd w:id="175"/>
      <w:bookmarkEnd w:id="176"/>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4 is an item introduction table for item 14245 which is for the administration of immunomodulating agent.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880FB9" w:rsidRPr="00B0157E" w14:paraId="5075D7FB" w14:textId="77777777">
        <w:trPr>
          <w:tblHeader/>
        </w:trPr>
        <w:tc>
          <w:tcPr>
            <w:tcW w:w="717" w:type="dxa"/>
            <w:shd w:val="clear" w:color="auto" w:fill="F2F2F2" w:themeFill="background1" w:themeFillShade="F2"/>
            <w:vAlign w:val="bottom"/>
          </w:tcPr>
          <w:p w14:paraId="2E1CB8EB" w14:textId="77777777" w:rsidR="00880FB9" w:rsidRPr="00B0157E" w:rsidRDefault="00880FB9" w:rsidP="007F2036">
            <w:pPr>
              <w:pStyle w:val="02Tabletext"/>
              <w:spacing w:after="20"/>
              <w:rPr>
                <w:b/>
              </w:rPr>
            </w:pPr>
            <w:r w:rsidRPr="00B0157E">
              <w:rPr>
                <w:b/>
              </w:rPr>
              <w:t>Item</w:t>
            </w:r>
          </w:p>
        </w:tc>
        <w:tc>
          <w:tcPr>
            <w:tcW w:w="4119" w:type="dxa"/>
            <w:shd w:val="clear" w:color="auto" w:fill="F2F2F2" w:themeFill="background1" w:themeFillShade="F2"/>
            <w:vAlign w:val="bottom"/>
          </w:tcPr>
          <w:p w14:paraId="1EEECE3D" w14:textId="77777777" w:rsidR="00880FB9" w:rsidRPr="00B0157E" w:rsidRDefault="00880FB9" w:rsidP="007F2036">
            <w:pPr>
              <w:pStyle w:val="02Tabletext"/>
              <w:spacing w:after="20"/>
              <w:rPr>
                <w:b/>
              </w:rPr>
            </w:pPr>
            <w:r w:rsidRPr="00B0157E">
              <w:rPr>
                <w:b/>
              </w:rPr>
              <w:t>Descriptor</w:t>
            </w:r>
          </w:p>
          <w:p w14:paraId="4A6ABCD9" w14:textId="77777777" w:rsidR="00880FB9" w:rsidRPr="00B0157E" w:rsidRDefault="00880FB9" w:rsidP="007F2036">
            <w:pPr>
              <w:pStyle w:val="02Tabletext"/>
              <w:spacing w:after="20"/>
              <w:rPr>
                <w:b/>
              </w:rPr>
            </w:pPr>
            <w:r w:rsidRPr="00B0157E">
              <w:rPr>
                <w:b/>
              </w:rPr>
              <w:t>[date last amended]</w:t>
            </w:r>
          </w:p>
        </w:tc>
        <w:tc>
          <w:tcPr>
            <w:tcW w:w="917" w:type="dxa"/>
            <w:shd w:val="clear" w:color="auto" w:fill="F2F2F2" w:themeFill="background1" w:themeFillShade="F2"/>
            <w:vAlign w:val="bottom"/>
          </w:tcPr>
          <w:p w14:paraId="7BDB9DA1" w14:textId="77777777" w:rsidR="00880FB9" w:rsidRPr="00B0157E" w:rsidRDefault="00880FB9" w:rsidP="007F2036">
            <w:pPr>
              <w:pStyle w:val="02Tabletext"/>
              <w:spacing w:after="20"/>
              <w:rPr>
                <w:b/>
              </w:rPr>
            </w:pPr>
            <w:r w:rsidRPr="00B0157E">
              <w:rPr>
                <w:b/>
              </w:rPr>
              <w:t>Schedule</w:t>
            </w:r>
          </w:p>
          <w:p w14:paraId="333B30A9" w14:textId="77777777" w:rsidR="00880FB9" w:rsidRPr="00B0157E" w:rsidRDefault="00880FB9" w:rsidP="007F2036">
            <w:pPr>
              <w:pStyle w:val="02Tabletext"/>
              <w:spacing w:after="20"/>
              <w:rPr>
                <w:b/>
              </w:rPr>
            </w:pPr>
            <w:r w:rsidRPr="00B0157E">
              <w:rPr>
                <w:b/>
              </w:rPr>
              <w:t>fee</w:t>
            </w:r>
          </w:p>
        </w:tc>
        <w:tc>
          <w:tcPr>
            <w:tcW w:w="997" w:type="dxa"/>
            <w:shd w:val="clear" w:color="auto" w:fill="F2F2F2" w:themeFill="background1" w:themeFillShade="F2"/>
            <w:vAlign w:val="bottom"/>
          </w:tcPr>
          <w:p w14:paraId="00C690F3" w14:textId="77777777" w:rsidR="00880FB9" w:rsidRPr="00B0157E" w:rsidRDefault="00880FB9" w:rsidP="007F2036">
            <w:pPr>
              <w:pStyle w:val="02Tabletext"/>
              <w:spacing w:after="20"/>
              <w:rPr>
                <w:b/>
              </w:rPr>
            </w:pPr>
            <w:r w:rsidRPr="00B0157E">
              <w:rPr>
                <w:b/>
              </w:rPr>
              <w:t>Services FY2014/15</w:t>
            </w:r>
          </w:p>
        </w:tc>
        <w:tc>
          <w:tcPr>
            <w:tcW w:w="1080" w:type="dxa"/>
            <w:shd w:val="clear" w:color="auto" w:fill="F2F2F2" w:themeFill="background1" w:themeFillShade="F2"/>
            <w:vAlign w:val="bottom"/>
          </w:tcPr>
          <w:p w14:paraId="5CB36DAD" w14:textId="77777777" w:rsidR="00880FB9" w:rsidRPr="00B0157E" w:rsidRDefault="00880FB9" w:rsidP="007F2036">
            <w:pPr>
              <w:pStyle w:val="02Tabletext"/>
              <w:spacing w:after="20"/>
              <w:rPr>
                <w:b/>
              </w:rPr>
            </w:pPr>
            <w:r w:rsidRPr="00B0157E">
              <w:rPr>
                <w:b/>
              </w:rPr>
              <w:t>Benefits FY2014/15</w:t>
            </w:r>
          </w:p>
        </w:tc>
        <w:tc>
          <w:tcPr>
            <w:tcW w:w="1196" w:type="dxa"/>
            <w:shd w:val="clear" w:color="auto" w:fill="F2F2F2" w:themeFill="background1" w:themeFillShade="F2"/>
            <w:vAlign w:val="bottom"/>
          </w:tcPr>
          <w:p w14:paraId="6A8376EA" w14:textId="77777777" w:rsidR="00880FB9" w:rsidRPr="00B0157E" w:rsidRDefault="009A7890" w:rsidP="007F2036">
            <w:pPr>
              <w:pStyle w:val="02Tabletext"/>
              <w:spacing w:after="20"/>
              <w:rPr>
                <w:b/>
              </w:rPr>
            </w:pPr>
            <w:r>
              <w:rPr>
                <w:b/>
              </w:rPr>
              <w:t>Services 5-</w:t>
            </w:r>
            <w:r w:rsidR="00880FB9" w:rsidRPr="00B0157E">
              <w:rPr>
                <w:b/>
              </w:rPr>
              <w:t>year annual avg. growth</w:t>
            </w:r>
          </w:p>
        </w:tc>
      </w:tr>
      <w:tr w:rsidR="00766CC5" w:rsidRPr="00B0157E" w14:paraId="347310AD" w14:textId="77777777">
        <w:tc>
          <w:tcPr>
            <w:tcW w:w="717" w:type="dxa"/>
          </w:tcPr>
          <w:p w14:paraId="53EBA461" w14:textId="77777777" w:rsidR="00766CC5" w:rsidRPr="00B0157E" w:rsidRDefault="00766CC5" w:rsidP="007F2036">
            <w:pPr>
              <w:pStyle w:val="02Tabletext"/>
              <w:spacing w:after="20"/>
            </w:pPr>
            <w:r w:rsidRPr="00B0157E">
              <w:rPr>
                <w:szCs w:val="18"/>
              </w:rPr>
              <w:t>14245</w:t>
            </w:r>
          </w:p>
        </w:tc>
        <w:tc>
          <w:tcPr>
            <w:tcW w:w="4119" w:type="dxa"/>
          </w:tcPr>
          <w:p w14:paraId="120E022B" w14:textId="77777777" w:rsidR="00766CC5" w:rsidRPr="00B0157E" w:rsidRDefault="00766CC5" w:rsidP="007F2036">
            <w:pPr>
              <w:pStyle w:val="02Tabletext"/>
              <w:spacing w:after="20"/>
            </w:pPr>
            <w:r w:rsidRPr="00B0157E">
              <w:rPr>
                <w:szCs w:val="18"/>
              </w:rPr>
              <w:t xml:space="preserve">Immunomodulating agent, administration of, by intravenous infusion for at least 2 hours duration </w:t>
            </w:r>
            <w:r w:rsidR="003673A7" w:rsidRPr="00B0157E">
              <w:rPr>
                <w:szCs w:val="18"/>
              </w:rPr>
              <w:t>–</w:t>
            </w:r>
            <w:r w:rsidRPr="00B0157E">
              <w:rPr>
                <w:szCs w:val="18"/>
              </w:rPr>
              <w:t xml:space="preserve"> payable once only on the same day and where the agent is provided under section 100 of the Pharmaceutical Benefits Scheme</w:t>
            </w:r>
            <w:r w:rsidR="00071A27" w:rsidRPr="00B0157E">
              <w:rPr>
                <w:szCs w:val="18"/>
              </w:rPr>
              <w:t>.</w:t>
            </w:r>
            <w:r w:rsidR="00826241" w:rsidRPr="00B0157E">
              <w:rPr>
                <w:szCs w:val="18"/>
              </w:rPr>
              <w:t xml:space="preserve"> [2007]</w:t>
            </w:r>
          </w:p>
        </w:tc>
        <w:tc>
          <w:tcPr>
            <w:tcW w:w="917" w:type="dxa"/>
          </w:tcPr>
          <w:p w14:paraId="3E75F8CC" w14:textId="77777777" w:rsidR="00766CC5" w:rsidRPr="00B0157E" w:rsidRDefault="00766CC5" w:rsidP="007F2036">
            <w:pPr>
              <w:pStyle w:val="02Tabletext"/>
              <w:spacing w:after="20"/>
              <w:jc w:val="center"/>
            </w:pPr>
            <w:r w:rsidRPr="00B0157E">
              <w:rPr>
                <w:szCs w:val="18"/>
              </w:rPr>
              <w:t>$97.95</w:t>
            </w:r>
          </w:p>
        </w:tc>
        <w:tc>
          <w:tcPr>
            <w:tcW w:w="997" w:type="dxa"/>
          </w:tcPr>
          <w:p w14:paraId="4ED68765" w14:textId="77777777" w:rsidR="00766CC5" w:rsidRPr="00B0157E" w:rsidRDefault="00766CC5" w:rsidP="007F2036">
            <w:pPr>
              <w:pStyle w:val="02Tabletext"/>
              <w:spacing w:after="20"/>
              <w:jc w:val="center"/>
            </w:pPr>
            <w:r w:rsidRPr="00B0157E">
              <w:rPr>
                <w:szCs w:val="18"/>
              </w:rPr>
              <w:t>17,397</w:t>
            </w:r>
          </w:p>
        </w:tc>
        <w:tc>
          <w:tcPr>
            <w:tcW w:w="1080" w:type="dxa"/>
          </w:tcPr>
          <w:p w14:paraId="17150D01" w14:textId="77777777" w:rsidR="00766CC5" w:rsidRPr="00B0157E" w:rsidRDefault="00766CC5" w:rsidP="007F2036">
            <w:pPr>
              <w:pStyle w:val="02Tabletext"/>
              <w:spacing w:after="20"/>
              <w:jc w:val="center"/>
            </w:pPr>
            <w:r w:rsidRPr="00B0157E">
              <w:rPr>
                <w:szCs w:val="18"/>
              </w:rPr>
              <w:t>$1,389,263</w:t>
            </w:r>
          </w:p>
        </w:tc>
        <w:tc>
          <w:tcPr>
            <w:tcW w:w="1196" w:type="dxa"/>
          </w:tcPr>
          <w:p w14:paraId="1DA094A4" w14:textId="77777777" w:rsidR="00766CC5" w:rsidRPr="00B0157E" w:rsidRDefault="00766CC5" w:rsidP="007F2036">
            <w:pPr>
              <w:pStyle w:val="02Tabletext"/>
              <w:spacing w:after="20"/>
              <w:jc w:val="center"/>
            </w:pPr>
            <w:r w:rsidRPr="00B0157E">
              <w:t>19.90%</w:t>
            </w:r>
          </w:p>
        </w:tc>
      </w:tr>
    </w:tbl>
    <w:p w14:paraId="3D53800F" w14:textId="77777777" w:rsidR="003E08D0" w:rsidRPr="00B0157E" w:rsidRDefault="003E08D0" w:rsidP="00B450AE">
      <w:pPr>
        <w:keepNext/>
        <w:keepLines/>
        <w:rPr>
          <w:b/>
          <w:lang w:val="en-AU"/>
        </w:rPr>
      </w:pPr>
      <w:r w:rsidRPr="00B0157E">
        <w:rPr>
          <w:b/>
          <w:lang w:val="en-AU"/>
        </w:rPr>
        <w:t xml:space="preserve">Recommendation </w:t>
      </w:r>
    </w:p>
    <w:p w14:paraId="476496AA" w14:textId="77777777" w:rsidR="003E08D0" w:rsidRPr="00B0157E" w:rsidRDefault="00E84120">
      <w:pPr>
        <w:pStyle w:val="01squarebullet"/>
        <w:rPr>
          <w:lang w:val="en-AU"/>
        </w:rPr>
      </w:pPr>
      <w:r w:rsidRPr="00B0157E">
        <w:rPr>
          <w:lang w:val="en-AU"/>
        </w:rPr>
        <w:t xml:space="preserve">Leave </w:t>
      </w:r>
      <w:r w:rsidR="00D67192" w:rsidRPr="00B0157E">
        <w:rPr>
          <w:lang w:val="en-AU"/>
        </w:rPr>
        <w:t xml:space="preserve">this </w:t>
      </w:r>
      <w:r w:rsidRPr="00B0157E">
        <w:rPr>
          <w:lang w:val="en-AU"/>
        </w:rPr>
        <w:t>item</w:t>
      </w:r>
      <w:r w:rsidR="003E08D0" w:rsidRPr="00B0157E">
        <w:rPr>
          <w:lang w:val="en-AU"/>
        </w:rPr>
        <w:t xml:space="preserve"> </w:t>
      </w:r>
      <w:r w:rsidRPr="00B0157E">
        <w:rPr>
          <w:lang w:val="en-AU"/>
        </w:rPr>
        <w:t>un</w:t>
      </w:r>
      <w:r w:rsidR="003E08D0" w:rsidRPr="00B0157E">
        <w:rPr>
          <w:lang w:val="en-AU"/>
        </w:rPr>
        <w:t>change</w:t>
      </w:r>
      <w:r w:rsidRPr="00B0157E">
        <w:rPr>
          <w:lang w:val="en-AU"/>
        </w:rPr>
        <w:t>d</w:t>
      </w:r>
      <w:r w:rsidR="003E08D0" w:rsidRPr="00B0157E">
        <w:rPr>
          <w:lang w:val="en-AU"/>
        </w:rPr>
        <w:t>.</w:t>
      </w:r>
    </w:p>
    <w:p w14:paraId="78F4E214" w14:textId="77777777" w:rsidR="003E08D0" w:rsidRPr="00B0157E" w:rsidRDefault="003E08D0" w:rsidP="00C33ED9">
      <w:pPr>
        <w:rPr>
          <w:b/>
          <w:lang w:val="en-AU"/>
        </w:rPr>
      </w:pPr>
      <w:r w:rsidRPr="00B0157E">
        <w:rPr>
          <w:b/>
          <w:lang w:val="en-AU"/>
        </w:rPr>
        <w:t>Rationale</w:t>
      </w:r>
    </w:p>
    <w:p w14:paraId="65920FCD" w14:textId="77777777" w:rsidR="007B53AC" w:rsidRPr="00B0157E" w:rsidRDefault="007B53AC">
      <w:pPr>
        <w:pStyle w:val="01squarebullet"/>
        <w:rPr>
          <w:lang w:val="en-AU"/>
        </w:rPr>
      </w:pPr>
      <w:r w:rsidRPr="00B0157E">
        <w:rPr>
          <w:lang w:val="en-AU"/>
        </w:rPr>
        <w:t xml:space="preserve">The position of </w:t>
      </w:r>
      <w:r w:rsidR="003E08D0" w:rsidRPr="00B0157E">
        <w:rPr>
          <w:lang w:val="en-AU"/>
        </w:rPr>
        <w:t xml:space="preserve">the Committee </w:t>
      </w:r>
      <w:r w:rsidRPr="00B0157E">
        <w:rPr>
          <w:lang w:val="en-AU"/>
        </w:rPr>
        <w:t xml:space="preserve">is that </w:t>
      </w:r>
      <w:r w:rsidR="003E08D0" w:rsidRPr="00B0157E">
        <w:rPr>
          <w:lang w:val="en-AU"/>
        </w:rPr>
        <w:t xml:space="preserve">this is a required </w:t>
      </w:r>
      <w:r w:rsidR="005E48CE" w:rsidRPr="00B0157E">
        <w:rPr>
          <w:lang w:val="en-AU"/>
        </w:rPr>
        <w:t xml:space="preserve">and </w:t>
      </w:r>
      <w:r w:rsidR="003E08D0" w:rsidRPr="00B0157E">
        <w:rPr>
          <w:lang w:val="en-AU"/>
        </w:rPr>
        <w:t>cl</w:t>
      </w:r>
      <w:r w:rsidRPr="00B0157E">
        <w:rPr>
          <w:lang w:val="en-AU"/>
        </w:rPr>
        <w:t xml:space="preserve">inically relevant treatment and no change is </w:t>
      </w:r>
      <w:r w:rsidR="00685E90" w:rsidRPr="00B0157E">
        <w:rPr>
          <w:lang w:val="en-AU"/>
        </w:rPr>
        <w:t>necessary</w:t>
      </w:r>
      <w:r w:rsidRPr="00B0157E">
        <w:rPr>
          <w:lang w:val="en-AU"/>
        </w:rPr>
        <w:t xml:space="preserve">. </w:t>
      </w:r>
    </w:p>
    <w:p w14:paraId="2F75131A" w14:textId="77777777" w:rsidR="003E08D0" w:rsidRPr="00B0157E" w:rsidRDefault="00AE04F1">
      <w:pPr>
        <w:pStyle w:val="01squarebullet"/>
        <w:rPr>
          <w:lang w:val="en-AU"/>
        </w:rPr>
      </w:pPr>
      <w:r w:rsidRPr="00B0157E">
        <w:rPr>
          <w:lang w:val="en-AU"/>
        </w:rPr>
        <w:t>The Committee</w:t>
      </w:r>
      <w:r w:rsidR="0008192F" w:rsidRPr="00B0157E">
        <w:rPr>
          <w:lang w:val="en-AU"/>
        </w:rPr>
        <w:t xml:space="preserve"> initially</w:t>
      </w:r>
      <w:r w:rsidRPr="00B0157E">
        <w:rPr>
          <w:lang w:val="en-AU"/>
        </w:rPr>
        <w:t xml:space="preserve"> </w:t>
      </w:r>
      <w:r w:rsidR="00070365" w:rsidRPr="00B0157E">
        <w:rPr>
          <w:lang w:val="en-AU"/>
        </w:rPr>
        <w:t>identified</w:t>
      </w:r>
      <w:r w:rsidR="007B53AC" w:rsidRPr="00B0157E">
        <w:rPr>
          <w:lang w:val="en-AU"/>
        </w:rPr>
        <w:t xml:space="preserve"> </w:t>
      </w:r>
      <w:r w:rsidR="00C2647D" w:rsidRPr="00B0157E">
        <w:rPr>
          <w:lang w:val="en-AU"/>
        </w:rPr>
        <w:t xml:space="preserve">two potential issues of concern: </w:t>
      </w:r>
      <w:r w:rsidR="007B53AC" w:rsidRPr="00B0157E">
        <w:rPr>
          <w:lang w:val="en-AU"/>
        </w:rPr>
        <w:t xml:space="preserve">high growth </w:t>
      </w:r>
      <w:r w:rsidR="00487D39" w:rsidRPr="00B0157E">
        <w:rPr>
          <w:lang w:val="en-AU"/>
        </w:rPr>
        <w:t xml:space="preserve">in use </w:t>
      </w:r>
      <w:r w:rsidR="007B53AC" w:rsidRPr="00B0157E">
        <w:rPr>
          <w:lang w:val="en-AU"/>
        </w:rPr>
        <w:t>(approximately 20</w:t>
      </w:r>
      <w:r w:rsidR="00377D56" w:rsidRPr="00B0157E">
        <w:rPr>
          <w:lang w:val="en-AU"/>
        </w:rPr>
        <w:t xml:space="preserve"> per cent</w:t>
      </w:r>
      <w:r w:rsidR="007B53AC" w:rsidRPr="00B0157E">
        <w:rPr>
          <w:lang w:val="en-AU"/>
        </w:rPr>
        <w:t xml:space="preserve"> per year</w:t>
      </w:r>
      <w:r w:rsidR="00A00EF0" w:rsidRPr="00B0157E">
        <w:rPr>
          <w:lang w:val="en-AU"/>
        </w:rPr>
        <w:t>,</w:t>
      </w:r>
      <w:r w:rsidR="007B53AC" w:rsidRPr="00B0157E">
        <w:rPr>
          <w:lang w:val="en-AU"/>
        </w:rPr>
        <w:t xml:space="preserve"> on average</w:t>
      </w:r>
      <w:r w:rsidR="00A00EF0" w:rsidRPr="00B0157E">
        <w:rPr>
          <w:lang w:val="en-AU"/>
        </w:rPr>
        <w:t>,</w:t>
      </w:r>
      <w:r w:rsidR="007B53AC" w:rsidRPr="00B0157E">
        <w:rPr>
          <w:lang w:val="en-AU"/>
        </w:rPr>
        <w:t xml:space="preserve"> over the last </w:t>
      </w:r>
      <w:r w:rsidR="00A00EF0" w:rsidRPr="00B0157E">
        <w:rPr>
          <w:lang w:val="en-AU"/>
        </w:rPr>
        <w:t>five</w:t>
      </w:r>
      <w:r w:rsidR="007B53AC" w:rsidRPr="00B0157E">
        <w:rPr>
          <w:lang w:val="en-AU"/>
        </w:rPr>
        <w:t xml:space="preserve"> years)</w:t>
      </w:r>
      <w:r w:rsidR="0073530D" w:rsidRPr="00B0157E">
        <w:rPr>
          <w:lang w:val="en-AU"/>
        </w:rPr>
        <w:fldChar w:fldCharType="begin" w:fldLock="1"/>
      </w:r>
      <w:r w:rsidR="0073530D"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"previouslyFormattedCitation" : "[2]" }, "properties" : { "noteIndex" : 0 }, "schema" : "https://github.com/citation-style-language/schema/raw/master/csl-citation.json" }</w:instrText>
      </w:r>
      <w:r w:rsidR="0073530D" w:rsidRPr="00B0157E">
        <w:rPr>
          <w:lang w:val="en-AU"/>
        </w:rPr>
        <w:fldChar w:fldCharType="separate"/>
      </w:r>
      <w:r w:rsidR="0073530D" w:rsidRPr="00B0157E">
        <w:rPr>
          <w:lang w:val="en-AU"/>
        </w:rPr>
        <w:t>[2]</w:t>
      </w:r>
      <w:r w:rsidR="0073530D" w:rsidRPr="00B0157E">
        <w:rPr>
          <w:lang w:val="en-AU"/>
        </w:rPr>
        <w:fldChar w:fldCharType="end"/>
      </w:r>
      <w:r w:rsidR="0072489E" w:rsidRPr="00B0157E">
        <w:rPr>
          <w:lang w:val="en-AU"/>
        </w:rPr>
        <w:t>;</w:t>
      </w:r>
      <w:r w:rsidR="007B53AC" w:rsidRPr="00B0157E">
        <w:rPr>
          <w:lang w:val="en-AU"/>
        </w:rPr>
        <w:t xml:space="preserve"> and </w:t>
      </w:r>
      <w:r w:rsidR="00CF240C" w:rsidRPr="00B0157E">
        <w:rPr>
          <w:lang w:val="en-AU"/>
        </w:rPr>
        <w:t>inter-</w:t>
      </w:r>
      <w:r w:rsidR="007B53AC" w:rsidRPr="00B0157E">
        <w:rPr>
          <w:lang w:val="en-AU"/>
        </w:rPr>
        <w:t>state variation</w:t>
      </w:r>
      <w:r w:rsidR="00E258D3" w:rsidRPr="00B0157E">
        <w:rPr>
          <w:lang w:val="en-AU"/>
        </w:rPr>
        <w:t xml:space="preserve"> in use</w:t>
      </w:r>
      <w:r w:rsidR="00B159BF" w:rsidRPr="00B0157E">
        <w:rPr>
          <w:lang w:val="en-AU"/>
        </w:rPr>
        <w:t xml:space="preserve"> (</w:t>
      </w:r>
      <w:r w:rsidR="00DA43C1" w:rsidRPr="00B0157E">
        <w:rPr>
          <w:lang w:val="en-AU"/>
        </w:rPr>
        <w:t>for example</w:t>
      </w:r>
      <w:r w:rsidR="00A97EDF" w:rsidRPr="00B0157E">
        <w:rPr>
          <w:lang w:val="en-AU"/>
        </w:rPr>
        <w:t>,</w:t>
      </w:r>
      <w:r w:rsidR="00CF240C" w:rsidRPr="00B0157E">
        <w:rPr>
          <w:lang w:val="en-AU"/>
        </w:rPr>
        <w:t xml:space="preserve"> </w:t>
      </w:r>
      <w:r w:rsidR="00B159BF" w:rsidRPr="00B0157E">
        <w:rPr>
          <w:lang w:val="en-AU"/>
        </w:rPr>
        <w:t>Tasmania</w:t>
      </w:r>
      <w:r w:rsidR="00DA43C1" w:rsidRPr="00B0157E">
        <w:rPr>
          <w:lang w:val="en-AU"/>
        </w:rPr>
        <w:t xml:space="preserve"> provided</w:t>
      </w:r>
      <w:r w:rsidR="00B159BF" w:rsidRPr="00B0157E">
        <w:rPr>
          <w:lang w:val="en-AU"/>
        </w:rPr>
        <w:t xml:space="preserve"> </w:t>
      </w:r>
      <w:r w:rsidR="00DA43C1" w:rsidRPr="00B0157E">
        <w:rPr>
          <w:lang w:val="en-AU"/>
        </w:rPr>
        <w:t xml:space="preserve">300 more </w:t>
      </w:r>
      <w:r w:rsidR="00B159BF" w:rsidRPr="00B0157E">
        <w:rPr>
          <w:lang w:val="en-AU"/>
        </w:rPr>
        <w:t>services per capita</w:t>
      </w:r>
      <w:r w:rsidR="00902A01">
        <w:rPr>
          <w:lang w:val="en-AU"/>
        </w:rPr>
        <w:t xml:space="preserve"> (per 100,000)</w:t>
      </w:r>
      <w:r w:rsidR="00B159BF" w:rsidRPr="00B0157E">
        <w:rPr>
          <w:lang w:val="en-AU"/>
        </w:rPr>
        <w:t xml:space="preserve"> than the average)</w:t>
      </w:r>
      <w:r w:rsidR="004D459E" w:rsidRPr="00B0157E">
        <w:rPr>
          <w:lang w:val="en-AU"/>
        </w:rPr>
        <w:t>.</w:t>
      </w:r>
      <w:r w:rsidR="00C1346F" w:rsidRPr="00B0157E">
        <w:rPr>
          <w:lang w:val="en-AU"/>
        </w:rPr>
        <w:fldChar w:fldCharType="begin" w:fldLock="1"/>
      </w:r>
      <w:r w:rsidR="00A262F0"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"2016" ] ] }, "title" : "MBS Data - COGNOS", "type" : "report" }, "uris" : [ "http://www.mendeley.com/documents/?uuid=0c6a31be-a58c-4483-bca9-b8a96ba7acd4" ] } ], "mendeley" : { "formattedCitation" : "[12]", "plainTextFormattedCitation" : "[12]", "previouslyFormattedCitation" : "[12]" }, "properties" : { "noteIndex" : 0 }, "schema" : "https://github.com/citation-style-language/schema/raw/master/csl-citation.json" }</w:instrText>
      </w:r>
      <w:r w:rsidR="00C1346F" w:rsidRPr="00B0157E">
        <w:rPr>
          <w:lang w:val="en-AU"/>
        </w:rPr>
        <w:fldChar w:fldCharType="separate"/>
      </w:r>
      <w:r w:rsidR="00986735" w:rsidRPr="00B0157E">
        <w:rPr>
          <w:lang w:val="en-AU"/>
        </w:rPr>
        <w:t>[12]</w:t>
      </w:r>
      <w:r w:rsidR="00C1346F" w:rsidRPr="00B0157E">
        <w:rPr>
          <w:lang w:val="en-AU"/>
        </w:rPr>
        <w:fldChar w:fldCharType="end"/>
      </w:r>
      <w:r w:rsidR="004D459E" w:rsidRPr="00B0157E">
        <w:rPr>
          <w:lang w:val="en-AU"/>
        </w:rPr>
        <w:t xml:space="preserve"> </w:t>
      </w:r>
      <w:r w:rsidR="00303477" w:rsidRPr="00B0157E">
        <w:rPr>
          <w:lang w:val="en-AU"/>
        </w:rPr>
        <w:t>However, i</w:t>
      </w:r>
      <w:r w:rsidR="00195971" w:rsidRPr="00B0157E">
        <w:rPr>
          <w:lang w:val="en-AU"/>
        </w:rPr>
        <w:t>t</w:t>
      </w:r>
      <w:r w:rsidR="00B159BF" w:rsidRPr="00B0157E">
        <w:rPr>
          <w:lang w:val="en-AU"/>
        </w:rPr>
        <w:t xml:space="preserve"> </w:t>
      </w:r>
      <w:r w:rsidR="00A57F8B" w:rsidRPr="00B0157E">
        <w:rPr>
          <w:lang w:val="en-AU"/>
        </w:rPr>
        <w:t xml:space="preserve">ultimately </w:t>
      </w:r>
      <w:r w:rsidR="00B159BF" w:rsidRPr="00B0157E">
        <w:rPr>
          <w:lang w:val="en-AU"/>
        </w:rPr>
        <w:t xml:space="preserve">agreed that these </w:t>
      </w:r>
      <w:r w:rsidR="00D02965" w:rsidRPr="00B0157E">
        <w:rPr>
          <w:lang w:val="en-AU"/>
        </w:rPr>
        <w:t xml:space="preserve">are </w:t>
      </w:r>
      <w:r w:rsidR="00B159BF" w:rsidRPr="00B0157E">
        <w:rPr>
          <w:lang w:val="en-AU"/>
        </w:rPr>
        <w:t xml:space="preserve">not </w:t>
      </w:r>
      <w:r w:rsidR="006B2244" w:rsidRPr="00B0157E">
        <w:rPr>
          <w:lang w:val="en-AU"/>
        </w:rPr>
        <w:t xml:space="preserve">substantial </w:t>
      </w:r>
      <w:r w:rsidR="00B159BF" w:rsidRPr="00B0157E">
        <w:rPr>
          <w:lang w:val="en-AU"/>
        </w:rPr>
        <w:t xml:space="preserve">issues </w:t>
      </w:r>
      <w:r w:rsidR="00D02965" w:rsidRPr="00B0157E">
        <w:rPr>
          <w:lang w:val="en-AU"/>
        </w:rPr>
        <w:t>and do not</w:t>
      </w:r>
      <w:r w:rsidR="006B2244" w:rsidRPr="00B0157E">
        <w:rPr>
          <w:lang w:val="en-AU"/>
        </w:rPr>
        <w:t xml:space="preserve"> </w:t>
      </w:r>
      <w:r w:rsidR="00B159BF" w:rsidRPr="00B0157E">
        <w:rPr>
          <w:lang w:val="en-AU"/>
        </w:rPr>
        <w:t>warrant a</w:t>
      </w:r>
      <w:r w:rsidR="00334B53" w:rsidRPr="00B0157E">
        <w:rPr>
          <w:lang w:val="en-AU"/>
        </w:rPr>
        <w:t>ny</w:t>
      </w:r>
      <w:r w:rsidR="00B159BF" w:rsidRPr="00B0157E">
        <w:rPr>
          <w:lang w:val="en-AU"/>
        </w:rPr>
        <w:t xml:space="preserve"> change</w:t>
      </w:r>
      <w:r w:rsidR="00B77D48" w:rsidRPr="00B0157E">
        <w:rPr>
          <w:lang w:val="en-AU"/>
        </w:rPr>
        <w:t>,</w:t>
      </w:r>
      <w:r w:rsidR="00B159BF" w:rsidRPr="00B0157E">
        <w:rPr>
          <w:lang w:val="en-AU"/>
        </w:rPr>
        <w:t xml:space="preserve"> </w:t>
      </w:r>
      <w:r w:rsidR="004A041B" w:rsidRPr="00B0157E">
        <w:rPr>
          <w:lang w:val="en-AU"/>
        </w:rPr>
        <w:t xml:space="preserve">particularly </w:t>
      </w:r>
      <w:r w:rsidR="00B159BF" w:rsidRPr="00B0157E">
        <w:rPr>
          <w:lang w:val="en-AU"/>
        </w:rPr>
        <w:t>as they are</w:t>
      </w:r>
      <w:r w:rsidR="007B53AC" w:rsidRPr="00B0157E">
        <w:rPr>
          <w:lang w:val="en-AU"/>
        </w:rPr>
        <w:t xml:space="preserve"> likely</w:t>
      </w:r>
      <w:r w:rsidR="00FB7CC6" w:rsidRPr="00B0157E">
        <w:rPr>
          <w:lang w:val="en-AU"/>
        </w:rPr>
        <w:t xml:space="preserve"> to be</w:t>
      </w:r>
      <w:r w:rsidR="007B53AC" w:rsidRPr="00B0157E">
        <w:rPr>
          <w:lang w:val="en-AU"/>
        </w:rPr>
        <w:t xml:space="preserve"> driven by recent changes to the PBS </w:t>
      </w:r>
      <w:r w:rsidR="00146DA2" w:rsidRPr="00B0157E">
        <w:rPr>
          <w:lang w:val="en-AU"/>
        </w:rPr>
        <w:t xml:space="preserve">(this item is largely driven by PBS utilisation) </w:t>
      </w:r>
      <w:r w:rsidR="007B53AC" w:rsidRPr="00B0157E">
        <w:rPr>
          <w:lang w:val="en-AU"/>
        </w:rPr>
        <w:t>and different billing practic</w:t>
      </w:r>
      <w:r w:rsidR="00B159BF" w:rsidRPr="00B0157E">
        <w:rPr>
          <w:lang w:val="en-AU"/>
        </w:rPr>
        <w:t xml:space="preserve">es across states. </w:t>
      </w:r>
    </w:p>
    <w:p w14:paraId="396A87F0" w14:textId="77777777" w:rsidR="002A07F3" w:rsidRPr="00B0157E" w:rsidRDefault="00F20BA5" w:rsidP="00C33ED9">
      <w:pPr>
        <w:pStyle w:val="Heading2"/>
        <w:rPr>
          <w:lang w:val="en-AU"/>
        </w:rPr>
      </w:pPr>
      <w:bookmarkStart w:id="177" w:name="_Toc458774443"/>
      <w:bookmarkStart w:id="178" w:name="_Toc465871881"/>
      <w:r w:rsidRPr="00B0157E">
        <w:rPr>
          <w:lang w:val="en-AU"/>
        </w:rPr>
        <w:lastRenderedPageBreak/>
        <w:t>Bone or cartilage excision</w:t>
      </w:r>
      <w:r w:rsidR="002E2183" w:rsidRPr="00B0157E">
        <w:rPr>
          <w:lang w:val="en-AU"/>
        </w:rPr>
        <w:t>:</w:t>
      </w:r>
      <w:r w:rsidRPr="00B0157E">
        <w:rPr>
          <w:lang w:val="en-AU"/>
        </w:rPr>
        <w:t xml:space="preserve"> </w:t>
      </w:r>
      <w:r w:rsidR="002E2183" w:rsidRPr="00B0157E">
        <w:rPr>
          <w:lang w:val="en-AU"/>
        </w:rPr>
        <w:t>I</w:t>
      </w:r>
      <w:r w:rsidR="002A07F3" w:rsidRPr="00B0157E">
        <w:rPr>
          <w:lang w:val="en-AU"/>
        </w:rPr>
        <w:t>tem 31340</w:t>
      </w:r>
      <w:bookmarkEnd w:id="177"/>
      <w:bookmarkEnd w:id="178"/>
      <w:r w:rsidR="002A07F3" w:rsidRPr="00B0157E">
        <w:rPr>
          <w:lang w:val="en-AU"/>
        </w:rPr>
        <w:t xml:space="preserve"> </w:t>
      </w:r>
    </w:p>
    <w:p w14:paraId="46EDE491" w14:textId="77777777" w:rsidR="000432A6" w:rsidRPr="00B0157E" w:rsidRDefault="000432A6" w:rsidP="00C33ED9">
      <w:pPr>
        <w:pStyle w:val="Caption"/>
        <w:rPr>
          <w:lang w:val="en-AU"/>
        </w:rPr>
      </w:pPr>
      <w:bookmarkStart w:id="179" w:name="_Toc457520575"/>
      <w:bookmarkStart w:id="180" w:name="_Toc459236303"/>
      <w:bookmarkStart w:id="181" w:name="_Toc465871838"/>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15</w:t>
      </w:r>
      <w:r w:rsidR="00C1346F" w:rsidRPr="00B0157E">
        <w:rPr>
          <w:lang w:val="en-AU"/>
        </w:rPr>
        <w:fldChar w:fldCharType="end"/>
      </w:r>
      <w:r w:rsidRPr="00B0157E">
        <w:rPr>
          <w:lang w:val="en-AU"/>
        </w:rPr>
        <w:t xml:space="preserve">: </w:t>
      </w:r>
      <w:r w:rsidR="00CD2D25" w:rsidRPr="00B0157E">
        <w:rPr>
          <w:lang w:val="en-AU"/>
        </w:rPr>
        <w:t xml:space="preserve">Item introduction table for item </w:t>
      </w:r>
      <w:r w:rsidRPr="00B0157E">
        <w:rPr>
          <w:lang w:val="en-AU"/>
        </w:rPr>
        <w:t>31340</w:t>
      </w:r>
      <w:bookmarkEnd w:id="179"/>
      <w:bookmarkEnd w:id="180"/>
      <w:bookmarkEnd w:id="181"/>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5 is an item introduction table for item 31340 which is for bone or cartilage excision.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0432A6" w:rsidRPr="00B0157E" w14:paraId="0B54FA4B" w14:textId="77777777">
        <w:trPr>
          <w:tblHeader/>
        </w:trPr>
        <w:tc>
          <w:tcPr>
            <w:tcW w:w="717" w:type="dxa"/>
            <w:shd w:val="clear" w:color="auto" w:fill="F2F2F2" w:themeFill="background1" w:themeFillShade="F2"/>
            <w:vAlign w:val="bottom"/>
          </w:tcPr>
          <w:p w14:paraId="2F667B79" w14:textId="77777777" w:rsidR="000432A6" w:rsidRPr="00B0157E" w:rsidRDefault="000432A6" w:rsidP="007F2036">
            <w:pPr>
              <w:pStyle w:val="02Tabletext"/>
              <w:spacing w:after="20"/>
              <w:rPr>
                <w:b/>
              </w:rPr>
            </w:pPr>
            <w:r w:rsidRPr="00B0157E">
              <w:rPr>
                <w:b/>
              </w:rPr>
              <w:t>Item</w:t>
            </w:r>
          </w:p>
        </w:tc>
        <w:tc>
          <w:tcPr>
            <w:tcW w:w="4119" w:type="dxa"/>
            <w:shd w:val="clear" w:color="auto" w:fill="F2F2F2" w:themeFill="background1" w:themeFillShade="F2"/>
            <w:vAlign w:val="bottom"/>
          </w:tcPr>
          <w:p w14:paraId="099BA0E9" w14:textId="77777777" w:rsidR="000432A6" w:rsidRPr="00B0157E" w:rsidRDefault="000432A6" w:rsidP="007F2036">
            <w:pPr>
              <w:pStyle w:val="02Tabletext"/>
              <w:spacing w:after="20"/>
              <w:rPr>
                <w:b/>
              </w:rPr>
            </w:pPr>
            <w:r w:rsidRPr="00B0157E">
              <w:rPr>
                <w:b/>
              </w:rPr>
              <w:t>Descriptor</w:t>
            </w:r>
          </w:p>
          <w:p w14:paraId="3278B6DA" w14:textId="77777777" w:rsidR="000432A6" w:rsidRPr="00B0157E" w:rsidRDefault="000432A6" w:rsidP="007F2036">
            <w:pPr>
              <w:pStyle w:val="02Tabletext"/>
              <w:spacing w:after="20"/>
              <w:rPr>
                <w:b/>
              </w:rPr>
            </w:pPr>
            <w:r w:rsidRPr="00B0157E">
              <w:rPr>
                <w:b/>
              </w:rPr>
              <w:t>[date last amended]</w:t>
            </w:r>
          </w:p>
        </w:tc>
        <w:tc>
          <w:tcPr>
            <w:tcW w:w="917" w:type="dxa"/>
            <w:shd w:val="clear" w:color="auto" w:fill="F2F2F2" w:themeFill="background1" w:themeFillShade="F2"/>
            <w:vAlign w:val="bottom"/>
          </w:tcPr>
          <w:p w14:paraId="5C0BA97A" w14:textId="77777777" w:rsidR="000432A6" w:rsidRPr="00B0157E" w:rsidRDefault="000432A6" w:rsidP="007F2036">
            <w:pPr>
              <w:pStyle w:val="02Tabletext"/>
              <w:spacing w:after="20"/>
              <w:rPr>
                <w:b/>
              </w:rPr>
            </w:pPr>
            <w:r w:rsidRPr="00B0157E">
              <w:rPr>
                <w:b/>
              </w:rPr>
              <w:t>Schedule</w:t>
            </w:r>
          </w:p>
          <w:p w14:paraId="467196D2" w14:textId="77777777" w:rsidR="000432A6" w:rsidRPr="00B0157E" w:rsidRDefault="000432A6" w:rsidP="007F2036">
            <w:pPr>
              <w:pStyle w:val="02Tabletext"/>
              <w:spacing w:after="20"/>
              <w:rPr>
                <w:b/>
              </w:rPr>
            </w:pPr>
            <w:r w:rsidRPr="00B0157E">
              <w:rPr>
                <w:b/>
              </w:rPr>
              <w:t>fee</w:t>
            </w:r>
          </w:p>
        </w:tc>
        <w:tc>
          <w:tcPr>
            <w:tcW w:w="997" w:type="dxa"/>
            <w:shd w:val="clear" w:color="auto" w:fill="F2F2F2" w:themeFill="background1" w:themeFillShade="F2"/>
            <w:vAlign w:val="bottom"/>
          </w:tcPr>
          <w:p w14:paraId="0EB3C68A" w14:textId="77777777" w:rsidR="000432A6" w:rsidRPr="00B0157E" w:rsidRDefault="000432A6" w:rsidP="007F2036">
            <w:pPr>
              <w:pStyle w:val="02Tabletext"/>
              <w:spacing w:after="20"/>
              <w:rPr>
                <w:b/>
              </w:rPr>
            </w:pPr>
            <w:r w:rsidRPr="00B0157E">
              <w:rPr>
                <w:b/>
              </w:rPr>
              <w:t>Services FY2014/15</w:t>
            </w:r>
          </w:p>
        </w:tc>
        <w:tc>
          <w:tcPr>
            <w:tcW w:w="1080" w:type="dxa"/>
            <w:shd w:val="clear" w:color="auto" w:fill="F2F2F2" w:themeFill="background1" w:themeFillShade="F2"/>
            <w:vAlign w:val="bottom"/>
          </w:tcPr>
          <w:p w14:paraId="21D46437" w14:textId="77777777" w:rsidR="000432A6" w:rsidRPr="00B0157E" w:rsidRDefault="000432A6" w:rsidP="007F2036">
            <w:pPr>
              <w:pStyle w:val="02Tabletext"/>
              <w:spacing w:after="20"/>
              <w:rPr>
                <w:b/>
              </w:rPr>
            </w:pPr>
            <w:r w:rsidRPr="00B0157E">
              <w:rPr>
                <w:b/>
              </w:rPr>
              <w:t>Benefits FY2014/15</w:t>
            </w:r>
          </w:p>
        </w:tc>
        <w:tc>
          <w:tcPr>
            <w:tcW w:w="1196" w:type="dxa"/>
            <w:shd w:val="clear" w:color="auto" w:fill="F2F2F2" w:themeFill="background1" w:themeFillShade="F2"/>
            <w:vAlign w:val="bottom"/>
          </w:tcPr>
          <w:p w14:paraId="6C1561C7" w14:textId="77777777" w:rsidR="000432A6" w:rsidRPr="00B0157E" w:rsidRDefault="009A7890" w:rsidP="007F2036">
            <w:pPr>
              <w:pStyle w:val="02Tabletext"/>
              <w:spacing w:after="20"/>
              <w:rPr>
                <w:b/>
              </w:rPr>
            </w:pPr>
            <w:r>
              <w:rPr>
                <w:b/>
              </w:rPr>
              <w:t>Services 5-</w:t>
            </w:r>
            <w:r w:rsidR="000432A6" w:rsidRPr="00B0157E">
              <w:rPr>
                <w:b/>
              </w:rPr>
              <w:t>year annual avg. growth</w:t>
            </w:r>
          </w:p>
        </w:tc>
      </w:tr>
      <w:tr w:rsidR="000432A6" w:rsidRPr="00B0157E" w14:paraId="24944326" w14:textId="77777777">
        <w:tc>
          <w:tcPr>
            <w:tcW w:w="717" w:type="dxa"/>
          </w:tcPr>
          <w:p w14:paraId="5612D168" w14:textId="77777777" w:rsidR="000432A6" w:rsidRPr="00B0157E" w:rsidRDefault="000432A6" w:rsidP="007F2036">
            <w:pPr>
              <w:pStyle w:val="02Tabletext"/>
              <w:spacing w:after="20"/>
            </w:pPr>
            <w:r w:rsidRPr="00B0157E">
              <w:rPr>
                <w:szCs w:val="18"/>
              </w:rPr>
              <w:t>31340</w:t>
            </w:r>
          </w:p>
        </w:tc>
        <w:tc>
          <w:tcPr>
            <w:tcW w:w="4119" w:type="dxa"/>
          </w:tcPr>
          <w:p w14:paraId="2AF86B88" w14:textId="77777777" w:rsidR="004E1246" w:rsidRPr="00B0157E" w:rsidRDefault="000432A6" w:rsidP="007F2036">
            <w:pPr>
              <w:pStyle w:val="02Tabletext"/>
              <w:spacing w:after="20"/>
              <w:rPr>
                <w:szCs w:val="18"/>
              </w:rPr>
            </w:pPr>
            <w:r w:rsidRPr="00B0157E">
              <w:rPr>
                <w:szCs w:val="18"/>
              </w:rPr>
              <w:t xml:space="preserve">Note: Multiple Operation and Multiple Anaesthetic rules apply to this item. </w:t>
            </w:r>
          </w:p>
          <w:p w14:paraId="174217B3" w14:textId="77777777" w:rsidR="004E1246" w:rsidRPr="00B0157E" w:rsidRDefault="004E1246" w:rsidP="007F2036">
            <w:pPr>
              <w:pStyle w:val="02Tabletext"/>
              <w:spacing w:after="20"/>
              <w:rPr>
                <w:szCs w:val="18"/>
              </w:rPr>
            </w:pPr>
          </w:p>
          <w:p w14:paraId="5D93F8F4" w14:textId="77777777" w:rsidR="000432A6" w:rsidRPr="00B0157E" w:rsidRDefault="006D14B7" w:rsidP="007F2036">
            <w:pPr>
              <w:pStyle w:val="02Tabletext"/>
              <w:spacing w:after="20"/>
            </w:pPr>
            <w:r w:rsidRPr="00B0157E">
              <w:rPr>
                <w:szCs w:val="18"/>
              </w:rPr>
              <w:t>M</w:t>
            </w:r>
            <w:r w:rsidR="000432A6" w:rsidRPr="00B0157E">
              <w:rPr>
                <w:szCs w:val="18"/>
              </w:rPr>
              <w:t>uscle, bone or cartilage, excision of one or more of, where clinically indicated, where the specimen excised is sent for histological confirmation, performed in association with excision of malignant tumour of skin covered by item 31255, 31256, 31257, 31258, 31260, 31261, 31262, 31263, 31265, 31266, 31267, 31268, 31270, 31271, 31272, 31273, 31275, 31276, 31277, 31278, 31280, 31281, 31282, 31283, 31285, 31286, 31287, 31288, 31290, 31291, 31292, 31293, 31295, 31300, 31305, 31310, 31315, 31320, 31325, 31330 or 31335</w:t>
            </w:r>
            <w:r w:rsidR="00DA4DAF" w:rsidRPr="00B0157E">
              <w:rPr>
                <w:szCs w:val="18"/>
              </w:rPr>
              <w:t>.</w:t>
            </w:r>
            <w:r w:rsidR="000432A6" w:rsidRPr="00B0157E">
              <w:rPr>
                <w:szCs w:val="18"/>
              </w:rPr>
              <w:t xml:space="preserve"> (Anaes.)</w:t>
            </w:r>
            <w:r w:rsidR="00826241" w:rsidRPr="00B0157E">
              <w:rPr>
                <w:szCs w:val="18"/>
              </w:rPr>
              <w:t xml:space="preserve"> [2005]</w:t>
            </w:r>
          </w:p>
        </w:tc>
        <w:tc>
          <w:tcPr>
            <w:tcW w:w="917" w:type="dxa"/>
          </w:tcPr>
          <w:p w14:paraId="10C29B0F" w14:textId="77777777" w:rsidR="000432A6" w:rsidRPr="00B0157E" w:rsidRDefault="000432A6" w:rsidP="007F2036">
            <w:pPr>
              <w:pStyle w:val="02Tabletext"/>
              <w:spacing w:after="20"/>
              <w:jc w:val="center"/>
            </w:pPr>
            <w:r w:rsidRPr="00B0157E">
              <w:rPr>
                <w:szCs w:val="18"/>
              </w:rPr>
              <w:t>75% of fee for excision of malignant tumour</w:t>
            </w:r>
          </w:p>
        </w:tc>
        <w:tc>
          <w:tcPr>
            <w:tcW w:w="997" w:type="dxa"/>
          </w:tcPr>
          <w:p w14:paraId="14C34FF1" w14:textId="77777777" w:rsidR="000432A6" w:rsidRPr="00B0157E" w:rsidRDefault="000432A6" w:rsidP="007F2036">
            <w:pPr>
              <w:pStyle w:val="02Tabletext"/>
              <w:spacing w:after="20"/>
              <w:jc w:val="center"/>
            </w:pPr>
            <w:r w:rsidRPr="00B0157E">
              <w:rPr>
                <w:szCs w:val="18"/>
              </w:rPr>
              <w:t>8,511</w:t>
            </w:r>
          </w:p>
        </w:tc>
        <w:tc>
          <w:tcPr>
            <w:tcW w:w="1080" w:type="dxa"/>
          </w:tcPr>
          <w:p w14:paraId="23DE7A96" w14:textId="77777777" w:rsidR="000432A6" w:rsidRPr="00B0157E" w:rsidRDefault="000432A6" w:rsidP="007F2036">
            <w:pPr>
              <w:pStyle w:val="02Tabletext"/>
              <w:spacing w:after="20"/>
              <w:jc w:val="center"/>
            </w:pPr>
            <w:r w:rsidRPr="00B0157E">
              <w:rPr>
                <w:szCs w:val="18"/>
              </w:rPr>
              <w:t>$541,837</w:t>
            </w:r>
          </w:p>
        </w:tc>
        <w:tc>
          <w:tcPr>
            <w:tcW w:w="1196" w:type="dxa"/>
          </w:tcPr>
          <w:p w14:paraId="2911A283" w14:textId="77777777" w:rsidR="000432A6" w:rsidRPr="00B0157E" w:rsidRDefault="005D7246" w:rsidP="007F2036">
            <w:pPr>
              <w:pStyle w:val="02Tabletext"/>
              <w:spacing w:after="20"/>
              <w:jc w:val="center"/>
            </w:pPr>
            <w:r w:rsidRPr="00B0157E">
              <w:t>6.30%</w:t>
            </w:r>
          </w:p>
        </w:tc>
      </w:tr>
    </w:tbl>
    <w:p w14:paraId="66E0CE30" w14:textId="77777777" w:rsidR="002A07F3" w:rsidRPr="00B0157E" w:rsidRDefault="002A07F3" w:rsidP="00C33ED9">
      <w:pPr>
        <w:rPr>
          <w:b/>
          <w:lang w:val="en-AU"/>
        </w:rPr>
      </w:pPr>
      <w:r w:rsidRPr="00B0157E">
        <w:rPr>
          <w:b/>
          <w:lang w:val="en-AU"/>
        </w:rPr>
        <w:t xml:space="preserve">Recommendation </w:t>
      </w:r>
    </w:p>
    <w:p w14:paraId="5952E8EB" w14:textId="77777777" w:rsidR="002A07F3" w:rsidRPr="00B0157E" w:rsidRDefault="007513D8">
      <w:pPr>
        <w:pStyle w:val="01squarebullet"/>
        <w:rPr>
          <w:lang w:val="en-AU"/>
        </w:rPr>
      </w:pPr>
      <w:r w:rsidRPr="00B0157E">
        <w:rPr>
          <w:lang w:val="en-AU"/>
        </w:rPr>
        <w:t xml:space="preserve">Leave </w:t>
      </w:r>
      <w:r w:rsidR="006460B7" w:rsidRPr="00B0157E">
        <w:rPr>
          <w:lang w:val="en-AU"/>
        </w:rPr>
        <w:t xml:space="preserve">this </w:t>
      </w:r>
      <w:r w:rsidRPr="00B0157E">
        <w:rPr>
          <w:lang w:val="en-AU"/>
        </w:rPr>
        <w:t>item</w:t>
      </w:r>
      <w:r w:rsidR="002A07F3" w:rsidRPr="00B0157E">
        <w:rPr>
          <w:lang w:val="en-AU"/>
        </w:rPr>
        <w:t xml:space="preserve"> </w:t>
      </w:r>
      <w:r w:rsidRPr="00B0157E">
        <w:rPr>
          <w:lang w:val="en-AU"/>
        </w:rPr>
        <w:t>unchanged</w:t>
      </w:r>
      <w:r w:rsidR="002A07F3" w:rsidRPr="00B0157E">
        <w:rPr>
          <w:lang w:val="en-AU"/>
        </w:rPr>
        <w:t>.</w:t>
      </w:r>
      <w:r w:rsidR="004A352E">
        <w:rPr>
          <w:lang w:val="en-AU"/>
        </w:rPr>
        <w:t xml:space="preserve"> </w:t>
      </w:r>
    </w:p>
    <w:p w14:paraId="5CBE6546" w14:textId="77777777" w:rsidR="002A07F3" w:rsidRPr="00B0157E" w:rsidRDefault="002A07F3" w:rsidP="00C33ED9">
      <w:pPr>
        <w:rPr>
          <w:b/>
          <w:lang w:val="en-AU"/>
        </w:rPr>
      </w:pPr>
      <w:r w:rsidRPr="00B0157E">
        <w:rPr>
          <w:b/>
          <w:lang w:val="en-AU"/>
        </w:rPr>
        <w:t>Rationale</w:t>
      </w:r>
    </w:p>
    <w:p w14:paraId="0F400979" w14:textId="77777777" w:rsidR="00F20BA5" w:rsidRPr="00B0157E" w:rsidRDefault="00FD0ED0">
      <w:pPr>
        <w:pStyle w:val="01squarebullet"/>
        <w:rPr>
          <w:lang w:val="en-AU"/>
        </w:rPr>
      </w:pPr>
      <w:r w:rsidRPr="00B0157E">
        <w:rPr>
          <w:lang w:val="en-AU"/>
        </w:rPr>
        <w:t xml:space="preserve">The position of </w:t>
      </w:r>
      <w:r w:rsidR="002A07F3" w:rsidRPr="00B0157E">
        <w:rPr>
          <w:lang w:val="en-AU"/>
        </w:rPr>
        <w:t xml:space="preserve">the Committee </w:t>
      </w:r>
      <w:r w:rsidRPr="00B0157E">
        <w:rPr>
          <w:lang w:val="en-AU"/>
        </w:rPr>
        <w:t xml:space="preserve">is that </w:t>
      </w:r>
      <w:r w:rsidR="002A07F3" w:rsidRPr="00B0157E">
        <w:rPr>
          <w:lang w:val="en-AU"/>
        </w:rPr>
        <w:t xml:space="preserve">this is a required </w:t>
      </w:r>
      <w:r w:rsidR="00D808EA" w:rsidRPr="00B0157E">
        <w:rPr>
          <w:lang w:val="en-AU"/>
        </w:rPr>
        <w:t xml:space="preserve">and </w:t>
      </w:r>
      <w:r w:rsidR="002A07F3" w:rsidRPr="00B0157E">
        <w:rPr>
          <w:lang w:val="en-AU"/>
        </w:rPr>
        <w:t>clinically relevant treatment.</w:t>
      </w:r>
      <w:r w:rsidR="00CD52B3" w:rsidRPr="00B0157E">
        <w:rPr>
          <w:lang w:val="en-AU"/>
        </w:rPr>
        <w:t xml:space="preserve"> N</w:t>
      </w:r>
      <w:r w:rsidR="002A07F3" w:rsidRPr="00B0157E">
        <w:rPr>
          <w:lang w:val="en-AU"/>
        </w:rPr>
        <w:t xml:space="preserve">o further changes need to be made </w:t>
      </w:r>
      <w:r w:rsidR="00B73407" w:rsidRPr="00B0157E">
        <w:rPr>
          <w:lang w:val="en-AU"/>
        </w:rPr>
        <w:t>beyond those</w:t>
      </w:r>
      <w:r w:rsidR="002A07F3" w:rsidRPr="00B0157E">
        <w:rPr>
          <w:lang w:val="en-AU"/>
        </w:rPr>
        <w:t xml:space="preserve"> already planned</w:t>
      </w:r>
      <w:r w:rsidR="000663A7" w:rsidRPr="00B0157E">
        <w:rPr>
          <w:lang w:val="en-AU"/>
        </w:rPr>
        <w:t>, which</w:t>
      </w:r>
      <w:r w:rsidR="002A07F3" w:rsidRPr="00B0157E">
        <w:rPr>
          <w:lang w:val="en-AU"/>
        </w:rPr>
        <w:t xml:space="preserve"> </w:t>
      </w:r>
      <w:r w:rsidR="000663A7" w:rsidRPr="00B0157E">
        <w:rPr>
          <w:lang w:val="en-AU"/>
        </w:rPr>
        <w:t xml:space="preserve">are </w:t>
      </w:r>
      <w:r w:rsidR="002A07F3" w:rsidRPr="00B0157E">
        <w:rPr>
          <w:lang w:val="en-AU"/>
        </w:rPr>
        <w:t xml:space="preserve">outside the scope of the Committee. </w:t>
      </w:r>
    </w:p>
    <w:p w14:paraId="26B80EAC" w14:textId="77777777" w:rsidR="00F20BA5" w:rsidRPr="00B0157E" w:rsidRDefault="00F20BA5" w:rsidP="00C33ED9">
      <w:pPr>
        <w:pStyle w:val="Heading2"/>
        <w:rPr>
          <w:lang w:val="en-AU"/>
        </w:rPr>
      </w:pPr>
      <w:bookmarkStart w:id="182" w:name="_Toc458774444"/>
      <w:bookmarkStart w:id="183" w:name="_Toc465871882"/>
      <w:r w:rsidRPr="00B0157E">
        <w:rPr>
          <w:lang w:val="en-AU"/>
        </w:rPr>
        <w:t>Laser excision of</w:t>
      </w:r>
      <w:r w:rsidR="001A3C0B" w:rsidRPr="00B0157E">
        <w:rPr>
          <w:lang w:val="en-AU"/>
        </w:rPr>
        <w:t xml:space="preserve"> face or neck</w:t>
      </w:r>
      <w:r w:rsidRPr="00B0157E">
        <w:rPr>
          <w:lang w:val="en-AU"/>
        </w:rPr>
        <w:t xml:space="preserve"> tumours</w:t>
      </w:r>
      <w:r w:rsidR="00CF70CE" w:rsidRPr="00B0157E">
        <w:rPr>
          <w:lang w:val="en-AU"/>
        </w:rPr>
        <w:t>:</w:t>
      </w:r>
      <w:r w:rsidRPr="00B0157E">
        <w:rPr>
          <w:lang w:val="en-AU"/>
        </w:rPr>
        <w:t xml:space="preserve"> </w:t>
      </w:r>
      <w:r w:rsidR="00CF70CE" w:rsidRPr="00B0157E">
        <w:rPr>
          <w:lang w:val="en-AU"/>
        </w:rPr>
        <w:t>I</w:t>
      </w:r>
      <w:r w:rsidRPr="00B0157E">
        <w:rPr>
          <w:lang w:val="en-AU"/>
        </w:rPr>
        <w:t>tem 30190</w:t>
      </w:r>
      <w:bookmarkEnd w:id="182"/>
      <w:bookmarkEnd w:id="183"/>
      <w:r w:rsidRPr="00B0157E">
        <w:rPr>
          <w:lang w:val="en-AU"/>
        </w:rPr>
        <w:t xml:space="preserve"> </w:t>
      </w:r>
    </w:p>
    <w:p w14:paraId="7E179A4C" w14:textId="77777777" w:rsidR="00B13494" w:rsidRPr="00B0157E" w:rsidRDefault="00B13494" w:rsidP="00C33ED9">
      <w:pPr>
        <w:pStyle w:val="Caption"/>
        <w:rPr>
          <w:lang w:val="en-AU"/>
        </w:rPr>
      </w:pPr>
      <w:bookmarkStart w:id="184" w:name="_Toc457520576"/>
      <w:bookmarkStart w:id="185" w:name="_Toc459236304"/>
      <w:bookmarkStart w:id="186" w:name="_Toc465871839"/>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16</w:t>
      </w:r>
      <w:r w:rsidR="00C1346F" w:rsidRPr="00B0157E">
        <w:rPr>
          <w:lang w:val="en-AU"/>
        </w:rPr>
        <w:fldChar w:fldCharType="end"/>
      </w:r>
      <w:r w:rsidRPr="00B0157E">
        <w:rPr>
          <w:lang w:val="en-AU"/>
        </w:rPr>
        <w:t xml:space="preserve">: </w:t>
      </w:r>
      <w:r w:rsidR="00BE4F4C" w:rsidRPr="00B0157E">
        <w:rPr>
          <w:lang w:val="en-AU"/>
        </w:rPr>
        <w:t xml:space="preserve">Item introduction table for item </w:t>
      </w:r>
      <w:r w:rsidRPr="00B0157E">
        <w:rPr>
          <w:lang w:val="en-AU"/>
        </w:rPr>
        <w:t>30190</w:t>
      </w:r>
      <w:bookmarkEnd w:id="184"/>
      <w:bookmarkEnd w:id="185"/>
      <w:bookmarkEnd w:id="186"/>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6 is an item introduction table for item 30190 which is for laser excision of face or neck tumors.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B13494" w:rsidRPr="00B0157E" w14:paraId="7FA7E965" w14:textId="77777777">
        <w:trPr>
          <w:tblHeader/>
        </w:trPr>
        <w:tc>
          <w:tcPr>
            <w:tcW w:w="717" w:type="dxa"/>
            <w:shd w:val="clear" w:color="auto" w:fill="F2F2F2" w:themeFill="background1" w:themeFillShade="F2"/>
            <w:vAlign w:val="bottom"/>
          </w:tcPr>
          <w:p w14:paraId="6A875031" w14:textId="77777777" w:rsidR="00B13494" w:rsidRPr="00B0157E" w:rsidRDefault="00B13494" w:rsidP="007F2036">
            <w:pPr>
              <w:pStyle w:val="02Tabletext"/>
              <w:spacing w:after="20"/>
              <w:rPr>
                <w:b/>
              </w:rPr>
            </w:pPr>
            <w:r w:rsidRPr="00B0157E">
              <w:rPr>
                <w:b/>
              </w:rPr>
              <w:t>Item</w:t>
            </w:r>
          </w:p>
        </w:tc>
        <w:tc>
          <w:tcPr>
            <w:tcW w:w="4119" w:type="dxa"/>
            <w:shd w:val="clear" w:color="auto" w:fill="F2F2F2" w:themeFill="background1" w:themeFillShade="F2"/>
            <w:vAlign w:val="bottom"/>
          </w:tcPr>
          <w:p w14:paraId="641C47EF" w14:textId="77777777" w:rsidR="00B13494" w:rsidRPr="00B0157E" w:rsidRDefault="00B13494" w:rsidP="007F2036">
            <w:pPr>
              <w:pStyle w:val="02Tabletext"/>
              <w:spacing w:after="20"/>
              <w:rPr>
                <w:b/>
              </w:rPr>
            </w:pPr>
            <w:r w:rsidRPr="00B0157E">
              <w:rPr>
                <w:b/>
              </w:rPr>
              <w:t>Descriptor</w:t>
            </w:r>
          </w:p>
          <w:p w14:paraId="2C007763" w14:textId="77777777" w:rsidR="00B13494" w:rsidRPr="00B0157E" w:rsidRDefault="00B13494" w:rsidP="007F2036">
            <w:pPr>
              <w:pStyle w:val="02Tabletext"/>
              <w:spacing w:after="20"/>
              <w:rPr>
                <w:b/>
              </w:rPr>
            </w:pPr>
            <w:r w:rsidRPr="00B0157E">
              <w:rPr>
                <w:b/>
              </w:rPr>
              <w:t>[date last amended]</w:t>
            </w:r>
          </w:p>
        </w:tc>
        <w:tc>
          <w:tcPr>
            <w:tcW w:w="917" w:type="dxa"/>
            <w:shd w:val="clear" w:color="auto" w:fill="F2F2F2" w:themeFill="background1" w:themeFillShade="F2"/>
            <w:vAlign w:val="bottom"/>
          </w:tcPr>
          <w:p w14:paraId="28F0E975" w14:textId="77777777" w:rsidR="00B13494" w:rsidRPr="00B0157E" w:rsidRDefault="00B13494" w:rsidP="007F2036">
            <w:pPr>
              <w:pStyle w:val="02Tabletext"/>
              <w:spacing w:after="20"/>
              <w:rPr>
                <w:b/>
              </w:rPr>
            </w:pPr>
            <w:r w:rsidRPr="00B0157E">
              <w:rPr>
                <w:b/>
              </w:rPr>
              <w:t>Schedule</w:t>
            </w:r>
          </w:p>
          <w:p w14:paraId="3D38F4D6" w14:textId="77777777" w:rsidR="00B13494" w:rsidRPr="00B0157E" w:rsidRDefault="00B13494" w:rsidP="007F2036">
            <w:pPr>
              <w:pStyle w:val="02Tabletext"/>
              <w:spacing w:after="20"/>
              <w:rPr>
                <w:b/>
              </w:rPr>
            </w:pPr>
            <w:r w:rsidRPr="00B0157E">
              <w:rPr>
                <w:b/>
              </w:rPr>
              <w:t>fee</w:t>
            </w:r>
          </w:p>
        </w:tc>
        <w:tc>
          <w:tcPr>
            <w:tcW w:w="997" w:type="dxa"/>
            <w:shd w:val="clear" w:color="auto" w:fill="F2F2F2" w:themeFill="background1" w:themeFillShade="F2"/>
            <w:vAlign w:val="bottom"/>
          </w:tcPr>
          <w:p w14:paraId="4D158C95" w14:textId="77777777" w:rsidR="00B13494" w:rsidRPr="00B0157E" w:rsidRDefault="00B13494" w:rsidP="007F2036">
            <w:pPr>
              <w:pStyle w:val="02Tabletext"/>
              <w:spacing w:after="20"/>
              <w:rPr>
                <w:b/>
              </w:rPr>
            </w:pPr>
            <w:r w:rsidRPr="00B0157E">
              <w:rPr>
                <w:b/>
              </w:rPr>
              <w:t>Services FY2014/15</w:t>
            </w:r>
          </w:p>
        </w:tc>
        <w:tc>
          <w:tcPr>
            <w:tcW w:w="1080" w:type="dxa"/>
            <w:shd w:val="clear" w:color="auto" w:fill="F2F2F2" w:themeFill="background1" w:themeFillShade="F2"/>
            <w:vAlign w:val="bottom"/>
          </w:tcPr>
          <w:p w14:paraId="4EBF1DF9" w14:textId="77777777" w:rsidR="00B13494" w:rsidRPr="00B0157E" w:rsidRDefault="00B13494" w:rsidP="007F2036">
            <w:pPr>
              <w:pStyle w:val="02Tabletext"/>
              <w:spacing w:after="20"/>
              <w:rPr>
                <w:b/>
              </w:rPr>
            </w:pPr>
            <w:r w:rsidRPr="00B0157E">
              <w:rPr>
                <w:b/>
              </w:rPr>
              <w:t>Benefits FY2014/15</w:t>
            </w:r>
          </w:p>
        </w:tc>
        <w:tc>
          <w:tcPr>
            <w:tcW w:w="1196" w:type="dxa"/>
            <w:shd w:val="clear" w:color="auto" w:fill="F2F2F2" w:themeFill="background1" w:themeFillShade="F2"/>
            <w:vAlign w:val="bottom"/>
          </w:tcPr>
          <w:p w14:paraId="14EDBE3D" w14:textId="77777777" w:rsidR="00B13494" w:rsidRPr="00B0157E" w:rsidRDefault="009A7890" w:rsidP="007F2036">
            <w:pPr>
              <w:pStyle w:val="02Tabletext"/>
              <w:spacing w:after="20"/>
              <w:rPr>
                <w:b/>
              </w:rPr>
            </w:pPr>
            <w:r>
              <w:rPr>
                <w:b/>
              </w:rPr>
              <w:t>Services 5-</w:t>
            </w:r>
            <w:r w:rsidR="00B13494" w:rsidRPr="00B0157E">
              <w:rPr>
                <w:b/>
              </w:rPr>
              <w:t>year annual avg. growth</w:t>
            </w:r>
          </w:p>
        </w:tc>
      </w:tr>
      <w:tr w:rsidR="00B13494" w:rsidRPr="00B0157E" w14:paraId="5D9DF89C" w14:textId="77777777">
        <w:tc>
          <w:tcPr>
            <w:tcW w:w="717" w:type="dxa"/>
          </w:tcPr>
          <w:p w14:paraId="67B1D395" w14:textId="77777777" w:rsidR="00B13494" w:rsidRPr="00B0157E" w:rsidRDefault="00B13494" w:rsidP="007F2036">
            <w:pPr>
              <w:pStyle w:val="02Tabletext"/>
              <w:spacing w:after="20"/>
            </w:pPr>
            <w:r w:rsidRPr="00B0157E">
              <w:rPr>
                <w:szCs w:val="18"/>
              </w:rPr>
              <w:t>30190</w:t>
            </w:r>
          </w:p>
        </w:tc>
        <w:tc>
          <w:tcPr>
            <w:tcW w:w="4119" w:type="dxa"/>
          </w:tcPr>
          <w:p w14:paraId="2C0ED9C4" w14:textId="77777777" w:rsidR="00B13494" w:rsidRPr="00B0157E" w:rsidRDefault="00B13494" w:rsidP="00BB6795">
            <w:pPr>
              <w:pStyle w:val="02Tabletext"/>
              <w:spacing w:after="20"/>
            </w:pPr>
            <w:r w:rsidRPr="00B0157E">
              <w:rPr>
                <w:szCs w:val="18"/>
              </w:rPr>
              <w:t>A</w:t>
            </w:r>
            <w:r w:rsidR="00BB6795" w:rsidRPr="00B0157E">
              <w:rPr>
                <w:szCs w:val="18"/>
              </w:rPr>
              <w:t>ngiofibromas</w:t>
            </w:r>
            <w:r w:rsidRPr="00B0157E">
              <w:rPr>
                <w:szCs w:val="18"/>
              </w:rPr>
              <w:t xml:space="preserve">, </w:t>
            </w:r>
            <w:r w:rsidR="00BB6795" w:rsidRPr="00B0157E">
              <w:rPr>
                <w:szCs w:val="18"/>
              </w:rPr>
              <w:t>trichoepitheliomas</w:t>
            </w:r>
            <w:r w:rsidRPr="00B0157E">
              <w:rPr>
                <w:szCs w:val="18"/>
              </w:rPr>
              <w:t xml:space="preserve"> or other severely disfiguring tumours suitable for laser excision as confirmed by specialist opinion, of the face or neck, removal of, by carbon dioxide laser or erbium laser excision-ablation including associated resurfacing (10 or more tumours)</w:t>
            </w:r>
            <w:r w:rsidR="00197976" w:rsidRPr="00B0157E">
              <w:rPr>
                <w:szCs w:val="18"/>
              </w:rPr>
              <w:t>.</w:t>
            </w:r>
            <w:r w:rsidR="00826241" w:rsidRPr="00B0157E">
              <w:rPr>
                <w:szCs w:val="18"/>
              </w:rPr>
              <w:t xml:space="preserve"> [2001]</w:t>
            </w:r>
          </w:p>
        </w:tc>
        <w:tc>
          <w:tcPr>
            <w:tcW w:w="917" w:type="dxa"/>
          </w:tcPr>
          <w:p w14:paraId="50C4F77D" w14:textId="77777777" w:rsidR="00B13494" w:rsidRPr="00B0157E" w:rsidRDefault="00B13494" w:rsidP="007F2036">
            <w:pPr>
              <w:pStyle w:val="02Tabletext"/>
              <w:spacing w:after="20"/>
              <w:jc w:val="center"/>
            </w:pPr>
            <w:r w:rsidRPr="00B0157E">
              <w:rPr>
                <w:szCs w:val="18"/>
              </w:rPr>
              <w:t>$397.75</w:t>
            </w:r>
          </w:p>
        </w:tc>
        <w:tc>
          <w:tcPr>
            <w:tcW w:w="997" w:type="dxa"/>
          </w:tcPr>
          <w:p w14:paraId="2F575499" w14:textId="77777777" w:rsidR="00B13494" w:rsidRPr="00B0157E" w:rsidRDefault="00B13494" w:rsidP="007F2036">
            <w:pPr>
              <w:pStyle w:val="02Tabletext"/>
              <w:spacing w:after="20"/>
              <w:jc w:val="center"/>
            </w:pPr>
            <w:r w:rsidRPr="00B0157E">
              <w:rPr>
                <w:szCs w:val="18"/>
              </w:rPr>
              <w:t>617</w:t>
            </w:r>
          </w:p>
        </w:tc>
        <w:tc>
          <w:tcPr>
            <w:tcW w:w="1080" w:type="dxa"/>
          </w:tcPr>
          <w:p w14:paraId="4455316C" w14:textId="77777777" w:rsidR="00B13494" w:rsidRPr="00B0157E" w:rsidRDefault="00B13494" w:rsidP="007F2036">
            <w:pPr>
              <w:pStyle w:val="02Tabletext"/>
              <w:spacing w:after="20"/>
              <w:jc w:val="center"/>
            </w:pPr>
            <w:r w:rsidRPr="00B0157E">
              <w:rPr>
                <w:szCs w:val="18"/>
              </w:rPr>
              <w:t>$237,181</w:t>
            </w:r>
          </w:p>
        </w:tc>
        <w:tc>
          <w:tcPr>
            <w:tcW w:w="1196" w:type="dxa"/>
          </w:tcPr>
          <w:p w14:paraId="1355CCC9" w14:textId="77777777" w:rsidR="00B13494" w:rsidRPr="00B0157E" w:rsidRDefault="00B13494" w:rsidP="007F2036">
            <w:pPr>
              <w:pStyle w:val="02Tabletext"/>
              <w:spacing w:after="20"/>
              <w:jc w:val="center"/>
            </w:pPr>
            <w:r w:rsidRPr="00B0157E">
              <w:t>-5.30%</w:t>
            </w:r>
          </w:p>
        </w:tc>
      </w:tr>
    </w:tbl>
    <w:p w14:paraId="10575E5A" w14:textId="77777777" w:rsidR="00F20BA5" w:rsidRPr="00B0157E" w:rsidRDefault="00F20BA5" w:rsidP="00C33ED9">
      <w:pPr>
        <w:rPr>
          <w:b/>
          <w:lang w:val="en-AU"/>
        </w:rPr>
      </w:pPr>
      <w:r w:rsidRPr="00B0157E">
        <w:rPr>
          <w:b/>
          <w:lang w:val="en-AU"/>
        </w:rPr>
        <w:t xml:space="preserve">Recommendation </w:t>
      </w:r>
    </w:p>
    <w:p w14:paraId="02CB68D5" w14:textId="77777777" w:rsidR="006F29C7" w:rsidRPr="00B0157E" w:rsidRDefault="00F20BA5">
      <w:pPr>
        <w:pStyle w:val="01squarebullet"/>
        <w:rPr>
          <w:lang w:val="en-AU"/>
        </w:rPr>
      </w:pPr>
      <w:r w:rsidRPr="00B0157E">
        <w:rPr>
          <w:lang w:val="en-AU"/>
        </w:rPr>
        <w:t>Change the item descriptor to</w:t>
      </w:r>
      <w:r w:rsidR="00E756DD" w:rsidRPr="00B0157E">
        <w:rPr>
          <w:lang w:val="en-AU"/>
        </w:rPr>
        <w:t xml:space="preserve"> exclude common lesions that are not severely </w:t>
      </w:r>
      <w:r w:rsidR="00B72D6E" w:rsidRPr="00B0157E">
        <w:rPr>
          <w:lang w:val="en-AU"/>
        </w:rPr>
        <w:t>disfiguring tumours</w:t>
      </w:r>
      <w:r w:rsidR="00197976" w:rsidRPr="00B0157E">
        <w:rPr>
          <w:lang w:val="en-AU"/>
        </w:rPr>
        <w:t>, including</w:t>
      </w:r>
      <w:r w:rsidR="00B72D6E" w:rsidRPr="00B0157E">
        <w:rPr>
          <w:lang w:val="en-AU"/>
        </w:rPr>
        <w:t xml:space="preserve"> melanocytic naevi, sebaceous hype</w:t>
      </w:r>
      <w:r w:rsidR="00AB7488" w:rsidRPr="00B0157E">
        <w:rPr>
          <w:lang w:val="en-AU"/>
        </w:rPr>
        <w:t xml:space="preserve">rplasia, dermatosis papulosa </w:t>
      </w:r>
      <w:r w:rsidR="00B72D6E" w:rsidRPr="00B0157E">
        <w:rPr>
          <w:lang w:val="en-AU"/>
        </w:rPr>
        <w:t xml:space="preserve">nigra, Campbell De Morgan angiomas and seborrheic or viral warts. </w:t>
      </w:r>
      <w:r w:rsidR="00093933" w:rsidRPr="00B0157E">
        <w:rPr>
          <w:lang w:val="en-AU"/>
        </w:rPr>
        <w:t>The</w:t>
      </w:r>
      <w:r w:rsidR="00B72D6E" w:rsidRPr="00B0157E">
        <w:rPr>
          <w:lang w:val="en-AU"/>
        </w:rPr>
        <w:t xml:space="preserve"> </w:t>
      </w:r>
      <w:r w:rsidR="00093933" w:rsidRPr="00B0157E">
        <w:rPr>
          <w:lang w:val="en-AU"/>
        </w:rPr>
        <w:t>p</w:t>
      </w:r>
      <w:r w:rsidR="00B72D6E" w:rsidRPr="00B0157E">
        <w:rPr>
          <w:lang w:val="en-AU"/>
        </w:rPr>
        <w:t>roposed item descriptor</w:t>
      </w:r>
      <w:r w:rsidR="009A328B" w:rsidRPr="00B0157E">
        <w:rPr>
          <w:lang w:val="en-AU"/>
        </w:rPr>
        <w:t xml:space="preserve"> is as follows</w:t>
      </w:r>
      <w:r w:rsidR="00B72D6E" w:rsidRPr="00B0157E">
        <w:rPr>
          <w:lang w:val="en-AU"/>
        </w:rPr>
        <w:t xml:space="preserve">: </w:t>
      </w:r>
    </w:p>
    <w:p w14:paraId="50816774" w14:textId="77777777" w:rsidR="00E756DD" w:rsidRPr="00B0157E" w:rsidRDefault="00B72D6E" w:rsidP="00E37013">
      <w:pPr>
        <w:pStyle w:val="02dash"/>
      </w:pPr>
      <w:r w:rsidRPr="00B0157E">
        <w:t>A</w:t>
      </w:r>
      <w:r w:rsidR="00F02243" w:rsidRPr="00B0157E">
        <w:t>ngiofibromas</w:t>
      </w:r>
      <w:r w:rsidRPr="00B0157E">
        <w:t xml:space="preserve">, </w:t>
      </w:r>
      <w:r w:rsidR="00F02243" w:rsidRPr="00B0157E">
        <w:t>trichoepitheliomas</w:t>
      </w:r>
      <w:r w:rsidR="00E756DD" w:rsidRPr="00B0157E">
        <w:t xml:space="preserve"> or other severely disfiguring tumou</w:t>
      </w:r>
      <w:r w:rsidRPr="00B0157E">
        <w:t xml:space="preserve">rs excluding melanocytic naevi, </w:t>
      </w:r>
      <w:r w:rsidR="00E756DD" w:rsidRPr="00B0157E">
        <w:t>sebaceous hype</w:t>
      </w:r>
      <w:r w:rsidR="00AB7488" w:rsidRPr="00B0157E">
        <w:t>rplasia, dermatosis papulosa</w:t>
      </w:r>
      <w:r w:rsidR="00E756DD" w:rsidRPr="00B0157E">
        <w:t xml:space="preserve"> nigra, Campbell De Morgan angiomas and seborrheic or viral warts, suitable for laser ablation as confirmed by </w:t>
      </w:r>
      <w:r w:rsidR="00874CA7" w:rsidRPr="00B0157E">
        <w:t>AMC recognised dermatologist</w:t>
      </w:r>
      <w:r w:rsidR="00E756DD" w:rsidRPr="00B0157E">
        <w:t xml:space="preserve"> opinion, of the face or neck, removal of, by carbon dioxide laser or erbium laser ablation including associated resurfacing (10 or more tumours)</w:t>
      </w:r>
      <w:r w:rsidR="00DB4CB3" w:rsidRPr="00B0157E">
        <w:t>.</w:t>
      </w:r>
    </w:p>
    <w:p w14:paraId="0F6AB034" w14:textId="77777777" w:rsidR="00F67985" w:rsidRPr="00B0157E" w:rsidRDefault="00F20BA5">
      <w:pPr>
        <w:pStyle w:val="01squarebullet"/>
        <w:rPr>
          <w:lang w:val="en-AU"/>
        </w:rPr>
      </w:pPr>
      <w:r w:rsidRPr="00B0157E">
        <w:rPr>
          <w:lang w:val="en-AU"/>
        </w:rPr>
        <w:lastRenderedPageBreak/>
        <w:t>A</w:t>
      </w:r>
      <w:r w:rsidR="00B72D6E" w:rsidRPr="00B0157E">
        <w:rPr>
          <w:lang w:val="en-AU"/>
        </w:rPr>
        <w:t xml:space="preserve">dd </w:t>
      </w:r>
      <w:r w:rsidR="005A121C" w:rsidRPr="00B0157E">
        <w:rPr>
          <w:lang w:val="en-AU"/>
        </w:rPr>
        <w:t xml:space="preserve">an </w:t>
      </w:r>
      <w:r w:rsidR="00B72D6E" w:rsidRPr="00B0157E">
        <w:rPr>
          <w:lang w:val="en-AU"/>
        </w:rPr>
        <w:t>item number</w:t>
      </w:r>
      <w:r w:rsidR="00BA4F4C" w:rsidRPr="00B0157E">
        <w:rPr>
          <w:lang w:val="en-AU"/>
        </w:rPr>
        <w:t xml:space="preserve"> (e.g.</w:t>
      </w:r>
      <w:r w:rsidR="006309E2" w:rsidRPr="00B0157E">
        <w:rPr>
          <w:lang w:val="en-AU"/>
        </w:rPr>
        <w:t>,</w:t>
      </w:r>
      <w:r w:rsidR="00BA4F4C" w:rsidRPr="00B0157E">
        <w:rPr>
          <w:lang w:val="en-AU"/>
        </w:rPr>
        <w:t xml:space="preserve"> 3019-X)</w:t>
      </w:r>
      <w:r w:rsidR="00B72D6E" w:rsidRPr="00B0157E">
        <w:rPr>
          <w:lang w:val="en-AU"/>
        </w:rPr>
        <w:t xml:space="preserve"> for removing less than</w:t>
      </w:r>
      <w:r w:rsidR="009036ED" w:rsidRPr="00B0157E">
        <w:rPr>
          <w:lang w:val="en-AU"/>
        </w:rPr>
        <w:t xml:space="preserve"> </w:t>
      </w:r>
      <w:r w:rsidRPr="00B0157E">
        <w:rPr>
          <w:lang w:val="en-AU"/>
        </w:rPr>
        <w:t>10 tumours</w:t>
      </w:r>
      <w:r w:rsidR="00BA4F4C" w:rsidRPr="00B0157E">
        <w:rPr>
          <w:lang w:val="en-AU"/>
        </w:rPr>
        <w:t>,</w:t>
      </w:r>
      <w:r w:rsidR="002046A6" w:rsidRPr="00B0157E">
        <w:rPr>
          <w:lang w:val="en-AU"/>
        </w:rPr>
        <w:t xml:space="preserve"> includ</w:t>
      </w:r>
      <w:r w:rsidR="00244247" w:rsidRPr="00B0157E">
        <w:rPr>
          <w:lang w:val="en-AU"/>
        </w:rPr>
        <w:t>ing</w:t>
      </w:r>
      <w:r w:rsidR="002046A6" w:rsidRPr="00B0157E">
        <w:rPr>
          <w:lang w:val="en-AU"/>
        </w:rPr>
        <w:t xml:space="preserve"> lesions that were previously </w:t>
      </w:r>
      <w:r w:rsidR="006309E2" w:rsidRPr="00B0157E">
        <w:rPr>
          <w:lang w:val="en-AU"/>
        </w:rPr>
        <w:t xml:space="preserve">(and </w:t>
      </w:r>
      <w:r w:rsidR="002046A6" w:rsidRPr="00B0157E">
        <w:rPr>
          <w:lang w:val="en-AU"/>
        </w:rPr>
        <w:t>appropriately</w:t>
      </w:r>
      <w:r w:rsidR="006309E2" w:rsidRPr="00B0157E">
        <w:rPr>
          <w:lang w:val="en-AU"/>
        </w:rPr>
        <w:t>)</w:t>
      </w:r>
      <w:r w:rsidR="002046A6" w:rsidRPr="00B0157E">
        <w:rPr>
          <w:lang w:val="en-AU"/>
        </w:rPr>
        <w:t xml:space="preserve"> billed under item </w:t>
      </w:r>
      <w:r w:rsidR="00BA4F4C" w:rsidRPr="00B0157E">
        <w:rPr>
          <w:lang w:val="en-AU"/>
        </w:rPr>
        <w:t>30195</w:t>
      </w:r>
      <w:r w:rsidR="00DD04B6" w:rsidRPr="00B0157E">
        <w:rPr>
          <w:lang w:val="en-AU"/>
        </w:rPr>
        <w:t>, which</w:t>
      </w:r>
      <w:r w:rsidR="00BA4F4C" w:rsidRPr="00B0157E">
        <w:rPr>
          <w:lang w:val="en-AU"/>
        </w:rPr>
        <w:t xml:space="preserve"> </w:t>
      </w:r>
      <w:r w:rsidR="002046A6" w:rsidRPr="00B0157E">
        <w:rPr>
          <w:lang w:val="en-AU"/>
        </w:rPr>
        <w:t>is recommended for deletion</w:t>
      </w:r>
      <w:r w:rsidRPr="00B0157E">
        <w:rPr>
          <w:lang w:val="en-AU"/>
        </w:rPr>
        <w:t xml:space="preserve">. </w:t>
      </w:r>
      <w:r w:rsidR="00BD5FAE" w:rsidRPr="00B0157E">
        <w:rPr>
          <w:lang w:val="en-AU"/>
        </w:rPr>
        <w:t>These include: epidermal naevi, xanthelasma, pyogenic granuloma, genital angiokeratomas, hereditary h</w:t>
      </w:r>
      <w:r w:rsidR="00093150" w:rsidRPr="00B0157E">
        <w:rPr>
          <w:lang w:val="en-AU"/>
        </w:rPr>
        <w:t>a</w:t>
      </w:r>
      <w:r w:rsidR="00BD5FAE" w:rsidRPr="00B0157E">
        <w:rPr>
          <w:lang w:val="en-AU"/>
        </w:rPr>
        <w:t>emorrhagic telangiectasia and other severely disfiguring or recurrently bleeding tumours</w:t>
      </w:r>
      <w:r w:rsidR="00BA4F4C" w:rsidRPr="00B0157E">
        <w:rPr>
          <w:lang w:val="en-AU"/>
        </w:rPr>
        <w:t xml:space="preserve">. </w:t>
      </w:r>
      <w:r w:rsidR="00244247" w:rsidRPr="00B0157E">
        <w:rPr>
          <w:lang w:val="en-AU"/>
        </w:rPr>
        <w:t>Change</w:t>
      </w:r>
      <w:r w:rsidR="00BA4F4C" w:rsidRPr="00B0157E">
        <w:rPr>
          <w:lang w:val="en-AU"/>
        </w:rPr>
        <w:t xml:space="preserve"> </w:t>
      </w:r>
      <w:r w:rsidR="00244247" w:rsidRPr="00B0157E">
        <w:rPr>
          <w:lang w:val="en-AU"/>
        </w:rPr>
        <w:t>the</w:t>
      </w:r>
      <w:r w:rsidR="00BA4F4C" w:rsidRPr="00B0157E">
        <w:rPr>
          <w:lang w:val="en-AU"/>
        </w:rPr>
        <w:t xml:space="preserve"> treatment methodology</w:t>
      </w:r>
      <w:r w:rsidR="00000CB8" w:rsidRPr="00B0157E">
        <w:rPr>
          <w:lang w:val="en-AU"/>
        </w:rPr>
        <w:t>,</w:t>
      </w:r>
      <w:r w:rsidR="00BA4F4C" w:rsidRPr="00B0157E">
        <w:rPr>
          <w:lang w:val="en-AU"/>
        </w:rPr>
        <w:t xml:space="preserve"> adding: </w:t>
      </w:r>
      <w:r w:rsidR="00B713CC" w:rsidRPr="00B0157E">
        <w:rPr>
          <w:lang w:val="en-AU"/>
        </w:rPr>
        <w:t>“</w:t>
      </w:r>
      <w:r w:rsidR="00BA4F4C" w:rsidRPr="00B0157E">
        <w:rPr>
          <w:lang w:val="en-AU"/>
        </w:rPr>
        <w:t>other appropriate laser (or curettage and fine point diathermy for pyogenic granuloma only).</w:t>
      </w:r>
      <w:r w:rsidR="00B713CC" w:rsidRPr="00B0157E">
        <w:rPr>
          <w:lang w:val="en-AU"/>
        </w:rPr>
        <w:t>”</w:t>
      </w:r>
      <w:r w:rsidR="00BA4F4C" w:rsidRPr="00B0157E">
        <w:rPr>
          <w:lang w:val="en-AU"/>
        </w:rPr>
        <w:t xml:space="preserve"> </w:t>
      </w:r>
      <w:r w:rsidR="00517DF5" w:rsidRPr="00B0157E">
        <w:rPr>
          <w:lang w:val="en-AU"/>
        </w:rPr>
        <w:t>The p</w:t>
      </w:r>
      <w:r w:rsidR="00BD5FAE" w:rsidRPr="00B0157E">
        <w:rPr>
          <w:lang w:val="en-AU"/>
        </w:rPr>
        <w:t>roposed item</w:t>
      </w:r>
      <w:r w:rsidR="00F67985" w:rsidRPr="00B0157E">
        <w:rPr>
          <w:lang w:val="en-AU"/>
        </w:rPr>
        <w:t xml:space="preserve"> descriptor for item</w:t>
      </w:r>
      <w:r w:rsidR="00BD5FAE" w:rsidRPr="00B0157E">
        <w:rPr>
          <w:lang w:val="en-AU"/>
        </w:rPr>
        <w:t xml:space="preserve"> </w:t>
      </w:r>
      <w:r w:rsidR="00BE207E" w:rsidRPr="00B0157E">
        <w:rPr>
          <w:lang w:val="en-AU"/>
        </w:rPr>
        <w:t xml:space="preserve">3019-X </w:t>
      </w:r>
      <w:r w:rsidR="00F67985" w:rsidRPr="00B0157E">
        <w:rPr>
          <w:lang w:val="en-AU"/>
        </w:rPr>
        <w:t>is as follows:</w:t>
      </w:r>
    </w:p>
    <w:p w14:paraId="0AF663F4" w14:textId="77777777" w:rsidR="00F20BA5" w:rsidRPr="00B0157E" w:rsidRDefault="00F67985">
      <w:pPr>
        <w:pStyle w:val="02dash"/>
        <w:rPr>
          <w:lang w:val="en-AU"/>
        </w:rPr>
      </w:pPr>
      <w:r w:rsidRPr="00B0157E">
        <w:rPr>
          <w:lang w:val="en-AU"/>
        </w:rPr>
        <w:t>Angiofibromas</w:t>
      </w:r>
      <w:r w:rsidR="006B1523" w:rsidRPr="00B0157E">
        <w:rPr>
          <w:lang w:val="en-AU"/>
        </w:rPr>
        <w:t xml:space="preserve">, </w:t>
      </w:r>
      <w:r w:rsidRPr="00B0157E">
        <w:rPr>
          <w:lang w:val="en-AU"/>
        </w:rPr>
        <w:t>trichoepithelioma</w:t>
      </w:r>
      <w:r w:rsidR="006B1523" w:rsidRPr="00B0157E">
        <w:rPr>
          <w:lang w:val="en-AU"/>
        </w:rPr>
        <w:t>, epidermal naevi, xanthelasma, pyogenic granuloma, genital angiokeratomas, hereditary h</w:t>
      </w:r>
      <w:r w:rsidR="008F77BE" w:rsidRPr="00B0157E">
        <w:rPr>
          <w:lang w:val="en-AU"/>
        </w:rPr>
        <w:t>a</w:t>
      </w:r>
      <w:r w:rsidR="006B1523" w:rsidRPr="00B0157E">
        <w:rPr>
          <w:lang w:val="en-AU"/>
        </w:rPr>
        <w:t>emorrhagic telangiectasia and other severely disfiguring or recurrently bleeding tumour</w:t>
      </w:r>
      <w:r w:rsidR="00BE207E" w:rsidRPr="00B0157E">
        <w:rPr>
          <w:lang w:val="en-AU"/>
        </w:rPr>
        <w:t xml:space="preserve">s, excluding melanocytic naevi, </w:t>
      </w:r>
      <w:r w:rsidR="006B1523" w:rsidRPr="00B0157E">
        <w:rPr>
          <w:lang w:val="en-AU"/>
        </w:rPr>
        <w:t xml:space="preserve">sebaceous hyperplasia, dermatosis papulosa nigra, Campbell De Morgan angiomas and seborrheic or viral warts. Confirmed by </w:t>
      </w:r>
      <w:r w:rsidR="009A6350" w:rsidRPr="00B0157E">
        <w:rPr>
          <w:lang w:val="en-AU"/>
        </w:rPr>
        <w:t>AMC recognised dermatologist</w:t>
      </w:r>
      <w:r w:rsidR="006B1523" w:rsidRPr="00B0157E">
        <w:rPr>
          <w:lang w:val="en-AU"/>
        </w:rPr>
        <w:t xml:space="preserve"> opinion and treated with carbon dioxide/erbium, other appropriate laser (or curettage and fine point diathermy for pyogenic granuloma only). One or more lesions.</w:t>
      </w:r>
    </w:p>
    <w:p w14:paraId="29654FCC" w14:textId="77777777" w:rsidR="003916C0" w:rsidRPr="00B0157E" w:rsidRDefault="009A6350">
      <w:pPr>
        <w:pStyle w:val="01squarebullet"/>
        <w:rPr>
          <w:lang w:val="en-AU"/>
        </w:rPr>
      </w:pPr>
      <w:r w:rsidRPr="00B0157E">
        <w:rPr>
          <w:lang w:val="en-AU"/>
        </w:rPr>
        <w:t xml:space="preserve">Change the wording “confirmed by specialist opinion” to </w:t>
      </w:r>
      <w:r w:rsidR="00087FB7" w:rsidRPr="00B0157E">
        <w:rPr>
          <w:lang w:val="en-AU"/>
        </w:rPr>
        <w:t>“</w:t>
      </w:r>
      <w:r w:rsidRPr="00B0157E">
        <w:rPr>
          <w:lang w:val="en-AU"/>
        </w:rPr>
        <w:t>confirmed by AMC recognised dermatologist opinion</w:t>
      </w:r>
      <w:r w:rsidR="005B5425" w:rsidRPr="00B0157E">
        <w:rPr>
          <w:lang w:val="en-AU"/>
        </w:rPr>
        <w:t>.</w:t>
      </w:r>
      <w:r w:rsidRPr="00B0157E">
        <w:rPr>
          <w:lang w:val="en-AU"/>
        </w:rPr>
        <w:t xml:space="preserve">” </w:t>
      </w:r>
    </w:p>
    <w:p w14:paraId="2EB31BE1" w14:textId="77777777" w:rsidR="00D64944" w:rsidRPr="00B0157E" w:rsidRDefault="00596BEA">
      <w:pPr>
        <w:pStyle w:val="01squarebullet"/>
        <w:rPr>
          <w:lang w:val="en-AU"/>
        </w:rPr>
      </w:pPr>
      <w:r w:rsidRPr="00B0157E">
        <w:rPr>
          <w:lang w:val="en-AU"/>
        </w:rPr>
        <w:t xml:space="preserve">Although pricing was not </w:t>
      </w:r>
      <w:r w:rsidR="005B5425" w:rsidRPr="00B0157E">
        <w:rPr>
          <w:lang w:val="en-AU"/>
        </w:rPr>
        <w:t>within the scope of</w:t>
      </w:r>
      <w:r w:rsidRPr="00B0157E">
        <w:rPr>
          <w:lang w:val="en-AU"/>
        </w:rPr>
        <w:t xml:space="preserve"> the Committee</w:t>
      </w:r>
      <w:r w:rsidR="00E62144" w:rsidRPr="00B0157E">
        <w:rPr>
          <w:lang w:val="en-AU"/>
        </w:rPr>
        <w:t>, it</w:t>
      </w:r>
      <w:r w:rsidRPr="00B0157E">
        <w:rPr>
          <w:lang w:val="en-AU"/>
        </w:rPr>
        <w:t xml:space="preserve"> advise</w:t>
      </w:r>
      <w:r w:rsidR="006705A4" w:rsidRPr="00B0157E">
        <w:rPr>
          <w:lang w:val="en-AU"/>
        </w:rPr>
        <w:t>s that treatment under item 3019-X would have a similar scope of practice as item 14100</w:t>
      </w:r>
      <w:r w:rsidR="00781449" w:rsidRPr="00B0157E">
        <w:rPr>
          <w:lang w:val="en-AU"/>
        </w:rPr>
        <w:t>, yet also acknowledges that these lesions were most likely treated under item 30195 in the pas</w:t>
      </w:r>
      <w:r w:rsidR="006D16E0" w:rsidRPr="00B0157E">
        <w:rPr>
          <w:lang w:val="en-AU"/>
        </w:rPr>
        <w:t xml:space="preserve">t, </w:t>
      </w:r>
      <w:r w:rsidR="004A133B" w:rsidRPr="00B0157E">
        <w:rPr>
          <w:lang w:val="en-AU"/>
        </w:rPr>
        <w:t xml:space="preserve">and both </w:t>
      </w:r>
      <w:r w:rsidR="00673596" w:rsidRPr="00B0157E">
        <w:rPr>
          <w:lang w:val="en-AU"/>
        </w:rPr>
        <w:t xml:space="preserve">of </w:t>
      </w:r>
      <w:r w:rsidR="004A133B" w:rsidRPr="00B0157E">
        <w:rPr>
          <w:lang w:val="en-AU"/>
        </w:rPr>
        <w:t xml:space="preserve">these schedule fees could be used </w:t>
      </w:r>
      <w:r w:rsidR="00673596" w:rsidRPr="00B0157E">
        <w:rPr>
          <w:lang w:val="en-AU"/>
        </w:rPr>
        <w:t>as reference</w:t>
      </w:r>
      <w:r w:rsidR="004A133B" w:rsidRPr="00B0157E">
        <w:rPr>
          <w:lang w:val="en-AU"/>
        </w:rPr>
        <w:t xml:space="preserve"> to determine the price. </w:t>
      </w:r>
    </w:p>
    <w:p w14:paraId="28414741" w14:textId="77777777" w:rsidR="00F20BA5" w:rsidRPr="00B0157E" w:rsidRDefault="00F20BA5" w:rsidP="00C33ED9">
      <w:pPr>
        <w:rPr>
          <w:b/>
          <w:lang w:val="en-AU"/>
        </w:rPr>
      </w:pPr>
      <w:r w:rsidRPr="00B0157E">
        <w:rPr>
          <w:b/>
          <w:lang w:val="en-AU"/>
        </w:rPr>
        <w:t>Rationale</w:t>
      </w:r>
    </w:p>
    <w:p w14:paraId="6B574B26" w14:textId="77777777" w:rsidR="00F20BA5" w:rsidRPr="00B0157E" w:rsidRDefault="00F20BA5" w:rsidP="00C33ED9">
      <w:pPr>
        <w:rPr>
          <w:lang w:val="en-AU"/>
        </w:rPr>
      </w:pPr>
      <w:r w:rsidRPr="00B0157E">
        <w:rPr>
          <w:lang w:val="en-AU"/>
        </w:rPr>
        <w:t>The recommendations focus on ensuring adequate patient access to treatment for rare conditions</w:t>
      </w:r>
      <w:r w:rsidR="00D67C7E" w:rsidRPr="00B0157E">
        <w:rPr>
          <w:lang w:val="en-AU"/>
        </w:rPr>
        <w:t>,</w:t>
      </w:r>
      <w:r w:rsidR="002046A6" w:rsidRPr="00B0157E">
        <w:rPr>
          <w:lang w:val="en-AU"/>
        </w:rPr>
        <w:t xml:space="preserve"> </w:t>
      </w:r>
      <w:r w:rsidR="00F972FA" w:rsidRPr="00B0157E">
        <w:rPr>
          <w:lang w:val="en-AU"/>
        </w:rPr>
        <w:t xml:space="preserve">as well as </w:t>
      </w:r>
      <w:r w:rsidR="002046A6" w:rsidRPr="00B0157E">
        <w:rPr>
          <w:lang w:val="en-AU"/>
        </w:rPr>
        <w:t xml:space="preserve">safeguarding against inappropriate leakage from the </w:t>
      </w:r>
      <w:r w:rsidR="00AB7488" w:rsidRPr="00B0157E">
        <w:rPr>
          <w:lang w:val="en-AU"/>
        </w:rPr>
        <w:t xml:space="preserve">recommended </w:t>
      </w:r>
      <w:r w:rsidR="002046A6" w:rsidRPr="00B0157E">
        <w:rPr>
          <w:lang w:val="en-AU"/>
        </w:rPr>
        <w:t>deletion of other item numbers</w:t>
      </w:r>
      <w:r w:rsidRPr="00B0157E">
        <w:rPr>
          <w:lang w:val="en-AU"/>
        </w:rPr>
        <w:t xml:space="preserve">. They are </w:t>
      </w:r>
      <w:r w:rsidR="00345693" w:rsidRPr="00B0157E">
        <w:rPr>
          <w:lang w:val="en-AU"/>
        </w:rPr>
        <w:t>based on the following observations</w:t>
      </w:r>
      <w:r w:rsidRPr="00B0157E">
        <w:rPr>
          <w:lang w:val="en-AU"/>
        </w:rPr>
        <w:t xml:space="preserve">. </w:t>
      </w:r>
    </w:p>
    <w:p w14:paraId="0EEAD609" w14:textId="77777777" w:rsidR="00F20BA5" w:rsidRPr="00B0157E" w:rsidRDefault="00F20BA5">
      <w:pPr>
        <w:pStyle w:val="01squarebullet"/>
        <w:rPr>
          <w:lang w:val="en-AU"/>
        </w:rPr>
      </w:pPr>
      <w:r w:rsidRPr="00B0157E">
        <w:rPr>
          <w:lang w:val="en-AU"/>
        </w:rPr>
        <w:t xml:space="preserve">Although the volume of services has been declining by </w:t>
      </w:r>
      <w:r w:rsidR="00FA53A6" w:rsidRPr="00B0157E">
        <w:rPr>
          <w:lang w:val="en-AU"/>
        </w:rPr>
        <w:t xml:space="preserve">an average of </w:t>
      </w:r>
      <w:r w:rsidRPr="00B0157E">
        <w:rPr>
          <w:lang w:val="en-AU"/>
        </w:rPr>
        <w:t>5.3</w:t>
      </w:r>
      <w:r w:rsidR="00FA53A6" w:rsidRPr="00B0157E">
        <w:rPr>
          <w:lang w:val="en-AU"/>
        </w:rPr>
        <w:t xml:space="preserve"> per cent</w:t>
      </w:r>
      <w:r w:rsidR="00322723" w:rsidRPr="00B0157E">
        <w:rPr>
          <w:lang w:val="en-AU"/>
        </w:rPr>
        <w:t xml:space="preserve"> per year </w:t>
      </w:r>
      <w:r w:rsidRPr="00B0157E">
        <w:rPr>
          <w:lang w:val="en-AU"/>
        </w:rPr>
        <w:t xml:space="preserve">for the last </w:t>
      </w:r>
      <w:r w:rsidR="00250363" w:rsidRPr="00B0157E">
        <w:rPr>
          <w:lang w:val="en-AU"/>
        </w:rPr>
        <w:t>five</w:t>
      </w:r>
      <w:r w:rsidRPr="00B0157E">
        <w:rPr>
          <w:lang w:val="en-AU"/>
        </w:rPr>
        <w:t xml:space="preserve"> years</w:t>
      </w:r>
      <w:r w:rsidR="002C7436" w:rsidRPr="00B0157E">
        <w:rPr>
          <w:lang w:val="en-AU"/>
        </w:rPr>
        <w:t>,</w:t>
      </w:r>
      <w:r w:rsidR="0073530D" w:rsidRPr="00B0157E">
        <w:rPr>
          <w:lang w:val="en-AU"/>
        </w:rPr>
        <w:fldChar w:fldCharType="begin" w:fldLock="1"/>
      </w:r>
      <w:r w:rsidR="0073530D" w:rsidRPr="00B0157E">
        <w:rPr>
          <w:lang w:val="en-AU"/>
        </w:rPr>
        <w:instrText>ADDIN CSL_CITATION { "citationItems" : [ { "id" : "ITEM-1", "itemData" : { "author" : [ { "dropping-particle" : "", "family" : "Department of Health", "given" : "Medicare Review Unit", "non-dropping-particle" : "", "parse-names" : false, "suffix" : "" } ], "id" : "ITEM-1", "issued" : { "date-parts" : [ [ "0" ] ] }, "title" : "MBS data", "type" : "report" }, "uris" : [ "http://www.mendeley.com/documents/?uuid=ea9d94fc-d19f-4936-807d-c2ac3054f9c1" ] } ], "mendeley" : { "formattedCitation" : "[2]", "plainTextFormattedCitation" : "[2]" }, "properties" : { "noteIndex" : 0 }, "schema" : "https://github.com/citation-style-language/schema/raw/master/csl-citation.json" }</w:instrText>
      </w:r>
      <w:r w:rsidR="0073530D" w:rsidRPr="00B0157E">
        <w:rPr>
          <w:lang w:val="en-AU"/>
        </w:rPr>
        <w:fldChar w:fldCharType="separate"/>
      </w:r>
      <w:r w:rsidR="0073530D" w:rsidRPr="00B0157E">
        <w:rPr>
          <w:lang w:val="en-AU"/>
        </w:rPr>
        <w:t>[2]</w:t>
      </w:r>
      <w:r w:rsidR="0073530D" w:rsidRPr="00B0157E">
        <w:rPr>
          <w:lang w:val="en-AU"/>
        </w:rPr>
        <w:fldChar w:fldCharType="end"/>
      </w:r>
      <w:r w:rsidRPr="00B0157E">
        <w:rPr>
          <w:lang w:val="en-AU"/>
        </w:rPr>
        <w:t xml:space="preserve"> the Committee agreed that this is still a required and clinically relevant treatment. </w:t>
      </w:r>
      <w:r w:rsidR="00330F89" w:rsidRPr="00B0157E">
        <w:rPr>
          <w:lang w:val="en-AU"/>
        </w:rPr>
        <w:t>It is likely that t</w:t>
      </w:r>
      <w:r w:rsidRPr="00B0157E">
        <w:rPr>
          <w:lang w:val="en-AU"/>
        </w:rPr>
        <w:t xml:space="preserve">he reduction in volume is explained by the introduction of new topical drugs, which the Committee agreed </w:t>
      </w:r>
      <w:r w:rsidR="0071042C" w:rsidRPr="00B0157E">
        <w:rPr>
          <w:lang w:val="en-AU"/>
        </w:rPr>
        <w:t xml:space="preserve">are </w:t>
      </w:r>
      <w:r w:rsidRPr="00B0157E">
        <w:rPr>
          <w:lang w:val="en-AU"/>
        </w:rPr>
        <w:t xml:space="preserve">not appropriate for a small group of patients. </w:t>
      </w:r>
    </w:p>
    <w:p w14:paraId="6221DA07" w14:textId="77777777" w:rsidR="00637BDC" w:rsidRPr="00B0157E" w:rsidRDefault="002046A6" w:rsidP="005125E2">
      <w:pPr>
        <w:pStyle w:val="01squarebullet"/>
        <w:rPr>
          <w:lang w:val="en-AU"/>
        </w:rPr>
      </w:pPr>
      <w:r w:rsidRPr="00B0157E">
        <w:rPr>
          <w:lang w:val="en-AU"/>
        </w:rPr>
        <w:t xml:space="preserve">The Committee </w:t>
      </w:r>
      <w:r w:rsidR="00ED4863" w:rsidRPr="00B0157E">
        <w:rPr>
          <w:lang w:val="en-AU"/>
        </w:rPr>
        <w:t xml:space="preserve">acknowledged </w:t>
      </w:r>
      <w:r w:rsidRPr="00B0157E">
        <w:rPr>
          <w:lang w:val="en-AU"/>
        </w:rPr>
        <w:t>that the recommend</w:t>
      </w:r>
      <w:r w:rsidR="00A06137" w:rsidRPr="00B0157E">
        <w:rPr>
          <w:lang w:val="en-AU"/>
        </w:rPr>
        <w:t>ed</w:t>
      </w:r>
      <w:r w:rsidRPr="00B0157E">
        <w:rPr>
          <w:lang w:val="en-AU"/>
        </w:rPr>
        <w:t xml:space="preserve"> delet</w:t>
      </w:r>
      <w:r w:rsidR="00A06137" w:rsidRPr="00B0157E">
        <w:rPr>
          <w:lang w:val="en-AU"/>
        </w:rPr>
        <w:t>ion of</w:t>
      </w:r>
      <w:r w:rsidRPr="00B0157E">
        <w:rPr>
          <w:lang w:val="en-AU"/>
        </w:rPr>
        <w:t xml:space="preserve"> item 30195 could </w:t>
      </w:r>
      <w:r w:rsidR="00EB23A0" w:rsidRPr="00B0157E">
        <w:rPr>
          <w:lang w:val="en-AU"/>
        </w:rPr>
        <w:t>shift</w:t>
      </w:r>
      <w:r w:rsidRPr="00B0157E">
        <w:rPr>
          <w:lang w:val="en-AU"/>
        </w:rPr>
        <w:t xml:space="preserve"> inappropriate billing of common lesions</w:t>
      </w:r>
      <w:r w:rsidR="00322723" w:rsidRPr="00B0157E">
        <w:rPr>
          <w:lang w:val="en-AU"/>
        </w:rPr>
        <w:t xml:space="preserve"> to </w:t>
      </w:r>
      <w:r w:rsidR="00075C29" w:rsidRPr="00B0157E">
        <w:rPr>
          <w:lang w:val="en-AU"/>
        </w:rPr>
        <w:t xml:space="preserve">item </w:t>
      </w:r>
      <w:r w:rsidRPr="00B0157E">
        <w:rPr>
          <w:lang w:val="en-AU"/>
        </w:rPr>
        <w:t xml:space="preserve">30190. </w:t>
      </w:r>
      <w:r w:rsidR="00681FF8" w:rsidRPr="00B0157E">
        <w:rPr>
          <w:lang w:val="en-AU"/>
        </w:rPr>
        <w:t>Although the Committee</w:t>
      </w:r>
      <w:r w:rsidR="004901A6" w:rsidRPr="00B0157E">
        <w:rPr>
          <w:lang w:val="en-AU"/>
        </w:rPr>
        <w:t xml:space="preserve"> does not believe that there will be a large volume shift to </w:t>
      </w:r>
      <w:r w:rsidR="00E82250" w:rsidRPr="00B0157E">
        <w:rPr>
          <w:lang w:val="en-AU"/>
        </w:rPr>
        <w:t>item</w:t>
      </w:r>
      <w:r w:rsidR="004901A6" w:rsidRPr="00B0157E">
        <w:rPr>
          <w:lang w:val="en-AU"/>
        </w:rPr>
        <w:t xml:space="preserve"> </w:t>
      </w:r>
      <w:r w:rsidR="00E82250" w:rsidRPr="00B0157E">
        <w:rPr>
          <w:lang w:val="en-AU"/>
        </w:rPr>
        <w:t>30190</w:t>
      </w:r>
      <w:r w:rsidR="004901A6" w:rsidRPr="00B0157E">
        <w:rPr>
          <w:lang w:val="en-AU"/>
        </w:rPr>
        <w:t xml:space="preserve">, </w:t>
      </w:r>
      <w:r w:rsidR="008F5EA2" w:rsidRPr="00B0157E">
        <w:rPr>
          <w:lang w:val="en-AU"/>
        </w:rPr>
        <w:t>it amended</w:t>
      </w:r>
      <w:r w:rsidR="007D5101" w:rsidRPr="00B0157E">
        <w:rPr>
          <w:lang w:val="en-AU"/>
        </w:rPr>
        <w:t xml:space="preserve"> the</w:t>
      </w:r>
      <w:r w:rsidR="008F5EA2" w:rsidRPr="00B0157E">
        <w:rPr>
          <w:lang w:val="en-AU"/>
        </w:rPr>
        <w:t xml:space="preserve"> </w:t>
      </w:r>
      <w:r w:rsidRPr="00B0157E">
        <w:rPr>
          <w:lang w:val="en-AU"/>
        </w:rPr>
        <w:t xml:space="preserve">item descriptor to </w:t>
      </w:r>
      <w:r w:rsidR="00477627" w:rsidRPr="00B0157E">
        <w:rPr>
          <w:lang w:val="en-AU"/>
        </w:rPr>
        <w:t>address this</w:t>
      </w:r>
      <w:r w:rsidR="0049279F" w:rsidRPr="00B0157E">
        <w:rPr>
          <w:lang w:val="en-AU"/>
        </w:rPr>
        <w:t xml:space="preserve"> risk</w:t>
      </w:r>
      <w:r w:rsidR="00D12B15" w:rsidRPr="00B0157E">
        <w:rPr>
          <w:lang w:val="en-AU"/>
        </w:rPr>
        <w:t>, specifically excluding</w:t>
      </w:r>
      <w:r w:rsidR="00EB0B2A" w:rsidRPr="00B0157E">
        <w:rPr>
          <w:lang w:val="en-AU"/>
        </w:rPr>
        <w:t xml:space="preserve"> </w:t>
      </w:r>
      <w:r w:rsidR="00322723" w:rsidRPr="00B0157E">
        <w:rPr>
          <w:lang w:val="en-AU"/>
        </w:rPr>
        <w:t>melanocytic naevi, sebaceous hype</w:t>
      </w:r>
      <w:r w:rsidR="00033C4F" w:rsidRPr="00B0157E">
        <w:rPr>
          <w:lang w:val="en-AU"/>
        </w:rPr>
        <w:t xml:space="preserve">rplasia, dermatosis papulosa </w:t>
      </w:r>
      <w:r w:rsidR="00322723" w:rsidRPr="00B0157E">
        <w:rPr>
          <w:lang w:val="en-AU"/>
        </w:rPr>
        <w:t>nigra, Campbell De Morgan angiomas and seborrheic or viral warts.</w:t>
      </w:r>
      <w:r w:rsidR="00825BEA" w:rsidRPr="00B0157E">
        <w:rPr>
          <w:lang w:val="en-AU"/>
        </w:rPr>
        <w:t xml:space="preserve"> </w:t>
      </w:r>
    </w:p>
    <w:p w14:paraId="47B638AD" w14:textId="77777777" w:rsidR="009A6350" w:rsidRPr="00B0157E" w:rsidRDefault="00825BEA" w:rsidP="005125E2">
      <w:pPr>
        <w:pStyle w:val="01squarebullet"/>
        <w:rPr>
          <w:lang w:val="en-AU"/>
        </w:rPr>
      </w:pPr>
      <w:r w:rsidRPr="00B0157E">
        <w:rPr>
          <w:lang w:val="en-AU"/>
        </w:rPr>
        <w:t>The r</w:t>
      </w:r>
      <w:r w:rsidR="00322723" w:rsidRPr="00B0157E">
        <w:rPr>
          <w:lang w:val="en-AU"/>
        </w:rPr>
        <w:t>ecommend</w:t>
      </w:r>
      <w:r w:rsidR="00F354D2" w:rsidRPr="00B0157E">
        <w:rPr>
          <w:lang w:val="en-AU"/>
        </w:rPr>
        <w:t>ed</w:t>
      </w:r>
      <w:r w:rsidR="00322723" w:rsidRPr="00B0157E">
        <w:rPr>
          <w:lang w:val="en-AU"/>
        </w:rPr>
        <w:t xml:space="preserve"> delet</w:t>
      </w:r>
      <w:r w:rsidR="00F354D2" w:rsidRPr="00B0157E">
        <w:rPr>
          <w:lang w:val="en-AU"/>
        </w:rPr>
        <w:t>ion of item</w:t>
      </w:r>
      <w:r w:rsidR="00322723" w:rsidRPr="00B0157E">
        <w:rPr>
          <w:lang w:val="en-AU"/>
        </w:rPr>
        <w:t xml:space="preserve"> 30195 </w:t>
      </w:r>
      <w:r w:rsidR="0079506B" w:rsidRPr="00B0157E">
        <w:rPr>
          <w:lang w:val="en-AU"/>
        </w:rPr>
        <w:t xml:space="preserve">could </w:t>
      </w:r>
      <w:r w:rsidR="00322723" w:rsidRPr="00B0157E">
        <w:rPr>
          <w:lang w:val="en-AU"/>
        </w:rPr>
        <w:t>result in</w:t>
      </w:r>
      <w:r w:rsidR="00033C4F" w:rsidRPr="00B0157E">
        <w:rPr>
          <w:lang w:val="en-AU"/>
        </w:rPr>
        <w:t xml:space="preserve"> access problems for</w:t>
      </w:r>
      <w:r w:rsidR="00AB7488" w:rsidRPr="00B0157E">
        <w:rPr>
          <w:lang w:val="en-AU"/>
        </w:rPr>
        <w:t xml:space="preserve"> </w:t>
      </w:r>
      <w:r w:rsidR="00033C4F" w:rsidRPr="00B0157E">
        <w:rPr>
          <w:lang w:val="en-AU"/>
        </w:rPr>
        <w:t>patients who require the removal of</w:t>
      </w:r>
      <w:r w:rsidR="00322723" w:rsidRPr="00B0157E">
        <w:rPr>
          <w:lang w:val="en-AU"/>
        </w:rPr>
        <w:t xml:space="preserve"> a small number of rare conditions</w:t>
      </w:r>
      <w:r w:rsidR="00AB7488" w:rsidRPr="00B0157E">
        <w:rPr>
          <w:lang w:val="en-AU"/>
        </w:rPr>
        <w:t xml:space="preserve">. </w:t>
      </w:r>
      <w:r w:rsidR="006B1523" w:rsidRPr="00B0157E">
        <w:rPr>
          <w:lang w:val="en-AU"/>
        </w:rPr>
        <w:t xml:space="preserve">These conditions were previously </w:t>
      </w:r>
      <w:r w:rsidR="00F44EC8" w:rsidRPr="00B0157E">
        <w:rPr>
          <w:lang w:val="en-AU"/>
        </w:rPr>
        <w:t xml:space="preserve">(and </w:t>
      </w:r>
      <w:r w:rsidR="006B1523" w:rsidRPr="00B0157E">
        <w:rPr>
          <w:lang w:val="en-AU"/>
        </w:rPr>
        <w:t>appropriately</w:t>
      </w:r>
      <w:r w:rsidR="00F44EC8" w:rsidRPr="00B0157E">
        <w:rPr>
          <w:lang w:val="en-AU"/>
        </w:rPr>
        <w:t>)</w:t>
      </w:r>
      <w:r w:rsidR="006B1523" w:rsidRPr="00B0157E">
        <w:rPr>
          <w:lang w:val="en-AU"/>
        </w:rPr>
        <w:t xml:space="preserve"> billed under </w:t>
      </w:r>
      <w:r w:rsidR="00C82CAD" w:rsidRPr="00B0157E">
        <w:rPr>
          <w:lang w:val="en-AU"/>
        </w:rPr>
        <w:t xml:space="preserve">item </w:t>
      </w:r>
      <w:r w:rsidR="006B1523" w:rsidRPr="00B0157E">
        <w:rPr>
          <w:lang w:val="en-AU"/>
        </w:rPr>
        <w:t xml:space="preserve">30195 and include: </w:t>
      </w:r>
      <w:r w:rsidR="00900EA5" w:rsidRPr="00B0157E">
        <w:rPr>
          <w:lang w:val="en-AU"/>
        </w:rPr>
        <w:t>epidermal naevi, xanthelasma, pyogenic granuloma, genital angiokeratomas, hereditary h</w:t>
      </w:r>
      <w:r w:rsidR="0081383C" w:rsidRPr="00B0157E">
        <w:rPr>
          <w:lang w:val="en-AU"/>
        </w:rPr>
        <w:t>a</w:t>
      </w:r>
      <w:r w:rsidR="00900EA5" w:rsidRPr="00B0157E">
        <w:rPr>
          <w:lang w:val="en-AU"/>
        </w:rPr>
        <w:t xml:space="preserve">emorrhagic telangiectasia and other severely disfiguring or recurrently bleeding tumours. </w:t>
      </w:r>
      <w:r w:rsidR="00F20BA5" w:rsidRPr="00B0157E">
        <w:rPr>
          <w:lang w:val="en-AU"/>
        </w:rPr>
        <w:t xml:space="preserve">The Committee </w:t>
      </w:r>
      <w:r w:rsidR="00EE5393" w:rsidRPr="00B0157E">
        <w:rPr>
          <w:lang w:val="en-AU"/>
        </w:rPr>
        <w:t xml:space="preserve">felt </w:t>
      </w:r>
      <w:r w:rsidR="00A62A06" w:rsidRPr="00B0157E">
        <w:rPr>
          <w:lang w:val="en-AU"/>
        </w:rPr>
        <w:t xml:space="preserve">that </w:t>
      </w:r>
      <w:r w:rsidR="00F20BA5" w:rsidRPr="00B0157E">
        <w:rPr>
          <w:lang w:val="en-AU"/>
        </w:rPr>
        <w:t xml:space="preserve">the best course of action </w:t>
      </w:r>
      <w:r w:rsidR="00CB26CF" w:rsidRPr="00B0157E">
        <w:rPr>
          <w:lang w:val="en-AU"/>
        </w:rPr>
        <w:t xml:space="preserve">was </w:t>
      </w:r>
      <w:r w:rsidR="00F20BA5" w:rsidRPr="00B0157E">
        <w:rPr>
          <w:lang w:val="en-AU"/>
        </w:rPr>
        <w:t xml:space="preserve">to </w:t>
      </w:r>
      <w:r w:rsidR="00900EA5" w:rsidRPr="00B0157E">
        <w:rPr>
          <w:lang w:val="en-AU"/>
        </w:rPr>
        <w:t>create a new item (e.g.</w:t>
      </w:r>
      <w:r w:rsidR="00CB60C7" w:rsidRPr="00B0157E">
        <w:rPr>
          <w:lang w:val="en-AU"/>
        </w:rPr>
        <w:t>,</w:t>
      </w:r>
      <w:r w:rsidR="00900EA5" w:rsidRPr="00B0157E">
        <w:rPr>
          <w:lang w:val="en-AU"/>
        </w:rPr>
        <w:t xml:space="preserve"> 3019-X)</w:t>
      </w:r>
      <w:r w:rsidR="009941B8" w:rsidRPr="00B0157E">
        <w:rPr>
          <w:lang w:val="en-AU"/>
        </w:rPr>
        <w:t xml:space="preserve"> that will allow for appropriate treatment of these conditions</w:t>
      </w:r>
      <w:r w:rsidR="007D0D7A" w:rsidRPr="00B0157E">
        <w:rPr>
          <w:lang w:val="en-AU"/>
        </w:rPr>
        <w:t>. Again, the Committee does not anticipate a large vo</w:t>
      </w:r>
      <w:r w:rsidR="00B81D2F" w:rsidRPr="00B0157E">
        <w:rPr>
          <w:lang w:val="en-AU"/>
        </w:rPr>
        <w:t>lume shift to this item, but it applied</w:t>
      </w:r>
      <w:r w:rsidR="00900EA5" w:rsidRPr="00B0157E">
        <w:rPr>
          <w:lang w:val="en-AU"/>
        </w:rPr>
        <w:t xml:space="preserve"> the exclusions </w:t>
      </w:r>
      <w:r w:rsidR="004C1262" w:rsidRPr="00B0157E">
        <w:rPr>
          <w:lang w:val="en-AU"/>
        </w:rPr>
        <w:t>listed for</w:t>
      </w:r>
      <w:r w:rsidR="00900EA5" w:rsidRPr="00B0157E">
        <w:rPr>
          <w:lang w:val="en-AU"/>
        </w:rPr>
        <w:t xml:space="preserve"> </w:t>
      </w:r>
      <w:r w:rsidR="002D0F40" w:rsidRPr="00B0157E">
        <w:rPr>
          <w:lang w:val="en-AU"/>
        </w:rPr>
        <w:t xml:space="preserve">item </w:t>
      </w:r>
      <w:r w:rsidR="00900EA5" w:rsidRPr="00B0157E">
        <w:rPr>
          <w:lang w:val="en-AU"/>
        </w:rPr>
        <w:t xml:space="preserve">30190 </w:t>
      </w:r>
      <w:r w:rsidR="00897A13" w:rsidRPr="00B0157E">
        <w:rPr>
          <w:lang w:val="en-AU"/>
        </w:rPr>
        <w:t xml:space="preserve">to safeguard against </w:t>
      </w:r>
      <w:r w:rsidR="00A50C02" w:rsidRPr="00B0157E">
        <w:rPr>
          <w:lang w:val="en-AU"/>
        </w:rPr>
        <w:t>this</w:t>
      </w:r>
      <w:r w:rsidR="006D26FD" w:rsidRPr="00B0157E">
        <w:rPr>
          <w:lang w:val="en-AU"/>
        </w:rPr>
        <w:t>. This item will also</w:t>
      </w:r>
      <w:r w:rsidR="004639D0" w:rsidRPr="00B0157E">
        <w:rPr>
          <w:lang w:val="en-AU"/>
        </w:rPr>
        <w:t xml:space="preserve"> permit several </w:t>
      </w:r>
      <w:r w:rsidR="006D26FD" w:rsidRPr="00B0157E">
        <w:rPr>
          <w:lang w:val="en-AU"/>
        </w:rPr>
        <w:t>additional</w:t>
      </w:r>
      <w:r w:rsidR="004639D0" w:rsidRPr="00B0157E">
        <w:rPr>
          <w:lang w:val="en-AU"/>
        </w:rPr>
        <w:t xml:space="preserve"> treatment methods</w:t>
      </w:r>
      <w:r w:rsidR="00897A13" w:rsidRPr="00B0157E">
        <w:rPr>
          <w:lang w:val="en-AU"/>
        </w:rPr>
        <w:t xml:space="preserve"> to reflect </w:t>
      </w:r>
      <w:r w:rsidR="004639D0" w:rsidRPr="00B0157E">
        <w:rPr>
          <w:lang w:val="en-AU"/>
        </w:rPr>
        <w:t>modern treatment of</w:t>
      </w:r>
      <w:r w:rsidR="00897A13" w:rsidRPr="00B0157E">
        <w:rPr>
          <w:lang w:val="en-AU"/>
        </w:rPr>
        <w:t xml:space="preserve"> these conditions.</w:t>
      </w:r>
      <w:r w:rsidR="004A352E">
        <w:rPr>
          <w:lang w:val="en-AU"/>
        </w:rPr>
        <w:t xml:space="preserve"> </w:t>
      </w:r>
    </w:p>
    <w:p w14:paraId="34A92189" w14:textId="77777777" w:rsidR="003916C0" w:rsidRPr="00B2220D" w:rsidRDefault="00B2220D" w:rsidP="00791E30">
      <w:pPr>
        <w:pStyle w:val="01squarebullet"/>
        <w:rPr>
          <w:rFonts w:eastAsiaTheme="minorHAnsi"/>
          <w:lang w:val="en-AU"/>
        </w:rPr>
      </w:pPr>
      <w:r w:rsidRPr="00B2220D">
        <w:rPr>
          <w:rFonts w:eastAsiaTheme="minorHAnsi"/>
          <w:lang w:val="en-AU"/>
        </w:rPr>
        <w:t>The Committee was also concerned to learn that certain GPs who specialise in skin lesions are classifying themselves as specialists</w:t>
      </w:r>
      <w:r>
        <w:rPr>
          <w:rFonts w:eastAsiaTheme="minorHAnsi"/>
          <w:lang w:val="en-AU"/>
        </w:rPr>
        <w:t xml:space="preserve">. </w:t>
      </w:r>
      <w:r w:rsidR="00F04A4E" w:rsidRPr="00B2220D">
        <w:rPr>
          <w:rFonts w:eastAsiaTheme="minorHAnsi"/>
          <w:lang w:val="en-AU"/>
        </w:rPr>
        <w:t>The Committee decided to address this issue by changing this wording to “AMC recognised dermatologist</w:t>
      </w:r>
      <w:r w:rsidR="006F6055" w:rsidRPr="00B2220D">
        <w:rPr>
          <w:rFonts w:eastAsiaTheme="minorHAnsi"/>
          <w:lang w:val="en-AU"/>
        </w:rPr>
        <w:t>.</w:t>
      </w:r>
      <w:r>
        <w:rPr>
          <w:rFonts w:eastAsiaTheme="minorHAnsi"/>
          <w:lang w:val="en-AU"/>
        </w:rPr>
        <w:t>”</w:t>
      </w:r>
    </w:p>
    <w:p w14:paraId="577852B2" w14:textId="77777777" w:rsidR="00381765" w:rsidRPr="00B0157E" w:rsidRDefault="00BE5C90" w:rsidP="00C33ED9">
      <w:pPr>
        <w:pStyle w:val="Heading2"/>
        <w:rPr>
          <w:lang w:val="en-AU"/>
        </w:rPr>
      </w:pPr>
      <w:bookmarkStart w:id="187" w:name="_Toc458774445"/>
      <w:bookmarkStart w:id="188" w:name="_Toc465871883"/>
      <w:r w:rsidRPr="00B0157E">
        <w:rPr>
          <w:lang w:val="en-AU"/>
        </w:rPr>
        <w:lastRenderedPageBreak/>
        <w:t>Laser resurfacing for face or neck</w:t>
      </w:r>
      <w:r w:rsidR="00F8128D" w:rsidRPr="00B0157E">
        <w:rPr>
          <w:lang w:val="en-AU"/>
        </w:rPr>
        <w:t>:</w:t>
      </w:r>
      <w:r w:rsidRPr="00B0157E">
        <w:rPr>
          <w:lang w:val="en-AU"/>
        </w:rPr>
        <w:t xml:space="preserve"> </w:t>
      </w:r>
      <w:r w:rsidR="00F8128D" w:rsidRPr="00B0157E">
        <w:rPr>
          <w:lang w:val="en-AU"/>
        </w:rPr>
        <w:t>I</w:t>
      </w:r>
      <w:r w:rsidR="00381765" w:rsidRPr="00B0157E">
        <w:rPr>
          <w:lang w:val="en-AU"/>
        </w:rPr>
        <w:t>tem</w:t>
      </w:r>
      <w:r w:rsidRPr="00B0157E">
        <w:rPr>
          <w:lang w:val="en-AU"/>
        </w:rPr>
        <w:t>s</w:t>
      </w:r>
      <w:r w:rsidR="00381765" w:rsidRPr="00B0157E">
        <w:rPr>
          <w:lang w:val="en-AU"/>
        </w:rPr>
        <w:t xml:space="preserve"> 4502</w:t>
      </w:r>
      <w:r w:rsidRPr="00B0157E">
        <w:rPr>
          <w:lang w:val="en-AU"/>
        </w:rPr>
        <w:t>5</w:t>
      </w:r>
      <w:r w:rsidR="00F50071" w:rsidRPr="00B0157E">
        <w:rPr>
          <w:lang w:val="en-AU"/>
        </w:rPr>
        <w:t xml:space="preserve"> and </w:t>
      </w:r>
      <w:r w:rsidRPr="00B0157E">
        <w:rPr>
          <w:lang w:val="en-AU"/>
        </w:rPr>
        <w:t>45026</w:t>
      </w:r>
      <w:bookmarkEnd w:id="187"/>
      <w:bookmarkEnd w:id="188"/>
      <w:r w:rsidR="00381765" w:rsidRPr="00B0157E">
        <w:rPr>
          <w:lang w:val="en-AU"/>
        </w:rPr>
        <w:t xml:space="preserve"> </w:t>
      </w:r>
    </w:p>
    <w:p w14:paraId="3E094CE8" w14:textId="77777777" w:rsidR="006073FA" w:rsidRPr="00B0157E" w:rsidRDefault="006073FA" w:rsidP="00C33ED9">
      <w:pPr>
        <w:pStyle w:val="Caption"/>
        <w:rPr>
          <w:lang w:val="en-AU"/>
        </w:rPr>
      </w:pPr>
      <w:bookmarkStart w:id="189" w:name="_Toc457520577"/>
      <w:bookmarkStart w:id="190" w:name="_Toc459236305"/>
      <w:bookmarkStart w:id="191" w:name="_Toc465871840"/>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17</w:t>
      </w:r>
      <w:r w:rsidR="00C1346F" w:rsidRPr="00B0157E">
        <w:rPr>
          <w:lang w:val="en-AU"/>
        </w:rPr>
        <w:fldChar w:fldCharType="end"/>
      </w:r>
      <w:r w:rsidRPr="00B0157E">
        <w:rPr>
          <w:lang w:val="en-AU"/>
        </w:rPr>
        <w:t xml:space="preserve">: </w:t>
      </w:r>
      <w:r w:rsidR="00064E5C" w:rsidRPr="00B0157E">
        <w:rPr>
          <w:lang w:val="en-AU"/>
        </w:rPr>
        <w:t xml:space="preserve">Item introduction table for items </w:t>
      </w:r>
      <w:r w:rsidRPr="00B0157E">
        <w:rPr>
          <w:lang w:val="en-AU"/>
        </w:rPr>
        <w:t>45025</w:t>
      </w:r>
      <w:r w:rsidR="00064E5C" w:rsidRPr="00B0157E">
        <w:rPr>
          <w:lang w:val="en-AU"/>
        </w:rPr>
        <w:t>–</w:t>
      </w:r>
      <w:r w:rsidRPr="00B0157E">
        <w:rPr>
          <w:lang w:val="en-AU"/>
        </w:rPr>
        <w:t>6</w:t>
      </w:r>
      <w:bookmarkEnd w:id="189"/>
      <w:bookmarkEnd w:id="190"/>
      <w:bookmarkEnd w:id="191"/>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7 is an item introduction table for items 45025 and 45026 which are for laser resurfacing for face or neck.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6073FA" w:rsidRPr="00B0157E" w14:paraId="568BE4D8" w14:textId="77777777">
        <w:trPr>
          <w:tblHeader/>
        </w:trPr>
        <w:tc>
          <w:tcPr>
            <w:tcW w:w="717" w:type="dxa"/>
            <w:shd w:val="clear" w:color="auto" w:fill="F2F2F2" w:themeFill="background1" w:themeFillShade="F2"/>
            <w:vAlign w:val="bottom"/>
          </w:tcPr>
          <w:p w14:paraId="05D83CBF" w14:textId="77777777" w:rsidR="006073FA" w:rsidRPr="00B0157E" w:rsidRDefault="006073FA" w:rsidP="007F2036">
            <w:pPr>
              <w:pStyle w:val="02Tabletext"/>
              <w:spacing w:after="20"/>
              <w:rPr>
                <w:b/>
              </w:rPr>
            </w:pPr>
            <w:r w:rsidRPr="00B0157E">
              <w:rPr>
                <w:b/>
              </w:rPr>
              <w:t>Item</w:t>
            </w:r>
          </w:p>
        </w:tc>
        <w:tc>
          <w:tcPr>
            <w:tcW w:w="4119" w:type="dxa"/>
            <w:shd w:val="clear" w:color="auto" w:fill="F2F2F2" w:themeFill="background1" w:themeFillShade="F2"/>
            <w:vAlign w:val="bottom"/>
          </w:tcPr>
          <w:p w14:paraId="539F2468" w14:textId="77777777" w:rsidR="006073FA" w:rsidRPr="00B0157E" w:rsidRDefault="006073FA" w:rsidP="007F2036">
            <w:pPr>
              <w:pStyle w:val="02Tabletext"/>
              <w:spacing w:after="20"/>
              <w:rPr>
                <w:b/>
              </w:rPr>
            </w:pPr>
            <w:r w:rsidRPr="00B0157E">
              <w:rPr>
                <w:b/>
              </w:rPr>
              <w:t>Descriptor</w:t>
            </w:r>
          </w:p>
          <w:p w14:paraId="1B448C64" w14:textId="77777777" w:rsidR="006073FA" w:rsidRPr="00B0157E" w:rsidRDefault="006073FA" w:rsidP="007F2036">
            <w:pPr>
              <w:pStyle w:val="02Tabletext"/>
              <w:spacing w:after="20"/>
              <w:rPr>
                <w:b/>
              </w:rPr>
            </w:pPr>
            <w:r w:rsidRPr="00B0157E">
              <w:rPr>
                <w:b/>
              </w:rPr>
              <w:t>[date last amended]</w:t>
            </w:r>
          </w:p>
        </w:tc>
        <w:tc>
          <w:tcPr>
            <w:tcW w:w="917" w:type="dxa"/>
            <w:shd w:val="clear" w:color="auto" w:fill="F2F2F2" w:themeFill="background1" w:themeFillShade="F2"/>
            <w:vAlign w:val="bottom"/>
          </w:tcPr>
          <w:p w14:paraId="2FCA8D4E" w14:textId="77777777" w:rsidR="006073FA" w:rsidRPr="00B0157E" w:rsidRDefault="006073FA" w:rsidP="007F2036">
            <w:pPr>
              <w:pStyle w:val="02Tabletext"/>
              <w:spacing w:after="20"/>
              <w:rPr>
                <w:b/>
              </w:rPr>
            </w:pPr>
            <w:r w:rsidRPr="00B0157E">
              <w:rPr>
                <w:b/>
              </w:rPr>
              <w:t>Schedule</w:t>
            </w:r>
          </w:p>
          <w:p w14:paraId="089BACED" w14:textId="77777777" w:rsidR="006073FA" w:rsidRPr="00B0157E" w:rsidRDefault="006073FA" w:rsidP="007F2036">
            <w:pPr>
              <w:pStyle w:val="02Tabletext"/>
              <w:spacing w:after="20"/>
              <w:rPr>
                <w:b/>
              </w:rPr>
            </w:pPr>
            <w:r w:rsidRPr="00B0157E">
              <w:rPr>
                <w:b/>
              </w:rPr>
              <w:t>fee</w:t>
            </w:r>
          </w:p>
        </w:tc>
        <w:tc>
          <w:tcPr>
            <w:tcW w:w="997" w:type="dxa"/>
            <w:shd w:val="clear" w:color="auto" w:fill="F2F2F2" w:themeFill="background1" w:themeFillShade="F2"/>
            <w:vAlign w:val="bottom"/>
          </w:tcPr>
          <w:p w14:paraId="5745AD6E" w14:textId="77777777" w:rsidR="006073FA" w:rsidRPr="00B0157E" w:rsidRDefault="006073FA" w:rsidP="007F2036">
            <w:pPr>
              <w:pStyle w:val="02Tabletext"/>
              <w:spacing w:after="20"/>
              <w:rPr>
                <w:b/>
              </w:rPr>
            </w:pPr>
            <w:r w:rsidRPr="00B0157E">
              <w:rPr>
                <w:b/>
              </w:rPr>
              <w:t>Services FY2014/15</w:t>
            </w:r>
          </w:p>
        </w:tc>
        <w:tc>
          <w:tcPr>
            <w:tcW w:w="1080" w:type="dxa"/>
            <w:shd w:val="clear" w:color="auto" w:fill="F2F2F2" w:themeFill="background1" w:themeFillShade="F2"/>
            <w:vAlign w:val="bottom"/>
          </w:tcPr>
          <w:p w14:paraId="271B2AAE" w14:textId="77777777" w:rsidR="006073FA" w:rsidRPr="00B0157E" w:rsidRDefault="006073FA" w:rsidP="007F2036">
            <w:pPr>
              <w:pStyle w:val="02Tabletext"/>
              <w:spacing w:after="20"/>
              <w:rPr>
                <w:b/>
              </w:rPr>
            </w:pPr>
            <w:r w:rsidRPr="00B0157E">
              <w:rPr>
                <w:b/>
              </w:rPr>
              <w:t>Benefits FY2014/15</w:t>
            </w:r>
          </w:p>
        </w:tc>
        <w:tc>
          <w:tcPr>
            <w:tcW w:w="1196" w:type="dxa"/>
            <w:shd w:val="clear" w:color="auto" w:fill="F2F2F2" w:themeFill="background1" w:themeFillShade="F2"/>
            <w:vAlign w:val="bottom"/>
          </w:tcPr>
          <w:p w14:paraId="58412742" w14:textId="77777777" w:rsidR="006073FA" w:rsidRPr="00B0157E" w:rsidRDefault="009A7890" w:rsidP="007F2036">
            <w:pPr>
              <w:pStyle w:val="02Tabletext"/>
              <w:spacing w:after="20"/>
              <w:rPr>
                <w:b/>
              </w:rPr>
            </w:pPr>
            <w:r>
              <w:rPr>
                <w:b/>
              </w:rPr>
              <w:t>Services 5-</w:t>
            </w:r>
            <w:r w:rsidR="006073FA" w:rsidRPr="00B0157E">
              <w:rPr>
                <w:b/>
              </w:rPr>
              <w:t>year annual avg. growth</w:t>
            </w:r>
          </w:p>
        </w:tc>
      </w:tr>
      <w:tr w:rsidR="006073FA" w:rsidRPr="00B0157E" w14:paraId="7783F89F" w14:textId="77777777">
        <w:tc>
          <w:tcPr>
            <w:tcW w:w="717" w:type="dxa"/>
          </w:tcPr>
          <w:p w14:paraId="4FD71274" w14:textId="77777777" w:rsidR="006073FA" w:rsidRPr="00B0157E" w:rsidRDefault="00D321AA" w:rsidP="007F2036">
            <w:pPr>
              <w:pStyle w:val="02Tabletext"/>
              <w:spacing w:after="20"/>
            </w:pPr>
            <w:r w:rsidRPr="00B0157E">
              <w:t>45025</w:t>
            </w:r>
          </w:p>
        </w:tc>
        <w:tc>
          <w:tcPr>
            <w:tcW w:w="4119" w:type="dxa"/>
          </w:tcPr>
          <w:p w14:paraId="08EBB9C5" w14:textId="77777777" w:rsidR="006073FA" w:rsidRPr="00B0157E" w:rsidRDefault="00E178EF" w:rsidP="007F2036">
            <w:pPr>
              <w:pStyle w:val="02Tabletext"/>
              <w:spacing w:after="20"/>
            </w:pPr>
            <w:r w:rsidRPr="00B0157E">
              <w:t>C</w:t>
            </w:r>
            <w:r w:rsidR="00D321AA" w:rsidRPr="00B0157E">
              <w:t xml:space="preserve">arbon dioxide laser or erbium laser (not including fractional laser therapy) resurfacing of the face or neck for severely disfiguring scarring resulting from trauma, burns or acne </w:t>
            </w:r>
            <w:r w:rsidRPr="00B0157E">
              <w:t>–</w:t>
            </w:r>
            <w:r w:rsidR="00D321AA" w:rsidRPr="00B0157E">
              <w:t xml:space="preserve"> limited to 1 aesthetic area</w:t>
            </w:r>
            <w:r w:rsidRPr="00B0157E">
              <w:t>.</w:t>
            </w:r>
            <w:r w:rsidR="00D321AA" w:rsidRPr="00B0157E">
              <w:t xml:space="preserve"> (Anaes.)</w:t>
            </w:r>
            <w:r w:rsidR="00FA5624" w:rsidRPr="00B0157E">
              <w:t xml:space="preserve"> [2007]</w:t>
            </w:r>
          </w:p>
        </w:tc>
        <w:tc>
          <w:tcPr>
            <w:tcW w:w="917" w:type="dxa"/>
          </w:tcPr>
          <w:p w14:paraId="564274EF" w14:textId="77777777" w:rsidR="006073FA" w:rsidRPr="00B0157E" w:rsidRDefault="00D321AA" w:rsidP="007F2036">
            <w:pPr>
              <w:pStyle w:val="02Tabletext"/>
              <w:spacing w:after="20"/>
              <w:jc w:val="center"/>
            </w:pPr>
            <w:r w:rsidRPr="00B0157E">
              <w:t>$177.35</w:t>
            </w:r>
          </w:p>
        </w:tc>
        <w:tc>
          <w:tcPr>
            <w:tcW w:w="997" w:type="dxa"/>
          </w:tcPr>
          <w:p w14:paraId="4E8CE1C5" w14:textId="77777777" w:rsidR="006073FA" w:rsidRPr="00B0157E" w:rsidRDefault="00D321AA" w:rsidP="007F2036">
            <w:pPr>
              <w:pStyle w:val="02Tabletext"/>
              <w:spacing w:after="20"/>
              <w:jc w:val="center"/>
            </w:pPr>
            <w:r w:rsidRPr="00B0157E">
              <w:t>1,242</w:t>
            </w:r>
          </w:p>
        </w:tc>
        <w:tc>
          <w:tcPr>
            <w:tcW w:w="1080" w:type="dxa"/>
          </w:tcPr>
          <w:p w14:paraId="0DBE2074" w14:textId="77777777" w:rsidR="006073FA" w:rsidRPr="00B0157E" w:rsidRDefault="00D321AA" w:rsidP="007F2036">
            <w:pPr>
              <w:pStyle w:val="02Tabletext"/>
              <w:spacing w:after="20"/>
              <w:jc w:val="center"/>
            </w:pPr>
            <w:r w:rsidRPr="00B0157E">
              <w:t>$197,064</w:t>
            </w:r>
          </w:p>
        </w:tc>
        <w:tc>
          <w:tcPr>
            <w:tcW w:w="1196" w:type="dxa"/>
          </w:tcPr>
          <w:p w14:paraId="51EFCC78" w14:textId="77777777" w:rsidR="006073FA" w:rsidRPr="00B0157E" w:rsidRDefault="00FA5624" w:rsidP="007F2036">
            <w:pPr>
              <w:pStyle w:val="02Tabletext"/>
              <w:spacing w:after="20"/>
              <w:jc w:val="center"/>
            </w:pPr>
            <w:r w:rsidRPr="00B0157E">
              <w:t>29.0%</w:t>
            </w:r>
          </w:p>
        </w:tc>
      </w:tr>
      <w:tr w:rsidR="00771A65" w:rsidRPr="00B0157E" w14:paraId="14719AF2" w14:textId="77777777">
        <w:tc>
          <w:tcPr>
            <w:tcW w:w="717" w:type="dxa"/>
          </w:tcPr>
          <w:p w14:paraId="1CE5F495" w14:textId="77777777" w:rsidR="00771A65" w:rsidRPr="00B0157E" w:rsidRDefault="00771A65" w:rsidP="007F2036">
            <w:pPr>
              <w:pStyle w:val="02Tabletext"/>
              <w:spacing w:after="20"/>
            </w:pPr>
            <w:r w:rsidRPr="00B0157E">
              <w:t>45026</w:t>
            </w:r>
          </w:p>
        </w:tc>
        <w:tc>
          <w:tcPr>
            <w:tcW w:w="4119" w:type="dxa"/>
          </w:tcPr>
          <w:p w14:paraId="3CE4C5AE" w14:textId="77777777" w:rsidR="00771A65" w:rsidRPr="00B0157E" w:rsidRDefault="00E178EF" w:rsidP="007F2036">
            <w:pPr>
              <w:pStyle w:val="02Tabletext"/>
              <w:spacing w:after="20"/>
            </w:pPr>
            <w:r w:rsidRPr="00B0157E">
              <w:t>C</w:t>
            </w:r>
            <w:r w:rsidR="00771A65" w:rsidRPr="00B0157E">
              <w:t xml:space="preserve">arbon dioxide laser or erbium laser (not including fractional laser therapy) resurfacing of the face or neck for severely disfiguring scarring resulting from trauma, burns or acne </w:t>
            </w:r>
            <w:r w:rsidRPr="00B0157E">
              <w:t>–</w:t>
            </w:r>
            <w:r w:rsidR="00771A65" w:rsidRPr="00B0157E">
              <w:t xml:space="preserve"> more than 1 aesthetic area</w:t>
            </w:r>
            <w:r w:rsidRPr="00B0157E">
              <w:t>.</w:t>
            </w:r>
            <w:r w:rsidR="00771A65" w:rsidRPr="00B0157E">
              <w:t xml:space="preserve"> (Anaes.)</w:t>
            </w:r>
            <w:r w:rsidR="00FA5624" w:rsidRPr="00B0157E">
              <w:t xml:space="preserve"> [2007]</w:t>
            </w:r>
          </w:p>
        </w:tc>
        <w:tc>
          <w:tcPr>
            <w:tcW w:w="917" w:type="dxa"/>
          </w:tcPr>
          <w:p w14:paraId="2F807DFA" w14:textId="77777777" w:rsidR="00771A65" w:rsidRPr="00B0157E" w:rsidRDefault="00771A65" w:rsidP="007F2036">
            <w:pPr>
              <w:pStyle w:val="02Tabletext"/>
              <w:spacing w:after="20"/>
              <w:jc w:val="center"/>
            </w:pPr>
            <w:r w:rsidRPr="00B0157E">
              <w:t>$398.55</w:t>
            </w:r>
          </w:p>
        </w:tc>
        <w:tc>
          <w:tcPr>
            <w:tcW w:w="997" w:type="dxa"/>
          </w:tcPr>
          <w:p w14:paraId="6F6DAA85" w14:textId="77777777" w:rsidR="00771A65" w:rsidRPr="00B0157E" w:rsidRDefault="00771A65" w:rsidP="007F2036">
            <w:pPr>
              <w:pStyle w:val="02Tabletext"/>
              <w:spacing w:after="20"/>
              <w:jc w:val="center"/>
            </w:pPr>
            <w:r w:rsidRPr="00B0157E">
              <w:t>1,656</w:t>
            </w:r>
          </w:p>
        </w:tc>
        <w:tc>
          <w:tcPr>
            <w:tcW w:w="1080" w:type="dxa"/>
          </w:tcPr>
          <w:p w14:paraId="5D33B430" w14:textId="77777777" w:rsidR="00771A65" w:rsidRPr="00B0157E" w:rsidRDefault="00771A65" w:rsidP="007F2036">
            <w:pPr>
              <w:pStyle w:val="02Tabletext"/>
              <w:spacing w:after="20"/>
              <w:jc w:val="center"/>
            </w:pPr>
            <w:r w:rsidRPr="00B0157E">
              <w:t>$655,439</w:t>
            </w:r>
          </w:p>
        </w:tc>
        <w:tc>
          <w:tcPr>
            <w:tcW w:w="1196" w:type="dxa"/>
          </w:tcPr>
          <w:p w14:paraId="239489A7" w14:textId="77777777" w:rsidR="00771A65" w:rsidRPr="00B0157E" w:rsidRDefault="00FA5624" w:rsidP="007F2036">
            <w:pPr>
              <w:pStyle w:val="02Tabletext"/>
              <w:spacing w:after="20"/>
              <w:jc w:val="center"/>
            </w:pPr>
            <w:r w:rsidRPr="00B0157E">
              <w:t>16.0%</w:t>
            </w:r>
          </w:p>
        </w:tc>
      </w:tr>
    </w:tbl>
    <w:p w14:paraId="6551F022" w14:textId="77777777" w:rsidR="00D57117" w:rsidRPr="00B0157E" w:rsidRDefault="00220A5F" w:rsidP="00C33ED9">
      <w:pPr>
        <w:rPr>
          <w:b/>
          <w:lang w:val="en-AU"/>
        </w:rPr>
      </w:pPr>
      <w:r w:rsidRPr="00B0157E">
        <w:rPr>
          <w:b/>
          <w:lang w:val="en-AU"/>
        </w:rPr>
        <w:t>Recommendations</w:t>
      </w:r>
    </w:p>
    <w:p w14:paraId="1376275D" w14:textId="77777777" w:rsidR="006F32C3" w:rsidRPr="00B0157E" w:rsidRDefault="00D57117">
      <w:pPr>
        <w:pStyle w:val="01squarebullet"/>
        <w:rPr>
          <w:lang w:val="en-AU"/>
        </w:rPr>
      </w:pPr>
      <w:r w:rsidRPr="00B0157E">
        <w:rPr>
          <w:lang w:val="en-AU"/>
        </w:rPr>
        <w:t xml:space="preserve">Add the use of fractional ablative lasers (Erbium and CO2) to the item. </w:t>
      </w:r>
    </w:p>
    <w:p w14:paraId="36D0DA8D" w14:textId="77777777" w:rsidR="00D57117" w:rsidRPr="00B0157E" w:rsidRDefault="006F32C3">
      <w:pPr>
        <w:pStyle w:val="01squarebullet"/>
        <w:rPr>
          <w:lang w:val="en-AU"/>
        </w:rPr>
      </w:pPr>
      <w:r w:rsidRPr="00B0157E">
        <w:rPr>
          <w:lang w:val="en-AU"/>
        </w:rPr>
        <w:t xml:space="preserve">Add </w:t>
      </w:r>
      <w:r w:rsidR="00ED0717" w:rsidRPr="00B0157E">
        <w:rPr>
          <w:lang w:val="en-AU"/>
        </w:rPr>
        <w:t>the words “non-</w:t>
      </w:r>
      <w:r w:rsidR="00D57117" w:rsidRPr="00B0157E">
        <w:rPr>
          <w:lang w:val="en-AU"/>
        </w:rPr>
        <w:t xml:space="preserve">ablative” to the bracketed part of the </w:t>
      </w:r>
      <w:r w:rsidR="00AE04A6" w:rsidRPr="00B0157E">
        <w:rPr>
          <w:lang w:val="en-AU"/>
        </w:rPr>
        <w:t xml:space="preserve">item </w:t>
      </w:r>
      <w:r w:rsidR="00D57117" w:rsidRPr="00B0157E">
        <w:rPr>
          <w:lang w:val="en-AU"/>
        </w:rPr>
        <w:t>descri</w:t>
      </w:r>
      <w:r w:rsidR="00ED0717" w:rsidRPr="00B0157E">
        <w:rPr>
          <w:lang w:val="en-AU"/>
        </w:rPr>
        <w:t>ptor</w:t>
      </w:r>
      <w:r w:rsidR="00A96A03" w:rsidRPr="00B0157E">
        <w:rPr>
          <w:lang w:val="en-AU"/>
        </w:rPr>
        <w:t xml:space="preserve">. For example, </w:t>
      </w:r>
      <w:r w:rsidR="006B7AEE" w:rsidRPr="00B0157E">
        <w:rPr>
          <w:lang w:val="en-AU"/>
        </w:rPr>
        <w:t>(</w:t>
      </w:r>
      <w:r w:rsidR="00ED0717" w:rsidRPr="00B0157E">
        <w:rPr>
          <w:lang w:val="en-AU"/>
        </w:rPr>
        <w:t>“excluding non-</w:t>
      </w:r>
      <w:r w:rsidR="00D57117" w:rsidRPr="00B0157E">
        <w:rPr>
          <w:lang w:val="en-AU"/>
        </w:rPr>
        <w:t>ablative fractional laser therapy</w:t>
      </w:r>
      <w:r w:rsidRPr="00B0157E">
        <w:rPr>
          <w:lang w:val="en-AU"/>
        </w:rPr>
        <w:t>”</w:t>
      </w:r>
      <w:r w:rsidR="006B7AEE" w:rsidRPr="00B0157E">
        <w:rPr>
          <w:lang w:val="en-AU"/>
        </w:rPr>
        <w:t>)</w:t>
      </w:r>
      <w:r w:rsidR="00D57117" w:rsidRPr="00B0157E">
        <w:rPr>
          <w:lang w:val="en-AU"/>
        </w:rPr>
        <w:t>.</w:t>
      </w:r>
    </w:p>
    <w:p w14:paraId="055D1CCE" w14:textId="77777777" w:rsidR="00D57117" w:rsidRPr="00B0157E" w:rsidRDefault="00D57117" w:rsidP="00C33ED9">
      <w:pPr>
        <w:rPr>
          <w:b/>
          <w:lang w:val="en-AU"/>
        </w:rPr>
      </w:pPr>
      <w:r w:rsidRPr="00B0157E">
        <w:rPr>
          <w:b/>
          <w:lang w:val="en-AU"/>
        </w:rPr>
        <w:t xml:space="preserve">Rationale </w:t>
      </w:r>
    </w:p>
    <w:p w14:paraId="6026CC8C" w14:textId="77777777" w:rsidR="00ED0717" w:rsidRPr="00B0157E" w:rsidRDefault="005A5471" w:rsidP="00AC4DC4">
      <w:pPr>
        <w:rPr>
          <w:lang w:val="en-AU"/>
        </w:rPr>
      </w:pPr>
      <w:r w:rsidRPr="00B0157E">
        <w:rPr>
          <w:lang w:val="en-AU"/>
        </w:rPr>
        <w:t>The</w:t>
      </w:r>
      <w:r w:rsidR="003162EC" w:rsidRPr="00B0157E">
        <w:rPr>
          <w:lang w:val="en-AU"/>
        </w:rPr>
        <w:t xml:space="preserve"> recommendations focus on </w:t>
      </w:r>
      <w:r w:rsidR="00D57117" w:rsidRPr="00B0157E">
        <w:rPr>
          <w:lang w:val="en-AU"/>
        </w:rPr>
        <w:t>improv</w:t>
      </w:r>
      <w:r w:rsidR="003162EC" w:rsidRPr="00B0157E">
        <w:rPr>
          <w:lang w:val="en-AU"/>
        </w:rPr>
        <w:t>ing</w:t>
      </w:r>
      <w:r w:rsidR="00D57117" w:rsidRPr="00B0157E">
        <w:rPr>
          <w:lang w:val="en-AU"/>
        </w:rPr>
        <w:t xml:space="preserve"> patient care and safety</w:t>
      </w:r>
      <w:r w:rsidR="008F4A09" w:rsidRPr="00B0157E">
        <w:rPr>
          <w:lang w:val="en-AU"/>
        </w:rPr>
        <w:t>. They are based on the following observation.</w:t>
      </w:r>
      <w:r w:rsidR="004A352E">
        <w:rPr>
          <w:lang w:val="en-AU"/>
        </w:rPr>
        <w:t xml:space="preserve"> </w:t>
      </w:r>
    </w:p>
    <w:p w14:paraId="4B81FC29" w14:textId="77777777" w:rsidR="000E4CD6" w:rsidRPr="00B0157E" w:rsidRDefault="00853BA6">
      <w:pPr>
        <w:pStyle w:val="01squarebullet"/>
        <w:rPr>
          <w:lang w:val="en-AU"/>
        </w:rPr>
      </w:pPr>
      <w:r w:rsidRPr="00B0157E">
        <w:rPr>
          <w:lang w:val="en-AU"/>
        </w:rPr>
        <w:t>E</w:t>
      </w:r>
      <w:r w:rsidR="00D57117" w:rsidRPr="00B0157E">
        <w:rPr>
          <w:lang w:val="en-AU"/>
        </w:rPr>
        <w:t>vidence indicat</w:t>
      </w:r>
      <w:r w:rsidR="00D01E61" w:rsidRPr="00B0157E">
        <w:rPr>
          <w:lang w:val="en-AU"/>
        </w:rPr>
        <w:t>es</w:t>
      </w:r>
      <w:r w:rsidR="00D57117" w:rsidRPr="00B0157E">
        <w:rPr>
          <w:lang w:val="en-AU"/>
        </w:rPr>
        <w:t xml:space="preserve"> that equivalent results </w:t>
      </w:r>
      <w:r w:rsidR="00FB23AB" w:rsidRPr="00B0157E">
        <w:rPr>
          <w:lang w:val="en-AU"/>
        </w:rPr>
        <w:t>can be obtained</w:t>
      </w:r>
      <w:r w:rsidR="00D57117" w:rsidRPr="00B0157E">
        <w:rPr>
          <w:lang w:val="en-AU"/>
        </w:rPr>
        <w:t xml:space="preserve"> using fractionated lasers</w:t>
      </w:r>
      <w:r w:rsidR="00BE3657" w:rsidRPr="00B0157E">
        <w:rPr>
          <w:lang w:val="en-AU"/>
        </w:rPr>
        <w:t>, and that</w:t>
      </w:r>
      <w:r w:rsidR="008308D0" w:rsidRPr="00B0157E">
        <w:rPr>
          <w:lang w:val="en-AU"/>
        </w:rPr>
        <w:t xml:space="preserve"> </w:t>
      </w:r>
      <w:r w:rsidR="00D57117" w:rsidRPr="00B0157E">
        <w:rPr>
          <w:lang w:val="en-AU"/>
        </w:rPr>
        <w:t xml:space="preserve">using fractionated laser systems </w:t>
      </w:r>
      <w:r w:rsidR="00BE3657" w:rsidRPr="00B0157E">
        <w:rPr>
          <w:lang w:val="en-AU"/>
        </w:rPr>
        <w:t xml:space="preserve">may </w:t>
      </w:r>
      <w:r w:rsidR="00D57117" w:rsidRPr="00B0157E">
        <w:rPr>
          <w:lang w:val="en-AU"/>
        </w:rPr>
        <w:t>improve the safety of this procedure</w:t>
      </w:r>
      <w:r w:rsidR="003B599C" w:rsidRPr="00B0157E">
        <w:rPr>
          <w:lang w:val="en-AU"/>
        </w:rPr>
        <w:t>.</w:t>
      </w:r>
      <w:r w:rsidR="00C1346F" w:rsidRPr="00B0157E">
        <w:rPr>
          <w:lang w:val="en-AU"/>
        </w:rPr>
        <w:fldChar w:fldCharType="begin" w:fldLock="1"/>
      </w:r>
      <w:r w:rsidR="00C47315" w:rsidRPr="00B0157E">
        <w:rPr>
          <w:lang w:val="en-AU"/>
        </w:rPr>
        <w:instrText>ADDIN CSL_CITATION { "citationItems" : [ { "id" : "ITEM-1", "itemData" : { "DOI" : "10.1001/jamadermatol.2013.7761", "ISSN" : "2168-6084", "PMID" : "24336931", "abstract" : "IMPORTANCE Despite expert wound care and assiduous management with traditional therapy, poor cosmetic outcomes, restricted motion, and symptoms such as pain and itch are a pervasive problem of disfiguring and debilitating scars. The advent of ablative fractional photothermolysis within the past decade and its application to the treatment of traumatic scars represents a breakthrough in the restoration of function and cosmetic appearance for injured patients, but the procedure is not widely used. OBJECTIVE To provide a synthesis of our current clinical experience and available literature regarding the laser treatment of traumatic scars with an emphasis on fractional resurfacing. EVIDENCE REVIEW Eight independent, self-selected academic and military dermatology and plastic surgery physicians with extensive experience in the use of lasers for scar treatment assembled for a 2-day ad hoc meeting on January 19 and 20, 2012. Consensus was based largely on expert opinion, but relevant literature was cited where it exists. FINDINGS After consensus was appraised, we drafted the manuscript in sections during the course of several months. The draft was then circulated among all panel members for final review and comment. Our consensus is that laser treatment, particularly ablative fractional resurfacing, deserves a prominent role in future scar treatment paradigms, with the possible inclusion of early intervention for contracture avoidance and assistance with wound healing. CONCLUSIONS AND RELEVANCE Laser scar therapy, particularly fractional ablative laser resurfacing, represents a promising and vastly underused tool in the multidisciplinary treatment of traumatic scars. Changes to existing scar treatment paradigms should include extensive integration of fractional resurfacing and other combination therapies guided by future research.", "author" : [ { "dropping-particle" : "", "family" : "Anderson", "given" : "R Rox", "non-dropping-particle" : "", "parse-names" : false, "suffix" : "" }, { "dropping-particle" : "", "family" : "Donelan", "given" : "Matthias B", "non-dropping-particle" : "", "parse-names" : false, "suffix" : "" }, { "dropping-particle" : "", "family" : "Hivnor", "given" : "Chad", "non-dropping-particle" : "", "parse-names" : false, "suffix" : "" }, { "dropping-particle" : "", "family" : "Greeson", "given" : "Eric", "non-dropping-particle" : "", "parse-names" : false, "suffix" : "" }, { "dropping-particle" : "", "family" : "Ross", "given" : "E Victor", "non-dropping-particle" : "", "parse-names" : false, "suffix" : "" }, { "dropping-particle" : "", "family" : "Shumaker", "given" : "Peter R", "non-dropping-particle" : "", "parse-names" : false, "suffix" : "" }, { "dropping-particle" : "", "family" : "Uebelhoer", "given" : "Nathan S", "non-dropping-particle" : "", "parse-names" : false, "suffix" : "" }, { "dropping-particle" : "", "family" : "Waibel", "given" : "Jill S", "non-dropping-particle" : "", "parse-names" : false, "suffix" : "" } ], "container-title" : "JAMA dermatology", "id" : "ITEM-1", "issue" : "2", "issued" : { "date-parts" : [ [ "2014", "2" ] ] }, "page" : "187-93", "title" : "Laser treatment of traumatic scars with an emphasis on ablative fractional laser resurfacing: consensus report.", "type" : "article-journal", "volume" : "150" }, "uris" : [ "http://www.mendeley.com/documents/?uuid=e534873a-d72a-3a60-a3aa-18d7f4a229a6" ] }, { "id" : "ITEM-2", "itemData" : { "DOI" : "10.1055/s-0032-1329413", "ISSN" : "1535-2188", "PMID" : "23904818", "abstract" : "Numerous laser platforms exist that rejuvenate the skin by resurfacing its upper layers. In varying degrees, these lasers improve the appearance of lentigines and rhytides, eliminate photoaging, soften scarring due to acne and other causes, and treat dyspigmentation. Five major classes of dermatologic lasers are currently in common use: ablative and nonablative lasers in both fractionated and unfractionated forms as well as radiofrequency technologies. The gentler nonablative lasers allow for quicker healing, whereas harsher ablative lasers tend to be more effective. Fractionating either laser distributes the effect, increasing the number of treatments but minimizing downtime and complications. In this review article, the authors seek to inform surgeons about the current laser platforms available, clarify the differences between them, and thereby facilitate the identification of the most appropriate laser for their practice.", "author" : [ { "dropping-particle" : "", "family" : "Preissig", "given" : "Jason", "non-dropping-particle" : "", "parse-names" : false, "suffix" : "" }, { "dropping-particle" : "", "family" : "Hamilton", "given" : "Kristy", "non-dropping-particle" : "", "parse-names" : false, "suffix" : "" }, { "dropping-particle" : "", "family" : "Markus", "given" : "Ramsey", "non-dropping-particle" : "", "parse-names" : false, "suffix" : "" } ], "container-title" : "Seminars in plastic surgery", "id" : "ITEM-2", "issue" : "3", "issued" : { "date-parts" : [ [ "2012", "8" ] ] }, "page" : "109-16", "title" : "Current Laser Resurfacing Technologies: A Review that Delves Beneath the Surface.", "type" : "article-journal", "volume" : "26" }, "uris" : [ "http://www.mendeley.com/documents/?uuid=e05ff7ce-a1d6-388e-8655-c1a4c628737c" ] } ], "mendeley" : { "formattedCitation" : "[39], [40]", "plainTextFormattedCitation" : "[39], [40]", "previouslyFormattedCitation" : "[39], [40]" }, "properties" : { "noteIndex" : 0 }, "schema" : "https://github.com/citation-style-language/schema/raw/master/csl-citation.json" }</w:instrText>
      </w:r>
      <w:r w:rsidR="00C1346F" w:rsidRPr="00B0157E">
        <w:rPr>
          <w:lang w:val="en-AU"/>
        </w:rPr>
        <w:fldChar w:fldCharType="separate"/>
      </w:r>
      <w:r w:rsidR="00010550" w:rsidRPr="00B0157E">
        <w:rPr>
          <w:lang w:val="en-AU"/>
        </w:rPr>
        <w:t>[39], [40]</w:t>
      </w:r>
      <w:r w:rsidR="00C1346F" w:rsidRPr="00B0157E">
        <w:rPr>
          <w:lang w:val="en-AU"/>
        </w:rPr>
        <w:fldChar w:fldCharType="end"/>
      </w:r>
    </w:p>
    <w:p w14:paraId="54B3A0E9" w14:textId="77777777" w:rsidR="00381765" w:rsidRPr="00B0157E" w:rsidRDefault="00D57117" w:rsidP="00C33ED9">
      <w:pPr>
        <w:pStyle w:val="Heading2"/>
        <w:rPr>
          <w:lang w:val="en-AU"/>
        </w:rPr>
      </w:pPr>
      <w:bookmarkStart w:id="192" w:name="_Toc458774446"/>
      <w:bookmarkStart w:id="193" w:name="_Toc465871884"/>
      <w:r w:rsidRPr="00B0157E">
        <w:rPr>
          <w:lang w:val="en-AU"/>
        </w:rPr>
        <w:t>Vermilionectomy using laser</w:t>
      </w:r>
      <w:r w:rsidR="00BB5A91" w:rsidRPr="00B0157E">
        <w:rPr>
          <w:lang w:val="en-AU"/>
        </w:rPr>
        <w:t>:</w:t>
      </w:r>
      <w:r w:rsidRPr="00B0157E">
        <w:rPr>
          <w:lang w:val="en-AU"/>
        </w:rPr>
        <w:t xml:space="preserve"> </w:t>
      </w:r>
      <w:r w:rsidR="00BB5A91" w:rsidRPr="00B0157E">
        <w:rPr>
          <w:lang w:val="en-AU"/>
        </w:rPr>
        <w:t>I</w:t>
      </w:r>
      <w:r w:rsidR="00381765" w:rsidRPr="00B0157E">
        <w:rPr>
          <w:lang w:val="en-AU"/>
        </w:rPr>
        <w:t>tem 45669</w:t>
      </w:r>
      <w:bookmarkEnd w:id="192"/>
      <w:bookmarkEnd w:id="193"/>
      <w:r w:rsidR="00381765" w:rsidRPr="00B0157E">
        <w:rPr>
          <w:lang w:val="en-AU"/>
        </w:rPr>
        <w:t xml:space="preserve"> </w:t>
      </w:r>
    </w:p>
    <w:p w14:paraId="0A30F9B1" w14:textId="77777777" w:rsidR="006E69F4" w:rsidRPr="00B0157E" w:rsidRDefault="006E69F4" w:rsidP="00C33ED9">
      <w:pPr>
        <w:pStyle w:val="Caption"/>
        <w:rPr>
          <w:lang w:val="en-AU"/>
        </w:rPr>
      </w:pPr>
      <w:bookmarkStart w:id="194" w:name="_Toc457520578"/>
      <w:bookmarkStart w:id="195" w:name="_Toc459236306"/>
      <w:bookmarkStart w:id="196" w:name="_Toc465871841"/>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18</w:t>
      </w:r>
      <w:r w:rsidR="00C1346F" w:rsidRPr="00B0157E">
        <w:rPr>
          <w:lang w:val="en-AU"/>
        </w:rPr>
        <w:fldChar w:fldCharType="end"/>
      </w:r>
      <w:r w:rsidRPr="00B0157E">
        <w:rPr>
          <w:lang w:val="en-AU"/>
        </w:rPr>
        <w:t xml:space="preserve">: </w:t>
      </w:r>
      <w:r w:rsidR="00D971AA" w:rsidRPr="00B0157E">
        <w:rPr>
          <w:lang w:val="en-AU"/>
        </w:rPr>
        <w:t xml:space="preserve">Item introduction table for item </w:t>
      </w:r>
      <w:r w:rsidRPr="00B0157E">
        <w:rPr>
          <w:lang w:val="en-AU"/>
        </w:rPr>
        <w:t>45669</w:t>
      </w:r>
      <w:bookmarkEnd w:id="194"/>
      <w:bookmarkEnd w:id="195"/>
      <w:bookmarkEnd w:id="196"/>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8 is an item introduction table for item 45669 which is for vermilionectomy using laser.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6E69F4" w:rsidRPr="00B0157E" w14:paraId="12807DC2" w14:textId="77777777">
        <w:trPr>
          <w:tblHeader/>
        </w:trPr>
        <w:tc>
          <w:tcPr>
            <w:tcW w:w="717" w:type="dxa"/>
            <w:shd w:val="clear" w:color="auto" w:fill="F2F2F2" w:themeFill="background1" w:themeFillShade="F2"/>
            <w:vAlign w:val="bottom"/>
          </w:tcPr>
          <w:p w14:paraId="13E7B61F" w14:textId="77777777" w:rsidR="006E69F4" w:rsidRPr="00B0157E" w:rsidRDefault="006E69F4" w:rsidP="007F2036">
            <w:pPr>
              <w:pStyle w:val="02Tabletext"/>
              <w:spacing w:after="20"/>
              <w:rPr>
                <w:b/>
              </w:rPr>
            </w:pPr>
            <w:r w:rsidRPr="00B0157E">
              <w:rPr>
                <w:b/>
              </w:rPr>
              <w:t>Item</w:t>
            </w:r>
          </w:p>
        </w:tc>
        <w:tc>
          <w:tcPr>
            <w:tcW w:w="4119" w:type="dxa"/>
            <w:shd w:val="clear" w:color="auto" w:fill="F2F2F2" w:themeFill="background1" w:themeFillShade="F2"/>
            <w:vAlign w:val="bottom"/>
          </w:tcPr>
          <w:p w14:paraId="3B428D4B" w14:textId="77777777" w:rsidR="006E69F4" w:rsidRPr="00B0157E" w:rsidRDefault="006E69F4" w:rsidP="007F2036">
            <w:pPr>
              <w:pStyle w:val="02Tabletext"/>
              <w:spacing w:after="20"/>
              <w:rPr>
                <w:b/>
              </w:rPr>
            </w:pPr>
            <w:r w:rsidRPr="00B0157E">
              <w:rPr>
                <w:b/>
              </w:rPr>
              <w:t>Descriptor</w:t>
            </w:r>
          </w:p>
          <w:p w14:paraId="03333B69" w14:textId="77777777" w:rsidR="006E69F4" w:rsidRPr="00B0157E" w:rsidRDefault="006E69F4" w:rsidP="007F2036">
            <w:pPr>
              <w:pStyle w:val="02Tabletext"/>
              <w:spacing w:after="20"/>
              <w:rPr>
                <w:b/>
              </w:rPr>
            </w:pPr>
            <w:r w:rsidRPr="00B0157E">
              <w:rPr>
                <w:b/>
              </w:rPr>
              <w:t>[date last amended]</w:t>
            </w:r>
          </w:p>
        </w:tc>
        <w:tc>
          <w:tcPr>
            <w:tcW w:w="917" w:type="dxa"/>
            <w:shd w:val="clear" w:color="auto" w:fill="F2F2F2" w:themeFill="background1" w:themeFillShade="F2"/>
            <w:vAlign w:val="bottom"/>
          </w:tcPr>
          <w:p w14:paraId="5F7AD15B" w14:textId="77777777" w:rsidR="006E69F4" w:rsidRPr="00B0157E" w:rsidRDefault="006E69F4" w:rsidP="007F2036">
            <w:pPr>
              <w:pStyle w:val="02Tabletext"/>
              <w:spacing w:after="20"/>
              <w:rPr>
                <w:b/>
              </w:rPr>
            </w:pPr>
            <w:r w:rsidRPr="00B0157E">
              <w:rPr>
                <w:b/>
              </w:rPr>
              <w:t>Schedule</w:t>
            </w:r>
          </w:p>
          <w:p w14:paraId="05BE8255" w14:textId="77777777" w:rsidR="006E69F4" w:rsidRPr="00B0157E" w:rsidRDefault="006E69F4" w:rsidP="007F2036">
            <w:pPr>
              <w:pStyle w:val="02Tabletext"/>
              <w:spacing w:after="20"/>
              <w:rPr>
                <w:b/>
              </w:rPr>
            </w:pPr>
            <w:r w:rsidRPr="00B0157E">
              <w:rPr>
                <w:b/>
              </w:rPr>
              <w:t>fee</w:t>
            </w:r>
          </w:p>
        </w:tc>
        <w:tc>
          <w:tcPr>
            <w:tcW w:w="997" w:type="dxa"/>
            <w:shd w:val="clear" w:color="auto" w:fill="F2F2F2" w:themeFill="background1" w:themeFillShade="F2"/>
            <w:vAlign w:val="bottom"/>
          </w:tcPr>
          <w:p w14:paraId="789A9B11" w14:textId="77777777" w:rsidR="006E69F4" w:rsidRPr="00B0157E" w:rsidRDefault="006E69F4" w:rsidP="007F2036">
            <w:pPr>
              <w:pStyle w:val="02Tabletext"/>
              <w:spacing w:after="20"/>
              <w:rPr>
                <w:b/>
              </w:rPr>
            </w:pPr>
            <w:r w:rsidRPr="00B0157E">
              <w:rPr>
                <w:b/>
              </w:rPr>
              <w:t>Services FY2014/15</w:t>
            </w:r>
          </w:p>
        </w:tc>
        <w:tc>
          <w:tcPr>
            <w:tcW w:w="1080" w:type="dxa"/>
            <w:shd w:val="clear" w:color="auto" w:fill="F2F2F2" w:themeFill="background1" w:themeFillShade="F2"/>
            <w:vAlign w:val="bottom"/>
          </w:tcPr>
          <w:p w14:paraId="5E3BD11D" w14:textId="77777777" w:rsidR="006E69F4" w:rsidRPr="00B0157E" w:rsidRDefault="006E69F4" w:rsidP="007F2036">
            <w:pPr>
              <w:pStyle w:val="02Tabletext"/>
              <w:spacing w:after="20"/>
              <w:rPr>
                <w:b/>
              </w:rPr>
            </w:pPr>
            <w:r w:rsidRPr="00B0157E">
              <w:rPr>
                <w:b/>
              </w:rPr>
              <w:t>Benefits FY2014/15</w:t>
            </w:r>
          </w:p>
        </w:tc>
        <w:tc>
          <w:tcPr>
            <w:tcW w:w="1196" w:type="dxa"/>
            <w:shd w:val="clear" w:color="auto" w:fill="F2F2F2" w:themeFill="background1" w:themeFillShade="F2"/>
            <w:vAlign w:val="bottom"/>
          </w:tcPr>
          <w:p w14:paraId="37D21BC7" w14:textId="77777777" w:rsidR="006E69F4" w:rsidRPr="00B0157E" w:rsidRDefault="009A7890" w:rsidP="007F2036">
            <w:pPr>
              <w:pStyle w:val="02Tabletext"/>
              <w:spacing w:after="20"/>
              <w:rPr>
                <w:b/>
              </w:rPr>
            </w:pPr>
            <w:r>
              <w:rPr>
                <w:b/>
              </w:rPr>
              <w:t>Services 5-</w:t>
            </w:r>
            <w:r w:rsidR="006E69F4" w:rsidRPr="00B0157E">
              <w:rPr>
                <w:b/>
              </w:rPr>
              <w:t>year annual avg. growth</w:t>
            </w:r>
          </w:p>
        </w:tc>
      </w:tr>
      <w:tr w:rsidR="006E69F4" w:rsidRPr="00B0157E" w14:paraId="4AA14960" w14:textId="77777777">
        <w:tc>
          <w:tcPr>
            <w:tcW w:w="717" w:type="dxa"/>
          </w:tcPr>
          <w:p w14:paraId="6665347F" w14:textId="77777777" w:rsidR="006E69F4" w:rsidRPr="00B0157E" w:rsidRDefault="006E69F4" w:rsidP="007F2036">
            <w:pPr>
              <w:pStyle w:val="02Tabletext"/>
              <w:spacing w:after="20"/>
            </w:pPr>
            <w:r w:rsidRPr="00B0157E">
              <w:t>45669</w:t>
            </w:r>
          </w:p>
        </w:tc>
        <w:tc>
          <w:tcPr>
            <w:tcW w:w="4119" w:type="dxa"/>
          </w:tcPr>
          <w:p w14:paraId="539BCEBE" w14:textId="77777777" w:rsidR="006E69F4" w:rsidRPr="00B0157E" w:rsidRDefault="006E69F4" w:rsidP="007F2036">
            <w:pPr>
              <w:pStyle w:val="02Tabletext"/>
              <w:spacing w:after="20"/>
            </w:pPr>
            <w:r w:rsidRPr="00B0157E">
              <w:t>Vermilionectomy, using carbon dioxide laser or erbium laser excision-ablation</w:t>
            </w:r>
            <w:r w:rsidR="001317DB" w:rsidRPr="00B0157E">
              <w:t>.</w:t>
            </w:r>
            <w:r w:rsidRPr="00B0157E">
              <w:t xml:space="preserve"> (Anaes.)</w:t>
            </w:r>
            <w:r w:rsidR="00673F8C" w:rsidRPr="00B0157E">
              <w:t xml:space="preserve"> [2001]</w:t>
            </w:r>
          </w:p>
        </w:tc>
        <w:tc>
          <w:tcPr>
            <w:tcW w:w="917" w:type="dxa"/>
          </w:tcPr>
          <w:p w14:paraId="1B572A5D" w14:textId="77777777" w:rsidR="006E69F4" w:rsidRPr="00B0157E" w:rsidRDefault="006E69F4" w:rsidP="007F2036">
            <w:pPr>
              <w:pStyle w:val="02Tabletext"/>
              <w:spacing w:after="20"/>
              <w:jc w:val="center"/>
            </w:pPr>
            <w:r w:rsidRPr="00B0157E">
              <w:t>$326.05</w:t>
            </w:r>
          </w:p>
        </w:tc>
        <w:tc>
          <w:tcPr>
            <w:tcW w:w="997" w:type="dxa"/>
          </w:tcPr>
          <w:p w14:paraId="7A00F55E" w14:textId="77777777" w:rsidR="006E69F4" w:rsidRPr="00B0157E" w:rsidRDefault="006E69F4" w:rsidP="007F2036">
            <w:pPr>
              <w:pStyle w:val="02Tabletext"/>
              <w:spacing w:after="20"/>
              <w:jc w:val="center"/>
            </w:pPr>
            <w:r w:rsidRPr="00B0157E">
              <w:t>508</w:t>
            </w:r>
          </w:p>
        </w:tc>
        <w:tc>
          <w:tcPr>
            <w:tcW w:w="1080" w:type="dxa"/>
          </w:tcPr>
          <w:p w14:paraId="11D21136" w14:textId="77777777" w:rsidR="006E69F4" w:rsidRPr="00B0157E" w:rsidRDefault="006E69F4" w:rsidP="007F2036">
            <w:pPr>
              <w:pStyle w:val="02Tabletext"/>
              <w:spacing w:after="20"/>
              <w:jc w:val="center"/>
            </w:pPr>
            <w:r w:rsidRPr="00B0157E">
              <w:t>$144,386</w:t>
            </w:r>
          </w:p>
        </w:tc>
        <w:tc>
          <w:tcPr>
            <w:tcW w:w="1196" w:type="dxa"/>
          </w:tcPr>
          <w:p w14:paraId="42EAF40C" w14:textId="77777777" w:rsidR="006E69F4" w:rsidRPr="00B0157E" w:rsidRDefault="00673F8C" w:rsidP="007F2036">
            <w:pPr>
              <w:pStyle w:val="02Tabletext"/>
              <w:spacing w:after="20"/>
              <w:jc w:val="center"/>
            </w:pPr>
            <w:r w:rsidRPr="00B0157E">
              <w:t>4.3%</w:t>
            </w:r>
          </w:p>
        </w:tc>
      </w:tr>
    </w:tbl>
    <w:p w14:paraId="2888B9A0" w14:textId="77777777" w:rsidR="00381765" w:rsidRPr="00B0157E" w:rsidRDefault="00381765" w:rsidP="00C33ED9">
      <w:pPr>
        <w:rPr>
          <w:b/>
          <w:lang w:val="en-AU"/>
        </w:rPr>
      </w:pPr>
      <w:r w:rsidRPr="00B0157E">
        <w:rPr>
          <w:b/>
          <w:lang w:val="en-AU"/>
        </w:rPr>
        <w:t xml:space="preserve">Recommendation </w:t>
      </w:r>
    </w:p>
    <w:p w14:paraId="2045E91F" w14:textId="77777777" w:rsidR="00387011" w:rsidRPr="00B0157E" w:rsidRDefault="00387011">
      <w:pPr>
        <w:pStyle w:val="01squarebullet"/>
        <w:rPr>
          <w:lang w:val="en-AU"/>
        </w:rPr>
      </w:pPr>
      <w:r w:rsidRPr="00B0157E">
        <w:rPr>
          <w:lang w:val="en-AU"/>
        </w:rPr>
        <w:t xml:space="preserve">Require biopsy proof in the item descriptor. </w:t>
      </w:r>
      <w:r w:rsidR="005955CC" w:rsidRPr="00B0157E">
        <w:rPr>
          <w:lang w:val="en-AU"/>
        </w:rPr>
        <w:t xml:space="preserve">The </w:t>
      </w:r>
      <w:r w:rsidR="0027243E" w:rsidRPr="00B0157E">
        <w:rPr>
          <w:lang w:val="en-AU"/>
        </w:rPr>
        <w:t>p</w:t>
      </w:r>
      <w:r w:rsidRPr="00B0157E">
        <w:rPr>
          <w:lang w:val="en-AU"/>
        </w:rPr>
        <w:t xml:space="preserve">roposed </w:t>
      </w:r>
      <w:r w:rsidR="0027243E" w:rsidRPr="00B0157E">
        <w:rPr>
          <w:lang w:val="en-AU"/>
        </w:rPr>
        <w:t>d</w:t>
      </w:r>
      <w:r w:rsidRPr="00B0157E">
        <w:rPr>
          <w:lang w:val="en-AU"/>
        </w:rPr>
        <w:t>escriptor</w:t>
      </w:r>
      <w:r w:rsidR="005955CC" w:rsidRPr="00B0157E">
        <w:rPr>
          <w:lang w:val="en-AU"/>
        </w:rPr>
        <w:t xml:space="preserve"> is as follows:</w:t>
      </w:r>
      <w:r w:rsidRPr="00B0157E">
        <w:rPr>
          <w:lang w:val="en-AU"/>
        </w:rPr>
        <w:t xml:space="preserve"> “</w:t>
      </w:r>
      <w:r w:rsidR="0027243E" w:rsidRPr="00B0157E">
        <w:rPr>
          <w:lang w:val="en-AU"/>
        </w:rPr>
        <w:t>Vermilionectomy for biopsy confirmed cellular atypia, using carbon dioxide laser or erbium laser excision-ablation</w:t>
      </w:r>
      <w:r w:rsidR="002363B4" w:rsidRPr="00B0157E">
        <w:rPr>
          <w:lang w:val="en-AU"/>
        </w:rPr>
        <w:t>.</w:t>
      </w:r>
      <w:r w:rsidR="0027243E" w:rsidRPr="00B0157E">
        <w:rPr>
          <w:lang w:val="en-AU"/>
        </w:rPr>
        <w:t xml:space="preserve"> (Anaes.)</w:t>
      </w:r>
      <w:r w:rsidR="0055662A" w:rsidRPr="00B0157E">
        <w:rPr>
          <w:lang w:val="en-AU"/>
        </w:rPr>
        <w:t xml:space="preserve">” </w:t>
      </w:r>
    </w:p>
    <w:p w14:paraId="350D145E" w14:textId="77777777" w:rsidR="0055662A" w:rsidRPr="00B0157E" w:rsidRDefault="00381765" w:rsidP="00C33ED9">
      <w:pPr>
        <w:rPr>
          <w:b/>
          <w:lang w:val="en-AU"/>
        </w:rPr>
      </w:pPr>
      <w:r w:rsidRPr="00B0157E">
        <w:rPr>
          <w:b/>
          <w:lang w:val="en-AU"/>
        </w:rPr>
        <w:t xml:space="preserve">Rationale </w:t>
      </w:r>
    </w:p>
    <w:p w14:paraId="51D32646" w14:textId="77777777" w:rsidR="002363B4" w:rsidRPr="00B0157E" w:rsidRDefault="002363B4" w:rsidP="00AC4FF2">
      <w:pPr>
        <w:rPr>
          <w:lang w:val="en-AU"/>
        </w:rPr>
      </w:pPr>
      <w:r w:rsidRPr="00B0157E">
        <w:rPr>
          <w:lang w:val="en-AU"/>
        </w:rPr>
        <w:t>The recommendation focuses on encouraging best practice and is based on the following o</w:t>
      </w:r>
      <w:r w:rsidR="00E07204">
        <w:rPr>
          <w:lang w:val="en-AU"/>
        </w:rPr>
        <w:t>bservation</w:t>
      </w:r>
      <w:r w:rsidRPr="00B0157E">
        <w:rPr>
          <w:lang w:val="en-AU"/>
        </w:rPr>
        <w:t>.</w:t>
      </w:r>
    </w:p>
    <w:p w14:paraId="2C703A40" w14:textId="77777777" w:rsidR="00EF6F48" w:rsidRPr="00B0157E" w:rsidRDefault="002363B4">
      <w:pPr>
        <w:pStyle w:val="01squarebullet"/>
        <w:rPr>
          <w:lang w:val="en-AU"/>
        </w:rPr>
      </w:pPr>
      <w:r w:rsidRPr="00B0157E">
        <w:rPr>
          <w:lang w:val="en-AU"/>
        </w:rPr>
        <w:t>Adding</w:t>
      </w:r>
      <w:r w:rsidR="00387011" w:rsidRPr="00B0157E">
        <w:rPr>
          <w:lang w:val="en-AU"/>
        </w:rPr>
        <w:t xml:space="preserve"> the biopsy confirmation requirement ensures best</w:t>
      </w:r>
      <w:r w:rsidR="0004089E" w:rsidRPr="00B0157E">
        <w:rPr>
          <w:lang w:val="en-AU"/>
        </w:rPr>
        <w:t>-</w:t>
      </w:r>
      <w:r w:rsidR="00387011" w:rsidRPr="00B0157E">
        <w:rPr>
          <w:lang w:val="en-AU"/>
        </w:rPr>
        <w:t xml:space="preserve">practice use of </w:t>
      </w:r>
      <w:r w:rsidR="00100778" w:rsidRPr="00B0157E">
        <w:rPr>
          <w:lang w:val="en-AU"/>
        </w:rPr>
        <w:t xml:space="preserve">the </w:t>
      </w:r>
      <w:r w:rsidR="00387011" w:rsidRPr="00B0157E">
        <w:rPr>
          <w:lang w:val="en-AU"/>
        </w:rPr>
        <w:t>item and avoids potential misuse of this procedure in the future.</w:t>
      </w:r>
    </w:p>
    <w:p w14:paraId="68777586" w14:textId="77777777" w:rsidR="00381765" w:rsidRPr="00B0157E" w:rsidRDefault="00387011" w:rsidP="00C33ED9">
      <w:pPr>
        <w:pStyle w:val="Heading2"/>
        <w:rPr>
          <w:lang w:val="en-AU"/>
        </w:rPr>
      </w:pPr>
      <w:bookmarkStart w:id="197" w:name="_Toc458774447"/>
      <w:bookmarkStart w:id="198" w:name="_Toc465871885"/>
      <w:r w:rsidRPr="00B0157E">
        <w:rPr>
          <w:lang w:val="en-AU"/>
        </w:rPr>
        <w:lastRenderedPageBreak/>
        <w:t xml:space="preserve">Treatment of </w:t>
      </w:r>
      <w:r w:rsidR="005A7059" w:rsidRPr="00B0157E">
        <w:rPr>
          <w:lang w:val="en-AU"/>
        </w:rPr>
        <w:t>r</w:t>
      </w:r>
      <w:r w:rsidRPr="00B0157E">
        <w:rPr>
          <w:lang w:val="en-AU"/>
        </w:rPr>
        <w:t>hinophyma using laser</w:t>
      </w:r>
      <w:r w:rsidR="00075C7B" w:rsidRPr="00B0157E">
        <w:rPr>
          <w:lang w:val="en-AU"/>
        </w:rPr>
        <w:t>:</w:t>
      </w:r>
      <w:r w:rsidRPr="00B0157E">
        <w:rPr>
          <w:lang w:val="en-AU"/>
        </w:rPr>
        <w:t xml:space="preserve"> </w:t>
      </w:r>
      <w:r w:rsidR="00075C7B" w:rsidRPr="00B0157E">
        <w:rPr>
          <w:lang w:val="en-AU"/>
        </w:rPr>
        <w:t>I</w:t>
      </w:r>
      <w:r w:rsidRPr="00B0157E">
        <w:rPr>
          <w:lang w:val="en-AU"/>
        </w:rPr>
        <w:t>tem</w:t>
      </w:r>
      <w:r w:rsidR="00381765" w:rsidRPr="00B0157E">
        <w:rPr>
          <w:lang w:val="en-AU"/>
        </w:rPr>
        <w:t xml:space="preserve"> 45652</w:t>
      </w:r>
      <w:bookmarkEnd w:id="197"/>
      <w:bookmarkEnd w:id="198"/>
    </w:p>
    <w:p w14:paraId="49E4926F" w14:textId="77777777" w:rsidR="00DA63ED" w:rsidRPr="00B0157E" w:rsidRDefault="00DA63ED" w:rsidP="00C33ED9">
      <w:pPr>
        <w:pStyle w:val="Caption"/>
        <w:rPr>
          <w:lang w:val="en-AU"/>
        </w:rPr>
      </w:pPr>
      <w:bookmarkStart w:id="199" w:name="_Toc457520579"/>
      <w:bookmarkStart w:id="200" w:name="_Toc459236307"/>
      <w:bookmarkStart w:id="201" w:name="_Toc465871842"/>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19</w:t>
      </w:r>
      <w:r w:rsidR="00C1346F" w:rsidRPr="00B0157E">
        <w:rPr>
          <w:lang w:val="en-AU"/>
        </w:rPr>
        <w:fldChar w:fldCharType="end"/>
      </w:r>
      <w:r w:rsidRPr="00B0157E">
        <w:rPr>
          <w:lang w:val="en-AU"/>
        </w:rPr>
        <w:t xml:space="preserve">: </w:t>
      </w:r>
      <w:r w:rsidR="00800343" w:rsidRPr="00B0157E">
        <w:rPr>
          <w:lang w:val="en-AU"/>
        </w:rPr>
        <w:t xml:space="preserve">Item introduction table for item </w:t>
      </w:r>
      <w:r w:rsidR="00825547" w:rsidRPr="00B0157E">
        <w:rPr>
          <w:lang w:val="en-AU"/>
        </w:rPr>
        <w:t>45652</w:t>
      </w:r>
      <w:bookmarkEnd w:id="199"/>
      <w:bookmarkEnd w:id="200"/>
      <w:bookmarkEnd w:id="201"/>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19 is an item introduction table for item 45652 which is for the treatment of rhinophyma using laser.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DA63ED" w:rsidRPr="00B0157E" w14:paraId="3676B5E7" w14:textId="77777777">
        <w:trPr>
          <w:tblHeader/>
        </w:trPr>
        <w:tc>
          <w:tcPr>
            <w:tcW w:w="717" w:type="dxa"/>
            <w:shd w:val="clear" w:color="auto" w:fill="F2F2F2" w:themeFill="background1" w:themeFillShade="F2"/>
            <w:vAlign w:val="bottom"/>
          </w:tcPr>
          <w:p w14:paraId="60D296B9" w14:textId="77777777" w:rsidR="00DA63ED" w:rsidRPr="00B0157E" w:rsidRDefault="00DA63ED" w:rsidP="007F2036">
            <w:pPr>
              <w:pStyle w:val="02Tabletext"/>
              <w:spacing w:after="20"/>
              <w:rPr>
                <w:b/>
              </w:rPr>
            </w:pPr>
            <w:r w:rsidRPr="00B0157E">
              <w:rPr>
                <w:b/>
              </w:rPr>
              <w:t>Item</w:t>
            </w:r>
          </w:p>
        </w:tc>
        <w:tc>
          <w:tcPr>
            <w:tcW w:w="4119" w:type="dxa"/>
            <w:shd w:val="clear" w:color="auto" w:fill="F2F2F2" w:themeFill="background1" w:themeFillShade="F2"/>
            <w:vAlign w:val="bottom"/>
          </w:tcPr>
          <w:p w14:paraId="09ED0E5A" w14:textId="77777777" w:rsidR="00DA63ED" w:rsidRPr="00B0157E" w:rsidRDefault="00DA63ED" w:rsidP="007F2036">
            <w:pPr>
              <w:pStyle w:val="02Tabletext"/>
              <w:spacing w:after="20"/>
              <w:rPr>
                <w:b/>
              </w:rPr>
            </w:pPr>
            <w:r w:rsidRPr="00B0157E">
              <w:rPr>
                <w:b/>
              </w:rPr>
              <w:t>Descriptor</w:t>
            </w:r>
          </w:p>
          <w:p w14:paraId="664C4FAF" w14:textId="77777777" w:rsidR="00DA63ED" w:rsidRPr="00B0157E" w:rsidRDefault="00DA63ED" w:rsidP="007F2036">
            <w:pPr>
              <w:pStyle w:val="02Tabletext"/>
              <w:spacing w:after="20"/>
              <w:rPr>
                <w:b/>
              </w:rPr>
            </w:pPr>
            <w:r w:rsidRPr="00B0157E">
              <w:rPr>
                <w:b/>
              </w:rPr>
              <w:t>[date last amended]</w:t>
            </w:r>
          </w:p>
        </w:tc>
        <w:tc>
          <w:tcPr>
            <w:tcW w:w="917" w:type="dxa"/>
            <w:shd w:val="clear" w:color="auto" w:fill="F2F2F2" w:themeFill="background1" w:themeFillShade="F2"/>
            <w:vAlign w:val="bottom"/>
          </w:tcPr>
          <w:p w14:paraId="1899E73C" w14:textId="77777777" w:rsidR="00DA63ED" w:rsidRPr="00B0157E" w:rsidRDefault="00DA63ED" w:rsidP="007F2036">
            <w:pPr>
              <w:pStyle w:val="02Tabletext"/>
              <w:spacing w:after="20"/>
              <w:rPr>
                <w:b/>
              </w:rPr>
            </w:pPr>
            <w:r w:rsidRPr="00B0157E">
              <w:rPr>
                <w:b/>
              </w:rPr>
              <w:t>Schedule</w:t>
            </w:r>
          </w:p>
          <w:p w14:paraId="6348A988" w14:textId="77777777" w:rsidR="00DA63ED" w:rsidRPr="00B0157E" w:rsidRDefault="00DA63ED" w:rsidP="007F2036">
            <w:pPr>
              <w:pStyle w:val="02Tabletext"/>
              <w:spacing w:after="20"/>
              <w:rPr>
                <w:b/>
              </w:rPr>
            </w:pPr>
            <w:r w:rsidRPr="00B0157E">
              <w:rPr>
                <w:b/>
              </w:rPr>
              <w:t>fee</w:t>
            </w:r>
          </w:p>
        </w:tc>
        <w:tc>
          <w:tcPr>
            <w:tcW w:w="997" w:type="dxa"/>
            <w:shd w:val="clear" w:color="auto" w:fill="F2F2F2" w:themeFill="background1" w:themeFillShade="F2"/>
            <w:vAlign w:val="bottom"/>
          </w:tcPr>
          <w:p w14:paraId="759CC435" w14:textId="77777777" w:rsidR="00DA63ED" w:rsidRPr="00B0157E" w:rsidRDefault="00DA63ED" w:rsidP="007F2036">
            <w:pPr>
              <w:pStyle w:val="02Tabletext"/>
              <w:spacing w:after="20"/>
              <w:rPr>
                <w:b/>
              </w:rPr>
            </w:pPr>
            <w:r w:rsidRPr="00B0157E">
              <w:rPr>
                <w:b/>
              </w:rPr>
              <w:t>Services FY2014/15</w:t>
            </w:r>
          </w:p>
        </w:tc>
        <w:tc>
          <w:tcPr>
            <w:tcW w:w="1080" w:type="dxa"/>
            <w:shd w:val="clear" w:color="auto" w:fill="F2F2F2" w:themeFill="background1" w:themeFillShade="F2"/>
            <w:vAlign w:val="bottom"/>
          </w:tcPr>
          <w:p w14:paraId="1A20247C" w14:textId="77777777" w:rsidR="00DA63ED" w:rsidRPr="00B0157E" w:rsidRDefault="00DA63ED" w:rsidP="007F2036">
            <w:pPr>
              <w:pStyle w:val="02Tabletext"/>
              <w:spacing w:after="20"/>
              <w:rPr>
                <w:b/>
              </w:rPr>
            </w:pPr>
            <w:r w:rsidRPr="00B0157E">
              <w:rPr>
                <w:b/>
              </w:rPr>
              <w:t>Benefits FY2014/15</w:t>
            </w:r>
          </w:p>
        </w:tc>
        <w:tc>
          <w:tcPr>
            <w:tcW w:w="1196" w:type="dxa"/>
            <w:shd w:val="clear" w:color="auto" w:fill="F2F2F2" w:themeFill="background1" w:themeFillShade="F2"/>
            <w:vAlign w:val="bottom"/>
          </w:tcPr>
          <w:p w14:paraId="5E246D01" w14:textId="77777777" w:rsidR="00DA63ED" w:rsidRPr="00B0157E" w:rsidRDefault="009A7890" w:rsidP="007F2036">
            <w:pPr>
              <w:pStyle w:val="02Tabletext"/>
              <w:spacing w:after="20"/>
              <w:rPr>
                <w:b/>
              </w:rPr>
            </w:pPr>
            <w:r>
              <w:rPr>
                <w:b/>
              </w:rPr>
              <w:t>Services 5-</w:t>
            </w:r>
            <w:r w:rsidR="00DA63ED" w:rsidRPr="00B0157E">
              <w:rPr>
                <w:b/>
              </w:rPr>
              <w:t>year annual avg. growth</w:t>
            </w:r>
          </w:p>
        </w:tc>
      </w:tr>
      <w:tr w:rsidR="00DA63ED" w:rsidRPr="00B0157E" w14:paraId="19E9AE79" w14:textId="77777777">
        <w:tc>
          <w:tcPr>
            <w:tcW w:w="717" w:type="dxa"/>
          </w:tcPr>
          <w:p w14:paraId="032D2009" w14:textId="77777777" w:rsidR="00DA63ED" w:rsidRPr="00B0157E" w:rsidRDefault="00DA63ED" w:rsidP="007F2036">
            <w:pPr>
              <w:pStyle w:val="02Tabletext"/>
              <w:spacing w:after="20"/>
            </w:pPr>
            <w:r w:rsidRPr="00B0157E">
              <w:t>45652</w:t>
            </w:r>
          </w:p>
        </w:tc>
        <w:tc>
          <w:tcPr>
            <w:tcW w:w="4119" w:type="dxa"/>
          </w:tcPr>
          <w:p w14:paraId="7532A6D3" w14:textId="77777777" w:rsidR="00DA63ED" w:rsidRPr="00B0157E" w:rsidRDefault="00DA63ED" w:rsidP="007F2036">
            <w:pPr>
              <w:pStyle w:val="02Tabletext"/>
              <w:spacing w:after="20"/>
            </w:pPr>
            <w:r w:rsidRPr="00B0157E">
              <w:t>Rhinophyma, carbon dioxide laser or erbium laser excision-ablation of</w:t>
            </w:r>
            <w:r w:rsidR="00CB311A" w:rsidRPr="00B0157E">
              <w:t>.</w:t>
            </w:r>
            <w:r w:rsidRPr="00B0157E">
              <w:t xml:space="preserve"> (Anaes.)</w:t>
            </w:r>
            <w:r w:rsidR="00673F8C" w:rsidRPr="00B0157E">
              <w:t xml:space="preserve"> [2001]</w:t>
            </w:r>
          </w:p>
        </w:tc>
        <w:tc>
          <w:tcPr>
            <w:tcW w:w="917" w:type="dxa"/>
          </w:tcPr>
          <w:p w14:paraId="3336D747" w14:textId="77777777" w:rsidR="00DA63ED" w:rsidRPr="00B0157E" w:rsidRDefault="00DA63ED" w:rsidP="007F2036">
            <w:pPr>
              <w:pStyle w:val="02Tabletext"/>
              <w:spacing w:after="20"/>
              <w:jc w:val="center"/>
            </w:pPr>
            <w:r w:rsidRPr="00B0157E">
              <w:t>$356.35</w:t>
            </w:r>
          </w:p>
        </w:tc>
        <w:tc>
          <w:tcPr>
            <w:tcW w:w="997" w:type="dxa"/>
          </w:tcPr>
          <w:p w14:paraId="59ED9B7A" w14:textId="77777777" w:rsidR="00DA63ED" w:rsidRPr="00B0157E" w:rsidRDefault="00DA63ED" w:rsidP="007F2036">
            <w:pPr>
              <w:pStyle w:val="02Tabletext"/>
              <w:spacing w:after="20"/>
              <w:jc w:val="center"/>
            </w:pPr>
            <w:r w:rsidRPr="00B0157E">
              <w:t>259</w:t>
            </w:r>
          </w:p>
        </w:tc>
        <w:tc>
          <w:tcPr>
            <w:tcW w:w="1080" w:type="dxa"/>
          </w:tcPr>
          <w:p w14:paraId="0B728B9D" w14:textId="77777777" w:rsidR="00DA63ED" w:rsidRPr="00B0157E" w:rsidRDefault="00DA63ED" w:rsidP="007F2036">
            <w:pPr>
              <w:pStyle w:val="02Tabletext"/>
              <w:spacing w:after="20"/>
              <w:jc w:val="center"/>
            </w:pPr>
            <w:r w:rsidRPr="00B0157E">
              <w:t>$87,293</w:t>
            </w:r>
          </w:p>
        </w:tc>
        <w:tc>
          <w:tcPr>
            <w:tcW w:w="1196" w:type="dxa"/>
          </w:tcPr>
          <w:p w14:paraId="4462B5EA" w14:textId="77777777" w:rsidR="00DA63ED" w:rsidRPr="00B0157E" w:rsidRDefault="00673F8C" w:rsidP="007F2036">
            <w:pPr>
              <w:pStyle w:val="02Tabletext"/>
              <w:spacing w:after="20"/>
              <w:jc w:val="center"/>
            </w:pPr>
            <w:r w:rsidRPr="00B0157E">
              <w:t>15.5%</w:t>
            </w:r>
          </w:p>
        </w:tc>
      </w:tr>
    </w:tbl>
    <w:p w14:paraId="34D710FA" w14:textId="77777777" w:rsidR="00381765" w:rsidRPr="00B0157E" w:rsidRDefault="00381765" w:rsidP="00C33ED9">
      <w:pPr>
        <w:rPr>
          <w:b/>
          <w:lang w:val="en-AU"/>
        </w:rPr>
      </w:pPr>
      <w:r w:rsidRPr="00B0157E">
        <w:rPr>
          <w:b/>
          <w:lang w:val="en-AU"/>
        </w:rPr>
        <w:t xml:space="preserve">Recommendation </w:t>
      </w:r>
    </w:p>
    <w:p w14:paraId="39B3296D" w14:textId="77777777" w:rsidR="00381765" w:rsidRPr="00B0157E" w:rsidRDefault="0055662A">
      <w:pPr>
        <w:pStyle w:val="01squarebullet"/>
        <w:rPr>
          <w:lang w:val="en-AU"/>
        </w:rPr>
      </w:pPr>
      <w:r w:rsidRPr="00B0157E">
        <w:rPr>
          <w:lang w:val="en-AU"/>
        </w:rPr>
        <w:t>Add the phrase “Rhinophyma of a moderate or severe degree” to the descriptor.</w:t>
      </w:r>
      <w:r w:rsidR="004A352E">
        <w:rPr>
          <w:lang w:val="en-AU"/>
        </w:rPr>
        <w:t xml:space="preserve"> </w:t>
      </w:r>
    </w:p>
    <w:p w14:paraId="294915F0" w14:textId="77777777" w:rsidR="00D04546" w:rsidRPr="00B0157E" w:rsidRDefault="00D04546">
      <w:pPr>
        <w:pStyle w:val="01squarebullet"/>
        <w:rPr>
          <w:b/>
          <w:lang w:val="en-AU"/>
        </w:rPr>
      </w:pPr>
      <w:r w:rsidRPr="00B0157E">
        <w:rPr>
          <w:lang w:val="en-AU"/>
        </w:rPr>
        <w:t xml:space="preserve">Include </w:t>
      </w:r>
      <w:r w:rsidR="00825F73" w:rsidRPr="00B0157E">
        <w:rPr>
          <w:lang w:val="en-AU"/>
        </w:rPr>
        <w:t xml:space="preserve">a </w:t>
      </w:r>
      <w:r w:rsidRPr="00B0157E">
        <w:rPr>
          <w:lang w:val="en-AU"/>
        </w:rPr>
        <w:t xml:space="preserve">requirement for photo evidence to be captured during treatment to assist providers </w:t>
      </w:r>
      <w:r w:rsidR="00FD51A7" w:rsidRPr="00B0157E">
        <w:rPr>
          <w:lang w:val="en-AU"/>
        </w:rPr>
        <w:t xml:space="preserve">with </w:t>
      </w:r>
      <w:r w:rsidRPr="00B0157E">
        <w:rPr>
          <w:lang w:val="en-AU"/>
        </w:rPr>
        <w:t>document</w:t>
      </w:r>
      <w:r w:rsidR="00FD51A7" w:rsidRPr="00B0157E">
        <w:rPr>
          <w:lang w:val="en-AU"/>
        </w:rPr>
        <w:t>ing</w:t>
      </w:r>
      <w:r w:rsidRPr="00B0157E">
        <w:rPr>
          <w:lang w:val="en-AU"/>
        </w:rPr>
        <w:t xml:space="preserve"> compliance </w:t>
      </w:r>
      <w:r w:rsidR="00030CED" w:rsidRPr="00B0157E">
        <w:rPr>
          <w:lang w:val="en-AU"/>
        </w:rPr>
        <w:t xml:space="preserve">with </w:t>
      </w:r>
      <w:r w:rsidRPr="00B0157E">
        <w:rPr>
          <w:lang w:val="en-AU"/>
        </w:rPr>
        <w:t xml:space="preserve">the item descriptor. </w:t>
      </w:r>
    </w:p>
    <w:p w14:paraId="73DB5BC5" w14:textId="77777777" w:rsidR="00381765" w:rsidRPr="00B0157E" w:rsidRDefault="00381765" w:rsidP="00FF0C98">
      <w:pPr>
        <w:rPr>
          <w:b/>
          <w:lang w:val="en-AU"/>
        </w:rPr>
      </w:pPr>
      <w:r w:rsidRPr="00B0157E">
        <w:rPr>
          <w:b/>
          <w:lang w:val="en-AU"/>
        </w:rPr>
        <w:t xml:space="preserve">Rationale </w:t>
      </w:r>
    </w:p>
    <w:p w14:paraId="415C8EA0" w14:textId="77777777" w:rsidR="00CB311A" w:rsidRPr="00B0157E" w:rsidRDefault="00CB311A" w:rsidP="00FF0C98">
      <w:pPr>
        <w:rPr>
          <w:lang w:val="en-AU"/>
        </w:rPr>
      </w:pPr>
      <w:r w:rsidRPr="00B0157E">
        <w:rPr>
          <w:lang w:val="en-AU"/>
        </w:rPr>
        <w:t>The recommendation focuses on encouraging best practice and is based on the following observation</w:t>
      </w:r>
      <w:r w:rsidR="005D6ECB" w:rsidRPr="00B0157E">
        <w:rPr>
          <w:lang w:val="en-AU"/>
        </w:rPr>
        <w:t>s</w:t>
      </w:r>
      <w:r w:rsidRPr="00B0157E">
        <w:rPr>
          <w:lang w:val="en-AU"/>
        </w:rPr>
        <w:t>.</w:t>
      </w:r>
    </w:p>
    <w:p w14:paraId="16D865EC" w14:textId="77777777" w:rsidR="0055662A" w:rsidRPr="00B0157E" w:rsidRDefault="001F4E5C">
      <w:pPr>
        <w:pStyle w:val="01squarebullet"/>
        <w:rPr>
          <w:lang w:val="en-AU"/>
        </w:rPr>
      </w:pPr>
      <w:r w:rsidRPr="00B0157E">
        <w:rPr>
          <w:lang w:val="en-AU"/>
        </w:rPr>
        <w:t>Amending</w:t>
      </w:r>
      <w:r w:rsidR="0055662A" w:rsidRPr="00B0157E">
        <w:rPr>
          <w:lang w:val="en-AU"/>
        </w:rPr>
        <w:t xml:space="preserve"> the descriptor </w:t>
      </w:r>
      <w:r w:rsidR="00F64CDE" w:rsidRPr="00B0157E">
        <w:rPr>
          <w:lang w:val="en-AU"/>
        </w:rPr>
        <w:t xml:space="preserve">to specify </w:t>
      </w:r>
      <w:r w:rsidR="00251759" w:rsidRPr="00B0157E">
        <w:rPr>
          <w:lang w:val="en-AU"/>
        </w:rPr>
        <w:t xml:space="preserve">moderate or severe </w:t>
      </w:r>
      <w:r w:rsidR="0055662A" w:rsidRPr="00B0157E">
        <w:rPr>
          <w:lang w:val="en-AU"/>
        </w:rPr>
        <w:t>rhinophyma will ensure that this item is used to treat the appropriate thickening associated with rhinophyma.</w:t>
      </w:r>
    </w:p>
    <w:p w14:paraId="06CAC164" w14:textId="77777777" w:rsidR="003916C0" w:rsidRPr="00B0157E" w:rsidRDefault="00D04546">
      <w:pPr>
        <w:pStyle w:val="01squarebullet"/>
        <w:rPr>
          <w:lang w:val="en-AU"/>
        </w:rPr>
      </w:pPr>
      <w:r w:rsidRPr="00B0157E">
        <w:rPr>
          <w:lang w:val="en-AU"/>
        </w:rPr>
        <w:t xml:space="preserve">The </w:t>
      </w:r>
      <w:r w:rsidR="00C9724F" w:rsidRPr="00B0157E">
        <w:rPr>
          <w:lang w:val="en-AU"/>
        </w:rPr>
        <w:t>Department</w:t>
      </w:r>
      <w:r w:rsidR="00032D3E" w:rsidRPr="00B0157E">
        <w:rPr>
          <w:lang w:val="en-AU"/>
        </w:rPr>
        <w:t xml:space="preserve"> informed the </w:t>
      </w:r>
      <w:r w:rsidRPr="00B0157E">
        <w:rPr>
          <w:lang w:val="en-AU"/>
        </w:rPr>
        <w:t xml:space="preserve">Committee that providers </w:t>
      </w:r>
      <w:r w:rsidR="000E2A81" w:rsidRPr="00B0157E">
        <w:rPr>
          <w:lang w:val="en-AU"/>
        </w:rPr>
        <w:t>must produce</w:t>
      </w:r>
      <w:r w:rsidR="001E3BB2" w:rsidRPr="00B0157E">
        <w:rPr>
          <w:lang w:val="en-AU"/>
        </w:rPr>
        <w:t xml:space="preserve"> </w:t>
      </w:r>
      <w:r w:rsidRPr="00B0157E">
        <w:rPr>
          <w:lang w:val="en-AU"/>
        </w:rPr>
        <w:t xml:space="preserve">evidence that they are compliant with the item descriptor, </w:t>
      </w:r>
      <w:r w:rsidR="00E212F7" w:rsidRPr="00B0157E">
        <w:rPr>
          <w:lang w:val="en-AU"/>
        </w:rPr>
        <w:t xml:space="preserve">and that it </w:t>
      </w:r>
      <w:r w:rsidRPr="00B0157E">
        <w:rPr>
          <w:lang w:val="en-AU"/>
        </w:rPr>
        <w:t xml:space="preserve">is unlikely </w:t>
      </w:r>
      <w:r w:rsidR="00B168F0" w:rsidRPr="00B0157E">
        <w:rPr>
          <w:lang w:val="en-AU"/>
        </w:rPr>
        <w:t>that this is</w:t>
      </w:r>
      <w:r w:rsidRPr="00B0157E">
        <w:rPr>
          <w:lang w:val="en-AU"/>
        </w:rPr>
        <w:t xml:space="preserve"> occurring at the moment. The Committee recommended a simple solution</w:t>
      </w:r>
      <w:r w:rsidR="00A52C76" w:rsidRPr="00B0157E">
        <w:rPr>
          <w:lang w:val="en-AU"/>
        </w:rPr>
        <w:t>: require</w:t>
      </w:r>
      <w:r w:rsidRPr="00B0157E">
        <w:rPr>
          <w:lang w:val="en-AU"/>
        </w:rPr>
        <w:t xml:space="preserve"> providers to capture photographic evidence, as cameras are available and used by most providers </w:t>
      </w:r>
      <w:r w:rsidR="00242A20" w:rsidRPr="00B0157E">
        <w:rPr>
          <w:lang w:val="en-AU"/>
        </w:rPr>
        <w:t>(</w:t>
      </w:r>
      <w:r w:rsidRPr="00B0157E">
        <w:rPr>
          <w:lang w:val="en-AU"/>
        </w:rPr>
        <w:t>especially to highlight to patients the impact of their treatment</w:t>
      </w:r>
      <w:r w:rsidR="00242A20" w:rsidRPr="00B0157E">
        <w:rPr>
          <w:lang w:val="en-AU"/>
        </w:rPr>
        <w:t>)</w:t>
      </w:r>
      <w:r w:rsidRPr="00B0157E">
        <w:rPr>
          <w:lang w:val="en-AU"/>
        </w:rPr>
        <w:t>.</w:t>
      </w:r>
      <w:r w:rsidR="004A352E">
        <w:rPr>
          <w:lang w:val="en-AU"/>
        </w:rPr>
        <w:t xml:space="preserve"> </w:t>
      </w:r>
    </w:p>
    <w:p w14:paraId="2B69C4B7" w14:textId="77777777" w:rsidR="00381765" w:rsidRPr="00B0157E" w:rsidRDefault="005A5A7C" w:rsidP="00C33ED9">
      <w:pPr>
        <w:pStyle w:val="Heading2"/>
        <w:rPr>
          <w:lang w:val="en-AU"/>
        </w:rPr>
      </w:pPr>
      <w:bookmarkStart w:id="202" w:name="_Toc458774448"/>
      <w:bookmarkStart w:id="203" w:name="_Toc465871886"/>
      <w:r w:rsidRPr="00B0157E">
        <w:rPr>
          <w:lang w:val="en-AU"/>
        </w:rPr>
        <w:t>Full</w:t>
      </w:r>
      <w:r w:rsidR="00020CAD" w:rsidRPr="00B0157E">
        <w:rPr>
          <w:lang w:val="en-AU"/>
        </w:rPr>
        <w:t>-</w:t>
      </w:r>
      <w:r w:rsidRPr="00B0157E">
        <w:rPr>
          <w:lang w:val="en-AU"/>
        </w:rPr>
        <w:t>face chemical peel</w:t>
      </w:r>
      <w:r w:rsidR="003730EA" w:rsidRPr="00B0157E">
        <w:rPr>
          <w:lang w:val="en-AU"/>
        </w:rPr>
        <w:t>:</w:t>
      </w:r>
      <w:r w:rsidRPr="00B0157E">
        <w:rPr>
          <w:lang w:val="en-AU"/>
        </w:rPr>
        <w:t xml:space="preserve"> </w:t>
      </w:r>
      <w:r w:rsidR="003730EA" w:rsidRPr="00B0157E">
        <w:rPr>
          <w:lang w:val="en-AU"/>
        </w:rPr>
        <w:t>I</w:t>
      </w:r>
      <w:r w:rsidR="00381765" w:rsidRPr="00B0157E">
        <w:rPr>
          <w:lang w:val="en-AU"/>
        </w:rPr>
        <w:t>tem 45019</w:t>
      </w:r>
      <w:bookmarkEnd w:id="202"/>
      <w:bookmarkEnd w:id="203"/>
      <w:r w:rsidR="00381765" w:rsidRPr="00B0157E">
        <w:rPr>
          <w:lang w:val="en-AU"/>
        </w:rPr>
        <w:t xml:space="preserve"> </w:t>
      </w:r>
    </w:p>
    <w:p w14:paraId="13AC5A7A" w14:textId="77777777" w:rsidR="00825547" w:rsidRPr="00B0157E" w:rsidRDefault="00825547" w:rsidP="00C33ED9">
      <w:pPr>
        <w:pStyle w:val="Caption"/>
        <w:rPr>
          <w:lang w:val="en-AU"/>
        </w:rPr>
      </w:pPr>
      <w:bookmarkStart w:id="204" w:name="_Toc457520580"/>
      <w:bookmarkStart w:id="205" w:name="_Toc459236308"/>
      <w:bookmarkStart w:id="206" w:name="_Toc465871843"/>
      <w:r w:rsidRPr="00B0157E">
        <w:rPr>
          <w:lang w:val="en-AU"/>
        </w:rPr>
        <w:t xml:space="preserve">Table </w:t>
      </w:r>
      <w:r w:rsidR="00C1346F" w:rsidRPr="00B0157E">
        <w:rPr>
          <w:lang w:val="en-AU"/>
        </w:rPr>
        <w:fldChar w:fldCharType="begin"/>
      </w:r>
      <w:r w:rsidR="00643533" w:rsidRPr="00B0157E">
        <w:rPr>
          <w:lang w:val="en-AU"/>
        </w:rPr>
        <w:instrText xml:space="preserve"> SEQ Table \* ARABIC </w:instrText>
      </w:r>
      <w:r w:rsidR="00C1346F" w:rsidRPr="00B0157E">
        <w:rPr>
          <w:lang w:val="en-AU"/>
        </w:rPr>
        <w:fldChar w:fldCharType="separate"/>
      </w:r>
      <w:r w:rsidR="00076093">
        <w:rPr>
          <w:noProof/>
          <w:lang w:val="en-AU"/>
        </w:rPr>
        <w:t>20</w:t>
      </w:r>
      <w:r w:rsidR="00C1346F" w:rsidRPr="00B0157E">
        <w:rPr>
          <w:lang w:val="en-AU"/>
        </w:rPr>
        <w:fldChar w:fldCharType="end"/>
      </w:r>
      <w:r w:rsidRPr="00B0157E">
        <w:rPr>
          <w:lang w:val="en-AU"/>
        </w:rPr>
        <w:t xml:space="preserve">: </w:t>
      </w:r>
      <w:r w:rsidR="00130AD2" w:rsidRPr="00B0157E">
        <w:rPr>
          <w:lang w:val="en-AU"/>
        </w:rPr>
        <w:t xml:space="preserve">Item introduction table for item </w:t>
      </w:r>
      <w:r w:rsidRPr="00B0157E">
        <w:rPr>
          <w:lang w:val="en-AU"/>
        </w:rPr>
        <w:t>45019</w:t>
      </w:r>
      <w:bookmarkEnd w:id="204"/>
      <w:bookmarkEnd w:id="205"/>
      <w:bookmarkEnd w:id="206"/>
      <w:r w:rsidRPr="00B0157E">
        <w:rPr>
          <w:lang w:val="en-AU"/>
        </w:rPr>
        <w:t xml:space="preserve"> </w:t>
      </w:r>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able 20 is an item introduction table for item 45019 which is for full-face chemical peel. There are 6 columns: column 1. List of items, column 2. Descriptor, including the date that it has been last amended, column 3. Schedule fee, column 4. Total services for financial year 2014-15, column 5. Total benefits for financial year 2014-15, and column 6. Percentage of the service/s 5-year annual average growth. "/>
      </w:tblPr>
      <w:tblGrid>
        <w:gridCol w:w="716"/>
        <w:gridCol w:w="4111"/>
        <w:gridCol w:w="917"/>
        <w:gridCol w:w="997"/>
        <w:gridCol w:w="1080"/>
        <w:gridCol w:w="1195"/>
      </w:tblGrid>
      <w:tr w:rsidR="00825547" w:rsidRPr="00B0157E" w14:paraId="6E88C0F6" w14:textId="77777777">
        <w:trPr>
          <w:tblHeader/>
        </w:trPr>
        <w:tc>
          <w:tcPr>
            <w:tcW w:w="717" w:type="dxa"/>
            <w:shd w:val="clear" w:color="auto" w:fill="F2F2F2" w:themeFill="background1" w:themeFillShade="F2"/>
            <w:vAlign w:val="bottom"/>
          </w:tcPr>
          <w:p w14:paraId="5617C46C" w14:textId="77777777" w:rsidR="00825547" w:rsidRPr="00B0157E" w:rsidRDefault="00825547" w:rsidP="007F2036">
            <w:pPr>
              <w:pStyle w:val="02Tabletext"/>
              <w:spacing w:after="20"/>
              <w:rPr>
                <w:b/>
              </w:rPr>
            </w:pPr>
            <w:r w:rsidRPr="00B0157E">
              <w:rPr>
                <w:b/>
              </w:rPr>
              <w:t>Item</w:t>
            </w:r>
          </w:p>
        </w:tc>
        <w:tc>
          <w:tcPr>
            <w:tcW w:w="4119" w:type="dxa"/>
            <w:shd w:val="clear" w:color="auto" w:fill="F2F2F2" w:themeFill="background1" w:themeFillShade="F2"/>
            <w:vAlign w:val="bottom"/>
          </w:tcPr>
          <w:p w14:paraId="68D755B9" w14:textId="77777777" w:rsidR="00825547" w:rsidRPr="00B0157E" w:rsidRDefault="00825547" w:rsidP="007F2036">
            <w:pPr>
              <w:pStyle w:val="02Tabletext"/>
              <w:spacing w:after="20"/>
              <w:rPr>
                <w:b/>
              </w:rPr>
            </w:pPr>
            <w:r w:rsidRPr="00B0157E">
              <w:rPr>
                <w:b/>
              </w:rPr>
              <w:t>Descriptor</w:t>
            </w:r>
          </w:p>
          <w:p w14:paraId="28008907" w14:textId="77777777" w:rsidR="00825547" w:rsidRPr="00B0157E" w:rsidRDefault="00825547" w:rsidP="007F2036">
            <w:pPr>
              <w:pStyle w:val="02Tabletext"/>
              <w:spacing w:after="20"/>
              <w:rPr>
                <w:b/>
              </w:rPr>
            </w:pPr>
            <w:r w:rsidRPr="00B0157E">
              <w:rPr>
                <w:b/>
              </w:rPr>
              <w:t>[date last amended]</w:t>
            </w:r>
          </w:p>
        </w:tc>
        <w:tc>
          <w:tcPr>
            <w:tcW w:w="917" w:type="dxa"/>
            <w:shd w:val="clear" w:color="auto" w:fill="F2F2F2" w:themeFill="background1" w:themeFillShade="F2"/>
            <w:vAlign w:val="bottom"/>
          </w:tcPr>
          <w:p w14:paraId="37959DD2" w14:textId="77777777" w:rsidR="00825547" w:rsidRPr="00B0157E" w:rsidRDefault="00825547" w:rsidP="007F2036">
            <w:pPr>
              <w:pStyle w:val="02Tabletext"/>
              <w:spacing w:after="20"/>
              <w:rPr>
                <w:b/>
              </w:rPr>
            </w:pPr>
            <w:r w:rsidRPr="00B0157E">
              <w:rPr>
                <w:b/>
              </w:rPr>
              <w:t>Schedule</w:t>
            </w:r>
          </w:p>
          <w:p w14:paraId="01D457AF" w14:textId="77777777" w:rsidR="00825547" w:rsidRPr="00B0157E" w:rsidRDefault="00825547" w:rsidP="007F2036">
            <w:pPr>
              <w:pStyle w:val="02Tabletext"/>
              <w:spacing w:after="20"/>
              <w:rPr>
                <w:b/>
              </w:rPr>
            </w:pPr>
            <w:r w:rsidRPr="00B0157E">
              <w:rPr>
                <w:b/>
              </w:rPr>
              <w:t>fee</w:t>
            </w:r>
          </w:p>
        </w:tc>
        <w:tc>
          <w:tcPr>
            <w:tcW w:w="997" w:type="dxa"/>
            <w:shd w:val="clear" w:color="auto" w:fill="F2F2F2" w:themeFill="background1" w:themeFillShade="F2"/>
            <w:vAlign w:val="bottom"/>
          </w:tcPr>
          <w:p w14:paraId="4A34989C" w14:textId="77777777" w:rsidR="00825547" w:rsidRPr="00B0157E" w:rsidRDefault="00825547" w:rsidP="007F2036">
            <w:pPr>
              <w:pStyle w:val="02Tabletext"/>
              <w:spacing w:after="20"/>
              <w:rPr>
                <w:b/>
              </w:rPr>
            </w:pPr>
            <w:r w:rsidRPr="00B0157E">
              <w:rPr>
                <w:b/>
              </w:rPr>
              <w:t>Services FY2014/15</w:t>
            </w:r>
          </w:p>
        </w:tc>
        <w:tc>
          <w:tcPr>
            <w:tcW w:w="1080" w:type="dxa"/>
            <w:shd w:val="clear" w:color="auto" w:fill="F2F2F2" w:themeFill="background1" w:themeFillShade="F2"/>
            <w:vAlign w:val="bottom"/>
          </w:tcPr>
          <w:p w14:paraId="5ECF6FD0" w14:textId="77777777" w:rsidR="00825547" w:rsidRPr="00B0157E" w:rsidRDefault="00825547" w:rsidP="007F2036">
            <w:pPr>
              <w:pStyle w:val="02Tabletext"/>
              <w:spacing w:after="20"/>
              <w:rPr>
                <w:b/>
              </w:rPr>
            </w:pPr>
            <w:r w:rsidRPr="00B0157E">
              <w:rPr>
                <w:b/>
              </w:rPr>
              <w:t>Benefits FY2014/15</w:t>
            </w:r>
          </w:p>
        </w:tc>
        <w:tc>
          <w:tcPr>
            <w:tcW w:w="1196" w:type="dxa"/>
            <w:shd w:val="clear" w:color="auto" w:fill="F2F2F2" w:themeFill="background1" w:themeFillShade="F2"/>
            <w:vAlign w:val="bottom"/>
          </w:tcPr>
          <w:p w14:paraId="570178EB" w14:textId="77777777" w:rsidR="00825547" w:rsidRPr="00B0157E" w:rsidRDefault="009A7890" w:rsidP="007F2036">
            <w:pPr>
              <w:pStyle w:val="02Tabletext"/>
              <w:spacing w:after="20"/>
              <w:rPr>
                <w:b/>
              </w:rPr>
            </w:pPr>
            <w:r>
              <w:rPr>
                <w:b/>
              </w:rPr>
              <w:t>Services 5-</w:t>
            </w:r>
            <w:r w:rsidR="00825547" w:rsidRPr="00B0157E">
              <w:rPr>
                <w:b/>
              </w:rPr>
              <w:t>year annual avg. growth</w:t>
            </w:r>
          </w:p>
        </w:tc>
      </w:tr>
      <w:tr w:rsidR="00825547" w:rsidRPr="00B0157E" w14:paraId="132D1C72" w14:textId="77777777">
        <w:tc>
          <w:tcPr>
            <w:tcW w:w="717" w:type="dxa"/>
          </w:tcPr>
          <w:p w14:paraId="0F5F854C" w14:textId="77777777" w:rsidR="00825547" w:rsidRPr="00B0157E" w:rsidRDefault="00825547" w:rsidP="00CA1101">
            <w:pPr>
              <w:pStyle w:val="02Tabletext"/>
            </w:pPr>
            <w:r w:rsidRPr="00B0157E">
              <w:t>45019</w:t>
            </w:r>
          </w:p>
        </w:tc>
        <w:tc>
          <w:tcPr>
            <w:tcW w:w="4119" w:type="dxa"/>
          </w:tcPr>
          <w:p w14:paraId="5E8965B0" w14:textId="77777777" w:rsidR="00825547" w:rsidRPr="00B0157E" w:rsidRDefault="00825547" w:rsidP="00CA1101">
            <w:pPr>
              <w:pStyle w:val="02Tabletext"/>
            </w:pPr>
            <w:r w:rsidRPr="00B0157E">
              <w:t xml:space="preserve">Full face chemical peel for severely sun-damaged skin, where it can be demonstrated that the damage affects 75% of the facial skin surface area involving photodamage (dermatoheliosis) typically consisting of solar keratoses, solar lentigines, freckling, yellowing and leathering of the skin, where at least medium depth peeling agents are used, performed in the operating theatre of a hospital by a specialist in the practice of his or her specialty </w:t>
            </w:r>
            <w:r w:rsidR="00F83AF5" w:rsidRPr="00B0157E">
              <w:t>–</w:t>
            </w:r>
            <w:r w:rsidRPr="00B0157E">
              <w:t xml:space="preserve"> 1 session only in a 12 month period</w:t>
            </w:r>
            <w:r w:rsidR="00F83AF5" w:rsidRPr="00B0157E">
              <w:t>.</w:t>
            </w:r>
            <w:r w:rsidRPr="00B0157E">
              <w:t xml:space="preserve"> (Anaes.)</w:t>
            </w:r>
            <w:r w:rsidR="00673F8C" w:rsidRPr="00B0157E">
              <w:t xml:space="preserve"> [1997]</w:t>
            </w:r>
          </w:p>
        </w:tc>
        <w:tc>
          <w:tcPr>
            <w:tcW w:w="917" w:type="dxa"/>
          </w:tcPr>
          <w:p w14:paraId="580EE9CD" w14:textId="77777777" w:rsidR="00825547" w:rsidRPr="00B0157E" w:rsidRDefault="00825547" w:rsidP="00794EDF">
            <w:pPr>
              <w:pStyle w:val="02Tabletext"/>
              <w:keepNext/>
              <w:keepLines/>
              <w:spacing w:after="60"/>
              <w:outlineLvl w:val="8"/>
            </w:pPr>
            <w:r w:rsidRPr="00B0157E">
              <w:t>$396.70</w:t>
            </w:r>
          </w:p>
        </w:tc>
        <w:tc>
          <w:tcPr>
            <w:tcW w:w="997" w:type="dxa"/>
          </w:tcPr>
          <w:p w14:paraId="4F2C47A5" w14:textId="77777777" w:rsidR="00825547" w:rsidRPr="00B0157E" w:rsidRDefault="00825547" w:rsidP="00794EDF">
            <w:pPr>
              <w:pStyle w:val="02Tabletext"/>
              <w:keepNext/>
              <w:keepLines/>
              <w:spacing w:after="60"/>
              <w:outlineLvl w:val="8"/>
            </w:pPr>
            <w:r w:rsidRPr="00B0157E">
              <w:t>14</w:t>
            </w:r>
          </w:p>
        </w:tc>
        <w:tc>
          <w:tcPr>
            <w:tcW w:w="1080" w:type="dxa"/>
          </w:tcPr>
          <w:p w14:paraId="70C56D8A" w14:textId="77777777" w:rsidR="00825547" w:rsidRPr="00B0157E" w:rsidRDefault="00825547" w:rsidP="00794EDF">
            <w:pPr>
              <w:pStyle w:val="02Tabletext"/>
              <w:keepNext/>
              <w:keepLines/>
              <w:spacing w:after="60"/>
              <w:outlineLvl w:val="8"/>
            </w:pPr>
            <w:r w:rsidRPr="00B0157E">
              <w:t>$4,166</w:t>
            </w:r>
          </w:p>
        </w:tc>
        <w:tc>
          <w:tcPr>
            <w:tcW w:w="1196" w:type="dxa"/>
          </w:tcPr>
          <w:p w14:paraId="610836D9" w14:textId="77777777" w:rsidR="00825547" w:rsidRPr="00B0157E" w:rsidRDefault="00673F8C" w:rsidP="00794EDF">
            <w:pPr>
              <w:pStyle w:val="02Tabletext"/>
              <w:keepNext/>
              <w:keepLines/>
              <w:spacing w:after="60"/>
              <w:outlineLvl w:val="8"/>
            </w:pPr>
            <w:r w:rsidRPr="00B0157E">
              <w:t>-7.8%</w:t>
            </w:r>
          </w:p>
        </w:tc>
      </w:tr>
    </w:tbl>
    <w:p w14:paraId="44A8ED52" w14:textId="77777777" w:rsidR="00381765" w:rsidRPr="00B0157E" w:rsidRDefault="00381765" w:rsidP="00C33ED9">
      <w:pPr>
        <w:rPr>
          <w:b/>
          <w:lang w:val="en-AU"/>
        </w:rPr>
      </w:pPr>
      <w:r w:rsidRPr="00B0157E">
        <w:rPr>
          <w:b/>
          <w:lang w:val="en-AU"/>
        </w:rPr>
        <w:t xml:space="preserve">Recommendation </w:t>
      </w:r>
    </w:p>
    <w:p w14:paraId="1FA54D90" w14:textId="77777777" w:rsidR="0073654A" w:rsidRPr="00B0157E" w:rsidRDefault="0073654A">
      <w:pPr>
        <w:pStyle w:val="01squarebullet"/>
        <w:rPr>
          <w:lang w:val="en-AU"/>
        </w:rPr>
      </w:pPr>
      <w:r w:rsidRPr="00B0157E">
        <w:rPr>
          <w:lang w:val="en-AU"/>
        </w:rPr>
        <w:t xml:space="preserve">Add full resurfacing lasers Erbium CO2 and Fractional Thulium 1927 to the item descriptor. </w:t>
      </w:r>
    </w:p>
    <w:p w14:paraId="239D60EF" w14:textId="77777777" w:rsidR="0073654A" w:rsidRPr="00B0157E" w:rsidRDefault="0073654A">
      <w:pPr>
        <w:pStyle w:val="01squarebullet"/>
        <w:rPr>
          <w:lang w:val="en-AU"/>
        </w:rPr>
      </w:pPr>
      <w:r w:rsidRPr="00B0157E">
        <w:rPr>
          <w:lang w:val="en-AU"/>
        </w:rPr>
        <w:t xml:space="preserve">Change </w:t>
      </w:r>
      <w:r w:rsidR="00F84D6C" w:rsidRPr="00B0157E">
        <w:rPr>
          <w:lang w:val="en-AU"/>
        </w:rPr>
        <w:t xml:space="preserve">the </w:t>
      </w:r>
      <w:r w:rsidRPr="00B0157E">
        <w:rPr>
          <w:lang w:val="en-AU"/>
        </w:rPr>
        <w:t xml:space="preserve">indication </w:t>
      </w:r>
      <w:r w:rsidR="00DB0F97" w:rsidRPr="00B0157E">
        <w:rPr>
          <w:lang w:val="en-AU"/>
        </w:rPr>
        <w:t xml:space="preserve">in the item descriptor </w:t>
      </w:r>
      <w:r w:rsidRPr="00B0157E">
        <w:rPr>
          <w:lang w:val="en-AU"/>
        </w:rPr>
        <w:t>to</w:t>
      </w:r>
      <w:r w:rsidR="00B72AF9" w:rsidRPr="00B0157E">
        <w:rPr>
          <w:lang w:val="en-AU"/>
        </w:rPr>
        <w:t xml:space="preserve"> read:</w:t>
      </w:r>
      <w:r w:rsidRPr="00B0157E">
        <w:rPr>
          <w:lang w:val="en-AU"/>
        </w:rPr>
        <w:t xml:space="preserve"> “Solar Keratoses not responsive to medical therapies, </w:t>
      </w:r>
      <w:r w:rsidR="005F13A7" w:rsidRPr="00B0157E">
        <w:rPr>
          <w:lang w:val="en-AU"/>
        </w:rPr>
        <w:t>w</w:t>
      </w:r>
      <w:r w:rsidRPr="00B0157E">
        <w:rPr>
          <w:lang w:val="en-AU"/>
        </w:rPr>
        <w:t>here the solar Keratosis Load exceeds 30 individual lesions</w:t>
      </w:r>
      <w:r w:rsidR="00660F85" w:rsidRPr="00B0157E">
        <w:rPr>
          <w:lang w:val="en-AU"/>
        </w:rPr>
        <w:t>.</w:t>
      </w:r>
      <w:r w:rsidRPr="00B0157E">
        <w:rPr>
          <w:lang w:val="en-AU"/>
        </w:rPr>
        <w:t>”</w:t>
      </w:r>
    </w:p>
    <w:p w14:paraId="679C7F92" w14:textId="77777777" w:rsidR="009F7806" w:rsidRPr="00B0157E" w:rsidRDefault="009F7806">
      <w:pPr>
        <w:pStyle w:val="01squarebullet"/>
        <w:rPr>
          <w:lang w:val="en-AU"/>
        </w:rPr>
      </w:pPr>
      <w:r w:rsidRPr="00B0157E">
        <w:rPr>
          <w:lang w:val="en-AU"/>
        </w:rPr>
        <w:t xml:space="preserve">Change the </w:t>
      </w:r>
      <w:r w:rsidR="006E140D" w:rsidRPr="00B0157E">
        <w:rPr>
          <w:lang w:val="en-AU"/>
        </w:rPr>
        <w:t xml:space="preserve">word </w:t>
      </w:r>
      <w:r w:rsidRPr="00B0157E">
        <w:rPr>
          <w:lang w:val="en-AU"/>
        </w:rPr>
        <w:t>“specialist” to “AMC recognised dermatologist and plastic surgeon</w:t>
      </w:r>
      <w:r w:rsidR="006E140D" w:rsidRPr="00B0157E">
        <w:rPr>
          <w:lang w:val="en-AU"/>
        </w:rPr>
        <w:t>.</w:t>
      </w:r>
      <w:r w:rsidRPr="00B0157E">
        <w:rPr>
          <w:lang w:val="en-AU"/>
        </w:rPr>
        <w:t xml:space="preserve">” </w:t>
      </w:r>
    </w:p>
    <w:p w14:paraId="79D70091" w14:textId="77777777" w:rsidR="00381765" w:rsidRPr="00B0157E" w:rsidRDefault="00381765" w:rsidP="002224C7">
      <w:pPr>
        <w:keepNext/>
        <w:keepLines/>
        <w:rPr>
          <w:b/>
          <w:lang w:val="en-AU"/>
        </w:rPr>
      </w:pPr>
      <w:r w:rsidRPr="00B0157E">
        <w:rPr>
          <w:b/>
          <w:lang w:val="en-AU"/>
        </w:rPr>
        <w:t xml:space="preserve">Rationale </w:t>
      </w:r>
    </w:p>
    <w:p w14:paraId="483DB688" w14:textId="77777777" w:rsidR="0073654A" w:rsidRPr="00B0157E" w:rsidRDefault="006A6ADB" w:rsidP="00AC4FF2">
      <w:pPr>
        <w:rPr>
          <w:lang w:val="en-AU"/>
        </w:rPr>
      </w:pPr>
      <w:r w:rsidRPr="00B0157E">
        <w:rPr>
          <w:lang w:val="en-AU"/>
        </w:rPr>
        <w:t xml:space="preserve">This recommendation focuses on </w:t>
      </w:r>
      <w:r w:rsidR="00381765" w:rsidRPr="00B0157E">
        <w:rPr>
          <w:lang w:val="en-AU"/>
        </w:rPr>
        <w:t>modernis</w:t>
      </w:r>
      <w:r w:rsidRPr="00B0157E">
        <w:rPr>
          <w:lang w:val="en-AU"/>
        </w:rPr>
        <w:t>ing</w:t>
      </w:r>
      <w:r w:rsidR="00381765" w:rsidRPr="00B0157E">
        <w:rPr>
          <w:lang w:val="en-AU"/>
        </w:rPr>
        <w:t xml:space="preserve"> the MBS to reflect current best</w:t>
      </w:r>
      <w:r w:rsidR="00350F7E" w:rsidRPr="00B0157E">
        <w:rPr>
          <w:lang w:val="en-AU"/>
        </w:rPr>
        <w:t>-</w:t>
      </w:r>
      <w:r w:rsidR="00381765" w:rsidRPr="00B0157E">
        <w:rPr>
          <w:lang w:val="en-AU"/>
        </w:rPr>
        <w:t>practice standards of care</w:t>
      </w:r>
      <w:r w:rsidR="00130859" w:rsidRPr="00B0157E">
        <w:rPr>
          <w:lang w:val="en-AU"/>
        </w:rPr>
        <w:t>.</w:t>
      </w:r>
      <w:r w:rsidR="00381765" w:rsidRPr="00B0157E">
        <w:rPr>
          <w:lang w:val="en-AU"/>
        </w:rPr>
        <w:t xml:space="preserve"> </w:t>
      </w:r>
    </w:p>
    <w:p w14:paraId="029062FD" w14:textId="77777777" w:rsidR="003916C0" w:rsidRPr="00B0157E" w:rsidRDefault="001C719B">
      <w:pPr>
        <w:pStyle w:val="01squarebullet"/>
        <w:rPr>
          <w:lang w:val="en-AU"/>
        </w:rPr>
      </w:pPr>
      <w:r w:rsidRPr="00B0157E">
        <w:rPr>
          <w:lang w:val="en-AU"/>
        </w:rPr>
        <w:lastRenderedPageBreak/>
        <w:t>The recommendations modernise the MBS to reflect current best</w:t>
      </w:r>
      <w:r w:rsidR="009D2DEA" w:rsidRPr="00B0157E">
        <w:rPr>
          <w:lang w:val="en-AU"/>
        </w:rPr>
        <w:t>-</w:t>
      </w:r>
      <w:r w:rsidRPr="00B0157E">
        <w:rPr>
          <w:lang w:val="en-AU"/>
        </w:rPr>
        <w:t>practice standard</w:t>
      </w:r>
      <w:r w:rsidR="00746880" w:rsidRPr="00B0157E">
        <w:rPr>
          <w:lang w:val="en-AU"/>
        </w:rPr>
        <w:t>s</w:t>
      </w:r>
      <w:r w:rsidRPr="00B0157E">
        <w:rPr>
          <w:lang w:val="en-AU"/>
        </w:rPr>
        <w:t xml:space="preserve"> of care in treating multiple areas of facial dysplasia (solar keratoses) that have resisted previous therapies. This change will also modify the indication for this procedure to treat cellular dysplasia/precancerous changes</w:t>
      </w:r>
      <w:r w:rsidR="004E0EE0" w:rsidRPr="00B0157E">
        <w:rPr>
          <w:lang w:val="en-AU"/>
        </w:rPr>
        <w:t>.</w:t>
      </w:r>
      <w:r w:rsidR="00C1346F" w:rsidRPr="00B0157E">
        <w:rPr>
          <w:lang w:val="en-AU"/>
        </w:rPr>
        <w:fldChar w:fldCharType="begin" w:fldLock="1"/>
      </w:r>
      <w:r w:rsidR="00C47315" w:rsidRPr="00B0157E">
        <w:rPr>
          <w:lang w:val="en-AU"/>
        </w:rPr>
        <w:instrText>ADDIN CSL_CITATION { "citationItems" : [ { "id" : "ITEM-1", "itemData" : { "DOI" : "10.1016/j.jaad.2012.05.033", "ISBN" : "1097-6787 (Electronic)\\r0190-9622 (Linking)", "ISSN" : "01909622", "PMID" : "23041112", "abstract" : "Background: Actinic keratoses (AK) are precancerous epidermal proliferations commonly present on chronically sun-damaged skin. These lesions are among the most often treated dermatologic conditions. Objective: We sought to investigate the 6-month safety, tolerance, and efficacy of nonablative 1927-nm fractional resurfacing of facial AK. Methods: This was a prospective clinical trial of 24 individuals with facial photodamage and AK receiving up to 4 treatments with the fractionated 1927-nm nonablative thulium laser. Results: At 6 months, an 86.6% reduction in absolute number of lesions was noted by independent physician assessment. In addition, at this same time point, patients reported marked or noticeable improvement in overall photodamage. Limitations: This prospective study does not provide safety, tolerance, and efficacy data beyond 6 months of follow-up, nor does it identify the precise mechanism of action involved in AK clearance after 1927-nm resurfacing. Conclusion: The clinical and histologic findings, as well as the reported patient satisfaction and safety, suggest that the treatment of AK and photodamage with a fractionated 1927-nm nonablative thulium laser is a promising new therapeutic option. ?? 2012 by the American Academy of Dermatology, Inc.", "author" : [ { "dropping-particle" : "", "family" : "Weiss", "given" : "Elliot T.", "non-dropping-particle" : "", "parse-names" : false, "suffix" : "" }, { "dropping-particle" : "", "family" : "Brauer", "given" : "Jeremy A.", "non-dropping-particle" : "", "parse-names" : false, "suffix" : "" }, { "dropping-particle" : "", "family" : "Anolik", "given" : "Robert", "non-dropping-particle" : "", "parse-names" : false, "suffix" : "" }, { "dropping-particle" : "", "family" : "Reddy", "given" : "Kavitha K.", "non-dropping-particle" : "", "parse-names" : false, "suffix" : "" }, { "dropping-particle" : "", "family" : "Karen", "given" : "Julie K.", "non-dropping-particle" : "", "parse-names" : false, "suffix" : "" }, { "dropping-particle" : "", "family" : "Hale", "given" : "Elizabeth K.", "non-dropping-particle" : "", "parse-names" : false, "suffix" : "" }, { "dropping-particle" : "", "family" : "Brightman", "given" : "Lori A.", "non-dropping-particle" : "", "parse-names" : false, "suffix" : "" }, { "dropping-particle" : "", "family" : "Bernstein", "given" : "Leonard", "non-dropping-particle" : "", "parse-names" : false, "suffix" : "" }, { "dropping-particle" : "", "family" : "Geronemus", "given" : "Roy G.", "non-dropping-particle" : "", "parse-names" : false, "suffix" : "" } ], "container-title" : "Journal of the American Academy of Dermatology", "id" : "ITEM-1", "issue" : "1", "issued" : { "date-parts" : [ [ "2013" ] ] }, "page" : "98-102", "publisher" : "Elsevier Inc", "title" : "1927-nm Fractional resurfacing of facial actinic keratoses: A promising new therapeutic option", "type" : "article-journal", "volume" : "68" }, "uris" : [ "http://www.mendeley.com/documents/?uuid=9ec72b1a-9304-48a2-b351-1821664fba74" ] } ], "mendeley" : { "formattedCitation" : "[41]", "plainTextFormattedCitation" : "[41]", "previouslyFormattedCitation" : "[41]" }, "properties" : { "noteIndex" : 0 }, "schema" : "https://github.com/citation-style-language/schema/raw/master/csl-citation.json" }</w:instrText>
      </w:r>
      <w:r w:rsidR="00C1346F" w:rsidRPr="00B0157E">
        <w:rPr>
          <w:lang w:val="en-AU"/>
        </w:rPr>
        <w:fldChar w:fldCharType="separate"/>
      </w:r>
      <w:r w:rsidR="00010550" w:rsidRPr="00B0157E">
        <w:rPr>
          <w:lang w:val="en-AU"/>
        </w:rPr>
        <w:t>[41]</w:t>
      </w:r>
      <w:r w:rsidR="00C1346F" w:rsidRPr="00B0157E">
        <w:rPr>
          <w:lang w:val="en-AU"/>
        </w:rPr>
        <w:fldChar w:fldCharType="end"/>
      </w:r>
      <w:r w:rsidR="004A352E">
        <w:rPr>
          <w:lang w:val="en-AU"/>
        </w:rPr>
        <w:t xml:space="preserve"> </w:t>
      </w:r>
    </w:p>
    <w:p w14:paraId="783246BE" w14:textId="77777777" w:rsidR="003916C0" w:rsidRPr="00B0157E" w:rsidRDefault="009F7806">
      <w:pPr>
        <w:pStyle w:val="01squarebullet"/>
        <w:rPr>
          <w:lang w:val="en-AU"/>
        </w:rPr>
      </w:pPr>
      <w:r w:rsidRPr="00B0157E">
        <w:rPr>
          <w:rFonts w:eastAsiaTheme="minorHAnsi"/>
          <w:lang w:val="en-AU"/>
        </w:rPr>
        <w:t>The Committee was concerned to learn</w:t>
      </w:r>
      <w:r w:rsidR="002409C0" w:rsidRPr="00B0157E">
        <w:rPr>
          <w:rFonts w:eastAsiaTheme="minorHAnsi"/>
          <w:lang w:val="en-AU"/>
        </w:rPr>
        <w:t xml:space="preserve"> </w:t>
      </w:r>
      <w:r w:rsidRPr="00B0157E">
        <w:rPr>
          <w:rFonts w:eastAsiaTheme="minorHAnsi"/>
          <w:lang w:val="en-AU"/>
        </w:rPr>
        <w:t>that certain GPs who specialise in skin are classifying themselves as specialists</w:t>
      </w:r>
      <w:r w:rsidR="00B2220D">
        <w:rPr>
          <w:rFonts w:eastAsiaTheme="minorHAnsi"/>
          <w:lang w:val="en-AU"/>
        </w:rPr>
        <w:t xml:space="preserve"> and data suggests they were utilising the MBS in this manner</w:t>
      </w:r>
      <w:r w:rsidRPr="00B0157E">
        <w:rPr>
          <w:rFonts w:eastAsiaTheme="minorHAnsi"/>
          <w:lang w:val="en-AU"/>
        </w:rPr>
        <w:t xml:space="preserve">. The Committee decided to address this issue by changing </w:t>
      </w:r>
      <w:r w:rsidR="004E0EE0" w:rsidRPr="00B0157E">
        <w:rPr>
          <w:rFonts w:eastAsiaTheme="minorHAnsi"/>
          <w:lang w:val="en-AU"/>
        </w:rPr>
        <w:t xml:space="preserve">the </w:t>
      </w:r>
      <w:r w:rsidR="002D5593" w:rsidRPr="00B0157E">
        <w:rPr>
          <w:rFonts w:eastAsiaTheme="minorHAnsi"/>
          <w:lang w:val="en-AU"/>
        </w:rPr>
        <w:t xml:space="preserve">word “specialist” </w:t>
      </w:r>
      <w:r w:rsidRPr="00B0157E">
        <w:rPr>
          <w:rFonts w:eastAsiaTheme="minorHAnsi"/>
          <w:lang w:val="en-AU"/>
        </w:rPr>
        <w:t>to “AMC recognised dermatologist</w:t>
      </w:r>
      <w:r w:rsidR="001C719B" w:rsidRPr="00B0157E">
        <w:rPr>
          <w:rFonts w:eastAsiaTheme="minorHAnsi"/>
          <w:lang w:val="en-AU"/>
        </w:rPr>
        <w:t xml:space="preserve"> and plastic surgeon</w:t>
      </w:r>
      <w:r w:rsidR="00414E34" w:rsidRPr="00B0157E">
        <w:rPr>
          <w:rFonts w:eastAsiaTheme="minorHAnsi"/>
          <w:lang w:val="en-AU"/>
        </w:rPr>
        <w:t>.</w:t>
      </w:r>
      <w:r w:rsidRPr="00B0157E">
        <w:rPr>
          <w:rFonts w:eastAsiaTheme="minorHAnsi"/>
          <w:lang w:val="en-AU"/>
        </w:rPr>
        <w:t xml:space="preserve">” </w:t>
      </w:r>
    </w:p>
    <w:p w14:paraId="3BD0E821" w14:textId="77777777" w:rsidR="008F69FE" w:rsidRPr="00B0157E" w:rsidRDefault="008F69FE" w:rsidP="00C33ED9">
      <w:pPr>
        <w:pStyle w:val="Heading1"/>
        <w:rPr>
          <w:lang w:val="en-AU"/>
        </w:rPr>
      </w:pPr>
      <w:bookmarkStart w:id="207" w:name="_Toc458774449"/>
      <w:bookmarkStart w:id="208" w:name="_Toc459973086"/>
      <w:bookmarkStart w:id="209" w:name="_Toc465871887"/>
      <w:r w:rsidRPr="00B0157E">
        <w:rPr>
          <w:lang w:val="en-AU"/>
        </w:rPr>
        <w:t>Stakeholder impact statement</w:t>
      </w:r>
      <w:bookmarkEnd w:id="207"/>
      <w:bookmarkEnd w:id="208"/>
      <w:bookmarkEnd w:id="209"/>
    </w:p>
    <w:p w14:paraId="58660331" w14:textId="77777777" w:rsidR="00A969A5" w:rsidRDefault="008F69FE" w:rsidP="00C33ED9">
      <w:pPr>
        <w:rPr>
          <w:lang w:val="en-AU"/>
        </w:rPr>
      </w:pPr>
      <w:r w:rsidRPr="00B0157E">
        <w:rPr>
          <w:lang w:val="en-AU"/>
        </w:rPr>
        <w:t xml:space="preserve">Both patients and providers are expected to benefit from these recommendations, as they address concerns regarding patient safety and quality of care, and they take steps to simplify the MBS and make it easier to use and understand. Patient access to services was considered for each recommendation. </w:t>
      </w:r>
    </w:p>
    <w:p w14:paraId="5C955A65" w14:textId="77777777" w:rsidR="00A969A5" w:rsidRDefault="008F69FE" w:rsidP="00C33ED9">
      <w:pPr>
        <w:rPr>
          <w:lang w:val="en-AU"/>
        </w:rPr>
      </w:pPr>
      <w:r w:rsidRPr="00B0157E">
        <w:rPr>
          <w:lang w:val="en-AU"/>
        </w:rPr>
        <w:t xml:space="preserve">Where items have been recommended for deletion, alternative items have been suggested that can absorb the appropriate services for a comparable schedule fee. The Committee also considered each recommendation’s impact on provider groups to ensure that changes are reasonable and fair. </w:t>
      </w:r>
    </w:p>
    <w:p w14:paraId="68B9CE99" w14:textId="77777777" w:rsidR="00FF0C98" w:rsidRPr="00B0157E" w:rsidRDefault="008F69FE" w:rsidP="00791E30">
      <w:pPr>
        <w:rPr>
          <w:lang w:val="en-AU"/>
        </w:rPr>
      </w:pPr>
      <w:r w:rsidRPr="00B0157E">
        <w:rPr>
          <w:lang w:val="en-AU"/>
        </w:rPr>
        <w:t>However, if the Committee identified evidence of potential item misuse or safety concerns, recommendations were made to encourage best practice, in line with the overarching purpose of the MBS Review.</w:t>
      </w:r>
      <w:r w:rsidR="004A352E">
        <w:rPr>
          <w:lang w:val="en-AU"/>
        </w:rPr>
        <w:t xml:space="preserve"> </w:t>
      </w:r>
    </w:p>
    <w:p w14:paraId="3B37B1BA" w14:textId="77777777" w:rsidR="002405E9" w:rsidRDefault="002405E9" w:rsidP="002405E9">
      <w:pPr>
        <w:rPr>
          <w:lang w:val="en-AU"/>
        </w:rPr>
      </w:pPr>
      <w:r>
        <w:rPr>
          <w:lang w:val="en-AU"/>
        </w:rPr>
        <w:br w:type="page"/>
      </w:r>
    </w:p>
    <w:p w14:paraId="62AA06DB" w14:textId="77777777" w:rsidR="00686517" w:rsidRPr="00B0157E" w:rsidRDefault="00A66B73" w:rsidP="00C33ED9">
      <w:pPr>
        <w:pStyle w:val="Heading1"/>
        <w:rPr>
          <w:lang w:val="en-AU"/>
        </w:rPr>
      </w:pPr>
      <w:bookmarkStart w:id="210" w:name="_Toc457823634"/>
      <w:bookmarkStart w:id="211" w:name="_Toc457823635"/>
      <w:bookmarkStart w:id="212" w:name="_Toc456045466"/>
      <w:bookmarkStart w:id="213" w:name="_Toc458774450"/>
      <w:bookmarkStart w:id="214" w:name="_Toc459973087"/>
      <w:bookmarkStart w:id="215" w:name="_Toc465871888"/>
      <w:bookmarkEnd w:id="210"/>
      <w:bookmarkEnd w:id="211"/>
      <w:r w:rsidRPr="00B0157E">
        <w:rPr>
          <w:lang w:val="en-AU"/>
        </w:rPr>
        <w:lastRenderedPageBreak/>
        <w:t>References</w:t>
      </w:r>
      <w:bookmarkEnd w:id="212"/>
      <w:bookmarkEnd w:id="213"/>
      <w:bookmarkEnd w:id="214"/>
      <w:bookmarkEnd w:id="215"/>
    </w:p>
    <w:p w14:paraId="2FD5FB0B" w14:textId="77777777" w:rsidR="0073530D" w:rsidRPr="00B0157E" w:rsidRDefault="00C1346F" w:rsidP="00FF0C98">
      <w:pPr>
        <w:ind w:left="709" w:hanging="709"/>
        <w:rPr>
          <w:noProof/>
          <w:lang w:val="en-AU"/>
        </w:rPr>
      </w:pPr>
      <w:r w:rsidRPr="00B0157E">
        <w:rPr>
          <w:lang w:val="en-AU"/>
        </w:rPr>
        <w:fldChar w:fldCharType="begin" w:fldLock="1"/>
      </w:r>
      <w:r w:rsidR="00197E5C" w:rsidRPr="00B0157E">
        <w:rPr>
          <w:lang w:val="en-AU"/>
        </w:rPr>
        <w:instrText xml:space="preserve">ADDIN Mendeley Bibliography CSL_BIBLIOGRAPHY </w:instrText>
      </w:r>
      <w:r w:rsidRPr="00B0157E">
        <w:rPr>
          <w:lang w:val="en-AU"/>
        </w:rPr>
        <w:fldChar w:fldCharType="separate"/>
      </w:r>
      <w:r w:rsidR="0073530D" w:rsidRPr="00B0157E">
        <w:rPr>
          <w:noProof/>
          <w:lang w:val="en-AU"/>
        </w:rPr>
        <w:t>[1]</w:t>
      </w:r>
      <w:r w:rsidR="0073530D" w:rsidRPr="00B0157E">
        <w:rPr>
          <w:noProof/>
          <w:lang w:val="en-AU"/>
        </w:rPr>
        <w:tab/>
        <w:t>A. Elshaug, ‘Appropriate Use Criteria’, 2016.</w:t>
      </w:r>
    </w:p>
    <w:p w14:paraId="3F0C95A9" w14:textId="77777777" w:rsidR="0073530D" w:rsidRPr="00B0157E" w:rsidRDefault="0073530D" w:rsidP="00FF0C98">
      <w:pPr>
        <w:ind w:left="709" w:hanging="709"/>
        <w:rPr>
          <w:noProof/>
          <w:lang w:val="en-AU"/>
        </w:rPr>
      </w:pPr>
      <w:r w:rsidRPr="00B0157E">
        <w:rPr>
          <w:noProof/>
          <w:lang w:val="en-AU"/>
        </w:rPr>
        <w:t>[2]</w:t>
      </w:r>
      <w:r w:rsidRPr="00B0157E">
        <w:rPr>
          <w:noProof/>
          <w:lang w:val="en-AU"/>
        </w:rPr>
        <w:tab/>
        <w:t>M. R. U. Department of Health, ‘MBS data’.</w:t>
      </w:r>
    </w:p>
    <w:p w14:paraId="60D644DE" w14:textId="77777777" w:rsidR="0073530D" w:rsidRPr="00B0157E" w:rsidRDefault="0073530D" w:rsidP="00FF0C98">
      <w:pPr>
        <w:ind w:left="709" w:hanging="709"/>
        <w:rPr>
          <w:noProof/>
          <w:lang w:val="en-AU"/>
        </w:rPr>
      </w:pPr>
      <w:r w:rsidRPr="00B0157E">
        <w:rPr>
          <w:noProof/>
          <w:lang w:val="en-AU"/>
        </w:rPr>
        <w:t>[3]</w:t>
      </w:r>
      <w:r w:rsidRPr="00B0157E">
        <w:rPr>
          <w:noProof/>
          <w:lang w:val="en-AU"/>
        </w:rPr>
        <w:tab/>
        <w:t xml:space="preserve">A. B. of Statistics, ‘Australian Demographic Statistics’, </w:t>
      </w:r>
      <w:r w:rsidRPr="00B0157E">
        <w:rPr>
          <w:i/>
          <w:iCs/>
          <w:noProof/>
          <w:lang w:val="en-AU"/>
        </w:rPr>
        <w:t>3101.0 - Australian Demographic statistics Jun 2010 and Jun 2015</w:t>
      </w:r>
      <w:r w:rsidRPr="00B0157E">
        <w:rPr>
          <w:noProof/>
          <w:lang w:val="en-AU"/>
        </w:rPr>
        <w:t>. [Online]. Available: http://www.abs.gov.au/ausstats/abs@.nsf/Previousproducts/3101.0Main Features1Jun 2015?opendocument&amp;tabname=Summary&amp;prodno=3101.0&amp;issue=Jun 2015&amp;num=&amp;view=. [Accessed: 25-Apr-2016].</w:t>
      </w:r>
    </w:p>
    <w:p w14:paraId="171CD5A3" w14:textId="77777777" w:rsidR="0073530D" w:rsidRPr="00B0157E" w:rsidRDefault="0073530D" w:rsidP="00FF0C98">
      <w:pPr>
        <w:ind w:left="709" w:hanging="709"/>
        <w:rPr>
          <w:noProof/>
          <w:lang w:val="en-AU"/>
        </w:rPr>
      </w:pPr>
      <w:r w:rsidRPr="00B0157E">
        <w:rPr>
          <w:noProof/>
          <w:lang w:val="en-AU"/>
        </w:rPr>
        <w:t>[4]</w:t>
      </w:r>
      <w:r w:rsidRPr="00B0157E">
        <w:rPr>
          <w:noProof/>
          <w:lang w:val="en-AU"/>
        </w:rPr>
        <w:tab/>
        <w:t>N. I. for H. and C. E. NICE, ‘Phototherapy for Psoriasis’, 2016. [Online]. Available: http://pathways.nice.org.uk/pathways/psoriasis#path=view%3A/pathways/psoriasis/phototherapy-for-psoriasis.xml&amp;content=view-node%3Anodes-risk-of-skin-cancer. [Accessed: 20-May-2016].</w:t>
      </w:r>
    </w:p>
    <w:p w14:paraId="483C91A6" w14:textId="77777777" w:rsidR="0073530D" w:rsidRPr="00B0157E" w:rsidRDefault="0073530D" w:rsidP="00FF0C98">
      <w:pPr>
        <w:ind w:left="709" w:hanging="709"/>
        <w:rPr>
          <w:noProof/>
          <w:lang w:val="en-AU"/>
        </w:rPr>
      </w:pPr>
      <w:r w:rsidRPr="00B0157E">
        <w:rPr>
          <w:noProof/>
          <w:lang w:val="en-AU"/>
        </w:rPr>
        <w:t>[5]</w:t>
      </w:r>
      <w:r w:rsidRPr="00B0157E">
        <w:rPr>
          <w:noProof/>
          <w:lang w:val="en-AU"/>
        </w:rPr>
        <w:tab/>
        <w:t xml:space="preserve">D. J. Gawkrodger, A. D. Ormerod, L. Shaw, I. Mauri-Sole, M. E. Whitton, M. J. Watts, A. V Anstey, J. Ingham, K. Young, Therapy Guidelines and Audit Subcommittee, British Association of Dermatologists, Clinical Standards Department, Royal College of Physicians of London, Cochrane Skin Group, and Vitiligo Society, ‘Guideline for the diagnosis and management of vitiligo.’, </w:t>
      </w:r>
      <w:r w:rsidRPr="00B0157E">
        <w:rPr>
          <w:i/>
          <w:iCs/>
          <w:noProof/>
          <w:lang w:val="en-AU"/>
        </w:rPr>
        <w:t>Br. J. Dermatol.</w:t>
      </w:r>
      <w:r w:rsidRPr="00B0157E">
        <w:rPr>
          <w:noProof/>
          <w:lang w:val="en-AU"/>
        </w:rPr>
        <w:t>, vol. 159, no. 5, pp. 1051–76, Nov. 2008.</w:t>
      </w:r>
    </w:p>
    <w:p w14:paraId="56AC796D" w14:textId="77777777" w:rsidR="0073530D" w:rsidRPr="00B0157E" w:rsidRDefault="0073530D" w:rsidP="00FF0C98">
      <w:pPr>
        <w:ind w:left="709" w:hanging="709"/>
        <w:rPr>
          <w:noProof/>
          <w:lang w:val="en-AU"/>
        </w:rPr>
      </w:pPr>
      <w:r w:rsidRPr="00B0157E">
        <w:rPr>
          <w:noProof/>
          <w:lang w:val="en-AU"/>
        </w:rPr>
        <w:t>[6]</w:t>
      </w:r>
      <w:r w:rsidRPr="00B0157E">
        <w:rPr>
          <w:noProof/>
          <w:lang w:val="en-AU"/>
        </w:rPr>
        <w:tab/>
        <w:t xml:space="preserve">R. M. R. Hearn, A. C. Kerr, K. F. Rahim, J. Ferguson, and R. S. Dawe, ‘Incidence of skin cancers in 3867 patients treated with narrow-band ultraviolet B phototherapy.’, </w:t>
      </w:r>
      <w:r w:rsidRPr="00B0157E">
        <w:rPr>
          <w:i/>
          <w:iCs/>
          <w:noProof/>
          <w:lang w:val="en-AU"/>
        </w:rPr>
        <w:t>Br. J. Dermatol.</w:t>
      </w:r>
      <w:r w:rsidRPr="00B0157E">
        <w:rPr>
          <w:noProof/>
          <w:lang w:val="en-AU"/>
        </w:rPr>
        <w:t>, vol. 159, no. 4, pp. 931–5, Sep. 2008.</w:t>
      </w:r>
    </w:p>
    <w:p w14:paraId="31BB288F" w14:textId="77777777" w:rsidR="0073530D" w:rsidRPr="00B0157E" w:rsidRDefault="0073530D" w:rsidP="00FF0C98">
      <w:pPr>
        <w:ind w:left="709" w:hanging="709"/>
        <w:rPr>
          <w:noProof/>
          <w:lang w:val="en-AU"/>
        </w:rPr>
      </w:pPr>
      <w:r w:rsidRPr="00B0157E">
        <w:rPr>
          <w:noProof/>
          <w:lang w:val="en-AU"/>
        </w:rPr>
        <w:t>[7]</w:t>
      </w:r>
      <w:r w:rsidRPr="00B0157E">
        <w:rPr>
          <w:noProof/>
          <w:lang w:val="en-AU"/>
        </w:rPr>
        <w:tab/>
        <w:t>M. R. U. Department of Health, ‘MBS data - Q20396’.</w:t>
      </w:r>
    </w:p>
    <w:p w14:paraId="740FC73E" w14:textId="77777777" w:rsidR="0073530D" w:rsidRPr="00B0157E" w:rsidRDefault="0073530D" w:rsidP="00FF0C98">
      <w:pPr>
        <w:ind w:left="709" w:hanging="709"/>
        <w:rPr>
          <w:noProof/>
          <w:lang w:val="en-AU"/>
        </w:rPr>
      </w:pPr>
      <w:r w:rsidRPr="00B0157E">
        <w:rPr>
          <w:noProof/>
          <w:lang w:val="en-AU"/>
        </w:rPr>
        <w:t>[8]</w:t>
      </w:r>
      <w:r w:rsidRPr="00B0157E">
        <w:rPr>
          <w:noProof/>
          <w:lang w:val="en-AU"/>
        </w:rPr>
        <w:tab/>
        <w:t xml:space="preserve">E. A. Olsen, E. Hodak, T. Anderson, J. B. Carter, M. Henderson, K. Cooper, and H. W. Lim, ‘Guidelines for phototherapy of mycosis fungoides and Sézary syndrome: A consensus statement of the United States Cutaneous Lymphoma Consortium’, </w:t>
      </w:r>
      <w:r w:rsidRPr="00B0157E">
        <w:rPr>
          <w:i/>
          <w:iCs/>
          <w:noProof/>
          <w:lang w:val="en-AU"/>
        </w:rPr>
        <w:t>J. Am. Acad. Dermatol.</w:t>
      </w:r>
      <w:r w:rsidRPr="00B0157E">
        <w:rPr>
          <w:noProof/>
          <w:lang w:val="en-AU"/>
        </w:rPr>
        <w:t>, vol. 74, no. 1, pp. 27–58, 2016.</w:t>
      </w:r>
    </w:p>
    <w:p w14:paraId="1C5B98CD" w14:textId="77777777" w:rsidR="0073530D" w:rsidRPr="00B0157E" w:rsidRDefault="0073530D" w:rsidP="00FF0C98">
      <w:pPr>
        <w:ind w:left="709" w:hanging="709"/>
        <w:rPr>
          <w:noProof/>
          <w:lang w:val="en-AU"/>
        </w:rPr>
      </w:pPr>
      <w:r w:rsidRPr="00B0157E">
        <w:rPr>
          <w:noProof/>
          <w:lang w:val="en-AU"/>
        </w:rPr>
        <w:t>[9]</w:t>
      </w:r>
      <w:r w:rsidRPr="00B0157E">
        <w:rPr>
          <w:noProof/>
          <w:lang w:val="en-AU"/>
        </w:rPr>
        <w:tab/>
        <w:t xml:space="preserve">A. G. Elshaug, A. M. Watt, L. Mundy, and C. D. Willis, ‘Over 150 potentially low-value health care practices: an Australian study’, </w:t>
      </w:r>
      <w:r w:rsidRPr="00B0157E">
        <w:rPr>
          <w:i/>
          <w:iCs/>
          <w:noProof/>
          <w:lang w:val="en-AU"/>
        </w:rPr>
        <w:t>Med. J. Aust.</w:t>
      </w:r>
      <w:r w:rsidRPr="00B0157E">
        <w:rPr>
          <w:noProof/>
          <w:lang w:val="en-AU"/>
        </w:rPr>
        <w:t>, vol. 197, no. 10, pp. 556–560 (Appendix), Nov. 2012.</w:t>
      </w:r>
    </w:p>
    <w:p w14:paraId="0101ACF2" w14:textId="77777777" w:rsidR="0073530D" w:rsidRPr="00B0157E" w:rsidRDefault="0073530D" w:rsidP="00FF0C98">
      <w:pPr>
        <w:ind w:left="709" w:hanging="709"/>
        <w:rPr>
          <w:noProof/>
          <w:lang w:val="en-AU"/>
        </w:rPr>
      </w:pPr>
      <w:r w:rsidRPr="00B0157E">
        <w:rPr>
          <w:noProof/>
          <w:lang w:val="en-AU"/>
        </w:rPr>
        <w:t>[10]</w:t>
      </w:r>
      <w:r w:rsidRPr="00B0157E">
        <w:rPr>
          <w:noProof/>
          <w:lang w:val="en-AU"/>
        </w:rPr>
        <w:tab/>
        <w:t>M. R. U. Department of Health, ‘MBS data - Q20214’, 2016.</w:t>
      </w:r>
    </w:p>
    <w:p w14:paraId="3854636E" w14:textId="77777777" w:rsidR="0073530D" w:rsidRPr="00B0157E" w:rsidRDefault="0073530D" w:rsidP="00FF0C98">
      <w:pPr>
        <w:ind w:left="709" w:hanging="709"/>
        <w:rPr>
          <w:noProof/>
          <w:lang w:val="en-AU"/>
        </w:rPr>
      </w:pPr>
      <w:r w:rsidRPr="00B0157E">
        <w:rPr>
          <w:noProof/>
          <w:lang w:val="en-AU"/>
        </w:rPr>
        <w:t>[11]</w:t>
      </w:r>
      <w:r w:rsidRPr="00B0157E">
        <w:rPr>
          <w:noProof/>
          <w:lang w:val="en-AU"/>
        </w:rPr>
        <w:tab/>
        <w:t>M. R. U. Department of Health, ‘MBS data - Q20423’, 2016.</w:t>
      </w:r>
    </w:p>
    <w:p w14:paraId="1877508D" w14:textId="77777777" w:rsidR="0073530D" w:rsidRPr="00B0157E" w:rsidRDefault="0073530D" w:rsidP="00FF0C98">
      <w:pPr>
        <w:ind w:left="709" w:hanging="709"/>
        <w:rPr>
          <w:noProof/>
          <w:lang w:val="en-AU"/>
        </w:rPr>
      </w:pPr>
      <w:r w:rsidRPr="00B0157E">
        <w:rPr>
          <w:noProof/>
          <w:lang w:val="en-AU"/>
        </w:rPr>
        <w:t>[12]</w:t>
      </w:r>
      <w:r w:rsidRPr="00B0157E">
        <w:rPr>
          <w:noProof/>
          <w:lang w:val="en-AU"/>
        </w:rPr>
        <w:tab/>
        <w:t>M. R. U. Department of Health, ‘MBS Data - COGNOS’, 2016.</w:t>
      </w:r>
    </w:p>
    <w:p w14:paraId="3459EB25" w14:textId="77777777" w:rsidR="0073530D" w:rsidRPr="00B0157E" w:rsidRDefault="0073530D" w:rsidP="00FF0C98">
      <w:pPr>
        <w:ind w:left="709" w:hanging="709"/>
        <w:rPr>
          <w:noProof/>
          <w:lang w:val="en-AU"/>
        </w:rPr>
      </w:pPr>
      <w:r w:rsidRPr="00B0157E">
        <w:rPr>
          <w:noProof/>
          <w:lang w:val="en-AU"/>
        </w:rPr>
        <w:t>[13]</w:t>
      </w:r>
      <w:r w:rsidRPr="00B0157E">
        <w:rPr>
          <w:noProof/>
          <w:lang w:val="en-AU"/>
        </w:rPr>
        <w:tab/>
        <w:t>M. R. U. Department of Health, ‘MBS Data - Q20285’, 2016.</w:t>
      </w:r>
    </w:p>
    <w:p w14:paraId="789EAD93" w14:textId="77777777" w:rsidR="0073530D" w:rsidRPr="00B0157E" w:rsidRDefault="0073530D" w:rsidP="00FF0C98">
      <w:pPr>
        <w:ind w:left="709" w:hanging="709"/>
        <w:rPr>
          <w:noProof/>
          <w:lang w:val="en-AU"/>
        </w:rPr>
      </w:pPr>
      <w:r w:rsidRPr="00B0157E">
        <w:rPr>
          <w:noProof/>
          <w:lang w:val="en-AU"/>
        </w:rPr>
        <w:t>[14]</w:t>
      </w:r>
      <w:r w:rsidRPr="00B0157E">
        <w:rPr>
          <w:noProof/>
          <w:lang w:val="en-AU"/>
        </w:rPr>
        <w:tab/>
        <w:t>M. R. U. Department of Health Australlia, ‘MBS data - Q20360’, 2016.</w:t>
      </w:r>
    </w:p>
    <w:p w14:paraId="7A75D703" w14:textId="77777777" w:rsidR="0073530D" w:rsidRPr="00B0157E" w:rsidRDefault="0073530D" w:rsidP="00FF0C98">
      <w:pPr>
        <w:ind w:left="709" w:hanging="709"/>
        <w:rPr>
          <w:noProof/>
          <w:lang w:val="en-AU"/>
        </w:rPr>
      </w:pPr>
      <w:r w:rsidRPr="00B0157E">
        <w:rPr>
          <w:noProof/>
          <w:lang w:val="en-AU"/>
        </w:rPr>
        <w:t>[15]</w:t>
      </w:r>
      <w:r w:rsidRPr="00B0157E">
        <w:rPr>
          <w:noProof/>
          <w:lang w:val="en-AU"/>
        </w:rPr>
        <w:tab/>
        <w:t xml:space="preserve">H. A. Sampson, S. Aceves, S. A. Bock, J. James, S. Jones, D. Lang, K. Nadeau, A. Nowak-Wegrzyn, J. Oppenheimer, T. T. Perry, C. Randolph, S. H. Sicherer, R. A. Simon, B. P. Vickery, R. Wood, D. Bernstein, J. Blessing-Moore, D. Khan, R. Nicklas, J. Portnoy, D. Schuller, S. Spector, S. A. Tilles, and D. Wallace, ‘Food allergy: A practice parameter update - 2014’, </w:t>
      </w:r>
      <w:r w:rsidRPr="00B0157E">
        <w:rPr>
          <w:i/>
          <w:iCs/>
          <w:noProof/>
          <w:lang w:val="en-AU"/>
        </w:rPr>
        <w:t>J. Allergy Clin. Immunol.</w:t>
      </w:r>
      <w:r w:rsidRPr="00B0157E">
        <w:rPr>
          <w:noProof/>
          <w:lang w:val="en-AU"/>
        </w:rPr>
        <w:t>, vol. 134, no. 5, pp. 1016–1025.e43, 2014.</w:t>
      </w:r>
    </w:p>
    <w:p w14:paraId="15C67C9D" w14:textId="77777777" w:rsidR="0073530D" w:rsidRPr="00B0157E" w:rsidRDefault="0073530D" w:rsidP="00FF0C98">
      <w:pPr>
        <w:ind w:left="709" w:hanging="709"/>
        <w:rPr>
          <w:noProof/>
          <w:lang w:val="en-AU"/>
        </w:rPr>
      </w:pPr>
      <w:r w:rsidRPr="00B0157E">
        <w:rPr>
          <w:noProof/>
          <w:lang w:val="en-AU"/>
        </w:rPr>
        <w:t>[16]</w:t>
      </w:r>
      <w:r w:rsidRPr="00B0157E">
        <w:rPr>
          <w:noProof/>
          <w:lang w:val="en-AU"/>
        </w:rPr>
        <w:tab/>
        <w:t>N. J. Osborne, J. J. Koplin, P. E. Martin, L. C. Gurrin, A. J. Lowe, M. C. Matheson, A. L. Ponsonby, M. Wake, M. L. K. Tang, S. C. Dharmage, and K. J. Allen, ‘Prevalence of challenge-</w:t>
      </w:r>
      <w:r w:rsidRPr="00B0157E">
        <w:rPr>
          <w:noProof/>
          <w:lang w:val="en-AU"/>
        </w:rPr>
        <w:lastRenderedPageBreak/>
        <w:t xml:space="preserve">proven IgE-mediated food allergy using population-based sampling and predetermined challenge criteria in infants’, </w:t>
      </w:r>
      <w:r w:rsidRPr="00B0157E">
        <w:rPr>
          <w:i/>
          <w:iCs/>
          <w:noProof/>
          <w:lang w:val="en-AU"/>
        </w:rPr>
        <w:t>J. Allergy Clin. Immunol.</w:t>
      </w:r>
      <w:r w:rsidRPr="00B0157E">
        <w:rPr>
          <w:noProof/>
          <w:lang w:val="en-AU"/>
        </w:rPr>
        <w:t>, vol. 127, no. 3, pp. 668–676, 2011.</w:t>
      </w:r>
    </w:p>
    <w:p w14:paraId="7AA74383" w14:textId="77777777" w:rsidR="0073530D" w:rsidRPr="00B0157E" w:rsidRDefault="0073530D" w:rsidP="00FF0C98">
      <w:pPr>
        <w:ind w:left="709" w:hanging="709"/>
        <w:rPr>
          <w:noProof/>
          <w:lang w:val="en-AU"/>
        </w:rPr>
      </w:pPr>
      <w:r w:rsidRPr="00B0157E">
        <w:rPr>
          <w:noProof/>
          <w:lang w:val="en-AU"/>
        </w:rPr>
        <w:t>[17]</w:t>
      </w:r>
      <w:r w:rsidRPr="00B0157E">
        <w:rPr>
          <w:noProof/>
          <w:lang w:val="en-AU"/>
        </w:rPr>
        <w:tab/>
        <w:t xml:space="preserve">M. A. Kaliner, S. Del Giacco, C. D. Crisci, A. J. Frew, G. Liu, J. Maspero, H.-B. Moon, T. Nakagawa, P. C. Potter, L. J. Rosenwasser, A. B. Singh, E. Valovirta, P. Van Cauwenberge, and J. O. Warner, ‘Requirements for Physician Competencies in Allergy: Key Clinical Competencies Appropriate for the Care of Patients With Allergic or Immunologic Diseases’, </w:t>
      </w:r>
      <w:r w:rsidRPr="00B0157E">
        <w:rPr>
          <w:i/>
          <w:iCs/>
          <w:noProof/>
          <w:lang w:val="en-AU"/>
        </w:rPr>
        <w:t>World Allergy Organ. J.</w:t>
      </w:r>
      <w:r w:rsidRPr="00B0157E">
        <w:rPr>
          <w:noProof/>
          <w:lang w:val="en-AU"/>
        </w:rPr>
        <w:t>, vol. 1, no. 2, pp. 42–46, 2008.</w:t>
      </w:r>
    </w:p>
    <w:p w14:paraId="7DD5E66E" w14:textId="77777777" w:rsidR="0073530D" w:rsidRPr="00B0157E" w:rsidRDefault="0073530D" w:rsidP="00FF0C98">
      <w:pPr>
        <w:ind w:left="709" w:hanging="709"/>
        <w:rPr>
          <w:noProof/>
          <w:lang w:val="en-AU"/>
        </w:rPr>
      </w:pPr>
      <w:r w:rsidRPr="00B0157E">
        <w:rPr>
          <w:noProof/>
          <w:lang w:val="en-AU"/>
        </w:rPr>
        <w:t>[18]</w:t>
      </w:r>
      <w:r w:rsidRPr="00B0157E">
        <w:rPr>
          <w:noProof/>
          <w:lang w:val="en-AU"/>
        </w:rPr>
        <w:tab/>
        <w:t xml:space="preserve">A. Berger, ‘Skin prick testing: for the diagnosis of allergic disease, a manual for practitioners’, </w:t>
      </w:r>
      <w:r w:rsidRPr="00B0157E">
        <w:rPr>
          <w:i/>
          <w:iCs/>
          <w:noProof/>
          <w:lang w:val="en-AU"/>
        </w:rPr>
        <w:t>BMJ</w:t>
      </w:r>
      <w:r w:rsidRPr="00B0157E">
        <w:rPr>
          <w:noProof/>
          <w:lang w:val="en-AU"/>
        </w:rPr>
        <w:t>, vol. 325, no. 7361, p. 414, 2002.</w:t>
      </w:r>
    </w:p>
    <w:p w14:paraId="11F61541" w14:textId="77777777" w:rsidR="0073530D" w:rsidRPr="00B0157E" w:rsidRDefault="0073530D" w:rsidP="00FF0C98">
      <w:pPr>
        <w:ind w:left="709" w:hanging="709"/>
        <w:rPr>
          <w:noProof/>
          <w:lang w:val="en-AU"/>
        </w:rPr>
      </w:pPr>
      <w:r w:rsidRPr="00B0157E">
        <w:rPr>
          <w:noProof/>
          <w:lang w:val="en-AU"/>
        </w:rPr>
        <w:t>[19]</w:t>
      </w:r>
      <w:r w:rsidRPr="00B0157E">
        <w:rPr>
          <w:noProof/>
          <w:lang w:val="en-AU"/>
        </w:rPr>
        <w:tab/>
        <w:t xml:space="preserve">G. Du Toit, G. Roberts, P. H. Sayre, H. T. Bahnson, S. Radulovic, A. F. Santos, H. A. Brough, D. Phippard, M. Basting, M. Feeney, V. Turcanu, M. L. Sever, M. Gomez Lorenzo, M. Plaut, and G. Lack, ‘Randomized Trial of Peanut Consumption in Infants at Risk for Peanut Allergy’, </w:t>
      </w:r>
      <w:r w:rsidRPr="00B0157E">
        <w:rPr>
          <w:i/>
          <w:iCs/>
          <w:noProof/>
          <w:lang w:val="en-AU"/>
        </w:rPr>
        <w:t>http://dx.doi.org/10.1056/NEJMoa1414850</w:t>
      </w:r>
      <w:r w:rsidRPr="00B0157E">
        <w:rPr>
          <w:noProof/>
          <w:lang w:val="en-AU"/>
        </w:rPr>
        <w:t>, 2015.</w:t>
      </w:r>
    </w:p>
    <w:p w14:paraId="289A2BDE" w14:textId="77777777" w:rsidR="0073530D" w:rsidRPr="00B0157E" w:rsidRDefault="0073530D" w:rsidP="00FF0C98">
      <w:pPr>
        <w:ind w:left="709" w:hanging="709"/>
        <w:rPr>
          <w:noProof/>
          <w:lang w:val="en-AU"/>
        </w:rPr>
      </w:pPr>
      <w:r w:rsidRPr="00B0157E">
        <w:rPr>
          <w:noProof/>
          <w:lang w:val="en-AU"/>
        </w:rPr>
        <w:t>[20]</w:t>
      </w:r>
      <w:r w:rsidRPr="00B0157E">
        <w:rPr>
          <w:noProof/>
          <w:lang w:val="en-AU"/>
        </w:rPr>
        <w:tab/>
        <w:t xml:space="preserve">M. M. Lipke, ‘An armamentarium of wart treatments’, </w:t>
      </w:r>
      <w:r w:rsidRPr="00B0157E">
        <w:rPr>
          <w:i/>
          <w:iCs/>
          <w:noProof/>
          <w:lang w:val="en-AU"/>
        </w:rPr>
        <w:t>Clin. Med. Res.</w:t>
      </w:r>
      <w:r w:rsidRPr="00B0157E">
        <w:rPr>
          <w:noProof/>
          <w:lang w:val="en-AU"/>
        </w:rPr>
        <w:t>, vol. 4, no. 4, pp. 273–293, 2006.</w:t>
      </w:r>
    </w:p>
    <w:p w14:paraId="3D91A18A" w14:textId="77777777" w:rsidR="0073530D" w:rsidRPr="00B0157E" w:rsidRDefault="0073530D" w:rsidP="00FF0C98">
      <w:pPr>
        <w:ind w:left="709" w:hanging="709"/>
        <w:rPr>
          <w:noProof/>
          <w:lang w:val="en-AU"/>
        </w:rPr>
      </w:pPr>
      <w:r w:rsidRPr="00B0157E">
        <w:rPr>
          <w:noProof/>
          <w:lang w:val="en-AU"/>
        </w:rPr>
        <w:t>[21]</w:t>
      </w:r>
      <w:r w:rsidRPr="00B0157E">
        <w:rPr>
          <w:noProof/>
          <w:lang w:val="en-AU"/>
        </w:rPr>
        <w:tab/>
        <w:t xml:space="preserve">J. C. Sterling, S. Gibbs, S. S. Haque Hussain, M. F. Mohd Mustapa, and S. E. Handfield-Jones, ‘British Association of Dermatologists’ guidelines for the management of cutaneous warts 2014’, </w:t>
      </w:r>
      <w:r w:rsidRPr="00B0157E">
        <w:rPr>
          <w:i/>
          <w:iCs/>
          <w:noProof/>
          <w:lang w:val="en-AU"/>
        </w:rPr>
        <w:t>Br. J. Dermatol.</w:t>
      </w:r>
      <w:r w:rsidRPr="00B0157E">
        <w:rPr>
          <w:noProof/>
          <w:lang w:val="en-AU"/>
        </w:rPr>
        <w:t>, no. Agree Ii, pp. 696–712, 2014.</w:t>
      </w:r>
    </w:p>
    <w:p w14:paraId="16EF0653" w14:textId="77777777" w:rsidR="0073530D" w:rsidRPr="00B0157E" w:rsidRDefault="0073530D" w:rsidP="00FF0C98">
      <w:pPr>
        <w:ind w:left="709" w:hanging="709"/>
        <w:rPr>
          <w:noProof/>
          <w:lang w:val="en-AU"/>
        </w:rPr>
      </w:pPr>
      <w:r w:rsidRPr="00B0157E">
        <w:rPr>
          <w:noProof/>
          <w:lang w:val="en-AU"/>
        </w:rPr>
        <w:t>[22]</w:t>
      </w:r>
      <w:r w:rsidRPr="00B0157E">
        <w:rPr>
          <w:noProof/>
          <w:lang w:val="en-AU"/>
        </w:rPr>
        <w:tab/>
        <w:t xml:space="preserve">C. S. Kwok, S. Gibbs, C. Bennett, R. Holland, and R. Abbott, ‘Topical treatments for cutaneous warts.’, </w:t>
      </w:r>
      <w:r w:rsidRPr="00B0157E">
        <w:rPr>
          <w:i/>
          <w:iCs/>
          <w:noProof/>
          <w:lang w:val="en-AU"/>
        </w:rPr>
        <w:t>Cochrane database Syst. Rev.</w:t>
      </w:r>
      <w:r w:rsidRPr="00B0157E">
        <w:rPr>
          <w:noProof/>
          <w:lang w:val="en-AU"/>
        </w:rPr>
        <w:t>, no. 9, p. CD001781, 2012.</w:t>
      </w:r>
    </w:p>
    <w:p w14:paraId="6AD253CC" w14:textId="77777777" w:rsidR="0073530D" w:rsidRPr="00B0157E" w:rsidRDefault="0073530D" w:rsidP="00FF0C98">
      <w:pPr>
        <w:ind w:left="709" w:hanging="709"/>
        <w:rPr>
          <w:noProof/>
          <w:lang w:val="en-AU"/>
        </w:rPr>
      </w:pPr>
      <w:r w:rsidRPr="00B0157E">
        <w:rPr>
          <w:noProof/>
          <w:lang w:val="en-AU"/>
        </w:rPr>
        <w:t>[23]</w:t>
      </w:r>
      <w:r w:rsidRPr="00B0157E">
        <w:rPr>
          <w:noProof/>
          <w:lang w:val="en-AU"/>
        </w:rPr>
        <w:tab/>
        <w:t xml:space="preserve">H. Wat, D. C. Wu, J. Rao, and M. P. Goldman, ‘Application of intense pulsed light in the treatment of dermatologic disease: A systematic review’, </w:t>
      </w:r>
      <w:r w:rsidRPr="00B0157E">
        <w:rPr>
          <w:i/>
          <w:iCs/>
          <w:noProof/>
          <w:lang w:val="en-AU"/>
        </w:rPr>
        <w:t>Dermatologic Surg.</w:t>
      </w:r>
      <w:r w:rsidRPr="00B0157E">
        <w:rPr>
          <w:noProof/>
          <w:lang w:val="en-AU"/>
        </w:rPr>
        <w:t>, vol. 40, no. 4, pp. 359–377, 2014.</w:t>
      </w:r>
    </w:p>
    <w:p w14:paraId="21E5BB69" w14:textId="77777777" w:rsidR="0073530D" w:rsidRPr="00B0157E" w:rsidRDefault="0073530D" w:rsidP="00FF0C98">
      <w:pPr>
        <w:ind w:left="709" w:hanging="709"/>
        <w:rPr>
          <w:noProof/>
          <w:lang w:val="en-AU"/>
        </w:rPr>
      </w:pPr>
      <w:r w:rsidRPr="00B0157E">
        <w:rPr>
          <w:noProof/>
          <w:lang w:val="en-AU"/>
        </w:rPr>
        <w:t>[24]</w:t>
      </w:r>
      <w:r w:rsidRPr="00B0157E">
        <w:rPr>
          <w:noProof/>
          <w:lang w:val="en-AU"/>
        </w:rPr>
        <w:tab/>
        <w:t xml:space="preserve">E. G. Butler, S. D. McClellan, and E. V. Ross, ‘Split treatment of photodamaged skin with KTP 532 nm laser with 10 mm handpiece versus IPL: a cheek-to-cheek comparison.’, </w:t>
      </w:r>
      <w:r w:rsidRPr="00B0157E">
        <w:rPr>
          <w:i/>
          <w:iCs/>
          <w:noProof/>
          <w:lang w:val="en-AU"/>
        </w:rPr>
        <w:t>Lasers Surg. Med.</w:t>
      </w:r>
      <w:r w:rsidRPr="00B0157E">
        <w:rPr>
          <w:noProof/>
          <w:lang w:val="en-AU"/>
        </w:rPr>
        <w:t>, vol. 38, no. 2, pp. 124–8, Feb. 2006.</w:t>
      </w:r>
    </w:p>
    <w:p w14:paraId="05538031" w14:textId="77777777" w:rsidR="0073530D" w:rsidRPr="00B0157E" w:rsidRDefault="0073530D" w:rsidP="00FF0C98">
      <w:pPr>
        <w:ind w:left="709" w:hanging="709"/>
        <w:rPr>
          <w:noProof/>
          <w:lang w:val="en-AU"/>
        </w:rPr>
      </w:pPr>
      <w:r w:rsidRPr="00B0157E">
        <w:rPr>
          <w:noProof/>
          <w:lang w:val="en-AU"/>
        </w:rPr>
        <w:t>[25]</w:t>
      </w:r>
      <w:r w:rsidRPr="00B0157E">
        <w:rPr>
          <w:noProof/>
          <w:lang w:val="en-AU"/>
        </w:rPr>
        <w:tab/>
        <w:t xml:space="preserve">G. Dinsdale, A. Murray, T. Moore, J. Ferguson, J. Wilkinson, H. Richards, C. E. M. Griffiths, and A. L. Herrick, ‘A comparison of intense pulsed light and laser treatment of telangiectases in patients with systemic sclerosis: a within-subject randomized trial.’, </w:t>
      </w:r>
      <w:r w:rsidRPr="00B0157E">
        <w:rPr>
          <w:i/>
          <w:iCs/>
          <w:noProof/>
          <w:lang w:val="en-AU"/>
        </w:rPr>
        <w:t>Rheumatology (Oxford).</w:t>
      </w:r>
      <w:r w:rsidRPr="00B0157E">
        <w:rPr>
          <w:noProof/>
          <w:lang w:val="en-AU"/>
        </w:rPr>
        <w:t>, vol. 53, no. 8, pp. 1422–30, Aug. 2014.</w:t>
      </w:r>
    </w:p>
    <w:p w14:paraId="6F69917E" w14:textId="77777777" w:rsidR="0073530D" w:rsidRPr="00B0157E" w:rsidRDefault="0073530D" w:rsidP="00FF0C98">
      <w:pPr>
        <w:ind w:left="709" w:hanging="709"/>
        <w:rPr>
          <w:noProof/>
          <w:lang w:val="en-AU"/>
        </w:rPr>
      </w:pPr>
      <w:r w:rsidRPr="00B0157E">
        <w:rPr>
          <w:noProof/>
          <w:lang w:val="en-AU"/>
        </w:rPr>
        <w:t>[26]</w:t>
      </w:r>
      <w:r w:rsidRPr="00B0157E">
        <w:rPr>
          <w:noProof/>
          <w:lang w:val="en-AU"/>
        </w:rPr>
        <w:tab/>
        <w:t xml:space="preserve">P. Fioramonti, P. Fino, I. Ponzo, M. Ruggieri, and M. G. Onesti, ‘Intense pulsed light in the treatment of telangiectasias: Case report of Behçet’s disease with superficial vascular involvement’, </w:t>
      </w:r>
      <w:r w:rsidRPr="00B0157E">
        <w:rPr>
          <w:i/>
          <w:iCs/>
          <w:noProof/>
          <w:lang w:val="en-AU"/>
        </w:rPr>
        <w:t>http://dx.doi.org/10.3109/14764172.2013.854634</w:t>
      </w:r>
      <w:r w:rsidRPr="00B0157E">
        <w:rPr>
          <w:noProof/>
          <w:lang w:val="en-AU"/>
        </w:rPr>
        <w:t>, 2013.</w:t>
      </w:r>
    </w:p>
    <w:p w14:paraId="3FFF89BB" w14:textId="77777777" w:rsidR="0073530D" w:rsidRPr="00B0157E" w:rsidRDefault="0073530D" w:rsidP="00FF0C98">
      <w:pPr>
        <w:ind w:left="709" w:hanging="709"/>
        <w:rPr>
          <w:noProof/>
          <w:lang w:val="en-AU"/>
        </w:rPr>
      </w:pPr>
      <w:r w:rsidRPr="00B0157E">
        <w:rPr>
          <w:noProof/>
          <w:lang w:val="en-AU"/>
        </w:rPr>
        <w:t>[27]</w:t>
      </w:r>
      <w:r w:rsidRPr="00B0157E">
        <w:rPr>
          <w:noProof/>
          <w:lang w:val="en-AU"/>
        </w:rPr>
        <w:tab/>
        <w:t xml:space="preserve">L. Fodor, Y. Ramon, A. Fodor, N. Carmi, I. J. Peled, and Y. Ullmann, ‘A side-by-side prospective study of intense pulsed light and Nd:YAG laser treatment for vascular lesions.’, </w:t>
      </w:r>
      <w:r w:rsidRPr="00B0157E">
        <w:rPr>
          <w:i/>
          <w:iCs/>
          <w:noProof/>
          <w:lang w:val="en-AU"/>
        </w:rPr>
        <w:t>Ann. Plast. Surg.</w:t>
      </w:r>
      <w:r w:rsidRPr="00B0157E">
        <w:rPr>
          <w:noProof/>
          <w:lang w:val="en-AU"/>
        </w:rPr>
        <w:t>, vol. 56, no. 2, pp. 164–70, Feb. 2006.</w:t>
      </w:r>
    </w:p>
    <w:p w14:paraId="4953A79F" w14:textId="77777777" w:rsidR="0073530D" w:rsidRPr="00B0157E" w:rsidRDefault="0073530D" w:rsidP="00FF0C98">
      <w:pPr>
        <w:ind w:left="709" w:hanging="709"/>
        <w:rPr>
          <w:noProof/>
          <w:lang w:val="en-AU"/>
        </w:rPr>
      </w:pPr>
      <w:r w:rsidRPr="00B0157E">
        <w:rPr>
          <w:noProof/>
          <w:lang w:val="en-AU"/>
        </w:rPr>
        <w:t>[28]</w:t>
      </w:r>
      <w:r w:rsidRPr="00B0157E">
        <w:rPr>
          <w:noProof/>
          <w:lang w:val="en-AU"/>
        </w:rPr>
        <w:tab/>
        <w:t xml:space="preserve">R. Kassir, A. Kolluru, and M. Kassir, ‘Intense pulsed light for the treatment of rosacea and telangiectasias.’, </w:t>
      </w:r>
      <w:r w:rsidRPr="00B0157E">
        <w:rPr>
          <w:i/>
          <w:iCs/>
          <w:noProof/>
          <w:lang w:val="en-AU"/>
        </w:rPr>
        <w:t>J. Cosmet. Laser Ther.</w:t>
      </w:r>
      <w:r w:rsidRPr="00B0157E">
        <w:rPr>
          <w:noProof/>
          <w:lang w:val="en-AU"/>
        </w:rPr>
        <w:t>, vol. 13, no. 5, pp. 216–22, Oct. 2011.</w:t>
      </w:r>
    </w:p>
    <w:p w14:paraId="29524CB0" w14:textId="77777777" w:rsidR="0073530D" w:rsidRPr="00B0157E" w:rsidRDefault="0073530D" w:rsidP="00FF0C98">
      <w:pPr>
        <w:ind w:left="709" w:hanging="709"/>
        <w:rPr>
          <w:noProof/>
          <w:lang w:val="en-AU"/>
        </w:rPr>
      </w:pPr>
      <w:r w:rsidRPr="00B0157E">
        <w:rPr>
          <w:noProof/>
          <w:lang w:val="en-AU"/>
        </w:rPr>
        <w:t>[29]</w:t>
      </w:r>
      <w:r w:rsidRPr="00B0157E">
        <w:rPr>
          <w:noProof/>
          <w:lang w:val="en-AU"/>
        </w:rPr>
        <w:tab/>
        <w:t xml:space="preserve">P. Nymann, L. Hedelund, and M. Haedersdal, ‘Intense pulsed light vs. long-pulsed dye laser treatment of telangiectasia after radiotherapy for breast cancer: a randomized split-lesion trial of two different treatments.’, </w:t>
      </w:r>
      <w:r w:rsidRPr="00B0157E">
        <w:rPr>
          <w:i/>
          <w:iCs/>
          <w:noProof/>
          <w:lang w:val="en-AU"/>
        </w:rPr>
        <w:t>Br. J. Dermatol.</w:t>
      </w:r>
      <w:r w:rsidRPr="00B0157E">
        <w:rPr>
          <w:noProof/>
          <w:lang w:val="en-AU"/>
        </w:rPr>
        <w:t>, vol. 160, no. 6, pp. 1237–41, Jun. 2009.</w:t>
      </w:r>
    </w:p>
    <w:p w14:paraId="5554D22E" w14:textId="77777777" w:rsidR="0073530D" w:rsidRPr="00B0157E" w:rsidRDefault="0073530D" w:rsidP="00FF0C98">
      <w:pPr>
        <w:ind w:left="709" w:hanging="709"/>
        <w:rPr>
          <w:noProof/>
          <w:lang w:val="en-AU"/>
        </w:rPr>
      </w:pPr>
      <w:r w:rsidRPr="00B0157E">
        <w:rPr>
          <w:noProof/>
          <w:lang w:val="en-AU"/>
        </w:rPr>
        <w:lastRenderedPageBreak/>
        <w:t>[30]</w:t>
      </w:r>
      <w:r w:rsidRPr="00B0157E">
        <w:rPr>
          <w:noProof/>
          <w:lang w:val="en-AU"/>
        </w:rPr>
        <w:tab/>
        <w:t xml:space="preserve">P. Nymann, L. Hedelund, and M. Haedersdal, ‘Long-pulsed dye laser vs. intense pulsed light for the treatment of facial telangiectasias: a randomized controlled trial.’, </w:t>
      </w:r>
      <w:r w:rsidRPr="00B0157E">
        <w:rPr>
          <w:i/>
          <w:iCs/>
          <w:noProof/>
          <w:lang w:val="en-AU"/>
        </w:rPr>
        <w:t>J. Eur. Acad. Dermatol. Venereol.</w:t>
      </w:r>
      <w:r w:rsidRPr="00B0157E">
        <w:rPr>
          <w:noProof/>
          <w:lang w:val="en-AU"/>
        </w:rPr>
        <w:t>, vol. 24, no. 2, pp. 143–6, Feb. 2010.</w:t>
      </w:r>
    </w:p>
    <w:p w14:paraId="32100B2C" w14:textId="77777777" w:rsidR="0073530D" w:rsidRPr="00B0157E" w:rsidRDefault="0073530D" w:rsidP="00FF0C98">
      <w:pPr>
        <w:ind w:left="709" w:hanging="709"/>
        <w:rPr>
          <w:noProof/>
          <w:lang w:val="en-AU"/>
        </w:rPr>
      </w:pPr>
      <w:r w:rsidRPr="00B0157E">
        <w:rPr>
          <w:noProof/>
          <w:lang w:val="en-AU"/>
        </w:rPr>
        <w:t>[31]</w:t>
      </w:r>
      <w:r w:rsidRPr="00B0157E">
        <w:rPr>
          <w:noProof/>
          <w:lang w:val="en-AU"/>
        </w:rPr>
        <w:tab/>
        <w:t xml:space="preserve">E. V. Ross, M. Smirnov, M. Pankratov, and G. Altshuler, ‘Intense pulsed light and laser treatment of facial telangiectasias and dyspigmentation: some theoretical and practical comparisons.’, </w:t>
      </w:r>
      <w:r w:rsidRPr="00B0157E">
        <w:rPr>
          <w:i/>
          <w:iCs/>
          <w:noProof/>
          <w:lang w:val="en-AU"/>
        </w:rPr>
        <w:t>Dermatol. Surg.</w:t>
      </w:r>
      <w:r w:rsidRPr="00B0157E">
        <w:rPr>
          <w:noProof/>
          <w:lang w:val="en-AU"/>
        </w:rPr>
        <w:t>, vol. 31, no. 9 Pt 2, pp. 1188–98, Sep. 2005.</w:t>
      </w:r>
    </w:p>
    <w:p w14:paraId="2C89765F" w14:textId="77777777" w:rsidR="0073530D" w:rsidRPr="00B0157E" w:rsidRDefault="0073530D" w:rsidP="00FF0C98">
      <w:pPr>
        <w:ind w:left="709" w:hanging="709"/>
        <w:rPr>
          <w:noProof/>
          <w:lang w:val="en-AU"/>
        </w:rPr>
      </w:pPr>
      <w:r w:rsidRPr="00B0157E">
        <w:rPr>
          <w:noProof/>
          <w:lang w:val="en-AU"/>
        </w:rPr>
        <w:t>[32]</w:t>
      </w:r>
      <w:r w:rsidRPr="00B0157E">
        <w:rPr>
          <w:noProof/>
          <w:lang w:val="en-AU"/>
        </w:rPr>
        <w:tab/>
        <w:t xml:space="preserve">E. A. Tanghetti, ‘Split-face randomized treatment of facial telangiectasia comparing pulsed dye laser and an intense pulsed light handpiece.’, </w:t>
      </w:r>
      <w:r w:rsidRPr="00B0157E">
        <w:rPr>
          <w:i/>
          <w:iCs/>
          <w:noProof/>
          <w:lang w:val="en-AU"/>
        </w:rPr>
        <w:t>Lasers Surg. Med.</w:t>
      </w:r>
      <w:r w:rsidRPr="00B0157E">
        <w:rPr>
          <w:noProof/>
          <w:lang w:val="en-AU"/>
        </w:rPr>
        <w:t>, vol. 44, no. 2, pp. 97–102, Feb. 2012.</w:t>
      </w:r>
    </w:p>
    <w:p w14:paraId="308ED6C1" w14:textId="77777777" w:rsidR="0073530D" w:rsidRPr="00B0157E" w:rsidRDefault="0073530D" w:rsidP="00FF0C98">
      <w:pPr>
        <w:ind w:left="709" w:hanging="709"/>
        <w:rPr>
          <w:noProof/>
          <w:lang w:val="en-AU"/>
        </w:rPr>
      </w:pPr>
      <w:r w:rsidRPr="00B0157E">
        <w:rPr>
          <w:noProof/>
          <w:lang w:val="en-AU"/>
        </w:rPr>
        <w:t>[33]</w:t>
      </w:r>
      <w:r w:rsidRPr="00B0157E">
        <w:rPr>
          <w:noProof/>
          <w:lang w:val="en-AU"/>
        </w:rPr>
        <w:tab/>
        <w:t xml:space="preserve">E. Tanghetti, J. Q. Del Rosso, D. Thiboutot, R. Gallo, G. Webster, L. F. Eichenfield, L. Stein-Gold, D. Berson, A. Zaenglein, and American Acne &amp; Rosacea Society, ‘Consensus recommendations from the American acne &amp;amp; rosacea society on the management of rosacea, part 4: a status report on physical modalities and devices.’, </w:t>
      </w:r>
      <w:r w:rsidRPr="00B0157E">
        <w:rPr>
          <w:i/>
          <w:iCs/>
          <w:noProof/>
          <w:lang w:val="en-AU"/>
        </w:rPr>
        <w:t>Cutis</w:t>
      </w:r>
      <w:r w:rsidRPr="00B0157E">
        <w:rPr>
          <w:noProof/>
          <w:lang w:val="en-AU"/>
        </w:rPr>
        <w:t>, vol. 93, no. 2, pp. 71–6, Feb. 2014.</w:t>
      </w:r>
    </w:p>
    <w:p w14:paraId="72D18573" w14:textId="77777777" w:rsidR="0073530D" w:rsidRPr="00B0157E" w:rsidRDefault="0073530D" w:rsidP="00FF0C98">
      <w:pPr>
        <w:ind w:left="709" w:hanging="709"/>
        <w:rPr>
          <w:noProof/>
          <w:lang w:val="en-AU"/>
        </w:rPr>
      </w:pPr>
      <w:r w:rsidRPr="00B0157E">
        <w:rPr>
          <w:noProof/>
          <w:lang w:val="en-AU"/>
        </w:rPr>
        <w:t>[34]</w:t>
      </w:r>
      <w:r w:rsidRPr="00B0157E">
        <w:rPr>
          <w:noProof/>
          <w:lang w:val="en-AU"/>
        </w:rPr>
        <w:tab/>
        <w:t xml:space="preserve">H. Wat, D. C. Wu, J. Rao, and M. P. Goldman, ‘Application of intense pulsed light in the treatment of dermatologic disease: a systematic review.’, </w:t>
      </w:r>
      <w:r w:rsidRPr="00B0157E">
        <w:rPr>
          <w:i/>
          <w:iCs/>
          <w:noProof/>
          <w:lang w:val="en-AU"/>
        </w:rPr>
        <w:t>Dermatol. Surg.</w:t>
      </w:r>
      <w:r w:rsidRPr="00B0157E">
        <w:rPr>
          <w:noProof/>
          <w:lang w:val="en-AU"/>
        </w:rPr>
        <w:t>, vol. 40, no. 4, pp. 359–77, Apr. 2014.</w:t>
      </w:r>
    </w:p>
    <w:p w14:paraId="6AF976B9" w14:textId="77777777" w:rsidR="0073530D" w:rsidRPr="00B0157E" w:rsidRDefault="0073530D" w:rsidP="00FF0C98">
      <w:pPr>
        <w:ind w:left="709" w:hanging="709"/>
        <w:rPr>
          <w:noProof/>
          <w:lang w:val="en-AU"/>
        </w:rPr>
      </w:pPr>
      <w:r w:rsidRPr="00B0157E">
        <w:rPr>
          <w:noProof/>
          <w:lang w:val="en-AU"/>
        </w:rPr>
        <w:t>[35]</w:t>
      </w:r>
      <w:r w:rsidRPr="00B0157E">
        <w:rPr>
          <w:noProof/>
          <w:lang w:val="en-AU"/>
        </w:rPr>
        <w:tab/>
        <w:t xml:space="preserve">R. A. Weiss, E. V. Ross, E. A. Tanghetti, D. B. Vasily, J. J. Childs, M. Z. Smirnov, and G. B. Altshuler, ‘Characterization of an optimized light source and comparison to pulsed dye laser for superficial and deep vessel clearance.’, </w:t>
      </w:r>
      <w:r w:rsidRPr="00B0157E">
        <w:rPr>
          <w:i/>
          <w:iCs/>
          <w:noProof/>
          <w:lang w:val="en-AU"/>
        </w:rPr>
        <w:t>Lasers Surg. Med.</w:t>
      </w:r>
      <w:r w:rsidRPr="00B0157E">
        <w:rPr>
          <w:noProof/>
          <w:lang w:val="en-AU"/>
        </w:rPr>
        <w:t>, vol. 43, no. 2, pp. 92–8, Feb. 2011.</w:t>
      </w:r>
    </w:p>
    <w:p w14:paraId="7F4C9169" w14:textId="77777777" w:rsidR="0073530D" w:rsidRPr="00B0157E" w:rsidRDefault="0073530D" w:rsidP="00FF0C98">
      <w:pPr>
        <w:ind w:left="709" w:hanging="709"/>
        <w:rPr>
          <w:noProof/>
          <w:lang w:val="en-AU"/>
        </w:rPr>
      </w:pPr>
      <w:r w:rsidRPr="00B0157E">
        <w:rPr>
          <w:noProof/>
          <w:lang w:val="en-AU"/>
        </w:rPr>
        <w:t>[36]</w:t>
      </w:r>
      <w:r w:rsidRPr="00B0157E">
        <w:rPr>
          <w:noProof/>
          <w:lang w:val="en-AU"/>
        </w:rPr>
        <w:tab/>
        <w:t xml:space="preserve">S. M. Connolly, D. R. Baker, B. M. Coldiron, M. J. Fazio, P. A. Storrs, A. T. Vidimos, M. J. Zalla, J. D. Brewer, W. Smith Begolka, T. G. Berger, M. Bigby, J. L. Bolognia, D. G. Brodland, S. Collins, T. A. Cronin Jr., M. V. Dahl, J. M. Grant-Kels, C. W. Hanke, G. J. Hruza, W. D. James, C. W. Lober, E. I. McBurney, S. A. Norton, R. K. Roenigk, R. G. Wheeland, and O. J. Wisco, ‘AAD/ACMS/ASDSA/ASMS 2012 appropriate use criteria for Mohs micrographic surgery: A report of the American Academy of Dermatology, American College of Mohs Surgery, American Society for Dermatologic Surgery Association, and the American Society for Mohs Su’, </w:t>
      </w:r>
      <w:r w:rsidRPr="00B0157E">
        <w:rPr>
          <w:i/>
          <w:iCs/>
          <w:noProof/>
          <w:lang w:val="en-AU"/>
        </w:rPr>
        <w:t>J. Am. Acad. Dermatol.</w:t>
      </w:r>
      <w:r w:rsidRPr="00B0157E">
        <w:rPr>
          <w:noProof/>
          <w:lang w:val="en-AU"/>
        </w:rPr>
        <w:t>, vol. 67, no. 4, pp. 531–550, 2012.</w:t>
      </w:r>
    </w:p>
    <w:p w14:paraId="3773733D" w14:textId="77777777" w:rsidR="0073530D" w:rsidRPr="00B0157E" w:rsidRDefault="0073530D" w:rsidP="00FF0C98">
      <w:pPr>
        <w:ind w:left="709" w:hanging="709"/>
        <w:rPr>
          <w:noProof/>
          <w:lang w:val="en-AU"/>
        </w:rPr>
      </w:pPr>
      <w:r w:rsidRPr="00B0157E">
        <w:rPr>
          <w:noProof/>
          <w:lang w:val="en-AU"/>
        </w:rPr>
        <w:t>[37]</w:t>
      </w:r>
      <w:r w:rsidRPr="00B0157E">
        <w:rPr>
          <w:noProof/>
          <w:lang w:val="en-AU"/>
        </w:rPr>
        <w:tab/>
        <w:t xml:space="preserve">A. Pollack, M. McGrath, J. Henderson, and H. Britt, ‘Skin cancer by state and territory’, </w:t>
      </w:r>
      <w:r w:rsidRPr="00B0157E">
        <w:rPr>
          <w:i/>
          <w:iCs/>
          <w:noProof/>
          <w:lang w:val="en-AU"/>
        </w:rPr>
        <w:t>Aust. Fam. Physician</w:t>
      </w:r>
      <w:r w:rsidRPr="00B0157E">
        <w:rPr>
          <w:noProof/>
          <w:lang w:val="en-AU"/>
        </w:rPr>
        <w:t>, vol. 43, no. 8, p. 507, 2014.</w:t>
      </w:r>
    </w:p>
    <w:p w14:paraId="6318BC02" w14:textId="77777777" w:rsidR="0073530D" w:rsidRPr="00B0157E" w:rsidRDefault="0073530D" w:rsidP="00FF0C98">
      <w:pPr>
        <w:ind w:left="709" w:hanging="709"/>
        <w:rPr>
          <w:noProof/>
          <w:lang w:val="en-AU"/>
        </w:rPr>
      </w:pPr>
      <w:r w:rsidRPr="00B0157E">
        <w:rPr>
          <w:noProof/>
          <w:lang w:val="en-AU"/>
        </w:rPr>
        <w:t>[38]</w:t>
      </w:r>
      <w:r w:rsidRPr="00B0157E">
        <w:rPr>
          <w:noProof/>
          <w:lang w:val="en-AU"/>
        </w:rPr>
        <w:tab/>
        <w:t xml:space="preserve">R. N. Werner, E. Stockfleth, S. M. Connolly, O. Correia, R. Erdmann, P. Foley, A. K. Gupta, A. Jacobs, H. Kerl, H. W. Lim, G. Martin, M. Paquet, D. M. Pariser, S. Rosumeck, H.-J. Röwert-Huber, A. Sahota, O. P. Sangueza, S. Shumack, B. Sporbeck, N. A. Swanson, L. Torezan, and A. Nast, ‘Evidence- and consensus-based (S3) Guidelines for the Treatment of Actinic Keratosis - International League of Dermatological Societies in cooperation with the European Dermatology Forum - Short version.’, </w:t>
      </w:r>
      <w:r w:rsidRPr="00B0157E">
        <w:rPr>
          <w:i/>
          <w:iCs/>
          <w:noProof/>
          <w:lang w:val="en-AU"/>
        </w:rPr>
        <w:t>J. Eur. Acad. Dermatol. Venereol.</w:t>
      </w:r>
      <w:r w:rsidRPr="00B0157E">
        <w:rPr>
          <w:noProof/>
          <w:lang w:val="en-AU"/>
        </w:rPr>
        <w:t>, vol. 29, no. 11, pp. 2069–79, Nov. 2015.</w:t>
      </w:r>
    </w:p>
    <w:p w14:paraId="46F17231" w14:textId="77777777" w:rsidR="0073530D" w:rsidRPr="00B0157E" w:rsidRDefault="0073530D" w:rsidP="00FF0C98">
      <w:pPr>
        <w:ind w:left="709" w:hanging="709"/>
        <w:rPr>
          <w:noProof/>
          <w:lang w:val="en-AU"/>
        </w:rPr>
      </w:pPr>
      <w:r w:rsidRPr="00B0157E">
        <w:rPr>
          <w:noProof/>
          <w:lang w:val="en-AU"/>
        </w:rPr>
        <w:t>[39]</w:t>
      </w:r>
      <w:r w:rsidRPr="00B0157E">
        <w:rPr>
          <w:noProof/>
          <w:lang w:val="en-AU"/>
        </w:rPr>
        <w:tab/>
        <w:t xml:space="preserve">R. R. Anderson, M. B. Donelan, C. Hivnor, E. Greeson, E. V. Ross, P. R. Shumaker, N. S. Uebelhoer, and J. S. Waibel, ‘Laser treatment of traumatic scars with an emphasis on ablative fractional laser resurfacing: consensus report.’, </w:t>
      </w:r>
      <w:r w:rsidRPr="00B0157E">
        <w:rPr>
          <w:i/>
          <w:iCs/>
          <w:noProof/>
          <w:lang w:val="en-AU"/>
        </w:rPr>
        <w:t>JAMA dermatology</w:t>
      </w:r>
      <w:r w:rsidRPr="00B0157E">
        <w:rPr>
          <w:noProof/>
          <w:lang w:val="en-AU"/>
        </w:rPr>
        <w:t>, vol. 150, no. 2, pp. 187–93, Feb. 2014.</w:t>
      </w:r>
    </w:p>
    <w:p w14:paraId="37B696FF" w14:textId="77777777" w:rsidR="0073530D" w:rsidRPr="00B0157E" w:rsidRDefault="0073530D" w:rsidP="00FF0C98">
      <w:pPr>
        <w:spacing w:before="80"/>
        <w:ind w:left="709" w:hanging="709"/>
        <w:rPr>
          <w:noProof/>
          <w:lang w:val="en-AU"/>
        </w:rPr>
      </w:pPr>
      <w:r w:rsidRPr="00B0157E">
        <w:rPr>
          <w:noProof/>
          <w:lang w:val="en-AU"/>
        </w:rPr>
        <w:t>[40]</w:t>
      </w:r>
      <w:r w:rsidRPr="00B0157E">
        <w:rPr>
          <w:noProof/>
          <w:lang w:val="en-AU"/>
        </w:rPr>
        <w:tab/>
        <w:t xml:space="preserve">J. Preissig, K. Hamilton, and R. Markus, ‘Current Laser Resurfacing Technologies: A Review that Delves Beneath the Surface.’, </w:t>
      </w:r>
      <w:r w:rsidRPr="00B0157E">
        <w:rPr>
          <w:i/>
          <w:iCs/>
          <w:noProof/>
          <w:lang w:val="en-AU"/>
        </w:rPr>
        <w:t>Semin. Plast. Surg.</w:t>
      </w:r>
      <w:r w:rsidRPr="00B0157E">
        <w:rPr>
          <w:noProof/>
          <w:lang w:val="en-AU"/>
        </w:rPr>
        <w:t>, vol. 26, no. 3, pp. 109–16, Aug. 2012.</w:t>
      </w:r>
    </w:p>
    <w:p w14:paraId="72CB7C44" w14:textId="77777777" w:rsidR="0073530D" w:rsidRPr="00B0157E" w:rsidRDefault="0073530D" w:rsidP="00FF0C98">
      <w:pPr>
        <w:ind w:left="709" w:hanging="709"/>
        <w:rPr>
          <w:noProof/>
          <w:lang w:val="en-AU"/>
        </w:rPr>
      </w:pPr>
      <w:r w:rsidRPr="00B0157E">
        <w:rPr>
          <w:noProof/>
          <w:lang w:val="en-AU"/>
        </w:rPr>
        <w:lastRenderedPageBreak/>
        <w:t>[41]</w:t>
      </w:r>
      <w:r w:rsidRPr="00B0157E">
        <w:rPr>
          <w:noProof/>
          <w:lang w:val="en-AU"/>
        </w:rPr>
        <w:tab/>
        <w:t xml:space="preserve">E. T. Weiss, J. A. Brauer, R. Anolik, K. K. Reddy, J. K. Karen, E. K. Hale, L. A. Brightman, L. Bernstein, and R. G. Geronemus, ‘1927-nm Fractional resurfacing of facial actinic keratoses: A promising new therapeutic option’, </w:t>
      </w:r>
      <w:r w:rsidRPr="00B0157E">
        <w:rPr>
          <w:i/>
          <w:iCs/>
          <w:noProof/>
          <w:lang w:val="en-AU"/>
        </w:rPr>
        <w:t>J. Am. Acad. Dermatol.</w:t>
      </w:r>
      <w:r w:rsidRPr="00B0157E">
        <w:rPr>
          <w:noProof/>
          <w:lang w:val="en-AU"/>
        </w:rPr>
        <w:t>, vol. 68, no. 1, pp. 98–102, 2013.</w:t>
      </w:r>
    </w:p>
    <w:p w14:paraId="036B2F6C" w14:textId="77777777" w:rsidR="00F9654E" w:rsidRDefault="00C1346F" w:rsidP="00FF0C98">
      <w:pPr>
        <w:ind w:left="709" w:hanging="709"/>
        <w:rPr>
          <w:lang w:val="en-AU"/>
        </w:rPr>
      </w:pPr>
      <w:r w:rsidRPr="00B0157E">
        <w:rPr>
          <w:lang w:val="en-AU"/>
        </w:rPr>
        <w:fldChar w:fldCharType="end"/>
      </w:r>
    </w:p>
    <w:p w14:paraId="4206F94F" w14:textId="77777777" w:rsidR="00F9654E" w:rsidRDefault="00F9654E">
      <w:pPr>
        <w:spacing w:before="0" w:after="0"/>
        <w:rPr>
          <w:lang w:val="en-AU"/>
        </w:rPr>
      </w:pPr>
      <w:r>
        <w:rPr>
          <w:lang w:val="en-AU"/>
        </w:rPr>
        <w:br w:type="page"/>
      </w:r>
    </w:p>
    <w:p w14:paraId="20971295" w14:textId="77777777" w:rsidR="0009169E" w:rsidRPr="0009169E" w:rsidRDefault="0056191E" w:rsidP="0009169E">
      <w:pPr>
        <w:pStyle w:val="AppendixStyle1"/>
        <w:rPr>
          <w:lang w:val="en-AU"/>
        </w:rPr>
      </w:pPr>
      <w:bookmarkStart w:id="216" w:name="_Toc456045469"/>
      <w:bookmarkStart w:id="217" w:name="_Toc465871889"/>
      <w:r w:rsidRPr="00B0157E">
        <w:rPr>
          <w:lang w:val="en-AU"/>
        </w:rPr>
        <w:lastRenderedPageBreak/>
        <w:t>I</w:t>
      </w:r>
      <w:r w:rsidR="007F6814" w:rsidRPr="00B0157E">
        <w:rPr>
          <w:lang w:val="en-AU"/>
        </w:rPr>
        <w:t xml:space="preserve">tem </w:t>
      </w:r>
      <w:r w:rsidR="000F7566" w:rsidRPr="00B0157E">
        <w:rPr>
          <w:lang w:val="en-AU"/>
        </w:rPr>
        <w:t>recommendations</w:t>
      </w:r>
      <w:r w:rsidR="004778A6" w:rsidRPr="00B0157E">
        <w:rPr>
          <w:lang w:val="en-AU"/>
        </w:rPr>
        <w:t xml:space="preserve"> list</w:t>
      </w:r>
      <w:bookmarkEnd w:id="216"/>
      <w:bookmarkEnd w:id="217"/>
      <w:r w:rsidR="00D9664C" w:rsidRPr="00B0157E">
        <w:rPr>
          <w:lang w:val="en-AU"/>
        </w:rPr>
        <w:t xml:space="preserve"> </w:t>
      </w:r>
    </w:p>
    <w:p w14:paraId="5EB0B186" w14:textId="77777777" w:rsidR="0009169E" w:rsidRPr="00B0157E" w:rsidRDefault="0009169E" w:rsidP="0009169E">
      <w:pPr>
        <w:rPr>
          <w:lang w:val="en-AU"/>
        </w:rPr>
      </w:pPr>
    </w:p>
    <w:tbl>
      <w:tblPr>
        <w:tblStyle w:val="TableGrid3"/>
        <w:tblW w:w="524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Appendix A is an item recommentation table. There are 5 columns: column 1. List of items, column 2.Current descriptor, column 3. Explanatory notes, and column 4. recommendations, and column 5. page number"/>
      </w:tblPr>
      <w:tblGrid>
        <w:gridCol w:w="563"/>
        <w:gridCol w:w="3278"/>
        <w:gridCol w:w="4048"/>
        <w:gridCol w:w="1567"/>
      </w:tblGrid>
      <w:tr w:rsidR="009F4F75" w:rsidRPr="00B0157E" w14:paraId="5B6DF22E" w14:textId="77777777" w:rsidTr="00224863">
        <w:trPr>
          <w:tblHeader/>
        </w:trPr>
        <w:tc>
          <w:tcPr>
            <w:tcW w:w="317" w:type="pct"/>
            <w:shd w:val="clear" w:color="auto" w:fill="F2F2F2" w:themeFill="background1" w:themeFillShade="F2"/>
            <w:vAlign w:val="bottom"/>
          </w:tcPr>
          <w:p w14:paraId="3B9741E3" w14:textId="77777777" w:rsidR="009F4F75" w:rsidRPr="00B0157E" w:rsidRDefault="009F4F75" w:rsidP="00E6612D">
            <w:pPr>
              <w:pStyle w:val="02Tabletext"/>
              <w:spacing w:after="20"/>
              <w:rPr>
                <w:rFonts w:cs="Arial"/>
                <w:b/>
              </w:rPr>
            </w:pPr>
            <w:r w:rsidRPr="00B0157E">
              <w:rPr>
                <w:rFonts w:cs="Arial"/>
                <w:b/>
              </w:rPr>
              <w:t>Item</w:t>
            </w:r>
          </w:p>
        </w:tc>
        <w:tc>
          <w:tcPr>
            <w:tcW w:w="1753" w:type="pct"/>
            <w:shd w:val="clear" w:color="auto" w:fill="F2F2F2" w:themeFill="background1" w:themeFillShade="F2"/>
            <w:vAlign w:val="bottom"/>
          </w:tcPr>
          <w:p w14:paraId="34C783FF" w14:textId="77777777" w:rsidR="009F4F75" w:rsidRPr="00B0157E" w:rsidRDefault="009F4F75" w:rsidP="00E6612D">
            <w:pPr>
              <w:pStyle w:val="02Tabletext"/>
              <w:spacing w:after="20"/>
              <w:rPr>
                <w:rFonts w:cs="Arial"/>
                <w:b/>
              </w:rPr>
            </w:pPr>
            <w:r w:rsidRPr="00B0157E">
              <w:rPr>
                <w:rFonts w:cs="Arial"/>
                <w:b/>
              </w:rPr>
              <w:t>Current descriptor</w:t>
            </w:r>
          </w:p>
        </w:tc>
        <w:tc>
          <w:tcPr>
            <w:tcW w:w="2160" w:type="pct"/>
            <w:shd w:val="clear" w:color="auto" w:fill="F2F2F2" w:themeFill="background1" w:themeFillShade="F2"/>
            <w:vAlign w:val="bottom"/>
          </w:tcPr>
          <w:p w14:paraId="651FA201" w14:textId="77777777" w:rsidR="009F4F75" w:rsidRPr="00B0157E" w:rsidRDefault="009F4F75" w:rsidP="00E6612D">
            <w:pPr>
              <w:pStyle w:val="02Tabletext"/>
              <w:spacing w:after="20"/>
              <w:rPr>
                <w:rFonts w:cs="Arial"/>
                <w:b/>
              </w:rPr>
            </w:pPr>
          </w:p>
          <w:p w14:paraId="0996EE70" w14:textId="77777777" w:rsidR="009F4F75" w:rsidRPr="00B0157E" w:rsidRDefault="009F4F75" w:rsidP="00E6612D">
            <w:pPr>
              <w:pStyle w:val="02Tabletext"/>
              <w:spacing w:after="20"/>
              <w:rPr>
                <w:rFonts w:cs="Arial"/>
                <w:b/>
              </w:rPr>
            </w:pPr>
            <w:r w:rsidRPr="00B0157E">
              <w:rPr>
                <w:rFonts w:cs="Arial"/>
                <w:b/>
              </w:rPr>
              <w:t xml:space="preserve">Explanatory notes </w:t>
            </w:r>
          </w:p>
        </w:tc>
        <w:tc>
          <w:tcPr>
            <w:tcW w:w="770" w:type="pct"/>
            <w:shd w:val="clear" w:color="auto" w:fill="F2F2F2" w:themeFill="background1" w:themeFillShade="F2"/>
            <w:vAlign w:val="bottom"/>
          </w:tcPr>
          <w:p w14:paraId="7E45EBA4" w14:textId="7913AC04" w:rsidR="009F4F75" w:rsidRPr="00B0157E" w:rsidRDefault="00224863" w:rsidP="00E6612D">
            <w:pPr>
              <w:pStyle w:val="02Tabletext"/>
              <w:spacing w:after="20"/>
              <w:rPr>
                <w:rFonts w:cs="Arial"/>
                <w:b/>
              </w:rPr>
            </w:pPr>
            <w:r w:rsidRPr="00B0157E">
              <w:rPr>
                <w:rFonts w:cs="Arial"/>
                <w:b/>
              </w:rPr>
              <w:t>Recommendation</w:t>
            </w:r>
          </w:p>
        </w:tc>
      </w:tr>
      <w:tr w:rsidR="009F4F75" w:rsidRPr="00B0157E" w14:paraId="4FCF5847" w14:textId="77777777" w:rsidTr="00224863">
        <w:tc>
          <w:tcPr>
            <w:tcW w:w="317" w:type="pct"/>
            <w:vAlign w:val="center"/>
          </w:tcPr>
          <w:p w14:paraId="23F0B571" w14:textId="77777777" w:rsidR="009F4F75" w:rsidRPr="00B0157E" w:rsidRDefault="009F4F75" w:rsidP="00E6612D">
            <w:pPr>
              <w:pStyle w:val="02Tabletext"/>
              <w:spacing w:after="20"/>
              <w:rPr>
                <w:rFonts w:cs="Arial"/>
              </w:rPr>
            </w:pPr>
            <w:r w:rsidRPr="00B0157E">
              <w:rPr>
                <w:rFonts w:cs="Arial"/>
              </w:rPr>
              <w:t>12000</w:t>
            </w:r>
          </w:p>
        </w:tc>
        <w:tc>
          <w:tcPr>
            <w:tcW w:w="1753" w:type="pct"/>
          </w:tcPr>
          <w:p w14:paraId="646D64A6" w14:textId="77777777" w:rsidR="009F4F75" w:rsidRPr="00B0157E" w:rsidRDefault="009F4F75" w:rsidP="00E6612D">
            <w:pPr>
              <w:pStyle w:val="02Tabletext"/>
              <w:spacing w:after="20"/>
              <w:rPr>
                <w:rFonts w:cs="Arial"/>
              </w:rPr>
            </w:pPr>
            <w:r w:rsidRPr="00B0157E">
              <w:rPr>
                <w:rFonts w:cs="Arial"/>
              </w:rPr>
              <w:t>Skin sensitivity testing for allergens, using 1 to 20 allergens, not being a service associated with a service to which item 12012, 12015, 12018 or 12021 applies.</w:t>
            </w:r>
          </w:p>
        </w:tc>
        <w:tc>
          <w:tcPr>
            <w:tcW w:w="2160" w:type="pct"/>
          </w:tcPr>
          <w:p w14:paraId="53BB21C6"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4D0B913B"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4330BB4B" w14:textId="77777777" w:rsidTr="00224863">
        <w:tc>
          <w:tcPr>
            <w:tcW w:w="317" w:type="pct"/>
            <w:vAlign w:val="center"/>
          </w:tcPr>
          <w:p w14:paraId="607A7F72" w14:textId="77777777" w:rsidR="009F4F75" w:rsidRPr="00B0157E" w:rsidRDefault="009F4F75" w:rsidP="00E6612D">
            <w:pPr>
              <w:pStyle w:val="02Tabletext"/>
              <w:spacing w:after="20"/>
              <w:rPr>
                <w:rFonts w:cs="Arial"/>
              </w:rPr>
            </w:pPr>
            <w:r w:rsidRPr="00B0157E">
              <w:rPr>
                <w:rFonts w:cs="Arial"/>
              </w:rPr>
              <w:t>12003</w:t>
            </w:r>
          </w:p>
        </w:tc>
        <w:tc>
          <w:tcPr>
            <w:tcW w:w="1753" w:type="pct"/>
          </w:tcPr>
          <w:p w14:paraId="56782895" w14:textId="77777777" w:rsidR="009F4F75" w:rsidRPr="00B0157E" w:rsidRDefault="009F4F75" w:rsidP="00E6612D">
            <w:pPr>
              <w:pStyle w:val="02Tabletext"/>
              <w:spacing w:after="20"/>
              <w:rPr>
                <w:rFonts w:cs="Arial"/>
              </w:rPr>
            </w:pPr>
            <w:r w:rsidRPr="00B0157E">
              <w:rPr>
                <w:rFonts w:cs="Arial"/>
              </w:rPr>
              <w:t>Skin sensitivity testing for allergens, using more than 20 allergens, not being a service associated with a service to which item 12012, 12015, 12018 or 12021 applies.</w:t>
            </w:r>
          </w:p>
        </w:tc>
        <w:tc>
          <w:tcPr>
            <w:tcW w:w="2160" w:type="pct"/>
          </w:tcPr>
          <w:p w14:paraId="5AB9B2BF"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210B2254"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1829624B" w14:textId="77777777" w:rsidTr="00224863">
        <w:tc>
          <w:tcPr>
            <w:tcW w:w="317" w:type="pct"/>
            <w:vAlign w:val="center"/>
          </w:tcPr>
          <w:p w14:paraId="3F8E10BA" w14:textId="77777777" w:rsidR="009F4F75" w:rsidRPr="00B0157E" w:rsidRDefault="009F4F75" w:rsidP="00E6612D">
            <w:pPr>
              <w:pStyle w:val="02Tabletext"/>
              <w:spacing w:after="20"/>
              <w:rPr>
                <w:rFonts w:cs="Arial"/>
              </w:rPr>
            </w:pPr>
            <w:r w:rsidRPr="00B0157E">
              <w:rPr>
                <w:rFonts w:cs="Arial"/>
              </w:rPr>
              <w:t>14050</w:t>
            </w:r>
          </w:p>
        </w:tc>
        <w:tc>
          <w:tcPr>
            <w:tcW w:w="1753" w:type="pct"/>
          </w:tcPr>
          <w:p w14:paraId="4824794D" w14:textId="77777777" w:rsidR="009F4F75" w:rsidRPr="00B0157E" w:rsidRDefault="009F4F75" w:rsidP="00E6612D">
            <w:pPr>
              <w:pStyle w:val="02Tabletext"/>
              <w:spacing w:after="20"/>
              <w:rPr>
                <w:rFonts w:cs="Arial"/>
              </w:rPr>
            </w:pPr>
            <w:r w:rsidRPr="00B0157E">
              <w:rPr>
                <w:rFonts w:cs="Arial"/>
              </w:rPr>
              <w:t>PUVA therapy or UVB therapy administered in whole body cabinet (not being a service associated with a service to which item 14053 applies) including associated consultations other than an initial consultation.</w:t>
            </w:r>
          </w:p>
        </w:tc>
        <w:tc>
          <w:tcPr>
            <w:tcW w:w="2160" w:type="pct"/>
          </w:tcPr>
          <w:p w14:paraId="3A4E4E9F" w14:textId="77777777" w:rsidR="009F4F75" w:rsidRPr="00B0157E" w:rsidRDefault="009F4F75" w:rsidP="00E6612D">
            <w:pPr>
              <w:pStyle w:val="02Tabletext"/>
              <w:spacing w:after="20"/>
              <w:rPr>
                <w:rFonts w:cs="Arial"/>
              </w:rPr>
            </w:pPr>
            <w:r w:rsidRPr="00B0157E">
              <w:rPr>
                <w:rFonts w:cs="Arial"/>
              </w:rPr>
              <w:t>T1.14</w:t>
            </w:r>
          </w:p>
          <w:p w14:paraId="692B06D2" w14:textId="77777777" w:rsidR="009F4F75" w:rsidRPr="00B0157E" w:rsidRDefault="009F4F75" w:rsidP="00E6612D">
            <w:pPr>
              <w:pStyle w:val="02Tabletext"/>
              <w:spacing w:after="20"/>
              <w:rPr>
                <w:rFonts w:cs="Arial"/>
              </w:rPr>
            </w:pPr>
            <w:r w:rsidRPr="00B0157E">
              <w:rPr>
                <w:rFonts w:cs="Arial"/>
              </w:rPr>
              <w:t>PUVA or UVB Therapy – (Items 14050 and 14053)</w:t>
            </w:r>
          </w:p>
          <w:p w14:paraId="32B1970F" w14:textId="77777777" w:rsidR="009F4F75" w:rsidRPr="00B0157E" w:rsidRDefault="009F4F75" w:rsidP="00E6612D">
            <w:pPr>
              <w:pStyle w:val="02Tabletext"/>
              <w:spacing w:after="20"/>
              <w:rPr>
                <w:rFonts w:cs="Arial"/>
              </w:rPr>
            </w:pPr>
            <w:r w:rsidRPr="00B0157E">
              <w:rPr>
                <w:rFonts w:cs="Arial"/>
              </w:rPr>
              <w:t>A component for any necessary subsequent consultation has been included in the Schedule fee for these items. However, the initial consultation preceding commencement of a course of therapy would attract benefits.</w:t>
            </w:r>
          </w:p>
          <w:p w14:paraId="61FCDC16" w14:textId="77777777" w:rsidR="009F4F75" w:rsidRPr="00B0157E" w:rsidRDefault="009F4F75" w:rsidP="00E6612D">
            <w:pPr>
              <w:pStyle w:val="02Tabletext"/>
              <w:spacing w:after="20"/>
              <w:rPr>
                <w:rFonts w:cs="Arial"/>
              </w:rPr>
            </w:pPr>
            <w:r w:rsidRPr="00B0157E">
              <w:rPr>
                <w:rFonts w:cs="Arial"/>
              </w:rPr>
              <w:t>Related Items: 14050 14053.</w:t>
            </w:r>
          </w:p>
        </w:tc>
        <w:tc>
          <w:tcPr>
            <w:tcW w:w="770" w:type="pct"/>
            <w:vAlign w:val="center"/>
          </w:tcPr>
          <w:p w14:paraId="3C941654"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22C2E644" w14:textId="77777777" w:rsidTr="00224863">
        <w:tc>
          <w:tcPr>
            <w:tcW w:w="317" w:type="pct"/>
            <w:vAlign w:val="center"/>
          </w:tcPr>
          <w:p w14:paraId="06AC9F8E" w14:textId="77777777" w:rsidR="009F4F75" w:rsidRPr="00B0157E" w:rsidRDefault="009F4F75" w:rsidP="00E6612D">
            <w:pPr>
              <w:pStyle w:val="02Tabletext"/>
              <w:spacing w:after="20"/>
              <w:rPr>
                <w:rFonts w:cs="Arial"/>
              </w:rPr>
            </w:pPr>
            <w:r w:rsidRPr="00B0157E">
              <w:rPr>
                <w:rFonts w:cs="Arial"/>
              </w:rPr>
              <w:t>14053</w:t>
            </w:r>
          </w:p>
        </w:tc>
        <w:tc>
          <w:tcPr>
            <w:tcW w:w="1753" w:type="pct"/>
          </w:tcPr>
          <w:p w14:paraId="2771C8EE" w14:textId="77777777" w:rsidR="009F4F75" w:rsidRPr="00B0157E" w:rsidRDefault="009F4F75" w:rsidP="00E6612D">
            <w:pPr>
              <w:pStyle w:val="02Tabletext"/>
              <w:spacing w:after="20"/>
              <w:rPr>
                <w:rFonts w:cs="Arial"/>
              </w:rPr>
            </w:pPr>
            <w:r w:rsidRPr="00B0157E">
              <w:rPr>
                <w:rFonts w:cs="Arial"/>
              </w:rPr>
              <w:t>PUVA therapy or UVB therapy administered to localised body areas in a hand and foot cabinet (not being a service associated with a service to which item 14050 applies) including associated consultations other than an initial consultation.</w:t>
            </w:r>
          </w:p>
        </w:tc>
        <w:tc>
          <w:tcPr>
            <w:tcW w:w="2160" w:type="pct"/>
          </w:tcPr>
          <w:p w14:paraId="53360ABB" w14:textId="77777777" w:rsidR="009F4F75" w:rsidRPr="00B0157E" w:rsidRDefault="009F4F75" w:rsidP="00E6612D">
            <w:pPr>
              <w:pStyle w:val="02Tabletext"/>
              <w:spacing w:after="20"/>
              <w:rPr>
                <w:rFonts w:cs="Arial"/>
              </w:rPr>
            </w:pPr>
            <w:r w:rsidRPr="00B0157E">
              <w:rPr>
                <w:rFonts w:cs="Arial"/>
              </w:rPr>
              <w:t>T1.14 (above)</w:t>
            </w:r>
          </w:p>
          <w:p w14:paraId="5B469195" w14:textId="77777777" w:rsidR="009F4F75" w:rsidRPr="00B0157E" w:rsidRDefault="009F4F75" w:rsidP="00E6612D">
            <w:pPr>
              <w:pStyle w:val="02Tabletext"/>
              <w:spacing w:after="20"/>
              <w:rPr>
                <w:rFonts w:cs="Arial"/>
              </w:rPr>
            </w:pPr>
          </w:p>
        </w:tc>
        <w:tc>
          <w:tcPr>
            <w:tcW w:w="770" w:type="pct"/>
            <w:vAlign w:val="center"/>
          </w:tcPr>
          <w:p w14:paraId="3D4BDF50"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0FB0736D" w14:textId="77777777" w:rsidTr="00224863">
        <w:tc>
          <w:tcPr>
            <w:tcW w:w="317" w:type="pct"/>
            <w:vAlign w:val="center"/>
          </w:tcPr>
          <w:p w14:paraId="2A088F41" w14:textId="77777777" w:rsidR="009F4F75" w:rsidRPr="00B0157E" w:rsidRDefault="009F4F75" w:rsidP="00E6612D">
            <w:pPr>
              <w:pStyle w:val="02Tabletext"/>
              <w:spacing w:after="20"/>
              <w:rPr>
                <w:rFonts w:cs="Arial"/>
              </w:rPr>
            </w:pPr>
            <w:r w:rsidRPr="00B0157E">
              <w:rPr>
                <w:rFonts w:cs="Arial"/>
              </w:rPr>
              <w:t>14100</w:t>
            </w:r>
          </w:p>
        </w:tc>
        <w:tc>
          <w:tcPr>
            <w:tcW w:w="1753" w:type="pct"/>
          </w:tcPr>
          <w:p w14:paraId="256C6E35" w14:textId="77777777" w:rsidR="009F4F75" w:rsidRPr="00B0157E" w:rsidRDefault="009F4F75" w:rsidP="00E6612D">
            <w:pPr>
              <w:pStyle w:val="02Tabletext"/>
              <w:spacing w:after="20"/>
              <w:rPr>
                <w:rFonts w:cs="Arial"/>
              </w:rPr>
            </w:pPr>
            <w:r w:rsidRPr="00B0157E">
              <w:rPr>
                <w:rFonts w:cs="Arial"/>
              </w:rPr>
              <w:t>Laser photocoagulation using laser light within the wave length of 510–1064nm in the treatment of vascular lesions of the head or neck where abnormality is visible from 3 metres, including any associated consultation, up to a maximum of 6 sessions (including any sessions to which items 14100 to 14118 and 30213 apply) in any 12 month period. (Anaes.)</w:t>
            </w:r>
          </w:p>
        </w:tc>
        <w:tc>
          <w:tcPr>
            <w:tcW w:w="2160" w:type="pct"/>
          </w:tcPr>
          <w:p w14:paraId="4BCCA691"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051EF52D"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1DC66686" w14:textId="77777777" w:rsidTr="00224863">
        <w:tc>
          <w:tcPr>
            <w:tcW w:w="317" w:type="pct"/>
            <w:vAlign w:val="center"/>
          </w:tcPr>
          <w:p w14:paraId="7F48D949" w14:textId="77777777" w:rsidR="009F4F75" w:rsidRPr="00B0157E" w:rsidRDefault="009F4F75" w:rsidP="00E6612D">
            <w:pPr>
              <w:pStyle w:val="02Tabletext"/>
              <w:spacing w:after="20"/>
              <w:rPr>
                <w:rFonts w:cs="Arial"/>
              </w:rPr>
            </w:pPr>
            <w:r w:rsidRPr="00B0157E">
              <w:rPr>
                <w:rFonts w:cs="Arial"/>
              </w:rPr>
              <w:t>14106</w:t>
            </w:r>
          </w:p>
        </w:tc>
        <w:tc>
          <w:tcPr>
            <w:tcW w:w="1753" w:type="pct"/>
          </w:tcPr>
          <w:p w14:paraId="28C4CAAB" w14:textId="77777777" w:rsidR="009F4F75" w:rsidRPr="00B0157E" w:rsidRDefault="009F4F75" w:rsidP="00E6612D">
            <w:pPr>
              <w:pStyle w:val="02Tabletext"/>
              <w:spacing w:after="20"/>
              <w:rPr>
                <w:rFonts w:cs="Arial"/>
              </w:rPr>
            </w:pPr>
            <w:r w:rsidRPr="00B0157E">
              <w:rPr>
                <w:rFonts w:cs="Arial"/>
              </w:rPr>
              <w:t>Laser photocoagulation using laser light within the wave length of 510–1064nm in the treatment of port wine stains, haemangiomas of infancy, cafe-au-lait macules and naevi of Ota, other than melanocytic naevi (common moles), where the abnormality is visible from 3 metres, including any associated consultation, up to a maximum of 6 sessions (including any sessions to which items 14100 to 14118 and 30213 apply) in any 12 month period – area of treatment up to 50cm2. (Anaes.)</w:t>
            </w:r>
          </w:p>
        </w:tc>
        <w:tc>
          <w:tcPr>
            <w:tcW w:w="2160" w:type="pct"/>
          </w:tcPr>
          <w:p w14:paraId="209FD36C" w14:textId="77777777" w:rsidR="009F4F75" w:rsidRPr="00B0157E" w:rsidRDefault="009F4F75" w:rsidP="00E6612D">
            <w:pPr>
              <w:pStyle w:val="02Tabletext"/>
              <w:spacing w:after="20"/>
              <w:rPr>
                <w:rFonts w:cs="Arial"/>
              </w:rPr>
            </w:pPr>
            <w:r w:rsidRPr="00B0157E">
              <w:rPr>
                <w:rFonts w:cs="Arial"/>
              </w:rPr>
              <w:t>T1.15</w:t>
            </w:r>
          </w:p>
          <w:p w14:paraId="2E7E8CC9" w14:textId="77777777" w:rsidR="009F4F75" w:rsidRPr="00B0157E" w:rsidRDefault="009F4F75" w:rsidP="00E6612D">
            <w:pPr>
              <w:pStyle w:val="02Tabletext"/>
              <w:spacing w:after="20"/>
              <w:rPr>
                <w:rFonts w:cs="Arial"/>
              </w:rPr>
            </w:pPr>
            <w:r w:rsidRPr="00B0157E">
              <w:rPr>
                <w:rFonts w:cs="Arial"/>
              </w:rPr>
              <w:t>Laser Photocoagulation – (Items 14106 to 14124)</w:t>
            </w:r>
          </w:p>
          <w:p w14:paraId="47EBB77D" w14:textId="77777777" w:rsidR="009F4F75" w:rsidRPr="00B0157E" w:rsidRDefault="009F4F75" w:rsidP="00E6612D">
            <w:pPr>
              <w:pStyle w:val="02Tabletext"/>
              <w:spacing w:after="20"/>
              <w:rPr>
                <w:rFonts w:cs="Arial"/>
              </w:rPr>
            </w:pPr>
            <w:r w:rsidRPr="00B0157E">
              <w:rPr>
                <w:rFonts w:cs="Arial"/>
              </w:rPr>
              <w:t>The Australasian College of Dermatologists has advised that the following ranges (applicable to an average 4 year old child and an adult) should be used as a reference to the treatment areas specified in Items 14106 – 14124:</w:t>
            </w:r>
          </w:p>
          <w:p w14:paraId="38EB004A" w14:textId="77777777" w:rsidR="009F4F75" w:rsidRPr="00B0157E" w:rsidRDefault="009F4F75" w:rsidP="00E6612D">
            <w:pPr>
              <w:pStyle w:val="02Tabletext"/>
              <w:spacing w:after="20"/>
              <w:rPr>
                <w:rFonts w:cs="Arial"/>
              </w:rPr>
            </w:pPr>
            <w:r w:rsidRPr="00B0157E">
              <w:rPr>
                <w:rFonts w:cs="Arial"/>
              </w:rPr>
              <w:t>Entire forehead 50 -75 cm2</w:t>
            </w:r>
          </w:p>
          <w:p w14:paraId="2A76F478" w14:textId="77777777" w:rsidR="009F4F75" w:rsidRPr="00B0157E" w:rsidRDefault="009F4F75" w:rsidP="00E6612D">
            <w:pPr>
              <w:pStyle w:val="02Tabletext"/>
              <w:spacing w:after="20"/>
              <w:rPr>
                <w:rFonts w:cs="Arial"/>
              </w:rPr>
            </w:pPr>
            <w:r w:rsidRPr="00B0157E">
              <w:rPr>
                <w:rFonts w:cs="Arial"/>
              </w:rPr>
              <w:t>Cheek 55 – 85 cm2</w:t>
            </w:r>
          </w:p>
          <w:p w14:paraId="308D746A" w14:textId="77777777" w:rsidR="009F4F75" w:rsidRPr="00B0157E" w:rsidRDefault="009F4F75" w:rsidP="00E6612D">
            <w:pPr>
              <w:pStyle w:val="02Tabletext"/>
              <w:spacing w:after="20"/>
              <w:rPr>
                <w:rFonts w:cs="Arial"/>
              </w:rPr>
            </w:pPr>
            <w:r w:rsidRPr="00B0157E">
              <w:rPr>
                <w:rFonts w:cs="Arial"/>
              </w:rPr>
              <w:t>Nose 10 – 25 cm2</w:t>
            </w:r>
          </w:p>
          <w:p w14:paraId="3DB7D1A9" w14:textId="77777777" w:rsidR="009F4F75" w:rsidRPr="00B0157E" w:rsidRDefault="009F4F75" w:rsidP="00E6612D">
            <w:pPr>
              <w:pStyle w:val="02Tabletext"/>
              <w:spacing w:after="20"/>
              <w:rPr>
                <w:rFonts w:cs="Arial"/>
              </w:rPr>
            </w:pPr>
            <w:r w:rsidRPr="00B0157E">
              <w:rPr>
                <w:rFonts w:cs="Arial"/>
              </w:rPr>
              <w:t>Chin 10 – 30 cm2</w:t>
            </w:r>
          </w:p>
          <w:p w14:paraId="4FF3215A" w14:textId="77777777" w:rsidR="009F4F75" w:rsidRPr="00B0157E" w:rsidRDefault="009F4F75" w:rsidP="00E6612D">
            <w:pPr>
              <w:pStyle w:val="02Tabletext"/>
              <w:spacing w:after="20"/>
              <w:rPr>
                <w:rFonts w:cs="Arial"/>
              </w:rPr>
            </w:pPr>
            <w:r w:rsidRPr="00B0157E">
              <w:rPr>
                <w:rFonts w:cs="Arial"/>
              </w:rPr>
              <w:t>Unilateral midline anterior – posterior neck 60 – 220 cm2</w:t>
            </w:r>
          </w:p>
          <w:p w14:paraId="3D53552F" w14:textId="77777777" w:rsidR="009F4F75" w:rsidRPr="00B0157E" w:rsidRDefault="009F4F75" w:rsidP="00E6612D">
            <w:pPr>
              <w:pStyle w:val="02Tabletext"/>
              <w:spacing w:after="20"/>
              <w:rPr>
                <w:rFonts w:cs="Arial"/>
              </w:rPr>
            </w:pPr>
            <w:r w:rsidRPr="00B0157E">
              <w:rPr>
                <w:rFonts w:cs="Arial"/>
              </w:rPr>
              <w:t>Dorsum of hand 25 – 80 cm2</w:t>
            </w:r>
          </w:p>
          <w:p w14:paraId="40F7BD99" w14:textId="77777777" w:rsidR="009F4F75" w:rsidRPr="00B0157E" w:rsidRDefault="009F4F75" w:rsidP="00E6612D">
            <w:pPr>
              <w:pStyle w:val="02Tabletext"/>
              <w:spacing w:after="20"/>
              <w:rPr>
                <w:rFonts w:cs="Arial"/>
              </w:rPr>
            </w:pPr>
            <w:r w:rsidRPr="00B0157E">
              <w:rPr>
                <w:rFonts w:cs="Arial"/>
              </w:rPr>
              <w:t>Forearm 100 – 250 cm2</w:t>
            </w:r>
          </w:p>
          <w:p w14:paraId="7B316208" w14:textId="77777777" w:rsidR="009F4F75" w:rsidRPr="00B0157E" w:rsidRDefault="009F4F75" w:rsidP="00E6612D">
            <w:pPr>
              <w:pStyle w:val="02Tabletext"/>
              <w:spacing w:after="20"/>
              <w:rPr>
                <w:rFonts w:cs="Arial"/>
              </w:rPr>
            </w:pPr>
            <w:r w:rsidRPr="00B0157E">
              <w:rPr>
                <w:rFonts w:cs="Arial"/>
              </w:rPr>
              <w:t>Upper arm 105 – 320 cm2</w:t>
            </w:r>
          </w:p>
          <w:p w14:paraId="308AC9BD" w14:textId="77777777" w:rsidR="009F4F75" w:rsidRPr="00B0157E" w:rsidRDefault="009F4F75" w:rsidP="00E6612D">
            <w:pPr>
              <w:pStyle w:val="02Tabletext"/>
              <w:spacing w:after="20"/>
              <w:rPr>
                <w:rFonts w:cs="Arial"/>
              </w:rPr>
            </w:pPr>
            <w:r w:rsidRPr="00B0157E">
              <w:rPr>
                <w:rFonts w:cs="Arial"/>
              </w:rPr>
              <w:t>Related Items: 14106 14109 14112 14115 14118 14124.</w:t>
            </w:r>
          </w:p>
        </w:tc>
        <w:tc>
          <w:tcPr>
            <w:tcW w:w="770" w:type="pct"/>
            <w:vAlign w:val="center"/>
          </w:tcPr>
          <w:p w14:paraId="576A22D0"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12EC580E" w14:textId="77777777" w:rsidTr="00224863">
        <w:tc>
          <w:tcPr>
            <w:tcW w:w="317" w:type="pct"/>
            <w:vAlign w:val="center"/>
          </w:tcPr>
          <w:p w14:paraId="5F57D7CD" w14:textId="77777777" w:rsidR="009F4F75" w:rsidRPr="00B0157E" w:rsidRDefault="009F4F75" w:rsidP="00E6612D">
            <w:pPr>
              <w:pStyle w:val="02Tabletext"/>
              <w:spacing w:after="20"/>
              <w:rPr>
                <w:rFonts w:cs="Arial"/>
              </w:rPr>
            </w:pPr>
            <w:r w:rsidRPr="00B0157E">
              <w:rPr>
                <w:rFonts w:cs="Arial"/>
              </w:rPr>
              <w:t>14109</w:t>
            </w:r>
          </w:p>
        </w:tc>
        <w:tc>
          <w:tcPr>
            <w:tcW w:w="1753" w:type="pct"/>
          </w:tcPr>
          <w:p w14:paraId="47FECB5C" w14:textId="77777777" w:rsidR="009F4F75" w:rsidRPr="00B0157E" w:rsidRDefault="009F4F75" w:rsidP="00E6612D">
            <w:pPr>
              <w:pStyle w:val="02Tabletext"/>
              <w:spacing w:after="20"/>
              <w:rPr>
                <w:rFonts w:cs="Arial"/>
              </w:rPr>
            </w:pPr>
            <w:r w:rsidRPr="00B0157E">
              <w:rPr>
                <w:rFonts w:cs="Arial"/>
              </w:rPr>
              <w:t xml:space="preserve">Laser photocoagulation using laser light within the wave length of 510–1064nm </w:t>
            </w:r>
            <w:r w:rsidRPr="00B0157E">
              <w:rPr>
                <w:rFonts w:cs="Arial"/>
              </w:rPr>
              <w:lastRenderedPageBreak/>
              <w:t>in the treatment of port wine stains, haemangiomas of infancy, cafe-au-lait macules and naevi of Ota, other than melanocytic naevi (common moles), including any associated consultation, up to a maximum of 6 sessions (including any sessions to which items 14100 to 14118 and 30213 apply) in any 12 month period – area of treatment more than 50cm2 and up to 100cm2. (Anaes.)</w:t>
            </w:r>
          </w:p>
        </w:tc>
        <w:tc>
          <w:tcPr>
            <w:tcW w:w="2160" w:type="pct"/>
          </w:tcPr>
          <w:p w14:paraId="14CC53E1" w14:textId="77777777" w:rsidR="009F4F75" w:rsidRPr="00B0157E" w:rsidRDefault="009F4F75" w:rsidP="00E6612D">
            <w:pPr>
              <w:pStyle w:val="02Tabletext"/>
              <w:spacing w:after="20"/>
              <w:rPr>
                <w:rFonts w:cs="Arial"/>
              </w:rPr>
            </w:pPr>
            <w:r w:rsidRPr="00B0157E">
              <w:rPr>
                <w:rFonts w:cs="Arial"/>
              </w:rPr>
              <w:lastRenderedPageBreak/>
              <w:t>T1.15 (above)</w:t>
            </w:r>
          </w:p>
          <w:p w14:paraId="7DBA8ED7" w14:textId="77777777" w:rsidR="009F4F75" w:rsidRPr="00B0157E" w:rsidRDefault="009F4F75" w:rsidP="00E6612D">
            <w:pPr>
              <w:pStyle w:val="02Tabletext"/>
              <w:spacing w:after="20"/>
              <w:rPr>
                <w:rFonts w:cs="Arial"/>
              </w:rPr>
            </w:pPr>
          </w:p>
        </w:tc>
        <w:tc>
          <w:tcPr>
            <w:tcW w:w="770" w:type="pct"/>
            <w:vAlign w:val="center"/>
          </w:tcPr>
          <w:p w14:paraId="7906BF78"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6504BF2C" w14:textId="77777777" w:rsidTr="00224863">
        <w:tc>
          <w:tcPr>
            <w:tcW w:w="317" w:type="pct"/>
            <w:vAlign w:val="center"/>
          </w:tcPr>
          <w:p w14:paraId="0FFAD580" w14:textId="77777777" w:rsidR="009F4F75" w:rsidRPr="00B0157E" w:rsidRDefault="009F4F75" w:rsidP="00E6612D">
            <w:pPr>
              <w:pStyle w:val="02Tabletext"/>
              <w:spacing w:after="20"/>
              <w:rPr>
                <w:rFonts w:cs="Arial"/>
              </w:rPr>
            </w:pPr>
            <w:r w:rsidRPr="00B0157E">
              <w:rPr>
                <w:rFonts w:cs="Arial"/>
              </w:rPr>
              <w:t>14112</w:t>
            </w:r>
          </w:p>
        </w:tc>
        <w:tc>
          <w:tcPr>
            <w:tcW w:w="1753" w:type="pct"/>
          </w:tcPr>
          <w:p w14:paraId="24DD3CC2" w14:textId="77777777" w:rsidR="009F4F75" w:rsidRPr="00B0157E" w:rsidRDefault="009F4F75" w:rsidP="00E6612D">
            <w:pPr>
              <w:pStyle w:val="02Tabletext"/>
              <w:spacing w:after="20"/>
              <w:rPr>
                <w:rFonts w:cs="Arial"/>
              </w:rPr>
            </w:pPr>
            <w:r w:rsidRPr="00B0157E">
              <w:rPr>
                <w:rFonts w:cs="Arial"/>
              </w:rPr>
              <w:t>Laser photocoagulation using laser light within the wave length of 510–1064nm in the treatment of port wine stains, haemangiomas of infancy, cafe-au-lait macules and naevi of Ota, other than melanocytic naevi (common moles), including any associated consultation, up to a maximum of 6 sessions (including any sessions to which items 14100 to 14118 and 30213 apply) in any 12 month period – area of treatment more than 100cm2 and up to 150cm2. (Anaes.)</w:t>
            </w:r>
          </w:p>
        </w:tc>
        <w:tc>
          <w:tcPr>
            <w:tcW w:w="2160" w:type="pct"/>
          </w:tcPr>
          <w:p w14:paraId="5670AD3A" w14:textId="77777777" w:rsidR="009F4F75" w:rsidRPr="00B0157E" w:rsidRDefault="009F4F75" w:rsidP="00E6612D">
            <w:pPr>
              <w:pStyle w:val="02Tabletext"/>
              <w:spacing w:after="20"/>
              <w:rPr>
                <w:rFonts w:cs="Arial"/>
              </w:rPr>
            </w:pPr>
            <w:r w:rsidRPr="00B0157E">
              <w:rPr>
                <w:rFonts w:cs="Arial"/>
              </w:rPr>
              <w:t>T1.15 (above)</w:t>
            </w:r>
          </w:p>
          <w:p w14:paraId="3BB2603D" w14:textId="77777777" w:rsidR="009F4F75" w:rsidRPr="00B0157E" w:rsidRDefault="009F4F75" w:rsidP="00E6612D">
            <w:pPr>
              <w:pStyle w:val="02Tabletext"/>
              <w:spacing w:after="20"/>
              <w:rPr>
                <w:rFonts w:cs="Arial"/>
              </w:rPr>
            </w:pPr>
          </w:p>
        </w:tc>
        <w:tc>
          <w:tcPr>
            <w:tcW w:w="770" w:type="pct"/>
            <w:vAlign w:val="center"/>
          </w:tcPr>
          <w:p w14:paraId="4522D9A7"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05323274" w14:textId="77777777" w:rsidTr="00224863">
        <w:tc>
          <w:tcPr>
            <w:tcW w:w="317" w:type="pct"/>
            <w:vAlign w:val="center"/>
          </w:tcPr>
          <w:p w14:paraId="0226DD38" w14:textId="77777777" w:rsidR="009F4F75" w:rsidRPr="00B0157E" w:rsidRDefault="009F4F75" w:rsidP="00E6612D">
            <w:pPr>
              <w:pStyle w:val="02Tabletext"/>
              <w:spacing w:after="20"/>
              <w:rPr>
                <w:rFonts w:cs="Arial"/>
              </w:rPr>
            </w:pPr>
            <w:r w:rsidRPr="00B0157E">
              <w:rPr>
                <w:rFonts w:cs="Arial"/>
              </w:rPr>
              <w:t>14115</w:t>
            </w:r>
          </w:p>
        </w:tc>
        <w:tc>
          <w:tcPr>
            <w:tcW w:w="1753" w:type="pct"/>
          </w:tcPr>
          <w:p w14:paraId="280165D7" w14:textId="77777777" w:rsidR="009F4F75" w:rsidRPr="00B0157E" w:rsidRDefault="009F4F75" w:rsidP="00E6612D">
            <w:pPr>
              <w:pStyle w:val="02Tabletext"/>
              <w:spacing w:after="20"/>
              <w:rPr>
                <w:rFonts w:cs="Arial"/>
              </w:rPr>
            </w:pPr>
            <w:r w:rsidRPr="00B0157E">
              <w:rPr>
                <w:rFonts w:cs="Arial"/>
              </w:rPr>
              <w:t>Laser photocoagulation using laser light within the wave length of 510–1064nm in the treatment of port wine stains, haemangiomas of infancy, cafe-au-lait macules and naevi of Ota, other than melanocytic naevi (common moles), including any associated consultation, up to a maximum of 6 sessions (including any sessions to which items 14100 to 14118 and 30213 apply) in any 12 month period – area of treatment more than 150cm2 and up to 250cm2. (Anaes.)</w:t>
            </w:r>
          </w:p>
        </w:tc>
        <w:tc>
          <w:tcPr>
            <w:tcW w:w="2160" w:type="pct"/>
          </w:tcPr>
          <w:p w14:paraId="58ACC14C" w14:textId="77777777" w:rsidR="009F4F75" w:rsidRPr="00B0157E" w:rsidRDefault="009F4F75" w:rsidP="00E6612D">
            <w:pPr>
              <w:pStyle w:val="02Tabletext"/>
              <w:spacing w:after="20"/>
              <w:rPr>
                <w:rFonts w:cs="Arial"/>
              </w:rPr>
            </w:pPr>
            <w:r w:rsidRPr="00B0157E">
              <w:rPr>
                <w:rFonts w:cs="Arial"/>
              </w:rPr>
              <w:t>T1.15 (above)</w:t>
            </w:r>
          </w:p>
          <w:p w14:paraId="7680696E" w14:textId="77777777" w:rsidR="009F4F75" w:rsidRPr="00B0157E" w:rsidRDefault="009F4F75" w:rsidP="00E6612D">
            <w:pPr>
              <w:pStyle w:val="02Tabletext"/>
              <w:spacing w:after="20"/>
              <w:rPr>
                <w:rFonts w:cs="Arial"/>
              </w:rPr>
            </w:pPr>
          </w:p>
        </w:tc>
        <w:tc>
          <w:tcPr>
            <w:tcW w:w="770" w:type="pct"/>
            <w:vAlign w:val="center"/>
          </w:tcPr>
          <w:p w14:paraId="3759A596"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76331E29" w14:textId="77777777" w:rsidTr="00224863">
        <w:tc>
          <w:tcPr>
            <w:tcW w:w="317" w:type="pct"/>
            <w:vAlign w:val="center"/>
          </w:tcPr>
          <w:p w14:paraId="71C64023" w14:textId="77777777" w:rsidR="009F4F75" w:rsidRPr="00B0157E" w:rsidRDefault="009F4F75" w:rsidP="00E6612D">
            <w:pPr>
              <w:pStyle w:val="02Tabletext"/>
              <w:spacing w:after="20"/>
              <w:rPr>
                <w:rFonts w:cs="Arial"/>
              </w:rPr>
            </w:pPr>
            <w:r w:rsidRPr="00B0157E">
              <w:rPr>
                <w:rFonts w:cs="Arial"/>
              </w:rPr>
              <w:t>14118</w:t>
            </w:r>
          </w:p>
        </w:tc>
        <w:tc>
          <w:tcPr>
            <w:tcW w:w="1753" w:type="pct"/>
          </w:tcPr>
          <w:p w14:paraId="5D97812A" w14:textId="77777777" w:rsidR="009F4F75" w:rsidRPr="00B0157E" w:rsidRDefault="009F4F75" w:rsidP="00E6612D">
            <w:pPr>
              <w:pStyle w:val="02Tabletext"/>
              <w:spacing w:after="20"/>
              <w:rPr>
                <w:rFonts w:cs="Arial"/>
              </w:rPr>
            </w:pPr>
            <w:r w:rsidRPr="00B0157E">
              <w:rPr>
                <w:rFonts w:cs="Arial"/>
              </w:rPr>
              <w:t>Laser photocoagulation using laser light within the wave length of 510–1064nm in the treatment of port wine stains, haemangiomas of infancy, cafe-au-lait macules and naevi of Ota, other than melanocytic naevi (common moles), including any associated consultation, up to a maximum of 6 sessions (including any sessions to which items 14100 to 14118 and 30213 apply) in any 12 month period – area of treatment more than 250cm2. (Anaes.)</w:t>
            </w:r>
          </w:p>
        </w:tc>
        <w:tc>
          <w:tcPr>
            <w:tcW w:w="2160" w:type="pct"/>
          </w:tcPr>
          <w:p w14:paraId="18430B3E" w14:textId="77777777" w:rsidR="009F4F75" w:rsidRPr="00B0157E" w:rsidRDefault="009F4F75" w:rsidP="00E6612D">
            <w:pPr>
              <w:pStyle w:val="02Tabletext"/>
              <w:spacing w:after="20"/>
              <w:rPr>
                <w:rFonts w:cs="Arial"/>
              </w:rPr>
            </w:pPr>
            <w:r w:rsidRPr="00B0157E">
              <w:rPr>
                <w:rFonts w:cs="Arial"/>
              </w:rPr>
              <w:t>T1.15 (above)</w:t>
            </w:r>
          </w:p>
        </w:tc>
        <w:tc>
          <w:tcPr>
            <w:tcW w:w="770" w:type="pct"/>
            <w:vAlign w:val="center"/>
          </w:tcPr>
          <w:p w14:paraId="5F12FAF9"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252C6039" w14:textId="77777777" w:rsidTr="00224863">
        <w:tc>
          <w:tcPr>
            <w:tcW w:w="317" w:type="pct"/>
            <w:vAlign w:val="center"/>
          </w:tcPr>
          <w:p w14:paraId="221906D4" w14:textId="77777777" w:rsidR="009F4F75" w:rsidRPr="00B0157E" w:rsidRDefault="009F4F75" w:rsidP="00E6612D">
            <w:pPr>
              <w:pStyle w:val="02Tabletext"/>
              <w:spacing w:after="20"/>
              <w:rPr>
                <w:rFonts w:cs="Arial"/>
              </w:rPr>
            </w:pPr>
            <w:r w:rsidRPr="00B0157E">
              <w:rPr>
                <w:rFonts w:cs="Arial"/>
              </w:rPr>
              <w:t>14124</w:t>
            </w:r>
          </w:p>
        </w:tc>
        <w:tc>
          <w:tcPr>
            <w:tcW w:w="1753" w:type="pct"/>
          </w:tcPr>
          <w:p w14:paraId="3527B747" w14:textId="77777777" w:rsidR="009F4F75" w:rsidRPr="00B0157E" w:rsidRDefault="009F4F75" w:rsidP="00E6612D">
            <w:pPr>
              <w:pStyle w:val="02Tabletext"/>
              <w:spacing w:after="20"/>
              <w:rPr>
                <w:rFonts w:cs="Arial"/>
              </w:rPr>
            </w:pPr>
            <w:r w:rsidRPr="00B0157E">
              <w:rPr>
                <w:rFonts w:cs="Arial"/>
              </w:rPr>
              <w:t>Laser photocoagulation using laser light within the wave length of 510–1064nm in the treatment of haemangiomas of infancy, including any associated consultation – where a 7th or subsequent session (including any sessions to which items 14100 to 14118 and 30213 apply) is indicated in a 12 month period. (Anaes.)</w:t>
            </w:r>
          </w:p>
        </w:tc>
        <w:tc>
          <w:tcPr>
            <w:tcW w:w="2160" w:type="pct"/>
          </w:tcPr>
          <w:p w14:paraId="4FAEE47A" w14:textId="77777777" w:rsidR="009F4F75" w:rsidRPr="00B0157E" w:rsidRDefault="009F4F75" w:rsidP="00E6612D">
            <w:pPr>
              <w:pStyle w:val="02Tabletext"/>
              <w:spacing w:after="20"/>
              <w:rPr>
                <w:rFonts w:cs="Arial"/>
              </w:rPr>
            </w:pPr>
            <w:r w:rsidRPr="00B0157E">
              <w:rPr>
                <w:rFonts w:cs="Arial"/>
              </w:rPr>
              <w:t>T1.15 (above)</w:t>
            </w:r>
          </w:p>
          <w:p w14:paraId="037FF351" w14:textId="77777777" w:rsidR="009F4F75" w:rsidRPr="00B0157E" w:rsidRDefault="009F4F75" w:rsidP="00E6612D">
            <w:pPr>
              <w:pStyle w:val="02Tabletext"/>
              <w:spacing w:after="20"/>
              <w:rPr>
                <w:rFonts w:cs="Arial"/>
              </w:rPr>
            </w:pPr>
          </w:p>
        </w:tc>
        <w:tc>
          <w:tcPr>
            <w:tcW w:w="770" w:type="pct"/>
            <w:vAlign w:val="center"/>
          </w:tcPr>
          <w:p w14:paraId="5EA6197B"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367A5039" w14:textId="77777777" w:rsidTr="00224863">
        <w:tc>
          <w:tcPr>
            <w:tcW w:w="317" w:type="pct"/>
            <w:vAlign w:val="center"/>
          </w:tcPr>
          <w:p w14:paraId="32742AB2" w14:textId="77777777" w:rsidR="009F4F75" w:rsidRPr="00B0157E" w:rsidRDefault="009F4F75" w:rsidP="00E6612D">
            <w:pPr>
              <w:pStyle w:val="02Tabletext"/>
              <w:spacing w:after="20"/>
              <w:rPr>
                <w:rFonts w:cs="Arial"/>
              </w:rPr>
            </w:pPr>
            <w:r w:rsidRPr="00B0157E">
              <w:rPr>
                <w:rFonts w:cs="Arial"/>
              </w:rPr>
              <w:t>14245</w:t>
            </w:r>
          </w:p>
        </w:tc>
        <w:tc>
          <w:tcPr>
            <w:tcW w:w="1753" w:type="pct"/>
          </w:tcPr>
          <w:p w14:paraId="2D96CD26" w14:textId="77777777" w:rsidR="009F4F75" w:rsidRPr="00B0157E" w:rsidRDefault="009F4F75" w:rsidP="00E6612D">
            <w:pPr>
              <w:pStyle w:val="02Tabletext"/>
              <w:spacing w:after="20"/>
              <w:rPr>
                <w:rFonts w:cs="Arial"/>
              </w:rPr>
            </w:pPr>
            <w:r w:rsidRPr="00B0157E">
              <w:rPr>
                <w:rFonts w:cs="Arial"/>
              </w:rPr>
              <w:t xml:space="preserve">Immunomodulating agent, administration of, by intravenous infusion for at least 2 hours duration – payable once only on the same day and </w:t>
            </w:r>
            <w:r w:rsidRPr="00B0157E">
              <w:rPr>
                <w:rFonts w:cs="Arial"/>
              </w:rPr>
              <w:lastRenderedPageBreak/>
              <w:t>where the agent is provided under section 100 of the Pharmaceutical Benefits Scheme.</w:t>
            </w:r>
          </w:p>
        </w:tc>
        <w:tc>
          <w:tcPr>
            <w:tcW w:w="2160" w:type="pct"/>
          </w:tcPr>
          <w:p w14:paraId="0D490685" w14:textId="77777777" w:rsidR="009F4F75" w:rsidRPr="00B0157E" w:rsidRDefault="009F4F75" w:rsidP="00E6612D">
            <w:pPr>
              <w:pStyle w:val="02Tabletext"/>
              <w:spacing w:after="20"/>
              <w:rPr>
                <w:rFonts w:cs="Arial"/>
              </w:rPr>
            </w:pPr>
            <w:r w:rsidRPr="00B0157E">
              <w:rPr>
                <w:rFonts w:cs="Arial"/>
              </w:rPr>
              <w:lastRenderedPageBreak/>
              <w:t>T1.20</w:t>
            </w:r>
          </w:p>
          <w:p w14:paraId="458BDC61" w14:textId="77777777" w:rsidR="009F4F75" w:rsidRPr="00B0157E" w:rsidRDefault="009F4F75" w:rsidP="00E6612D">
            <w:pPr>
              <w:pStyle w:val="02Tabletext"/>
              <w:spacing w:after="20"/>
              <w:rPr>
                <w:rFonts w:cs="Arial"/>
              </w:rPr>
            </w:pPr>
            <w:r w:rsidRPr="00B0157E">
              <w:rPr>
                <w:rFonts w:cs="Arial"/>
              </w:rPr>
              <w:t>Immunomodulating Agent – (Item 14245)</w:t>
            </w:r>
          </w:p>
          <w:p w14:paraId="21925AB2" w14:textId="77777777" w:rsidR="009F4F75" w:rsidRPr="00B0157E" w:rsidRDefault="009F4F75" w:rsidP="00E6612D">
            <w:pPr>
              <w:pStyle w:val="02Tabletext"/>
              <w:spacing w:after="20"/>
              <w:rPr>
                <w:rFonts w:cs="Arial"/>
              </w:rPr>
            </w:pPr>
            <w:r w:rsidRPr="00B0157E">
              <w:rPr>
                <w:rFonts w:cs="Arial"/>
              </w:rPr>
              <w:t xml:space="preserve">Item 14245 applies only to a service provided by a medical practitioner who is registered by the </w:t>
            </w:r>
            <w:r w:rsidRPr="00B0157E">
              <w:rPr>
                <w:rFonts w:cs="Arial"/>
              </w:rPr>
              <w:lastRenderedPageBreak/>
              <w:t xml:space="preserve">Department of Human Services CEO to participate in the arrangements made, under paragraph 100 (1) (b) of the National Health Act 1953, for the purpose of providing an adequate pharmaceutical service for persons requiring treatment with an immunomodulating agent. </w:t>
            </w:r>
          </w:p>
          <w:p w14:paraId="06AE0FE5" w14:textId="77777777" w:rsidR="009F4F75" w:rsidRPr="00B0157E" w:rsidRDefault="009F4F75" w:rsidP="00E6612D">
            <w:pPr>
              <w:pStyle w:val="02Tabletext"/>
              <w:spacing w:after="20"/>
              <w:rPr>
                <w:rFonts w:cs="Arial"/>
              </w:rPr>
            </w:pPr>
            <w:r w:rsidRPr="00B0157E">
              <w:rPr>
                <w:rFonts w:cs="Arial"/>
              </w:rPr>
              <w:t>These drugs are associated with risk of anaphylaxis which must be treated by a medical practitioner. For this reason a medical practitioner needs to be available at all times during the infusion in case of an emergency.</w:t>
            </w:r>
          </w:p>
          <w:p w14:paraId="5EA484A1" w14:textId="77777777" w:rsidR="009F4F75" w:rsidRPr="00B0157E" w:rsidRDefault="009F4F75" w:rsidP="00E6612D">
            <w:pPr>
              <w:pStyle w:val="02Tabletext"/>
              <w:spacing w:after="20"/>
              <w:rPr>
                <w:rFonts w:cs="Arial"/>
              </w:rPr>
            </w:pPr>
            <w:r w:rsidRPr="00B0157E">
              <w:rPr>
                <w:rFonts w:cs="Arial"/>
              </w:rPr>
              <w:t>Related Items: 14245.</w:t>
            </w:r>
          </w:p>
        </w:tc>
        <w:tc>
          <w:tcPr>
            <w:tcW w:w="770" w:type="pct"/>
            <w:vAlign w:val="center"/>
          </w:tcPr>
          <w:p w14:paraId="6880F66B" w14:textId="77777777" w:rsidR="009F4F75" w:rsidRPr="00B0157E" w:rsidRDefault="009F4F75" w:rsidP="00E6612D">
            <w:pPr>
              <w:pStyle w:val="02Tabletext"/>
              <w:spacing w:after="20"/>
              <w:rPr>
                <w:rFonts w:cs="Arial"/>
              </w:rPr>
            </w:pPr>
            <w:r w:rsidRPr="00B0157E">
              <w:rPr>
                <w:rFonts w:cs="Arial"/>
              </w:rPr>
              <w:lastRenderedPageBreak/>
              <w:t xml:space="preserve">No change </w:t>
            </w:r>
          </w:p>
        </w:tc>
      </w:tr>
      <w:tr w:rsidR="009F4F75" w:rsidRPr="00B0157E" w14:paraId="50739F47" w14:textId="77777777" w:rsidTr="00224863">
        <w:tc>
          <w:tcPr>
            <w:tcW w:w="317" w:type="pct"/>
            <w:vAlign w:val="center"/>
          </w:tcPr>
          <w:p w14:paraId="0D645D06" w14:textId="77777777" w:rsidR="009F4F75" w:rsidRPr="00B0157E" w:rsidRDefault="009F4F75" w:rsidP="00E6612D">
            <w:pPr>
              <w:pStyle w:val="02Tabletext"/>
              <w:spacing w:after="20"/>
              <w:rPr>
                <w:rFonts w:cs="Arial"/>
              </w:rPr>
            </w:pPr>
            <w:r w:rsidRPr="00B0157E">
              <w:rPr>
                <w:rFonts w:cs="Arial"/>
              </w:rPr>
              <w:t>15000</w:t>
            </w:r>
          </w:p>
        </w:tc>
        <w:tc>
          <w:tcPr>
            <w:tcW w:w="1753" w:type="pct"/>
          </w:tcPr>
          <w:p w14:paraId="5E515923" w14:textId="77777777" w:rsidR="009F4F75" w:rsidRPr="00B0157E" w:rsidRDefault="009F4F75" w:rsidP="00E6612D">
            <w:pPr>
              <w:pStyle w:val="02Tabletext"/>
              <w:spacing w:after="20"/>
              <w:rPr>
                <w:rFonts w:cs="Arial"/>
              </w:rPr>
            </w:pPr>
            <w:r w:rsidRPr="00B0157E">
              <w:rPr>
                <w:rFonts w:cs="Arial"/>
              </w:rPr>
              <w:t>Radiotherapy, superficial (including treatment with xrays, radium rays or other radioactive substances), not being a service to which another item in this Group applies each attendance at which fractionated treatment is given 1 field.</w:t>
            </w:r>
          </w:p>
        </w:tc>
        <w:tc>
          <w:tcPr>
            <w:tcW w:w="2160" w:type="pct"/>
          </w:tcPr>
          <w:p w14:paraId="71D58920"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27FA82AB"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77DC7F75" w14:textId="77777777" w:rsidTr="00224863">
        <w:tc>
          <w:tcPr>
            <w:tcW w:w="317" w:type="pct"/>
            <w:vAlign w:val="center"/>
          </w:tcPr>
          <w:p w14:paraId="7EB259BB" w14:textId="77777777" w:rsidR="009F4F75" w:rsidRPr="00B0157E" w:rsidRDefault="009F4F75" w:rsidP="00E6612D">
            <w:pPr>
              <w:pStyle w:val="02Tabletext"/>
              <w:spacing w:after="20"/>
              <w:rPr>
                <w:rFonts w:cs="Arial"/>
              </w:rPr>
            </w:pPr>
            <w:r w:rsidRPr="00B0157E">
              <w:rPr>
                <w:rFonts w:cs="Arial"/>
              </w:rPr>
              <w:t>21981</w:t>
            </w:r>
          </w:p>
        </w:tc>
        <w:tc>
          <w:tcPr>
            <w:tcW w:w="1753" w:type="pct"/>
          </w:tcPr>
          <w:p w14:paraId="1B294D34" w14:textId="77777777" w:rsidR="009F4F75" w:rsidRPr="00B0157E" w:rsidRDefault="009F4F75" w:rsidP="00E6612D">
            <w:pPr>
              <w:pStyle w:val="02Tabletext"/>
              <w:spacing w:after="20"/>
              <w:rPr>
                <w:rFonts w:cs="Arial"/>
              </w:rPr>
            </w:pPr>
            <w:r w:rsidRPr="00B0157E">
              <w:rPr>
                <w:rFonts w:cs="Arial"/>
              </w:rPr>
              <w:t>Anaesthetic agent allergy testing, using skin sensitivity methods in a patient with a history of prior anaphylactic or anaphylactoid reaction or cardiovascular collapse associated with the management of anaesthesia agents (4 basic units).</w:t>
            </w:r>
          </w:p>
        </w:tc>
        <w:tc>
          <w:tcPr>
            <w:tcW w:w="2160" w:type="pct"/>
          </w:tcPr>
          <w:p w14:paraId="1A837785"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408CE290"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542316C7" w14:textId="77777777" w:rsidTr="00224863">
        <w:tc>
          <w:tcPr>
            <w:tcW w:w="317" w:type="pct"/>
            <w:vAlign w:val="center"/>
          </w:tcPr>
          <w:p w14:paraId="6112A0D7" w14:textId="77777777" w:rsidR="009F4F75" w:rsidRPr="00B0157E" w:rsidRDefault="009F4F75" w:rsidP="00E6612D">
            <w:pPr>
              <w:pStyle w:val="02Tabletext"/>
              <w:spacing w:after="20"/>
              <w:rPr>
                <w:rFonts w:cs="Arial"/>
              </w:rPr>
            </w:pPr>
            <w:r w:rsidRPr="00B0157E">
              <w:rPr>
                <w:rFonts w:cs="Arial"/>
              </w:rPr>
              <w:t>30185</w:t>
            </w:r>
          </w:p>
        </w:tc>
        <w:tc>
          <w:tcPr>
            <w:tcW w:w="1753" w:type="pct"/>
          </w:tcPr>
          <w:p w14:paraId="22B14354" w14:textId="77777777" w:rsidR="009F4F75" w:rsidRPr="00B0157E" w:rsidRDefault="009F4F75" w:rsidP="00E6612D">
            <w:pPr>
              <w:pStyle w:val="02Tabletext"/>
              <w:spacing w:after="20"/>
              <w:rPr>
                <w:rFonts w:cs="Arial"/>
              </w:rPr>
            </w:pPr>
            <w:r w:rsidRPr="00B0157E">
              <w:rPr>
                <w:rFonts w:cs="Arial"/>
              </w:rPr>
              <w:t>Palmar or plantar warts (10 or more), definitive removal of, excluding ablative methods alone, not being a service to which item 30186 or 30187 applies. (Anaes.)</w:t>
            </w:r>
          </w:p>
        </w:tc>
        <w:tc>
          <w:tcPr>
            <w:tcW w:w="2160" w:type="pct"/>
          </w:tcPr>
          <w:p w14:paraId="0570C496" w14:textId="77777777" w:rsidR="009F4F75" w:rsidRPr="00B0157E" w:rsidRDefault="009F4F75" w:rsidP="00E6612D">
            <w:pPr>
              <w:pStyle w:val="02Tabletext"/>
              <w:spacing w:after="20"/>
              <w:rPr>
                <w:rFonts w:cs="Arial"/>
              </w:rPr>
            </w:pPr>
            <w:r w:rsidRPr="00B0157E">
              <w:rPr>
                <w:rFonts w:cs="Arial"/>
              </w:rPr>
              <w:t>T8.9</w:t>
            </w:r>
          </w:p>
          <w:p w14:paraId="52326484" w14:textId="77777777" w:rsidR="009F4F75" w:rsidRPr="00B0157E" w:rsidRDefault="009F4F75" w:rsidP="00E6612D">
            <w:pPr>
              <w:pStyle w:val="02Tabletext"/>
              <w:spacing w:after="20"/>
              <w:rPr>
                <w:rFonts w:cs="Arial"/>
              </w:rPr>
            </w:pPr>
            <w:r w:rsidRPr="00B0157E">
              <w:rPr>
                <w:rFonts w:cs="Arial"/>
              </w:rPr>
              <w:t>Treatment of Keratoses, Warts etc (Items 30185, 30186, 30187, 30189, 30192 and 36815)</w:t>
            </w:r>
          </w:p>
          <w:p w14:paraId="7246F45E" w14:textId="77777777" w:rsidR="009F4F75" w:rsidRPr="00B0157E" w:rsidRDefault="009F4F75" w:rsidP="00E6612D">
            <w:pPr>
              <w:pStyle w:val="02Tabletext"/>
              <w:spacing w:after="20"/>
              <w:rPr>
                <w:rFonts w:cs="Arial"/>
              </w:rPr>
            </w:pPr>
            <w:r w:rsidRPr="00B0157E">
              <w:rPr>
                <w:rFonts w:cs="Arial"/>
              </w:rPr>
              <w:t>Treatment of seborrheic keratoses by any means, attracts benefits on an attendance basis only.</w:t>
            </w:r>
          </w:p>
          <w:p w14:paraId="2719A0E1" w14:textId="77777777" w:rsidR="009F4F75" w:rsidRPr="00B0157E" w:rsidRDefault="009F4F75" w:rsidP="00E6612D">
            <w:pPr>
              <w:pStyle w:val="02Tabletext"/>
              <w:spacing w:after="20"/>
              <w:rPr>
                <w:rFonts w:cs="Arial"/>
              </w:rPr>
            </w:pPr>
            <w:r w:rsidRPr="00B0157E">
              <w:rPr>
                <w:rFonts w:cs="Arial"/>
              </w:rPr>
              <w:t>Treatment of fewer than 10 solar keratoses by ablative techniques such as cryotherapy attracts benefits on an attendance basis only. Where 10 or more solar keratoses are treated by ablative techniques, benefits are payable under item 30192. Where one or more solar keratoses are treated by electrosurgical destruction, simple curettage or shave excision, benefits are payable under item 30195.</w:t>
            </w:r>
          </w:p>
          <w:p w14:paraId="1D3D8C6A" w14:textId="77777777" w:rsidR="009F4F75" w:rsidRPr="00B0157E" w:rsidRDefault="009F4F75" w:rsidP="00E6612D">
            <w:pPr>
              <w:pStyle w:val="02Tabletext"/>
              <w:spacing w:after="20"/>
              <w:rPr>
                <w:rFonts w:cs="Arial"/>
              </w:rPr>
            </w:pPr>
            <w:r w:rsidRPr="00B0157E">
              <w:rPr>
                <w:rFonts w:cs="Arial"/>
              </w:rPr>
              <w:t>Warts and molluscum contagiosum where treated by any means attract benefits on an attendance basis except where:</w:t>
            </w:r>
          </w:p>
          <w:p w14:paraId="5D408C95" w14:textId="77777777" w:rsidR="009F4F75" w:rsidRPr="00B0157E" w:rsidRDefault="009F4F75" w:rsidP="00E6612D">
            <w:pPr>
              <w:pStyle w:val="02Tabletext"/>
              <w:spacing w:after="20"/>
              <w:rPr>
                <w:rFonts w:cs="Arial"/>
              </w:rPr>
            </w:pPr>
            <w:r w:rsidRPr="00B0157E">
              <w:rPr>
                <w:rFonts w:cs="Arial"/>
              </w:rPr>
              <w:t>(a) admission for treatment in an operating theatre of an accredited day surgery facility or hospital is required. In this circumstance, benefits are paid under item 30189 where a definitive removal of the wart or molluscum contagiosum is to be undertaken.</w:t>
            </w:r>
          </w:p>
          <w:p w14:paraId="105E1450" w14:textId="77777777" w:rsidR="009F4F75" w:rsidRPr="00B0157E" w:rsidRDefault="009F4F75" w:rsidP="00E6612D">
            <w:pPr>
              <w:pStyle w:val="02Tabletext"/>
              <w:spacing w:after="20"/>
              <w:rPr>
                <w:rFonts w:cs="Arial"/>
              </w:rPr>
            </w:pPr>
            <w:r w:rsidRPr="00B0157E">
              <w:rPr>
                <w:rFonts w:cs="Arial"/>
              </w:rPr>
              <w:t>(b) benefits have been paid under item 30189, and recurrence occurs.</w:t>
            </w:r>
          </w:p>
          <w:p w14:paraId="043DEEEC" w14:textId="77777777" w:rsidR="009F4F75" w:rsidRPr="00B0157E" w:rsidRDefault="009F4F75" w:rsidP="00E6612D">
            <w:pPr>
              <w:pStyle w:val="02Tabletext"/>
              <w:spacing w:after="20"/>
              <w:rPr>
                <w:rFonts w:cs="Arial"/>
              </w:rPr>
            </w:pPr>
            <w:r w:rsidRPr="00B0157E">
              <w:rPr>
                <w:rFonts w:cs="Arial"/>
              </w:rPr>
              <w:t>(c) definitive removal of palmar or plantar warts is undertaken. In these circumstances, where less than 10 palmar or plantar warts are treated, by methods other than ablative techniques alone, benefits are paid under item 30186, with fees progressively reducing as for multi operations, and where 10 or more palmar or plantar warts are treated, by methods other than ablative techniques alone, benefits are paid as a flat fee under item 30185.</w:t>
            </w:r>
          </w:p>
          <w:p w14:paraId="57038D81" w14:textId="77777777" w:rsidR="009F4F75" w:rsidRPr="00B0157E" w:rsidRDefault="009F4F75" w:rsidP="00E6612D">
            <w:pPr>
              <w:pStyle w:val="02Tabletext"/>
              <w:spacing w:after="20"/>
              <w:rPr>
                <w:rFonts w:cs="Arial"/>
              </w:rPr>
            </w:pPr>
            <w:r w:rsidRPr="00B0157E">
              <w:rPr>
                <w:rFonts w:cs="Arial"/>
              </w:rPr>
              <w:t xml:space="preserve">(d) palmar and plantar warts are treated by laser and require treatment in an operating theatre of </w:t>
            </w:r>
            <w:r w:rsidRPr="00B0157E">
              <w:rPr>
                <w:rFonts w:cs="Arial"/>
              </w:rPr>
              <w:lastRenderedPageBreak/>
              <w:t>an accredited day surgery facility or hospital. In this circumstance, benefits are paid under item 30187.</w:t>
            </w:r>
          </w:p>
          <w:p w14:paraId="3E58696D" w14:textId="77777777" w:rsidR="009F4F75" w:rsidRPr="00B0157E" w:rsidRDefault="009F4F75" w:rsidP="00E6612D">
            <w:pPr>
              <w:pStyle w:val="02Tabletext"/>
              <w:spacing w:after="20"/>
              <w:rPr>
                <w:rFonts w:cs="Arial"/>
              </w:rPr>
            </w:pPr>
            <w:r w:rsidRPr="00B0157E">
              <w:rPr>
                <w:rFonts w:cs="Arial"/>
              </w:rPr>
              <w:t>Ablative techniques include cryotherapy and chemical removal.</w:t>
            </w:r>
          </w:p>
          <w:p w14:paraId="60D15316" w14:textId="77777777" w:rsidR="009F4F75" w:rsidRPr="00B0157E" w:rsidRDefault="009F4F75" w:rsidP="00E6612D">
            <w:pPr>
              <w:pStyle w:val="02Tabletext"/>
              <w:spacing w:after="20"/>
              <w:rPr>
                <w:rFonts w:cs="Arial"/>
              </w:rPr>
            </w:pPr>
            <w:r w:rsidRPr="00B0157E">
              <w:rPr>
                <w:rFonts w:cs="Arial"/>
              </w:rPr>
              <w:t>Related Items: 30185 30186 30187 30189 30192 30195 36815.</w:t>
            </w:r>
          </w:p>
        </w:tc>
        <w:tc>
          <w:tcPr>
            <w:tcW w:w="770" w:type="pct"/>
            <w:vAlign w:val="center"/>
          </w:tcPr>
          <w:p w14:paraId="596D60B0" w14:textId="77777777" w:rsidR="009F4F75" w:rsidRPr="00B0157E" w:rsidRDefault="009F4F75" w:rsidP="00E6612D">
            <w:pPr>
              <w:pStyle w:val="02Tabletext"/>
              <w:spacing w:after="20"/>
              <w:rPr>
                <w:rFonts w:cs="Arial"/>
              </w:rPr>
            </w:pPr>
            <w:r w:rsidRPr="00B0157E">
              <w:rPr>
                <w:rFonts w:cs="Arial"/>
              </w:rPr>
              <w:lastRenderedPageBreak/>
              <w:t xml:space="preserve">Delete </w:t>
            </w:r>
          </w:p>
        </w:tc>
      </w:tr>
      <w:tr w:rsidR="009F4F75" w:rsidRPr="00B0157E" w14:paraId="255A1660" w14:textId="77777777" w:rsidTr="00224863">
        <w:tc>
          <w:tcPr>
            <w:tcW w:w="317" w:type="pct"/>
            <w:vAlign w:val="center"/>
          </w:tcPr>
          <w:p w14:paraId="612DBE23" w14:textId="77777777" w:rsidR="009F4F75" w:rsidRPr="00B0157E" w:rsidRDefault="009F4F75" w:rsidP="00E6612D">
            <w:pPr>
              <w:pStyle w:val="02Tabletext"/>
              <w:spacing w:after="20"/>
              <w:rPr>
                <w:rFonts w:cs="Arial"/>
              </w:rPr>
            </w:pPr>
            <w:r w:rsidRPr="00B0157E">
              <w:rPr>
                <w:rFonts w:cs="Arial"/>
              </w:rPr>
              <w:t>30186</w:t>
            </w:r>
          </w:p>
        </w:tc>
        <w:tc>
          <w:tcPr>
            <w:tcW w:w="1753" w:type="pct"/>
          </w:tcPr>
          <w:p w14:paraId="32E4297F" w14:textId="77777777" w:rsidR="009F4F75" w:rsidRPr="00B0157E" w:rsidRDefault="009F4F75" w:rsidP="00E6612D">
            <w:pPr>
              <w:pStyle w:val="02Tabletext"/>
              <w:spacing w:after="20"/>
              <w:rPr>
                <w:rFonts w:cs="Arial"/>
              </w:rPr>
            </w:pPr>
            <w:r w:rsidRPr="00B0157E">
              <w:rPr>
                <w:rFonts w:cs="Arial"/>
              </w:rPr>
              <w:t>Palmar or plantar warts (less than 10), definitive removal of, excluding ablative methods alone, not being a service to which item 30185 or 30187 applies. (Anaes.)</w:t>
            </w:r>
          </w:p>
        </w:tc>
        <w:tc>
          <w:tcPr>
            <w:tcW w:w="2160" w:type="pct"/>
          </w:tcPr>
          <w:p w14:paraId="7618AC60" w14:textId="77777777" w:rsidR="009F4F75" w:rsidRPr="00B0157E" w:rsidRDefault="009F4F75" w:rsidP="00E6612D">
            <w:pPr>
              <w:pStyle w:val="02Tabletext"/>
              <w:spacing w:after="20"/>
              <w:rPr>
                <w:rFonts w:cs="Arial"/>
              </w:rPr>
            </w:pPr>
            <w:r w:rsidRPr="00B0157E">
              <w:rPr>
                <w:rFonts w:cs="Arial"/>
              </w:rPr>
              <w:t>T8.9 (above)</w:t>
            </w:r>
          </w:p>
          <w:p w14:paraId="2B99C468" w14:textId="77777777" w:rsidR="009F4F75" w:rsidRPr="00B0157E" w:rsidRDefault="009F4F75" w:rsidP="00E6612D">
            <w:pPr>
              <w:pStyle w:val="02Tabletext"/>
              <w:spacing w:after="20"/>
              <w:rPr>
                <w:rFonts w:cs="Arial"/>
              </w:rPr>
            </w:pPr>
          </w:p>
        </w:tc>
        <w:tc>
          <w:tcPr>
            <w:tcW w:w="770" w:type="pct"/>
            <w:vAlign w:val="center"/>
          </w:tcPr>
          <w:p w14:paraId="4510820D" w14:textId="77777777" w:rsidR="009F4F75" w:rsidRPr="00B0157E" w:rsidRDefault="009F4F75" w:rsidP="00E6612D">
            <w:pPr>
              <w:pStyle w:val="02Tabletext"/>
              <w:spacing w:after="20"/>
              <w:rPr>
                <w:rFonts w:cs="Arial"/>
              </w:rPr>
            </w:pPr>
            <w:r w:rsidRPr="00B0157E">
              <w:rPr>
                <w:rFonts w:cs="Arial"/>
              </w:rPr>
              <w:t xml:space="preserve">Delete </w:t>
            </w:r>
          </w:p>
        </w:tc>
      </w:tr>
      <w:tr w:rsidR="009F4F75" w:rsidRPr="00B0157E" w14:paraId="40AEED94" w14:textId="77777777" w:rsidTr="00224863">
        <w:tc>
          <w:tcPr>
            <w:tcW w:w="317" w:type="pct"/>
            <w:vAlign w:val="center"/>
          </w:tcPr>
          <w:p w14:paraId="0C1918B3" w14:textId="77777777" w:rsidR="009F4F75" w:rsidRPr="00B0157E" w:rsidRDefault="009F4F75" w:rsidP="00E6612D">
            <w:pPr>
              <w:pStyle w:val="02Tabletext"/>
              <w:spacing w:after="20"/>
              <w:rPr>
                <w:rFonts w:cs="Arial"/>
              </w:rPr>
            </w:pPr>
            <w:r w:rsidRPr="00B0157E">
              <w:rPr>
                <w:rFonts w:cs="Arial"/>
              </w:rPr>
              <w:t>30190</w:t>
            </w:r>
          </w:p>
        </w:tc>
        <w:tc>
          <w:tcPr>
            <w:tcW w:w="1753" w:type="pct"/>
          </w:tcPr>
          <w:p w14:paraId="39D54ADE" w14:textId="77777777" w:rsidR="009F4F75" w:rsidRPr="00B0157E" w:rsidRDefault="009F4F75" w:rsidP="00E6612D">
            <w:pPr>
              <w:pStyle w:val="02Tabletext"/>
              <w:spacing w:after="20"/>
              <w:rPr>
                <w:rFonts w:cs="Arial"/>
              </w:rPr>
            </w:pPr>
            <w:r w:rsidRPr="00B0157E">
              <w:rPr>
                <w:rFonts w:cs="Arial"/>
              </w:rPr>
              <w:t>Angiofibromas, trichoepitheliomas or other severely disfiguring tumours suitable for laser excision as confirmed by specialist opinion, of the face or neck, removal of, by carbon dioxide laser or erbium laser excision-ablation including associated resurfacing (10 or more tumours). (Anaes.) (Assist.)</w:t>
            </w:r>
          </w:p>
        </w:tc>
        <w:tc>
          <w:tcPr>
            <w:tcW w:w="2160" w:type="pct"/>
          </w:tcPr>
          <w:p w14:paraId="46A5F732"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68091D1E"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6E503C1B" w14:textId="77777777" w:rsidTr="00224863">
        <w:tc>
          <w:tcPr>
            <w:tcW w:w="317" w:type="pct"/>
            <w:vAlign w:val="center"/>
          </w:tcPr>
          <w:p w14:paraId="11DD0CE7" w14:textId="77777777" w:rsidR="009F4F75" w:rsidRPr="00B0157E" w:rsidRDefault="009F4F75" w:rsidP="00E6612D">
            <w:pPr>
              <w:pStyle w:val="02Tabletext"/>
              <w:spacing w:after="20"/>
              <w:rPr>
                <w:rFonts w:cs="Arial"/>
              </w:rPr>
            </w:pPr>
            <w:r w:rsidRPr="00B0157E">
              <w:rPr>
                <w:rFonts w:cs="Arial"/>
              </w:rPr>
              <w:t>30192</w:t>
            </w:r>
          </w:p>
        </w:tc>
        <w:tc>
          <w:tcPr>
            <w:tcW w:w="1753" w:type="pct"/>
          </w:tcPr>
          <w:p w14:paraId="6844ADFE" w14:textId="77777777" w:rsidR="009F4F75" w:rsidRPr="00B0157E" w:rsidRDefault="009F4F75" w:rsidP="00E6612D">
            <w:pPr>
              <w:pStyle w:val="02Tabletext"/>
              <w:spacing w:after="20"/>
              <w:rPr>
                <w:rFonts w:cs="Arial"/>
              </w:rPr>
            </w:pPr>
            <w:r w:rsidRPr="00B0157E">
              <w:rPr>
                <w:rFonts w:cs="Arial"/>
              </w:rPr>
              <w:t>Premalignant skin lesions (including solar keratoses), treatment of, by ablative technique (10 or more lesions). (Anaes.)</w:t>
            </w:r>
          </w:p>
        </w:tc>
        <w:tc>
          <w:tcPr>
            <w:tcW w:w="2160" w:type="pct"/>
          </w:tcPr>
          <w:p w14:paraId="2DD3CC54" w14:textId="77777777" w:rsidR="009F4F75" w:rsidRPr="00B0157E" w:rsidRDefault="009F4F75" w:rsidP="00E6612D">
            <w:pPr>
              <w:pStyle w:val="02Tabletext"/>
              <w:spacing w:after="20"/>
              <w:rPr>
                <w:rFonts w:cs="Arial"/>
              </w:rPr>
            </w:pPr>
            <w:r w:rsidRPr="00B0157E">
              <w:rPr>
                <w:rFonts w:cs="Arial"/>
              </w:rPr>
              <w:t>T8.9 (above)</w:t>
            </w:r>
          </w:p>
          <w:p w14:paraId="3152914D" w14:textId="77777777" w:rsidR="009F4F75" w:rsidRPr="00B0157E" w:rsidRDefault="009F4F75" w:rsidP="00E6612D">
            <w:pPr>
              <w:pStyle w:val="02Tabletext"/>
              <w:spacing w:after="20"/>
              <w:rPr>
                <w:rFonts w:cs="Arial"/>
              </w:rPr>
            </w:pPr>
          </w:p>
        </w:tc>
        <w:tc>
          <w:tcPr>
            <w:tcW w:w="770" w:type="pct"/>
            <w:vAlign w:val="center"/>
          </w:tcPr>
          <w:p w14:paraId="479D0832" w14:textId="77777777" w:rsidR="009F4F75" w:rsidRPr="00B0157E" w:rsidRDefault="009F4F75" w:rsidP="00E6612D">
            <w:pPr>
              <w:pStyle w:val="02Tabletext"/>
              <w:spacing w:after="20"/>
              <w:rPr>
                <w:rFonts w:cs="Arial"/>
              </w:rPr>
            </w:pPr>
            <w:r w:rsidRPr="00B0157E">
              <w:rPr>
                <w:rFonts w:cs="Arial"/>
              </w:rPr>
              <w:t xml:space="preserve">No change </w:t>
            </w:r>
          </w:p>
        </w:tc>
      </w:tr>
      <w:tr w:rsidR="009F4F75" w:rsidRPr="00B0157E" w14:paraId="3F39BF0D" w14:textId="77777777" w:rsidTr="00224863">
        <w:tc>
          <w:tcPr>
            <w:tcW w:w="317" w:type="pct"/>
            <w:vAlign w:val="center"/>
          </w:tcPr>
          <w:p w14:paraId="171EBEC3" w14:textId="77777777" w:rsidR="009F4F75" w:rsidRPr="00B0157E" w:rsidRDefault="009F4F75" w:rsidP="00E6612D">
            <w:pPr>
              <w:pStyle w:val="02Tabletext"/>
              <w:spacing w:after="20"/>
              <w:rPr>
                <w:rFonts w:cs="Arial"/>
              </w:rPr>
            </w:pPr>
            <w:r w:rsidRPr="00B0157E">
              <w:rPr>
                <w:rFonts w:cs="Arial"/>
              </w:rPr>
              <w:t>30195</w:t>
            </w:r>
          </w:p>
        </w:tc>
        <w:tc>
          <w:tcPr>
            <w:tcW w:w="1753" w:type="pct"/>
          </w:tcPr>
          <w:p w14:paraId="1189087F" w14:textId="77777777" w:rsidR="009F4F75" w:rsidRPr="00B0157E" w:rsidRDefault="009F4F75" w:rsidP="00E6612D">
            <w:pPr>
              <w:pStyle w:val="02Tabletext"/>
              <w:spacing w:after="20"/>
              <w:rPr>
                <w:rFonts w:cs="Arial"/>
              </w:rPr>
            </w:pPr>
            <w:r w:rsidRPr="00B0157E">
              <w:rPr>
                <w:rFonts w:cs="Arial"/>
              </w:rPr>
              <w:t>Benign neoplasm of skin, other than viral verrucae (common warts) seborrheic keratoses, cysts and skin tags, treatment by electrosurgical destruction, simple curettage or shave excision, or laser photocoagulation, not being a service to which item 30196, 30197, 30202, 30203 or 30205 applies (1 or more lesions). (Anaes.)</w:t>
            </w:r>
          </w:p>
        </w:tc>
        <w:tc>
          <w:tcPr>
            <w:tcW w:w="2160" w:type="pct"/>
          </w:tcPr>
          <w:p w14:paraId="5117B8D1" w14:textId="77777777" w:rsidR="009F4F75" w:rsidRPr="00B0157E" w:rsidRDefault="009F4F75" w:rsidP="00E6612D">
            <w:pPr>
              <w:pStyle w:val="02Tabletext"/>
              <w:spacing w:after="20"/>
              <w:rPr>
                <w:rFonts w:cs="Arial"/>
              </w:rPr>
            </w:pPr>
            <w:r w:rsidRPr="00B0157E">
              <w:rPr>
                <w:rFonts w:cs="Arial"/>
              </w:rPr>
              <w:t>T8.9 (above)</w:t>
            </w:r>
          </w:p>
          <w:p w14:paraId="161A0B1C" w14:textId="77777777" w:rsidR="009F4F75" w:rsidRPr="00B0157E" w:rsidRDefault="009F4F75" w:rsidP="00E6612D">
            <w:pPr>
              <w:pStyle w:val="02Tabletext"/>
              <w:spacing w:after="20"/>
              <w:rPr>
                <w:rFonts w:cs="Arial"/>
              </w:rPr>
            </w:pPr>
          </w:p>
        </w:tc>
        <w:tc>
          <w:tcPr>
            <w:tcW w:w="770" w:type="pct"/>
            <w:vAlign w:val="center"/>
          </w:tcPr>
          <w:p w14:paraId="0028FB35" w14:textId="77777777" w:rsidR="009F4F75" w:rsidRPr="00B0157E" w:rsidRDefault="009F4F75" w:rsidP="00E6612D">
            <w:pPr>
              <w:pStyle w:val="02Tabletext"/>
              <w:spacing w:after="20"/>
              <w:rPr>
                <w:rFonts w:cs="Arial"/>
              </w:rPr>
            </w:pPr>
            <w:r w:rsidRPr="00B0157E">
              <w:rPr>
                <w:rFonts w:cs="Arial"/>
              </w:rPr>
              <w:t xml:space="preserve">Delete </w:t>
            </w:r>
          </w:p>
        </w:tc>
      </w:tr>
      <w:tr w:rsidR="009F4F75" w:rsidRPr="00B0157E" w14:paraId="15831D5E" w14:textId="77777777" w:rsidTr="00224863">
        <w:tc>
          <w:tcPr>
            <w:tcW w:w="317" w:type="pct"/>
            <w:vAlign w:val="center"/>
          </w:tcPr>
          <w:p w14:paraId="2563224E" w14:textId="77777777" w:rsidR="009F4F75" w:rsidRPr="00B0157E" w:rsidRDefault="009F4F75" w:rsidP="00E6612D">
            <w:pPr>
              <w:pStyle w:val="02Tabletext"/>
              <w:spacing w:after="20"/>
              <w:rPr>
                <w:rFonts w:cs="Arial"/>
              </w:rPr>
            </w:pPr>
            <w:r w:rsidRPr="00B0157E">
              <w:rPr>
                <w:rFonts w:cs="Arial"/>
              </w:rPr>
              <w:t>30196</w:t>
            </w:r>
          </w:p>
        </w:tc>
        <w:tc>
          <w:tcPr>
            <w:tcW w:w="1753" w:type="pct"/>
          </w:tcPr>
          <w:p w14:paraId="6727BE42" w14:textId="77777777" w:rsidR="009F4F75" w:rsidRPr="00B0157E" w:rsidRDefault="009F4F75" w:rsidP="00E6612D">
            <w:pPr>
              <w:pStyle w:val="02Tabletext"/>
              <w:spacing w:after="20"/>
              <w:rPr>
                <w:rFonts w:cs="Arial"/>
              </w:rPr>
            </w:pPr>
            <w:r w:rsidRPr="00B0157E">
              <w:rPr>
                <w:rFonts w:cs="Arial"/>
              </w:rPr>
              <w:t>Malignant neoplasm of skin or mucous membrane proven by histopathology or confirmed by specialist opinion, removal of, by serial curettage or carbon dioxide laser or erbium laser excision-ablation, including any associated cryotherapy or diathermy, not being a service to which item 30197 applies. (Anaes.)</w:t>
            </w:r>
          </w:p>
        </w:tc>
        <w:tc>
          <w:tcPr>
            <w:tcW w:w="2160" w:type="pct"/>
          </w:tcPr>
          <w:p w14:paraId="7ABAE575" w14:textId="77777777" w:rsidR="009F4F75" w:rsidRPr="00B0157E" w:rsidRDefault="009F4F75" w:rsidP="00E6612D">
            <w:pPr>
              <w:pStyle w:val="02Tabletext"/>
              <w:spacing w:after="20"/>
              <w:rPr>
                <w:rFonts w:cs="Arial"/>
              </w:rPr>
            </w:pPr>
            <w:r w:rsidRPr="00B0157E">
              <w:rPr>
                <w:rFonts w:cs="Arial"/>
              </w:rPr>
              <w:t>T8.10</w:t>
            </w:r>
          </w:p>
          <w:p w14:paraId="6F01A087" w14:textId="77777777" w:rsidR="009F4F75" w:rsidRPr="00B0157E" w:rsidRDefault="009F4F75" w:rsidP="00E6612D">
            <w:pPr>
              <w:pStyle w:val="02Tabletext"/>
              <w:spacing w:after="20"/>
              <w:rPr>
                <w:rFonts w:cs="Arial"/>
              </w:rPr>
            </w:pPr>
            <w:r w:rsidRPr="00B0157E">
              <w:rPr>
                <w:rFonts w:cs="Arial"/>
              </w:rPr>
              <w:t>Cryotherapy and Serial Curettage Excision – (Items 30196 to 30203)</w:t>
            </w:r>
          </w:p>
          <w:p w14:paraId="2C7851F5" w14:textId="77777777" w:rsidR="009F4F75" w:rsidRPr="00B0157E" w:rsidRDefault="009F4F75" w:rsidP="00E6612D">
            <w:pPr>
              <w:pStyle w:val="02Tabletext"/>
              <w:spacing w:after="20"/>
              <w:rPr>
                <w:rFonts w:cs="Arial"/>
              </w:rPr>
            </w:pPr>
            <w:r w:rsidRPr="00B0157E">
              <w:rPr>
                <w:rFonts w:cs="Arial"/>
              </w:rPr>
              <w:t>In items 30196 and 30197, serial curettage excision, as opposed to simple curettage, refers to the technique where the margin having been defined, the lesion is carefully excised by a skin curette using a series of dissections and cauterisations so that all extensions and infiltrations of the lesion are removed.</w:t>
            </w:r>
          </w:p>
          <w:p w14:paraId="1EECE1AC" w14:textId="77777777" w:rsidR="009F4F75" w:rsidRPr="00B0157E" w:rsidRDefault="009F4F75" w:rsidP="00E6612D">
            <w:pPr>
              <w:pStyle w:val="02Tabletext"/>
              <w:spacing w:after="20"/>
              <w:rPr>
                <w:rFonts w:cs="Arial"/>
              </w:rPr>
            </w:pPr>
            <w:r w:rsidRPr="00B0157E">
              <w:rPr>
                <w:rFonts w:cs="Arial"/>
              </w:rPr>
              <w:t>For the purposes of Items 30196 to 30203 (inclusive), the requirement for histopathological proof of malignancy is satisfied where multiple lesions are to be removed from the one anatomical region if a single lesion from that region is histologically tested and proven for malignancy.</w:t>
            </w:r>
          </w:p>
          <w:p w14:paraId="009A49C5" w14:textId="77777777" w:rsidR="009F4F75" w:rsidRPr="00B0157E" w:rsidRDefault="009F4F75" w:rsidP="00E6612D">
            <w:pPr>
              <w:pStyle w:val="02Tabletext"/>
              <w:spacing w:after="20"/>
              <w:rPr>
                <w:rFonts w:cs="Arial"/>
              </w:rPr>
            </w:pPr>
            <w:r w:rsidRPr="00B0157E">
              <w:rPr>
                <w:rFonts w:cs="Arial"/>
              </w:rPr>
              <w:t>For the purposes of items 30196 to 30203 (inclusive), an anatomical region is defined as: hand, forearm, upper arm, shoulder, upper trunk or chest (anterior and posterior), lower trunk (anterior or posterior) or abdomen (anterior lower trunk), buttock, genital area/perineum, upper leg, lower leg and foot, neck, face (six sections: left/right lower, left/right mid and left/right upper third) and scalp.</w:t>
            </w:r>
          </w:p>
          <w:p w14:paraId="3A0CCC94" w14:textId="77777777" w:rsidR="009F4F75" w:rsidRPr="00B0157E" w:rsidRDefault="009F4F75" w:rsidP="00E6612D">
            <w:pPr>
              <w:pStyle w:val="02Tabletext"/>
              <w:spacing w:after="20"/>
              <w:rPr>
                <w:rFonts w:cs="Arial"/>
              </w:rPr>
            </w:pPr>
            <w:r w:rsidRPr="00B0157E">
              <w:rPr>
                <w:rFonts w:cs="Arial"/>
              </w:rPr>
              <w:t xml:space="preserve">The Department of Human Services (DHS) has developed a Health Practitioner Guideline to substantiate proof of malignancy where required </w:t>
            </w:r>
            <w:r w:rsidRPr="00B0157E">
              <w:rPr>
                <w:rFonts w:cs="Arial"/>
              </w:rPr>
              <w:lastRenderedPageBreak/>
              <w:t>for MBS items which is located on the DHS website.</w:t>
            </w:r>
          </w:p>
          <w:p w14:paraId="18112495" w14:textId="77777777" w:rsidR="009F4F75" w:rsidRPr="00B0157E" w:rsidRDefault="009F4F75" w:rsidP="00E6612D">
            <w:pPr>
              <w:pStyle w:val="02Tabletext"/>
              <w:spacing w:after="20"/>
              <w:rPr>
                <w:rFonts w:cs="Arial"/>
              </w:rPr>
            </w:pPr>
            <w:r w:rsidRPr="00B0157E">
              <w:rPr>
                <w:rFonts w:cs="Arial"/>
              </w:rPr>
              <w:t>Related Items: 30196 30197 30202 30203.</w:t>
            </w:r>
          </w:p>
        </w:tc>
        <w:tc>
          <w:tcPr>
            <w:tcW w:w="770" w:type="pct"/>
            <w:vAlign w:val="center"/>
          </w:tcPr>
          <w:p w14:paraId="64B52CC3" w14:textId="77777777" w:rsidR="009F4F75" w:rsidRPr="00B0157E" w:rsidRDefault="009F4F75" w:rsidP="00E6612D">
            <w:pPr>
              <w:pStyle w:val="02Tabletext"/>
              <w:spacing w:after="20"/>
              <w:rPr>
                <w:rFonts w:cs="Arial"/>
              </w:rPr>
            </w:pPr>
            <w:r w:rsidRPr="00B0157E">
              <w:rPr>
                <w:rFonts w:cs="Arial"/>
              </w:rPr>
              <w:lastRenderedPageBreak/>
              <w:t xml:space="preserve">Change </w:t>
            </w:r>
          </w:p>
        </w:tc>
      </w:tr>
      <w:tr w:rsidR="009F4F75" w:rsidRPr="00B0157E" w14:paraId="45D8D575" w14:textId="77777777" w:rsidTr="00224863">
        <w:tc>
          <w:tcPr>
            <w:tcW w:w="317" w:type="pct"/>
            <w:vAlign w:val="center"/>
          </w:tcPr>
          <w:p w14:paraId="620A6188" w14:textId="77777777" w:rsidR="009F4F75" w:rsidRPr="00B0157E" w:rsidRDefault="009F4F75" w:rsidP="00E6612D">
            <w:pPr>
              <w:pStyle w:val="02Tabletext"/>
              <w:spacing w:after="20"/>
              <w:rPr>
                <w:rFonts w:cs="Arial"/>
              </w:rPr>
            </w:pPr>
            <w:r w:rsidRPr="00B0157E">
              <w:rPr>
                <w:rFonts w:cs="Arial"/>
              </w:rPr>
              <w:t>30197</w:t>
            </w:r>
          </w:p>
        </w:tc>
        <w:tc>
          <w:tcPr>
            <w:tcW w:w="1753" w:type="pct"/>
          </w:tcPr>
          <w:p w14:paraId="434C9C10" w14:textId="77777777" w:rsidR="009F4F75" w:rsidRPr="00B0157E" w:rsidRDefault="009F4F75" w:rsidP="00E6612D">
            <w:pPr>
              <w:pStyle w:val="02Tabletext"/>
              <w:spacing w:after="20"/>
              <w:rPr>
                <w:rFonts w:cs="Arial"/>
              </w:rPr>
            </w:pPr>
            <w:r w:rsidRPr="00B0157E">
              <w:rPr>
                <w:rFonts w:cs="Arial"/>
              </w:rPr>
              <w:t>Malignant neoplasm of skin or mucous membrane proven by histopathology or confirmed by specialist opinion, removal of, by serial curettage or carbon dioxide laser excision-ablation, including any associated cryotherapy or diathermy, (10 or more lesions). (Anaes.)</w:t>
            </w:r>
          </w:p>
        </w:tc>
        <w:tc>
          <w:tcPr>
            <w:tcW w:w="2160" w:type="pct"/>
          </w:tcPr>
          <w:p w14:paraId="6D0BDCBD" w14:textId="77777777" w:rsidR="009F4F75" w:rsidRPr="00B0157E" w:rsidRDefault="009F4F75" w:rsidP="00E6612D">
            <w:pPr>
              <w:pStyle w:val="02Tabletext"/>
              <w:spacing w:after="20"/>
              <w:rPr>
                <w:rFonts w:cs="Arial"/>
              </w:rPr>
            </w:pPr>
            <w:r w:rsidRPr="00B0157E">
              <w:rPr>
                <w:rFonts w:cs="Arial"/>
              </w:rPr>
              <w:t>T8.10 (above)</w:t>
            </w:r>
          </w:p>
          <w:p w14:paraId="7B203113" w14:textId="77777777" w:rsidR="009F4F75" w:rsidRPr="00B0157E" w:rsidRDefault="009F4F75" w:rsidP="00E6612D">
            <w:pPr>
              <w:pStyle w:val="02Tabletext"/>
              <w:spacing w:after="20"/>
              <w:rPr>
                <w:rFonts w:cs="Arial"/>
              </w:rPr>
            </w:pPr>
          </w:p>
        </w:tc>
        <w:tc>
          <w:tcPr>
            <w:tcW w:w="770" w:type="pct"/>
            <w:vAlign w:val="center"/>
          </w:tcPr>
          <w:p w14:paraId="1D078DD5"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739107B0" w14:textId="77777777" w:rsidTr="00224863">
        <w:tc>
          <w:tcPr>
            <w:tcW w:w="317" w:type="pct"/>
            <w:vAlign w:val="center"/>
          </w:tcPr>
          <w:p w14:paraId="2A81C25F" w14:textId="77777777" w:rsidR="009F4F75" w:rsidRPr="00B0157E" w:rsidRDefault="009F4F75" w:rsidP="00E6612D">
            <w:pPr>
              <w:pStyle w:val="02Tabletext"/>
              <w:spacing w:after="20"/>
              <w:rPr>
                <w:rFonts w:cs="Arial"/>
              </w:rPr>
            </w:pPr>
            <w:r w:rsidRPr="00B0157E">
              <w:rPr>
                <w:rFonts w:cs="Arial"/>
              </w:rPr>
              <w:t>30202</w:t>
            </w:r>
          </w:p>
        </w:tc>
        <w:tc>
          <w:tcPr>
            <w:tcW w:w="1753" w:type="pct"/>
          </w:tcPr>
          <w:p w14:paraId="4F0A7A52" w14:textId="77777777" w:rsidR="009F4F75" w:rsidRPr="00B0157E" w:rsidRDefault="009F4F75" w:rsidP="00E6612D">
            <w:pPr>
              <w:pStyle w:val="02Tabletext"/>
              <w:spacing w:after="20"/>
              <w:rPr>
                <w:rFonts w:cs="Arial"/>
              </w:rPr>
            </w:pPr>
            <w:r w:rsidRPr="00B0157E">
              <w:rPr>
                <w:rFonts w:cs="Arial"/>
              </w:rPr>
              <w:t>Malignant neoplasm of skin or mucous membrane proven by histopathology or confirmed by specialist opinion, removal of, by liquid nitrogen cryotherapy using repeat freeze-thaw cycles, not being a service to which item 30203 applies.</w:t>
            </w:r>
          </w:p>
        </w:tc>
        <w:tc>
          <w:tcPr>
            <w:tcW w:w="2160" w:type="pct"/>
          </w:tcPr>
          <w:p w14:paraId="60038463" w14:textId="77777777" w:rsidR="009F4F75" w:rsidRPr="00B0157E" w:rsidRDefault="009F4F75" w:rsidP="00E6612D">
            <w:pPr>
              <w:pStyle w:val="02Tabletext"/>
              <w:spacing w:after="20"/>
              <w:rPr>
                <w:rFonts w:cs="Arial"/>
              </w:rPr>
            </w:pPr>
            <w:r w:rsidRPr="00B0157E">
              <w:rPr>
                <w:rFonts w:cs="Arial"/>
              </w:rPr>
              <w:t>T8.10 (above)</w:t>
            </w:r>
          </w:p>
          <w:p w14:paraId="01FAB9B0" w14:textId="77777777" w:rsidR="009F4F75" w:rsidRPr="00B0157E" w:rsidRDefault="009F4F75" w:rsidP="00E6612D">
            <w:pPr>
              <w:pStyle w:val="02Tabletext"/>
              <w:spacing w:after="20"/>
              <w:rPr>
                <w:rFonts w:cs="Arial"/>
              </w:rPr>
            </w:pPr>
          </w:p>
        </w:tc>
        <w:tc>
          <w:tcPr>
            <w:tcW w:w="770" w:type="pct"/>
            <w:vAlign w:val="center"/>
          </w:tcPr>
          <w:p w14:paraId="0AB241C0"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632FB076" w14:textId="77777777" w:rsidTr="00224863">
        <w:tc>
          <w:tcPr>
            <w:tcW w:w="317" w:type="pct"/>
            <w:vAlign w:val="center"/>
          </w:tcPr>
          <w:p w14:paraId="1DE0F0D4" w14:textId="77777777" w:rsidR="009F4F75" w:rsidRPr="00B0157E" w:rsidRDefault="009F4F75" w:rsidP="00E6612D">
            <w:pPr>
              <w:pStyle w:val="02Tabletext"/>
              <w:spacing w:after="20"/>
              <w:rPr>
                <w:rFonts w:cs="Arial"/>
              </w:rPr>
            </w:pPr>
            <w:r w:rsidRPr="00B0157E">
              <w:rPr>
                <w:rFonts w:cs="Arial"/>
              </w:rPr>
              <w:t>30203</w:t>
            </w:r>
          </w:p>
        </w:tc>
        <w:tc>
          <w:tcPr>
            <w:tcW w:w="1753" w:type="pct"/>
          </w:tcPr>
          <w:p w14:paraId="5983AFFC" w14:textId="77777777" w:rsidR="009F4F75" w:rsidRPr="00B0157E" w:rsidRDefault="009F4F75" w:rsidP="00E6612D">
            <w:pPr>
              <w:pStyle w:val="02Tabletext"/>
              <w:spacing w:after="20"/>
              <w:rPr>
                <w:rFonts w:cs="Arial"/>
              </w:rPr>
            </w:pPr>
            <w:r w:rsidRPr="00B0157E">
              <w:rPr>
                <w:rFonts w:cs="Arial"/>
              </w:rPr>
              <w:t>Malignant neoplasm of skin or mucous membrane proven by histopathology or confirmed by specialist opinion, removal of, by liquid nitrogen cryotherapy using repeat freeze-thaw cycles (10 or more lesions).</w:t>
            </w:r>
          </w:p>
        </w:tc>
        <w:tc>
          <w:tcPr>
            <w:tcW w:w="2160" w:type="pct"/>
          </w:tcPr>
          <w:p w14:paraId="2C032E84" w14:textId="77777777" w:rsidR="009F4F75" w:rsidRPr="00B0157E" w:rsidRDefault="009F4F75" w:rsidP="00E6612D">
            <w:pPr>
              <w:pStyle w:val="02Tabletext"/>
              <w:spacing w:after="20"/>
              <w:rPr>
                <w:rFonts w:cs="Arial"/>
              </w:rPr>
            </w:pPr>
            <w:r w:rsidRPr="00B0157E">
              <w:rPr>
                <w:rFonts w:cs="Arial"/>
              </w:rPr>
              <w:t>T8.10 (above)</w:t>
            </w:r>
          </w:p>
          <w:p w14:paraId="111C3ADF" w14:textId="77777777" w:rsidR="009F4F75" w:rsidRPr="00B0157E" w:rsidRDefault="009F4F75" w:rsidP="00E6612D">
            <w:pPr>
              <w:pStyle w:val="02Tabletext"/>
              <w:spacing w:after="20"/>
              <w:rPr>
                <w:rFonts w:cs="Arial"/>
              </w:rPr>
            </w:pPr>
          </w:p>
        </w:tc>
        <w:tc>
          <w:tcPr>
            <w:tcW w:w="770" w:type="pct"/>
            <w:vAlign w:val="center"/>
          </w:tcPr>
          <w:p w14:paraId="030B4A57"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2FBC77FE" w14:textId="77777777" w:rsidTr="00224863">
        <w:tc>
          <w:tcPr>
            <w:tcW w:w="317" w:type="pct"/>
            <w:vAlign w:val="center"/>
          </w:tcPr>
          <w:p w14:paraId="37919C4D" w14:textId="77777777" w:rsidR="009F4F75" w:rsidRPr="00B0157E" w:rsidRDefault="009F4F75" w:rsidP="00E6612D">
            <w:pPr>
              <w:pStyle w:val="02Tabletext"/>
              <w:spacing w:after="20"/>
              <w:rPr>
                <w:rFonts w:cs="Arial"/>
              </w:rPr>
            </w:pPr>
            <w:r w:rsidRPr="00B0157E">
              <w:rPr>
                <w:rFonts w:cs="Arial"/>
              </w:rPr>
              <w:t>30205</w:t>
            </w:r>
          </w:p>
        </w:tc>
        <w:tc>
          <w:tcPr>
            <w:tcW w:w="1753" w:type="pct"/>
          </w:tcPr>
          <w:p w14:paraId="682602FF" w14:textId="77777777" w:rsidR="009F4F75" w:rsidRPr="00B0157E" w:rsidRDefault="009F4F75" w:rsidP="00E6612D">
            <w:pPr>
              <w:pStyle w:val="02Tabletext"/>
              <w:spacing w:after="20"/>
              <w:rPr>
                <w:rFonts w:cs="Arial"/>
              </w:rPr>
            </w:pPr>
            <w:r w:rsidRPr="00B0157E">
              <w:rPr>
                <w:rFonts w:cs="Arial"/>
              </w:rPr>
              <w:t>Malignant neoplasm of skin proven by histopathology, removal of, by liquid nitrogen cryotherapy using repeat freeze-thaw cycles where the malignant neoplasm extends into cartilage. (Anaes.)</w:t>
            </w:r>
          </w:p>
        </w:tc>
        <w:tc>
          <w:tcPr>
            <w:tcW w:w="2160" w:type="pct"/>
          </w:tcPr>
          <w:p w14:paraId="154DE65A"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688ACBE1" w14:textId="77777777" w:rsidR="009F4F75" w:rsidRPr="00B0157E" w:rsidRDefault="009F4F75" w:rsidP="00E6612D">
            <w:pPr>
              <w:pStyle w:val="02Tabletext"/>
              <w:spacing w:after="20"/>
              <w:rPr>
                <w:rFonts w:cs="Arial"/>
              </w:rPr>
            </w:pPr>
            <w:r w:rsidRPr="00B0157E">
              <w:rPr>
                <w:rFonts w:cs="Arial"/>
              </w:rPr>
              <w:t xml:space="preserve">Delete </w:t>
            </w:r>
          </w:p>
        </w:tc>
      </w:tr>
      <w:tr w:rsidR="009F4F75" w:rsidRPr="00B0157E" w14:paraId="62DE0091" w14:textId="77777777" w:rsidTr="00224863">
        <w:tc>
          <w:tcPr>
            <w:tcW w:w="317" w:type="pct"/>
            <w:vAlign w:val="center"/>
          </w:tcPr>
          <w:p w14:paraId="6C540B69" w14:textId="77777777" w:rsidR="009F4F75" w:rsidRPr="00B0157E" w:rsidRDefault="009F4F75" w:rsidP="00E6612D">
            <w:pPr>
              <w:pStyle w:val="02Tabletext"/>
              <w:spacing w:after="20"/>
              <w:rPr>
                <w:rFonts w:cs="Arial"/>
              </w:rPr>
            </w:pPr>
            <w:r w:rsidRPr="00B0157E">
              <w:rPr>
                <w:rFonts w:cs="Arial"/>
              </w:rPr>
              <w:t>30207</w:t>
            </w:r>
          </w:p>
        </w:tc>
        <w:tc>
          <w:tcPr>
            <w:tcW w:w="1753" w:type="pct"/>
          </w:tcPr>
          <w:p w14:paraId="6F46A790" w14:textId="77777777" w:rsidR="009F4F75" w:rsidRPr="00B0157E" w:rsidRDefault="009F4F75" w:rsidP="00E6612D">
            <w:pPr>
              <w:pStyle w:val="02Tabletext"/>
              <w:spacing w:after="20"/>
              <w:rPr>
                <w:rFonts w:cs="Arial"/>
              </w:rPr>
            </w:pPr>
            <w:r w:rsidRPr="00B0157E">
              <w:rPr>
                <w:rFonts w:cs="Arial"/>
              </w:rPr>
              <w:t>Skin lesions, multiple injections with hydrocortisone or similar preparations. (Anaes.)</w:t>
            </w:r>
          </w:p>
        </w:tc>
        <w:tc>
          <w:tcPr>
            <w:tcW w:w="2160" w:type="pct"/>
          </w:tcPr>
          <w:p w14:paraId="0497393A"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387B0790"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26E221D9" w14:textId="77777777" w:rsidTr="00224863">
        <w:tc>
          <w:tcPr>
            <w:tcW w:w="317" w:type="pct"/>
            <w:vAlign w:val="center"/>
          </w:tcPr>
          <w:p w14:paraId="79C8B209" w14:textId="77777777" w:rsidR="009F4F75" w:rsidRPr="00B0157E" w:rsidRDefault="009F4F75" w:rsidP="00E6612D">
            <w:pPr>
              <w:pStyle w:val="02Tabletext"/>
              <w:spacing w:after="20"/>
              <w:rPr>
                <w:rFonts w:cs="Arial"/>
              </w:rPr>
            </w:pPr>
            <w:r w:rsidRPr="00B0157E">
              <w:rPr>
                <w:rFonts w:cs="Arial"/>
              </w:rPr>
              <w:t>30210</w:t>
            </w:r>
          </w:p>
        </w:tc>
        <w:tc>
          <w:tcPr>
            <w:tcW w:w="1753" w:type="pct"/>
          </w:tcPr>
          <w:p w14:paraId="2362EAAC" w14:textId="77777777" w:rsidR="009F4F75" w:rsidRPr="00B0157E" w:rsidRDefault="009F4F75" w:rsidP="00E6612D">
            <w:pPr>
              <w:pStyle w:val="02Tabletext"/>
              <w:spacing w:after="20"/>
              <w:rPr>
                <w:rFonts w:cs="Arial"/>
              </w:rPr>
            </w:pPr>
            <w:r w:rsidRPr="00B0157E">
              <w:rPr>
                <w:rFonts w:cs="Arial"/>
              </w:rPr>
              <w:t>Keloid and other skin lesions, extensive, multiple injections of hydrocortisone or similar preparations where undertaken in the operating theatre of a hospital. (Anaes.)</w:t>
            </w:r>
          </w:p>
        </w:tc>
        <w:tc>
          <w:tcPr>
            <w:tcW w:w="2160" w:type="pct"/>
          </w:tcPr>
          <w:p w14:paraId="24D19570"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175EB212"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17D773BE" w14:textId="77777777" w:rsidTr="00224863">
        <w:tc>
          <w:tcPr>
            <w:tcW w:w="317" w:type="pct"/>
            <w:vAlign w:val="center"/>
          </w:tcPr>
          <w:p w14:paraId="4C395C58" w14:textId="77777777" w:rsidR="009F4F75" w:rsidRPr="00B0157E" w:rsidRDefault="009F4F75" w:rsidP="00E6612D">
            <w:pPr>
              <w:pStyle w:val="02Tabletext"/>
              <w:spacing w:after="20"/>
              <w:rPr>
                <w:rFonts w:cs="Arial"/>
              </w:rPr>
            </w:pPr>
            <w:r w:rsidRPr="00B0157E">
              <w:rPr>
                <w:rFonts w:cs="Arial"/>
              </w:rPr>
              <w:t>30213</w:t>
            </w:r>
          </w:p>
        </w:tc>
        <w:tc>
          <w:tcPr>
            <w:tcW w:w="1753" w:type="pct"/>
          </w:tcPr>
          <w:p w14:paraId="4F9885FE" w14:textId="77777777" w:rsidR="009F4F75" w:rsidRPr="00B0157E" w:rsidRDefault="009F4F75" w:rsidP="00E6612D">
            <w:pPr>
              <w:pStyle w:val="02Tabletext"/>
              <w:spacing w:after="20"/>
              <w:rPr>
                <w:rFonts w:cs="Arial"/>
              </w:rPr>
            </w:pPr>
            <w:r w:rsidRPr="00B0157E">
              <w:rPr>
                <w:rFonts w:cs="Arial"/>
              </w:rPr>
              <w:t>Telangiectases or starburst vessels on the head or neck where lesions are visible from 4 metres, diathermy or sclerosant injection of, including associated consultation – limited to a maximum of 6 sessions (including any sessions to which items 14100 to 14118 and 30213 apply) in any 12 month period – for a session of at least 20 minutes duration. (Anaes.)</w:t>
            </w:r>
          </w:p>
        </w:tc>
        <w:tc>
          <w:tcPr>
            <w:tcW w:w="2160" w:type="pct"/>
          </w:tcPr>
          <w:p w14:paraId="29593BF0" w14:textId="77777777" w:rsidR="009F4F75" w:rsidRPr="00B0157E" w:rsidRDefault="009F4F75" w:rsidP="00E6612D">
            <w:pPr>
              <w:pStyle w:val="02Tabletext"/>
              <w:spacing w:after="20"/>
              <w:rPr>
                <w:rFonts w:cs="Arial"/>
              </w:rPr>
            </w:pPr>
            <w:r w:rsidRPr="00B0157E">
              <w:rPr>
                <w:rFonts w:cs="Arial"/>
              </w:rPr>
              <w:t>T8.11</w:t>
            </w:r>
          </w:p>
          <w:p w14:paraId="5F5D37C8" w14:textId="77777777" w:rsidR="009F4F75" w:rsidRPr="00B0157E" w:rsidRDefault="009F4F75" w:rsidP="00E6612D">
            <w:pPr>
              <w:pStyle w:val="02Tabletext"/>
              <w:spacing w:after="20"/>
              <w:rPr>
                <w:rFonts w:cs="Arial"/>
              </w:rPr>
            </w:pPr>
            <w:r w:rsidRPr="00B0157E">
              <w:rPr>
                <w:rFonts w:cs="Arial"/>
              </w:rPr>
              <w:t>Telangiectases or Starburst Vessels - (Items 30213 and 30214)</w:t>
            </w:r>
          </w:p>
          <w:p w14:paraId="1631EC72" w14:textId="77777777" w:rsidR="009F4F75" w:rsidRPr="00B0157E" w:rsidRDefault="009F4F75" w:rsidP="00E6612D">
            <w:pPr>
              <w:pStyle w:val="02Tabletext"/>
              <w:spacing w:after="20"/>
              <w:rPr>
                <w:rFonts w:cs="Arial"/>
              </w:rPr>
            </w:pPr>
            <w:r w:rsidRPr="00B0157E">
              <w:rPr>
                <w:rFonts w:cs="Arial"/>
              </w:rPr>
              <w:t>These items are restricted to treatment on the head and/or neck. A session of less than 20 minutes duration attracts benefits on an attendance basis.</w:t>
            </w:r>
          </w:p>
          <w:p w14:paraId="14487D66" w14:textId="77777777" w:rsidR="009F4F75" w:rsidRPr="00B0157E" w:rsidRDefault="009F4F75" w:rsidP="00E6612D">
            <w:pPr>
              <w:pStyle w:val="02Tabletext"/>
              <w:spacing w:after="20"/>
              <w:rPr>
                <w:rFonts w:cs="Arial"/>
              </w:rPr>
            </w:pPr>
            <w:r w:rsidRPr="00B0157E">
              <w:rPr>
                <w:rFonts w:cs="Arial"/>
              </w:rPr>
              <w:t>Item 30213 is restricted to a maximum of 6 sessions in a 12 month period. Where additional treatments are indicated in that period, item 30214 should be used.</w:t>
            </w:r>
          </w:p>
          <w:p w14:paraId="3BFF7D6F" w14:textId="77777777" w:rsidR="009F4F75" w:rsidRPr="00B0157E" w:rsidRDefault="009F4F75" w:rsidP="00E6612D">
            <w:pPr>
              <w:pStyle w:val="02Tabletext"/>
              <w:spacing w:after="20"/>
              <w:rPr>
                <w:rFonts w:cs="Arial"/>
              </w:rPr>
            </w:pPr>
            <w:r w:rsidRPr="00B0157E">
              <w:rPr>
                <w:rFonts w:cs="Arial"/>
              </w:rPr>
              <w:t>Claims for benefits under item 30214 should be accompanied by full clinical details, including pre-operative colour photographs, to verify the need for additional services. Where digital photographs are supplied, the practitioner must sign each photograph to certify that the digital photograph has not been altered.</w:t>
            </w:r>
          </w:p>
          <w:p w14:paraId="537BDAD3" w14:textId="77777777" w:rsidR="009F4F75" w:rsidRPr="00B0157E" w:rsidRDefault="009F4F75" w:rsidP="00E6612D">
            <w:pPr>
              <w:pStyle w:val="02Tabletext"/>
              <w:spacing w:after="20"/>
              <w:rPr>
                <w:rFonts w:cs="Arial"/>
              </w:rPr>
            </w:pPr>
            <w:r w:rsidRPr="00B0157E">
              <w:rPr>
                <w:rFonts w:cs="Arial"/>
              </w:rPr>
              <w:t xml:space="preserve">The claim and the additional information should be lodged with the Department of Human Services for referral to the National Office of the Department of Human Services for assessment by the Medicare Claims Review Panel (MCRP) and must be accompanied by sufficient clinical and/or photographic evidence to enable the </w:t>
            </w:r>
            <w:r w:rsidRPr="00B0157E">
              <w:rPr>
                <w:rFonts w:cs="Arial"/>
              </w:rPr>
              <w:lastRenderedPageBreak/>
              <w:t>Department of Human Services to determine the eligibility of the service for the payment of benefits.</w:t>
            </w:r>
          </w:p>
          <w:p w14:paraId="51869FC7" w14:textId="77777777" w:rsidR="009F4F75" w:rsidRPr="00B0157E" w:rsidRDefault="009F4F75" w:rsidP="00E6612D">
            <w:pPr>
              <w:pStyle w:val="02Tabletext"/>
              <w:spacing w:after="20"/>
              <w:rPr>
                <w:rFonts w:cs="Arial"/>
              </w:rPr>
            </w:pPr>
            <w:r w:rsidRPr="00B0157E">
              <w:rPr>
                <w:rFonts w:cs="Arial"/>
              </w:rPr>
              <w:t>Practitioners may also apply to the Department of Human Services for prospective approval for proposed surgery.</w:t>
            </w:r>
          </w:p>
          <w:p w14:paraId="34AC67F1" w14:textId="77777777" w:rsidR="009F4F75" w:rsidRPr="00B0157E" w:rsidRDefault="009F4F75" w:rsidP="00E6612D">
            <w:pPr>
              <w:pStyle w:val="02Tabletext"/>
              <w:spacing w:after="20"/>
              <w:rPr>
                <w:rFonts w:cs="Arial"/>
              </w:rPr>
            </w:pPr>
            <w:r w:rsidRPr="00B0157E">
              <w:rPr>
                <w:rFonts w:cs="Arial"/>
              </w:rPr>
              <w:t>Applications for approval should be addressed in a sealed envelope marked 'Medical-in Confidence' to:</w:t>
            </w:r>
          </w:p>
          <w:p w14:paraId="551C4970" w14:textId="77777777" w:rsidR="009F4F75" w:rsidRPr="00B0157E" w:rsidRDefault="009F4F75" w:rsidP="00E6612D">
            <w:pPr>
              <w:pStyle w:val="02Tabletext"/>
              <w:spacing w:after="20"/>
              <w:rPr>
                <w:rFonts w:cs="Arial"/>
              </w:rPr>
            </w:pPr>
            <w:r w:rsidRPr="00B0157E">
              <w:rPr>
                <w:rFonts w:cs="Arial"/>
              </w:rPr>
              <w:t>The MCRP Officer</w:t>
            </w:r>
          </w:p>
          <w:p w14:paraId="393A3311" w14:textId="77777777" w:rsidR="009F4F75" w:rsidRPr="00B0157E" w:rsidRDefault="009F4F75" w:rsidP="00E6612D">
            <w:pPr>
              <w:pStyle w:val="02Tabletext"/>
              <w:spacing w:after="20"/>
              <w:rPr>
                <w:rFonts w:cs="Arial"/>
              </w:rPr>
            </w:pPr>
            <w:r w:rsidRPr="00B0157E">
              <w:rPr>
                <w:rFonts w:cs="Arial"/>
              </w:rPr>
              <w:t>PO Box 9822</w:t>
            </w:r>
          </w:p>
          <w:p w14:paraId="08C5E3CD" w14:textId="77777777" w:rsidR="009F4F75" w:rsidRPr="00B0157E" w:rsidRDefault="009F4F75" w:rsidP="00E6612D">
            <w:pPr>
              <w:pStyle w:val="02Tabletext"/>
              <w:spacing w:after="20"/>
              <w:rPr>
                <w:rFonts w:cs="Arial"/>
              </w:rPr>
            </w:pPr>
            <w:r w:rsidRPr="00B0157E">
              <w:rPr>
                <w:rFonts w:cs="Arial"/>
              </w:rPr>
              <w:t>SYDNEY NSW 2001</w:t>
            </w:r>
          </w:p>
          <w:p w14:paraId="2AC0F409" w14:textId="77777777" w:rsidR="009F4F75" w:rsidRPr="00B0157E" w:rsidRDefault="009F4F75" w:rsidP="00E6612D">
            <w:pPr>
              <w:pStyle w:val="02Tabletext"/>
              <w:spacing w:after="20"/>
              <w:rPr>
                <w:rFonts w:cs="Arial"/>
              </w:rPr>
            </w:pPr>
            <w:r w:rsidRPr="00B0157E">
              <w:rPr>
                <w:rFonts w:cs="Arial"/>
              </w:rPr>
              <w:t>Related Items: 30213 30214</w:t>
            </w:r>
          </w:p>
        </w:tc>
        <w:tc>
          <w:tcPr>
            <w:tcW w:w="770" w:type="pct"/>
            <w:vAlign w:val="center"/>
          </w:tcPr>
          <w:p w14:paraId="475EB876" w14:textId="77777777" w:rsidR="009F4F75" w:rsidRPr="00B0157E" w:rsidRDefault="009F4F75" w:rsidP="00E6612D">
            <w:pPr>
              <w:pStyle w:val="02Tabletext"/>
              <w:spacing w:after="20"/>
              <w:rPr>
                <w:rFonts w:cs="Arial"/>
              </w:rPr>
            </w:pPr>
            <w:r w:rsidRPr="00B0157E">
              <w:rPr>
                <w:rFonts w:cs="Arial"/>
              </w:rPr>
              <w:lastRenderedPageBreak/>
              <w:t xml:space="preserve">Delete </w:t>
            </w:r>
          </w:p>
        </w:tc>
      </w:tr>
      <w:tr w:rsidR="009F4F75" w:rsidRPr="00B0157E" w14:paraId="170E3128" w14:textId="77777777" w:rsidTr="00224863">
        <w:tc>
          <w:tcPr>
            <w:tcW w:w="317" w:type="pct"/>
            <w:vAlign w:val="center"/>
          </w:tcPr>
          <w:p w14:paraId="3F7FF094" w14:textId="77777777" w:rsidR="009F4F75" w:rsidRPr="00B0157E" w:rsidRDefault="009F4F75" w:rsidP="00E6612D">
            <w:pPr>
              <w:pStyle w:val="02Tabletext"/>
              <w:spacing w:after="20"/>
              <w:rPr>
                <w:rFonts w:cs="Arial"/>
              </w:rPr>
            </w:pPr>
            <w:r w:rsidRPr="00B0157E">
              <w:rPr>
                <w:rFonts w:cs="Arial"/>
              </w:rPr>
              <w:t>30214</w:t>
            </w:r>
          </w:p>
        </w:tc>
        <w:tc>
          <w:tcPr>
            <w:tcW w:w="1753" w:type="pct"/>
          </w:tcPr>
          <w:p w14:paraId="2A3D2C38" w14:textId="77777777" w:rsidR="009F4F75" w:rsidRPr="00B0157E" w:rsidRDefault="009F4F75" w:rsidP="00E6612D">
            <w:pPr>
              <w:pStyle w:val="02Tabletext"/>
              <w:spacing w:after="20"/>
              <w:rPr>
                <w:rFonts w:cs="Arial"/>
              </w:rPr>
            </w:pPr>
            <w:r w:rsidRPr="00B0157E">
              <w:rPr>
                <w:rFonts w:cs="Arial"/>
              </w:rPr>
              <w:t>Telangiectases or starburst vessels on the head or neck where lesions are visible from 4 metres, diathermy or sclerosant injection of, including associated consultation – session of at least 20 minutes duration – where it can be demonstrated that a 7th or subsequent session (including any sessions to which items 14100 to 14118 and 30213 apply) is indicated in a 12 month period.</w:t>
            </w:r>
          </w:p>
        </w:tc>
        <w:tc>
          <w:tcPr>
            <w:tcW w:w="2160" w:type="pct"/>
          </w:tcPr>
          <w:p w14:paraId="07D61AA4" w14:textId="77777777" w:rsidR="009F4F75" w:rsidRPr="00B0157E" w:rsidRDefault="009F4F75" w:rsidP="00E6612D">
            <w:pPr>
              <w:pStyle w:val="02Tabletext"/>
              <w:spacing w:after="20"/>
              <w:rPr>
                <w:rFonts w:cs="Arial"/>
              </w:rPr>
            </w:pPr>
            <w:r w:rsidRPr="00B0157E">
              <w:rPr>
                <w:rFonts w:cs="Arial"/>
              </w:rPr>
              <w:t>T8.11 (above)</w:t>
            </w:r>
          </w:p>
          <w:p w14:paraId="3BC8C531" w14:textId="77777777" w:rsidR="009F4F75" w:rsidRPr="00B0157E" w:rsidRDefault="009F4F75" w:rsidP="00E6612D">
            <w:pPr>
              <w:pStyle w:val="02Tabletext"/>
              <w:spacing w:after="20"/>
              <w:rPr>
                <w:rFonts w:cs="Arial"/>
              </w:rPr>
            </w:pPr>
          </w:p>
        </w:tc>
        <w:tc>
          <w:tcPr>
            <w:tcW w:w="770" w:type="pct"/>
            <w:vAlign w:val="center"/>
          </w:tcPr>
          <w:p w14:paraId="2041CACF" w14:textId="77777777" w:rsidR="009F4F75" w:rsidRPr="00B0157E" w:rsidRDefault="009F4F75" w:rsidP="00E6612D">
            <w:pPr>
              <w:pStyle w:val="02Tabletext"/>
              <w:spacing w:after="20"/>
              <w:rPr>
                <w:rFonts w:cs="Arial"/>
              </w:rPr>
            </w:pPr>
            <w:r w:rsidRPr="00B0157E">
              <w:rPr>
                <w:rFonts w:cs="Arial"/>
              </w:rPr>
              <w:t xml:space="preserve">Delete </w:t>
            </w:r>
          </w:p>
        </w:tc>
      </w:tr>
      <w:tr w:rsidR="009F4F75" w:rsidRPr="00B0157E" w14:paraId="776E1B18" w14:textId="77777777" w:rsidTr="00224863">
        <w:tc>
          <w:tcPr>
            <w:tcW w:w="317" w:type="pct"/>
            <w:vAlign w:val="center"/>
          </w:tcPr>
          <w:p w14:paraId="168089B9" w14:textId="77777777" w:rsidR="009F4F75" w:rsidRPr="00B0157E" w:rsidRDefault="009F4F75" w:rsidP="00E6612D">
            <w:pPr>
              <w:pStyle w:val="02Tabletext"/>
              <w:spacing w:after="20"/>
              <w:rPr>
                <w:rFonts w:cs="Arial"/>
              </w:rPr>
            </w:pPr>
            <w:r w:rsidRPr="00B0157E">
              <w:rPr>
                <w:rFonts w:cs="Arial"/>
              </w:rPr>
              <w:t>31000</w:t>
            </w:r>
          </w:p>
        </w:tc>
        <w:tc>
          <w:tcPr>
            <w:tcW w:w="1753" w:type="pct"/>
          </w:tcPr>
          <w:p w14:paraId="5C304EE7" w14:textId="77777777" w:rsidR="009F4F75" w:rsidRPr="00B0157E" w:rsidRDefault="009F4F75" w:rsidP="00E6612D">
            <w:pPr>
              <w:pStyle w:val="02Tabletext"/>
              <w:spacing w:after="20"/>
              <w:rPr>
                <w:rFonts w:cs="Arial"/>
              </w:rPr>
            </w:pPr>
            <w:r w:rsidRPr="00B0157E">
              <w:rPr>
                <w:rFonts w:cs="Arial"/>
              </w:rPr>
              <w:t>Micrographically controlled serial excision of skin tumour utilising horizontal frozen sections with mapping of all excised tissue, and histological examination of all excised tissue by the specialist performing the procedure – 6 or fewer sections.</w:t>
            </w:r>
          </w:p>
        </w:tc>
        <w:tc>
          <w:tcPr>
            <w:tcW w:w="2160" w:type="pct"/>
          </w:tcPr>
          <w:p w14:paraId="444FE5CF"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483013A2"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29EF10D7" w14:textId="77777777" w:rsidTr="00224863">
        <w:tc>
          <w:tcPr>
            <w:tcW w:w="317" w:type="pct"/>
            <w:vAlign w:val="center"/>
          </w:tcPr>
          <w:p w14:paraId="5612617A" w14:textId="77777777" w:rsidR="009F4F75" w:rsidRPr="00B0157E" w:rsidRDefault="009F4F75" w:rsidP="00E6612D">
            <w:pPr>
              <w:pStyle w:val="02Tabletext"/>
              <w:spacing w:after="20"/>
              <w:rPr>
                <w:rFonts w:cs="Arial"/>
              </w:rPr>
            </w:pPr>
            <w:r w:rsidRPr="00B0157E">
              <w:rPr>
                <w:rFonts w:cs="Arial"/>
              </w:rPr>
              <w:t>31001</w:t>
            </w:r>
          </w:p>
        </w:tc>
        <w:tc>
          <w:tcPr>
            <w:tcW w:w="1753" w:type="pct"/>
          </w:tcPr>
          <w:p w14:paraId="1A32659B" w14:textId="77777777" w:rsidR="009F4F75" w:rsidRPr="00B0157E" w:rsidRDefault="009F4F75" w:rsidP="00E6612D">
            <w:pPr>
              <w:pStyle w:val="02Tabletext"/>
              <w:spacing w:after="20"/>
              <w:rPr>
                <w:rFonts w:cs="Arial"/>
              </w:rPr>
            </w:pPr>
            <w:r w:rsidRPr="00B0157E">
              <w:rPr>
                <w:rFonts w:cs="Arial"/>
              </w:rPr>
              <w:t>Micrographically controlled serial excision of skin tumour utilising horizontal frozen sections with mapping of all excised tissue, and histological examination of all excised tissue by the specialist performing the procedure – 7 to 12 sections (inclusive).</w:t>
            </w:r>
          </w:p>
        </w:tc>
        <w:tc>
          <w:tcPr>
            <w:tcW w:w="2160" w:type="pct"/>
          </w:tcPr>
          <w:p w14:paraId="1A70AE72"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6FE11BA9"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30BB1690" w14:textId="77777777" w:rsidTr="00224863">
        <w:tc>
          <w:tcPr>
            <w:tcW w:w="317" w:type="pct"/>
            <w:vAlign w:val="center"/>
          </w:tcPr>
          <w:p w14:paraId="5365D80E" w14:textId="77777777" w:rsidR="009F4F75" w:rsidRPr="00B0157E" w:rsidRDefault="009F4F75" w:rsidP="00E6612D">
            <w:pPr>
              <w:pStyle w:val="02Tabletext"/>
              <w:spacing w:after="20"/>
              <w:rPr>
                <w:rFonts w:cs="Arial"/>
              </w:rPr>
            </w:pPr>
            <w:r w:rsidRPr="00B0157E">
              <w:rPr>
                <w:rFonts w:cs="Arial"/>
              </w:rPr>
              <w:t>31002</w:t>
            </w:r>
          </w:p>
        </w:tc>
        <w:tc>
          <w:tcPr>
            <w:tcW w:w="1753" w:type="pct"/>
          </w:tcPr>
          <w:p w14:paraId="051E63A9" w14:textId="77777777" w:rsidR="009F4F75" w:rsidRPr="00B0157E" w:rsidRDefault="009F4F75" w:rsidP="00E6612D">
            <w:pPr>
              <w:pStyle w:val="02Tabletext"/>
              <w:spacing w:after="20"/>
              <w:rPr>
                <w:rFonts w:cs="Arial"/>
              </w:rPr>
            </w:pPr>
            <w:r w:rsidRPr="00B0157E">
              <w:rPr>
                <w:rFonts w:cs="Arial"/>
              </w:rPr>
              <w:t>Micrographically controlled serial excision of skin tumour utilising horizontal frozen sections with mapping of all excised tissue, and histological examination of all excised tissue by the specialist performing the procedure – 13 or more sections.</w:t>
            </w:r>
          </w:p>
        </w:tc>
        <w:tc>
          <w:tcPr>
            <w:tcW w:w="2160" w:type="pct"/>
          </w:tcPr>
          <w:p w14:paraId="79E20450"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6ECC5A8F"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7BDB4E97" w14:textId="77777777" w:rsidTr="00224863">
        <w:tc>
          <w:tcPr>
            <w:tcW w:w="317" w:type="pct"/>
            <w:vAlign w:val="center"/>
          </w:tcPr>
          <w:p w14:paraId="145D5A79" w14:textId="77777777" w:rsidR="009F4F75" w:rsidRPr="00B0157E" w:rsidRDefault="009F4F75" w:rsidP="00E6612D">
            <w:pPr>
              <w:pStyle w:val="02Tabletext"/>
              <w:spacing w:after="20"/>
              <w:rPr>
                <w:rFonts w:cs="Arial"/>
              </w:rPr>
            </w:pPr>
            <w:r w:rsidRPr="00B0157E">
              <w:rPr>
                <w:rFonts w:cs="Arial"/>
              </w:rPr>
              <w:t>31340</w:t>
            </w:r>
          </w:p>
        </w:tc>
        <w:tc>
          <w:tcPr>
            <w:tcW w:w="1753" w:type="pct"/>
          </w:tcPr>
          <w:p w14:paraId="5C64845C" w14:textId="77777777" w:rsidR="009F4F75" w:rsidRPr="00B0157E" w:rsidRDefault="009F4F75" w:rsidP="00E6612D">
            <w:pPr>
              <w:pStyle w:val="02Tabletext"/>
              <w:spacing w:after="20"/>
              <w:rPr>
                <w:rFonts w:cs="Arial"/>
              </w:rPr>
            </w:pPr>
            <w:r w:rsidRPr="00B0157E">
              <w:rPr>
                <w:rFonts w:cs="Arial"/>
              </w:rPr>
              <w:t>Note: Multiple Operation and Multiple Anaesthetic rules apply to this item.</w:t>
            </w:r>
          </w:p>
          <w:p w14:paraId="1736A44D" w14:textId="77777777" w:rsidR="009F4F75" w:rsidRPr="00B0157E" w:rsidRDefault="009F4F75" w:rsidP="00E6612D">
            <w:pPr>
              <w:pStyle w:val="02Tabletext"/>
              <w:spacing w:after="20"/>
              <w:rPr>
                <w:rFonts w:cs="Arial"/>
              </w:rPr>
            </w:pPr>
          </w:p>
          <w:p w14:paraId="2649E083" w14:textId="77777777" w:rsidR="009F4F75" w:rsidRPr="00B0157E" w:rsidRDefault="009F4F75" w:rsidP="00E6612D">
            <w:pPr>
              <w:pStyle w:val="02Tabletext"/>
              <w:spacing w:after="20"/>
              <w:rPr>
                <w:rFonts w:cs="Arial"/>
              </w:rPr>
            </w:pPr>
            <w:r w:rsidRPr="00B0157E">
              <w:rPr>
                <w:rFonts w:cs="Arial"/>
              </w:rPr>
              <w:t xml:space="preserve">Muscle, bone or cartilage, excision of one or more of, where clinically indicated, where the specimen excised is sent for histological confirmation, performed in association with excision of malignant tumour of skin covered by item 31255, 31256, 31257, 31258, 31260, 31261, 31262, 31263, 31265, 31266, 31267, 31268, 31270, 31271, 31272, 31273, 31275, 31276, 31277, 31278, 31280, 31281, 31282, 31283, 31285, 31286, 31287, 31288, 31290, 31291, 31292, 31293, 31295, 31300, </w:t>
            </w:r>
            <w:r w:rsidRPr="00B0157E">
              <w:rPr>
                <w:rFonts w:cs="Arial"/>
              </w:rPr>
              <w:lastRenderedPageBreak/>
              <w:t>31305, 31310, 31315, 31320, 31325, 31330 or 31335. (Anaes.)</w:t>
            </w:r>
          </w:p>
        </w:tc>
        <w:tc>
          <w:tcPr>
            <w:tcW w:w="2160" w:type="pct"/>
          </w:tcPr>
          <w:p w14:paraId="7B36C074" w14:textId="77777777" w:rsidR="009F4F75" w:rsidRPr="00B0157E" w:rsidRDefault="009F4F75" w:rsidP="00E6612D">
            <w:pPr>
              <w:pStyle w:val="02Tabletext"/>
              <w:spacing w:after="20"/>
              <w:rPr>
                <w:rFonts w:cs="Arial"/>
              </w:rPr>
            </w:pPr>
            <w:r w:rsidRPr="00B0157E">
              <w:rPr>
                <w:rFonts w:cs="Arial"/>
              </w:rPr>
              <w:lastRenderedPageBreak/>
              <w:t>T8.22</w:t>
            </w:r>
          </w:p>
          <w:p w14:paraId="7E820B30" w14:textId="77777777" w:rsidR="009F4F75" w:rsidRPr="00B0157E" w:rsidRDefault="009F4F75" w:rsidP="00E6612D">
            <w:pPr>
              <w:pStyle w:val="02Tabletext"/>
              <w:spacing w:after="20"/>
              <w:rPr>
                <w:rFonts w:cs="Arial"/>
              </w:rPr>
            </w:pPr>
            <w:r w:rsidRPr="00B0157E">
              <w:rPr>
                <w:rFonts w:cs="Arial"/>
              </w:rPr>
              <w:t>Removal of Skin Lesions - (Items 30611, 31200 to 31355)</w:t>
            </w:r>
          </w:p>
          <w:p w14:paraId="5DF423C0" w14:textId="77777777" w:rsidR="009F4F75" w:rsidRPr="00B0157E" w:rsidRDefault="009F4F75" w:rsidP="00E6612D">
            <w:pPr>
              <w:pStyle w:val="02Tabletext"/>
              <w:spacing w:after="20"/>
              <w:rPr>
                <w:rFonts w:cs="Arial"/>
              </w:rPr>
            </w:pPr>
            <w:r w:rsidRPr="00B0157E">
              <w:rPr>
                <w:rFonts w:cs="Arial"/>
              </w:rPr>
              <w:t>The excision of warts and seborrheic keratoses attracts benefits on an attendance basis with the exceptions outlined in T8.13 of the explanatory notes to this category. Excision of pre-malignant lesions including solar keratoses where clinically indicated are covered by items 31200 to 31240.</w:t>
            </w:r>
          </w:p>
          <w:p w14:paraId="7A0C6B91" w14:textId="77777777" w:rsidR="009F4F75" w:rsidRPr="00B0157E" w:rsidRDefault="009F4F75" w:rsidP="00E6612D">
            <w:pPr>
              <w:pStyle w:val="02Tabletext"/>
              <w:spacing w:after="20"/>
              <w:rPr>
                <w:rFonts w:cs="Arial"/>
              </w:rPr>
            </w:pPr>
            <w:r w:rsidRPr="00B0157E">
              <w:rPr>
                <w:rFonts w:cs="Arial"/>
              </w:rPr>
              <w:t>The excision of suspicious pigmented lesions for diagnostic purposes attract benefits under items 31205 to 31240. Only if a further more extensive excision is undertaken should the items covering excision of malignancies be used.</w:t>
            </w:r>
          </w:p>
          <w:p w14:paraId="49878C51" w14:textId="77777777" w:rsidR="009F4F75" w:rsidRPr="00B0157E" w:rsidRDefault="009F4F75" w:rsidP="00E6612D">
            <w:pPr>
              <w:pStyle w:val="02Tabletext"/>
              <w:spacing w:after="20"/>
              <w:rPr>
                <w:rFonts w:cs="Arial"/>
              </w:rPr>
            </w:pPr>
            <w:r w:rsidRPr="00B0157E">
              <w:rPr>
                <w:rFonts w:cs="Arial"/>
              </w:rPr>
              <w:t xml:space="preserve">Items 31200 and 31245 do not require the specimen to be sent for histological confirmation. </w:t>
            </w:r>
            <w:r w:rsidRPr="00B0157E">
              <w:rPr>
                <w:rFonts w:cs="Arial"/>
              </w:rPr>
              <w:lastRenderedPageBreak/>
              <w:t>Items 31205 to 31240 and 31250 require that the specimen be sent for histological examination. Items 31255 to 31335 require that a specimen has been sent for histological confirmation of malignancy, and any subsequent specimens are sent for histological examination. Confirmation of malignancy must be received before itemisation of accounts for Medicare benefits purposes.</w:t>
            </w:r>
          </w:p>
          <w:p w14:paraId="701ED5F7" w14:textId="77777777" w:rsidR="009F4F75" w:rsidRPr="00B0157E" w:rsidRDefault="009F4F75" w:rsidP="00E6612D">
            <w:pPr>
              <w:pStyle w:val="02Tabletext"/>
              <w:spacing w:after="20"/>
              <w:rPr>
                <w:rFonts w:cs="Arial"/>
              </w:rPr>
            </w:pPr>
            <w:r w:rsidRPr="00B0157E">
              <w:rPr>
                <w:rFonts w:cs="Arial"/>
              </w:rPr>
              <w:t>Where histological results are available at the time of issuing accounts, the histological diagnosis will decide the appropriate itemisation. If the histological report shows the lesion to be benign, items 31205 to 31240 should be used. Malignant tumours are covered by items 31255 to 31355.</w:t>
            </w:r>
          </w:p>
          <w:p w14:paraId="6A035D10" w14:textId="77777777" w:rsidR="009F4F75" w:rsidRPr="00B0157E" w:rsidRDefault="009F4F75" w:rsidP="00E6612D">
            <w:pPr>
              <w:pStyle w:val="02Tabletext"/>
              <w:spacing w:after="20"/>
              <w:rPr>
                <w:rFonts w:cs="Arial"/>
              </w:rPr>
            </w:pPr>
            <w:r w:rsidRPr="00B0157E">
              <w:rPr>
                <w:rFonts w:cs="Arial"/>
              </w:rPr>
              <w:t>A practitioner providing the first treatment episode for a primary BCC/SCC must use the appropriate item from the following: 31255; 31260; 31265; 31270; 31275; 31280; 31285; or 31290.</w:t>
            </w:r>
          </w:p>
          <w:p w14:paraId="1E16243A" w14:textId="77777777" w:rsidR="009F4F75" w:rsidRPr="00B0157E" w:rsidRDefault="009F4F75" w:rsidP="00E6612D">
            <w:pPr>
              <w:pStyle w:val="02Tabletext"/>
              <w:spacing w:after="20"/>
              <w:rPr>
                <w:rFonts w:cs="Arial"/>
              </w:rPr>
            </w:pPr>
            <w:r w:rsidRPr="00B0157E">
              <w:rPr>
                <w:rFonts w:cs="Arial"/>
              </w:rPr>
              <w:t>Where residual BCC/SCC remains following an initial excision of a primary lesion and the same practitioner is excising that residual BCC/SCC then the appropriate item must be claimed from the following: 31256; 31261; 31266; 31271; 31276; 31281; 31286 or 31291.</w:t>
            </w:r>
          </w:p>
          <w:p w14:paraId="527890BF" w14:textId="77777777" w:rsidR="009F4F75" w:rsidRPr="00B0157E" w:rsidRDefault="009F4F75" w:rsidP="00E6612D">
            <w:pPr>
              <w:pStyle w:val="02Tabletext"/>
              <w:spacing w:after="20"/>
              <w:rPr>
                <w:rFonts w:cs="Arial"/>
              </w:rPr>
            </w:pPr>
            <w:r w:rsidRPr="00B0157E">
              <w:rPr>
                <w:rFonts w:cs="Arial"/>
              </w:rPr>
              <w:t>Where residual BCC/SCC remains following an initial excision of a primary lesion and a practitioner other than the practitioner that performed the previous excision is excising that residual BCC/SCC then the appropriate item must be claimed from the following: 31257; 31262; 31267; 31272; 31277; 31282; 31287 or 31292.</w:t>
            </w:r>
          </w:p>
          <w:p w14:paraId="7655DAC2" w14:textId="77777777" w:rsidR="009F4F75" w:rsidRPr="00B0157E" w:rsidRDefault="009F4F75" w:rsidP="00E6612D">
            <w:pPr>
              <w:pStyle w:val="02Tabletext"/>
              <w:spacing w:after="20"/>
              <w:rPr>
                <w:rFonts w:cs="Arial"/>
              </w:rPr>
            </w:pPr>
            <w:r w:rsidRPr="00B0157E">
              <w:rPr>
                <w:rFonts w:cs="Arial"/>
              </w:rPr>
              <w:t>Where a BCC/SCC was removed and complete excision of the lesion was confirmed, but a BCC/SCC has recurred at the primary site, then the items providing for recurrent BCC/SCC would usually apply.</w:t>
            </w:r>
          </w:p>
          <w:p w14:paraId="56B6297B" w14:textId="77777777" w:rsidR="009F4F75" w:rsidRPr="00B0157E" w:rsidRDefault="009F4F75" w:rsidP="00E6612D">
            <w:pPr>
              <w:pStyle w:val="02Tabletext"/>
              <w:spacing w:after="20"/>
              <w:rPr>
                <w:rFonts w:cs="Arial"/>
              </w:rPr>
            </w:pPr>
            <w:r w:rsidRPr="00B0157E">
              <w:rPr>
                <w:rFonts w:cs="Arial"/>
              </w:rPr>
              <w:t>A practitioner excising a recurrent BCC/SCC of the head or neck and who is a specialist in the practice of his or her specialty or a practitioner other than the practitioner who provided previous treatment (where the lesion was removed by previous surgery, serial cautery and curettage, radiotherapy or two prolonged freeze/thaw cycles of liquid nitrogen therapy) must use item 31295.</w:t>
            </w:r>
          </w:p>
          <w:p w14:paraId="256227D4" w14:textId="77777777" w:rsidR="009F4F75" w:rsidRPr="00B0157E" w:rsidRDefault="009F4F75" w:rsidP="00E6612D">
            <w:pPr>
              <w:pStyle w:val="02Tabletext"/>
              <w:spacing w:after="20"/>
              <w:rPr>
                <w:rFonts w:cs="Arial"/>
              </w:rPr>
            </w:pPr>
            <w:r w:rsidRPr="00B0157E">
              <w:rPr>
                <w:rFonts w:cs="Arial"/>
              </w:rPr>
              <w:t>A practitioner excising a recurrent BCC/SCC from an area other than the head or neck or who otherwise does not meet the criteria as described under item 31295 must use the appropriate item from the following 31258; 31263; 31268; 31273; 31278; 31283; 31288 or 31293.</w:t>
            </w:r>
          </w:p>
          <w:p w14:paraId="419EC92E" w14:textId="77777777" w:rsidR="009F4F75" w:rsidRPr="00B0157E" w:rsidRDefault="009F4F75" w:rsidP="00E6612D">
            <w:pPr>
              <w:pStyle w:val="02Tabletext"/>
              <w:spacing w:after="20"/>
              <w:rPr>
                <w:rFonts w:cs="Arial"/>
              </w:rPr>
            </w:pPr>
            <w:r w:rsidRPr="00B0157E">
              <w:rPr>
                <w:rFonts w:cs="Arial"/>
              </w:rPr>
              <w:t>For the purpose of these items, the tumour/lesion size should be determined by the macroscopic measurement of the surface diameter of the tumour/lesion or, for elliptical tumours/lesions, by the average surface diameter. The relevant size of the lesion relates to that measured in situ before excision. Suture of wound following surgical excision also includes closure by tissue adhesive resin, clips or similar.</w:t>
            </w:r>
          </w:p>
          <w:p w14:paraId="0398C966" w14:textId="77777777" w:rsidR="009F4F75" w:rsidRPr="00B0157E" w:rsidRDefault="009F4F75" w:rsidP="00E6612D">
            <w:pPr>
              <w:pStyle w:val="02Tabletext"/>
              <w:spacing w:after="20"/>
              <w:rPr>
                <w:rFonts w:cs="Arial"/>
              </w:rPr>
            </w:pPr>
            <w:r w:rsidRPr="00B0157E">
              <w:rPr>
                <w:rFonts w:cs="Arial"/>
              </w:rPr>
              <w:t>Definitive surgical excision for items 31300 to 31335 is defined as "surgical removal with an adequate margin and, as a result, no further surgery is indicated at that site of excision.</w:t>
            </w:r>
          </w:p>
          <w:p w14:paraId="1772FFCF" w14:textId="77777777" w:rsidR="009F4F75" w:rsidRPr="00B0157E" w:rsidRDefault="009F4F75" w:rsidP="00E6612D">
            <w:pPr>
              <w:pStyle w:val="02Tabletext"/>
              <w:spacing w:after="20"/>
              <w:rPr>
                <w:rFonts w:cs="Arial"/>
              </w:rPr>
            </w:pPr>
            <w:r w:rsidRPr="00B0157E">
              <w:rPr>
                <w:rFonts w:cs="Arial"/>
              </w:rPr>
              <w:lastRenderedPageBreak/>
              <w:t>It will be necessary for practitioners to retain copies of histological reports.</w:t>
            </w:r>
          </w:p>
          <w:p w14:paraId="31CC730E" w14:textId="77777777" w:rsidR="009F4F75" w:rsidRPr="00B0157E" w:rsidRDefault="009F4F75" w:rsidP="00E6612D">
            <w:pPr>
              <w:pStyle w:val="02Tabletext"/>
              <w:spacing w:after="20"/>
              <w:rPr>
                <w:rFonts w:cs="Arial"/>
              </w:rPr>
            </w:pPr>
            <w:r w:rsidRPr="00B0157E">
              <w:rPr>
                <w:rFonts w:cs="Arial"/>
              </w:rPr>
              <w:t>Items 31245 and 31250 do not cover shave excision.</w:t>
            </w:r>
          </w:p>
        </w:tc>
        <w:tc>
          <w:tcPr>
            <w:tcW w:w="770" w:type="pct"/>
            <w:vAlign w:val="center"/>
          </w:tcPr>
          <w:p w14:paraId="0B66A52C" w14:textId="77777777" w:rsidR="009F4F75" w:rsidRPr="00B0157E" w:rsidRDefault="009F4F75" w:rsidP="00E6612D">
            <w:pPr>
              <w:pStyle w:val="02Tabletext"/>
              <w:spacing w:after="20"/>
              <w:rPr>
                <w:rFonts w:cs="Arial"/>
              </w:rPr>
            </w:pPr>
            <w:r w:rsidRPr="00B0157E">
              <w:rPr>
                <w:rFonts w:cs="Arial"/>
              </w:rPr>
              <w:lastRenderedPageBreak/>
              <w:t xml:space="preserve">No change </w:t>
            </w:r>
          </w:p>
        </w:tc>
      </w:tr>
      <w:tr w:rsidR="009F4F75" w:rsidRPr="00B0157E" w14:paraId="7439ED69" w14:textId="77777777" w:rsidTr="00224863">
        <w:tc>
          <w:tcPr>
            <w:tcW w:w="317" w:type="pct"/>
          </w:tcPr>
          <w:p w14:paraId="2762ED3E" w14:textId="77777777" w:rsidR="009F4F75" w:rsidRPr="00B0157E" w:rsidRDefault="009F4F75" w:rsidP="00E6612D">
            <w:pPr>
              <w:pStyle w:val="02Tabletext"/>
              <w:spacing w:after="20"/>
              <w:rPr>
                <w:rFonts w:cs="Arial"/>
              </w:rPr>
            </w:pPr>
            <w:r w:rsidRPr="00B0157E">
              <w:lastRenderedPageBreak/>
              <w:t>45019</w:t>
            </w:r>
          </w:p>
        </w:tc>
        <w:tc>
          <w:tcPr>
            <w:tcW w:w="1753" w:type="pct"/>
          </w:tcPr>
          <w:p w14:paraId="19343D11" w14:textId="77777777" w:rsidR="009F4F75" w:rsidRPr="00B0157E" w:rsidRDefault="009F4F75" w:rsidP="00E6612D">
            <w:pPr>
              <w:pStyle w:val="02Tabletext"/>
              <w:spacing w:after="20"/>
              <w:rPr>
                <w:rFonts w:cs="Arial"/>
              </w:rPr>
            </w:pPr>
            <w:r w:rsidRPr="00B0157E">
              <w:t>Full face chemical peel for severely sun-damaged skin, where it can be demonstrated that the damage affects 75% of the facial skin surface area involving photodamage (dermatoheliosis) typically consisting of solar keratoses, solar lentigines, freckling, yellowing and leathering of the skin, where at least medium depth peeling agents are used, performed in the operating theatre of a hospital by a specialist in the practice of his or her specialty - 1 session only in a 12 month period (Anaes.)</w:t>
            </w:r>
          </w:p>
        </w:tc>
        <w:tc>
          <w:tcPr>
            <w:tcW w:w="2160" w:type="pct"/>
          </w:tcPr>
          <w:p w14:paraId="04176AFA" w14:textId="77777777" w:rsidR="009F4F75" w:rsidRPr="00B0157E" w:rsidRDefault="009F4F75" w:rsidP="00E6612D">
            <w:pPr>
              <w:pStyle w:val="02Tabletext"/>
              <w:spacing w:after="20"/>
              <w:rPr>
                <w:rFonts w:cs="Arial"/>
              </w:rPr>
            </w:pPr>
            <w:r w:rsidRPr="00B0157E">
              <w:rPr>
                <w:rFonts w:cs="Arial"/>
              </w:rPr>
              <w:t>T8.92</w:t>
            </w:r>
          </w:p>
          <w:p w14:paraId="116FBC55" w14:textId="77777777" w:rsidR="009F4F75" w:rsidRPr="00B0157E" w:rsidRDefault="009F4F75" w:rsidP="00E6612D">
            <w:pPr>
              <w:pStyle w:val="02Tabletext"/>
              <w:spacing w:after="20"/>
              <w:rPr>
                <w:rFonts w:cs="Arial"/>
              </w:rPr>
            </w:pPr>
            <w:r w:rsidRPr="00B0157E">
              <w:rPr>
                <w:rFonts w:cs="Arial"/>
              </w:rPr>
              <w:t>Full face Chemical Peel - (Items 45019 and 45020.</w:t>
            </w:r>
          </w:p>
          <w:p w14:paraId="0698D59C" w14:textId="77777777" w:rsidR="009F4F75" w:rsidRPr="00B0157E" w:rsidRDefault="009F4F75" w:rsidP="00E6612D">
            <w:pPr>
              <w:pStyle w:val="02Tabletext"/>
              <w:spacing w:after="20"/>
              <w:rPr>
                <w:rFonts w:cs="Arial"/>
              </w:rPr>
            </w:pPr>
            <w:r w:rsidRPr="00B0157E">
              <w:rPr>
                <w:rFonts w:cs="Arial"/>
              </w:rPr>
              <w:t>These items relate to full face chemical peel in the circumstances outlined in the item descriptors. Claims for benefits should be accompanied by full clinical details, including pre-operative colour photographs, to confirm that the conditions for payment of benefits have been met. Where digital photographs are supplied, the practitioner must sign each photograph to certify that the digital photograph has not been altered. The claim and the additional information should be lodged with the Department of Human Services for referral to the National Office of the Department of Human Services for assessment by the Medicare Claims Review Panel (MCRP) and must be accompanied by sufficient clinical and/or photographic evidence to enable the Department of Human Services to determine the eligibility of the service for the payment of benefits.</w:t>
            </w:r>
          </w:p>
          <w:p w14:paraId="30477526" w14:textId="77777777" w:rsidR="009F4F75" w:rsidRPr="00B0157E" w:rsidRDefault="009F4F75" w:rsidP="00E6612D">
            <w:pPr>
              <w:pStyle w:val="02Tabletext"/>
              <w:spacing w:after="20"/>
              <w:rPr>
                <w:rFonts w:cs="Arial"/>
              </w:rPr>
            </w:pPr>
            <w:r w:rsidRPr="00B0157E">
              <w:rPr>
                <w:rFonts w:cs="Arial"/>
              </w:rPr>
              <w:t>Practitioners may also apply to the Department of Human Services for prospective approval for proposed surgery.</w:t>
            </w:r>
          </w:p>
          <w:p w14:paraId="4066047A" w14:textId="77777777" w:rsidR="009F4F75" w:rsidRPr="00B0157E" w:rsidRDefault="009F4F75" w:rsidP="00E6612D">
            <w:pPr>
              <w:pStyle w:val="02Tabletext"/>
              <w:spacing w:after="20"/>
              <w:rPr>
                <w:rFonts w:cs="Arial"/>
              </w:rPr>
            </w:pPr>
            <w:r w:rsidRPr="00B0157E">
              <w:rPr>
                <w:rFonts w:cs="Arial"/>
              </w:rPr>
              <w:t>Applications for approval should be addressed  in a sealed envelope marked 'Medical-in Confidence'to:</w:t>
            </w:r>
          </w:p>
          <w:p w14:paraId="24C695B6" w14:textId="77777777" w:rsidR="009F4F75" w:rsidRPr="00B0157E" w:rsidRDefault="009F4F75" w:rsidP="00E6612D">
            <w:pPr>
              <w:pStyle w:val="02Tabletext"/>
              <w:spacing w:after="20"/>
              <w:rPr>
                <w:rFonts w:cs="Arial"/>
              </w:rPr>
            </w:pPr>
            <w:r w:rsidRPr="00B0157E">
              <w:rPr>
                <w:rFonts w:cs="Arial"/>
              </w:rPr>
              <w:t>The MCRP Officer</w:t>
            </w:r>
          </w:p>
          <w:p w14:paraId="716A3557" w14:textId="77777777" w:rsidR="009F4F75" w:rsidRPr="00B0157E" w:rsidRDefault="009F4F75" w:rsidP="00E6612D">
            <w:pPr>
              <w:pStyle w:val="02Tabletext"/>
              <w:spacing w:after="20"/>
              <w:rPr>
                <w:rFonts w:cs="Arial"/>
              </w:rPr>
            </w:pPr>
            <w:r w:rsidRPr="00B0157E">
              <w:rPr>
                <w:rFonts w:cs="Arial"/>
              </w:rPr>
              <w:t>PO Box 9822</w:t>
            </w:r>
          </w:p>
          <w:p w14:paraId="128D3CB9" w14:textId="77777777" w:rsidR="009F4F75" w:rsidRPr="00B0157E" w:rsidRDefault="009F4F75" w:rsidP="00E6612D">
            <w:pPr>
              <w:pStyle w:val="02Tabletext"/>
              <w:spacing w:after="20"/>
              <w:rPr>
                <w:rFonts w:cs="Arial"/>
              </w:rPr>
            </w:pPr>
            <w:r w:rsidRPr="00B0157E">
              <w:rPr>
                <w:rFonts w:cs="Arial"/>
              </w:rPr>
              <w:t>SYDNEY NSW 2001</w:t>
            </w:r>
          </w:p>
          <w:p w14:paraId="4F5F5142" w14:textId="77777777" w:rsidR="009F4F75" w:rsidRPr="00B0157E" w:rsidRDefault="009F4F75" w:rsidP="00E6612D">
            <w:pPr>
              <w:pStyle w:val="02Tabletext"/>
              <w:spacing w:after="20"/>
              <w:rPr>
                <w:rFonts w:cs="Arial"/>
              </w:rPr>
            </w:pPr>
          </w:p>
        </w:tc>
        <w:tc>
          <w:tcPr>
            <w:tcW w:w="770" w:type="pct"/>
            <w:vAlign w:val="center"/>
          </w:tcPr>
          <w:p w14:paraId="16BD38D4"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561BE75B" w14:textId="77777777" w:rsidTr="00224863">
        <w:tc>
          <w:tcPr>
            <w:tcW w:w="317" w:type="pct"/>
          </w:tcPr>
          <w:p w14:paraId="6D55D186" w14:textId="77777777" w:rsidR="009F4F75" w:rsidRPr="00B0157E" w:rsidRDefault="009F4F75" w:rsidP="00E6612D">
            <w:pPr>
              <w:pStyle w:val="02Tabletext"/>
              <w:spacing w:after="20"/>
              <w:rPr>
                <w:rFonts w:cs="Arial"/>
              </w:rPr>
            </w:pPr>
            <w:r w:rsidRPr="00B0157E">
              <w:t>45025</w:t>
            </w:r>
          </w:p>
        </w:tc>
        <w:tc>
          <w:tcPr>
            <w:tcW w:w="1753" w:type="pct"/>
          </w:tcPr>
          <w:p w14:paraId="1053EF9A" w14:textId="77777777" w:rsidR="009F4F75" w:rsidRPr="00B0157E" w:rsidRDefault="009F4F75" w:rsidP="00E6612D">
            <w:pPr>
              <w:pStyle w:val="02Tabletext"/>
              <w:spacing w:after="20"/>
              <w:rPr>
                <w:rFonts w:cs="Arial"/>
              </w:rPr>
            </w:pPr>
            <w:r w:rsidRPr="00B0157E">
              <w:t xml:space="preserve"> carbon dioxide laser or erbium laser (not including fractional laser therapy) resurfacing of the face or neck for severely disfiguring scarring resulting from trauma, burns or acne - limited to 1 aesthetic area (Anaes.) </w:t>
            </w:r>
          </w:p>
        </w:tc>
        <w:tc>
          <w:tcPr>
            <w:tcW w:w="2160" w:type="pct"/>
          </w:tcPr>
          <w:p w14:paraId="7F1BAC66" w14:textId="77777777" w:rsidR="009F4F75" w:rsidRPr="00B0157E" w:rsidRDefault="009F4F75" w:rsidP="00E6612D">
            <w:pPr>
              <w:pStyle w:val="02Tabletext"/>
              <w:spacing w:after="20"/>
              <w:rPr>
                <w:rFonts w:cs="Arial"/>
              </w:rPr>
            </w:pPr>
            <w:r w:rsidRPr="00B0157E">
              <w:rPr>
                <w:rFonts w:cs="Arial"/>
              </w:rPr>
              <w:t>T8.93</w:t>
            </w:r>
          </w:p>
          <w:p w14:paraId="63B1D3DE" w14:textId="77777777" w:rsidR="009F4F75" w:rsidRPr="00B0157E" w:rsidRDefault="009F4F75" w:rsidP="00E6612D">
            <w:pPr>
              <w:pStyle w:val="02Tabletext"/>
              <w:spacing w:after="20"/>
              <w:rPr>
                <w:rFonts w:cs="Arial"/>
              </w:rPr>
            </w:pPr>
            <w:r w:rsidRPr="00B0157E">
              <w:rPr>
                <w:rFonts w:cs="Arial"/>
              </w:rPr>
              <w:t>Abrasive Therapy/Resurfacing - (Items 45021 to 45026)</w:t>
            </w:r>
          </w:p>
          <w:p w14:paraId="3819CD95" w14:textId="77777777" w:rsidR="009F4F75" w:rsidRPr="00B0157E" w:rsidRDefault="009F4F75" w:rsidP="00E6612D">
            <w:pPr>
              <w:pStyle w:val="02Tabletext"/>
              <w:spacing w:after="20"/>
              <w:rPr>
                <w:rFonts w:cs="Arial"/>
              </w:rPr>
            </w:pPr>
          </w:p>
          <w:p w14:paraId="50F0901D" w14:textId="77777777" w:rsidR="009F4F75" w:rsidRPr="00B0157E" w:rsidRDefault="009F4F75" w:rsidP="00E6612D">
            <w:pPr>
              <w:pStyle w:val="02Tabletext"/>
              <w:spacing w:after="20"/>
              <w:rPr>
                <w:rFonts w:cs="Arial"/>
              </w:rPr>
            </w:pPr>
            <w:r w:rsidRPr="00B0157E">
              <w:rPr>
                <w:rFonts w:cs="Arial"/>
              </w:rPr>
              <w:t>For the purposes of the above items, one aesthetic area is any of the following of the whole face (considered to be divided into six segments):- forehead; right cheek; left cheek; nose; upper lip; and chin.</w:t>
            </w:r>
          </w:p>
          <w:p w14:paraId="37D59136" w14:textId="77777777" w:rsidR="009F4F75" w:rsidRPr="00B0157E" w:rsidRDefault="009F4F75" w:rsidP="00E6612D">
            <w:pPr>
              <w:pStyle w:val="02Tabletext"/>
              <w:spacing w:after="20"/>
              <w:rPr>
                <w:rFonts w:cs="Arial"/>
              </w:rPr>
            </w:pPr>
          </w:p>
          <w:p w14:paraId="173094F1" w14:textId="77777777" w:rsidR="009F4F75" w:rsidRPr="00B0157E" w:rsidRDefault="009F4F75" w:rsidP="00E6612D">
            <w:pPr>
              <w:pStyle w:val="02Tabletext"/>
              <w:spacing w:after="20"/>
              <w:rPr>
                <w:rFonts w:cs="Arial"/>
              </w:rPr>
            </w:pPr>
            <w:r w:rsidRPr="00B0157E">
              <w:rPr>
                <w:rFonts w:cs="Arial"/>
              </w:rPr>
              <w:t>Items 45021 and 45024 cover abrasive therapy only. For the purposes of these items, abrasive therapy requires the removal of the epidermis and into the deeper papillary dermis. Services performed using a laser are not eligible for benefits under these items.</w:t>
            </w:r>
          </w:p>
          <w:p w14:paraId="3DCEB09A" w14:textId="77777777" w:rsidR="009F4F75" w:rsidRPr="00B0157E" w:rsidRDefault="009F4F75" w:rsidP="00E6612D">
            <w:pPr>
              <w:pStyle w:val="02Tabletext"/>
              <w:spacing w:after="20"/>
              <w:rPr>
                <w:rFonts w:cs="Arial"/>
              </w:rPr>
            </w:pPr>
          </w:p>
          <w:p w14:paraId="3D59CFA0" w14:textId="77777777" w:rsidR="009F4F75" w:rsidRPr="00B0157E" w:rsidRDefault="009F4F75" w:rsidP="00E6612D">
            <w:pPr>
              <w:pStyle w:val="02Tabletext"/>
              <w:spacing w:after="20"/>
            </w:pPr>
            <w:r w:rsidRPr="00B0157E">
              <w:rPr>
                <w:rFonts w:cs="Arial"/>
              </w:rPr>
              <w:t>Items 45025 and 45026 do not cover the use of fractio</w:t>
            </w:r>
            <w:r w:rsidRPr="00B0157E">
              <w:t>nal (Fraxel®) laser therapy.</w:t>
            </w:r>
          </w:p>
        </w:tc>
        <w:tc>
          <w:tcPr>
            <w:tcW w:w="770" w:type="pct"/>
            <w:vAlign w:val="center"/>
          </w:tcPr>
          <w:p w14:paraId="397EF222"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48B09B5F" w14:textId="77777777" w:rsidTr="00224863">
        <w:tc>
          <w:tcPr>
            <w:tcW w:w="317" w:type="pct"/>
          </w:tcPr>
          <w:p w14:paraId="07876235" w14:textId="77777777" w:rsidR="009F4F75" w:rsidRPr="00B0157E" w:rsidRDefault="009F4F75" w:rsidP="00E6612D">
            <w:pPr>
              <w:pStyle w:val="02Tabletext"/>
              <w:spacing w:after="20"/>
              <w:rPr>
                <w:rFonts w:cs="Arial"/>
              </w:rPr>
            </w:pPr>
            <w:r w:rsidRPr="00B0157E">
              <w:t>45026</w:t>
            </w:r>
          </w:p>
        </w:tc>
        <w:tc>
          <w:tcPr>
            <w:tcW w:w="1753" w:type="pct"/>
          </w:tcPr>
          <w:p w14:paraId="6FCF3E0D" w14:textId="77777777" w:rsidR="009F4F75" w:rsidRPr="00B0157E" w:rsidRDefault="009F4F75" w:rsidP="00E6612D">
            <w:pPr>
              <w:pStyle w:val="02Tabletext"/>
              <w:spacing w:after="20"/>
              <w:rPr>
                <w:rFonts w:cs="Arial"/>
              </w:rPr>
            </w:pPr>
            <w:r w:rsidRPr="00B0157E">
              <w:t xml:space="preserve"> carbon dioxide laser or erbium laser (not including fractional laser therapy) resurfacing of the face or neck for severely disfiguring scarring resulting from trauma, burns or acne - more than 1 aesthetic area (Anaes.) </w:t>
            </w:r>
          </w:p>
        </w:tc>
        <w:tc>
          <w:tcPr>
            <w:tcW w:w="2160" w:type="pct"/>
          </w:tcPr>
          <w:p w14:paraId="7C8C7EC4" w14:textId="77777777" w:rsidR="009F4F75" w:rsidRPr="00B0157E" w:rsidRDefault="009F4F75" w:rsidP="00E6612D">
            <w:pPr>
              <w:pStyle w:val="02Tabletext"/>
              <w:spacing w:after="20"/>
              <w:rPr>
                <w:rFonts w:cs="Arial"/>
              </w:rPr>
            </w:pPr>
            <w:r w:rsidRPr="00B0157E">
              <w:rPr>
                <w:rFonts w:cs="Arial"/>
              </w:rPr>
              <w:t xml:space="preserve">T8.93 (above) </w:t>
            </w:r>
          </w:p>
        </w:tc>
        <w:tc>
          <w:tcPr>
            <w:tcW w:w="770" w:type="pct"/>
            <w:vAlign w:val="center"/>
          </w:tcPr>
          <w:p w14:paraId="34E823C2" w14:textId="77777777" w:rsidR="009F4F75" w:rsidRPr="00B0157E" w:rsidRDefault="009F4F75" w:rsidP="00E6612D">
            <w:pPr>
              <w:pStyle w:val="02Tabletext"/>
              <w:spacing w:after="20"/>
              <w:rPr>
                <w:rFonts w:cs="Arial"/>
              </w:rPr>
            </w:pPr>
            <w:r w:rsidRPr="00B0157E">
              <w:rPr>
                <w:rFonts w:cs="Arial"/>
              </w:rPr>
              <w:t xml:space="preserve">Change </w:t>
            </w:r>
          </w:p>
        </w:tc>
      </w:tr>
      <w:tr w:rsidR="009F4F75" w:rsidRPr="00B0157E" w14:paraId="7888EEE8" w14:textId="77777777" w:rsidTr="00224863">
        <w:tc>
          <w:tcPr>
            <w:tcW w:w="317" w:type="pct"/>
          </w:tcPr>
          <w:p w14:paraId="3A4579CF" w14:textId="77777777" w:rsidR="009F4F75" w:rsidRPr="00B0157E" w:rsidRDefault="009F4F75" w:rsidP="00E6612D">
            <w:pPr>
              <w:pStyle w:val="02Tabletext"/>
              <w:spacing w:after="20"/>
              <w:rPr>
                <w:rFonts w:cs="Arial"/>
              </w:rPr>
            </w:pPr>
            <w:r w:rsidRPr="00B0157E">
              <w:lastRenderedPageBreak/>
              <w:t>45652</w:t>
            </w:r>
          </w:p>
        </w:tc>
        <w:tc>
          <w:tcPr>
            <w:tcW w:w="1753" w:type="pct"/>
          </w:tcPr>
          <w:p w14:paraId="165EBC10" w14:textId="77777777" w:rsidR="009F4F75" w:rsidRPr="00B0157E" w:rsidRDefault="009F4F75" w:rsidP="00E6612D">
            <w:pPr>
              <w:pStyle w:val="02Tabletext"/>
              <w:spacing w:after="20"/>
              <w:rPr>
                <w:rFonts w:cs="Arial"/>
              </w:rPr>
            </w:pPr>
            <w:r w:rsidRPr="00B0157E">
              <w:t xml:space="preserve"> Rhinophyma, carbon dioxide laser or erbium laser excision-ablation of (Anaes.) </w:t>
            </w:r>
          </w:p>
        </w:tc>
        <w:tc>
          <w:tcPr>
            <w:tcW w:w="2160" w:type="pct"/>
          </w:tcPr>
          <w:p w14:paraId="4B617EB0" w14:textId="77777777" w:rsidR="009F4F75" w:rsidRPr="00B0157E" w:rsidRDefault="009F4F75" w:rsidP="00E6612D">
            <w:pPr>
              <w:pStyle w:val="02Tabletext"/>
              <w:spacing w:after="20"/>
              <w:rPr>
                <w:rFonts w:cs="Arial"/>
              </w:rPr>
            </w:pPr>
            <w:r w:rsidRPr="00B0157E">
              <w:rPr>
                <w:rFonts w:cs="Arial"/>
              </w:rPr>
              <w:t>N/A</w:t>
            </w:r>
          </w:p>
        </w:tc>
        <w:tc>
          <w:tcPr>
            <w:tcW w:w="770" w:type="pct"/>
            <w:vAlign w:val="center"/>
          </w:tcPr>
          <w:p w14:paraId="76460DB6" w14:textId="77777777" w:rsidR="009F4F75" w:rsidRPr="00B0157E" w:rsidRDefault="009F4F75" w:rsidP="00E6612D">
            <w:pPr>
              <w:pStyle w:val="02Tabletext"/>
              <w:spacing w:after="20"/>
              <w:rPr>
                <w:rFonts w:cs="Arial"/>
              </w:rPr>
            </w:pPr>
            <w:r w:rsidRPr="00B0157E">
              <w:rPr>
                <w:rFonts w:cs="Arial"/>
              </w:rPr>
              <w:t>Change</w:t>
            </w:r>
          </w:p>
        </w:tc>
      </w:tr>
      <w:tr w:rsidR="009F4F75" w:rsidRPr="00B0157E" w14:paraId="60F4C1F4" w14:textId="77777777" w:rsidTr="00224863">
        <w:tc>
          <w:tcPr>
            <w:tcW w:w="317" w:type="pct"/>
          </w:tcPr>
          <w:p w14:paraId="38423AC9" w14:textId="77777777" w:rsidR="009F4F75" w:rsidRPr="00B0157E" w:rsidRDefault="009F4F75" w:rsidP="00E6612D">
            <w:pPr>
              <w:pStyle w:val="02Tabletext"/>
              <w:spacing w:after="20"/>
              <w:rPr>
                <w:rFonts w:cs="Arial"/>
              </w:rPr>
            </w:pPr>
            <w:r w:rsidRPr="00B0157E">
              <w:t>45669</w:t>
            </w:r>
          </w:p>
        </w:tc>
        <w:tc>
          <w:tcPr>
            <w:tcW w:w="1753" w:type="pct"/>
          </w:tcPr>
          <w:p w14:paraId="5FD5F846" w14:textId="77777777" w:rsidR="009F4F75" w:rsidRPr="00B0157E" w:rsidRDefault="009F4F75" w:rsidP="00E6612D">
            <w:pPr>
              <w:pStyle w:val="02Tabletext"/>
              <w:spacing w:after="20"/>
              <w:rPr>
                <w:rFonts w:cs="Arial"/>
              </w:rPr>
            </w:pPr>
            <w:r w:rsidRPr="00B0157E">
              <w:t xml:space="preserve"> Vermilionectomy, using carbon dioxide laser or erbium laser excision-ablation (Anaes.) </w:t>
            </w:r>
          </w:p>
        </w:tc>
        <w:tc>
          <w:tcPr>
            <w:tcW w:w="2160" w:type="pct"/>
          </w:tcPr>
          <w:p w14:paraId="2EA28BAB" w14:textId="77777777" w:rsidR="009F4F75" w:rsidRPr="00B0157E" w:rsidRDefault="009F4F75" w:rsidP="00E6612D">
            <w:pPr>
              <w:pStyle w:val="02Tabletext"/>
              <w:spacing w:after="20"/>
              <w:rPr>
                <w:rFonts w:cs="Arial"/>
              </w:rPr>
            </w:pPr>
            <w:r w:rsidRPr="00B0157E">
              <w:rPr>
                <w:rFonts w:cs="Arial"/>
              </w:rPr>
              <w:t>T8.108</w:t>
            </w:r>
          </w:p>
          <w:p w14:paraId="2CD4EABA" w14:textId="77777777" w:rsidR="009F4F75" w:rsidRPr="00B0157E" w:rsidRDefault="009F4F75" w:rsidP="00E6612D">
            <w:pPr>
              <w:pStyle w:val="02Tabletext"/>
              <w:spacing w:after="20"/>
              <w:rPr>
                <w:rFonts w:cs="Arial"/>
              </w:rPr>
            </w:pPr>
            <w:r w:rsidRPr="00B0157E">
              <w:rPr>
                <w:rFonts w:cs="Arial"/>
              </w:rPr>
              <w:t>Item 45669 covers treatment of the entire lip.</w:t>
            </w:r>
          </w:p>
          <w:p w14:paraId="7F3D9F9B" w14:textId="77777777" w:rsidR="009F4F75" w:rsidRPr="00B0157E" w:rsidRDefault="009F4F75" w:rsidP="00E6612D">
            <w:pPr>
              <w:rPr>
                <w:lang w:val="en-AU"/>
              </w:rPr>
            </w:pPr>
          </w:p>
        </w:tc>
        <w:tc>
          <w:tcPr>
            <w:tcW w:w="770" w:type="pct"/>
            <w:vAlign w:val="center"/>
          </w:tcPr>
          <w:p w14:paraId="7A210CCB" w14:textId="77777777" w:rsidR="009F4F75" w:rsidRPr="00B0157E" w:rsidRDefault="009F4F75" w:rsidP="00E6612D">
            <w:pPr>
              <w:pStyle w:val="02Tabletext"/>
              <w:spacing w:after="20"/>
              <w:rPr>
                <w:rFonts w:cs="Arial"/>
              </w:rPr>
            </w:pPr>
            <w:r w:rsidRPr="00B0157E">
              <w:rPr>
                <w:rFonts w:cs="Arial"/>
              </w:rPr>
              <w:t>Change</w:t>
            </w:r>
          </w:p>
        </w:tc>
      </w:tr>
      <w:tr w:rsidR="009F4F75" w:rsidRPr="00B0157E" w14:paraId="7D7AD33C" w14:textId="77777777" w:rsidTr="00224863">
        <w:tc>
          <w:tcPr>
            <w:tcW w:w="317" w:type="pct"/>
            <w:vAlign w:val="center"/>
          </w:tcPr>
          <w:p w14:paraId="28C1915F" w14:textId="77777777" w:rsidR="009F4F75" w:rsidRPr="00B0157E" w:rsidRDefault="009F4F75" w:rsidP="00E6612D">
            <w:pPr>
              <w:pStyle w:val="02Tabletext"/>
              <w:spacing w:after="20"/>
              <w:rPr>
                <w:rFonts w:cs="Arial"/>
              </w:rPr>
            </w:pPr>
            <w:r w:rsidRPr="00B0157E">
              <w:rPr>
                <w:rFonts w:cs="Arial"/>
              </w:rPr>
              <w:t>53600</w:t>
            </w:r>
          </w:p>
        </w:tc>
        <w:tc>
          <w:tcPr>
            <w:tcW w:w="1753" w:type="pct"/>
          </w:tcPr>
          <w:p w14:paraId="24F2BA49" w14:textId="77777777" w:rsidR="009F4F75" w:rsidRPr="00B0157E" w:rsidRDefault="009F4F75" w:rsidP="00E6612D">
            <w:pPr>
              <w:pStyle w:val="02Tabletext"/>
              <w:spacing w:after="20"/>
              <w:rPr>
                <w:rFonts w:cs="Arial"/>
              </w:rPr>
            </w:pPr>
            <w:r w:rsidRPr="00B0157E">
              <w:rPr>
                <w:rFonts w:cs="Arial"/>
              </w:rPr>
              <w:t>Skin sensitivity testing for allergens to anaesthetics and materials used in OMS surgery, using 1 to 20 allergens.</w:t>
            </w:r>
          </w:p>
        </w:tc>
        <w:tc>
          <w:tcPr>
            <w:tcW w:w="2160" w:type="pct"/>
          </w:tcPr>
          <w:p w14:paraId="0EE15505" w14:textId="77777777" w:rsidR="009F4F75" w:rsidRPr="00B0157E" w:rsidRDefault="009F4F75" w:rsidP="00E6612D">
            <w:pPr>
              <w:pStyle w:val="02Tabletext"/>
              <w:spacing w:after="20"/>
              <w:rPr>
                <w:rFonts w:cs="Arial"/>
              </w:rPr>
            </w:pPr>
            <w:r w:rsidRPr="00B0157E">
              <w:rPr>
                <w:rFonts w:cs="Arial"/>
              </w:rPr>
              <w:t>OM4.11</w:t>
            </w:r>
          </w:p>
          <w:p w14:paraId="758753C4" w14:textId="77777777" w:rsidR="009F4F75" w:rsidRPr="00B0157E" w:rsidRDefault="009F4F75" w:rsidP="00E6612D">
            <w:pPr>
              <w:pStyle w:val="02Tabletext"/>
              <w:spacing w:after="20"/>
              <w:rPr>
                <w:rFonts w:cs="Arial"/>
              </w:rPr>
            </w:pPr>
            <w:r w:rsidRPr="00B0157E">
              <w:rPr>
                <w:rFonts w:cs="Arial"/>
              </w:rPr>
              <w:t>Skin Sensitivity Testing – (Item 53600)</w:t>
            </w:r>
          </w:p>
          <w:p w14:paraId="63A573D2" w14:textId="77777777" w:rsidR="009F4F75" w:rsidRPr="00B0157E" w:rsidRDefault="009F4F75" w:rsidP="00E6612D">
            <w:pPr>
              <w:pStyle w:val="02Tabletext"/>
              <w:spacing w:after="20"/>
              <w:rPr>
                <w:rFonts w:cs="Arial"/>
              </w:rPr>
            </w:pPr>
            <w:r w:rsidRPr="00B0157E">
              <w:rPr>
                <w:rFonts w:cs="Arial"/>
              </w:rPr>
              <w:t>The allergens are local anaesthetics and the contents of anaesthetic capsules, acrylic and other polymers and metals.</w:t>
            </w:r>
          </w:p>
          <w:p w14:paraId="5D593599" w14:textId="77777777" w:rsidR="009F4F75" w:rsidRPr="00B0157E" w:rsidRDefault="009F4F75" w:rsidP="00E6612D">
            <w:pPr>
              <w:pStyle w:val="02Tabletext"/>
              <w:spacing w:after="20"/>
              <w:rPr>
                <w:rFonts w:cs="Arial"/>
              </w:rPr>
            </w:pPr>
            <w:r w:rsidRPr="00B0157E">
              <w:rPr>
                <w:rFonts w:cs="Arial"/>
              </w:rPr>
              <w:t>Related Items: 53600.</w:t>
            </w:r>
          </w:p>
        </w:tc>
        <w:tc>
          <w:tcPr>
            <w:tcW w:w="770" w:type="pct"/>
            <w:vAlign w:val="center"/>
          </w:tcPr>
          <w:p w14:paraId="426A2784" w14:textId="77777777" w:rsidR="009F4F75" w:rsidRPr="00B0157E" w:rsidRDefault="009F4F75" w:rsidP="00E6612D">
            <w:pPr>
              <w:pStyle w:val="02Tabletext"/>
              <w:spacing w:after="20"/>
              <w:rPr>
                <w:rFonts w:cs="Arial"/>
              </w:rPr>
            </w:pPr>
            <w:r w:rsidRPr="00B0157E">
              <w:rPr>
                <w:rFonts w:cs="Arial"/>
              </w:rPr>
              <w:t xml:space="preserve">Delete </w:t>
            </w:r>
          </w:p>
        </w:tc>
      </w:tr>
    </w:tbl>
    <w:p w14:paraId="6C068E4B" w14:textId="77777777" w:rsidR="0009169E" w:rsidRPr="00B0157E" w:rsidRDefault="0009169E" w:rsidP="0009169E">
      <w:pPr>
        <w:rPr>
          <w:lang w:val="en-AU"/>
        </w:rPr>
      </w:pPr>
    </w:p>
    <w:p w14:paraId="528DC9DB" w14:textId="77777777" w:rsidR="003B3982" w:rsidRPr="00B0157E" w:rsidRDefault="003B3982" w:rsidP="00C33ED9">
      <w:pPr>
        <w:rPr>
          <w:lang w:val="en-AU"/>
        </w:rPr>
      </w:pPr>
    </w:p>
    <w:p w14:paraId="2485C514" w14:textId="77777777" w:rsidR="00873079" w:rsidRDefault="00873079" w:rsidP="00C33ED9">
      <w:pPr>
        <w:rPr>
          <w:lang w:val="en-AU"/>
        </w:rPr>
      </w:pPr>
    </w:p>
    <w:p w14:paraId="3AE66709" w14:textId="77777777" w:rsidR="00441F0C" w:rsidRDefault="00873079">
      <w:pPr>
        <w:spacing w:before="0" w:after="0"/>
        <w:rPr>
          <w:lang w:val="en-AU"/>
        </w:rPr>
        <w:sectPr w:rsidR="00441F0C" w:rsidSect="00D34B88">
          <w:type w:val="continuous"/>
          <w:pgSz w:w="11906" w:h="16838" w:code="9"/>
          <w:pgMar w:top="1440" w:right="1440" w:bottom="1276" w:left="1440" w:header="720" w:footer="720" w:gutter="0"/>
          <w:paperSrc w:first="2" w:other="2"/>
          <w:pgNumType w:start="1"/>
          <w:cols w:space="720"/>
          <w:docGrid w:linePitch="326"/>
        </w:sectPr>
      </w:pPr>
      <w:r>
        <w:rPr>
          <w:lang w:val="en-AU"/>
        </w:rPr>
        <w:br w:type="page"/>
      </w:r>
    </w:p>
    <w:p w14:paraId="340B84C9" w14:textId="77777777" w:rsidR="00960389" w:rsidRDefault="00960389" w:rsidP="00960389">
      <w:pPr>
        <w:pStyle w:val="AppendixStyle1"/>
      </w:pPr>
      <w:bookmarkStart w:id="218" w:name="_Ref463869525"/>
      <w:bookmarkStart w:id="219" w:name="_Toc465871890"/>
      <w:r>
        <w:lastRenderedPageBreak/>
        <w:t>Consumer Summary Table</w:t>
      </w:r>
      <w:bookmarkEnd w:id="218"/>
      <w:bookmarkEnd w:id="219"/>
    </w:p>
    <w:p w14:paraId="38F1D58E" w14:textId="77777777" w:rsidR="00441F0C" w:rsidRDefault="00441F0C" w:rsidP="00441F0C">
      <w:pPr>
        <w:rPr>
          <w:lang w:val="en-AU"/>
        </w:rPr>
      </w:pPr>
      <w:r w:rsidRPr="00FC1976">
        <w:rPr>
          <w:lang w:val="en-AU"/>
        </w:rPr>
        <w:t>Th</w:t>
      </w:r>
      <w:r>
        <w:rPr>
          <w:lang w:val="en-AU"/>
        </w:rPr>
        <w:t>i</w:t>
      </w:r>
      <w:r w:rsidRPr="00FC1976">
        <w:rPr>
          <w:lang w:val="en-AU"/>
        </w:rPr>
        <w:t xml:space="preserve">s </w:t>
      </w:r>
      <w:r>
        <w:rPr>
          <w:lang w:val="en-AU"/>
        </w:rPr>
        <w:t>section includes tables which describe</w:t>
      </w:r>
      <w:r w:rsidRPr="00FC1976">
        <w:rPr>
          <w:lang w:val="en-AU"/>
        </w:rPr>
        <w:t xml:space="preserve"> the medical service,</w:t>
      </w:r>
      <w:r>
        <w:rPr>
          <w:lang w:val="en-AU"/>
        </w:rPr>
        <w:t xml:space="preserve"> the</w:t>
      </w:r>
      <w:r w:rsidRPr="00FC1976">
        <w:rPr>
          <w:lang w:val="en-AU"/>
        </w:rPr>
        <w:t xml:space="preserve"> recommendation</w:t>
      </w:r>
      <w:r>
        <w:rPr>
          <w:lang w:val="en-AU"/>
        </w:rPr>
        <w:t>(</w:t>
      </w:r>
      <w:r w:rsidRPr="00FC1976">
        <w:rPr>
          <w:lang w:val="en-AU"/>
        </w:rPr>
        <w:t>s</w:t>
      </w:r>
      <w:r>
        <w:rPr>
          <w:lang w:val="en-AU"/>
        </w:rPr>
        <w:t>)</w:t>
      </w:r>
      <w:r w:rsidRPr="00FC1976">
        <w:rPr>
          <w:lang w:val="en-AU"/>
        </w:rPr>
        <w:t xml:space="preserve"> of the </w:t>
      </w:r>
      <w:r>
        <w:rPr>
          <w:lang w:val="en-AU"/>
        </w:rPr>
        <w:t>c</w:t>
      </w:r>
      <w:r w:rsidRPr="00FC1976">
        <w:rPr>
          <w:lang w:val="en-AU"/>
        </w:rPr>
        <w:t xml:space="preserve">linical </w:t>
      </w:r>
      <w:r>
        <w:rPr>
          <w:lang w:val="en-AU"/>
        </w:rPr>
        <w:t>e</w:t>
      </w:r>
      <w:r w:rsidRPr="00FC1976">
        <w:rPr>
          <w:lang w:val="en-AU"/>
        </w:rPr>
        <w:t>xperts and why the recommendation</w:t>
      </w:r>
      <w:r>
        <w:rPr>
          <w:lang w:val="en-AU"/>
        </w:rPr>
        <w:t>(s)</w:t>
      </w:r>
      <w:r w:rsidRPr="00FC1976">
        <w:rPr>
          <w:lang w:val="en-AU"/>
        </w:rPr>
        <w:t xml:space="preserve"> has been made.</w:t>
      </w:r>
    </w:p>
    <w:p w14:paraId="706C412A" w14:textId="40DAD1B4" w:rsidR="00803577" w:rsidRDefault="00803577" w:rsidP="00803577">
      <w:pPr>
        <w:pStyle w:val="Caption"/>
      </w:pPr>
      <w:r>
        <w:t xml:space="preserve">Recommendation </w:t>
      </w:r>
      <w:r>
        <w:fldChar w:fldCharType="begin"/>
      </w:r>
      <w:r>
        <w:instrText xml:space="preserve"> SEQ Recommendation \* ARABIC </w:instrText>
      </w:r>
      <w:r>
        <w:fldChar w:fldCharType="separate"/>
      </w:r>
      <w:r>
        <w:rPr>
          <w:noProof/>
        </w:rPr>
        <w:t>1</w:t>
      </w:r>
      <w:r>
        <w:fldChar w:fldCharType="end"/>
      </w:r>
      <w:r>
        <w:t xml:space="preserve">: </w:t>
      </w:r>
      <w:r w:rsidRPr="00F21F6E">
        <w:t>Whole body cabinet phototherapy</w:t>
      </w:r>
    </w:p>
    <w:tbl>
      <w:tblPr>
        <w:tblStyle w:val="TableGrid"/>
        <w:tblW w:w="13277"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1 table describes the recommendation for whole body cabinet phototherapy in less technical language. This table contains 5 column headings: column 1. list of items, column 2. What it does, column 3. Committee Recommendation, column 4. What would be different and column 5 Why."/>
      </w:tblPr>
      <w:tblGrid>
        <w:gridCol w:w="2126"/>
        <w:gridCol w:w="3118"/>
        <w:gridCol w:w="1938"/>
        <w:gridCol w:w="2977"/>
        <w:gridCol w:w="3118"/>
      </w:tblGrid>
      <w:tr w:rsidR="00441F0C" w:rsidRPr="00E577E0" w14:paraId="41AB2FA9" w14:textId="77777777" w:rsidTr="00803577">
        <w:trPr>
          <w:cantSplit/>
          <w:tblHeader/>
        </w:trPr>
        <w:tc>
          <w:tcPr>
            <w:tcW w:w="2126" w:type="dxa"/>
          </w:tcPr>
          <w:p w14:paraId="7B914CD5"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103D8E8E"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1938" w:type="dxa"/>
          </w:tcPr>
          <w:p w14:paraId="249284C7"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23FC79B2"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27D56C5F"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2FBA8C48" w14:textId="77777777" w:rsidTr="00686BFB">
        <w:trPr>
          <w:cantSplit/>
        </w:trPr>
        <w:tc>
          <w:tcPr>
            <w:tcW w:w="2126" w:type="dxa"/>
          </w:tcPr>
          <w:p w14:paraId="5F50343E" w14:textId="77777777" w:rsidR="00441F0C" w:rsidRPr="00E577E0" w:rsidRDefault="00441F0C" w:rsidP="00686BFB">
            <w:pPr>
              <w:spacing w:before="20" w:after="20"/>
              <w:rPr>
                <w:rFonts w:ascii="Arial" w:eastAsiaTheme="minorHAnsi" w:hAnsi="Arial" w:cs="Arial"/>
                <w:sz w:val="18"/>
                <w:szCs w:val="18"/>
                <w:lang w:eastAsia="en-US"/>
              </w:rPr>
            </w:pPr>
            <w:r w:rsidRPr="00E577E0">
              <w:rPr>
                <w:rFonts w:ascii="Arial" w:eastAsiaTheme="minorHAnsi" w:hAnsi="Arial" w:cs="Arial"/>
                <w:sz w:val="18"/>
                <w:szCs w:val="18"/>
                <w:lang w:eastAsia="en-US"/>
              </w:rPr>
              <w:t>Replace and modify items 14050, 14053</w:t>
            </w:r>
          </w:p>
          <w:p w14:paraId="22F1242A" w14:textId="77777777" w:rsidR="00441F0C" w:rsidRPr="00E577E0" w:rsidRDefault="00441F0C" w:rsidP="00686BFB">
            <w:pPr>
              <w:spacing w:before="200"/>
              <w:rPr>
                <w:rFonts w:ascii="Arial" w:eastAsiaTheme="minorHAnsi" w:hAnsi="Arial" w:cs="Arial"/>
                <w:sz w:val="18"/>
                <w:szCs w:val="18"/>
                <w:lang w:eastAsia="en-US"/>
              </w:rPr>
            </w:pPr>
            <w:r w:rsidRPr="00E577E0">
              <w:rPr>
                <w:rFonts w:ascii="Arial" w:eastAsiaTheme="minorHAnsi" w:hAnsi="Arial" w:cs="Arial"/>
                <w:sz w:val="18"/>
                <w:szCs w:val="18"/>
                <w:lang w:eastAsia="en-US"/>
              </w:rPr>
              <w:t>New item – single item that includes therapy administered in a whole body cabinet or hand and foot cabinet, limited to 150 treatments per year with Dermatologist involvement</w:t>
            </w:r>
          </w:p>
          <w:p w14:paraId="1805197B" w14:textId="77777777" w:rsidR="00441F0C" w:rsidRPr="00E577E0" w:rsidRDefault="00441F0C" w:rsidP="00686BFB">
            <w:pPr>
              <w:spacing w:before="200"/>
              <w:jc w:val="center"/>
              <w:rPr>
                <w:rFonts w:ascii="Arial" w:hAnsi="Arial" w:cs="Arial"/>
                <w:sz w:val="18"/>
                <w:szCs w:val="18"/>
                <w:lang w:eastAsia="en-US"/>
              </w:rPr>
            </w:pPr>
          </w:p>
          <w:p w14:paraId="16AF3C55" w14:textId="77777777" w:rsidR="00441F0C" w:rsidRPr="00E577E0" w:rsidRDefault="00441F0C" w:rsidP="00686BFB">
            <w:pPr>
              <w:spacing w:before="200"/>
              <w:rPr>
                <w:rFonts w:ascii="Arial" w:hAnsi="Arial" w:cs="Arial"/>
                <w:sz w:val="18"/>
                <w:szCs w:val="18"/>
                <w:lang w:eastAsia="en-US"/>
              </w:rPr>
            </w:pPr>
          </w:p>
        </w:tc>
        <w:tc>
          <w:tcPr>
            <w:tcW w:w="3118" w:type="dxa"/>
          </w:tcPr>
          <w:p w14:paraId="5BAA48A4" w14:textId="77777777" w:rsidR="00441F0C" w:rsidRPr="00E577E0" w:rsidRDefault="00441F0C" w:rsidP="00686BFB">
            <w:pPr>
              <w:spacing w:before="20" w:after="20"/>
              <w:rPr>
                <w:rFonts w:ascii="Arial" w:eastAsiaTheme="minorHAnsi" w:hAnsi="Arial" w:cs="Arial"/>
                <w:sz w:val="18"/>
                <w:szCs w:val="18"/>
                <w:lang w:eastAsia="en-US"/>
              </w:rPr>
            </w:pPr>
            <w:r w:rsidRPr="00E577E0">
              <w:rPr>
                <w:rFonts w:ascii="Arial" w:eastAsiaTheme="minorHAnsi" w:hAnsi="Arial" w:cs="Arial"/>
                <w:sz w:val="18"/>
                <w:szCs w:val="18"/>
                <w:lang w:eastAsia="en-US"/>
              </w:rPr>
              <w:t>The new item will provide funding for the delivery of UVA or UVB phototherapy administered in a whole body cabinet or hand and foot cabinet, including associated consultations other than the initial consultation.</w:t>
            </w:r>
          </w:p>
          <w:p w14:paraId="2EB1AB86" w14:textId="77777777" w:rsidR="00441F0C" w:rsidRPr="00E577E0" w:rsidRDefault="00441F0C" w:rsidP="00686BFB">
            <w:pPr>
              <w:spacing w:before="200"/>
              <w:rPr>
                <w:rFonts w:ascii="Arial" w:hAnsi="Arial" w:cs="Arial"/>
                <w:sz w:val="18"/>
                <w:szCs w:val="18"/>
                <w:lang w:eastAsia="en-US"/>
              </w:rPr>
            </w:pPr>
            <w:r w:rsidRPr="00E577E0">
              <w:rPr>
                <w:rFonts w:ascii="Arial" w:hAnsi="Arial" w:cs="Arial"/>
                <w:sz w:val="18"/>
                <w:szCs w:val="18"/>
                <w:lang w:eastAsia="en-US"/>
              </w:rPr>
              <w:t>Treatments must be initiated and supervised by a Dermatologist, and limited to 150 treatments per patient per year. Narrow band UVB should be the preferred option except in specific conditions.</w:t>
            </w:r>
          </w:p>
          <w:p w14:paraId="710DF564" w14:textId="77777777" w:rsidR="00441F0C" w:rsidRPr="00E577E0" w:rsidRDefault="00441F0C" w:rsidP="00686BFB">
            <w:pPr>
              <w:spacing w:before="20" w:after="20"/>
              <w:rPr>
                <w:rFonts w:ascii="Arial" w:eastAsiaTheme="minorHAnsi" w:hAnsi="Arial" w:cs="Arial"/>
                <w:sz w:val="18"/>
                <w:szCs w:val="18"/>
                <w:lang w:eastAsia="en-US"/>
              </w:rPr>
            </w:pPr>
          </w:p>
          <w:p w14:paraId="3F8BE2A2" w14:textId="77777777" w:rsidR="00441F0C" w:rsidRPr="00E577E0" w:rsidRDefault="00441F0C" w:rsidP="00686BFB">
            <w:pPr>
              <w:spacing w:before="20" w:after="20"/>
              <w:rPr>
                <w:rFonts w:ascii="Arial" w:eastAsiaTheme="minorHAnsi" w:hAnsi="Arial" w:cs="Arial"/>
                <w:sz w:val="18"/>
                <w:szCs w:val="18"/>
                <w:lang w:eastAsia="en-US"/>
              </w:rPr>
            </w:pPr>
          </w:p>
        </w:tc>
        <w:tc>
          <w:tcPr>
            <w:tcW w:w="1938" w:type="dxa"/>
          </w:tcPr>
          <w:p w14:paraId="74822A81" w14:textId="77777777" w:rsidR="00441F0C" w:rsidRPr="00E577E0" w:rsidRDefault="00441F0C" w:rsidP="00686BFB">
            <w:pPr>
              <w:spacing w:before="20" w:after="20"/>
              <w:rPr>
                <w:rFonts w:ascii="Arial" w:eastAsiaTheme="minorHAnsi" w:hAnsi="Arial" w:cs="Arial"/>
                <w:sz w:val="18"/>
                <w:szCs w:val="18"/>
                <w:lang w:eastAsia="en-US"/>
              </w:rPr>
            </w:pPr>
            <w:r w:rsidRPr="00E577E0">
              <w:rPr>
                <w:rFonts w:ascii="Arial" w:eastAsiaTheme="minorHAnsi" w:hAnsi="Arial" w:cs="Arial"/>
                <w:sz w:val="18"/>
                <w:szCs w:val="18"/>
                <w:lang w:eastAsia="en-US"/>
              </w:rPr>
              <w:t>Introduce a new MBS item (see full report for detail)</w:t>
            </w:r>
          </w:p>
        </w:tc>
        <w:tc>
          <w:tcPr>
            <w:tcW w:w="2977" w:type="dxa"/>
          </w:tcPr>
          <w:p w14:paraId="40A585E8" w14:textId="77777777" w:rsidR="00441F0C" w:rsidRPr="00E577E0" w:rsidRDefault="00441F0C" w:rsidP="00686BFB">
            <w:pPr>
              <w:spacing w:before="20" w:after="20"/>
              <w:rPr>
                <w:rFonts w:ascii="Arial" w:eastAsiaTheme="minorHAnsi" w:hAnsi="Arial" w:cs="Arial"/>
                <w:sz w:val="18"/>
                <w:szCs w:val="18"/>
                <w:lang w:eastAsia="en-US"/>
              </w:rPr>
            </w:pPr>
            <w:r w:rsidRPr="00E577E0">
              <w:rPr>
                <w:rFonts w:ascii="Arial" w:eastAsiaTheme="minorHAnsi" w:hAnsi="Arial" w:cs="Arial"/>
                <w:sz w:val="18"/>
                <w:szCs w:val="18"/>
                <w:lang w:eastAsia="en-US"/>
              </w:rPr>
              <w:t>There would be an annual treatment limit and the requirement of a Dermatologist’s involvement in the initiation and supervision of the phototherapy.</w:t>
            </w:r>
          </w:p>
          <w:p w14:paraId="290EF69D" w14:textId="77777777" w:rsidR="00441F0C" w:rsidRPr="00E577E0" w:rsidRDefault="00441F0C" w:rsidP="00686BFB">
            <w:pPr>
              <w:spacing w:before="200"/>
              <w:rPr>
                <w:rFonts w:ascii="Arial" w:hAnsi="Arial" w:cs="Arial"/>
                <w:sz w:val="18"/>
                <w:szCs w:val="18"/>
                <w:lang w:eastAsia="en-US"/>
              </w:rPr>
            </w:pPr>
            <w:r w:rsidRPr="00E577E0">
              <w:rPr>
                <w:rFonts w:ascii="Arial" w:hAnsi="Arial" w:cs="Arial"/>
                <w:sz w:val="18"/>
                <w:szCs w:val="18"/>
                <w:lang w:eastAsia="en-US"/>
              </w:rPr>
              <w:t>There would be no cost impact on patients since the original items received identical reimbursement values. The administration cap would prevent patients from receiving numbers of treatments that are not shown to be beneficial.</w:t>
            </w:r>
          </w:p>
        </w:tc>
        <w:tc>
          <w:tcPr>
            <w:tcW w:w="3118" w:type="dxa"/>
          </w:tcPr>
          <w:p w14:paraId="3E17BD00" w14:textId="77777777" w:rsidR="00441F0C" w:rsidRPr="00E577E0" w:rsidRDefault="00441F0C" w:rsidP="00686BFB">
            <w:pPr>
              <w:spacing w:before="20" w:after="20"/>
              <w:rPr>
                <w:rFonts w:ascii="Arial" w:eastAsiaTheme="minorHAnsi" w:hAnsi="Arial" w:cs="Arial"/>
                <w:sz w:val="18"/>
                <w:szCs w:val="18"/>
                <w:lang w:eastAsia="en-US"/>
              </w:rPr>
            </w:pPr>
            <w:r w:rsidRPr="00E577E0">
              <w:rPr>
                <w:rFonts w:ascii="Arial" w:eastAsiaTheme="minorHAnsi" w:hAnsi="Arial" w:cs="Arial"/>
                <w:sz w:val="18"/>
                <w:szCs w:val="18"/>
                <w:lang w:eastAsia="en-US"/>
              </w:rPr>
              <w:t>This change will improve patient safety by reducing the risk of over-exposure to UV treatment, which may cause skin cancer. There is also no requirement for two different item numbers.</w:t>
            </w:r>
          </w:p>
        </w:tc>
      </w:tr>
    </w:tbl>
    <w:p w14:paraId="22A4737C" w14:textId="77777777" w:rsidR="00322D58" w:rsidRDefault="00322D58" w:rsidP="00441F0C">
      <w:pPr>
        <w:spacing w:before="200"/>
      </w:pPr>
    </w:p>
    <w:p w14:paraId="19EF20E9" w14:textId="77777777" w:rsidR="00322D58" w:rsidRDefault="00322D58">
      <w:pPr>
        <w:spacing w:before="0" w:after="0"/>
      </w:pPr>
      <w:r>
        <w:br w:type="page"/>
      </w:r>
    </w:p>
    <w:p w14:paraId="07A143E0" w14:textId="41BFC0B7" w:rsidR="00803577" w:rsidRDefault="00803577" w:rsidP="00803577">
      <w:pPr>
        <w:pStyle w:val="Caption"/>
      </w:pPr>
      <w:r>
        <w:lastRenderedPageBreak/>
        <w:t xml:space="preserve">Recommendation </w:t>
      </w:r>
      <w:r>
        <w:fldChar w:fldCharType="begin"/>
      </w:r>
      <w:r>
        <w:instrText xml:space="preserve"> SEQ Recommendation \* ARABIC </w:instrText>
      </w:r>
      <w:r>
        <w:fldChar w:fldCharType="separate"/>
      </w:r>
      <w:r>
        <w:rPr>
          <w:noProof/>
        </w:rPr>
        <w:t>2</w:t>
      </w:r>
      <w:r>
        <w:fldChar w:fldCharType="end"/>
      </w:r>
      <w:r>
        <w:t xml:space="preserve">: </w:t>
      </w:r>
      <w:r w:rsidRPr="00416DA8">
        <w:t>Beni</w:t>
      </w:r>
      <w:r>
        <w:t>gn and malignant skin neoplasms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2 table describes the recommendation for benign skin neoplasms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2642D8CC" w14:textId="77777777" w:rsidTr="00803577">
        <w:trPr>
          <w:cantSplit/>
          <w:tblHeader/>
        </w:trPr>
        <w:tc>
          <w:tcPr>
            <w:tcW w:w="2126" w:type="dxa"/>
          </w:tcPr>
          <w:p w14:paraId="2C93E843" w14:textId="77777777" w:rsidR="00441F0C" w:rsidRPr="00E577E0" w:rsidRDefault="00441F0C" w:rsidP="00E6612D">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414212B4" w14:textId="77777777" w:rsidR="00441F0C" w:rsidRPr="00E577E0" w:rsidRDefault="00441F0C" w:rsidP="00E6612D">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1ED45E5B" w14:textId="77777777" w:rsidR="00441F0C" w:rsidRPr="00E577E0" w:rsidRDefault="00441F0C" w:rsidP="00E6612D">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5434902A" w14:textId="77777777" w:rsidR="00441F0C" w:rsidRPr="00E577E0" w:rsidRDefault="00441F0C" w:rsidP="00E6612D">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7F8B838E" w14:textId="77777777" w:rsidR="00441F0C" w:rsidRPr="00E577E0" w:rsidRDefault="00441F0C" w:rsidP="00E6612D">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403B3695" w14:textId="77777777" w:rsidTr="00E6612D">
        <w:trPr>
          <w:cantSplit/>
        </w:trPr>
        <w:tc>
          <w:tcPr>
            <w:tcW w:w="2126" w:type="dxa"/>
          </w:tcPr>
          <w:p w14:paraId="6D83C779"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Remove item 30195 — Treatment of a benign skin neoplasm (with exceptions) by destructive means.</w:t>
            </w:r>
          </w:p>
          <w:p w14:paraId="73886417" w14:textId="77777777" w:rsidR="00441F0C" w:rsidRPr="00E577E0" w:rsidRDefault="00441F0C" w:rsidP="00E6612D">
            <w:pPr>
              <w:spacing w:before="200"/>
              <w:rPr>
                <w:lang w:val="en-AU" w:eastAsia="en-US"/>
              </w:rPr>
            </w:pPr>
          </w:p>
        </w:tc>
        <w:tc>
          <w:tcPr>
            <w:tcW w:w="3118" w:type="dxa"/>
          </w:tcPr>
          <w:p w14:paraId="5274BF5D"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 xml:space="preserve">Removing a lesion that is believed to be low-risk, by destroying it using electricity, cutting or laser treatment. </w:t>
            </w:r>
          </w:p>
        </w:tc>
        <w:tc>
          <w:tcPr>
            <w:tcW w:w="3086" w:type="dxa"/>
          </w:tcPr>
          <w:p w14:paraId="63DE3A1C"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Remove this item from the MBS.</w:t>
            </w:r>
          </w:p>
          <w:p w14:paraId="5F683084" w14:textId="77777777" w:rsidR="00441F0C" w:rsidRPr="00E577E0" w:rsidRDefault="00441F0C" w:rsidP="00E6612D">
            <w:pPr>
              <w:spacing w:before="200"/>
              <w:rPr>
                <w:rFonts w:ascii="Arial" w:hAnsi="Arial" w:cs="Arial"/>
                <w:sz w:val="18"/>
                <w:szCs w:val="18"/>
                <w:lang w:val="en-AU" w:eastAsia="en-US"/>
              </w:rPr>
            </w:pPr>
            <w:r w:rsidRPr="00E577E0">
              <w:rPr>
                <w:rFonts w:ascii="Arial" w:hAnsi="Arial" w:cs="Arial"/>
                <w:sz w:val="18"/>
                <w:szCs w:val="18"/>
                <w:lang w:val="en-AU" w:eastAsia="en-US"/>
              </w:rPr>
              <w:t>Use alternative MBS code 30071 that requires a biopsy to taken for pathology screening</w:t>
            </w:r>
          </w:p>
        </w:tc>
        <w:tc>
          <w:tcPr>
            <w:tcW w:w="2977" w:type="dxa"/>
          </w:tcPr>
          <w:p w14:paraId="3B1A2AD2"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This change will protect patient safety and reduce MBS misuse.</w:t>
            </w:r>
          </w:p>
          <w:p w14:paraId="75E97F38"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 xml:space="preserve">When removing a suspected benign neoplasm, a doctor would use a different MBS code and send the biopsy for pathology screening. </w:t>
            </w:r>
          </w:p>
          <w:p w14:paraId="19C28BBF"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Doctors would be encouraged to consider whether a skin feature is being removed for safety reasons, or purely cosmetic reasons.</w:t>
            </w:r>
          </w:p>
        </w:tc>
        <w:tc>
          <w:tcPr>
            <w:tcW w:w="3118" w:type="dxa"/>
          </w:tcPr>
          <w:p w14:paraId="5777D05D"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Simply destroying a skin feature (without checking it afterwards) can result in missing more serious skin problems such as melanoma, which require more in-depth treatment.</w:t>
            </w:r>
          </w:p>
          <w:p w14:paraId="2A815F8C" w14:textId="77777777" w:rsidR="00441F0C" w:rsidRPr="00E577E0" w:rsidRDefault="00441F0C" w:rsidP="00E6612D">
            <w:pPr>
              <w:spacing w:before="200"/>
              <w:rPr>
                <w:rFonts w:ascii="Arial" w:hAnsi="Arial" w:cs="Arial"/>
                <w:sz w:val="18"/>
                <w:szCs w:val="18"/>
                <w:lang w:val="en-AU" w:eastAsia="en-US"/>
              </w:rPr>
            </w:pPr>
            <w:r w:rsidRPr="00E577E0">
              <w:rPr>
                <w:rFonts w:ascii="Arial" w:hAnsi="Arial" w:cs="Arial"/>
                <w:sz w:val="18"/>
                <w:szCs w:val="18"/>
                <w:lang w:val="en-AU" w:eastAsia="en-US"/>
              </w:rPr>
              <w:t>The very high usage and growth of this item suggests that it is being used for cosmetic procedures as well, which should not be claimed through MBS.</w:t>
            </w:r>
          </w:p>
        </w:tc>
      </w:tr>
      <w:tr w:rsidR="00441F0C" w:rsidRPr="00E577E0" w14:paraId="5B0E2453" w14:textId="77777777" w:rsidTr="00E6612D">
        <w:trPr>
          <w:cantSplit/>
        </w:trPr>
        <w:tc>
          <w:tcPr>
            <w:tcW w:w="2126" w:type="dxa"/>
          </w:tcPr>
          <w:p w14:paraId="3AA9B8DD"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 xml:space="preserve">Change item 30196 – excision of malignant skin neoplasm. Consolidate with 30197 – excision of &gt;10 malignant skin neoplasms </w:t>
            </w:r>
          </w:p>
        </w:tc>
        <w:tc>
          <w:tcPr>
            <w:tcW w:w="3118" w:type="dxa"/>
          </w:tcPr>
          <w:p w14:paraId="1C25BBBF"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Removal of a suspected cancerous skin feature by excision</w:t>
            </w:r>
          </w:p>
        </w:tc>
        <w:tc>
          <w:tcPr>
            <w:tcW w:w="3086" w:type="dxa"/>
          </w:tcPr>
          <w:p w14:paraId="6EA05079"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Change to require histopathological testing to be done, rather than being able to rely on specialist opinion alone.</w:t>
            </w:r>
          </w:p>
        </w:tc>
        <w:tc>
          <w:tcPr>
            <w:tcW w:w="2977" w:type="dxa"/>
          </w:tcPr>
          <w:p w14:paraId="173C13BE"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Doctors will have to send samples for histopathological testing to confirm diagnosis, and will have to individually claim for each skin lesion removed</w:t>
            </w:r>
          </w:p>
        </w:tc>
        <w:tc>
          <w:tcPr>
            <w:tcW w:w="3118" w:type="dxa"/>
          </w:tcPr>
          <w:p w14:paraId="76CE1525"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This change and consolidation will improve patient safety by confirming the diagnosis through pathology testing. It will also simplify MBS by consolidating an unnecessary extra item, and prevent misuse.</w:t>
            </w:r>
          </w:p>
        </w:tc>
      </w:tr>
    </w:tbl>
    <w:p w14:paraId="489475F8" w14:textId="77777777" w:rsidR="00BA7729" w:rsidRDefault="00BA7729"/>
    <w:p w14:paraId="027E8191" w14:textId="77777777" w:rsidR="004C3398" w:rsidRDefault="004C3398">
      <w:r>
        <w:br w:type="page"/>
      </w:r>
    </w:p>
    <w:p w14:paraId="55F90E2E" w14:textId="1FB2BDE7" w:rsidR="00803577" w:rsidRDefault="00803577" w:rsidP="00803577">
      <w:pPr>
        <w:pStyle w:val="Caption"/>
      </w:pPr>
      <w:r>
        <w:lastRenderedPageBreak/>
        <w:t xml:space="preserve">Recommendation </w:t>
      </w:r>
      <w:r>
        <w:fldChar w:fldCharType="begin"/>
      </w:r>
      <w:r>
        <w:instrText xml:space="preserve"> SEQ Recommendation \* ARABIC </w:instrText>
      </w:r>
      <w:r>
        <w:fldChar w:fldCharType="separate"/>
      </w:r>
      <w:r>
        <w:rPr>
          <w:noProof/>
        </w:rPr>
        <w:t>3</w:t>
      </w:r>
      <w:r>
        <w:fldChar w:fldCharType="end"/>
      </w:r>
      <w:r>
        <w:t xml:space="preserve">: </w:t>
      </w:r>
      <w:r w:rsidRPr="009A317A">
        <w:t>Allergy testing items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3 table describes the recommendation for allergy testing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75772E4F" w14:textId="77777777" w:rsidTr="00803577">
        <w:trPr>
          <w:cantSplit/>
          <w:tblHeader/>
        </w:trPr>
        <w:tc>
          <w:tcPr>
            <w:tcW w:w="2126" w:type="dxa"/>
          </w:tcPr>
          <w:p w14:paraId="6B138A25" w14:textId="77777777" w:rsidR="00441F0C" w:rsidRPr="00E577E0" w:rsidRDefault="00441F0C" w:rsidP="00E6612D">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67A79B82" w14:textId="77777777" w:rsidR="00441F0C" w:rsidRPr="00E577E0" w:rsidRDefault="00441F0C" w:rsidP="00E6612D">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2405C3FD" w14:textId="77777777" w:rsidR="00441F0C" w:rsidRPr="00E577E0" w:rsidRDefault="00441F0C" w:rsidP="00E6612D">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0C3C7AC2" w14:textId="77777777" w:rsidR="00441F0C" w:rsidRPr="00E577E0" w:rsidRDefault="00441F0C" w:rsidP="00E6612D">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073E20A6" w14:textId="77777777" w:rsidR="00441F0C" w:rsidRPr="00E577E0" w:rsidRDefault="00441F0C" w:rsidP="00E6612D">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3673F313" w14:textId="77777777" w:rsidTr="00E6612D">
        <w:trPr>
          <w:cantSplit/>
        </w:trPr>
        <w:tc>
          <w:tcPr>
            <w:tcW w:w="2126" w:type="dxa"/>
          </w:tcPr>
          <w:p w14:paraId="78387AC4"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Remove item 12003 – Skin sensitivity testing for &gt;20 allergens</w:t>
            </w:r>
          </w:p>
        </w:tc>
        <w:tc>
          <w:tcPr>
            <w:tcW w:w="3118" w:type="dxa"/>
          </w:tcPr>
          <w:p w14:paraId="29CAAAF7"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Skin testing for reactions to &gt;20 allergens in one consultation</w:t>
            </w:r>
          </w:p>
        </w:tc>
        <w:tc>
          <w:tcPr>
            <w:tcW w:w="3086" w:type="dxa"/>
          </w:tcPr>
          <w:p w14:paraId="5F0D7FA6"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Remove this item from the MBS.</w:t>
            </w:r>
          </w:p>
        </w:tc>
        <w:tc>
          <w:tcPr>
            <w:tcW w:w="2977" w:type="dxa"/>
          </w:tcPr>
          <w:p w14:paraId="23E6ECCE"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No impact on patients. Skin testing can still be done using the proposed MBS items 12000 A-D</w:t>
            </w:r>
          </w:p>
        </w:tc>
        <w:tc>
          <w:tcPr>
            <w:tcW w:w="3118" w:type="dxa"/>
          </w:tcPr>
          <w:p w14:paraId="6D176B15"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 xml:space="preserve">Large numbers of these tests are performed even though there are very few situations in which there is clear benefit versus testing fewer, more specifically chosen allergens. </w:t>
            </w:r>
          </w:p>
        </w:tc>
      </w:tr>
      <w:tr w:rsidR="00441F0C" w:rsidRPr="00E577E0" w14:paraId="0C9A9C26" w14:textId="77777777" w:rsidTr="00E6612D">
        <w:trPr>
          <w:cantSplit/>
        </w:trPr>
        <w:tc>
          <w:tcPr>
            <w:tcW w:w="2126" w:type="dxa"/>
          </w:tcPr>
          <w:p w14:paraId="1940EFDB"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 xml:space="preserve">Split item 12000, and </w:t>
            </w:r>
            <w:r w:rsidR="00E6612D">
              <w:rPr>
                <w:rFonts w:ascii="Arial" w:eastAsiaTheme="minorHAnsi" w:hAnsi="Arial" w:cs="Arial"/>
                <w:sz w:val="18"/>
                <w:szCs w:val="18"/>
                <w:lang w:val="en-AU" w:eastAsia="en-US"/>
              </w:rPr>
              <w:t xml:space="preserve">change item </w:t>
            </w:r>
            <w:r w:rsidRPr="00E577E0">
              <w:rPr>
                <w:rFonts w:ascii="Arial" w:eastAsiaTheme="minorHAnsi" w:hAnsi="Arial" w:cs="Arial"/>
                <w:sz w:val="18"/>
                <w:szCs w:val="18"/>
                <w:lang w:val="en-AU" w:eastAsia="en-US"/>
              </w:rPr>
              <w:t xml:space="preserve">21981 </w:t>
            </w:r>
            <w:r w:rsidR="00E6612D">
              <w:rPr>
                <w:rFonts w:ascii="Arial" w:eastAsiaTheme="minorHAnsi" w:hAnsi="Arial" w:cs="Arial"/>
                <w:sz w:val="18"/>
                <w:szCs w:val="18"/>
                <w:lang w:val="en-AU" w:eastAsia="en-US"/>
              </w:rPr>
              <w:t xml:space="preserve">in </w:t>
            </w:r>
            <w:r w:rsidRPr="00E577E0">
              <w:rPr>
                <w:rFonts w:ascii="Arial" w:eastAsiaTheme="minorHAnsi" w:hAnsi="Arial" w:cs="Arial"/>
                <w:sz w:val="18"/>
                <w:szCs w:val="18"/>
                <w:lang w:val="en-AU" w:eastAsia="en-US"/>
              </w:rPr>
              <w:t>to four MBS items</w:t>
            </w:r>
          </w:p>
        </w:tc>
        <w:tc>
          <w:tcPr>
            <w:tcW w:w="3118" w:type="dxa"/>
          </w:tcPr>
          <w:p w14:paraId="6B3E50C4"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 xml:space="preserve">Skin testing for allergic reactions to a variety of allergens, </w:t>
            </w:r>
          </w:p>
        </w:tc>
        <w:tc>
          <w:tcPr>
            <w:tcW w:w="3086" w:type="dxa"/>
          </w:tcPr>
          <w:p w14:paraId="50AD4F7C"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Create four MBS items (12000 A-D) that more accurately specify the allergens to be tested, and the reasons for doing so</w:t>
            </w:r>
          </w:p>
        </w:tc>
        <w:tc>
          <w:tcPr>
            <w:tcW w:w="2977" w:type="dxa"/>
          </w:tcPr>
          <w:p w14:paraId="23CF319F"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 xml:space="preserve">Skin testing for allergens would be split between tests for environmental, food &amp; latex, medication, and anaesthetic-related allergies. </w:t>
            </w:r>
          </w:p>
        </w:tc>
        <w:tc>
          <w:tcPr>
            <w:tcW w:w="3118" w:type="dxa"/>
          </w:tcPr>
          <w:p w14:paraId="5EAF77FA" w14:textId="77777777" w:rsidR="00441F0C" w:rsidRPr="00E577E0" w:rsidRDefault="00441F0C" w:rsidP="00E6612D">
            <w:pPr>
              <w:spacing w:before="20" w:after="20"/>
              <w:rPr>
                <w:rFonts w:ascii="Arial" w:eastAsiaTheme="minorHAnsi" w:hAnsi="Arial" w:cs="Arial"/>
                <w:sz w:val="18"/>
                <w:szCs w:val="18"/>
                <w:lang w:val="en-AU" w:eastAsia="en-US"/>
              </w:rPr>
            </w:pPr>
            <w:r w:rsidRPr="00E577E0">
              <w:rPr>
                <w:rFonts w:ascii="Arial" w:eastAsiaTheme="minorHAnsi" w:hAnsi="Arial" w:cs="Arial"/>
                <w:sz w:val="18"/>
                <w:szCs w:val="18"/>
                <w:lang w:val="en-AU" w:eastAsia="en-US"/>
              </w:rPr>
              <w:t xml:space="preserve">These changes will protect patient safety by addressing the high number of false positive or clinically irrelevant test results obtained when testing for large numbers of allergens simultaneously. These can lead to unnecessary dietary restrictions and concern, as well as the unpleasantness associated with multiple tests (especially in children and infants). </w:t>
            </w:r>
          </w:p>
        </w:tc>
      </w:tr>
      <w:tr w:rsidR="00E6612D" w:rsidRPr="00E577E0" w14:paraId="79061DE0" w14:textId="77777777" w:rsidTr="00E6612D">
        <w:trPr>
          <w:cantSplit/>
        </w:trPr>
        <w:tc>
          <w:tcPr>
            <w:tcW w:w="2126" w:type="dxa"/>
          </w:tcPr>
          <w:p w14:paraId="2265079E" w14:textId="77777777" w:rsidR="00E6612D" w:rsidRPr="00E577E0" w:rsidRDefault="00E6612D" w:rsidP="00E6612D">
            <w:pPr>
              <w:spacing w:before="20" w:after="20"/>
              <w:rPr>
                <w:rFonts w:ascii="Arial" w:eastAsiaTheme="minorHAnsi" w:hAnsi="Arial" w:cs="Arial"/>
                <w:sz w:val="18"/>
                <w:szCs w:val="18"/>
                <w:lang w:val="en-AU" w:eastAsia="en-US"/>
              </w:rPr>
            </w:pPr>
            <w:r>
              <w:rPr>
                <w:rFonts w:ascii="Arial" w:hAnsi="Arial" w:cs="Arial"/>
                <w:sz w:val="18"/>
                <w:szCs w:val="18"/>
                <w:lang w:eastAsia="en-US"/>
              </w:rPr>
              <w:t>Remove item 53600 – Skin sensitivity testing for allergens to anaesthetics and materials used in OMS surgery, using 1 to 20 allergens</w:t>
            </w:r>
          </w:p>
        </w:tc>
        <w:tc>
          <w:tcPr>
            <w:tcW w:w="3118" w:type="dxa"/>
          </w:tcPr>
          <w:p w14:paraId="18E1F984" w14:textId="77777777" w:rsidR="00E6612D" w:rsidRPr="00E577E0" w:rsidRDefault="00E6612D" w:rsidP="00E6612D">
            <w:pPr>
              <w:spacing w:before="20" w:after="20"/>
              <w:rPr>
                <w:rFonts w:ascii="Arial" w:eastAsiaTheme="minorHAnsi" w:hAnsi="Arial" w:cs="Arial"/>
                <w:sz w:val="18"/>
                <w:szCs w:val="18"/>
                <w:lang w:val="en-AU" w:eastAsia="en-US"/>
              </w:rPr>
            </w:pPr>
            <w:r>
              <w:rPr>
                <w:rFonts w:ascii="Arial" w:hAnsi="Arial" w:cs="Arial"/>
                <w:sz w:val="18"/>
                <w:szCs w:val="18"/>
                <w:lang w:eastAsia="en-US"/>
              </w:rPr>
              <w:t>Skin testing for reactions to anaesthetics and materials used in oral and maxillofacial surgery (OMS)</w:t>
            </w:r>
          </w:p>
        </w:tc>
        <w:tc>
          <w:tcPr>
            <w:tcW w:w="3086" w:type="dxa"/>
          </w:tcPr>
          <w:p w14:paraId="302DEA83" w14:textId="77777777" w:rsidR="00E6612D" w:rsidRPr="00E577E0" w:rsidRDefault="00E6612D" w:rsidP="00E6612D">
            <w:pPr>
              <w:spacing w:before="20" w:after="20"/>
              <w:rPr>
                <w:rFonts w:ascii="Arial" w:eastAsiaTheme="minorHAnsi" w:hAnsi="Arial" w:cs="Arial"/>
                <w:sz w:val="18"/>
                <w:szCs w:val="18"/>
                <w:lang w:val="en-AU" w:eastAsia="en-US"/>
              </w:rPr>
            </w:pPr>
            <w:r>
              <w:rPr>
                <w:rFonts w:ascii="Arial" w:hAnsi="Arial" w:cs="Arial"/>
                <w:sz w:val="18"/>
                <w:szCs w:val="18"/>
                <w:lang w:eastAsia="en-US"/>
              </w:rPr>
              <w:t>Remove this item from the MBS.</w:t>
            </w:r>
          </w:p>
        </w:tc>
        <w:tc>
          <w:tcPr>
            <w:tcW w:w="2977" w:type="dxa"/>
          </w:tcPr>
          <w:p w14:paraId="6C8A67D9" w14:textId="77777777" w:rsidR="00E6612D" w:rsidRPr="00E577E0" w:rsidRDefault="00E6612D" w:rsidP="00E6612D">
            <w:pPr>
              <w:spacing w:before="20" w:after="20"/>
              <w:rPr>
                <w:rFonts w:ascii="Arial" w:eastAsiaTheme="minorHAnsi" w:hAnsi="Arial" w:cs="Arial"/>
                <w:sz w:val="18"/>
                <w:szCs w:val="18"/>
                <w:lang w:val="en-AU" w:eastAsia="en-US"/>
              </w:rPr>
            </w:pPr>
            <w:r>
              <w:rPr>
                <w:rFonts w:ascii="Arial" w:hAnsi="Arial" w:cs="Arial"/>
                <w:sz w:val="18"/>
                <w:szCs w:val="18"/>
                <w:lang w:eastAsia="en-US"/>
              </w:rPr>
              <w:t>No impact on patients. Zero claims were made in 2014-15.</w:t>
            </w:r>
          </w:p>
        </w:tc>
        <w:tc>
          <w:tcPr>
            <w:tcW w:w="3118" w:type="dxa"/>
          </w:tcPr>
          <w:p w14:paraId="14BEDBE2" w14:textId="77777777" w:rsidR="00E6612D" w:rsidRPr="00E577E0" w:rsidRDefault="00E6612D" w:rsidP="00E6612D">
            <w:pPr>
              <w:spacing w:before="20" w:after="20"/>
              <w:rPr>
                <w:rFonts w:ascii="Arial" w:eastAsiaTheme="minorHAnsi" w:hAnsi="Arial" w:cs="Arial"/>
                <w:sz w:val="18"/>
                <w:szCs w:val="18"/>
                <w:lang w:val="en-AU" w:eastAsia="en-US"/>
              </w:rPr>
            </w:pPr>
            <w:r>
              <w:rPr>
                <w:rFonts w:ascii="Arial" w:hAnsi="Arial" w:cs="Arial"/>
                <w:sz w:val="18"/>
                <w:szCs w:val="18"/>
                <w:lang w:eastAsia="en-US"/>
              </w:rPr>
              <w:t>This item is obsolete and no longer reflects best practice.</w:t>
            </w:r>
          </w:p>
        </w:tc>
      </w:tr>
    </w:tbl>
    <w:p w14:paraId="7AB52417" w14:textId="77777777" w:rsidR="008A1E91" w:rsidRDefault="008A1E91"/>
    <w:p w14:paraId="748B40C8" w14:textId="7580660C" w:rsidR="00803577" w:rsidRDefault="00803577" w:rsidP="00803577">
      <w:pPr>
        <w:pStyle w:val="Caption"/>
      </w:pPr>
      <w:r>
        <w:t xml:space="preserve">Recommendation </w:t>
      </w:r>
      <w:r>
        <w:fldChar w:fldCharType="begin"/>
      </w:r>
      <w:r>
        <w:instrText xml:space="preserve"> SEQ Recommendation \* ARABIC </w:instrText>
      </w:r>
      <w:r>
        <w:fldChar w:fldCharType="separate"/>
      </w:r>
      <w:r>
        <w:rPr>
          <w:noProof/>
        </w:rPr>
        <w:t>4</w:t>
      </w:r>
      <w:r>
        <w:fldChar w:fldCharType="end"/>
      </w:r>
      <w:r>
        <w:t xml:space="preserve">: </w:t>
      </w:r>
      <w:r w:rsidRPr="00187C19">
        <w:t>Treating malignant lesions by liquid nitrogen cryotherapy</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4 table describes the recommendation for treating malignant lesions by liquid nitrogen cryotherapy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391B75D4" w14:textId="77777777" w:rsidTr="00803577">
        <w:trPr>
          <w:cantSplit/>
          <w:tblHeader/>
        </w:trPr>
        <w:tc>
          <w:tcPr>
            <w:tcW w:w="2126" w:type="dxa"/>
          </w:tcPr>
          <w:p w14:paraId="0FE1DDE6" w14:textId="77777777" w:rsidR="00441F0C" w:rsidRPr="00E577E0" w:rsidRDefault="00441F0C" w:rsidP="00E6612D">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670A6FAF" w14:textId="77777777" w:rsidR="00441F0C" w:rsidRPr="00E577E0" w:rsidRDefault="00441F0C" w:rsidP="00E6612D">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166B7015" w14:textId="77777777" w:rsidR="00441F0C" w:rsidRPr="00E577E0" w:rsidRDefault="00441F0C" w:rsidP="00E6612D">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32B7917F" w14:textId="77777777" w:rsidR="00441F0C" w:rsidRPr="00E577E0" w:rsidRDefault="00441F0C" w:rsidP="00E6612D">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475593FF" w14:textId="77777777" w:rsidR="00441F0C" w:rsidRPr="00E577E0" w:rsidRDefault="00441F0C" w:rsidP="00E6612D">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38C109DB" w14:textId="77777777" w:rsidTr="00E6612D">
        <w:trPr>
          <w:cantSplit/>
        </w:trPr>
        <w:tc>
          <w:tcPr>
            <w:tcW w:w="2126" w:type="dxa"/>
          </w:tcPr>
          <w:p w14:paraId="6D8417D6"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 30202 – removal of malignant neoplasm of skin by liquid nitrogen cryotherapy</w:t>
            </w:r>
          </w:p>
        </w:tc>
        <w:tc>
          <w:tcPr>
            <w:tcW w:w="3118" w:type="dxa"/>
          </w:tcPr>
          <w:p w14:paraId="7F935411"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Removal of a skin lesion via repeated freeze-thaw cycles using liquid nitrogen</w:t>
            </w:r>
          </w:p>
        </w:tc>
        <w:tc>
          <w:tcPr>
            <w:tcW w:w="3086" w:type="dxa"/>
          </w:tcPr>
          <w:p w14:paraId="520CFC99" w14:textId="77777777" w:rsidR="00441F0C" w:rsidRPr="00E577E0" w:rsidRDefault="00441F0C" w:rsidP="00E6612D">
            <w:pPr>
              <w:spacing w:before="20" w:after="20"/>
              <w:rPr>
                <w:rFonts w:ascii="Arial" w:eastAsiaTheme="minorHAnsi" w:hAnsi="Arial" w:cs="Arial"/>
                <w:sz w:val="18"/>
                <w:szCs w:val="18"/>
                <w:lang w:val="en-AU" w:eastAsia="en-US"/>
              </w:rPr>
            </w:pPr>
            <w:r w:rsidRPr="005B0F69">
              <w:rPr>
                <w:rFonts w:ascii="Arial" w:eastAsiaTheme="minorHAnsi" w:hAnsi="Arial" w:cs="Arial"/>
                <w:sz w:val="18"/>
                <w:szCs w:val="18"/>
                <w:lang w:val="en-AU" w:eastAsia="en-US"/>
              </w:rPr>
              <w:t xml:space="preserve">Change the wording of the item descriptor by replacing “specialist” with </w:t>
            </w:r>
            <w:r>
              <w:rPr>
                <w:rFonts w:ascii="Arial" w:eastAsiaTheme="minorHAnsi" w:hAnsi="Arial" w:cs="Arial"/>
                <w:sz w:val="18"/>
                <w:szCs w:val="18"/>
                <w:lang w:val="en-AU" w:eastAsia="en-US"/>
              </w:rPr>
              <w:t xml:space="preserve">“AMC recognised dermatologist” and </w:t>
            </w:r>
            <w:r w:rsidRPr="005B0F69">
              <w:rPr>
                <w:rFonts w:ascii="Arial" w:eastAsiaTheme="minorHAnsi" w:hAnsi="Arial" w:cs="Arial"/>
                <w:sz w:val="18"/>
                <w:szCs w:val="18"/>
                <w:lang w:val="en-AU" w:eastAsia="en-US"/>
              </w:rPr>
              <w:t xml:space="preserve">monitor high-volume </w:t>
            </w:r>
            <w:r>
              <w:rPr>
                <w:rFonts w:ascii="Arial" w:eastAsiaTheme="minorHAnsi" w:hAnsi="Arial" w:cs="Arial"/>
                <w:sz w:val="18"/>
                <w:szCs w:val="18"/>
                <w:lang w:val="en-AU" w:eastAsia="en-US"/>
              </w:rPr>
              <w:t xml:space="preserve">doctors </w:t>
            </w:r>
            <w:r w:rsidRPr="005B0F69">
              <w:rPr>
                <w:rFonts w:ascii="Arial" w:eastAsiaTheme="minorHAnsi" w:hAnsi="Arial" w:cs="Arial"/>
                <w:sz w:val="18"/>
                <w:szCs w:val="18"/>
                <w:lang w:val="en-AU" w:eastAsia="en-US"/>
              </w:rPr>
              <w:t xml:space="preserve">to ensure </w:t>
            </w:r>
            <w:r>
              <w:rPr>
                <w:rFonts w:ascii="Arial" w:eastAsiaTheme="minorHAnsi" w:hAnsi="Arial" w:cs="Arial"/>
                <w:sz w:val="18"/>
                <w:szCs w:val="18"/>
                <w:lang w:val="en-AU" w:eastAsia="en-US"/>
              </w:rPr>
              <w:t xml:space="preserve">they </w:t>
            </w:r>
            <w:r w:rsidRPr="005B0F69">
              <w:rPr>
                <w:rFonts w:ascii="Arial" w:eastAsiaTheme="minorHAnsi" w:hAnsi="Arial" w:cs="Arial"/>
                <w:sz w:val="18"/>
                <w:szCs w:val="18"/>
                <w:lang w:val="en-AU" w:eastAsia="en-US"/>
              </w:rPr>
              <w:t>are requesting the appropriate pathology tests</w:t>
            </w:r>
          </w:p>
        </w:tc>
        <w:tc>
          <w:tcPr>
            <w:tcW w:w="2977" w:type="dxa"/>
          </w:tcPr>
          <w:p w14:paraId="57434D20"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Increase patient safety: doctors will more often send the suspicious skin lesion for testing</w:t>
            </w:r>
          </w:p>
        </w:tc>
        <w:tc>
          <w:tcPr>
            <w:tcW w:w="3118" w:type="dxa"/>
          </w:tcPr>
          <w:p w14:paraId="4BF2B2C5"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Over the past year, only approximately 42% of lesions were sent for biopsy following removal </w:t>
            </w:r>
          </w:p>
        </w:tc>
      </w:tr>
      <w:tr w:rsidR="00441F0C" w:rsidRPr="00E577E0" w14:paraId="33D8D433" w14:textId="77777777" w:rsidTr="00E6612D">
        <w:trPr>
          <w:cantSplit/>
        </w:trPr>
        <w:tc>
          <w:tcPr>
            <w:tcW w:w="2126" w:type="dxa"/>
          </w:tcPr>
          <w:p w14:paraId="60A3EBAD"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lastRenderedPageBreak/>
              <w:t>Item 30203 - removal of 10 or more malignant neoplasms of skin by liquid nitrogen cryotherapy</w:t>
            </w:r>
          </w:p>
        </w:tc>
        <w:tc>
          <w:tcPr>
            <w:tcW w:w="3118" w:type="dxa"/>
          </w:tcPr>
          <w:p w14:paraId="0B9532E1"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Removal of 10 or more skin lesions via repeated freeze-thaw cycles using liquid nitrogen</w:t>
            </w:r>
          </w:p>
        </w:tc>
        <w:tc>
          <w:tcPr>
            <w:tcW w:w="3086" w:type="dxa"/>
          </w:tcPr>
          <w:p w14:paraId="75CD8BD8"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Consolidate this item into 30202 (above)</w:t>
            </w:r>
          </w:p>
        </w:tc>
        <w:tc>
          <w:tcPr>
            <w:tcW w:w="2977" w:type="dxa"/>
          </w:tcPr>
          <w:p w14:paraId="697AE0D1"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Patient would be at less risk of unnecessary removal of harmless skin growths</w:t>
            </w:r>
          </w:p>
        </w:tc>
        <w:tc>
          <w:tcPr>
            <w:tcW w:w="3118" w:type="dxa"/>
          </w:tcPr>
          <w:p w14:paraId="2A0F9BCD"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There are few reasons why a patient would need more than 10 lesions removed by cryotherapy, and it causes significant pain and damage to the skin. Item 30202 will still allow for this procedure if needed, but doctors will now have less financial incentive to remove a large number of skin growths unnecessarily</w:t>
            </w:r>
          </w:p>
        </w:tc>
      </w:tr>
      <w:tr w:rsidR="00441F0C" w:rsidRPr="00E577E0" w14:paraId="0CBBF7CB" w14:textId="77777777" w:rsidTr="00E6612D">
        <w:trPr>
          <w:cantSplit/>
        </w:trPr>
        <w:tc>
          <w:tcPr>
            <w:tcW w:w="2126" w:type="dxa"/>
          </w:tcPr>
          <w:p w14:paraId="2051825E"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 30205 - removal of malignant neoplasms of skin by liquid nitrogen cryotherapy where the neoplasm extends into cartilage</w:t>
            </w:r>
          </w:p>
        </w:tc>
        <w:tc>
          <w:tcPr>
            <w:tcW w:w="3118" w:type="dxa"/>
          </w:tcPr>
          <w:p w14:paraId="720321D1"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Removal of a skin lesion which extends into cartilage via repeated freeze-thaw cycles using liquid nitrogen</w:t>
            </w:r>
          </w:p>
        </w:tc>
        <w:tc>
          <w:tcPr>
            <w:tcW w:w="3086" w:type="dxa"/>
          </w:tcPr>
          <w:p w14:paraId="7D354EAD"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Delete this item from the MBS</w:t>
            </w:r>
          </w:p>
        </w:tc>
        <w:tc>
          <w:tcPr>
            <w:tcW w:w="2977" w:type="dxa"/>
          </w:tcPr>
          <w:p w14:paraId="01183784"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Patients will have these lesions removed using a best-practice treatment such as surgical excision</w:t>
            </w:r>
          </w:p>
        </w:tc>
        <w:tc>
          <w:tcPr>
            <w:tcW w:w="3118" w:type="dxa"/>
          </w:tcPr>
          <w:p w14:paraId="19166F63" w14:textId="77777777" w:rsidR="00441F0C" w:rsidRPr="00E577E0" w:rsidRDefault="00441F0C" w:rsidP="00E6612D">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Freezing cartilage is not best-practice as it results in longer recovery times and may not fix the problem in 100% of cases; better alternatives like surgical excision are available</w:t>
            </w:r>
          </w:p>
        </w:tc>
      </w:tr>
    </w:tbl>
    <w:p w14:paraId="221DE906" w14:textId="77777777" w:rsidR="00322D58" w:rsidRDefault="00322D58">
      <w:pPr>
        <w:spacing w:before="0" w:after="0"/>
        <w:rPr>
          <w:lang w:val="en-AU"/>
        </w:rPr>
      </w:pPr>
    </w:p>
    <w:p w14:paraId="58E14289" w14:textId="5EA195E4" w:rsidR="00803577" w:rsidRDefault="00803577" w:rsidP="00803577">
      <w:pPr>
        <w:pStyle w:val="Caption"/>
      </w:pPr>
      <w:r>
        <w:t xml:space="preserve">Recommendation </w:t>
      </w:r>
      <w:r>
        <w:fldChar w:fldCharType="begin"/>
      </w:r>
      <w:r>
        <w:instrText xml:space="preserve"> SEQ Recommendation \* ARABIC </w:instrText>
      </w:r>
      <w:r>
        <w:fldChar w:fldCharType="separate"/>
      </w:r>
      <w:r>
        <w:rPr>
          <w:noProof/>
        </w:rPr>
        <w:t>5</w:t>
      </w:r>
      <w:r>
        <w:fldChar w:fldCharType="end"/>
      </w:r>
      <w:r>
        <w:t xml:space="preserve">: </w:t>
      </w:r>
      <w:r w:rsidRPr="00383CAE">
        <w:t>Definitive removal of palmar or plantar warts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5 table describes the recommendation for definitive removal of palmar or plantar warts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1006C7B5" w14:textId="77777777" w:rsidTr="00803577">
        <w:trPr>
          <w:cantSplit/>
          <w:tblHeader/>
        </w:trPr>
        <w:tc>
          <w:tcPr>
            <w:tcW w:w="2126" w:type="dxa"/>
          </w:tcPr>
          <w:p w14:paraId="2799E6E0"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563ADD6A"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2B4D14A2"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471D5E9F"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4CC3D673"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6E8BCE1E" w14:textId="77777777" w:rsidTr="00686BFB">
        <w:trPr>
          <w:cantSplit/>
        </w:trPr>
        <w:tc>
          <w:tcPr>
            <w:tcW w:w="2126" w:type="dxa"/>
          </w:tcPr>
          <w:p w14:paraId="6F281AA1"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 30185 – removal of 10 or more warts on hands and feet</w:t>
            </w:r>
          </w:p>
          <w:p w14:paraId="7092954F" w14:textId="77777777" w:rsidR="00441F0C" w:rsidRDefault="00441F0C" w:rsidP="00686BFB">
            <w:pPr>
              <w:spacing w:before="20" w:after="20"/>
              <w:rPr>
                <w:rFonts w:ascii="Arial" w:eastAsiaTheme="minorHAnsi" w:hAnsi="Arial" w:cs="Arial"/>
                <w:sz w:val="18"/>
                <w:szCs w:val="18"/>
                <w:lang w:val="en-AU" w:eastAsia="en-US"/>
              </w:rPr>
            </w:pPr>
          </w:p>
          <w:p w14:paraId="4276FD99"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 30186 – removal of less than 10 warts on hands and feet</w:t>
            </w:r>
          </w:p>
        </w:tc>
        <w:tc>
          <w:tcPr>
            <w:tcW w:w="3118" w:type="dxa"/>
          </w:tcPr>
          <w:p w14:paraId="69EBA0D5"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Removal of warts on hands and feet by surgical excision</w:t>
            </w:r>
          </w:p>
        </w:tc>
        <w:tc>
          <w:tcPr>
            <w:tcW w:w="3086" w:type="dxa"/>
          </w:tcPr>
          <w:p w14:paraId="0F860BCF"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Delete these items from the MBS</w:t>
            </w:r>
          </w:p>
        </w:tc>
        <w:tc>
          <w:tcPr>
            <w:tcW w:w="2977" w:type="dxa"/>
          </w:tcPr>
          <w:p w14:paraId="247FC46A"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Warts on hands and feet will be removed by cryotherapy</w:t>
            </w:r>
          </w:p>
        </w:tc>
        <w:tc>
          <w:tcPr>
            <w:tcW w:w="3118" w:type="dxa"/>
          </w:tcPr>
          <w:p w14:paraId="549EE388"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Over the past year, only approximately 42% of lesions were sent for biopsy following removal </w:t>
            </w:r>
          </w:p>
        </w:tc>
      </w:tr>
    </w:tbl>
    <w:p w14:paraId="046F3C74" w14:textId="77777777" w:rsidR="00322D58" w:rsidRDefault="00322D58">
      <w:pPr>
        <w:spacing w:before="0" w:after="0"/>
        <w:rPr>
          <w:lang w:val="en-AU"/>
        </w:rPr>
      </w:pPr>
    </w:p>
    <w:p w14:paraId="3A6EE2D1" w14:textId="77777777" w:rsidR="004C3398" w:rsidRDefault="004C3398">
      <w:r>
        <w:br w:type="page"/>
      </w:r>
    </w:p>
    <w:p w14:paraId="6F6A7B77" w14:textId="37A3B3EF" w:rsidR="00803577" w:rsidRDefault="00803577" w:rsidP="00803577">
      <w:pPr>
        <w:pStyle w:val="Caption"/>
      </w:pPr>
      <w:r>
        <w:lastRenderedPageBreak/>
        <w:t xml:space="preserve">Recommendation </w:t>
      </w:r>
      <w:r>
        <w:fldChar w:fldCharType="begin"/>
      </w:r>
      <w:r>
        <w:instrText xml:space="preserve"> SEQ Recommendation \* ARABIC </w:instrText>
      </w:r>
      <w:r>
        <w:fldChar w:fldCharType="separate"/>
      </w:r>
      <w:r>
        <w:rPr>
          <w:noProof/>
        </w:rPr>
        <w:t>6</w:t>
      </w:r>
      <w:r>
        <w:fldChar w:fldCharType="end"/>
      </w:r>
      <w:r>
        <w:t xml:space="preserve">: </w:t>
      </w:r>
      <w:r w:rsidRPr="00A82A5D">
        <w:t>Laser photocoagulation</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6 table describes the recommendation for laser photocoagulation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53E0558E" w14:textId="77777777" w:rsidTr="00803577">
        <w:trPr>
          <w:cantSplit/>
          <w:tblHeader/>
        </w:trPr>
        <w:tc>
          <w:tcPr>
            <w:tcW w:w="2126" w:type="dxa"/>
          </w:tcPr>
          <w:p w14:paraId="2C9A16EF"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2E6E8898"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617B0AC8"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48597325"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2AA34023"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4349A8B2" w14:textId="77777777" w:rsidTr="00686BFB">
        <w:trPr>
          <w:cantSplit/>
        </w:trPr>
        <w:tc>
          <w:tcPr>
            <w:tcW w:w="2126" w:type="dxa"/>
          </w:tcPr>
          <w:p w14:paraId="603F166E"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Items 14100-14124</w:t>
            </w:r>
          </w:p>
        </w:tc>
        <w:tc>
          <w:tcPr>
            <w:tcW w:w="3118" w:type="dxa"/>
          </w:tcPr>
          <w:p w14:paraId="6F4C5EBD"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Laser treatment of lesion or other skin disorders (e.g. port-wine stains, café-au-lait macules, moles)</w:t>
            </w:r>
          </w:p>
        </w:tc>
        <w:tc>
          <w:tcPr>
            <w:tcW w:w="3086" w:type="dxa"/>
          </w:tcPr>
          <w:p w14:paraId="5FDB5E43"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Require all laser equipment to be listed by the TGA and include IPL</w:t>
            </w:r>
          </w:p>
          <w:p w14:paraId="7DBC15DD" w14:textId="77777777" w:rsidR="00441F0C" w:rsidRDefault="00441F0C" w:rsidP="00686BFB">
            <w:pPr>
              <w:spacing w:before="20" w:after="20"/>
              <w:rPr>
                <w:rFonts w:ascii="Arial" w:eastAsiaTheme="minorHAnsi" w:hAnsi="Arial" w:cs="Arial"/>
                <w:sz w:val="18"/>
                <w:szCs w:val="18"/>
                <w:lang w:val="en-AU" w:eastAsia="en-US"/>
              </w:rPr>
            </w:pPr>
          </w:p>
          <w:p w14:paraId="339FC436"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Require photo evidence to be captured during treatment</w:t>
            </w:r>
          </w:p>
          <w:p w14:paraId="13370816" w14:textId="77777777" w:rsidR="00441F0C" w:rsidRDefault="00441F0C" w:rsidP="00686BFB">
            <w:pPr>
              <w:spacing w:before="20" w:after="20"/>
              <w:rPr>
                <w:rFonts w:ascii="Arial" w:eastAsiaTheme="minorHAnsi" w:hAnsi="Arial" w:cs="Arial"/>
                <w:sz w:val="18"/>
                <w:szCs w:val="18"/>
                <w:lang w:val="en-AU" w:eastAsia="en-US"/>
              </w:rPr>
            </w:pPr>
          </w:p>
          <w:p w14:paraId="413DFDDF"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Change maximum number of sessions from six to four within 12-month period</w:t>
            </w:r>
          </w:p>
          <w:p w14:paraId="0241319A" w14:textId="77777777" w:rsidR="00441F0C" w:rsidRDefault="00441F0C" w:rsidP="00686BFB">
            <w:pPr>
              <w:spacing w:before="20" w:after="20"/>
              <w:rPr>
                <w:rFonts w:ascii="Arial" w:eastAsiaTheme="minorHAnsi" w:hAnsi="Arial" w:cs="Arial"/>
                <w:sz w:val="18"/>
                <w:szCs w:val="18"/>
                <w:lang w:val="en-AU" w:eastAsia="en-US"/>
              </w:rPr>
            </w:pPr>
          </w:p>
          <w:p w14:paraId="1A188F67"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Reword to ‘vascular abnormalities’ as this is more accurate and up-to-date language</w:t>
            </w:r>
          </w:p>
        </w:tc>
        <w:tc>
          <w:tcPr>
            <w:tcW w:w="2977" w:type="dxa"/>
          </w:tcPr>
          <w:p w14:paraId="3B422D93"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Patients will be at lower risk of being exposed to unsafe equipment and to unnecessary treatments</w:t>
            </w:r>
          </w:p>
        </w:tc>
        <w:tc>
          <w:tcPr>
            <w:tcW w:w="3118" w:type="dxa"/>
          </w:tcPr>
          <w:p w14:paraId="74DB31FF"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Inferior low-cost lasers are increasingly available, leading to worse health outcomes</w:t>
            </w:r>
          </w:p>
          <w:p w14:paraId="1819FC6D" w14:textId="77777777" w:rsidR="00441F0C" w:rsidRDefault="00441F0C" w:rsidP="00686BFB">
            <w:pPr>
              <w:spacing w:before="20" w:after="20"/>
              <w:rPr>
                <w:rFonts w:ascii="Arial" w:eastAsiaTheme="minorHAnsi" w:hAnsi="Arial" w:cs="Arial"/>
                <w:sz w:val="18"/>
                <w:szCs w:val="18"/>
                <w:lang w:val="en-AU" w:eastAsia="en-US"/>
              </w:rPr>
            </w:pPr>
          </w:p>
          <w:p w14:paraId="37F58D95"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Photographic evidence is easy to capture and will help ensure doctors are using this item appropriately</w:t>
            </w:r>
          </w:p>
          <w:p w14:paraId="62455881" w14:textId="77777777" w:rsidR="00441F0C" w:rsidRDefault="00441F0C" w:rsidP="00686BFB">
            <w:pPr>
              <w:spacing w:before="20" w:after="20"/>
              <w:rPr>
                <w:rFonts w:ascii="Arial" w:eastAsiaTheme="minorHAnsi" w:hAnsi="Arial" w:cs="Arial"/>
                <w:sz w:val="18"/>
                <w:szCs w:val="18"/>
                <w:lang w:val="en-AU" w:eastAsia="en-US"/>
              </w:rPr>
            </w:pPr>
          </w:p>
          <w:p w14:paraId="196142BA"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Experts agreed that three sessions with modern lasers are sufficient to achieve maximum reasonable benefit; plus one more optional maintenance session</w:t>
            </w:r>
          </w:p>
        </w:tc>
      </w:tr>
    </w:tbl>
    <w:p w14:paraId="7BD9874F" w14:textId="77777777" w:rsidR="00441F0C" w:rsidRDefault="00441F0C" w:rsidP="00441F0C">
      <w:pPr>
        <w:rPr>
          <w:lang w:val="en-AU"/>
        </w:rPr>
      </w:pPr>
    </w:p>
    <w:p w14:paraId="523975C6" w14:textId="454E1AF6" w:rsidR="00803577" w:rsidRDefault="00803577" w:rsidP="00803577">
      <w:pPr>
        <w:pStyle w:val="Caption"/>
      </w:pPr>
      <w:r>
        <w:t xml:space="preserve">Recommendation </w:t>
      </w:r>
      <w:r>
        <w:fldChar w:fldCharType="begin"/>
      </w:r>
      <w:r>
        <w:instrText xml:space="preserve"> SEQ Recommendation \* ARABIC </w:instrText>
      </w:r>
      <w:r>
        <w:fldChar w:fldCharType="separate"/>
      </w:r>
      <w:r>
        <w:rPr>
          <w:noProof/>
        </w:rPr>
        <w:t>7</w:t>
      </w:r>
      <w:r>
        <w:fldChar w:fldCharType="end"/>
      </w:r>
      <w:r>
        <w:t xml:space="preserve">: </w:t>
      </w:r>
      <w:r w:rsidRPr="00A276BE">
        <w:t>Micrographically controlled serial excision (Mohs)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7 table describes the recommendation for micrographically controlled serial excision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6292DF79" w14:textId="77777777" w:rsidTr="00803577">
        <w:trPr>
          <w:cantSplit/>
          <w:tblHeader/>
        </w:trPr>
        <w:tc>
          <w:tcPr>
            <w:tcW w:w="2126" w:type="dxa"/>
          </w:tcPr>
          <w:p w14:paraId="7C7C7864"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4E239D5F"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475927E4"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425C42A0"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6874C412"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20F6D5FA" w14:textId="77777777" w:rsidTr="00686BFB">
        <w:trPr>
          <w:cantSplit/>
        </w:trPr>
        <w:tc>
          <w:tcPr>
            <w:tcW w:w="2126" w:type="dxa"/>
          </w:tcPr>
          <w:p w14:paraId="3794053E"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Items 31000-31002</w:t>
            </w:r>
          </w:p>
        </w:tc>
        <w:tc>
          <w:tcPr>
            <w:tcW w:w="3118" w:type="dxa"/>
          </w:tcPr>
          <w:p w14:paraId="4499DEA9"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High-precision surgery for removal of skin tumours</w:t>
            </w:r>
          </w:p>
        </w:tc>
        <w:tc>
          <w:tcPr>
            <w:tcW w:w="3086" w:type="dxa"/>
          </w:tcPr>
          <w:p w14:paraId="5DFFC9A4"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Split each item into two parts: A for </w:t>
            </w:r>
            <w:r w:rsidRPr="00F92539">
              <w:rPr>
                <w:rFonts w:ascii="Arial" w:eastAsiaTheme="minorHAnsi" w:hAnsi="Arial" w:cs="Arial"/>
                <w:sz w:val="18"/>
                <w:szCs w:val="18"/>
                <w:lang w:val="en-AU" w:eastAsia="en-US"/>
              </w:rPr>
              <w:t>Head, neck, genitalia, hand, digits, leg (below knee) and foot</w:t>
            </w:r>
            <w:r>
              <w:rPr>
                <w:rFonts w:ascii="Arial" w:eastAsiaTheme="minorHAnsi" w:hAnsi="Arial" w:cs="Arial"/>
                <w:sz w:val="18"/>
                <w:szCs w:val="18"/>
                <w:lang w:val="en-AU" w:eastAsia="en-US"/>
              </w:rPr>
              <w:t>, and B for all other parts of the body</w:t>
            </w:r>
          </w:p>
          <w:p w14:paraId="38E78706" w14:textId="77777777" w:rsidR="00441F0C" w:rsidRDefault="00441F0C" w:rsidP="00686BFB">
            <w:pPr>
              <w:spacing w:before="20" w:after="20"/>
              <w:rPr>
                <w:rFonts w:ascii="Arial" w:eastAsiaTheme="minorHAnsi" w:hAnsi="Arial" w:cs="Arial"/>
                <w:sz w:val="18"/>
                <w:szCs w:val="18"/>
                <w:lang w:val="en-AU" w:eastAsia="en-US"/>
              </w:rPr>
            </w:pPr>
          </w:p>
          <w:p w14:paraId="2533C0FB"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State in an explanatory note that each doctor’s procedures on this item should be &gt;90% Type A items, and monitor accordingly</w:t>
            </w:r>
          </w:p>
          <w:p w14:paraId="4D7F21D1" w14:textId="77777777" w:rsidR="00441F0C" w:rsidRDefault="00441F0C" w:rsidP="00686BFB">
            <w:pPr>
              <w:spacing w:before="20" w:after="20"/>
              <w:rPr>
                <w:rFonts w:ascii="Arial" w:eastAsiaTheme="minorHAnsi" w:hAnsi="Arial" w:cs="Arial"/>
                <w:sz w:val="18"/>
                <w:szCs w:val="18"/>
                <w:lang w:val="en-AU" w:eastAsia="en-US"/>
              </w:rPr>
            </w:pPr>
          </w:p>
          <w:p w14:paraId="21413774"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Require all providers to be certified by the Australasian College of Dermatologists</w:t>
            </w:r>
          </w:p>
          <w:p w14:paraId="5DF91F87" w14:textId="77777777" w:rsidR="00441F0C" w:rsidRDefault="00441F0C" w:rsidP="00686BFB">
            <w:pPr>
              <w:spacing w:before="20" w:after="20"/>
              <w:rPr>
                <w:rFonts w:ascii="Arial" w:eastAsiaTheme="minorHAnsi" w:hAnsi="Arial" w:cs="Arial"/>
                <w:sz w:val="18"/>
                <w:szCs w:val="18"/>
                <w:lang w:val="en-AU" w:eastAsia="en-US"/>
              </w:rPr>
            </w:pPr>
          </w:p>
          <w:p w14:paraId="393B5556"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Change the descriptor to include the phrase “mohs surgery”</w:t>
            </w:r>
          </w:p>
        </w:tc>
        <w:tc>
          <w:tcPr>
            <w:tcW w:w="2977" w:type="dxa"/>
          </w:tcPr>
          <w:p w14:paraId="34458F2C"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Patients will receive a more appropriate set of procedures, thanks to better oversight of doctors’ activity by body part operated upon</w:t>
            </w:r>
          </w:p>
          <w:p w14:paraId="6B925709" w14:textId="77777777" w:rsidR="00441F0C" w:rsidRDefault="00441F0C" w:rsidP="00686BFB">
            <w:pPr>
              <w:spacing w:before="20" w:after="20"/>
              <w:rPr>
                <w:rFonts w:ascii="Arial" w:eastAsiaTheme="minorHAnsi" w:hAnsi="Arial" w:cs="Arial"/>
                <w:sz w:val="18"/>
                <w:szCs w:val="18"/>
                <w:lang w:val="en-AU" w:eastAsia="en-US"/>
              </w:rPr>
            </w:pPr>
          </w:p>
          <w:p w14:paraId="6821DC1E"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Patients will have lower risk of poor surgical outcomes thanks to tighter restrictions on qualifications of doctors</w:t>
            </w:r>
          </w:p>
        </w:tc>
        <w:tc>
          <w:tcPr>
            <w:tcW w:w="3118" w:type="dxa"/>
          </w:tcPr>
          <w:p w14:paraId="760661CF" w14:textId="77777777" w:rsidR="00441F0C" w:rsidRDefault="00441F0C" w:rsidP="00686BFB">
            <w:pPr>
              <w:spacing w:before="20" w:after="20"/>
              <w:rPr>
                <w:rFonts w:ascii="Arial" w:eastAsiaTheme="minorHAnsi" w:hAnsi="Arial" w:cs="Arial"/>
                <w:sz w:val="18"/>
                <w:szCs w:val="18"/>
                <w:lang w:val="en-AU" w:eastAsia="en-US"/>
              </w:rPr>
            </w:pPr>
            <w:r w:rsidRPr="00266A26">
              <w:rPr>
                <w:rFonts w:ascii="Arial" w:eastAsiaTheme="minorHAnsi" w:hAnsi="Arial" w:cs="Arial"/>
                <w:sz w:val="18"/>
                <w:szCs w:val="18"/>
                <w:lang w:val="en-AU" w:eastAsia="en-US"/>
              </w:rPr>
              <w:t xml:space="preserve">Clinical </w:t>
            </w:r>
            <w:r>
              <w:rPr>
                <w:rFonts w:ascii="Arial" w:eastAsiaTheme="minorHAnsi" w:hAnsi="Arial" w:cs="Arial"/>
                <w:sz w:val="18"/>
                <w:szCs w:val="18"/>
                <w:lang w:val="en-AU" w:eastAsia="en-US"/>
              </w:rPr>
              <w:t xml:space="preserve">guidelines and </w:t>
            </w:r>
            <w:r w:rsidRPr="00266A26">
              <w:rPr>
                <w:rFonts w:ascii="Arial" w:eastAsiaTheme="minorHAnsi" w:hAnsi="Arial" w:cs="Arial"/>
                <w:sz w:val="18"/>
                <w:szCs w:val="18"/>
                <w:lang w:val="en-AU" w:eastAsia="en-US"/>
              </w:rPr>
              <w:t>experience indicate that the majority of Mohs surgery (approximately 90 per cent</w:t>
            </w:r>
            <w:r>
              <w:rPr>
                <w:rFonts w:ascii="Arial" w:eastAsiaTheme="minorHAnsi" w:hAnsi="Arial" w:cs="Arial"/>
                <w:sz w:val="18"/>
                <w:szCs w:val="18"/>
                <w:lang w:val="en-AU" w:eastAsia="en-US"/>
              </w:rPr>
              <w:t>) should be conducted on Area A.</w:t>
            </w:r>
          </w:p>
          <w:p w14:paraId="6DE32627" w14:textId="77777777" w:rsidR="00441F0C" w:rsidRDefault="00441F0C" w:rsidP="00686BFB">
            <w:pPr>
              <w:spacing w:before="20" w:after="20"/>
              <w:rPr>
                <w:rFonts w:ascii="Arial" w:eastAsiaTheme="minorHAnsi" w:hAnsi="Arial" w:cs="Arial"/>
                <w:sz w:val="18"/>
                <w:szCs w:val="18"/>
                <w:lang w:val="en-AU" w:eastAsia="en-US"/>
              </w:rPr>
            </w:pPr>
          </w:p>
          <w:p w14:paraId="3E3B8BFF"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A</w:t>
            </w:r>
            <w:r w:rsidRPr="00266A26">
              <w:rPr>
                <w:rFonts w:ascii="Arial" w:eastAsiaTheme="minorHAnsi" w:hAnsi="Arial" w:cs="Arial"/>
                <w:sz w:val="18"/>
                <w:szCs w:val="18"/>
                <w:lang w:val="en-AU" w:eastAsia="en-US"/>
              </w:rPr>
              <w:t>n increasing number of short and insufficient training courses are available, and although certified doctors currently provide the majority of services (99 per cent of providers are dermatologists), this may change in the near future</w:t>
            </w:r>
            <w:r>
              <w:rPr>
                <w:rFonts w:ascii="Arial" w:eastAsiaTheme="minorHAnsi" w:hAnsi="Arial" w:cs="Arial"/>
                <w:sz w:val="18"/>
                <w:szCs w:val="18"/>
                <w:lang w:val="en-AU" w:eastAsia="en-US"/>
              </w:rPr>
              <w:t>.</w:t>
            </w:r>
          </w:p>
          <w:p w14:paraId="0D7689C9" w14:textId="77777777" w:rsidR="00441F0C" w:rsidRDefault="00441F0C" w:rsidP="00686BFB">
            <w:pPr>
              <w:spacing w:before="20" w:after="20"/>
              <w:rPr>
                <w:rFonts w:ascii="Arial" w:eastAsiaTheme="minorHAnsi" w:hAnsi="Arial" w:cs="Arial"/>
                <w:sz w:val="18"/>
                <w:szCs w:val="18"/>
                <w:lang w:val="en-AU" w:eastAsia="en-US"/>
              </w:rPr>
            </w:pPr>
          </w:p>
          <w:p w14:paraId="179096D3" w14:textId="77777777" w:rsidR="00441F0C" w:rsidRPr="00E577E0" w:rsidRDefault="00441F0C" w:rsidP="00686BFB">
            <w:pPr>
              <w:spacing w:before="20" w:after="20"/>
              <w:rPr>
                <w:rFonts w:ascii="Arial" w:eastAsiaTheme="minorHAnsi" w:hAnsi="Arial" w:cs="Arial"/>
                <w:sz w:val="18"/>
                <w:szCs w:val="18"/>
                <w:lang w:val="en-AU" w:eastAsia="en-US"/>
              </w:rPr>
            </w:pPr>
            <w:r w:rsidRPr="00266A26">
              <w:rPr>
                <w:rFonts w:ascii="Arial" w:eastAsiaTheme="minorHAnsi" w:hAnsi="Arial" w:cs="Arial"/>
                <w:sz w:val="18"/>
                <w:szCs w:val="18"/>
                <w:lang w:val="en-AU" w:eastAsia="en-US"/>
              </w:rPr>
              <w:t xml:space="preserve">The </w:t>
            </w:r>
            <w:r>
              <w:rPr>
                <w:rFonts w:ascii="Arial" w:eastAsiaTheme="minorHAnsi" w:hAnsi="Arial" w:cs="Arial"/>
                <w:sz w:val="18"/>
                <w:szCs w:val="18"/>
                <w:lang w:val="en-AU" w:eastAsia="en-US"/>
              </w:rPr>
              <w:t xml:space="preserve">phrase </w:t>
            </w:r>
            <w:r w:rsidRPr="00266A26">
              <w:rPr>
                <w:rFonts w:ascii="Arial" w:eastAsiaTheme="minorHAnsi" w:hAnsi="Arial" w:cs="Arial"/>
                <w:sz w:val="18"/>
                <w:szCs w:val="18"/>
                <w:lang w:val="en-AU" w:eastAsia="en-US"/>
              </w:rPr>
              <w:t xml:space="preserve">“Mohs surgery” removes any misinterpretation of </w:t>
            </w:r>
            <w:r>
              <w:rPr>
                <w:rFonts w:ascii="Arial" w:eastAsiaTheme="minorHAnsi" w:hAnsi="Arial" w:cs="Arial"/>
                <w:sz w:val="18"/>
                <w:szCs w:val="18"/>
                <w:lang w:val="en-AU" w:eastAsia="en-US"/>
              </w:rPr>
              <w:t xml:space="preserve">which </w:t>
            </w:r>
            <w:r w:rsidRPr="00266A26">
              <w:rPr>
                <w:rFonts w:ascii="Arial" w:eastAsiaTheme="minorHAnsi" w:hAnsi="Arial" w:cs="Arial"/>
                <w:sz w:val="18"/>
                <w:szCs w:val="18"/>
                <w:lang w:val="en-AU" w:eastAsia="en-US"/>
              </w:rPr>
              <w:t>procedure</w:t>
            </w:r>
            <w:r>
              <w:rPr>
                <w:rFonts w:ascii="Arial" w:eastAsiaTheme="minorHAnsi" w:hAnsi="Arial" w:cs="Arial"/>
                <w:sz w:val="18"/>
                <w:szCs w:val="18"/>
                <w:lang w:val="en-AU" w:eastAsia="en-US"/>
              </w:rPr>
              <w:t>s</w:t>
            </w:r>
            <w:r w:rsidRPr="00266A26">
              <w:rPr>
                <w:rFonts w:ascii="Arial" w:eastAsiaTheme="minorHAnsi" w:hAnsi="Arial" w:cs="Arial"/>
                <w:sz w:val="18"/>
                <w:szCs w:val="18"/>
                <w:lang w:val="en-AU" w:eastAsia="en-US"/>
              </w:rPr>
              <w:t xml:space="preserve"> </w:t>
            </w:r>
            <w:r>
              <w:rPr>
                <w:rFonts w:ascii="Arial" w:eastAsiaTheme="minorHAnsi" w:hAnsi="Arial" w:cs="Arial"/>
                <w:sz w:val="18"/>
                <w:szCs w:val="18"/>
                <w:lang w:val="en-AU" w:eastAsia="en-US"/>
              </w:rPr>
              <w:t xml:space="preserve">are </w:t>
            </w:r>
            <w:r w:rsidRPr="00266A26">
              <w:rPr>
                <w:rFonts w:ascii="Arial" w:eastAsiaTheme="minorHAnsi" w:hAnsi="Arial" w:cs="Arial"/>
                <w:sz w:val="18"/>
                <w:szCs w:val="18"/>
                <w:lang w:val="en-AU" w:eastAsia="en-US"/>
              </w:rPr>
              <w:t>included</w:t>
            </w:r>
            <w:r>
              <w:rPr>
                <w:rFonts w:ascii="Arial" w:eastAsiaTheme="minorHAnsi" w:hAnsi="Arial" w:cs="Arial"/>
                <w:sz w:val="18"/>
                <w:szCs w:val="18"/>
                <w:lang w:val="en-AU" w:eastAsia="en-US"/>
              </w:rPr>
              <w:t>.</w:t>
            </w:r>
          </w:p>
        </w:tc>
      </w:tr>
    </w:tbl>
    <w:p w14:paraId="387B8993" w14:textId="77777777" w:rsidR="00322D58" w:rsidRDefault="00322D58">
      <w:pPr>
        <w:spacing w:before="0" w:after="0"/>
        <w:rPr>
          <w:lang w:val="en-AU"/>
        </w:rPr>
      </w:pPr>
    </w:p>
    <w:p w14:paraId="76599741" w14:textId="77777777" w:rsidR="004C3398" w:rsidRDefault="004C3398">
      <w:r>
        <w:br w:type="page"/>
      </w:r>
    </w:p>
    <w:p w14:paraId="0534EE45" w14:textId="0F21B59B" w:rsidR="00803577" w:rsidRDefault="00803577" w:rsidP="00803577">
      <w:pPr>
        <w:pStyle w:val="Caption"/>
      </w:pPr>
      <w:r>
        <w:lastRenderedPageBreak/>
        <w:t xml:space="preserve">Recommendation </w:t>
      </w:r>
      <w:r>
        <w:fldChar w:fldCharType="begin"/>
      </w:r>
      <w:r>
        <w:instrText xml:space="preserve"> SEQ Recommendation \* ARABIC </w:instrText>
      </w:r>
      <w:r>
        <w:fldChar w:fldCharType="separate"/>
      </w:r>
      <w:r>
        <w:rPr>
          <w:noProof/>
        </w:rPr>
        <w:t>8</w:t>
      </w:r>
      <w:r>
        <w:fldChar w:fldCharType="end"/>
      </w:r>
      <w:r>
        <w:t xml:space="preserve">: </w:t>
      </w:r>
      <w:r w:rsidRPr="009D17EB">
        <w:t>Teliangectases or starburst vessels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8 table describes the recommendation for teliangectases or starburst vessels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3BD77A08" w14:textId="77777777" w:rsidTr="00803577">
        <w:trPr>
          <w:cantSplit/>
          <w:tblHeader/>
        </w:trPr>
        <w:tc>
          <w:tcPr>
            <w:tcW w:w="2126" w:type="dxa"/>
          </w:tcPr>
          <w:p w14:paraId="094F0201"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370C8B4C"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7748BF84"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3CE83426"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33255FC3"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4D37E60E" w14:textId="77777777" w:rsidTr="00686BFB">
        <w:trPr>
          <w:cantSplit/>
        </w:trPr>
        <w:tc>
          <w:tcPr>
            <w:tcW w:w="2126" w:type="dxa"/>
          </w:tcPr>
          <w:p w14:paraId="5471559A"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Items 30213-30214</w:t>
            </w:r>
          </w:p>
        </w:tc>
        <w:tc>
          <w:tcPr>
            <w:tcW w:w="3118" w:type="dxa"/>
          </w:tcPr>
          <w:p w14:paraId="1AEDE6D7"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Injections to treat starburst vessels on the head and/or neck</w:t>
            </w:r>
          </w:p>
        </w:tc>
        <w:tc>
          <w:tcPr>
            <w:tcW w:w="3086" w:type="dxa"/>
          </w:tcPr>
          <w:p w14:paraId="33BD7D2E"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Delete these items from the MBS</w:t>
            </w:r>
          </w:p>
        </w:tc>
        <w:tc>
          <w:tcPr>
            <w:tcW w:w="2977" w:type="dxa"/>
          </w:tcPr>
          <w:p w14:paraId="07781499"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Patients will receive a more effective and up-to-date treatment</w:t>
            </w:r>
          </w:p>
        </w:tc>
        <w:tc>
          <w:tcPr>
            <w:tcW w:w="3118" w:type="dxa"/>
          </w:tcPr>
          <w:p w14:paraId="24BADE9E"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These items are obsolete and</w:t>
            </w:r>
            <w:r w:rsidRPr="00417F17">
              <w:rPr>
                <w:rFonts w:ascii="Arial" w:eastAsiaTheme="minorHAnsi" w:hAnsi="Arial" w:cs="Arial"/>
                <w:sz w:val="18"/>
                <w:szCs w:val="18"/>
                <w:lang w:val="en-AU" w:eastAsia="en-US"/>
              </w:rPr>
              <w:t xml:space="preserve"> do not reflect best practice. Necessary treatment can be provided under laser item 14100.</w:t>
            </w:r>
          </w:p>
          <w:p w14:paraId="2FFB0D3F" w14:textId="77777777" w:rsidR="00441F0C" w:rsidRPr="00E577E0" w:rsidRDefault="00441F0C" w:rsidP="00686BFB">
            <w:pPr>
              <w:spacing w:before="20" w:after="20"/>
              <w:rPr>
                <w:rFonts w:ascii="Arial" w:eastAsiaTheme="minorHAnsi" w:hAnsi="Arial" w:cs="Arial"/>
                <w:sz w:val="18"/>
                <w:szCs w:val="18"/>
                <w:lang w:val="en-AU" w:eastAsia="en-US"/>
              </w:rPr>
            </w:pPr>
          </w:p>
        </w:tc>
      </w:tr>
    </w:tbl>
    <w:p w14:paraId="74817B74" w14:textId="77777777" w:rsidR="008A1E91" w:rsidRDefault="008A1E91"/>
    <w:p w14:paraId="67858645" w14:textId="4B27405B" w:rsidR="00803577" w:rsidRDefault="00803577" w:rsidP="00803577">
      <w:pPr>
        <w:pStyle w:val="Caption"/>
      </w:pPr>
      <w:r>
        <w:t xml:space="preserve">Recommendation </w:t>
      </w:r>
      <w:r>
        <w:fldChar w:fldCharType="begin"/>
      </w:r>
      <w:r>
        <w:instrText xml:space="preserve"> SEQ Recommendation \* ARABIC </w:instrText>
      </w:r>
      <w:r>
        <w:fldChar w:fldCharType="separate"/>
      </w:r>
      <w:r>
        <w:rPr>
          <w:noProof/>
        </w:rPr>
        <w:t>9</w:t>
      </w:r>
      <w:r>
        <w:fldChar w:fldCharType="end"/>
      </w:r>
      <w:r>
        <w:t xml:space="preserve">: </w:t>
      </w:r>
      <w:r w:rsidRPr="00513F00">
        <w:t>Treatment of pre-malignant skin lesions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9 table describes the recommendation for treatment of pre-malignant skin lesions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064118C5" w14:textId="77777777" w:rsidTr="00803577">
        <w:trPr>
          <w:cantSplit/>
          <w:tblHeader/>
        </w:trPr>
        <w:tc>
          <w:tcPr>
            <w:tcW w:w="2126" w:type="dxa"/>
          </w:tcPr>
          <w:p w14:paraId="3804E94C"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2F76EB24"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00279874"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0A103B7D"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2BC6D75F"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054BDE79" w14:textId="77777777" w:rsidTr="00686BFB">
        <w:trPr>
          <w:cantSplit/>
        </w:trPr>
        <w:tc>
          <w:tcPr>
            <w:tcW w:w="2126" w:type="dxa"/>
          </w:tcPr>
          <w:p w14:paraId="0A5FE9D1"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Item 30192: </w:t>
            </w:r>
            <w:r w:rsidRPr="006B4040">
              <w:rPr>
                <w:rFonts w:ascii="Arial" w:eastAsiaTheme="minorHAnsi" w:hAnsi="Arial" w:cs="Arial"/>
                <w:sz w:val="18"/>
                <w:szCs w:val="18"/>
                <w:lang w:val="en-AU" w:eastAsia="en-US"/>
              </w:rPr>
              <w:t>Premalignant skin lesions (including solar keratoses), treatment of, by ablative technique (10 or more lesions</w:t>
            </w:r>
          </w:p>
        </w:tc>
        <w:tc>
          <w:tcPr>
            <w:tcW w:w="3118" w:type="dxa"/>
          </w:tcPr>
          <w:p w14:paraId="1C99A126"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Treatment of 10 or more pre-malignant skin lesions by ablation</w:t>
            </w:r>
          </w:p>
        </w:tc>
        <w:tc>
          <w:tcPr>
            <w:tcW w:w="3086" w:type="dxa"/>
          </w:tcPr>
          <w:p w14:paraId="4CC80310"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Leave this item unchanged </w:t>
            </w:r>
          </w:p>
        </w:tc>
        <w:tc>
          <w:tcPr>
            <w:tcW w:w="2977" w:type="dxa"/>
          </w:tcPr>
          <w:p w14:paraId="302A4D40"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w:t>
            </w:r>
          </w:p>
        </w:tc>
        <w:tc>
          <w:tcPr>
            <w:tcW w:w="3118" w:type="dxa"/>
          </w:tcPr>
          <w:p w14:paraId="61E25688"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This item is still required and there are no major issues that need to be fixed.</w:t>
            </w:r>
          </w:p>
          <w:p w14:paraId="431E87C8" w14:textId="77777777" w:rsidR="00441F0C" w:rsidRPr="00E577E0" w:rsidRDefault="00441F0C" w:rsidP="00686BFB">
            <w:pPr>
              <w:spacing w:before="20" w:after="20"/>
              <w:rPr>
                <w:rFonts w:ascii="Arial" w:eastAsiaTheme="minorHAnsi" w:hAnsi="Arial" w:cs="Arial"/>
                <w:sz w:val="18"/>
                <w:szCs w:val="18"/>
                <w:lang w:val="en-AU" w:eastAsia="en-US"/>
              </w:rPr>
            </w:pPr>
          </w:p>
        </w:tc>
      </w:tr>
    </w:tbl>
    <w:p w14:paraId="4AA28121" w14:textId="77777777" w:rsidR="00441F0C" w:rsidRPr="00B0157E" w:rsidRDefault="00441F0C" w:rsidP="00441F0C">
      <w:pPr>
        <w:rPr>
          <w:lang w:val="en-AU"/>
        </w:rPr>
      </w:pPr>
    </w:p>
    <w:p w14:paraId="72C39B5C" w14:textId="63CD92B9" w:rsidR="00803577" w:rsidRDefault="00803577" w:rsidP="00803577">
      <w:pPr>
        <w:pStyle w:val="Caption"/>
      </w:pPr>
      <w:r>
        <w:t xml:space="preserve">Recommendation </w:t>
      </w:r>
      <w:r>
        <w:fldChar w:fldCharType="begin"/>
      </w:r>
      <w:r>
        <w:instrText xml:space="preserve"> SEQ Recommendation \* ARABIC </w:instrText>
      </w:r>
      <w:r>
        <w:fldChar w:fldCharType="separate"/>
      </w:r>
      <w:r>
        <w:rPr>
          <w:noProof/>
        </w:rPr>
        <w:t>10</w:t>
      </w:r>
      <w:r>
        <w:fldChar w:fldCharType="end"/>
      </w:r>
      <w:r>
        <w:t xml:space="preserve">: </w:t>
      </w:r>
      <w:r w:rsidRPr="00FA1E23">
        <w:t>Skin lesions, multiple injections of hydrocortisone or similar preparations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10 table describes the recommendation for hydrocortisone injections (or similar preparations) for skin lesions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691819A6" w14:textId="77777777" w:rsidTr="00803577">
        <w:trPr>
          <w:cantSplit/>
          <w:tblHeader/>
        </w:trPr>
        <w:tc>
          <w:tcPr>
            <w:tcW w:w="2126" w:type="dxa"/>
          </w:tcPr>
          <w:p w14:paraId="26ED2C2E"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73C4AD5C"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5B3B9BA8"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18CF51FA"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6488A468"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58EE07C4" w14:textId="77777777" w:rsidTr="00686BFB">
        <w:trPr>
          <w:cantSplit/>
        </w:trPr>
        <w:tc>
          <w:tcPr>
            <w:tcW w:w="2126" w:type="dxa"/>
          </w:tcPr>
          <w:p w14:paraId="5C9CD669"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Item 30207: Injections of hydrocortisone </w:t>
            </w:r>
          </w:p>
          <w:p w14:paraId="07DA6393" w14:textId="77777777" w:rsidR="00441F0C" w:rsidRDefault="00441F0C" w:rsidP="00686BFB">
            <w:pPr>
              <w:spacing w:before="20" w:after="20"/>
              <w:rPr>
                <w:rFonts w:ascii="Arial" w:eastAsiaTheme="minorHAnsi" w:hAnsi="Arial" w:cs="Arial"/>
                <w:sz w:val="18"/>
                <w:szCs w:val="18"/>
                <w:lang w:val="en-AU" w:eastAsia="en-US"/>
              </w:rPr>
            </w:pPr>
          </w:p>
          <w:p w14:paraId="602AA151"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 30210: Injection of hyodrocortisone similar preparations for exensive skin lesions and/or keloids, in the operating theatre of a hospital</w:t>
            </w:r>
          </w:p>
        </w:tc>
        <w:tc>
          <w:tcPr>
            <w:tcW w:w="3118" w:type="dxa"/>
          </w:tcPr>
          <w:p w14:paraId="5E7B92FD"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Hydrocortisone or similar medications are anti-inflammatory drugs administered before removing skin lesions or keloids</w:t>
            </w:r>
          </w:p>
        </w:tc>
        <w:tc>
          <w:tcPr>
            <w:tcW w:w="3086" w:type="dxa"/>
          </w:tcPr>
          <w:p w14:paraId="45C2E9B3"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Prevent item 30210 from being claimed for patients aged 16</w:t>
            </w:r>
            <w:r w:rsidR="004C3398">
              <w:rPr>
                <w:rFonts w:ascii="Arial" w:eastAsiaTheme="minorHAnsi" w:hAnsi="Arial" w:cs="Arial"/>
                <w:sz w:val="18"/>
                <w:szCs w:val="18"/>
                <w:lang w:val="en-AU" w:eastAsia="en-US"/>
              </w:rPr>
              <w:t xml:space="preserve"> and over</w:t>
            </w:r>
          </w:p>
          <w:p w14:paraId="618C402E" w14:textId="77777777" w:rsidR="00441F0C" w:rsidRDefault="00441F0C" w:rsidP="00686BFB">
            <w:pPr>
              <w:spacing w:before="20" w:after="20"/>
              <w:rPr>
                <w:rFonts w:ascii="Arial" w:eastAsiaTheme="minorHAnsi" w:hAnsi="Arial" w:cs="Arial"/>
                <w:sz w:val="18"/>
                <w:szCs w:val="18"/>
                <w:lang w:val="en-AU" w:eastAsia="en-US"/>
              </w:rPr>
            </w:pPr>
          </w:p>
          <w:p w14:paraId="5C8721D7"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Use the term “glucocorticoid” to avoid ambiguity in which medications are included </w:t>
            </w:r>
          </w:p>
        </w:tc>
        <w:tc>
          <w:tcPr>
            <w:tcW w:w="2977" w:type="dxa"/>
          </w:tcPr>
          <w:p w14:paraId="472A1BFB"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Adults and older teenagers would not receive this treatment in an operating theatre </w:t>
            </w:r>
          </w:p>
          <w:p w14:paraId="35805516" w14:textId="77777777" w:rsidR="00441F0C" w:rsidRDefault="00441F0C" w:rsidP="00686BFB">
            <w:pPr>
              <w:spacing w:before="20" w:after="20"/>
              <w:rPr>
                <w:rFonts w:ascii="Arial" w:eastAsiaTheme="minorHAnsi" w:hAnsi="Arial" w:cs="Arial"/>
                <w:sz w:val="18"/>
                <w:szCs w:val="18"/>
                <w:lang w:val="en-AU" w:eastAsia="en-US"/>
              </w:rPr>
            </w:pPr>
          </w:p>
          <w:p w14:paraId="174CEBDC"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Patients are at less risk of receiving inappropriate medications for this procedure</w:t>
            </w:r>
          </w:p>
        </w:tc>
        <w:tc>
          <w:tcPr>
            <w:tcW w:w="3118" w:type="dxa"/>
          </w:tcPr>
          <w:p w14:paraId="7D01199B"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While children may need general anaesthetic (and hence an operating theatre) for this painful procedure, it is not necessary for adults and older teenagers</w:t>
            </w:r>
          </w:p>
          <w:p w14:paraId="2E40427A" w14:textId="77777777" w:rsidR="00441F0C" w:rsidRDefault="00441F0C" w:rsidP="00686BFB">
            <w:pPr>
              <w:spacing w:before="20" w:after="20"/>
              <w:rPr>
                <w:rFonts w:ascii="Arial" w:eastAsiaTheme="minorHAnsi" w:hAnsi="Arial" w:cs="Arial"/>
                <w:sz w:val="18"/>
                <w:szCs w:val="18"/>
                <w:lang w:val="en-AU" w:eastAsia="en-US"/>
              </w:rPr>
            </w:pPr>
          </w:p>
          <w:p w14:paraId="7242FCD6" w14:textId="77777777" w:rsidR="00441F0C" w:rsidRPr="00E577E0" w:rsidRDefault="00441F0C" w:rsidP="00686BFB">
            <w:pPr>
              <w:spacing w:before="20" w:after="20"/>
              <w:rPr>
                <w:rFonts w:ascii="Arial" w:eastAsiaTheme="minorHAnsi" w:hAnsi="Arial" w:cs="Arial"/>
                <w:sz w:val="18"/>
                <w:szCs w:val="18"/>
                <w:lang w:val="en-AU" w:eastAsia="en-US"/>
              </w:rPr>
            </w:pPr>
          </w:p>
          <w:p w14:paraId="0EEA98A1" w14:textId="77777777" w:rsidR="00441F0C" w:rsidRPr="00E577E0" w:rsidRDefault="00441F0C" w:rsidP="00686BFB">
            <w:pPr>
              <w:spacing w:before="20" w:after="20"/>
              <w:rPr>
                <w:rFonts w:ascii="Arial" w:eastAsiaTheme="minorHAnsi" w:hAnsi="Arial" w:cs="Arial"/>
                <w:sz w:val="18"/>
                <w:szCs w:val="18"/>
                <w:lang w:val="en-AU" w:eastAsia="en-US"/>
              </w:rPr>
            </w:pPr>
          </w:p>
        </w:tc>
      </w:tr>
    </w:tbl>
    <w:p w14:paraId="3EACDBA5" w14:textId="77777777" w:rsidR="00322D58" w:rsidRDefault="00322D58">
      <w:pPr>
        <w:spacing w:before="0" w:after="0"/>
        <w:rPr>
          <w:lang w:val="en-AU"/>
        </w:rPr>
      </w:pPr>
    </w:p>
    <w:p w14:paraId="087322EF" w14:textId="77777777" w:rsidR="004C3398" w:rsidRDefault="004C3398">
      <w:r>
        <w:br w:type="page"/>
      </w:r>
    </w:p>
    <w:p w14:paraId="002AE46D" w14:textId="1444F673" w:rsidR="00803577" w:rsidRDefault="00803577" w:rsidP="00803577">
      <w:pPr>
        <w:pStyle w:val="Caption"/>
      </w:pPr>
      <w:r>
        <w:lastRenderedPageBreak/>
        <w:t xml:space="preserve">Recommendation </w:t>
      </w:r>
      <w:r>
        <w:fldChar w:fldCharType="begin"/>
      </w:r>
      <w:r>
        <w:instrText xml:space="preserve"> SEQ Recommendation \* ARABIC </w:instrText>
      </w:r>
      <w:r>
        <w:fldChar w:fldCharType="separate"/>
      </w:r>
      <w:r>
        <w:rPr>
          <w:noProof/>
        </w:rPr>
        <w:t>11</w:t>
      </w:r>
      <w:r>
        <w:fldChar w:fldCharType="end"/>
      </w:r>
      <w:r>
        <w:t xml:space="preserve">: </w:t>
      </w:r>
      <w:r w:rsidRPr="00024311">
        <w:t>Superficial radiotherapy</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11 table describes the recommendation for superficial radiotherapy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640E2FF3" w14:textId="77777777" w:rsidTr="00803577">
        <w:trPr>
          <w:cantSplit/>
          <w:tblHeader/>
        </w:trPr>
        <w:tc>
          <w:tcPr>
            <w:tcW w:w="2126" w:type="dxa"/>
          </w:tcPr>
          <w:p w14:paraId="0509C9EA"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6393DAB7"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3A3A8DF9"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73656E15"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153D19A9"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706D1A6A" w14:textId="77777777" w:rsidTr="00686BFB">
        <w:trPr>
          <w:cantSplit/>
        </w:trPr>
        <w:tc>
          <w:tcPr>
            <w:tcW w:w="2126" w:type="dxa"/>
          </w:tcPr>
          <w:p w14:paraId="0F526907"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Item 15000: Superficial radiotherapy, </w:t>
            </w:r>
            <w:r w:rsidRPr="00013C10">
              <w:rPr>
                <w:rFonts w:ascii="Arial" w:eastAsiaTheme="minorHAnsi" w:hAnsi="Arial" w:cs="Arial"/>
                <w:sz w:val="18"/>
                <w:szCs w:val="18"/>
                <w:lang w:val="en-AU" w:eastAsia="en-US"/>
              </w:rPr>
              <w:t>including treatment with xrays, radium rays or other radioactive substances</w:t>
            </w:r>
          </w:p>
        </w:tc>
        <w:tc>
          <w:tcPr>
            <w:tcW w:w="3118" w:type="dxa"/>
          </w:tcPr>
          <w:p w14:paraId="6793ECA9"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Radiation therapy of the skin</w:t>
            </w:r>
          </w:p>
        </w:tc>
        <w:tc>
          <w:tcPr>
            <w:tcW w:w="3086" w:type="dxa"/>
          </w:tcPr>
          <w:p w14:paraId="30EAF54C"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Consolidate these items together with the orthovoltage radiotherapy items (items 15100-15115) if the Oncology Clinical Committee agrees </w:t>
            </w:r>
          </w:p>
        </w:tc>
        <w:tc>
          <w:tcPr>
            <w:tcW w:w="2977" w:type="dxa"/>
          </w:tcPr>
          <w:p w14:paraId="40D13FA6"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Billing would be simplified for providers; patients would see little if any change in treatment</w:t>
            </w:r>
          </w:p>
        </w:tc>
        <w:tc>
          <w:tcPr>
            <w:tcW w:w="3118" w:type="dxa"/>
          </w:tcPr>
          <w:p w14:paraId="36839162" w14:textId="77777777" w:rsidR="00441F0C" w:rsidRPr="00E577E0" w:rsidRDefault="00441F0C" w:rsidP="00686BFB">
            <w:pPr>
              <w:spacing w:before="20" w:after="20"/>
              <w:rPr>
                <w:rFonts w:ascii="Arial" w:eastAsiaTheme="minorHAnsi" w:hAnsi="Arial" w:cs="Arial"/>
                <w:sz w:val="18"/>
                <w:szCs w:val="18"/>
                <w:lang w:val="en-AU" w:eastAsia="en-US"/>
              </w:rPr>
            </w:pPr>
            <w:r w:rsidRPr="00AB5757">
              <w:rPr>
                <w:rFonts w:ascii="Arial" w:eastAsiaTheme="minorHAnsi" w:hAnsi="Arial" w:cs="Arial"/>
                <w:sz w:val="18"/>
                <w:szCs w:val="18"/>
                <w:lang w:val="en-AU" w:eastAsia="en-US"/>
              </w:rPr>
              <w:t xml:space="preserve">The Committee </w:t>
            </w:r>
            <w:r>
              <w:rPr>
                <w:rFonts w:ascii="Arial" w:eastAsiaTheme="minorHAnsi" w:hAnsi="Arial" w:cs="Arial"/>
                <w:sz w:val="18"/>
                <w:szCs w:val="18"/>
                <w:lang w:val="en-AU" w:eastAsia="en-US"/>
              </w:rPr>
              <w:t xml:space="preserve">believes </w:t>
            </w:r>
            <w:r w:rsidRPr="00AB5757">
              <w:rPr>
                <w:rFonts w:ascii="Arial" w:eastAsiaTheme="minorHAnsi" w:hAnsi="Arial" w:cs="Arial"/>
                <w:sz w:val="18"/>
                <w:szCs w:val="18"/>
                <w:lang w:val="en-AU" w:eastAsia="en-US"/>
              </w:rPr>
              <w:t xml:space="preserve">this is still a </w:t>
            </w:r>
            <w:r>
              <w:rPr>
                <w:rFonts w:ascii="Arial" w:eastAsiaTheme="minorHAnsi" w:hAnsi="Arial" w:cs="Arial"/>
                <w:sz w:val="18"/>
                <w:szCs w:val="18"/>
                <w:lang w:val="en-AU" w:eastAsia="en-US"/>
              </w:rPr>
              <w:t xml:space="preserve">clinically relevant treatment, and sees no concerns </w:t>
            </w:r>
            <w:r w:rsidRPr="00AB5757">
              <w:rPr>
                <w:rFonts w:ascii="Arial" w:eastAsiaTheme="minorHAnsi" w:hAnsi="Arial" w:cs="Arial"/>
                <w:sz w:val="18"/>
                <w:szCs w:val="18"/>
                <w:lang w:val="en-AU" w:eastAsia="en-US"/>
              </w:rPr>
              <w:t>with consolidating the items to simplify the MBS. T</w:t>
            </w:r>
            <w:r>
              <w:rPr>
                <w:rFonts w:ascii="Arial" w:eastAsiaTheme="minorHAnsi" w:hAnsi="Arial" w:cs="Arial"/>
                <w:sz w:val="18"/>
                <w:szCs w:val="18"/>
                <w:lang w:val="en-AU" w:eastAsia="en-US"/>
              </w:rPr>
              <w:t>here is no expected impact on cost or access for patients</w:t>
            </w:r>
          </w:p>
        </w:tc>
      </w:tr>
    </w:tbl>
    <w:p w14:paraId="249B4F18" w14:textId="77777777" w:rsidR="00441F0C" w:rsidRDefault="00441F0C" w:rsidP="00441F0C">
      <w:pPr>
        <w:rPr>
          <w:lang w:val="en-AU"/>
        </w:rPr>
      </w:pPr>
    </w:p>
    <w:p w14:paraId="2766E9EC" w14:textId="41594098" w:rsidR="00803577" w:rsidRDefault="00803577" w:rsidP="00803577">
      <w:pPr>
        <w:pStyle w:val="Caption"/>
      </w:pPr>
      <w:r>
        <w:t xml:space="preserve">Recommendation </w:t>
      </w:r>
      <w:r>
        <w:fldChar w:fldCharType="begin"/>
      </w:r>
      <w:r>
        <w:instrText xml:space="preserve"> SEQ Recommendation \* ARABIC </w:instrText>
      </w:r>
      <w:r>
        <w:fldChar w:fldCharType="separate"/>
      </w:r>
      <w:r>
        <w:rPr>
          <w:noProof/>
        </w:rPr>
        <w:t>12</w:t>
      </w:r>
      <w:r>
        <w:fldChar w:fldCharType="end"/>
      </w:r>
      <w:r>
        <w:t xml:space="preserve">: </w:t>
      </w:r>
      <w:r w:rsidRPr="00F9663F">
        <w:t>Administration of immunomodulating agent</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12 table describes the recommendation for administration of immunomodulating agent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6E0FCDEF" w14:textId="77777777" w:rsidTr="00803577">
        <w:trPr>
          <w:cantSplit/>
          <w:tblHeader/>
        </w:trPr>
        <w:tc>
          <w:tcPr>
            <w:tcW w:w="2126" w:type="dxa"/>
          </w:tcPr>
          <w:p w14:paraId="4A0A9419"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12E0585A"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43AA434C"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75E482D6"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5A7C4FD7"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2763F55B" w14:textId="77777777" w:rsidTr="00686BFB">
        <w:trPr>
          <w:cantSplit/>
        </w:trPr>
        <w:tc>
          <w:tcPr>
            <w:tcW w:w="2126" w:type="dxa"/>
          </w:tcPr>
          <w:p w14:paraId="6F5C3A10"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 14245: IV administration of immune-</w:t>
            </w:r>
            <w:r w:rsidRPr="00692BDC">
              <w:rPr>
                <w:rFonts w:ascii="Arial" w:eastAsiaTheme="minorHAnsi" w:hAnsi="Arial" w:cs="Arial"/>
                <w:sz w:val="18"/>
                <w:szCs w:val="18"/>
                <w:lang w:val="en-AU" w:eastAsia="en-US"/>
              </w:rPr>
              <w:t>modulating agent</w:t>
            </w:r>
            <w:r>
              <w:rPr>
                <w:rFonts w:ascii="Arial" w:eastAsiaTheme="minorHAnsi" w:hAnsi="Arial" w:cs="Arial"/>
                <w:sz w:val="18"/>
                <w:szCs w:val="18"/>
                <w:lang w:val="en-AU" w:eastAsia="en-US"/>
              </w:rPr>
              <w:t xml:space="preserve"> for at least 2 hours</w:t>
            </w:r>
          </w:p>
        </w:tc>
        <w:tc>
          <w:tcPr>
            <w:tcW w:w="3118" w:type="dxa"/>
          </w:tcPr>
          <w:p w14:paraId="402C7BE9"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Intravenous delivery of a medication for immune-modulation</w:t>
            </w:r>
          </w:p>
        </w:tc>
        <w:tc>
          <w:tcPr>
            <w:tcW w:w="3086" w:type="dxa"/>
          </w:tcPr>
          <w:p w14:paraId="059A7C7B"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Leave this item unchanged</w:t>
            </w:r>
          </w:p>
        </w:tc>
        <w:tc>
          <w:tcPr>
            <w:tcW w:w="2977" w:type="dxa"/>
          </w:tcPr>
          <w:p w14:paraId="12A61E34"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w:t>
            </w:r>
          </w:p>
        </w:tc>
        <w:tc>
          <w:tcPr>
            <w:tcW w:w="3118" w:type="dxa"/>
          </w:tcPr>
          <w:p w14:paraId="09E1681E" w14:textId="77777777" w:rsidR="00441F0C" w:rsidRPr="00E577E0" w:rsidRDefault="00441F0C" w:rsidP="00686BFB">
            <w:pPr>
              <w:spacing w:before="20" w:after="20"/>
              <w:rPr>
                <w:rFonts w:ascii="Arial" w:eastAsiaTheme="minorHAnsi" w:hAnsi="Arial" w:cs="Arial"/>
                <w:sz w:val="18"/>
                <w:szCs w:val="18"/>
                <w:lang w:val="en-AU" w:eastAsia="en-US"/>
              </w:rPr>
            </w:pPr>
            <w:r w:rsidRPr="00AB5757">
              <w:rPr>
                <w:rFonts w:ascii="Arial" w:eastAsiaTheme="minorHAnsi" w:hAnsi="Arial" w:cs="Arial"/>
                <w:sz w:val="18"/>
                <w:szCs w:val="18"/>
                <w:lang w:val="en-AU" w:eastAsia="en-US"/>
              </w:rPr>
              <w:t xml:space="preserve">The Committee </w:t>
            </w:r>
            <w:r>
              <w:rPr>
                <w:rFonts w:ascii="Arial" w:eastAsiaTheme="minorHAnsi" w:hAnsi="Arial" w:cs="Arial"/>
                <w:sz w:val="18"/>
                <w:szCs w:val="18"/>
                <w:lang w:val="en-AU" w:eastAsia="en-US"/>
              </w:rPr>
              <w:t xml:space="preserve">is of the view that </w:t>
            </w:r>
            <w:r w:rsidRPr="00AB5757">
              <w:rPr>
                <w:rFonts w:ascii="Arial" w:eastAsiaTheme="minorHAnsi" w:hAnsi="Arial" w:cs="Arial"/>
                <w:sz w:val="18"/>
                <w:szCs w:val="18"/>
                <w:lang w:val="en-AU" w:eastAsia="en-US"/>
              </w:rPr>
              <w:t xml:space="preserve">this is still a </w:t>
            </w:r>
            <w:r>
              <w:rPr>
                <w:rFonts w:ascii="Arial" w:eastAsiaTheme="minorHAnsi" w:hAnsi="Arial" w:cs="Arial"/>
                <w:sz w:val="18"/>
                <w:szCs w:val="18"/>
                <w:lang w:val="en-AU" w:eastAsia="en-US"/>
              </w:rPr>
              <w:t>clinically relevant treatment</w:t>
            </w:r>
          </w:p>
        </w:tc>
      </w:tr>
    </w:tbl>
    <w:p w14:paraId="40C86F36" w14:textId="77777777" w:rsidR="00441F0C" w:rsidRPr="00B0157E" w:rsidRDefault="00441F0C" w:rsidP="00441F0C">
      <w:pPr>
        <w:rPr>
          <w:lang w:val="en-AU"/>
        </w:rPr>
      </w:pPr>
    </w:p>
    <w:p w14:paraId="2E7B1FA1" w14:textId="1900FA29" w:rsidR="00803577" w:rsidRDefault="00803577" w:rsidP="00803577">
      <w:pPr>
        <w:pStyle w:val="Caption"/>
      </w:pPr>
      <w:r>
        <w:t xml:space="preserve">Recommendation </w:t>
      </w:r>
      <w:r>
        <w:fldChar w:fldCharType="begin"/>
      </w:r>
      <w:r>
        <w:instrText xml:space="preserve"> SEQ Recommendation \* ARABIC </w:instrText>
      </w:r>
      <w:r>
        <w:fldChar w:fldCharType="separate"/>
      </w:r>
      <w:r>
        <w:rPr>
          <w:noProof/>
        </w:rPr>
        <w:t>13</w:t>
      </w:r>
      <w:r>
        <w:fldChar w:fldCharType="end"/>
      </w:r>
      <w:r>
        <w:t xml:space="preserve">: </w:t>
      </w:r>
      <w:r w:rsidRPr="00704771">
        <w:t>Bone or cartilage excision</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13 table describes the recommendation for bone or cartilage excision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4E3211B3" w14:textId="77777777" w:rsidTr="00803577">
        <w:trPr>
          <w:cantSplit/>
          <w:tblHeader/>
        </w:trPr>
        <w:tc>
          <w:tcPr>
            <w:tcW w:w="2126" w:type="dxa"/>
          </w:tcPr>
          <w:p w14:paraId="4297F95A"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5B45BD26"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1D763146"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5A4D156E"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5A3C1658"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7198600C" w14:textId="77777777" w:rsidTr="00686BFB">
        <w:trPr>
          <w:cantSplit/>
        </w:trPr>
        <w:tc>
          <w:tcPr>
            <w:tcW w:w="2126" w:type="dxa"/>
          </w:tcPr>
          <w:p w14:paraId="71DDD0CC"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 31340: excision of one or more bone or cartilage specimens</w:t>
            </w:r>
          </w:p>
        </w:tc>
        <w:tc>
          <w:tcPr>
            <w:tcW w:w="3118" w:type="dxa"/>
          </w:tcPr>
          <w:p w14:paraId="65A01AF7"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Removal of bone or cartilage, performed together with skin lesion removal</w:t>
            </w:r>
          </w:p>
        </w:tc>
        <w:tc>
          <w:tcPr>
            <w:tcW w:w="3086" w:type="dxa"/>
          </w:tcPr>
          <w:p w14:paraId="4A37757C"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Leave this item unchanged</w:t>
            </w:r>
          </w:p>
        </w:tc>
        <w:tc>
          <w:tcPr>
            <w:tcW w:w="2977" w:type="dxa"/>
          </w:tcPr>
          <w:p w14:paraId="4CA2E446"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w:t>
            </w:r>
          </w:p>
        </w:tc>
        <w:tc>
          <w:tcPr>
            <w:tcW w:w="3118" w:type="dxa"/>
          </w:tcPr>
          <w:p w14:paraId="201C1D2F" w14:textId="77777777" w:rsidR="00441F0C" w:rsidRPr="00E577E0" w:rsidRDefault="00441F0C" w:rsidP="00686BFB">
            <w:pPr>
              <w:spacing w:before="20" w:after="20"/>
              <w:rPr>
                <w:rFonts w:ascii="Arial" w:eastAsiaTheme="minorHAnsi" w:hAnsi="Arial" w:cs="Arial"/>
                <w:sz w:val="18"/>
                <w:szCs w:val="18"/>
                <w:lang w:val="en-AU" w:eastAsia="en-US"/>
              </w:rPr>
            </w:pPr>
            <w:r w:rsidRPr="00AB5757">
              <w:rPr>
                <w:rFonts w:ascii="Arial" w:eastAsiaTheme="minorHAnsi" w:hAnsi="Arial" w:cs="Arial"/>
                <w:sz w:val="18"/>
                <w:szCs w:val="18"/>
                <w:lang w:val="en-AU" w:eastAsia="en-US"/>
              </w:rPr>
              <w:t xml:space="preserve">The Committee </w:t>
            </w:r>
            <w:r>
              <w:rPr>
                <w:rFonts w:ascii="Arial" w:eastAsiaTheme="minorHAnsi" w:hAnsi="Arial" w:cs="Arial"/>
                <w:sz w:val="18"/>
                <w:szCs w:val="18"/>
                <w:lang w:val="en-AU" w:eastAsia="en-US"/>
              </w:rPr>
              <w:t xml:space="preserve">is of the view that </w:t>
            </w:r>
            <w:r w:rsidRPr="00AB5757">
              <w:rPr>
                <w:rFonts w:ascii="Arial" w:eastAsiaTheme="minorHAnsi" w:hAnsi="Arial" w:cs="Arial"/>
                <w:sz w:val="18"/>
                <w:szCs w:val="18"/>
                <w:lang w:val="en-AU" w:eastAsia="en-US"/>
              </w:rPr>
              <w:t xml:space="preserve">this is still a </w:t>
            </w:r>
            <w:r>
              <w:rPr>
                <w:rFonts w:ascii="Arial" w:eastAsiaTheme="minorHAnsi" w:hAnsi="Arial" w:cs="Arial"/>
                <w:sz w:val="18"/>
                <w:szCs w:val="18"/>
                <w:lang w:val="en-AU" w:eastAsia="en-US"/>
              </w:rPr>
              <w:t>clinically relevant treatment</w:t>
            </w:r>
          </w:p>
        </w:tc>
      </w:tr>
    </w:tbl>
    <w:p w14:paraId="7DA9B39A" w14:textId="77777777" w:rsidR="00322D58" w:rsidRDefault="00322D58" w:rsidP="00322D58">
      <w:pPr>
        <w:rPr>
          <w:lang w:val="en-AU"/>
        </w:rPr>
      </w:pPr>
    </w:p>
    <w:p w14:paraId="725C15E6" w14:textId="77777777" w:rsidR="00322D58" w:rsidRDefault="00322D58">
      <w:pPr>
        <w:spacing w:before="0" w:after="0"/>
        <w:rPr>
          <w:lang w:val="en-AU"/>
        </w:rPr>
      </w:pPr>
      <w:r>
        <w:rPr>
          <w:lang w:val="en-AU"/>
        </w:rPr>
        <w:br w:type="page"/>
      </w:r>
    </w:p>
    <w:p w14:paraId="6F0E0856" w14:textId="165A3413" w:rsidR="00803577" w:rsidRDefault="00803577" w:rsidP="00803577">
      <w:pPr>
        <w:pStyle w:val="Caption"/>
      </w:pPr>
      <w:r>
        <w:lastRenderedPageBreak/>
        <w:t xml:space="preserve">Recommendation </w:t>
      </w:r>
      <w:r>
        <w:fldChar w:fldCharType="begin"/>
      </w:r>
      <w:r>
        <w:instrText xml:space="preserve"> SEQ Recommendation \* ARABIC </w:instrText>
      </w:r>
      <w:r>
        <w:fldChar w:fldCharType="separate"/>
      </w:r>
      <w:r>
        <w:rPr>
          <w:noProof/>
        </w:rPr>
        <w:t>14</w:t>
      </w:r>
      <w:r>
        <w:fldChar w:fldCharType="end"/>
      </w:r>
      <w:r>
        <w:t xml:space="preserve">: </w:t>
      </w:r>
      <w:r w:rsidRPr="009606CF">
        <w:t>Laser excision of face or neck tumours</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14 table describes the recommendation for laser excision of face or neck tumours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37D37E8E" w14:textId="77777777" w:rsidTr="00803577">
        <w:trPr>
          <w:cantSplit/>
          <w:tblHeader/>
        </w:trPr>
        <w:tc>
          <w:tcPr>
            <w:tcW w:w="2126" w:type="dxa"/>
          </w:tcPr>
          <w:p w14:paraId="36ECCEE9"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35CA98FC"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385BDB4E"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36F91E6C"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0E10DBF8"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361AEA57" w14:textId="77777777" w:rsidTr="00686BFB">
        <w:trPr>
          <w:cantSplit/>
        </w:trPr>
        <w:tc>
          <w:tcPr>
            <w:tcW w:w="2126" w:type="dxa"/>
          </w:tcPr>
          <w:p w14:paraId="47AACFAC"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 30190: laser removal of 10 or more tumours such as angiofibromas and trichoepitheliomas</w:t>
            </w:r>
          </w:p>
        </w:tc>
        <w:tc>
          <w:tcPr>
            <w:tcW w:w="3118" w:type="dxa"/>
          </w:tcPr>
          <w:p w14:paraId="7EEDDB43"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Removal by carbon dioxide laser or erbium laser of 10 or more severely disfiguring tumours such as angiofibromas</w:t>
            </w:r>
          </w:p>
        </w:tc>
        <w:tc>
          <w:tcPr>
            <w:tcW w:w="3086" w:type="dxa"/>
          </w:tcPr>
          <w:p w14:paraId="06019B1F"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Exclude common lesions that are not severely disfiguring, such as melanocytic naevi</w:t>
            </w:r>
          </w:p>
          <w:p w14:paraId="06A89875" w14:textId="77777777" w:rsidR="00441F0C" w:rsidRDefault="00441F0C" w:rsidP="00686BFB">
            <w:pPr>
              <w:spacing w:before="20" w:after="20"/>
              <w:rPr>
                <w:rFonts w:ascii="Arial" w:eastAsiaTheme="minorHAnsi" w:hAnsi="Arial" w:cs="Arial"/>
                <w:sz w:val="18"/>
                <w:szCs w:val="18"/>
                <w:lang w:val="en-AU" w:eastAsia="en-US"/>
              </w:rPr>
            </w:pPr>
          </w:p>
          <w:p w14:paraId="0CED69B8"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Add an item number for removing less than 10 tumours, including lesions which were previously billed under item 30195 (which is recommended for deletion)</w:t>
            </w:r>
          </w:p>
          <w:p w14:paraId="0AFD6794" w14:textId="77777777" w:rsidR="00441F0C" w:rsidRDefault="00441F0C" w:rsidP="00686BFB">
            <w:pPr>
              <w:spacing w:before="20" w:after="20"/>
              <w:rPr>
                <w:rFonts w:ascii="Arial" w:eastAsiaTheme="minorHAnsi" w:hAnsi="Arial" w:cs="Arial"/>
                <w:sz w:val="18"/>
                <w:szCs w:val="18"/>
                <w:lang w:val="en-AU" w:eastAsia="en-US"/>
              </w:rPr>
            </w:pPr>
          </w:p>
          <w:p w14:paraId="367B40EE" w14:textId="77777777" w:rsidR="00441F0C" w:rsidRPr="007B2634" w:rsidRDefault="00441F0C" w:rsidP="00686BFB">
            <w:pPr>
              <w:spacing w:before="20" w:after="20"/>
              <w:rPr>
                <w:rFonts w:ascii="Arial" w:eastAsiaTheme="minorHAnsi" w:hAnsi="Arial" w:cs="Arial"/>
                <w:sz w:val="18"/>
                <w:szCs w:val="18"/>
                <w:lang w:val="en-AU" w:eastAsia="en-US"/>
              </w:rPr>
            </w:pPr>
            <w:r w:rsidRPr="007B2634">
              <w:rPr>
                <w:rFonts w:ascii="Arial" w:eastAsiaTheme="minorHAnsi" w:hAnsi="Arial" w:cs="Arial"/>
                <w:sz w:val="18"/>
                <w:szCs w:val="18"/>
                <w:lang w:val="en-AU" w:eastAsia="en-US"/>
              </w:rPr>
              <w:t xml:space="preserve">Change the wording “confirmed by specialist opinion” to “confirmed by AMC recognised dermatologist opinion.” </w:t>
            </w:r>
          </w:p>
          <w:p w14:paraId="3176ABBA" w14:textId="77777777" w:rsidR="00441F0C" w:rsidRDefault="00441F0C" w:rsidP="00686BFB">
            <w:pPr>
              <w:spacing w:before="20" w:after="20"/>
              <w:rPr>
                <w:rFonts w:ascii="Arial" w:eastAsiaTheme="minorHAnsi" w:hAnsi="Arial" w:cs="Arial"/>
                <w:sz w:val="18"/>
                <w:szCs w:val="18"/>
                <w:lang w:val="en-AU" w:eastAsia="en-US"/>
              </w:rPr>
            </w:pPr>
          </w:p>
          <w:p w14:paraId="30A6BA11"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Committee advises that </w:t>
            </w:r>
            <w:r w:rsidRPr="007B2634">
              <w:rPr>
                <w:rFonts w:ascii="Arial" w:eastAsiaTheme="minorHAnsi" w:hAnsi="Arial" w:cs="Arial"/>
                <w:sz w:val="18"/>
                <w:szCs w:val="18"/>
                <w:lang w:val="en-AU" w:eastAsia="en-US"/>
              </w:rPr>
              <w:t xml:space="preserve">treatment under </w:t>
            </w:r>
            <w:r>
              <w:rPr>
                <w:rFonts w:ascii="Arial" w:eastAsiaTheme="minorHAnsi" w:hAnsi="Arial" w:cs="Arial"/>
                <w:sz w:val="18"/>
                <w:szCs w:val="18"/>
                <w:lang w:val="en-AU" w:eastAsia="en-US"/>
              </w:rPr>
              <w:t xml:space="preserve">the new </w:t>
            </w:r>
            <w:r w:rsidRPr="007B2634">
              <w:rPr>
                <w:rFonts w:ascii="Arial" w:eastAsiaTheme="minorHAnsi" w:hAnsi="Arial" w:cs="Arial"/>
                <w:sz w:val="18"/>
                <w:szCs w:val="18"/>
                <w:lang w:val="en-AU" w:eastAsia="en-US"/>
              </w:rPr>
              <w:t xml:space="preserve">item would have a similar scope of practice as item 14100, </w:t>
            </w:r>
            <w:r>
              <w:rPr>
                <w:rFonts w:ascii="Arial" w:eastAsiaTheme="minorHAnsi" w:hAnsi="Arial" w:cs="Arial"/>
                <w:sz w:val="18"/>
                <w:szCs w:val="18"/>
                <w:lang w:val="en-AU" w:eastAsia="en-US"/>
              </w:rPr>
              <w:t xml:space="preserve">and that </w:t>
            </w:r>
            <w:r w:rsidRPr="007B2634">
              <w:rPr>
                <w:rFonts w:ascii="Arial" w:eastAsiaTheme="minorHAnsi" w:hAnsi="Arial" w:cs="Arial"/>
                <w:sz w:val="18"/>
                <w:szCs w:val="18"/>
                <w:lang w:val="en-AU" w:eastAsia="en-US"/>
              </w:rPr>
              <w:t>these lesions were most likely treat</w:t>
            </w:r>
            <w:r>
              <w:rPr>
                <w:rFonts w:ascii="Arial" w:eastAsiaTheme="minorHAnsi" w:hAnsi="Arial" w:cs="Arial"/>
                <w:sz w:val="18"/>
                <w:szCs w:val="18"/>
                <w:lang w:val="en-AU" w:eastAsia="en-US"/>
              </w:rPr>
              <w:t>ed under item 30195 in the past;</w:t>
            </w:r>
            <w:r w:rsidRPr="007B2634">
              <w:rPr>
                <w:rFonts w:ascii="Arial" w:eastAsiaTheme="minorHAnsi" w:hAnsi="Arial" w:cs="Arial"/>
                <w:sz w:val="18"/>
                <w:szCs w:val="18"/>
                <w:lang w:val="en-AU" w:eastAsia="en-US"/>
              </w:rPr>
              <w:t xml:space="preserve"> </w:t>
            </w:r>
            <w:r>
              <w:rPr>
                <w:rFonts w:ascii="Arial" w:eastAsiaTheme="minorHAnsi" w:hAnsi="Arial" w:cs="Arial"/>
                <w:sz w:val="18"/>
                <w:szCs w:val="18"/>
                <w:lang w:val="en-AU" w:eastAsia="en-US"/>
              </w:rPr>
              <w:t xml:space="preserve">so </w:t>
            </w:r>
            <w:r w:rsidRPr="007B2634">
              <w:rPr>
                <w:rFonts w:ascii="Arial" w:eastAsiaTheme="minorHAnsi" w:hAnsi="Arial" w:cs="Arial"/>
                <w:sz w:val="18"/>
                <w:szCs w:val="18"/>
                <w:lang w:val="en-AU" w:eastAsia="en-US"/>
              </w:rPr>
              <w:t xml:space="preserve">both of these schedule fees </w:t>
            </w:r>
            <w:r>
              <w:rPr>
                <w:rFonts w:ascii="Arial" w:eastAsiaTheme="minorHAnsi" w:hAnsi="Arial" w:cs="Arial"/>
                <w:sz w:val="18"/>
                <w:szCs w:val="18"/>
                <w:lang w:val="en-AU" w:eastAsia="en-US"/>
              </w:rPr>
              <w:t xml:space="preserve">may </w:t>
            </w:r>
            <w:r w:rsidRPr="007B2634">
              <w:rPr>
                <w:rFonts w:ascii="Arial" w:eastAsiaTheme="minorHAnsi" w:hAnsi="Arial" w:cs="Arial"/>
                <w:sz w:val="18"/>
                <w:szCs w:val="18"/>
                <w:lang w:val="en-AU" w:eastAsia="en-US"/>
              </w:rPr>
              <w:t>be used as reference to determine the price</w:t>
            </w:r>
          </w:p>
        </w:tc>
        <w:tc>
          <w:tcPr>
            <w:tcW w:w="2977" w:type="dxa"/>
          </w:tcPr>
          <w:p w14:paraId="073CDA32"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Patients </w:t>
            </w:r>
          </w:p>
        </w:tc>
        <w:tc>
          <w:tcPr>
            <w:tcW w:w="3118" w:type="dxa"/>
          </w:tcPr>
          <w:p w14:paraId="448B7699"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Prevent doctors from inappropriately billing 30190 instead of 30195 (if deleted)</w:t>
            </w:r>
          </w:p>
          <w:p w14:paraId="35519B88" w14:textId="77777777" w:rsidR="00441F0C" w:rsidRDefault="00441F0C" w:rsidP="00686BFB">
            <w:pPr>
              <w:spacing w:before="20" w:after="20"/>
              <w:rPr>
                <w:rFonts w:ascii="Arial" w:eastAsiaTheme="minorHAnsi" w:hAnsi="Arial" w:cs="Arial"/>
                <w:sz w:val="18"/>
                <w:szCs w:val="18"/>
                <w:lang w:val="en-AU" w:eastAsia="en-US"/>
              </w:rPr>
            </w:pPr>
          </w:p>
          <w:p w14:paraId="16C882FB"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Create new item to protect access to this service for patients with rare conditions (e.g., epidermal naevi)</w:t>
            </w:r>
          </w:p>
          <w:p w14:paraId="2555911B" w14:textId="77777777" w:rsidR="00441F0C" w:rsidRDefault="00441F0C" w:rsidP="00686BFB">
            <w:pPr>
              <w:spacing w:before="20" w:after="20"/>
              <w:rPr>
                <w:rFonts w:ascii="Arial" w:eastAsiaTheme="minorHAnsi" w:hAnsi="Arial" w:cs="Arial"/>
                <w:sz w:val="18"/>
                <w:szCs w:val="18"/>
                <w:lang w:val="en-AU" w:eastAsia="en-US"/>
              </w:rPr>
            </w:pPr>
          </w:p>
          <w:p w14:paraId="5EAC7BF1"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There is concern </w:t>
            </w:r>
            <w:r w:rsidRPr="00EE6929">
              <w:rPr>
                <w:rFonts w:ascii="Arial" w:eastAsiaTheme="minorHAnsi" w:hAnsi="Arial" w:cs="Arial"/>
                <w:sz w:val="18"/>
                <w:szCs w:val="18"/>
                <w:lang w:val="en-AU" w:eastAsia="en-US"/>
              </w:rPr>
              <w:t>that certain GPs who specialise in skin are classifying themselves as specialists. The Committee decided to address this issue by changing this wording to “AMC recognised dermatologist.”</w:t>
            </w:r>
          </w:p>
          <w:p w14:paraId="1A1BC32A" w14:textId="77777777" w:rsidR="00441F0C" w:rsidRPr="00E577E0" w:rsidRDefault="00441F0C" w:rsidP="00686BFB">
            <w:pPr>
              <w:spacing w:before="20" w:after="20"/>
              <w:rPr>
                <w:rFonts w:ascii="Arial" w:eastAsiaTheme="minorHAnsi" w:hAnsi="Arial" w:cs="Arial"/>
                <w:sz w:val="18"/>
                <w:szCs w:val="18"/>
                <w:lang w:val="en-AU" w:eastAsia="en-US"/>
              </w:rPr>
            </w:pPr>
          </w:p>
        </w:tc>
      </w:tr>
    </w:tbl>
    <w:p w14:paraId="419CDB68" w14:textId="77777777" w:rsidR="00441F0C" w:rsidRPr="00B0157E" w:rsidRDefault="00441F0C" w:rsidP="00441F0C">
      <w:pPr>
        <w:rPr>
          <w:lang w:val="en-AU"/>
        </w:rPr>
      </w:pPr>
    </w:p>
    <w:p w14:paraId="45AC3541" w14:textId="28DD8F26" w:rsidR="00803577" w:rsidRDefault="00803577" w:rsidP="00803577">
      <w:pPr>
        <w:pStyle w:val="Caption"/>
      </w:pPr>
      <w:r>
        <w:t xml:space="preserve">Recommendation </w:t>
      </w:r>
      <w:r>
        <w:fldChar w:fldCharType="begin"/>
      </w:r>
      <w:r>
        <w:instrText xml:space="preserve"> SEQ Recommendation \* ARABIC </w:instrText>
      </w:r>
      <w:r>
        <w:fldChar w:fldCharType="separate"/>
      </w:r>
      <w:r>
        <w:rPr>
          <w:noProof/>
        </w:rPr>
        <w:t>15</w:t>
      </w:r>
      <w:r>
        <w:fldChar w:fldCharType="end"/>
      </w:r>
      <w:r>
        <w:t xml:space="preserve">: </w:t>
      </w:r>
      <w:r w:rsidRPr="00AC2BB8">
        <w:t>Laser resurfacing for face or neck</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15 table describes the recommendation for laser resurfacing for face or neck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56E3B24E" w14:textId="77777777" w:rsidTr="00803577">
        <w:trPr>
          <w:cantSplit/>
          <w:tblHeader/>
        </w:trPr>
        <w:tc>
          <w:tcPr>
            <w:tcW w:w="2126" w:type="dxa"/>
          </w:tcPr>
          <w:p w14:paraId="6C82CBA7"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70CBC352"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54111228"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2DF25BA1"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45B1F3D3"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1A2EC93C" w14:textId="77777777" w:rsidTr="00686BFB">
        <w:trPr>
          <w:cantSplit/>
        </w:trPr>
        <w:tc>
          <w:tcPr>
            <w:tcW w:w="2126" w:type="dxa"/>
          </w:tcPr>
          <w:p w14:paraId="783C2D34"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Items 45025 and 45026: Laser resurfacing of face or neck for severely disfiguring scarring, excluding fractional laser therapy</w:t>
            </w:r>
          </w:p>
        </w:tc>
        <w:tc>
          <w:tcPr>
            <w:tcW w:w="3118" w:type="dxa"/>
          </w:tcPr>
          <w:p w14:paraId="379F200C"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Facial treatment by laser for severe scarring from trauma, burns, or acne </w:t>
            </w:r>
          </w:p>
        </w:tc>
        <w:tc>
          <w:tcPr>
            <w:tcW w:w="3086" w:type="dxa"/>
          </w:tcPr>
          <w:p w14:paraId="6E9D4572" w14:textId="77777777" w:rsidR="00441F0C" w:rsidRPr="00BE7BF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A</w:t>
            </w:r>
            <w:r w:rsidRPr="00BE7BFC">
              <w:rPr>
                <w:rFonts w:ascii="Arial" w:eastAsiaTheme="minorHAnsi" w:hAnsi="Arial" w:cs="Arial"/>
                <w:sz w:val="18"/>
                <w:szCs w:val="18"/>
                <w:lang w:val="en-AU" w:eastAsia="en-US"/>
              </w:rPr>
              <w:t xml:space="preserve">dd the use </w:t>
            </w:r>
            <w:r>
              <w:rPr>
                <w:rFonts w:ascii="Arial" w:eastAsiaTheme="minorHAnsi" w:hAnsi="Arial" w:cs="Arial"/>
                <w:sz w:val="18"/>
                <w:szCs w:val="18"/>
                <w:lang w:val="en-AU" w:eastAsia="en-US"/>
              </w:rPr>
              <w:t>of fractional ablative lasers (Erbium and CO2) to the item</w:t>
            </w:r>
            <w:r w:rsidRPr="00BE7BFC">
              <w:rPr>
                <w:rFonts w:ascii="Arial" w:eastAsiaTheme="minorHAnsi" w:hAnsi="Arial" w:cs="Arial"/>
                <w:sz w:val="18"/>
                <w:szCs w:val="18"/>
                <w:lang w:val="en-AU" w:eastAsia="en-US"/>
              </w:rPr>
              <w:t xml:space="preserve"> </w:t>
            </w:r>
          </w:p>
          <w:p w14:paraId="227E257F" w14:textId="77777777" w:rsidR="00441F0C" w:rsidRDefault="00441F0C" w:rsidP="00686BFB">
            <w:pPr>
              <w:spacing w:before="20" w:after="20"/>
              <w:rPr>
                <w:rFonts w:ascii="Arial" w:eastAsiaTheme="minorHAnsi" w:hAnsi="Arial" w:cs="Arial"/>
                <w:sz w:val="18"/>
                <w:szCs w:val="18"/>
                <w:lang w:val="en-AU" w:eastAsia="en-US"/>
              </w:rPr>
            </w:pPr>
          </w:p>
          <w:p w14:paraId="5C712F02"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Exclude</w:t>
            </w:r>
            <w:r w:rsidRPr="00BE7BFC">
              <w:rPr>
                <w:rFonts w:ascii="Arial" w:eastAsiaTheme="minorHAnsi" w:hAnsi="Arial" w:cs="Arial"/>
                <w:sz w:val="18"/>
                <w:szCs w:val="18"/>
                <w:lang w:val="en-AU" w:eastAsia="en-US"/>
              </w:rPr>
              <w:t xml:space="preserve"> </w:t>
            </w:r>
            <w:r w:rsidRPr="00FB154C">
              <w:rPr>
                <w:rFonts w:ascii="Arial" w:eastAsiaTheme="minorHAnsi" w:hAnsi="Arial" w:cs="Arial"/>
                <w:sz w:val="18"/>
                <w:szCs w:val="18"/>
                <w:u w:val="single"/>
                <w:lang w:val="en-AU" w:eastAsia="en-US"/>
              </w:rPr>
              <w:t>non-ablative</w:t>
            </w:r>
            <w:r>
              <w:rPr>
                <w:rFonts w:ascii="Arial" w:eastAsiaTheme="minorHAnsi" w:hAnsi="Arial" w:cs="Arial"/>
                <w:sz w:val="18"/>
                <w:szCs w:val="18"/>
                <w:lang w:val="en-AU" w:eastAsia="en-US"/>
              </w:rPr>
              <w:t xml:space="preserve"> fractional laser therapy</w:t>
            </w:r>
          </w:p>
        </w:tc>
        <w:tc>
          <w:tcPr>
            <w:tcW w:w="2977" w:type="dxa"/>
          </w:tcPr>
          <w:p w14:paraId="7D255091"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Patients would have access to fractionated laser therapy</w:t>
            </w:r>
          </w:p>
        </w:tc>
        <w:tc>
          <w:tcPr>
            <w:tcW w:w="3118" w:type="dxa"/>
          </w:tcPr>
          <w:p w14:paraId="1B90B9A6"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Evidence shows that fractionated laser therapy can have equivalent results to non-fractionated lasers</w:t>
            </w:r>
          </w:p>
        </w:tc>
      </w:tr>
    </w:tbl>
    <w:p w14:paraId="0FEAB18E" w14:textId="77777777" w:rsidR="00441F0C" w:rsidRDefault="00441F0C" w:rsidP="00441F0C">
      <w:pPr>
        <w:rPr>
          <w:lang w:val="en-AU"/>
        </w:rPr>
      </w:pPr>
    </w:p>
    <w:p w14:paraId="4F68BBD8" w14:textId="7F6BA364" w:rsidR="00803577" w:rsidRDefault="00803577" w:rsidP="00803577">
      <w:pPr>
        <w:pStyle w:val="Caption"/>
      </w:pPr>
      <w:r>
        <w:lastRenderedPageBreak/>
        <w:t xml:space="preserve">Recommendation </w:t>
      </w:r>
      <w:r>
        <w:fldChar w:fldCharType="begin"/>
      </w:r>
      <w:r>
        <w:instrText xml:space="preserve"> SEQ Recommendation \* ARABIC </w:instrText>
      </w:r>
      <w:r>
        <w:fldChar w:fldCharType="separate"/>
      </w:r>
      <w:r>
        <w:rPr>
          <w:noProof/>
        </w:rPr>
        <w:t>16</w:t>
      </w:r>
      <w:r>
        <w:fldChar w:fldCharType="end"/>
      </w:r>
      <w:r>
        <w:t xml:space="preserve">: </w:t>
      </w:r>
      <w:r w:rsidRPr="00E36541">
        <w:t>Laser vermilionectomy</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16 table describes the recommendation for laser vermilionectomy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53EBE92F" w14:textId="77777777" w:rsidTr="00803577">
        <w:trPr>
          <w:cantSplit/>
          <w:tblHeader/>
        </w:trPr>
        <w:tc>
          <w:tcPr>
            <w:tcW w:w="2126" w:type="dxa"/>
          </w:tcPr>
          <w:p w14:paraId="3813BE32"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68744799"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4FEBA4B4"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1E1A6B5A"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76952CFD"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414FB2A2" w14:textId="77777777" w:rsidTr="00686BFB">
        <w:trPr>
          <w:cantSplit/>
        </w:trPr>
        <w:tc>
          <w:tcPr>
            <w:tcW w:w="2126" w:type="dxa"/>
          </w:tcPr>
          <w:p w14:paraId="1C5D92E8"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Item 45669: </w:t>
            </w:r>
            <w:r w:rsidRPr="00FB154C">
              <w:rPr>
                <w:rFonts w:ascii="Arial" w:eastAsiaTheme="minorHAnsi" w:hAnsi="Arial" w:cs="Arial"/>
                <w:sz w:val="18"/>
                <w:szCs w:val="18"/>
                <w:lang w:val="en-AU" w:eastAsia="en-US"/>
              </w:rPr>
              <w:t>Vermilionectomy, using carbon dioxide laser or erbium laser excision-ablation. (Anaes.)</w:t>
            </w:r>
          </w:p>
        </w:tc>
        <w:tc>
          <w:tcPr>
            <w:tcW w:w="3118" w:type="dxa"/>
          </w:tcPr>
          <w:p w14:paraId="4CD99829"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Surgical removal of the ‘vermilion border’ on the upper lip </w:t>
            </w:r>
          </w:p>
        </w:tc>
        <w:tc>
          <w:tcPr>
            <w:tcW w:w="3086" w:type="dxa"/>
          </w:tcPr>
          <w:p w14:paraId="52AF3A7B" w14:textId="77777777" w:rsidR="00441F0C" w:rsidRPr="00E577E0" w:rsidRDefault="00441F0C" w:rsidP="00686BFB">
            <w:pPr>
              <w:spacing w:before="20" w:after="20"/>
              <w:rPr>
                <w:rFonts w:ascii="Arial" w:eastAsiaTheme="minorHAnsi" w:hAnsi="Arial" w:cs="Arial"/>
                <w:sz w:val="18"/>
                <w:szCs w:val="18"/>
                <w:lang w:val="en-AU" w:eastAsia="en-US"/>
              </w:rPr>
            </w:pPr>
            <w:r w:rsidRPr="00C4633B">
              <w:rPr>
                <w:rFonts w:ascii="Arial" w:eastAsiaTheme="minorHAnsi" w:hAnsi="Arial" w:cs="Arial"/>
                <w:sz w:val="18"/>
                <w:szCs w:val="18"/>
                <w:lang w:val="en-AU" w:eastAsia="en-US"/>
              </w:rPr>
              <w:t>Require biopsy proof in the item descriptor</w:t>
            </w:r>
          </w:p>
          <w:p w14:paraId="27635581" w14:textId="77777777" w:rsidR="00441F0C" w:rsidRPr="00E577E0" w:rsidRDefault="00441F0C" w:rsidP="00686BFB">
            <w:pPr>
              <w:spacing w:before="20" w:after="20"/>
              <w:rPr>
                <w:rFonts w:ascii="Arial" w:eastAsiaTheme="minorHAnsi" w:hAnsi="Arial" w:cs="Arial"/>
                <w:sz w:val="18"/>
                <w:szCs w:val="18"/>
                <w:lang w:val="en-AU" w:eastAsia="en-US"/>
              </w:rPr>
            </w:pPr>
          </w:p>
        </w:tc>
        <w:tc>
          <w:tcPr>
            <w:tcW w:w="2977" w:type="dxa"/>
          </w:tcPr>
          <w:p w14:paraId="28D40105"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Consumers would be at lower risk of this item being misused in a low-value way, since doctors would have to provide proof that it was treating an appropriate condition</w:t>
            </w:r>
          </w:p>
        </w:tc>
        <w:tc>
          <w:tcPr>
            <w:tcW w:w="3118" w:type="dxa"/>
          </w:tcPr>
          <w:p w14:paraId="6837D769"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Helps ensure appropriate use of the item</w:t>
            </w:r>
          </w:p>
        </w:tc>
      </w:tr>
    </w:tbl>
    <w:p w14:paraId="2984C260" w14:textId="77777777" w:rsidR="00441F0C" w:rsidRPr="00B0157E" w:rsidRDefault="00441F0C" w:rsidP="00441F0C">
      <w:pPr>
        <w:rPr>
          <w:lang w:val="en-AU"/>
        </w:rPr>
      </w:pPr>
    </w:p>
    <w:p w14:paraId="191D54E7" w14:textId="01359C86" w:rsidR="00803577" w:rsidRDefault="00803577" w:rsidP="00803577">
      <w:pPr>
        <w:pStyle w:val="Caption"/>
      </w:pPr>
      <w:r>
        <w:t xml:space="preserve">Recommendation </w:t>
      </w:r>
      <w:r>
        <w:fldChar w:fldCharType="begin"/>
      </w:r>
      <w:r>
        <w:instrText xml:space="preserve"> SEQ Recommendation \* ARABIC </w:instrText>
      </w:r>
      <w:r>
        <w:fldChar w:fldCharType="separate"/>
      </w:r>
      <w:r>
        <w:rPr>
          <w:noProof/>
        </w:rPr>
        <w:t>17</w:t>
      </w:r>
      <w:r>
        <w:fldChar w:fldCharType="end"/>
      </w:r>
      <w:r>
        <w:t xml:space="preserve">: </w:t>
      </w:r>
      <w:r w:rsidRPr="007B406B">
        <w:t>Laser treatment of rhinophyma</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17 table describes the recommendation for laser treatment of rhinophyma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6BD4F22E" w14:textId="77777777" w:rsidTr="00803577">
        <w:trPr>
          <w:cantSplit/>
          <w:tblHeader/>
        </w:trPr>
        <w:tc>
          <w:tcPr>
            <w:tcW w:w="2126" w:type="dxa"/>
          </w:tcPr>
          <w:p w14:paraId="51EBB28D"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5A2D9E3E"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231C9441"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1A705263"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62157276"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7BC679B2" w14:textId="77777777" w:rsidTr="00686BFB">
        <w:trPr>
          <w:cantSplit/>
        </w:trPr>
        <w:tc>
          <w:tcPr>
            <w:tcW w:w="2126" w:type="dxa"/>
          </w:tcPr>
          <w:p w14:paraId="635BBC54"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Item 45652:Carbon dioxide laser or erbium laser excision-ablation of rhinophyma</w:t>
            </w:r>
          </w:p>
        </w:tc>
        <w:tc>
          <w:tcPr>
            <w:tcW w:w="3118" w:type="dxa"/>
          </w:tcPr>
          <w:p w14:paraId="5154D8D4"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Laser treatment of rhinophyma (a condition causing a large, bulbous ruddy nose) </w:t>
            </w:r>
          </w:p>
        </w:tc>
        <w:tc>
          <w:tcPr>
            <w:tcW w:w="3086" w:type="dxa"/>
          </w:tcPr>
          <w:p w14:paraId="3F0F0F96" w14:textId="77777777" w:rsidR="00441F0C" w:rsidRPr="00E577E0" w:rsidRDefault="00441F0C" w:rsidP="00686BFB">
            <w:pPr>
              <w:spacing w:before="20" w:after="20"/>
              <w:rPr>
                <w:rFonts w:ascii="Arial" w:eastAsiaTheme="minorHAnsi" w:hAnsi="Arial" w:cs="Arial"/>
                <w:sz w:val="18"/>
                <w:szCs w:val="18"/>
                <w:lang w:val="en-AU" w:eastAsia="en-US"/>
              </w:rPr>
            </w:pPr>
            <w:r w:rsidRPr="005A4949">
              <w:rPr>
                <w:rFonts w:ascii="Arial" w:eastAsiaTheme="minorHAnsi" w:hAnsi="Arial" w:cs="Arial"/>
                <w:sz w:val="18"/>
                <w:szCs w:val="18"/>
                <w:lang w:val="en-AU" w:eastAsia="en-US"/>
              </w:rPr>
              <w:t>Add the phrase “Rhinophyma of a moderate or s</w:t>
            </w:r>
            <w:r>
              <w:rPr>
                <w:rFonts w:ascii="Arial" w:eastAsiaTheme="minorHAnsi" w:hAnsi="Arial" w:cs="Arial"/>
                <w:sz w:val="18"/>
                <w:szCs w:val="18"/>
                <w:lang w:val="en-AU" w:eastAsia="en-US"/>
              </w:rPr>
              <w:t>evere degree” to the descriptor, and require photographic evidence</w:t>
            </w:r>
          </w:p>
          <w:p w14:paraId="3FD5CDC6" w14:textId="77777777" w:rsidR="00441F0C" w:rsidRPr="00E577E0" w:rsidRDefault="00441F0C" w:rsidP="00686BFB">
            <w:pPr>
              <w:spacing w:before="20" w:after="20"/>
              <w:rPr>
                <w:rFonts w:ascii="Arial" w:eastAsiaTheme="minorHAnsi" w:hAnsi="Arial" w:cs="Arial"/>
                <w:sz w:val="18"/>
                <w:szCs w:val="18"/>
                <w:lang w:val="en-AU" w:eastAsia="en-US"/>
              </w:rPr>
            </w:pPr>
          </w:p>
        </w:tc>
        <w:tc>
          <w:tcPr>
            <w:tcW w:w="2977" w:type="dxa"/>
          </w:tcPr>
          <w:p w14:paraId="08440E6F"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Consumers will continue to have access to this item where needed, i.e. the condition is appropriately severe</w:t>
            </w:r>
          </w:p>
        </w:tc>
        <w:tc>
          <w:tcPr>
            <w:tcW w:w="3118" w:type="dxa"/>
          </w:tcPr>
          <w:p w14:paraId="35EA6236"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S</w:t>
            </w:r>
            <w:r w:rsidRPr="004925CD">
              <w:rPr>
                <w:rFonts w:ascii="Arial" w:eastAsiaTheme="minorHAnsi" w:hAnsi="Arial" w:cs="Arial"/>
                <w:sz w:val="18"/>
                <w:szCs w:val="18"/>
                <w:lang w:val="en-AU" w:eastAsia="en-US"/>
              </w:rPr>
              <w:t>pecify</w:t>
            </w:r>
            <w:r>
              <w:rPr>
                <w:rFonts w:ascii="Arial" w:eastAsiaTheme="minorHAnsi" w:hAnsi="Arial" w:cs="Arial"/>
                <w:sz w:val="18"/>
                <w:szCs w:val="18"/>
                <w:lang w:val="en-AU" w:eastAsia="en-US"/>
              </w:rPr>
              <w:t>ing</w:t>
            </w:r>
            <w:r w:rsidRPr="004925CD">
              <w:rPr>
                <w:rFonts w:ascii="Arial" w:eastAsiaTheme="minorHAnsi" w:hAnsi="Arial" w:cs="Arial"/>
                <w:sz w:val="18"/>
                <w:szCs w:val="18"/>
                <w:lang w:val="en-AU" w:eastAsia="en-US"/>
              </w:rPr>
              <w:t xml:space="preserve"> moderate or severe rhinophyma will ensure that this item is used to treat the appropriate thickening associated with rhinophyma</w:t>
            </w:r>
          </w:p>
        </w:tc>
      </w:tr>
    </w:tbl>
    <w:p w14:paraId="083797D4" w14:textId="77777777" w:rsidR="00441F0C" w:rsidRDefault="00441F0C" w:rsidP="00441F0C">
      <w:pPr>
        <w:rPr>
          <w:lang w:val="en-AU"/>
        </w:rPr>
      </w:pPr>
    </w:p>
    <w:p w14:paraId="6DF362F4" w14:textId="30205BAA" w:rsidR="00803577" w:rsidRDefault="00803577" w:rsidP="00803577">
      <w:pPr>
        <w:pStyle w:val="Caption"/>
      </w:pPr>
      <w:r>
        <w:t xml:space="preserve">Recommendation </w:t>
      </w:r>
      <w:r>
        <w:fldChar w:fldCharType="begin"/>
      </w:r>
      <w:r>
        <w:instrText xml:space="preserve"> SEQ Recommendation \* ARABIC </w:instrText>
      </w:r>
      <w:r>
        <w:fldChar w:fldCharType="separate"/>
      </w:r>
      <w:r>
        <w:rPr>
          <w:noProof/>
        </w:rPr>
        <w:t>18</w:t>
      </w:r>
      <w:r>
        <w:fldChar w:fldCharType="end"/>
      </w:r>
      <w:r>
        <w:t xml:space="preserve">: </w:t>
      </w:r>
      <w:r w:rsidRPr="00D35C30">
        <w:t>Full-face chemical peel</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he Appendix B, Recommendation 18 table describes the recommendation for full-face chemical peel in less technical langu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441F0C" w:rsidRPr="00E577E0" w14:paraId="42D0E576" w14:textId="77777777" w:rsidTr="00803577">
        <w:trPr>
          <w:cantSplit/>
          <w:tblHeader/>
        </w:trPr>
        <w:tc>
          <w:tcPr>
            <w:tcW w:w="2126" w:type="dxa"/>
          </w:tcPr>
          <w:p w14:paraId="7C0743A7"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Item </w:t>
            </w:r>
          </w:p>
        </w:tc>
        <w:tc>
          <w:tcPr>
            <w:tcW w:w="3118" w:type="dxa"/>
          </w:tcPr>
          <w:p w14:paraId="3DBB5BB3" w14:textId="77777777" w:rsidR="00441F0C" w:rsidRPr="00E577E0" w:rsidRDefault="00441F0C" w:rsidP="00686BFB">
            <w:pPr>
              <w:spacing w:before="20" w:after="20"/>
              <w:rPr>
                <w:rFonts w:ascii="Arial" w:eastAsiaTheme="minorHAnsi" w:hAnsi="Arial" w:cs="Arial"/>
                <w:b/>
                <w:color w:val="222222"/>
                <w:sz w:val="18"/>
                <w:szCs w:val="18"/>
                <w:lang w:val="en-AU" w:eastAsia="en-US"/>
              </w:rPr>
            </w:pPr>
            <w:r w:rsidRPr="00E577E0">
              <w:rPr>
                <w:rFonts w:ascii="Arial" w:eastAsiaTheme="minorHAnsi" w:hAnsi="Arial" w:cs="Arial"/>
                <w:b/>
                <w:sz w:val="18"/>
                <w:szCs w:val="18"/>
                <w:lang w:val="en-AU" w:eastAsia="en-US"/>
              </w:rPr>
              <w:t xml:space="preserve">What it does </w:t>
            </w:r>
          </w:p>
        </w:tc>
        <w:tc>
          <w:tcPr>
            <w:tcW w:w="3086" w:type="dxa"/>
          </w:tcPr>
          <w:p w14:paraId="57B9A995"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Committee recommendation</w:t>
            </w:r>
          </w:p>
        </w:tc>
        <w:tc>
          <w:tcPr>
            <w:tcW w:w="2977" w:type="dxa"/>
          </w:tcPr>
          <w:p w14:paraId="08ABA4E1"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What would be different</w:t>
            </w:r>
          </w:p>
        </w:tc>
        <w:tc>
          <w:tcPr>
            <w:tcW w:w="3118" w:type="dxa"/>
          </w:tcPr>
          <w:p w14:paraId="3BE106DB" w14:textId="77777777" w:rsidR="00441F0C" w:rsidRPr="00E577E0" w:rsidRDefault="00441F0C" w:rsidP="00686BFB">
            <w:pPr>
              <w:spacing w:before="20" w:after="20"/>
              <w:rPr>
                <w:rFonts w:ascii="Arial" w:eastAsiaTheme="minorHAnsi" w:hAnsi="Arial" w:cs="Arial"/>
                <w:b/>
                <w:sz w:val="18"/>
                <w:szCs w:val="18"/>
                <w:lang w:val="en-AU" w:eastAsia="en-US"/>
              </w:rPr>
            </w:pPr>
            <w:r w:rsidRPr="00E577E0">
              <w:rPr>
                <w:rFonts w:ascii="Arial" w:eastAsiaTheme="minorHAnsi" w:hAnsi="Arial" w:cs="Arial"/>
                <w:b/>
                <w:sz w:val="18"/>
                <w:szCs w:val="18"/>
                <w:lang w:val="en-AU" w:eastAsia="en-US"/>
              </w:rPr>
              <w:t>Why</w:t>
            </w:r>
          </w:p>
        </w:tc>
      </w:tr>
      <w:tr w:rsidR="00441F0C" w:rsidRPr="00E577E0" w14:paraId="36337BD5" w14:textId="77777777" w:rsidTr="00686BFB">
        <w:trPr>
          <w:cantSplit/>
        </w:trPr>
        <w:tc>
          <w:tcPr>
            <w:tcW w:w="2126" w:type="dxa"/>
          </w:tcPr>
          <w:p w14:paraId="62FFBAE7"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Item 45019: </w:t>
            </w:r>
            <w:r w:rsidRPr="004925CD">
              <w:rPr>
                <w:rFonts w:ascii="Arial" w:eastAsiaTheme="minorHAnsi" w:hAnsi="Arial" w:cs="Arial"/>
                <w:sz w:val="18"/>
                <w:szCs w:val="18"/>
                <w:lang w:val="en-AU" w:eastAsia="en-US"/>
              </w:rPr>
              <w:t>Full face chemical peel for severely sun-damaged skin</w:t>
            </w:r>
            <w:r>
              <w:rPr>
                <w:rFonts w:ascii="Arial" w:eastAsiaTheme="minorHAnsi" w:hAnsi="Arial" w:cs="Arial"/>
                <w:sz w:val="18"/>
                <w:szCs w:val="18"/>
                <w:lang w:val="en-AU" w:eastAsia="en-US"/>
              </w:rPr>
              <w:t xml:space="preserve"> where </w:t>
            </w:r>
            <w:r w:rsidRPr="004925CD">
              <w:rPr>
                <w:rFonts w:ascii="Arial" w:eastAsiaTheme="minorHAnsi" w:hAnsi="Arial" w:cs="Arial"/>
                <w:sz w:val="18"/>
                <w:szCs w:val="18"/>
                <w:lang w:val="en-AU" w:eastAsia="en-US"/>
              </w:rPr>
              <w:t>the damage affects 75% of the facial skin surface area</w:t>
            </w:r>
          </w:p>
        </w:tc>
        <w:tc>
          <w:tcPr>
            <w:tcW w:w="3118" w:type="dxa"/>
          </w:tcPr>
          <w:p w14:paraId="07B2245C"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Treatment of severe sun-caused damage to the face (e.g., yellowing and leathering of the skin, solar keratosis) where at least medium-depth peeling agents are used</w:t>
            </w:r>
          </w:p>
        </w:tc>
        <w:tc>
          <w:tcPr>
            <w:tcW w:w="3086" w:type="dxa"/>
          </w:tcPr>
          <w:p w14:paraId="58299B3D" w14:textId="77777777" w:rsidR="00441F0C" w:rsidRDefault="00441F0C" w:rsidP="00686BFB">
            <w:pPr>
              <w:spacing w:before="20" w:after="20"/>
              <w:rPr>
                <w:rFonts w:ascii="Arial" w:eastAsiaTheme="minorHAnsi" w:hAnsi="Arial" w:cs="Arial"/>
                <w:sz w:val="18"/>
                <w:szCs w:val="18"/>
                <w:lang w:val="en-AU" w:eastAsia="en-US"/>
              </w:rPr>
            </w:pPr>
            <w:r w:rsidRPr="004925CD">
              <w:rPr>
                <w:rFonts w:ascii="Arial" w:eastAsiaTheme="minorHAnsi" w:hAnsi="Arial" w:cs="Arial"/>
                <w:sz w:val="18"/>
                <w:szCs w:val="18"/>
                <w:lang w:val="en-AU" w:eastAsia="en-US"/>
              </w:rPr>
              <w:t xml:space="preserve">Add full resurfacing lasers Erbium CO2 and Fractional Thulium 1927 to the item descriptor. </w:t>
            </w:r>
          </w:p>
          <w:p w14:paraId="4F354761" w14:textId="77777777" w:rsidR="00441F0C" w:rsidRDefault="00441F0C" w:rsidP="00686BFB">
            <w:pPr>
              <w:spacing w:before="20" w:after="20"/>
              <w:rPr>
                <w:rFonts w:ascii="Arial" w:eastAsiaTheme="minorHAnsi" w:hAnsi="Arial" w:cs="Arial"/>
                <w:sz w:val="18"/>
                <w:szCs w:val="18"/>
                <w:lang w:val="en-AU" w:eastAsia="en-US"/>
              </w:rPr>
            </w:pPr>
          </w:p>
          <w:p w14:paraId="4A00345F"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Specify “</w:t>
            </w:r>
            <w:r w:rsidRPr="004925CD">
              <w:rPr>
                <w:rFonts w:ascii="Arial" w:eastAsiaTheme="minorHAnsi" w:hAnsi="Arial" w:cs="Arial"/>
                <w:sz w:val="18"/>
                <w:szCs w:val="18"/>
                <w:lang w:val="en-AU" w:eastAsia="en-US"/>
              </w:rPr>
              <w:t>Solar Keratoses not responsive to medical therapies, where the solar Keratosis Load exceeds 30 individual lesions.”</w:t>
            </w:r>
          </w:p>
          <w:p w14:paraId="04E5FC14" w14:textId="77777777" w:rsidR="00441F0C" w:rsidRDefault="00441F0C" w:rsidP="00686BFB">
            <w:pPr>
              <w:spacing w:before="20" w:after="20"/>
              <w:rPr>
                <w:rFonts w:ascii="Arial" w:eastAsiaTheme="minorHAnsi" w:hAnsi="Arial" w:cs="Arial"/>
                <w:sz w:val="18"/>
                <w:szCs w:val="18"/>
                <w:lang w:val="en-AU" w:eastAsia="en-US"/>
              </w:rPr>
            </w:pPr>
          </w:p>
          <w:p w14:paraId="06043D66" w14:textId="77777777" w:rsidR="00441F0C" w:rsidRPr="00E577E0" w:rsidRDefault="00441F0C" w:rsidP="00686BFB">
            <w:pPr>
              <w:spacing w:before="20" w:after="20"/>
              <w:rPr>
                <w:rFonts w:ascii="Arial" w:eastAsiaTheme="minorHAnsi" w:hAnsi="Arial" w:cs="Arial"/>
                <w:sz w:val="18"/>
                <w:szCs w:val="18"/>
                <w:lang w:val="en-AU" w:eastAsia="en-US"/>
              </w:rPr>
            </w:pPr>
            <w:r w:rsidRPr="004925CD">
              <w:rPr>
                <w:rFonts w:ascii="Arial" w:eastAsiaTheme="minorHAnsi" w:hAnsi="Arial" w:cs="Arial"/>
                <w:sz w:val="18"/>
                <w:szCs w:val="18"/>
                <w:lang w:val="en-AU" w:eastAsia="en-US"/>
              </w:rPr>
              <w:t>Change the word “specialist” to “AMC recognised dermatologist and plastic surgeon.”</w:t>
            </w:r>
          </w:p>
          <w:p w14:paraId="6BB41305" w14:textId="77777777" w:rsidR="00441F0C" w:rsidRPr="00E577E0" w:rsidRDefault="00441F0C" w:rsidP="00686BFB">
            <w:pPr>
              <w:spacing w:before="20" w:after="20"/>
              <w:rPr>
                <w:rFonts w:ascii="Arial" w:eastAsiaTheme="minorHAnsi" w:hAnsi="Arial" w:cs="Arial"/>
                <w:sz w:val="18"/>
                <w:szCs w:val="18"/>
                <w:lang w:val="en-AU" w:eastAsia="en-US"/>
              </w:rPr>
            </w:pPr>
          </w:p>
        </w:tc>
        <w:tc>
          <w:tcPr>
            <w:tcW w:w="2977" w:type="dxa"/>
          </w:tcPr>
          <w:p w14:paraId="764AA405" w14:textId="77777777" w:rsidR="00441F0C" w:rsidRPr="00E577E0"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Consumers are at lower risk of being treated by an inadequately skilled doctor, and are more likely to receive the appropriate treatment (e.g., can now use full resurfacing lasers)</w:t>
            </w:r>
          </w:p>
        </w:tc>
        <w:tc>
          <w:tcPr>
            <w:tcW w:w="3118" w:type="dxa"/>
          </w:tcPr>
          <w:p w14:paraId="288341BD" w14:textId="77777777" w:rsidR="00441F0C" w:rsidRDefault="00441F0C" w:rsidP="00686BFB">
            <w:pPr>
              <w:spacing w:before="20" w:after="20"/>
              <w:rPr>
                <w:rFonts w:ascii="Arial" w:eastAsiaTheme="minorHAnsi" w:hAnsi="Arial" w:cs="Arial"/>
                <w:sz w:val="18"/>
                <w:szCs w:val="18"/>
                <w:lang w:val="en-AU" w:eastAsia="en-US"/>
              </w:rPr>
            </w:pPr>
            <w:r w:rsidRPr="003A2EB9">
              <w:rPr>
                <w:rFonts w:ascii="Arial" w:eastAsiaTheme="minorHAnsi" w:hAnsi="Arial" w:cs="Arial"/>
                <w:sz w:val="18"/>
                <w:szCs w:val="18"/>
                <w:lang w:val="en-AU" w:eastAsia="en-US"/>
              </w:rPr>
              <w:t>The recommendations modernise the MBS to reflect current best-practice standards of care in treating multiple areas of facial dysplasia</w:t>
            </w:r>
          </w:p>
          <w:p w14:paraId="4E7DB51E" w14:textId="77777777" w:rsidR="00441F0C" w:rsidRDefault="00441F0C" w:rsidP="00686BFB">
            <w:pPr>
              <w:spacing w:before="20" w:after="20"/>
              <w:rPr>
                <w:rFonts w:ascii="Arial" w:eastAsiaTheme="minorHAnsi" w:hAnsi="Arial" w:cs="Arial"/>
                <w:sz w:val="18"/>
                <w:szCs w:val="18"/>
                <w:lang w:val="en-AU" w:eastAsia="en-US"/>
              </w:rPr>
            </w:pPr>
          </w:p>
          <w:p w14:paraId="479A2859" w14:textId="77777777" w:rsidR="00441F0C" w:rsidRDefault="00441F0C" w:rsidP="00686BFB">
            <w:pPr>
              <w:spacing w:before="20" w:after="20"/>
              <w:rPr>
                <w:rFonts w:ascii="Arial" w:eastAsiaTheme="minorHAnsi" w:hAnsi="Arial" w:cs="Arial"/>
                <w:sz w:val="18"/>
                <w:szCs w:val="18"/>
                <w:lang w:val="en-AU" w:eastAsia="en-US"/>
              </w:rPr>
            </w:pPr>
            <w:r>
              <w:rPr>
                <w:rFonts w:ascii="Arial" w:eastAsiaTheme="minorHAnsi" w:hAnsi="Arial" w:cs="Arial"/>
                <w:sz w:val="18"/>
                <w:szCs w:val="18"/>
                <w:lang w:val="en-AU" w:eastAsia="en-US"/>
              </w:rPr>
              <w:t xml:space="preserve">There is concern </w:t>
            </w:r>
            <w:r w:rsidRPr="00EE6929">
              <w:rPr>
                <w:rFonts w:ascii="Arial" w:eastAsiaTheme="minorHAnsi" w:hAnsi="Arial" w:cs="Arial"/>
                <w:sz w:val="18"/>
                <w:szCs w:val="18"/>
                <w:lang w:val="en-AU" w:eastAsia="en-US"/>
              </w:rPr>
              <w:t>that certain GPs who specialise in skin are classifying themselves as specialists. The Committee decided to address this issue by changing this wording to “AMC recognised dermatologist.”</w:t>
            </w:r>
          </w:p>
          <w:p w14:paraId="000AC01E" w14:textId="77777777" w:rsidR="00441F0C" w:rsidRDefault="00441F0C" w:rsidP="00686BFB">
            <w:pPr>
              <w:spacing w:before="20" w:after="20"/>
              <w:rPr>
                <w:rFonts w:ascii="Arial" w:eastAsiaTheme="minorHAnsi" w:hAnsi="Arial" w:cs="Arial"/>
                <w:sz w:val="18"/>
                <w:szCs w:val="18"/>
                <w:lang w:val="en-AU" w:eastAsia="en-US"/>
              </w:rPr>
            </w:pPr>
          </w:p>
          <w:p w14:paraId="3778F3F3" w14:textId="77777777" w:rsidR="00441F0C" w:rsidRPr="00E577E0" w:rsidRDefault="00441F0C" w:rsidP="00686BFB">
            <w:pPr>
              <w:spacing w:before="20" w:after="20"/>
              <w:rPr>
                <w:rFonts w:ascii="Arial" w:eastAsiaTheme="minorHAnsi" w:hAnsi="Arial" w:cs="Arial"/>
                <w:sz w:val="18"/>
                <w:szCs w:val="18"/>
                <w:lang w:val="en-AU" w:eastAsia="en-US"/>
              </w:rPr>
            </w:pPr>
          </w:p>
        </w:tc>
      </w:tr>
    </w:tbl>
    <w:p w14:paraId="70227796" w14:textId="77777777" w:rsidR="00441F0C" w:rsidRDefault="00960389">
      <w:pPr>
        <w:spacing w:before="0" w:after="0"/>
        <w:rPr>
          <w:lang w:val="en-AU"/>
        </w:rPr>
        <w:sectPr w:rsidR="00441F0C" w:rsidSect="00322D58">
          <w:footerReference w:type="default" r:id="rId27"/>
          <w:pgSz w:w="16838" w:h="11906" w:orient="landscape" w:code="9"/>
          <w:pgMar w:top="1440" w:right="1276" w:bottom="1440" w:left="1440" w:header="720" w:footer="720" w:gutter="0"/>
          <w:paperSrc w:first="7" w:other="7"/>
          <w:cols w:space="720"/>
          <w:docGrid w:linePitch="326"/>
        </w:sectPr>
      </w:pPr>
      <w:r>
        <w:rPr>
          <w:lang w:val="en-AU"/>
        </w:rPr>
        <w:br w:type="page"/>
      </w:r>
    </w:p>
    <w:p w14:paraId="7552B431" w14:textId="77777777" w:rsidR="00873079" w:rsidRPr="00B0157E" w:rsidRDefault="00873079" w:rsidP="00873079">
      <w:pPr>
        <w:pStyle w:val="AppendixStyle1"/>
        <w:ind w:left="357" w:hanging="357"/>
        <w:rPr>
          <w:lang w:val="en-AU"/>
        </w:rPr>
      </w:pPr>
      <w:bookmarkStart w:id="220" w:name="_Ref463869526"/>
      <w:bookmarkStart w:id="221" w:name="_Toc465871891"/>
      <w:r w:rsidRPr="00B0157E">
        <w:rPr>
          <w:lang w:val="en-AU"/>
        </w:rPr>
        <w:lastRenderedPageBreak/>
        <w:t>Glossary</w:t>
      </w:r>
      <w:bookmarkEnd w:id="220"/>
      <w:bookmarkEnd w:id="221"/>
    </w:p>
    <w:tbl>
      <w:tblPr>
        <w:tblStyle w:val="TableGrid3"/>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Glossary table contains two heading columns: terms and their descriptions."/>
      </w:tblPr>
      <w:tblGrid>
        <w:gridCol w:w="1846"/>
        <w:gridCol w:w="7170"/>
      </w:tblGrid>
      <w:tr w:rsidR="00873079" w:rsidRPr="00B0157E" w14:paraId="04C6DDCA" w14:textId="77777777" w:rsidTr="00791E30">
        <w:trPr>
          <w:tblHeader/>
        </w:trPr>
        <w:tc>
          <w:tcPr>
            <w:tcW w:w="1846" w:type="dxa"/>
            <w:shd w:val="clear" w:color="auto" w:fill="F2F2F2" w:themeFill="background1" w:themeFillShade="F2"/>
            <w:vAlign w:val="bottom"/>
          </w:tcPr>
          <w:p w14:paraId="00D7C200" w14:textId="77777777" w:rsidR="00873079" w:rsidRPr="00B0157E" w:rsidRDefault="00873079" w:rsidP="00791E30">
            <w:pPr>
              <w:pStyle w:val="02Tabletext"/>
              <w:spacing w:after="20"/>
              <w:rPr>
                <w:rFonts w:cs="Arial"/>
                <w:b/>
              </w:rPr>
            </w:pPr>
            <w:r w:rsidRPr="00B0157E">
              <w:rPr>
                <w:rFonts w:cs="Arial"/>
                <w:b/>
              </w:rPr>
              <w:t>Term</w:t>
            </w:r>
          </w:p>
        </w:tc>
        <w:tc>
          <w:tcPr>
            <w:tcW w:w="7170" w:type="dxa"/>
            <w:shd w:val="clear" w:color="auto" w:fill="F2F2F2" w:themeFill="background1" w:themeFillShade="F2"/>
            <w:vAlign w:val="bottom"/>
          </w:tcPr>
          <w:p w14:paraId="703A39C3" w14:textId="77777777" w:rsidR="00873079" w:rsidRPr="00B0157E" w:rsidRDefault="00873079" w:rsidP="00791E30">
            <w:pPr>
              <w:pStyle w:val="02Tabletext"/>
              <w:spacing w:after="20"/>
              <w:rPr>
                <w:rFonts w:cs="Arial"/>
                <w:b/>
                <w:color w:val="000000" w:themeColor="text1"/>
              </w:rPr>
            </w:pPr>
            <w:r w:rsidRPr="00B0157E">
              <w:rPr>
                <w:rFonts w:cs="Arial"/>
                <w:b/>
                <w:color w:val="000000" w:themeColor="text1"/>
              </w:rPr>
              <w:t>Description</w:t>
            </w:r>
          </w:p>
        </w:tc>
      </w:tr>
      <w:tr w:rsidR="00873079" w:rsidRPr="00B0157E" w14:paraId="19C530FB" w14:textId="77777777" w:rsidTr="00791E30">
        <w:tc>
          <w:tcPr>
            <w:tcW w:w="1846" w:type="dxa"/>
            <w:shd w:val="clear" w:color="auto" w:fill="auto"/>
          </w:tcPr>
          <w:p w14:paraId="5C373545" w14:textId="77777777" w:rsidR="00873079" w:rsidRPr="00B0157E" w:rsidRDefault="00873079" w:rsidP="00791E30">
            <w:pPr>
              <w:pStyle w:val="02Tabletext"/>
              <w:spacing w:after="20"/>
              <w:rPr>
                <w:rFonts w:cs="Arial"/>
              </w:rPr>
            </w:pPr>
            <w:r w:rsidRPr="00B0157E">
              <w:rPr>
                <w:rFonts w:cs="Arial"/>
              </w:rPr>
              <w:t>ACD</w:t>
            </w:r>
          </w:p>
        </w:tc>
        <w:tc>
          <w:tcPr>
            <w:tcW w:w="7170" w:type="dxa"/>
            <w:shd w:val="clear" w:color="auto" w:fill="auto"/>
          </w:tcPr>
          <w:p w14:paraId="4D037C52" w14:textId="77777777" w:rsidR="00873079" w:rsidRPr="00B0157E" w:rsidRDefault="00873079" w:rsidP="00791E30">
            <w:pPr>
              <w:pStyle w:val="02Tabletext"/>
              <w:spacing w:after="20"/>
            </w:pPr>
            <w:r w:rsidRPr="00B0157E">
              <w:t>Australasian College of Dermatologists</w:t>
            </w:r>
          </w:p>
        </w:tc>
      </w:tr>
      <w:tr w:rsidR="00873079" w:rsidRPr="00B0157E" w14:paraId="6D4D9564" w14:textId="77777777" w:rsidTr="00791E30">
        <w:tc>
          <w:tcPr>
            <w:tcW w:w="1846" w:type="dxa"/>
            <w:shd w:val="clear" w:color="auto" w:fill="auto"/>
          </w:tcPr>
          <w:p w14:paraId="3CF4C2D5" w14:textId="77777777" w:rsidR="00873079" w:rsidRPr="00B0157E" w:rsidRDefault="00873079" w:rsidP="00791E30">
            <w:pPr>
              <w:pStyle w:val="02Tabletext"/>
              <w:spacing w:after="20"/>
              <w:rPr>
                <w:rFonts w:cs="Arial"/>
              </w:rPr>
            </w:pPr>
            <w:r w:rsidRPr="00B0157E">
              <w:rPr>
                <w:rFonts w:cs="Arial"/>
              </w:rPr>
              <w:t>AD</w:t>
            </w:r>
          </w:p>
        </w:tc>
        <w:tc>
          <w:tcPr>
            <w:tcW w:w="7170" w:type="dxa"/>
            <w:shd w:val="clear" w:color="auto" w:fill="auto"/>
          </w:tcPr>
          <w:p w14:paraId="14E34152" w14:textId="77777777" w:rsidR="00873079" w:rsidRPr="00B0157E" w:rsidRDefault="00873079" w:rsidP="00791E30">
            <w:pPr>
              <w:pStyle w:val="02Tabletext"/>
              <w:spacing w:after="20"/>
            </w:pPr>
            <w:r w:rsidRPr="00B0157E">
              <w:t>Atopic dermatitis</w:t>
            </w:r>
          </w:p>
        </w:tc>
      </w:tr>
      <w:tr w:rsidR="00873079" w:rsidRPr="00B0157E" w14:paraId="18E4E19F" w14:textId="77777777" w:rsidTr="00791E30">
        <w:tc>
          <w:tcPr>
            <w:tcW w:w="1846" w:type="dxa"/>
            <w:shd w:val="clear" w:color="auto" w:fill="auto"/>
          </w:tcPr>
          <w:p w14:paraId="54691CC8" w14:textId="77777777" w:rsidR="00873079" w:rsidRPr="00B0157E" w:rsidRDefault="00873079" w:rsidP="00791E30">
            <w:pPr>
              <w:pStyle w:val="02Tabletext"/>
              <w:spacing w:after="20"/>
              <w:rPr>
                <w:rFonts w:cs="Arial"/>
              </w:rPr>
            </w:pPr>
            <w:r w:rsidRPr="00B0157E">
              <w:rPr>
                <w:rFonts w:cs="Arial"/>
              </w:rPr>
              <w:t>AMC</w:t>
            </w:r>
          </w:p>
        </w:tc>
        <w:tc>
          <w:tcPr>
            <w:tcW w:w="7170" w:type="dxa"/>
            <w:shd w:val="clear" w:color="auto" w:fill="auto"/>
          </w:tcPr>
          <w:p w14:paraId="5F81FD72" w14:textId="77777777" w:rsidR="00873079" w:rsidRPr="00B0157E" w:rsidRDefault="00873079" w:rsidP="00791E30">
            <w:pPr>
              <w:pStyle w:val="02Tabletext"/>
              <w:spacing w:after="20"/>
            </w:pPr>
            <w:r w:rsidRPr="00B0157E">
              <w:t xml:space="preserve">Australian Medical Council </w:t>
            </w:r>
          </w:p>
        </w:tc>
      </w:tr>
      <w:tr w:rsidR="00873079" w:rsidRPr="00B0157E" w14:paraId="016E6638" w14:textId="77777777" w:rsidTr="00791E30">
        <w:tc>
          <w:tcPr>
            <w:tcW w:w="1846" w:type="dxa"/>
            <w:shd w:val="clear" w:color="auto" w:fill="auto"/>
          </w:tcPr>
          <w:p w14:paraId="1FB0571F" w14:textId="77777777" w:rsidR="00873079" w:rsidRPr="00B0157E" w:rsidRDefault="00873079" w:rsidP="00791E30">
            <w:pPr>
              <w:pStyle w:val="02Tabletext"/>
              <w:spacing w:after="20"/>
              <w:rPr>
                <w:rFonts w:cs="Arial"/>
              </w:rPr>
            </w:pPr>
            <w:r w:rsidRPr="00B0157E">
              <w:rPr>
                <w:rFonts w:cs="Arial"/>
              </w:rPr>
              <w:t>AR</w:t>
            </w:r>
          </w:p>
        </w:tc>
        <w:tc>
          <w:tcPr>
            <w:tcW w:w="7170" w:type="dxa"/>
            <w:shd w:val="clear" w:color="auto" w:fill="auto"/>
          </w:tcPr>
          <w:p w14:paraId="4B0B093E" w14:textId="77777777" w:rsidR="00873079" w:rsidRPr="00B0157E" w:rsidRDefault="00873079" w:rsidP="00791E30">
            <w:pPr>
              <w:pStyle w:val="02Tabletext"/>
              <w:spacing w:after="20"/>
              <w:rPr>
                <w:rFonts w:cs="Arial"/>
                <w:color w:val="000000" w:themeColor="text1"/>
              </w:rPr>
            </w:pPr>
            <w:r w:rsidRPr="00B0157E">
              <w:t>Allergic rhinitis</w:t>
            </w:r>
          </w:p>
        </w:tc>
      </w:tr>
      <w:tr w:rsidR="00873079" w:rsidRPr="00B0157E" w14:paraId="48C7D566" w14:textId="77777777" w:rsidTr="00791E30">
        <w:tc>
          <w:tcPr>
            <w:tcW w:w="1846" w:type="dxa"/>
            <w:shd w:val="clear" w:color="auto" w:fill="auto"/>
          </w:tcPr>
          <w:p w14:paraId="03542BE5" w14:textId="77777777" w:rsidR="00873079" w:rsidRPr="00B0157E" w:rsidRDefault="00873079" w:rsidP="00791E30">
            <w:pPr>
              <w:pStyle w:val="02Tabletext"/>
              <w:spacing w:after="20"/>
              <w:rPr>
                <w:rFonts w:cs="Arial"/>
              </w:rPr>
            </w:pPr>
            <w:r w:rsidRPr="00B0157E">
              <w:t>ASCIA</w:t>
            </w:r>
          </w:p>
        </w:tc>
        <w:tc>
          <w:tcPr>
            <w:tcW w:w="7170" w:type="dxa"/>
            <w:shd w:val="clear" w:color="auto" w:fill="auto"/>
          </w:tcPr>
          <w:p w14:paraId="4F24907C" w14:textId="77777777" w:rsidR="00873079" w:rsidRPr="00B0157E" w:rsidRDefault="00873079" w:rsidP="00791E30">
            <w:pPr>
              <w:pStyle w:val="02Tabletext"/>
              <w:spacing w:after="20"/>
            </w:pPr>
            <w:r w:rsidRPr="00B0157E">
              <w:t>Australasian Society of Clinical Immunology and Allergy</w:t>
            </w:r>
          </w:p>
        </w:tc>
      </w:tr>
      <w:tr w:rsidR="00873079" w:rsidRPr="00B0157E" w14:paraId="6014AB7A" w14:textId="77777777" w:rsidTr="00791E30">
        <w:tc>
          <w:tcPr>
            <w:tcW w:w="1846" w:type="dxa"/>
            <w:shd w:val="clear" w:color="auto" w:fill="auto"/>
          </w:tcPr>
          <w:p w14:paraId="35528E4F" w14:textId="77777777" w:rsidR="00873079" w:rsidRPr="00B0157E" w:rsidRDefault="00873079" w:rsidP="00791E30">
            <w:pPr>
              <w:pStyle w:val="02Tabletext"/>
              <w:spacing w:after="20"/>
            </w:pPr>
            <w:r w:rsidRPr="00B0157E">
              <w:t>AVM</w:t>
            </w:r>
          </w:p>
        </w:tc>
        <w:tc>
          <w:tcPr>
            <w:tcW w:w="7170" w:type="dxa"/>
            <w:shd w:val="clear" w:color="auto" w:fill="auto"/>
          </w:tcPr>
          <w:p w14:paraId="3B2A47E3" w14:textId="77777777" w:rsidR="00873079" w:rsidRPr="00B0157E" w:rsidRDefault="00873079" w:rsidP="00791E30">
            <w:pPr>
              <w:pStyle w:val="02Tabletext"/>
              <w:spacing w:after="20"/>
            </w:pPr>
            <w:r w:rsidRPr="00B0157E">
              <w:t>Arterio-venous malformation</w:t>
            </w:r>
          </w:p>
        </w:tc>
      </w:tr>
      <w:tr w:rsidR="00873079" w:rsidRPr="00B0157E" w14:paraId="6DC89000" w14:textId="77777777" w:rsidTr="00791E30">
        <w:tc>
          <w:tcPr>
            <w:tcW w:w="1846" w:type="dxa"/>
            <w:shd w:val="clear" w:color="auto" w:fill="auto"/>
          </w:tcPr>
          <w:p w14:paraId="14034343" w14:textId="77777777" w:rsidR="00873079" w:rsidRPr="00B0157E" w:rsidRDefault="00873079" w:rsidP="00791E30">
            <w:pPr>
              <w:pStyle w:val="02Tabletext"/>
              <w:spacing w:after="20"/>
              <w:rPr>
                <w:rFonts w:cs="Arial"/>
              </w:rPr>
            </w:pPr>
            <w:r w:rsidRPr="00B0157E">
              <w:rPr>
                <w:rFonts w:cs="Arial"/>
              </w:rPr>
              <w:t>Change</w:t>
            </w:r>
          </w:p>
        </w:tc>
        <w:tc>
          <w:tcPr>
            <w:tcW w:w="7170" w:type="dxa"/>
            <w:shd w:val="clear" w:color="auto" w:fill="auto"/>
          </w:tcPr>
          <w:p w14:paraId="5C380FF2"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Describes when the item and/or its services will be affected by the recommendations. This could result from a range of recommendations, such as: (i) specific recommendations that affect the services provided by changing item descriptors or explanatory notes, (ii) the consolidation of item numbers, and (iii) splitting item numbers (e.g., splitting the current services provided across two or more items).</w:t>
            </w:r>
            <w:r w:rsidR="004A352E">
              <w:rPr>
                <w:rFonts w:cs="Arial"/>
                <w:color w:val="000000" w:themeColor="text1"/>
              </w:rPr>
              <w:t xml:space="preserve"> </w:t>
            </w:r>
          </w:p>
        </w:tc>
      </w:tr>
      <w:tr w:rsidR="00873079" w:rsidRPr="00B0157E" w14:paraId="6646B557" w14:textId="77777777" w:rsidTr="00791E30">
        <w:tc>
          <w:tcPr>
            <w:tcW w:w="1846" w:type="dxa"/>
            <w:shd w:val="clear" w:color="auto" w:fill="auto"/>
          </w:tcPr>
          <w:p w14:paraId="42494F14" w14:textId="77777777" w:rsidR="00873079" w:rsidRPr="00B0157E" w:rsidRDefault="00873079" w:rsidP="00791E30">
            <w:pPr>
              <w:pStyle w:val="02Tabletext"/>
              <w:spacing w:after="20"/>
              <w:rPr>
                <w:rFonts w:cs="Arial"/>
              </w:rPr>
            </w:pPr>
            <w:r w:rsidRPr="00B0157E">
              <w:rPr>
                <w:rFonts w:cs="Arial"/>
              </w:rPr>
              <w:t>CM</w:t>
            </w:r>
          </w:p>
        </w:tc>
        <w:tc>
          <w:tcPr>
            <w:tcW w:w="7170" w:type="dxa"/>
            <w:shd w:val="clear" w:color="auto" w:fill="auto"/>
          </w:tcPr>
          <w:p w14:paraId="116B8E81" w14:textId="77777777" w:rsidR="00873079" w:rsidRPr="00B0157E" w:rsidRDefault="00873079" w:rsidP="00791E30">
            <w:pPr>
              <w:pStyle w:val="02Tabletext"/>
              <w:spacing w:after="20"/>
              <w:rPr>
                <w:rFonts w:cs="Arial"/>
                <w:color w:val="000000" w:themeColor="text1"/>
              </w:rPr>
            </w:pPr>
            <w:r w:rsidRPr="00B0157E">
              <w:t>Capillary malformation</w:t>
            </w:r>
          </w:p>
        </w:tc>
      </w:tr>
      <w:tr w:rsidR="00873079" w:rsidRPr="00B0157E" w14:paraId="0B7B798D" w14:textId="77777777" w:rsidTr="00791E30">
        <w:tc>
          <w:tcPr>
            <w:tcW w:w="1846" w:type="dxa"/>
          </w:tcPr>
          <w:p w14:paraId="41A7B993" w14:textId="77777777" w:rsidR="00873079" w:rsidRPr="00B0157E" w:rsidRDefault="00873079" w:rsidP="00791E30">
            <w:pPr>
              <w:pStyle w:val="02Tabletext"/>
              <w:spacing w:after="20"/>
              <w:rPr>
                <w:rFonts w:cs="Arial"/>
              </w:rPr>
            </w:pPr>
            <w:r w:rsidRPr="00B0157E">
              <w:rPr>
                <w:rFonts w:cs="Arial"/>
              </w:rPr>
              <w:t>Department</w:t>
            </w:r>
            <w:r w:rsidR="00411407">
              <w:rPr>
                <w:rFonts w:cs="Arial"/>
              </w:rPr>
              <w:t>, The</w:t>
            </w:r>
          </w:p>
        </w:tc>
        <w:tc>
          <w:tcPr>
            <w:tcW w:w="7170" w:type="dxa"/>
          </w:tcPr>
          <w:p w14:paraId="5A87169D"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Australian Government Department of Health</w:t>
            </w:r>
          </w:p>
        </w:tc>
      </w:tr>
      <w:tr w:rsidR="00873079" w:rsidRPr="00B0157E" w14:paraId="3A749E29" w14:textId="77777777" w:rsidTr="00791E30">
        <w:tc>
          <w:tcPr>
            <w:tcW w:w="1846" w:type="dxa"/>
          </w:tcPr>
          <w:p w14:paraId="1AF2DB02" w14:textId="77777777" w:rsidR="00873079" w:rsidRPr="00B0157E" w:rsidRDefault="00873079" w:rsidP="00791E30">
            <w:pPr>
              <w:pStyle w:val="02Tabletext"/>
              <w:spacing w:after="20"/>
              <w:rPr>
                <w:rFonts w:cs="Arial"/>
              </w:rPr>
            </w:pPr>
            <w:r w:rsidRPr="00B0157E">
              <w:rPr>
                <w:rFonts w:cs="Arial"/>
              </w:rPr>
              <w:t>DHS</w:t>
            </w:r>
          </w:p>
        </w:tc>
        <w:tc>
          <w:tcPr>
            <w:tcW w:w="7170" w:type="dxa"/>
          </w:tcPr>
          <w:p w14:paraId="71C8ABD2"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Australian Government Department of Human Services</w:t>
            </w:r>
          </w:p>
        </w:tc>
      </w:tr>
      <w:tr w:rsidR="00873079" w:rsidRPr="00B0157E" w14:paraId="7B30831B" w14:textId="77777777" w:rsidTr="00791E30">
        <w:tc>
          <w:tcPr>
            <w:tcW w:w="1846" w:type="dxa"/>
          </w:tcPr>
          <w:p w14:paraId="26E462F0" w14:textId="77777777" w:rsidR="00873079" w:rsidRPr="00B0157E" w:rsidRDefault="00873079" w:rsidP="00791E30">
            <w:pPr>
              <w:pStyle w:val="02Tabletext"/>
              <w:spacing w:after="20"/>
              <w:rPr>
                <w:rFonts w:cs="Arial"/>
              </w:rPr>
            </w:pPr>
            <w:r w:rsidRPr="00B0157E">
              <w:rPr>
                <w:rFonts w:cs="Arial"/>
              </w:rPr>
              <w:t>Delete</w:t>
            </w:r>
          </w:p>
        </w:tc>
        <w:tc>
          <w:tcPr>
            <w:tcW w:w="7170" w:type="dxa"/>
          </w:tcPr>
          <w:p w14:paraId="22B45513"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Describes when an item is recommended for removal from the MBS and its services will no longer be provided under the MBS.</w:t>
            </w:r>
          </w:p>
        </w:tc>
      </w:tr>
      <w:tr w:rsidR="00873079" w:rsidRPr="00B0157E" w14:paraId="02F9014D" w14:textId="77777777" w:rsidTr="00791E30">
        <w:tc>
          <w:tcPr>
            <w:tcW w:w="1846" w:type="dxa"/>
          </w:tcPr>
          <w:p w14:paraId="0F228E69" w14:textId="77777777" w:rsidR="00873079" w:rsidRPr="00B0157E" w:rsidRDefault="00873079" w:rsidP="00791E30">
            <w:pPr>
              <w:pStyle w:val="02Tabletext"/>
              <w:spacing w:after="20"/>
              <w:rPr>
                <w:rFonts w:cs="Arial"/>
              </w:rPr>
            </w:pPr>
            <w:r w:rsidRPr="00B0157E">
              <w:rPr>
                <w:rFonts w:cs="Arial"/>
              </w:rPr>
              <w:t>FY</w:t>
            </w:r>
          </w:p>
        </w:tc>
        <w:tc>
          <w:tcPr>
            <w:tcW w:w="7170" w:type="dxa"/>
          </w:tcPr>
          <w:p w14:paraId="3BBDFF54"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Financial year</w:t>
            </w:r>
          </w:p>
        </w:tc>
      </w:tr>
      <w:tr w:rsidR="00873079" w:rsidRPr="00B0157E" w14:paraId="19534A84" w14:textId="77777777" w:rsidTr="00791E30">
        <w:tc>
          <w:tcPr>
            <w:tcW w:w="1846" w:type="dxa"/>
          </w:tcPr>
          <w:p w14:paraId="25B39AE6" w14:textId="77777777" w:rsidR="00873079" w:rsidRPr="00B0157E" w:rsidRDefault="00873079" w:rsidP="00791E30">
            <w:pPr>
              <w:pStyle w:val="02Tabletext"/>
              <w:spacing w:after="20"/>
              <w:rPr>
                <w:rFonts w:cs="Arial"/>
              </w:rPr>
            </w:pPr>
            <w:r w:rsidRPr="00B0157E">
              <w:rPr>
                <w:rFonts w:cs="Arial"/>
              </w:rPr>
              <w:t>GP</w:t>
            </w:r>
          </w:p>
        </w:tc>
        <w:tc>
          <w:tcPr>
            <w:tcW w:w="7170" w:type="dxa"/>
          </w:tcPr>
          <w:p w14:paraId="764A3EAC"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General Practitioner</w:t>
            </w:r>
          </w:p>
        </w:tc>
      </w:tr>
      <w:tr w:rsidR="00873079" w:rsidRPr="00B0157E" w14:paraId="5AAEF8F0" w14:textId="77777777" w:rsidTr="00791E30">
        <w:tc>
          <w:tcPr>
            <w:tcW w:w="1846" w:type="dxa"/>
          </w:tcPr>
          <w:p w14:paraId="2B5E7183" w14:textId="77777777" w:rsidR="00873079" w:rsidRPr="00B0157E" w:rsidRDefault="00873079" w:rsidP="00791E30">
            <w:pPr>
              <w:pStyle w:val="02Tabletext"/>
              <w:spacing w:after="20"/>
              <w:rPr>
                <w:rFonts w:cs="Arial"/>
              </w:rPr>
            </w:pPr>
            <w:r w:rsidRPr="00B0157E">
              <w:rPr>
                <w:rFonts w:cs="Arial"/>
              </w:rPr>
              <w:t>High-value care</w:t>
            </w:r>
          </w:p>
        </w:tc>
        <w:tc>
          <w:tcPr>
            <w:tcW w:w="7170" w:type="dxa"/>
          </w:tcPr>
          <w:p w14:paraId="613573F9"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Services of proven efficacy reflecting current best medical practice, or services for which the potential benefit to consumers exceeds the risk and costs.</w:t>
            </w:r>
          </w:p>
        </w:tc>
      </w:tr>
      <w:tr w:rsidR="00873079" w:rsidRPr="00B0157E" w14:paraId="0A2746C5" w14:textId="77777777" w:rsidTr="00791E30">
        <w:tc>
          <w:tcPr>
            <w:tcW w:w="1846" w:type="dxa"/>
          </w:tcPr>
          <w:p w14:paraId="0590F518" w14:textId="77777777" w:rsidR="00873079" w:rsidRPr="00B0157E" w:rsidRDefault="00873079" w:rsidP="00791E30">
            <w:pPr>
              <w:pStyle w:val="02Tabletext"/>
              <w:spacing w:after="20"/>
              <w:rPr>
                <w:rFonts w:cs="Arial"/>
              </w:rPr>
            </w:pPr>
            <w:r w:rsidRPr="00B0157E">
              <w:rPr>
                <w:rFonts w:cs="Arial"/>
              </w:rPr>
              <w:t>IgE</w:t>
            </w:r>
          </w:p>
        </w:tc>
        <w:tc>
          <w:tcPr>
            <w:tcW w:w="7170" w:type="dxa"/>
          </w:tcPr>
          <w:p w14:paraId="25174E65"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 xml:space="preserve">Immunoglobulin E </w:t>
            </w:r>
          </w:p>
        </w:tc>
      </w:tr>
      <w:tr w:rsidR="00873079" w:rsidRPr="00B0157E" w14:paraId="21B6E86D" w14:textId="77777777" w:rsidTr="00791E30">
        <w:tc>
          <w:tcPr>
            <w:tcW w:w="1846" w:type="dxa"/>
          </w:tcPr>
          <w:p w14:paraId="1FD2B162" w14:textId="77777777" w:rsidR="00873079" w:rsidRPr="00B0157E" w:rsidRDefault="00873079" w:rsidP="00791E30">
            <w:pPr>
              <w:pStyle w:val="02Tabletext"/>
              <w:spacing w:after="20"/>
              <w:rPr>
                <w:rFonts w:cs="Arial"/>
              </w:rPr>
            </w:pPr>
            <w:r w:rsidRPr="00B0157E">
              <w:rPr>
                <w:rFonts w:cs="Arial"/>
              </w:rPr>
              <w:t>IPL</w:t>
            </w:r>
          </w:p>
        </w:tc>
        <w:tc>
          <w:tcPr>
            <w:tcW w:w="7170" w:type="dxa"/>
          </w:tcPr>
          <w:p w14:paraId="70EBD0D1" w14:textId="77777777" w:rsidR="00873079" w:rsidRPr="00B0157E" w:rsidRDefault="00873079" w:rsidP="00791E30">
            <w:pPr>
              <w:pStyle w:val="02Tabletext"/>
              <w:spacing w:after="20"/>
              <w:rPr>
                <w:rFonts w:cs="Arial"/>
                <w:color w:val="000000" w:themeColor="text1"/>
              </w:rPr>
            </w:pPr>
            <w:r w:rsidRPr="00B0157E">
              <w:rPr>
                <w:rFonts w:cs="Arial"/>
              </w:rPr>
              <w:t>Intense pulsed light</w:t>
            </w:r>
          </w:p>
        </w:tc>
      </w:tr>
      <w:tr w:rsidR="00873079" w:rsidRPr="00B0157E" w14:paraId="4FED292B" w14:textId="77777777" w:rsidTr="00791E30">
        <w:tc>
          <w:tcPr>
            <w:tcW w:w="1846" w:type="dxa"/>
          </w:tcPr>
          <w:p w14:paraId="00FF52E0" w14:textId="77777777" w:rsidR="00873079" w:rsidRPr="00B0157E" w:rsidRDefault="00873079" w:rsidP="00791E30">
            <w:pPr>
              <w:pStyle w:val="02Tabletext"/>
              <w:spacing w:after="20"/>
              <w:rPr>
                <w:rFonts w:cs="Arial"/>
              </w:rPr>
            </w:pPr>
            <w:r w:rsidRPr="00B0157E">
              <w:rPr>
                <w:rFonts w:cs="Arial"/>
              </w:rPr>
              <w:t>Inappropriate use / misuse</w:t>
            </w:r>
          </w:p>
        </w:tc>
        <w:tc>
          <w:tcPr>
            <w:tcW w:w="7170" w:type="dxa"/>
          </w:tcPr>
          <w:p w14:paraId="5E1B1478" w14:textId="77777777" w:rsidR="00873079" w:rsidRPr="00B0157E" w:rsidRDefault="00873079" w:rsidP="00791E30">
            <w:pPr>
              <w:pStyle w:val="02Tabletext"/>
              <w:spacing w:after="20"/>
              <w:rPr>
                <w:rFonts w:cs="Arial"/>
                <w:color w:val="000000" w:themeColor="text1"/>
                <w:shd w:val="clear" w:color="auto" w:fill="FFFFFF"/>
              </w:rPr>
            </w:pPr>
            <w:r w:rsidRPr="00B0157E">
              <w:rPr>
                <w:rFonts w:cs="Arial"/>
              </w:rPr>
              <w:t>The use of MBS services for purposes other than those intended. This includes a range of behaviours, from failing to adhere to particular item descriptors or rules through to deliberate fraud.</w:t>
            </w:r>
          </w:p>
        </w:tc>
      </w:tr>
      <w:tr w:rsidR="00873079" w:rsidRPr="00B0157E" w14:paraId="68D9869E" w14:textId="77777777" w:rsidTr="00791E30">
        <w:tc>
          <w:tcPr>
            <w:tcW w:w="1846" w:type="dxa"/>
          </w:tcPr>
          <w:p w14:paraId="5851394D" w14:textId="77777777" w:rsidR="00873079" w:rsidRPr="00B0157E" w:rsidRDefault="00873079" w:rsidP="00791E30">
            <w:pPr>
              <w:pStyle w:val="02Tabletext"/>
              <w:spacing w:after="20"/>
              <w:rPr>
                <w:rFonts w:cs="Arial"/>
              </w:rPr>
            </w:pPr>
            <w:r w:rsidRPr="00B0157E">
              <w:t>ISSVA</w:t>
            </w:r>
          </w:p>
        </w:tc>
        <w:tc>
          <w:tcPr>
            <w:tcW w:w="7170" w:type="dxa"/>
          </w:tcPr>
          <w:p w14:paraId="3F102147" w14:textId="77777777" w:rsidR="00873079" w:rsidRPr="00B0157E" w:rsidRDefault="00873079" w:rsidP="00791E30">
            <w:pPr>
              <w:pStyle w:val="02Tabletext"/>
              <w:spacing w:after="20"/>
              <w:rPr>
                <w:rFonts w:cs="Arial"/>
              </w:rPr>
            </w:pPr>
            <w:r w:rsidRPr="00B0157E">
              <w:t>International Society for the Study of Vascular Anomalies</w:t>
            </w:r>
          </w:p>
        </w:tc>
      </w:tr>
      <w:tr w:rsidR="00873079" w:rsidRPr="00B0157E" w14:paraId="05735149" w14:textId="77777777" w:rsidTr="00791E30">
        <w:tc>
          <w:tcPr>
            <w:tcW w:w="1846" w:type="dxa"/>
          </w:tcPr>
          <w:p w14:paraId="7C0E55D4" w14:textId="77777777" w:rsidR="00873079" w:rsidRPr="00B0157E" w:rsidRDefault="00873079" w:rsidP="00791E30">
            <w:pPr>
              <w:pStyle w:val="02Tabletext"/>
              <w:spacing w:after="20"/>
              <w:rPr>
                <w:rFonts w:cs="Arial"/>
              </w:rPr>
            </w:pPr>
            <w:r w:rsidRPr="00B0157E">
              <w:rPr>
                <w:rFonts w:cs="Arial"/>
              </w:rPr>
              <w:t>Low-value care</w:t>
            </w:r>
          </w:p>
        </w:tc>
        <w:tc>
          <w:tcPr>
            <w:tcW w:w="7170" w:type="dxa"/>
          </w:tcPr>
          <w:p w14:paraId="4CFF9E93"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shd w:val="clear" w:color="auto" w:fill="FFFFFF"/>
              </w:rPr>
              <w:t>The use of an intervention that evidence suggests confers no benefit or very little benefit on patients; or where the risk of harm exceeds the likely benefit; or, more broadly, where the added costs of the intervention do not provide proportional added benefits.</w:t>
            </w:r>
          </w:p>
        </w:tc>
      </w:tr>
      <w:tr w:rsidR="00873079" w:rsidRPr="00B0157E" w14:paraId="5B220AFB" w14:textId="77777777" w:rsidTr="00791E30">
        <w:tc>
          <w:tcPr>
            <w:tcW w:w="1846" w:type="dxa"/>
          </w:tcPr>
          <w:p w14:paraId="340215DE" w14:textId="77777777" w:rsidR="00873079" w:rsidRPr="00B0157E" w:rsidRDefault="00873079" w:rsidP="00791E30">
            <w:pPr>
              <w:pStyle w:val="02Tabletext"/>
              <w:spacing w:after="20"/>
              <w:rPr>
                <w:rFonts w:cs="Arial"/>
              </w:rPr>
            </w:pPr>
            <w:r w:rsidRPr="00B0157E">
              <w:rPr>
                <w:rFonts w:cs="Arial"/>
              </w:rPr>
              <w:t>MBS</w:t>
            </w:r>
          </w:p>
        </w:tc>
        <w:tc>
          <w:tcPr>
            <w:tcW w:w="7170" w:type="dxa"/>
          </w:tcPr>
          <w:p w14:paraId="4F0DAFE7" w14:textId="77777777" w:rsidR="00873079" w:rsidRPr="00B0157E" w:rsidRDefault="00873079" w:rsidP="00791E30">
            <w:pPr>
              <w:pStyle w:val="02Tabletext"/>
              <w:spacing w:after="20"/>
              <w:rPr>
                <w:rFonts w:cs="Arial"/>
                <w:color w:val="000000" w:themeColor="text1"/>
                <w:szCs w:val="23"/>
              </w:rPr>
            </w:pPr>
            <w:r w:rsidRPr="00B0157E">
              <w:rPr>
                <w:rFonts w:cs="Arial"/>
                <w:color w:val="000000" w:themeColor="text1"/>
              </w:rPr>
              <w:t>Medicare Benefits Schedule</w:t>
            </w:r>
          </w:p>
        </w:tc>
      </w:tr>
      <w:tr w:rsidR="00873079" w:rsidRPr="00B0157E" w14:paraId="3609F200" w14:textId="77777777" w:rsidTr="00791E30">
        <w:tc>
          <w:tcPr>
            <w:tcW w:w="1846" w:type="dxa"/>
          </w:tcPr>
          <w:p w14:paraId="440C25C3" w14:textId="77777777" w:rsidR="00873079" w:rsidRPr="00B0157E" w:rsidRDefault="00873079" w:rsidP="00791E30">
            <w:pPr>
              <w:pStyle w:val="02Tabletext"/>
              <w:spacing w:after="20"/>
              <w:rPr>
                <w:rFonts w:cs="Arial"/>
              </w:rPr>
            </w:pPr>
            <w:r w:rsidRPr="00B0157E">
              <w:rPr>
                <w:rFonts w:cs="Arial"/>
              </w:rPr>
              <w:t>MBS item</w:t>
            </w:r>
          </w:p>
        </w:tc>
        <w:tc>
          <w:tcPr>
            <w:tcW w:w="7170" w:type="dxa"/>
          </w:tcPr>
          <w:p w14:paraId="211176DE" w14:textId="77777777" w:rsidR="00873079" w:rsidRPr="00B0157E" w:rsidRDefault="00873079" w:rsidP="00791E30">
            <w:pPr>
              <w:pStyle w:val="02Tabletext"/>
              <w:spacing w:after="20"/>
              <w:rPr>
                <w:rFonts w:cs="Arial"/>
              </w:rPr>
            </w:pPr>
            <w:r w:rsidRPr="00B0157E">
              <w:rPr>
                <w:rFonts w:cs="Arial"/>
                <w:color w:val="000000" w:themeColor="text1"/>
                <w:szCs w:val="23"/>
              </w:rPr>
              <w:t>An administrative object listed in the MBS and used for the purposes of claiming and paying Medicare benefits, consisting of an item number, service descriptor and supporting information, schedule fee and Medicare benefits.</w:t>
            </w:r>
          </w:p>
        </w:tc>
      </w:tr>
      <w:tr w:rsidR="00873079" w:rsidRPr="00B0157E" w14:paraId="5AEBF5A7" w14:textId="77777777" w:rsidTr="00791E30">
        <w:tc>
          <w:tcPr>
            <w:tcW w:w="1846" w:type="dxa"/>
          </w:tcPr>
          <w:p w14:paraId="3695AB30" w14:textId="77777777" w:rsidR="00873079" w:rsidRPr="00B0157E" w:rsidRDefault="00873079" w:rsidP="00791E30">
            <w:pPr>
              <w:pStyle w:val="02Tabletext"/>
              <w:spacing w:after="20"/>
              <w:rPr>
                <w:rFonts w:cs="Arial"/>
              </w:rPr>
            </w:pPr>
            <w:r w:rsidRPr="00B0157E">
              <w:rPr>
                <w:rFonts w:cs="Arial"/>
              </w:rPr>
              <w:t>MBS service</w:t>
            </w:r>
          </w:p>
        </w:tc>
        <w:tc>
          <w:tcPr>
            <w:tcW w:w="7170" w:type="dxa"/>
          </w:tcPr>
          <w:p w14:paraId="26D52B54" w14:textId="77777777" w:rsidR="00873079" w:rsidRPr="00B0157E" w:rsidRDefault="00873079" w:rsidP="00791E30">
            <w:pPr>
              <w:pStyle w:val="02Tabletext"/>
              <w:spacing w:after="20"/>
              <w:rPr>
                <w:rFonts w:cs="Arial"/>
              </w:rPr>
            </w:pPr>
            <w:r w:rsidRPr="00B0157E">
              <w:rPr>
                <w:rFonts w:cs="Arial"/>
                <w:color w:val="000000" w:themeColor="text1"/>
                <w:szCs w:val="23"/>
              </w:rPr>
              <w:t>The actual medical consultation, procedure or test to which the relevant MBS item refers.</w:t>
            </w:r>
          </w:p>
        </w:tc>
      </w:tr>
      <w:tr w:rsidR="00873079" w:rsidRPr="00B0157E" w14:paraId="098A2AD5" w14:textId="77777777" w:rsidTr="00791E30">
        <w:tc>
          <w:tcPr>
            <w:tcW w:w="1846" w:type="dxa"/>
          </w:tcPr>
          <w:p w14:paraId="293BF417" w14:textId="77777777" w:rsidR="00873079" w:rsidRPr="00B0157E" w:rsidRDefault="00873079" w:rsidP="00791E30">
            <w:pPr>
              <w:pStyle w:val="02Tabletext"/>
              <w:spacing w:after="20"/>
              <w:rPr>
                <w:rFonts w:cs="Arial"/>
              </w:rPr>
            </w:pPr>
            <w:r>
              <w:rPr>
                <w:rFonts w:cs="Arial"/>
              </w:rPr>
              <w:t>Misuse (of MBS item)</w:t>
            </w:r>
          </w:p>
        </w:tc>
        <w:tc>
          <w:tcPr>
            <w:tcW w:w="7170" w:type="dxa"/>
          </w:tcPr>
          <w:p w14:paraId="7C0FE9D2" w14:textId="77777777" w:rsidR="00873079" w:rsidRPr="00B0157E" w:rsidRDefault="00873079" w:rsidP="00791E30">
            <w:pPr>
              <w:pStyle w:val="02Tabletext"/>
              <w:spacing w:after="20"/>
              <w:rPr>
                <w:rFonts w:cs="Arial"/>
                <w:color w:val="000000" w:themeColor="text1"/>
                <w:szCs w:val="23"/>
              </w:rPr>
            </w:pPr>
            <w:r w:rsidRPr="005125E2">
              <w:t>The use of MBS services for purposes other than those intended. This includes a range of behaviours, from failing to adhere to particular item descriptors or rules through to deliberate fraud.</w:t>
            </w:r>
          </w:p>
        </w:tc>
      </w:tr>
      <w:tr w:rsidR="00873079" w:rsidRPr="00B0157E" w14:paraId="5D1A6D0B" w14:textId="77777777" w:rsidTr="00791E30">
        <w:tc>
          <w:tcPr>
            <w:tcW w:w="1846" w:type="dxa"/>
          </w:tcPr>
          <w:p w14:paraId="1499E581" w14:textId="77777777" w:rsidR="00873079" w:rsidRPr="00B0157E" w:rsidRDefault="00873079" w:rsidP="00791E30">
            <w:pPr>
              <w:pStyle w:val="02Tabletext"/>
              <w:spacing w:after="20"/>
              <w:rPr>
                <w:rFonts w:cs="Arial"/>
              </w:rPr>
            </w:pPr>
            <w:r w:rsidRPr="00B0157E">
              <w:rPr>
                <w:rFonts w:cs="Arial"/>
              </w:rPr>
              <w:t>MSAC</w:t>
            </w:r>
          </w:p>
        </w:tc>
        <w:tc>
          <w:tcPr>
            <w:tcW w:w="7170" w:type="dxa"/>
          </w:tcPr>
          <w:p w14:paraId="6F063B36" w14:textId="77777777" w:rsidR="00873079" w:rsidRPr="00B0157E" w:rsidRDefault="00873079" w:rsidP="00791E30">
            <w:pPr>
              <w:pStyle w:val="02Tabletext"/>
              <w:spacing w:after="20"/>
              <w:rPr>
                <w:rFonts w:cs="Arial"/>
              </w:rPr>
            </w:pPr>
            <w:r w:rsidRPr="00B0157E">
              <w:rPr>
                <w:rFonts w:cs="Arial"/>
              </w:rPr>
              <w:t>Medical Services Advisory Committee.</w:t>
            </w:r>
          </w:p>
        </w:tc>
      </w:tr>
      <w:tr w:rsidR="00873079" w:rsidRPr="00B0157E" w14:paraId="1892E088" w14:textId="77777777" w:rsidTr="00791E30">
        <w:tc>
          <w:tcPr>
            <w:tcW w:w="1846" w:type="dxa"/>
          </w:tcPr>
          <w:p w14:paraId="59D62486" w14:textId="77777777" w:rsidR="00873079" w:rsidRPr="00B0157E" w:rsidRDefault="00873079" w:rsidP="00791E30">
            <w:pPr>
              <w:pStyle w:val="02Tabletext"/>
              <w:spacing w:after="20"/>
              <w:rPr>
                <w:rFonts w:cs="Arial"/>
              </w:rPr>
            </w:pPr>
            <w:r w:rsidRPr="00B0157E">
              <w:rPr>
                <w:rFonts w:cs="Arial"/>
              </w:rPr>
              <w:t>Multiple operation rule</w:t>
            </w:r>
          </w:p>
        </w:tc>
        <w:tc>
          <w:tcPr>
            <w:tcW w:w="7170" w:type="dxa"/>
          </w:tcPr>
          <w:p w14:paraId="0744073E"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A rule governing the amount of Medicare benefit payable for multiple operations performed on a patient on the one occasion. In general, the fees for two or more operations are calculated by the following rule:</w:t>
            </w:r>
          </w:p>
          <w:p w14:paraId="57D691D7"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 100 per cent for the item with the greatest schedule fee.</w:t>
            </w:r>
          </w:p>
          <w:p w14:paraId="5DA5C769"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 Plus 50 per cent for the item with the next greatest schedule fee.</w:t>
            </w:r>
          </w:p>
          <w:p w14:paraId="3BDFECF9"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 Plus 25 per cent for each other item.</w:t>
            </w:r>
          </w:p>
        </w:tc>
      </w:tr>
      <w:tr w:rsidR="00873079" w:rsidRPr="00B0157E" w14:paraId="77A6FB78" w14:textId="77777777" w:rsidTr="00791E30">
        <w:tc>
          <w:tcPr>
            <w:tcW w:w="1846" w:type="dxa"/>
          </w:tcPr>
          <w:p w14:paraId="55BC6D3D" w14:textId="77777777" w:rsidR="00873079" w:rsidRPr="00B0157E" w:rsidRDefault="00873079" w:rsidP="00791E30">
            <w:pPr>
              <w:pStyle w:val="02Tabletext"/>
              <w:spacing w:after="20"/>
              <w:rPr>
                <w:rFonts w:cs="Arial"/>
              </w:rPr>
            </w:pPr>
            <w:r w:rsidRPr="00B0157E">
              <w:rPr>
                <w:rFonts w:cs="Arial"/>
              </w:rPr>
              <w:t xml:space="preserve">New service </w:t>
            </w:r>
          </w:p>
        </w:tc>
        <w:tc>
          <w:tcPr>
            <w:tcW w:w="7170" w:type="dxa"/>
          </w:tcPr>
          <w:p w14:paraId="38B7A0F7"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Describes when a new service has been recommended, with a new item number. In most circumstances, these will need to go through MSAC. It is worth noting that the implementation of the recommendation may result in more or fewer item numbers than specifically stated.</w:t>
            </w:r>
            <w:r w:rsidR="004A352E">
              <w:rPr>
                <w:rFonts w:cs="Arial"/>
                <w:color w:val="000000" w:themeColor="text1"/>
              </w:rPr>
              <w:t xml:space="preserve"> </w:t>
            </w:r>
          </w:p>
        </w:tc>
      </w:tr>
      <w:tr w:rsidR="00873079" w:rsidRPr="00B0157E" w14:paraId="1D8D3985" w14:textId="77777777" w:rsidTr="00791E30">
        <w:tc>
          <w:tcPr>
            <w:tcW w:w="1846" w:type="dxa"/>
          </w:tcPr>
          <w:p w14:paraId="5C0A1F55" w14:textId="77777777" w:rsidR="00873079" w:rsidRPr="00B0157E" w:rsidRDefault="00873079" w:rsidP="00791E30">
            <w:pPr>
              <w:pStyle w:val="02Tabletext"/>
              <w:spacing w:after="20"/>
              <w:rPr>
                <w:rFonts w:cs="Arial"/>
              </w:rPr>
            </w:pPr>
            <w:r w:rsidRPr="00B0157E">
              <w:rPr>
                <w:rFonts w:cs="Arial"/>
              </w:rPr>
              <w:lastRenderedPageBreak/>
              <w:t>NICE</w:t>
            </w:r>
          </w:p>
        </w:tc>
        <w:tc>
          <w:tcPr>
            <w:tcW w:w="7170" w:type="dxa"/>
          </w:tcPr>
          <w:p w14:paraId="0B60D9B9"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National Institute of Health and Care Excellence</w:t>
            </w:r>
          </w:p>
        </w:tc>
      </w:tr>
      <w:tr w:rsidR="00873079" w:rsidRPr="00B0157E" w14:paraId="34FF15EB" w14:textId="77777777" w:rsidTr="00791E30">
        <w:tc>
          <w:tcPr>
            <w:tcW w:w="1846" w:type="dxa"/>
          </w:tcPr>
          <w:p w14:paraId="4DE45658" w14:textId="77777777" w:rsidR="00873079" w:rsidRPr="00B0157E" w:rsidRDefault="00873079" w:rsidP="00791E30">
            <w:pPr>
              <w:pStyle w:val="02Tabletext"/>
              <w:spacing w:after="20"/>
              <w:rPr>
                <w:rFonts w:cs="Arial"/>
              </w:rPr>
            </w:pPr>
            <w:r w:rsidRPr="00B0157E">
              <w:rPr>
                <w:rFonts w:cs="Arial"/>
              </w:rPr>
              <w:t xml:space="preserve">No change or unchanged </w:t>
            </w:r>
          </w:p>
        </w:tc>
        <w:tc>
          <w:tcPr>
            <w:tcW w:w="7170" w:type="dxa"/>
          </w:tcPr>
          <w:p w14:paraId="4BD13C32" w14:textId="77777777" w:rsidR="00873079" w:rsidRPr="00B0157E" w:rsidRDefault="00873079" w:rsidP="00791E30">
            <w:pPr>
              <w:pStyle w:val="02Tabletext"/>
              <w:spacing w:after="20"/>
              <w:rPr>
                <w:rFonts w:cs="Arial"/>
                <w:color w:val="000000" w:themeColor="text1"/>
              </w:rPr>
            </w:pPr>
            <w:r w:rsidRPr="00B0157E">
              <w:rPr>
                <w:rFonts w:cs="Arial"/>
                <w:color w:val="000000" w:themeColor="text1"/>
              </w:rPr>
              <w:t>Describes when the services provided under these items will not be changed or affected by the recommendations. This does not rule out small changes in item descriptors (e.g., references to other items, which may have changed as a result of the MBS Review or prior reviews).</w:t>
            </w:r>
          </w:p>
        </w:tc>
      </w:tr>
      <w:tr w:rsidR="00873079" w:rsidRPr="00B0157E" w14:paraId="0011D181" w14:textId="77777777" w:rsidTr="00791E30">
        <w:tc>
          <w:tcPr>
            <w:tcW w:w="1846" w:type="dxa"/>
          </w:tcPr>
          <w:p w14:paraId="38F8A459" w14:textId="77777777" w:rsidR="00873079" w:rsidRPr="00B0157E" w:rsidRDefault="00873079" w:rsidP="00791E30">
            <w:pPr>
              <w:pStyle w:val="02Tabletext"/>
              <w:spacing w:after="20"/>
              <w:rPr>
                <w:rFonts w:cs="Arial"/>
              </w:rPr>
            </w:pPr>
            <w:r w:rsidRPr="00B0157E">
              <w:rPr>
                <w:rFonts w:cs="Arial"/>
              </w:rPr>
              <w:t>Obsolete services / items</w:t>
            </w:r>
          </w:p>
        </w:tc>
        <w:tc>
          <w:tcPr>
            <w:tcW w:w="7170" w:type="dxa"/>
          </w:tcPr>
          <w:p w14:paraId="35C5CB37" w14:textId="77777777" w:rsidR="00873079" w:rsidRPr="00B0157E" w:rsidRDefault="00873079" w:rsidP="00791E30">
            <w:pPr>
              <w:pStyle w:val="02Tabletext"/>
              <w:spacing w:after="20"/>
              <w:rPr>
                <w:rFonts w:cs="Arial"/>
              </w:rPr>
            </w:pPr>
            <w:r w:rsidRPr="00B0157E">
              <w:rPr>
                <w:rFonts w:cs="Arial"/>
                <w:color w:val="000000" w:themeColor="text1"/>
              </w:rPr>
              <w:t>Services that should no longer be performed as they do not represent current clinical best practice and have been superseded by superior tests or procedures.</w:t>
            </w:r>
          </w:p>
        </w:tc>
      </w:tr>
      <w:tr w:rsidR="00873079" w:rsidRPr="00B0157E" w14:paraId="43464CF1" w14:textId="77777777" w:rsidTr="00791E30">
        <w:tc>
          <w:tcPr>
            <w:tcW w:w="1846" w:type="dxa"/>
          </w:tcPr>
          <w:p w14:paraId="469EF125" w14:textId="77777777" w:rsidR="00873079" w:rsidRPr="00B0157E" w:rsidRDefault="00873079" w:rsidP="00791E30">
            <w:pPr>
              <w:pStyle w:val="02Tabletext"/>
              <w:spacing w:after="20"/>
              <w:rPr>
                <w:rFonts w:cs="Arial"/>
              </w:rPr>
            </w:pPr>
            <w:r w:rsidRPr="00B0157E">
              <w:rPr>
                <w:rFonts w:cs="Arial"/>
              </w:rPr>
              <w:t>PBS</w:t>
            </w:r>
          </w:p>
        </w:tc>
        <w:tc>
          <w:tcPr>
            <w:tcW w:w="7170" w:type="dxa"/>
          </w:tcPr>
          <w:p w14:paraId="5A95E385" w14:textId="77777777" w:rsidR="00873079" w:rsidRPr="00B0157E" w:rsidRDefault="00873079" w:rsidP="00791E30">
            <w:pPr>
              <w:pStyle w:val="02Tabletext"/>
              <w:spacing w:after="20"/>
              <w:rPr>
                <w:rFonts w:cs="Arial"/>
              </w:rPr>
            </w:pPr>
            <w:r w:rsidRPr="00B0157E">
              <w:rPr>
                <w:rFonts w:cs="Arial"/>
              </w:rPr>
              <w:t>Pharmaceutical Benefits Scheme</w:t>
            </w:r>
          </w:p>
        </w:tc>
      </w:tr>
      <w:tr w:rsidR="00873079" w:rsidRPr="00B0157E" w14:paraId="54B55CC4" w14:textId="77777777" w:rsidTr="00791E30">
        <w:tc>
          <w:tcPr>
            <w:tcW w:w="1846" w:type="dxa"/>
          </w:tcPr>
          <w:p w14:paraId="7B029B67" w14:textId="77777777" w:rsidR="00873079" w:rsidRPr="00B0157E" w:rsidRDefault="00873079" w:rsidP="00791E30">
            <w:pPr>
              <w:pStyle w:val="02Tabletext"/>
              <w:spacing w:after="20"/>
              <w:rPr>
                <w:rFonts w:cs="Arial"/>
              </w:rPr>
            </w:pPr>
            <w:r w:rsidRPr="00B0157E">
              <w:rPr>
                <w:rFonts w:cs="Arial"/>
              </w:rPr>
              <w:t>PUVA</w:t>
            </w:r>
          </w:p>
        </w:tc>
        <w:tc>
          <w:tcPr>
            <w:tcW w:w="7170" w:type="dxa"/>
          </w:tcPr>
          <w:p w14:paraId="2E10C72A" w14:textId="77777777" w:rsidR="00873079" w:rsidRPr="00B0157E" w:rsidRDefault="00873079" w:rsidP="00791E30">
            <w:pPr>
              <w:pStyle w:val="02Tabletext"/>
              <w:spacing w:after="20"/>
              <w:rPr>
                <w:rFonts w:cs="Arial"/>
              </w:rPr>
            </w:pPr>
            <w:r w:rsidRPr="00B0157E">
              <w:rPr>
                <w:rFonts w:cs="Arial"/>
              </w:rPr>
              <w:t xml:space="preserve">Psoralen and ultraviolet A radiation </w:t>
            </w:r>
          </w:p>
        </w:tc>
      </w:tr>
      <w:tr w:rsidR="00873079" w:rsidRPr="00B0157E" w14:paraId="7AFE1FC5" w14:textId="77777777" w:rsidTr="00791E30">
        <w:tc>
          <w:tcPr>
            <w:tcW w:w="1846" w:type="dxa"/>
          </w:tcPr>
          <w:p w14:paraId="4CB4A21F" w14:textId="77777777" w:rsidR="00873079" w:rsidRPr="00B0157E" w:rsidRDefault="00873079" w:rsidP="00791E30">
            <w:pPr>
              <w:pStyle w:val="02Tabletext"/>
              <w:spacing w:after="20"/>
              <w:rPr>
                <w:rFonts w:cs="Arial"/>
              </w:rPr>
            </w:pPr>
            <w:r w:rsidRPr="00B0157E">
              <w:rPr>
                <w:rFonts w:cs="Arial"/>
              </w:rPr>
              <w:t>SPT</w:t>
            </w:r>
          </w:p>
        </w:tc>
        <w:tc>
          <w:tcPr>
            <w:tcW w:w="7170" w:type="dxa"/>
          </w:tcPr>
          <w:p w14:paraId="48BC4DB6" w14:textId="77777777" w:rsidR="00873079" w:rsidRPr="00B0157E" w:rsidRDefault="00873079" w:rsidP="00791E30">
            <w:pPr>
              <w:pStyle w:val="02Tabletext"/>
              <w:spacing w:after="20"/>
              <w:rPr>
                <w:rFonts w:cs="Arial"/>
              </w:rPr>
            </w:pPr>
            <w:r w:rsidRPr="00B0157E">
              <w:rPr>
                <w:rFonts w:cs="Arial"/>
              </w:rPr>
              <w:t>Skin prick testing</w:t>
            </w:r>
          </w:p>
        </w:tc>
      </w:tr>
      <w:tr w:rsidR="00873079" w:rsidRPr="00B0157E" w14:paraId="7AB582B5" w14:textId="77777777" w:rsidTr="00791E30">
        <w:tc>
          <w:tcPr>
            <w:tcW w:w="1846" w:type="dxa"/>
          </w:tcPr>
          <w:p w14:paraId="0215D4E9" w14:textId="77777777" w:rsidR="00873079" w:rsidRPr="00B0157E" w:rsidRDefault="00873079" w:rsidP="00791E30">
            <w:pPr>
              <w:pStyle w:val="02Tabletext"/>
              <w:spacing w:after="20"/>
              <w:rPr>
                <w:rFonts w:cs="Arial"/>
              </w:rPr>
            </w:pPr>
            <w:r w:rsidRPr="00B0157E">
              <w:rPr>
                <w:rFonts w:cs="Arial"/>
              </w:rPr>
              <w:t>ssIgE</w:t>
            </w:r>
          </w:p>
        </w:tc>
        <w:tc>
          <w:tcPr>
            <w:tcW w:w="7170" w:type="dxa"/>
          </w:tcPr>
          <w:p w14:paraId="1A95AA5D" w14:textId="77777777" w:rsidR="00873079" w:rsidRPr="00B0157E" w:rsidRDefault="00873079" w:rsidP="00791E30">
            <w:pPr>
              <w:pStyle w:val="02Tabletext"/>
              <w:spacing w:after="20"/>
              <w:rPr>
                <w:rFonts w:cs="Arial"/>
              </w:rPr>
            </w:pPr>
            <w:r w:rsidRPr="00B0157E">
              <w:rPr>
                <w:rFonts w:cs="Arial"/>
              </w:rPr>
              <w:t xml:space="preserve">Serum specific immunoglobulin E </w:t>
            </w:r>
          </w:p>
        </w:tc>
      </w:tr>
      <w:tr w:rsidR="00873079" w:rsidRPr="00B0157E" w14:paraId="5BAB69C5" w14:textId="77777777" w:rsidTr="00791E30">
        <w:tc>
          <w:tcPr>
            <w:tcW w:w="1846" w:type="dxa"/>
          </w:tcPr>
          <w:p w14:paraId="20645131" w14:textId="77777777" w:rsidR="00873079" w:rsidRPr="00B0157E" w:rsidRDefault="00873079" w:rsidP="00791E30">
            <w:pPr>
              <w:pStyle w:val="02Tabletext"/>
              <w:spacing w:after="20"/>
              <w:rPr>
                <w:rFonts w:cs="Arial"/>
              </w:rPr>
            </w:pPr>
            <w:r w:rsidRPr="00B0157E">
              <w:rPr>
                <w:rFonts w:cs="Arial"/>
              </w:rPr>
              <w:t>The Committee</w:t>
            </w:r>
          </w:p>
        </w:tc>
        <w:tc>
          <w:tcPr>
            <w:tcW w:w="7170" w:type="dxa"/>
          </w:tcPr>
          <w:p w14:paraId="438B8CF5" w14:textId="77777777" w:rsidR="00873079" w:rsidRPr="00B0157E" w:rsidRDefault="00873079" w:rsidP="00791E30">
            <w:pPr>
              <w:pStyle w:val="02Tabletext"/>
              <w:spacing w:after="20"/>
              <w:rPr>
                <w:rFonts w:cs="Arial"/>
              </w:rPr>
            </w:pPr>
            <w:r w:rsidRPr="00B0157E">
              <w:t>The Dermatology, Allergy and Immunology Clinical Committee</w:t>
            </w:r>
          </w:p>
        </w:tc>
      </w:tr>
      <w:tr w:rsidR="00873079" w:rsidRPr="00B0157E" w14:paraId="5C5E4381" w14:textId="77777777" w:rsidTr="00791E30">
        <w:tc>
          <w:tcPr>
            <w:tcW w:w="1846" w:type="dxa"/>
          </w:tcPr>
          <w:p w14:paraId="5A059171" w14:textId="77777777" w:rsidR="00873079" w:rsidRPr="00B0157E" w:rsidRDefault="00873079" w:rsidP="00791E30">
            <w:pPr>
              <w:pStyle w:val="02Tabletext"/>
              <w:spacing w:after="20"/>
              <w:rPr>
                <w:rFonts w:cs="Arial"/>
              </w:rPr>
            </w:pPr>
            <w:r w:rsidRPr="00B0157E">
              <w:rPr>
                <w:rFonts w:cs="Arial"/>
              </w:rPr>
              <w:t>The Taskforce</w:t>
            </w:r>
          </w:p>
        </w:tc>
        <w:tc>
          <w:tcPr>
            <w:tcW w:w="7170" w:type="dxa"/>
          </w:tcPr>
          <w:p w14:paraId="22A984F4" w14:textId="77777777" w:rsidR="00873079" w:rsidRPr="00B0157E" w:rsidRDefault="00873079" w:rsidP="00791E30">
            <w:pPr>
              <w:pStyle w:val="02Tabletext"/>
              <w:spacing w:after="20"/>
            </w:pPr>
            <w:r w:rsidRPr="00B0157E">
              <w:rPr>
                <w:rFonts w:cs="Arial"/>
                <w:color w:val="000000" w:themeColor="text1"/>
              </w:rPr>
              <w:t>MBS Review Taskforce</w:t>
            </w:r>
          </w:p>
        </w:tc>
      </w:tr>
      <w:tr w:rsidR="00873079" w:rsidRPr="00B0157E" w14:paraId="5DE56301" w14:textId="77777777" w:rsidTr="00791E30">
        <w:tc>
          <w:tcPr>
            <w:tcW w:w="1846" w:type="dxa"/>
          </w:tcPr>
          <w:p w14:paraId="275094EA" w14:textId="77777777" w:rsidR="00873079" w:rsidRPr="00B0157E" w:rsidRDefault="00873079" w:rsidP="00791E30">
            <w:pPr>
              <w:pStyle w:val="02Tabletext"/>
              <w:spacing w:after="20"/>
              <w:rPr>
                <w:rFonts w:cs="Arial"/>
              </w:rPr>
            </w:pPr>
            <w:r w:rsidRPr="00B0157E">
              <w:rPr>
                <w:rFonts w:cs="Arial"/>
              </w:rPr>
              <w:t>TGA</w:t>
            </w:r>
          </w:p>
        </w:tc>
        <w:tc>
          <w:tcPr>
            <w:tcW w:w="7170" w:type="dxa"/>
          </w:tcPr>
          <w:p w14:paraId="596DA1CF" w14:textId="77777777" w:rsidR="00873079" w:rsidRPr="00B0157E" w:rsidRDefault="00873079" w:rsidP="00791E30">
            <w:pPr>
              <w:pStyle w:val="02Tabletext"/>
              <w:spacing w:after="20"/>
              <w:rPr>
                <w:rFonts w:cs="Arial"/>
              </w:rPr>
            </w:pPr>
            <w:r w:rsidRPr="00B0157E">
              <w:rPr>
                <w:rFonts w:cs="Arial"/>
              </w:rPr>
              <w:t xml:space="preserve">Therapeutic Goods Administration (the authority responsible for regulating medicines, medical devices, blood and tissues) </w:t>
            </w:r>
          </w:p>
        </w:tc>
      </w:tr>
      <w:tr w:rsidR="00873079" w:rsidRPr="00B0157E" w14:paraId="6286FAA7" w14:textId="77777777" w:rsidTr="00791E30">
        <w:tc>
          <w:tcPr>
            <w:tcW w:w="1846" w:type="dxa"/>
          </w:tcPr>
          <w:p w14:paraId="44141147" w14:textId="77777777" w:rsidR="00873079" w:rsidRPr="00B0157E" w:rsidRDefault="00873079" w:rsidP="00791E30">
            <w:pPr>
              <w:pStyle w:val="02Tabletext"/>
              <w:spacing w:after="20"/>
              <w:rPr>
                <w:rFonts w:cs="Arial"/>
              </w:rPr>
            </w:pPr>
            <w:r w:rsidRPr="00B0157E">
              <w:rPr>
                <w:rFonts w:cs="Arial"/>
              </w:rPr>
              <w:t>UVB</w:t>
            </w:r>
          </w:p>
        </w:tc>
        <w:tc>
          <w:tcPr>
            <w:tcW w:w="7170" w:type="dxa"/>
          </w:tcPr>
          <w:p w14:paraId="50E7AA8E" w14:textId="77777777" w:rsidR="00873079" w:rsidRPr="00B0157E" w:rsidRDefault="00873079" w:rsidP="00791E30">
            <w:pPr>
              <w:pStyle w:val="02Tabletext"/>
              <w:spacing w:after="20"/>
              <w:rPr>
                <w:rFonts w:cs="Arial"/>
              </w:rPr>
            </w:pPr>
            <w:r w:rsidRPr="00B0157E">
              <w:rPr>
                <w:rFonts w:cs="Arial"/>
              </w:rPr>
              <w:t xml:space="preserve">Ultraviolet B radiation </w:t>
            </w:r>
          </w:p>
        </w:tc>
      </w:tr>
      <w:tr w:rsidR="00873079" w:rsidRPr="00B0157E" w14:paraId="31BCF3AA" w14:textId="77777777" w:rsidTr="00791E30">
        <w:tc>
          <w:tcPr>
            <w:tcW w:w="1846" w:type="dxa"/>
          </w:tcPr>
          <w:p w14:paraId="6F4AB62D" w14:textId="77777777" w:rsidR="00873079" w:rsidRPr="00B0157E" w:rsidRDefault="00873079" w:rsidP="00791E30">
            <w:pPr>
              <w:pStyle w:val="02Tabletext"/>
              <w:spacing w:after="20"/>
              <w:rPr>
                <w:rFonts w:cs="Arial"/>
              </w:rPr>
            </w:pPr>
            <w:r w:rsidRPr="00B0157E">
              <w:t>VM</w:t>
            </w:r>
          </w:p>
        </w:tc>
        <w:tc>
          <w:tcPr>
            <w:tcW w:w="7170" w:type="dxa"/>
          </w:tcPr>
          <w:p w14:paraId="203BD090" w14:textId="77777777" w:rsidR="00873079" w:rsidRPr="00B0157E" w:rsidRDefault="00873079" w:rsidP="00791E30">
            <w:pPr>
              <w:pStyle w:val="02Tabletext"/>
              <w:spacing w:after="20"/>
              <w:rPr>
                <w:rFonts w:cs="Arial"/>
              </w:rPr>
            </w:pPr>
            <w:r w:rsidRPr="00B0157E">
              <w:t>Venous malformation</w:t>
            </w:r>
          </w:p>
        </w:tc>
      </w:tr>
    </w:tbl>
    <w:p w14:paraId="38DC81F2" w14:textId="77777777" w:rsidR="00873079" w:rsidRPr="00B0157E" w:rsidRDefault="00873079" w:rsidP="00873079">
      <w:pPr>
        <w:rPr>
          <w:lang w:val="en-AU"/>
        </w:rPr>
      </w:pPr>
    </w:p>
    <w:p w14:paraId="7E71FBCC" w14:textId="77777777" w:rsidR="00EF02B8" w:rsidRPr="00B0157E" w:rsidRDefault="00EF02B8" w:rsidP="00C33ED9">
      <w:pPr>
        <w:rPr>
          <w:lang w:val="en-AU"/>
        </w:rPr>
      </w:pPr>
    </w:p>
    <w:sectPr w:rsidR="00EF02B8" w:rsidRPr="00B0157E" w:rsidSect="00D34B88">
      <w:footerReference w:type="default" r:id="rId28"/>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A5B87" w14:textId="77777777" w:rsidR="00F164A0" w:rsidRDefault="00F164A0" w:rsidP="00C33ED9">
      <w:r>
        <w:separator/>
      </w:r>
    </w:p>
    <w:p w14:paraId="0755F4D5" w14:textId="77777777" w:rsidR="00F164A0" w:rsidRDefault="00F164A0" w:rsidP="00C33ED9"/>
  </w:endnote>
  <w:endnote w:type="continuationSeparator" w:id="0">
    <w:p w14:paraId="5BD6CFFB" w14:textId="77777777" w:rsidR="00F164A0" w:rsidRDefault="00F164A0" w:rsidP="00C33ED9">
      <w:r>
        <w:continuationSeparator/>
      </w:r>
    </w:p>
    <w:p w14:paraId="5AF5BFAD" w14:textId="77777777" w:rsidR="00F164A0" w:rsidRDefault="00F164A0" w:rsidP="00C33ED9"/>
  </w:endnote>
  <w:endnote w:type="continuationNotice" w:id="1">
    <w:p w14:paraId="153503FD" w14:textId="77777777" w:rsidR="00F164A0" w:rsidRDefault="00F164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65EF" w14:textId="318444ED" w:rsidR="00224863" w:rsidRPr="00FF0C98" w:rsidRDefault="00224863" w:rsidP="00FF0C98">
    <w:pPr>
      <w:pStyle w:val="Footer"/>
      <w:pBdr>
        <w:top w:val="single" w:sz="4" w:space="1" w:color="B66113"/>
      </w:pBdr>
      <w:rPr>
        <w:color w:val="01653F"/>
      </w:rPr>
    </w:pPr>
    <w:r w:rsidRPr="00FF0C98">
      <w:rPr>
        <w:color w:val="01653F"/>
      </w:rPr>
      <w:t xml:space="preserve">Report from the Dermatology, Allergy and Immunology Clinical Committee, </w:t>
    </w:r>
    <w:r w:rsidR="00873C36">
      <w:rPr>
        <w:color w:val="01653F"/>
      </w:rPr>
      <w:t>June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90A71" w14:textId="77777777" w:rsidR="00224863" w:rsidRDefault="00224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916C2" w14:textId="64E083A1" w:rsidR="00224863" w:rsidRPr="00FF0C98" w:rsidRDefault="00224863" w:rsidP="00FF0C98">
    <w:pPr>
      <w:pStyle w:val="Footer"/>
      <w:pBdr>
        <w:top w:val="single" w:sz="4" w:space="1" w:color="B66113"/>
      </w:pBdr>
      <w:rPr>
        <w:color w:val="01653F"/>
      </w:rPr>
    </w:pPr>
    <w:r w:rsidRPr="00FF0C98">
      <w:rPr>
        <w:color w:val="01653F"/>
      </w:rPr>
      <w:t xml:space="preserve">Report from the Dermatology, Allergy and Immunology Clinical Committee, </w:t>
    </w:r>
    <w:r w:rsidR="001046F7">
      <w:rPr>
        <w:color w:val="01653F"/>
      </w:rPr>
      <w:t>June</w:t>
    </w:r>
    <w:r w:rsidRPr="00FF0C98">
      <w:rPr>
        <w:color w:val="01653F"/>
      </w:rPr>
      <w:t xml:space="preserve"> </w:t>
    </w:r>
    <w:r>
      <w:rPr>
        <w:color w:val="01653F"/>
      </w:rPr>
      <w:t>201</w:t>
    </w:r>
    <w:r w:rsidR="001046F7">
      <w:rPr>
        <w:color w:val="01653F"/>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CA9C8" w14:textId="77777777" w:rsidR="00224863" w:rsidRDefault="002248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7890" w14:textId="1C7C218D" w:rsidR="00224863" w:rsidRPr="00D34B88" w:rsidRDefault="00224863" w:rsidP="00D34B88">
    <w:pPr>
      <w:pStyle w:val="Footer"/>
      <w:pBdr>
        <w:top w:val="single" w:sz="4" w:space="1" w:color="B66113"/>
      </w:pBdr>
      <w:rPr>
        <w:color w:val="01653F"/>
      </w:rPr>
    </w:pPr>
    <w:r w:rsidRPr="00FF0C98">
      <w:rPr>
        <w:color w:val="01653F"/>
      </w:rPr>
      <w:t xml:space="preserve">Report from the Dermatology, Allergy and Immunology Clinical Committee, </w:t>
    </w:r>
    <w:r w:rsidR="00742024">
      <w:rPr>
        <w:color w:val="01653F"/>
      </w:rPr>
      <w:t>June</w:t>
    </w:r>
    <w:r w:rsidRPr="00FF0C98">
      <w:rPr>
        <w:color w:val="01653F"/>
      </w:rPr>
      <w:t xml:space="preserve"> 201</w:t>
    </w:r>
    <w:r w:rsidR="00742024">
      <w:rPr>
        <w:color w:val="01653F"/>
      </w:rPr>
      <w:t>7</w:t>
    </w:r>
    <w:r w:rsidRPr="00FF0C98">
      <w:rPr>
        <w:color w:val="01653F"/>
      </w:rPr>
      <w:tab/>
      <w:t xml:space="preserve">Page </w:t>
    </w:r>
    <w:r w:rsidRPr="00FF0C98">
      <w:rPr>
        <w:color w:val="01653F"/>
      </w:rPr>
      <w:fldChar w:fldCharType="begin"/>
    </w:r>
    <w:r w:rsidRPr="00D34B88">
      <w:rPr>
        <w:color w:val="01653F"/>
      </w:rPr>
      <w:instrText xml:space="preserve"> PAGE   \* MERGEFORMAT </w:instrText>
    </w:r>
    <w:r w:rsidRPr="00FF0C98">
      <w:rPr>
        <w:color w:val="01653F"/>
      </w:rPr>
      <w:fldChar w:fldCharType="separate"/>
    </w:r>
    <w:r w:rsidR="005B36EF">
      <w:rPr>
        <w:noProof/>
        <w:color w:val="01653F"/>
      </w:rPr>
      <w:t>16</w:t>
    </w:r>
    <w:r w:rsidRPr="00FF0C98">
      <w:rPr>
        <w:color w:val="01653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37333" w14:textId="6F255327" w:rsidR="00224863" w:rsidRPr="00BF6C7D" w:rsidRDefault="00BF6C7D" w:rsidP="00BF6C7D">
    <w:pPr>
      <w:pStyle w:val="Footer"/>
      <w:pBdr>
        <w:top w:val="single" w:sz="4" w:space="1" w:color="B66113"/>
      </w:pBdr>
      <w:jc w:val="center"/>
      <w:rPr>
        <w:color w:val="01653F"/>
      </w:rPr>
    </w:pPr>
    <w:r w:rsidRPr="00FF0C98">
      <w:rPr>
        <w:color w:val="01653F"/>
      </w:rPr>
      <w:t xml:space="preserve">Report from the Dermatology, Allergy and Immunology Clinical Committee, </w:t>
    </w:r>
    <w:r w:rsidR="001046F7">
      <w:rPr>
        <w:color w:val="01653F"/>
      </w:rPr>
      <w:t>June 2017</w:t>
    </w:r>
    <w:r w:rsidRPr="00FF0C98">
      <w:rPr>
        <w:color w:val="01653F"/>
      </w:rPr>
      <w:tab/>
      <w:t xml:space="preserve">Page </w:t>
    </w:r>
    <w:r w:rsidRPr="00FF0C98">
      <w:rPr>
        <w:color w:val="01653F"/>
      </w:rPr>
      <w:fldChar w:fldCharType="begin"/>
    </w:r>
    <w:r w:rsidRPr="00D34B88">
      <w:rPr>
        <w:color w:val="01653F"/>
      </w:rPr>
      <w:instrText xml:space="preserve"> PAGE   \* MERGEFORMAT </w:instrText>
    </w:r>
    <w:r w:rsidRPr="00FF0C98">
      <w:rPr>
        <w:color w:val="01653F"/>
      </w:rPr>
      <w:fldChar w:fldCharType="separate"/>
    </w:r>
    <w:r w:rsidR="005B36EF">
      <w:rPr>
        <w:noProof/>
        <w:color w:val="01653F"/>
      </w:rPr>
      <w:t>59</w:t>
    </w:r>
    <w:r w:rsidRPr="00FF0C98">
      <w:rPr>
        <w:color w:val="01653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054B" w14:textId="67ED5A4F" w:rsidR="00224863" w:rsidRPr="00D34B88" w:rsidRDefault="00224863" w:rsidP="00D34B88">
    <w:pPr>
      <w:pStyle w:val="Footer"/>
      <w:pBdr>
        <w:top w:val="single" w:sz="4" w:space="1" w:color="B66113"/>
      </w:pBdr>
      <w:rPr>
        <w:color w:val="01653F"/>
      </w:rPr>
    </w:pPr>
    <w:r w:rsidRPr="00FF0C98">
      <w:rPr>
        <w:color w:val="01653F"/>
      </w:rPr>
      <w:t xml:space="preserve">Report from the Dermatology, Allergy and Immunology Clinical Committee, </w:t>
    </w:r>
    <w:r w:rsidR="001046F7">
      <w:rPr>
        <w:color w:val="01653F"/>
      </w:rPr>
      <w:t>June</w:t>
    </w:r>
    <w:r w:rsidRPr="00FF0C98">
      <w:rPr>
        <w:color w:val="01653F"/>
      </w:rPr>
      <w:t xml:space="preserve"> 201</w:t>
    </w:r>
    <w:r w:rsidR="001046F7">
      <w:rPr>
        <w:color w:val="01653F"/>
      </w:rPr>
      <w:t>7</w:t>
    </w:r>
    <w:r w:rsidRPr="00FF0C98">
      <w:rPr>
        <w:color w:val="01653F"/>
      </w:rPr>
      <w:tab/>
      <w:t xml:space="preserve">Page </w:t>
    </w:r>
    <w:r w:rsidRPr="00FF0C98">
      <w:rPr>
        <w:color w:val="01653F"/>
      </w:rPr>
      <w:fldChar w:fldCharType="begin"/>
    </w:r>
    <w:r w:rsidRPr="00D34B88">
      <w:rPr>
        <w:color w:val="01653F"/>
      </w:rPr>
      <w:instrText xml:space="preserve"> PAGE   \* MERGEFORMAT </w:instrText>
    </w:r>
    <w:r w:rsidRPr="00FF0C98">
      <w:rPr>
        <w:color w:val="01653F"/>
      </w:rPr>
      <w:fldChar w:fldCharType="separate"/>
    </w:r>
    <w:r w:rsidR="005B36EF">
      <w:rPr>
        <w:noProof/>
        <w:color w:val="01653F"/>
      </w:rPr>
      <w:t>61</w:t>
    </w:r>
    <w:r w:rsidRPr="00FF0C98">
      <w:rPr>
        <w:color w:val="01653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7212F" w14:textId="77777777" w:rsidR="00F164A0" w:rsidRDefault="00F164A0" w:rsidP="00C33ED9">
      <w:r>
        <w:separator/>
      </w:r>
    </w:p>
  </w:footnote>
  <w:footnote w:type="continuationSeparator" w:id="0">
    <w:p w14:paraId="4743D79B" w14:textId="77777777" w:rsidR="00F164A0" w:rsidRDefault="00F164A0" w:rsidP="00C33ED9">
      <w:r>
        <w:continuationSeparator/>
      </w:r>
    </w:p>
    <w:p w14:paraId="10B329D5" w14:textId="77777777" w:rsidR="00F164A0" w:rsidRDefault="00F164A0" w:rsidP="00C33ED9"/>
  </w:footnote>
  <w:footnote w:type="continuationNotice" w:id="1">
    <w:p w14:paraId="1226417A" w14:textId="77777777" w:rsidR="00F164A0" w:rsidRDefault="00F164A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2DE5" w14:textId="77777777" w:rsidR="00224863" w:rsidRDefault="00224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857C" w14:textId="08F79350" w:rsidR="00224863" w:rsidRDefault="00224863" w:rsidP="00C33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B29D9" w14:textId="77777777" w:rsidR="00224863" w:rsidRDefault="00224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92C8B"/>
    <w:multiLevelType w:val="hybridMultilevel"/>
    <w:tmpl w:val="C5A606F0"/>
    <w:lvl w:ilvl="0" w:tplc="82708660">
      <w:start w:val="1"/>
      <w:numFmt w:val="lowerLetter"/>
      <w:pStyle w:val="06letter2"/>
      <w:lvlText w:val="%1."/>
      <w:lvlJc w:val="left"/>
      <w:pPr>
        <w:ind w:left="1077" w:hanging="360"/>
      </w:pPr>
      <w:rPr>
        <w:rFonts w:ascii="Arial" w:hAnsi="Arial" w:hint="default"/>
        <w:color w:val="auto"/>
        <w:sz w:val="2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17723834"/>
    <w:multiLevelType w:val="hybridMultilevel"/>
    <w:tmpl w:val="9BE8C10E"/>
    <w:lvl w:ilvl="0" w:tplc="AF62C9A2">
      <w:start w:val="1"/>
      <w:numFmt w:val="upperLetter"/>
      <w:pStyle w:val="AppendixStyle1"/>
      <w:lvlText w:val="Appendix %1 - "/>
      <w:lvlJc w:val="left"/>
      <w:pPr>
        <w:ind w:left="2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B27BFD"/>
    <w:multiLevelType w:val="multilevel"/>
    <w:tmpl w:val="D42414C6"/>
    <w:lvl w:ilvl="0">
      <w:start w:val="1"/>
      <w:numFmt w:val="bullet"/>
      <w:lvlText w:val="■"/>
      <w:lvlJc w:val="left"/>
      <w:pPr>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F11481"/>
    <w:multiLevelType w:val="multilevel"/>
    <w:tmpl w:val="2E14FA1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9AA5E7E"/>
    <w:multiLevelType w:val="multilevel"/>
    <w:tmpl w:val="D42414C6"/>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7" w15:restartNumberingAfterBreak="0">
    <w:nsid w:val="3B434427"/>
    <w:multiLevelType w:val="multilevel"/>
    <w:tmpl w:val="778A5C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9"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87856A3"/>
    <w:multiLevelType w:val="hybridMultilevel"/>
    <w:tmpl w:val="D10C3CD0"/>
    <w:lvl w:ilvl="0" w:tplc="0C090017">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57214AFB"/>
    <w:multiLevelType w:val="hybridMultilevel"/>
    <w:tmpl w:val="60482CAE"/>
    <w:lvl w:ilvl="0" w:tplc="8FC621DE">
      <w:start w:val="1"/>
      <w:numFmt w:val="bullet"/>
      <w:pStyle w:val="04shortdash"/>
      <w:lvlText w:val="-"/>
      <w:lvlJc w:val="left"/>
      <w:pPr>
        <w:ind w:left="5400" w:hanging="360"/>
      </w:pPr>
      <w:rPr>
        <w:rFonts w:ascii="Times New Roman" w:hAnsi="Times New Roman" w:cs="Times New Roman" w:hint="default"/>
        <w:color w:val="auto"/>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15:restartNumberingAfterBreak="0">
    <w:nsid w:val="5C574A11"/>
    <w:multiLevelType w:val="hybridMultilevel"/>
    <w:tmpl w:val="2BBC3E4A"/>
    <w:lvl w:ilvl="0" w:tplc="0CD805F4">
      <w:start w:val="1"/>
      <w:numFmt w:val="bullet"/>
      <w:pStyle w:val="02dash"/>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6" w15:restartNumberingAfterBreak="0">
    <w:nsid w:val="6B6017BF"/>
    <w:multiLevelType w:val="multilevel"/>
    <w:tmpl w:val="D42414C6"/>
    <w:lvl w:ilvl="0">
      <w:start w:val="1"/>
      <w:numFmt w:val="bullet"/>
      <w:pStyle w:val="01square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7"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8" w15:restartNumberingAfterBreak="0">
    <w:nsid w:val="7B8E557E"/>
    <w:multiLevelType w:val="multilevel"/>
    <w:tmpl w:val="18E8FDCA"/>
    <w:lvl w:ilvl="0">
      <w:start w:val="1"/>
      <w:numFmt w:val="decimal"/>
      <w:pStyle w:val="05number1"/>
      <w:lvlText w:val="%1."/>
      <w:lvlJc w:val="left"/>
      <w:pPr>
        <w:ind w:left="360" w:hanging="360"/>
      </w:pPr>
      <w:rPr>
        <w:rFonts w:ascii="Arial" w:hAnsi="Arial" w:hint="default"/>
        <w:color w:val="auto"/>
        <w:sz w:val="22"/>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7C3C6FDA"/>
    <w:multiLevelType w:val="hybridMultilevel"/>
    <w:tmpl w:val="DD964F52"/>
    <w:lvl w:ilvl="0" w:tplc="5C06EC78">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2"/>
  </w:num>
  <w:num w:numId="2">
    <w:abstractNumId w:val="5"/>
  </w:num>
  <w:num w:numId="3">
    <w:abstractNumId w:val="3"/>
  </w:num>
  <w:num w:numId="4">
    <w:abstractNumId w:val="11"/>
  </w:num>
  <w:num w:numId="5">
    <w:abstractNumId w:val="4"/>
  </w:num>
  <w:num w:numId="6">
    <w:abstractNumId w:val="2"/>
  </w:num>
  <w:num w:numId="7">
    <w:abstractNumId w:val="1"/>
  </w:num>
  <w:num w:numId="8">
    <w:abstractNumId w:val="2"/>
  </w:num>
  <w:num w:numId="9">
    <w:abstractNumId w:val="14"/>
  </w:num>
  <w:num w:numId="10">
    <w:abstractNumId w:val="19"/>
  </w:num>
  <w:num w:numId="11">
    <w:abstractNumId w:val="13"/>
  </w:num>
  <w:num w:numId="12">
    <w:abstractNumId w:val="18"/>
  </w:num>
  <w:num w:numId="13">
    <w:abstractNumId w:val="0"/>
  </w:num>
  <w:num w:numId="14">
    <w:abstractNumId w:val="8"/>
  </w:num>
  <w:num w:numId="15">
    <w:abstractNumId w:val="17"/>
  </w:num>
  <w:num w:numId="16">
    <w:abstractNumId w:val="15"/>
  </w:num>
  <w:num w:numId="17">
    <w:abstractNumId w:val="7"/>
  </w:num>
  <w:num w:numId="18">
    <w:abstractNumId w:val="5"/>
  </w:num>
  <w:num w:numId="19">
    <w:abstractNumId w:val="6"/>
  </w:num>
  <w:num w:numId="20">
    <w:abstractNumId w:val="16"/>
  </w:num>
  <w:num w:numId="21">
    <w:abstractNumId w:val="5"/>
  </w:num>
  <w:num w:numId="22">
    <w:abstractNumId w:val="9"/>
  </w:num>
  <w:num w:numId="23">
    <w:abstractNumId w:val="10"/>
  </w:num>
  <w:num w:numId="24">
    <w:abstractNumId w:val="5"/>
  </w:num>
  <w:num w:numId="25">
    <w:abstractNumId w:val="5"/>
  </w:num>
  <w:num w:numId="26">
    <w:abstractNumId w:val="1"/>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0E3"/>
    <w:rsid w:val="000006E3"/>
    <w:rsid w:val="00000CB8"/>
    <w:rsid w:val="000017F9"/>
    <w:rsid w:val="00001E28"/>
    <w:rsid w:val="00001F7B"/>
    <w:rsid w:val="00002477"/>
    <w:rsid w:val="00002678"/>
    <w:rsid w:val="00002800"/>
    <w:rsid w:val="00002A9D"/>
    <w:rsid w:val="00003747"/>
    <w:rsid w:val="0000383B"/>
    <w:rsid w:val="000044E9"/>
    <w:rsid w:val="0000452E"/>
    <w:rsid w:val="00004624"/>
    <w:rsid w:val="00004920"/>
    <w:rsid w:val="00004A37"/>
    <w:rsid w:val="00004B0C"/>
    <w:rsid w:val="00004CCA"/>
    <w:rsid w:val="00004FB4"/>
    <w:rsid w:val="000054B7"/>
    <w:rsid w:val="0000566B"/>
    <w:rsid w:val="00005D04"/>
    <w:rsid w:val="00006444"/>
    <w:rsid w:val="00006915"/>
    <w:rsid w:val="00006AE9"/>
    <w:rsid w:val="00006C36"/>
    <w:rsid w:val="00007AC0"/>
    <w:rsid w:val="00007CFB"/>
    <w:rsid w:val="00010550"/>
    <w:rsid w:val="000105F3"/>
    <w:rsid w:val="000107B3"/>
    <w:rsid w:val="0001084A"/>
    <w:rsid w:val="00010DE7"/>
    <w:rsid w:val="00011E5F"/>
    <w:rsid w:val="00012A5D"/>
    <w:rsid w:val="00012DF6"/>
    <w:rsid w:val="00013667"/>
    <w:rsid w:val="00013881"/>
    <w:rsid w:val="0001393A"/>
    <w:rsid w:val="00013CD2"/>
    <w:rsid w:val="000140C8"/>
    <w:rsid w:val="00014305"/>
    <w:rsid w:val="000145E9"/>
    <w:rsid w:val="00014705"/>
    <w:rsid w:val="00014712"/>
    <w:rsid w:val="000149DA"/>
    <w:rsid w:val="00015301"/>
    <w:rsid w:val="0001545C"/>
    <w:rsid w:val="00015973"/>
    <w:rsid w:val="00015DE5"/>
    <w:rsid w:val="00016640"/>
    <w:rsid w:val="00016982"/>
    <w:rsid w:val="00016C18"/>
    <w:rsid w:val="00017239"/>
    <w:rsid w:val="000178AC"/>
    <w:rsid w:val="00017D4D"/>
    <w:rsid w:val="00017F73"/>
    <w:rsid w:val="00020196"/>
    <w:rsid w:val="000202A1"/>
    <w:rsid w:val="00020431"/>
    <w:rsid w:val="000206BB"/>
    <w:rsid w:val="00020781"/>
    <w:rsid w:val="00020974"/>
    <w:rsid w:val="00020CAD"/>
    <w:rsid w:val="00020EE1"/>
    <w:rsid w:val="00021A9A"/>
    <w:rsid w:val="00022E87"/>
    <w:rsid w:val="00022E9B"/>
    <w:rsid w:val="0002353D"/>
    <w:rsid w:val="0002374A"/>
    <w:rsid w:val="00023BEA"/>
    <w:rsid w:val="00023C89"/>
    <w:rsid w:val="00023E9A"/>
    <w:rsid w:val="000244D2"/>
    <w:rsid w:val="00024FE0"/>
    <w:rsid w:val="000253EC"/>
    <w:rsid w:val="000255D3"/>
    <w:rsid w:val="00026792"/>
    <w:rsid w:val="0002684E"/>
    <w:rsid w:val="00026C4F"/>
    <w:rsid w:val="00026C6C"/>
    <w:rsid w:val="000278CF"/>
    <w:rsid w:val="00030575"/>
    <w:rsid w:val="000309CE"/>
    <w:rsid w:val="00030CED"/>
    <w:rsid w:val="00031095"/>
    <w:rsid w:val="00031ADE"/>
    <w:rsid w:val="00031C3B"/>
    <w:rsid w:val="000320F0"/>
    <w:rsid w:val="00032108"/>
    <w:rsid w:val="0003238F"/>
    <w:rsid w:val="0003243B"/>
    <w:rsid w:val="00032D3E"/>
    <w:rsid w:val="000337C7"/>
    <w:rsid w:val="000337EF"/>
    <w:rsid w:val="00033C4F"/>
    <w:rsid w:val="00033DA4"/>
    <w:rsid w:val="00033EBC"/>
    <w:rsid w:val="00033F08"/>
    <w:rsid w:val="00034233"/>
    <w:rsid w:val="00035080"/>
    <w:rsid w:val="00036133"/>
    <w:rsid w:val="00036773"/>
    <w:rsid w:val="00036C0E"/>
    <w:rsid w:val="00036CD1"/>
    <w:rsid w:val="00036FF4"/>
    <w:rsid w:val="0004089E"/>
    <w:rsid w:val="00040E82"/>
    <w:rsid w:val="00040EAC"/>
    <w:rsid w:val="00041267"/>
    <w:rsid w:val="0004246F"/>
    <w:rsid w:val="00042A17"/>
    <w:rsid w:val="00042CE4"/>
    <w:rsid w:val="000432A6"/>
    <w:rsid w:val="00043304"/>
    <w:rsid w:val="00043742"/>
    <w:rsid w:val="000446EA"/>
    <w:rsid w:val="00044C42"/>
    <w:rsid w:val="00044CDC"/>
    <w:rsid w:val="00045066"/>
    <w:rsid w:val="00045495"/>
    <w:rsid w:val="000459AD"/>
    <w:rsid w:val="00045F6B"/>
    <w:rsid w:val="0004619F"/>
    <w:rsid w:val="00046AF0"/>
    <w:rsid w:val="00046B1F"/>
    <w:rsid w:val="00046C9C"/>
    <w:rsid w:val="00047145"/>
    <w:rsid w:val="000472B5"/>
    <w:rsid w:val="00047FB5"/>
    <w:rsid w:val="000501C9"/>
    <w:rsid w:val="00050289"/>
    <w:rsid w:val="00050B36"/>
    <w:rsid w:val="00050E42"/>
    <w:rsid w:val="00050ED2"/>
    <w:rsid w:val="00050EF0"/>
    <w:rsid w:val="00051B61"/>
    <w:rsid w:val="000520C0"/>
    <w:rsid w:val="000532A7"/>
    <w:rsid w:val="000532EE"/>
    <w:rsid w:val="00053499"/>
    <w:rsid w:val="000537C0"/>
    <w:rsid w:val="00053C73"/>
    <w:rsid w:val="00054036"/>
    <w:rsid w:val="000542FE"/>
    <w:rsid w:val="0005522D"/>
    <w:rsid w:val="000553BA"/>
    <w:rsid w:val="000554C6"/>
    <w:rsid w:val="0005557F"/>
    <w:rsid w:val="000558E5"/>
    <w:rsid w:val="000559B6"/>
    <w:rsid w:val="00056426"/>
    <w:rsid w:val="0005665F"/>
    <w:rsid w:val="00056CF7"/>
    <w:rsid w:val="0005770F"/>
    <w:rsid w:val="00057AB0"/>
    <w:rsid w:val="00057C43"/>
    <w:rsid w:val="00057D60"/>
    <w:rsid w:val="00057DD2"/>
    <w:rsid w:val="00057F0D"/>
    <w:rsid w:val="000605E9"/>
    <w:rsid w:val="000608B1"/>
    <w:rsid w:val="00060C76"/>
    <w:rsid w:val="000612AB"/>
    <w:rsid w:val="0006140B"/>
    <w:rsid w:val="00061A25"/>
    <w:rsid w:val="0006309D"/>
    <w:rsid w:val="00063124"/>
    <w:rsid w:val="000631D8"/>
    <w:rsid w:val="00063590"/>
    <w:rsid w:val="000642CC"/>
    <w:rsid w:val="00064465"/>
    <w:rsid w:val="00064C6B"/>
    <w:rsid w:val="00064E5C"/>
    <w:rsid w:val="00064ECA"/>
    <w:rsid w:val="000653C1"/>
    <w:rsid w:val="000655C1"/>
    <w:rsid w:val="00065ADB"/>
    <w:rsid w:val="000661DB"/>
    <w:rsid w:val="000663A7"/>
    <w:rsid w:val="000665EF"/>
    <w:rsid w:val="00066AF2"/>
    <w:rsid w:val="0006718F"/>
    <w:rsid w:val="00067BEC"/>
    <w:rsid w:val="00070239"/>
    <w:rsid w:val="00070365"/>
    <w:rsid w:val="000703EC"/>
    <w:rsid w:val="000707D3"/>
    <w:rsid w:val="00070CD8"/>
    <w:rsid w:val="0007163A"/>
    <w:rsid w:val="00071821"/>
    <w:rsid w:val="0007194A"/>
    <w:rsid w:val="00071A27"/>
    <w:rsid w:val="00071BDF"/>
    <w:rsid w:val="00071D9A"/>
    <w:rsid w:val="00071EB7"/>
    <w:rsid w:val="0007220D"/>
    <w:rsid w:val="0007227A"/>
    <w:rsid w:val="0007261D"/>
    <w:rsid w:val="000726CA"/>
    <w:rsid w:val="00072D68"/>
    <w:rsid w:val="00073660"/>
    <w:rsid w:val="000739F4"/>
    <w:rsid w:val="00073B40"/>
    <w:rsid w:val="00073B8A"/>
    <w:rsid w:val="00074357"/>
    <w:rsid w:val="000744E0"/>
    <w:rsid w:val="000746B8"/>
    <w:rsid w:val="00074C33"/>
    <w:rsid w:val="0007506F"/>
    <w:rsid w:val="00075749"/>
    <w:rsid w:val="00075C29"/>
    <w:rsid w:val="00075C5C"/>
    <w:rsid w:val="00075C7B"/>
    <w:rsid w:val="00076093"/>
    <w:rsid w:val="000760D6"/>
    <w:rsid w:val="00076141"/>
    <w:rsid w:val="0007623D"/>
    <w:rsid w:val="000765ED"/>
    <w:rsid w:val="00076717"/>
    <w:rsid w:val="00076811"/>
    <w:rsid w:val="00076AB6"/>
    <w:rsid w:val="00076CD4"/>
    <w:rsid w:val="00077225"/>
    <w:rsid w:val="00077671"/>
    <w:rsid w:val="00077FFE"/>
    <w:rsid w:val="00080348"/>
    <w:rsid w:val="00080759"/>
    <w:rsid w:val="00080D80"/>
    <w:rsid w:val="00081320"/>
    <w:rsid w:val="00081875"/>
    <w:rsid w:val="0008192F"/>
    <w:rsid w:val="00081F8E"/>
    <w:rsid w:val="00082CA4"/>
    <w:rsid w:val="00083044"/>
    <w:rsid w:val="0008304E"/>
    <w:rsid w:val="000831DB"/>
    <w:rsid w:val="0008352D"/>
    <w:rsid w:val="00083539"/>
    <w:rsid w:val="00083726"/>
    <w:rsid w:val="000838B7"/>
    <w:rsid w:val="00083A51"/>
    <w:rsid w:val="00083D21"/>
    <w:rsid w:val="00083E2A"/>
    <w:rsid w:val="0008448B"/>
    <w:rsid w:val="000849B1"/>
    <w:rsid w:val="00084B53"/>
    <w:rsid w:val="00084F7A"/>
    <w:rsid w:val="00085391"/>
    <w:rsid w:val="000854CB"/>
    <w:rsid w:val="000855D3"/>
    <w:rsid w:val="00085D96"/>
    <w:rsid w:val="00085FA2"/>
    <w:rsid w:val="00086AFF"/>
    <w:rsid w:val="00086C40"/>
    <w:rsid w:val="00086FD0"/>
    <w:rsid w:val="00087313"/>
    <w:rsid w:val="0008778F"/>
    <w:rsid w:val="00087975"/>
    <w:rsid w:val="00087DC8"/>
    <w:rsid w:val="00087FB7"/>
    <w:rsid w:val="000902DD"/>
    <w:rsid w:val="000904C0"/>
    <w:rsid w:val="0009132E"/>
    <w:rsid w:val="0009169E"/>
    <w:rsid w:val="000923EA"/>
    <w:rsid w:val="00092463"/>
    <w:rsid w:val="000924CC"/>
    <w:rsid w:val="0009284F"/>
    <w:rsid w:val="00092AB5"/>
    <w:rsid w:val="00093150"/>
    <w:rsid w:val="00093404"/>
    <w:rsid w:val="00093558"/>
    <w:rsid w:val="00093933"/>
    <w:rsid w:val="00093B32"/>
    <w:rsid w:val="0009421E"/>
    <w:rsid w:val="00094411"/>
    <w:rsid w:val="00094494"/>
    <w:rsid w:val="000957D3"/>
    <w:rsid w:val="000963D0"/>
    <w:rsid w:val="00096ADC"/>
    <w:rsid w:val="00096CBD"/>
    <w:rsid w:val="00097A7F"/>
    <w:rsid w:val="00097A82"/>
    <w:rsid w:val="00097C5D"/>
    <w:rsid w:val="000A03C1"/>
    <w:rsid w:val="000A053F"/>
    <w:rsid w:val="000A0939"/>
    <w:rsid w:val="000A0C01"/>
    <w:rsid w:val="000A0C0B"/>
    <w:rsid w:val="000A10F0"/>
    <w:rsid w:val="000A126D"/>
    <w:rsid w:val="000A17D0"/>
    <w:rsid w:val="000A1C0D"/>
    <w:rsid w:val="000A2005"/>
    <w:rsid w:val="000A2350"/>
    <w:rsid w:val="000A23C0"/>
    <w:rsid w:val="000A2C3B"/>
    <w:rsid w:val="000A2C78"/>
    <w:rsid w:val="000A38E3"/>
    <w:rsid w:val="000A3904"/>
    <w:rsid w:val="000A3C55"/>
    <w:rsid w:val="000A3C65"/>
    <w:rsid w:val="000A3CE0"/>
    <w:rsid w:val="000A3D88"/>
    <w:rsid w:val="000A3FBE"/>
    <w:rsid w:val="000A4651"/>
    <w:rsid w:val="000A4733"/>
    <w:rsid w:val="000A473B"/>
    <w:rsid w:val="000A4EF9"/>
    <w:rsid w:val="000A5376"/>
    <w:rsid w:val="000A5B65"/>
    <w:rsid w:val="000A5C70"/>
    <w:rsid w:val="000A626C"/>
    <w:rsid w:val="000A6CE3"/>
    <w:rsid w:val="000A705B"/>
    <w:rsid w:val="000A745F"/>
    <w:rsid w:val="000A78E1"/>
    <w:rsid w:val="000A78E8"/>
    <w:rsid w:val="000A7F36"/>
    <w:rsid w:val="000A7F94"/>
    <w:rsid w:val="000B0085"/>
    <w:rsid w:val="000B06B6"/>
    <w:rsid w:val="000B0708"/>
    <w:rsid w:val="000B0BC8"/>
    <w:rsid w:val="000B0E47"/>
    <w:rsid w:val="000B0F0A"/>
    <w:rsid w:val="000B0FB3"/>
    <w:rsid w:val="000B1438"/>
    <w:rsid w:val="000B15BC"/>
    <w:rsid w:val="000B167F"/>
    <w:rsid w:val="000B1908"/>
    <w:rsid w:val="000B197F"/>
    <w:rsid w:val="000B21F5"/>
    <w:rsid w:val="000B2534"/>
    <w:rsid w:val="000B25F9"/>
    <w:rsid w:val="000B30AF"/>
    <w:rsid w:val="000B34EB"/>
    <w:rsid w:val="000B3849"/>
    <w:rsid w:val="000B3C3F"/>
    <w:rsid w:val="000B46E2"/>
    <w:rsid w:val="000B48DB"/>
    <w:rsid w:val="000B49A7"/>
    <w:rsid w:val="000B4B1F"/>
    <w:rsid w:val="000B4CE8"/>
    <w:rsid w:val="000B4D8D"/>
    <w:rsid w:val="000B4EB8"/>
    <w:rsid w:val="000B5054"/>
    <w:rsid w:val="000B52BF"/>
    <w:rsid w:val="000B52C9"/>
    <w:rsid w:val="000B5761"/>
    <w:rsid w:val="000B6C0E"/>
    <w:rsid w:val="000B6D94"/>
    <w:rsid w:val="000B6F17"/>
    <w:rsid w:val="000B710A"/>
    <w:rsid w:val="000B7216"/>
    <w:rsid w:val="000B75A7"/>
    <w:rsid w:val="000B7601"/>
    <w:rsid w:val="000B76F2"/>
    <w:rsid w:val="000B7B4E"/>
    <w:rsid w:val="000B7B5F"/>
    <w:rsid w:val="000B7D12"/>
    <w:rsid w:val="000C0C8B"/>
    <w:rsid w:val="000C10BE"/>
    <w:rsid w:val="000C13B8"/>
    <w:rsid w:val="000C2086"/>
    <w:rsid w:val="000C2699"/>
    <w:rsid w:val="000C2768"/>
    <w:rsid w:val="000C2B93"/>
    <w:rsid w:val="000C2E3F"/>
    <w:rsid w:val="000C366C"/>
    <w:rsid w:val="000C3AD5"/>
    <w:rsid w:val="000C4035"/>
    <w:rsid w:val="000C40D0"/>
    <w:rsid w:val="000C41CB"/>
    <w:rsid w:val="000C421B"/>
    <w:rsid w:val="000C46AD"/>
    <w:rsid w:val="000C46E8"/>
    <w:rsid w:val="000C4725"/>
    <w:rsid w:val="000C498A"/>
    <w:rsid w:val="000C4AA4"/>
    <w:rsid w:val="000C5088"/>
    <w:rsid w:val="000C53AF"/>
    <w:rsid w:val="000C548F"/>
    <w:rsid w:val="000C54E8"/>
    <w:rsid w:val="000C565E"/>
    <w:rsid w:val="000C5F18"/>
    <w:rsid w:val="000C6495"/>
    <w:rsid w:val="000C656C"/>
    <w:rsid w:val="000C6C05"/>
    <w:rsid w:val="000C70F5"/>
    <w:rsid w:val="000C7A37"/>
    <w:rsid w:val="000C7AE4"/>
    <w:rsid w:val="000D0189"/>
    <w:rsid w:val="000D0765"/>
    <w:rsid w:val="000D0B81"/>
    <w:rsid w:val="000D1176"/>
    <w:rsid w:val="000D11E6"/>
    <w:rsid w:val="000D1214"/>
    <w:rsid w:val="000D14E3"/>
    <w:rsid w:val="000D1799"/>
    <w:rsid w:val="000D1905"/>
    <w:rsid w:val="000D1C08"/>
    <w:rsid w:val="000D1CF6"/>
    <w:rsid w:val="000D22C2"/>
    <w:rsid w:val="000D2703"/>
    <w:rsid w:val="000D2882"/>
    <w:rsid w:val="000D2AED"/>
    <w:rsid w:val="000D2B65"/>
    <w:rsid w:val="000D2E96"/>
    <w:rsid w:val="000D3310"/>
    <w:rsid w:val="000D37B1"/>
    <w:rsid w:val="000D42D6"/>
    <w:rsid w:val="000D4345"/>
    <w:rsid w:val="000D4490"/>
    <w:rsid w:val="000D472D"/>
    <w:rsid w:val="000D5093"/>
    <w:rsid w:val="000D5132"/>
    <w:rsid w:val="000D532B"/>
    <w:rsid w:val="000D5E90"/>
    <w:rsid w:val="000D5EC7"/>
    <w:rsid w:val="000D677B"/>
    <w:rsid w:val="000D68B2"/>
    <w:rsid w:val="000D6C33"/>
    <w:rsid w:val="000D73DF"/>
    <w:rsid w:val="000D7716"/>
    <w:rsid w:val="000D7F4F"/>
    <w:rsid w:val="000E015A"/>
    <w:rsid w:val="000E031D"/>
    <w:rsid w:val="000E03E7"/>
    <w:rsid w:val="000E0690"/>
    <w:rsid w:val="000E0950"/>
    <w:rsid w:val="000E0E9C"/>
    <w:rsid w:val="000E1020"/>
    <w:rsid w:val="000E13E8"/>
    <w:rsid w:val="000E192D"/>
    <w:rsid w:val="000E1934"/>
    <w:rsid w:val="000E1B03"/>
    <w:rsid w:val="000E1B7D"/>
    <w:rsid w:val="000E22EC"/>
    <w:rsid w:val="000E2301"/>
    <w:rsid w:val="000E2468"/>
    <w:rsid w:val="000E27EF"/>
    <w:rsid w:val="000E2A81"/>
    <w:rsid w:val="000E2F64"/>
    <w:rsid w:val="000E3A72"/>
    <w:rsid w:val="000E3AB9"/>
    <w:rsid w:val="000E3BF6"/>
    <w:rsid w:val="000E4064"/>
    <w:rsid w:val="000E4395"/>
    <w:rsid w:val="000E4A79"/>
    <w:rsid w:val="000E4CD6"/>
    <w:rsid w:val="000E5530"/>
    <w:rsid w:val="000E6226"/>
    <w:rsid w:val="000E67A9"/>
    <w:rsid w:val="000E67C1"/>
    <w:rsid w:val="000E690A"/>
    <w:rsid w:val="000E6B0A"/>
    <w:rsid w:val="000E6B3D"/>
    <w:rsid w:val="000E6C56"/>
    <w:rsid w:val="000E70E3"/>
    <w:rsid w:val="000E7727"/>
    <w:rsid w:val="000E7E75"/>
    <w:rsid w:val="000E7F01"/>
    <w:rsid w:val="000F0B7D"/>
    <w:rsid w:val="000F0F2C"/>
    <w:rsid w:val="000F0F68"/>
    <w:rsid w:val="000F0F7F"/>
    <w:rsid w:val="000F0FCE"/>
    <w:rsid w:val="000F173F"/>
    <w:rsid w:val="000F203E"/>
    <w:rsid w:val="000F22E1"/>
    <w:rsid w:val="000F2C65"/>
    <w:rsid w:val="000F2C7C"/>
    <w:rsid w:val="000F2CDA"/>
    <w:rsid w:val="000F2E2B"/>
    <w:rsid w:val="000F2E9B"/>
    <w:rsid w:val="000F2EE3"/>
    <w:rsid w:val="000F32BD"/>
    <w:rsid w:val="000F3752"/>
    <w:rsid w:val="000F3933"/>
    <w:rsid w:val="000F3F4F"/>
    <w:rsid w:val="000F4DB6"/>
    <w:rsid w:val="000F4F9B"/>
    <w:rsid w:val="000F5115"/>
    <w:rsid w:val="000F559E"/>
    <w:rsid w:val="000F581C"/>
    <w:rsid w:val="000F6A38"/>
    <w:rsid w:val="000F705F"/>
    <w:rsid w:val="000F72BF"/>
    <w:rsid w:val="000F7566"/>
    <w:rsid w:val="000F7D1F"/>
    <w:rsid w:val="0010003C"/>
    <w:rsid w:val="0010008F"/>
    <w:rsid w:val="00100118"/>
    <w:rsid w:val="00100778"/>
    <w:rsid w:val="0010079F"/>
    <w:rsid w:val="00101268"/>
    <w:rsid w:val="00101396"/>
    <w:rsid w:val="00101467"/>
    <w:rsid w:val="00101C56"/>
    <w:rsid w:val="00101DE4"/>
    <w:rsid w:val="00101E86"/>
    <w:rsid w:val="001027BD"/>
    <w:rsid w:val="00102BA0"/>
    <w:rsid w:val="001032DC"/>
    <w:rsid w:val="00103DA5"/>
    <w:rsid w:val="00104311"/>
    <w:rsid w:val="001046F7"/>
    <w:rsid w:val="00104788"/>
    <w:rsid w:val="001047C1"/>
    <w:rsid w:val="0010480C"/>
    <w:rsid w:val="00104BF4"/>
    <w:rsid w:val="00105EB2"/>
    <w:rsid w:val="00106078"/>
    <w:rsid w:val="0010663E"/>
    <w:rsid w:val="0010664E"/>
    <w:rsid w:val="0010665D"/>
    <w:rsid w:val="00106794"/>
    <w:rsid w:val="00106EB5"/>
    <w:rsid w:val="00106F36"/>
    <w:rsid w:val="0010704E"/>
    <w:rsid w:val="0010743D"/>
    <w:rsid w:val="00107B15"/>
    <w:rsid w:val="00107E99"/>
    <w:rsid w:val="001100DE"/>
    <w:rsid w:val="001104FA"/>
    <w:rsid w:val="0011158E"/>
    <w:rsid w:val="001119E8"/>
    <w:rsid w:val="00111A0E"/>
    <w:rsid w:val="001121E7"/>
    <w:rsid w:val="001122B9"/>
    <w:rsid w:val="00112C49"/>
    <w:rsid w:val="00113413"/>
    <w:rsid w:val="0011379E"/>
    <w:rsid w:val="00113907"/>
    <w:rsid w:val="00113C51"/>
    <w:rsid w:val="001141BB"/>
    <w:rsid w:val="001143E8"/>
    <w:rsid w:val="001145DC"/>
    <w:rsid w:val="00114E0F"/>
    <w:rsid w:val="0011552A"/>
    <w:rsid w:val="001156AF"/>
    <w:rsid w:val="00115F6A"/>
    <w:rsid w:val="00116136"/>
    <w:rsid w:val="0011655D"/>
    <w:rsid w:val="001167E5"/>
    <w:rsid w:val="00116BB6"/>
    <w:rsid w:val="001172B8"/>
    <w:rsid w:val="001174CC"/>
    <w:rsid w:val="0011770F"/>
    <w:rsid w:val="001177E6"/>
    <w:rsid w:val="001201D4"/>
    <w:rsid w:val="00120389"/>
    <w:rsid w:val="00120D8E"/>
    <w:rsid w:val="00120E25"/>
    <w:rsid w:val="001211D2"/>
    <w:rsid w:val="00121310"/>
    <w:rsid w:val="001214D4"/>
    <w:rsid w:val="00121E1A"/>
    <w:rsid w:val="001226A1"/>
    <w:rsid w:val="00122D02"/>
    <w:rsid w:val="00123147"/>
    <w:rsid w:val="001231D5"/>
    <w:rsid w:val="001233ED"/>
    <w:rsid w:val="00123D3B"/>
    <w:rsid w:val="00124A29"/>
    <w:rsid w:val="00124BFD"/>
    <w:rsid w:val="00124CC3"/>
    <w:rsid w:val="00124F32"/>
    <w:rsid w:val="00125909"/>
    <w:rsid w:val="00126E67"/>
    <w:rsid w:val="001271DB"/>
    <w:rsid w:val="0012759E"/>
    <w:rsid w:val="00127BD9"/>
    <w:rsid w:val="00127FA2"/>
    <w:rsid w:val="00130859"/>
    <w:rsid w:val="00130AD2"/>
    <w:rsid w:val="00130F9E"/>
    <w:rsid w:val="00131578"/>
    <w:rsid w:val="001317DB"/>
    <w:rsid w:val="00132015"/>
    <w:rsid w:val="0013258D"/>
    <w:rsid w:val="001329BB"/>
    <w:rsid w:val="00132F58"/>
    <w:rsid w:val="0013308C"/>
    <w:rsid w:val="00133472"/>
    <w:rsid w:val="00133682"/>
    <w:rsid w:val="00133A24"/>
    <w:rsid w:val="00133D0B"/>
    <w:rsid w:val="00134409"/>
    <w:rsid w:val="00134659"/>
    <w:rsid w:val="0013558C"/>
    <w:rsid w:val="00135D05"/>
    <w:rsid w:val="0013619F"/>
    <w:rsid w:val="0013638A"/>
    <w:rsid w:val="00136C3E"/>
    <w:rsid w:val="00136DC5"/>
    <w:rsid w:val="00136E4D"/>
    <w:rsid w:val="001372C6"/>
    <w:rsid w:val="00137330"/>
    <w:rsid w:val="00140448"/>
    <w:rsid w:val="00140DA2"/>
    <w:rsid w:val="00140E42"/>
    <w:rsid w:val="001412C7"/>
    <w:rsid w:val="00141611"/>
    <w:rsid w:val="00141C74"/>
    <w:rsid w:val="00142890"/>
    <w:rsid w:val="00142A41"/>
    <w:rsid w:val="00142C57"/>
    <w:rsid w:val="0014315F"/>
    <w:rsid w:val="0014353D"/>
    <w:rsid w:val="00143948"/>
    <w:rsid w:val="001439D3"/>
    <w:rsid w:val="00143DAB"/>
    <w:rsid w:val="00144B85"/>
    <w:rsid w:val="00145358"/>
    <w:rsid w:val="001453BB"/>
    <w:rsid w:val="001461F3"/>
    <w:rsid w:val="0014683D"/>
    <w:rsid w:val="0014694A"/>
    <w:rsid w:val="00146DA2"/>
    <w:rsid w:val="001472FA"/>
    <w:rsid w:val="001475C9"/>
    <w:rsid w:val="001476DD"/>
    <w:rsid w:val="00147792"/>
    <w:rsid w:val="00147CD9"/>
    <w:rsid w:val="001504C7"/>
    <w:rsid w:val="00150C38"/>
    <w:rsid w:val="00151113"/>
    <w:rsid w:val="00151183"/>
    <w:rsid w:val="0015141E"/>
    <w:rsid w:val="001514D7"/>
    <w:rsid w:val="001518DA"/>
    <w:rsid w:val="00151AAE"/>
    <w:rsid w:val="00151DA0"/>
    <w:rsid w:val="00151F01"/>
    <w:rsid w:val="0015212D"/>
    <w:rsid w:val="00152671"/>
    <w:rsid w:val="00152AC0"/>
    <w:rsid w:val="00152C99"/>
    <w:rsid w:val="001535D6"/>
    <w:rsid w:val="001537D6"/>
    <w:rsid w:val="00153816"/>
    <w:rsid w:val="00153CD4"/>
    <w:rsid w:val="00153D4B"/>
    <w:rsid w:val="00154253"/>
    <w:rsid w:val="001545AB"/>
    <w:rsid w:val="001548FB"/>
    <w:rsid w:val="0015505E"/>
    <w:rsid w:val="00155BCB"/>
    <w:rsid w:val="001560F9"/>
    <w:rsid w:val="00156B9B"/>
    <w:rsid w:val="00156CF3"/>
    <w:rsid w:val="00157102"/>
    <w:rsid w:val="00157146"/>
    <w:rsid w:val="00157337"/>
    <w:rsid w:val="001577E3"/>
    <w:rsid w:val="0015789A"/>
    <w:rsid w:val="00157D25"/>
    <w:rsid w:val="00157E0E"/>
    <w:rsid w:val="00157F85"/>
    <w:rsid w:val="00160314"/>
    <w:rsid w:val="00160601"/>
    <w:rsid w:val="001614A0"/>
    <w:rsid w:val="00161712"/>
    <w:rsid w:val="00161960"/>
    <w:rsid w:val="00162208"/>
    <w:rsid w:val="001628B2"/>
    <w:rsid w:val="00162ADA"/>
    <w:rsid w:val="00162D55"/>
    <w:rsid w:val="001631CB"/>
    <w:rsid w:val="00163874"/>
    <w:rsid w:val="00163AA0"/>
    <w:rsid w:val="00163B2B"/>
    <w:rsid w:val="001643F5"/>
    <w:rsid w:val="00164423"/>
    <w:rsid w:val="00164487"/>
    <w:rsid w:val="0016480B"/>
    <w:rsid w:val="00164DEF"/>
    <w:rsid w:val="00165338"/>
    <w:rsid w:val="00165AB8"/>
    <w:rsid w:val="00165DE8"/>
    <w:rsid w:val="001661C3"/>
    <w:rsid w:val="001666B2"/>
    <w:rsid w:val="00166767"/>
    <w:rsid w:val="0016694A"/>
    <w:rsid w:val="00166CAF"/>
    <w:rsid w:val="00166D14"/>
    <w:rsid w:val="00166E01"/>
    <w:rsid w:val="00167150"/>
    <w:rsid w:val="001672F2"/>
    <w:rsid w:val="00167480"/>
    <w:rsid w:val="00167556"/>
    <w:rsid w:val="00167F70"/>
    <w:rsid w:val="00167F9D"/>
    <w:rsid w:val="001704D2"/>
    <w:rsid w:val="0017098E"/>
    <w:rsid w:val="00170A1F"/>
    <w:rsid w:val="00170ABE"/>
    <w:rsid w:val="00170AE4"/>
    <w:rsid w:val="00170B02"/>
    <w:rsid w:val="00171193"/>
    <w:rsid w:val="00171521"/>
    <w:rsid w:val="0017168D"/>
    <w:rsid w:val="001717C6"/>
    <w:rsid w:val="00171BA8"/>
    <w:rsid w:val="001722C6"/>
    <w:rsid w:val="00172331"/>
    <w:rsid w:val="0017270D"/>
    <w:rsid w:val="001727E3"/>
    <w:rsid w:val="00172A0E"/>
    <w:rsid w:val="00172BCB"/>
    <w:rsid w:val="00172E12"/>
    <w:rsid w:val="00174822"/>
    <w:rsid w:val="00174940"/>
    <w:rsid w:val="00174BD7"/>
    <w:rsid w:val="00175F05"/>
    <w:rsid w:val="00176080"/>
    <w:rsid w:val="00176CE8"/>
    <w:rsid w:val="00176F32"/>
    <w:rsid w:val="001777AA"/>
    <w:rsid w:val="001778DF"/>
    <w:rsid w:val="00177CD5"/>
    <w:rsid w:val="00177E5A"/>
    <w:rsid w:val="00177E9F"/>
    <w:rsid w:val="00177F8C"/>
    <w:rsid w:val="00180170"/>
    <w:rsid w:val="0018075E"/>
    <w:rsid w:val="001807AC"/>
    <w:rsid w:val="001807ED"/>
    <w:rsid w:val="0018094C"/>
    <w:rsid w:val="00180959"/>
    <w:rsid w:val="00180F07"/>
    <w:rsid w:val="0018155C"/>
    <w:rsid w:val="0018172B"/>
    <w:rsid w:val="00181774"/>
    <w:rsid w:val="00181C5E"/>
    <w:rsid w:val="00182014"/>
    <w:rsid w:val="00182532"/>
    <w:rsid w:val="00182890"/>
    <w:rsid w:val="00182A9B"/>
    <w:rsid w:val="00182F43"/>
    <w:rsid w:val="00182FD2"/>
    <w:rsid w:val="00183251"/>
    <w:rsid w:val="001832AA"/>
    <w:rsid w:val="001835DC"/>
    <w:rsid w:val="0018384D"/>
    <w:rsid w:val="0018389D"/>
    <w:rsid w:val="001842C4"/>
    <w:rsid w:val="001849D5"/>
    <w:rsid w:val="00185CCA"/>
    <w:rsid w:val="00186065"/>
    <w:rsid w:val="00186450"/>
    <w:rsid w:val="00186923"/>
    <w:rsid w:val="00186CD0"/>
    <w:rsid w:val="00187050"/>
    <w:rsid w:val="001871A8"/>
    <w:rsid w:val="0018728F"/>
    <w:rsid w:val="00187333"/>
    <w:rsid w:val="00187F36"/>
    <w:rsid w:val="001900F2"/>
    <w:rsid w:val="00190347"/>
    <w:rsid w:val="001904A8"/>
    <w:rsid w:val="001906B0"/>
    <w:rsid w:val="00190A9D"/>
    <w:rsid w:val="00190AA2"/>
    <w:rsid w:val="00190D39"/>
    <w:rsid w:val="00191078"/>
    <w:rsid w:val="0019117E"/>
    <w:rsid w:val="001911D5"/>
    <w:rsid w:val="00191B06"/>
    <w:rsid w:val="00192413"/>
    <w:rsid w:val="001925E8"/>
    <w:rsid w:val="001928B7"/>
    <w:rsid w:val="00192F97"/>
    <w:rsid w:val="001937BB"/>
    <w:rsid w:val="001938F8"/>
    <w:rsid w:val="001941B6"/>
    <w:rsid w:val="001946ED"/>
    <w:rsid w:val="00194CA4"/>
    <w:rsid w:val="00194D03"/>
    <w:rsid w:val="001951F7"/>
    <w:rsid w:val="00195971"/>
    <w:rsid w:val="00195D92"/>
    <w:rsid w:val="00195DB2"/>
    <w:rsid w:val="001963D2"/>
    <w:rsid w:val="001966DA"/>
    <w:rsid w:val="00196AA8"/>
    <w:rsid w:val="00196F67"/>
    <w:rsid w:val="00196FDB"/>
    <w:rsid w:val="00197152"/>
    <w:rsid w:val="00197283"/>
    <w:rsid w:val="0019747D"/>
    <w:rsid w:val="00197976"/>
    <w:rsid w:val="00197C32"/>
    <w:rsid w:val="00197E5C"/>
    <w:rsid w:val="00197F52"/>
    <w:rsid w:val="00197F7F"/>
    <w:rsid w:val="001A0C1F"/>
    <w:rsid w:val="001A0D6A"/>
    <w:rsid w:val="001A10D5"/>
    <w:rsid w:val="001A1B51"/>
    <w:rsid w:val="001A20EB"/>
    <w:rsid w:val="001A2599"/>
    <w:rsid w:val="001A2772"/>
    <w:rsid w:val="001A2EA7"/>
    <w:rsid w:val="001A2F4C"/>
    <w:rsid w:val="001A3164"/>
    <w:rsid w:val="001A3C0B"/>
    <w:rsid w:val="001A3D86"/>
    <w:rsid w:val="001A49BA"/>
    <w:rsid w:val="001A4EF8"/>
    <w:rsid w:val="001A5017"/>
    <w:rsid w:val="001A56A7"/>
    <w:rsid w:val="001A5C45"/>
    <w:rsid w:val="001A60AB"/>
    <w:rsid w:val="001A626A"/>
    <w:rsid w:val="001A6CCA"/>
    <w:rsid w:val="001A7644"/>
    <w:rsid w:val="001B0195"/>
    <w:rsid w:val="001B01BE"/>
    <w:rsid w:val="001B05C2"/>
    <w:rsid w:val="001B07E5"/>
    <w:rsid w:val="001B0EFC"/>
    <w:rsid w:val="001B136D"/>
    <w:rsid w:val="001B21CA"/>
    <w:rsid w:val="001B2472"/>
    <w:rsid w:val="001B24C2"/>
    <w:rsid w:val="001B24EE"/>
    <w:rsid w:val="001B3127"/>
    <w:rsid w:val="001B33B0"/>
    <w:rsid w:val="001B3443"/>
    <w:rsid w:val="001B3B27"/>
    <w:rsid w:val="001B44C3"/>
    <w:rsid w:val="001B4762"/>
    <w:rsid w:val="001B4BDD"/>
    <w:rsid w:val="001B4D80"/>
    <w:rsid w:val="001B4E66"/>
    <w:rsid w:val="001B53EB"/>
    <w:rsid w:val="001B549F"/>
    <w:rsid w:val="001B5B16"/>
    <w:rsid w:val="001B5B7F"/>
    <w:rsid w:val="001B6E73"/>
    <w:rsid w:val="001B7127"/>
    <w:rsid w:val="001B7A86"/>
    <w:rsid w:val="001B7D41"/>
    <w:rsid w:val="001B7D4C"/>
    <w:rsid w:val="001B7DCA"/>
    <w:rsid w:val="001C032F"/>
    <w:rsid w:val="001C083E"/>
    <w:rsid w:val="001C0B83"/>
    <w:rsid w:val="001C0FDE"/>
    <w:rsid w:val="001C152C"/>
    <w:rsid w:val="001C1650"/>
    <w:rsid w:val="001C172A"/>
    <w:rsid w:val="001C1BDF"/>
    <w:rsid w:val="001C2780"/>
    <w:rsid w:val="001C2AA1"/>
    <w:rsid w:val="001C2B8A"/>
    <w:rsid w:val="001C2C0B"/>
    <w:rsid w:val="001C2CAA"/>
    <w:rsid w:val="001C2D99"/>
    <w:rsid w:val="001C2FE0"/>
    <w:rsid w:val="001C37C5"/>
    <w:rsid w:val="001C37FB"/>
    <w:rsid w:val="001C3A92"/>
    <w:rsid w:val="001C5E2F"/>
    <w:rsid w:val="001C610D"/>
    <w:rsid w:val="001C63ED"/>
    <w:rsid w:val="001C6637"/>
    <w:rsid w:val="001C7142"/>
    <w:rsid w:val="001C719B"/>
    <w:rsid w:val="001C71C1"/>
    <w:rsid w:val="001C79A8"/>
    <w:rsid w:val="001C7A54"/>
    <w:rsid w:val="001C7BA7"/>
    <w:rsid w:val="001C7EA8"/>
    <w:rsid w:val="001D0AE4"/>
    <w:rsid w:val="001D0B68"/>
    <w:rsid w:val="001D0D1A"/>
    <w:rsid w:val="001D11DF"/>
    <w:rsid w:val="001D17E4"/>
    <w:rsid w:val="001D1E93"/>
    <w:rsid w:val="001D226A"/>
    <w:rsid w:val="001D28B7"/>
    <w:rsid w:val="001D2909"/>
    <w:rsid w:val="001D2AF1"/>
    <w:rsid w:val="001D32DF"/>
    <w:rsid w:val="001D3587"/>
    <w:rsid w:val="001D3DD1"/>
    <w:rsid w:val="001D43E9"/>
    <w:rsid w:val="001D4BCF"/>
    <w:rsid w:val="001D507E"/>
    <w:rsid w:val="001D5460"/>
    <w:rsid w:val="001D5737"/>
    <w:rsid w:val="001D5CCF"/>
    <w:rsid w:val="001D5DCD"/>
    <w:rsid w:val="001D658B"/>
    <w:rsid w:val="001D73E5"/>
    <w:rsid w:val="001D75C1"/>
    <w:rsid w:val="001D7C3C"/>
    <w:rsid w:val="001D7C4E"/>
    <w:rsid w:val="001D7F51"/>
    <w:rsid w:val="001E05FB"/>
    <w:rsid w:val="001E0DAD"/>
    <w:rsid w:val="001E146E"/>
    <w:rsid w:val="001E1A96"/>
    <w:rsid w:val="001E1FF4"/>
    <w:rsid w:val="001E22FD"/>
    <w:rsid w:val="001E234B"/>
    <w:rsid w:val="001E2467"/>
    <w:rsid w:val="001E26B2"/>
    <w:rsid w:val="001E2778"/>
    <w:rsid w:val="001E27B2"/>
    <w:rsid w:val="001E2964"/>
    <w:rsid w:val="001E2D81"/>
    <w:rsid w:val="001E2E7D"/>
    <w:rsid w:val="001E2FA6"/>
    <w:rsid w:val="001E3B00"/>
    <w:rsid w:val="001E3BB2"/>
    <w:rsid w:val="001E3E01"/>
    <w:rsid w:val="001E3E7E"/>
    <w:rsid w:val="001E3F39"/>
    <w:rsid w:val="001E40B5"/>
    <w:rsid w:val="001E52F7"/>
    <w:rsid w:val="001E58D0"/>
    <w:rsid w:val="001E59A7"/>
    <w:rsid w:val="001E5F59"/>
    <w:rsid w:val="001E6661"/>
    <w:rsid w:val="001E68C9"/>
    <w:rsid w:val="001E7BD7"/>
    <w:rsid w:val="001F051E"/>
    <w:rsid w:val="001F0C92"/>
    <w:rsid w:val="001F0DFC"/>
    <w:rsid w:val="001F0F85"/>
    <w:rsid w:val="001F1160"/>
    <w:rsid w:val="001F1810"/>
    <w:rsid w:val="001F2170"/>
    <w:rsid w:val="001F29EA"/>
    <w:rsid w:val="001F2BB8"/>
    <w:rsid w:val="001F38C2"/>
    <w:rsid w:val="001F459B"/>
    <w:rsid w:val="001F45A9"/>
    <w:rsid w:val="001F4B0E"/>
    <w:rsid w:val="001F4E5C"/>
    <w:rsid w:val="001F50C1"/>
    <w:rsid w:val="001F5178"/>
    <w:rsid w:val="001F564B"/>
    <w:rsid w:val="001F57EB"/>
    <w:rsid w:val="001F5B2A"/>
    <w:rsid w:val="001F62D3"/>
    <w:rsid w:val="001F632E"/>
    <w:rsid w:val="001F7873"/>
    <w:rsid w:val="0020032E"/>
    <w:rsid w:val="002003D9"/>
    <w:rsid w:val="00200653"/>
    <w:rsid w:val="002009CD"/>
    <w:rsid w:val="00200F16"/>
    <w:rsid w:val="00201125"/>
    <w:rsid w:val="00201176"/>
    <w:rsid w:val="00201223"/>
    <w:rsid w:val="00201543"/>
    <w:rsid w:val="00201810"/>
    <w:rsid w:val="0020199E"/>
    <w:rsid w:val="0020226D"/>
    <w:rsid w:val="002022FC"/>
    <w:rsid w:val="002024B5"/>
    <w:rsid w:val="002028DE"/>
    <w:rsid w:val="00202BC7"/>
    <w:rsid w:val="00202DB4"/>
    <w:rsid w:val="002036D3"/>
    <w:rsid w:val="00203FE2"/>
    <w:rsid w:val="00204229"/>
    <w:rsid w:val="00204534"/>
    <w:rsid w:val="002046A6"/>
    <w:rsid w:val="00204BEE"/>
    <w:rsid w:val="00204C9F"/>
    <w:rsid w:val="00204EC1"/>
    <w:rsid w:val="00204EEA"/>
    <w:rsid w:val="00204F1F"/>
    <w:rsid w:val="0020555B"/>
    <w:rsid w:val="002056FA"/>
    <w:rsid w:val="00205BC3"/>
    <w:rsid w:val="00205C46"/>
    <w:rsid w:val="00205F27"/>
    <w:rsid w:val="00206002"/>
    <w:rsid w:val="0020623A"/>
    <w:rsid w:val="002062E5"/>
    <w:rsid w:val="0020664A"/>
    <w:rsid w:val="00206F6E"/>
    <w:rsid w:val="00206FF1"/>
    <w:rsid w:val="00207245"/>
    <w:rsid w:val="002074CE"/>
    <w:rsid w:val="0020796B"/>
    <w:rsid w:val="00207A41"/>
    <w:rsid w:val="00207EFB"/>
    <w:rsid w:val="002101E6"/>
    <w:rsid w:val="002105F7"/>
    <w:rsid w:val="0021097C"/>
    <w:rsid w:val="00210A7C"/>
    <w:rsid w:val="002114F2"/>
    <w:rsid w:val="002117A7"/>
    <w:rsid w:val="00211A73"/>
    <w:rsid w:val="00211EB7"/>
    <w:rsid w:val="00212250"/>
    <w:rsid w:val="002129AE"/>
    <w:rsid w:val="00212AF8"/>
    <w:rsid w:val="00212BB5"/>
    <w:rsid w:val="002132C5"/>
    <w:rsid w:val="002132E9"/>
    <w:rsid w:val="00213592"/>
    <w:rsid w:val="0021449F"/>
    <w:rsid w:val="002147B2"/>
    <w:rsid w:val="002147B7"/>
    <w:rsid w:val="00214A2C"/>
    <w:rsid w:val="00214E60"/>
    <w:rsid w:val="0021558C"/>
    <w:rsid w:val="00215607"/>
    <w:rsid w:val="00215CDD"/>
    <w:rsid w:val="00215EF9"/>
    <w:rsid w:val="002161AE"/>
    <w:rsid w:val="00216340"/>
    <w:rsid w:val="00216DD6"/>
    <w:rsid w:val="002170B4"/>
    <w:rsid w:val="002173D9"/>
    <w:rsid w:val="002175F5"/>
    <w:rsid w:val="0021772A"/>
    <w:rsid w:val="00217A48"/>
    <w:rsid w:val="00217AAE"/>
    <w:rsid w:val="00217B1F"/>
    <w:rsid w:val="00217E4B"/>
    <w:rsid w:val="00220A5F"/>
    <w:rsid w:val="00220B91"/>
    <w:rsid w:val="00221664"/>
    <w:rsid w:val="002219C3"/>
    <w:rsid w:val="00221EE3"/>
    <w:rsid w:val="0022219C"/>
    <w:rsid w:val="002224C7"/>
    <w:rsid w:val="002227B6"/>
    <w:rsid w:val="002229DB"/>
    <w:rsid w:val="00222E15"/>
    <w:rsid w:val="00222E2F"/>
    <w:rsid w:val="0022331C"/>
    <w:rsid w:val="00224135"/>
    <w:rsid w:val="002241EA"/>
    <w:rsid w:val="00224202"/>
    <w:rsid w:val="00224863"/>
    <w:rsid w:val="00224AC8"/>
    <w:rsid w:val="00225887"/>
    <w:rsid w:val="00225D64"/>
    <w:rsid w:val="002262DB"/>
    <w:rsid w:val="002265AF"/>
    <w:rsid w:val="00226CA6"/>
    <w:rsid w:val="0022729C"/>
    <w:rsid w:val="00227AA5"/>
    <w:rsid w:val="00227F1A"/>
    <w:rsid w:val="00230619"/>
    <w:rsid w:val="002307FF"/>
    <w:rsid w:val="00231004"/>
    <w:rsid w:val="0023138C"/>
    <w:rsid w:val="00231B57"/>
    <w:rsid w:val="00231E16"/>
    <w:rsid w:val="0023241F"/>
    <w:rsid w:val="00232A83"/>
    <w:rsid w:val="00232BD7"/>
    <w:rsid w:val="00233B46"/>
    <w:rsid w:val="00233F66"/>
    <w:rsid w:val="0023448C"/>
    <w:rsid w:val="0023449B"/>
    <w:rsid w:val="002348B7"/>
    <w:rsid w:val="00234A93"/>
    <w:rsid w:val="002355AB"/>
    <w:rsid w:val="002355B4"/>
    <w:rsid w:val="00235840"/>
    <w:rsid w:val="002358A6"/>
    <w:rsid w:val="00235BD9"/>
    <w:rsid w:val="00235D03"/>
    <w:rsid w:val="00235DD0"/>
    <w:rsid w:val="002363B4"/>
    <w:rsid w:val="0023682B"/>
    <w:rsid w:val="00236A51"/>
    <w:rsid w:val="00236BB3"/>
    <w:rsid w:val="00236BB7"/>
    <w:rsid w:val="00236D17"/>
    <w:rsid w:val="00236FB1"/>
    <w:rsid w:val="0023733B"/>
    <w:rsid w:val="00237403"/>
    <w:rsid w:val="00237606"/>
    <w:rsid w:val="002378DB"/>
    <w:rsid w:val="00237A08"/>
    <w:rsid w:val="00237BA5"/>
    <w:rsid w:val="00237EDF"/>
    <w:rsid w:val="002400C9"/>
    <w:rsid w:val="002405AA"/>
    <w:rsid w:val="002405E9"/>
    <w:rsid w:val="002406FB"/>
    <w:rsid w:val="002407CB"/>
    <w:rsid w:val="002409C0"/>
    <w:rsid w:val="00240A81"/>
    <w:rsid w:val="00240AA8"/>
    <w:rsid w:val="00240EBE"/>
    <w:rsid w:val="00241429"/>
    <w:rsid w:val="002415C2"/>
    <w:rsid w:val="0024166E"/>
    <w:rsid w:val="00241D60"/>
    <w:rsid w:val="00241E3C"/>
    <w:rsid w:val="00242398"/>
    <w:rsid w:val="002429D9"/>
    <w:rsid w:val="00242A20"/>
    <w:rsid w:val="002432EF"/>
    <w:rsid w:val="0024379A"/>
    <w:rsid w:val="00243855"/>
    <w:rsid w:val="00243A06"/>
    <w:rsid w:val="00243BE2"/>
    <w:rsid w:val="00244049"/>
    <w:rsid w:val="00244247"/>
    <w:rsid w:val="002443EF"/>
    <w:rsid w:val="002445FD"/>
    <w:rsid w:val="00244CFB"/>
    <w:rsid w:val="002454FD"/>
    <w:rsid w:val="0024629F"/>
    <w:rsid w:val="00246469"/>
    <w:rsid w:val="00246633"/>
    <w:rsid w:val="00246B08"/>
    <w:rsid w:val="00246E60"/>
    <w:rsid w:val="002471B5"/>
    <w:rsid w:val="002471CD"/>
    <w:rsid w:val="002477A3"/>
    <w:rsid w:val="00247CF1"/>
    <w:rsid w:val="00250235"/>
    <w:rsid w:val="00250343"/>
    <w:rsid w:val="00250363"/>
    <w:rsid w:val="00250831"/>
    <w:rsid w:val="0025096F"/>
    <w:rsid w:val="00250A9F"/>
    <w:rsid w:val="002513F9"/>
    <w:rsid w:val="00251759"/>
    <w:rsid w:val="00251B9C"/>
    <w:rsid w:val="00251D8A"/>
    <w:rsid w:val="00251E28"/>
    <w:rsid w:val="00251EEE"/>
    <w:rsid w:val="00251FF0"/>
    <w:rsid w:val="00252ACF"/>
    <w:rsid w:val="00252DEE"/>
    <w:rsid w:val="00252DFB"/>
    <w:rsid w:val="0025300E"/>
    <w:rsid w:val="0025322B"/>
    <w:rsid w:val="00253414"/>
    <w:rsid w:val="00253780"/>
    <w:rsid w:val="002537BC"/>
    <w:rsid w:val="00253D0D"/>
    <w:rsid w:val="00254ACC"/>
    <w:rsid w:val="00254BE8"/>
    <w:rsid w:val="0025508F"/>
    <w:rsid w:val="002552B6"/>
    <w:rsid w:val="00255AD3"/>
    <w:rsid w:val="00255CBF"/>
    <w:rsid w:val="00255DED"/>
    <w:rsid w:val="00255E89"/>
    <w:rsid w:val="00256062"/>
    <w:rsid w:val="00256436"/>
    <w:rsid w:val="002569BB"/>
    <w:rsid w:val="00256AEF"/>
    <w:rsid w:val="00256F97"/>
    <w:rsid w:val="00256FEA"/>
    <w:rsid w:val="002570B0"/>
    <w:rsid w:val="0025730A"/>
    <w:rsid w:val="0025740C"/>
    <w:rsid w:val="002575B0"/>
    <w:rsid w:val="00257642"/>
    <w:rsid w:val="00257CB6"/>
    <w:rsid w:val="0026010C"/>
    <w:rsid w:val="002605B5"/>
    <w:rsid w:val="00260E6A"/>
    <w:rsid w:val="0026110A"/>
    <w:rsid w:val="00261A05"/>
    <w:rsid w:val="00261BB1"/>
    <w:rsid w:val="00262127"/>
    <w:rsid w:val="0026214E"/>
    <w:rsid w:val="00262369"/>
    <w:rsid w:val="002625A6"/>
    <w:rsid w:val="0026381E"/>
    <w:rsid w:val="0026398C"/>
    <w:rsid w:val="00263D90"/>
    <w:rsid w:val="00264176"/>
    <w:rsid w:val="0026418A"/>
    <w:rsid w:val="00264359"/>
    <w:rsid w:val="00264364"/>
    <w:rsid w:val="00264490"/>
    <w:rsid w:val="002647E1"/>
    <w:rsid w:val="00265446"/>
    <w:rsid w:val="00265748"/>
    <w:rsid w:val="00265DC7"/>
    <w:rsid w:val="00266262"/>
    <w:rsid w:val="00266268"/>
    <w:rsid w:val="00266516"/>
    <w:rsid w:val="0026678E"/>
    <w:rsid w:val="00266968"/>
    <w:rsid w:val="00267422"/>
    <w:rsid w:val="00267806"/>
    <w:rsid w:val="00267E18"/>
    <w:rsid w:val="0027084B"/>
    <w:rsid w:val="00270866"/>
    <w:rsid w:val="00270D43"/>
    <w:rsid w:val="00270DA4"/>
    <w:rsid w:val="00270E97"/>
    <w:rsid w:val="00270F66"/>
    <w:rsid w:val="00270F6C"/>
    <w:rsid w:val="002710BC"/>
    <w:rsid w:val="00271C60"/>
    <w:rsid w:val="0027243E"/>
    <w:rsid w:val="00272500"/>
    <w:rsid w:val="00272695"/>
    <w:rsid w:val="00272C71"/>
    <w:rsid w:val="00272D17"/>
    <w:rsid w:val="00272D1F"/>
    <w:rsid w:val="00273B42"/>
    <w:rsid w:val="00273E9E"/>
    <w:rsid w:val="002741EF"/>
    <w:rsid w:val="0027474C"/>
    <w:rsid w:val="002755AF"/>
    <w:rsid w:val="0027595F"/>
    <w:rsid w:val="00275BCB"/>
    <w:rsid w:val="00275FC6"/>
    <w:rsid w:val="002765FC"/>
    <w:rsid w:val="002768F1"/>
    <w:rsid w:val="00276A36"/>
    <w:rsid w:val="00277043"/>
    <w:rsid w:val="0027729A"/>
    <w:rsid w:val="002774BF"/>
    <w:rsid w:val="002808A4"/>
    <w:rsid w:val="002809A4"/>
    <w:rsid w:val="00280BA8"/>
    <w:rsid w:val="00280CB7"/>
    <w:rsid w:val="0028172C"/>
    <w:rsid w:val="00281922"/>
    <w:rsid w:val="00281A36"/>
    <w:rsid w:val="00282BA0"/>
    <w:rsid w:val="00282E33"/>
    <w:rsid w:val="00283134"/>
    <w:rsid w:val="0028345C"/>
    <w:rsid w:val="00283B95"/>
    <w:rsid w:val="00283F88"/>
    <w:rsid w:val="002843C5"/>
    <w:rsid w:val="002843C6"/>
    <w:rsid w:val="002845A8"/>
    <w:rsid w:val="00284D64"/>
    <w:rsid w:val="00284E84"/>
    <w:rsid w:val="00285E03"/>
    <w:rsid w:val="0028619B"/>
    <w:rsid w:val="002864E4"/>
    <w:rsid w:val="002864E6"/>
    <w:rsid w:val="002866D5"/>
    <w:rsid w:val="00286AF5"/>
    <w:rsid w:val="00286CF7"/>
    <w:rsid w:val="00286DBC"/>
    <w:rsid w:val="00286F03"/>
    <w:rsid w:val="00287160"/>
    <w:rsid w:val="00287B92"/>
    <w:rsid w:val="0029050F"/>
    <w:rsid w:val="0029152F"/>
    <w:rsid w:val="00291750"/>
    <w:rsid w:val="002919CE"/>
    <w:rsid w:val="00291A31"/>
    <w:rsid w:val="00291BF6"/>
    <w:rsid w:val="00291D11"/>
    <w:rsid w:val="00292283"/>
    <w:rsid w:val="002923B0"/>
    <w:rsid w:val="002926F0"/>
    <w:rsid w:val="00292C7A"/>
    <w:rsid w:val="00292FBA"/>
    <w:rsid w:val="00293017"/>
    <w:rsid w:val="00293551"/>
    <w:rsid w:val="0029368F"/>
    <w:rsid w:val="00293C64"/>
    <w:rsid w:val="00294009"/>
    <w:rsid w:val="002940FF"/>
    <w:rsid w:val="00294100"/>
    <w:rsid w:val="002945B4"/>
    <w:rsid w:val="00294895"/>
    <w:rsid w:val="00295167"/>
    <w:rsid w:val="00295326"/>
    <w:rsid w:val="00295954"/>
    <w:rsid w:val="00295AF0"/>
    <w:rsid w:val="00296439"/>
    <w:rsid w:val="0029679C"/>
    <w:rsid w:val="00296B0D"/>
    <w:rsid w:val="00296C96"/>
    <w:rsid w:val="0029759F"/>
    <w:rsid w:val="00297AC8"/>
    <w:rsid w:val="00297BD3"/>
    <w:rsid w:val="00297CD3"/>
    <w:rsid w:val="002A07F3"/>
    <w:rsid w:val="002A0BF1"/>
    <w:rsid w:val="002A0D8E"/>
    <w:rsid w:val="002A1546"/>
    <w:rsid w:val="002A1756"/>
    <w:rsid w:val="002A1D0D"/>
    <w:rsid w:val="002A1D97"/>
    <w:rsid w:val="002A23FD"/>
    <w:rsid w:val="002A2665"/>
    <w:rsid w:val="002A293E"/>
    <w:rsid w:val="002A3863"/>
    <w:rsid w:val="002A389E"/>
    <w:rsid w:val="002A38A4"/>
    <w:rsid w:val="002A3C2B"/>
    <w:rsid w:val="002A40A4"/>
    <w:rsid w:val="002A40DD"/>
    <w:rsid w:val="002A465F"/>
    <w:rsid w:val="002A51D2"/>
    <w:rsid w:val="002A53CD"/>
    <w:rsid w:val="002A5B23"/>
    <w:rsid w:val="002A5BCB"/>
    <w:rsid w:val="002A5C75"/>
    <w:rsid w:val="002A5E16"/>
    <w:rsid w:val="002A5EC6"/>
    <w:rsid w:val="002A614A"/>
    <w:rsid w:val="002A62B0"/>
    <w:rsid w:val="002A77CC"/>
    <w:rsid w:val="002A79DA"/>
    <w:rsid w:val="002A7B91"/>
    <w:rsid w:val="002A7E7F"/>
    <w:rsid w:val="002B0113"/>
    <w:rsid w:val="002B03B0"/>
    <w:rsid w:val="002B0626"/>
    <w:rsid w:val="002B0807"/>
    <w:rsid w:val="002B0C60"/>
    <w:rsid w:val="002B11A3"/>
    <w:rsid w:val="002B137D"/>
    <w:rsid w:val="002B16D1"/>
    <w:rsid w:val="002B1D8A"/>
    <w:rsid w:val="002B20BF"/>
    <w:rsid w:val="002B2866"/>
    <w:rsid w:val="002B2D5B"/>
    <w:rsid w:val="002B2E9C"/>
    <w:rsid w:val="002B3051"/>
    <w:rsid w:val="002B37E8"/>
    <w:rsid w:val="002B462B"/>
    <w:rsid w:val="002B51FB"/>
    <w:rsid w:val="002B5A63"/>
    <w:rsid w:val="002B5DF7"/>
    <w:rsid w:val="002B60E0"/>
    <w:rsid w:val="002B63C3"/>
    <w:rsid w:val="002B67DA"/>
    <w:rsid w:val="002B69E8"/>
    <w:rsid w:val="002B6AC6"/>
    <w:rsid w:val="002B78E2"/>
    <w:rsid w:val="002B7C6B"/>
    <w:rsid w:val="002B7D18"/>
    <w:rsid w:val="002B7DC1"/>
    <w:rsid w:val="002C1864"/>
    <w:rsid w:val="002C18C1"/>
    <w:rsid w:val="002C1F37"/>
    <w:rsid w:val="002C298F"/>
    <w:rsid w:val="002C2A74"/>
    <w:rsid w:val="002C35C4"/>
    <w:rsid w:val="002C35FE"/>
    <w:rsid w:val="002C38EE"/>
    <w:rsid w:val="002C3AA9"/>
    <w:rsid w:val="002C3B8E"/>
    <w:rsid w:val="002C43F3"/>
    <w:rsid w:val="002C450D"/>
    <w:rsid w:val="002C4900"/>
    <w:rsid w:val="002C4BDA"/>
    <w:rsid w:val="002C4C50"/>
    <w:rsid w:val="002C4C78"/>
    <w:rsid w:val="002C5616"/>
    <w:rsid w:val="002C5905"/>
    <w:rsid w:val="002C5916"/>
    <w:rsid w:val="002C60D8"/>
    <w:rsid w:val="002C635C"/>
    <w:rsid w:val="002C63B6"/>
    <w:rsid w:val="002C6490"/>
    <w:rsid w:val="002C7436"/>
    <w:rsid w:val="002C7C8F"/>
    <w:rsid w:val="002D0A19"/>
    <w:rsid w:val="002D0BF2"/>
    <w:rsid w:val="002D0E61"/>
    <w:rsid w:val="002D0F40"/>
    <w:rsid w:val="002D1275"/>
    <w:rsid w:val="002D19FB"/>
    <w:rsid w:val="002D1FF9"/>
    <w:rsid w:val="002D2021"/>
    <w:rsid w:val="002D209C"/>
    <w:rsid w:val="002D228E"/>
    <w:rsid w:val="002D24AD"/>
    <w:rsid w:val="002D2F76"/>
    <w:rsid w:val="002D2FD2"/>
    <w:rsid w:val="002D3019"/>
    <w:rsid w:val="002D3642"/>
    <w:rsid w:val="002D387F"/>
    <w:rsid w:val="002D42FE"/>
    <w:rsid w:val="002D5007"/>
    <w:rsid w:val="002D5258"/>
    <w:rsid w:val="002D5533"/>
    <w:rsid w:val="002D554A"/>
    <w:rsid w:val="002D5593"/>
    <w:rsid w:val="002D5F4D"/>
    <w:rsid w:val="002D60CE"/>
    <w:rsid w:val="002D63AE"/>
    <w:rsid w:val="002D6FCA"/>
    <w:rsid w:val="002D711C"/>
    <w:rsid w:val="002D72FF"/>
    <w:rsid w:val="002D7527"/>
    <w:rsid w:val="002D7829"/>
    <w:rsid w:val="002D7B7F"/>
    <w:rsid w:val="002D7F21"/>
    <w:rsid w:val="002E0664"/>
    <w:rsid w:val="002E1E9B"/>
    <w:rsid w:val="002E2183"/>
    <w:rsid w:val="002E28FD"/>
    <w:rsid w:val="002E2F08"/>
    <w:rsid w:val="002E2F45"/>
    <w:rsid w:val="002E2F53"/>
    <w:rsid w:val="002E3388"/>
    <w:rsid w:val="002E372E"/>
    <w:rsid w:val="002E4168"/>
    <w:rsid w:val="002E4211"/>
    <w:rsid w:val="002E4513"/>
    <w:rsid w:val="002E531B"/>
    <w:rsid w:val="002E53BA"/>
    <w:rsid w:val="002E5508"/>
    <w:rsid w:val="002E5561"/>
    <w:rsid w:val="002E5CDA"/>
    <w:rsid w:val="002E5EDD"/>
    <w:rsid w:val="002E6AD2"/>
    <w:rsid w:val="002E6F57"/>
    <w:rsid w:val="002E7260"/>
    <w:rsid w:val="002E7CBD"/>
    <w:rsid w:val="002E7F34"/>
    <w:rsid w:val="002F0892"/>
    <w:rsid w:val="002F0CCD"/>
    <w:rsid w:val="002F16B3"/>
    <w:rsid w:val="002F1708"/>
    <w:rsid w:val="002F1D29"/>
    <w:rsid w:val="002F1FFC"/>
    <w:rsid w:val="002F204F"/>
    <w:rsid w:val="002F2268"/>
    <w:rsid w:val="002F246F"/>
    <w:rsid w:val="002F24B5"/>
    <w:rsid w:val="002F25CF"/>
    <w:rsid w:val="002F2D08"/>
    <w:rsid w:val="002F2D28"/>
    <w:rsid w:val="002F300D"/>
    <w:rsid w:val="002F386B"/>
    <w:rsid w:val="002F4265"/>
    <w:rsid w:val="002F43B8"/>
    <w:rsid w:val="002F48E7"/>
    <w:rsid w:val="002F51C9"/>
    <w:rsid w:val="002F5682"/>
    <w:rsid w:val="002F5735"/>
    <w:rsid w:val="002F575D"/>
    <w:rsid w:val="002F5A7A"/>
    <w:rsid w:val="002F5BB4"/>
    <w:rsid w:val="002F5F27"/>
    <w:rsid w:val="002F5F84"/>
    <w:rsid w:val="002F616D"/>
    <w:rsid w:val="002F6B7C"/>
    <w:rsid w:val="00300019"/>
    <w:rsid w:val="00300038"/>
    <w:rsid w:val="00300137"/>
    <w:rsid w:val="003014F3"/>
    <w:rsid w:val="00301524"/>
    <w:rsid w:val="00301921"/>
    <w:rsid w:val="00301CAE"/>
    <w:rsid w:val="00301DAF"/>
    <w:rsid w:val="00301EEE"/>
    <w:rsid w:val="0030223C"/>
    <w:rsid w:val="00302B95"/>
    <w:rsid w:val="00302CAA"/>
    <w:rsid w:val="00302E92"/>
    <w:rsid w:val="00302F55"/>
    <w:rsid w:val="00303477"/>
    <w:rsid w:val="003037C0"/>
    <w:rsid w:val="00304158"/>
    <w:rsid w:val="0030439F"/>
    <w:rsid w:val="003046F4"/>
    <w:rsid w:val="00304769"/>
    <w:rsid w:val="003049A6"/>
    <w:rsid w:val="00304A10"/>
    <w:rsid w:val="00305745"/>
    <w:rsid w:val="0030595C"/>
    <w:rsid w:val="0030606C"/>
    <w:rsid w:val="00306124"/>
    <w:rsid w:val="003067E4"/>
    <w:rsid w:val="00306AC2"/>
    <w:rsid w:val="00306D5B"/>
    <w:rsid w:val="00306D66"/>
    <w:rsid w:val="00306EE4"/>
    <w:rsid w:val="00306EF2"/>
    <w:rsid w:val="003072CD"/>
    <w:rsid w:val="0030786C"/>
    <w:rsid w:val="0030796F"/>
    <w:rsid w:val="00307A11"/>
    <w:rsid w:val="00307B0B"/>
    <w:rsid w:val="0031002A"/>
    <w:rsid w:val="00310266"/>
    <w:rsid w:val="00310BCE"/>
    <w:rsid w:val="00310DC6"/>
    <w:rsid w:val="00311363"/>
    <w:rsid w:val="00311551"/>
    <w:rsid w:val="0031170E"/>
    <w:rsid w:val="003117A7"/>
    <w:rsid w:val="003126DB"/>
    <w:rsid w:val="00312983"/>
    <w:rsid w:val="0031317F"/>
    <w:rsid w:val="003134A6"/>
    <w:rsid w:val="003136F2"/>
    <w:rsid w:val="00313B65"/>
    <w:rsid w:val="0031427E"/>
    <w:rsid w:val="00314686"/>
    <w:rsid w:val="00314F69"/>
    <w:rsid w:val="00315865"/>
    <w:rsid w:val="00315FA0"/>
    <w:rsid w:val="00316147"/>
    <w:rsid w:val="003162EC"/>
    <w:rsid w:val="003174CF"/>
    <w:rsid w:val="0031799A"/>
    <w:rsid w:val="003200C2"/>
    <w:rsid w:val="0032076A"/>
    <w:rsid w:val="00320C67"/>
    <w:rsid w:val="00320D81"/>
    <w:rsid w:val="00321054"/>
    <w:rsid w:val="0032138F"/>
    <w:rsid w:val="003216B7"/>
    <w:rsid w:val="00321DDD"/>
    <w:rsid w:val="00322482"/>
    <w:rsid w:val="00322723"/>
    <w:rsid w:val="00322B28"/>
    <w:rsid w:val="00322D58"/>
    <w:rsid w:val="0032320C"/>
    <w:rsid w:val="00323267"/>
    <w:rsid w:val="0032367C"/>
    <w:rsid w:val="00323A7C"/>
    <w:rsid w:val="00323AE8"/>
    <w:rsid w:val="00323B09"/>
    <w:rsid w:val="00323BF0"/>
    <w:rsid w:val="00324321"/>
    <w:rsid w:val="00324415"/>
    <w:rsid w:val="00324419"/>
    <w:rsid w:val="003246CB"/>
    <w:rsid w:val="0032471A"/>
    <w:rsid w:val="00324818"/>
    <w:rsid w:val="00324946"/>
    <w:rsid w:val="00324AA4"/>
    <w:rsid w:val="00324AC4"/>
    <w:rsid w:val="003253A9"/>
    <w:rsid w:val="003254A5"/>
    <w:rsid w:val="0032559C"/>
    <w:rsid w:val="003261CE"/>
    <w:rsid w:val="00326BB1"/>
    <w:rsid w:val="0032742C"/>
    <w:rsid w:val="003277F2"/>
    <w:rsid w:val="003306C7"/>
    <w:rsid w:val="00330F89"/>
    <w:rsid w:val="00330FF1"/>
    <w:rsid w:val="0033187C"/>
    <w:rsid w:val="00331A03"/>
    <w:rsid w:val="003322CF"/>
    <w:rsid w:val="0033246B"/>
    <w:rsid w:val="00332A99"/>
    <w:rsid w:val="00332E9E"/>
    <w:rsid w:val="00333B0B"/>
    <w:rsid w:val="0033471B"/>
    <w:rsid w:val="003348EA"/>
    <w:rsid w:val="00334B53"/>
    <w:rsid w:val="00334FFC"/>
    <w:rsid w:val="00335277"/>
    <w:rsid w:val="0033557B"/>
    <w:rsid w:val="0033564D"/>
    <w:rsid w:val="003368E0"/>
    <w:rsid w:val="00336996"/>
    <w:rsid w:val="00336BD9"/>
    <w:rsid w:val="00340B65"/>
    <w:rsid w:val="00340EDD"/>
    <w:rsid w:val="003410A4"/>
    <w:rsid w:val="003411EE"/>
    <w:rsid w:val="00341948"/>
    <w:rsid w:val="00341F45"/>
    <w:rsid w:val="003420BD"/>
    <w:rsid w:val="003426BA"/>
    <w:rsid w:val="00342F35"/>
    <w:rsid w:val="00343047"/>
    <w:rsid w:val="003430AD"/>
    <w:rsid w:val="0034316F"/>
    <w:rsid w:val="003433E5"/>
    <w:rsid w:val="003438F2"/>
    <w:rsid w:val="00343A46"/>
    <w:rsid w:val="00343C8D"/>
    <w:rsid w:val="003444A9"/>
    <w:rsid w:val="003444D2"/>
    <w:rsid w:val="00344794"/>
    <w:rsid w:val="00344975"/>
    <w:rsid w:val="003449DC"/>
    <w:rsid w:val="00344A70"/>
    <w:rsid w:val="0034514D"/>
    <w:rsid w:val="00345693"/>
    <w:rsid w:val="00345CC3"/>
    <w:rsid w:val="003460CA"/>
    <w:rsid w:val="003465EE"/>
    <w:rsid w:val="003465F1"/>
    <w:rsid w:val="0034674B"/>
    <w:rsid w:val="00346F24"/>
    <w:rsid w:val="00346FA4"/>
    <w:rsid w:val="00346FDE"/>
    <w:rsid w:val="00347819"/>
    <w:rsid w:val="00347D50"/>
    <w:rsid w:val="00347F89"/>
    <w:rsid w:val="003503B8"/>
    <w:rsid w:val="00350453"/>
    <w:rsid w:val="00350813"/>
    <w:rsid w:val="00350D59"/>
    <w:rsid w:val="00350E91"/>
    <w:rsid w:val="00350F7E"/>
    <w:rsid w:val="0035187A"/>
    <w:rsid w:val="0035188B"/>
    <w:rsid w:val="00351AC7"/>
    <w:rsid w:val="003529BE"/>
    <w:rsid w:val="00353123"/>
    <w:rsid w:val="00353206"/>
    <w:rsid w:val="00353251"/>
    <w:rsid w:val="00353E6B"/>
    <w:rsid w:val="003540F6"/>
    <w:rsid w:val="003545C9"/>
    <w:rsid w:val="00354755"/>
    <w:rsid w:val="003549AB"/>
    <w:rsid w:val="00354AC7"/>
    <w:rsid w:val="00355532"/>
    <w:rsid w:val="0035590F"/>
    <w:rsid w:val="00355E4D"/>
    <w:rsid w:val="0035618F"/>
    <w:rsid w:val="00356259"/>
    <w:rsid w:val="003562BD"/>
    <w:rsid w:val="003564D2"/>
    <w:rsid w:val="00357165"/>
    <w:rsid w:val="00357BD3"/>
    <w:rsid w:val="00357E8E"/>
    <w:rsid w:val="00360397"/>
    <w:rsid w:val="0036052D"/>
    <w:rsid w:val="003607B2"/>
    <w:rsid w:val="00360B7A"/>
    <w:rsid w:val="00361681"/>
    <w:rsid w:val="00361E11"/>
    <w:rsid w:val="00362689"/>
    <w:rsid w:val="003627A4"/>
    <w:rsid w:val="00362A55"/>
    <w:rsid w:val="00362B49"/>
    <w:rsid w:val="00362D8A"/>
    <w:rsid w:val="00362F9B"/>
    <w:rsid w:val="00364402"/>
    <w:rsid w:val="00364BB7"/>
    <w:rsid w:val="00364C6D"/>
    <w:rsid w:val="00365131"/>
    <w:rsid w:val="003657B3"/>
    <w:rsid w:val="00365F30"/>
    <w:rsid w:val="00366381"/>
    <w:rsid w:val="00366D0C"/>
    <w:rsid w:val="003671F8"/>
    <w:rsid w:val="003673A7"/>
    <w:rsid w:val="003674D2"/>
    <w:rsid w:val="0037049D"/>
    <w:rsid w:val="003706AF"/>
    <w:rsid w:val="00370A31"/>
    <w:rsid w:val="00370A4D"/>
    <w:rsid w:val="00370DEF"/>
    <w:rsid w:val="003711BA"/>
    <w:rsid w:val="00371573"/>
    <w:rsid w:val="0037183B"/>
    <w:rsid w:val="003718DA"/>
    <w:rsid w:val="00371B0A"/>
    <w:rsid w:val="003720D6"/>
    <w:rsid w:val="00372460"/>
    <w:rsid w:val="00372A48"/>
    <w:rsid w:val="00372BF0"/>
    <w:rsid w:val="00372CDD"/>
    <w:rsid w:val="00372E34"/>
    <w:rsid w:val="003730EA"/>
    <w:rsid w:val="00374005"/>
    <w:rsid w:val="003741C6"/>
    <w:rsid w:val="003742B0"/>
    <w:rsid w:val="003744D6"/>
    <w:rsid w:val="0037459C"/>
    <w:rsid w:val="00374D9F"/>
    <w:rsid w:val="00375ECA"/>
    <w:rsid w:val="0037710C"/>
    <w:rsid w:val="00377186"/>
    <w:rsid w:val="00377766"/>
    <w:rsid w:val="00377D56"/>
    <w:rsid w:val="00380443"/>
    <w:rsid w:val="00380966"/>
    <w:rsid w:val="00381562"/>
    <w:rsid w:val="00381765"/>
    <w:rsid w:val="00382C29"/>
    <w:rsid w:val="00382C96"/>
    <w:rsid w:val="00382CC5"/>
    <w:rsid w:val="00383054"/>
    <w:rsid w:val="00383602"/>
    <w:rsid w:val="003837AF"/>
    <w:rsid w:val="00383B32"/>
    <w:rsid w:val="00384010"/>
    <w:rsid w:val="003847D3"/>
    <w:rsid w:val="0038491B"/>
    <w:rsid w:val="00384A6E"/>
    <w:rsid w:val="00384C23"/>
    <w:rsid w:val="0038562C"/>
    <w:rsid w:val="00386D66"/>
    <w:rsid w:val="00386DFB"/>
    <w:rsid w:val="00387011"/>
    <w:rsid w:val="00387321"/>
    <w:rsid w:val="00387C13"/>
    <w:rsid w:val="00387C3A"/>
    <w:rsid w:val="0039008B"/>
    <w:rsid w:val="003905C3"/>
    <w:rsid w:val="00390750"/>
    <w:rsid w:val="00390BD4"/>
    <w:rsid w:val="00390E88"/>
    <w:rsid w:val="00390F34"/>
    <w:rsid w:val="003916C0"/>
    <w:rsid w:val="003919DB"/>
    <w:rsid w:val="00391B78"/>
    <w:rsid w:val="00391B9B"/>
    <w:rsid w:val="003922A8"/>
    <w:rsid w:val="00392464"/>
    <w:rsid w:val="003926F9"/>
    <w:rsid w:val="00392771"/>
    <w:rsid w:val="00392A02"/>
    <w:rsid w:val="0039379F"/>
    <w:rsid w:val="00393A1C"/>
    <w:rsid w:val="00393C88"/>
    <w:rsid w:val="0039459C"/>
    <w:rsid w:val="003948C2"/>
    <w:rsid w:val="00394EAE"/>
    <w:rsid w:val="00394FAD"/>
    <w:rsid w:val="0039568A"/>
    <w:rsid w:val="00395A22"/>
    <w:rsid w:val="00395CB6"/>
    <w:rsid w:val="00396B69"/>
    <w:rsid w:val="00396E59"/>
    <w:rsid w:val="003970A7"/>
    <w:rsid w:val="0039713E"/>
    <w:rsid w:val="003974FA"/>
    <w:rsid w:val="00397939"/>
    <w:rsid w:val="003A0046"/>
    <w:rsid w:val="003A017B"/>
    <w:rsid w:val="003A0720"/>
    <w:rsid w:val="003A13E8"/>
    <w:rsid w:val="003A15BD"/>
    <w:rsid w:val="003A1F3C"/>
    <w:rsid w:val="003A2586"/>
    <w:rsid w:val="003A302F"/>
    <w:rsid w:val="003A333F"/>
    <w:rsid w:val="003A33B2"/>
    <w:rsid w:val="003A34B4"/>
    <w:rsid w:val="003A418B"/>
    <w:rsid w:val="003A438C"/>
    <w:rsid w:val="003A472E"/>
    <w:rsid w:val="003A48EB"/>
    <w:rsid w:val="003A4B44"/>
    <w:rsid w:val="003A4C61"/>
    <w:rsid w:val="003A4EFB"/>
    <w:rsid w:val="003A517A"/>
    <w:rsid w:val="003A5491"/>
    <w:rsid w:val="003A5665"/>
    <w:rsid w:val="003A5728"/>
    <w:rsid w:val="003A5BA3"/>
    <w:rsid w:val="003A5EE1"/>
    <w:rsid w:val="003A62BF"/>
    <w:rsid w:val="003A65A3"/>
    <w:rsid w:val="003A67EA"/>
    <w:rsid w:val="003A6A36"/>
    <w:rsid w:val="003A6B16"/>
    <w:rsid w:val="003A6E7F"/>
    <w:rsid w:val="003B00FD"/>
    <w:rsid w:val="003B017E"/>
    <w:rsid w:val="003B04C3"/>
    <w:rsid w:val="003B0AAD"/>
    <w:rsid w:val="003B0B47"/>
    <w:rsid w:val="003B23E5"/>
    <w:rsid w:val="003B2657"/>
    <w:rsid w:val="003B2972"/>
    <w:rsid w:val="003B2C42"/>
    <w:rsid w:val="003B2DD5"/>
    <w:rsid w:val="003B2E5C"/>
    <w:rsid w:val="003B367B"/>
    <w:rsid w:val="003B37EC"/>
    <w:rsid w:val="003B3870"/>
    <w:rsid w:val="003B3982"/>
    <w:rsid w:val="003B3C7F"/>
    <w:rsid w:val="003B3EB1"/>
    <w:rsid w:val="003B4017"/>
    <w:rsid w:val="003B44E3"/>
    <w:rsid w:val="003B4725"/>
    <w:rsid w:val="003B54BC"/>
    <w:rsid w:val="003B5627"/>
    <w:rsid w:val="003B56B0"/>
    <w:rsid w:val="003B58A3"/>
    <w:rsid w:val="003B599C"/>
    <w:rsid w:val="003B59C4"/>
    <w:rsid w:val="003B5AC1"/>
    <w:rsid w:val="003B6012"/>
    <w:rsid w:val="003B60A7"/>
    <w:rsid w:val="003B721E"/>
    <w:rsid w:val="003B797C"/>
    <w:rsid w:val="003C0856"/>
    <w:rsid w:val="003C0974"/>
    <w:rsid w:val="003C0D9D"/>
    <w:rsid w:val="003C1267"/>
    <w:rsid w:val="003C12DE"/>
    <w:rsid w:val="003C1641"/>
    <w:rsid w:val="003C1DD5"/>
    <w:rsid w:val="003C1F92"/>
    <w:rsid w:val="003C2075"/>
    <w:rsid w:val="003C20C0"/>
    <w:rsid w:val="003C25D5"/>
    <w:rsid w:val="003C27AD"/>
    <w:rsid w:val="003C2F8E"/>
    <w:rsid w:val="003C36FF"/>
    <w:rsid w:val="003C3E2A"/>
    <w:rsid w:val="003C502B"/>
    <w:rsid w:val="003C51B9"/>
    <w:rsid w:val="003C57CF"/>
    <w:rsid w:val="003C6180"/>
    <w:rsid w:val="003C729B"/>
    <w:rsid w:val="003C736D"/>
    <w:rsid w:val="003C77FD"/>
    <w:rsid w:val="003D0AA3"/>
    <w:rsid w:val="003D0BA7"/>
    <w:rsid w:val="003D0CFF"/>
    <w:rsid w:val="003D0D1C"/>
    <w:rsid w:val="003D1297"/>
    <w:rsid w:val="003D1BBE"/>
    <w:rsid w:val="003D1D7A"/>
    <w:rsid w:val="003D2F8F"/>
    <w:rsid w:val="003D3218"/>
    <w:rsid w:val="003D36D2"/>
    <w:rsid w:val="003D379E"/>
    <w:rsid w:val="003D38E8"/>
    <w:rsid w:val="003D3E15"/>
    <w:rsid w:val="003D52D9"/>
    <w:rsid w:val="003D5CCE"/>
    <w:rsid w:val="003D5E45"/>
    <w:rsid w:val="003D5F62"/>
    <w:rsid w:val="003D5FCA"/>
    <w:rsid w:val="003D64D2"/>
    <w:rsid w:val="003D72F9"/>
    <w:rsid w:val="003D7FEB"/>
    <w:rsid w:val="003E023B"/>
    <w:rsid w:val="003E02DF"/>
    <w:rsid w:val="003E066B"/>
    <w:rsid w:val="003E0695"/>
    <w:rsid w:val="003E08D0"/>
    <w:rsid w:val="003E1403"/>
    <w:rsid w:val="003E1853"/>
    <w:rsid w:val="003E1912"/>
    <w:rsid w:val="003E1B9F"/>
    <w:rsid w:val="003E29FC"/>
    <w:rsid w:val="003E3250"/>
    <w:rsid w:val="003E36C5"/>
    <w:rsid w:val="003E39C7"/>
    <w:rsid w:val="003E3BEF"/>
    <w:rsid w:val="003E4203"/>
    <w:rsid w:val="003E4212"/>
    <w:rsid w:val="003E4622"/>
    <w:rsid w:val="003E48F9"/>
    <w:rsid w:val="003E4EDB"/>
    <w:rsid w:val="003E53D7"/>
    <w:rsid w:val="003E58E5"/>
    <w:rsid w:val="003E5BCB"/>
    <w:rsid w:val="003E5E7A"/>
    <w:rsid w:val="003E5EBF"/>
    <w:rsid w:val="003E607E"/>
    <w:rsid w:val="003E610E"/>
    <w:rsid w:val="003E6280"/>
    <w:rsid w:val="003E63E6"/>
    <w:rsid w:val="003E67A9"/>
    <w:rsid w:val="003E6B4C"/>
    <w:rsid w:val="003E7041"/>
    <w:rsid w:val="003E7AB4"/>
    <w:rsid w:val="003E7ADD"/>
    <w:rsid w:val="003E7FC1"/>
    <w:rsid w:val="003F03D0"/>
    <w:rsid w:val="003F06B0"/>
    <w:rsid w:val="003F09FF"/>
    <w:rsid w:val="003F1991"/>
    <w:rsid w:val="003F19D4"/>
    <w:rsid w:val="003F2A8D"/>
    <w:rsid w:val="003F2EFD"/>
    <w:rsid w:val="003F35FA"/>
    <w:rsid w:val="003F3839"/>
    <w:rsid w:val="003F43E7"/>
    <w:rsid w:val="003F485A"/>
    <w:rsid w:val="003F4896"/>
    <w:rsid w:val="003F4CF2"/>
    <w:rsid w:val="003F4D41"/>
    <w:rsid w:val="003F4E26"/>
    <w:rsid w:val="003F6163"/>
    <w:rsid w:val="003F63EE"/>
    <w:rsid w:val="003F6642"/>
    <w:rsid w:val="003F6E5E"/>
    <w:rsid w:val="003F7460"/>
    <w:rsid w:val="003F74CB"/>
    <w:rsid w:val="003F777B"/>
    <w:rsid w:val="003F7882"/>
    <w:rsid w:val="003F79D3"/>
    <w:rsid w:val="003F7A83"/>
    <w:rsid w:val="004006F7"/>
    <w:rsid w:val="00400702"/>
    <w:rsid w:val="00400D52"/>
    <w:rsid w:val="00400F95"/>
    <w:rsid w:val="0040164D"/>
    <w:rsid w:val="00401BD7"/>
    <w:rsid w:val="00401D0C"/>
    <w:rsid w:val="00401E59"/>
    <w:rsid w:val="0040224F"/>
    <w:rsid w:val="00402AE6"/>
    <w:rsid w:val="00402AEF"/>
    <w:rsid w:val="00402D30"/>
    <w:rsid w:val="00402FF2"/>
    <w:rsid w:val="00403462"/>
    <w:rsid w:val="004035DF"/>
    <w:rsid w:val="00403E1A"/>
    <w:rsid w:val="00404475"/>
    <w:rsid w:val="00404DC2"/>
    <w:rsid w:val="004051ED"/>
    <w:rsid w:val="0040623E"/>
    <w:rsid w:val="0040630C"/>
    <w:rsid w:val="0040643B"/>
    <w:rsid w:val="004065C9"/>
    <w:rsid w:val="00406705"/>
    <w:rsid w:val="004068EE"/>
    <w:rsid w:val="00406ED1"/>
    <w:rsid w:val="004072A8"/>
    <w:rsid w:val="004074E1"/>
    <w:rsid w:val="0040769F"/>
    <w:rsid w:val="00407834"/>
    <w:rsid w:val="00411407"/>
    <w:rsid w:val="004115AD"/>
    <w:rsid w:val="00411892"/>
    <w:rsid w:val="00412122"/>
    <w:rsid w:val="00412607"/>
    <w:rsid w:val="0041280E"/>
    <w:rsid w:val="00413087"/>
    <w:rsid w:val="00413103"/>
    <w:rsid w:val="00413390"/>
    <w:rsid w:val="00413598"/>
    <w:rsid w:val="00413E8A"/>
    <w:rsid w:val="00414501"/>
    <w:rsid w:val="00414683"/>
    <w:rsid w:val="00414954"/>
    <w:rsid w:val="00414E34"/>
    <w:rsid w:val="00414F5E"/>
    <w:rsid w:val="0041557F"/>
    <w:rsid w:val="004164A8"/>
    <w:rsid w:val="00416622"/>
    <w:rsid w:val="00416861"/>
    <w:rsid w:val="004173D8"/>
    <w:rsid w:val="004175CA"/>
    <w:rsid w:val="00417C34"/>
    <w:rsid w:val="00417EBA"/>
    <w:rsid w:val="0042014E"/>
    <w:rsid w:val="0042033B"/>
    <w:rsid w:val="00420391"/>
    <w:rsid w:val="00420470"/>
    <w:rsid w:val="0042071B"/>
    <w:rsid w:val="00420A01"/>
    <w:rsid w:val="00421B81"/>
    <w:rsid w:val="0042272D"/>
    <w:rsid w:val="00422829"/>
    <w:rsid w:val="00422DDA"/>
    <w:rsid w:val="00422E04"/>
    <w:rsid w:val="00422EE6"/>
    <w:rsid w:val="0042335C"/>
    <w:rsid w:val="004235EA"/>
    <w:rsid w:val="00423928"/>
    <w:rsid w:val="00423C4D"/>
    <w:rsid w:val="004248BD"/>
    <w:rsid w:val="00424DB2"/>
    <w:rsid w:val="00424DD9"/>
    <w:rsid w:val="004250DB"/>
    <w:rsid w:val="004255E8"/>
    <w:rsid w:val="004257BF"/>
    <w:rsid w:val="00425943"/>
    <w:rsid w:val="00425E7A"/>
    <w:rsid w:val="00426028"/>
    <w:rsid w:val="0042614A"/>
    <w:rsid w:val="0042673F"/>
    <w:rsid w:val="0042696C"/>
    <w:rsid w:val="0042753C"/>
    <w:rsid w:val="00427779"/>
    <w:rsid w:val="00427AA4"/>
    <w:rsid w:val="00427DB6"/>
    <w:rsid w:val="00427DD8"/>
    <w:rsid w:val="004303C4"/>
    <w:rsid w:val="004305B9"/>
    <w:rsid w:val="004307C5"/>
    <w:rsid w:val="00430D5B"/>
    <w:rsid w:val="00430EC1"/>
    <w:rsid w:val="0043134E"/>
    <w:rsid w:val="00431B4B"/>
    <w:rsid w:val="00431CB0"/>
    <w:rsid w:val="00432023"/>
    <w:rsid w:val="004325E4"/>
    <w:rsid w:val="00432EEE"/>
    <w:rsid w:val="00432FEE"/>
    <w:rsid w:val="0043303C"/>
    <w:rsid w:val="0043328D"/>
    <w:rsid w:val="0043359F"/>
    <w:rsid w:val="00433EEA"/>
    <w:rsid w:val="00434D9D"/>
    <w:rsid w:val="00435432"/>
    <w:rsid w:val="00435810"/>
    <w:rsid w:val="00435A5F"/>
    <w:rsid w:val="00435B4A"/>
    <w:rsid w:val="00436331"/>
    <w:rsid w:val="0043636D"/>
    <w:rsid w:val="00436A36"/>
    <w:rsid w:val="00436C63"/>
    <w:rsid w:val="00436E0C"/>
    <w:rsid w:val="00437062"/>
    <w:rsid w:val="00437620"/>
    <w:rsid w:val="004378E1"/>
    <w:rsid w:val="00440311"/>
    <w:rsid w:val="0044057B"/>
    <w:rsid w:val="004406A0"/>
    <w:rsid w:val="00440C07"/>
    <w:rsid w:val="00440C25"/>
    <w:rsid w:val="00441C7E"/>
    <w:rsid w:val="00441F0C"/>
    <w:rsid w:val="00441FC2"/>
    <w:rsid w:val="0044224F"/>
    <w:rsid w:val="004427F9"/>
    <w:rsid w:val="0044292D"/>
    <w:rsid w:val="00442C24"/>
    <w:rsid w:val="0044350E"/>
    <w:rsid w:val="00443623"/>
    <w:rsid w:val="00443D14"/>
    <w:rsid w:val="00443FBB"/>
    <w:rsid w:val="00444173"/>
    <w:rsid w:val="0044463A"/>
    <w:rsid w:val="00444D53"/>
    <w:rsid w:val="00445329"/>
    <w:rsid w:val="00445428"/>
    <w:rsid w:val="00445CC7"/>
    <w:rsid w:val="00446479"/>
    <w:rsid w:val="004465C8"/>
    <w:rsid w:val="00446CE4"/>
    <w:rsid w:val="00446DE9"/>
    <w:rsid w:val="00447324"/>
    <w:rsid w:val="004477BE"/>
    <w:rsid w:val="00447F5E"/>
    <w:rsid w:val="00450A5B"/>
    <w:rsid w:val="00450F8C"/>
    <w:rsid w:val="00450FDF"/>
    <w:rsid w:val="00451065"/>
    <w:rsid w:val="00451934"/>
    <w:rsid w:val="00451CA2"/>
    <w:rsid w:val="004520E6"/>
    <w:rsid w:val="0045229D"/>
    <w:rsid w:val="0045321E"/>
    <w:rsid w:val="004537F1"/>
    <w:rsid w:val="004545C7"/>
    <w:rsid w:val="00454CAC"/>
    <w:rsid w:val="00454FE1"/>
    <w:rsid w:val="004563CC"/>
    <w:rsid w:val="00456EEC"/>
    <w:rsid w:val="00457097"/>
    <w:rsid w:val="00457661"/>
    <w:rsid w:val="00457693"/>
    <w:rsid w:val="00457A12"/>
    <w:rsid w:val="00457BB9"/>
    <w:rsid w:val="00460A32"/>
    <w:rsid w:val="00461005"/>
    <w:rsid w:val="004614E2"/>
    <w:rsid w:val="00461FB6"/>
    <w:rsid w:val="00462529"/>
    <w:rsid w:val="00462C39"/>
    <w:rsid w:val="00462C69"/>
    <w:rsid w:val="00462CB1"/>
    <w:rsid w:val="004632F8"/>
    <w:rsid w:val="00463683"/>
    <w:rsid w:val="004639D0"/>
    <w:rsid w:val="00463B1C"/>
    <w:rsid w:val="00463C23"/>
    <w:rsid w:val="00463CE2"/>
    <w:rsid w:val="004642D5"/>
    <w:rsid w:val="004644F9"/>
    <w:rsid w:val="0046512B"/>
    <w:rsid w:val="00465C55"/>
    <w:rsid w:val="00465DC0"/>
    <w:rsid w:val="00465E4D"/>
    <w:rsid w:val="00466583"/>
    <w:rsid w:val="00466953"/>
    <w:rsid w:val="00466D04"/>
    <w:rsid w:val="00467020"/>
    <w:rsid w:val="00467035"/>
    <w:rsid w:val="0046737D"/>
    <w:rsid w:val="00467393"/>
    <w:rsid w:val="004679CF"/>
    <w:rsid w:val="00467C8A"/>
    <w:rsid w:val="00467DF3"/>
    <w:rsid w:val="00467E62"/>
    <w:rsid w:val="00470B37"/>
    <w:rsid w:val="00470CDE"/>
    <w:rsid w:val="00470E50"/>
    <w:rsid w:val="00471A62"/>
    <w:rsid w:val="004720F0"/>
    <w:rsid w:val="00472534"/>
    <w:rsid w:val="0047256D"/>
    <w:rsid w:val="00472743"/>
    <w:rsid w:val="0047299F"/>
    <w:rsid w:val="00472BEA"/>
    <w:rsid w:val="00472C91"/>
    <w:rsid w:val="00472DB8"/>
    <w:rsid w:val="00472FE5"/>
    <w:rsid w:val="004739B5"/>
    <w:rsid w:val="00474686"/>
    <w:rsid w:val="004749C7"/>
    <w:rsid w:val="004749E9"/>
    <w:rsid w:val="00474BB2"/>
    <w:rsid w:val="00474DAD"/>
    <w:rsid w:val="00474FA1"/>
    <w:rsid w:val="00475393"/>
    <w:rsid w:val="00475785"/>
    <w:rsid w:val="004760DB"/>
    <w:rsid w:val="0047654A"/>
    <w:rsid w:val="00476C07"/>
    <w:rsid w:val="00477345"/>
    <w:rsid w:val="00477627"/>
    <w:rsid w:val="004778A6"/>
    <w:rsid w:val="00477B34"/>
    <w:rsid w:val="0048015E"/>
    <w:rsid w:val="004807DA"/>
    <w:rsid w:val="0048125A"/>
    <w:rsid w:val="0048144C"/>
    <w:rsid w:val="00481998"/>
    <w:rsid w:val="00481C28"/>
    <w:rsid w:val="00481FDB"/>
    <w:rsid w:val="0048211F"/>
    <w:rsid w:val="00482932"/>
    <w:rsid w:val="004829AF"/>
    <w:rsid w:val="0048322F"/>
    <w:rsid w:val="0048386A"/>
    <w:rsid w:val="00483CC7"/>
    <w:rsid w:val="00484218"/>
    <w:rsid w:val="00484FBE"/>
    <w:rsid w:val="004856CE"/>
    <w:rsid w:val="004859A5"/>
    <w:rsid w:val="004859DF"/>
    <w:rsid w:val="00485D21"/>
    <w:rsid w:val="004862D3"/>
    <w:rsid w:val="004865B8"/>
    <w:rsid w:val="004867E2"/>
    <w:rsid w:val="00486A7D"/>
    <w:rsid w:val="00486D12"/>
    <w:rsid w:val="00486DF8"/>
    <w:rsid w:val="00486E18"/>
    <w:rsid w:val="0048724A"/>
    <w:rsid w:val="00487463"/>
    <w:rsid w:val="00487D39"/>
    <w:rsid w:val="004901A6"/>
    <w:rsid w:val="00490272"/>
    <w:rsid w:val="0049158C"/>
    <w:rsid w:val="00491870"/>
    <w:rsid w:val="00491F70"/>
    <w:rsid w:val="00491FA2"/>
    <w:rsid w:val="004920E9"/>
    <w:rsid w:val="0049247B"/>
    <w:rsid w:val="004924C5"/>
    <w:rsid w:val="004926DE"/>
    <w:rsid w:val="0049279F"/>
    <w:rsid w:val="00492A51"/>
    <w:rsid w:val="00493F88"/>
    <w:rsid w:val="00494B98"/>
    <w:rsid w:val="00494EDB"/>
    <w:rsid w:val="004950C9"/>
    <w:rsid w:val="00495A70"/>
    <w:rsid w:val="00495D4B"/>
    <w:rsid w:val="004963B8"/>
    <w:rsid w:val="00496B56"/>
    <w:rsid w:val="00496CB1"/>
    <w:rsid w:val="00496CD3"/>
    <w:rsid w:val="00497199"/>
    <w:rsid w:val="00497603"/>
    <w:rsid w:val="004A041B"/>
    <w:rsid w:val="004A0ADC"/>
    <w:rsid w:val="004A0BAF"/>
    <w:rsid w:val="004A0EE2"/>
    <w:rsid w:val="004A133B"/>
    <w:rsid w:val="004A13F4"/>
    <w:rsid w:val="004A1B8A"/>
    <w:rsid w:val="004A1D0D"/>
    <w:rsid w:val="004A20CD"/>
    <w:rsid w:val="004A253B"/>
    <w:rsid w:val="004A29C3"/>
    <w:rsid w:val="004A2F14"/>
    <w:rsid w:val="004A352E"/>
    <w:rsid w:val="004A3674"/>
    <w:rsid w:val="004A40A5"/>
    <w:rsid w:val="004A40EC"/>
    <w:rsid w:val="004A43F3"/>
    <w:rsid w:val="004A47F0"/>
    <w:rsid w:val="004A4E59"/>
    <w:rsid w:val="004A516D"/>
    <w:rsid w:val="004A51BA"/>
    <w:rsid w:val="004A5ECD"/>
    <w:rsid w:val="004A6170"/>
    <w:rsid w:val="004A6314"/>
    <w:rsid w:val="004A6CB1"/>
    <w:rsid w:val="004A6E95"/>
    <w:rsid w:val="004A7962"/>
    <w:rsid w:val="004A7D54"/>
    <w:rsid w:val="004A7DF5"/>
    <w:rsid w:val="004B0058"/>
    <w:rsid w:val="004B0172"/>
    <w:rsid w:val="004B06A4"/>
    <w:rsid w:val="004B0777"/>
    <w:rsid w:val="004B0928"/>
    <w:rsid w:val="004B0FDB"/>
    <w:rsid w:val="004B1A4F"/>
    <w:rsid w:val="004B1AE0"/>
    <w:rsid w:val="004B1DFA"/>
    <w:rsid w:val="004B1F00"/>
    <w:rsid w:val="004B21ED"/>
    <w:rsid w:val="004B2437"/>
    <w:rsid w:val="004B2987"/>
    <w:rsid w:val="004B2F46"/>
    <w:rsid w:val="004B361C"/>
    <w:rsid w:val="004B368A"/>
    <w:rsid w:val="004B395A"/>
    <w:rsid w:val="004B3B13"/>
    <w:rsid w:val="004B418C"/>
    <w:rsid w:val="004B4440"/>
    <w:rsid w:val="004B473B"/>
    <w:rsid w:val="004B4A63"/>
    <w:rsid w:val="004B4C4F"/>
    <w:rsid w:val="004B4D10"/>
    <w:rsid w:val="004B534A"/>
    <w:rsid w:val="004B5F49"/>
    <w:rsid w:val="004B62BF"/>
    <w:rsid w:val="004B6382"/>
    <w:rsid w:val="004B67A9"/>
    <w:rsid w:val="004B68F6"/>
    <w:rsid w:val="004B6A37"/>
    <w:rsid w:val="004B6C1F"/>
    <w:rsid w:val="004B6F11"/>
    <w:rsid w:val="004B7184"/>
    <w:rsid w:val="004B7242"/>
    <w:rsid w:val="004C0614"/>
    <w:rsid w:val="004C0A26"/>
    <w:rsid w:val="004C0CD0"/>
    <w:rsid w:val="004C0F5C"/>
    <w:rsid w:val="004C1262"/>
    <w:rsid w:val="004C12D3"/>
    <w:rsid w:val="004C13B1"/>
    <w:rsid w:val="004C262F"/>
    <w:rsid w:val="004C2904"/>
    <w:rsid w:val="004C2B3C"/>
    <w:rsid w:val="004C2E09"/>
    <w:rsid w:val="004C2E6A"/>
    <w:rsid w:val="004C336C"/>
    <w:rsid w:val="004C3398"/>
    <w:rsid w:val="004C397E"/>
    <w:rsid w:val="004C41EC"/>
    <w:rsid w:val="004C4951"/>
    <w:rsid w:val="004C4CAD"/>
    <w:rsid w:val="004C5215"/>
    <w:rsid w:val="004C5575"/>
    <w:rsid w:val="004C5E9C"/>
    <w:rsid w:val="004C66D6"/>
    <w:rsid w:val="004C6985"/>
    <w:rsid w:val="004C6A1D"/>
    <w:rsid w:val="004C6EFE"/>
    <w:rsid w:val="004C724D"/>
    <w:rsid w:val="004C7A3B"/>
    <w:rsid w:val="004C7A54"/>
    <w:rsid w:val="004D0A22"/>
    <w:rsid w:val="004D0EB7"/>
    <w:rsid w:val="004D0EC0"/>
    <w:rsid w:val="004D136B"/>
    <w:rsid w:val="004D1462"/>
    <w:rsid w:val="004D1E8B"/>
    <w:rsid w:val="004D2602"/>
    <w:rsid w:val="004D2685"/>
    <w:rsid w:val="004D2A26"/>
    <w:rsid w:val="004D2C42"/>
    <w:rsid w:val="004D353E"/>
    <w:rsid w:val="004D3A9A"/>
    <w:rsid w:val="004D3F95"/>
    <w:rsid w:val="004D40DB"/>
    <w:rsid w:val="004D4525"/>
    <w:rsid w:val="004D456E"/>
    <w:rsid w:val="004D459E"/>
    <w:rsid w:val="004D482B"/>
    <w:rsid w:val="004D5156"/>
    <w:rsid w:val="004D51E2"/>
    <w:rsid w:val="004D536A"/>
    <w:rsid w:val="004D57AE"/>
    <w:rsid w:val="004D584F"/>
    <w:rsid w:val="004D5998"/>
    <w:rsid w:val="004D5E0D"/>
    <w:rsid w:val="004D6453"/>
    <w:rsid w:val="004D67AF"/>
    <w:rsid w:val="004D69BB"/>
    <w:rsid w:val="004D6E69"/>
    <w:rsid w:val="004D6FB9"/>
    <w:rsid w:val="004D7280"/>
    <w:rsid w:val="004D781D"/>
    <w:rsid w:val="004D7F26"/>
    <w:rsid w:val="004E004E"/>
    <w:rsid w:val="004E02C7"/>
    <w:rsid w:val="004E0B20"/>
    <w:rsid w:val="004E0EE0"/>
    <w:rsid w:val="004E1246"/>
    <w:rsid w:val="004E135C"/>
    <w:rsid w:val="004E14A4"/>
    <w:rsid w:val="004E1F3F"/>
    <w:rsid w:val="004E21F8"/>
    <w:rsid w:val="004E22D8"/>
    <w:rsid w:val="004E289A"/>
    <w:rsid w:val="004E2983"/>
    <w:rsid w:val="004E2CB9"/>
    <w:rsid w:val="004E2E88"/>
    <w:rsid w:val="004E39E9"/>
    <w:rsid w:val="004E4447"/>
    <w:rsid w:val="004E4471"/>
    <w:rsid w:val="004E49B9"/>
    <w:rsid w:val="004E49EA"/>
    <w:rsid w:val="004E4DD8"/>
    <w:rsid w:val="004E4F31"/>
    <w:rsid w:val="004E52B9"/>
    <w:rsid w:val="004E545A"/>
    <w:rsid w:val="004E56AE"/>
    <w:rsid w:val="004E5C08"/>
    <w:rsid w:val="004E63EC"/>
    <w:rsid w:val="004E68F0"/>
    <w:rsid w:val="004E6C1A"/>
    <w:rsid w:val="004E6D1A"/>
    <w:rsid w:val="004E705F"/>
    <w:rsid w:val="004E72CB"/>
    <w:rsid w:val="004E72CC"/>
    <w:rsid w:val="004E734A"/>
    <w:rsid w:val="004E7389"/>
    <w:rsid w:val="004E7548"/>
    <w:rsid w:val="004E7F79"/>
    <w:rsid w:val="004F0267"/>
    <w:rsid w:val="004F036F"/>
    <w:rsid w:val="004F0B32"/>
    <w:rsid w:val="004F0B3F"/>
    <w:rsid w:val="004F0CC7"/>
    <w:rsid w:val="004F0DD0"/>
    <w:rsid w:val="004F13A8"/>
    <w:rsid w:val="004F14C1"/>
    <w:rsid w:val="004F2277"/>
    <w:rsid w:val="004F2EE6"/>
    <w:rsid w:val="004F3334"/>
    <w:rsid w:val="004F336B"/>
    <w:rsid w:val="004F3412"/>
    <w:rsid w:val="004F350F"/>
    <w:rsid w:val="004F3775"/>
    <w:rsid w:val="004F39F5"/>
    <w:rsid w:val="004F4122"/>
    <w:rsid w:val="004F4167"/>
    <w:rsid w:val="004F48B5"/>
    <w:rsid w:val="004F4980"/>
    <w:rsid w:val="004F4E0D"/>
    <w:rsid w:val="004F4E73"/>
    <w:rsid w:val="004F56EF"/>
    <w:rsid w:val="004F63B7"/>
    <w:rsid w:val="004F66AE"/>
    <w:rsid w:val="004F67C8"/>
    <w:rsid w:val="004F6D63"/>
    <w:rsid w:val="004F7AD8"/>
    <w:rsid w:val="004F7D11"/>
    <w:rsid w:val="005017FA"/>
    <w:rsid w:val="00501A51"/>
    <w:rsid w:val="00502741"/>
    <w:rsid w:val="005027EF"/>
    <w:rsid w:val="00502A2A"/>
    <w:rsid w:val="00502A38"/>
    <w:rsid w:val="00503817"/>
    <w:rsid w:val="0050389E"/>
    <w:rsid w:val="005038D7"/>
    <w:rsid w:val="005040B7"/>
    <w:rsid w:val="005047B2"/>
    <w:rsid w:val="005049DD"/>
    <w:rsid w:val="00504B6B"/>
    <w:rsid w:val="00504CE2"/>
    <w:rsid w:val="005051FD"/>
    <w:rsid w:val="005054D3"/>
    <w:rsid w:val="0050550B"/>
    <w:rsid w:val="0050553A"/>
    <w:rsid w:val="00505694"/>
    <w:rsid w:val="005057EB"/>
    <w:rsid w:val="00505FFE"/>
    <w:rsid w:val="00506065"/>
    <w:rsid w:val="00506138"/>
    <w:rsid w:val="005062D8"/>
    <w:rsid w:val="00506CC9"/>
    <w:rsid w:val="00506D3E"/>
    <w:rsid w:val="00507224"/>
    <w:rsid w:val="00507402"/>
    <w:rsid w:val="005076BA"/>
    <w:rsid w:val="0050770E"/>
    <w:rsid w:val="00507E4F"/>
    <w:rsid w:val="00507F8F"/>
    <w:rsid w:val="005101C9"/>
    <w:rsid w:val="00510445"/>
    <w:rsid w:val="00510975"/>
    <w:rsid w:val="00510A98"/>
    <w:rsid w:val="00510D51"/>
    <w:rsid w:val="00511214"/>
    <w:rsid w:val="0051250F"/>
    <w:rsid w:val="005125E2"/>
    <w:rsid w:val="005127FF"/>
    <w:rsid w:val="005129F2"/>
    <w:rsid w:val="00512DE7"/>
    <w:rsid w:val="00512F2C"/>
    <w:rsid w:val="005130A6"/>
    <w:rsid w:val="00514372"/>
    <w:rsid w:val="005143B3"/>
    <w:rsid w:val="0051442B"/>
    <w:rsid w:val="005149E5"/>
    <w:rsid w:val="00515026"/>
    <w:rsid w:val="005152A8"/>
    <w:rsid w:val="00515503"/>
    <w:rsid w:val="00515C8C"/>
    <w:rsid w:val="00516298"/>
    <w:rsid w:val="0051650E"/>
    <w:rsid w:val="00516CCF"/>
    <w:rsid w:val="00516E9B"/>
    <w:rsid w:val="00516F16"/>
    <w:rsid w:val="00516FC2"/>
    <w:rsid w:val="00517383"/>
    <w:rsid w:val="005173EC"/>
    <w:rsid w:val="00517C40"/>
    <w:rsid w:val="00517CB2"/>
    <w:rsid w:val="00517D3C"/>
    <w:rsid w:val="00517DF5"/>
    <w:rsid w:val="00517E27"/>
    <w:rsid w:val="00520594"/>
    <w:rsid w:val="0052098D"/>
    <w:rsid w:val="0052107A"/>
    <w:rsid w:val="005210CB"/>
    <w:rsid w:val="0052142D"/>
    <w:rsid w:val="00522B45"/>
    <w:rsid w:val="00522B51"/>
    <w:rsid w:val="005233BE"/>
    <w:rsid w:val="005235A3"/>
    <w:rsid w:val="0052391A"/>
    <w:rsid w:val="00523BE9"/>
    <w:rsid w:val="005248C8"/>
    <w:rsid w:val="00524996"/>
    <w:rsid w:val="0052532D"/>
    <w:rsid w:val="0052537C"/>
    <w:rsid w:val="00525A00"/>
    <w:rsid w:val="00525CB9"/>
    <w:rsid w:val="0052623B"/>
    <w:rsid w:val="005262C3"/>
    <w:rsid w:val="00526718"/>
    <w:rsid w:val="00526832"/>
    <w:rsid w:val="005269F1"/>
    <w:rsid w:val="00526CCE"/>
    <w:rsid w:val="00526FAB"/>
    <w:rsid w:val="00526FE8"/>
    <w:rsid w:val="0052702B"/>
    <w:rsid w:val="00527034"/>
    <w:rsid w:val="00527925"/>
    <w:rsid w:val="005301B3"/>
    <w:rsid w:val="0053053F"/>
    <w:rsid w:val="005307BB"/>
    <w:rsid w:val="00530ED3"/>
    <w:rsid w:val="00531089"/>
    <w:rsid w:val="005310A4"/>
    <w:rsid w:val="00532BC7"/>
    <w:rsid w:val="00532CA6"/>
    <w:rsid w:val="00532D8C"/>
    <w:rsid w:val="00532F41"/>
    <w:rsid w:val="005332A5"/>
    <w:rsid w:val="0053375E"/>
    <w:rsid w:val="00533CFE"/>
    <w:rsid w:val="0053437D"/>
    <w:rsid w:val="005345E7"/>
    <w:rsid w:val="00534931"/>
    <w:rsid w:val="005349D6"/>
    <w:rsid w:val="00534AD5"/>
    <w:rsid w:val="00534C4A"/>
    <w:rsid w:val="00534D22"/>
    <w:rsid w:val="00534DCC"/>
    <w:rsid w:val="005353D9"/>
    <w:rsid w:val="00535A79"/>
    <w:rsid w:val="00535E22"/>
    <w:rsid w:val="00536379"/>
    <w:rsid w:val="005364D9"/>
    <w:rsid w:val="005366A2"/>
    <w:rsid w:val="0053694B"/>
    <w:rsid w:val="00536DAA"/>
    <w:rsid w:val="00536E34"/>
    <w:rsid w:val="00536EB8"/>
    <w:rsid w:val="005373F8"/>
    <w:rsid w:val="0053762D"/>
    <w:rsid w:val="0053791D"/>
    <w:rsid w:val="005407D1"/>
    <w:rsid w:val="00540E5B"/>
    <w:rsid w:val="00540F37"/>
    <w:rsid w:val="00541755"/>
    <w:rsid w:val="0054186A"/>
    <w:rsid w:val="00541E6E"/>
    <w:rsid w:val="0054233E"/>
    <w:rsid w:val="00542990"/>
    <w:rsid w:val="005429BC"/>
    <w:rsid w:val="005431BF"/>
    <w:rsid w:val="00543586"/>
    <w:rsid w:val="005438DD"/>
    <w:rsid w:val="00543DD2"/>
    <w:rsid w:val="0054429E"/>
    <w:rsid w:val="005442EB"/>
    <w:rsid w:val="0054443F"/>
    <w:rsid w:val="00544798"/>
    <w:rsid w:val="00544C04"/>
    <w:rsid w:val="0054559B"/>
    <w:rsid w:val="005455FE"/>
    <w:rsid w:val="00546124"/>
    <w:rsid w:val="005466D3"/>
    <w:rsid w:val="005466DE"/>
    <w:rsid w:val="005467D5"/>
    <w:rsid w:val="00546C8D"/>
    <w:rsid w:val="00547427"/>
    <w:rsid w:val="005475AB"/>
    <w:rsid w:val="00550060"/>
    <w:rsid w:val="00550364"/>
    <w:rsid w:val="00550612"/>
    <w:rsid w:val="0055079B"/>
    <w:rsid w:val="005516D9"/>
    <w:rsid w:val="00551A6C"/>
    <w:rsid w:val="005520A1"/>
    <w:rsid w:val="005521F7"/>
    <w:rsid w:val="005522E0"/>
    <w:rsid w:val="0055285B"/>
    <w:rsid w:val="00552935"/>
    <w:rsid w:val="00552AF6"/>
    <w:rsid w:val="00552DF9"/>
    <w:rsid w:val="00552F9E"/>
    <w:rsid w:val="0055338F"/>
    <w:rsid w:val="0055458C"/>
    <w:rsid w:val="00555BA9"/>
    <w:rsid w:val="0055605D"/>
    <w:rsid w:val="005560F6"/>
    <w:rsid w:val="0055643B"/>
    <w:rsid w:val="00556451"/>
    <w:rsid w:val="0055662A"/>
    <w:rsid w:val="0055671F"/>
    <w:rsid w:val="00556D0F"/>
    <w:rsid w:val="005570BC"/>
    <w:rsid w:val="0055799E"/>
    <w:rsid w:val="00557D61"/>
    <w:rsid w:val="00557E98"/>
    <w:rsid w:val="00560BEC"/>
    <w:rsid w:val="00561614"/>
    <w:rsid w:val="0056191C"/>
    <w:rsid w:val="0056191E"/>
    <w:rsid w:val="0056214D"/>
    <w:rsid w:val="00562E2F"/>
    <w:rsid w:val="00563284"/>
    <w:rsid w:val="00563477"/>
    <w:rsid w:val="00563783"/>
    <w:rsid w:val="00563A85"/>
    <w:rsid w:val="00563C3F"/>
    <w:rsid w:val="00563CCC"/>
    <w:rsid w:val="00564BC0"/>
    <w:rsid w:val="00564BDB"/>
    <w:rsid w:val="00564DA4"/>
    <w:rsid w:val="00564F96"/>
    <w:rsid w:val="00565048"/>
    <w:rsid w:val="00565224"/>
    <w:rsid w:val="0056522B"/>
    <w:rsid w:val="0056553B"/>
    <w:rsid w:val="00565590"/>
    <w:rsid w:val="00565B8C"/>
    <w:rsid w:val="00566467"/>
    <w:rsid w:val="005667E0"/>
    <w:rsid w:val="00566CE0"/>
    <w:rsid w:val="00567A33"/>
    <w:rsid w:val="005703A3"/>
    <w:rsid w:val="005703ED"/>
    <w:rsid w:val="00570845"/>
    <w:rsid w:val="00570A1E"/>
    <w:rsid w:val="00570B8C"/>
    <w:rsid w:val="005717BB"/>
    <w:rsid w:val="0057180E"/>
    <w:rsid w:val="0057193D"/>
    <w:rsid w:val="005719DA"/>
    <w:rsid w:val="00571B8C"/>
    <w:rsid w:val="00572B5D"/>
    <w:rsid w:val="00573077"/>
    <w:rsid w:val="005731B5"/>
    <w:rsid w:val="00573837"/>
    <w:rsid w:val="00573D95"/>
    <w:rsid w:val="00574015"/>
    <w:rsid w:val="00574669"/>
    <w:rsid w:val="005749DC"/>
    <w:rsid w:val="00575401"/>
    <w:rsid w:val="005755AF"/>
    <w:rsid w:val="00575726"/>
    <w:rsid w:val="00575C2E"/>
    <w:rsid w:val="00575D02"/>
    <w:rsid w:val="0057605A"/>
    <w:rsid w:val="005769C0"/>
    <w:rsid w:val="00576DE1"/>
    <w:rsid w:val="00577BAE"/>
    <w:rsid w:val="005800A4"/>
    <w:rsid w:val="005801CC"/>
    <w:rsid w:val="00580207"/>
    <w:rsid w:val="00580263"/>
    <w:rsid w:val="00580605"/>
    <w:rsid w:val="00581059"/>
    <w:rsid w:val="0058196D"/>
    <w:rsid w:val="00581A5B"/>
    <w:rsid w:val="00581ABC"/>
    <w:rsid w:val="00581C41"/>
    <w:rsid w:val="00581CB6"/>
    <w:rsid w:val="00581F21"/>
    <w:rsid w:val="005825D0"/>
    <w:rsid w:val="00582947"/>
    <w:rsid w:val="00582B68"/>
    <w:rsid w:val="00582FD3"/>
    <w:rsid w:val="0058384C"/>
    <w:rsid w:val="00583B2C"/>
    <w:rsid w:val="00583C98"/>
    <w:rsid w:val="00583D00"/>
    <w:rsid w:val="00584AFC"/>
    <w:rsid w:val="00584C97"/>
    <w:rsid w:val="00584E2E"/>
    <w:rsid w:val="00585941"/>
    <w:rsid w:val="00585A1A"/>
    <w:rsid w:val="00585B12"/>
    <w:rsid w:val="00585C90"/>
    <w:rsid w:val="00585F54"/>
    <w:rsid w:val="00586426"/>
    <w:rsid w:val="005867E2"/>
    <w:rsid w:val="00586A72"/>
    <w:rsid w:val="00586CBA"/>
    <w:rsid w:val="0058713F"/>
    <w:rsid w:val="00587227"/>
    <w:rsid w:val="00587518"/>
    <w:rsid w:val="005901F2"/>
    <w:rsid w:val="00590393"/>
    <w:rsid w:val="005908F0"/>
    <w:rsid w:val="00590E92"/>
    <w:rsid w:val="005913B3"/>
    <w:rsid w:val="005913C5"/>
    <w:rsid w:val="005918EA"/>
    <w:rsid w:val="00591EB8"/>
    <w:rsid w:val="005921B6"/>
    <w:rsid w:val="0059223F"/>
    <w:rsid w:val="0059230C"/>
    <w:rsid w:val="00592378"/>
    <w:rsid w:val="005924AA"/>
    <w:rsid w:val="00592AFE"/>
    <w:rsid w:val="00592BE3"/>
    <w:rsid w:val="00593020"/>
    <w:rsid w:val="005935CA"/>
    <w:rsid w:val="00593BB7"/>
    <w:rsid w:val="00594188"/>
    <w:rsid w:val="0059431E"/>
    <w:rsid w:val="0059489D"/>
    <w:rsid w:val="00594D1F"/>
    <w:rsid w:val="00595019"/>
    <w:rsid w:val="00595128"/>
    <w:rsid w:val="0059520C"/>
    <w:rsid w:val="005953AE"/>
    <w:rsid w:val="0059540F"/>
    <w:rsid w:val="005955C5"/>
    <w:rsid w:val="005955CC"/>
    <w:rsid w:val="005957F1"/>
    <w:rsid w:val="00595811"/>
    <w:rsid w:val="00595B36"/>
    <w:rsid w:val="00595B9E"/>
    <w:rsid w:val="00595F78"/>
    <w:rsid w:val="0059628F"/>
    <w:rsid w:val="00596777"/>
    <w:rsid w:val="00596BEA"/>
    <w:rsid w:val="005A121C"/>
    <w:rsid w:val="005A18EF"/>
    <w:rsid w:val="005A198E"/>
    <w:rsid w:val="005A1A12"/>
    <w:rsid w:val="005A1F70"/>
    <w:rsid w:val="005A21C3"/>
    <w:rsid w:val="005A2554"/>
    <w:rsid w:val="005A25E8"/>
    <w:rsid w:val="005A2C76"/>
    <w:rsid w:val="005A2DC7"/>
    <w:rsid w:val="005A2EDA"/>
    <w:rsid w:val="005A3A07"/>
    <w:rsid w:val="005A3ED5"/>
    <w:rsid w:val="005A3FB8"/>
    <w:rsid w:val="005A4113"/>
    <w:rsid w:val="005A4485"/>
    <w:rsid w:val="005A462A"/>
    <w:rsid w:val="005A46BF"/>
    <w:rsid w:val="005A47E9"/>
    <w:rsid w:val="005A50D5"/>
    <w:rsid w:val="005A52F2"/>
    <w:rsid w:val="005A5416"/>
    <w:rsid w:val="005A5471"/>
    <w:rsid w:val="005A5646"/>
    <w:rsid w:val="005A5893"/>
    <w:rsid w:val="005A58DE"/>
    <w:rsid w:val="005A597C"/>
    <w:rsid w:val="005A5A7C"/>
    <w:rsid w:val="005A6037"/>
    <w:rsid w:val="005A623E"/>
    <w:rsid w:val="005A66E8"/>
    <w:rsid w:val="005A68E5"/>
    <w:rsid w:val="005A6B6A"/>
    <w:rsid w:val="005A6D6D"/>
    <w:rsid w:val="005A6EAF"/>
    <w:rsid w:val="005A6F15"/>
    <w:rsid w:val="005A6F39"/>
    <w:rsid w:val="005A7059"/>
    <w:rsid w:val="005A78B1"/>
    <w:rsid w:val="005A7E5B"/>
    <w:rsid w:val="005A7F4B"/>
    <w:rsid w:val="005A7F95"/>
    <w:rsid w:val="005B006C"/>
    <w:rsid w:val="005B0269"/>
    <w:rsid w:val="005B09FB"/>
    <w:rsid w:val="005B0A9D"/>
    <w:rsid w:val="005B0D4C"/>
    <w:rsid w:val="005B0DB4"/>
    <w:rsid w:val="005B13A8"/>
    <w:rsid w:val="005B268D"/>
    <w:rsid w:val="005B2E00"/>
    <w:rsid w:val="005B2E79"/>
    <w:rsid w:val="005B2F78"/>
    <w:rsid w:val="005B30E9"/>
    <w:rsid w:val="005B3351"/>
    <w:rsid w:val="005B3495"/>
    <w:rsid w:val="005B34CD"/>
    <w:rsid w:val="005B36EF"/>
    <w:rsid w:val="005B3C57"/>
    <w:rsid w:val="005B3D3B"/>
    <w:rsid w:val="005B43F0"/>
    <w:rsid w:val="005B497A"/>
    <w:rsid w:val="005B4B7D"/>
    <w:rsid w:val="005B5425"/>
    <w:rsid w:val="005B5D60"/>
    <w:rsid w:val="005B64C2"/>
    <w:rsid w:val="005B6939"/>
    <w:rsid w:val="005B69B7"/>
    <w:rsid w:val="005B6C9B"/>
    <w:rsid w:val="005B7467"/>
    <w:rsid w:val="005B753A"/>
    <w:rsid w:val="005B7582"/>
    <w:rsid w:val="005B7D85"/>
    <w:rsid w:val="005C0054"/>
    <w:rsid w:val="005C11B4"/>
    <w:rsid w:val="005C14C4"/>
    <w:rsid w:val="005C1786"/>
    <w:rsid w:val="005C1B8E"/>
    <w:rsid w:val="005C1FFB"/>
    <w:rsid w:val="005C2612"/>
    <w:rsid w:val="005C2A33"/>
    <w:rsid w:val="005C2C4B"/>
    <w:rsid w:val="005C350A"/>
    <w:rsid w:val="005C39F4"/>
    <w:rsid w:val="005C3ED1"/>
    <w:rsid w:val="005C405E"/>
    <w:rsid w:val="005C4282"/>
    <w:rsid w:val="005C43A3"/>
    <w:rsid w:val="005C43D8"/>
    <w:rsid w:val="005C4520"/>
    <w:rsid w:val="005C47DA"/>
    <w:rsid w:val="005C4AD5"/>
    <w:rsid w:val="005C4DFD"/>
    <w:rsid w:val="005C5291"/>
    <w:rsid w:val="005C5463"/>
    <w:rsid w:val="005C5582"/>
    <w:rsid w:val="005C5C4A"/>
    <w:rsid w:val="005C5C96"/>
    <w:rsid w:val="005C5FD2"/>
    <w:rsid w:val="005C63E7"/>
    <w:rsid w:val="005C665B"/>
    <w:rsid w:val="005C6C22"/>
    <w:rsid w:val="005C6FFC"/>
    <w:rsid w:val="005C7056"/>
    <w:rsid w:val="005C72F1"/>
    <w:rsid w:val="005C7478"/>
    <w:rsid w:val="005C79A5"/>
    <w:rsid w:val="005C7C62"/>
    <w:rsid w:val="005C7D0B"/>
    <w:rsid w:val="005C7DD2"/>
    <w:rsid w:val="005C7E43"/>
    <w:rsid w:val="005D0181"/>
    <w:rsid w:val="005D0441"/>
    <w:rsid w:val="005D04ED"/>
    <w:rsid w:val="005D1190"/>
    <w:rsid w:val="005D150E"/>
    <w:rsid w:val="005D1885"/>
    <w:rsid w:val="005D18B3"/>
    <w:rsid w:val="005D1B05"/>
    <w:rsid w:val="005D1D1D"/>
    <w:rsid w:val="005D24EC"/>
    <w:rsid w:val="005D2B04"/>
    <w:rsid w:val="005D2C6E"/>
    <w:rsid w:val="005D2E12"/>
    <w:rsid w:val="005D2E8B"/>
    <w:rsid w:val="005D3B21"/>
    <w:rsid w:val="005D3BA9"/>
    <w:rsid w:val="005D3BE7"/>
    <w:rsid w:val="005D41FB"/>
    <w:rsid w:val="005D4CF7"/>
    <w:rsid w:val="005D52A7"/>
    <w:rsid w:val="005D573B"/>
    <w:rsid w:val="005D5D1A"/>
    <w:rsid w:val="005D6ECB"/>
    <w:rsid w:val="005D7246"/>
    <w:rsid w:val="005D76AF"/>
    <w:rsid w:val="005D794B"/>
    <w:rsid w:val="005E06D0"/>
    <w:rsid w:val="005E07BB"/>
    <w:rsid w:val="005E0FAE"/>
    <w:rsid w:val="005E1111"/>
    <w:rsid w:val="005E1695"/>
    <w:rsid w:val="005E18FB"/>
    <w:rsid w:val="005E235B"/>
    <w:rsid w:val="005E2CF2"/>
    <w:rsid w:val="005E2D5A"/>
    <w:rsid w:val="005E2DD6"/>
    <w:rsid w:val="005E333A"/>
    <w:rsid w:val="005E3726"/>
    <w:rsid w:val="005E379F"/>
    <w:rsid w:val="005E37D4"/>
    <w:rsid w:val="005E47DB"/>
    <w:rsid w:val="005E48CE"/>
    <w:rsid w:val="005E4E47"/>
    <w:rsid w:val="005E4E94"/>
    <w:rsid w:val="005E5468"/>
    <w:rsid w:val="005E55C2"/>
    <w:rsid w:val="005E5AC9"/>
    <w:rsid w:val="005E6419"/>
    <w:rsid w:val="005E698E"/>
    <w:rsid w:val="005E6F21"/>
    <w:rsid w:val="005E78AE"/>
    <w:rsid w:val="005F0181"/>
    <w:rsid w:val="005F01CB"/>
    <w:rsid w:val="005F02F1"/>
    <w:rsid w:val="005F04E0"/>
    <w:rsid w:val="005F1247"/>
    <w:rsid w:val="005F12E1"/>
    <w:rsid w:val="005F13A7"/>
    <w:rsid w:val="005F16AA"/>
    <w:rsid w:val="005F1818"/>
    <w:rsid w:val="005F1C7C"/>
    <w:rsid w:val="005F2931"/>
    <w:rsid w:val="005F2D54"/>
    <w:rsid w:val="005F2D6B"/>
    <w:rsid w:val="005F2DD9"/>
    <w:rsid w:val="005F30E0"/>
    <w:rsid w:val="005F325C"/>
    <w:rsid w:val="005F388F"/>
    <w:rsid w:val="005F3C7E"/>
    <w:rsid w:val="005F4462"/>
    <w:rsid w:val="005F56BB"/>
    <w:rsid w:val="005F5744"/>
    <w:rsid w:val="005F5BBC"/>
    <w:rsid w:val="005F6214"/>
    <w:rsid w:val="005F6683"/>
    <w:rsid w:val="005F6C57"/>
    <w:rsid w:val="005F7C4B"/>
    <w:rsid w:val="0060005E"/>
    <w:rsid w:val="006000A7"/>
    <w:rsid w:val="006005B1"/>
    <w:rsid w:val="006005DA"/>
    <w:rsid w:val="0060075E"/>
    <w:rsid w:val="006008FE"/>
    <w:rsid w:val="006010BC"/>
    <w:rsid w:val="00601253"/>
    <w:rsid w:val="006013F1"/>
    <w:rsid w:val="00601415"/>
    <w:rsid w:val="00601C45"/>
    <w:rsid w:val="00601D59"/>
    <w:rsid w:val="00601DA4"/>
    <w:rsid w:val="00602344"/>
    <w:rsid w:val="00602566"/>
    <w:rsid w:val="00602E95"/>
    <w:rsid w:val="00602F8D"/>
    <w:rsid w:val="00603682"/>
    <w:rsid w:val="00603813"/>
    <w:rsid w:val="00604309"/>
    <w:rsid w:val="006044B7"/>
    <w:rsid w:val="00604C88"/>
    <w:rsid w:val="00605090"/>
    <w:rsid w:val="006051CE"/>
    <w:rsid w:val="0060537E"/>
    <w:rsid w:val="00605702"/>
    <w:rsid w:val="00605812"/>
    <w:rsid w:val="00605962"/>
    <w:rsid w:val="00605B07"/>
    <w:rsid w:val="00605B22"/>
    <w:rsid w:val="00605B52"/>
    <w:rsid w:val="00605DF3"/>
    <w:rsid w:val="0060694D"/>
    <w:rsid w:val="006073FA"/>
    <w:rsid w:val="0060765C"/>
    <w:rsid w:val="00610250"/>
    <w:rsid w:val="0061043D"/>
    <w:rsid w:val="00610C67"/>
    <w:rsid w:val="006111F0"/>
    <w:rsid w:val="0061143B"/>
    <w:rsid w:val="00611789"/>
    <w:rsid w:val="0061197C"/>
    <w:rsid w:val="00611D11"/>
    <w:rsid w:val="00611EC0"/>
    <w:rsid w:val="0061248A"/>
    <w:rsid w:val="00612F87"/>
    <w:rsid w:val="00613143"/>
    <w:rsid w:val="00613533"/>
    <w:rsid w:val="00613901"/>
    <w:rsid w:val="00614121"/>
    <w:rsid w:val="00614663"/>
    <w:rsid w:val="006148E0"/>
    <w:rsid w:val="00614A82"/>
    <w:rsid w:val="00615102"/>
    <w:rsid w:val="00615C1B"/>
    <w:rsid w:val="00615C92"/>
    <w:rsid w:val="00615DFB"/>
    <w:rsid w:val="006161C7"/>
    <w:rsid w:val="006163D8"/>
    <w:rsid w:val="00616557"/>
    <w:rsid w:val="00616686"/>
    <w:rsid w:val="00616D3D"/>
    <w:rsid w:val="006174BC"/>
    <w:rsid w:val="006179A3"/>
    <w:rsid w:val="00617F9E"/>
    <w:rsid w:val="00620C4C"/>
    <w:rsid w:val="00620F24"/>
    <w:rsid w:val="00620F6D"/>
    <w:rsid w:val="00621632"/>
    <w:rsid w:val="00621AA4"/>
    <w:rsid w:val="00621E6C"/>
    <w:rsid w:val="00621FE1"/>
    <w:rsid w:val="006220E8"/>
    <w:rsid w:val="00622642"/>
    <w:rsid w:val="00623794"/>
    <w:rsid w:val="006237E2"/>
    <w:rsid w:val="00623A77"/>
    <w:rsid w:val="006240D3"/>
    <w:rsid w:val="00624676"/>
    <w:rsid w:val="00624CB1"/>
    <w:rsid w:val="00624F8D"/>
    <w:rsid w:val="00625264"/>
    <w:rsid w:val="00625801"/>
    <w:rsid w:val="00625F94"/>
    <w:rsid w:val="00626E29"/>
    <w:rsid w:val="00627DC8"/>
    <w:rsid w:val="00630125"/>
    <w:rsid w:val="00630391"/>
    <w:rsid w:val="006309E2"/>
    <w:rsid w:val="0063114D"/>
    <w:rsid w:val="00632AFD"/>
    <w:rsid w:val="00632F21"/>
    <w:rsid w:val="00633420"/>
    <w:rsid w:val="00633424"/>
    <w:rsid w:val="006335AB"/>
    <w:rsid w:val="006339E3"/>
    <w:rsid w:val="00634433"/>
    <w:rsid w:val="0063478C"/>
    <w:rsid w:val="00634E32"/>
    <w:rsid w:val="00634FA3"/>
    <w:rsid w:val="006351CB"/>
    <w:rsid w:val="006351E8"/>
    <w:rsid w:val="00635DA0"/>
    <w:rsid w:val="006361A4"/>
    <w:rsid w:val="00636816"/>
    <w:rsid w:val="00636BBE"/>
    <w:rsid w:val="00636C93"/>
    <w:rsid w:val="00636DBA"/>
    <w:rsid w:val="00636EE9"/>
    <w:rsid w:val="006373AA"/>
    <w:rsid w:val="006378F4"/>
    <w:rsid w:val="00637BDC"/>
    <w:rsid w:val="00640207"/>
    <w:rsid w:val="006408F4"/>
    <w:rsid w:val="00640EF8"/>
    <w:rsid w:val="00641256"/>
    <w:rsid w:val="006414B7"/>
    <w:rsid w:val="006417DC"/>
    <w:rsid w:val="00641CB4"/>
    <w:rsid w:val="00643210"/>
    <w:rsid w:val="00643356"/>
    <w:rsid w:val="00643533"/>
    <w:rsid w:val="00643535"/>
    <w:rsid w:val="0064373A"/>
    <w:rsid w:val="00643B53"/>
    <w:rsid w:val="006442B4"/>
    <w:rsid w:val="00644AF9"/>
    <w:rsid w:val="00644D64"/>
    <w:rsid w:val="00645216"/>
    <w:rsid w:val="0064521F"/>
    <w:rsid w:val="0064562F"/>
    <w:rsid w:val="006456C0"/>
    <w:rsid w:val="006458E6"/>
    <w:rsid w:val="00645949"/>
    <w:rsid w:val="00645AAB"/>
    <w:rsid w:val="00645ED4"/>
    <w:rsid w:val="006460B7"/>
    <w:rsid w:val="006467B5"/>
    <w:rsid w:val="00646AF9"/>
    <w:rsid w:val="00646B74"/>
    <w:rsid w:val="006470B7"/>
    <w:rsid w:val="00647973"/>
    <w:rsid w:val="00647CF0"/>
    <w:rsid w:val="0065067D"/>
    <w:rsid w:val="00650680"/>
    <w:rsid w:val="00650725"/>
    <w:rsid w:val="00650915"/>
    <w:rsid w:val="006512B4"/>
    <w:rsid w:val="006514AB"/>
    <w:rsid w:val="006519CA"/>
    <w:rsid w:val="00651D5E"/>
    <w:rsid w:val="00652B09"/>
    <w:rsid w:val="00652D8B"/>
    <w:rsid w:val="0065351B"/>
    <w:rsid w:val="00653629"/>
    <w:rsid w:val="00653696"/>
    <w:rsid w:val="00653785"/>
    <w:rsid w:val="00653852"/>
    <w:rsid w:val="00653A80"/>
    <w:rsid w:val="00655054"/>
    <w:rsid w:val="00655586"/>
    <w:rsid w:val="0065574D"/>
    <w:rsid w:val="00655C0E"/>
    <w:rsid w:val="00655DDF"/>
    <w:rsid w:val="00655F25"/>
    <w:rsid w:val="0065629C"/>
    <w:rsid w:val="00656906"/>
    <w:rsid w:val="0065703C"/>
    <w:rsid w:val="00657BB2"/>
    <w:rsid w:val="00657C74"/>
    <w:rsid w:val="00660142"/>
    <w:rsid w:val="0066082C"/>
    <w:rsid w:val="00660F85"/>
    <w:rsid w:val="006618B4"/>
    <w:rsid w:val="006618EA"/>
    <w:rsid w:val="00662584"/>
    <w:rsid w:val="00662AF3"/>
    <w:rsid w:val="00662D4A"/>
    <w:rsid w:val="00662ECC"/>
    <w:rsid w:val="00663229"/>
    <w:rsid w:val="00663710"/>
    <w:rsid w:val="006637C7"/>
    <w:rsid w:val="006637C8"/>
    <w:rsid w:val="006646CB"/>
    <w:rsid w:val="006655DE"/>
    <w:rsid w:val="00665741"/>
    <w:rsid w:val="00666241"/>
    <w:rsid w:val="00666923"/>
    <w:rsid w:val="00666EB0"/>
    <w:rsid w:val="00666F58"/>
    <w:rsid w:val="00667146"/>
    <w:rsid w:val="006673E0"/>
    <w:rsid w:val="00667507"/>
    <w:rsid w:val="00670051"/>
    <w:rsid w:val="00670376"/>
    <w:rsid w:val="006705A4"/>
    <w:rsid w:val="00670C77"/>
    <w:rsid w:val="00670D4A"/>
    <w:rsid w:val="00670FB9"/>
    <w:rsid w:val="0067173F"/>
    <w:rsid w:val="0067213C"/>
    <w:rsid w:val="00672333"/>
    <w:rsid w:val="006724C6"/>
    <w:rsid w:val="0067299F"/>
    <w:rsid w:val="00673098"/>
    <w:rsid w:val="006734A7"/>
    <w:rsid w:val="00673596"/>
    <w:rsid w:val="006737B6"/>
    <w:rsid w:val="00673B6D"/>
    <w:rsid w:val="00673F8C"/>
    <w:rsid w:val="00674752"/>
    <w:rsid w:val="006748B5"/>
    <w:rsid w:val="0067528C"/>
    <w:rsid w:val="00675304"/>
    <w:rsid w:val="00675E36"/>
    <w:rsid w:val="00675F01"/>
    <w:rsid w:val="0067624E"/>
    <w:rsid w:val="00676A48"/>
    <w:rsid w:val="00676DA9"/>
    <w:rsid w:val="00676F7D"/>
    <w:rsid w:val="006771AD"/>
    <w:rsid w:val="006776FE"/>
    <w:rsid w:val="006777B3"/>
    <w:rsid w:val="006777F6"/>
    <w:rsid w:val="006779FA"/>
    <w:rsid w:val="00677E12"/>
    <w:rsid w:val="00677E98"/>
    <w:rsid w:val="00677EBB"/>
    <w:rsid w:val="00677F15"/>
    <w:rsid w:val="0068069D"/>
    <w:rsid w:val="00680AC3"/>
    <w:rsid w:val="0068137D"/>
    <w:rsid w:val="00681FF8"/>
    <w:rsid w:val="00682345"/>
    <w:rsid w:val="00682C10"/>
    <w:rsid w:val="00682C27"/>
    <w:rsid w:val="00682D40"/>
    <w:rsid w:val="0068387C"/>
    <w:rsid w:val="00683966"/>
    <w:rsid w:val="00683B78"/>
    <w:rsid w:val="006847BD"/>
    <w:rsid w:val="00684FB4"/>
    <w:rsid w:val="00684FE9"/>
    <w:rsid w:val="00685ABE"/>
    <w:rsid w:val="00685CE3"/>
    <w:rsid w:val="00685E41"/>
    <w:rsid w:val="00685E90"/>
    <w:rsid w:val="00686517"/>
    <w:rsid w:val="00686560"/>
    <w:rsid w:val="006866FF"/>
    <w:rsid w:val="00686778"/>
    <w:rsid w:val="00686BFB"/>
    <w:rsid w:val="00686FA0"/>
    <w:rsid w:val="006875F3"/>
    <w:rsid w:val="006877D3"/>
    <w:rsid w:val="00690560"/>
    <w:rsid w:val="00690E7B"/>
    <w:rsid w:val="0069129F"/>
    <w:rsid w:val="00691A06"/>
    <w:rsid w:val="00691B59"/>
    <w:rsid w:val="00691C5B"/>
    <w:rsid w:val="00692057"/>
    <w:rsid w:val="00692591"/>
    <w:rsid w:val="006925FD"/>
    <w:rsid w:val="00692C93"/>
    <w:rsid w:val="006930CC"/>
    <w:rsid w:val="0069342F"/>
    <w:rsid w:val="00693926"/>
    <w:rsid w:val="006941C8"/>
    <w:rsid w:val="00694CDD"/>
    <w:rsid w:val="006954F6"/>
    <w:rsid w:val="00696295"/>
    <w:rsid w:val="0069652C"/>
    <w:rsid w:val="00696599"/>
    <w:rsid w:val="0069689D"/>
    <w:rsid w:val="00696AEF"/>
    <w:rsid w:val="00696CE7"/>
    <w:rsid w:val="0069737A"/>
    <w:rsid w:val="006976AE"/>
    <w:rsid w:val="00697B14"/>
    <w:rsid w:val="00697C8F"/>
    <w:rsid w:val="00697EAF"/>
    <w:rsid w:val="00697F76"/>
    <w:rsid w:val="006A036A"/>
    <w:rsid w:val="006A04AE"/>
    <w:rsid w:val="006A09FA"/>
    <w:rsid w:val="006A1230"/>
    <w:rsid w:val="006A13F6"/>
    <w:rsid w:val="006A1C9F"/>
    <w:rsid w:val="006A24C9"/>
    <w:rsid w:val="006A26B8"/>
    <w:rsid w:val="006A272F"/>
    <w:rsid w:val="006A27FE"/>
    <w:rsid w:val="006A2AC1"/>
    <w:rsid w:val="006A2BC3"/>
    <w:rsid w:val="006A2CE3"/>
    <w:rsid w:val="006A3624"/>
    <w:rsid w:val="006A3A98"/>
    <w:rsid w:val="006A3BF1"/>
    <w:rsid w:val="006A48FC"/>
    <w:rsid w:val="006A4A81"/>
    <w:rsid w:val="006A4BB7"/>
    <w:rsid w:val="006A5544"/>
    <w:rsid w:val="006A566A"/>
    <w:rsid w:val="006A5AB9"/>
    <w:rsid w:val="006A5DE6"/>
    <w:rsid w:val="006A668A"/>
    <w:rsid w:val="006A6ADB"/>
    <w:rsid w:val="006A6B84"/>
    <w:rsid w:val="006A6FA1"/>
    <w:rsid w:val="006A7166"/>
    <w:rsid w:val="006A7406"/>
    <w:rsid w:val="006A7956"/>
    <w:rsid w:val="006A7AB2"/>
    <w:rsid w:val="006A7BD8"/>
    <w:rsid w:val="006B034B"/>
    <w:rsid w:val="006B0D15"/>
    <w:rsid w:val="006B1274"/>
    <w:rsid w:val="006B1523"/>
    <w:rsid w:val="006B15BC"/>
    <w:rsid w:val="006B16BF"/>
    <w:rsid w:val="006B1BD7"/>
    <w:rsid w:val="006B2244"/>
    <w:rsid w:val="006B2E31"/>
    <w:rsid w:val="006B2E99"/>
    <w:rsid w:val="006B31A8"/>
    <w:rsid w:val="006B383C"/>
    <w:rsid w:val="006B3A80"/>
    <w:rsid w:val="006B3C13"/>
    <w:rsid w:val="006B41FC"/>
    <w:rsid w:val="006B4430"/>
    <w:rsid w:val="006B5343"/>
    <w:rsid w:val="006B5552"/>
    <w:rsid w:val="006B5B43"/>
    <w:rsid w:val="006B6787"/>
    <w:rsid w:val="006B6925"/>
    <w:rsid w:val="006B6DAB"/>
    <w:rsid w:val="006B6DBF"/>
    <w:rsid w:val="006B725B"/>
    <w:rsid w:val="006B7AEE"/>
    <w:rsid w:val="006B7BD7"/>
    <w:rsid w:val="006C0049"/>
    <w:rsid w:val="006C0251"/>
    <w:rsid w:val="006C02B8"/>
    <w:rsid w:val="006C1679"/>
    <w:rsid w:val="006C1D39"/>
    <w:rsid w:val="006C1FA2"/>
    <w:rsid w:val="006C2409"/>
    <w:rsid w:val="006C2C37"/>
    <w:rsid w:val="006C3338"/>
    <w:rsid w:val="006C38C5"/>
    <w:rsid w:val="006C3A2A"/>
    <w:rsid w:val="006C3F52"/>
    <w:rsid w:val="006C44AD"/>
    <w:rsid w:val="006C509C"/>
    <w:rsid w:val="006C5359"/>
    <w:rsid w:val="006C65BE"/>
    <w:rsid w:val="006C688E"/>
    <w:rsid w:val="006C6963"/>
    <w:rsid w:val="006C70BB"/>
    <w:rsid w:val="006C751B"/>
    <w:rsid w:val="006C7FE8"/>
    <w:rsid w:val="006D0012"/>
    <w:rsid w:val="006D0BEA"/>
    <w:rsid w:val="006D0DAE"/>
    <w:rsid w:val="006D0ED5"/>
    <w:rsid w:val="006D14B7"/>
    <w:rsid w:val="006D156B"/>
    <w:rsid w:val="006D16E0"/>
    <w:rsid w:val="006D1891"/>
    <w:rsid w:val="006D1D8A"/>
    <w:rsid w:val="006D1EEA"/>
    <w:rsid w:val="006D218D"/>
    <w:rsid w:val="006D26FD"/>
    <w:rsid w:val="006D3040"/>
    <w:rsid w:val="006D306A"/>
    <w:rsid w:val="006D3496"/>
    <w:rsid w:val="006D3E76"/>
    <w:rsid w:val="006D4509"/>
    <w:rsid w:val="006D46CD"/>
    <w:rsid w:val="006D4747"/>
    <w:rsid w:val="006D4902"/>
    <w:rsid w:val="006D4BBC"/>
    <w:rsid w:val="006D4EEF"/>
    <w:rsid w:val="006D4FA4"/>
    <w:rsid w:val="006D5633"/>
    <w:rsid w:val="006D57E8"/>
    <w:rsid w:val="006D5995"/>
    <w:rsid w:val="006D59EF"/>
    <w:rsid w:val="006D5B9D"/>
    <w:rsid w:val="006D5DF9"/>
    <w:rsid w:val="006D624B"/>
    <w:rsid w:val="006D65A1"/>
    <w:rsid w:val="006D6A5D"/>
    <w:rsid w:val="006D6C98"/>
    <w:rsid w:val="006D6DF5"/>
    <w:rsid w:val="006D6F8C"/>
    <w:rsid w:val="006D7254"/>
    <w:rsid w:val="006D7A8E"/>
    <w:rsid w:val="006D7C4B"/>
    <w:rsid w:val="006D7C75"/>
    <w:rsid w:val="006D7F35"/>
    <w:rsid w:val="006E0323"/>
    <w:rsid w:val="006E0411"/>
    <w:rsid w:val="006E08C4"/>
    <w:rsid w:val="006E0BA2"/>
    <w:rsid w:val="006E0D20"/>
    <w:rsid w:val="006E140D"/>
    <w:rsid w:val="006E1CA6"/>
    <w:rsid w:val="006E2919"/>
    <w:rsid w:val="006E2B84"/>
    <w:rsid w:val="006E2C4B"/>
    <w:rsid w:val="006E2E2D"/>
    <w:rsid w:val="006E312A"/>
    <w:rsid w:val="006E328D"/>
    <w:rsid w:val="006E4471"/>
    <w:rsid w:val="006E4BDB"/>
    <w:rsid w:val="006E4EC4"/>
    <w:rsid w:val="006E5808"/>
    <w:rsid w:val="006E5817"/>
    <w:rsid w:val="006E58C9"/>
    <w:rsid w:val="006E5D78"/>
    <w:rsid w:val="006E6147"/>
    <w:rsid w:val="006E69F4"/>
    <w:rsid w:val="006E6B09"/>
    <w:rsid w:val="006E6C19"/>
    <w:rsid w:val="006E762E"/>
    <w:rsid w:val="006E799D"/>
    <w:rsid w:val="006E7B86"/>
    <w:rsid w:val="006F0082"/>
    <w:rsid w:val="006F0107"/>
    <w:rsid w:val="006F0234"/>
    <w:rsid w:val="006F02A9"/>
    <w:rsid w:val="006F05BD"/>
    <w:rsid w:val="006F07CC"/>
    <w:rsid w:val="006F1158"/>
    <w:rsid w:val="006F12AF"/>
    <w:rsid w:val="006F150F"/>
    <w:rsid w:val="006F15BF"/>
    <w:rsid w:val="006F24FF"/>
    <w:rsid w:val="006F2792"/>
    <w:rsid w:val="006F29C7"/>
    <w:rsid w:val="006F2A16"/>
    <w:rsid w:val="006F32C3"/>
    <w:rsid w:val="006F3354"/>
    <w:rsid w:val="006F49F3"/>
    <w:rsid w:val="006F5282"/>
    <w:rsid w:val="006F52ED"/>
    <w:rsid w:val="006F5590"/>
    <w:rsid w:val="006F57E6"/>
    <w:rsid w:val="006F5BF6"/>
    <w:rsid w:val="006F5DCA"/>
    <w:rsid w:val="006F6055"/>
    <w:rsid w:val="006F61CF"/>
    <w:rsid w:val="006F6592"/>
    <w:rsid w:val="006F6677"/>
    <w:rsid w:val="006F6845"/>
    <w:rsid w:val="006F6B91"/>
    <w:rsid w:val="006F6F00"/>
    <w:rsid w:val="006F77DA"/>
    <w:rsid w:val="006F7E2D"/>
    <w:rsid w:val="00700C46"/>
    <w:rsid w:val="007014B0"/>
    <w:rsid w:val="00701F36"/>
    <w:rsid w:val="007021CA"/>
    <w:rsid w:val="007025E3"/>
    <w:rsid w:val="00702CF4"/>
    <w:rsid w:val="00702E8E"/>
    <w:rsid w:val="0070323F"/>
    <w:rsid w:val="00703D0D"/>
    <w:rsid w:val="00704661"/>
    <w:rsid w:val="0070495A"/>
    <w:rsid w:val="00704A4E"/>
    <w:rsid w:val="00704C63"/>
    <w:rsid w:val="00704DCF"/>
    <w:rsid w:val="00704E29"/>
    <w:rsid w:val="007058EE"/>
    <w:rsid w:val="007060DA"/>
    <w:rsid w:val="0070687A"/>
    <w:rsid w:val="00706F0B"/>
    <w:rsid w:val="007071F8"/>
    <w:rsid w:val="00707616"/>
    <w:rsid w:val="00710091"/>
    <w:rsid w:val="00710394"/>
    <w:rsid w:val="0071042C"/>
    <w:rsid w:val="00710E4D"/>
    <w:rsid w:val="00710E65"/>
    <w:rsid w:val="00711A73"/>
    <w:rsid w:val="00711CB2"/>
    <w:rsid w:val="00711E02"/>
    <w:rsid w:val="007125D5"/>
    <w:rsid w:val="00712916"/>
    <w:rsid w:val="00712F77"/>
    <w:rsid w:val="007131DD"/>
    <w:rsid w:val="00713594"/>
    <w:rsid w:val="00713662"/>
    <w:rsid w:val="0071481F"/>
    <w:rsid w:val="00714C0A"/>
    <w:rsid w:val="00714C81"/>
    <w:rsid w:val="00714CF3"/>
    <w:rsid w:val="00714DBD"/>
    <w:rsid w:val="0071509B"/>
    <w:rsid w:val="00715675"/>
    <w:rsid w:val="00715996"/>
    <w:rsid w:val="00715CA7"/>
    <w:rsid w:val="00715D86"/>
    <w:rsid w:val="00715FC6"/>
    <w:rsid w:val="00715FFF"/>
    <w:rsid w:val="00716A19"/>
    <w:rsid w:val="00716D62"/>
    <w:rsid w:val="00716DC7"/>
    <w:rsid w:val="007171C6"/>
    <w:rsid w:val="00717BE9"/>
    <w:rsid w:val="00717EE1"/>
    <w:rsid w:val="0072016D"/>
    <w:rsid w:val="00720190"/>
    <w:rsid w:val="007203D1"/>
    <w:rsid w:val="007204FD"/>
    <w:rsid w:val="00720595"/>
    <w:rsid w:val="007205DF"/>
    <w:rsid w:val="00720793"/>
    <w:rsid w:val="007209CD"/>
    <w:rsid w:val="00720F8F"/>
    <w:rsid w:val="007211C8"/>
    <w:rsid w:val="007220D9"/>
    <w:rsid w:val="007237A9"/>
    <w:rsid w:val="00723932"/>
    <w:rsid w:val="00723D32"/>
    <w:rsid w:val="0072489E"/>
    <w:rsid w:val="00724B90"/>
    <w:rsid w:val="00725AE1"/>
    <w:rsid w:val="00725D11"/>
    <w:rsid w:val="00726026"/>
    <w:rsid w:val="007260AE"/>
    <w:rsid w:val="007262D4"/>
    <w:rsid w:val="007266CB"/>
    <w:rsid w:val="007274A9"/>
    <w:rsid w:val="00730209"/>
    <w:rsid w:val="00730545"/>
    <w:rsid w:val="00730C7B"/>
    <w:rsid w:val="00730F7F"/>
    <w:rsid w:val="007312ED"/>
    <w:rsid w:val="0073139C"/>
    <w:rsid w:val="00731857"/>
    <w:rsid w:val="00731995"/>
    <w:rsid w:val="00731F7E"/>
    <w:rsid w:val="00732EDC"/>
    <w:rsid w:val="00733070"/>
    <w:rsid w:val="0073374D"/>
    <w:rsid w:val="00733A0B"/>
    <w:rsid w:val="00733D9E"/>
    <w:rsid w:val="007342BE"/>
    <w:rsid w:val="00734714"/>
    <w:rsid w:val="00734B42"/>
    <w:rsid w:val="0073530D"/>
    <w:rsid w:val="007354E1"/>
    <w:rsid w:val="00735865"/>
    <w:rsid w:val="0073654A"/>
    <w:rsid w:val="00736964"/>
    <w:rsid w:val="00736C16"/>
    <w:rsid w:val="0073716E"/>
    <w:rsid w:val="00737491"/>
    <w:rsid w:val="007379DB"/>
    <w:rsid w:val="00737AAB"/>
    <w:rsid w:val="00737AEE"/>
    <w:rsid w:val="00737B23"/>
    <w:rsid w:val="00740086"/>
    <w:rsid w:val="007405AB"/>
    <w:rsid w:val="00740758"/>
    <w:rsid w:val="00740D87"/>
    <w:rsid w:val="0074117E"/>
    <w:rsid w:val="007411EF"/>
    <w:rsid w:val="0074171E"/>
    <w:rsid w:val="007417CE"/>
    <w:rsid w:val="00741861"/>
    <w:rsid w:val="00741959"/>
    <w:rsid w:val="0074199E"/>
    <w:rsid w:val="00741A44"/>
    <w:rsid w:val="00741C5B"/>
    <w:rsid w:val="00742024"/>
    <w:rsid w:val="0074262C"/>
    <w:rsid w:val="007426BF"/>
    <w:rsid w:val="007427F3"/>
    <w:rsid w:val="00742ADA"/>
    <w:rsid w:val="00742EAD"/>
    <w:rsid w:val="007430F8"/>
    <w:rsid w:val="00743323"/>
    <w:rsid w:val="00743976"/>
    <w:rsid w:val="00743A0C"/>
    <w:rsid w:val="00743C3F"/>
    <w:rsid w:val="00743D9C"/>
    <w:rsid w:val="00744949"/>
    <w:rsid w:val="00744FBE"/>
    <w:rsid w:val="0074538E"/>
    <w:rsid w:val="007457F2"/>
    <w:rsid w:val="00745A9E"/>
    <w:rsid w:val="00745ABC"/>
    <w:rsid w:val="00746466"/>
    <w:rsid w:val="0074647E"/>
    <w:rsid w:val="00746492"/>
    <w:rsid w:val="0074655A"/>
    <w:rsid w:val="0074685B"/>
    <w:rsid w:val="00746880"/>
    <w:rsid w:val="00746A13"/>
    <w:rsid w:val="00746AF2"/>
    <w:rsid w:val="00746AF4"/>
    <w:rsid w:val="00746E5F"/>
    <w:rsid w:val="007470DF"/>
    <w:rsid w:val="0074754E"/>
    <w:rsid w:val="007501BC"/>
    <w:rsid w:val="007502D6"/>
    <w:rsid w:val="0075036E"/>
    <w:rsid w:val="007511AD"/>
    <w:rsid w:val="007512B4"/>
    <w:rsid w:val="007513D8"/>
    <w:rsid w:val="00751E62"/>
    <w:rsid w:val="00752270"/>
    <w:rsid w:val="007524C0"/>
    <w:rsid w:val="007528F8"/>
    <w:rsid w:val="00753091"/>
    <w:rsid w:val="00753689"/>
    <w:rsid w:val="00753B3C"/>
    <w:rsid w:val="0075418B"/>
    <w:rsid w:val="00754383"/>
    <w:rsid w:val="007545D2"/>
    <w:rsid w:val="00754854"/>
    <w:rsid w:val="00754A4D"/>
    <w:rsid w:val="0075587D"/>
    <w:rsid w:val="00755971"/>
    <w:rsid w:val="00755FE9"/>
    <w:rsid w:val="00756090"/>
    <w:rsid w:val="007567D6"/>
    <w:rsid w:val="00756B5B"/>
    <w:rsid w:val="00757C05"/>
    <w:rsid w:val="00757DA0"/>
    <w:rsid w:val="007604B2"/>
    <w:rsid w:val="00760BB9"/>
    <w:rsid w:val="0076107F"/>
    <w:rsid w:val="00761338"/>
    <w:rsid w:val="0076164F"/>
    <w:rsid w:val="00761FB3"/>
    <w:rsid w:val="0076223E"/>
    <w:rsid w:val="007623ED"/>
    <w:rsid w:val="007627E0"/>
    <w:rsid w:val="00762848"/>
    <w:rsid w:val="00762D5B"/>
    <w:rsid w:val="007630B3"/>
    <w:rsid w:val="00763259"/>
    <w:rsid w:val="0076349B"/>
    <w:rsid w:val="007639BB"/>
    <w:rsid w:val="00763CD7"/>
    <w:rsid w:val="00764014"/>
    <w:rsid w:val="00764279"/>
    <w:rsid w:val="007648E5"/>
    <w:rsid w:val="00764ABD"/>
    <w:rsid w:val="00764AC0"/>
    <w:rsid w:val="00764CF3"/>
    <w:rsid w:val="00764D6C"/>
    <w:rsid w:val="0076511E"/>
    <w:rsid w:val="00765301"/>
    <w:rsid w:val="00765536"/>
    <w:rsid w:val="007655A5"/>
    <w:rsid w:val="007655EC"/>
    <w:rsid w:val="00765E19"/>
    <w:rsid w:val="007660C1"/>
    <w:rsid w:val="0076619C"/>
    <w:rsid w:val="007664CB"/>
    <w:rsid w:val="007668FB"/>
    <w:rsid w:val="00766CC5"/>
    <w:rsid w:val="00766F63"/>
    <w:rsid w:val="00767868"/>
    <w:rsid w:val="00767C3E"/>
    <w:rsid w:val="00767CED"/>
    <w:rsid w:val="00770952"/>
    <w:rsid w:val="00770D1E"/>
    <w:rsid w:val="00770FF1"/>
    <w:rsid w:val="007714E0"/>
    <w:rsid w:val="007717A5"/>
    <w:rsid w:val="007718F3"/>
    <w:rsid w:val="00771A65"/>
    <w:rsid w:val="00771FCC"/>
    <w:rsid w:val="0077228B"/>
    <w:rsid w:val="0077269E"/>
    <w:rsid w:val="007728EB"/>
    <w:rsid w:val="00772A71"/>
    <w:rsid w:val="0077337D"/>
    <w:rsid w:val="0077348D"/>
    <w:rsid w:val="00773A35"/>
    <w:rsid w:val="00773B1E"/>
    <w:rsid w:val="00773B7E"/>
    <w:rsid w:val="0077410B"/>
    <w:rsid w:val="0077435B"/>
    <w:rsid w:val="0077441F"/>
    <w:rsid w:val="00774695"/>
    <w:rsid w:val="007747A5"/>
    <w:rsid w:val="00774B99"/>
    <w:rsid w:val="00774D10"/>
    <w:rsid w:val="00775B54"/>
    <w:rsid w:val="00775B73"/>
    <w:rsid w:val="00775BF0"/>
    <w:rsid w:val="00775D36"/>
    <w:rsid w:val="00776112"/>
    <w:rsid w:val="007761C1"/>
    <w:rsid w:val="0077634D"/>
    <w:rsid w:val="00776779"/>
    <w:rsid w:val="007768A4"/>
    <w:rsid w:val="00776AD4"/>
    <w:rsid w:val="00776ADA"/>
    <w:rsid w:val="00776CC9"/>
    <w:rsid w:val="00776DBD"/>
    <w:rsid w:val="007770D9"/>
    <w:rsid w:val="00777455"/>
    <w:rsid w:val="00777651"/>
    <w:rsid w:val="00777701"/>
    <w:rsid w:val="007777EE"/>
    <w:rsid w:val="00777D29"/>
    <w:rsid w:val="00777D66"/>
    <w:rsid w:val="00777DB4"/>
    <w:rsid w:val="007807F6"/>
    <w:rsid w:val="00780D02"/>
    <w:rsid w:val="00781449"/>
    <w:rsid w:val="0078195F"/>
    <w:rsid w:val="0078250C"/>
    <w:rsid w:val="00782A74"/>
    <w:rsid w:val="00782C84"/>
    <w:rsid w:val="0078315C"/>
    <w:rsid w:val="00783285"/>
    <w:rsid w:val="007834C3"/>
    <w:rsid w:val="00783D70"/>
    <w:rsid w:val="00783F83"/>
    <w:rsid w:val="00784B22"/>
    <w:rsid w:val="00784BC4"/>
    <w:rsid w:val="00784E7F"/>
    <w:rsid w:val="00784EAE"/>
    <w:rsid w:val="007851E8"/>
    <w:rsid w:val="00785236"/>
    <w:rsid w:val="0078536D"/>
    <w:rsid w:val="0078593F"/>
    <w:rsid w:val="00785C6E"/>
    <w:rsid w:val="00785DC6"/>
    <w:rsid w:val="00785FF2"/>
    <w:rsid w:val="007861E2"/>
    <w:rsid w:val="00786407"/>
    <w:rsid w:val="007869A5"/>
    <w:rsid w:val="00787362"/>
    <w:rsid w:val="0078775B"/>
    <w:rsid w:val="007877A7"/>
    <w:rsid w:val="007877E6"/>
    <w:rsid w:val="00787858"/>
    <w:rsid w:val="00787A10"/>
    <w:rsid w:val="0079038C"/>
    <w:rsid w:val="00790499"/>
    <w:rsid w:val="0079052F"/>
    <w:rsid w:val="0079098A"/>
    <w:rsid w:val="00790C75"/>
    <w:rsid w:val="00791154"/>
    <w:rsid w:val="00791B0B"/>
    <w:rsid w:val="00791B88"/>
    <w:rsid w:val="00791CA7"/>
    <w:rsid w:val="00791E30"/>
    <w:rsid w:val="00791ECC"/>
    <w:rsid w:val="0079203B"/>
    <w:rsid w:val="007920CC"/>
    <w:rsid w:val="00792521"/>
    <w:rsid w:val="00792547"/>
    <w:rsid w:val="007928CB"/>
    <w:rsid w:val="00792914"/>
    <w:rsid w:val="007929E6"/>
    <w:rsid w:val="007929FD"/>
    <w:rsid w:val="00792A2F"/>
    <w:rsid w:val="00792CC7"/>
    <w:rsid w:val="00793123"/>
    <w:rsid w:val="0079346C"/>
    <w:rsid w:val="007934E1"/>
    <w:rsid w:val="0079361B"/>
    <w:rsid w:val="0079441F"/>
    <w:rsid w:val="00794AEA"/>
    <w:rsid w:val="00794CCB"/>
    <w:rsid w:val="00794E88"/>
    <w:rsid w:val="00794ED4"/>
    <w:rsid w:val="00794EDF"/>
    <w:rsid w:val="0079506B"/>
    <w:rsid w:val="00795748"/>
    <w:rsid w:val="00795937"/>
    <w:rsid w:val="00795E6A"/>
    <w:rsid w:val="00796513"/>
    <w:rsid w:val="00796E7F"/>
    <w:rsid w:val="00797801"/>
    <w:rsid w:val="00797A02"/>
    <w:rsid w:val="00797A57"/>
    <w:rsid w:val="007A07BA"/>
    <w:rsid w:val="007A0848"/>
    <w:rsid w:val="007A0AB2"/>
    <w:rsid w:val="007A1647"/>
    <w:rsid w:val="007A1A79"/>
    <w:rsid w:val="007A2143"/>
    <w:rsid w:val="007A287F"/>
    <w:rsid w:val="007A2B72"/>
    <w:rsid w:val="007A3124"/>
    <w:rsid w:val="007A3233"/>
    <w:rsid w:val="007A3831"/>
    <w:rsid w:val="007A3CB7"/>
    <w:rsid w:val="007A3D3E"/>
    <w:rsid w:val="007A3D99"/>
    <w:rsid w:val="007A41A7"/>
    <w:rsid w:val="007A48C9"/>
    <w:rsid w:val="007A4D45"/>
    <w:rsid w:val="007A50C3"/>
    <w:rsid w:val="007A52F9"/>
    <w:rsid w:val="007A53AB"/>
    <w:rsid w:val="007A5BC1"/>
    <w:rsid w:val="007A64FB"/>
    <w:rsid w:val="007A673E"/>
    <w:rsid w:val="007A6B19"/>
    <w:rsid w:val="007A6E0D"/>
    <w:rsid w:val="007A7B75"/>
    <w:rsid w:val="007B03FD"/>
    <w:rsid w:val="007B0CFB"/>
    <w:rsid w:val="007B141A"/>
    <w:rsid w:val="007B1FD5"/>
    <w:rsid w:val="007B299C"/>
    <w:rsid w:val="007B2A4A"/>
    <w:rsid w:val="007B2B40"/>
    <w:rsid w:val="007B2C58"/>
    <w:rsid w:val="007B31A4"/>
    <w:rsid w:val="007B3382"/>
    <w:rsid w:val="007B39DA"/>
    <w:rsid w:val="007B3D8D"/>
    <w:rsid w:val="007B3DB3"/>
    <w:rsid w:val="007B3E98"/>
    <w:rsid w:val="007B4508"/>
    <w:rsid w:val="007B4FA2"/>
    <w:rsid w:val="007B53AC"/>
    <w:rsid w:val="007B57A1"/>
    <w:rsid w:val="007B5EF6"/>
    <w:rsid w:val="007B6492"/>
    <w:rsid w:val="007B65BD"/>
    <w:rsid w:val="007B672A"/>
    <w:rsid w:val="007B6A84"/>
    <w:rsid w:val="007B6C30"/>
    <w:rsid w:val="007B714F"/>
    <w:rsid w:val="007B72C7"/>
    <w:rsid w:val="007B7421"/>
    <w:rsid w:val="007C0672"/>
    <w:rsid w:val="007C08EB"/>
    <w:rsid w:val="007C0A8D"/>
    <w:rsid w:val="007C0B33"/>
    <w:rsid w:val="007C0C1B"/>
    <w:rsid w:val="007C0E43"/>
    <w:rsid w:val="007C230B"/>
    <w:rsid w:val="007C2345"/>
    <w:rsid w:val="007C2AE2"/>
    <w:rsid w:val="007C2CA0"/>
    <w:rsid w:val="007C3436"/>
    <w:rsid w:val="007C398F"/>
    <w:rsid w:val="007C476B"/>
    <w:rsid w:val="007C4D6E"/>
    <w:rsid w:val="007C4E80"/>
    <w:rsid w:val="007C507E"/>
    <w:rsid w:val="007C5545"/>
    <w:rsid w:val="007C5BA0"/>
    <w:rsid w:val="007C5DFA"/>
    <w:rsid w:val="007C6DD5"/>
    <w:rsid w:val="007C7016"/>
    <w:rsid w:val="007C7517"/>
    <w:rsid w:val="007C7802"/>
    <w:rsid w:val="007C787B"/>
    <w:rsid w:val="007C7C7F"/>
    <w:rsid w:val="007D03B6"/>
    <w:rsid w:val="007D0D7A"/>
    <w:rsid w:val="007D1D01"/>
    <w:rsid w:val="007D1F0D"/>
    <w:rsid w:val="007D206D"/>
    <w:rsid w:val="007D2992"/>
    <w:rsid w:val="007D2F6A"/>
    <w:rsid w:val="007D3156"/>
    <w:rsid w:val="007D36B9"/>
    <w:rsid w:val="007D3935"/>
    <w:rsid w:val="007D3C9A"/>
    <w:rsid w:val="007D3DFE"/>
    <w:rsid w:val="007D3EFB"/>
    <w:rsid w:val="007D4032"/>
    <w:rsid w:val="007D40C8"/>
    <w:rsid w:val="007D4373"/>
    <w:rsid w:val="007D49F1"/>
    <w:rsid w:val="007D5101"/>
    <w:rsid w:val="007D52AC"/>
    <w:rsid w:val="007D58E6"/>
    <w:rsid w:val="007D606F"/>
    <w:rsid w:val="007D642B"/>
    <w:rsid w:val="007D669C"/>
    <w:rsid w:val="007D6966"/>
    <w:rsid w:val="007D7461"/>
    <w:rsid w:val="007D74AB"/>
    <w:rsid w:val="007D7C56"/>
    <w:rsid w:val="007D7E91"/>
    <w:rsid w:val="007D7F19"/>
    <w:rsid w:val="007E00B9"/>
    <w:rsid w:val="007E0177"/>
    <w:rsid w:val="007E03E7"/>
    <w:rsid w:val="007E0FCD"/>
    <w:rsid w:val="007E1027"/>
    <w:rsid w:val="007E11B9"/>
    <w:rsid w:val="007E1388"/>
    <w:rsid w:val="007E1586"/>
    <w:rsid w:val="007E16FB"/>
    <w:rsid w:val="007E1742"/>
    <w:rsid w:val="007E1E25"/>
    <w:rsid w:val="007E26EF"/>
    <w:rsid w:val="007E2B6C"/>
    <w:rsid w:val="007E2BD5"/>
    <w:rsid w:val="007E3476"/>
    <w:rsid w:val="007E356A"/>
    <w:rsid w:val="007E4154"/>
    <w:rsid w:val="007E47EF"/>
    <w:rsid w:val="007E495C"/>
    <w:rsid w:val="007E52DF"/>
    <w:rsid w:val="007E55BE"/>
    <w:rsid w:val="007E588A"/>
    <w:rsid w:val="007E5CF8"/>
    <w:rsid w:val="007E5D45"/>
    <w:rsid w:val="007E5FD1"/>
    <w:rsid w:val="007E62F7"/>
    <w:rsid w:val="007E69FC"/>
    <w:rsid w:val="007E6B98"/>
    <w:rsid w:val="007E6EDD"/>
    <w:rsid w:val="007E7210"/>
    <w:rsid w:val="007E7354"/>
    <w:rsid w:val="007E74DC"/>
    <w:rsid w:val="007E763A"/>
    <w:rsid w:val="007E79CE"/>
    <w:rsid w:val="007E7BB1"/>
    <w:rsid w:val="007E7CCD"/>
    <w:rsid w:val="007E7FC8"/>
    <w:rsid w:val="007F00FB"/>
    <w:rsid w:val="007F0190"/>
    <w:rsid w:val="007F0B1F"/>
    <w:rsid w:val="007F0FF3"/>
    <w:rsid w:val="007F1248"/>
    <w:rsid w:val="007F136B"/>
    <w:rsid w:val="007F163E"/>
    <w:rsid w:val="007F1641"/>
    <w:rsid w:val="007F178F"/>
    <w:rsid w:val="007F18ED"/>
    <w:rsid w:val="007F1EDA"/>
    <w:rsid w:val="007F2036"/>
    <w:rsid w:val="007F2147"/>
    <w:rsid w:val="007F303B"/>
    <w:rsid w:val="007F3B4A"/>
    <w:rsid w:val="007F446D"/>
    <w:rsid w:val="007F5648"/>
    <w:rsid w:val="007F59A2"/>
    <w:rsid w:val="007F5F99"/>
    <w:rsid w:val="007F60DE"/>
    <w:rsid w:val="007F637C"/>
    <w:rsid w:val="007F65AE"/>
    <w:rsid w:val="007F6814"/>
    <w:rsid w:val="007F6B7C"/>
    <w:rsid w:val="007F70DE"/>
    <w:rsid w:val="0080000B"/>
    <w:rsid w:val="00800343"/>
    <w:rsid w:val="00800B4E"/>
    <w:rsid w:val="00800D59"/>
    <w:rsid w:val="0080160D"/>
    <w:rsid w:val="0080191D"/>
    <w:rsid w:val="00801B37"/>
    <w:rsid w:val="00801D7B"/>
    <w:rsid w:val="00802177"/>
    <w:rsid w:val="00802F29"/>
    <w:rsid w:val="008034AA"/>
    <w:rsid w:val="00803577"/>
    <w:rsid w:val="008037F6"/>
    <w:rsid w:val="00803CBB"/>
    <w:rsid w:val="00803DA5"/>
    <w:rsid w:val="00804524"/>
    <w:rsid w:val="00804689"/>
    <w:rsid w:val="00804BC5"/>
    <w:rsid w:val="00804DB4"/>
    <w:rsid w:val="00805237"/>
    <w:rsid w:val="0080532D"/>
    <w:rsid w:val="0080543C"/>
    <w:rsid w:val="00805802"/>
    <w:rsid w:val="008059EE"/>
    <w:rsid w:val="008059FC"/>
    <w:rsid w:val="00805EBF"/>
    <w:rsid w:val="0080661B"/>
    <w:rsid w:val="008066EC"/>
    <w:rsid w:val="008066FB"/>
    <w:rsid w:val="00806915"/>
    <w:rsid w:val="00806A4E"/>
    <w:rsid w:val="00806C93"/>
    <w:rsid w:val="00806CA2"/>
    <w:rsid w:val="0080700E"/>
    <w:rsid w:val="00807850"/>
    <w:rsid w:val="00807930"/>
    <w:rsid w:val="00807959"/>
    <w:rsid w:val="00807E7B"/>
    <w:rsid w:val="0081027C"/>
    <w:rsid w:val="00810727"/>
    <w:rsid w:val="008108CB"/>
    <w:rsid w:val="00810F92"/>
    <w:rsid w:val="008111CA"/>
    <w:rsid w:val="00811B2C"/>
    <w:rsid w:val="00811C2E"/>
    <w:rsid w:val="00811C8C"/>
    <w:rsid w:val="00811E9A"/>
    <w:rsid w:val="008123A8"/>
    <w:rsid w:val="008123D8"/>
    <w:rsid w:val="008129B3"/>
    <w:rsid w:val="00812DD2"/>
    <w:rsid w:val="00812DF3"/>
    <w:rsid w:val="008133E9"/>
    <w:rsid w:val="0081383C"/>
    <w:rsid w:val="00814242"/>
    <w:rsid w:val="00814CC2"/>
    <w:rsid w:val="00814F3A"/>
    <w:rsid w:val="00815FA2"/>
    <w:rsid w:val="008160BA"/>
    <w:rsid w:val="0081619D"/>
    <w:rsid w:val="00816460"/>
    <w:rsid w:val="00817351"/>
    <w:rsid w:val="00817A04"/>
    <w:rsid w:val="00817E9E"/>
    <w:rsid w:val="008200D9"/>
    <w:rsid w:val="008204E4"/>
    <w:rsid w:val="008204EF"/>
    <w:rsid w:val="0082062F"/>
    <w:rsid w:val="00820773"/>
    <w:rsid w:val="0082089C"/>
    <w:rsid w:val="00820D8F"/>
    <w:rsid w:val="00821845"/>
    <w:rsid w:val="00821AB1"/>
    <w:rsid w:val="00821EDE"/>
    <w:rsid w:val="008220B4"/>
    <w:rsid w:val="0082295F"/>
    <w:rsid w:val="00822FE8"/>
    <w:rsid w:val="008231EB"/>
    <w:rsid w:val="00823299"/>
    <w:rsid w:val="0082341B"/>
    <w:rsid w:val="00823873"/>
    <w:rsid w:val="00823945"/>
    <w:rsid w:val="00823A9D"/>
    <w:rsid w:val="00823EEC"/>
    <w:rsid w:val="00824525"/>
    <w:rsid w:val="008248A0"/>
    <w:rsid w:val="00824C50"/>
    <w:rsid w:val="00824D9D"/>
    <w:rsid w:val="0082501C"/>
    <w:rsid w:val="00825547"/>
    <w:rsid w:val="00825BEA"/>
    <w:rsid w:val="00825F02"/>
    <w:rsid w:val="00825F73"/>
    <w:rsid w:val="00826241"/>
    <w:rsid w:val="0082638A"/>
    <w:rsid w:val="008264EB"/>
    <w:rsid w:val="00826E89"/>
    <w:rsid w:val="008273D2"/>
    <w:rsid w:val="0082788A"/>
    <w:rsid w:val="008279BC"/>
    <w:rsid w:val="00827F65"/>
    <w:rsid w:val="00830811"/>
    <w:rsid w:val="008308D0"/>
    <w:rsid w:val="008309AF"/>
    <w:rsid w:val="00830C05"/>
    <w:rsid w:val="00830EBC"/>
    <w:rsid w:val="008311FC"/>
    <w:rsid w:val="00831242"/>
    <w:rsid w:val="00831390"/>
    <w:rsid w:val="00831C90"/>
    <w:rsid w:val="00832045"/>
    <w:rsid w:val="00832284"/>
    <w:rsid w:val="00832683"/>
    <w:rsid w:val="00832874"/>
    <w:rsid w:val="00832D29"/>
    <w:rsid w:val="00833308"/>
    <w:rsid w:val="0083367A"/>
    <w:rsid w:val="00833C4C"/>
    <w:rsid w:val="00833C60"/>
    <w:rsid w:val="008340CB"/>
    <w:rsid w:val="00834222"/>
    <w:rsid w:val="008342B2"/>
    <w:rsid w:val="008344CE"/>
    <w:rsid w:val="00834CD5"/>
    <w:rsid w:val="00835456"/>
    <w:rsid w:val="008356F6"/>
    <w:rsid w:val="00835D9F"/>
    <w:rsid w:val="00836964"/>
    <w:rsid w:val="00837815"/>
    <w:rsid w:val="00837CC8"/>
    <w:rsid w:val="00837D41"/>
    <w:rsid w:val="0084061A"/>
    <w:rsid w:val="00840B1E"/>
    <w:rsid w:val="00840C6F"/>
    <w:rsid w:val="00840E02"/>
    <w:rsid w:val="008410EF"/>
    <w:rsid w:val="00841140"/>
    <w:rsid w:val="008412F9"/>
    <w:rsid w:val="008418E0"/>
    <w:rsid w:val="00841D33"/>
    <w:rsid w:val="00842A3D"/>
    <w:rsid w:val="00842F0E"/>
    <w:rsid w:val="0084306F"/>
    <w:rsid w:val="008435C9"/>
    <w:rsid w:val="008435F7"/>
    <w:rsid w:val="0084368A"/>
    <w:rsid w:val="0084383E"/>
    <w:rsid w:val="00843A5D"/>
    <w:rsid w:val="00843E34"/>
    <w:rsid w:val="0084426D"/>
    <w:rsid w:val="00844396"/>
    <w:rsid w:val="008448DE"/>
    <w:rsid w:val="00844988"/>
    <w:rsid w:val="00844C71"/>
    <w:rsid w:val="00845265"/>
    <w:rsid w:val="008452AC"/>
    <w:rsid w:val="0084551F"/>
    <w:rsid w:val="00845785"/>
    <w:rsid w:val="00845835"/>
    <w:rsid w:val="008459AA"/>
    <w:rsid w:val="00846029"/>
    <w:rsid w:val="00846D3A"/>
    <w:rsid w:val="00846D87"/>
    <w:rsid w:val="00847488"/>
    <w:rsid w:val="00847675"/>
    <w:rsid w:val="00847721"/>
    <w:rsid w:val="0084793A"/>
    <w:rsid w:val="008508D1"/>
    <w:rsid w:val="00850DB0"/>
    <w:rsid w:val="00850E21"/>
    <w:rsid w:val="00851353"/>
    <w:rsid w:val="008516C0"/>
    <w:rsid w:val="008520CD"/>
    <w:rsid w:val="0085231C"/>
    <w:rsid w:val="00852800"/>
    <w:rsid w:val="00853210"/>
    <w:rsid w:val="00853BA6"/>
    <w:rsid w:val="00853D82"/>
    <w:rsid w:val="00853EB4"/>
    <w:rsid w:val="008545AC"/>
    <w:rsid w:val="00854630"/>
    <w:rsid w:val="00854A50"/>
    <w:rsid w:val="00854E21"/>
    <w:rsid w:val="0085559A"/>
    <w:rsid w:val="00855EAE"/>
    <w:rsid w:val="008568E7"/>
    <w:rsid w:val="00856BC7"/>
    <w:rsid w:val="008572E4"/>
    <w:rsid w:val="00857893"/>
    <w:rsid w:val="00857A32"/>
    <w:rsid w:val="00857BDF"/>
    <w:rsid w:val="0086028B"/>
    <w:rsid w:val="008606E8"/>
    <w:rsid w:val="00860D5C"/>
    <w:rsid w:val="00861063"/>
    <w:rsid w:val="008611BC"/>
    <w:rsid w:val="0086173B"/>
    <w:rsid w:val="00861DAE"/>
    <w:rsid w:val="00861FF6"/>
    <w:rsid w:val="008620D5"/>
    <w:rsid w:val="00863CD2"/>
    <w:rsid w:val="00863EB5"/>
    <w:rsid w:val="00863EC9"/>
    <w:rsid w:val="0086401F"/>
    <w:rsid w:val="008648DC"/>
    <w:rsid w:val="00864925"/>
    <w:rsid w:val="008649B5"/>
    <w:rsid w:val="00864FFD"/>
    <w:rsid w:val="008653C3"/>
    <w:rsid w:val="00865620"/>
    <w:rsid w:val="00866333"/>
    <w:rsid w:val="00866515"/>
    <w:rsid w:val="0086663C"/>
    <w:rsid w:val="00866D48"/>
    <w:rsid w:val="00867665"/>
    <w:rsid w:val="00867905"/>
    <w:rsid w:val="0087021B"/>
    <w:rsid w:val="008705F3"/>
    <w:rsid w:val="0087074E"/>
    <w:rsid w:val="00870782"/>
    <w:rsid w:val="00870961"/>
    <w:rsid w:val="00870A5E"/>
    <w:rsid w:val="00870D42"/>
    <w:rsid w:val="00870DF8"/>
    <w:rsid w:val="00872175"/>
    <w:rsid w:val="00873079"/>
    <w:rsid w:val="008734C2"/>
    <w:rsid w:val="00873C36"/>
    <w:rsid w:val="00873E30"/>
    <w:rsid w:val="0087418F"/>
    <w:rsid w:val="008741A7"/>
    <w:rsid w:val="00874222"/>
    <w:rsid w:val="008745D9"/>
    <w:rsid w:val="00874C4E"/>
    <w:rsid w:val="00874CA7"/>
    <w:rsid w:val="0087559E"/>
    <w:rsid w:val="00875D6E"/>
    <w:rsid w:val="00875E97"/>
    <w:rsid w:val="00876D06"/>
    <w:rsid w:val="0087745F"/>
    <w:rsid w:val="008775F2"/>
    <w:rsid w:val="0088016C"/>
    <w:rsid w:val="00880178"/>
    <w:rsid w:val="008803C3"/>
    <w:rsid w:val="00880466"/>
    <w:rsid w:val="00880541"/>
    <w:rsid w:val="00880836"/>
    <w:rsid w:val="00880FB9"/>
    <w:rsid w:val="008810D4"/>
    <w:rsid w:val="00881532"/>
    <w:rsid w:val="00881B7D"/>
    <w:rsid w:val="00882515"/>
    <w:rsid w:val="00882A61"/>
    <w:rsid w:val="00882CD3"/>
    <w:rsid w:val="00882F3F"/>
    <w:rsid w:val="0088373C"/>
    <w:rsid w:val="00883744"/>
    <w:rsid w:val="008849DD"/>
    <w:rsid w:val="008849FD"/>
    <w:rsid w:val="00884A95"/>
    <w:rsid w:val="00884AA8"/>
    <w:rsid w:val="00885022"/>
    <w:rsid w:val="00885208"/>
    <w:rsid w:val="00885AEE"/>
    <w:rsid w:val="00885DB4"/>
    <w:rsid w:val="00885E8E"/>
    <w:rsid w:val="00887358"/>
    <w:rsid w:val="008875DE"/>
    <w:rsid w:val="00890169"/>
    <w:rsid w:val="0089086A"/>
    <w:rsid w:val="00890920"/>
    <w:rsid w:val="00890C8B"/>
    <w:rsid w:val="008912C3"/>
    <w:rsid w:val="008917A9"/>
    <w:rsid w:val="00891863"/>
    <w:rsid w:val="00891EE3"/>
    <w:rsid w:val="008924FF"/>
    <w:rsid w:val="00892950"/>
    <w:rsid w:val="0089315C"/>
    <w:rsid w:val="00893242"/>
    <w:rsid w:val="0089331C"/>
    <w:rsid w:val="0089346C"/>
    <w:rsid w:val="0089399A"/>
    <w:rsid w:val="00893D9A"/>
    <w:rsid w:val="008943F3"/>
    <w:rsid w:val="00894C15"/>
    <w:rsid w:val="00894EDF"/>
    <w:rsid w:val="008958D6"/>
    <w:rsid w:val="00895A66"/>
    <w:rsid w:val="00895D53"/>
    <w:rsid w:val="0089604A"/>
    <w:rsid w:val="008965DA"/>
    <w:rsid w:val="00896BCD"/>
    <w:rsid w:val="00897111"/>
    <w:rsid w:val="0089739E"/>
    <w:rsid w:val="00897A13"/>
    <w:rsid w:val="00897EBD"/>
    <w:rsid w:val="00897F3D"/>
    <w:rsid w:val="008A00F0"/>
    <w:rsid w:val="008A05B8"/>
    <w:rsid w:val="008A06C4"/>
    <w:rsid w:val="008A06D6"/>
    <w:rsid w:val="008A0761"/>
    <w:rsid w:val="008A0BC2"/>
    <w:rsid w:val="008A1014"/>
    <w:rsid w:val="008A1730"/>
    <w:rsid w:val="008A17E7"/>
    <w:rsid w:val="008A1BAC"/>
    <w:rsid w:val="008A1E91"/>
    <w:rsid w:val="008A2412"/>
    <w:rsid w:val="008A299D"/>
    <w:rsid w:val="008A2C0A"/>
    <w:rsid w:val="008A2C6F"/>
    <w:rsid w:val="008A3048"/>
    <w:rsid w:val="008A33FF"/>
    <w:rsid w:val="008A34CC"/>
    <w:rsid w:val="008A34DC"/>
    <w:rsid w:val="008A375C"/>
    <w:rsid w:val="008A3BAA"/>
    <w:rsid w:val="008A3DEE"/>
    <w:rsid w:val="008A3E3C"/>
    <w:rsid w:val="008A44F4"/>
    <w:rsid w:val="008A44FF"/>
    <w:rsid w:val="008A4B03"/>
    <w:rsid w:val="008A4D41"/>
    <w:rsid w:val="008A4E63"/>
    <w:rsid w:val="008A534D"/>
    <w:rsid w:val="008A56B1"/>
    <w:rsid w:val="008A5B18"/>
    <w:rsid w:val="008A6056"/>
    <w:rsid w:val="008A6A3A"/>
    <w:rsid w:val="008A6AFB"/>
    <w:rsid w:val="008A6F0F"/>
    <w:rsid w:val="008A6FE6"/>
    <w:rsid w:val="008A7496"/>
    <w:rsid w:val="008A7D3D"/>
    <w:rsid w:val="008A7F46"/>
    <w:rsid w:val="008B018D"/>
    <w:rsid w:val="008B02B4"/>
    <w:rsid w:val="008B0F10"/>
    <w:rsid w:val="008B1083"/>
    <w:rsid w:val="008B153E"/>
    <w:rsid w:val="008B1627"/>
    <w:rsid w:val="008B1A29"/>
    <w:rsid w:val="008B1C7E"/>
    <w:rsid w:val="008B1FB3"/>
    <w:rsid w:val="008B1FFF"/>
    <w:rsid w:val="008B21CF"/>
    <w:rsid w:val="008B29D9"/>
    <w:rsid w:val="008B2CA6"/>
    <w:rsid w:val="008B2E05"/>
    <w:rsid w:val="008B31A2"/>
    <w:rsid w:val="008B3640"/>
    <w:rsid w:val="008B4536"/>
    <w:rsid w:val="008B465F"/>
    <w:rsid w:val="008B4C7C"/>
    <w:rsid w:val="008B5190"/>
    <w:rsid w:val="008B536D"/>
    <w:rsid w:val="008B5A18"/>
    <w:rsid w:val="008B5CC8"/>
    <w:rsid w:val="008B5CE3"/>
    <w:rsid w:val="008B6081"/>
    <w:rsid w:val="008B61C6"/>
    <w:rsid w:val="008B6517"/>
    <w:rsid w:val="008B67CA"/>
    <w:rsid w:val="008B688D"/>
    <w:rsid w:val="008B6D05"/>
    <w:rsid w:val="008B6FC8"/>
    <w:rsid w:val="008B77B8"/>
    <w:rsid w:val="008B797D"/>
    <w:rsid w:val="008B7D64"/>
    <w:rsid w:val="008B7ECE"/>
    <w:rsid w:val="008B7F44"/>
    <w:rsid w:val="008C08BC"/>
    <w:rsid w:val="008C0BCB"/>
    <w:rsid w:val="008C0D51"/>
    <w:rsid w:val="008C102B"/>
    <w:rsid w:val="008C1127"/>
    <w:rsid w:val="008C19D9"/>
    <w:rsid w:val="008C1C68"/>
    <w:rsid w:val="008C1E9D"/>
    <w:rsid w:val="008C2008"/>
    <w:rsid w:val="008C2413"/>
    <w:rsid w:val="008C24EF"/>
    <w:rsid w:val="008C298B"/>
    <w:rsid w:val="008C2C3A"/>
    <w:rsid w:val="008C3164"/>
    <w:rsid w:val="008C33DE"/>
    <w:rsid w:val="008C3474"/>
    <w:rsid w:val="008C455F"/>
    <w:rsid w:val="008C4FD9"/>
    <w:rsid w:val="008C5117"/>
    <w:rsid w:val="008C6042"/>
    <w:rsid w:val="008C6210"/>
    <w:rsid w:val="008C6AD1"/>
    <w:rsid w:val="008C6E87"/>
    <w:rsid w:val="008C6FBB"/>
    <w:rsid w:val="008C709D"/>
    <w:rsid w:val="008C7145"/>
    <w:rsid w:val="008C7A6C"/>
    <w:rsid w:val="008D0086"/>
    <w:rsid w:val="008D0236"/>
    <w:rsid w:val="008D08C0"/>
    <w:rsid w:val="008D0B7C"/>
    <w:rsid w:val="008D0F94"/>
    <w:rsid w:val="008D1717"/>
    <w:rsid w:val="008D2840"/>
    <w:rsid w:val="008D2B78"/>
    <w:rsid w:val="008D35CA"/>
    <w:rsid w:val="008D4F64"/>
    <w:rsid w:val="008D4F6B"/>
    <w:rsid w:val="008D5138"/>
    <w:rsid w:val="008D5397"/>
    <w:rsid w:val="008D5EAA"/>
    <w:rsid w:val="008D62E8"/>
    <w:rsid w:val="008D67F2"/>
    <w:rsid w:val="008D6D51"/>
    <w:rsid w:val="008D6D93"/>
    <w:rsid w:val="008D6EB1"/>
    <w:rsid w:val="008D6F1B"/>
    <w:rsid w:val="008D7E9A"/>
    <w:rsid w:val="008E038E"/>
    <w:rsid w:val="008E0457"/>
    <w:rsid w:val="008E0DBE"/>
    <w:rsid w:val="008E135B"/>
    <w:rsid w:val="008E13F4"/>
    <w:rsid w:val="008E182B"/>
    <w:rsid w:val="008E1C25"/>
    <w:rsid w:val="008E26B2"/>
    <w:rsid w:val="008E27EA"/>
    <w:rsid w:val="008E28E6"/>
    <w:rsid w:val="008E2AFF"/>
    <w:rsid w:val="008E2BA5"/>
    <w:rsid w:val="008E3373"/>
    <w:rsid w:val="008E33C6"/>
    <w:rsid w:val="008E3992"/>
    <w:rsid w:val="008E3D51"/>
    <w:rsid w:val="008E3FC7"/>
    <w:rsid w:val="008E51C2"/>
    <w:rsid w:val="008E584A"/>
    <w:rsid w:val="008E5926"/>
    <w:rsid w:val="008E5BB3"/>
    <w:rsid w:val="008E5CD4"/>
    <w:rsid w:val="008E6265"/>
    <w:rsid w:val="008E6267"/>
    <w:rsid w:val="008E6A29"/>
    <w:rsid w:val="008E6A31"/>
    <w:rsid w:val="008E7670"/>
    <w:rsid w:val="008E778B"/>
    <w:rsid w:val="008E77AD"/>
    <w:rsid w:val="008E7969"/>
    <w:rsid w:val="008E7B76"/>
    <w:rsid w:val="008E7E2D"/>
    <w:rsid w:val="008E7F61"/>
    <w:rsid w:val="008F0798"/>
    <w:rsid w:val="008F0C06"/>
    <w:rsid w:val="008F10B7"/>
    <w:rsid w:val="008F11A4"/>
    <w:rsid w:val="008F28B6"/>
    <w:rsid w:val="008F2954"/>
    <w:rsid w:val="008F2B47"/>
    <w:rsid w:val="008F2EA0"/>
    <w:rsid w:val="008F30CB"/>
    <w:rsid w:val="008F3293"/>
    <w:rsid w:val="008F38FF"/>
    <w:rsid w:val="008F3CD1"/>
    <w:rsid w:val="008F3EBA"/>
    <w:rsid w:val="008F4482"/>
    <w:rsid w:val="008F457D"/>
    <w:rsid w:val="008F47ED"/>
    <w:rsid w:val="008F47FF"/>
    <w:rsid w:val="008F4A09"/>
    <w:rsid w:val="008F4ADC"/>
    <w:rsid w:val="008F4CF8"/>
    <w:rsid w:val="008F4F33"/>
    <w:rsid w:val="008F549A"/>
    <w:rsid w:val="008F54ED"/>
    <w:rsid w:val="008F5747"/>
    <w:rsid w:val="008F5973"/>
    <w:rsid w:val="008F5A55"/>
    <w:rsid w:val="008F5EA2"/>
    <w:rsid w:val="008F6371"/>
    <w:rsid w:val="008F6552"/>
    <w:rsid w:val="008F69F0"/>
    <w:rsid w:val="008F69FE"/>
    <w:rsid w:val="008F6C85"/>
    <w:rsid w:val="008F6FD0"/>
    <w:rsid w:val="008F7145"/>
    <w:rsid w:val="008F7722"/>
    <w:rsid w:val="008F77BE"/>
    <w:rsid w:val="008F786A"/>
    <w:rsid w:val="008F7ADD"/>
    <w:rsid w:val="008F7C32"/>
    <w:rsid w:val="008F7F39"/>
    <w:rsid w:val="009009D6"/>
    <w:rsid w:val="00900D35"/>
    <w:rsid w:val="00900EA5"/>
    <w:rsid w:val="00900F32"/>
    <w:rsid w:val="00901615"/>
    <w:rsid w:val="00901E68"/>
    <w:rsid w:val="009026BE"/>
    <w:rsid w:val="00902A01"/>
    <w:rsid w:val="009035E7"/>
    <w:rsid w:val="009036ED"/>
    <w:rsid w:val="009038F8"/>
    <w:rsid w:val="009046AD"/>
    <w:rsid w:val="009051BC"/>
    <w:rsid w:val="00905988"/>
    <w:rsid w:val="00905ECE"/>
    <w:rsid w:val="00905EE9"/>
    <w:rsid w:val="0090675E"/>
    <w:rsid w:val="0090684D"/>
    <w:rsid w:val="00906BBF"/>
    <w:rsid w:val="00907139"/>
    <w:rsid w:val="00907457"/>
    <w:rsid w:val="00907F6A"/>
    <w:rsid w:val="00910419"/>
    <w:rsid w:val="009105CD"/>
    <w:rsid w:val="00910A04"/>
    <w:rsid w:val="00910D66"/>
    <w:rsid w:val="00910E7D"/>
    <w:rsid w:val="0091129C"/>
    <w:rsid w:val="009113BB"/>
    <w:rsid w:val="00911590"/>
    <w:rsid w:val="0091341A"/>
    <w:rsid w:val="009134EC"/>
    <w:rsid w:val="00913704"/>
    <w:rsid w:val="00913B3A"/>
    <w:rsid w:val="00915064"/>
    <w:rsid w:val="009155BF"/>
    <w:rsid w:val="00916139"/>
    <w:rsid w:val="009161FF"/>
    <w:rsid w:val="009164DA"/>
    <w:rsid w:val="00916B66"/>
    <w:rsid w:val="00916D6A"/>
    <w:rsid w:val="00916FCF"/>
    <w:rsid w:val="00917341"/>
    <w:rsid w:val="00917D04"/>
    <w:rsid w:val="00920075"/>
    <w:rsid w:val="0092009E"/>
    <w:rsid w:val="009205CE"/>
    <w:rsid w:val="00920BA3"/>
    <w:rsid w:val="00920EA8"/>
    <w:rsid w:val="00921343"/>
    <w:rsid w:val="0092136F"/>
    <w:rsid w:val="00921F48"/>
    <w:rsid w:val="00922481"/>
    <w:rsid w:val="00922C2C"/>
    <w:rsid w:val="00922D47"/>
    <w:rsid w:val="00923777"/>
    <w:rsid w:val="00923829"/>
    <w:rsid w:val="009238AF"/>
    <w:rsid w:val="00924950"/>
    <w:rsid w:val="009255F9"/>
    <w:rsid w:val="00925674"/>
    <w:rsid w:val="0092579F"/>
    <w:rsid w:val="009257E1"/>
    <w:rsid w:val="00925932"/>
    <w:rsid w:val="009269B5"/>
    <w:rsid w:val="00927C34"/>
    <w:rsid w:val="00927C37"/>
    <w:rsid w:val="009300E5"/>
    <w:rsid w:val="009308B8"/>
    <w:rsid w:val="00930B5F"/>
    <w:rsid w:val="00930B79"/>
    <w:rsid w:val="00930F24"/>
    <w:rsid w:val="00931038"/>
    <w:rsid w:val="00931BC4"/>
    <w:rsid w:val="00932421"/>
    <w:rsid w:val="00933008"/>
    <w:rsid w:val="0093306F"/>
    <w:rsid w:val="0093319A"/>
    <w:rsid w:val="00934163"/>
    <w:rsid w:val="00934174"/>
    <w:rsid w:val="00934D95"/>
    <w:rsid w:val="00935345"/>
    <w:rsid w:val="00936307"/>
    <w:rsid w:val="00936B19"/>
    <w:rsid w:val="0093714B"/>
    <w:rsid w:val="009372BD"/>
    <w:rsid w:val="0093778C"/>
    <w:rsid w:val="009377E3"/>
    <w:rsid w:val="00937A13"/>
    <w:rsid w:val="00937BCC"/>
    <w:rsid w:val="00937F8C"/>
    <w:rsid w:val="00937F99"/>
    <w:rsid w:val="00940728"/>
    <w:rsid w:val="00940952"/>
    <w:rsid w:val="00940ABC"/>
    <w:rsid w:val="00940EF6"/>
    <w:rsid w:val="009413D0"/>
    <w:rsid w:val="00941426"/>
    <w:rsid w:val="00941D6A"/>
    <w:rsid w:val="0094262A"/>
    <w:rsid w:val="00942A79"/>
    <w:rsid w:val="00942BF7"/>
    <w:rsid w:val="00942E78"/>
    <w:rsid w:val="009431F6"/>
    <w:rsid w:val="009435EB"/>
    <w:rsid w:val="00943C8C"/>
    <w:rsid w:val="00943E4A"/>
    <w:rsid w:val="00943E9E"/>
    <w:rsid w:val="0094485D"/>
    <w:rsid w:val="00944A57"/>
    <w:rsid w:val="00944A96"/>
    <w:rsid w:val="00945692"/>
    <w:rsid w:val="00945895"/>
    <w:rsid w:val="00946934"/>
    <w:rsid w:val="00946CBE"/>
    <w:rsid w:val="00950667"/>
    <w:rsid w:val="009506CB"/>
    <w:rsid w:val="00950B57"/>
    <w:rsid w:val="0095168C"/>
    <w:rsid w:val="00951E33"/>
    <w:rsid w:val="00952501"/>
    <w:rsid w:val="00953581"/>
    <w:rsid w:val="00953CC6"/>
    <w:rsid w:val="0095439D"/>
    <w:rsid w:val="009564FF"/>
    <w:rsid w:val="00956517"/>
    <w:rsid w:val="0095653E"/>
    <w:rsid w:val="0095659E"/>
    <w:rsid w:val="00956EF8"/>
    <w:rsid w:val="0095709E"/>
    <w:rsid w:val="0095713D"/>
    <w:rsid w:val="009574FF"/>
    <w:rsid w:val="00957B60"/>
    <w:rsid w:val="00957E07"/>
    <w:rsid w:val="00957F67"/>
    <w:rsid w:val="00960389"/>
    <w:rsid w:val="00960863"/>
    <w:rsid w:val="00960B35"/>
    <w:rsid w:val="00960BFE"/>
    <w:rsid w:val="00960D2A"/>
    <w:rsid w:val="00961902"/>
    <w:rsid w:val="00961BC6"/>
    <w:rsid w:val="00961E77"/>
    <w:rsid w:val="009620AE"/>
    <w:rsid w:val="00962257"/>
    <w:rsid w:val="00962A9C"/>
    <w:rsid w:val="00962AD1"/>
    <w:rsid w:val="00962D55"/>
    <w:rsid w:val="00963240"/>
    <w:rsid w:val="00963467"/>
    <w:rsid w:val="0096360D"/>
    <w:rsid w:val="00963F67"/>
    <w:rsid w:val="00964207"/>
    <w:rsid w:val="0096427B"/>
    <w:rsid w:val="009642E3"/>
    <w:rsid w:val="009643AA"/>
    <w:rsid w:val="0096449F"/>
    <w:rsid w:val="00964662"/>
    <w:rsid w:val="0096470E"/>
    <w:rsid w:val="0096488C"/>
    <w:rsid w:val="00964905"/>
    <w:rsid w:val="00964D25"/>
    <w:rsid w:val="00965524"/>
    <w:rsid w:val="0096579B"/>
    <w:rsid w:val="0096595E"/>
    <w:rsid w:val="00965C27"/>
    <w:rsid w:val="00965CF0"/>
    <w:rsid w:val="009667DE"/>
    <w:rsid w:val="00966933"/>
    <w:rsid w:val="009674F3"/>
    <w:rsid w:val="009707AF"/>
    <w:rsid w:val="0097121F"/>
    <w:rsid w:val="00971574"/>
    <w:rsid w:val="00971680"/>
    <w:rsid w:val="00971B61"/>
    <w:rsid w:val="00971D08"/>
    <w:rsid w:val="009721D6"/>
    <w:rsid w:val="0097248F"/>
    <w:rsid w:val="009724E3"/>
    <w:rsid w:val="00972914"/>
    <w:rsid w:val="00972C45"/>
    <w:rsid w:val="00972F47"/>
    <w:rsid w:val="009735D1"/>
    <w:rsid w:val="009735EA"/>
    <w:rsid w:val="009736C1"/>
    <w:rsid w:val="00973FCC"/>
    <w:rsid w:val="00974038"/>
    <w:rsid w:val="00974127"/>
    <w:rsid w:val="00974320"/>
    <w:rsid w:val="009747C7"/>
    <w:rsid w:val="00974AE6"/>
    <w:rsid w:val="00974F37"/>
    <w:rsid w:val="00975A20"/>
    <w:rsid w:val="009766A8"/>
    <w:rsid w:val="00976DD5"/>
    <w:rsid w:val="00976F42"/>
    <w:rsid w:val="00977136"/>
    <w:rsid w:val="00977465"/>
    <w:rsid w:val="009778EA"/>
    <w:rsid w:val="00977CEE"/>
    <w:rsid w:val="00977EF3"/>
    <w:rsid w:val="0098033E"/>
    <w:rsid w:val="00980A8E"/>
    <w:rsid w:val="00980BC0"/>
    <w:rsid w:val="00981051"/>
    <w:rsid w:val="0098182F"/>
    <w:rsid w:val="00981DE0"/>
    <w:rsid w:val="00982298"/>
    <w:rsid w:val="009823F4"/>
    <w:rsid w:val="00982765"/>
    <w:rsid w:val="0098292C"/>
    <w:rsid w:val="00982A50"/>
    <w:rsid w:val="00982F9B"/>
    <w:rsid w:val="009834B1"/>
    <w:rsid w:val="009837DB"/>
    <w:rsid w:val="00983BDB"/>
    <w:rsid w:val="00983ED8"/>
    <w:rsid w:val="0098446E"/>
    <w:rsid w:val="00984488"/>
    <w:rsid w:val="0098452E"/>
    <w:rsid w:val="00984E7F"/>
    <w:rsid w:val="00984F36"/>
    <w:rsid w:val="009851DF"/>
    <w:rsid w:val="00985BE6"/>
    <w:rsid w:val="00986735"/>
    <w:rsid w:val="009868A0"/>
    <w:rsid w:val="00986C5C"/>
    <w:rsid w:val="00987088"/>
    <w:rsid w:val="009873A0"/>
    <w:rsid w:val="009873D9"/>
    <w:rsid w:val="009878FA"/>
    <w:rsid w:val="00987E5E"/>
    <w:rsid w:val="00990437"/>
    <w:rsid w:val="009904A3"/>
    <w:rsid w:val="009904C1"/>
    <w:rsid w:val="009906CA"/>
    <w:rsid w:val="00990C93"/>
    <w:rsid w:val="00990ED2"/>
    <w:rsid w:val="009912CD"/>
    <w:rsid w:val="00991750"/>
    <w:rsid w:val="00991A7A"/>
    <w:rsid w:val="009922CE"/>
    <w:rsid w:val="00992B79"/>
    <w:rsid w:val="00992E2B"/>
    <w:rsid w:val="0099315B"/>
    <w:rsid w:val="009941B8"/>
    <w:rsid w:val="00994589"/>
    <w:rsid w:val="00994937"/>
    <w:rsid w:val="00994D11"/>
    <w:rsid w:val="00995E74"/>
    <w:rsid w:val="00996AE5"/>
    <w:rsid w:val="00996EEE"/>
    <w:rsid w:val="00997260"/>
    <w:rsid w:val="00997810"/>
    <w:rsid w:val="00997E30"/>
    <w:rsid w:val="009A0471"/>
    <w:rsid w:val="009A07C4"/>
    <w:rsid w:val="009A08AF"/>
    <w:rsid w:val="009A0B4A"/>
    <w:rsid w:val="009A0C2A"/>
    <w:rsid w:val="009A0DC4"/>
    <w:rsid w:val="009A14E7"/>
    <w:rsid w:val="009A17EF"/>
    <w:rsid w:val="009A1898"/>
    <w:rsid w:val="009A1DAE"/>
    <w:rsid w:val="009A1F71"/>
    <w:rsid w:val="009A211B"/>
    <w:rsid w:val="009A2569"/>
    <w:rsid w:val="009A2A43"/>
    <w:rsid w:val="009A2A91"/>
    <w:rsid w:val="009A2EDF"/>
    <w:rsid w:val="009A328B"/>
    <w:rsid w:val="009A3684"/>
    <w:rsid w:val="009A3834"/>
    <w:rsid w:val="009A3E8B"/>
    <w:rsid w:val="009A3FAC"/>
    <w:rsid w:val="009A44BC"/>
    <w:rsid w:val="009A516B"/>
    <w:rsid w:val="009A5422"/>
    <w:rsid w:val="009A5A94"/>
    <w:rsid w:val="009A5ACE"/>
    <w:rsid w:val="009A5E50"/>
    <w:rsid w:val="009A60E6"/>
    <w:rsid w:val="009A622D"/>
    <w:rsid w:val="009A6350"/>
    <w:rsid w:val="009A66B0"/>
    <w:rsid w:val="009A6F5A"/>
    <w:rsid w:val="009A7207"/>
    <w:rsid w:val="009A720B"/>
    <w:rsid w:val="009A731C"/>
    <w:rsid w:val="009A7890"/>
    <w:rsid w:val="009A7C35"/>
    <w:rsid w:val="009A7E51"/>
    <w:rsid w:val="009B04B4"/>
    <w:rsid w:val="009B0EBB"/>
    <w:rsid w:val="009B0F1F"/>
    <w:rsid w:val="009B156A"/>
    <w:rsid w:val="009B1D6D"/>
    <w:rsid w:val="009B29B5"/>
    <w:rsid w:val="009B2C53"/>
    <w:rsid w:val="009B3221"/>
    <w:rsid w:val="009B32D0"/>
    <w:rsid w:val="009B34F1"/>
    <w:rsid w:val="009B3678"/>
    <w:rsid w:val="009B3C70"/>
    <w:rsid w:val="009B3E79"/>
    <w:rsid w:val="009B4240"/>
    <w:rsid w:val="009B4849"/>
    <w:rsid w:val="009B4B63"/>
    <w:rsid w:val="009B5010"/>
    <w:rsid w:val="009B54FC"/>
    <w:rsid w:val="009B5671"/>
    <w:rsid w:val="009B5C97"/>
    <w:rsid w:val="009B5ED8"/>
    <w:rsid w:val="009B5EE1"/>
    <w:rsid w:val="009B5F15"/>
    <w:rsid w:val="009B62CC"/>
    <w:rsid w:val="009B63F5"/>
    <w:rsid w:val="009B6D32"/>
    <w:rsid w:val="009B71C1"/>
    <w:rsid w:val="009B72B7"/>
    <w:rsid w:val="009B73FD"/>
    <w:rsid w:val="009B7443"/>
    <w:rsid w:val="009B7570"/>
    <w:rsid w:val="009B75CF"/>
    <w:rsid w:val="009B7716"/>
    <w:rsid w:val="009B7E95"/>
    <w:rsid w:val="009B7FA7"/>
    <w:rsid w:val="009C02D2"/>
    <w:rsid w:val="009C06E1"/>
    <w:rsid w:val="009C0FAE"/>
    <w:rsid w:val="009C10DF"/>
    <w:rsid w:val="009C12E2"/>
    <w:rsid w:val="009C137D"/>
    <w:rsid w:val="009C1CAA"/>
    <w:rsid w:val="009C1E32"/>
    <w:rsid w:val="009C200C"/>
    <w:rsid w:val="009C237B"/>
    <w:rsid w:val="009C273B"/>
    <w:rsid w:val="009C2BC7"/>
    <w:rsid w:val="009C3086"/>
    <w:rsid w:val="009C3A45"/>
    <w:rsid w:val="009C3C8B"/>
    <w:rsid w:val="009C4001"/>
    <w:rsid w:val="009C4197"/>
    <w:rsid w:val="009C4271"/>
    <w:rsid w:val="009C44E9"/>
    <w:rsid w:val="009C4CD2"/>
    <w:rsid w:val="009C5C82"/>
    <w:rsid w:val="009C5D84"/>
    <w:rsid w:val="009C5E85"/>
    <w:rsid w:val="009C62F9"/>
    <w:rsid w:val="009C6637"/>
    <w:rsid w:val="009C6843"/>
    <w:rsid w:val="009C6BDD"/>
    <w:rsid w:val="009C78B5"/>
    <w:rsid w:val="009C7FA3"/>
    <w:rsid w:val="009D0370"/>
    <w:rsid w:val="009D0480"/>
    <w:rsid w:val="009D0D90"/>
    <w:rsid w:val="009D0FDB"/>
    <w:rsid w:val="009D11A6"/>
    <w:rsid w:val="009D2595"/>
    <w:rsid w:val="009D2DEA"/>
    <w:rsid w:val="009D3034"/>
    <w:rsid w:val="009D36CE"/>
    <w:rsid w:val="009D4676"/>
    <w:rsid w:val="009D4807"/>
    <w:rsid w:val="009D4966"/>
    <w:rsid w:val="009D4B37"/>
    <w:rsid w:val="009D58C6"/>
    <w:rsid w:val="009D592A"/>
    <w:rsid w:val="009D594E"/>
    <w:rsid w:val="009D6E6B"/>
    <w:rsid w:val="009D743C"/>
    <w:rsid w:val="009D7448"/>
    <w:rsid w:val="009D74AB"/>
    <w:rsid w:val="009E102C"/>
    <w:rsid w:val="009E104E"/>
    <w:rsid w:val="009E1497"/>
    <w:rsid w:val="009E14B4"/>
    <w:rsid w:val="009E196E"/>
    <w:rsid w:val="009E2918"/>
    <w:rsid w:val="009E2932"/>
    <w:rsid w:val="009E3879"/>
    <w:rsid w:val="009E407A"/>
    <w:rsid w:val="009E408C"/>
    <w:rsid w:val="009E44AC"/>
    <w:rsid w:val="009E4505"/>
    <w:rsid w:val="009E4DCA"/>
    <w:rsid w:val="009E55D9"/>
    <w:rsid w:val="009E55F6"/>
    <w:rsid w:val="009E5CBC"/>
    <w:rsid w:val="009E5FE9"/>
    <w:rsid w:val="009E6619"/>
    <w:rsid w:val="009E6AF3"/>
    <w:rsid w:val="009E6BC2"/>
    <w:rsid w:val="009E6F45"/>
    <w:rsid w:val="009E7DB8"/>
    <w:rsid w:val="009F0534"/>
    <w:rsid w:val="009F095A"/>
    <w:rsid w:val="009F158E"/>
    <w:rsid w:val="009F1A4E"/>
    <w:rsid w:val="009F2552"/>
    <w:rsid w:val="009F29CF"/>
    <w:rsid w:val="009F2E8B"/>
    <w:rsid w:val="009F3032"/>
    <w:rsid w:val="009F3674"/>
    <w:rsid w:val="009F3782"/>
    <w:rsid w:val="009F3C66"/>
    <w:rsid w:val="009F3E64"/>
    <w:rsid w:val="009F4518"/>
    <w:rsid w:val="009F47A9"/>
    <w:rsid w:val="009F4877"/>
    <w:rsid w:val="009F4F75"/>
    <w:rsid w:val="009F50FB"/>
    <w:rsid w:val="009F5A5B"/>
    <w:rsid w:val="009F5C8B"/>
    <w:rsid w:val="009F5C9B"/>
    <w:rsid w:val="009F69B0"/>
    <w:rsid w:val="009F69DB"/>
    <w:rsid w:val="009F69DD"/>
    <w:rsid w:val="009F6AD3"/>
    <w:rsid w:val="009F6FE8"/>
    <w:rsid w:val="009F7519"/>
    <w:rsid w:val="009F7806"/>
    <w:rsid w:val="009F7F00"/>
    <w:rsid w:val="00A0004E"/>
    <w:rsid w:val="00A000B2"/>
    <w:rsid w:val="00A00239"/>
    <w:rsid w:val="00A00387"/>
    <w:rsid w:val="00A00519"/>
    <w:rsid w:val="00A0079F"/>
    <w:rsid w:val="00A00EED"/>
    <w:rsid w:val="00A00EF0"/>
    <w:rsid w:val="00A01283"/>
    <w:rsid w:val="00A01F1D"/>
    <w:rsid w:val="00A020AC"/>
    <w:rsid w:val="00A02134"/>
    <w:rsid w:val="00A02557"/>
    <w:rsid w:val="00A02606"/>
    <w:rsid w:val="00A0320B"/>
    <w:rsid w:val="00A03288"/>
    <w:rsid w:val="00A036E6"/>
    <w:rsid w:val="00A036F7"/>
    <w:rsid w:val="00A041B6"/>
    <w:rsid w:val="00A0436E"/>
    <w:rsid w:val="00A054C8"/>
    <w:rsid w:val="00A05937"/>
    <w:rsid w:val="00A059A8"/>
    <w:rsid w:val="00A05AFA"/>
    <w:rsid w:val="00A05C35"/>
    <w:rsid w:val="00A05C88"/>
    <w:rsid w:val="00A05E08"/>
    <w:rsid w:val="00A060E2"/>
    <w:rsid w:val="00A06137"/>
    <w:rsid w:val="00A06947"/>
    <w:rsid w:val="00A06ABB"/>
    <w:rsid w:val="00A0716B"/>
    <w:rsid w:val="00A07547"/>
    <w:rsid w:val="00A07684"/>
    <w:rsid w:val="00A07BDB"/>
    <w:rsid w:val="00A10A0E"/>
    <w:rsid w:val="00A10A35"/>
    <w:rsid w:val="00A1120C"/>
    <w:rsid w:val="00A11658"/>
    <w:rsid w:val="00A116D1"/>
    <w:rsid w:val="00A11A6D"/>
    <w:rsid w:val="00A12190"/>
    <w:rsid w:val="00A123B4"/>
    <w:rsid w:val="00A124A8"/>
    <w:rsid w:val="00A12B82"/>
    <w:rsid w:val="00A13063"/>
    <w:rsid w:val="00A130DD"/>
    <w:rsid w:val="00A131B1"/>
    <w:rsid w:val="00A13577"/>
    <w:rsid w:val="00A1358E"/>
    <w:rsid w:val="00A139D1"/>
    <w:rsid w:val="00A13A3C"/>
    <w:rsid w:val="00A13A3D"/>
    <w:rsid w:val="00A13E71"/>
    <w:rsid w:val="00A142BC"/>
    <w:rsid w:val="00A143C5"/>
    <w:rsid w:val="00A148FF"/>
    <w:rsid w:val="00A14FAF"/>
    <w:rsid w:val="00A1504E"/>
    <w:rsid w:val="00A15186"/>
    <w:rsid w:val="00A15F0A"/>
    <w:rsid w:val="00A16EE7"/>
    <w:rsid w:val="00A16F7D"/>
    <w:rsid w:val="00A16FFA"/>
    <w:rsid w:val="00A177F9"/>
    <w:rsid w:val="00A20199"/>
    <w:rsid w:val="00A20848"/>
    <w:rsid w:val="00A20FC6"/>
    <w:rsid w:val="00A21142"/>
    <w:rsid w:val="00A220E4"/>
    <w:rsid w:val="00A22251"/>
    <w:rsid w:val="00A22306"/>
    <w:rsid w:val="00A22EB2"/>
    <w:rsid w:val="00A238C4"/>
    <w:rsid w:val="00A23D82"/>
    <w:rsid w:val="00A241BC"/>
    <w:rsid w:val="00A247AA"/>
    <w:rsid w:val="00A24AD1"/>
    <w:rsid w:val="00A24BDF"/>
    <w:rsid w:val="00A25229"/>
    <w:rsid w:val="00A25656"/>
    <w:rsid w:val="00A256A1"/>
    <w:rsid w:val="00A258E2"/>
    <w:rsid w:val="00A26026"/>
    <w:rsid w:val="00A2602A"/>
    <w:rsid w:val="00A262F0"/>
    <w:rsid w:val="00A264A4"/>
    <w:rsid w:val="00A26A68"/>
    <w:rsid w:val="00A27A45"/>
    <w:rsid w:val="00A27DAA"/>
    <w:rsid w:val="00A30EFD"/>
    <w:rsid w:val="00A31052"/>
    <w:rsid w:val="00A31318"/>
    <w:rsid w:val="00A315A1"/>
    <w:rsid w:val="00A31D9D"/>
    <w:rsid w:val="00A31DAC"/>
    <w:rsid w:val="00A3232F"/>
    <w:rsid w:val="00A3246C"/>
    <w:rsid w:val="00A3257B"/>
    <w:rsid w:val="00A32EDE"/>
    <w:rsid w:val="00A33083"/>
    <w:rsid w:val="00A33271"/>
    <w:rsid w:val="00A33574"/>
    <w:rsid w:val="00A33BE4"/>
    <w:rsid w:val="00A33C45"/>
    <w:rsid w:val="00A3408F"/>
    <w:rsid w:val="00A347AB"/>
    <w:rsid w:val="00A34E1E"/>
    <w:rsid w:val="00A35111"/>
    <w:rsid w:val="00A3511D"/>
    <w:rsid w:val="00A3532E"/>
    <w:rsid w:val="00A3577D"/>
    <w:rsid w:val="00A35E9D"/>
    <w:rsid w:val="00A3613D"/>
    <w:rsid w:val="00A36DBD"/>
    <w:rsid w:val="00A36E34"/>
    <w:rsid w:val="00A37265"/>
    <w:rsid w:val="00A375BB"/>
    <w:rsid w:val="00A378D0"/>
    <w:rsid w:val="00A37B04"/>
    <w:rsid w:val="00A37DA4"/>
    <w:rsid w:val="00A40114"/>
    <w:rsid w:val="00A40548"/>
    <w:rsid w:val="00A40942"/>
    <w:rsid w:val="00A409A1"/>
    <w:rsid w:val="00A41233"/>
    <w:rsid w:val="00A4148E"/>
    <w:rsid w:val="00A41A93"/>
    <w:rsid w:val="00A421A7"/>
    <w:rsid w:val="00A421AC"/>
    <w:rsid w:val="00A421C1"/>
    <w:rsid w:val="00A4278A"/>
    <w:rsid w:val="00A4292D"/>
    <w:rsid w:val="00A431A9"/>
    <w:rsid w:val="00A4339D"/>
    <w:rsid w:val="00A43655"/>
    <w:rsid w:val="00A436A7"/>
    <w:rsid w:val="00A438D1"/>
    <w:rsid w:val="00A43C31"/>
    <w:rsid w:val="00A4434E"/>
    <w:rsid w:val="00A443ED"/>
    <w:rsid w:val="00A44957"/>
    <w:rsid w:val="00A44DD3"/>
    <w:rsid w:val="00A45885"/>
    <w:rsid w:val="00A458A5"/>
    <w:rsid w:val="00A458F0"/>
    <w:rsid w:val="00A46223"/>
    <w:rsid w:val="00A4690F"/>
    <w:rsid w:val="00A474A3"/>
    <w:rsid w:val="00A477B2"/>
    <w:rsid w:val="00A47923"/>
    <w:rsid w:val="00A505E8"/>
    <w:rsid w:val="00A5097F"/>
    <w:rsid w:val="00A50C02"/>
    <w:rsid w:val="00A50C8A"/>
    <w:rsid w:val="00A50D60"/>
    <w:rsid w:val="00A50E42"/>
    <w:rsid w:val="00A517D8"/>
    <w:rsid w:val="00A5186F"/>
    <w:rsid w:val="00A51976"/>
    <w:rsid w:val="00A51EC4"/>
    <w:rsid w:val="00A51F62"/>
    <w:rsid w:val="00A522D3"/>
    <w:rsid w:val="00A52C76"/>
    <w:rsid w:val="00A53125"/>
    <w:rsid w:val="00A53250"/>
    <w:rsid w:val="00A53327"/>
    <w:rsid w:val="00A535EF"/>
    <w:rsid w:val="00A53EE5"/>
    <w:rsid w:val="00A54073"/>
    <w:rsid w:val="00A540F3"/>
    <w:rsid w:val="00A54260"/>
    <w:rsid w:val="00A54423"/>
    <w:rsid w:val="00A54D9E"/>
    <w:rsid w:val="00A54DCA"/>
    <w:rsid w:val="00A55586"/>
    <w:rsid w:val="00A5564C"/>
    <w:rsid w:val="00A55818"/>
    <w:rsid w:val="00A56D38"/>
    <w:rsid w:val="00A56E97"/>
    <w:rsid w:val="00A56FA9"/>
    <w:rsid w:val="00A570B5"/>
    <w:rsid w:val="00A57B65"/>
    <w:rsid w:val="00A57D75"/>
    <w:rsid w:val="00A57DCD"/>
    <w:rsid w:val="00A57E0D"/>
    <w:rsid w:val="00A57F8B"/>
    <w:rsid w:val="00A60166"/>
    <w:rsid w:val="00A60598"/>
    <w:rsid w:val="00A6080D"/>
    <w:rsid w:val="00A60A40"/>
    <w:rsid w:val="00A61061"/>
    <w:rsid w:val="00A616DC"/>
    <w:rsid w:val="00A62A06"/>
    <w:rsid w:val="00A62C01"/>
    <w:rsid w:val="00A632C5"/>
    <w:rsid w:val="00A639F3"/>
    <w:rsid w:val="00A63C7F"/>
    <w:rsid w:val="00A63D72"/>
    <w:rsid w:val="00A63EBF"/>
    <w:rsid w:val="00A64DFC"/>
    <w:rsid w:val="00A65A53"/>
    <w:rsid w:val="00A65E61"/>
    <w:rsid w:val="00A65F21"/>
    <w:rsid w:val="00A660EC"/>
    <w:rsid w:val="00A6640D"/>
    <w:rsid w:val="00A6649C"/>
    <w:rsid w:val="00A665DD"/>
    <w:rsid w:val="00A6692E"/>
    <w:rsid w:val="00A66B73"/>
    <w:rsid w:val="00A66F52"/>
    <w:rsid w:val="00A66F54"/>
    <w:rsid w:val="00A672DE"/>
    <w:rsid w:val="00A702BC"/>
    <w:rsid w:val="00A70305"/>
    <w:rsid w:val="00A705CE"/>
    <w:rsid w:val="00A71A3D"/>
    <w:rsid w:val="00A71B4C"/>
    <w:rsid w:val="00A721D5"/>
    <w:rsid w:val="00A722AF"/>
    <w:rsid w:val="00A72448"/>
    <w:rsid w:val="00A72AAF"/>
    <w:rsid w:val="00A72B37"/>
    <w:rsid w:val="00A73B2E"/>
    <w:rsid w:val="00A73F8C"/>
    <w:rsid w:val="00A74284"/>
    <w:rsid w:val="00A74766"/>
    <w:rsid w:val="00A75867"/>
    <w:rsid w:val="00A75A67"/>
    <w:rsid w:val="00A75B64"/>
    <w:rsid w:val="00A7615D"/>
    <w:rsid w:val="00A764EE"/>
    <w:rsid w:val="00A76517"/>
    <w:rsid w:val="00A7663E"/>
    <w:rsid w:val="00A76A8C"/>
    <w:rsid w:val="00A77157"/>
    <w:rsid w:val="00A776BC"/>
    <w:rsid w:val="00A77889"/>
    <w:rsid w:val="00A778A7"/>
    <w:rsid w:val="00A77B0E"/>
    <w:rsid w:val="00A80493"/>
    <w:rsid w:val="00A80AA9"/>
    <w:rsid w:val="00A80BC7"/>
    <w:rsid w:val="00A81088"/>
    <w:rsid w:val="00A81878"/>
    <w:rsid w:val="00A81BCB"/>
    <w:rsid w:val="00A81CB5"/>
    <w:rsid w:val="00A81E27"/>
    <w:rsid w:val="00A81F14"/>
    <w:rsid w:val="00A83251"/>
    <w:rsid w:val="00A83321"/>
    <w:rsid w:val="00A8370E"/>
    <w:rsid w:val="00A837C8"/>
    <w:rsid w:val="00A83B96"/>
    <w:rsid w:val="00A83C08"/>
    <w:rsid w:val="00A84213"/>
    <w:rsid w:val="00A8492E"/>
    <w:rsid w:val="00A84E01"/>
    <w:rsid w:val="00A85099"/>
    <w:rsid w:val="00A8574C"/>
    <w:rsid w:val="00A86654"/>
    <w:rsid w:val="00A86B37"/>
    <w:rsid w:val="00A87223"/>
    <w:rsid w:val="00A874C4"/>
    <w:rsid w:val="00A87A21"/>
    <w:rsid w:val="00A87CAA"/>
    <w:rsid w:val="00A87F85"/>
    <w:rsid w:val="00A908EE"/>
    <w:rsid w:val="00A90927"/>
    <w:rsid w:val="00A90DE4"/>
    <w:rsid w:val="00A910BB"/>
    <w:rsid w:val="00A910BE"/>
    <w:rsid w:val="00A913A6"/>
    <w:rsid w:val="00A91510"/>
    <w:rsid w:val="00A9291A"/>
    <w:rsid w:val="00A92C75"/>
    <w:rsid w:val="00A932C0"/>
    <w:rsid w:val="00A93E8C"/>
    <w:rsid w:val="00A948C3"/>
    <w:rsid w:val="00A94B54"/>
    <w:rsid w:val="00A94BF6"/>
    <w:rsid w:val="00A94C9E"/>
    <w:rsid w:val="00A94C9F"/>
    <w:rsid w:val="00A94CA2"/>
    <w:rsid w:val="00A94D08"/>
    <w:rsid w:val="00A950A1"/>
    <w:rsid w:val="00A9543E"/>
    <w:rsid w:val="00A95BB9"/>
    <w:rsid w:val="00A95D9A"/>
    <w:rsid w:val="00A96069"/>
    <w:rsid w:val="00A96704"/>
    <w:rsid w:val="00A967E7"/>
    <w:rsid w:val="00A968C7"/>
    <w:rsid w:val="00A969A5"/>
    <w:rsid w:val="00A96A03"/>
    <w:rsid w:val="00A96BC1"/>
    <w:rsid w:val="00A96CC5"/>
    <w:rsid w:val="00A9711F"/>
    <w:rsid w:val="00A97632"/>
    <w:rsid w:val="00A97AD1"/>
    <w:rsid w:val="00A97E37"/>
    <w:rsid w:val="00A97EDF"/>
    <w:rsid w:val="00AA05C4"/>
    <w:rsid w:val="00AA088E"/>
    <w:rsid w:val="00AA0BFE"/>
    <w:rsid w:val="00AA1083"/>
    <w:rsid w:val="00AA1164"/>
    <w:rsid w:val="00AA22FA"/>
    <w:rsid w:val="00AA2487"/>
    <w:rsid w:val="00AA25A3"/>
    <w:rsid w:val="00AA2CA4"/>
    <w:rsid w:val="00AA3264"/>
    <w:rsid w:val="00AA3348"/>
    <w:rsid w:val="00AA33B9"/>
    <w:rsid w:val="00AA37FF"/>
    <w:rsid w:val="00AA448A"/>
    <w:rsid w:val="00AA47FF"/>
    <w:rsid w:val="00AA4C33"/>
    <w:rsid w:val="00AA4E51"/>
    <w:rsid w:val="00AA4E89"/>
    <w:rsid w:val="00AA5132"/>
    <w:rsid w:val="00AA52CE"/>
    <w:rsid w:val="00AA57AC"/>
    <w:rsid w:val="00AA5AAE"/>
    <w:rsid w:val="00AA63F5"/>
    <w:rsid w:val="00AB064C"/>
    <w:rsid w:val="00AB0787"/>
    <w:rsid w:val="00AB08D5"/>
    <w:rsid w:val="00AB0D64"/>
    <w:rsid w:val="00AB10FF"/>
    <w:rsid w:val="00AB1856"/>
    <w:rsid w:val="00AB1EC0"/>
    <w:rsid w:val="00AB2B66"/>
    <w:rsid w:val="00AB3003"/>
    <w:rsid w:val="00AB314A"/>
    <w:rsid w:val="00AB3618"/>
    <w:rsid w:val="00AB3A1B"/>
    <w:rsid w:val="00AB3ACC"/>
    <w:rsid w:val="00AB3B27"/>
    <w:rsid w:val="00AB425A"/>
    <w:rsid w:val="00AB4A94"/>
    <w:rsid w:val="00AB4F71"/>
    <w:rsid w:val="00AB5169"/>
    <w:rsid w:val="00AB51DF"/>
    <w:rsid w:val="00AB5D64"/>
    <w:rsid w:val="00AB6019"/>
    <w:rsid w:val="00AB626B"/>
    <w:rsid w:val="00AB68C9"/>
    <w:rsid w:val="00AB6963"/>
    <w:rsid w:val="00AB70BC"/>
    <w:rsid w:val="00AB730E"/>
    <w:rsid w:val="00AB7488"/>
    <w:rsid w:val="00AB755D"/>
    <w:rsid w:val="00AC01F0"/>
    <w:rsid w:val="00AC02A4"/>
    <w:rsid w:val="00AC057C"/>
    <w:rsid w:val="00AC1913"/>
    <w:rsid w:val="00AC2011"/>
    <w:rsid w:val="00AC2DAE"/>
    <w:rsid w:val="00AC33B0"/>
    <w:rsid w:val="00AC3C49"/>
    <w:rsid w:val="00AC436A"/>
    <w:rsid w:val="00AC4479"/>
    <w:rsid w:val="00AC49AD"/>
    <w:rsid w:val="00AC49DB"/>
    <w:rsid w:val="00AC4DC4"/>
    <w:rsid w:val="00AC4EE7"/>
    <w:rsid w:val="00AC4FF2"/>
    <w:rsid w:val="00AC61AD"/>
    <w:rsid w:val="00AC68AA"/>
    <w:rsid w:val="00AC69A6"/>
    <w:rsid w:val="00AC70AF"/>
    <w:rsid w:val="00AC7194"/>
    <w:rsid w:val="00AC71E4"/>
    <w:rsid w:val="00AC78FF"/>
    <w:rsid w:val="00AC7AE5"/>
    <w:rsid w:val="00AC7B3F"/>
    <w:rsid w:val="00AC7C47"/>
    <w:rsid w:val="00AC7CE1"/>
    <w:rsid w:val="00AD025D"/>
    <w:rsid w:val="00AD06F3"/>
    <w:rsid w:val="00AD08E4"/>
    <w:rsid w:val="00AD0F33"/>
    <w:rsid w:val="00AD132E"/>
    <w:rsid w:val="00AD135B"/>
    <w:rsid w:val="00AD19C9"/>
    <w:rsid w:val="00AD1F74"/>
    <w:rsid w:val="00AD231E"/>
    <w:rsid w:val="00AD3036"/>
    <w:rsid w:val="00AD4206"/>
    <w:rsid w:val="00AD5464"/>
    <w:rsid w:val="00AD5AD7"/>
    <w:rsid w:val="00AD6162"/>
    <w:rsid w:val="00AD64D3"/>
    <w:rsid w:val="00AD6D4B"/>
    <w:rsid w:val="00AD72E2"/>
    <w:rsid w:val="00AD7B1E"/>
    <w:rsid w:val="00AE030A"/>
    <w:rsid w:val="00AE04A6"/>
    <w:rsid w:val="00AE04F1"/>
    <w:rsid w:val="00AE066B"/>
    <w:rsid w:val="00AE06EF"/>
    <w:rsid w:val="00AE07D5"/>
    <w:rsid w:val="00AE0B4C"/>
    <w:rsid w:val="00AE0D45"/>
    <w:rsid w:val="00AE112B"/>
    <w:rsid w:val="00AE17E9"/>
    <w:rsid w:val="00AE1A40"/>
    <w:rsid w:val="00AE1B0D"/>
    <w:rsid w:val="00AE2319"/>
    <w:rsid w:val="00AE2340"/>
    <w:rsid w:val="00AE2637"/>
    <w:rsid w:val="00AE2918"/>
    <w:rsid w:val="00AE2DDA"/>
    <w:rsid w:val="00AE2F8A"/>
    <w:rsid w:val="00AE305C"/>
    <w:rsid w:val="00AE3203"/>
    <w:rsid w:val="00AE385C"/>
    <w:rsid w:val="00AE3E09"/>
    <w:rsid w:val="00AE3E7C"/>
    <w:rsid w:val="00AE425A"/>
    <w:rsid w:val="00AE446F"/>
    <w:rsid w:val="00AE45E5"/>
    <w:rsid w:val="00AE4812"/>
    <w:rsid w:val="00AE4B4C"/>
    <w:rsid w:val="00AE4BFE"/>
    <w:rsid w:val="00AE5092"/>
    <w:rsid w:val="00AE5197"/>
    <w:rsid w:val="00AE5BA9"/>
    <w:rsid w:val="00AE681E"/>
    <w:rsid w:val="00AE69AC"/>
    <w:rsid w:val="00AE69AF"/>
    <w:rsid w:val="00AE6C3D"/>
    <w:rsid w:val="00AE70B1"/>
    <w:rsid w:val="00AE70E3"/>
    <w:rsid w:val="00AE7424"/>
    <w:rsid w:val="00AF06A5"/>
    <w:rsid w:val="00AF0C47"/>
    <w:rsid w:val="00AF127F"/>
    <w:rsid w:val="00AF1799"/>
    <w:rsid w:val="00AF1AD0"/>
    <w:rsid w:val="00AF1C5D"/>
    <w:rsid w:val="00AF1CB0"/>
    <w:rsid w:val="00AF1F46"/>
    <w:rsid w:val="00AF213A"/>
    <w:rsid w:val="00AF21DE"/>
    <w:rsid w:val="00AF298D"/>
    <w:rsid w:val="00AF306D"/>
    <w:rsid w:val="00AF34F7"/>
    <w:rsid w:val="00AF377A"/>
    <w:rsid w:val="00AF386C"/>
    <w:rsid w:val="00AF38C6"/>
    <w:rsid w:val="00AF3B5D"/>
    <w:rsid w:val="00AF3BFC"/>
    <w:rsid w:val="00AF4007"/>
    <w:rsid w:val="00AF4063"/>
    <w:rsid w:val="00AF41FC"/>
    <w:rsid w:val="00AF4746"/>
    <w:rsid w:val="00AF4A98"/>
    <w:rsid w:val="00AF4DE3"/>
    <w:rsid w:val="00AF61EE"/>
    <w:rsid w:val="00AF64D8"/>
    <w:rsid w:val="00AF6660"/>
    <w:rsid w:val="00AF6CD4"/>
    <w:rsid w:val="00AF78EC"/>
    <w:rsid w:val="00AF7A1E"/>
    <w:rsid w:val="00AF7F80"/>
    <w:rsid w:val="00B001E1"/>
    <w:rsid w:val="00B0096F"/>
    <w:rsid w:val="00B00B0E"/>
    <w:rsid w:val="00B00F42"/>
    <w:rsid w:val="00B0100D"/>
    <w:rsid w:val="00B010CF"/>
    <w:rsid w:val="00B0157E"/>
    <w:rsid w:val="00B01949"/>
    <w:rsid w:val="00B01D9B"/>
    <w:rsid w:val="00B01F79"/>
    <w:rsid w:val="00B02738"/>
    <w:rsid w:val="00B0275C"/>
    <w:rsid w:val="00B02A29"/>
    <w:rsid w:val="00B03886"/>
    <w:rsid w:val="00B039FA"/>
    <w:rsid w:val="00B03E4B"/>
    <w:rsid w:val="00B04A5D"/>
    <w:rsid w:val="00B04DBB"/>
    <w:rsid w:val="00B0530B"/>
    <w:rsid w:val="00B054C3"/>
    <w:rsid w:val="00B056C0"/>
    <w:rsid w:val="00B056EF"/>
    <w:rsid w:val="00B05CDF"/>
    <w:rsid w:val="00B05E20"/>
    <w:rsid w:val="00B05FC9"/>
    <w:rsid w:val="00B06138"/>
    <w:rsid w:val="00B062B2"/>
    <w:rsid w:val="00B063A3"/>
    <w:rsid w:val="00B063DE"/>
    <w:rsid w:val="00B065CF"/>
    <w:rsid w:val="00B068E3"/>
    <w:rsid w:val="00B06965"/>
    <w:rsid w:val="00B06970"/>
    <w:rsid w:val="00B06C94"/>
    <w:rsid w:val="00B06F3E"/>
    <w:rsid w:val="00B06F73"/>
    <w:rsid w:val="00B072CB"/>
    <w:rsid w:val="00B079FF"/>
    <w:rsid w:val="00B100FD"/>
    <w:rsid w:val="00B1221E"/>
    <w:rsid w:val="00B12310"/>
    <w:rsid w:val="00B12EC5"/>
    <w:rsid w:val="00B13494"/>
    <w:rsid w:val="00B1365C"/>
    <w:rsid w:val="00B13A2C"/>
    <w:rsid w:val="00B140C4"/>
    <w:rsid w:val="00B1416A"/>
    <w:rsid w:val="00B141C8"/>
    <w:rsid w:val="00B14247"/>
    <w:rsid w:val="00B14528"/>
    <w:rsid w:val="00B145D7"/>
    <w:rsid w:val="00B145F2"/>
    <w:rsid w:val="00B158C8"/>
    <w:rsid w:val="00B15962"/>
    <w:rsid w:val="00B159BF"/>
    <w:rsid w:val="00B15F35"/>
    <w:rsid w:val="00B16019"/>
    <w:rsid w:val="00B16069"/>
    <w:rsid w:val="00B163B0"/>
    <w:rsid w:val="00B168F0"/>
    <w:rsid w:val="00B16AD2"/>
    <w:rsid w:val="00B16CF2"/>
    <w:rsid w:val="00B16FA4"/>
    <w:rsid w:val="00B1710B"/>
    <w:rsid w:val="00B1728B"/>
    <w:rsid w:val="00B1755C"/>
    <w:rsid w:val="00B2007D"/>
    <w:rsid w:val="00B2019F"/>
    <w:rsid w:val="00B2097E"/>
    <w:rsid w:val="00B20A72"/>
    <w:rsid w:val="00B20C4E"/>
    <w:rsid w:val="00B20CB5"/>
    <w:rsid w:val="00B20DB0"/>
    <w:rsid w:val="00B214E2"/>
    <w:rsid w:val="00B2187A"/>
    <w:rsid w:val="00B21A03"/>
    <w:rsid w:val="00B21EE8"/>
    <w:rsid w:val="00B22076"/>
    <w:rsid w:val="00B2220D"/>
    <w:rsid w:val="00B228DA"/>
    <w:rsid w:val="00B22CEC"/>
    <w:rsid w:val="00B230A2"/>
    <w:rsid w:val="00B23133"/>
    <w:rsid w:val="00B23967"/>
    <w:rsid w:val="00B23EA5"/>
    <w:rsid w:val="00B23F69"/>
    <w:rsid w:val="00B24065"/>
    <w:rsid w:val="00B24543"/>
    <w:rsid w:val="00B24E0E"/>
    <w:rsid w:val="00B26250"/>
    <w:rsid w:val="00B26719"/>
    <w:rsid w:val="00B26BC9"/>
    <w:rsid w:val="00B270E2"/>
    <w:rsid w:val="00B2737F"/>
    <w:rsid w:val="00B31971"/>
    <w:rsid w:val="00B31AF5"/>
    <w:rsid w:val="00B31C35"/>
    <w:rsid w:val="00B31FD6"/>
    <w:rsid w:val="00B32323"/>
    <w:rsid w:val="00B32978"/>
    <w:rsid w:val="00B33263"/>
    <w:rsid w:val="00B33615"/>
    <w:rsid w:val="00B3373A"/>
    <w:rsid w:val="00B34008"/>
    <w:rsid w:val="00B3409E"/>
    <w:rsid w:val="00B34C66"/>
    <w:rsid w:val="00B3543F"/>
    <w:rsid w:val="00B355F5"/>
    <w:rsid w:val="00B35A36"/>
    <w:rsid w:val="00B35B3F"/>
    <w:rsid w:val="00B365F6"/>
    <w:rsid w:val="00B36E93"/>
    <w:rsid w:val="00B40013"/>
    <w:rsid w:val="00B40140"/>
    <w:rsid w:val="00B41592"/>
    <w:rsid w:val="00B4171E"/>
    <w:rsid w:val="00B41781"/>
    <w:rsid w:val="00B41960"/>
    <w:rsid w:val="00B41B67"/>
    <w:rsid w:val="00B42851"/>
    <w:rsid w:val="00B42B73"/>
    <w:rsid w:val="00B4454F"/>
    <w:rsid w:val="00B44F8D"/>
    <w:rsid w:val="00B44FBC"/>
    <w:rsid w:val="00B450AE"/>
    <w:rsid w:val="00B45329"/>
    <w:rsid w:val="00B45640"/>
    <w:rsid w:val="00B4585C"/>
    <w:rsid w:val="00B45DFF"/>
    <w:rsid w:val="00B461B0"/>
    <w:rsid w:val="00B462FC"/>
    <w:rsid w:val="00B464F3"/>
    <w:rsid w:val="00B46A6E"/>
    <w:rsid w:val="00B46BCD"/>
    <w:rsid w:val="00B47452"/>
    <w:rsid w:val="00B475B2"/>
    <w:rsid w:val="00B47735"/>
    <w:rsid w:val="00B4794B"/>
    <w:rsid w:val="00B47B41"/>
    <w:rsid w:val="00B47FB1"/>
    <w:rsid w:val="00B50179"/>
    <w:rsid w:val="00B504D2"/>
    <w:rsid w:val="00B50B78"/>
    <w:rsid w:val="00B514E9"/>
    <w:rsid w:val="00B51979"/>
    <w:rsid w:val="00B519A0"/>
    <w:rsid w:val="00B51A74"/>
    <w:rsid w:val="00B51BE0"/>
    <w:rsid w:val="00B51E07"/>
    <w:rsid w:val="00B52247"/>
    <w:rsid w:val="00B526DC"/>
    <w:rsid w:val="00B52A9D"/>
    <w:rsid w:val="00B52AC5"/>
    <w:rsid w:val="00B532A0"/>
    <w:rsid w:val="00B533E7"/>
    <w:rsid w:val="00B53CC8"/>
    <w:rsid w:val="00B53D94"/>
    <w:rsid w:val="00B547E6"/>
    <w:rsid w:val="00B55000"/>
    <w:rsid w:val="00B553D2"/>
    <w:rsid w:val="00B55604"/>
    <w:rsid w:val="00B55AA6"/>
    <w:rsid w:val="00B55D69"/>
    <w:rsid w:val="00B56411"/>
    <w:rsid w:val="00B56612"/>
    <w:rsid w:val="00B56669"/>
    <w:rsid w:val="00B57FBD"/>
    <w:rsid w:val="00B601F1"/>
    <w:rsid w:val="00B6036B"/>
    <w:rsid w:val="00B60395"/>
    <w:rsid w:val="00B605CF"/>
    <w:rsid w:val="00B610BB"/>
    <w:rsid w:val="00B618B6"/>
    <w:rsid w:val="00B62F0A"/>
    <w:rsid w:val="00B62FF8"/>
    <w:rsid w:val="00B63034"/>
    <w:rsid w:val="00B63047"/>
    <w:rsid w:val="00B63371"/>
    <w:rsid w:val="00B637A1"/>
    <w:rsid w:val="00B63B4B"/>
    <w:rsid w:val="00B63B54"/>
    <w:rsid w:val="00B6430C"/>
    <w:rsid w:val="00B64518"/>
    <w:rsid w:val="00B64DA6"/>
    <w:rsid w:val="00B64ED3"/>
    <w:rsid w:val="00B654E3"/>
    <w:rsid w:val="00B6569C"/>
    <w:rsid w:val="00B65AAE"/>
    <w:rsid w:val="00B65BCE"/>
    <w:rsid w:val="00B65EDB"/>
    <w:rsid w:val="00B65F04"/>
    <w:rsid w:val="00B66245"/>
    <w:rsid w:val="00B6635C"/>
    <w:rsid w:val="00B6687E"/>
    <w:rsid w:val="00B66BD3"/>
    <w:rsid w:val="00B66EB2"/>
    <w:rsid w:val="00B67B47"/>
    <w:rsid w:val="00B67C79"/>
    <w:rsid w:val="00B705E4"/>
    <w:rsid w:val="00B70C4C"/>
    <w:rsid w:val="00B713CC"/>
    <w:rsid w:val="00B71C5B"/>
    <w:rsid w:val="00B72836"/>
    <w:rsid w:val="00B72AF9"/>
    <w:rsid w:val="00B72B39"/>
    <w:rsid w:val="00B72D6E"/>
    <w:rsid w:val="00B731C8"/>
    <w:rsid w:val="00B73407"/>
    <w:rsid w:val="00B73BC5"/>
    <w:rsid w:val="00B744C1"/>
    <w:rsid w:val="00B7470A"/>
    <w:rsid w:val="00B74F6A"/>
    <w:rsid w:val="00B754CF"/>
    <w:rsid w:val="00B75853"/>
    <w:rsid w:val="00B7636F"/>
    <w:rsid w:val="00B764C2"/>
    <w:rsid w:val="00B766C6"/>
    <w:rsid w:val="00B76DCB"/>
    <w:rsid w:val="00B76F43"/>
    <w:rsid w:val="00B77015"/>
    <w:rsid w:val="00B774EE"/>
    <w:rsid w:val="00B77743"/>
    <w:rsid w:val="00B77B43"/>
    <w:rsid w:val="00B77D48"/>
    <w:rsid w:val="00B800D5"/>
    <w:rsid w:val="00B802D6"/>
    <w:rsid w:val="00B8047C"/>
    <w:rsid w:val="00B805D1"/>
    <w:rsid w:val="00B8078F"/>
    <w:rsid w:val="00B80941"/>
    <w:rsid w:val="00B812A8"/>
    <w:rsid w:val="00B8199E"/>
    <w:rsid w:val="00B81A4D"/>
    <w:rsid w:val="00B81C1B"/>
    <w:rsid w:val="00B81D2F"/>
    <w:rsid w:val="00B81E86"/>
    <w:rsid w:val="00B8219B"/>
    <w:rsid w:val="00B82278"/>
    <w:rsid w:val="00B826AB"/>
    <w:rsid w:val="00B8389D"/>
    <w:rsid w:val="00B838EB"/>
    <w:rsid w:val="00B838FE"/>
    <w:rsid w:val="00B83E4D"/>
    <w:rsid w:val="00B83FE6"/>
    <w:rsid w:val="00B841F4"/>
    <w:rsid w:val="00B84517"/>
    <w:rsid w:val="00B8464F"/>
    <w:rsid w:val="00B84699"/>
    <w:rsid w:val="00B846F3"/>
    <w:rsid w:val="00B84B08"/>
    <w:rsid w:val="00B84DBA"/>
    <w:rsid w:val="00B84E2A"/>
    <w:rsid w:val="00B84FD4"/>
    <w:rsid w:val="00B85711"/>
    <w:rsid w:val="00B8588C"/>
    <w:rsid w:val="00B85BE5"/>
    <w:rsid w:val="00B865F6"/>
    <w:rsid w:val="00B86D17"/>
    <w:rsid w:val="00B86E92"/>
    <w:rsid w:val="00B86FB9"/>
    <w:rsid w:val="00B871A5"/>
    <w:rsid w:val="00B8740A"/>
    <w:rsid w:val="00B87741"/>
    <w:rsid w:val="00B87C62"/>
    <w:rsid w:val="00B87F21"/>
    <w:rsid w:val="00B87F2D"/>
    <w:rsid w:val="00B90041"/>
    <w:rsid w:val="00B903F3"/>
    <w:rsid w:val="00B9092D"/>
    <w:rsid w:val="00B90DCF"/>
    <w:rsid w:val="00B9100C"/>
    <w:rsid w:val="00B910DB"/>
    <w:rsid w:val="00B913F6"/>
    <w:rsid w:val="00B914B4"/>
    <w:rsid w:val="00B914CC"/>
    <w:rsid w:val="00B9160A"/>
    <w:rsid w:val="00B9169A"/>
    <w:rsid w:val="00B91EEE"/>
    <w:rsid w:val="00B92132"/>
    <w:rsid w:val="00B92EB8"/>
    <w:rsid w:val="00B933C1"/>
    <w:rsid w:val="00B93419"/>
    <w:rsid w:val="00B93BAF"/>
    <w:rsid w:val="00B93F82"/>
    <w:rsid w:val="00B94179"/>
    <w:rsid w:val="00B941C3"/>
    <w:rsid w:val="00B9445F"/>
    <w:rsid w:val="00B9558A"/>
    <w:rsid w:val="00B955F3"/>
    <w:rsid w:val="00B9570C"/>
    <w:rsid w:val="00B95F30"/>
    <w:rsid w:val="00B962EC"/>
    <w:rsid w:val="00B968D5"/>
    <w:rsid w:val="00B96A22"/>
    <w:rsid w:val="00B9748C"/>
    <w:rsid w:val="00B9770B"/>
    <w:rsid w:val="00B979AE"/>
    <w:rsid w:val="00B97B76"/>
    <w:rsid w:val="00B97ECB"/>
    <w:rsid w:val="00BA075B"/>
    <w:rsid w:val="00BA07CE"/>
    <w:rsid w:val="00BA0B9A"/>
    <w:rsid w:val="00BA10C1"/>
    <w:rsid w:val="00BA1621"/>
    <w:rsid w:val="00BA189B"/>
    <w:rsid w:val="00BA1EDF"/>
    <w:rsid w:val="00BA224F"/>
    <w:rsid w:val="00BA2755"/>
    <w:rsid w:val="00BA293C"/>
    <w:rsid w:val="00BA2CAF"/>
    <w:rsid w:val="00BA2EB2"/>
    <w:rsid w:val="00BA361F"/>
    <w:rsid w:val="00BA4A55"/>
    <w:rsid w:val="00BA4D9B"/>
    <w:rsid w:val="00BA4E11"/>
    <w:rsid w:val="00BA4F4C"/>
    <w:rsid w:val="00BA511A"/>
    <w:rsid w:val="00BA5703"/>
    <w:rsid w:val="00BA5A24"/>
    <w:rsid w:val="00BA5E0F"/>
    <w:rsid w:val="00BA68B9"/>
    <w:rsid w:val="00BA6BB7"/>
    <w:rsid w:val="00BA6C33"/>
    <w:rsid w:val="00BA70DB"/>
    <w:rsid w:val="00BA70E6"/>
    <w:rsid w:val="00BA7415"/>
    <w:rsid w:val="00BA761C"/>
    <w:rsid w:val="00BA7645"/>
    <w:rsid w:val="00BA7729"/>
    <w:rsid w:val="00BA77F1"/>
    <w:rsid w:val="00BA79F6"/>
    <w:rsid w:val="00BA7A9A"/>
    <w:rsid w:val="00BA7E18"/>
    <w:rsid w:val="00BB01CC"/>
    <w:rsid w:val="00BB04C0"/>
    <w:rsid w:val="00BB0CD7"/>
    <w:rsid w:val="00BB0DFD"/>
    <w:rsid w:val="00BB13C7"/>
    <w:rsid w:val="00BB1B41"/>
    <w:rsid w:val="00BB1BE1"/>
    <w:rsid w:val="00BB1FBB"/>
    <w:rsid w:val="00BB2271"/>
    <w:rsid w:val="00BB22D8"/>
    <w:rsid w:val="00BB22DC"/>
    <w:rsid w:val="00BB28F1"/>
    <w:rsid w:val="00BB2B7E"/>
    <w:rsid w:val="00BB3422"/>
    <w:rsid w:val="00BB3B8C"/>
    <w:rsid w:val="00BB3C7D"/>
    <w:rsid w:val="00BB3EA6"/>
    <w:rsid w:val="00BB439D"/>
    <w:rsid w:val="00BB4C7D"/>
    <w:rsid w:val="00BB4EFA"/>
    <w:rsid w:val="00BB4FFB"/>
    <w:rsid w:val="00BB5012"/>
    <w:rsid w:val="00BB514E"/>
    <w:rsid w:val="00BB532F"/>
    <w:rsid w:val="00BB5A91"/>
    <w:rsid w:val="00BB5D48"/>
    <w:rsid w:val="00BB5ECA"/>
    <w:rsid w:val="00BB610E"/>
    <w:rsid w:val="00BB6581"/>
    <w:rsid w:val="00BB677E"/>
    <w:rsid w:val="00BB6795"/>
    <w:rsid w:val="00BB69EC"/>
    <w:rsid w:val="00BB6E50"/>
    <w:rsid w:val="00BB6FDC"/>
    <w:rsid w:val="00BB79F1"/>
    <w:rsid w:val="00BC031B"/>
    <w:rsid w:val="00BC03A9"/>
    <w:rsid w:val="00BC0625"/>
    <w:rsid w:val="00BC0A4E"/>
    <w:rsid w:val="00BC0D26"/>
    <w:rsid w:val="00BC1241"/>
    <w:rsid w:val="00BC1374"/>
    <w:rsid w:val="00BC14DA"/>
    <w:rsid w:val="00BC1747"/>
    <w:rsid w:val="00BC1C3A"/>
    <w:rsid w:val="00BC27D6"/>
    <w:rsid w:val="00BC27EE"/>
    <w:rsid w:val="00BC284D"/>
    <w:rsid w:val="00BC2920"/>
    <w:rsid w:val="00BC2B8E"/>
    <w:rsid w:val="00BC2EF7"/>
    <w:rsid w:val="00BC339C"/>
    <w:rsid w:val="00BC474A"/>
    <w:rsid w:val="00BC4BA1"/>
    <w:rsid w:val="00BC4FD0"/>
    <w:rsid w:val="00BC5096"/>
    <w:rsid w:val="00BC5620"/>
    <w:rsid w:val="00BC5ADB"/>
    <w:rsid w:val="00BC5AE0"/>
    <w:rsid w:val="00BC647D"/>
    <w:rsid w:val="00BC6531"/>
    <w:rsid w:val="00BC669B"/>
    <w:rsid w:val="00BC715C"/>
    <w:rsid w:val="00BC7A45"/>
    <w:rsid w:val="00BC7AA7"/>
    <w:rsid w:val="00BC7D29"/>
    <w:rsid w:val="00BC7F4F"/>
    <w:rsid w:val="00BD0760"/>
    <w:rsid w:val="00BD0D7A"/>
    <w:rsid w:val="00BD0EF4"/>
    <w:rsid w:val="00BD172F"/>
    <w:rsid w:val="00BD17D6"/>
    <w:rsid w:val="00BD196F"/>
    <w:rsid w:val="00BD1F5C"/>
    <w:rsid w:val="00BD231C"/>
    <w:rsid w:val="00BD268C"/>
    <w:rsid w:val="00BD2C59"/>
    <w:rsid w:val="00BD31D6"/>
    <w:rsid w:val="00BD3C3A"/>
    <w:rsid w:val="00BD3E7B"/>
    <w:rsid w:val="00BD43E1"/>
    <w:rsid w:val="00BD4FEC"/>
    <w:rsid w:val="00BD500C"/>
    <w:rsid w:val="00BD50B2"/>
    <w:rsid w:val="00BD5456"/>
    <w:rsid w:val="00BD5B35"/>
    <w:rsid w:val="00BD5FAE"/>
    <w:rsid w:val="00BD6042"/>
    <w:rsid w:val="00BD61A4"/>
    <w:rsid w:val="00BD62D8"/>
    <w:rsid w:val="00BD6300"/>
    <w:rsid w:val="00BD630D"/>
    <w:rsid w:val="00BD6486"/>
    <w:rsid w:val="00BD699D"/>
    <w:rsid w:val="00BD6BF7"/>
    <w:rsid w:val="00BD7569"/>
    <w:rsid w:val="00BD783D"/>
    <w:rsid w:val="00BD7AB1"/>
    <w:rsid w:val="00BD7AF2"/>
    <w:rsid w:val="00BD7EE7"/>
    <w:rsid w:val="00BE00F3"/>
    <w:rsid w:val="00BE0489"/>
    <w:rsid w:val="00BE08E7"/>
    <w:rsid w:val="00BE091D"/>
    <w:rsid w:val="00BE0986"/>
    <w:rsid w:val="00BE0EAB"/>
    <w:rsid w:val="00BE118A"/>
    <w:rsid w:val="00BE1470"/>
    <w:rsid w:val="00BE151A"/>
    <w:rsid w:val="00BE1658"/>
    <w:rsid w:val="00BE1A47"/>
    <w:rsid w:val="00BE207E"/>
    <w:rsid w:val="00BE2129"/>
    <w:rsid w:val="00BE264E"/>
    <w:rsid w:val="00BE2E6D"/>
    <w:rsid w:val="00BE353E"/>
    <w:rsid w:val="00BE358A"/>
    <w:rsid w:val="00BE3657"/>
    <w:rsid w:val="00BE3771"/>
    <w:rsid w:val="00BE38DB"/>
    <w:rsid w:val="00BE3B55"/>
    <w:rsid w:val="00BE4F4C"/>
    <w:rsid w:val="00BE5B2A"/>
    <w:rsid w:val="00BE5C90"/>
    <w:rsid w:val="00BE5F4B"/>
    <w:rsid w:val="00BE5FCF"/>
    <w:rsid w:val="00BE62DA"/>
    <w:rsid w:val="00BE62DE"/>
    <w:rsid w:val="00BE63C7"/>
    <w:rsid w:val="00BE642E"/>
    <w:rsid w:val="00BE666B"/>
    <w:rsid w:val="00BE6DAC"/>
    <w:rsid w:val="00BE6F03"/>
    <w:rsid w:val="00BE742A"/>
    <w:rsid w:val="00BE7461"/>
    <w:rsid w:val="00BE77BF"/>
    <w:rsid w:val="00BE7DEB"/>
    <w:rsid w:val="00BF0DC6"/>
    <w:rsid w:val="00BF0E4D"/>
    <w:rsid w:val="00BF0F85"/>
    <w:rsid w:val="00BF0F88"/>
    <w:rsid w:val="00BF1002"/>
    <w:rsid w:val="00BF120C"/>
    <w:rsid w:val="00BF3005"/>
    <w:rsid w:val="00BF3B55"/>
    <w:rsid w:val="00BF3D48"/>
    <w:rsid w:val="00BF494A"/>
    <w:rsid w:val="00BF58D5"/>
    <w:rsid w:val="00BF5F97"/>
    <w:rsid w:val="00BF61A4"/>
    <w:rsid w:val="00BF682D"/>
    <w:rsid w:val="00BF6A00"/>
    <w:rsid w:val="00BF6C7D"/>
    <w:rsid w:val="00BF6CD0"/>
    <w:rsid w:val="00BF7113"/>
    <w:rsid w:val="00BF746B"/>
    <w:rsid w:val="00BF77AA"/>
    <w:rsid w:val="00C000F4"/>
    <w:rsid w:val="00C00A70"/>
    <w:rsid w:val="00C01992"/>
    <w:rsid w:val="00C01B17"/>
    <w:rsid w:val="00C01BB9"/>
    <w:rsid w:val="00C01C5A"/>
    <w:rsid w:val="00C0202B"/>
    <w:rsid w:val="00C02379"/>
    <w:rsid w:val="00C023CC"/>
    <w:rsid w:val="00C024E4"/>
    <w:rsid w:val="00C026B8"/>
    <w:rsid w:val="00C02D8B"/>
    <w:rsid w:val="00C02DC8"/>
    <w:rsid w:val="00C03BB7"/>
    <w:rsid w:val="00C03D01"/>
    <w:rsid w:val="00C040E7"/>
    <w:rsid w:val="00C04995"/>
    <w:rsid w:val="00C0506F"/>
    <w:rsid w:val="00C052A6"/>
    <w:rsid w:val="00C05302"/>
    <w:rsid w:val="00C0550A"/>
    <w:rsid w:val="00C069D4"/>
    <w:rsid w:val="00C072AB"/>
    <w:rsid w:val="00C076CA"/>
    <w:rsid w:val="00C07B75"/>
    <w:rsid w:val="00C07E88"/>
    <w:rsid w:val="00C100FB"/>
    <w:rsid w:val="00C1098E"/>
    <w:rsid w:val="00C111AE"/>
    <w:rsid w:val="00C1180C"/>
    <w:rsid w:val="00C11D86"/>
    <w:rsid w:val="00C11F5A"/>
    <w:rsid w:val="00C124FA"/>
    <w:rsid w:val="00C127DA"/>
    <w:rsid w:val="00C12862"/>
    <w:rsid w:val="00C12CE5"/>
    <w:rsid w:val="00C12DC7"/>
    <w:rsid w:val="00C13348"/>
    <w:rsid w:val="00C1346F"/>
    <w:rsid w:val="00C142A1"/>
    <w:rsid w:val="00C14E27"/>
    <w:rsid w:val="00C14FAC"/>
    <w:rsid w:val="00C150E4"/>
    <w:rsid w:val="00C1610A"/>
    <w:rsid w:val="00C167F8"/>
    <w:rsid w:val="00C16CBE"/>
    <w:rsid w:val="00C172DC"/>
    <w:rsid w:val="00C1740E"/>
    <w:rsid w:val="00C174B4"/>
    <w:rsid w:val="00C175A6"/>
    <w:rsid w:val="00C17978"/>
    <w:rsid w:val="00C1797C"/>
    <w:rsid w:val="00C17C61"/>
    <w:rsid w:val="00C20011"/>
    <w:rsid w:val="00C20794"/>
    <w:rsid w:val="00C20832"/>
    <w:rsid w:val="00C20BCB"/>
    <w:rsid w:val="00C21485"/>
    <w:rsid w:val="00C21BB5"/>
    <w:rsid w:val="00C22295"/>
    <w:rsid w:val="00C222A1"/>
    <w:rsid w:val="00C222D7"/>
    <w:rsid w:val="00C225D2"/>
    <w:rsid w:val="00C22709"/>
    <w:rsid w:val="00C22A9B"/>
    <w:rsid w:val="00C233FF"/>
    <w:rsid w:val="00C2356B"/>
    <w:rsid w:val="00C23C1D"/>
    <w:rsid w:val="00C24060"/>
    <w:rsid w:val="00C2409B"/>
    <w:rsid w:val="00C24897"/>
    <w:rsid w:val="00C25432"/>
    <w:rsid w:val="00C258D6"/>
    <w:rsid w:val="00C25DBB"/>
    <w:rsid w:val="00C25FA4"/>
    <w:rsid w:val="00C260E5"/>
    <w:rsid w:val="00C2647D"/>
    <w:rsid w:val="00C2679D"/>
    <w:rsid w:val="00C268F4"/>
    <w:rsid w:val="00C26FBB"/>
    <w:rsid w:val="00C27066"/>
    <w:rsid w:val="00C2773F"/>
    <w:rsid w:val="00C278F6"/>
    <w:rsid w:val="00C30340"/>
    <w:rsid w:val="00C30782"/>
    <w:rsid w:val="00C30E2D"/>
    <w:rsid w:val="00C30EFF"/>
    <w:rsid w:val="00C3104E"/>
    <w:rsid w:val="00C3114D"/>
    <w:rsid w:val="00C313DD"/>
    <w:rsid w:val="00C31AF4"/>
    <w:rsid w:val="00C31BDD"/>
    <w:rsid w:val="00C31D48"/>
    <w:rsid w:val="00C325AD"/>
    <w:rsid w:val="00C32B08"/>
    <w:rsid w:val="00C32C5F"/>
    <w:rsid w:val="00C32DB5"/>
    <w:rsid w:val="00C3313C"/>
    <w:rsid w:val="00C333CD"/>
    <w:rsid w:val="00C33A00"/>
    <w:rsid w:val="00C33CED"/>
    <w:rsid w:val="00C33ED9"/>
    <w:rsid w:val="00C3422B"/>
    <w:rsid w:val="00C344C9"/>
    <w:rsid w:val="00C34DF2"/>
    <w:rsid w:val="00C35BB3"/>
    <w:rsid w:val="00C35D19"/>
    <w:rsid w:val="00C35F15"/>
    <w:rsid w:val="00C365BC"/>
    <w:rsid w:val="00C36771"/>
    <w:rsid w:val="00C37227"/>
    <w:rsid w:val="00C374DB"/>
    <w:rsid w:val="00C37DE8"/>
    <w:rsid w:val="00C40065"/>
    <w:rsid w:val="00C402B2"/>
    <w:rsid w:val="00C40520"/>
    <w:rsid w:val="00C40A4A"/>
    <w:rsid w:val="00C40BE7"/>
    <w:rsid w:val="00C411DE"/>
    <w:rsid w:val="00C41AAD"/>
    <w:rsid w:val="00C43234"/>
    <w:rsid w:val="00C43B69"/>
    <w:rsid w:val="00C43CD8"/>
    <w:rsid w:val="00C43F84"/>
    <w:rsid w:val="00C440BC"/>
    <w:rsid w:val="00C44417"/>
    <w:rsid w:val="00C45A23"/>
    <w:rsid w:val="00C47315"/>
    <w:rsid w:val="00C474EC"/>
    <w:rsid w:val="00C47D6C"/>
    <w:rsid w:val="00C50299"/>
    <w:rsid w:val="00C505DF"/>
    <w:rsid w:val="00C50873"/>
    <w:rsid w:val="00C509F6"/>
    <w:rsid w:val="00C50AC0"/>
    <w:rsid w:val="00C50B0E"/>
    <w:rsid w:val="00C5118B"/>
    <w:rsid w:val="00C51420"/>
    <w:rsid w:val="00C516FE"/>
    <w:rsid w:val="00C51B1C"/>
    <w:rsid w:val="00C51E67"/>
    <w:rsid w:val="00C522A2"/>
    <w:rsid w:val="00C522EC"/>
    <w:rsid w:val="00C52368"/>
    <w:rsid w:val="00C5247F"/>
    <w:rsid w:val="00C526A3"/>
    <w:rsid w:val="00C52741"/>
    <w:rsid w:val="00C52786"/>
    <w:rsid w:val="00C52947"/>
    <w:rsid w:val="00C53A92"/>
    <w:rsid w:val="00C53E01"/>
    <w:rsid w:val="00C53F26"/>
    <w:rsid w:val="00C548D0"/>
    <w:rsid w:val="00C55598"/>
    <w:rsid w:val="00C55A83"/>
    <w:rsid w:val="00C55B70"/>
    <w:rsid w:val="00C55BBF"/>
    <w:rsid w:val="00C569E2"/>
    <w:rsid w:val="00C56D96"/>
    <w:rsid w:val="00C56DF9"/>
    <w:rsid w:val="00C56EAB"/>
    <w:rsid w:val="00C6051A"/>
    <w:rsid w:val="00C60693"/>
    <w:rsid w:val="00C60857"/>
    <w:rsid w:val="00C60D93"/>
    <w:rsid w:val="00C60E54"/>
    <w:rsid w:val="00C61149"/>
    <w:rsid w:val="00C619E8"/>
    <w:rsid w:val="00C61D10"/>
    <w:rsid w:val="00C62122"/>
    <w:rsid w:val="00C621EC"/>
    <w:rsid w:val="00C624B1"/>
    <w:rsid w:val="00C62E46"/>
    <w:rsid w:val="00C63C19"/>
    <w:rsid w:val="00C63FB7"/>
    <w:rsid w:val="00C64174"/>
    <w:rsid w:val="00C642C4"/>
    <w:rsid w:val="00C642C7"/>
    <w:rsid w:val="00C645BE"/>
    <w:rsid w:val="00C64835"/>
    <w:rsid w:val="00C64926"/>
    <w:rsid w:val="00C6534B"/>
    <w:rsid w:val="00C65644"/>
    <w:rsid w:val="00C65670"/>
    <w:rsid w:val="00C65C45"/>
    <w:rsid w:val="00C6642D"/>
    <w:rsid w:val="00C6692D"/>
    <w:rsid w:val="00C66EE9"/>
    <w:rsid w:val="00C67B07"/>
    <w:rsid w:val="00C67E1B"/>
    <w:rsid w:val="00C67F36"/>
    <w:rsid w:val="00C7011D"/>
    <w:rsid w:val="00C70294"/>
    <w:rsid w:val="00C70845"/>
    <w:rsid w:val="00C70E55"/>
    <w:rsid w:val="00C70F8D"/>
    <w:rsid w:val="00C71194"/>
    <w:rsid w:val="00C716CA"/>
    <w:rsid w:val="00C71890"/>
    <w:rsid w:val="00C7191E"/>
    <w:rsid w:val="00C71B13"/>
    <w:rsid w:val="00C71C59"/>
    <w:rsid w:val="00C71DCD"/>
    <w:rsid w:val="00C723A9"/>
    <w:rsid w:val="00C72869"/>
    <w:rsid w:val="00C72E71"/>
    <w:rsid w:val="00C733C8"/>
    <w:rsid w:val="00C73E58"/>
    <w:rsid w:val="00C74473"/>
    <w:rsid w:val="00C74AD5"/>
    <w:rsid w:val="00C75390"/>
    <w:rsid w:val="00C76483"/>
    <w:rsid w:val="00C7683D"/>
    <w:rsid w:val="00C76A58"/>
    <w:rsid w:val="00C76FF7"/>
    <w:rsid w:val="00C775AB"/>
    <w:rsid w:val="00C77DC2"/>
    <w:rsid w:val="00C800C4"/>
    <w:rsid w:val="00C80CC5"/>
    <w:rsid w:val="00C80CF1"/>
    <w:rsid w:val="00C810FE"/>
    <w:rsid w:val="00C812B0"/>
    <w:rsid w:val="00C816C2"/>
    <w:rsid w:val="00C82065"/>
    <w:rsid w:val="00C82112"/>
    <w:rsid w:val="00C827A6"/>
    <w:rsid w:val="00C8293B"/>
    <w:rsid w:val="00C82CAD"/>
    <w:rsid w:val="00C82FFE"/>
    <w:rsid w:val="00C8381A"/>
    <w:rsid w:val="00C838E0"/>
    <w:rsid w:val="00C83A7C"/>
    <w:rsid w:val="00C83DE7"/>
    <w:rsid w:val="00C83E83"/>
    <w:rsid w:val="00C842B6"/>
    <w:rsid w:val="00C845A3"/>
    <w:rsid w:val="00C84825"/>
    <w:rsid w:val="00C84B7E"/>
    <w:rsid w:val="00C84DDC"/>
    <w:rsid w:val="00C85156"/>
    <w:rsid w:val="00C85187"/>
    <w:rsid w:val="00C852F9"/>
    <w:rsid w:val="00C8560D"/>
    <w:rsid w:val="00C860D0"/>
    <w:rsid w:val="00C86C46"/>
    <w:rsid w:val="00C86D33"/>
    <w:rsid w:val="00C86F05"/>
    <w:rsid w:val="00C87307"/>
    <w:rsid w:val="00C87DC8"/>
    <w:rsid w:val="00C87E83"/>
    <w:rsid w:val="00C87F79"/>
    <w:rsid w:val="00C90021"/>
    <w:rsid w:val="00C9022A"/>
    <w:rsid w:val="00C904D2"/>
    <w:rsid w:val="00C9194B"/>
    <w:rsid w:val="00C91AB0"/>
    <w:rsid w:val="00C91ABB"/>
    <w:rsid w:val="00C92003"/>
    <w:rsid w:val="00C92234"/>
    <w:rsid w:val="00C925B7"/>
    <w:rsid w:val="00C92943"/>
    <w:rsid w:val="00C92CAC"/>
    <w:rsid w:val="00C9389F"/>
    <w:rsid w:val="00C93A12"/>
    <w:rsid w:val="00C94FA3"/>
    <w:rsid w:val="00C95176"/>
    <w:rsid w:val="00C95546"/>
    <w:rsid w:val="00C958D4"/>
    <w:rsid w:val="00C95CBF"/>
    <w:rsid w:val="00C9665C"/>
    <w:rsid w:val="00C96B5F"/>
    <w:rsid w:val="00C96D9A"/>
    <w:rsid w:val="00C9724F"/>
    <w:rsid w:val="00C976DA"/>
    <w:rsid w:val="00CA01EC"/>
    <w:rsid w:val="00CA027C"/>
    <w:rsid w:val="00CA1101"/>
    <w:rsid w:val="00CA1349"/>
    <w:rsid w:val="00CA1370"/>
    <w:rsid w:val="00CA1711"/>
    <w:rsid w:val="00CA17CE"/>
    <w:rsid w:val="00CA17FD"/>
    <w:rsid w:val="00CA1988"/>
    <w:rsid w:val="00CA2A25"/>
    <w:rsid w:val="00CA2A62"/>
    <w:rsid w:val="00CA2ADF"/>
    <w:rsid w:val="00CA2C99"/>
    <w:rsid w:val="00CA2D15"/>
    <w:rsid w:val="00CA3500"/>
    <w:rsid w:val="00CA39A2"/>
    <w:rsid w:val="00CA4372"/>
    <w:rsid w:val="00CA439E"/>
    <w:rsid w:val="00CA45B2"/>
    <w:rsid w:val="00CA47CB"/>
    <w:rsid w:val="00CA4C2B"/>
    <w:rsid w:val="00CA4E61"/>
    <w:rsid w:val="00CA52CF"/>
    <w:rsid w:val="00CA53B6"/>
    <w:rsid w:val="00CA5B2A"/>
    <w:rsid w:val="00CA6263"/>
    <w:rsid w:val="00CA63B9"/>
    <w:rsid w:val="00CA6426"/>
    <w:rsid w:val="00CA670A"/>
    <w:rsid w:val="00CA6969"/>
    <w:rsid w:val="00CA6A15"/>
    <w:rsid w:val="00CA6BB7"/>
    <w:rsid w:val="00CA7279"/>
    <w:rsid w:val="00CA74B7"/>
    <w:rsid w:val="00CA780C"/>
    <w:rsid w:val="00CB078E"/>
    <w:rsid w:val="00CB0E3D"/>
    <w:rsid w:val="00CB110F"/>
    <w:rsid w:val="00CB14FC"/>
    <w:rsid w:val="00CB257F"/>
    <w:rsid w:val="00CB26CF"/>
    <w:rsid w:val="00CB29FB"/>
    <w:rsid w:val="00CB311A"/>
    <w:rsid w:val="00CB331B"/>
    <w:rsid w:val="00CB3B18"/>
    <w:rsid w:val="00CB40E9"/>
    <w:rsid w:val="00CB437F"/>
    <w:rsid w:val="00CB462C"/>
    <w:rsid w:val="00CB4AD6"/>
    <w:rsid w:val="00CB4C33"/>
    <w:rsid w:val="00CB512C"/>
    <w:rsid w:val="00CB5491"/>
    <w:rsid w:val="00CB56AF"/>
    <w:rsid w:val="00CB5B1A"/>
    <w:rsid w:val="00CB5D90"/>
    <w:rsid w:val="00CB5E7B"/>
    <w:rsid w:val="00CB60C7"/>
    <w:rsid w:val="00CB65CD"/>
    <w:rsid w:val="00CB7689"/>
    <w:rsid w:val="00CB7A1A"/>
    <w:rsid w:val="00CC0504"/>
    <w:rsid w:val="00CC0E88"/>
    <w:rsid w:val="00CC0EC0"/>
    <w:rsid w:val="00CC12BC"/>
    <w:rsid w:val="00CC1C86"/>
    <w:rsid w:val="00CC218A"/>
    <w:rsid w:val="00CC260D"/>
    <w:rsid w:val="00CC2696"/>
    <w:rsid w:val="00CC29E0"/>
    <w:rsid w:val="00CC2A09"/>
    <w:rsid w:val="00CC2DCD"/>
    <w:rsid w:val="00CC3341"/>
    <w:rsid w:val="00CC33E0"/>
    <w:rsid w:val="00CC3504"/>
    <w:rsid w:val="00CC36C5"/>
    <w:rsid w:val="00CC3ADA"/>
    <w:rsid w:val="00CC4E66"/>
    <w:rsid w:val="00CC6B8F"/>
    <w:rsid w:val="00CC6BC9"/>
    <w:rsid w:val="00CC7BA4"/>
    <w:rsid w:val="00CD036C"/>
    <w:rsid w:val="00CD049D"/>
    <w:rsid w:val="00CD0606"/>
    <w:rsid w:val="00CD0959"/>
    <w:rsid w:val="00CD09F1"/>
    <w:rsid w:val="00CD1177"/>
    <w:rsid w:val="00CD11FC"/>
    <w:rsid w:val="00CD1260"/>
    <w:rsid w:val="00CD135B"/>
    <w:rsid w:val="00CD1651"/>
    <w:rsid w:val="00CD1B21"/>
    <w:rsid w:val="00CD1E38"/>
    <w:rsid w:val="00CD2640"/>
    <w:rsid w:val="00CD2948"/>
    <w:rsid w:val="00CD2964"/>
    <w:rsid w:val="00CD2B42"/>
    <w:rsid w:val="00CD2BB5"/>
    <w:rsid w:val="00CD2BBF"/>
    <w:rsid w:val="00CD2CA4"/>
    <w:rsid w:val="00CD2D25"/>
    <w:rsid w:val="00CD3661"/>
    <w:rsid w:val="00CD40A2"/>
    <w:rsid w:val="00CD412F"/>
    <w:rsid w:val="00CD4146"/>
    <w:rsid w:val="00CD4EBF"/>
    <w:rsid w:val="00CD4F42"/>
    <w:rsid w:val="00CD52B3"/>
    <w:rsid w:val="00CD5F84"/>
    <w:rsid w:val="00CD600A"/>
    <w:rsid w:val="00CD65BA"/>
    <w:rsid w:val="00CD6924"/>
    <w:rsid w:val="00CD6E17"/>
    <w:rsid w:val="00CD6F63"/>
    <w:rsid w:val="00CD70D7"/>
    <w:rsid w:val="00CD75F2"/>
    <w:rsid w:val="00CD75FB"/>
    <w:rsid w:val="00CD79FC"/>
    <w:rsid w:val="00CE024A"/>
    <w:rsid w:val="00CE0359"/>
    <w:rsid w:val="00CE0738"/>
    <w:rsid w:val="00CE07D1"/>
    <w:rsid w:val="00CE0B2F"/>
    <w:rsid w:val="00CE0E68"/>
    <w:rsid w:val="00CE0F1D"/>
    <w:rsid w:val="00CE1022"/>
    <w:rsid w:val="00CE1453"/>
    <w:rsid w:val="00CE1825"/>
    <w:rsid w:val="00CE1C4A"/>
    <w:rsid w:val="00CE1D75"/>
    <w:rsid w:val="00CE2039"/>
    <w:rsid w:val="00CE22F2"/>
    <w:rsid w:val="00CE284B"/>
    <w:rsid w:val="00CE3214"/>
    <w:rsid w:val="00CE40CD"/>
    <w:rsid w:val="00CE4491"/>
    <w:rsid w:val="00CE4778"/>
    <w:rsid w:val="00CE4B01"/>
    <w:rsid w:val="00CE4B31"/>
    <w:rsid w:val="00CE4D00"/>
    <w:rsid w:val="00CE4D83"/>
    <w:rsid w:val="00CE4E0D"/>
    <w:rsid w:val="00CE4E66"/>
    <w:rsid w:val="00CE5246"/>
    <w:rsid w:val="00CE552A"/>
    <w:rsid w:val="00CE5605"/>
    <w:rsid w:val="00CE5614"/>
    <w:rsid w:val="00CE59AE"/>
    <w:rsid w:val="00CE5DBC"/>
    <w:rsid w:val="00CE62A9"/>
    <w:rsid w:val="00CE6495"/>
    <w:rsid w:val="00CE72C4"/>
    <w:rsid w:val="00CE7993"/>
    <w:rsid w:val="00CE7A79"/>
    <w:rsid w:val="00CF0755"/>
    <w:rsid w:val="00CF07DF"/>
    <w:rsid w:val="00CF0818"/>
    <w:rsid w:val="00CF1342"/>
    <w:rsid w:val="00CF1637"/>
    <w:rsid w:val="00CF163C"/>
    <w:rsid w:val="00CF1779"/>
    <w:rsid w:val="00CF17D1"/>
    <w:rsid w:val="00CF185D"/>
    <w:rsid w:val="00CF1D45"/>
    <w:rsid w:val="00CF240C"/>
    <w:rsid w:val="00CF273B"/>
    <w:rsid w:val="00CF283E"/>
    <w:rsid w:val="00CF2B00"/>
    <w:rsid w:val="00CF2EF8"/>
    <w:rsid w:val="00CF3044"/>
    <w:rsid w:val="00CF3B17"/>
    <w:rsid w:val="00CF460B"/>
    <w:rsid w:val="00CF4741"/>
    <w:rsid w:val="00CF522D"/>
    <w:rsid w:val="00CF5C32"/>
    <w:rsid w:val="00CF5C45"/>
    <w:rsid w:val="00CF64B2"/>
    <w:rsid w:val="00CF65A1"/>
    <w:rsid w:val="00CF70CE"/>
    <w:rsid w:val="00CF70F6"/>
    <w:rsid w:val="00CF7668"/>
    <w:rsid w:val="00CF7CBD"/>
    <w:rsid w:val="00CF7D95"/>
    <w:rsid w:val="00D000CB"/>
    <w:rsid w:val="00D012DA"/>
    <w:rsid w:val="00D014E4"/>
    <w:rsid w:val="00D01853"/>
    <w:rsid w:val="00D01A50"/>
    <w:rsid w:val="00D01C1D"/>
    <w:rsid w:val="00D01E61"/>
    <w:rsid w:val="00D0257A"/>
    <w:rsid w:val="00D02965"/>
    <w:rsid w:val="00D029E7"/>
    <w:rsid w:val="00D02BB1"/>
    <w:rsid w:val="00D03053"/>
    <w:rsid w:val="00D03695"/>
    <w:rsid w:val="00D0377A"/>
    <w:rsid w:val="00D03B90"/>
    <w:rsid w:val="00D03E5F"/>
    <w:rsid w:val="00D0402E"/>
    <w:rsid w:val="00D04546"/>
    <w:rsid w:val="00D045EB"/>
    <w:rsid w:val="00D049FB"/>
    <w:rsid w:val="00D05157"/>
    <w:rsid w:val="00D051BC"/>
    <w:rsid w:val="00D0560A"/>
    <w:rsid w:val="00D059C5"/>
    <w:rsid w:val="00D0619A"/>
    <w:rsid w:val="00D06360"/>
    <w:rsid w:val="00D063EB"/>
    <w:rsid w:val="00D06881"/>
    <w:rsid w:val="00D06C6C"/>
    <w:rsid w:val="00D074F1"/>
    <w:rsid w:val="00D077AD"/>
    <w:rsid w:val="00D07A3B"/>
    <w:rsid w:val="00D07A5F"/>
    <w:rsid w:val="00D07CF7"/>
    <w:rsid w:val="00D07D5F"/>
    <w:rsid w:val="00D1056D"/>
    <w:rsid w:val="00D10C09"/>
    <w:rsid w:val="00D112EE"/>
    <w:rsid w:val="00D11ABF"/>
    <w:rsid w:val="00D11D80"/>
    <w:rsid w:val="00D120EF"/>
    <w:rsid w:val="00D1237D"/>
    <w:rsid w:val="00D12450"/>
    <w:rsid w:val="00D124C5"/>
    <w:rsid w:val="00D125EB"/>
    <w:rsid w:val="00D126E9"/>
    <w:rsid w:val="00D12B15"/>
    <w:rsid w:val="00D1306B"/>
    <w:rsid w:val="00D134D3"/>
    <w:rsid w:val="00D1365D"/>
    <w:rsid w:val="00D13D5B"/>
    <w:rsid w:val="00D1400A"/>
    <w:rsid w:val="00D1402D"/>
    <w:rsid w:val="00D140B8"/>
    <w:rsid w:val="00D144F3"/>
    <w:rsid w:val="00D14986"/>
    <w:rsid w:val="00D14A17"/>
    <w:rsid w:val="00D150A3"/>
    <w:rsid w:val="00D15349"/>
    <w:rsid w:val="00D15909"/>
    <w:rsid w:val="00D15D31"/>
    <w:rsid w:val="00D160BB"/>
    <w:rsid w:val="00D164A5"/>
    <w:rsid w:val="00D1682F"/>
    <w:rsid w:val="00D168B6"/>
    <w:rsid w:val="00D169E5"/>
    <w:rsid w:val="00D17BA8"/>
    <w:rsid w:val="00D20AAC"/>
    <w:rsid w:val="00D21E79"/>
    <w:rsid w:val="00D237B1"/>
    <w:rsid w:val="00D2589C"/>
    <w:rsid w:val="00D2599A"/>
    <w:rsid w:val="00D25B1C"/>
    <w:rsid w:val="00D25BF6"/>
    <w:rsid w:val="00D260A5"/>
    <w:rsid w:val="00D26570"/>
    <w:rsid w:val="00D266B5"/>
    <w:rsid w:val="00D26C6F"/>
    <w:rsid w:val="00D26EE0"/>
    <w:rsid w:val="00D26F50"/>
    <w:rsid w:val="00D26FFE"/>
    <w:rsid w:val="00D274D9"/>
    <w:rsid w:val="00D27978"/>
    <w:rsid w:val="00D27B18"/>
    <w:rsid w:val="00D31932"/>
    <w:rsid w:val="00D31B6B"/>
    <w:rsid w:val="00D321AA"/>
    <w:rsid w:val="00D327B2"/>
    <w:rsid w:val="00D328FA"/>
    <w:rsid w:val="00D32B04"/>
    <w:rsid w:val="00D32DE0"/>
    <w:rsid w:val="00D32EB0"/>
    <w:rsid w:val="00D32F3F"/>
    <w:rsid w:val="00D32FBE"/>
    <w:rsid w:val="00D339AB"/>
    <w:rsid w:val="00D33D2C"/>
    <w:rsid w:val="00D3479F"/>
    <w:rsid w:val="00D34B88"/>
    <w:rsid w:val="00D34E53"/>
    <w:rsid w:val="00D3528F"/>
    <w:rsid w:val="00D355A5"/>
    <w:rsid w:val="00D35FC3"/>
    <w:rsid w:val="00D368C9"/>
    <w:rsid w:val="00D36D77"/>
    <w:rsid w:val="00D36EA6"/>
    <w:rsid w:val="00D37035"/>
    <w:rsid w:val="00D37075"/>
    <w:rsid w:val="00D374D3"/>
    <w:rsid w:val="00D37636"/>
    <w:rsid w:val="00D3769C"/>
    <w:rsid w:val="00D376D7"/>
    <w:rsid w:val="00D3775F"/>
    <w:rsid w:val="00D37BA5"/>
    <w:rsid w:val="00D40D70"/>
    <w:rsid w:val="00D40F13"/>
    <w:rsid w:val="00D415F7"/>
    <w:rsid w:val="00D41D59"/>
    <w:rsid w:val="00D427D7"/>
    <w:rsid w:val="00D42DAD"/>
    <w:rsid w:val="00D43403"/>
    <w:rsid w:val="00D4365D"/>
    <w:rsid w:val="00D43D53"/>
    <w:rsid w:val="00D441AD"/>
    <w:rsid w:val="00D4475B"/>
    <w:rsid w:val="00D45261"/>
    <w:rsid w:val="00D46832"/>
    <w:rsid w:val="00D47431"/>
    <w:rsid w:val="00D47440"/>
    <w:rsid w:val="00D47479"/>
    <w:rsid w:val="00D474F9"/>
    <w:rsid w:val="00D4750A"/>
    <w:rsid w:val="00D4773F"/>
    <w:rsid w:val="00D47A26"/>
    <w:rsid w:val="00D47AD7"/>
    <w:rsid w:val="00D47E23"/>
    <w:rsid w:val="00D5056D"/>
    <w:rsid w:val="00D505B9"/>
    <w:rsid w:val="00D50A6A"/>
    <w:rsid w:val="00D50B96"/>
    <w:rsid w:val="00D51623"/>
    <w:rsid w:val="00D51990"/>
    <w:rsid w:val="00D51BF3"/>
    <w:rsid w:val="00D51E7F"/>
    <w:rsid w:val="00D52367"/>
    <w:rsid w:val="00D52781"/>
    <w:rsid w:val="00D529DE"/>
    <w:rsid w:val="00D5301C"/>
    <w:rsid w:val="00D530FE"/>
    <w:rsid w:val="00D531D1"/>
    <w:rsid w:val="00D53A71"/>
    <w:rsid w:val="00D53AF2"/>
    <w:rsid w:val="00D53ED4"/>
    <w:rsid w:val="00D541D7"/>
    <w:rsid w:val="00D54593"/>
    <w:rsid w:val="00D5592B"/>
    <w:rsid w:val="00D56A62"/>
    <w:rsid w:val="00D56BBF"/>
    <w:rsid w:val="00D57117"/>
    <w:rsid w:val="00D5751F"/>
    <w:rsid w:val="00D575A9"/>
    <w:rsid w:val="00D57793"/>
    <w:rsid w:val="00D577EE"/>
    <w:rsid w:val="00D5799B"/>
    <w:rsid w:val="00D57B95"/>
    <w:rsid w:val="00D60123"/>
    <w:rsid w:val="00D6041D"/>
    <w:rsid w:val="00D6052F"/>
    <w:rsid w:val="00D61A11"/>
    <w:rsid w:val="00D61CC6"/>
    <w:rsid w:val="00D62641"/>
    <w:rsid w:val="00D628BF"/>
    <w:rsid w:val="00D63083"/>
    <w:rsid w:val="00D631AA"/>
    <w:rsid w:val="00D63537"/>
    <w:rsid w:val="00D636AD"/>
    <w:rsid w:val="00D63955"/>
    <w:rsid w:val="00D63D26"/>
    <w:rsid w:val="00D64073"/>
    <w:rsid w:val="00D641B6"/>
    <w:rsid w:val="00D64944"/>
    <w:rsid w:val="00D64BEB"/>
    <w:rsid w:val="00D64F72"/>
    <w:rsid w:val="00D6526B"/>
    <w:rsid w:val="00D65CC9"/>
    <w:rsid w:val="00D65EFF"/>
    <w:rsid w:val="00D662D2"/>
    <w:rsid w:val="00D664FA"/>
    <w:rsid w:val="00D66FEC"/>
    <w:rsid w:val="00D67192"/>
    <w:rsid w:val="00D67825"/>
    <w:rsid w:val="00D67B95"/>
    <w:rsid w:val="00D67C7E"/>
    <w:rsid w:val="00D705EC"/>
    <w:rsid w:val="00D70F17"/>
    <w:rsid w:val="00D7110C"/>
    <w:rsid w:val="00D71378"/>
    <w:rsid w:val="00D718DD"/>
    <w:rsid w:val="00D71CD6"/>
    <w:rsid w:val="00D71E2C"/>
    <w:rsid w:val="00D71EE3"/>
    <w:rsid w:val="00D72D1D"/>
    <w:rsid w:val="00D7333E"/>
    <w:rsid w:val="00D73FC2"/>
    <w:rsid w:val="00D74397"/>
    <w:rsid w:val="00D7439C"/>
    <w:rsid w:val="00D74415"/>
    <w:rsid w:val="00D7442B"/>
    <w:rsid w:val="00D74580"/>
    <w:rsid w:val="00D765A7"/>
    <w:rsid w:val="00D7697E"/>
    <w:rsid w:val="00D7711C"/>
    <w:rsid w:val="00D77149"/>
    <w:rsid w:val="00D800A9"/>
    <w:rsid w:val="00D802B8"/>
    <w:rsid w:val="00D80605"/>
    <w:rsid w:val="00D808EA"/>
    <w:rsid w:val="00D80E78"/>
    <w:rsid w:val="00D817E4"/>
    <w:rsid w:val="00D81945"/>
    <w:rsid w:val="00D81A79"/>
    <w:rsid w:val="00D81B43"/>
    <w:rsid w:val="00D81D6F"/>
    <w:rsid w:val="00D81DC6"/>
    <w:rsid w:val="00D8261A"/>
    <w:rsid w:val="00D82BC7"/>
    <w:rsid w:val="00D82D2D"/>
    <w:rsid w:val="00D832E1"/>
    <w:rsid w:val="00D83327"/>
    <w:rsid w:val="00D8332E"/>
    <w:rsid w:val="00D836F3"/>
    <w:rsid w:val="00D836F9"/>
    <w:rsid w:val="00D83CD5"/>
    <w:rsid w:val="00D83D36"/>
    <w:rsid w:val="00D841E9"/>
    <w:rsid w:val="00D84272"/>
    <w:rsid w:val="00D84C79"/>
    <w:rsid w:val="00D84EFF"/>
    <w:rsid w:val="00D84F90"/>
    <w:rsid w:val="00D850DF"/>
    <w:rsid w:val="00D85BC0"/>
    <w:rsid w:val="00D861C5"/>
    <w:rsid w:val="00D8622A"/>
    <w:rsid w:val="00D86511"/>
    <w:rsid w:val="00D86941"/>
    <w:rsid w:val="00D869EA"/>
    <w:rsid w:val="00D86FE1"/>
    <w:rsid w:val="00D8706D"/>
    <w:rsid w:val="00D871F1"/>
    <w:rsid w:val="00D874EC"/>
    <w:rsid w:val="00D87714"/>
    <w:rsid w:val="00D877A7"/>
    <w:rsid w:val="00D87A11"/>
    <w:rsid w:val="00D87B34"/>
    <w:rsid w:val="00D87B61"/>
    <w:rsid w:val="00D87EA6"/>
    <w:rsid w:val="00D91C87"/>
    <w:rsid w:val="00D92859"/>
    <w:rsid w:val="00D93141"/>
    <w:rsid w:val="00D93395"/>
    <w:rsid w:val="00D937A6"/>
    <w:rsid w:val="00D937FC"/>
    <w:rsid w:val="00D93A69"/>
    <w:rsid w:val="00D93D77"/>
    <w:rsid w:val="00D94D07"/>
    <w:rsid w:val="00D94E14"/>
    <w:rsid w:val="00D95278"/>
    <w:rsid w:val="00D96343"/>
    <w:rsid w:val="00D9650C"/>
    <w:rsid w:val="00D96629"/>
    <w:rsid w:val="00D9664C"/>
    <w:rsid w:val="00D9683E"/>
    <w:rsid w:val="00D971AA"/>
    <w:rsid w:val="00D97389"/>
    <w:rsid w:val="00D9754A"/>
    <w:rsid w:val="00D97598"/>
    <w:rsid w:val="00DA0337"/>
    <w:rsid w:val="00DA07F9"/>
    <w:rsid w:val="00DA0AC1"/>
    <w:rsid w:val="00DA0B59"/>
    <w:rsid w:val="00DA146E"/>
    <w:rsid w:val="00DA1CC4"/>
    <w:rsid w:val="00DA2130"/>
    <w:rsid w:val="00DA22A1"/>
    <w:rsid w:val="00DA23B4"/>
    <w:rsid w:val="00DA290D"/>
    <w:rsid w:val="00DA2F67"/>
    <w:rsid w:val="00DA303B"/>
    <w:rsid w:val="00DA3183"/>
    <w:rsid w:val="00DA393D"/>
    <w:rsid w:val="00DA42DD"/>
    <w:rsid w:val="00DA43C1"/>
    <w:rsid w:val="00DA4DAF"/>
    <w:rsid w:val="00DA4E59"/>
    <w:rsid w:val="00DA57CC"/>
    <w:rsid w:val="00DA5BBC"/>
    <w:rsid w:val="00DA5C11"/>
    <w:rsid w:val="00DA5DAE"/>
    <w:rsid w:val="00DA5E04"/>
    <w:rsid w:val="00DA6266"/>
    <w:rsid w:val="00DA63ED"/>
    <w:rsid w:val="00DA667B"/>
    <w:rsid w:val="00DA6737"/>
    <w:rsid w:val="00DA6A0B"/>
    <w:rsid w:val="00DB05CC"/>
    <w:rsid w:val="00DB0678"/>
    <w:rsid w:val="00DB0F97"/>
    <w:rsid w:val="00DB10CA"/>
    <w:rsid w:val="00DB20D6"/>
    <w:rsid w:val="00DB231E"/>
    <w:rsid w:val="00DB25A8"/>
    <w:rsid w:val="00DB26F1"/>
    <w:rsid w:val="00DB29D4"/>
    <w:rsid w:val="00DB2DF5"/>
    <w:rsid w:val="00DB3145"/>
    <w:rsid w:val="00DB326E"/>
    <w:rsid w:val="00DB35E6"/>
    <w:rsid w:val="00DB3F5B"/>
    <w:rsid w:val="00DB4CB3"/>
    <w:rsid w:val="00DB5380"/>
    <w:rsid w:val="00DB5E33"/>
    <w:rsid w:val="00DB5F7B"/>
    <w:rsid w:val="00DB6049"/>
    <w:rsid w:val="00DB6B70"/>
    <w:rsid w:val="00DB73AD"/>
    <w:rsid w:val="00DB748D"/>
    <w:rsid w:val="00DB7684"/>
    <w:rsid w:val="00DB7BBC"/>
    <w:rsid w:val="00DB7E71"/>
    <w:rsid w:val="00DC0E6C"/>
    <w:rsid w:val="00DC0FA6"/>
    <w:rsid w:val="00DC121F"/>
    <w:rsid w:val="00DC1229"/>
    <w:rsid w:val="00DC130C"/>
    <w:rsid w:val="00DC1475"/>
    <w:rsid w:val="00DC1A33"/>
    <w:rsid w:val="00DC1E4B"/>
    <w:rsid w:val="00DC2292"/>
    <w:rsid w:val="00DC39EF"/>
    <w:rsid w:val="00DC3CEF"/>
    <w:rsid w:val="00DC3D10"/>
    <w:rsid w:val="00DC4133"/>
    <w:rsid w:val="00DC459C"/>
    <w:rsid w:val="00DC4992"/>
    <w:rsid w:val="00DC4BB8"/>
    <w:rsid w:val="00DC508E"/>
    <w:rsid w:val="00DC5487"/>
    <w:rsid w:val="00DC5561"/>
    <w:rsid w:val="00DC5D02"/>
    <w:rsid w:val="00DC5DC9"/>
    <w:rsid w:val="00DC6B2C"/>
    <w:rsid w:val="00DC714C"/>
    <w:rsid w:val="00DC739B"/>
    <w:rsid w:val="00DC7823"/>
    <w:rsid w:val="00DC7CD2"/>
    <w:rsid w:val="00DC7F60"/>
    <w:rsid w:val="00DC7F96"/>
    <w:rsid w:val="00DD0342"/>
    <w:rsid w:val="00DD04B6"/>
    <w:rsid w:val="00DD0B91"/>
    <w:rsid w:val="00DD0C7A"/>
    <w:rsid w:val="00DD160B"/>
    <w:rsid w:val="00DD1769"/>
    <w:rsid w:val="00DD2359"/>
    <w:rsid w:val="00DD2B91"/>
    <w:rsid w:val="00DD2E57"/>
    <w:rsid w:val="00DD2F7B"/>
    <w:rsid w:val="00DD36F6"/>
    <w:rsid w:val="00DD4A2C"/>
    <w:rsid w:val="00DD4B36"/>
    <w:rsid w:val="00DD4BD6"/>
    <w:rsid w:val="00DD4C42"/>
    <w:rsid w:val="00DD4CEA"/>
    <w:rsid w:val="00DD53CE"/>
    <w:rsid w:val="00DD661A"/>
    <w:rsid w:val="00DD6A4B"/>
    <w:rsid w:val="00DD6A85"/>
    <w:rsid w:val="00DD6D7D"/>
    <w:rsid w:val="00DD6E06"/>
    <w:rsid w:val="00DD6E24"/>
    <w:rsid w:val="00DD78D6"/>
    <w:rsid w:val="00DD7939"/>
    <w:rsid w:val="00DD7D69"/>
    <w:rsid w:val="00DE04FA"/>
    <w:rsid w:val="00DE057F"/>
    <w:rsid w:val="00DE0926"/>
    <w:rsid w:val="00DE0C23"/>
    <w:rsid w:val="00DE0ED9"/>
    <w:rsid w:val="00DE133C"/>
    <w:rsid w:val="00DE14A2"/>
    <w:rsid w:val="00DE1BD3"/>
    <w:rsid w:val="00DE1D9B"/>
    <w:rsid w:val="00DE21F6"/>
    <w:rsid w:val="00DE23C8"/>
    <w:rsid w:val="00DE2466"/>
    <w:rsid w:val="00DE25AF"/>
    <w:rsid w:val="00DE29BA"/>
    <w:rsid w:val="00DE2E79"/>
    <w:rsid w:val="00DE2EF4"/>
    <w:rsid w:val="00DE31BD"/>
    <w:rsid w:val="00DE3264"/>
    <w:rsid w:val="00DE34B7"/>
    <w:rsid w:val="00DE38F1"/>
    <w:rsid w:val="00DE3939"/>
    <w:rsid w:val="00DE3AD4"/>
    <w:rsid w:val="00DE3C3D"/>
    <w:rsid w:val="00DE418C"/>
    <w:rsid w:val="00DE41EF"/>
    <w:rsid w:val="00DE48B0"/>
    <w:rsid w:val="00DE4CBA"/>
    <w:rsid w:val="00DE5060"/>
    <w:rsid w:val="00DE52B0"/>
    <w:rsid w:val="00DE5631"/>
    <w:rsid w:val="00DE56D0"/>
    <w:rsid w:val="00DE588D"/>
    <w:rsid w:val="00DE5C7B"/>
    <w:rsid w:val="00DE6514"/>
    <w:rsid w:val="00DE6995"/>
    <w:rsid w:val="00DE74B8"/>
    <w:rsid w:val="00DE752D"/>
    <w:rsid w:val="00DE794B"/>
    <w:rsid w:val="00DE7B6F"/>
    <w:rsid w:val="00DE7BB0"/>
    <w:rsid w:val="00DE7BE0"/>
    <w:rsid w:val="00DE7F07"/>
    <w:rsid w:val="00DF0495"/>
    <w:rsid w:val="00DF1386"/>
    <w:rsid w:val="00DF1623"/>
    <w:rsid w:val="00DF16C0"/>
    <w:rsid w:val="00DF16CC"/>
    <w:rsid w:val="00DF178F"/>
    <w:rsid w:val="00DF1E05"/>
    <w:rsid w:val="00DF24CC"/>
    <w:rsid w:val="00DF2D3E"/>
    <w:rsid w:val="00DF2D50"/>
    <w:rsid w:val="00DF2D9E"/>
    <w:rsid w:val="00DF317D"/>
    <w:rsid w:val="00DF32DB"/>
    <w:rsid w:val="00DF361C"/>
    <w:rsid w:val="00DF36FD"/>
    <w:rsid w:val="00DF377E"/>
    <w:rsid w:val="00DF3A8E"/>
    <w:rsid w:val="00DF3BB9"/>
    <w:rsid w:val="00DF3F89"/>
    <w:rsid w:val="00DF4216"/>
    <w:rsid w:val="00DF46C4"/>
    <w:rsid w:val="00DF49F9"/>
    <w:rsid w:val="00DF4E88"/>
    <w:rsid w:val="00DF4F17"/>
    <w:rsid w:val="00DF5742"/>
    <w:rsid w:val="00DF5C7D"/>
    <w:rsid w:val="00DF67AA"/>
    <w:rsid w:val="00DF6C3B"/>
    <w:rsid w:val="00DF7478"/>
    <w:rsid w:val="00DF7AF1"/>
    <w:rsid w:val="00E0028A"/>
    <w:rsid w:val="00E00E39"/>
    <w:rsid w:val="00E010FF"/>
    <w:rsid w:val="00E01D0C"/>
    <w:rsid w:val="00E02040"/>
    <w:rsid w:val="00E0240C"/>
    <w:rsid w:val="00E02660"/>
    <w:rsid w:val="00E027FF"/>
    <w:rsid w:val="00E0371D"/>
    <w:rsid w:val="00E038C5"/>
    <w:rsid w:val="00E03C37"/>
    <w:rsid w:val="00E03DD0"/>
    <w:rsid w:val="00E03E3B"/>
    <w:rsid w:val="00E0448C"/>
    <w:rsid w:val="00E04589"/>
    <w:rsid w:val="00E04BFB"/>
    <w:rsid w:val="00E04E1A"/>
    <w:rsid w:val="00E0512E"/>
    <w:rsid w:val="00E06B38"/>
    <w:rsid w:val="00E07204"/>
    <w:rsid w:val="00E07340"/>
    <w:rsid w:val="00E0747D"/>
    <w:rsid w:val="00E07B9C"/>
    <w:rsid w:val="00E07CAA"/>
    <w:rsid w:val="00E102E4"/>
    <w:rsid w:val="00E10367"/>
    <w:rsid w:val="00E1074F"/>
    <w:rsid w:val="00E109E6"/>
    <w:rsid w:val="00E114DF"/>
    <w:rsid w:val="00E118D8"/>
    <w:rsid w:val="00E119F0"/>
    <w:rsid w:val="00E11A2D"/>
    <w:rsid w:val="00E11A97"/>
    <w:rsid w:val="00E11D93"/>
    <w:rsid w:val="00E11F86"/>
    <w:rsid w:val="00E128D8"/>
    <w:rsid w:val="00E12C42"/>
    <w:rsid w:val="00E132D9"/>
    <w:rsid w:val="00E135E9"/>
    <w:rsid w:val="00E136D2"/>
    <w:rsid w:val="00E13ED5"/>
    <w:rsid w:val="00E14202"/>
    <w:rsid w:val="00E149D8"/>
    <w:rsid w:val="00E14B11"/>
    <w:rsid w:val="00E155A9"/>
    <w:rsid w:val="00E155D0"/>
    <w:rsid w:val="00E15E54"/>
    <w:rsid w:val="00E165B5"/>
    <w:rsid w:val="00E1688A"/>
    <w:rsid w:val="00E16BAA"/>
    <w:rsid w:val="00E170B3"/>
    <w:rsid w:val="00E1728C"/>
    <w:rsid w:val="00E174CE"/>
    <w:rsid w:val="00E178EF"/>
    <w:rsid w:val="00E17A0A"/>
    <w:rsid w:val="00E17ED6"/>
    <w:rsid w:val="00E20546"/>
    <w:rsid w:val="00E20848"/>
    <w:rsid w:val="00E20DA6"/>
    <w:rsid w:val="00E20EEF"/>
    <w:rsid w:val="00E212F7"/>
    <w:rsid w:val="00E2183E"/>
    <w:rsid w:val="00E232AF"/>
    <w:rsid w:val="00E232BB"/>
    <w:rsid w:val="00E2333B"/>
    <w:rsid w:val="00E23920"/>
    <w:rsid w:val="00E23CA4"/>
    <w:rsid w:val="00E24145"/>
    <w:rsid w:val="00E24353"/>
    <w:rsid w:val="00E245FF"/>
    <w:rsid w:val="00E25107"/>
    <w:rsid w:val="00E251C1"/>
    <w:rsid w:val="00E251ED"/>
    <w:rsid w:val="00E25724"/>
    <w:rsid w:val="00E258D3"/>
    <w:rsid w:val="00E25996"/>
    <w:rsid w:val="00E25B33"/>
    <w:rsid w:val="00E25FEF"/>
    <w:rsid w:val="00E26053"/>
    <w:rsid w:val="00E26758"/>
    <w:rsid w:val="00E26D29"/>
    <w:rsid w:val="00E26F2F"/>
    <w:rsid w:val="00E279C6"/>
    <w:rsid w:val="00E27F42"/>
    <w:rsid w:val="00E30028"/>
    <w:rsid w:val="00E300E3"/>
    <w:rsid w:val="00E3080F"/>
    <w:rsid w:val="00E30C3F"/>
    <w:rsid w:val="00E30D9B"/>
    <w:rsid w:val="00E3128A"/>
    <w:rsid w:val="00E31AE7"/>
    <w:rsid w:val="00E31C1A"/>
    <w:rsid w:val="00E31E94"/>
    <w:rsid w:val="00E3219B"/>
    <w:rsid w:val="00E322CE"/>
    <w:rsid w:val="00E3230A"/>
    <w:rsid w:val="00E326EA"/>
    <w:rsid w:val="00E32AD7"/>
    <w:rsid w:val="00E333B4"/>
    <w:rsid w:val="00E33F20"/>
    <w:rsid w:val="00E341E7"/>
    <w:rsid w:val="00E3461E"/>
    <w:rsid w:val="00E34E33"/>
    <w:rsid w:val="00E34ED5"/>
    <w:rsid w:val="00E3504C"/>
    <w:rsid w:val="00E351C4"/>
    <w:rsid w:val="00E3560E"/>
    <w:rsid w:val="00E3685F"/>
    <w:rsid w:val="00E37013"/>
    <w:rsid w:val="00E37140"/>
    <w:rsid w:val="00E37193"/>
    <w:rsid w:val="00E37390"/>
    <w:rsid w:val="00E37BB5"/>
    <w:rsid w:val="00E37CBC"/>
    <w:rsid w:val="00E37CC1"/>
    <w:rsid w:val="00E37F73"/>
    <w:rsid w:val="00E409C1"/>
    <w:rsid w:val="00E40D47"/>
    <w:rsid w:val="00E40E71"/>
    <w:rsid w:val="00E40F5E"/>
    <w:rsid w:val="00E410C2"/>
    <w:rsid w:val="00E415E8"/>
    <w:rsid w:val="00E416FC"/>
    <w:rsid w:val="00E42214"/>
    <w:rsid w:val="00E422FF"/>
    <w:rsid w:val="00E4252C"/>
    <w:rsid w:val="00E426A6"/>
    <w:rsid w:val="00E42AFF"/>
    <w:rsid w:val="00E42CF8"/>
    <w:rsid w:val="00E432AF"/>
    <w:rsid w:val="00E432FE"/>
    <w:rsid w:val="00E4404C"/>
    <w:rsid w:val="00E44494"/>
    <w:rsid w:val="00E446D5"/>
    <w:rsid w:val="00E44920"/>
    <w:rsid w:val="00E45997"/>
    <w:rsid w:val="00E45B37"/>
    <w:rsid w:val="00E45E54"/>
    <w:rsid w:val="00E4669C"/>
    <w:rsid w:val="00E468D4"/>
    <w:rsid w:val="00E46C1E"/>
    <w:rsid w:val="00E46C4C"/>
    <w:rsid w:val="00E46FDA"/>
    <w:rsid w:val="00E47078"/>
    <w:rsid w:val="00E47114"/>
    <w:rsid w:val="00E47A1E"/>
    <w:rsid w:val="00E50262"/>
    <w:rsid w:val="00E50404"/>
    <w:rsid w:val="00E50712"/>
    <w:rsid w:val="00E507A6"/>
    <w:rsid w:val="00E50BE2"/>
    <w:rsid w:val="00E5168B"/>
    <w:rsid w:val="00E517DA"/>
    <w:rsid w:val="00E51F1C"/>
    <w:rsid w:val="00E525AB"/>
    <w:rsid w:val="00E525EB"/>
    <w:rsid w:val="00E527EE"/>
    <w:rsid w:val="00E52B72"/>
    <w:rsid w:val="00E52FA6"/>
    <w:rsid w:val="00E53CE2"/>
    <w:rsid w:val="00E5435C"/>
    <w:rsid w:val="00E544D4"/>
    <w:rsid w:val="00E549A4"/>
    <w:rsid w:val="00E54CD6"/>
    <w:rsid w:val="00E54E1E"/>
    <w:rsid w:val="00E553A5"/>
    <w:rsid w:val="00E559E3"/>
    <w:rsid w:val="00E564EF"/>
    <w:rsid w:val="00E56A18"/>
    <w:rsid w:val="00E5749B"/>
    <w:rsid w:val="00E575D8"/>
    <w:rsid w:val="00E57EEC"/>
    <w:rsid w:val="00E600FD"/>
    <w:rsid w:val="00E601E9"/>
    <w:rsid w:val="00E60AF7"/>
    <w:rsid w:val="00E61192"/>
    <w:rsid w:val="00E615DE"/>
    <w:rsid w:val="00E61D66"/>
    <w:rsid w:val="00E61D87"/>
    <w:rsid w:val="00E62144"/>
    <w:rsid w:val="00E628F2"/>
    <w:rsid w:val="00E62D84"/>
    <w:rsid w:val="00E633EE"/>
    <w:rsid w:val="00E63A7E"/>
    <w:rsid w:val="00E63BD0"/>
    <w:rsid w:val="00E63C7B"/>
    <w:rsid w:val="00E64099"/>
    <w:rsid w:val="00E640A6"/>
    <w:rsid w:val="00E64120"/>
    <w:rsid w:val="00E64156"/>
    <w:rsid w:val="00E64210"/>
    <w:rsid w:val="00E64898"/>
    <w:rsid w:val="00E65074"/>
    <w:rsid w:val="00E65456"/>
    <w:rsid w:val="00E6552A"/>
    <w:rsid w:val="00E65840"/>
    <w:rsid w:val="00E658B1"/>
    <w:rsid w:val="00E65C55"/>
    <w:rsid w:val="00E65C68"/>
    <w:rsid w:val="00E6612D"/>
    <w:rsid w:val="00E665E2"/>
    <w:rsid w:val="00E6687B"/>
    <w:rsid w:val="00E668B8"/>
    <w:rsid w:val="00E700D9"/>
    <w:rsid w:val="00E70553"/>
    <w:rsid w:val="00E70555"/>
    <w:rsid w:val="00E705B4"/>
    <w:rsid w:val="00E70C63"/>
    <w:rsid w:val="00E7105C"/>
    <w:rsid w:val="00E7151D"/>
    <w:rsid w:val="00E719F7"/>
    <w:rsid w:val="00E72174"/>
    <w:rsid w:val="00E72680"/>
    <w:rsid w:val="00E72805"/>
    <w:rsid w:val="00E72B34"/>
    <w:rsid w:val="00E736CD"/>
    <w:rsid w:val="00E7391A"/>
    <w:rsid w:val="00E745B7"/>
    <w:rsid w:val="00E748F1"/>
    <w:rsid w:val="00E74A04"/>
    <w:rsid w:val="00E74ADA"/>
    <w:rsid w:val="00E750EC"/>
    <w:rsid w:val="00E753DE"/>
    <w:rsid w:val="00E756DD"/>
    <w:rsid w:val="00E75A44"/>
    <w:rsid w:val="00E76018"/>
    <w:rsid w:val="00E764D4"/>
    <w:rsid w:val="00E76580"/>
    <w:rsid w:val="00E768C2"/>
    <w:rsid w:val="00E76C29"/>
    <w:rsid w:val="00E80994"/>
    <w:rsid w:val="00E80B58"/>
    <w:rsid w:val="00E81405"/>
    <w:rsid w:val="00E81833"/>
    <w:rsid w:val="00E81D28"/>
    <w:rsid w:val="00E82250"/>
    <w:rsid w:val="00E8256D"/>
    <w:rsid w:val="00E82938"/>
    <w:rsid w:val="00E82DDB"/>
    <w:rsid w:val="00E83879"/>
    <w:rsid w:val="00E838CB"/>
    <w:rsid w:val="00E83D6D"/>
    <w:rsid w:val="00E84120"/>
    <w:rsid w:val="00E844D0"/>
    <w:rsid w:val="00E84B1A"/>
    <w:rsid w:val="00E84CF7"/>
    <w:rsid w:val="00E84DA3"/>
    <w:rsid w:val="00E852C2"/>
    <w:rsid w:val="00E8573F"/>
    <w:rsid w:val="00E85CEB"/>
    <w:rsid w:val="00E85EC9"/>
    <w:rsid w:val="00E85EF5"/>
    <w:rsid w:val="00E85F04"/>
    <w:rsid w:val="00E864BF"/>
    <w:rsid w:val="00E8681A"/>
    <w:rsid w:val="00E86C0D"/>
    <w:rsid w:val="00E871B1"/>
    <w:rsid w:val="00E87606"/>
    <w:rsid w:val="00E876DE"/>
    <w:rsid w:val="00E877F8"/>
    <w:rsid w:val="00E8783E"/>
    <w:rsid w:val="00E87967"/>
    <w:rsid w:val="00E90059"/>
    <w:rsid w:val="00E9018F"/>
    <w:rsid w:val="00E9028B"/>
    <w:rsid w:val="00E909CB"/>
    <w:rsid w:val="00E909D1"/>
    <w:rsid w:val="00E90DD2"/>
    <w:rsid w:val="00E9147D"/>
    <w:rsid w:val="00E91491"/>
    <w:rsid w:val="00E918DD"/>
    <w:rsid w:val="00E91A0B"/>
    <w:rsid w:val="00E91D13"/>
    <w:rsid w:val="00E920A2"/>
    <w:rsid w:val="00E92293"/>
    <w:rsid w:val="00E9258F"/>
    <w:rsid w:val="00E93222"/>
    <w:rsid w:val="00E9398C"/>
    <w:rsid w:val="00E93E19"/>
    <w:rsid w:val="00E9419A"/>
    <w:rsid w:val="00E9479E"/>
    <w:rsid w:val="00E95CD4"/>
    <w:rsid w:val="00E96591"/>
    <w:rsid w:val="00E96A33"/>
    <w:rsid w:val="00E96B33"/>
    <w:rsid w:val="00E96B47"/>
    <w:rsid w:val="00E9791F"/>
    <w:rsid w:val="00E97B6F"/>
    <w:rsid w:val="00E97D2E"/>
    <w:rsid w:val="00E97DDD"/>
    <w:rsid w:val="00EA052D"/>
    <w:rsid w:val="00EA0AC3"/>
    <w:rsid w:val="00EA1022"/>
    <w:rsid w:val="00EA104A"/>
    <w:rsid w:val="00EA1598"/>
    <w:rsid w:val="00EA162A"/>
    <w:rsid w:val="00EA1B94"/>
    <w:rsid w:val="00EA207A"/>
    <w:rsid w:val="00EA25B4"/>
    <w:rsid w:val="00EA2BE7"/>
    <w:rsid w:val="00EA2CFE"/>
    <w:rsid w:val="00EA2D6F"/>
    <w:rsid w:val="00EA311D"/>
    <w:rsid w:val="00EA35FB"/>
    <w:rsid w:val="00EA367E"/>
    <w:rsid w:val="00EA38BB"/>
    <w:rsid w:val="00EA38CF"/>
    <w:rsid w:val="00EA3D4E"/>
    <w:rsid w:val="00EA48E9"/>
    <w:rsid w:val="00EA561B"/>
    <w:rsid w:val="00EA5E8E"/>
    <w:rsid w:val="00EA5FC2"/>
    <w:rsid w:val="00EA5FF1"/>
    <w:rsid w:val="00EA62FA"/>
    <w:rsid w:val="00EA6753"/>
    <w:rsid w:val="00EA7070"/>
    <w:rsid w:val="00EA7863"/>
    <w:rsid w:val="00EA7928"/>
    <w:rsid w:val="00EA7C92"/>
    <w:rsid w:val="00EA7CF0"/>
    <w:rsid w:val="00EB01FC"/>
    <w:rsid w:val="00EB0743"/>
    <w:rsid w:val="00EB0B2A"/>
    <w:rsid w:val="00EB149D"/>
    <w:rsid w:val="00EB1D6E"/>
    <w:rsid w:val="00EB22B7"/>
    <w:rsid w:val="00EB23A0"/>
    <w:rsid w:val="00EB2648"/>
    <w:rsid w:val="00EB2679"/>
    <w:rsid w:val="00EB2B90"/>
    <w:rsid w:val="00EB2E23"/>
    <w:rsid w:val="00EB31C8"/>
    <w:rsid w:val="00EB34EF"/>
    <w:rsid w:val="00EB3A87"/>
    <w:rsid w:val="00EB3AD2"/>
    <w:rsid w:val="00EB3C35"/>
    <w:rsid w:val="00EB42B2"/>
    <w:rsid w:val="00EB4812"/>
    <w:rsid w:val="00EB4EBE"/>
    <w:rsid w:val="00EB5110"/>
    <w:rsid w:val="00EB5352"/>
    <w:rsid w:val="00EB5466"/>
    <w:rsid w:val="00EB54A6"/>
    <w:rsid w:val="00EB5FB8"/>
    <w:rsid w:val="00EB65B6"/>
    <w:rsid w:val="00EB6803"/>
    <w:rsid w:val="00EB68BB"/>
    <w:rsid w:val="00EB6B0D"/>
    <w:rsid w:val="00EB6C2F"/>
    <w:rsid w:val="00EB6C59"/>
    <w:rsid w:val="00EB6FFF"/>
    <w:rsid w:val="00EB71F8"/>
    <w:rsid w:val="00EB7314"/>
    <w:rsid w:val="00EB76A4"/>
    <w:rsid w:val="00EB7896"/>
    <w:rsid w:val="00EC027D"/>
    <w:rsid w:val="00EC02F7"/>
    <w:rsid w:val="00EC07E9"/>
    <w:rsid w:val="00EC084E"/>
    <w:rsid w:val="00EC1085"/>
    <w:rsid w:val="00EC13D8"/>
    <w:rsid w:val="00EC144E"/>
    <w:rsid w:val="00EC1C2F"/>
    <w:rsid w:val="00EC1F88"/>
    <w:rsid w:val="00EC2575"/>
    <w:rsid w:val="00EC276B"/>
    <w:rsid w:val="00EC2805"/>
    <w:rsid w:val="00EC2B54"/>
    <w:rsid w:val="00EC2ED6"/>
    <w:rsid w:val="00EC2F3C"/>
    <w:rsid w:val="00EC3039"/>
    <w:rsid w:val="00EC3332"/>
    <w:rsid w:val="00EC38DD"/>
    <w:rsid w:val="00EC3F4E"/>
    <w:rsid w:val="00EC421E"/>
    <w:rsid w:val="00EC44FB"/>
    <w:rsid w:val="00EC524A"/>
    <w:rsid w:val="00EC5495"/>
    <w:rsid w:val="00EC5882"/>
    <w:rsid w:val="00EC5AAE"/>
    <w:rsid w:val="00EC5D6D"/>
    <w:rsid w:val="00EC6739"/>
    <w:rsid w:val="00EC684D"/>
    <w:rsid w:val="00EC6955"/>
    <w:rsid w:val="00EC74E0"/>
    <w:rsid w:val="00EC785A"/>
    <w:rsid w:val="00EC78C3"/>
    <w:rsid w:val="00EC7EB9"/>
    <w:rsid w:val="00ED0717"/>
    <w:rsid w:val="00ED0B2F"/>
    <w:rsid w:val="00ED1786"/>
    <w:rsid w:val="00ED1955"/>
    <w:rsid w:val="00ED1A48"/>
    <w:rsid w:val="00ED1AC3"/>
    <w:rsid w:val="00ED1EB0"/>
    <w:rsid w:val="00ED277D"/>
    <w:rsid w:val="00ED3063"/>
    <w:rsid w:val="00ED323D"/>
    <w:rsid w:val="00ED3757"/>
    <w:rsid w:val="00ED379D"/>
    <w:rsid w:val="00ED3825"/>
    <w:rsid w:val="00ED4863"/>
    <w:rsid w:val="00ED4D93"/>
    <w:rsid w:val="00ED4DE9"/>
    <w:rsid w:val="00ED4E0B"/>
    <w:rsid w:val="00ED61B9"/>
    <w:rsid w:val="00ED6303"/>
    <w:rsid w:val="00ED649D"/>
    <w:rsid w:val="00ED656A"/>
    <w:rsid w:val="00ED69D0"/>
    <w:rsid w:val="00ED7217"/>
    <w:rsid w:val="00ED734C"/>
    <w:rsid w:val="00ED762A"/>
    <w:rsid w:val="00ED7FA0"/>
    <w:rsid w:val="00EE0EC1"/>
    <w:rsid w:val="00EE11EE"/>
    <w:rsid w:val="00EE125B"/>
    <w:rsid w:val="00EE1479"/>
    <w:rsid w:val="00EE15E7"/>
    <w:rsid w:val="00EE1739"/>
    <w:rsid w:val="00EE1BF2"/>
    <w:rsid w:val="00EE1D4E"/>
    <w:rsid w:val="00EE2232"/>
    <w:rsid w:val="00EE2B13"/>
    <w:rsid w:val="00EE2F90"/>
    <w:rsid w:val="00EE3070"/>
    <w:rsid w:val="00EE3563"/>
    <w:rsid w:val="00EE3B0E"/>
    <w:rsid w:val="00EE3CA8"/>
    <w:rsid w:val="00EE3E4F"/>
    <w:rsid w:val="00EE5393"/>
    <w:rsid w:val="00EE5F44"/>
    <w:rsid w:val="00EE6F77"/>
    <w:rsid w:val="00EE704A"/>
    <w:rsid w:val="00EE7664"/>
    <w:rsid w:val="00EE780D"/>
    <w:rsid w:val="00EF0212"/>
    <w:rsid w:val="00EF02B8"/>
    <w:rsid w:val="00EF0C3D"/>
    <w:rsid w:val="00EF1063"/>
    <w:rsid w:val="00EF10A0"/>
    <w:rsid w:val="00EF10CE"/>
    <w:rsid w:val="00EF148A"/>
    <w:rsid w:val="00EF2140"/>
    <w:rsid w:val="00EF2424"/>
    <w:rsid w:val="00EF289A"/>
    <w:rsid w:val="00EF2C20"/>
    <w:rsid w:val="00EF2CF2"/>
    <w:rsid w:val="00EF30BF"/>
    <w:rsid w:val="00EF366D"/>
    <w:rsid w:val="00EF37C6"/>
    <w:rsid w:val="00EF4929"/>
    <w:rsid w:val="00EF4A63"/>
    <w:rsid w:val="00EF4A69"/>
    <w:rsid w:val="00EF4D1F"/>
    <w:rsid w:val="00EF5385"/>
    <w:rsid w:val="00EF56F5"/>
    <w:rsid w:val="00EF5875"/>
    <w:rsid w:val="00EF59A1"/>
    <w:rsid w:val="00EF5A5C"/>
    <w:rsid w:val="00EF5C59"/>
    <w:rsid w:val="00EF616C"/>
    <w:rsid w:val="00EF6264"/>
    <w:rsid w:val="00EF654A"/>
    <w:rsid w:val="00EF6F48"/>
    <w:rsid w:val="00EF7738"/>
    <w:rsid w:val="00EF78A5"/>
    <w:rsid w:val="00EF7A8E"/>
    <w:rsid w:val="00EF7FE0"/>
    <w:rsid w:val="00F00159"/>
    <w:rsid w:val="00F008A1"/>
    <w:rsid w:val="00F00AC3"/>
    <w:rsid w:val="00F019C1"/>
    <w:rsid w:val="00F01F4B"/>
    <w:rsid w:val="00F02243"/>
    <w:rsid w:val="00F02FC1"/>
    <w:rsid w:val="00F03092"/>
    <w:rsid w:val="00F03326"/>
    <w:rsid w:val="00F03A39"/>
    <w:rsid w:val="00F03DF5"/>
    <w:rsid w:val="00F04924"/>
    <w:rsid w:val="00F04A4E"/>
    <w:rsid w:val="00F0556E"/>
    <w:rsid w:val="00F0570E"/>
    <w:rsid w:val="00F05848"/>
    <w:rsid w:val="00F05AFA"/>
    <w:rsid w:val="00F05EBA"/>
    <w:rsid w:val="00F06114"/>
    <w:rsid w:val="00F06438"/>
    <w:rsid w:val="00F064AE"/>
    <w:rsid w:val="00F06793"/>
    <w:rsid w:val="00F06956"/>
    <w:rsid w:val="00F06CE3"/>
    <w:rsid w:val="00F070C3"/>
    <w:rsid w:val="00F07390"/>
    <w:rsid w:val="00F110B3"/>
    <w:rsid w:val="00F114AE"/>
    <w:rsid w:val="00F114F4"/>
    <w:rsid w:val="00F11942"/>
    <w:rsid w:val="00F11BEC"/>
    <w:rsid w:val="00F126D9"/>
    <w:rsid w:val="00F12760"/>
    <w:rsid w:val="00F12927"/>
    <w:rsid w:val="00F12EA2"/>
    <w:rsid w:val="00F13307"/>
    <w:rsid w:val="00F13A41"/>
    <w:rsid w:val="00F145D2"/>
    <w:rsid w:val="00F1477A"/>
    <w:rsid w:val="00F14922"/>
    <w:rsid w:val="00F14C66"/>
    <w:rsid w:val="00F158F9"/>
    <w:rsid w:val="00F15F2E"/>
    <w:rsid w:val="00F16314"/>
    <w:rsid w:val="00F16419"/>
    <w:rsid w:val="00F164A0"/>
    <w:rsid w:val="00F165D1"/>
    <w:rsid w:val="00F16B80"/>
    <w:rsid w:val="00F16ECB"/>
    <w:rsid w:val="00F16F50"/>
    <w:rsid w:val="00F17032"/>
    <w:rsid w:val="00F175FB"/>
    <w:rsid w:val="00F178D6"/>
    <w:rsid w:val="00F17955"/>
    <w:rsid w:val="00F17B56"/>
    <w:rsid w:val="00F17EC1"/>
    <w:rsid w:val="00F17F69"/>
    <w:rsid w:val="00F202A2"/>
    <w:rsid w:val="00F20346"/>
    <w:rsid w:val="00F20425"/>
    <w:rsid w:val="00F209DE"/>
    <w:rsid w:val="00F20BA5"/>
    <w:rsid w:val="00F2122B"/>
    <w:rsid w:val="00F219F5"/>
    <w:rsid w:val="00F220EF"/>
    <w:rsid w:val="00F22529"/>
    <w:rsid w:val="00F227B3"/>
    <w:rsid w:val="00F22B98"/>
    <w:rsid w:val="00F2366F"/>
    <w:rsid w:val="00F23C3D"/>
    <w:rsid w:val="00F23ECB"/>
    <w:rsid w:val="00F243D6"/>
    <w:rsid w:val="00F249F7"/>
    <w:rsid w:val="00F24F0D"/>
    <w:rsid w:val="00F25105"/>
    <w:rsid w:val="00F2524B"/>
    <w:rsid w:val="00F25657"/>
    <w:rsid w:val="00F25780"/>
    <w:rsid w:val="00F25A7D"/>
    <w:rsid w:val="00F26056"/>
    <w:rsid w:val="00F2657C"/>
    <w:rsid w:val="00F26807"/>
    <w:rsid w:val="00F26C10"/>
    <w:rsid w:val="00F26E66"/>
    <w:rsid w:val="00F26F67"/>
    <w:rsid w:val="00F271AC"/>
    <w:rsid w:val="00F27734"/>
    <w:rsid w:val="00F3020D"/>
    <w:rsid w:val="00F304A5"/>
    <w:rsid w:val="00F30ABD"/>
    <w:rsid w:val="00F30D6A"/>
    <w:rsid w:val="00F30F36"/>
    <w:rsid w:val="00F30FF9"/>
    <w:rsid w:val="00F31440"/>
    <w:rsid w:val="00F31C8C"/>
    <w:rsid w:val="00F31FF4"/>
    <w:rsid w:val="00F322C3"/>
    <w:rsid w:val="00F328D1"/>
    <w:rsid w:val="00F32BD9"/>
    <w:rsid w:val="00F33028"/>
    <w:rsid w:val="00F332F3"/>
    <w:rsid w:val="00F3336D"/>
    <w:rsid w:val="00F334B7"/>
    <w:rsid w:val="00F33FCE"/>
    <w:rsid w:val="00F341F6"/>
    <w:rsid w:val="00F347A4"/>
    <w:rsid w:val="00F3485F"/>
    <w:rsid w:val="00F3518B"/>
    <w:rsid w:val="00F354D2"/>
    <w:rsid w:val="00F35627"/>
    <w:rsid w:val="00F359B3"/>
    <w:rsid w:val="00F362B7"/>
    <w:rsid w:val="00F36934"/>
    <w:rsid w:val="00F37139"/>
    <w:rsid w:val="00F3719A"/>
    <w:rsid w:val="00F37832"/>
    <w:rsid w:val="00F37DAD"/>
    <w:rsid w:val="00F401D5"/>
    <w:rsid w:val="00F40CD8"/>
    <w:rsid w:val="00F4147C"/>
    <w:rsid w:val="00F41AB2"/>
    <w:rsid w:val="00F41ADB"/>
    <w:rsid w:val="00F42087"/>
    <w:rsid w:val="00F424F2"/>
    <w:rsid w:val="00F42786"/>
    <w:rsid w:val="00F42A00"/>
    <w:rsid w:val="00F42FEE"/>
    <w:rsid w:val="00F43146"/>
    <w:rsid w:val="00F4387F"/>
    <w:rsid w:val="00F438FE"/>
    <w:rsid w:val="00F43DE6"/>
    <w:rsid w:val="00F43E18"/>
    <w:rsid w:val="00F43E47"/>
    <w:rsid w:val="00F442A8"/>
    <w:rsid w:val="00F44C07"/>
    <w:rsid w:val="00F44DCE"/>
    <w:rsid w:val="00F44EC8"/>
    <w:rsid w:val="00F45065"/>
    <w:rsid w:val="00F45602"/>
    <w:rsid w:val="00F459E8"/>
    <w:rsid w:val="00F45A13"/>
    <w:rsid w:val="00F467E2"/>
    <w:rsid w:val="00F46AA9"/>
    <w:rsid w:val="00F47ADE"/>
    <w:rsid w:val="00F50071"/>
    <w:rsid w:val="00F5086A"/>
    <w:rsid w:val="00F5108D"/>
    <w:rsid w:val="00F51121"/>
    <w:rsid w:val="00F51405"/>
    <w:rsid w:val="00F51BE1"/>
    <w:rsid w:val="00F51D44"/>
    <w:rsid w:val="00F51F29"/>
    <w:rsid w:val="00F52566"/>
    <w:rsid w:val="00F52891"/>
    <w:rsid w:val="00F52926"/>
    <w:rsid w:val="00F52B4B"/>
    <w:rsid w:val="00F52CB4"/>
    <w:rsid w:val="00F52FB1"/>
    <w:rsid w:val="00F5336C"/>
    <w:rsid w:val="00F5342F"/>
    <w:rsid w:val="00F538E8"/>
    <w:rsid w:val="00F539CE"/>
    <w:rsid w:val="00F53AA1"/>
    <w:rsid w:val="00F53CEE"/>
    <w:rsid w:val="00F5447B"/>
    <w:rsid w:val="00F5448A"/>
    <w:rsid w:val="00F54549"/>
    <w:rsid w:val="00F5467A"/>
    <w:rsid w:val="00F54846"/>
    <w:rsid w:val="00F54AFD"/>
    <w:rsid w:val="00F54B88"/>
    <w:rsid w:val="00F5510C"/>
    <w:rsid w:val="00F55AA7"/>
    <w:rsid w:val="00F5626C"/>
    <w:rsid w:val="00F56528"/>
    <w:rsid w:val="00F56D5F"/>
    <w:rsid w:val="00F56DE9"/>
    <w:rsid w:val="00F57233"/>
    <w:rsid w:val="00F575BA"/>
    <w:rsid w:val="00F57710"/>
    <w:rsid w:val="00F57F6B"/>
    <w:rsid w:val="00F57FEF"/>
    <w:rsid w:val="00F6025D"/>
    <w:rsid w:val="00F6044E"/>
    <w:rsid w:val="00F6068B"/>
    <w:rsid w:val="00F60875"/>
    <w:rsid w:val="00F60A4B"/>
    <w:rsid w:val="00F61591"/>
    <w:rsid w:val="00F615E9"/>
    <w:rsid w:val="00F61657"/>
    <w:rsid w:val="00F619E2"/>
    <w:rsid w:val="00F61B53"/>
    <w:rsid w:val="00F61BFB"/>
    <w:rsid w:val="00F62CC9"/>
    <w:rsid w:val="00F630C5"/>
    <w:rsid w:val="00F634CB"/>
    <w:rsid w:val="00F63723"/>
    <w:rsid w:val="00F6386A"/>
    <w:rsid w:val="00F638BF"/>
    <w:rsid w:val="00F63AC5"/>
    <w:rsid w:val="00F64150"/>
    <w:rsid w:val="00F64167"/>
    <w:rsid w:val="00F64CDE"/>
    <w:rsid w:val="00F65C3F"/>
    <w:rsid w:val="00F6702D"/>
    <w:rsid w:val="00F6710C"/>
    <w:rsid w:val="00F67123"/>
    <w:rsid w:val="00F676B8"/>
    <w:rsid w:val="00F678B6"/>
    <w:rsid w:val="00F67985"/>
    <w:rsid w:val="00F67F82"/>
    <w:rsid w:val="00F702E2"/>
    <w:rsid w:val="00F7058B"/>
    <w:rsid w:val="00F70B75"/>
    <w:rsid w:val="00F70E34"/>
    <w:rsid w:val="00F7150C"/>
    <w:rsid w:val="00F7156F"/>
    <w:rsid w:val="00F71753"/>
    <w:rsid w:val="00F71C85"/>
    <w:rsid w:val="00F728F6"/>
    <w:rsid w:val="00F72EFB"/>
    <w:rsid w:val="00F7303D"/>
    <w:rsid w:val="00F73773"/>
    <w:rsid w:val="00F73F30"/>
    <w:rsid w:val="00F74ED1"/>
    <w:rsid w:val="00F751E0"/>
    <w:rsid w:val="00F753F8"/>
    <w:rsid w:val="00F75546"/>
    <w:rsid w:val="00F75970"/>
    <w:rsid w:val="00F75BE7"/>
    <w:rsid w:val="00F76364"/>
    <w:rsid w:val="00F770B2"/>
    <w:rsid w:val="00F7755E"/>
    <w:rsid w:val="00F77DB4"/>
    <w:rsid w:val="00F77F5D"/>
    <w:rsid w:val="00F80022"/>
    <w:rsid w:val="00F80AAA"/>
    <w:rsid w:val="00F80B12"/>
    <w:rsid w:val="00F8128D"/>
    <w:rsid w:val="00F81B28"/>
    <w:rsid w:val="00F82B2A"/>
    <w:rsid w:val="00F83567"/>
    <w:rsid w:val="00F835AA"/>
    <w:rsid w:val="00F83821"/>
    <w:rsid w:val="00F83854"/>
    <w:rsid w:val="00F838F8"/>
    <w:rsid w:val="00F83AF5"/>
    <w:rsid w:val="00F84D6C"/>
    <w:rsid w:val="00F85057"/>
    <w:rsid w:val="00F850E7"/>
    <w:rsid w:val="00F85683"/>
    <w:rsid w:val="00F8585A"/>
    <w:rsid w:val="00F85988"/>
    <w:rsid w:val="00F85C85"/>
    <w:rsid w:val="00F85FF7"/>
    <w:rsid w:val="00F86315"/>
    <w:rsid w:val="00F869D4"/>
    <w:rsid w:val="00F86BA8"/>
    <w:rsid w:val="00F86C04"/>
    <w:rsid w:val="00F8775B"/>
    <w:rsid w:val="00F87E53"/>
    <w:rsid w:val="00F90EA1"/>
    <w:rsid w:val="00F91019"/>
    <w:rsid w:val="00F91893"/>
    <w:rsid w:val="00F91DF3"/>
    <w:rsid w:val="00F91E13"/>
    <w:rsid w:val="00F91E18"/>
    <w:rsid w:val="00F9213E"/>
    <w:rsid w:val="00F92358"/>
    <w:rsid w:val="00F923A2"/>
    <w:rsid w:val="00F92E88"/>
    <w:rsid w:val="00F932C1"/>
    <w:rsid w:val="00F9335B"/>
    <w:rsid w:val="00F93D47"/>
    <w:rsid w:val="00F94293"/>
    <w:rsid w:val="00F949D1"/>
    <w:rsid w:val="00F94D36"/>
    <w:rsid w:val="00F9504F"/>
    <w:rsid w:val="00F95520"/>
    <w:rsid w:val="00F95A31"/>
    <w:rsid w:val="00F95AAE"/>
    <w:rsid w:val="00F95BFD"/>
    <w:rsid w:val="00F95D3A"/>
    <w:rsid w:val="00F95FFB"/>
    <w:rsid w:val="00F9654E"/>
    <w:rsid w:val="00F971B5"/>
    <w:rsid w:val="00F972FA"/>
    <w:rsid w:val="00F9779A"/>
    <w:rsid w:val="00FA00E8"/>
    <w:rsid w:val="00FA0B99"/>
    <w:rsid w:val="00FA0F68"/>
    <w:rsid w:val="00FA0FF1"/>
    <w:rsid w:val="00FA1355"/>
    <w:rsid w:val="00FA1975"/>
    <w:rsid w:val="00FA1CB9"/>
    <w:rsid w:val="00FA250B"/>
    <w:rsid w:val="00FA2A3E"/>
    <w:rsid w:val="00FA2B97"/>
    <w:rsid w:val="00FA2D3A"/>
    <w:rsid w:val="00FA31F4"/>
    <w:rsid w:val="00FA325F"/>
    <w:rsid w:val="00FA3786"/>
    <w:rsid w:val="00FA3DB2"/>
    <w:rsid w:val="00FA3E39"/>
    <w:rsid w:val="00FA42FC"/>
    <w:rsid w:val="00FA4448"/>
    <w:rsid w:val="00FA472C"/>
    <w:rsid w:val="00FA489A"/>
    <w:rsid w:val="00FA48FD"/>
    <w:rsid w:val="00FA4AF8"/>
    <w:rsid w:val="00FA53A6"/>
    <w:rsid w:val="00FA5410"/>
    <w:rsid w:val="00FA5516"/>
    <w:rsid w:val="00FA5624"/>
    <w:rsid w:val="00FA57C3"/>
    <w:rsid w:val="00FA5C09"/>
    <w:rsid w:val="00FA5EAD"/>
    <w:rsid w:val="00FA6357"/>
    <w:rsid w:val="00FA66C6"/>
    <w:rsid w:val="00FA68E4"/>
    <w:rsid w:val="00FA6DE3"/>
    <w:rsid w:val="00FA7EC2"/>
    <w:rsid w:val="00FB021A"/>
    <w:rsid w:val="00FB11A7"/>
    <w:rsid w:val="00FB1337"/>
    <w:rsid w:val="00FB16B8"/>
    <w:rsid w:val="00FB1B22"/>
    <w:rsid w:val="00FB214B"/>
    <w:rsid w:val="00FB21EE"/>
    <w:rsid w:val="00FB23AB"/>
    <w:rsid w:val="00FB2709"/>
    <w:rsid w:val="00FB34AE"/>
    <w:rsid w:val="00FB3604"/>
    <w:rsid w:val="00FB401F"/>
    <w:rsid w:val="00FB40A8"/>
    <w:rsid w:val="00FB40AE"/>
    <w:rsid w:val="00FB413D"/>
    <w:rsid w:val="00FB4142"/>
    <w:rsid w:val="00FB4291"/>
    <w:rsid w:val="00FB467E"/>
    <w:rsid w:val="00FB4927"/>
    <w:rsid w:val="00FB52A4"/>
    <w:rsid w:val="00FB59AE"/>
    <w:rsid w:val="00FB64A3"/>
    <w:rsid w:val="00FB653A"/>
    <w:rsid w:val="00FB6BD1"/>
    <w:rsid w:val="00FB6E23"/>
    <w:rsid w:val="00FB70FC"/>
    <w:rsid w:val="00FB7BAA"/>
    <w:rsid w:val="00FB7CC6"/>
    <w:rsid w:val="00FC005E"/>
    <w:rsid w:val="00FC017E"/>
    <w:rsid w:val="00FC0267"/>
    <w:rsid w:val="00FC04C9"/>
    <w:rsid w:val="00FC06F7"/>
    <w:rsid w:val="00FC122F"/>
    <w:rsid w:val="00FC132B"/>
    <w:rsid w:val="00FC17F7"/>
    <w:rsid w:val="00FC18B4"/>
    <w:rsid w:val="00FC1B36"/>
    <w:rsid w:val="00FC1E45"/>
    <w:rsid w:val="00FC238E"/>
    <w:rsid w:val="00FC3592"/>
    <w:rsid w:val="00FC39DF"/>
    <w:rsid w:val="00FC3C61"/>
    <w:rsid w:val="00FC4134"/>
    <w:rsid w:val="00FC4437"/>
    <w:rsid w:val="00FC44A0"/>
    <w:rsid w:val="00FC44E2"/>
    <w:rsid w:val="00FC49BA"/>
    <w:rsid w:val="00FC4B99"/>
    <w:rsid w:val="00FC5119"/>
    <w:rsid w:val="00FC53C1"/>
    <w:rsid w:val="00FC54D0"/>
    <w:rsid w:val="00FC599D"/>
    <w:rsid w:val="00FC5E1D"/>
    <w:rsid w:val="00FC61C6"/>
    <w:rsid w:val="00FC6ADB"/>
    <w:rsid w:val="00FC6B3E"/>
    <w:rsid w:val="00FC706E"/>
    <w:rsid w:val="00FC732F"/>
    <w:rsid w:val="00FC75AC"/>
    <w:rsid w:val="00FC7668"/>
    <w:rsid w:val="00FC77CF"/>
    <w:rsid w:val="00FC77D1"/>
    <w:rsid w:val="00FD03C4"/>
    <w:rsid w:val="00FD0C3B"/>
    <w:rsid w:val="00FD0ED0"/>
    <w:rsid w:val="00FD1000"/>
    <w:rsid w:val="00FD1473"/>
    <w:rsid w:val="00FD14C2"/>
    <w:rsid w:val="00FD18C5"/>
    <w:rsid w:val="00FD195E"/>
    <w:rsid w:val="00FD21B6"/>
    <w:rsid w:val="00FD2361"/>
    <w:rsid w:val="00FD30FB"/>
    <w:rsid w:val="00FD326D"/>
    <w:rsid w:val="00FD3758"/>
    <w:rsid w:val="00FD37C2"/>
    <w:rsid w:val="00FD3891"/>
    <w:rsid w:val="00FD3D8B"/>
    <w:rsid w:val="00FD3EBC"/>
    <w:rsid w:val="00FD51A7"/>
    <w:rsid w:val="00FD5BC3"/>
    <w:rsid w:val="00FD5BF3"/>
    <w:rsid w:val="00FD5DCB"/>
    <w:rsid w:val="00FD5F87"/>
    <w:rsid w:val="00FD613E"/>
    <w:rsid w:val="00FD657C"/>
    <w:rsid w:val="00FD714E"/>
    <w:rsid w:val="00FD75A5"/>
    <w:rsid w:val="00FD7609"/>
    <w:rsid w:val="00FE00FD"/>
    <w:rsid w:val="00FE0180"/>
    <w:rsid w:val="00FE06D7"/>
    <w:rsid w:val="00FE0705"/>
    <w:rsid w:val="00FE088C"/>
    <w:rsid w:val="00FE08C4"/>
    <w:rsid w:val="00FE2A0B"/>
    <w:rsid w:val="00FE342D"/>
    <w:rsid w:val="00FE3A56"/>
    <w:rsid w:val="00FE43E7"/>
    <w:rsid w:val="00FE4A45"/>
    <w:rsid w:val="00FE52F9"/>
    <w:rsid w:val="00FE5321"/>
    <w:rsid w:val="00FE53CD"/>
    <w:rsid w:val="00FE5D68"/>
    <w:rsid w:val="00FE60E9"/>
    <w:rsid w:val="00FE61E8"/>
    <w:rsid w:val="00FE6404"/>
    <w:rsid w:val="00FE65BA"/>
    <w:rsid w:val="00FE6651"/>
    <w:rsid w:val="00FE6A94"/>
    <w:rsid w:val="00FE6AD1"/>
    <w:rsid w:val="00FE6F32"/>
    <w:rsid w:val="00FE6FBC"/>
    <w:rsid w:val="00FE7163"/>
    <w:rsid w:val="00FE71EF"/>
    <w:rsid w:val="00FE77C6"/>
    <w:rsid w:val="00FE7C2E"/>
    <w:rsid w:val="00FF03CA"/>
    <w:rsid w:val="00FF0B09"/>
    <w:rsid w:val="00FF0B1C"/>
    <w:rsid w:val="00FF0C98"/>
    <w:rsid w:val="00FF0DE2"/>
    <w:rsid w:val="00FF1971"/>
    <w:rsid w:val="00FF20FA"/>
    <w:rsid w:val="00FF226D"/>
    <w:rsid w:val="00FF24D0"/>
    <w:rsid w:val="00FF2899"/>
    <w:rsid w:val="00FF293B"/>
    <w:rsid w:val="00FF3255"/>
    <w:rsid w:val="00FF3831"/>
    <w:rsid w:val="00FF4743"/>
    <w:rsid w:val="00FF4A69"/>
    <w:rsid w:val="00FF4B67"/>
    <w:rsid w:val="00FF5007"/>
    <w:rsid w:val="00FF5036"/>
    <w:rsid w:val="00FF5283"/>
    <w:rsid w:val="00FF58F8"/>
    <w:rsid w:val="00FF669C"/>
    <w:rsid w:val="00FF67C8"/>
    <w:rsid w:val="00FF6892"/>
    <w:rsid w:val="00FF6B9F"/>
    <w:rsid w:val="00FF6E29"/>
    <w:rsid w:val="00FF6F6E"/>
    <w:rsid w:val="00FF72B7"/>
    <w:rsid w:val="00FF76D7"/>
    <w:rsid w:val="00FF7DFC"/>
    <w:rsid w:val="00FF7FA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7B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3"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3E7FC1"/>
    <w:pPr>
      <w:spacing w:before="180" w:after="60"/>
    </w:pPr>
    <w:rPr>
      <w:rFonts w:asciiTheme="minorHAnsi" w:hAnsiTheme="minorHAnsi"/>
      <w:sz w:val="22"/>
      <w:szCs w:val="24"/>
      <w:lang w:val="en-GB"/>
    </w:rPr>
  </w:style>
  <w:style w:type="paragraph" w:styleId="Heading1">
    <w:name w:val="heading 1"/>
    <w:basedOn w:val="Normal"/>
    <w:next w:val="Normal"/>
    <w:link w:val="Heading1Char"/>
    <w:qFormat/>
    <w:rsid w:val="005125E2"/>
    <w:pPr>
      <w:keepNext/>
      <w:numPr>
        <w:numId w:val="2"/>
      </w:numPr>
      <w:spacing w:before="320" w:after="160"/>
      <w:outlineLvl w:val="0"/>
    </w:pPr>
    <w:rPr>
      <w:rFonts w:eastAsiaTheme="minorHAnsi" w:cs="Arial"/>
      <w:b/>
      <w:bCs/>
      <w:color w:val="01653F"/>
      <w:kern w:val="32"/>
      <w:sz w:val="32"/>
      <w:szCs w:val="28"/>
      <w:lang w:eastAsia="en-US"/>
    </w:rPr>
  </w:style>
  <w:style w:type="paragraph" w:styleId="Heading2">
    <w:name w:val="heading 2"/>
    <w:basedOn w:val="Normal"/>
    <w:next w:val="Normal"/>
    <w:qFormat/>
    <w:rsid w:val="005125E2"/>
    <w:pPr>
      <w:keepNext/>
      <w:numPr>
        <w:ilvl w:val="1"/>
        <w:numId w:val="2"/>
      </w:numPr>
      <w:spacing w:before="320"/>
      <w:ind w:left="578" w:hanging="578"/>
      <w:outlineLvl w:val="1"/>
    </w:pPr>
    <w:rPr>
      <w:rFonts w:eastAsiaTheme="minorHAnsi" w:cs="Arial"/>
      <w:b/>
      <w:bCs/>
      <w:iCs/>
      <w:color w:val="01653F"/>
      <w:sz w:val="26"/>
      <w:szCs w:val="22"/>
      <w:lang w:eastAsia="en-US"/>
    </w:rPr>
  </w:style>
  <w:style w:type="paragraph" w:styleId="Heading3">
    <w:name w:val="heading 3"/>
    <w:basedOn w:val="Normal"/>
    <w:next w:val="Normal"/>
    <w:link w:val="Heading3Char"/>
    <w:qFormat/>
    <w:rsid w:val="005125E2"/>
    <w:pPr>
      <w:keepNext/>
      <w:keepLines/>
      <w:numPr>
        <w:ilvl w:val="2"/>
        <w:numId w:val="2"/>
      </w:numPr>
      <w:spacing w:before="240"/>
      <w:outlineLvl w:val="2"/>
    </w:pPr>
    <w:rPr>
      <w:rFonts w:eastAsiaTheme="minorHAnsi" w:cs="Arial"/>
      <w:b/>
      <w:bCs/>
      <w:i/>
      <w:color w:val="B66113"/>
      <w:sz w:val="24"/>
      <w:lang w:eastAsia="en-US"/>
    </w:rPr>
  </w:style>
  <w:style w:type="paragraph" w:styleId="Heading4">
    <w:name w:val="heading 4"/>
    <w:basedOn w:val="Normal"/>
    <w:next w:val="Normal"/>
    <w:uiPriority w:val="9"/>
    <w:qFormat/>
    <w:rsid w:val="00CB5B1A"/>
    <w:pPr>
      <w:keepNext/>
      <w:numPr>
        <w:ilvl w:val="3"/>
        <w:numId w:val="2"/>
      </w:numPr>
      <w:spacing w:before="240"/>
      <w:outlineLvl w:val="3"/>
    </w:pPr>
    <w:rPr>
      <w:rFonts w:eastAsiaTheme="minorHAnsi" w:cs="Arial"/>
      <w:b/>
      <w:bCs/>
      <w:i/>
      <w:sz w:val="26"/>
      <w:szCs w:val="28"/>
      <w:lang w:val="en-US" w:eastAsia="en-US"/>
    </w:rPr>
  </w:style>
  <w:style w:type="paragraph" w:styleId="Heading5">
    <w:name w:val="heading 5"/>
    <w:basedOn w:val="Normal"/>
    <w:next w:val="Normal"/>
    <w:uiPriority w:val="9"/>
    <w:qFormat/>
    <w:rsid w:val="00CB5B1A"/>
    <w:pPr>
      <w:numPr>
        <w:ilvl w:val="4"/>
        <w:numId w:val="2"/>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CB5B1A"/>
    <w:pPr>
      <w:numPr>
        <w:ilvl w:val="5"/>
        <w:numId w:val="2"/>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6C0049"/>
    <w:pPr>
      <w:keepNext/>
      <w:keepLines/>
      <w:numPr>
        <w:ilvl w:val="6"/>
        <w:numId w:val="2"/>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6C004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C004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basedOn w:val="DefaultParagraphFont"/>
    <w:uiPriority w:val="22"/>
    <w:qFormat/>
    <w:rsid w:val="00AF127F"/>
    <w:rPr>
      <w:b/>
      <w:bCs/>
    </w:rPr>
  </w:style>
  <w:style w:type="paragraph" w:styleId="Subtitle">
    <w:name w:val="Subtitle"/>
    <w:basedOn w:val="Normal"/>
    <w:next w:val="Normal"/>
    <w:link w:val="SubtitleChar"/>
    <w:rsid w:val="00AF127F"/>
    <w:pPr>
      <w:numPr>
        <w:ilvl w:val="1"/>
      </w:numPr>
    </w:pPr>
    <w:rPr>
      <w:rFonts w:asciiTheme="majorHAnsi" w:eastAsiaTheme="majorEastAsia" w:hAnsiTheme="majorHAnsi" w:cstheme="majorBidi"/>
      <w:iCs/>
      <w:spacing w:val="15"/>
      <w:szCs w:val="20"/>
    </w:rPr>
  </w:style>
  <w:style w:type="character" w:customStyle="1" w:styleId="SubtitleChar">
    <w:name w:val="Subtitle Char"/>
    <w:basedOn w:val="DefaultParagraphFont"/>
    <w:link w:val="Subtitle"/>
    <w:rsid w:val="00CA439E"/>
    <w:rPr>
      <w:rFonts w:asciiTheme="majorHAnsi" w:eastAsiaTheme="majorEastAsia" w:hAnsiTheme="majorHAnsi" w:cstheme="majorBidi"/>
      <w:iCs/>
      <w:spacing w:val="15"/>
      <w:sz w:val="22"/>
      <w:lang w:val="en-GB"/>
    </w:rPr>
  </w:style>
  <w:style w:type="paragraph" w:styleId="Title">
    <w:name w:val="Title"/>
    <w:basedOn w:val="Normal"/>
    <w:next w:val="Normal"/>
    <w:link w:val="TitleChar"/>
    <w:uiPriority w:val="8"/>
    <w:qFormat/>
    <w:rsid w:val="009A1F71"/>
    <w:pPr>
      <w:pBdr>
        <w:bottom w:val="single" w:sz="8" w:space="4" w:color="4F81BD" w:themeColor="accent1"/>
      </w:pBdr>
      <w:spacing w:before="1080" w:after="1080" w:line="360" w:lineRule="auto"/>
      <w:contextualSpacing/>
      <w:jc w:val="center"/>
    </w:pPr>
    <w:rPr>
      <w:rFonts w:eastAsiaTheme="majorEastAsia" w:cstheme="majorBidi"/>
      <w:b/>
      <w:kern w:val="28"/>
      <w:sz w:val="60"/>
      <w:szCs w:val="52"/>
    </w:rPr>
  </w:style>
  <w:style w:type="character" w:customStyle="1" w:styleId="TitleChar">
    <w:name w:val="Title Char"/>
    <w:basedOn w:val="DefaultParagraphFont"/>
    <w:link w:val="Title"/>
    <w:uiPriority w:val="8"/>
    <w:rsid w:val="009A1F71"/>
    <w:rPr>
      <w:rFonts w:asciiTheme="minorHAnsi" w:eastAsiaTheme="majorEastAsia" w:hAnsiTheme="minorHAnsi" w:cstheme="majorBidi"/>
      <w:b/>
      <w:kern w:val="28"/>
      <w:sz w:val="60"/>
      <w:szCs w:val="52"/>
      <w:lang w:val="en-GB"/>
    </w:rPr>
  </w:style>
  <w:style w:type="paragraph" w:styleId="NoSpacing">
    <w:name w:val="No Spacing"/>
    <w:uiPriority w:val="1"/>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F127F"/>
    <w:rPr>
      <w:rFonts w:eastAsiaTheme="minorHAnsi" w:cs="Arial"/>
      <w:i/>
      <w:iCs/>
      <w:color w:val="000000" w:themeColor="text1"/>
      <w:szCs w:val="20"/>
    </w:rPr>
  </w:style>
  <w:style w:type="character" w:customStyle="1" w:styleId="QuoteChar">
    <w:name w:val="Quote Char"/>
    <w:basedOn w:val="DefaultParagraphFont"/>
    <w:link w:val="Quote"/>
    <w:uiPriority w:val="29"/>
    <w:rsid w:val="00AF127F"/>
    <w:rPr>
      <w:rFonts w:ascii="Arial" w:hAnsi="Arial"/>
      <w:i/>
      <w:iCs/>
      <w:color w:val="000000" w:themeColor="text1"/>
      <w:sz w:val="24"/>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before="200"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40EAC"/>
    <w:pPr>
      <w:numPr>
        <w:numId w:val="4"/>
      </w:numPr>
      <w:contextualSpacing/>
    </w:pPr>
    <w:rPr>
      <w:rFonts w:eastAsiaTheme="minorHAnsi" w:cs="Arial"/>
      <w:szCs w:val="22"/>
    </w:rPr>
  </w:style>
  <w:style w:type="table" w:styleId="TableGrid">
    <w:name w:val="Table Grid"/>
    <w:basedOn w:val="TableNormal"/>
    <w:uiPriority w:val="59"/>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6A668A"/>
    <w:pPr>
      <w:spacing w:before="40" w:after="40"/>
      <w:ind w:left="249" w:hanging="249"/>
    </w:pPr>
    <w:rPr>
      <w:rFonts w:eastAsiaTheme="minorHAnsi" w:cs="Arial"/>
      <w:sz w:val="16"/>
      <w:szCs w:val="16"/>
    </w:rPr>
  </w:style>
  <w:style w:type="character" w:customStyle="1" w:styleId="FootnoteTextChar">
    <w:name w:val="Footnote Text Char"/>
    <w:basedOn w:val="DefaultParagraphFont"/>
    <w:link w:val="FootnoteText"/>
    <w:uiPriority w:val="99"/>
    <w:rsid w:val="006A668A"/>
    <w:rPr>
      <w:rFonts w:ascii="Arial" w:eastAsiaTheme="minorHAnsi" w:hAnsi="Arial" w:cs="Arial"/>
      <w:sz w:val="16"/>
      <w:szCs w:val="16"/>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AF127F"/>
    <w:pPr>
      <w:keepLines/>
      <w:pBdr>
        <w:bottom w:val="single" w:sz="4" w:space="1" w:color="auto"/>
      </w:pBdr>
      <w:spacing w:before="480" w:after="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25508F"/>
    <w:pPr>
      <w:tabs>
        <w:tab w:val="right" w:leader="dot" w:pos="9016"/>
      </w:tabs>
      <w:spacing w:before="200"/>
      <w:ind w:left="284" w:right="284" w:hanging="284"/>
    </w:pPr>
    <w:rPr>
      <w:b/>
      <w:bCs/>
      <w:sz w:val="20"/>
      <w:szCs w:val="20"/>
    </w:rPr>
  </w:style>
  <w:style w:type="paragraph" w:styleId="TOC2">
    <w:name w:val="toc 2"/>
    <w:basedOn w:val="Normal"/>
    <w:next w:val="Normal"/>
    <w:autoRedefine/>
    <w:uiPriority w:val="39"/>
    <w:qFormat/>
    <w:rsid w:val="00380966"/>
    <w:pPr>
      <w:tabs>
        <w:tab w:val="left" w:pos="880"/>
        <w:tab w:val="right" w:leader="dot" w:pos="9016"/>
      </w:tabs>
      <w:spacing w:before="120"/>
      <w:ind w:left="766" w:right="284" w:hanging="482"/>
    </w:pPr>
    <w:rPr>
      <w:i/>
      <w:iCs/>
      <w:sz w:val="20"/>
      <w:szCs w:val="20"/>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iPriority w:val="35"/>
    <w:unhideWhenUsed/>
    <w:qFormat/>
    <w:rsid w:val="00C1740E"/>
    <w:pPr>
      <w:keepNext/>
      <w:spacing w:after="20"/>
    </w:pPr>
    <w:rPr>
      <w:rFonts w:eastAsiaTheme="minorHAnsi" w:cs="Arial"/>
      <w:b/>
      <w:sz w:val="18"/>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40EAC"/>
    <w:rPr>
      <w:rFonts w:ascii="Arial" w:eastAsiaTheme="minorHAnsi" w:hAnsi="Arial" w:cs="Arial"/>
      <w:sz w:val="22"/>
      <w:szCs w:val="22"/>
    </w:rPr>
  </w:style>
  <w:style w:type="paragraph" w:styleId="TableofFigures">
    <w:name w:val="table of figures"/>
    <w:basedOn w:val="Normal"/>
    <w:next w:val="Normal"/>
    <w:uiPriority w:val="99"/>
    <w:rsid w:val="0025508F"/>
    <w:rPr>
      <w:rFonts w:eastAsiaTheme="minorHAnsi" w:cs="Arial"/>
      <w:sz w:val="20"/>
      <w:szCs w:val="20"/>
    </w:rPr>
  </w:style>
  <w:style w:type="paragraph" w:styleId="TOC3">
    <w:name w:val="toc 3"/>
    <w:basedOn w:val="Normal"/>
    <w:next w:val="Normal"/>
    <w:autoRedefine/>
    <w:uiPriority w:val="39"/>
    <w:qFormat/>
    <w:rsid w:val="00380966"/>
    <w:pPr>
      <w:tabs>
        <w:tab w:val="left" w:pos="1100"/>
        <w:tab w:val="right" w:leader="dot" w:pos="9016"/>
      </w:tabs>
      <w:spacing w:before="80"/>
      <w:ind w:left="1474" w:right="284" w:hanging="709"/>
    </w:pPr>
    <w:rPr>
      <w:sz w:val="20"/>
      <w:szCs w:val="20"/>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Normal"/>
    <w:link w:val="BulletedChar"/>
    <w:uiPriority w:val="9"/>
    <w:qFormat/>
    <w:rsid w:val="006C0049"/>
    <w:pPr>
      <w:numPr>
        <w:numId w:val="1"/>
      </w:numPr>
      <w:autoSpaceDE w:val="0"/>
      <w:autoSpaceDN w:val="0"/>
      <w:adjustRightInd w:val="0"/>
      <w:spacing w:after="200" w:line="300" w:lineRule="auto"/>
    </w:pPr>
    <w:rPr>
      <w:rFonts w:eastAsia="MS Mincho" w:cs="Arial"/>
      <w:szCs w:val="22"/>
      <w:lang w:eastAsia="en-US"/>
    </w:rPr>
  </w:style>
  <w:style w:type="character" w:customStyle="1" w:styleId="BulletedChar">
    <w:name w:val="Bulleted Char"/>
    <w:basedOn w:val="DefaultParagraphFont"/>
    <w:link w:val="Bulleted"/>
    <w:uiPriority w:val="9"/>
    <w:rsid w:val="006779FA"/>
    <w:rPr>
      <w:rFonts w:asciiTheme="minorHAnsi" w:eastAsia="MS Mincho" w:hAnsiTheme="minorHAnsi" w:cs="Arial"/>
      <w:sz w:val="22"/>
      <w:szCs w:val="22"/>
      <w:lang w:val="en-GB" w:eastAsia="en-US"/>
    </w:rPr>
  </w:style>
  <w:style w:type="character" w:customStyle="1" w:styleId="Heading7Char">
    <w:name w:val="Heading 7 Char"/>
    <w:basedOn w:val="DefaultParagraphFont"/>
    <w:link w:val="Heading7"/>
    <w:uiPriority w:val="9"/>
    <w:rsid w:val="006C004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6C004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6C004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next w:val="Normal"/>
    <w:link w:val="02TabletextChar"/>
    <w:uiPriority w:val="11"/>
    <w:qFormat/>
    <w:rsid w:val="00FF4A69"/>
    <w:pPr>
      <w:spacing w:before="20"/>
    </w:pPr>
    <w:rPr>
      <w:rFonts w:ascii="Arial" w:eastAsiaTheme="minorHAnsi" w:hAnsi="Arial"/>
      <w:sz w:val="18"/>
      <w:szCs w:val="22"/>
      <w:lang w:eastAsia="en-US"/>
    </w:rPr>
  </w:style>
  <w:style w:type="character" w:customStyle="1" w:styleId="02TabletextChar">
    <w:name w:val="02. Table text Char"/>
    <w:basedOn w:val="DefaultParagraphFont"/>
    <w:link w:val="02Tabletext"/>
    <w:uiPriority w:val="11"/>
    <w:rsid w:val="006779FA"/>
    <w:rPr>
      <w:rFonts w:ascii="Arial" w:eastAsiaTheme="minorHAnsi" w:hAnsi="Arial"/>
      <w:sz w:val="18"/>
      <w:szCs w:val="22"/>
      <w:lang w:eastAsia="en-US"/>
    </w:rPr>
  </w:style>
  <w:style w:type="paragraph" w:customStyle="1" w:styleId="01Tableheaderrow">
    <w:name w:val="01. Table header row"/>
    <w:link w:val="01TableheaderrowChar"/>
    <w:uiPriority w:val="7"/>
    <w:qFormat/>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uiPriority w:val="7"/>
    <w:rsid w:val="006779FA"/>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uiPriority w:val="9"/>
    <w:qFormat/>
    <w:rsid w:val="00032108"/>
    <w:pPr>
      <w:spacing w:before="120" w:after="60" w:line="240" w:lineRule="auto"/>
      <w:ind w:left="357"/>
    </w:pPr>
  </w:style>
  <w:style w:type="paragraph" w:customStyle="1" w:styleId="Bullet2">
    <w:name w:val="Bullet 2"/>
    <w:basedOn w:val="ListParagraph"/>
    <w:uiPriority w:val="5"/>
    <w:qFormat/>
    <w:rsid w:val="00BD7AF2"/>
    <w:pPr>
      <w:numPr>
        <w:ilvl w:val="1"/>
        <w:numId w:val="5"/>
      </w:numPr>
      <w:spacing w:before="120"/>
      <w:ind w:left="1077" w:hanging="357"/>
      <w:contextualSpacing w:val="0"/>
    </w:pPr>
  </w:style>
  <w:style w:type="paragraph" w:customStyle="1" w:styleId="Bullet3">
    <w:name w:val="Bullet 3"/>
    <w:basedOn w:val="ListParagraph"/>
    <w:uiPriority w:val="7"/>
    <w:qFormat/>
    <w:rsid w:val="002105F7"/>
    <w:pPr>
      <w:numPr>
        <w:ilvl w:val="2"/>
        <w:numId w:val="3"/>
      </w:numPr>
      <w:spacing w:before="120"/>
      <w:ind w:left="1797" w:hanging="357"/>
      <w:contextualSpacing w:val="0"/>
    </w:pPr>
  </w:style>
  <w:style w:type="paragraph" w:styleId="TOC4">
    <w:name w:val="toc 4"/>
    <w:basedOn w:val="Normal"/>
    <w:next w:val="Normal"/>
    <w:autoRedefine/>
    <w:unhideWhenUsed/>
    <w:rsid w:val="005125E2"/>
    <w:pPr>
      <w:spacing w:before="0" w:after="0"/>
      <w:ind w:left="660"/>
    </w:pPr>
    <w:rPr>
      <w:sz w:val="20"/>
      <w:szCs w:val="20"/>
    </w:rPr>
  </w:style>
  <w:style w:type="paragraph" w:styleId="TOC5">
    <w:name w:val="toc 5"/>
    <w:basedOn w:val="Normal"/>
    <w:next w:val="Normal"/>
    <w:autoRedefine/>
    <w:unhideWhenUsed/>
    <w:rsid w:val="005125E2"/>
    <w:pPr>
      <w:spacing w:before="0" w:after="0"/>
      <w:ind w:left="880"/>
    </w:pPr>
    <w:rPr>
      <w:sz w:val="20"/>
      <w:szCs w:val="20"/>
    </w:rPr>
  </w:style>
  <w:style w:type="paragraph" w:styleId="TOC6">
    <w:name w:val="toc 6"/>
    <w:basedOn w:val="Normal"/>
    <w:next w:val="Normal"/>
    <w:autoRedefine/>
    <w:unhideWhenUsed/>
    <w:rsid w:val="005125E2"/>
    <w:pPr>
      <w:spacing w:before="0" w:after="0"/>
      <w:ind w:left="1100"/>
    </w:pPr>
    <w:rPr>
      <w:sz w:val="20"/>
      <w:szCs w:val="20"/>
    </w:rPr>
  </w:style>
  <w:style w:type="paragraph" w:styleId="TOC7">
    <w:name w:val="toc 7"/>
    <w:basedOn w:val="Normal"/>
    <w:next w:val="Normal"/>
    <w:autoRedefine/>
    <w:unhideWhenUsed/>
    <w:rsid w:val="005125E2"/>
    <w:pPr>
      <w:spacing w:before="0" w:after="0"/>
      <w:ind w:left="1320"/>
    </w:pPr>
    <w:rPr>
      <w:sz w:val="20"/>
      <w:szCs w:val="20"/>
    </w:rPr>
  </w:style>
  <w:style w:type="paragraph" w:styleId="TOC8">
    <w:name w:val="toc 8"/>
    <w:basedOn w:val="Normal"/>
    <w:next w:val="Normal"/>
    <w:autoRedefine/>
    <w:unhideWhenUsed/>
    <w:rsid w:val="005125E2"/>
    <w:pPr>
      <w:spacing w:before="0" w:after="0"/>
      <w:ind w:left="1540"/>
    </w:pPr>
    <w:rPr>
      <w:sz w:val="20"/>
      <w:szCs w:val="20"/>
    </w:rPr>
  </w:style>
  <w:style w:type="paragraph" w:styleId="TOC9">
    <w:name w:val="toc 9"/>
    <w:basedOn w:val="Normal"/>
    <w:next w:val="Normal"/>
    <w:autoRedefine/>
    <w:unhideWhenUsed/>
    <w:rsid w:val="005125E2"/>
    <w:pPr>
      <w:spacing w:before="0" w:after="0"/>
      <w:ind w:left="1760"/>
    </w:pPr>
    <w:rPr>
      <w:sz w:val="20"/>
      <w:szCs w:val="20"/>
    </w:rPr>
  </w:style>
  <w:style w:type="character" w:styleId="CommentReference">
    <w:name w:val="annotation reference"/>
    <w:basedOn w:val="DefaultParagraphFont"/>
    <w:semiHidden/>
    <w:unhideWhenUsed/>
    <w:rsid w:val="000337EF"/>
    <w:rPr>
      <w:sz w:val="16"/>
      <w:szCs w:val="16"/>
    </w:rPr>
  </w:style>
  <w:style w:type="paragraph" w:styleId="CommentText">
    <w:name w:val="annotation text"/>
    <w:basedOn w:val="Normal"/>
    <w:link w:val="CommentTextChar"/>
    <w:unhideWhenUsed/>
    <w:rsid w:val="000337EF"/>
    <w:rPr>
      <w:sz w:val="20"/>
      <w:szCs w:val="20"/>
    </w:rPr>
  </w:style>
  <w:style w:type="character" w:customStyle="1" w:styleId="CommentTextChar">
    <w:name w:val="Comment Text Char"/>
    <w:basedOn w:val="DefaultParagraphFont"/>
    <w:link w:val="CommentText"/>
    <w:rsid w:val="000337EF"/>
    <w:rPr>
      <w:rFonts w:ascii="Arial" w:hAnsi="Arial"/>
    </w:rPr>
  </w:style>
  <w:style w:type="paragraph" w:styleId="CommentSubject">
    <w:name w:val="annotation subject"/>
    <w:basedOn w:val="CommentText"/>
    <w:next w:val="CommentText"/>
    <w:link w:val="CommentSubjectChar"/>
    <w:semiHidden/>
    <w:unhideWhenUsed/>
    <w:rsid w:val="000337EF"/>
    <w:rPr>
      <w:b/>
      <w:bCs/>
    </w:rPr>
  </w:style>
  <w:style w:type="character" w:customStyle="1" w:styleId="CommentSubjectChar">
    <w:name w:val="Comment Subject Char"/>
    <w:basedOn w:val="CommentTextChar"/>
    <w:link w:val="CommentSubject"/>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557D61"/>
    <w:pPr>
      <w:spacing w:before="60"/>
      <w:ind w:left="144" w:right="289"/>
      <w:jc w:val="center"/>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4"/>
    <w:qFormat/>
    <w:rsid w:val="005125E2"/>
    <w:pPr>
      <w:numPr>
        <w:numId w:val="20"/>
      </w:numPr>
      <w:spacing w:before="120"/>
      <w:ind w:right="142"/>
    </w:pPr>
    <w:rPr>
      <w:szCs w:val="20"/>
      <w:lang w:val="en-US" w:eastAsia="en-US"/>
    </w:rPr>
  </w:style>
  <w:style w:type="paragraph" w:customStyle="1" w:styleId="02dash">
    <w:name w:val="02 dash"/>
    <w:basedOn w:val="01squarebullet"/>
    <w:uiPriority w:val="4"/>
    <w:qFormat/>
    <w:rsid w:val="006A668A"/>
    <w:pPr>
      <w:numPr>
        <w:numId w:val="9"/>
      </w:numPr>
      <w:tabs>
        <w:tab w:val="left" w:pos="646"/>
      </w:tabs>
      <w:ind w:left="641" w:hanging="284"/>
    </w:pPr>
  </w:style>
  <w:style w:type="paragraph" w:customStyle="1" w:styleId="03opensquarebullet">
    <w:name w:val="03 open square bullet"/>
    <w:basedOn w:val="02dash"/>
    <w:uiPriority w:val="5"/>
    <w:qFormat/>
    <w:rsid w:val="00C60693"/>
    <w:pPr>
      <w:numPr>
        <w:numId w:val="10"/>
      </w:numPr>
      <w:tabs>
        <w:tab w:val="clear" w:pos="646"/>
        <w:tab w:val="left" w:pos="924"/>
      </w:tabs>
      <w:ind w:left="925" w:hanging="284"/>
    </w:pPr>
  </w:style>
  <w:style w:type="paragraph" w:customStyle="1" w:styleId="04shortdash">
    <w:name w:val="04 short dash"/>
    <w:basedOn w:val="03opensquarebullet"/>
    <w:uiPriority w:val="6"/>
    <w:qFormat/>
    <w:rsid w:val="00C60693"/>
    <w:pPr>
      <w:numPr>
        <w:numId w:val="11"/>
      </w:numPr>
      <w:tabs>
        <w:tab w:val="clear" w:pos="924"/>
        <w:tab w:val="left" w:pos="1213"/>
      </w:tabs>
      <w:ind w:left="1208" w:hanging="284"/>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uiPriority w:val="5"/>
    <w:qFormat/>
    <w:rsid w:val="00FF2899"/>
    <w:pPr>
      <w:numPr>
        <w:ilvl w:val="0"/>
        <w:numId w:val="0"/>
      </w:numPr>
    </w:pPr>
    <w:rPr>
      <w:rFonts w:ascii="Calibri" w:eastAsia="Times New Roman" w:hAnsi="Calibri"/>
      <w:sz w:val="32"/>
      <w:szCs w:val="24"/>
      <w:lang w:eastAsia="en-AU"/>
    </w:rPr>
  </w:style>
  <w:style w:type="character" w:customStyle="1" w:styleId="Heading2ReportChar">
    <w:name w:val="Heading 2 Report Char"/>
    <w:basedOn w:val="DefaultParagraphFont"/>
    <w:link w:val="Heading2Report"/>
    <w:uiPriority w:val="5"/>
    <w:rsid w:val="003E7FC1"/>
    <w:rPr>
      <w:rFonts w:ascii="Calibri" w:hAnsi="Calibri" w:cs="Arial"/>
      <w:b/>
      <w:bCs/>
      <w:iCs/>
      <w:color w:val="01653F"/>
      <w:sz w:val="32"/>
      <w:szCs w:val="24"/>
      <w:lang w:val="en-GB"/>
    </w:rPr>
  </w:style>
  <w:style w:type="paragraph" w:customStyle="1" w:styleId="AppendixStyle1">
    <w:name w:val="Appendix Style 1"/>
    <w:basedOn w:val="Normal"/>
    <w:next w:val="Normal"/>
    <w:uiPriority w:val="2"/>
    <w:qFormat/>
    <w:rsid w:val="005125E2"/>
    <w:pPr>
      <w:numPr>
        <w:numId w:val="7"/>
      </w:numPr>
      <w:spacing w:before="360" w:after="120"/>
      <w:ind w:left="720"/>
      <w:outlineLvl w:val="0"/>
    </w:pPr>
    <w:rPr>
      <w:b/>
      <w:color w:val="01653F"/>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number1">
    <w:name w:val="05 number/1"/>
    <w:basedOn w:val="Normal"/>
    <w:uiPriority w:val="9"/>
    <w:qFormat/>
    <w:rsid w:val="00C60693"/>
    <w:pPr>
      <w:numPr>
        <w:numId w:val="12"/>
      </w:numPr>
      <w:spacing w:before="120" w:line="264" w:lineRule="auto"/>
      <w:ind w:left="357" w:hanging="357"/>
    </w:pPr>
    <w:rPr>
      <w:szCs w:val="20"/>
      <w:lang w:val="en-US" w:eastAsia="en-US"/>
    </w:rPr>
  </w:style>
  <w:style w:type="paragraph" w:customStyle="1" w:styleId="06letter2">
    <w:name w:val="06 letter/2"/>
    <w:basedOn w:val="Normal"/>
    <w:uiPriority w:val="8"/>
    <w:qFormat/>
    <w:rsid w:val="00C60693"/>
    <w:pPr>
      <w:numPr>
        <w:numId w:val="13"/>
      </w:numPr>
      <w:spacing w:before="120" w:line="264" w:lineRule="auto"/>
      <w:ind w:left="641" w:hanging="284"/>
    </w:pPr>
    <w:rPr>
      <w:szCs w:val="20"/>
      <w:lang w:val="en-US" w:eastAsia="en-US"/>
    </w:rPr>
  </w:style>
  <w:style w:type="paragraph" w:customStyle="1" w:styleId="07number3">
    <w:name w:val="07 number/3"/>
    <w:basedOn w:val="Normal"/>
    <w:uiPriority w:val="9"/>
    <w:qFormat/>
    <w:rsid w:val="00C60693"/>
    <w:pPr>
      <w:numPr>
        <w:numId w:val="14"/>
      </w:numPr>
      <w:spacing w:before="120" w:line="264" w:lineRule="auto"/>
      <w:ind w:left="925" w:hanging="284"/>
    </w:pPr>
    <w:rPr>
      <w:szCs w:val="20"/>
      <w:lang w:val="en-US" w:eastAsia="en-US"/>
    </w:rPr>
  </w:style>
  <w:style w:type="paragraph" w:customStyle="1" w:styleId="08letter4">
    <w:name w:val="08 letter/4"/>
    <w:basedOn w:val="Normal"/>
    <w:uiPriority w:val="10"/>
    <w:qFormat/>
    <w:rsid w:val="00C60693"/>
    <w:pPr>
      <w:numPr>
        <w:numId w:val="15"/>
      </w:numPr>
      <w:spacing w:before="120" w:line="264" w:lineRule="auto"/>
      <w:ind w:left="1208" w:hanging="284"/>
    </w:pPr>
    <w:rPr>
      <w:szCs w:val="20"/>
      <w:lang w:val="en-US" w:eastAsia="en-US"/>
    </w:rPr>
  </w:style>
  <w:style w:type="paragraph" w:customStyle="1" w:styleId="20major">
    <w:name w:val="20 major"/>
    <w:basedOn w:val="Normal"/>
    <w:next w:val="Normal"/>
    <w:uiPriority w:val="1"/>
    <w:rsid w:val="00395CB6"/>
    <w:pPr>
      <w:keepNext/>
      <w:spacing w:before="540" w:after="120" w:line="264" w:lineRule="auto"/>
      <w:ind w:right="360"/>
      <w:outlineLvl w:val="1"/>
    </w:pPr>
    <w:rPr>
      <w:b/>
      <w:caps/>
      <w:color w:val="002960"/>
      <w:sz w:val="24"/>
      <w:szCs w:val="20"/>
      <w:lang w:val="en-US" w:eastAsia="en-US"/>
    </w:rPr>
  </w:style>
  <w:style w:type="paragraph" w:customStyle="1" w:styleId="21minor">
    <w:name w:val="21 minor"/>
    <w:basedOn w:val="Normal"/>
    <w:next w:val="Normal"/>
    <w:uiPriority w:val="2"/>
    <w:rsid w:val="00395CB6"/>
    <w:pPr>
      <w:keepNext/>
      <w:spacing w:before="420" w:after="120" w:line="264" w:lineRule="auto"/>
      <w:ind w:right="360"/>
      <w:outlineLvl w:val="2"/>
    </w:pPr>
    <w:rPr>
      <w:b/>
      <w:color w:val="002960"/>
      <w:sz w:val="26"/>
      <w:szCs w:val="20"/>
      <w:lang w:val="en-US" w:eastAsia="en-US"/>
    </w:rPr>
  </w:style>
  <w:style w:type="paragraph" w:customStyle="1" w:styleId="Normal2">
    <w:name w:val="Normal 2"/>
    <w:basedOn w:val="Bulleted"/>
    <w:rsid w:val="00130F9E"/>
    <w:pPr>
      <w:numPr>
        <w:numId w:val="0"/>
      </w:numPr>
    </w:pPr>
  </w:style>
  <w:style w:type="character" w:customStyle="1" w:styleId="Heading1Char">
    <w:name w:val="Heading 1 Char"/>
    <w:basedOn w:val="DefaultParagraphFont"/>
    <w:link w:val="Heading1"/>
    <w:rsid w:val="002F575D"/>
    <w:rPr>
      <w:rFonts w:asciiTheme="minorHAnsi" w:eastAsiaTheme="minorHAnsi" w:hAnsiTheme="minorHAnsi" w:cs="Arial"/>
      <w:b/>
      <w:bCs/>
      <w:color w:val="01653F"/>
      <w:kern w:val="32"/>
      <w:sz w:val="32"/>
      <w:szCs w:val="28"/>
      <w:lang w:val="en-GB" w:eastAsia="en-US"/>
    </w:rPr>
  </w:style>
  <w:style w:type="paragraph" w:customStyle="1" w:styleId="Boldhdg">
    <w:name w:val="Bold hdg"/>
    <w:basedOn w:val="Normal"/>
    <w:link w:val="BoldhdgChar"/>
    <w:uiPriority w:val="7"/>
    <w:qFormat/>
    <w:rsid w:val="00F80022"/>
    <w:pPr>
      <w:keepNext/>
      <w:spacing w:before="320"/>
    </w:pPr>
    <w:rPr>
      <w:rFonts w:eastAsiaTheme="minorHAnsi" w:cs="Arial"/>
      <w:b/>
      <w:sz w:val="24"/>
      <w:lang w:eastAsia="en-US"/>
    </w:rPr>
  </w:style>
  <w:style w:type="character" w:customStyle="1" w:styleId="BoldhdgChar">
    <w:name w:val="Bold hdg Char"/>
    <w:basedOn w:val="DefaultParagraphFont"/>
    <w:link w:val="Boldhdg"/>
    <w:uiPriority w:val="7"/>
    <w:rsid w:val="006779FA"/>
    <w:rPr>
      <w:rFonts w:asciiTheme="minorHAnsi" w:eastAsiaTheme="minorHAnsi" w:hAnsiTheme="minorHAnsi" w:cs="Arial"/>
      <w:b/>
      <w:sz w:val="24"/>
      <w:szCs w:val="24"/>
      <w:lang w:val="en-GB" w:eastAsia="en-US"/>
    </w:rPr>
  </w:style>
  <w:style w:type="paragraph" w:customStyle="1" w:styleId="23threesquarebulletsbreak">
    <w:name w:val="23 three square bullets break"/>
    <w:basedOn w:val="Normal"/>
    <w:next w:val="Normal"/>
    <w:uiPriority w:val="99"/>
    <w:rsid w:val="004257BF"/>
    <w:pPr>
      <w:spacing w:before="600" w:after="480" w:line="264" w:lineRule="auto"/>
      <w:jc w:val="center"/>
    </w:pPr>
    <w:rPr>
      <w:sz w:val="24"/>
      <w:szCs w:val="20"/>
      <w:lang w:val="de-DE" w:eastAsia="en-US"/>
    </w:rPr>
  </w:style>
  <w:style w:type="character" w:customStyle="1" w:styleId="Heading3Char">
    <w:name w:val="Heading 3 Char"/>
    <w:basedOn w:val="DefaultParagraphFont"/>
    <w:link w:val="Heading3"/>
    <w:rsid w:val="00CD600A"/>
    <w:rPr>
      <w:rFonts w:asciiTheme="minorHAnsi" w:eastAsiaTheme="minorHAnsi" w:hAnsiTheme="minorHAnsi" w:cs="Arial"/>
      <w:b/>
      <w:bCs/>
      <w:i/>
      <w:color w:val="B66113"/>
      <w:sz w:val="24"/>
      <w:szCs w:val="24"/>
      <w:lang w:val="en-GB" w:eastAsia="en-US"/>
    </w:rPr>
  </w:style>
  <w:style w:type="paragraph" w:styleId="Revision">
    <w:name w:val="Revision"/>
    <w:hidden/>
    <w:uiPriority w:val="99"/>
    <w:semiHidden/>
    <w:rsid w:val="00667146"/>
    <w:rPr>
      <w:rFonts w:ascii="Arial" w:hAnsi="Arial"/>
      <w:sz w:val="22"/>
      <w:szCs w:val="24"/>
    </w:rPr>
  </w:style>
  <w:style w:type="paragraph" w:customStyle="1" w:styleId="Figure">
    <w:name w:val="Figure"/>
    <w:basedOn w:val="Caption"/>
    <w:uiPriority w:val="5"/>
    <w:qFormat/>
    <w:rsid w:val="00E03DD0"/>
    <w:rPr>
      <w:b w:val="0"/>
      <w:lang w:val="en-AU"/>
    </w:rPr>
  </w:style>
  <w:style w:type="character" w:styleId="EndnoteReference">
    <w:name w:val="endnote reference"/>
    <w:basedOn w:val="DefaultParagraphFont"/>
    <w:semiHidden/>
    <w:unhideWhenUsed/>
    <w:rsid w:val="000244D2"/>
    <w:rPr>
      <w:vertAlign w:val="superscript"/>
    </w:rPr>
  </w:style>
  <w:style w:type="numbering" w:customStyle="1" w:styleId="Style2">
    <w:name w:val="Style2"/>
    <w:uiPriority w:val="99"/>
    <w:rsid w:val="00B865F6"/>
    <w:pPr>
      <w:numPr>
        <w:numId w:val="19"/>
      </w:numPr>
    </w:pPr>
  </w:style>
  <w:style w:type="paragraph" w:styleId="PlainText">
    <w:name w:val="Plain Text"/>
    <w:basedOn w:val="Normal"/>
    <w:link w:val="PlainTextChar"/>
    <w:semiHidden/>
    <w:unhideWhenUsed/>
    <w:rsid w:val="005125E2"/>
    <w:pPr>
      <w:spacing w:before="0" w:after="0"/>
    </w:pPr>
    <w:rPr>
      <w:rFonts w:ascii="Consolas" w:hAnsi="Consolas" w:cs="Consolas"/>
      <w:sz w:val="21"/>
      <w:szCs w:val="21"/>
      <w:lang w:val="en-AU"/>
    </w:rPr>
  </w:style>
  <w:style w:type="character" w:customStyle="1" w:styleId="PlainTextChar">
    <w:name w:val="Plain Text Char"/>
    <w:basedOn w:val="DefaultParagraphFont"/>
    <w:link w:val="PlainText"/>
    <w:semiHidden/>
    <w:rsid w:val="005125E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8993543">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05860624">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65518715">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75365338">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20796579">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46693839">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70102629">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176924686">
      <w:bodyDiv w:val="1"/>
      <w:marLeft w:val="0"/>
      <w:marRight w:val="0"/>
      <w:marTop w:val="0"/>
      <w:marBottom w:val="0"/>
      <w:divBdr>
        <w:top w:val="none" w:sz="0" w:space="0" w:color="auto"/>
        <w:left w:val="none" w:sz="0" w:space="0" w:color="auto"/>
        <w:bottom w:val="none" w:sz="0" w:space="0" w:color="auto"/>
        <w:right w:val="none" w:sz="0" w:space="0" w:color="auto"/>
      </w:divBdr>
    </w:div>
    <w:div w:id="1198422929">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0744014">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285968007">
      <w:bodyDiv w:val="1"/>
      <w:marLeft w:val="0"/>
      <w:marRight w:val="0"/>
      <w:marTop w:val="0"/>
      <w:marBottom w:val="0"/>
      <w:divBdr>
        <w:top w:val="none" w:sz="0" w:space="0" w:color="auto"/>
        <w:left w:val="none" w:sz="0" w:space="0" w:color="auto"/>
        <w:bottom w:val="none" w:sz="0" w:space="0" w:color="auto"/>
        <w:right w:val="none" w:sz="0" w:space="0" w:color="auto"/>
      </w:divBdr>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81326738">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55967873">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90231486">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43525567">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phcris.org.au/organisation/profiles/index.php?id=2508"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www.mbsonline.gov.a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phcris.org.au/organisation/profiles/index.php?id=2344"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phcris.org.au/organisation/profiles/index.php?id=250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athways.nice.org.uk/pathways/psoriasis"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3.emf"/><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phcris.org.au/organisation/profiles/index.php?id=234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80D2F23B-B4C0-4F69-AFB4-562F165F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48449</Words>
  <Characters>276161</Characters>
  <Application>Microsoft Office Word</Application>
  <DocSecurity>0</DocSecurity>
  <Lines>2301</Lines>
  <Paragraphs>647</Paragraphs>
  <ScaleCrop>false</ScaleCrop>
  <HeadingPairs>
    <vt:vector size="2" baseType="variant">
      <vt:variant>
        <vt:lpstr>Title</vt:lpstr>
      </vt:variant>
      <vt:variant>
        <vt:i4>1</vt:i4>
      </vt:variant>
    </vt:vector>
  </HeadingPairs>
  <TitlesOfParts>
    <vt:vector size="1" baseType="lpstr">
      <vt:lpstr>Medicare Benefits Schedule Review Taskforce Dermatology, Allergy and Immunology Clinical Committee</vt:lpstr>
    </vt:vector>
  </TitlesOfParts>
  <LinksUpToDate>false</LinksUpToDate>
  <CharactersWithSpaces>323963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Dermatology, Allergy and Immunology Clinical Committee</dc:title>
  <dc:subject>Medicare Benefits Schedule</dc:subject>
  <dc:creator/>
  <dc:description/>
  <cp:lastModifiedBy/>
  <cp:revision>1</cp:revision>
  <dcterms:created xsi:type="dcterms:W3CDTF">2021-06-29T04:59:00Z</dcterms:created>
  <dcterms:modified xsi:type="dcterms:W3CDTF">2021-06-29T04:59:00Z</dcterms:modified>
</cp:coreProperties>
</file>