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872CD" w14:textId="77777777" w:rsidR="00257B72" w:rsidRPr="00860AD4" w:rsidRDefault="004318FB" w:rsidP="00257B72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>P</w:t>
      </w:r>
      <w:r w:rsidR="00D336F3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 xml:space="preserve">ractice </w:t>
      </w:r>
      <w:r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>I</w:t>
      </w:r>
      <w:r w:rsidR="00D336F3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 xml:space="preserve">ncentives </w:t>
      </w:r>
      <w:r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>P</w:t>
      </w:r>
      <w:r w:rsidR="00D336F3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>rogram</w:t>
      </w:r>
      <w:r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 xml:space="preserve"> </w:t>
      </w:r>
      <w:r w:rsidR="00860AD4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 xml:space="preserve">COVID-19 Vaccine </w:t>
      </w:r>
      <w:r w:rsidR="000F033B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 xml:space="preserve">General Practice </w:t>
      </w:r>
      <w:r w:rsidR="00860AD4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 xml:space="preserve">Incentive </w:t>
      </w:r>
      <w:r w:rsidR="006E37E7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>G</w:t>
      </w:r>
      <w:r w:rsidR="00257B72" w:rsidRPr="00860AD4">
        <w:rPr>
          <w:rFonts w:ascii="Times New Roman" w:eastAsia="Times New Roman" w:hAnsi="Times New Roman"/>
          <w:b/>
          <w:bCs/>
          <w:color w:val="000000"/>
          <w:kern w:val="36"/>
          <w:sz w:val="44"/>
          <w:szCs w:val="72"/>
          <w:lang w:val="en" w:eastAsia="en-AU"/>
        </w:rPr>
        <w:t>uidelines</w:t>
      </w:r>
    </w:p>
    <w:p w14:paraId="71D8FC9C" w14:textId="77777777" w:rsidR="00257B72" w:rsidRPr="00860AD4" w:rsidRDefault="009E7827" w:rsidP="00257B72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 w:rsidRPr="00860AD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Effective</w:t>
      </w:r>
      <w:r w:rsidR="0064041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April</w:t>
      </w:r>
      <w:r w:rsidR="0056464A" w:rsidRPr="00860AD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Pr="00860AD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2021</w:t>
      </w:r>
    </w:p>
    <w:p w14:paraId="2C5FDA38" w14:textId="77777777" w:rsidR="0057242E" w:rsidRDefault="00F24EF9" w:rsidP="008A58C7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The </w:t>
      </w:r>
      <w:r w:rsidR="00122E7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P</w:t>
      </w:r>
      <w:r w:rsidR="00D336F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ractice </w:t>
      </w:r>
      <w:r w:rsidR="00122E7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I</w:t>
      </w:r>
      <w:r w:rsidR="00D336F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ncentives </w:t>
      </w:r>
      <w:r w:rsidR="00122E7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P</w:t>
      </w:r>
      <w:r w:rsidR="00D336F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rogram (PIP)</w:t>
      </w:r>
      <w:r w:rsidR="00122E7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COVID-19 Vaccine General Practice Incentive supports </w:t>
      </w:r>
      <w:r w:rsidR="009E250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PIP eligible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general practices participating in </w:t>
      </w:r>
      <w:r w:rsidRPr="00F24EF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Australia’s COVID-19 Vaccine National Rollout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to provide continuity of care and deliver two doses of </w:t>
      </w:r>
      <w:r w:rsidR="0057242E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</w:t>
      </w:r>
      <w:r w:rsidRPr="007756B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COVID-19 </w:t>
      </w:r>
      <w:r w:rsidRPr="007756B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vaccine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to their patients.</w:t>
      </w:r>
    </w:p>
    <w:p w14:paraId="74435F65" w14:textId="77777777" w:rsidR="007756B9" w:rsidRDefault="007756B9" w:rsidP="007756B9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 xml:space="preserve">About the COVID-19 Vaccine </w:t>
      </w:r>
      <w:r w:rsidR="000F033B"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>G</w:t>
      </w:r>
      <w:r w:rsidR="0057242E"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 xml:space="preserve">eneral </w:t>
      </w:r>
      <w:r w:rsidR="000F033B"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>P</w:t>
      </w:r>
      <w:r w:rsidR="0057242E"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>ractice</w:t>
      </w:r>
      <w:r w:rsidR="000F033B"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36"/>
          <w:sz w:val="40"/>
          <w:szCs w:val="60"/>
          <w:lang w:val="en" w:eastAsia="en-AU"/>
        </w:rPr>
        <w:t xml:space="preserve">Incentive </w:t>
      </w:r>
    </w:p>
    <w:p w14:paraId="57AFA9B7" w14:textId="43C3C892" w:rsidR="002C0C7D" w:rsidRPr="002C0C7D" w:rsidRDefault="007A4BF1" w:rsidP="002C0C7D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highlight w:val="yellow"/>
          <w:lang w:val="en" w:eastAsia="en-AU"/>
        </w:rPr>
      </w:pPr>
      <w:r w:rsidRPr="007A4BF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The Australian Government is committed to providing all Australians with access to safe and effective COVID-19 vaccines</w:t>
      </w:r>
      <w:r w:rsidR="00E813E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. </w:t>
      </w:r>
      <w:r w:rsidRPr="007A4BF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In order to be fully vaccinated</w:t>
      </w:r>
      <w:r w:rsidR="009E250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,</w:t>
      </w:r>
      <w:r w:rsidRPr="007A4BF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an individual must receive two doses of </w:t>
      </w:r>
      <w:r w:rsidR="00862C1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</w:t>
      </w:r>
      <w:r w:rsidRPr="007A4BF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57242E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COVID-19 </w:t>
      </w:r>
      <w:r w:rsidRPr="007A4BF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vaccine given at the appropriate dosing schedule.</w:t>
      </w:r>
      <w:r w:rsidR="00B92B1B" w:rsidRP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</w:p>
    <w:p w14:paraId="090EAD6C" w14:textId="7957CE61" w:rsidR="007A4BF1" w:rsidRDefault="00F475A6" w:rsidP="007A4BF1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The first</w:t>
      </w:r>
      <w:r w:rsidR="00FC420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-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dose will be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administered </w:t>
      </w:r>
      <w:r w:rsidR="00F877A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following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1C637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a </w:t>
      </w:r>
      <w:r w:rsidR="00F877A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first-dose 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assessment</w:t>
      </w:r>
      <w:r w:rsidR="0057242E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service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if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the patient is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assesse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d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as being suitable 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to receive the </w:t>
      </w:r>
      <w:r w:rsidR="001F6EF5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vaccine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on clinical grounds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. T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he second</w:t>
      </w:r>
      <w:r w:rsidR="00FC420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-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dose</w:t>
      </w:r>
      <w:r w:rsidR="00F24EF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of the </w:t>
      </w:r>
      <w:r w:rsidR="00F24EF9" w:rsidRPr="001C637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same</w:t>
      </w:r>
      <w:r w:rsidR="00F24EF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vaccine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will be 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administered </w:t>
      </w:r>
      <w:r w:rsidR="001C637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following a</w:t>
      </w:r>
      <w:r w:rsidR="00F877A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second-dose</w:t>
      </w:r>
      <w:r w:rsidR="001C637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B92B1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assessment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57242E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service 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if the patient is assesse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d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as being suitable to receive the second</w:t>
      </w:r>
      <w:r w:rsidR="001C637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-dose of the </w:t>
      </w:r>
      <w:r w:rsidR="001F6EF5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vaccine</w:t>
      </w:r>
      <w:r w:rsidR="0062160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on clinical grounds</w:t>
      </w:r>
      <w:r w:rsidR="00B92B1B" w:rsidRPr="00FB5D2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.</w:t>
      </w:r>
    </w:p>
    <w:p w14:paraId="131FB6D8" w14:textId="77777777" w:rsidR="00731711" w:rsidRDefault="005B3F83" w:rsidP="00731711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The COVID-19 Vaccine </w:t>
      </w:r>
      <w:r w:rsidR="000F033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G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eneral </w:t>
      </w:r>
      <w:r w:rsidR="000F033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P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ractice</w:t>
      </w:r>
      <w:r w:rsidR="000F033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Incentive encourages continuity of care and appropriate follow-up by </w:t>
      </w:r>
      <w:r w:rsidR="00D338C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providing a payment to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C2341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PIP eligible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general practices </w:t>
      </w:r>
      <w:r w:rsidR="0008064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on the basis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that </w:t>
      </w:r>
      <w:r w:rsidR="0008064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</w:t>
      </w:r>
      <w:r w:rsidR="0013527E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08064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patient </w:t>
      </w:r>
      <w:r w:rsidR="00A14A2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has received</w:t>
      </w:r>
      <w:r w:rsidR="00F475A6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73171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both a first-dose and second-dose </w:t>
      </w:r>
      <w:r w:rsidR="00F475A6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assessment</w:t>
      </w:r>
      <w:r w:rsidR="0057242E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service</w:t>
      </w:r>
      <w:r w:rsidR="0073171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A82C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for a COVID-19 vaccine </w:t>
      </w:r>
      <w:r w:rsidR="0073171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at the same practice in a clinically appropriate timeframe. </w:t>
      </w:r>
    </w:p>
    <w:p w14:paraId="42B62F32" w14:textId="77777777" w:rsidR="00257B72" w:rsidRPr="0088011D" w:rsidRDefault="00257B72" w:rsidP="00257B72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</w:pPr>
      <w:r w:rsidRPr="0088011D"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  <w:t>Eligibility</w:t>
      </w:r>
    </w:p>
    <w:p w14:paraId="623D69E1" w14:textId="77777777" w:rsidR="00906B84" w:rsidRDefault="00901B0A" w:rsidP="00CC0616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 w:rsidRPr="00901B0A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To be eligible to receive the COVID-19 Vaccine G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eneral </w:t>
      </w:r>
      <w:r w:rsidRPr="00901B0A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P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ractice</w:t>
      </w:r>
      <w:r w:rsidRPr="00901B0A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F43D83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I</w:t>
      </w:r>
      <w:r w:rsidRPr="00901B0A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ncentive, a general practice must</w:t>
      </w:r>
      <w:r w:rsidR="00A73E3C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: </w:t>
      </w:r>
    </w:p>
    <w:p w14:paraId="6913B8F9" w14:textId="6DF6961E" w:rsidR="00061780" w:rsidRPr="00B548C1" w:rsidRDefault="00061780" w:rsidP="00204BD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be </w:t>
      </w:r>
      <w:r w:rsidR="0078331C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approved </w:t>
      </w:r>
      <w:r w:rsidR="008752DF" w:rsidRPr="00FB5D2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for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the Practice Incentive</w:t>
      </w:r>
      <w:r w:rsidR="00367C2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s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Program (PIP)</w:t>
      </w:r>
      <w:r w:rsidR="00900142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;</w:t>
      </w:r>
    </w:p>
    <w:p w14:paraId="34AC194D" w14:textId="397CC24B" w:rsidR="00061780" w:rsidRDefault="00906B84" w:rsidP="00204BD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 w:rsidRPr="00906B8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be accredited as a general practice against the </w:t>
      </w:r>
      <w:r w:rsidR="0006178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Royal Australian College of General Practitioners (</w:t>
      </w:r>
      <w:r w:rsidRPr="00906B8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RACGP</w:t>
      </w:r>
      <w:r w:rsidR="0006178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)</w:t>
      </w:r>
      <w:r w:rsidRPr="00906B8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Pr="00FA4289">
        <w:rPr>
          <w:rFonts w:ascii="Times New Roman" w:eastAsia="Times New Roman" w:hAnsi="Times New Roman"/>
          <w:i/>
          <w:color w:val="000000"/>
          <w:sz w:val="24"/>
          <w:szCs w:val="27"/>
          <w:lang w:val="en" w:eastAsia="en-AU"/>
        </w:rPr>
        <w:t>Standards for general practices</w:t>
      </w:r>
      <w:r w:rsidRPr="00906B8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(the Standards)</w:t>
      </w:r>
      <w:r w:rsidR="001B07FC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;</w:t>
      </w:r>
    </w:p>
    <w:p w14:paraId="49536794" w14:textId="77777777" w:rsidR="00061780" w:rsidRPr="00B548C1" w:rsidRDefault="00061780" w:rsidP="00204B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Roboto" w:eastAsia="Times New Roman" w:hAnsi="Roboto" w:cs="Segoe UI"/>
          <w:sz w:val="24"/>
          <w:szCs w:val="24"/>
          <w:lang w:val="en" w:eastAsia="en-AU"/>
        </w:rPr>
      </w:pPr>
      <w:r>
        <w:rPr>
          <w:rFonts w:ascii="Roboto" w:eastAsia="Times New Roman" w:hAnsi="Roboto" w:cs="Segoe UI"/>
          <w:sz w:val="24"/>
          <w:szCs w:val="24"/>
          <w:lang w:val="en" w:eastAsia="en-AU"/>
        </w:rPr>
        <w:t xml:space="preserve">maintain PIP eligibility </w:t>
      </w:r>
      <w:r w:rsidRPr="00827B96">
        <w:rPr>
          <w:rFonts w:ascii="Roboto" w:eastAsia="Times New Roman" w:hAnsi="Roboto" w:cs="Segoe UI"/>
          <w:sz w:val="24"/>
          <w:szCs w:val="24"/>
          <w:lang w:val="en" w:eastAsia="en-AU"/>
        </w:rPr>
        <w:t>for the entire payment quarter, including the point-in-time date to be eli</w:t>
      </w:r>
      <w:r w:rsidR="00F15471">
        <w:rPr>
          <w:rFonts w:ascii="Roboto" w:eastAsia="Times New Roman" w:hAnsi="Roboto" w:cs="Segoe UI"/>
          <w:sz w:val="24"/>
          <w:szCs w:val="24"/>
          <w:lang w:val="en" w:eastAsia="en-AU"/>
        </w:rPr>
        <w:t>gible for the quarterly payment</w:t>
      </w:r>
      <w:r w:rsidRPr="00827B96">
        <w:rPr>
          <w:rFonts w:ascii="Roboto" w:eastAsia="Times New Roman" w:hAnsi="Roboto" w:cs="Segoe UI"/>
          <w:sz w:val="24"/>
          <w:szCs w:val="24"/>
          <w:lang w:val="en" w:eastAsia="en-AU"/>
        </w:rPr>
        <w:t xml:space="preserve"> </w:t>
      </w:r>
      <w:r w:rsidR="00F15471">
        <w:rPr>
          <w:rFonts w:ascii="Roboto" w:eastAsia="Times New Roman" w:hAnsi="Roboto" w:cs="Segoe UI"/>
          <w:sz w:val="24"/>
          <w:szCs w:val="24"/>
          <w:lang w:val="en" w:eastAsia="en-AU"/>
        </w:rPr>
        <w:t>– t</w:t>
      </w:r>
      <w:r w:rsidRPr="00F15471">
        <w:rPr>
          <w:rFonts w:ascii="Roboto" w:eastAsia="Times New Roman" w:hAnsi="Roboto" w:cs="Segoe UI"/>
          <w:sz w:val="24"/>
          <w:szCs w:val="24"/>
          <w:lang w:val="en" w:eastAsia="en-AU"/>
        </w:rPr>
        <w:t>he point-in-time date is the last day of the month before the next</w:t>
      </w:r>
      <w:r w:rsidR="002A777A">
        <w:rPr>
          <w:rFonts w:ascii="Roboto" w:eastAsia="Times New Roman" w:hAnsi="Roboto" w:cs="Segoe UI"/>
          <w:sz w:val="24"/>
          <w:szCs w:val="24"/>
          <w:lang w:val="en" w:eastAsia="en-AU"/>
        </w:rPr>
        <w:t xml:space="preserve"> PIP quarterly payment</w:t>
      </w:r>
      <w:r w:rsidR="00F15471">
        <w:rPr>
          <w:rFonts w:ascii="Roboto" w:eastAsia="Times New Roman" w:hAnsi="Roboto" w:cs="Segoe UI"/>
          <w:sz w:val="24"/>
          <w:szCs w:val="24"/>
          <w:lang w:val="en" w:eastAsia="en-AU"/>
        </w:rPr>
        <w:t>;</w:t>
      </w:r>
    </w:p>
    <w:p w14:paraId="1FB972FB" w14:textId="77777777" w:rsidR="00B548C1" w:rsidRPr="00B548C1" w:rsidRDefault="00061780" w:rsidP="00204BD0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hAnsi="Times New Roman"/>
          <w:sz w:val="24"/>
          <w:lang w:val="en"/>
        </w:rPr>
        <w:t xml:space="preserve">have been </w:t>
      </w:r>
      <w:proofErr w:type="spellStart"/>
      <w:r>
        <w:rPr>
          <w:rFonts w:ascii="Times New Roman" w:hAnsi="Times New Roman"/>
          <w:sz w:val="24"/>
          <w:lang w:val="en"/>
        </w:rPr>
        <w:t>authorised</w:t>
      </w:r>
      <w:proofErr w:type="spellEnd"/>
      <w:r>
        <w:rPr>
          <w:rFonts w:ascii="Times New Roman" w:hAnsi="Times New Roman"/>
          <w:sz w:val="24"/>
          <w:lang w:val="en"/>
        </w:rPr>
        <w:t xml:space="preserve"> by the Australian Government Department of Health</w:t>
      </w:r>
      <w:r w:rsidR="00F15471">
        <w:rPr>
          <w:rFonts w:ascii="Times New Roman" w:hAnsi="Times New Roman"/>
          <w:sz w:val="24"/>
          <w:lang w:val="en"/>
        </w:rPr>
        <w:t xml:space="preserve"> (Health</w:t>
      </w:r>
      <w:r w:rsidR="007001C1">
        <w:rPr>
          <w:rFonts w:ascii="Times New Roman" w:hAnsi="Times New Roman"/>
          <w:sz w:val="24"/>
          <w:lang w:val="en"/>
        </w:rPr>
        <w:t>)</w:t>
      </w:r>
      <w:r>
        <w:rPr>
          <w:rFonts w:ascii="Times New Roman" w:hAnsi="Times New Roman"/>
          <w:sz w:val="24"/>
          <w:lang w:val="en"/>
        </w:rPr>
        <w:t xml:space="preserve"> to administer COVID-19 vaccines to patients; and</w:t>
      </w:r>
    </w:p>
    <w:p w14:paraId="287CD556" w14:textId="77777777" w:rsidR="00BE4317" w:rsidRPr="00F43D83" w:rsidRDefault="00906B84" w:rsidP="00204BD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lang w:val="en"/>
        </w:rPr>
      </w:pPr>
      <w:r w:rsidRPr="00B548C1">
        <w:rPr>
          <w:rFonts w:ascii="Times New Roman" w:hAnsi="Times New Roman"/>
          <w:sz w:val="24"/>
          <w:lang w:val="en"/>
        </w:rPr>
        <w:t>have completed COVID-19 vaccination training for the safe management and administration of COVID-19 vaccine</w:t>
      </w:r>
      <w:r w:rsidR="006F37FF">
        <w:rPr>
          <w:rFonts w:ascii="Times New Roman" w:hAnsi="Times New Roman"/>
          <w:sz w:val="24"/>
          <w:lang w:val="en"/>
        </w:rPr>
        <w:t>s</w:t>
      </w:r>
      <w:r w:rsidR="00061780" w:rsidRPr="00B548C1">
        <w:rPr>
          <w:rFonts w:ascii="Times New Roman" w:hAnsi="Times New Roman"/>
          <w:sz w:val="24"/>
          <w:lang w:val="en"/>
        </w:rPr>
        <w:t>.</w:t>
      </w:r>
    </w:p>
    <w:p w14:paraId="58110906" w14:textId="6CD18B36" w:rsidR="00906B84" w:rsidRDefault="00FD58ED" w:rsidP="00906B84">
      <w:p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For the payment to be made, the</w:t>
      </w:r>
      <w:r w:rsidR="00906B8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following criteria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must be satisfied</w:t>
      </w:r>
      <w:r w:rsidR="00906B84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: </w:t>
      </w:r>
    </w:p>
    <w:p w14:paraId="209421A5" w14:textId="77777777" w:rsidR="00BE4317" w:rsidRDefault="00D14F4A" w:rsidP="00204BD0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lastRenderedPageBreak/>
        <w:t xml:space="preserve">be the first </w:t>
      </w:r>
      <w:r w:rsidR="00FB5D2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PIP eligible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practice to </w:t>
      </w:r>
      <w:r w:rsidR="0006178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p</w:t>
      </w:r>
      <w:r w:rsidR="00901B0A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ro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cess</w:t>
      </w:r>
      <w:r w:rsidR="00A14A2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</w:t>
      </w:r>
      <w:r w:rsidR="00BE431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 first-</w:t>
      </w:r>
      <w:r w:rsidR="00843282" w:rsidRPr="00843282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dose and a second-dose assessment service to the same patient</w:t>
      </w:r>
      <w:r w:rsidR="00BE431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at the same practice</w:t>
      </w:r>
      <w:r w:rsidR="00061780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;</w:t>
      </w:r>
    </w:p>
    <w:p w14:paraId="6DDB7115" w14:textId="77777777" w:rsidR="00C72FAB" w:rsidRPr="00C72FAB" w:rsidRDefault="00C72FAB" w:rsidP="00C72FAB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 w:rsidRPr="00C72FA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assessment services must have been successfully processed, i.e. have been billed to Medicare and all MBS requirements must have been fulfilled; and</w:t>
      </w:r>
    </w:p>
    <w:p w14:paraId="168E3109" w14:textId="77777777" w:rsidR="00862C18" w:rsidRDefault="00C72FAB" w:rsidP="00862C18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</w:pPr>
      <w:r w:rsidRPr="00C72FAB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vaccine doses must occur within the timeframes </w:t>
      </w:r>
      <w:r w:rsidR="00862C1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approved by the Therapeutic Goods Administration (TGA) and consistent with advice </w:t>
      </w:r>
      <w:r w:rsidR="000C2A61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provided </w:t>
      </w:r>
      <w:r w:rsidR="00862C1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by the Australian Technical Advisory Group on </w:t>
      </w:r>
      <w:proofErr w:type="spellStart"/>
      <w:r w:rsidR="00862C1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Immunisation</w:t>
      </w:r>
      <w:proofErr w:type="spellEnd"/>
      <w:r w:rsidR="00862C18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(ATAGI).</w:t>
      </w:r>
    </w:p>
    <w:p w14:paraId="67FBEA3A" w14:textId="77777777" w:rsidR="002306FC" w:rsidRPr="0088011D" w:rsidRDefault="002306FC" w:rsidP="002306FC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</w:pPr>
      <w:r w:rsidRPr="0088011D"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  <w:t>Payments</w:t>
      </w:r>
      <w:r w:rsidR="0088011D" w:rsidRPr="0088011D"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  <w:t xml:space="preserve"> and requirements</w:t>
      </w:r>
    </w:p>
    <w:p w14:paraId="4655A99B" w14:textId="77777777" w:rsidR="00FB5D27" w:rsidRDefault="00DC1B62" w:rsidP="00DC1B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>
        <w:rPr>
          <w:rFonts w:ascii="Times New Roman" w:hAnsi="Times New Roman"/>
          <w:sz w:val="24"/>
          <w:szCs w:val="27"/>
          <w:lang w:val="en"/>
        </w:rPr>
        <w:t xml:space="preserve">The COVID-19 Vaccine </w:t>
      </w:r>
      <w:r w:rsidR="000F033B">
        <w:rPr>
          <w:rFonts w:ascii="Times New Roman" w:hAnsi="Times New Roman"/>
          <w:sz w:val="24"/>
          <w:szCs w:val="27"/>
          <w:lang w:val="en"/>
        </w:rPr>
        <w:t>G</w:t>
      </w:r>
      <w:r w:rsidR="00843282">
        <w:rPr>
          <w:rFonts w:ascii="Times New Roman" w:hAnsi="Times New Roman"/>
          <w:sz w:val="24"/>
          <w:szCs w:val="27"/>
          <w:lang w:val="en"/>
        </w:rPr>
        <w:t xml:space="preserve">eneral </w:t>
      </w:r>
      <w:r w:rsidR="000F033B">
        <w:rPr>
          <w:rFonts w:ascii="Times New Roman" w:hAnsi="Times New Roman"/>
          <w:sz w:val="24"/>
          <w:szCs w:val="27"/>
          <w:lang w:val="en"/>
        </w:rPr>
        <w:t>P</w:t>
      </w:r>
      <w:r w:rsidR="00843282">
        <w:rPr>
          <w:rFonts w:ascii="Times New Roman" w:hAnsi="Times New Roman"/>
          <w:sz w:val="24"/>
          <w:szCs w:val="27"/>
          <w:lang w:val="en"/>
        </w:rPr>
        <w:t>ractice</w:t>
      </w:r>
      <w:r w:rsidR="000F033B">
        <w:rPr>
          <w:rFonts w:ascii="Times New Roman" w:hAnsi="Times New Roman"/>
          <w:sz w:val="24"/>
          <w:szCs w:val="27"/>
          <w:lang w:val="en"/>
        </w:rPr>
        <w:t xml:space="preserve"> </w:t>
      </w:r>
      <w:r>
        <w:rPr>
          <w:rFonts w:ascii="Times New Roman" w:hAnsi="Times New Roman"/>
          <w:sz w:val="24"/>
          <w:szCs w:val="27"/>
          <w:lang w:val="en"/>
        </w:rPr>
        <w:t xml:space="preserve">Incentive is paid quarterly. </w:t>
      </w:r>
    </w:p>
    <w:p w14:paraId="5F5886C8" w14:textId="54395248" w:rsidR="002B79E8" w:rsidRDefault="00C23418" w:rsidP="00DC1B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>
        <w:rPr>
          <w:rFonts w:ascii="Times New Roman" w:hAnsi="Times New Roman"/>
          <w:sz w:val="24"/>
          <w:szCs w:val="27"/>
          <w:lang w:val="en"/>
        </w:rPr>
        <w:t xml:space="preserve">PIP eligible </w:t>
      </w:r>
      <w:r w:rsidR="008752DF" w:rsidRPr="00FB5D27">
        <w:rPr>
          <w:rFonts w:ascii="Times New Roman" w:hAnsi="Times New Roman"/>
          <w:sz w:val="24"/>
          <w:szCs w:val="27"/>
          <w:lang w:val="en"/>
        </w:rPr>
        <w:t>p</w:t>
      </w:r>
      <w:r w:rsidR="00D6410C" w:rsidRPr="00FB5D27">
        <w:rPr>
          <w:rFonts w:ascii="Times New Roman" w:hAnsi="Times New Roman"/>
          <w:sz w:val="24"/>
          <w:szCs w:val="27"/>
          <w:lang w:val="en"/>
        </w:rPr>
        <w:t>ractices</w:t>
      </w:r>
      <w:r w:rsidR="00D6410C" w:rsidRPr="00D6410C">
        <w:rPr>
          <w:rFonts w:ascii="Times New Roman" w:hAnsi="Times New Roman"/>
          <w:sz w:val="24"/>
          <w:szCs w:val="27"/>
          <w:lang w:val="en"/>
        </w:rPr>
        <w:t xml:space="preserve"> will receive $10 for each</w:t>
      </w:r>
      <w:r w:rsidR="00BE4317">
        <w:rPr>
          <w:rFonts w:ascii="Times New Roman" w:hAnsi="Times New Roman"/>
          <w:sz w:val="24"/>
          <w:szCs w:val="27"/>
          <w:lang w:val="en"/>
        </w:rPr>
        <w:t xml:space="preserve"> </w:t>
      </w:r>
      <w:r w:rsidR="00D6410C" w:rsidRPr="00D6410C">
        <w:rPr>
          <w:rFonts w:ascii="Times New Roman" w:hAnsi="Times New Roman"/>
          <w:sz w:val="24"/>
          <w:szCs w:val="27"/>
          <w:lang w:val="en"/>
        </w:rPr>
        <w:t xml:space="preserve">patient who </w:t>
      </w:r>
      <w:r w:rsidR="005B5CF9">
        <w:rPr>
          <w:rFonts w:ascii="Times New Roman" w:hAnsi="Times New Roman"/>
          <w:sz w:val="24"/>
          <w:szCs w:val="27"/>
          <w:lang w:val="en"/>
        </w:rPr>
        <w:t xml:space="preserve">has </w:t>
      </w:r>
      <w:r w:rsidR="00BE4317">
        <w:rPr>
          <w:rFonts w:ascii="Times New Roman" w:hAnsi="Times New Roman"/>
          <w:sz w:val="24"/>
          <w:szCs w:val="27"/>
          <w:lang w:val="en"/>
        </w:rPr>
        <w:t>received</w:t>
      </w:r>
      <w:r w:rsidR="00731711">
        <w:rPr>
          <w:rFonts w:ascii="Times New Roman" w:hAnsi="Times New Roman"/>
          <w:sz w:val="24"/>
          <w:szCs w:val="27"/>
          <w:lang w:val="en"/>
        </w:rPr>
        <w:t xml:space="preserve"> both</w:t>
      </w:r>
      <w:r w:rsidR="00BE4317">
        <w:rPr>
          <w:rFonts w:ascii="Times New Roman" w:hAnsi="Times New Roman"/>
          <w:sz w:val="24"/>
          <w:szCs w:val="27"/>
          <w:lang w:val="en"/>
        </w:rPr>
        <w:t xml:space="preserve"> </w:t>
      </w:r>
      <w:r w:rsidR="00533716">
        <w:rPr>
          <w:rFonts w:ascii="Times New Roman" w:hAnsi="Times New Roman"/>
          <w:sz w:val="24"/>
          <w:szCs w:val="27"/>
          <w:lang w:val="en"/>
        </w:rPr>
        <w:t>a</w:t>
      </w:r>
      <w:r w:rsidR="00BE4317">
        <w:rPr>
          <w:rFonts w:ascii="Times New Roman" w:hAnsi="Times New Roman"/>
          <w:sz w:val="24"/>
          <w:szCs w:val="27"/>
          <w:lang w:val="en"/>
        </w:rPr>
        <w:t xml:space="preserve"> </w:t>
      </w:r>
      <w:r w:rsidR="005B5CF9">
        <w:rPr>
          <w:rFonts w:ascii="Times New Roman" w:hAnsi="Times New Roman"/>
          <w:sz w:val="24"/>
          <w:szCs w:val="27"/>
          <w:lang w:val="en"/>
        </w:rPr>
        <w:t>first</w:t>
      </w:r>
      <w:r w:rsidR="00BE4317">
        <w:rPr>
          <w:rFonts w:ascii="Times New Roman" w:hAnsi="Times New Roman"/>
          <w:sz w:val="24"/>
          <w:szCs w:val="27"/>
          <w:lang w:val="en"/>
        </w:rPr>
        <w:t>-dose</w:t>
      </w:r>
      <w:r w:rsidR="005B5CF9">
        <w:rPr>
          <w:rFonts w:ascii="Times New Roman" w:hAnsi="Times New Roman"/>
          <w:sz w:val="24"/>
          <w:szCs w:val="27"/>
          <w:lang w:val="en"/>
        </w:rPr>
        <w:t xml:space="preserve"> and </w:t>
      </w:r>
      <w:r w:rsidR="005B5CF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second</w:t>
      </w:r>
      <w:r w:rsidR="00BE431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-dose</w:t>
      </w:r>
      <w:r w:rsidR="005B5CF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assessment </w:t>
      </w:r>
      <w:r w:rsidR="00BE431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service</w:t>
      </w:r>
      <w:r w:rsidR="005B5CF9">
        <w:rPr>
          <w:rFonts w:ascii="Times New Roman" w:hAnsi="Times New Roman"/>
          <w:sz w:val="24"/>
          <w:szCs w:val="27"/>
          <w:lang w:val="en"/>
        </w:rPr>
        <w:t xml:space="preserve"> </w:t>
      </w:r>
      <w:r w:rsidR="00D6410C" w:rsidRPr="00D6410C">
        <w:rPr>
          <w:rFonts w:ascii="Times New Roman" w:hAnsi="Times New Roman"/>
          <w:sz w:val="24"/>
          <w:szCs w:val="27"/>
          <w:lang w:val="en"/>
        </w:rPr>
        <w:t>at the same practice</w:t>
      </w:r>
      <w:r w:rsidR="002F224C">
        <w:rPr>
          <w:rFonts w:ascii="Times New Roman" w:hAnsi="Times New Roman"/>
          <w:sz w:val="24"/>
          <w:szCs w:val="27"/>
          <w:lang w:val="en"/>
        </w:rPr>
        <w:t>.</w:t>
      </w:r>
      <w:r w:rsidR="00FB5D27">
        <w:rPr>
          <w:rFonts w:ascii="Times New Roman" w:hAnsi="Times New Roman"/>
          <w:sz w:val="24"/>
          <w:szCs w:val="27"/>
          <w:lang w:val="en"/>
        </w:rPr>
        <w:t xml:space="preserve"> </w:t>
      </w:r>
      <w:r w:rsidR="00D31DFC">
        <w:rPr>
          <w:rFonts w:ascii="Times New Roman" w:hAnsi="Times New Roman"/>
          <w:sz w:val="24"/>
          <w:szCs w:val="27"/>
          <w:lang w:val="en"/>
        </w:rPr>
        <w:t>A</w:t>
      </w:r>
      <w:r w:rsidR="002B79E8">
        <w:rPr>
          <w:rFonts w:ascii="Times New Roman" w:hAnsi="Times New Roman"/>
          <w:sz w:val="24"/>
          <w:szCs w:val="27"/>
          <w:lang w:val="en"/>
        </w:rPr>
        <w:t xml:space="preserve"> maximum of one incentive payment</w:t>
      </w:r>
      <w:r w:rsidR="00367C28">
        <w:rPr>
          <w:rFonts w:ascii="Times New Roman" w:hAnsi="Times New Roman"/>
          <w:sz w:val="24"/>
          <w:szCs w:val="27"/>
          <w:lang w:val="en"/>
        </w:rPr>
        <w:t xml:space="preserve"> is payable per patient.</w:t>
      </w:r>
    </w:p>
    <w:p w14:paraId="6237A0F0" w14:textId="77777777" w:rsidR="00BE4317" w:rsidRDefault="00E70FC2" w:rsidP="00553D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>
        <w:rPr>
          <w:rFonts w:ascii="Times New Roman" w:hAnsi="Times New Roman"/>
          <w:sz w:val="24"/>
          <w:szCs w:val="27"/>
          <w:lang w:val="en"/>
        </w:rPr>
        <w:t>Your p</w:t>
      </w:r>
      <w:r w:rsidR="00553DDF">
        <w:rPr>
          <w:rFonts w:ascii="Times New Roman" w:hAnsi="Times New Roman"/>
          <w:sz w:val="24"/>
          <w:szCs w:val="27"/>
          <w:lang w:val="en"/>
        </w:rPr>
        <w:t xml:space="preserve">ractice </w:t>
      </w:r>
      <w:r>
        <w:rPr>
          <w:rFonts w:ascii="Times New Roman" w:hAnsi="Times New Roman"/>
          <w:sz w:val="24"/>
          <w:szCs w:val="27"/>
          <w:lang w:val="en"/>
        </w:rPr>
        <w:t xml:space="preserve">will be </w:t>
      </w:r>
      <w:r w:rsidR="00553DDF">
        <w:rPr>
          <w:rFonts w:ascii="Times New Roman" w:hAnsi="Times New Roman"/>
          <w:sz w:val="24"/>
          <w:szCs w:val="27"/>
          <w:lang w:val="en"/>
        </w:rPr>
        <w:t xml:space="preserve">eligible for payment on </w:t>
      </w:r>
      <w:r w:rsidR="00BB7DE1">
        <w:rPr>
          <w:rFonts w:ascii="Times New Roman" w:hAnsi="Times New Roman"/>
          <w:sz w:val="24"/>
          <w:szCs w:val="27"/>
          <w:lang w:val="en"/>
        </w:rPr>
        <w:t xml:space="preserve">successful processing by Services Australia </w:t>
      </w:r>
      <w:r w:rsidR="00553DDF">
        <w:rPr>
          <w:rFonts w:ascii="Times New Roman" w:hAnsi="Times New Roman"/>
          <w:sz w:val="24"/>
          <w:szCs w:val="27"/>
          <w:lang w:val="en"/>
        </w:rPr>
        <w:t>of the second</w:t>
      </w:r>
      <w:r w:rsidR="00FC4209">
        <w:rPr>
          <w:rFonts w:ascii="Times New Roman" w:hAnsi="Times New Roman"/>
          <w:sz w:val="24"/>
          <w:szCs w:val="27"/>
          <w:lang w:val="en"/>
        </w:rPr>
        <w:t>-</w:t>
      </w:r>
      <w:r w:rsidR="00533716">
        <w:rPr>
          <w:rFonts w:ascii="Times New Roman" w:hAnsi="Times New Roman"/>
          <w:sz w:val="24"/>
          <w:szCs w:val="27"/>
          <w:lang w:val="en"/>
        </w:rPr>
        <w:t xml:space="preserve">dose </w:t>
      </w:r>
      <w:r w:rsidR="00AB18B9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assessment</w:t>
      </w:r>
      <w:r w:rsidR="00BE4317"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 xml:space="preserve"> service for a patient.</w:t>
      </w:r>
      <w:r w:rsidR="005B5CF9">
        <w:rPr>
          <w:rFonts w:ascii="Times New Roman" w:hAnsi="Times New Roman"/>
          <w:sz w:val="24"/>
          <w:szCs w:val="27"/>
          <w:lang w:val="en"/>
        </w:rPr>
        <w:t xml:space="preserve"> </w:t>
      </w:r>
    </w:p>
    <w:p w14:paraId="0B2601D0" w14:textId="4AE24AC2" w:rsidR="0057242E" w:rsidRPr="00553DDF" w:rsidRDefault="002B79E8" w:rsidP="00553DD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 w:rsidRPr="008752DF">
        <w:rPr>
          <w:rFonts w:ascii="Times New Roman" w:hAnsi="Times New Roman"/>
          <w:sz w:val="24"/>
          <w:szCs w:val="27"/>
          <w:lang w:val="en"/>
        </w:rPr>
        <w:t>G</w:t>
      </w:r>
      <w:r w:rsidR="003E2A0F">
        <w:rPr>
          <w:rFonts w:ascii="Times New Roman" w:hAnsi="Times New Roman"/>
          <w:sz w:val="24"/>
          <w:szCs w:val="27"/>
          <w:lang w:val="en"/>
        </w:rPr>
        <w:t xml:space="preserve">eneral </w:t>
      </w:r>
      <w:r w:rsidRPr="008752DF">
        <w:rPr>
          <w:rFonts w:ascii="Times New Roman" w:hAnsi="Times New Roman"/>
          <w:sz w:val="24"/>
          <w:szCs w:val="27"/>
          <w:lang w:val="en"/>
        </w:rPr>
        <w:t>P</w:t>
      </w:r>
      <w:r w:rsidR="003E2A0F">
        <w:rPr>
          <w:rFonts w:ascii="Times New Roman" w:hAnsi="Times New Roman"/>
          <w:sz w:val="24"/>
          <w:szCs w:val="27"/>
          <w:lang w:val="en"/>
        </w:rPr>
        <w:t>ractitioner</w:t>
      </w:r>
      <w:r w:rsidR="00BB7DE1" w:rsidRPr="008752DF">
        <w:rPr>
          <w:rFonts w:ascii="Times New Roman" w:hAnsi="Times New Roman"/>
          <w:sz w:val="24"/>
          <w:szCs w:val="27"/>
          <w:lang w:val="en"/>
        </w:rPr>
        <w:t>s</w:t>
      </w:r>
      <w:r w:rsidR="008369BB" w:rsidRPr="008752DF">
        <w:rPr>
          <w:rFonts w:ascii="Times New Roman" w:hAnsi="Times New Roman"/>
          <w:sz w:val="24"/>
          <w:szCs w:val="27"/>
          <w:lang w:val="en"/>
        </w:rPr>
        <w:t xml:space="preserve"> </w:t>
      </w:r>
      <w:r w:rsidR="00A82C83">
        <w:rPr>
          <w:rFonts w:ascii="Times New Roman" w:hAnsi="Times New Roman"/>
          <w:sz w:val="24"/>
          <w:szCs w:val="27"/>
          <w:lang w:val="en"/>
        </w:rPr>
        <w:t>claiming</w:t>
      </w:r>
      <w:r w:rsidR="00A82C83" w:rsidRPr="008752DF">
        <w:rPr>
          <w:rFonts w:ascii="Times New Roman" w:hAnsi="Times New Roman"/>
          <w:sz w:val="24"/>
          <w:szCs w:val="27"/>
          <w:lang w:val="en"/>
        </w:rPr>
        <w:t xml:space="preserve"> </w:t>
      </w:r>
      <w:r w:rsidR="002A777A" w:rsidRPr="008752DF">
        <w:rPr>
          <w:rFonts w:ascii="Times New Roman" w:hAnsi="Times New Roman"/>
          <w:sz w:val="24"/>
          <w:szCs w:val="27"/>
          <w:lang w:val="en"/>
        </w:rPr>
        <w:t xml:space="preserve">assessment </w:t>
      </w:r>
      <w:r w:rsidR="00BE4317" w:rsidRPr="008752DF">
        <w:rPr>
          <w:rFonts w:ascii="Times New Roman" w:hAnsi="Times New Roman"/>
          <w:sz w:val="24"/>
          <w:szCs w:val="27"/>
          <w:lang w:val="en"/>
        </w:rPr>
        <w:t>services</w:t>
      </w:r>
      <w:r w:rsidR="00DC1B62" w:rsidRPr="008752DF">
        <w:rPr>
          <w:rFonts w:ascii="Times New Roman" w:hAnsi="Times New Roman"/>
          <w:sz w:val="24"/>
          <w:szCs w:val="27"/>
          <w:lang w:val="en"/>
        </w:rPr>
        <w:t xml:space="preserve"> must </w:t>
      </w:r>
      <w:r w:rsidR="002F224C" w:rsidRPr="008752DF">
        <w:rPr>
          <w:rFonts w:ascii="Times New Roman" w:hAnsi="Times New Roman"/>
          <w:sz w:val="24"/>
          <w:szCs w:val="27"/>
          <w:lang w:val="en"/>
        </w:rPr>
        <w:t xml:space="preserve">be </w:t>
      </w:r>
      <w:r w:rsidR="00E813EB">
        <w:rPr>
          <w:rFonts w:ascii="Times New Roman" w:hAnsi="Times New Roman"/>
          <w:sz w:val="24"/>
          <w:szCs w:val="27"/>
          <w:lang w:val="en"/>
        </w:rPr>
        <w:t>linked to the</w:t>
      </w:r>
      <w:r w:rsidR="0057242E" w:rsidRPr="008752DF">
        <w:rPr>
          <w:rFonts w:ascii="Times New Roman" w:hAnsi="Times New Roman"/>
          <w:sz w:val="24"/>
          <w:szCs w:val="27"/>
          <w:lang w:val="en"/>
        </w:rPr>
        <w:t xml:space="preserve"> main or additional </w:t>
      </w:r>
      <w:r w:rsidR="00E813EB">
        <w:rPr>
          <w:rFonts w:ascii="Times New Roman" w:hAnsi="Times New Roman"/>
          <w:sz w:val="24"/>
          <w:szCs w:val="27"/>
          <w:lang w:val="en"/>
        </w:rPr>
        <w:t xml:space="preserve">PIP </w:t>
      </w:r>
      <w:r w:rsidR="0057242E" w:rsidRPr="008752DF">
        <w:rPr>
          <w:rFonts w:ascii="Times New Roman" w:hAnsi="Times New Roman"/>
          <w:sz w:val="24"/>
          <w:szCs w:val="27"/>
          <w:lang w:val="en"/>
        </w:rPr>
        <w:t>practice location</w:t>
      </w:r>
      <w:r w:rsidR="00DC1B62" w:rsidRPr="008752DF">
        <w:rPr>
          <w:rFonts w:ascii="Times New Roman" w:hAnsi="Times New Roman"/>
          <w:sz w:val="24"/>
          <w:szCs w:val="27"/>
          <w:lang w:val="en"/>
        </w:rPr>
        <w:t>.</w:t>
      </w:r>
    </w:p>
    <w:p w14:paraId="4C204E3F" w14:textId="77777777" w:rsidR="00DC1B62" w:rsidRDefault="00DC1B62" w:rsidP="00251C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>
        <w:rPr>
          <w:rFonts w:ascii="Times New Roman" w:hAnsi="Times New Roman"/>
          <w:sz w:val="24"/>
          <w:szCs w:val="27"/>
          <w:lang w:val="en"/>
        </w:rPr>
        <w:t xml:space="preserve">A Rural Loading does not apply for the COVID-19 Vaccine </w:t>
      </w:r>
      <w:r w:rsidR="0056464A">
        <w:rPr>
          <w:rFonts w:ascii="Times New Roman" w:hAnsi="Times New Roman"/>
          <w:sz w:val="24"/>
          <w:szCs w:val="27"/>
          <w:lang w:val="en"/>
        </w:rPr>
        <w:t>G</w:t>
      </w:r>
      <w:r w:rsidR="00BE4317">
        <w:rPr>
          <w:rFonts w:ascii="Times New Roman" w:hAnsi="Times New Roman"/>
          <w:sz w:val="24"/>
          <w:szCs w:val="27"/>
          <w:lang w:val="en"/>
        </w:rPr>
        <w:t xml:space="preserve">eneral </w:t>
      </w:r>
      <w:r w:rsidR="0056464A">
        <w:rPr>
          <w:rFonts w:ascii="Times New Roman" w:hAnsi="Times New Roman"/>
          <w:sz w:val="24"/>
          <w:szCs w:val="27"/>
          <w:lang w:val="en"/>
        </w:rPr>
        <w:t>P</w:t>
      </w:r>
      <w:r w:rsidR="00BE4317">
        <w:rPr>
          <w:rFonts w:ascii="Times New Roman" w:hAnsi="Times New Roman"/>
          <w:sz w:val="24"/>
          <w:szCs w:val="27"/>
          <w:lang w:val="en"/>
        </w:rPr>
        <w:t>ractice</w:t>
      </w:r>
      <w:r w:rsidR="0056464A">
        <w:rPr>
          <w:rFonts w:ascii="Times New Roman" w:hAnsi="Times New Roman"/>
          <w:sz w:val="24"/>
          <w:szCs w:val="27"/>
          <w:lang w:val="en"/>
        </w:rPr>
        <w:t xml:space="preserve"> </w:t>
      </w:r>
      <w:r>
        <w:rPr>
          <w:rFonts w:ascii="Times New Roman" w:hAnsi="Times New Roman"/>
          <w:sz w:val="24"/>
          <w:szCs w:val="27"/>
          <w:lang w:val="en"/>
        </w:rPr>
        <w:t xml:space="preserve">Incentive. </w:t>
      </w:r>
    </w:p>
    <w:p w14:paraId="0E669DE2" w14:textId="77777777" w:rsidR="002F224C" w:rsidRDefault="002F224C" w:rsidP="00251CC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>
        <w:rPr>
          <w:rFonts w:ascii="Times New Roman" w:hAnsi="Times New Roman"/>
          <w:sz w:val="24"/>
          <w:szCs w:val="27"/>
          <w:lang w:val="en"/>
        </w:rPr>
        <w:t>Payments cannot be made in relation to patients</w:t>
      </w:r>
      <w:r w:rsidRPr="002F224C">
        <w:rPr>
          <w:rFonts w:ascii="Times New Roman" w:hAnsi="Times New Roman"/>
          <w:sz w:val="24"/>
          <w:szCs w:val="27"/>
          <w:lang w:val="en"/>
        </w:rPr>
        <w:t xml:space="preserve"> </w:t>
      </w:r>
      <w:r w:rsidRPr="00D6410C">
        <w:rPr>
          <w:rFonts w:ascii="Times New Roman" w:hAnsi="Times New Roman"/>
          <w:sz w:val="24"/>
          <w:szCs w:val="27"/>
          <w:lang w:val="en"/>
        </w:rPr>
        <w:t xml:space="preserve">who </w:t>
      </w:r>
      <w:r>
        <w:rPr>
          <w:rFonts w:ascii="Times New Roman" w:hAnsi="Times New Roman"/>
          <w:sz w:val="24"/>
          <w:szCs w:val="27"/>
          <w:lang w:val="en"/>
        </w:rPr>
        <w:t xml:space="preserve">have received a first-dose and </w:t>
      </w:r>
      <w:r>
        <w:rPr>
          <w:rFonts w:ascii="Times New Roman" w:eastAsia="Times New Roman" w:hAnsi="Times New Roman"/>
          <w:color w:val="000000"/>
          <w:sz w:val="24"/>
          <w:szCs w:val="27"/>
          <w:lang w:val="en" w:eastAsia="en-AU"/>
        </w:rPr>
        <w:t>second-dose assessment service</w:t>
      </w:r>
      <w:r>
        <w:rPr>
          <w:rFonts w:ascii="Times New Roman" w:hAnsi="Times New Roman"/>
          <w:sz w:val="24"/>
          <w:szCs w:val="27"/>
          <w:lang w:val="en"/>
        </w:rPr>
        <w:t xml:space="preserve"> at a practice that was not registered to participate in the PIP. </w:t>
      </w:r>
    </w:p>
    <w:p w14:paraId="11C39629" w14:textId="23884127" w:rsidR="00F90DF7" w:rsidRPr="00F90DF7" w:rsidRDefault="00F90DF7" w:rsidP="00F90DF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7"/>
          <w:lang w:val="en"/>
        </w:rPr>
      </w:pPr>
      <w:r>
        <w:rPr>
          <w:rFonts w:ascii="Times New Roman" w:hAnsi="Times New Roman"/>
          <w:sz w:val="24"/>
          <w:szCs w:val="27"/>
          <w:lang w:val="en"/>
        </w:rPr>
        <w:t xml:space="preserve">The COVID-19 </w:t>
      </w:r>
      <w:r w:rsidRPr="00F90DF7">
        <w:rPr>
          <w:rFonts w:ascii="Times New Roman" w:hAnsi="Times New Roman"/>
          <w:sz w:val="24"/>
          <w:szCs w:val="27"/>
          <w:lang w:val="en"/>
        </w:rPr>
        <w:t xml:space="preserve">temporary MBS items are not counted for the purposes of the </w:t>
      </w:r>
      <w:proofErr w:type="spellStart"/>
      <w:r w:rsidRPr="00F90DF7">
        <w:rPr>
          <w:rFonts w:ascii="Times New Roman" w:hAnsi="Times New Roman"/>
          <w:sz w:val="24"/>
          <w:szCs w:val="27"/>
          <w:lang w:val="en"/>
        </w:rPr>
        <w:t>Standard</w:t>
      </w:r>
      <w:r w:rsidR="00900142">
        <w:rPr>
          <w:rFonts w:ascii="Times New Roman" w:hAnsi="Times New Roman"/>
          <w:sz w:val="24"/>
          <w:szCs w:val="27"/>
          <w:lang w:val="en"/>
        </w:rPr>
        <w:t>ised</w:t>
      </w:r>
      <w:proofErr w:type="spellEnd"/>
      <w:r w:rsidRPr="00F90DF7">
        <w:rPr>
          <w:rFonts w:ascii="Times New Roman" w:hAnsi="Times New Roman"/>
          <w:sz w:val="24"/>
          <w:szCs w:val="27"/>
          <w:lang w:val="en"/>
        </w:rPr>
        <w:t xml:space="preserve"> Whole Patient Equivalent (SWPE) calculations. </w:t>
      </w:r>
    </w:p>
    <w:p w14:paraId="17645912" w14:textId="77777777" w:rsidR="0088011D" w:rsidRPr="0088011D" w:rsidRDefault="0088011D" w:rsidP="0088011D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  <w:t>Applying</w:t>
      </w:r>
    </w:p>
    <w:p w14:paraId="7FB9C786" w14:textId="77777777" w:rsidR="0088011D" w:rsidRPr="006E37E7" w:rsidRDefault="0088011D" w:rsidP="0088011D">
      <w:pPr>
        <w:pStyle w:val="NormalWeb"/>
        <w:rPr>
          <w:lang w:val="en"/>
        </w:rPr>
      </w:pPr>
      <w:r w:rsidRPr="006E37E7">
        <w:rPr>
          <w:lang w:val="en"/>
        </w:rPr>
        <w:t>You do</w:t>
      </w:r>
      <w:r w:rsidR="00DC1B62" w:rsidRPr="006E37E7">
        <w:rPr>
          <w:lang w:val="en"/>
        </w:rPr>
        <w:t xml:space="preserve"> not</w:t>
      </w:r>
      <w:r w:rsidRPr="006E37E7">
        <w:rPr>
          <w:lang w:val="en"/>
        </w:rPr>
        <w:t xml:space="preserve"> have to apply for this </w:t>
      </w:r>
      <w:r w:rsidR="00367C28">
        <w:rPr>
          <w:lang w:val="en"/>
        </w:rPr>
        <w:t>incentive</w:t>
      </w:r>
      <w:r w:rsidRPr="006E37E7">
        <w:rPr>
          <w:lang w:val="en"/>
        </w:rPr>
        <w:t xml:space="preserve"> if your practice is already </w:t>
      </w:r>
      <w:r w:rsidR="000F033B" w:rsidRPr="006E37E7">
        <w:rPr>
          <w:lang w:val="en"/>
        </w:rPr>
        <w:t xml:space="preserve">participating </w:t>
      </w:r>
      <w:r w:rsidR="0056464A" w:rsidRPr="006E37E7">
        <w:rPr>
          <w:lang w:val="en"/>
        </w:rPr>
        <w:t xml:space="preserve">in </w:t>
      </w:r>
      <w:r w:rsidRPr="006E37E7">
        <w:rPr>
          <w:lang w:val="en"/>
        </w:rPr>
        <w:t>the PIP.</w:t>
      </w:r>
    </w:p>
    <w:p w14:paraId="15286488" w14:textId="77777777" w:rsidR="0088011D" w:rsidRPr="006E37E7" w:rsidRDefault="0088011D" w:rsidP="0088011D">
      <w:pPr>
        <w:pStyle w:val="NormalWeb"/>
        <w:rPr>
          <w:lang w:val="en"/>
        </w:rPr>
      </w:pPr>
      <w:r w:rsidRPr="006E37E7">
        <w:rPr>
          <w:lang w:val="en"/>
        </w:rPr>
        <w:t>If your practice is</w:t>
      </w:r>
      <w:r w:rsidR="00DC1B62" w:rsidRPr="006E37E7">
        <w:rPr>
          <w:lang w:val="en"/>
        </w:rPr>
        <w:t xml:space="preserve"> not</w:t>
      </w:r>
      <w:r w:rsidRPr="006E37E7">
        <w:rPr>
          <w:lang w:val="en"/>
        </w:rPr>
        <w:t xml:space="preserve"> </w:t>
      </w:r>
      <w:r w:rsidR="000F033B" w:rsidRPr="006E37E7">
        <w:rPr>
          <w:lang w:val="en"/>
        </w:rPr>
        <w:t>participating in</w:t>
      </w:r>
      <w:r w:rsidRPr="006E37E7">
        <w:rPr>
          <w:lang w:val="en"/>
        </w:rPr>
        <w:t xml:space="preserve"> the PIP, you can apply:</w:t>
      </w:r>
    </w:p>
    <w:p w14:paraId="49A56AD4" w14:textId="77777777" w:rsidR="0088011D" w:rsidRPr="006E37E7" w:rsidRDefault="00367C28" w:rsidP="00204BD0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online through </w:t>
      </w:r>
      <w:r w:rsidR="0088011D" w:rsidRPr="006E37E7">
        <w:rPr>
          <w:rFonts w:ascii="Times New Roman" w:hAnsi="Times New Roman"/>
          <w:sz w:val="24"/>
          <w:szCs w:val="24"/>
        </w:rPr>
        <w:t xml:space="preserve">Health Professional Online Services (HPOS) at </w:t>
      </w:r>
      <w:hyperlink r:id="rId8" w:history="1">
        <w:r w:rsidR="00BC7FBD">
          <w:rPr>
            <w:rStyle w:val="Hyperlink"/>
            <w:rFonts w:ascii="Times New Roman" w:hAnsi="Times New Roman"/>
            <w:sz w:val="24"/>
            <w:szCs w:val="24"/>
          </w:rPr>
          <w:t>servicesaustralia</w:t>
        </w:r>
        <w:r w:rsidR="0088011D" w:rsidRPr="006E37E7">
          <w:rPr>
            <w:rStyle w:val="Hyperlink"/>
            <w:rFonts w:ascii="Times New Roman" w:hAnsi="Times New Roman"/>
            <w:sz w:val="24"/>
            <w:szCs w:val="24"/>
          </w:rPr>
          <w:t>.gov.au/</w:t>
        </w:r>
        <w:proofErr w:type="spellStart"/>
        <w:r w:rsidR="0088011D" w:rsidRPr="006E37E7">
          <w:rPr>
            <w:rStyle w:val="Hyperlink"/>
            <w:rFonts w:ascii="Times New Roman" w:hAnsi="Times New Roman"/>
            <w:sz w:val="24"/>
            <w:szCs w:val="24"/>
          </w:rPr>
          <w:t>hpos</w:t>
        </w:r>
        <w:proofErr w:type="spellEnd"/>
      </w:hyperlink>
      <w:r w:rsidR="0088011D" w:rsidRPr="006E37E7">
        <w:rPr>
          <w:rFonts w:ascii="Times New Roman" w:hAnsi="Times New Roman"/>
          <w:sz w:val="24"/>
          <w:szCs w:val="24"/>
        </w:rPr>
        <w:t xml:space="preserve"> using your Provider Digital Access (PRODA) account.</w:t>
      </w:r>
    </w:p>
    <w:p w14:paraId="6A003469" w14:textId="77777777" w:rsidR="0088011D" w:rsidRPr="006E37E7" w:rsidRDefault="0088011D" w:rsidP="00204BD0">
      <w:pPr>
        <w:numPr>
          <w:ilvl w:val="1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 w:rsidRPr="006E37E7">
        <w:rPr>
          <w:rFonts w:ascii="Times New Roman" w:hAnsi="Times New Roman"/>
          <w:sz w:val="24"/>
          <w:szCs w:val="24"/>
        </w:rPr>
        <w:t xml:space="preserve">Read more about PRODA including how to create an account at </w:t>
      </w:r>
      <w:hyperlink r:id="rId9" w:history="1">
        <w:r w:rsidR="00BC7FBD">
          <w:rPr>
            <w:rStyle w:val="Hyperlink"/>
            <w:rFonts w:ascii="Times New Roman" w:hAnsi="Times New Roman"/>
            <w:sz w:val="24"/>
            <w:szCs w:val="24"/>
          </w:rPr>
          <w:t>servicesaustralia</w:t>
        </w:r>
        <w:r w:rsidRPr="006E37E7">
          <w:rPr>
            <w:rStyle w:val="Hyperlink"/>
            <w:rFonts w:ascii="Times New Roman" w:hAnsi="Times New Roman"/>
            <w:sz w:val="24"/>
            <w:szCs w:val="24"/>
          </w:rPr>
          <w:t>.gov.au/</w:t>
        </w:r>
        <w:proofErr w:type="spellStart"/>
        <w:r w:rsidRPr="006E37E7">
          <w:rPr>
            <w:rStyle w:val="Hyperlink"/>
            <w:rFonts w:ascii="Times New Roman" w:hAnsi="Times New Roman"/>
            <w:sz w:val="24"/>
            <w:szCs w:val="24"/>
          </w:rPr>
          <w:t>proda</w:t>
        </w:r>
        <w:proofErr w:type="spellEnd"/>
      </w:hyperlink>
    </w:p>
    <w:p w14:paraId="24E7817A" w14:textId="77777777" w:rsidR="00E813EB" w:rsidRDefault="00EE0DD0" w:rsidP="00204BD0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By</w:t>
      </w:r>
      <w:r w:rsidR="00367C28">
        <w:rPr>
          <w:rFonts w:ascii="Times New Roman" w:hAnsi="Times New Roman"/>
          <w:sz w:val="24"/>
          <w:szCs w:val="24"/>
          <w:lang w:val="en"/>
        </w:rPr>
        <w:t xml:space="preserve"> faxing a completed </w:t>
      </w:r>
      <w:r w:rsidR="00367C28" w:rsidRPr="00900142">
        <w:rPr>
          <w:rFonts w:ascii="Times New Roman" w:hAnsi="Times New Roman"/>
          <w:sz w:val="24"/>
          <w:szCs w:val="24"/>
          <w:lang w:val="en"/>
        </w:rPr>
        <w:t>Practice Incentives application form</w:t>
      </w:r>
      <w:r w:rsidR="00367C28" w:rsidRPr="006E37E7">
        <w:rPr>
          <w:rFonts w:ascii="Times New Roman" w:hAnsi="Times New Roman" w:hint="eastAsia"/>
          <w:sz w:val="24"/>
          <w:szCs w:val="24"/>
          <w:lang w:val="en"/>
        </w:rPr>
        <w:t> </w:t>
      </w:r>
      <w:r w:rsidR="00367C28">
        <w:rPr>
          <w:rFonts w:ascii="Times New Roman" w:hAnsi="Times New Roman"/>
          <w:sz w:val="24"/>
          <w:szCs w:val="24"/>
          <w:lang w:val="en"/>
        </w:rPr>
        <w:t xml:space="preserve">(IP001) to </w:t>
      </w:r>
      <w:r w:rsidR="00367C28" w:rsidRPr="00F27D28">
        <w:rPr>
          <w:rFonts w:ascii="Times New Roman" w:hAnsi="Times New Roman"/>
          <w:b/>
          <w:sz w:val="24"/>
          <w:lang w:val="en"/>
        </w:rPr>
        <w:t>1300 587 696</w:t>
      </w:r>
      <w:r w:rsidR="00367C28" w:rsidRPr="006E37E7">
        <w:rPr>
          <w:rFonts w:ascii="Times New Roman" w:hAnsi="Times New Roman"/>
          <w:sz w:val="24"/>
          <w:szCs w:val="24"/>
          <w:lang w:val="en"/>
        </w:rPr>
        <w:t>.</w:t>
      </w:r>
      <w:r w:rsidR="00367C28">
        <w:rPr>
          <w:rFonts w:ascii="Times New Roman" w:hAnsi="Times New Roman"/>
          <w:sz w:val="24"/>
          <w:szCs w:val="24"/>
          <w:lang w:val="en"/>
        </w:rPr>
        <w:t xml:space="preserve"> </w:t>
      </w:r>
    </w:p>
    <w:p w14:paraId="605EFD49" w14:textId="2B685146" w:rsidR="00367C28" w:rsidRPr="003B1092" w:rsidRDefault="00367C28" w:rsidP="00900142">
      <w:pPr>
        <w:numPr>
          <w:ilvl w:val="1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Go to </w:t>
      </w:r>
      <w:hyperlink r:id="rId10" w:history="1">
        <w:r w:rsidRPr="00900142">
          <w:rPr>
            <w:rStyle w:val="Hyperlink"/>
            <w:rFonts w:ascii="Times New Roman" w:hAnsi="Times New Roman"/>
            <w:sz w:val="24"/>
            <w:szCs w:val="24"/>
            <w:lang w:val="en"/>
          </w:rPr>
          <w:t>servicesaustralia.gov.au/</w:t>
        </w:r>
        <w:proofErr w:type="spellStart"/>
        <w:r w:rsidRPr="00900142">
          <w:rPr>
            <w:rStyle w:val="Hyperlink"/>
            <w:rFonts w:ascii="Times New Roman" w:hAnsi="Times New Roman"/>
            <w:sz w:val="24"/>
            <w:szCs w:val="24"/>
            <w:lang w:val="en"/>
          </w:rPr>
          <w:t>hpforms</w:t>
        </w:r>
        <w:proofErr w:type="spellEnd"/>
      </w:hyperlink>
      <w:r w:rsidRPr="003B1092">
        <w:rPr>
          <w:rFonts w:ascii="Times New Roman" w:hAnsi="Times New Roman"/>
          <w:sz w:val="24"/>
          <w:szCs w:val="24"/>
          <w:lang w:val="en"/>
        </w:rPr>
        <w:t xml:space="preserve"> to download the form.</w:t>
      </w:r>
    </w:p>
    <w:p w14:paraId="56249AB6" w14:textId="77777777" w:rsidR="00C93727" w:rsidRDefault="00C93727" w:rsidP="00E70758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</w:pPr>
    </w:p>
    <w:p w14:paraId="3727BCCD" w14:textId="182ECABE" w:rsidR="00E70758" w:rsidRPr="0088011D" w:rsidRDefault="00E70758" w:rsidP="00E70758">
      <w:pPr>
        <w:spacing w:before="96" w:after="96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36"/>
          <w:szCs w:val="60"/>
          <w:lang w:val="en" w:eastAsia="en-AU"/>
        </w:rPr>
        <w:lastRenderedPageBreak/>
        <w:t>Obligations</w:t>
      </w:r>
    </w:p>
    <w:p w14:paraId="0A82D1CD" w14:textId="77777777" w:rsidR="00D905BB" w:rsidRDefault="00E70FC2" w:rsidP="00D905BB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>Your practice</w:t>
      </w:r>
      <w:r w:rsidR="00E70758">
        <w:rPr>
          <w:rFonts w:ascii="Roboto" w:hAnsi="Roboto" w:cs="Segoe UI"/>
          <w:lang w:val="en"/>
        </w:rPr>
        <w:t xml:space="preserve"> </w:t>
      </w:r>
      <w:r w:rsidR="003226AB">
        <w:rPr>
          <w:rFonts w:ascii="Roboto" w:hAnsi="Roboto" w:cs="Segoe UI"/>
          <w:lang w:val="en"/>
        </w:rPr>
        <w:t>must</w:t>
      </w:r>
      <w:r w:rsidR="00E70758">
        <w:rPr>
          <w:rFonts w:ascii="Roboto" w:hAnsi="Roboto" w:cs="Segoe UI"/>
          <w:lang w:val="en"/>
        </w:rPr>
        <w:t>:</w:t>
      </w:r>
    </w:p>
    <w:p w14:paraId="57B76A55" w14:textId="77777777" w:rsidR="00E70758" w:rsidRPr="006E37E7" w:rsidRDefault="00E70758" w:rsidP="00204BD0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 w:rsidRPr="006E37E7">
        <w:rPr>
          <w:rFonts w:ascii="Times New Roman" w:hAnsi="Times New Roman"/>
          <w:sz w:val="24"/>
          <w:szCs w:val="24"/>
          <w:lang w:val="en"/>
        </w:rPr>
        <w:t xml:space="preserve">keep documentary evidence of the </w:t>
      </w:r>
      <w:r w:rsidR="007545AA">
        <w:rPr>
          <w:rFonts w:ascii="Times New Roman" w:hAnsi="Times New Roman"/>
          <w:sz w:val="24"/>
          <w:szCs w:val="24"/>
          <w:lang w:val="en"/>
        </w:rPr>
        <w:t xml:space="preserve">assessment services and </w:t>
      </w:r>
      <w:r w:rsidR="002675E3" w:rsidRPr="006E37E7">
        <w:rPr>
          <w:rFonts w:ascii="Times New Roman" w:hAnsi="Times New Roman"/>
          <w:sz w:val="24"/>
          <w:szCs w:val="24"/>
          <w:lang w:val="en"/>
        </w:rPr>
        <w:t>vaccine course</w:t>
      </w:r>
      <w:r w:rsidRPr="006E37E7">
        <w:rPr>
          <w:rFonts w:ascii="Times New Roman" w:hAnsi="Times New Roman"/>
          <w:sz w:val="24"/>
          <w:szCs w:val="24"/>
          <w:lang w:val="en"/>
        </w:rPr>
        <w:t xml:space="preserve"> provided to </w:t>
      </w:r>
      <w:r w:rsidR="002675E3" w:rsidRPr="006E37E7">
        <w:rPr>
          <w:rFonts w:ascii="Times New Roman" w:hAnsi="Times New Roman"/>
          <w:sz w:val="24"/>
          <w:szCs w:val="24"/>
          <w:lang w:val="en"/>
        </w:rPr>
        <w:t>patients</w:t>
      </w:r>
      <w:r w:rsidR="007001C1">
        <w:rPr>
          <w:rFonts w:ascii="Times New Roman" w:hAnsi="Times New Roman"/>
          <w:sz w:val="24"/>
          <w:szCs w:val="24"/>
          <w:lang w:val="en"/>
        </w:rPr>
        <w:t>;</w:t>
      </w:r>
    </w:p>
    <w:p w14:paraId="327715F2" w14:textId="77777777" w:rsidR="00E70758" w:rsidRPr="006E37E7" w:rsidRDefault="00E70758" w:rsidP="00204BD0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 w:rsidRPr="006E37E7">
        <w:rPr>
          <w:rFonts w:ascii="Times New Roman" w:hAnsi="Times New Roman"/>
          <w:sz w:val="24"/>
          <w:szCs w:val="24"/>
          <w:lang w:val="en"/>
        </w:rPr>
        <w:t xml:space="preserve">give information to </w:t>
      </w:r>
      <w:r w:rsidR="009E2503">
        <w:rPr>
          <w:rFonts w:ascii="Times New Roman" w:hAnsi="Times New Roman"/>
          <w:sz w:val="24"/>
          <w:szCs w:val="24"/>
          <w:lang w:val="en"/>
        </w:rPr>
        <w:t xml:space="preserve">the Department of </w:t>
      </w:r>
      <w:r w:rsidR="00F15471">
        <w:rPr>
          <w:rFonts w:ascii="Times New Roman" w:hAnsi="Times New Roman"/>
          <w:sz w:val="24"/>
          <w:szCs w:val="24"/>
          <w:lang w:val="en"/>
        </w:rPr>
        <w:t>Health</w:t>
      </w:r>
      <w:r w:rsidRPr="006E37E7">
        <w:rPr>
          <w:rFonts w:ascii="Times New Roman" w:hAnsi="Times New Roman"/>
          <w:sz w:val="24"/>
          <w:szCs w:val="24"/>
          <w:lang w:val="en"/>
        </w:rPr>
        <w:t xml:space="preserve"> </w:t>
      </w:r>
      <w:r w:rsidR="009E2503">
        <w:rPr>
          <w:rFonts w:ascii="Times New Roman" w:hAnsi="Times New Roman"/>
          <w:sz w:val="24"/>
          <w:szCs w:val="24"/>
          <w:lang w:val="en"/>
        </w:rPr>
        <w:t xml:space="preserve">and Services Australia </w:t>
      </w:r>
      <w:r w:rsidRPr="006E37E7">
        <w:rPr>
          <w:rFonts w:ascii="Times New Roman" w:hAnsi="Times New Roman"/>
          <w:sz w:val="24"/>
          <w:szCs w:val="24"/>
          <w:lang w:val="en"/>
        </w:rPr>
        <w:t>for the ongoing audit process to verify that the practice has met eligibility requirements</w:t>
      </w:r>
      <w:r w:rsidR="007545AA">
        <w:rPr>
          <w:rFonts w:ascii="Times New Roman" w:hAnsi="Times New Roman"/>
          <w:sz w:val="24"/>
          <w:szCs w:val="24"/>
          <w:lang w:val="en"/>
        </w:rPr>
        <w:t>;</w:t>
      </w:r>
    </w:p>
    <w:p w14:paraId="1D91C14E" w14:textId="77777777" w:rsidR="00E70758" w:rsidRPr="006E37E7" w:rsidRDefault="00E70758" w:rsidP="00204BD0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 w:rsidRPr="006E37E7">
        <w:rPr>
          <w:rFonts w:ascii="Times New Roman" w:hAnsi="Times New Roman"/>
          <w:sz w:val="24"/>
          <w:szCs w:val="24"/>
          <w:lang w:val="en"/>
        </w:rPr>
        <w:t xml:space="preserve">make sure </w:t>
      </w:r>
      <w:r w:rsidR="00D13594" w:rsidRPr="006E37E7">
        <w:rPr>
          <w:rFonts w:ascii="Times New Roman" w:hAnsi="Times New Roman"/>
          <w:sz w:val="24"/>
          <w:szCs w:val="24"/>
          <w:lang w:val="en"/>
        </w:rPr>
        <w:t xml:space="preserve">any </w:t>
      </w:r>
      <w:r w:rsidRPr="006E37E7">
        <w:rPr>
          <w:rFonts w:ascii="Times New Roman" w:hAnsi="Times New Roman"/>
          <w:sz w:val="24"/>
          <w:szCs w:val="24"/>
          <w:lang w:val="en"/>
        </w:rPr>
        <w:t>information given to</w:t>
      </w:r>
      <w:r w:rsidR="009E2503">
        <w:rPr>
          <w:rFonts w:ascii="Times New Roman" w:hAnsi="Times New Roman"/>
          <w:sz w:val="24"/>
          <w:szCs w:val="24"/>
          <w:lang w:val="en"/>
        </w:rPr>
        <w:t xml:space="preserve"> the Department of Health and Services Australia</w:t>
      </w:r>
      <w:r w:rsidRPr="006E37E7">
        <w:rPr>
          <w:rFonts w:ascii="Times New Roman" w:hAnsi="Times New Roman"/>
          <w:sz w:val="24"/>
          <w:szCs w:val="24"/>
          <w:lang w:val="en"/>
        </w:rPr>
        <w:t xml:space="preserve"> is correct</w:t>
      </w:r>
      <w:r w:rsidR="00346050">
        <w:rPr>
          <w:rFonts w:ascii="Times New Roman" w:hAnsi="Times New Roman"/>
          <w:sz w:val="24"/>
          <w:szCs w:val="24"/>
          <w:lang w:val="en"/>
        </w:rPr>
        <w:t>;</w:t>
      </w:r>
    </w:p>
    <w:p w14:paraId="7BB17F62" w14:textId="77777777" w:rsidR="00E70758" w:rsidRPr="006E37E7" w:rsidRDefault="00FD6024" w:rsidP="00204BD0">
      <w:pPr>
        <w:numPr>
          <w:ilvl w:val="0"/>
          <w:numId w:val="2"/>
        </w:numPr>
        <w:spacing w:line="256" w:lineRule="auto"/>
        <w:rPr>
          <w:rFonts w:ascii="Times New Roman" w:hAnsi="Times New Roman"/>
          <w:sz w:val="24"/>
          <w:szCs w:val="24"/>
          <w:lang w:val="en"/>
        </w:rPr>
      </w:pPr>
      <w:r w:rsidRPr="00FD6024">
        <w:rPr>
          <w:rFonts w:ascii="Times New Roman" w:hAnsi="Times New Roman"/>
          <w:sz w:val="24"/>
          <w:szCs w:val="24"/>
          <w:lang w:val="en"/>
        </w:rPr>
        <w:t>tell us about changes to practice arrangements within 7 days of the change, or at least 7 day</w:t>
      </w:r>
      <w:r>
        <w:rPr>
          <w:rFonts w:ascii="Times New Roman" w:hAnsi="Times New Roman"/>
          <w:sz w:val="24"/>
          <w:szCs w:val="24"/>
          <w:lang w:val="en"/>
        </w:rPr>
        <w:t>s before the point</w:t>
      </w:r>
      <w:r w:rsidR="002A7689">
        <w:rPr>
          <w:rFonts w:ascii="Times New Roman" w:hAnsi="Times New Roman"/>
          <w:sz w:val="24"/>
          <w:szCs w:val="24"/>
          <w:lang w:val="en"/>
        </w:rPr>
        <w:t>-</w:t>
      </w:r>
      <w:r>
        <w:rPr>
          <w:rFonts w:ascii="Times New Roman" w:hAnsi="Times New Roman"/>
          <w:sz w:val="24"/>
          <w:szCs w:val="24"/>
          <w:lang w:val="en"/>
        </w:rPr>
        <w:t>in</w:t>
      </w:r>
      <w:r w:rsidR="002A7689">
        <w:rPr>
          <w:rFonts w:ascii="Times New Roman" w:hAnsi="Times New Roman"/>
          <w:sz w:val="24"/>
          <w:szCs w:val="24"/>
          <w:lang w:val="en"/>
        </w:rPr>
        <w:t>-</w:t>
      </w:r>
      <w:r>
        <w:rPr>
          <w:rFonts w:ascii="Times New Roman" w:hAnsi="Times New Roman"/>
          <w:sz w:val="24"/>
          <w:szCs w:val="24"/>
          <w:lang w:val="en"/>
        </w:rPr>
        <w:t>time date</w:t>
      </w:r>
      <w:r w:rsidR="00EE0DD0">
        <w:rPr>
          <w:rFonts w:ascii="Times New Roman" w:hAnsi="Times New Roman"/>
          <w:sz w:val="24"/>
          <w:szCs w:val="24"/>
          <w:lang w:val="en"/>
        </w:rPr>
        <w:t>.</w:t>
      </w:r>
    </w:p>
    <w:p w14:paraId="6370DFB1" w14:textId="77777777" w:rsidR="00E70758" w:rsidRDefault="00E70758" w:rsidP="00E70758">
      <w:pPr>
        <w:pStyle w:val="Heading2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>Rights of review</w:t>
      </w:r>
    </w:p>
    <w:p w14:paraId="4165C1A2" w14:textId="77777777" w:rsidR="00E25948" w:rsidRDefault="00E25948" w:rsidP="00E25948">
      <w:pPr>
        <w:pStyle w:val="NormalWeb"/>
        <w:rPr>
          <w:rFonts w:ascii="Roboto" w:hAnsi="Roboto" w:cs="Segoe UI"/>
          <w:b/>
          <w:lang w:val="en"/>
        </w:rPr>
      </w:pPr>
      <w:r>
        <w:rPr>
          <w:rFonts w:ascii="Roboto" w:hAnsi="Roboto" w:cs="Segoe UI"/>
          <w:b/>
          <w:lang w:val="en"/>
        </w:rPr>
        <w:t>Explanation of a decision</w:t>
      </w:r>
    </w:p>
    <w:p w14:paraId="77C2487A" w14:textId="77777777" w:rsidR="00E25948" w:rsidRDefault="00E25948" w:rsidP="00E25948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 xml:space="preserve">You may want an explanation if you don’t understand a decision or payment you’ve received. You can ask for an explanation of a decision or payment at any time by calling Services Australia on </w:t>
      </w:r>
      <w:r>
        <w:rPr>
          <w:rFonts w:ascii="Roboto" w:hAnsi="Roboto" w:cs="Segoe UI"/>
          <w:b/>
          <w:lang w:val="en"/>
        </w:rPr>
        <w:t>1800 222 032</w:t>
      </w:r>
      <w:r>
        <w:rPr>
          <w:rFonts w:ascii="Roboto" w:hAnsi="Roboto" w:cs="Segoe UI"/>
          <w:lang w:val="en"/>
        </w:rPr>
        <w:t xml:space="preserve"> (call charges may apply).</w:t>
      </w:r>
    </w:p>
    <w:p w14:paraId="73636E59" w14:textId="77777777" w:rsidR="00E25948" w:rsidRDefault="00E25948" w:rsidP="00E25948">
      <w:pPr>
        <w:pStyle w:val="NormalWeb"/>
        <w:rPr>
          <w:rFonts w:ascii="Roboto" w:hAnsi="Roboto" w:cs="Segoe UI"/>
          <w:b/>
          <w:lang w:val="en"/>
        </w:rPr>
      </w:pPr>
      <w:r>
        <w:rPr>
          <w:rFonts w:ascii="Roboto" w:hAnsi="Roboto" w:cs="Segoe UI"/>
          <w:b/>
          <w:lang w:val="en"/>
        </w:rPr>
        <w:t>Review of decision</w:t>
      </w:r>
    </w:p>
    <w:p w14:paraId="7C426456" w14:textId="54DF3152" w:rsidR="00E70758" w:rsidRDefault="00E70758" w:rsidP="00E70758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>The PIP has a review of decision process for program decisions.</w:t>
      </w:r>
    </w:p>
    <w:p w14:paraId="1A102BAF" w14:textId="77777777" w:rsidR="00FB5D27" w:rsidRDefault="00E70758" w:rsidP="00F877A1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 xml:space="preserve">To ask for a review of a decision, the </w:t>
      </w:r>
      <w:proofErr w:type="spellStart"/>
      <w:r>
        <w:rPr>
          <w:rFonts w:ascii="Roboto" w:hAnsi="Roboto" w:cs="Segoe UI"/>
          <w:lang w:val="en"/>
        </w:rPr>
        <w:t>authorised</w:t>
      </w:r>
      <w:proofErr w:type="spellEnd"/>
      <w:r>
        <w:rPr>
          <w:rFonts w:ascii="Roboto" w:hAnsi="Roboto" w:cs="Segoe UI"/>
          <w:lang w:val="en"/>
        </w:rPr>
        <w:t xml:space="preserve"> contact person or owners of the practice must complete the </w:t>
      </w:r>
      <w:hyperlink r:id="rId11" w:history="1">
        <w:r>
          <w:rPr>
            <w:rStyle w:val="Hyperlink"/>
            <w:rFonts w:ascii="Roboto" w:hAnsi="Roboto" w:cs="Segoe UI"/>
            <w:lang w:val="en"/>
          </w:rPr>
          <w:t>Practice Incentives Review of decision form</w:t>
        </w:r>
      </w:hyperlink>
      <w:r w:rsidRPr="001B7089">
        <w:rPr>
          <w:rStyle w:val="Hyperlink"/>
        </w:rPr>
        <w:t xml:space="preserve"> (IP027).</w:t>
      </w:r>
      <w:r>
        <w:rPr>
          <w:rFonts w:ascii="Roboto" w:hAnsi="Roboto" w:cs="Segoe UI"/>
          <w:lang w:val="en"/>
        </w:rPr>
        <w:t xml:space="preserve"> </w:t>
      </w:r>
      <w:r w:rsidR="00D905BB">
        <w:rPr>
          <w:rFonts w:ascii="Roboto" w:hAnsi="Roboto" w:cs="Segoe UI"/>
          <w:lang w:val="en"/>
        </w:rPr>
        <w:t xml:space="preserve">The completed form must be submitted to </w:t>
      </w:r>
      <w:r w:rsidR="009F7F3C">
        <w:rPr>
          <w:rFonts w:ascii="Roboto" w:hAnsi="Roboto" w:cs="Segoe UI"/>
          <w:lang w:val="en"/>
        </w:rPr>
        <w:t xml:space="preserve">us </w:t>
      </w:r>
      <w:r w:rsidR="00D905BB">
        <w:rPr>
          <w:rFonts w:ascii="Roboto" w:hAnsi="Roboto" w:cs="Segoe UI"/>
          <w:lang w:val="en"/>
        </w:rPr>
        <w:t>within 28 days of the decision.</w:t>
      </w:r>
      <w:r w:rsidR="00D14F4A">
        <w:rPr>
          <w:rFonts w:ascii="Roboto" w:hAnsi="Roboto" w:cs="Segoe UI"/>
          <w:lang w:val="en"/>
        </w:rPr>
        <w:t xml:space="preserve"> </w:t>
      </w:r>
    </w:p>
    <w:p w14:paraId="79689689" w14:textId="77777777" w:rsidR="00F877A1" w:rsidRPr="00D14F4A" w:rsidRDefault="00F877A1" w:rsidP="00F877A1">
      <w:pPr>
        <w:pStyle w:val="NormalWeb"/>
        <w:rPr>
          <w:rFonts w:ascii="Roboto" w:hAnsi="Roboto" w:cs="Segoe UI"/>
          <w:highlight w:val="yellow"/>
          <w:lang w:val="en"/>
        </w:rPr>
      </w:pPr>
      <w:r w:rsidRPr="00D14F4A">
        <w:rPr>
          <w:rFonts w:ascii="Roboto" w:hAnsi="Roboto" w:cs="Segoe UI"/>
          <w:lang w:val="en"/>
        </w:rPr>
        <w:t>The Australian Government will review the decision</w:t>
      </w:r>
      <w:r w:rsidR="00486836" w:rsidRPr="00486836">
        <w:rPr>
          <w:rFonts w:ascii="Roboto" w:hAnsi="Roboto" w:cs="Segoe UI"/>
          <w:lang w:val="en"/>
        </w:rPr>
        <w:t xml:space="preserve"> </w:t>
      </w:r>
      <w:r w:rsidR="00486836">
        <w:rPr>
          <w:rFonts w:ascii="Roboto" w:hAnsi="Roboto" w:cs="Segoe UI"/>
          <w:lang w:val="en"/>
        </w:rPr>
        <w:t>a</w:t>
      </w:r>
      <w:r w:rsidR="00486836" w:rsidRPr="00486836">
        <w:rPr>
          <w:rFonts w:ascii="Roboto" w:hAnsi="Roboto" w:cs="Segoe UI"/>
          <w:lang w:val="en"/>
        </w:rPr>
        <w:t>nd let you know the outcome in writing.</w:t>
      </w:r>
      <w:r w:rsidRPr="002F224C">
        <w:rPr>
          <w:rFonts w:ascii="Roboto" w:hAnsi="Roboto" w:cs="Segoe UI"/>
          <w:highlight w:val="yellow"/>
          <w:lang w:val="en"/>
        </w:rPr>
        <w:t xml:space="preserve"> </w:t>
      </w:r>
    </w:p>
    <w:p w14:paraId="3C640E4A" w14:textId="77777777" w:rsidR="00E70758" w:rsidRDefault="00A04DEC" w:rsidP="00E70758">
      <w:pPr>
        <w:pStyle w:val="Heading2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>A</w:t>
      </w:r>
      <w:r w:rsidR="00E70758">
        <w:rPr>
          <w:rFonts w:ascii="Roboto" w:hAnsi="Roboto" w:cs="Segoe UI"/>
          <w:lang w:val="en"/>
        </w:rPr>
        <w:t>udits</w:t>
      </w:r>
    </w:p>
    <w:p w14:paraId="658504EC" w14:textId="77777777" w:rsidR="00E70758" w:rsidRDefault="00862C18" w:rsidP="00E70758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 xml:space="preserve">The Department of </w:t>
      </w:r>
      <w:r w:rsidR="00E70758">
        <w:rPr>
          <w:rFonts w:ascii="Roboto" w:hAnsi="Roboto" w:cs="Segoe UI"/>
          <w:lang w:val="en"/>
        </w:rPr>
        <w:t xml:space="preserve">Health conducts audits of PIP practices each year to ensure practices are meeting the </w:t>
      </w:r>
      <w:r>
        <w:rPr>
          <w:rFonts w:ascii="Roboto" w:hAnsi="Roboto" w:cs="Segoe UI"/>
          <w:lang w:val="en"/>
        </w:rPr>
        <w:t>requirements outlined in these G</w:t>
      </w:r>
      <w:r w:rsidR="00E70758">
        <w:rPr>
          <w:rFonts w:ascii="Roboto" w:hAnsi="Roboto" w:cs="Segoe UI"/>
          <w:lang w:val="en"/>
        </w:rPr>
        <w:t>uidelines. This may include a review of practice documentation. If requested, practices must provide evidence to support their eligibility for payments.</w:t>
      </w:r>
    </w:p>
    <w:p w14:paraId="3B1ABBFC" w14:textId="77777777" w:rsidR="00E70758" w:rsidRDefault="00E70758" w:rsidP="00E70758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 xml:space="preserve">For the purpose of </w:t>
      </w:r>
      <w:r w:rsidR="00862C18">
        <w:rPr>
          <w:rFonts w:ascii="Roboto" w:hAnsi="Roboto" w:cs="Segoe UI"/>
          <w:lang w:val="en"/>
        </w:rPr>
        <w:t>the</w:t>
      </w:r>
      <w:r>
        <w:rPr>
          <w:rFonts w:ascii="Roboto" w:hAnsi="Roboto" w:cs="Segoe UI"/>
          <w:lang w:val="en"/>
        </w:rPr>
        <w:t xml:space="preserve"> audits, practices must retain practice documentation for 6 years. Payments may be recovered if a practice is unable to provide evidence to verify that it meets the eligibility requirements or substantiate claims.</w:t>
      </w:r>
    </w:p>
    <w:p w14:paraId="0BAA7BC1" w14:textId="77777777" w:rsidR="00E70758" w:rsidRDefault="00E70758" w:rsidP="00E70758">
      <w:pPr>
        <w:pStyle w:val="Heading2"/>
        <w:rPr>
          <w:rFonts w:ascii="Roboto" w:hAnsi="Roboto" w:cs="Segoe UI"/>
          <w:lang w:val="en"/>
        </w:rPr>
      </w:pPr>
      <w:r w:rsidRPr="001B7089">
        <w:rPr>
          <w:rFonts w:ascii="Roboto" w:hAnsi="Roboto" w:cs="Segoe UI"/>
          <w:lang w:val="en"/>
        </w:rPr>
        <w:t>For more information</w:t>
      </w:r>
    </w:p>
    <w:p w14:paraId="265A6059" w14:textId="77777777" w:rsidR="00E70758" w:rsidRPr="006E37E7" w:rsidRDefault="00E70758" w:rsidP="00E70758">
      <w:pPr>
        <w:rPr>
          <w:rFonts w:ascii="Times New Roman" w:hAnsi="Times New Roman"/>
          <w:sz w:val="24"/>
          <w:szCs w:val="24"/>
        </w:rPr>
      </w:pPr>
      <w:r w:rsidRPr="006E37E7">
        <w:rPr>
          <w:rFonts w:ascii="Times New Roman" w:hAnsi="Times New Roman"/>
          <w:b/>
          <w:sz w:val="24"/>
          <w:szCs w:val="24"/>
        </w:rPr>
        <w:t>Online</w:t>
      </w:r>
      <w:r w:rsidRPr="006E37E7">
        <w:rPr>
          <w:rFonts w:ascii="Times New Roman" w:hAnsi="Times New Roman"/>
          <w:sz w:val="24"/>
          <w:szCs w:val="24"/>
        </w:rPr>
        <w:t>:</w:t>
      </w:r>
      <w:r w:rsidR="007001C1">
        <w:rPr>
          <w:rFonts w:ascii="Times New Roman" w:hAnsi="Times New Roman"/>
          <w:sz w:val="24"/>
          <w:szCs w:val="24"/>
        </w:rPr>
        <w:t xml:space="preserve"> </w:t>
      </w:r>
      <w:r w:rsidRPr="006E37E7">
        <w:rPr>
          <w:rFonts w:ascii="Times New Roman" w:hAnsi="Times New Roman"/>
          <w:sz w:val="24"/>
          <w:szCs w:val="24"/>
        </w:rPr>
        <w:t>services</w:t>
      </w:r>
      <w:r w:rsidR="000F033B" w:rsidRPr="006E37E7">
        <w:rPr>
          <w:rFonts w:ascii="Times New Roman" w:hAnsi="Times New Roman"/>
          <w:sz w:val="24"/>
          <w:szCs w:val="24"/>
        </w:rPr>
        <w:t>australia</w:t>
      </w:r>
      <w:r w:rsidRPr="006E37E7">
        <w:rPr>
          <w:rFonts w:ascii="Times New Roman" w:hAnsi="Times New Roman"/>
          <w:sz w:val="24"/>
          <w:szCs w:val="24"/>
        </w:rPr>
        <w:t>.gov.au/pip</w:t>
      </w:r>
    </w:p>
    <w:p w14:paraId="742F09E0" w14:textId="77777777" w:rsidR="00E70758" w:rsidRPr="006E37E7" w:rsidRDefault="00E70758" w:rsidP="00E70758">
      <w:pPr>
        <w:rPr>
          <w:rFonts w:ascii="Times New Roman" w:hAnsi="Times New Roman"/>
          <w:sz w:val="24"/>
          <w:szCs w:val="24"/>
        </w:rPr>
      </w:pPr>
      <w:r w:rsidRPr="006E37E7">
        <w:rPr>
          <w:rFonts w:ascii="Times New Roman" w:hAnsi="Times New Roman"/>
          <w:b/>
          <w:sz w:val="24"/>
          <w:szCs w:val="24"/>
        </w:rPr>
        <w:t>Email</w:t>
      </w:r>
      <w:r w:rsidRPr="006E37E7">
        <w:rPr>
          <w:rFonts w:ascii="Times New Roman" w:hAnsi="Times New Roman"/>
          <w:sz w:val="24"/>
          <w:szCs w:val="24"/>
        </w:rPr>
        <w:t>:</w:t>
      </w:r>
      <w:r w:rsidRPr="006E37E7">
        <w:rPr>
          <w:rFonts w:ascii="Times New Roman" w:hAnsi="Times New Roman"/>
          <w:sz w:val="24"/>
          <w:szCs w:val="24"/>
        </w:rPr>
        <w:tab/>
        <w:t>pip@</w:t>
      </w:r>
      <w:r w:rsidR="000F033B" w:rsidRPr="006E37E7">
        <w:rPr>
          <w:rFonts w:ascii="Times New Roman" w:hAnsi="Times New Roman"/>
          <w:sz w:val="24"/>
          <w:szCs w:val="24"/>
        </w:rPr>
        <w:t>s</w:t>
      </w:r>
      <w:r w:rsidRPr="006E37E7">
        <w:rPr>
          <w:rFonts w:ascii="Times New Roman" w:hAnsi="Times New Roman"/>
          <w:sz w:val="24"/>
          <w:szCs w:val="24"/>
        </w:rPr>
        <w:t>ervices</w:t>
      </w:r>
      <w:r w:rsidR="000F033B" w:rsidRPr="006E37E7">
        <w:rPr>
          <w:rFonts w:ascii="Times New Roman" w:hAnsi="Times New Roman"/>
          <w:sz w:val="24"/>
          <w:szCs w:val="24"/>
        </w:rPr>
        <w:t>australia</w:t>
      </w:r>
      <w:r w:rsidRPr="006E37E7">
        <w:rPr>
          <w:rFonts w:ascii="Times New Roman" w:hAnsi="Times New Roman"/>
          <w:sz w:val="24"/>
          <w:szCs w:val="24"/>
        </w:rPr>
        <w:t>.gov.au</w:t>
      </w:r>
    </w:p>
    <w:p w14:paraId="4B9AC485" w14:textId="77777777" w:rsidR="00E70758" w:rsidRPr="006E37E7" w:rsidRDefault="00E70758" w:rsidP="00E70758">
      <w:pPr>
        <w:rPr>
          <w:rFonts w:ascii="Times New Roman" w:hAnsi="Times New Roman"/>
          <w:sz w:val="24"/>
          <w:szCs w:val="24"/>
        </w:rPr>
      </w:pPr>
      <w:r w:rsidRPr="006E37E7">
        <w:rPr>
          <w:rFonts w:ascii="Times New Roman" w:hAnsi="Times New Roman"/>
          <w:b/>
          <w:sz w:val="24"/>
          <w:szCs w:val="24"/>
        </w:rPr>
        <w:lastRenderedPageBreak/>
        <w:t>Call</w:t>
      </w:r>
      <w:r w:rsidRPr="006E37E7">
        <w:rPr>
          <w:rFonts w:ascii="Times New Roman" w:hAnsi="Times New Roman"/>
          <w:sz w:val="24"/>
          <w:szCs w:val="24"/>
        </w:rPr>
        <w:t>:</w:t>
      </w:r>
      <w:r w:rsidR="007001C1">
        <w:rPr>
          <w:rFonts w:ascii="Times New Roman" w:hAnsi="Times New Roman"/>
          <w:sz w:val="24"/>
          <w:szCs w:val="24"/>
        </w:rPr>
        <w:t xml:space="preserve"> </w:t>
      </w:r>
      <w:r w:rsidRPr="006E37E7">
        <w:rPr>
          <w:rFonts w:ascii="Times New Roman" w:hAnsi="Times New Roman"/>
          <w:sz w:val="24"/>
          <w:szCs w:val="24"/>
        </w:rPr>
        <w:t>1800 222 032 (call charges may apply).</w:t>
      </w:r>
    </w:p>
    <w:p w14:paraId="0B71FCC2" w14:textId="77777777" w:rsidR="00E70758" w:rsidRDefault="00E70758" w:rsidP="00E70758">
      <w:pPr>
        <w:pStyle w:val="Heading2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>Disclaimer</w:t>
      </w:r>
    </w:p>
    <w:p w14:paraId="2EFA5B2B" w14:textId="77777777" w:rsidR="00E70758" w:rsidRDefault="00862C18" w:rsidP="00E70758">
      <w:pPr>
        <w:pStyle w:val="NormalWeb"/>
        <w:rPr>
          <w:rFonts w:ascii="Roboto" w:hAnsi="Roboto" w:cs="Segoe UI"/>
          <w:lang w:val="en"/>
        </w:rPr>
      </w:pPr>
      <w:r>
        <w:rPr>
          <w:rFonts w:ascii="Roboto" w:hAnsi="Roboto" w:cs="Segoe UI"/>
          <w:lang w:val="en"/>
        </w:rPr>
        <w:t>These G</w:t>
      </w:r>
      <w:r w:rsidR="00E70758">
        <w:rPr>
          <w:rFonts w:ascii="Roboto" w:hAnsi="Roboto" w:cs="Segoe UI"/>
          <w:lang w:val="en"/>
        </w:rPr>
        <w:t xml:space="preserve">uidelines are for information purposes and provide the basis upon which PIP payments are made. While it is intended that the </w:t>
      </w:r>
      <w:r w:rsidR="00225888">
        <w:rPr>
          <w:rFonts w:ascii="Roboto" w:hAnsi="Roboto" w:cs="Segoe UI"/>
          <w:lang w:val="en"/>
        </w:rPr>
        <w:t>Australian G</w:t>
      </w:r>
      <w:r w:rsidR="00E70758">
        <w:rPr>
          <w:rFonts w:ascii="Roboto" w:hAnsi="Roboto" w:cs="Segoe UI"/>
          <w:lang w:val="en"/>
        </w:rPr>
        <w:t xml:space="preserve">overnment will make payments </w:t>
      </w:r>
      <w:r>
        <w:rPr>
          <w:rFonts w:ascii="Roboto" w:hAnsi="Roboto" w:cs="Segoe UI"/>
          <w:lang w:val="en"/>
        </w:rPr>
        <w:t>as set out in these G</w:t>
      </w:r>
      <w:r w:rsidR="00E70758">
        <w:rPr>
          <w:rFonts w:ascii="Roboto" w:hAnsi="Roboto" w:cs="Segoe UI"/>
          <w:lang w:val="en"/>
        </w:rPr>
        <w:t xml:space="preserve">uidelines, the making of payments is at its sole discretion. The </w:t>
      </w:r>
      <w:r w:rsidR="007001C1">
        <w:rPr>
          <w:rFonts w:ascii="Roboto" w:hAnsi="Roboto" w:cs="Segoe UI"/>
          <w:lang w:val="en"/>
        </w:rPr>
        <w:t>Australian Go</w:t>
      </w:r>
      <w:r w:rsidR="00E70758">
        <w:rPr>
          <w:rFonts w:ascii="Roboto" w:hAnsi="Roboto" w:cs="Segoe UI"/>
          <w:lang w:val="en"/>
        </w:rPr>
        <w:t xml:space="preserve">vernment may alter arrangements for the PIP at any time and without notice. The </w:t>
      </w:r>
      <w:r w:rsidR="007001C1">
        <w:rPr>
          <w:rFonts w:ascii="Roboto" w:hAnsi="Roboto" w:cs="Segoe UI"/>
          <w:lang w:val="en"/>
        </w:rPr>
        <w:t xml:space="preserve">Australian </w:t>
      </w:r>
      <w:r w:rsidR="00225888">
        <w:rPr>
          <w:rFonts w:ascii="Roboto" w:hAnsi="Roboto" w:cs="Segoe UI"/>
          <w:lang w:val="en"/>
        </w:rPr>
        <w:t>G</w:t>
      </w:r>
      <w:r w:rsidR="00E70758">
        <w:rPr>
          <w:rFonts w:ascii="Roboto" w:hAnsi="Roboto" w:cs="Segoe UI"/>
          <w:lang w:val="en"/>
        </w:rPr>
        <w:t xml:space="preserve">overnment does not accept any legal liability or responsibility for any injury, loss or damage incurred by the use of, reliance on, or interpretation of the information provided in these </w:t>
      </w:r>
      <w:r>
        <w:rPr>
          <w:rFonts w:ascii="Roboto" w:hAnsi="Roboto" w:cs="Segoe UI"/>
          <w:lang w:val="en"/>
        </w:rPr>
        <w:t>G</w:t>
      </w:r>
      <w:r w:rsidR="00E70758">
        <w:rPr>
          <w:rFonts w:ascii="Roboto" w:hAnsi="Roboto" w:cs="Segoe UI"/>
          <w:lang w:val="en"/>
        </w:rPr>
        <w:t>uidelines.</w:t>
      </w:r>
    </w:p>
    <w:p w14:paraId="55885F68" w14:textId="77777777" w:rsidR="00E70758" w:rsidRDefault="00E70758" w:rsidP="0088011D">
      <w:pPr>
        <w:pStyle w:val="NormalWeb"/>
        <w:tabs>
          <w:tab w:val="num" w:pos="426"/>
        </w:tabs>
        <w:ind w:left="66"/>
        <w:rPr>
          <w:rFonts w:ascii="Roboto" w:hAnsi="Roboto" w:cs="Segoe UI"/>
          <w:lang w:val="en"/>
        </w:rPr>
      </w:pPr>
    </w:p>
    <w:p w14:paraId="6BC0EA00" w14:textId="77777777" w:rsidR="007756B9" w:rsidRPr="00860AD4" w:rsidRDefault="007756B9" w:rsidP="007756B9">
      <w:pPr>
        <w:spacing w:before="100" w:beforeAutospacing="1" w:after="100" w:afterAutospacing="1" w:line="240" w:lineRule="auto"/>
        <w:rPr>
          <w:rFonts w:ascii="Times New Roman" w:hAnsi="Times New Roman"/>
          <w:sz w:val="24"/>
          <w:lang w:val="en"/>
        </w:rPr>
      </w:pPr>
    </w:p>
    <w:p w14:paraId="62DDFE4E" w14:textId="77777777" w:rsidR="00257B72" w:rsidRPr="00FB5683" w:rsidRDefault="00257B72" w:rsidP="00257B72">
      <w:pPr>
        <w:keepNext/>
        <w:spacing w:before="96" w:after="96" w:line="240" w:lineRule="auto"/>
        <w:outlineLvl w:val="1"/>
        <w:rPr>
          <w:rFonts w:ascii="Times New Roman" w:hAnsi="Times New Roman"/>
          <w:color w:val="FF0000"/>
          <w:sz w:val="27"/>
          <w:lang w:val="en"/>
        </w:rPr>
      </w:pPr>
    </w:p>
    <w:p w14:paraId="7971DD5C" w14:textId="77777777" w:rsidR="006A6978" w:rsidRDefault="006A6978"/>
    <w:sectPr w:rsidR="006A697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69857" w14:textId="77777777" w:rsidR="008B7322" w:rsidRDefault="008B7322" w:rsidP="00411341">
      <w:pPr>
        <w:spacing w:after="0" w:line="240" w:lineRule="auto"/>
      </w:pPr>
      <w:r>
        <w:separator/>
      </w:r>
    </w:p>
  </w:endnote>
  <w:endnote w:type="continuationSeparator" w:id="0">
    <w:p w14:paraId="1B879816" w14:textId="77777777" w:rsidR="008B7322" w:rsidRDefault="008B7322" w:rsidP="00411341">
      <w:pPr>
        <w:spacing w:after="0" w:line="240" w:lineRule="auto"/>
      </w:pPr>
      <w:r>
        <w:continuationSeparator/>
      </w:r>
    </w:p>
  </w:endnote>
  <w:endnote w:type="continuationNotice" w:id="1">
    <w:p w14:paraId="70D883DE" w14:textId="77777777" w:rsidR="008B7322" w:rsidRDefault="008B7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AC19DE" w14:textId="77777777" w:rsidR="008B7322" w:rsidRDefault="008B7322" w:rsidP="00411341">
      <w:pPr>
        <w:spacing w:after="0" w:line="240" w:lineRule="auto"/>
      </w:pPr>
      <w:r>
        <w:separator/>
      </w:r>
    </w:p>
  </w:footnote>
  <w:footnote w:type="continuationSeparator" w:id="0">
    <w:p w14:paraId="177C3005" w14:textId="77777777" w:rsidR="008B7322" w:rsidRDefault="008B7322" w:rsidP="00411341">
      <w:pPr>
        <w:spacing w:after="0" w:line="240" w:lineRule="auto"/>
      </w:pPr>
      <w:r>
        <w:continuationSeparator/>
      </w:r>
    </w:p>
  </w:footnote>
  <w:footnote w:type="continuationNotice" w:id="1">
    <w:p w14:paraId="5F1DF8FC" w14:textId="77777777" w:rsidR="008B7322" w:rsidRDefault="008B73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8560" w14:textId="4440FABC" w:rsidR="00CC30FD" w:rsidRDefault="00CC30FD" w:rsidP="00CC3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B7C72"/>
    <w:multiLevelType w:val="multilevel"/>
    <w:tmpl w:val="D9D0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24A553D"/>
    <w:multiLevelType w:val="hybridMultilevel"/>
    <w:tmpl w:val="2C6EE3F4"/>
    <w:lvl w:ilvl="0" w:tplc="F0E2CA5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588E8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03B9B"/>
    <w:multiLevelType w:val="hybridMultilevel"/>
    <w:tmpl w:val="0CC434E4"/>
    <w:lvl w:ilvl="0" w:tplc="8B04913C">
      <w:start w:val="9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81C99"/>
    <w:multiLevelType w:val="hybridMultilevel"/>
    <w:tmpl w:val="896A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C705C"/>
    <w:multiLevelType w:val="hybridMultilevel"/>
    <w:tmpl w:val="A7560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B73F3"/>
    <w:multiLevelType w:val="hybridMultilevel"/>
    <w:tmpl w:val="6BB0C7CC"/>
    <w:lvl w:ilvl="0" w:tplc="4BC42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47254"/>
    <w:multiLevelType w:val="hybridMultilevel"/>
    <w:tmpl w:val="A1FA8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72"/>
    <w:rsid w:val="00002F08"/>
    <w:rsid w:val="0001525D"/>
    <w:rsid w:val="00015AD5"/>
    <w:rsid w:val="0002297D"/>
    <w:rsid w:val="000237A2"/>
    <w:rsid w:val="00061780"/>
    <w:rsid w:val="0007093A"/>
    <w:rsid w:val="00080641"/>
    <w:rsid w:val="00093C54"/>
    <w:rsid w:val="00097C40"/>
    <w:rsid w:val="000A5085"/>
    <w:rsid w:val="000B333A"/>
    <w:rsid w:val="000C2A61"/>
    <w:rsid w:val="000F033B"/>
    <w:rsid w:val="00107D99"/>
    <w:rsid w:val="00122E77"/>
    <w:rsid w:val="0012300E"/>
    <w:rsid w:val="00131E36"/>
    <w:rsid w:val="0013527E"/>
    <w:rsid w:val="00157C09"/>
    <w:rsid w:val="0016365E"/>
    <w:rsid w:val="001A0DA0"/>
    <w:rsid w:val="001A5408"/>
    <w:rsid w:val="001B07FC"/>
    <w:rsid w:val="001B6E05"/>
    <w:rsid w:val="001C6370"/>
    <w:rsid w:val="001F24EB"/>
    <w:rsid w:val="001F6EF5"/>
    <w:rsid w:val="002002E3"/>
    <w:rsid w:val="00203FBB"/>
    <w:rsid w:val="00204BD0"/>
    <w:rsid w:val="00225888"/>
    <w:rsid w:val="002306FC"/>
    <w:rsid w:val="00251CC1"/>
    <w:rsid w:val="00257B72"/>
    <w:rsid w:val="00267114"/>
    <w:rsid w:val="002675E3"/>
    <w:rsid w:val="002724FC"/>
    <w:rsid w:val="00292815"/>
    <w:rsid w:val="002931EC"/>
    <w:rsid w:val="002A0F41"/>
    <w:rsid w:val="002A4751"/>
    <w:rsid w:val="002A7689"/>
    <w:rsid w:val="002A777A"/>
    <w:rsid w:val="002B0E33"/>
    <w:rsid w:val="002B79E8"/>
    <w:rsid w:val="002C0C7D"/>
    <w:rsid w:val="002C5385"/>
    <w:rsid w:val="002D2B2E"/>
    <w:rsid w:val="002F224C"/>
    <w:rsid w:val="00301F9F"/>
    <w:rsid w:val="00302CD2"/>
    <w:rsid w:val="003226AB"/>
    <w:rsid w:val="00346050"/>
    <w:rsid w:val="00367C28"/>
    <w:rsid w:val="00371AAC"/>
    <w:rsid w:val="00387878"/>
    <w:rsid w:val="003B36A0"/>
    <w:rsid w:val="003C0123"/>
    <w:rsid w:val="003C5A9A"/>
    <w:rsid w:val="003E1953"/>
    <w:rsid w:val="003E2A0F"/>
    <w:rsid w:val="003F717A"/>
    <w:rsid w:val="00410690"/>
    <w:rsid w:val="00411341"/>
    <w:rsid w:val="004318FB"/>
    <w:rsid w:val="004503B4"/>
    <w:rsid w:val="00450A49"/>
    <w:rsid w:val="00450F71"/>
    <w:rsid w:val="004642EB"/>
    <w:rsid w:val="00465DE6"/>
    <w:rsid w:val="00471648"/>
    <w:rsid w:val="00486836"/>
    <w:rsid w:val="004969EF"/>
    <w:rsid w:val="004B08D3"/>
    <w:rsid w:val="004B3F95"/>
    <w:rsid w:val="00525DE4"/>
    <w:rsid w:val="00533716"/>
    <w:rsid w:val="005511BF"/>
    <w:rsid w:val="00553DDF"/>
    <w:rsid w:val="00562970"/>
    <w:rsid w:val="0056464A"/>
    <w:rsid w:val="0057242E"/>
    <w:rsid w:val="005B3D6B"/>
    <w:rsid w:val="005B3F83"/>
    <w:rsid w:val="005B5CF9"/>
    <w:rsid w:val="005D753A"/>
    <w:rsid w:val="005E6DC2"/>
    <w:rsid w:val="00613DA8"/>
    <w:rsid w:val="006215FB"/>
    <w:rsid w:val="00621601"/>
    <w:rsid w:val="00623FFF"/>
    <w:rsid w:val="006317AD"/>
    <w:rsid w:val="00632CFB"/>
    <w:rsid w:val="00640413"/>
    <w:rsid w:val="00644592"/>
    <w:rsid w:val="0065281E"/>
    <w:rsid w:val="00654C0E"/>
    <w:rsid w:val="00692A9D"/>
    <w:rsid w:val="006A6978"/>
    <w:rsid w:val="006D1358"/>
    <w:rsid w:val="006E35F5"/>
    <w:rsid w:val="006E37E7"/>
    <w:rsid w:val="006F37FF"/>
    <w:rsid w:val="006F6D39"/>
    <w:rsid w:val="007001C1"/>
    <w:rsid w:val="00731711"/>
    <w:rsid w:val="00745D47"/>
    <w:rsid w:val="007534A6"/>
    <w:rsid w:val="007545AA"/>
    <w:rsid w:val="00770E40"/>
    <w:rsid w:val="007756B9"/>
    <w:rsid w:val="007825F8"/>
    <w:rsid w:val="0078331C"/>
    <w:rsid w:val="00797EFF"/>
    <w:rsid w:val="007A4BF1"/>
    <w:rsid w:val="007C2CA2"/>
    <w:rsid w:val="007D391B"/>
    <w:rsid w:val="007D51D6"/>
    <w:rsid w:val="008027D2"/>
    <w:rsid w:val="008211F6"/>
    <w:rsid w:val="008369BB"/>
    <w:rsid w:val="00842501"/>
    <w:rsid w:val="00843282"/>
    <w:rsid w:val="00860AD4"/>
    <w:rsid w:val="00862C18"/>
    <w:rsid w:val="008752DF"/>
    <w:rsid w:val="0088011D"/>
    <w:rsid w:val="00890B3D"/>
    <w:rsid w:val="00891458"/>
    <w:rsid w:val="008979DD"/>
    <w:rsid w:val="008A58C7"/>
    <w:rsid w:val="008B459B"/>
    <w:rsid w:val="008B7322"/>
    <w:rsid w:val="008D12DD"/>
    <w:rsid w:val="008F1961"/>
    <w:rsid w:val="00900142"/>
    <w:rsid w:val="00901B0A"/>
    <w:rsid w:val="00906B84"/>
    <w:rsid w:val="00940A47"/>
    <w:rsid w:val="00944E03"/>
    <w:rsid w:val="00946109"/>
    <w:rsid w:val="00976186"/>
    <w:rsid w:val="00977D5A"/>
    <w:rsid w:val="009A1CB4"/>
    <w:rsid w:val="009B67F5"/>
    <w:rsid w:val="009C2E74"/>
    <w:rsid w:val="009C4B2E"/>
    <w:rsid w:val="009D61F6"/>
    <w:rsid w:val="009E2503"/>
    <w:rsid w:val="009E7827"/>
    <w:rsid w:val="009F7F3C"/>
    <w:rsid w:val="00A04DEC"/>
    <w:rsid w:val="00A14A28"/>
    <w:rsid w:val="00A30EC2"/>
    <w:rsid w:val="00A73E3C"/>
    <w:rsid w:val="00A82C83"/>
    <w:rsid w:val="00A90BF0"/>
    <w:rsid w:val="00A90BFD"/>
    <w:rsid w:val="00A914B3"/>
    <w:rsid w:val="00AB18B9"/>
    <w:rsid w:val="00AB61F8"/>
    <w:rsid w:val="00AB6397"/>
    <w:rsid w:val="00AE47B6"/>
    <w:rsid w:val="00AF3E49"/>
    <w:rsid w:val="00B26987"/>
    <w:rsid w:val="00B37E0A"/>
    <w:rsid w:val="00B413D4"/>
    <w:rsid w:val="00B476EE"/>
    <w:rsid w:val="00B50AEE"/>
    <w:rsid w:val="00B5268C"/>
    <w:rsid w:val="00B548C1"/>
    <w:rsid w:val="00B62053"/>
    <w:rsid w:val="00B82967"/>
    <w:rsid w:val="00B92B1B"/>
    <w:rsid w:val="00B97D06"/>
    <w:rsid w:val="00BA39FE"/>
    <w:rsid w:val="00BB7DE1"/>
    <w:rsid w:val="00BC7FBD"/>
    <w:rsid w:val="00BE4317"/>
    <w:rsid w:val="00C10B99"/>
    <w:rsid w:val="00C13A3E"/>
    <w:rsid w:val="00C23418"/>
    <w:rsid w:val="00C2567E"/>
    <w:rsid w:val="00C36740"/>
    <w:rsid w:val="00C4495F"/>
    <w:rsid w:val="00C72FAB"/>
    <w:rsid w:val="00C76046"/>
    <w:rsid w:val="00C93727"/>
    <w:rsid w:val="00CB6BA4"/>
    <w:rsid w:val="00CC0616"/>
    <w:rsid w:val="00CC30FD"/>
    <w:rsid w:val="00CC5B27"/>
    <w:rsid w:val="00CD4D60"/>
    <w:rsid w:val="00CF44BC"/>
    <w:rsid w:val="00D13594"/>
    <w:rsid w:val="00D14F4A"/>
    <w:rsid w:val="00D20435"/>
    <w:rsid w:val="00D27C38"/>
    <w:rsid w:val="00D31DFC"/>
    <w:rsid w:val="00D336F3"/>
    <w:rsid w:val="00D338C4"/>
    <w:rsid w:val="00D476DE"/>
    <w:rsid w:val="00D60401"/>
    <w:rsid w:val="00D6410C"/>
    <w:rsid w:val="00D707C1"/>
    <w:rsid w:val="00D905BB"/>
    <w:rsid w:val="00D9349C"/>
    <w:rsid w:val="00DC1B62"/>
    <w:rsid w:val="00DC79CB"/>
    <w:rsid w:val="00DD5F54"/>
    <w:rsid w:val="00DE1E9A"/>
    <w:rsid w:val="00E234B7"/>
    <w:rsid w:val="00E25948"/>
    <w:rsid w:val="00E37764"/>
    <w:rsid w:val="00E70758"/>
    <w:rsid w:val="00E70FC2"/>
    <w:rsid w:val="00E813EB"/>
    <w:rsid w:val="00E82C8C"/>
    <w:rsid w:val="00E843B0"/>
    <w:rsid w:val="00EC0E9B"/>
    <w:rsid w:val="00EC67FB"/>
    <w:rsid w:val="00ED1C3F"/>
    <w:rsid w:val="00EE0DD0"/>
    <w:rsid w:val="00F105FF"/>
    <w:rsid w:val="00F15471"/>
    <w:rsid w:val="00F24DBF"/>
    <w:rsid w:val="00F24EF9"/>
    <w:rsid w:val="00F2584E"/>
    <w:rsid w:val="00F27D28"/>
    <w:rsid w:val="00F314CC"/>
    <w:rsid w:val="00F3378F"/>
    <w:rsid w:val="00F3600D"/>
    <w:rsid w:val="00F43D83"/>
    <w:rsid w:val="00F475A6"/>
    <w:rsid w:val="00F53B04"/>
    <w:rsid w:val="00F63D70"/>
    <w:rsid w:val="00F81E29"/>
    <w:rsid w:val="00F877A1"/>
    <w:rsid w:val="00F90DF7"/>
    <w:rsid w:val="00FA3357"/>
    <w:rsid w:val="00FA4289"/>
    <w:rsid w:val="00FA48AD"/>
    <w:rsid w:val="00FB3311"/>
    <w:rsid w:val="00FB5D27"/>
    <w:rsid w:val="00FB73E3"/>
    <w:rsid w:val="00FC4209"/>
    <w:rsid w:val="00FD58ED"/>
    <w:rsid w:val="00FD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5AF755"/>
  <w15:chartTrackingRefBased/>
  <w15:docId w15:val="{7C343348-F733-4839-A049-08071667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72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57B72"/>
    <w:pPr>
      <w:spacing w:before="96" w:after="96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257B72"/>
    <w:pPr>
      <w:keepNext/>
      <w:spacing w:before="96" w:after="96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257B72"/>
    <w:pPr>
      <w:keepNext/>
      <w:spacing w:before="96" w:after="96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AU"/>
    </w:rPr>
  </w:style>
  <w:style w:type="paragraph" w:styleId="Heading4">
    <w:name w:val="heading 4"/>
    <w:basedOn w:val="Normal"/>
    <w:link w:val="Heading4Char"/>
    <w:uiPriority w:val="9"/>
    <w:qFormat/>
    <w:rsid w:val="00257B72"/>
    <w:pPr>
      <w:spacing w:before="96" w:after="96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B72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57B7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257B72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57B72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uiPriority w:val="99"/>
    <w:unhideWhenUsed/>
    <w:rsid w:val="00257B72"/>
    <w:rPr>
      <w:color w:val="0000FF"/>
      <w:u w:val="single"/>
    </w:rPr>
  </w:style>
  <w:style w:type="character" w:styleId="Emphasis">
    <w:name w:val="Emphasis"/>
    <w:uiPriority w:val="20"/>
    <w:qFormat/>
    <w:rsid w:val="00257B72"/>
    <w:rPr>
      <w:i/>
      <w:iCs/>
    </w:rPr>
  </w:style>
  <w:style w:type="character" w:styleId="Strong">
    <w:name w:val="Strong"/>
    <w:uiPriority w:val="22"/>
    <w:qFormat/>
    <w:rsid w:val="00257B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57B7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uikit-control-inputtext1">
    <w:name w:val="uikit-control-input__text1"/>
    <w:rsid w:val="00257B72"/>
    <w:rPr>
      <w:rFonts w:ascii="Segoe UI" w:hAnsi="Segoe UI" w:cs="Segoe UI" w:hint="default"/>
      <w:color w:val="313131"/>
      <w:sz w:val="26"/>
      <w:szCs w:val="26"/>
    </w:rPr>
  </w:style>
  <w:style w:type="character" w:customStyle="1" w:styleId="print-package-heading1">
    <w:name w:val="print-package-heading1"/>
    <w:rsid w:val="00257B72"/>
    <w:rPr>
      <w:color w:val="313131"/>
      <w:sz w:val="24"/>
      <w:szCs w:val="24"/>
    </w:rPr>
  </w:style>
  <w:style w:type="character" w:customStyle="1" w:styleId="return-to1">
    <w:name w:val="return-to1"/>
    <w:rsid w:val="00257B72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57B7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57B72"/>
    <w:rPr>
      <w:rFonts w:ascii="Arial" w:eastAsia="Times New Roman" w:hAnsi="Arial" w:cs="Arial"/>
      <w:vanish/>
      <w:sz w:val="16"/>
      <w:szCs w:val="16"/>
      <w:lang w:eastAsia="en-AU"/>
    </w:rPr>
  </w:style>
  <w:style w:type="paragraph" w:customStyle="1" w:styleId="help-inline">
    <w:name w:val="help-inline"/>
    <w:basedOn w:val="Normal"/>
    <w:rsid w:val="00257B72"/>
    <w:pPr>
      <w:spacing w:before="240" w:after="240" w:line="240" w:lineRule="auto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size-indicator">
    <w:name w:val="size-indicator"/>
    <w:rsid w:val="00257B7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57B7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57B72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B72"/>
    <w:rPr>
      <w:rFonts w:ascii="Segoe UI" w:eastAsia="Calibri" w:hAnsi="Segoe UI" w:cs="Segoe UI"/>
      <w:sz w:val="18"/>
      <w:szCs w:val="18"/>
    </w:rPr>
  </w:style>
  <w:style w:type="paragraph" w:customStyle="1" w:styleId="Bullets">
    <w:name w:val="Bullets"/>
    <w:basedOn w:val="ListParagraph"/>
    <w:link w:val="BulletsChar"/>
    <w:qFormat/>
    <w:rsid w:val="00257B72"/>
    <w:pPr>
      <w:numPr>
        <w:numId w:val="1"/>
      </w:numPr>
      <w:spacing w:after="120"/>
    </w:pPr>
    <w:rPr>
      <w:sz w:val="24"/>
      <w:szCs w:val="24"/>
    </w:rPr>
  </w:style>
  <w:style w:type="character" w:customStyle="1" w:styleId="BulletsChar">
    <w:name w:val="Bullets Char"/>
    <w:aliases w:val="List Paragraph Char,Bullet point Char,CV text Char,Dot pt Char,F5 List Paragraph Char,FooterText Char,L Char,List Paragraph1 Char,List Paragraph11 Char,List Paragraph111 Char,List Paragraph2 Char,Medium Grid 1 - Accent 21 Char,列 Char"/>
    <w:link w:val="Bullets"/>
    <w:qFormat/>
    <w:rsid w:val="00257B72"/>
    <w:rPr>
      <w:rFonts w:ascii="Calibri" w:eastAsia="Calibri" w:hAnsi="Calibri" w:cs="Times New Roman"/>
      <w:sz w:val="24"/>
      <w:szCs w:val="24"/>
    </w:rPr>
  </w:style>
  <w:style w:type="paragraph" w:styleId="ListParagraph">
    <w:name w:val="List Paragraph"/>
    <w:aliases w:val="Bullet point,CV text,Dot pt,F5 List Paragraph,FooterText,L,List Paragraph1,List Paragraph11,List Paragraph111,List Paragraph2,Medium Grid 1 - Accent 21,NAST Quote,NFP GP Bulleted List,Numbered Paragraph,Recommendation,Table text,列"/>
    <w:basedOn w:val="Normal"/>
    <w:uiPriority w:val="34"/>
    <w:qFormat/>
    <w:rsid w:val="00257B7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257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7B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57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7B72"/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257B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B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B7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B72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57B72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257B7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services.gov.au/health-professionals/services/medicare/hpo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umanservices.gov.au/organisations/health-professionals/forms/ip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ervicesaustralia.gov.au/organisations/health-professionals/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umanservices.gov.au/health-professionals/services/medicare/pro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E9A3E-B97C-4C07-AC58-80A6FE9A1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1006</Words>
  <Characters>5705</Characters>
  <Application>Microsoft Office Word</Application>
  <DocSecurity>0</DocSecurity>
  <Lines>110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Incentives Program Guidelines</vt:lpstr>
    </vt:vector>
  </TitlesOfParts>
  <Manager/>
  <Company>Australian Government</Company>
  <LinksUpToDate>false</LinksUpToDate>
  <CharactersWithSpaces>6684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Incentives Program COVID-19 Vaccine General Practice Incentive Guidelines</dc:title>
  <dc:subject>COVID-19 vaccination</dc:subject>
  <dc:creator>Department of Health</dc:creator>
  <cp:keywords/>
  <dc:description/>
  <cp:lastModifiedBy>emma kennedy</cp:lastModifiedBy>
  <cp:revision>4</cp:revision>
  <cp:lastPrinted>2021-03-18T04:25:00Z</cp:lastPrinted>
  <dcterms:created xsi:type="dcterms:W3CDTF">2021-06-23T00:53:00Z</dcterms:created>
  <dcterms:modified xsi:type="dcterms:W3CDTF">2021-06-30T07:53:00Z</dcterms:modified>
  <cp:category/>
</cp:coreProperties>
</file>