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253AC5">
        <w:t>11</w:t>
      </w:r>
      <w:r w:rsidR="00535707">
        <w:t xml:space="preserve"> June </w:t>
      </w:r>
      <w:r w:rsidR="00A96A4B" w:rsidRPr="008628BE">
        <w:t>2021</w:t>
      </w:r>
      <w:r w:rsidR="004A295A" w:rsidRPr="008628BE">
        <w:t xml:space="preserve"> there </w:t>
      </w:r>
      <w:r w:rsidR="008E36F0" w:rsidRPr="008628BE">
        <w:t xml:space="preserve">are </w:t>
      </w:r>
      <w:r w:rsidR="00253AC5">
        <w:t>7</w:t>
      </w:r>
      <w:r w:rsidR="00B219A0"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C9438C" w:rsidP="00C9438C">
      <w:pPr>
        <w:pStyle w:val="Caption"/>
      </w:pPr>
      <w:r>
        <w:t xml:space="preserve">Table </w:t>
      </w:r>
      <w:r w:rsidR="0047418A">
        <w:fldChar w:fldCharType="begin"/>
      </w:r>
      <w:r w:rsidR="0047418A">
        <w:instrText xml:space="preserve"> SEQ Table \* ARABIC </w:instrText>
      </w:r>
      <w:r w:rsidR="0047418A">
        <w:fldChar w:fldCharType="separate"/>
      </w:r>
      <w:r>
        <w:rPr>
          <w:noProof/>
        </w:rPr>
        <w:t>1</w:t>
      </w:r>
      <w:r w:rsidR="0047418A">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6F7CE8">
        <w:t xml:space="preserve">11 </w:t>
      </w:r>
      <w:r w:rsidR="00535707">
        <w:t xml:space="preserve">June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ED18D0" w:rsidP="006E6275">
            <w:r>
              <w:t>2</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253AC5" w:rsidP="006E6275">
            <w:r>
              <w:t>3</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253AC5" w:rsidP="006E6275">
            <w:r>
              <w:t>4</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CC5C5D">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ED18D0">
              <w:t>5</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w:t>
            </w:r>
            <w:r w:rsidR="00ED18D0">
              <w:t>3</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lastRenderedPageBreak/>
              <w:t>Number of residential aged care facilities with only one case (resident or staff member) of COVID-19</w:t>
            </w:r>
          </w:p>
        </w:tc>
        <w:tc>
          <w:tcPr>
            <w:tcW w:w="2551" w:type="dxa"/>
          </w:tcPr>
          <w:p w:rsidR="00F209FD" w:rsidRPr="008628BE" w:rsidRDefault="003E4F64" w:rsidP="006E6275">
            <w:r w:rsidRPr="008628BE">
              <w:t>9</w:t>
            </w:r>
            <w:r w:rsidR="00ED18D0">
              <w:t>5</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ED18D0">
              <w:t>3</w:t>
            </w:r>
            <w:r w:rsidR="00253AC5">
              <w:t>2</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 w:rsidRPr="008628BE">
              <w:t>2</w:t>
            </w:r>
            <w:r w:rsidR="004963D1" w:rsidRPr="008628BE">
              <w:t>,</w:t>
            </w:r>
            <w:r w:rsidR="00253AC5" w:rsidRPr="008628BE">
              <w:t>2</w:t>
            </w:r>
            <w:r w:rsidR="00253AC5">
              <w:t>31</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Default="00B92768" w:rsidP="006E6275">
      <w:r w:rsidRPr="00A37E6B">
        <w:t xml:space="preserve">In Australia, a total of </w:t>
      </w:r>
      <w:r w:rsidR="00924C93">
        <w:t>30,</w:t>
      </w:r>
      <w:r w:rsidR="00253AC5">
        <w:t>226</w:t>
      </w:r>
      <w:r w:rsidR="00253AC5" w:rsidRPr="00A37E6B">
        <w:t xml:space="preserve"> </w:t>
      </w:r>
      <w:r w:rsidR="00F209FD" w:rsidRPr="00A37E6B">
        <w:t>cases of COVID-19 hav</w:t>
      </w:r>
      <w:r w:rsidRPr="00A37E6B">
        <w:t xml:space="preserve">e been reported, including </w:t>
      </w:r>
      <w:r w:rsidR="00253AC5">
        <w:t>127</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rsidR="00B219A0" w:rsidRPr="008628BE" w:rsidRDefault="00B219A0" w:rsidP="00B219A0">
      <w:r>
        <w:t>As at 8:</w:t>
      </w:r>
      <w:r w:rsidRPr="00E35795">
        <w:t xml:space="preserve">00 am </w:t>
      </w:r>
      <w:r w:rsidR="00253AC5">
        <w:t>11</w:t>
      </w:r>
      <w:r w:rsidR="00253AC5" w:rsidRPr="00E35795">
        <w:t xml:space="preserve"> </w:t>
      </w:r>
      <w:r w:rsidRPr="00E35795">
        <w:t xml:space="preserve">June 2021, there are </w:t>
      </w:r>
      <w:r w:rsidR="00253AC5">
        <w:t>7</w:t>
      </w:r>
      <w:r>
        <w:t xml:space="preserve"> </w:t>
      </w:r>
      <w:r w:rsidRPr="00E35795">
        <w:t xml:space="preserve">confirmed cases of COVID-19 in </w:t>
      </w:r>
      <w:r w:rsidR="00A67FE6">
        <w:t>a</w:t>
      </w:r>
      <w:r w:rsidRPr="00E35795">
        <w:t xml:space="preserve">ged </w:t>
      </w:r>
      <w:r w:rsidR="00A67FE6">
        <w:t>c</w:t>
      </w:r>
      <w:r w:rsidRPr="00E35795">
        <w:t>are</w:t>
      </w:r>
      <w:r>
        <w:t xml:space="preserve"> in Victoria, including:</w:t>
      </w:r>
    </w:p>
    <w:p w:rsidR="00CE74D3" w:rsidRPr="008628BE" w:rsidRDefault="00253AC5" w:rsidP="00753501">
      <w:pPr>
        <w:pStyle w:val="ListParagraph"/>
        <w:numPr>
          <w:ilvl w:val="0"/>
          <w:numId w:val="32"/>
        </w:numPr>
      </w:pPr>
      <w:r>
        <w:t>4</w:t>
      </w:r>
      <w:r w:rsidRPr="008628BE">
        <w:t xml:space="preserve"> </w:t>
      </w:r>
      <w:r w:rsidR="00CE74D3" w:rsidRPr="008628BE">
        <w:t>active cases of COVID-19 in staff member</w:t>
      </w:r>
      <w:r w:rsidR="00BA6D1A">
        <w:t>s</w:t>
      </w:r>
      <w:r w:rsidR="00CE74D3" w:rsidRPr="008628BE">
        <w:t xml:space="preserve"> in Commonwealth funded aged care service</w:t>
      </w:r>
      <w:r w:rsidR="00BA6D1A">
        <w:t>s</w:t>
      </w:r>
      <w:r w:rsidR="00B219A0">
        <w:t>; and,</w:t>
      </w:r>
    </w:p>
    <w:p w:rsidR="00E14CDD" w:rsidRDefault="00253AC5" w:rsidP="00753501">
      <w:pPr>
        <w:pStyle w:val="ListParagraph"/>
        <w:numPr>
          <w:ilvl w:val="0"/>
          <w:numId w:val="32"/>
        </w:numPr>
      </w:pPr>
      <w:r>
        <w:t>3</w:t>
      </w:r>
      <w:r w:rsidRPr="008628BE">
        <w:t xml:space="preserve"> </w:t>
      </w:r>
      <w:r w:rsidR="00BF7765" w:rsidRPr="008628BE">
        <w:t>active cases in residential aged care recipients.</w:t>
      </w:r>
    </w:p>
    <w:p w:rsidR="00BA6D1A" w:rsidRPr="00BA6D1A" w:rsidRDefault="00AF1F59" w:rsidP="004D5995">
      <w:r w:rsidRPr="00AF1F59">
        <w:t xml:space="preserve">The Department of Health is closely monitoring the COVID-19 outbreak in Melbourne, Victoria. </w:t>
      </w:r>
      <w:r w:rsidR="00BA6D1A" w:rsidRPr="00BA6D1A">
        <w:t>The Victorian Aged Care Response Centre (VACRC) has continued to be operational throughout the pandemic and is coordinating the response to two outbreaks in residential care facilities in Melbourne, in collaboration with the relevant Public Health Unit.</w:t>
      </w:r>
    </w:p>
    <w:p w:rsidR="0047418A" w:rsidRDefault="00BA6D1A">
      <w:r w:rsidRPr="004D5995">
        <w:t>Australian Government Department of Health Case Managers have been allocated to the Victorian residential aged care facilities (RACFs) experiencing a COVID-19 outbreak.</w:t>
      </w:r>
    </w:p>
    <w:p w:rsidR="00253AC5" w:rsidRDefault="00253AC5" w:rsidP="0047418A">
      <w:r>
        <w:t>As at 8:00</w:t>
      </w:r>
      <w:r w:rsidR="006F7CE8">
        <w:t xml:space="preserve"> </w:t>
      </w:r>
      <w:r>
        <w:t>am 11 June 2021, there a no confirmed</w:t>
      </w:r>
      <w:r w:rsidR="006F7CE8">
        <w:t xml:space="preserve"> cases of</w:t>
      </w:r>
      <w:r>
        <w:t xml:space="preserve"> </w:t>
      </w:r>
      <w:r w:rsidRPr="00253AC5">
        <w:t xml:space="preserve">COVID-19 in aged care in </w:t>
      </w:r>
      <w:r>
        <w:t xml:space="preserve">Queensland and New South Wales. </w:t>
      </w:r>
      <w:r w:rsidRPr="00253AC5">
        <w:t>The Departm</w:t>
      </w:r>
      <w:r w:rsidR="00AA3830">
        <w:t xml:space="preserve">ent is working closely with these </w:t>
      </w:r>
      <w:r w:rsidR="009630CE">
        <w:t>s</w:t>
      </w:r>
      <w:r w:rsidR="00AA3830">
        <w:t>tate</w:t>
      </w:r>
      <w:r w:rsidR="006F7CE8">
        <w:t>s</w:t>
      </w:r>
      <w:r w:rsidR="00AA3830">
        <w:t xml:space="preserve"> in monitoring the current situation.</w:t>
      </w:r>
    </w:p>
    <w:p w:rsidR="00DF5A9E" w:rsidRDefault="00C9438C" w:rsidP="00C9438C">
      <w:pPr>
        <w:pStyle w:val="Caption"/>
      </w:pPr>
      <w:r>
        <w:t xml:space="preserve">Figure </w:t>
      </w:r>
      <w:r w:rsidR="0047418A">
        <w:fldChar w:fldCharType="begin"/>
      </w:r>
      <w:r w:rsidR="0047418A">
        <w:instrText xml:space="preserve"> SEQ Figure \* A</w:instrText>
      </w:r>
      <w:r w:rsidR="0047418A">
        <w:instrText xml:space="preserve">RABIC </w:instrText>
      </w:r>
      <w:r w:rsidR="0047418A">
        <w:fldChar w:fldCharType="separate"/>
      </w:r>
      <w:r>
        <w:rPr>
          <w:noProof/>
        </w:rPr>
        <w:t>1</w:t>
      </w:r>
      <w:r w:rsidR="0047418A">
        <w:rPr>
          <w:noProof/>
        </w:rPr>
        <w:fldChar w:fldCharType="end"/>
      </w:r>
      <w:r w:rsidR="00F209FD" w:rsidRPr="008628BE">
        <w:t>: Distribution of Australian residential aged care facilities by total number of cases of COVID-19 (includes staff and resident cases)</w:t>
      </w:r>
    </w:p>
    <w:p w:rsidR="00AA3830" w:rsidRPr="00FF7A4A" w:rsidRDefault="00AA3830" w:rsidP="00FF7A4A">
      <w:r>
        <w:rPr>
          <w:noProof/>
          <w:lang w:eastAsia="en-AU"/>
        </w:rPr>
        <w:lastRenderedPageBreak/>
        <w:drawing>
          <wp:inline distT="0" distB="0" distL="0" distR="0" wp14:anchorId="5FB5E2F0" wp14:editId="6D2E3660">
            <wp:extent cx="5457825" cy="3686175"/>
            <wp:effectExtent l="0" t="0" r="0" b="0"/>
            <wp:docPr id="4" name="Chart 4" descr="Figure 1 is a bar graph showing the Distribution of Australian residential aged care facilities by total number of cases of COVID-19 (includes staff and resident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705F" w:rsidRPr="008628BE" w:rsidRDefault="002F552B" w:rsidP="006E6275">
      <w:r w:rsidRPr="008628BE">
        <w:t xml:space="preserve">Of the </w:t>
      </w:r>
      <w:r w:rsidR="005926CB" w:rsidRPr="008628BE">
        <w:t>21</w:t>
      </w:r>
      <w:r w:rsidR="005926CB">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pPr>
        <w:widowControl/>
        <w:spacing w:before="0" w:after="160" w:line="259" w:lineRule="auto"/>
      </w:pPr>
      <w:r w:rsidRPr="008628BE">
        <w:br w:type="page"/>
      </w:r>
      <w:r w:rsidR="005926CB">
        <w:lastRenderedPageBreak/>
        <w:t>5</w:t>
      </w:r>
    </w:p>
    <w:p w:rsidR="0032048B" w:rsidRDefault="00AA3830" w:rsidP="00180A91">
      <w:pPr>
        <w:rPr>
          <w:b/>
          <w:highlight w:val="yellow"/>
        </w:rPr>
      </w:pPr>
      <w:r w:rsidRPr="00AA3830">
        <w:rPr>
          <w:b/>
          <w:noProof/>
          <w:lang w:eastAsia="en-AU"/>
        </w:rPr>
        <w:drawing>
          <wp:inline distT="0" distB="0" distL="0" distR="0" wp14:anchorId="2B4899B3" wp14:editId="759101E7">
            <wp:extent cx="5959314" cy="1143274"/>
            <wp:effectExtent l="0" t="0" r="3810" b="0"/>
            <wp:docPr id="5" name="Picture 5" descr="Figure 2 is a bar graph showing the Number of daily reported COVID-19 cases in Australian residential aged care facilities overlayed with national locally acquired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6-10 Residential aged care COVID-19 cases by day (May-June) (0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5221" cy="1157836"/>
                    </a:xfrm>
                    <a:prstGeom prst="rect">
                      <a:avLst/>
                    </a:prstGeom>
                    <a:noFill/>
                    <a:ln>
                      <a:noFill/>
                    </a:ln>
                  </pic:spPr>
                </pic:pic>
              </a:graphicData>
            </a:graphic>
          </wp:inline>
        </w:drawing>
      </w:r>
      <w:r w:rsidRPr="00AA3830">
        <w:rPr>
          <w:b/>
          <w:noProof/>
          <w:lang w:eastAsia="en-AU"/>
        </w:rPr>
        <w:t xml:space="preserve"> </w:t>
      </w:r>
    </w:p>
    <w:p w:rsidR="00E6520E" w:rsidRPr="00703FB5" w:rsidRDefault="00C9438C" w:rsidP="00C9438C">
      <w:pPr>
        <w:pStyle w:val="Caption"/>
        <w:rPr>
          <w:b w:val="0"/>
        </w:rPr>
      </w:pPr>
      <w:r>
        <w:t xml:space="preserve">Figure </w:t>
      </w:r>
      <w:r w:rsidR="0047418A">
        <w:fldChar w:fldCharType="begin"/>
      </w:r>
      <w:r w:rsidR="0047418A">
        <w:instrText xml:space="preserve"> SEQ Figure \* ARABIC </w:instrText>
      </w:r>
      <w:r w:rsidR="0047418A">
        <w:fldChar w:fldCharType="separate"/>
      </w:r>
      <w:r>
        <w:rPr>
          <w:noProof/>
        </w:rPr>
        <w:t>2</w:t>
      </w:r>
      <w:r w:rsidR="0047418A">
        <w:rPr>
          <w:noProof/>
        </w:rPr>
        <w:fldChar w:fldCharType="end"/>
      </w:r>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AA3830">
        <w:t xml:space="preserve">11 </w:t>
      </w:r>
      <w:r w:rsidR="00924C93">
        <w:t>June</w:t>
      </w:r>
      <w:r w:rsidR="009C6095" w:rsidRPr="00A50807">
        <w:t xml:space="preserve"> </w:t>
      </w:r>
      <w:r w:rsidR="00C904D7" w:rsidRPr="001740EE">
        <w:t>2021.</w:t>
      </w:r>
    </w:p>
    <w:p w:rsidR="00A50807" w:rsidRPr="00D40C09" w:rsidRDefault="00A50807" w:rsidP="00753501">
      <w:pPr>
        <w:pStyle w:val="ListParagraph"/>
        <w:numPr>
          <w:ilvl w:val="0"/>
          <w:numId w:val="33"/>
        </w:numPr>
        <w:rPr>
          <w:b/>
        </w:rPr>
      </w:pPr>
      <w:r w:rsidRPr="00A50807">
        <w:t xml:space="preserve">As at </w:t>
      </w:r>
      <w:r w:rsidR="00AA3830">
        <w:t xml:space="preserve">11 </w:t>
      </w:r>
      <w:r w:rsidR="00924C93">
        <w:t>June</w:t>
      </w:r>
      <w:r w:rsidR="000E5238">
        <w:t xml:space="preserve"> </w:t>
      </w:r>
      <w:r w:rsidRPr="00C847D8">
        <w:t xml:space="preserve">2021, Canada had experienced </w:t>
      </w:r>
      <w:r w:rsidR="00E01ADD" w:rsidRPr="00E01ADD">
        <w:t>2</w:t>
      </w:r>
      <w:r w:rsidR="00924C93">
        <w:t>5,</w:t>
      </w:r>
      <w:r w:rsidR="00AA3830">
        <w:t>691</w:t>
      </w:r>
      <w:r w:rsidR="00E01ADD" w:rsidRPr="00E01ADD">
        <w:t xml:space="preserve"> </w:t>
      </w:r>
      <w:r w:rsidRPr="00C847D8">
        <w:t xml:space="preserve">deaths – </w:t>
      </w:r>
      <w:r w:rsidR="00924C93">
        <w:t>15,</w:t>
      </w:r>
      <w:r w:rsidR="00AA3830">
        <w:t>217</w:t>
      </w:r>
      <w:r w:rsidR="00AA3830" w:rsidRPr="00C847D8">
        <w:t xml:space="preserve"> </w:t>
      </w:r>
      <w:r w:rsidRPr="00C847D8">
        <w:t xml:space="preserve">(or </w:t>
      </w:r>
      <w:r w:rsidR="00924C93">
        <w:t>59</w:t>
      </w:r>
      <w:r w:rsidR="00A67FE6">
        <w:t> </w:t>
      </w:r>
      <w:r w:rsidRPr="00C847D8">
        <w:t>per cent) in care homes.</w:t>
      </w:r>
    </w:p>
    <w:p w:rsidR="00F209FD" w:rsidRPr="008628BE" w:rsidRDefault="00F209FD" w:rsidP="004F4537">
      <w:pPr>
        <w:pStyle w:val="Heading2"/>
      </w:pPr>
      <w:r w:rsidRPr="008628BE">
        <w:t xml:space="preserve">Workforce in active </w:t>
      </w:r>
      <w:r w:rsidR="009F2851">
        <w:t>residential aged care outbreaks</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C9438C" w:rsidP="00C9438C">
      <w:pPr>
        <w:pStyle w:val="Caption"/>
      </w:pPr>
      <w:r>
        <w:lastRenderedPageBreak/>
        <w:t xml:space="preserve">Table </w:t>
      </w:r>
      <w:r w:rsidR="0047418A">
        <w:fldChar w:fldCharType="begin"/>
      </w:r>
      <w:r w:rsidR="0047418A">
        <w:instrText xml:space="preserve"> SEQ Table \* ARABIC </w:instrText>
      </w:r>
      <w:r w:rsidR="0047418A">
        <w:fldChar w:fldCharType="separate"/>
      </w:r>
      <w:r>
        <w:rPr>
          <w:noProof/>
        </w:rPr>
        <w:t>2</w:t>
      </w:r>
      <w:r w:rsidR="0047418A">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924C93">
            <w:r w:rsidRPr="00761F6B">
              <w:t xml:space="preserve">Resources Supplied (as at </w:t>
            </w:r>
            <w:r w:rsidR="006F15F0">
              <w:t>06 June</w:t>
            </w:r>
            <w:r w:rsidRPr="00761F6B">
              <w:t xml:space="preserve"> 2021)</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 w:rsidRPr="008628BE">
              <w:t>Staff supplied to fill 2</w:t>
            </w:r>
            <w:r w:rsidR="0037788F" w:rsidRPr="008628BE">
              <w:t>4,</w:t>
            </w:r>
            <w:r w:rsidR="00AA3830">
              <w:t>844</w:t>
            </w:r>
            <w:r w:rsidR="00AA3830" w:rsidRPr="008628BE">
              <w:t xml:space="preserve"> </w:t>
            </w:r>
            <w:r w:rsidR="00F209FD" w:rsidRPr="008628BE">
              <w:t>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924C93" w:rsidRPr="008628BE" w:rsidRDefault="00924C93" w:rsidP="00924C93">
            <w:r>
              <w:rPr>
                <w:rFonts w:cs="Arial"/>
              </w:rPr>
              <w:t xml:space="preserve">Aspen Medical </w:t>
            </w:r>
          </w:p>
        </w:tc>
        <w:tc>
          <w:tcPr>
            <w:tcW w:w="5760" w:type="dxa"/>
          </w:tcPr>
          <w:p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AA3830">
              <w:rPr>
                <w:rFonts w:cs="Arial"/>
              </w:rPr>
              <w:t>783</w:t>
            </w:r>
            <w:r w:rsidR="00AA3830" w:rsidRPr="00B219A0">
              <w:rPr>
                <w:rFonts w:cs="Arial"/>
              </w:rPr>
              <w:t xml:space="preserve"> </w:t>
            </w:r>
            <w:r w:rsidRPr="00B219A0">
              <w:rPr>
                <w:rFonts w:cs="Arial"/>
              </w:rPr>
              <w:t>roles including clinical first responders.</w:t>
            </w:r>
          </w:p>
        </w:tc>
      </w:tr>
      <w:tr w:rsidR="00924C93" w:rsidRPr="008628BE" w:rsidTr="0042292B">
        <w:trPr>
          <w:trHeight w:val="287"/>
        </w:trPr>
        <w:tc>
          <w:tcPr>
            <w:tcW w:w="3256" w:type="dxa"/>
          </w:tcPr>
          <w:p w:rsidR="00924C93" w:rsidRPr="008628BE" w:rsidRDefault="00924C93" w:rsidP="00924C93">
            <w:r>
              <w:rPr>
                <w:rFonts w:cs="Arial"/>
              </w:rPr>
              <w:t xml:space="preserve">Health X </w:t>
            </w:r>
          </w:p>
        </w:tc>
        <w:tc>
          <w:tcPr>
            <w:tcW w:w="5760" w:type="dxa"/>
          </w:tcPr>
          <w:p w:rsidR="00924C93" w:rsidRPr="00924C93" w:rsidRDefault="00924C93">
            <w:r w:rsidRPr="00B219A0">
              <w:rPr>
                <w:rFonts w:cs="Arial"/>
              </w:rPr>
              <w:t xml:space="preserve">Supplied 43 staff to fill </w:t>
            </w:r>
            <w:r w:rsidRPr="00924C93">
              <w:rPr>
                <w:rFonts w:cs="Arial"/>
              </w:rPr>
              <w:t>1,</w:t>
            </w:r>
            <w:r w:rsidR="00AA3830" w:rsidRPr="00924C93">
              <w:rPr>
                <w:rFonts w:cs="Arial"/>
              </w:rPr>
              <w:t>8</w:t>
            </w:r>
            <w:r w:rsidR="00AA3830">
              <w:rPr>
                <w:rFonts w:cs="Arial"/>
              </w:rPr>
              <w:t>85</w:t>
            </w:r>
            <w:r w:rsidR="00AA3830" w:rsidRPr="00B219A0">
              <w:rPr>
                <w:rFonts w:cs="Arial"/>
              </w:rPr>
              <w:t xml:space="preserve"> </w:t>
            </w:r>
            <w:r w:rsidRPr="00B219A0">
              <w:rPr>
                <w:rFonts w:cs="Arial"/>
              </w:rPr>
              <w:t>shifts.</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rsidTr="0042292B">
        <w:trPr>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lastRenderedPageBreak/>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F46785" w:rsidRDefault="00F46785" w:rsidP="00F46785">
      <w:r>
        <w:t>As at</w:t>
      </w:r>
      <w:r w:rsidR="00722FDC">
        <w:t xml:space="preserve"> </w:t>
      </w:r>
      <w:r w:rsidR="002815A2">
        <w:t>8</w:t>
      </w:r>
      <w:r w:rsidR="00924C93">
        <w:t xml:space="preserve"> June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9D33E9" w:rsidP="00F46785">
      <w:pPr>
        <w:pStyle w:val="ListParagraph"/>
        <w:numPr>
          <w:ilvl w:val="0"/>
          <w:numId w:val="26"/>
        </w:numPr>
      </w:pPr>
      <w:r>
        <w:t xml:space="preserve">11 </w:t>
      </w:r>
      <w:r w:rsidR="00F46785">
        <w:t>million gloves</w:t>
      </w:r>
    </w:p>
    <w:p w:rsidR="00F46785" w:rsidRDefault="00F46785" w:rsidP="00F46785">
      <w:pPr>
        <w:pStyle w:val="ListParagraph"/>
        <w:numPr>
          <w:ilvl w:val="0"/>
          <w:numId w:val="26"/>
        </w:numPr>
      </w:pPr>
      <w:r>
        <w:t>4 million goggles and face shields</w:t>
      </w:r>
    </w:p>
    <w:p w:rsidR="00F46785" w:rsidRDefault="00722FDC" w:rsidP="00F46785">
      <w:pPr>
        <w:pStyle w:val="ListParagraph"/>
        <w:numPr>
          <w:ilvl w:val="0"/>
          <w:numId w:val="26"/>
        </w:numPr>
      </w:pPr>
      <w:r>
        <w:t>8</w:t>
      </w:r>
      <w:r w:rsidR="00F46785">
        <w:t>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3B66B2">
        <w:t>01</w:t>
      </w:r>
      <w:r w:rsidR="000E5238">
        <w:t xml:space="preserve"> </w:t>
      </w:r>
      <w:r w:rsidR="003B66B2">
        <w:t>June</w:t>
      </w:r>
      <w:r w:rsidR="007D62C7" w:rsidRPr="00B36B17">
        <w:t xml:space="preserve"> </w:t>
      </w:r>
      <w:r w:rsidR="004314CE" w:rsidRPr="00B36B17">
        <w:t>2021</w:t>
      </w:r>
      <w:r w:rsidRPr="00B36B17">
        <w:t>, So</w:t>
      </w:r>
      <w:r w:rsidR="00A035BE" w:rsidRPr="00B36B17">
        <w:t xml:space="preserve">nic Healthcare has conducted </w:t>
      </w:r>
      <w:r w:rsidR="008D2D2F">
        <w:t>3</w:t>
      </w:r>
      <w:r w:rsidR="002815A2">
        <w:t>82,477</w:t>
      </w:r>
      <w:r w:rsidR="001E2A71">
        <w:t xml:space="preserve"> </w:t>
      </w:r>
      <w:r w:rsidR="00467248" w:rsidRPr="00B36B17">
        <w:t>COVID</w:t>
      </w:r>
      <w:r w:rsidR="00A035BE" w:rsidRPr="00B36B17">
        <w:noBreakHyphen/>
        <w:t xml:space="preserve">19 tests at </w:t>
      </w:r>
      <w:r w:rsidR="000E5238">
        <w:t>2,</w:t>
      </w:r>
      <w:r w:rsidR="002815A2">
        <w:t>444 </w:t>
      </w:r>
      <w:r w:rsidRPr="00B36B17">
        <w:t>unique residential aged care faciliti</w:t>
      </w:r>
      <w:r w:rsidR="00383151" w:rsidRPr="00B36B17">
        <w:t>es nationally.</w:t>
      </w:r>
    </w:p>
    <w:p w:rsidR="00E07E0B" w:rsidRPr="001B4A77" w:rsidRDefault="00E07E0B" w:rsidP="00327801">
      <w:pPr>
        <w:pStyle w:val="Heading2"/>
      </w:pPr>
      <w:r w:rsidRPr="001B4A77">
        <w:t>Vaccination in Residential Aged Care Facilities</w:t>
      </w:r>
    </w:p>
    <w:p w:rsidR="006F4791" w:rsidRDefault="006F4791" w:rsidP="005B7285">
      <w:r w:rsidRPr="001B4A77">
        <w:t xml:space="preserve">The Australian Government has identified consumers and staff in RACFs as being high </w:t>
      </w:r>
      <w:r w:rsidRPr="000A7B94">
        <w:t xml:space="preserve">priority targets for Phase 1 of its vaccine rollout. </w:t>
      </w:r>
    </w:p>
    <w:p w:rsidR="00875703" w:rsidRDefault="006F4791" w:rsidP="00875703">
      <w:r w:rsidRPr="006F4791">
        <w:t>All first dose COVID</w:t>
      </w:r>
      <w:r>
        <w:t xml:space="preserve">-19 vaccination clinics across </w:t>
      </w:r>
      <w:r w:rsidRPr="006F4791">
        <w:t>residential aged care facilities in the Commonwealth's aged care roll out are now completed</w:t>
      </w:r>
      <w:r>
        <w:t xml:space="preserve">. </w:t>
      </w:r>
      <w:r w:rsidR="00875703" w:rsidRPr="000A7B94">
        <w:t xml:space="preserve">As at </w:t>
      </w:r>
      <w:r w:rsidR="002815A2">
        <w:t>10</w:t>
      </w:r>
      <w:r w:rsidR="002815A2" w:rsidRPr="000A7B94">
        <w:t xml:space="preserve"> </w:t>
      </w:r>
      <w:r w:rsidR="00761F6B">
        <w:t>June</w:t>
      </w:r>
      <w:r w:rsidR="00761F6B" w:rsidRPr="000A7B94">
        <w:t xml:space="preserve"> </w:t>
      </w:r>
      <w:r w:rsidR="00875703" w:rsidRPr="000A7B94">
        <w:t xml:space="preserve">2021, </w:t>
      </w:r>
      <w:r w:rsidR="002815A2">
        <w:rPr>
          <w:rFonts w:eastAsia="Times New Roman"/>
        </w:rPr>
        <w:t>299,780</w:t>
      </w:r>
      <w:r w:rsidR="00761F6B">
        <w:rPr>
          <w:rFonts w:eastAsia="Times New Roman"/>
          <w:color w:val="1F497D"/>
        </w:rPr>
        <w:t xml:space="preserve"> </w:t>
      </w:r>
      <w:r w:rsidR="00875703" w:rsidRPr="000A7B94">
        <w:t xml:space="preserve">COVID-19 vaccine doses have been administered to people in </w:t>
      </w:r>
      <w:r w:rsidR="00761F6B">
        <w:rPr>
          <w:rFonts w:eastAsia="Times New Roman"/>
        </w:rPr>
        <w:t>2,</w:t>
      </w:r>
      <w:r w:rsidR="002815A2">
        <w:rPr>
          <w:rFonts w:eastAsia="Times New Roman"/>
        </w:rPr>
        <w:t xml:space="preserve">566 </w:t>
      </w:r>
      <w:r w:rsidR="00875703" w:rsidRPr="000A7B94">
        <w:t xml:space="preserve">residential aged care facilities across Australia. </w:t>
      </w:r>
      <w:r w:rsidR="00761F6B">
        <w:rPr>
          <w:rFonts w:eastAsia="Times New Roman"/>
        </w:rPr>
        <w:t>2,</w:t>
      </w:r>
      <w:r w:rsidR="002815A2">
        <w:rPr>
          <w:rFonts w:eastAsia="Times New Roman"/>
        </w:rPr>
        <w:t>370</w:t>
      </w:r>
      <w:r w:rsidR="002815A2">
        <w:rPr>
          <w:rFonts w:eastAsia="Times New Roman"/>
          <w:color w:val="1F497D"/>
        </w:rPr>
        <w:t xml:space="preserve"> </w:t>
      </w:r>
      <w:r w:rsidR="00875703" w:rsidRPr="000A7B94">
        <w:t>of these facilities have had their second dose visit.</w:t>
      </w:r>
    </w:p>
    <w:p w:rsidR="00546D90" w:rsidRDefault="00546D90" w:rsidP="00875703">
      <w:r>
        <w:t>The Australian Government continues to provide additional support to the Victorian Government in the rollout of vaccines to Aged Care services in response to the current outbreaks</w:t>
      </w:r>
      <w:r w:rsidR="006F4791">
        <w:t xml:space="preserve">. </w:t>
      </w:r>
    </w:p>
    <w:p w:rsidR="00F209FD" w:rsidRPr="008628BE" w:rsidRDefault="00F209FD" w:rsidP="009A3429">
      <w:pPr>
        <w:pStyle w:val="Heading2"/>
      </w:pPr>
      <w:r w:rsidRPr="008628BE">
        <w:t>Infection control and audits</w:t>
      </w:r>
    </w:p>
    <w:p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rsidR="000E5238" w:rsidRDefault="000E5238" w:rsidP="006E6275">
      <w:r w:rsidRPr="000E5238">
        <w:t xml:space="preserve">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t>
      </w:r>
      <w:r w:rsidRPr="008628BE">
        <w:lastRenderedPageBreak/>
        <w:t xml:space="preserve">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93104A" w:rsidRPr="00C9438C" w:rsidRDefault="00E95A54" w:rsidP="00C9438C">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rsidR="008064D1" w:rsidRPr="008E44FF" w:rsidRDefault="00C9438C" w:rsidP="0001646F">
      <w:pPr>
        <w:pStyle w:val="Caption"/>
        <w:pageBreakBefore/>
        <w:widowControl/>
        <w:rPr>
          <w:b w:val="0"/>
        </w:rPr>
      </w:pPr>
      <w:r>
        <w:lastRenderedPageBreak/>
        <w:t xml:space="preserve">Table </w:t>
      </w:r>
      <w:r w:rsidR="0047418A">
        <w:fldChar w:fldCharType="begin"/>
      </w:r>
      <w:r w:rsidR="0047418A">
        <w:instrText xml:space="preserve"> SEQ Table \* ARABIC </w:instrText>
      </w:r>
      <w:r w:rsidR="0047418A">
        <w:fldChar w:fldCharType="separate"/>
      </w:r>
      <w:r>
        <w:rPr>
          <w:noProof/>
        </w:rPr>
        <w:t>3</w:t>
      </w:r>
      <w:r w:rsidR="0047418A">
        <w:rPr>
          <w:noProof/>
        </w:rPr>
        <w:fldChar w:fldCharType="end"/>
      </w:r>
      <w:r w:rsidR="00A86013" w:rsidRPr="00C8044A">
        <w:t>:</w:t>
      </w:r>
      <w:r w:rsidR="00834CD3" w:rsidRPr="00C8044A">
        <w:t xml:space="preserve"> Total Quality Assessment and Monitoring Activities with residential ser</w:t>
      </w:r>
      <w:r w:rsidR="00C97CA8" w:rsidRPr="00C8044A">
        <w:t>vices</w:t>
      </w:r>
      <w:r w:rsidR="00990891" w:rsidRPr="00C8044A">
        <w:t xml:space="preserve"> (including IPC)</w:t>
      </w:r>
      <w:r w:rsidR="00C97CA8" w:rsidRPr="00C8044A">
        <w:t xml:space="preserve">, by type and month </w:t>
      </w:r>
      <w:r w:rsidR="007810B5" w:rsidRPr="00C8044A">
        <w:t xml:space="preserve">1 </w:t>
      </w:r>
      <w:r w:rsidR="008D2D2F">
        <w:t>July</w:t>
      </w:r>
      <w:r w:rsidR="008D2D2F" w:rsidRPr="00C8044A">
        <w:t xml:space="preserve"> </w:t>
      </w:r>
      <w:r w:rsidR="00F95E2E">
        <w:t xml:space="preserve">2020 </w:t>
      </w:r>
      <w:r w:rsidR="00C97CA8" w:rsidRPr="00C8044A">
        <w:t xml:space="preserve">– to </w:t>
      </w:r>
      <w:r w:rsidR="001843DF">
        <w:t>10</w:t>
      </w:r>
      <w:r w:rsidR="008D2D2F">
        <w:t xml:space="preserve"> June</w:t>
      </w:r>
      <w:r w:rsidR="008D2D2F" w:rsidRPr="00C8044A">
        <w:t xml:space="preserve"> </w:t>
      </w:r>
      <w:r w:rsidR="00834CD3" w:rsidRPr="00C8044A">
        <w:t>202</w:t>
      </w:r>
      <w:r w:rsidR="00D43DD2" w:rsidRPr="00C8044A">
        <w:t>1</w:t>
      </w:r>
    </w:p>
    <w:tbl>
      <w:tblPr>
        <w:tblStyle w:val="GridTable4-Accent51"/>
        <w:tblW w:w="56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15"/>
        <w:gridCol w:w="698"/>
        <w:gridCol w:w="698"/>
        <w:gridCol w:w="698"/>
        <w:gridCol w:w="558"/>
        <w:gridCol w:w="720"/>
        <w:gridCol w:w="696"/>
        <w:gridCol w:w="556"/>
        <w:gridCol w:w="698"/>
        <w:gridCol w:w="534"/>
        <w:gridCol w:w="696"/>
        <w:gridCol w:w="830"/>
        <w:gridCol w:w="826"/>
        <w:gridCol w:w="822"/>
      </w:tblGrid>
      <w:tr w:rsidR="008D2D2F" w:rsidRPr="0067119C" w:rsidTr="00FF7A4A">
        <w:trPr>
          <w:cnfStyle w:val="100000000000" w:firstRow="1" w:lastRow="0" w:firstColumn="0" w:lastColumn="0" w:oddVBand="0" w:evenVBand="0" w:oddHBand="0" w:evenHBand="0" w:firstRowFirstColumn="0" w:firstRowLastColumn="0" w:lastRowFirstColumn="0" w:lastRowLastColumn="0"/>
          <w:trHeight w:val="770"/>
          <w:tblHeader/>
        </w:trPr>
        <w:tc>
          <w:tcPr>
            <w:cnfStyle w:val="001000000000" w:firstRow="0" w:lastRow="0" w:firstColumn="1" w:lastColumn="0" w:oddVBand="0" w:evenVBand="0" w:oddHBand="0" w:evenHBand="0" w:firstRowFirstColumn="0" w:firstRowLastColumn="0" w:lastRowFirstColumn="0" w:lastRowLastColumn="0"/>
            <w:tcW w:w="550" w:type="pct"/>
            <w:tcBorders>
              <w:top w:val="none" w:sz="0" w:space="0" w:color="auto"/>
              <w:left w:val="none" w:sz="0" w:space="0" w:color="auto"/>
              <w:bottom w:val="none" w:sz="0" w:space="0" w:color="auto"/>
              <w:right w:val="none" w:sz="0" w:space="0" w:color="auto"/>
            </w:tcBorders>
            <w:noWrap/>
            <w:vAlign w:val="bottom"/>
            <w:hideMark/>
          </w:tcPr>
          <w:p w:rsidR="008D2D2F" w:rsidRPr="008E44FF" w:rsidRDefault="008D2D2F" w:rsidP="001B4A77">
            <w:pPr>
              <w:rPr>
                <w:rFonts w:cs="Arial"/>
                <w:sz w:val="17"/>
                <w:szCs w:val="17"/>
              </w:rPr>
            </w:pPr>
            <w:r w:rsidRPr="008E44FF">
              <w:rPr>
                <w:rFonts w:cs="Arial"/>
                <w:sz w:val="17"/>
                <w:szCs w:val="17"/>
              </w:rPr>
              <w:t>Regulatory Activities</w:t>
            </w:r>
          </w:p>
        </w:tc>
        <w:tc>
          <w:tcPr>
            <w:tcW w:w="344" w:type="pct"/>
            <w:tcBorders>
              <w:top w:val="none" w:sz="0" w:space="0" w:color="auto"/>
              <w:left w:val="none" w:sz="0" w:space="0" w:color="auto"/>
              <w:bottom w:val="none" w:sz="0" w:space="0" w:color="auto"/>
              <w:right w:val="none" w:sz="0" w:space="0" w:color="auto"/>
            </w:tcBorders>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4" w:type="pct"/>
            <w:tcBorders>
              <w:top w:val="none" w:sz="0" w:space="0" w:color="auto"/>
              <w:left w:val="none" w:sz="0" w:space="0" w:color="auto"/>
              <w:bottom w:val="none" w:sz="0" w:space="0" w:color="auto"/>
              <w:right w:val="none" w:sz="0" w:space="0" w:color="auto"/>
            </w:tcBorders>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4" w:type="pct"/>
            <w:tcBorders>
              <w:top w:val="none" w:sz="0" w:space="0" w:color="auto"/>
              <w:left w:val="none" w:sz="0" w:space="0" w:color="auto"/>
              <w:bottom w:val="none" w:sz="0" w:space="0" w:color="auto"/>
              <w:right w:val="none" w:sz="0" w:space="0" w:color="auto"/>
            </w:tcBorders>
            <w:noWrap/>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5" w:type="pct"/>
            <w:tcBorders>
              <w:top w:val="none" w:sz="0" w:space="0" w:color="auto"/>
              <w:left w:val="none" w:sz="0" w:space="0" w:color="auto"/>
              <w:bottom w:val="none" w:sz="0" w:space="0" w:color="auto"/>
              <w:right w:val="none" w:sz="0" w:space="0" w:color="auto"/>
            </w:tcBorders>
            <w:vAlign w:val="center"/>
            <w:hideMark/>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43"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4"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3"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3" w:type="pct"/>
            <w:tcBorders>
              <w:top w:val="none" w:sz="0" w:space="0" w:color="auto"/>
              <w:left w:val="none" w:sz="0" w:space="0" w:color="auto"/>
              <w:bottom w:val="none" w:sz="0" w:space="0" w:color="auto"/>
              <w:right w:val="none" w:sz="0" w:space="0" w:color="auto"/>
            </w:tcBorders>
            <w:vAlign w:val="center"/>
          </w:tcPr>
          <w:p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09" w:type="pct"/>
            <w:tcBorders>
              <w:top w:val="none" w:sz="0" w:space="0" w:color="auto"/>
              <w:left w:val="none" w:sz="0" w:space="0" w:color="auto"/>
              <w:bottom w:val="none" w:sz="0" w:space="0" w:color="auto"/>
              <w:right w:val="none" w:sz="0" w:space="0" w:color="auto"/>
            </w:tcBorders>
            <w:vAlign w:val="center"/>
          </w:tcPr>
          <w:p w:rsidR="008D2D2F" w:rsidRPr="008E44FF" w:rsidRDefault="008D2D2F">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07" w:type="pct"/>
            <w:tcBorders>
              <w:top w:val="none" w:sz="0" w:space="0" w:color="auto"/>
              <w:left w:val="none" w:sz="0" w:space="0" w:color="auto"/>
              <w:bottom w:val="none" w:sz="0" w:space="0" w:color="auto"/>
              <w:right w:val="none" w:sz="0" w:space="0" w:color="auto"/>
            </w:tcBorders>
            <w:vAlign w:val="center"/>
          </w:tcPr>
          <w:p w:rsidR="008D2D2F" w:rsidRPr="008E44FF" w:rsidRDefault="008D2D2F" w:rsidP="00B219A0">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Jun - 21</w:t>
            </w:r>
          </w:p>
        </w:tc>
        <w:tc>
          <w:tcPr>
            <w:tcW w:w="405" w:type="pct"/>
            <w:tcBorders>
              <w:top w:val="none" w:sz="0" w:space="0" w:color="auto"/>
              <w:left w:val="none" w:sz="0" w:space="0" w:color="auto"/>
              <w:bottom w:val="none" w:sz="0" w:space="0" w:color="auto"/>
              <w:right w:val="none" w:sz="0" w:space="0" w:color="auto"/>
            </w:tcBorders>
            <w:noWrap/>
            <w:vAlign w:val="center"/>
            <w:hideMark/>
          </w:tcPr>
          <w:p w:rsidR="008D2D2F" w:rsidRPr="008E44FF" w:rsidRDefault="008D2D2F"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r w:rsidR="005430B0">
              <w:rPr>
                <w:rStyle w:val="FootnoteReference"/>
                <w:rFonts w:cs="Arial"/>
                <w:sz w:val="17"/>
                <w:szCs w:val="17"/>
              </w:rPr>
              <w:footnoteReference w:id="6"/>
            </w:r>
          </w:p>
        </w:tc>
      </w:tr>
      <w:tr w:rsidR="006F7CE8" w:rsidRPr="008628BE" w:rsidTr="007A4896">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50" w:type="pct"/>
            <w:noWrap/>
            <w:vAlign w:val="center"/>
            <w:hideMark/>
          </w:tcPr>
          <w:p w:rsidR="006D0CCE" w:rsidRPr="008E44FF" w:rsidRDefault="006D0CCE" w:rsidP="006D0CCE">
            <w:pPr>
              <w:rPr>
                <w:rFonts w:cs="Arial"/>
                <w:sz w:val="17"/>
                <w:szCs w:val="17"/>
              </w:rPr>
            </w:pPr>
            <w:r w:rsidRPr="008E44FF">
              <w:rPr>
                <w:rFonts w:cs="Arial"/>
                <w:sz w:val="17"/>
                <w:szCs w:val="17"/>
              </w:rPr>
              <w:t>Site visits</w:t>
            </w:r>
          </w:p>
        </w:tc>
        <w:tc>
          <w:tcPr>
            <w:tcW w:w="344" w:type="pct"/>
            <w:shd w:val="clear" w:color="auto" w:fill="auto"/>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132</w:t>
            </w:r>
          </w:p>
        </w:tc>
        <w:tc>
          <w:tcPr>
            <w:tcW w:w="344" w:type="pct"/>
            <w:shd w:val="clear" w:color="auto" w:fill="auto"/>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329</w:t>
            </w:r>
          </w:p>
        </w:tc>
        <w:tc>
          <w:tcPr>
            <w:tcW w:w="344" w:type="pct"/>
            <w:shd w:val="clear" w:color="auto" w:fill="auto"/>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580</w:t>
            </w:r>
          </w:p>
        </w:tc>
        <w:tc>
          <w:tcPr>
            <w:tcW w:w="275" w:type="pct"/>
            <w:shd w:val="clear" w:color="auto" w:fill="auto"/>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485</w:t>
            </w:r>
          </w:p>
        </w:tc>
        <w:tc>
          <w:tcPr>
            <w:tcW w:w="355"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329</w:t>
            </w:r>
          </w:p>
        </w:tc>
        <w:tc>
          <w:tcPr>
            <w:tcW w:w="343"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360</w:t>
            </w:r>
          </w:p>
        </w:tc>
        <w:tc>
          <w:tcPr>
            <w:tcW w:w="274"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292</w:t>
            </w:r>
          </w:p>
        </w:tc>
        <w:tc>
          <w:tcPr>
            <w:tcW w:w="344"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258</w:t>
            </w:r>
          </w:p>
        </w:tc>
        <w:tc>
          <w:tcPr>
            <w:tcW w:w="263"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293</w:t>
            </w:r>
          </w:p>
        </w:tc>
        <w:tc>
          <w:tcPr>
            <w:tcW w:w="343"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149</w:t>
            </w:r>
          </w:p>
        </w:tc>
        <w:tc>
          <w:tcPr>
            <w:tcW w:w="409"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131</w:t>
            </w:r>
          </w:p>
        </w:tc>
        <w:tc>
          <w:tcPr>
            <w:tcW w:w="407" w:type="pct"/>
            <w:shd w:val="clear" w:color="auto" w:fill="auto"/>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7"/>
              </w:rPr>
            </w:pPr>
            <w:r w:rsidRPr="00FF7A4A">
              <w:rPr>
                <w:rFonts w:cs="Arial"/>
                <w:color w:val="000000"/>
                <w:sz w:val="16"/>
              </w:rPr>
              <w:t>57</w:t>
            </w:r>
          </w:p>
        </w:tc>
        <w:tc>
          <w:tcPr>
            <w:tcW w:w="405" w:type="pct"/>
            <w:shd w:val="clear" w:color="auto" w:fill="auto"/>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sz w:val="16"/>
                <w:szCs w:val="17"/>
              </w:rPr>
            </w:pPr>
            <w:r w:rsidRPr="00FF7A4A">
              <w:rPr>
                <w:rFonts w:cs="Arial"/>
                <w:color w:val="000000"/>
                <w:sz w:val="16"/>
              </w:rPr>
              <w:t>3,395</w:t>
            </w:r>
          </w:p>
        </w:tc>
      </w:tr>
      <w:tr w:rsidR="00FF7A4A" w:rsidRPr="0067119C" w:rsidTr="00FF7A4A">
        <w:trPr>
          <w:trHeight w:val="476"/>
        </w:trPr>
        <w:tc>
          <w:tcPr>
            <w:cnfStyle w:val="001000000000" w:firstRow="0" w:lastRow="0" w:firstColumn="1" w:lastColumn="0" w:oddVBand="0" w:evenVBand="0" w:oddHBand="0" w:evenHBand="0" w:firstRowFirstColumn="0" w:firstRowLastColumn="0" w:lastRowFirstColumn="0" w:lastRowLastColumn="0"/>
            <w:tcW w:w="550" w:type="pct"/>
            <w:noWrap/>
          </w:tcPr>
          <w:p w:rsidR="006D0CCE" w:rsidRPr="0067119C" w:rsidRDefault="006D0CCE" w:rsidP="006D0CCE">
            <w:pPr>
              <w:rPr>
                <w:rFonts w:cs="Arial"/>
                <w:sz w:val="17"/>
                <w:szCs w:val="17"/>
              </w:rPr>
            </w:pPr>
            <w:r w:rsidRPr="008E44FF">
              <w:rPr>
                <w:sz w:val="17"/>
                <w:szCs w:val="17"/>
              </w:rPr>
              <w:t>Non-site activities</w:t>
            </w:r>
          </w:p>
        </w:tc>
        <w:tc>
          <w:tcPr>
            <w:tcW w:w="344" w:type="pct"/>
            <w:shd w:val="clear" w:color="auto" w:fill="auto"/>
            <w:noWrap/>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1,414</w:t>
            </w:r>
          </w:p>
        </w:tc>
        <w:tc>
          <w:tcPr>
            <w:tcW w:w="344" w:type="pct"/>
            <w:shd w:val="clear" w:color="auto" w:fill="auto"/>
            <w:noWrap/>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2,796</w:t>
            </w:r>
          </w:p>
        </w:tc>
        <w:tc>
          <w:tcPr>
            <w:tcW w:w="344" w:type="pct"/>
            <w:shd w:val="clear" w:color="auto" w:fill="auto"/>
            <w:noWrap/>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439</w:t>
            </w:r>
          </w:p>
        </w:tc>
        <w:tc>
          <w:tcPr>
            <w:tcW w:w="275" w:type="pct"/>
            <w:shd w:val="clear" w:color="auto" w:fill="auto"/>
            <w:noWrap/>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341</w:t>
            </w:r>
          </w:p>
        </w:tc>
        <w:tc>
          <w:tcPr>
            <w:tcW w:w="355"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467</w:t>
            </w:r>
          </w:p>
        </w:tc>
        <w:tc>
          <w:tcPr>
            <w:tcW w:w="343"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1,123</w:t>
            </w:r>
          </w:p>
        </w:tc>
        <w:tc>
          <w:tcPr>
            <w:tcW w:w="274"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356</w:t>
            </w:r>
          </w:p>
        </w:tc>
        <w:tc>
          <w:tcPr>
            <w:tcW w:w="344"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353</w:t>
            </w:r>
          </w:p>
        </w:tc>
        <w:tc>
          <w:tcPr>
            <w:tcW w:w="263"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sz w:val="16"/>
                <w:szCs w:val="17"/>
              </w:rPr>
            </w:pPr>
            <w:r w:rsidRPr="00FF7A4A">
              <w:rPr>
                <w:rFonts w:cs="Arial"/>
                <w:color w:val="000000"/>
                <w:sz w:val="16"/>
              </w:rPr>
              <w:t>228</w:t>
            </w:r>
          </w:p>
        </w:tc>
        <w:tc>
          <w:tcPr>
            <w:tcW w:w="343"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sz w:val="16"/>
                <w:szCs w:val="17"/>
              </w:rPr>
            </w:pPr>
            <w:r w:rsidRPr="00FF7A4A">
              <w:rPr>
                <w:rFonts w:cs="Arial"/>
                <w:color w:val="000000"/>
                <w:sz w:val="16"/>
              </w:rPr>
              <w:t>94</w:t>
            </w:r>
          </w:p>
        </w:tc>
        <w:tc>
          <w:tcPr>
            <w:tcW w:w="409"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sz w:val="16"/>
                <w:szCs w:val="17"/>
              </w:rPr>
            </w:pPr>
            <w:r w:rsidRPr="00FF7A4A">
              <w:rPr>
                <w:rFonts w:cs="Arial"/>
                <w:color w:val="000000"/>
                <w:sz w:val="16"/>
              </w:rPr>
              <w:t>31</w:t>
            </w:r>
          </w:p>
        </w:tc>
        <w:tc>
          <w:tcPr>
            <w:tcW w:w="407" w:type="pct"/>
            <w:shd w:val="clear" w:color="auto" w:fill="auto"/>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sz w:val="16"/>
                <w:szCs w:val="17"/>
              </w:rPr>
            </w:pPr>
            <w:r w:rsidRPr="00FF7A4A">
              <w:rPr>
                <w:rFonts w:cs="Arial"/>
                <w:color w:val="000000"/>
                <w:sz w:val="16"/>
              </w:rPr>
              <w:t>5</w:t>
            </w:r>
          </w:p>
        </w:tc>
        <w:tc>
          <w:tcPr>
            <w:tcW w:w="405" w:type="pct"/>
            <w:shd w:val="clear" w:color="auto" w:fill="auto"/>
            <w:noWrap/>
            <w:vAlign w:val="center"/>
          </w:tcPr>
          <w:p w:rsidR="006D0CCE" w:rsidRPr="00FF7A4A" w:rsidRDefault="006D0CCE" w:rsidP="006D0CCE">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7"/>
              </w:rPr>
            </w:pPr>
            <w:r w:rsidRPr="00FF7A4A">
              <w:rPr>
                <w:rFonts w:cs="Arial"/>
                <w:color w:val="000000"/>
                <w:sz w:val="16"/>
              </w:rPr>
              <w:t>7,647</w:t>
            </w:r>
          </w:p>
        </w:tc>
      </w:tr>
      <w:tr w:rsidR="006F7CE8" w:rsidRPr="0067119C" w:rsidTr="007A489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50" w:type="pct"/>
            <w:noWrap/>
          </w:tcPr>
          <w:p w:rsidR="006D0CCE" w:rsidRPr="008D2D2F" w:rsidRDefault="006D0CCE" w:rsidP="006D0CCE">
            <w:pPr>
              <w:rPr>
                <w:rFonts w:cs="Arial"/>
                <w:sz w:val="17"/>
                <w:szCs w:val="17"/>
              </w:rPr>
            </w:pPr>
            <w:r w:rsidRPr="00B219A0">
              <w:rPr>
                <w:sz w:val="17"/>
                <w:szCs w:val="17"/>
              </w:rPr>
              <w:t xml:space="preserve">Total </w:t>
            </w:r>
            <w:r w:rsidRPr="008D2D2F">
              <w:rPr>
                <w:color w:val="000000"/>
                <w:sz w:val="17"/>
                <w:szCs w:val="17"/>
              </w:rPr>
              <w:t>activities</w:t>
            </w:r>
          </w:p>
        </w:tc>
        <w:tc>
          <w:tcPr>
            <w:tcW w:w="344" w:type="pct"/>
            <w:shd w:val="clear" w:color="000000" w:fill="DBE5F1"/>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1,546</w:t>
            </w:r>
          </w:p>
        </w:tc>
        <w:tc>
          <w:tcPr>
            <w:tcW w:w="344" w:type="pct"/>
            <w:shd w:val="clear" w:color="000000" w:fill="DBE5F1"/>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3,125</w:t>
            </w:r>
          </w:p>
        </w:tc>
        <w:tc>
          <w:tcPr>
            <w:tcW w:w="344" w:type="pct"/>
            <w:shd w:val="clear" w:color="000000" w:fill="DBE5F1"/>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1,019</w:t>
            </w:r>
          </w:p>
        </w:tc>
        <w:tc>
          <w:tcPr>
            <w:tcW w:w="275" w:type="pct"/>
            <w:shd w:val="clear" w:color="000000" w:fill="DBE5F1"/>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826</w:t>
            </w:r>
          </w:p>
        </w:tc>
        <w:tc>
          <w:tcPr>
            <w:tcW w:w="355"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796</w:t>
            </w:r>
          </w:p>
        </w:tc>
        <w:tc>
          <w:tcPr>
            <w:tcW w:w="343"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1,483</w:t>
            </w:r>
          </w:p>
        </w:tc>
        <w:tc>
          <w:tcPr>
            <w:tcW w:w="274"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648</w:t>
            </w:r>
          </w:p>
        </w:tc>
        <w:tc>
          <w:tcPr>
            <w:tcW w:w="344"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7"/>
              </w:rPr>
            </w:pPr>
            <w:r w:rsidRPr="00FF7A4A">
              <w:rPr>
                <w:rFonts w:cs="Arial"/>
                <w:b/>
                <w:bCs/>
                <w:i/>
                <w:iCs/>
                <w:color w:val="000000"/>
                <w:sz w:val="16"/>
              </w:rPr>
              <w:t>611</w:t>
            </w:r>
          </w:p>
        </w:tc>
        <w:tc>
          <w:tcPr>
            <w:tcW w:w="263"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sz w:val="16"/>
                <w:szCs w:val="17"/>
              </w:rPr>
            </w:pPr>
            <w:r w:rsidRPr="00FF7A4A">
              <w:rPr>
                <w:rFonts w:cs="Arial"/>
                <w:b/>
                <w:bCs/>
                <w:i/>
                <w:iCs/>
                <w:color w:val="000000"/>
                <w:sz w:val="16"/>
              </w:rPr>
              <w:t>521</w:t>
            </w:r>
          </w:p>
        </w:tc>
        <w:tc>
          <w:tcPr>
            <w:tcW w:w="343"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sz w:val="16"/>
                <w:szCs w:val="17"/>
              </w:rPr>
            </w:pPr>
            <w:r w:rsidRPr="00FF7A4A">
              <w:rPr>
                <w:rFonts w:cs="Arial"/>
                <w:b/>
                <w:bCs/>
                <w:i/>
                <w:iCs/>
                <w:color w:val="000000"/>
                <w:sz w:val="16"/>
              </w:rPr>
              <w:t>243</w:t>
            </w:r>
          </w:p>
        </w:tc>
        <w:tc>
          <w:tcPr>
            <w:tcW w:w="409"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sz w:val="16"/>
                <w:szCs w:val="17"/>
              </w:rPr>
            </w:pPr>
            <w:r w:rsidRPr="00FF7A4A">
              <w:rPr>
                <w:rFonts w:cs="Arial"/>
                <w:b/>
                <w:bCs/>
                <w:i/>
                <w:iCs/>
                <w:color w:val="000000"/>
                <w:sz w:val="16"/>
              </w:rPr>
              <w:t>162</w:t>
            </w:r>
          </w:p>
        </w:tc>
        <w:tc>
          <w:tcPr>
            <w:tcW w:w="407" w:type="pct"/>
            <w:shd w:val="clear" w:color="000000" w:fill="DBE5F1"/>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sz w:val="16"/>
                <w:szCs w:val="17"/>
              </w:rPr>
            </w:pPr>
            <w:r w:rsidRPr="00FF7A4A">
              <w:rPr>
                <w:rFonts w:cs="Arial"/>
                <w:b/>
                <w:bCs/>
                <w:i/>
                <w:iCs/>
                <w:color w:val="000000"/>
                <w:sz w:val="16"/>
              </w:rPr>
              <w:t>62</w:t>
            </w:r>
          </w:p>
        </w:tc>
        <w:tc>
          <w:tcPr>
            <w:tcW w:w="405" w:type="pct"/>
            <w:shd w:val="clear" w:color="000000" w:fill="DBE5F1"/>
            <w:noWrap/>
            <w:vAlign w:val="center"/>
          </w:tcPr>
          <w:p w:rsidR="006D0CCE" w:rsidRPr="00FF7A4A" w:rsidRDefault="006D0CCE" w:rsidP="006D0CCE">
            <w:pPr>
              <w:jc w:val="center"/>
              <w:cnfStyle w:val="000000100000" w:firstRow="0" w:lastRow="0" w:firstColumn="0" w:lastColumn="0" w:oddVBand="0" w:evenVBand="0" w:oddHBand="1" w:evenHBand="0" w:firstRowFirstColumn="0" w:firstRowLastColumn="0" w:lastRowFirstColumn="0" w:lastRowLastColumn="0"/>
              <w:rPr>
                <w:rFonts w:cs="Arial"/>
                <w:b/>
                <w:sz w:val="16"/>
                <w:szCs w:val="17"/>
              </w:rPr>
            </w:pPr>
            <w:r w:rsidRPr="00FF7A4A">
              <w:rPr>
                <w:rFonts w:cs="Arial"/>
                <w:b/>
                <w:bCs/>
                <w:i/>
                <w:iCs/>
                <w:color w:val="000000"/>
                <w:sz w:val="16"/>
              </w:rPr>
              <w:t>11,042</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rFonts w:ascii="Calibri" w:hAnsi="Calibri" w:cs="Calibri"/>
                <w:color w:val="000000"/>
              </w:rPr>
            </w:pPr>
            <w:r>
              <w:rPr>
                <w:rFonts w:ascii="Calibri" w:hAnsi="Calibri" w:cs="Calibri"/>
                <w:color w:val="000000"/>
              </w:rPr>
              <w:t>10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Arcare Maidstone (2nd Outbreak)</w:t>
            </w:r>
          </w:p>
        </w:tc>
        <w:tc>
          <w:tcPr>
            <w:tcW w:w="1082" w:type="dxa"/>
            <w:noWrap/>
            <w:vAlign w:val="bottom"/>
          </w:tcPr>
          <w:p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186" w:type="dxa"/>
            <w:vAlign w:val="bottom"/>
          </w:tcPr>
          <w:p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vAlign w:val="bottom"/>
          </w:tcPr>
          <w:p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16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29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37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39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49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color w:val="000000"/>
                <w:lang w:eastAsia="en-AU"/>
              </w:rPr>
            </w:pPr>
            <w:r>
              <w:rPr>
                <w:rFonts w:ascii="Calibri" w:hAnsi="Calibri" w:cs="Calibri"/>
                <w:color w:val="000000"/>
              </w:rPr>
              <w:lastRenderedPageBreak/>
              <w:t>56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59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69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78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79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89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98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99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109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lastRenderedPageBreak/>
              <w:t>117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119</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120</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121</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122</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123</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124</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125</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126</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127</w:t>
            </w:r>
          </w:p>
        </w:tc>
        <w:tc>
          <w:tcPr>
            <w:tcW w:w="851"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AF1AA2"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472441" w:rsidRPr="008628BE" w:rsidRDefault="00472441" w:rsidP="00472441">
            <w:pPr>
              <w:rPr>
                <w:lang w:eastAsia="en-AU"/>
              </w:rPr>
            </w:pPr>
            <w:r>
              <w:rPr>
                <w:rFonts w:ascii="Calibri" w:hAnsi="Calibri" w:cs="Calibri"/>
                <w:color w:val="000000"/>
              </w:rPr>
              <w:t>128</w:t>
            </w:r>
          </w:p>
        </w:tc>
        <w:tc>
          <w:tcPr>
            <w:tcW w:w="851"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rsidR="00280050" w:rsidRPr="0047418A" w:rsidRDefault="00280050" w:rsidP="0047418A">
      <w:bookmarkStart w:id="0" w:name="_GoBack"/>
      <w:bookmarkEnd w:id="0"/>
    </w:p>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91" w:rsidRDefault="006F4791" w:rsidP="006E6275">
      <w:r>
        <w:separator/>
      </w:r>
    </w:p>
  </w:endnote>
  <w:endnote w:type="continuationSeparator" w:id="0">
    <w:p w:rsidR="006F4791" w:rsidRDefault="006F4791" w:rsidP="006E6275">
      <w:r>
        <w:continuationSeparator/>
      </w:r>
    </w:p>
  </w:endnote>
  <w:endnote w:type="continuationNotice" w:id="1">
    <w:p w:rsidR="006F4791" w:rsidRDefault="006F479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6F4791" w:rsidRDefault="006F4791" w:rsidP="006E6275">
        <w:pPr>
          <w:pStyle w:val="Footer"/>
        </w:pPr>
        <w:r>
          <w:fldChar w:fldCharType="begin"/>
        </w:r>
        <w:r>
          <w:instrText xml:space="preserve"> PAGE   \* MERGEFORMAT </w:instrText>
        </w:r>
        <w:r>
          <w:fldChar w:fldCharType="separate"/>
        </w:r>
        <w:r w:rsidR="0047418A">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91" w:rsidRDefault="006F4791" w:rsidP="006E6275">
      <w:r>
        <w:separator/>
      </w:r>
    </w:p>
  </w:footnote>
  <w:footnote w:type="continuationSeparator" w:id="0">
    <w:p w:rsidR="006F4791" w:rsidRDefault="006F4791" w:rsidP="006E6275">
      <w:r>
        <w:continuationSeparator/>
      </w:r>
    </w:p>
  </w:footnote>
  <w:footnote w:type="continuationNotice" w:id="1">
    <w:p w:rsidR="006F4791" w:rsidRDefault="006F4791" w:rsidP="006E6275"/>
  </w:footnote>
  <w:footnote w:id="2">
    <w:p w:rsidR="006F4791" w:rsidRDefault="006F4791" w:rsidP="00C9438C">
      <w:pPr>
        <w:pStyle w:val="FootnoteText"/>
      </w:pPr>
      <w:r>
        <w:rPr>
          <w:rStyle w:val="FootnoteReference"/>
        </w:rPr>
        <w:footnoteRef/>
      </w:r>
      <w:r>
        <w:t xml:space="preserve"> These figures exclude transition care.</w:t>
      </w:r>
    </w:p>
  </w:footnote>
  <w:footnote w:id="3">
    <w:p w:rsidR="006F4791" w:rsidRPr="00C9438C" w:rsidRDefault="006F4791" w:rsidP="00C9438C">
      <w:pPr>
        <w:pStyle w:val="FootnoteText"/>
      </w:pPr>
      <w:r w:rsidRPr="00D06B9B">
        <w:rPr>
          <w:rStyle w:val="FootnoteReference"/>
        </w:rPr>
        <w:footnoteRef/>
      </w:r>
      <w:r w:rsidRPr="00D06B9B">
        <w:t xml:space="preserve"> Some residential aged care facilities have had more than one outbreak.</w:t>
      </w:r>
    </w:p>
  </w:footnote>
  <w:footnote w:id="4">
    <w:p w:rsidR="006F4791" w:rsidRDefault="006F4791" w:rsidP="00C9438C">
      <w:pPr>
        <w:pStyle w:val="FootnoteText"/>
      </w:pPr>
      <w:r>
        <w:rPr>
          <w:rStyle w:val="FootnoteReference"/>
        </w:rPr>
        <w:footnoteRef/>
      </w:r>
      <w:r>
        <w:t xml:space="preserve"> *Classification of active cases varies by jurisdiction.</w:t>
      </w:r>
    </w:p>
  </w:footnote>
  <w:footnote w:id="5">
    <w:p w:rsidR="006F4791" w:rsidRDefault="006F4791" w:rsidP="00C9438C">
      <w:pPr>
        <w:pStyle w:val="FootnoteText"/>
      </w:pPr>
      <w:r>
        <w:rPr>
          <w:rStyle w:val="FootnoteReference"/>
        </w:rPr>
        <w:footnoteRef/>
      </w:r>
      <w:r>
        <w:t xml:space="preserve"> National daily cases sourced from NNDSS data as at 10 June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6F4791" w:rsidRDefault="006F4791" w:rsidP="00C9438C">
      <w:pPr>
        <w:pStyle w:val="FootnoteText"/>
      </w:pPr>
      <w:r>
        <w:t>‘RACF’ refers to cases in residential aged care facilities (staff and residents)</w:t>
      </w:r>
    </w:p>
  </w:footnote>
  <w:footnote w:id="6">
    <w:p w:rsidR="006F4791" w:rsidRDefault="006F4791">
      <w:pPr>
        <w:pStyle w:val="FootnoteText"/>
      </w:pPr>
      <w:r>
        <w:rPr>
          <w:rStyle w:val="FootnoteReference"/>
        </w:rPr>
        <w:footnoteRef/>
      </w:r>
      <w:r>
        <w:t xml:space="preserve"> Please note totals are based on data from March 2020 to June 2021, however above is data from July 2020-June 2021 for readability. </w:t>
      </w:r>
    </w:p>
  </w:footnote>
  <w:footnote w:id="7">
    <w:p w:rsidR="006F4791" w:rsidRPr="00171DDF" w:rsidRDefault="006F4791"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91" w:rsidRDefault="006F4791" w:rsidP="006E6275">
    <w:pPr>
      <w:pStyle w:val="Header"/>
    </w:pPr>
    <w:r>
      <w:rPr>
        <w:noProof/>
        <w:lang w:eastAsia="en-AU"/>
      </w:rPr>
      <w:drawing>
        <wp:anchor distT="0" distB="0" distL="114300" distR="114300" simplePos="0" relativeHeight="251658242" behindDoc="1" locked="0" layoutInCell="1" allowOverlap="1" wp14:anchorId="11029FE0" wp14:editId="11029FE1">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91" w:rsidRDefault="006F4791" w:rsidP="006E6275">
    <w:pPr>
      <w:pStyle w:val="Header"/>
    </w:pPr>
    <w:r>
      <w:rPr>
        <w:noProof/>
        <w:lang w:eastAsia="en-AU"/>
      </w:rPr>
      <w:drawing>
        <wp:anchor distT="0" distB="0" distL="114300" distR="114300" simplePos="0" relativeHeight="251658240" behindDoc="1" locked="0" layoutInCell="1" allowOverlap="1" wp14:anchorId="11029FE2" wp14:editId="11029FE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91" w:rsidRDefault="006F4791" w:rsidP="006E6275">
    <w:pPr>
      <w:pStyle w:val="Header"/>
    </w:pPr>
    <w:r>
      <w:rPr>
        <w:noProof/>
        <w:lang w:eastAsia="en-AU"/>
      </w:rPr>
      <w:drawing>
        <wp:anchor distT="0" distB="0" distL="114300" distR="114300" simplePos="0" relativeHeight="251658241" behindDoc="1" locked="0" layoutInCell="1" allowOverlap="1" wp14:anchorId="11029FE4" wp14:editId="11029FE5">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1"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18"/>
  </w:num>
  <w:num w:numId="4">
    <w:abstractNumId w:val="2"/>
  </w:num>
  <w:num w:numId="5">
    <w:abstractNumId w:val="20"/>
  </w:num>
  <w:num w:numId="6">
    <w:abstractNumId w:val="6"/>
  </w:num>
  <w:num w:numId="7">
    <w:abstractNumId w:val="13"/>
  </w:num>
  <w:num w:numId="8">
    <w:abstractNumId w:val="14"/>
  </w:num>
  <w:num w:numId="9">
    <w:abstractNumId w:val="7"/>
  </w:num>
  <w:num w:numId="10">
    <w:abstractNumId w:val="28"/>
  </w:num>
  <w:num w:numId="11">
    <w:abstractNumId w:val="30"/>
  </w:num>
  <w:num w:numId="12">
    <w:abstractNumId w:val="24"/>
  </w:num>
  <w:num w:numId="13">
    <w:abstractNumId w:val="8"/>
  </w:num>
  <w:num w:numId="14">
    <w:abstractNumId w:val="22"/>
  </w:num>
  <w:num w:numId="15">
    <w:abstractNumId w:val="12"/>
  </w:num>
  <w:num w:numId="16">
    <w:abstractNumId w:val="1"/>
  </w:num>
  <w:num w:numId="17">
    <w:abstractNumId w:val="31"/>
  </w:num>
  <w:num w:numId="18">
    <w:abstractNumId w:val="17"/>
  </w:num>
  <w:num w:numId="19">
    <w:abstractNumId w:val="24"/>
  </w:num>
  <w:num w:numId="20">
    <w:abstractNumId w:val="3"/>
  </w:num>
  <w:num w:numId="21">
    <w:abstractNumId w:val="29"/>
  </w:num>
  <w:num w:numId="22">
    <w:abstractNumId w:val="25"/>
  </w:num>
  <w:num w:numId="23">
    <w:abstractNumId w:val="23"/>
  </w:num>
  <w:num w:numId="24">
    <w:abstractNumId w:val="10"/>
  </w:num>
  <w:num w:numId="25">
    <w:abstractNumId w:val="15"/>
  </w:num>
  <w:num w:numId="26">
    <w:abstractNumId w:val="26"/>
  </w:num>
  <w:num w:numId="27">
    <w:abstractNumId w:val="27"/>
  </w:num>
  <w:num w:numId="28">
    <w:abstractNumId w:val="16"/>
  </w:num>
  <w:num w:numId="29">
    <w:abstractNumId w:val="21"/>
  </w:num>
  <w:num w:numId="30">
    <w:abstractNumId w:val="19"/>
  </w:num>
  <w:num w:numId="31">
    <w:abstractNumId w:val="5"/>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D5771"/>
    <w:rsid w:val="000D5D0A"/>
    <w:rsid w:val="000D72C3"/>
    <w:rsid w:val="000E5238"/>
    <w:rsid w:val="000F1E9E"/>
    <w:rsid w:val="000F3922"/>
    <w:rsid w:val="000F468C"/>
    <w:rsid w:val="000F60B1"/>
    <w:rsid w:val="000F612D"/>
    <w:rsid w:val="00103AEC"/>
    <w:rsid w:val="00103C58"/>
    <w:rsid w:val="001043A8"/>
    <w:rsid w:val="00105B6C"/>
    <w:rsid w:val="00105F40"/>
    <w:rsid w:val="00107980"/>
    <w:rsid w:val="00110C5F"/>
    <w:rsid w:val="00116661"/>
    <w:rsid w:val="00116D17"/>
    <w:rsid w:val="0012123F"/>
    <w:rsid w:val="00121498"/>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43DF"/>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5F5A"/>
    <w:rsid w:val="002168E4"/>
    <w:rsid w:val="002209AF"/>
    <w:rsid w:val="00221DEC"/>
    <w:rsid w:val="00222C45"/>
    <w:rsid w:val="00223223"/>
    <w:rsid w:val="00226B55"/>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3C3E"/>
    <w:rsid w:val="002664FC"/>
    <w:rsid w:val="002759CA"/>
    <w:rsid w:val="00280050"/>
    <w:rsid w:val="00280B1F"/>
    <w:rsid w:val="002815A2"/>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F0283"/>
    <w:rsid w:val="002F552B"/>
    <w:rsid w:val="002F59A9"/>
    <w:rsid w:val="00302AA6"/>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B66B2"/>
    <w:rsid w:val="003C0E26"/>
    <w:rsid w:val="003C40DF"/>
    <w:rsid w:val="003D1942"/>
    <w:rsid w:val="003D331F"/>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7832"/>
    <w:rsid w:val="00421ED3"/>
    <w:rsid w:val="0042292B"/>
    <w:rsid w:val="00423315"/>
    <w:rsid w:val="00424210"/>
    <w:rsid w:val="004314CE"/>
    <w:rsid w:val="0043284D"/>
    <w:rsid w:val="00436113"/>
    <w:rsid w:val="004367D8"/>
    <w:rsid w:val="00436EBF"/>
    <w:rsid w:val="00441452"/>
    <w:rsid w:val="004420BB"/>
    <w:rsid w:val="00445DCD"/>
    <w:rsid w:val="00452EA2"/>
    <w:rsid w:val="00454617"/>
    <w:rsid w:val="00455581"/>
    <w:rsid w:val="00456237"/>
    <w:rsid w:val="0045717B"/>
    <w:rsid w:val="00460B4C"/>
    <w:rsid w:val="00464DF0"/>
    <w:rsid w:val="00467248"/>
    <w:rsid w:val="00472441"/>
    <w:rsid w:val="00472E96"/>
    <w:rsid w:val="0047418A"/>
    <w:rsid w:val="0047511C"/>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A3C"/>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180"/>
    <w:rsid w:val="00636591"/>
    <w:rsid w:val="00636879"/>
    <w:rsid w:val="006368D3"/>
    <w:rsid w:val="00637163"/>
    <w:rsid w:val="00637370"/>
    <w:rsid w:val="00643670"/>
    <w:rsid w:val="00645749"/>
    <w:rsid w:val="006474E8"/>
    <w:rsid w:val="0065406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7A93"/>
    <w:rsid w:val="007203D2"/>
    <w:rsid w:val="00720B92"/>
    <w:rsid w:val="00721839"/>
    <w:rsid w:val="0072216B"/>
    <w:rsid w:val="00722FDC"/>
    <w:rsid w:val="007271EC"/>
    <w:rsid w:val="007274D1"/>
    <w:rsid w:val="007377F6"/>
    <w:rsid w:val="00741360"/>
    <w:rsid w:val="0074347B"/>
    <w:rsid w:val="00745BA7"/>
    <w:rsid w:val="007465A0"/>
    <w:rsid w:val="00750868"/>
    <w:rsid w:val="00750BEA"/>
    <w:rsid w:val="0075124E"/>
    <w:rsid w:val="00752386"/>
    <w:rsid w:val="00753501"/>
    <w:rsid w:val="00753E98"/>
    <w:rsid w:val="00755D25"/>
    <w:rsid w:val="00756DB1"/>
    <w:rsid w:val="0076037F"/>
    <w:rsid w:val="00761F6B"/>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A4896"/>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6A39"/>
    <w:rsid w:val="007F4BF5"/>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460D"/>
    <w:rsid w:val="008F4F60"/>
    <w:rsid w:val="0090258E"/>
    <w:rsid w:val="0090728E"/>
    <w:rsid w:val="009104B4"/>
    <w:rsid w:val="0091212E"/>
    <w:rsid w:val="009121E6"/>
    <w:rsid w:val="00912CE2"/>
    <w:rsid w:val="009149AE"/>
    <w:rsid w:val="00924C93"/>
    <w:rsid w:val="009253DF"/>
    <w:rsid w:val="00926400"/>
    <w:rsid w:val="0093104A"/>
    <w:rsid w:val="009348EF"/>
    <w:rsid w:val="00935355"/>
    <w:rsid w:val="009356C7"/>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B3A87"/>
    <w:rsid w:val="009C1E21"/>
    <w:rsid w:val="009C364D"/>
    <w:rsid w:val="009C4007"/>
    <w:rsid w:val="009C5DE1"/>
    <w:rsid w:val="009C6095"/>
    <w:rsid w:val="009C6DAD"/>
    <w:rsid w:val="009C7705"/>
    <w:rsid w:val="009D33E9"/>
    <w:rsid w:val="009D4FA5"/>
    <w:rsid w:val="009D5682"/>
    <w:rsid w:val="009E2F97"/>
    <w:rsid w:val="009E396E"/>
    <w:rsid w:val="009E42B3"/>
    <w:rsid w:val="009E5B47"/>
    <w:rsid w:val="009E73AA"/>
    <w:rsid w:val="009E7C8C"/>
    <w:rsid w:val="009F0210"/>
    <w:rsid w:val="009F1A90"/>
    <w:rsid w:val="009F2851"/>
    <w:rsid w:val="009F3172"/>
    <w:rsid w:val="009F441E"/>
    <w:rsid w:val="00A0030B"/>
    <w:rsid w:val="00A010FC"/>
    <w:rsid w:val="00A035BE"/>
    <w:rsid w:val="00A04E11"/>
    <w:rsid w:val="00A11F8D"/>
    <w:rsid w:val="00A128C5"/>
    <w:rsid w:val="00A140DB"/>
    <w:rsid w:val="00A175F8"/>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3830"/>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1F59"/>
    <w:rsid w:val="00AF69CB"/>
    <w:rsid w:val="00AF6E31"/>
    <w:rsid w:val="00B00C18"/>
    <w:rsid w:val="00B0100B"/>
    <w:rsid w:val="00B04FF1"/>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66826"/>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455B"/>
    <w:rsid w:val="00CB4B16"/>
    <w:rsid w:val="00CC05D0"/>
    <w:rsid w:val="00CC0F28"/>
    <w:rsid w:val="00CC12C9"/>
    <w:rsid w:val="00CC1D7D"/>
    <w:rsid w:val="00CC3C21"/>
    <w:rsid w:val="00CC497D"/>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0C61"/>
    <w:rsid w:val="00D2122D"/>
    <w:rsid w:val="00D221EC"/>
    <w:rsid w:val="00D3126E"/>
    <w:rsid w:val="00D32ED9"/>
    <w:rsid w:val="00D33F7B"/>
    <w:rsid w:val="00D3646C"/>
    <w:rsid w:val="00D404EE"/>
    <w:rsid w:val="00D40C09"/>
    <w:rsid w:val="00D43DD2"/>
    <w:rsid w:val="00D44B2C"/>
    <w:rsid w:val="00D45351"/>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4345"/>
    <w:rsid w:val="00E25A39"/>
    <w:rsid w:val="00E316D7"/>
    <w:rsid w:val="00E35795"/>
    <w:rsid w:val="00E41B09"/>
    <w:rsid w:val="00E5148E"/>
    <w:rsid w:val="00E527B3"/>
    <w:rsid w:val="00E5402C"/>
    <w:rsid w:val="00E56AB7"/>
    <w:rsid w:val="00E57139"/>
    <w:rsid w:val="00E63508"/>
    <w:rsid w:val="00E6520E"/>
    <w:rsid w:val="00E655D2"/>
    <w:rsid w:val="00E7379E"/>
    <w:rsid w:val="00E74AF7"/>
    <w:rsid w:val="00E777D7"/>
    <w:rsid w:val="00E8386C"/>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0FF7A4A"/>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DA76A"/>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0806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5</c:v>
                </c:pt>
                <c:pt idx="5">
                  <c:v>52</c:v>
                </c:pt>
              </c:numCache>
            </c:numRef>
          </c:val>
          <c:extLst>
            <c:ext xmlns:c16="http://schemas.microsoft.com/office/drawing/2014/chart" uri="{C3380CC4-5D6E-409C-BE32-E72D297353CC}">
              <c16:uniqueId val="{00000000-016A-4828-9694-1295B99D3843}"/>
            </c:ext>
          </c:extLst>
        </c:ser>
        <c:dLbls>
          <c:showLegendKey val="0"/>
          <c:showVal val="0"/>
          <c:showCatName val="0"/>
          <c:showSerName val="0"/>
          <c:showPercent val="0"/>
          <c:showBubbleSize val="0"/>
        </c:dLbls>
        <c:gapWidth val="219"/>
        <c:overlap val="-27"/>
        <c:axId val="1018580088"/>
        <c:axId val="1018578120"/>
      </c:barChart>
      <c:catAx>
        <c:axId val="101858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78120"/>
        <c:crosses val="autoZero"/>
        <c:auto val="1"/>
        <c:lblAlgn val="ctr"/>
        <c:lblOffset val="100"/>
        <c:noMultiLvlLbl val="0"/>
      </c:catAx>
      <c:valAx>
        <c:axId val="1018578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80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D10C3A8B-7D95-4B32-A0E1-57DA7018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2577</Words>
  <Characters>14694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11 June 2021</vt:lpstr>
    </vt:vector>
  </TitlesOfParts>
  <Manager/>
  <Company/>
  <LinksUpToDate>false</LinksUpToDate>
  <CharactersWithSpaces>17237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11 June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MASCHKE, Elvia</cp:lastModifiedBy>
  <cp:revision>2</cp:revision>
  <dcterms:created xsi:type="dcterms:W3CDTF">2021-06-13T05:39:00Z</dcterms:created>
  <dcterms:modified xsi:type="dcterms:W3CDTF">2021-06-13T05:39:00Z</dcterms:modified>
  <cp:category/>
</cp:coreProperties>
</file>