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FA780A" w14:textId="77777777" w:rsidR="008B679D" w:rsidRPr="00970E2A" w:rsidRDefault="008B679D" w:rsidP="00F978FC">
      <w:pPr>
        <w:pStyle w:val="Heading1"/>
        <w:spacing w:before="960"/>
      </w:pPr>
      <w:bookmarkStart w:id="0" w:name="OLE_LINK4"/>
      <w:bookmarkStart w:id="1" w:name="OLE_LINK5"/>
      <w:r w:rsidRPr="00970E2A">
        <w:t>COST RECOVERY IMPLEMENTATION STATEMENT</w:t>
      </w:r>
    </w:p>
    <w:bookmarkEnd w:id="0"/>
    <w:bookmarkEnd w:id="1"/>
    <w:p w14:paraId="70DBE721" w14:textId="77777777" w:rsidR="008B679D" w:rsidRPr="00970E2A" w:rsidRDefault="006E6DB8" w:rsidP="00F978FC">
      <w:pPr>
        <w:pStyle w:val="Heading1"/>
        <w:spacing w:before="960"/>
      </w:pPr>
      <w:r w:rsidRPr="00970E2A">
        <w:t xml:space="preserve">Administration of </w:t>
      </w:r>
      <w:r w:rsidR="00AA6B6C" w:rsidRPr="00970E2A">
        <w:t xml:space="preserve">Private Health Insurance </w:t>
      </w:r>
      <w:r w:rsidR="00DE202F">
        <w:br w:type="textWrapping" w:clear="all"/>
      </w:r>
      <w:r w:rsidR="00AA6B6C" w:rsidRPr="00970E2A">
        <w:t>Second</w:t>
      </w:r>
      <w:r w:rsidR="002F36D5">
        <w:t>-</w:t>
      </w:r>
      <w:r w:rsidR="00107407">
        <w:t>T</w:t>
      </w:r>
      <w:r w:rsidR="00AA6B6C" w:rsidRPr="00970E2A">
        <w:t>ier Default Benefits</w:t>
      </w:r>
      <w:r w:rsidR="008B679D" w:rsidRPr="00970E2A">
        <w:t xml:space="preserve"> </w:t>
      </w:r>
    </w:p>
    <w:p w14:paraId="3F3ED27A" w14:textId="77777777" w:rsidR="00344E86" w:rsidRPr="00970E2A" w:rsidRDefault="00125C13" w:rsidP="006E0A30">
      <w:pPr>
        <w:pStyle w:val="Heading1"/>
        <w:spacing w:before="960"/>
      </w:pPr>
      <w:r>
        <w:t>1 J</w:t>
      </w:r>
      <w:r w:rsidR="00107407">
        <w:t xml:space="preserve">uly </w:t>
      </w:r>
      <w:r>
        <w:t>20</w:t>
      </w:r>
      <w:r w:rsidR="000A3C3C">
        <w:t>21</w:t>
      </w:r>
      <w:r>
        <w:t xml:space="preserve"> to 30 June 20</w:t>
      </w:r>
      <w:r w:rsidR="00107407">
        <w:t>2</w:t>
      </w:r>
      <w:r w:rsidR="000A3C3C">
        <w:t>2</w:t>
      </w:r>
    </w:p>
    <w:p w14:paraId="681D64F7" w14:textId="77777777" w:rsidR="00DE202F" w:rsidRDefault="00DE202F" w:rsidP="005A6BF5">
      <w:pPr>
        <w:rPr>
          <w:rFonts w:eastAsia="SimSun"/>
        </w:rPr>
      </w:pPr>
      <w:r>
        <w:rPr>
          <w:rFonts w:eastAsia="SimSun"/>
        </w:rPr>
        <w:br w:type="page"/>
      </w:r>
    </w:p>
    <w:p w14:paraId="4AB73EFB" w14:textId="77777777" w:rsidR="008B679D" w:rsidRPr="00F0619A" w:rsidRDefault="008B679D" w:rsidP="00F0619A">
      <w:pPr>
        <w:pStyle w:val="Heading2"/>
      </w:pPr>
      <w:r w:rsidRPr="00F0619A">
        <w:lastRenderedPageBreak/>
        <w:t>INTRODUCTION</w:t>
      </w:r>
    </w:p>
    <w:p w14:paraId="72F8088F" w14:textId="77777777" w:rsidR="00970E2A" w:rsidRPr="00F0619A" w:rsidRDefault="00970E2A" w:rsidP="00F0619A">
      <w:pPr>
        <w:pStyle w:val="Heading3"/>
        <w:rPr>
          <w:rFonts w:eastAsia="SimSun"/>
        </w:rPr>
      </w:pPr>
      <w:r w:rsidRPr="00F0619A">
        <w:t xml:space="preserve">Purpose of the </w:t>
      </w:r>
      <w:r w:rsidR="00D37C5F">
        <w:t>Cost Recovery Implementation Statement</w:t>
      </w:r>
    </w:p>
    <w:p w14:paraId="306D4CF0" w14:textId="77777777" w:rsidR="006E0A30" w:rsidRDefault="006E0A30" w:rsidP="006E0A30">
      <w:pPr>
        <w:rPr>
          <w:rFonts w:eastAsia="SimSun"/>
        </w:rPr>
      </w:pPr>
      <w:r w:rsidRPr="00AB20F0">
        <w:rPr>
          <w:rFonts w:eastAsia="SimSun"/>
        </w:rPr>
        <w:t xml:space="preserve">Cost recovery involves government entities charging individuals or non-government organisations some or all of the efficient costs of a </w:t>
      </w:r>
      <w:r>
        <w:rPr>
          <w:rFonts w:eastAsia="SimSun"/>
        </w:rPr>
        <w:t>regulatory</w:t>
      </w:r>
      <w:r w:rsidRPr="00AB20F0">
        <w:rPr>
          <w:rFonts w:eastAsia="SimSun"/>
        </w:rPr>
        <w:t xml:space="preserve"> activity. This may include goods, services or regulation, or a combination of the</w:t>
      </w:r>
      <w:r>
        <w:rPr>
          <w:rFonts w:eastAsia="SimSun"/>
        </w:rPr>
        <w:t>m</w:t>
      </w:r>
      <w:r w:rsidRPr="00AB20F0">
        <w:rPr>
          <w:rFonts w:eastAsia="SimSun"/>
        </w:rPr>
        <w:t>. The Australian Government</w:t>
      </w:r>
      <w:r>
        <w:rPr>
          <w:rFonts w:eastAsia="SimSun"/>
        </w:rPr>
        <w:t xml:space="preserve"> Charging Framework, which incorporates the</w:t>
      </w:r>
      <w:r w:rsidRPr="00AB20F0">
        <w:rPr>
          <w:rFonts w:eastAsia="SimSun"/>
        </w:rPr>
        <w:t xml:space="preserve"> Cost Recovery Guidelines (</w:t>
      </w:r>
      <w:r>
        <w:rPr>
          <w:rFonts w:eastAsia="SimSun"/>
        </w:rPr>
        <w:t xml:space="preserve">the </w:t>
      </w:r>
      <w:r w:rsidRPr="00AB20F0">
        <w:rPr>
          <w:rFonts w:eastAsia="SimSun"/>
        </w:rPr>
        <w:t>CRGs)</w:t>
      </w:r>
      <w:r w:rsidRPr="00AB20F0">
        <w:rPr>
          <w:rFonts w:eastAsia="SimSun"/>
          <w:vertAlign w:val="superscript"/>
        </w:rPr>
        <w:footnoteReference w:id="1"/>
      </w:r>
      <w:r>
        <w:rPr>
          <w:rFonts w:eastAsia="SimSun"/>
        </w:rPr>
        <w:t>,</w:t>
      </w:r>
      <w:r w:rsidRPr="00AB20F0">
        <w:rPr>
          <w:rFonts w:eastAsia="SimSun"/>
        </w:rPr>
        <w:t xml:space="preserve"> set</w:t>
      </w:r>
      <w:r>
        <w:rPr>
          <w:rFonts w:eastAsia="SimSun"/>
        </w:rPr>
        <w:t>s</w:t>
      </w:r>
      <w:r w:rsidRPr="00AB20F0">
        <w:rPr>
          <w:rFonts w:eastAsia="SimSun"/>
        </w:rPr>
        <w:t xml:space="preserve"> out the framework under which government entities design, implement and review </w:t>
      </w:r>
      <w:r>
        <w:rPr>
          <w:rFonts w:eastAsia="SimSun"/>
        </w:rPr>
        <w:t>regulatory charging</w:t>
      </w:r>
      <w:r w:rsidRPr="00AB20F0">
        <w:rPr>
          <w:rFonts w:eastAsia="SimSun"/>
        </w:rPr>
        <w:t xml:space="preserve"> activities</w:t>
      </w:r>
      <w:r w:rsidR="00E95B0B">
        <w:rPr>
          <w:rFonts w:eastAsia="SimSun"/>
        </w:rPr>
        <w:t xml:space="preserve">, consistent with the </w:t>
      </w:r>
      <w:r w:rsidR="00E95B0B" w:rsidRPr="00E95B0B">
        <w:rPr>
          <w:rFonts w:eastAsia="SimSun"/>
          <w:i/>
        </w:rPr>
        <w:t>Public Governance, Performance and Accountability Act 2013</w:t>
      </w:r>
      <w:r w:rsidR="00E95B0B" w:rsidRPr="00E95B0B">
        <w:rPr>
          <w:rFonts w:eastAsia="SimSun"/>
        </w:rPr>
        <w:t xml:space="preserve"> (PGPA Act)</w:t>
      </w:r>
      <w:r w:rsidRPr="00AB20F0">
        <w:rPr>
          <w:rFonts w:eastAsia="SimSun"/>
        </w:rPr>
        <w:t>.</w:t>
      </w:r>
    </w:p>
    <w:p w14:paraId="6C2D57BF" w14:textId="77777777" w:rsidR="00970E2A" w:rsidRPr="00D37C5F" w:rsidRDefault="00970E2A" w:rsidP="00F4788E">
      <w:pPr>
        <w:rPr>
          <w:rFonts w:eastAsia="SimSun"/>
        </w:rPr>
      </w:pPr>
      <w:r w:rsidRPr="00D37C5F">
        <w:rPr>
          <w:rFonts w:eastAsia="SimSun"/>
        </w:rPr>
        <w:t xml:space="preserve">This </w:t>
      </w:r>
      <w:r w:rsidR="00D37C5F" w:rsidRPr="00D37C5F">
        <w:rPr>
          <w:rFonts w:eastAsia="SimSun"/>
        </w:rPr>
        <w:t xml:space="preserve">Cost Recovery Implementation Statement </w:t>
      </w:r>
      <w:r w:rsidR="00D37C5F">
        <w:rPr>
          <w:rFonts w:eastAsia="SimSun"/>
        </w:rPr>
        <w:t>(</w:t>
      </w:r>
      <w:r w:rsidRPr="00D37C5F">
        <w:rPr>
          <w:rFonts w:eastAsia="SimSun"/>
        </w:rPr>
        <w:t>CRIS</w:t>
      </w:r>
      <w:r w:rsidR="00D37C5F">
        <w:rPr>
          <w:rFonts w:eastAsia="SimSun"/>
        </w:rPr>
        <w:t>)</w:t>
      </w:r>
      <w:r w:rsidRPr="00D37C5F">
        <w:rPr>
          <w:rFonts w:eastAsia="SimSun"/>
        </w:rPr>
        <w:t xml:space="preserve"> provides information on how the Department of Health </w:t>
      </w:r>
      <w:r w:rsidR="007800BB">
        <w:rPr>
          <w:rFonts w:eastAsia="SimSun"/>
        </w:rPr>
        <w:t>undertakes</w:t>
      </w:r>
      <w:r w:rsidR="007800BB" w:rsidRPr="00D37C5F">
        <w:rPr>
          <w:rFonts w:eastAsia="SimSun"/>
        </w:rPr>
        <w:t xml:space="preserve"> </w:t>
      </w:r>
      <w:r w:rsidRPr="00D37C5F">
        <w:rPr>
          <w:rFonts w:eastAsia="SimSun"/>
        </w:rPr>
        <w:t>cost recovery for administration of private health insurance second</w:t>
      </w:r>
      <w:r w:rsidR="00F22172">
        <w:rPr>
          <w:rFonts w:eastAsia="SimSun"/>
        </w:rPr>
        <w:t>-</w:t>
      </w:r>
      <w:r w:rsidRPr="00D37C5F">
        <w:rPr>
          <w:rFonts w:eastAsia="SimSun"/>
        </w:rPr>
        <w:t>tier default benefits</w:t>
      </w:r>
      <w:r w:rsidR="00D37C5F">
        <w:rPr>
          <w:rFonts w:eastAsia="SimSun"/>
        </w:rPr>
        <w:t xml:space="preserve"> eligibility</w:t>
      </w:r>
      <w:r w:rsidRPr="00D37C5F">
        <w:rPr>
          <w:rFonts w:eastAsia="SimSun"/>
        </w:rPr>
        <w:t xml:space="preserve">. It also reports financial and non-financial performance information for administration of </w:t>
      </w:r>
      <w:r w:rsidR="00E83F47">
        <w:rPr>
          <w:rFonts w:eastAsia="SimSun"/>
        </w:rPr>
        <w:t>private health insurance second</w:t>
      </w:r>
      <w:r w:rsidR="00F22172">
        <w:rPr>
          <w:rFonts w:eastAsia="SimSun"/>
        </w:rPr>
        <w:t>-</w:t>
      </w:r>
      <w:r w:rsidRPr="00D37C5F">
        <w:rPr>
          <w:rFonts w:eastAsia="SimSun"/>
        </w:rPr>
        <w:t xml:space="preserve">tier default benefits and </w:t>
      </w:r>
      <w:r w:rsidRPr="001200B9">
        <w:rPr>
          <w:rFonts w:eastAsia="SimSun"/>
        </w:rPr>
        <w:t>contains financial forecasts for</w:t>
      </w:r>
      <w:r w:rsidR="00614E45">
        <w:rPr>
          <w:rFonts w:eastAsia="SimSun"/>
        </w:rPr>
        <w:t xml:space="preserve"> 2021-22</w:t>
      </w:r>
      <w:r w:rsidRPr="001200B9">
        <w:rPr>
          <w:rFonts w:eastAsia="SimSun"/>
        </w:rPr>
        <w:t xml:space="preserve"> and three forward years. The</w:t>
      </w:r>
      <w:r w:rsidRPr="00D37C5F">
        <w:rPr>
          <w:rFonts w:eastAsia="SimSun"/>
        </w:rPr>
        <w:t xml:space="preserve"> Department of Health will maintain the CRIS until the activity or cost recovery for the activity has been discontinued.</w:t>
      </w:r>
    </w:p>
    <w:p w14:paraId="228C1BF2" w14:textId="77777777" w:rsidR="00970E2A" w:rsidRDefault="00970E2A" w:rsidP="00F0619A">
      <w:pPr>
        <w:pStyle w:val="Heading3"/>
      </w:pPr>
      <w:r w:rsidRPr="00111001">
        <w:t xml:space="preserve">Description of the </w:t>
      </w:r>
      <w:r>
        <w:t xml:space="preserve">regulatory charging </w:t>
      </w:r>
      <w:r w:rsidRPr="00111001">
        <w:t>activity</w:t>
      </w:r>
    </w:p>
    <w:p w14:paraId="7418D992" w14:textId="77777777" w:rsidR="00487CEC" w:rsidRDefault="00E95B0B" w:rsidP="00487CEC">
      <w:r>
        <w:t>From</w:t>
      </w:r>
      <w:r w:rsidR="007800BB">
        <w:t xml:space="preserve"> </w:t>
      </w:r>
      <w:r w:rsidR="00487CEC">
        <w:t xml:space="preserve">1 January 2019, private hospitals </w:t>
      </w:r>
      <w:r w:rsidR="007800BB">
        <w:t xml:space="preserve">have </w:t>
      </w:r>
      <w:r w:rsidR="00487CEC">
        <w:t>be</w:t>
      </w:r>
      <w:r w:rsidR="007800BB">
        <w:t>en</w:t>
      </w:r>
      <w:r w:rsidR="00487CEC">
        <w:t xml:space="preserve"> apply</w:t>
      </w:r>
      <w:r w:rsidR="007800BB">
        <w:t>ing</w:t>
      </w:r>
      <w:r w:rsidR="00B84E41">
        <w:t xml:space="preserve"> to the D</w:t>
      </w:r>
      <w:r w:rsidR="00487CEC">
        <w:t>epartment for second</w:t>
      </w:r>
      <w:r w:rsidR="00F22172">
        <w:t>-</w:t>
      </w:r>
      <w:r w:rsidR="00487CEC">
        <w:t xml:space="preserve">tier default benefits eligibility. The </w:t>
      </w:r>
      <w:r w:rsidR="00B84E41">
        <w:t>D</w:t>
      </w:r>
      <w:r w:rsidR="00487CEC">
        <w:t>epartment charge</w:t>
      </w:r>
      <w:r w:rsidR="007800BB">
        <w:t>s</w:t>
      </w:r>
      <w:r w:rsidR="00487CEC">
        <w:t xml:space="preserve"> these hospitals a fee to cover the cost of assessing applications and maintaining a list of second</w:t>
      </w:r>
      <w:r w:rsidR="002F36D5">
        <w:t>-</w:t>
      </w:r>
      <w:r w:rsidR="00487CEC">
        <w:t>tier eligible hospitals for use by health insurers.</w:t>
      </w:r>
    </w:p>
    <w:p w14:paraId="785F9AE4" w14:textId="77777777" w:rsidR="00487CEC" w:rsidRDefault="00BC0235" w:rsidP="00487CEC">
      <w:r>
        <w:t>The purpose of second</w:t>
      </w:r>
      <w:r w:rsidR="002F36D5">
        <w:t>-</w:t>
      </w:r>
      <w:r>
        <w:t xml:space="preserve">tier default benefits is to provide consumers with a degree of protection from high out-of-pocket costs if they are treated in a hospital that does not have a negotiated agreement with the patient’s health insurer. This also assists private hospitals that are unable to negotiate an agreement with an insurer. </w:t>
      </w:r>
      <w:r w:rsidR="00487CEC">
        <w:t>Second</w:t>
      </w:r>
      <w:r w:rsidR="002F36D5">
        <w:t>-</w:t>
      </w:r>
      <w:r w:rsidR="00487CEC">
        <w:t>tier default benefits eligibility</w:t>
      </w:r>
      <w:r w:rsidR="00AD197B">
        <w:t xml:space="preserve"> mostly</w:t>
      </w:r>
      <w:r w:rsidR="00487CEC">
        <w:t xml:space="preserve"> provides access to higher benefits than would otherwise be payable where a private hospital does not have a negotiated agreement with a patient’s insurer.</w:t>
      </w:r>
      <w:r w:rsidR="006608E7">
        <w:t xml:space="preserve"> Applying for second</w:t>
      </w:r>
      <w:r w:rsidR="002F36D5">
        <w:t>-</w:t>
      </w:r>
      <w:r w:rsidR="006608E7">
        <w:t>tier default benefits eligibility is optional for private hospitals and requires hospitals to meet certain assessment criteria.</w:t>
      </w:r>
    </w:p>
    <w:p w14:paraId="06C6098E" w14:textId="77777777" w:rsidR="005D5D01" w:rsidRDefault="0045601A" w:rsidP="00032DCB">
      <w:r>
        <w:t>Prior to 1 January 2019, a</w:t>
      </w:r>
      <w:r w:rsidR="00487CEC">
        <w:t>dministration of second</w:t>
      </w:r>
      <w:r w:rsidR="002F36D5">
        <w:t>-</w:t>
      </w:r>
      <w:r w:rsidR="00487CEC">
        <w:t xml:space="preserve">tier eligibility </w:t>
      </w:r>
      <w:r>
        <w:t>was</w:t>
      </w:r>
      <w:r w:rsidR="00487CEC">
        <w:t xml:space="preserve"> managed by the Second Tier Advisory Committee (STAC), chaired by the Australian Private Hospitals Association (APHA). </w:t>
      </w:r>
    </w:p>
    <w:p w14:paraId="76692F46" w14:textId="77777777" w:rsidR="00F0619A" w:rsidRDefault="008B679D" w:rsidP="00F0619A">
      <w:pPr>
        <w:pStyle w:val="Heading2"/>
      </w:pPr>
      <w:r w:rsidRPr="00F0619A">
        <w:t>POLICY AND STATUTORY AUTHORITY TO COST RECOVER</w:t>
      </w:r>
    </w:p>
    <w:p w14:paraId="3C479474" w14:textId="77777777" w:rsidR="004E11E0" w:rsidRPr="00F0619A" w:rsidRDefault="004E11E0" w:rsidP="00F0619A">
      <w:pPr>
        <w:pStyle w:val="Heading3"/>
      </w:pPr>
      <w:r w:rsidRPr="00F0619A">
        <w:t>Government policy approval to cost recover the regulatory activity</w:t>
      </w:r>
    </w:p>
    <w:p w14:paraId="21170214" w14:textId="77777777" w:rsidR="004E11E0" w:rsidRDefault="004E11E0" w:rsidP="00F4788E">
      <w:r>
        <w:t xml:space="preserve">The </w:t>
      </w:r>
      <w:r w:rsidR="00225415">
        <w:t xml:space="preserve">Minister for Health, the </w:t>
      </w:r>
      <w:r>
        <w:t>Hon Greg Hunt MP, announced a package of reforms to private health insurance on 13 October 2017, including transferring administration of second</w:t>
      </w:r>
      <w:r w:rsidR="002A2541">
        <w:t>-</w:t>
      </w:r>
      <w:r>
        <w:t xml:space="preserve">tier default benefits to the Department of Health. The announcement was accompanied by a </w:t>
      </w:r>
      <w:r>
        <w:lastRenderedPageBreak/>
        <w:t xml:space="preserve">factsheet titled </w:t>
      </w:r>
      <w:r w:rsidRPr="00B2042B">
        <w:rPr>
          <w:i/>
        </w:rPr>
        <w:t>Private health insurance reforms: Second</w:t>
      </w:r>
      <w:r w:rsidR="002A2541">
        <w:rPr>
          <w:i/>
        </w:rPr>
        <w:t>-</w:t>
      </w:r>
      <w:r w:rsidRPr="00B2042B">
        <w:rPr>
          <w:i/>
        </w:rPr>
        <w:t>Tier administrative reforms</w:t>
      </w:r>
      <w:r>
        <w:t>. The factsheet stated that “p</w:t>
      </w:r>
      <w:r w:rsidRPr="0054061A">
        <w:t>rivate hospita</w:t>
      </w:r>
      <w:r>
        <w:t>ls choosing to apply for second</w:t>
      </w:r>
      <w:r w:rsidR="002A2541">
        <w:t>-</w:t>
      </w:r>
      <w:r w:rsidRPr="0054061A">
        <w:t>tier eligibility will pay an application fee to cover the cost of assessing their application</w:t>
      </w:r>
      <w:r>
        <w:t>”</w:t>
      </w:r>
      <w:r w:rsidRPr="0054061A">
        <w:t>.</w:t>
      </w:r>
      <w:r>
        <w:t xml:space="preserve"> The policy for the reforms was approved by the Australian Government in the 2017-18 Mid-Year Economic and Fiscal Outlook in December 2</w:t>
      </w:r>
      <w:r w:rsidR="00CA3ADB">
        <w:t>017</w:t>
      </w:r>
      <w:r w:rsidR="00DA2287">
        <w:t>, and provides authority to fully cost recover the activity</w:t>
      </w:r>
      <w:r w:rsidR="00CA3ADB">
        <w:t>.</w:t>
      </w:r>
    </w:p>
    <w:p w14:paraId="0AB78E3D" w14:textId="77777777" w:rsidR="004E11E0" w:rsidRPr="0054061A" w:rsidRDefault="004E11E0" w:rsidP="00F4788E">
      <w:r>
        <w:t>The application fee w</w:t>
      </w:r>
      <w:r w:rsidR="007800BB">
        <w:t xml:space="preserve">as </w:t>
      </w:r>
      <w:r>
        <w:t>introdu</w:t>
      </w:r>
      <w:r w:rsidR="00B84E41">
        <w:t>ced on 1 January 2019 when the D</w:t>
      </w:r>
      <w:r>
        <w:t xml:space="preserve">epartment </w:t>
      </w:r>
      <w:r w:rsidR="00225415">
        <w:t>commence</w:t>
      </w:r>
      <w:r w:rsidR="007800BB">
        <w:t xml:space="preserve">d </w:t>
      </w:r>
      <w:r>
        <w:t>administration of second</w:t>
      </w:r>
      <w:r w:rsidR="00F22172">
        <w:t>-</w:t>
      </w:r>
      <w:r>
        <w:t>tier default benefits.</w:t>
      </w:r>
    </w:p>
    <w:p w14:paraId="3ED86CE3" w14:textId="77777777" w:rsidR="004E11E0" w:rsidRDefault="004E11E0" w:rsidP="00F0619A">
      <w:pPr>
        <w:pStyle w:val="Heading3"/>
      </w:pPr>
      <w:r w:rsidRPr="00E3599A">
        <w:t>Statutory authority to charge</w:t>
      </w:r>
    </w:p>
    <w:p w14:paraId="0FD6192F" w14:textId="77777777" w:rsidR="004E11E0" w:rsidRPr="001052B4" w:rsidRDefault="004E11E0" w:rsidP="00890923">
      <w:r>
        <w:t>Statutory authority to charge a fee to process applications for second</w:t>
      </w:r>
      <w:r w:rsidR="00F22172">
        <w:t>-</w:t>
      </w:r>
      <w:r>
        <w:t xml:space="preserve">tier default benefits eligibility is provided by section 121-8 of the </w:t>
      </w:r>
      <w:r w:rsidRPr="001052B4">
        <w:rPr>
          <w:i/>
        </w:rPr>
        <w:t>Pr</w:t>
      </w:r>
      <w:r>
        <w:rPr>
          <w:i/>
        </w:rPr>
        <w:t>ivate Health Insurance Act 2007</w:t>
      </w:r>
      <w:r>
        <w:t xml:space="preserve">. The amount of the fee is specified in </w:t>
      </w:r>
      <w:r w:rsidR="00F83A94">
        <w:t xml:space="preserve">Rule </w:t>
      </w:r>
      <w:r w:rsidR="002A0ECA">
        <w:t>7B</w:t>
      </w:r>
      <w:r w:rsidR="00F83A94">
        <w:t xml:space="preserve"> of </w:t>
      </w:r>
      <w:r>
        <w:t xml:space="preserve">the </w:t>
      </w:r>
      <w:r w:rsidRPr="001052B4">
        <w:rPr>
          <w:i/>
        </w:rPr>
        <w:t>Private Health Insurance (</w:t>
      </w:r>
      <w:r>
        <w:rPr>
          <w:i/>
        </w:rPr>
        <w:t>Health Insurance Business</w:t>
      </w:r>
      <w:r w:rsidRPr="001052B4">
        <w:rPr>
          <w:i/>
        </w:rPr>
        <w:t>) Rules</w:t>
      </w:r>
      <w:r>
        <w:t>.</w:t>
      </w:r>
    </w:p>
    <w:p w14:paraId="2390D5F3" w14:textId="77777777" w:rsidR="008B679D" w:rsidRPr="007962C8" w:rsidRDefault="002C5D92" w:rsidP="00F0619A">
      <w:pPr>
        <w:pStyle w:val="Heading2"/>
      </w:pPr>
      <w:r>
        <w:tab/>
      </w:r>
      <w:r w:rsidR="008B679D" w:rsidRPr="007962C8">
        <w:t>COST RECOVERY MODEL</w:t>
      </w:r>
    </w:p>
    <w:p w14:paraId="066C95C3" w14:textId="77777777" w:rsidR="004E11E0" w:rsidRDefault="004E11E0" w:rsidP="00F0619A">
      <w:pPr>
        <w:pStyle w:val="Heading3"/>
      </w:pPr>
      <w:bookmarkStart w:id="2" w:name="OLE_LINK2"/>
      <w:bookmarkStart w:id="3" w:name="OLE_LINK3"/>
      <w:bookmarkStart w:id="4" w:name="basisorcharging"/>
      <w:r w:rsidRPr="00427A84">
        <w:t xml:space="preserve">Outputs and business processes of the </w:t>
      </w:r>
      <w:r>
        <w:t xml:space="preserve">regulatory charging </w:t>
      </w:r>
      <w:r w:rsidRPr="00427A84">
        <w:t xml:space="preserve">activity </w:t>
      </w:r>
      <w:bookmarkEnd w:id="2"/>
      <w:bookmarkEnd w:id="3"/>
    </w:p>
    <w:p w14:paraId="0EB9FC16" w14:textId="77777777" w:rsidR="00C9250C" w:rsidRDefault="007800BB" w:rsidP="00C9250C">
      <w:r>
        <w:t xml:space="preserve">Since </w:t>
      </w:r>
      <w:r w:rsidR="00C9250C">
        <w:t xml:space="preserve">1 January 2019, private hospitals </w:t>
      </w:r>
      <w:r>
        <w:t xml:space="preserve">have </w:t>
      </w:r>
      <w:r w:rsidR="00C9250C">
        <w:t>be</w:t>
      </w:r>
      <w:r>
        <w:t>en</w:t>
      </w:r>
      <w:r w:rsidR="00C9250C">
        <w:t xml:space="preserve"> app</w:t>
      </w:r>
      <w:r w:rsidR="00E83F47">
        <w:t>ly</w:t>
      </w:r>
      <w:r>
        <w:t>ing</w:t>
      </w:r>
      <w:r w:rsidR="00E83F47">
        <w:t xml:space="preserve"> to the </w:t>
      </w:r>
      <w:r w:rsidR="00B84E41">
        <w:t>D</w:t>
      </w:r>
      <w:r w:rsidR="00E83F47">
        <w:t>epartment for second</w:t>
      </w:r>
      <w:r w:rsidR="002A2541">
        <w:t>-</w:t>
      </w:r>
      <w:r w:rsidR="00C9250C">
        <w:t>tier default benefits eligibility. Within 60 days of</w:t>
      </w:r>
      <w:r w:rsidR="0033702C">
        <w:t xml:space="preserve"> receiving an</w:t>
      </w:r>
      <w:r w:rsidR="00B84E41">
        <w:t xml:space="preserve"> application, the D</w:t>
      </w:r>
      <w:r w:rsidR="00C9250C">
        <w:t xml:space="preserve">epartment </w:t>
      </w:r>
      <w:r w:rsidR="00A66C7A">
        <w:t>review</w:t>
      </w:r>
      <w:r>
        <w:t>s</w:t>
      </w:r>
      <w:r w:rsidR="00C9250C">
        <w:t xml:space="preserve"> the application </w:t>
      </w:r>
      <w:r w:rsidR="00A66C7A">
        <w:t>for</w:t>
      </w:r>
      <w:r w:rsidR="00C9250C">
        <w:t xml:space="preserve"> complete</w:t>
      </w:r>
      <w:r w:rsidR="00A66C7A">
        <w:t>ness</w:t>
      </w:r>
      <w:r w:rsidR="00C9250C">
        <w:t>, assess</w:t>
      </w:r>
      <w:r>
        <w:t>es</w:t>
      </w:r>
      <w:r w:rsidR="00C9250C">
        <w:t xml:space="preserve"> it against the criteria in the </w:t>
      </w:r>
      <w:r w:rsidR="00C9250C" w:rsidRPr="00B97BF7">
        <w:rPr>
          <w:i/>
        </w:rPr>
        <w:t>Private Health Insurance (Health Insurance Business) Rules</w:t>
      </w:r>
      <w:r w:rsidR="00C9250C">
        <w:t xml:space="preserve"> and advise</w:t>
      </w:r>
      <w:r>
        <w:t>s</w:t>
      </w:r>
      <w:r w:rsidR="00C9250C">
        <w:t xml:space="preserve"> the hospital whether it is eligible for second</w:t>
      </w:r>
      <w:r w:rsidR="002A2541">
        <w:t>-</w:t>
      </w:r>
      <w:r w:rsidR="00C9250C">
        <w:t>tier default benefits.</w:t>
      </w:r>
    </w:p>
    <w:p w14:paraId="10088BD9" w14:textId="77777777" w:rsidR="00C9250C" w:rsidRDefault="00B84E41" w:rsidP="00C9250C">
      <w:r>
        <w:t>The D</w:t>
      </w:r>
      <w:r w:rsidR="00C9250C">
        <w:t>epartment use</w:t>
      </w:r>
      <w:r w:rsidR="007800BB">
        <w:t>s</w:t>
      </w:r>
      <w:r w:rsidR="00C9250C">
        <w:t xml:space="preserve"> the outcomes of these assessments to maintain and publish a list of all private hospitals and their second</w:t>
      </w:r>
      <w:r w:rsidR="00F22172">
        <w:t>-</w:t>
      </w:r>
      <w:r w:rsidR="00C9250C">
        <w:t xml:space="preserve">tier eligibility status. This list </w:t>
      </w:r>
      <w:r w:rsidR="007800BB">
        <w:t xml:space="preserve">is </w:t>
      </w:r>
      <w:r w:rsidR="00C9250C">
        <w:t>used by health insurers to calculate second</w:t>
      </w:r>
      <w:r w:rsidR="002A2541">
        <w:t>-</w:t>
      </w:r>
      <w:r w:rsidR="00C9250C">
        <w:t xml:space="preserve">tier default benefits in accordance with the </w:t>
      </w:r>
      <w:r w:rsidR="00C9250C" w:rsidRPr="00B97BF7">
        <w:rPr>
          <w:i/>
        </w:rPr>
        <w:t>Private Health Insurance (Benefit Requirements) Rules</w:t>
      </w:r>
      <w:r w:rsidR="00C9250C">
        <w:t>.</w:t>
      </w:r>
    </w:p>
    <w:p w14:paraId="32E9AB9F" w14:textId="77777777" w:rsidR="00C9250C" w:rsidRDefault="00A66C7A" w:rsidP="00C9250C">
      <w:r>
        <w:t xml:space="preserve">If </w:t>
      </w:r>
      <w:r w:rsidR="00B84E41">
        <w:t>the D</w:t>
      </w:r>
      <w:r w:rsidR="008B6FC5">
        <w:t xml:space="preserve">epartment </w:t>
      </w:r>
      <w:r w:rsidR="00125C13">
        <w:t>considers</w:t>
      </w:r>
      <w:r w:rsidR="008B6FC5">
        <w:t xml:space="preserve"> that an</w:t>
      </w:r>
      <w:r>
        <w:t xml:space="preserve"> application </w:t>
      </w:r>
      <w:r w:rsidR="005C4FF9">
        <w:t>is likely to be</w:t>
      </w:r>
      <w:r>
        <w:t xml:space="preserve"> unsuccessful, the applicant </w:t>
      </w:r>
      <w:r w:rsidR="008B6FC5">
        <w:t xml:space="preserve">will be given an opportunity to provide additional information prior to a formal </w:t>
      </w:r>
      <w:r w:rsidR="00125C13">
        <w:t>determination</w:t>
      </w:r>
      <w:r w:rsidR="00C9250C" w:rsidRPr="00C05BE5">
        <w:t>.</w:t>
      </w:r>
    </w:p>
    <w:p w14:paraId="4969B78C" w14:textId="77777777" w:rsidR="00111EB6" w:rsidRDefault="00B84E41">
      <w:pPr>
        <w:spacing w:after="200" w:line="276" w:lineRule="auto"/>
      </w:pPr>
      <w:r>
        <w:t>The D</w:t>
      </w:r>
      <w:r w:rsidR="00C9250C">
        <w:t>epartment review</w:t>
      </w:r>
      <w:r w:rsidR="004D5B01">
        <w:t>s</w:t>
      </w:r>
      <w:r w:rsidR="00C9250C">
        <w:t xml:space="preserve"> its business processes annually to ensure optimal efficiency.</w:t>
      </w:r>
    </w:p>
    <w:p w14:paraId="77B345F4" w14:textId="77777777" w:rsidR="004E11E0" w:rsidRDefault="004E11E0" w:rsidP="00F0619A">
      <w:pPr>
        <w:pStyle w:val="Heading3"/>
      </w:pPr>
      <w:r w:rsidRPr="00427A84">
        <w:t>Costs of the</w:t>
      </w:r>
      <w:r>
        <w:t xml:space="preserve"> regulatory charging</w:t>
      </w:r>
      <w:r w:rsidRPr="00427A84">
        <w:t xml:space="preserve"> activity</w:t>
      </w:r>
    </w:p>
    <w:p w14:paraId="338FA883" w14:textId="77777777" w:rsidR="006B3C6B" w:rsidRDefault="00B84E41" w:rsidP="006B3C6B">
      <w:r>
        <w:t>The D</w:t>
      </w:r>
      <w:r w:rsidR="006B3C6B">
        <w:t>epartment calculated the direct and indirect costs of assessing applications for second</w:t>
      </w:r>
      <w:r w:rsidR="002A2541">
        <w:t>-</w:t>
      </w:r>
      <w:r w:rsidR="006B3C6B">
        <w:t>tier default benefits and maintaining a list of private hospitals, including each hospital’s second</w:t>
      </w:r>
      <w:r w:rsidR="00F22172">
        <w:t>-</w:t>
      </w:r>
      <w:r w:rsidR="006B3C6B">
        <w:t xml:space="preserve">tier eligibility status. The main cost driver for the activity is staff time required to manage the volume of applications received from private hospitals. </w:t>
      </w:r>
      <w:r>
        <w:t>The D</w:t>
      </w:r>
      <w:r w:rsidR="00506CDB">
        <w:t xml:space="preserve">epartment assumed that each application will take the same amount of time to assess. </w:t>
      </w:r>
      <w:r w:rsidR="006B3C6B">
        <w:t xml:space="preserve">Staff from the APS 5 to SES Band 1 levels </w:t>
      </w:r>
      <w:r w:rsidR="007800BB">
        <w:t xml:space="preserve">are </w:t>
      </w:r>
      <w:r w:rsidR="006B3C6B">
        <w:t>involved in the process, with the bulk of the work taking place at the APS 5</w:t>
      </w:r>
      <w:r w:rsidR="0033702C">
        <w:t xml:space="preserve"> and</w:t>
      </w:r>
      <w:r w:rsidR="001734BA">
        <w:t xml:space="preserve"> APS 6</w:t>
      </w:r>
      <w:r w:rsidR="0033702C">
        <w:t xml:space="preserve"> </w:t>
      </w:r>
      <w:r w:rsidR="006B3C6B">
        <w:t xml:space="preserve">levels to </w:t>
      </w:r>
      <w:r>
        <w:t>promote</w:t>
      </w:r>
      <w:r w:rsidR="006B3C6B">
        <w:t xml:space="preserve"> cost efficiency.</w:t>
      </w:r>
    </w:p>
    <w:p w14:paraId="294081A2" w14:textId="77777777" w:rsidR="006B3C6B" w:rsidRDefault="006B3C6B" w:rsidP="006B3C6B">
      <w:r>
        <w:t xml:space="preserve">The </w:t>
      </w:r>
      <w:r w:rsidR="00B84E41">
        <w:t>D</w:t>
      </w:r>
      <w:r>
        <w:t xml:space="preserve">epartment estimated the amount of time required </w:t>
      </w:r>
      <w:r w:rsidR="005A6BF5">
        <w:t>of</w:t>
      </w:r>
      <w:r>
        <w:t xml:space="preserve"> each staffing level to assess an application, including associated clearances and administrative activities, based on the level of effort required for comparable activities. These time estimates </w:t>
      </w:r>
      <w:r w:rsidR="006A7972">
        <w:t xml:space="preserve">were </w:t>
      </w:r>
      <w:r>
        <w:t>used to calculate direct costs for the activity, being the total of salaries and associated on-costs. To</w:t>
      </w:r>
      <w:r w:rsidR="00B84E41">
        <w:t xml:space="preserve"> calculate </w:t>
      </w:r>
      <w:r w:rsidR="00B84E41">
        <w:lastRenderedPageBreak/>
        <w:t>indirect costs, the D</w:t>
      </w:r>
      <w:r>
        <w:t>epartment multiplied these time estimates by its standard rates for training, human resources and shared services.</w:t>
      </w:r>
    </w:p>
    <w:p w14:paraId="2AB9E7BD" w14:textId="77777777" w:rsidR="006B3C6B" w:rsidRDefault="006B3C6B" w:rsidP="00C14F96">
      <w:r>
        <w:t>Table 1</w:t>
      </w:r>
      <w:r w:rsidR="0050056C">
        <w:t xml:space="preserve"> </w:t>
      </w:r>
      <w:r>
        <w:t xml:space="preserve">shows the </w:t>
      </w:r>
      <w:r w:rsidR="00980D45">
        <w:t xml:space="preserve">estimated </w:t>
      </w:r>
      <w:r>
        <w:t xml:space="preserve">cost to the </w:t>
      </w:r>
      <w:r w:rsidR="00B84E41">
        <w:t>D</w:t>
      </w:r>
      <w:r>
        <w:t xml:space="preserve">epartment of administering one application in </w:t>
      </w:r>
      <w:r w:rsidR="00CD4CAE">
        <w:t>20</w:t>
      </w:r>
      <w:r w:rsidR="000A3C3C">
        <w:t>21</w:t>
      </w:r>
      <w:r w:rsidR="000A3C3C">
        <w:noBreakHyphen/>
        <w:t>22</w:t>
      </w:r>
      <w:r>
        <w:t>.</w:t>
      </w:r>
    </w:p>
    <w:p w14:paraId="38FC06DE" w14:textId="77777777" w:rsidR="003C07F3" w:rsidRDefault="0050056C" w:rsidP="003C07F3">
      <w:pPr>
        <w:pStyle w:val="Heading4"/>
      </w:pPr>
      <w:r>
        <w:t xml:space="preserve">Table 1: </w:t>
      </w:r>
      <w:r w:rsidR="000A3C3C">
        <w:t>Estimated c</w:t>
      </w:r>
      <w:r>
        <w:t>ost of administering one application in 20</w:t>
      </w:r>
      <w:r w:rsidR="000A3C3C">
        <w:t>21-22</w:t>
      </w:r>
    </w:p>
    <w:tbl>
      <w:tblPr>
        <w:tblW w:w="9350" w:type="dxa"/>
        <w:tblLook w:val="04A0" w:firstRow="1" w:lastRow="0" w:firstColumn="1" w:lastColumn="0" w:noHBand="0" w:noVBand="1"/>
      </w:tblPr>
      <w:tblGrid>
        <w:gridCol w:w="5504"/>
        <w:gridCol w:w="1282"/>
        <w:gridCol w:w="1282"/>
        <w:gridCol w:w="1282"/>
      </w:tblGrid>
      <w:tr w:rsidR="009D57FA" w:rsidRPr="009D57FA" w14:paraId="7051B146" w14:textId="77777777" w:rsidTr="009D57FA">
        <w:trPr>
          <w:trHeight w:val="402"/>
        </w:trPr>
        <w:tc>
          <w:tcPr>
            <w:tcW w:w="5504" w:type="dxa"/>
            <w:tcBorders>
              <w:top w:val="single" w:sz="4" w:space="0" w:color="A6A6A6"/>
              <w:left w:val="single" w:sz="4" w:space="0" w:color="A6A6A6"/>
              <w:bottom w:val="single" w:sz="4" w:space="0" w:color="A6A6A6"/>
              <w:right w:val="nil"/>
            </w:tcBorders>
            <w:shd w:val="clear" w:color="auto" w:fill="D9D9D9" w:themeFill="background1" w:themeFillShade="D9"/>
            <w:noWrap/>
            <w:vAlign w:val="center"/>
            <w:hideMark/>
          </w:tcPr>
          <w:p w14:paraId="37A037E2" w14:textId="77777777" w:rsidR="003C07F3" w:rsidRPr="003C07F3" w:rsidRDefault="00980D45" w:rsidP="009D57FA">
            <w:pPr>
              <w:spacing w:before="120" w:after="120"/>
              <w:rPr>
                <w:b/>
                <w:lang w:eastAsia="en-AU"/>
              </w:rPr>
            </w:pPr>
            <w:r>
              <w:rPr>
                <w:b/>
                <w:lang w:eastAsia="en-AU"/>
              </w:rPr>
              <w:t>Application processing</w:t>
            </w:r>
          </w:p>
        </w:tc>
        <w:tc>
          <w:tcPr>
            <w:tcW w:w="1282" w:type="dxa"/>
            <w:tcBorders>
              <w:top w:val="single" w:sz="4" w:space="0" w:color="A6A6A6"/>
              <w:left w:val="single" w:sz="4" w:space="0" w:color="A6A6A6"/>
              <w:bottom w:val="single" w:sz="4" w:space="0" w:color="A6A6A6"/>
              <w:right w:val="single" w:sz="4" w:space="0" w:color="A6A6A6"/>
            </w:tcBorders>
            <w:shd w:val="clear" w:color="auto" w:fill="D9D9D9" w:themeFill="background1" w:themeFillShade="D9"/>
            <w:vAlign w:val="center"/>
            <w:hideMark/>
          </w:tcPr>
          <w:p w14:paraId="188CACA6" w14:textId="77777777" w:rsidR="003C07F3" w:rsidRPr="003C07F3" w:rsidRDefault="003C07F3" w:rsidP="009D57FA">
            <w:pPr>
              <w:spacing w:before="120" w:after="120"/>
              <w:rPr>
                <w:b/>
                <w:lang w:eastAsia="en-AU"/>
              </w:rPr>
            </w:pPr>
            <w:r w:rsidRPr="003C07F3">
              <w:rPr>
                <w:b/>
                <w:lang w:eastAsia="en-AU"/>
              </w:rPr>
              <w:t>Direct Costs</w:t>
            </w:r>
          </w:p>
        </w:tc>
        <w:tc>
          <w:tcPr>
            <w:tcW w:w="1282" w:type="dxa"/>
            <w:tcBorders>
              <w:top w:val="single" w:sz="4" w:space="0" w:color="A6A6A6"/>
              <w:left w:val="nil"/>
              <w:bottom w:val="single" w:sz="4" w:space="0" w:color="A6A6A6"/>
              <w:right w:val="single" w:sz="4" w:space="0" w:color="A6A6A6"/>
            </w:tcBorders>
            <w:shd w:val="clear" w:color="auto" w:fill="D9D9D9" w:themeFill="background1" w:themeFillShade="D9"/>
            <w:vAlign w:val="center"/>
            <w:hideMark/>
          </w:tcPr>
          <w:p w14:paraId="67C82415" w14:textId="77777777" w:rsidR="003C07F3" w:rsidRPr="003C07F3" w:rsidRDefault="003C07F3" w:rsidP="009D57FA">
            <w:pPr>
              <w:spacing w:before="120" w:after="120"/>
              <w:rPr>
                <w:b/>
                <w:lang w:eastAsia="en-AU"/>
              </w:rPr>
            </w:pPr>
            <w:r w:rsidRPr="003C07F3">
              <w:rPr>
                <w:b/>
                <w:lang w:eastAsia="en-AU"/>
              </w:rPr>
              <w:t>Indirect Costs</w:t>
            </w:r>
          </w:p>
        </w:tc>
        <w:tc>
          <w:tcPr>
            <w:tcW w:w="1282" w:type="dxa"/>
            <w:tcBorders>
              <w:top w:val="single" w:sz="4" w:space="0" w:color="A6A6A6"/>
              <w:left w:val="nil"/>
              <w:bottom w:val="single" w:sz="4" w:space="0" w:color="A6A6A6"/>
              <w:right w:val="single" w:sz="4" w:space="0" w:color="A6A6A6"/>
            </w:tcBorders>
            <w:shd w:val="clear" w:color="auto" w:fill="D9D9D9" w:themeFill="background1" w:themeFillShade="D9"/>
            <w:vAlign w:val="center"/>
            <w:hideMark/>
          </w:tcPr>
          <w:p w14:paraId="041D3A49" w14:textId="77777777" w:rsidR="003C07F3" w:rsidRPr="003C07F3" w:rsidRDefault="003C07F3" w:rsidP="009D57FA">
            <w:pPr>
              <w:spacing w:before="120" w:after="120"/>
              <w:rPr>
                <w:b/>
                <w:lang w:eastAsia="en-AU"/>
              </w:rPr>
            </w:pPr>
            <w:r w:rsidRPr="003C07F3">
              <w:rPr>
                <w:b/>
                <w:lang w:eastAsia="en-AU"/>
              </w:rPr>
              <w:t>Total</w:t>
            </w:r>
          </w:p>
        </w:tc>
      </w:tr>
      <w:tr w:rsidR="003C07F3" w:rsidRPr="003C07F3" w14:paraId="7F224EEA" w14:textId="77777777" w:rsidTr="003C07F3">
        <w:trPr>
          <w:trHeight w:val="300"/>
        </w:trPr>
        <w:tc>
          <w:tcPr>
            <w:tcW w:w="5504" w:type="dxa"/>
            <w:tcBorders>
              <w:top w:val="single" w:sz="4" w:space="0" w:color="A6A6A6"/>
              <w:left w:val="single" w:sz="4" w:space="0" w:color="A6A6A6"/>
              <w:bottom w:val="dotted" w:sz="4" w:space="0" w:color="A6A6A6"/>
              <w:right w:val="nil"/>
            </w:tcBorders>
            <w:shd w:val="clear" w:color="auto" w:fill="auto"/>
            <w:noWrap/>
            <w:vAlign w:val="bottom"/>
            <w:hideMark/>
          </w:tcPr>
          <w:p w14:paraId="090AB176" w14:textId="77777777" w:rsidR="003C07F3" w:rsidRPr="003C07F3" w:rsidRDefault="003C07F3" w:rsidP="009E7112">
            <w:pPr>
              <w:spacing w:after="0"/>
              <w:ind w:firstLineChars="141" w:firstLine="310"/>
              <w:rPr>
                <w:rFonts w:ascii="Calibri" w:hAnsi="Calibri" w:cs="Calibri"/>
                <w:color w:val="000000"/>
                <w:sz w:val="22"/>
                <w:szCs w:val="22"/>
                <w:lang w:eastAsia="en-AU"/>
              </w:rPr>
            </w:pPr>
            <w:r w:rsidRPr="003C07F3">
              <w:rPr>
                <w:rFonts w:ascii="Calibri" w:hAnsi="Calibri" w:cs="Calibri"/>
                <w:color w:val="000000"/>
                <w:sz w:val="22"/>
                <w:szCs w:val="22"/>
                <w:lang w:eastAsia="en-AU"/>
              </w:rPr>
              <w:t>Receive and record application</w:t>
            </w:r>
          </w:p>
        </w:tc>
        <w:tc>
          <w:tcPr>
            <w:tcW w:w="1282" w:type="dxa"/>
            <w:tcBorders>
              <w:top w:val="single" w:sz="4" w:space="0" w:color="A6A6A6"/>
              <w:left w:val="single" w:sz="4" w:space="0" w:color="A6A6A6"/>
              <w:bottom w:val="dotted" w:sz="4" w:space="0" w:color="A6A6A6"/>
              <w:right w:val="single" w:sz="4" w:space="0" w:color="A6A6A6"/>
            </w:tcBorders>
            <w:shd w:val="clear" w:color="auto" w:fill="auto"/>
            <w:noWrap/>
            <w:vAlign w:val="bottom"/>
            <w:hideMark/>
          </w:tcPr>
          <w:p w14:paraId="7A46A60C" w14:textId="77777777" w:rsidR="003C07F3" w:rsidRPr="003C07F3" w:rsidRDefault="003C07F3" w:rsidP="009E7112">
            <w:pPr>
              <w:spacing w:after="0"/>
              <w:ind w:right="307"/>
              <w:jc w:val="right"/>
              <w:rPr>
                <w:rFonts w:ascii="Calibri" w:hAnsi="Calibri" w:cs="Calibri"/>
                <w:color w:val="000000"/>
                <w:sz w:val="22"/>
                <w:szCs w:val="22"/>
                <w:lang w:eastAsia="en-AU"/>
              </w:rPr>
            </w:pPr>
            <w:r w:rsidRPr="003C07F3">
              <w:rPr>
                <w:rFonts w:ascii="Calibri" w:hAnsi="Calibri" w:cs="Calibri"/>
                <w:color w:val="000000"/>
                <w:sz w:val="22"/>
                <w:szCs w:val="22"/>
                <w:lang w:eastAsia="en-AU"/>
              </w:rPr>
              <w:t xml:space="preserve">$18 </w:t>
            </w:r>
          </w:p>
        </w:tc>
        <w:tc>
          <w:tcPr>
            <w:tcW w:w="1282" w:type="dxa"/>
            <w:tcBorders>
              <w:top w:val="single" w:sz="4" w:space="0" w:color="A6A6A6"/>
              <w:left w:val="nil"/>
              <w:bottom w:val="dotted" w:sz="4" w:space="0" w:color="A6A6A6"/>
              <w:right w:val="single" w:sz="4" w:space="0" w:color="A6A6A6"/>
            </w:tcBorders>
            <w:shd w:val="clear" w:color="auto" w:fill="auto"/>
            <w:noWrap/>
            <w:vAlign w:val="bottom"/>
            <w:hideMark/>
          </w:tcPr>
          <w:p w14:paraId="035D24AE" w14:textId="77777777" w:rsidR="003C07F3" w:rsidRPr="003C07F3" w:rsidRDefault="003C07F3" w:rsidP="009E7112">
            <w:pPr>
              <w:spacing w:after="0"/>
              <w:ind w:right="307"/>
              <w:jc w:val="right"/>
              <w:rPr>
                <w:rFonts w:ascii="Calibri" w:hAnsi="Calibri" w:cs="Calibri"/>
                <w:color w:val="000000"/>
                <w:sz w:val="22"/>
                <w:szCs w:val="22"/>
                <w:lang w:eastAsia="en-AU"/>
              </w:rPr>
            </w:pPr>
            <w:r>
              <w:rPr>
                <w:rFonts w:ascii="Calibri" w:hAnsi="Calibri" w:cs="Calibri"/>
                <w:color w:val="000000"/>
                <w:sz w:val="22"/>
                <w:szCs w:val="22"/>
                <w:lang w:eastAsia="en-AU"/>
              </w:rPr>
              <w:t>$5</w:t>
            </w:r>
          </w:p>
        </w:tc>
        <w:tc>
          <w:tcPr>
            <w:tcW w:w="1282" w:type="dxa"/>
            <w:tcBorders>
              <w:top w:val="single" w:sz="4" w:space="0" w:color="A6A6A6"/>
              <w:left w:val="nil"/>
              <w:bottom w:val="dotted" w:sz="4" w:space="0" w:color="A6A6A6"/>
              <w:right w:val="single" w:sz="4" w:space="0" w:color="A6A6A6"/>
            </w:tcBorders>
            <w:shd w:val="clear" w:color="auto" w:fill="auto"/>
            <w:noWrap/>
            <w:vAlign w:val="bottom"/>
            <w:hideMark/>
          </w:tcPr>
          <w:p w14:paraId="2754E6AD" w14:textId="77777777" w:rsidR="003C07F3" w:rsidRPr="003C07F3" w:rsidRDefault="003C07F3" w:rsidP="009E7112">
            <w:pPr>
              <w:spacing w:after="0"/>
              <w:ind w:right="307"/>
              <w:jc w:val="right"/>
              <w:rPr>
                <w:rFonts w:ascii="Calibri" w:hAnsi="Calibri" w:cs="Calibri"/>
                <w:color w:val="000000"/>
                <w:sz w:val="22"/>
                <w:szCs w:val="22"/>
                <w:lang w:eastAsia="en-AU"/>
              </w:rPr>
            </w:pPr>
            <w:r w:rsidRPr="003C07F3">
              <w:rPr>
                <w:rFonts w:ascii="Calibri" w:hAnsi="Calibri" w:cs="Calibri"/>
                <w:color w:val="000000"/>
                <w:sz w:val="22"/>
                <w:szCs w:val="22"/>
                <w:lang w:eastAsia="en-AU"/>
              </w:rPr>
              <w:t xml:space="preserve"> $23 </w:t>
            </w:r>
          </w:p>
        </w:tc>
      </w:tr>
      <w:tr w:rsidR="003C07F3" w:rsidRPr="003C07F3" w14:paraId="427FCC59" w14:textId="77777777" w:rsidTr="003C07F3">
        <w:trPr>
          <w:trHeight w:val="300"/>
        </w:trPr>
        <w:tc>
          <w:tcPr>
            <w:tcW w:w="5504" w:type="dxa"/>
            <w:tcBorders>
              <w:top w:val="nil"/>
              <w:left w:val="single" w:sz="4" w:space="0" w:color="A6A6A6"/>
              <w:bottom w:val="dotted" w:sz="4" w:space="0" w:color="A6A6A6"/>
              <w:right w:val="nil"/>
            </w:tcBorders>
            <w:shd w:val="clear" w:color="auto" w:fill="auto"/>
            <w:noWrap/>
            <w:vAlign w:val="bottom"/>
            <w:hideMark/>
          </w:tcPr>
          <w:p w14:paraId="623A5F91" w14:textId="77777777" w:rsidR="003C07F3" w:rsidRPr="003C07F3" w:rsidRDefault="003C07F3" w:rsidP="00980D45">
            <w:pPr>
              <w:spacing w:after="0"/>
              <w:ind w:firstLineChars="141" w:firstLine="310"/>
              <w:rPr>
                <w:rFonts w:ascii="Calibri" w:hAnsi="Calibri" w:cs="Calibri"/>
                <w:color w:val="000000"/>
                <w:sz w:val="22"/>
                <w:szCs w:val="22"/>
                <w:lang w:eastAsia="en-AU"/>
              </w:rPr>
            </w:pPr>
            <w:r w:rsidRPr="003C07F3">
              <w:rPr>
                <w:rFonts w:ascii="Calibri" w:hAnsi="Calibri" w:cs="Calibri"/>
                <w:color w:val="000000"/>
                <w:sz w:val="22"/>
                <w:szCs w:val="22"/>
                <w:lang w:eastAsia="en-AU"/>
              </w:rPr>
              <w:t>Check and acknowledge application</w:t>
            </w:r>
          </w:p>
        </w:tc>
        <w:tc>
          <w:tcPr>
            <w:tcW w:w="1282" w:type="dxa"/>
            <w:tcBorders>
              <w:top w:val="nil"/>
              <w:left w:val="single" w:sz="4" w:space="0" w:color="A6A6A6"/>
              <w:bottom w:val="dotted" w:sz="4" w:space="0" w:color="A6A6A6"/>
              <w:right w:val="single" w:sz="4" w:space="0" w:color="A6A6A6"/>
            </w:tcBorders>
            <w:shd w:val="clear" w:color="auto" w:fill="auto"/>
            <w:noWrap/>
            <w:vAlign w:val="bottom"/>
            <w:hideMark/>
          </w:tcPr>
          <w:p w14:paraId="7471218D" w14:textId="77777777" w:rsidR="003C07F3" w:rsidRPr="003C07F3" w:rsidRDefault="000A3C3C" w:rsidP="009E7112">
            <w:pPr>
              <w:spacing w:after="0"/>
              <w:ind w:right="307"/>
              <w:jc w:val="right"/>
              <w:rPr>
                <w:rFonts w:ascii="Calibri" w:hAnsi="Calibri" w:cs="Calibri"/>
                <w:color w:val="000000"/>
                <w:sz w:val="22"/>
                <w:szCs w:val="22"/>
                <w:lang w:eastAsia="en-AU"/>
              </w:rPr>
            </w:pPr>
            <w:r>
              <w:rPr>
                <w:rFonts w:ascii="Calibri" w:hAnsi="Calibri" w:cs="Calibri"/>
                <w:color w:val="000000"/>
                <w:sz w:val="22"/>
                <w:szCs w:val="22"/>
                <w:lang w:eastAsia="en-AU"/>
              </w:rPr>
              <w:t>$88</w:t>
            </w:r>
          </w:p>
        </w:tc>
        <w:tc>
          <w:tcPr>
            <w:tcW w:w="1282" w:type="dxa"/>
            <w:tcBorders>
              <w:top w:val="nil"/>
              <w:left w:val="nil"/>
              <w:bottom w:val="dotted" w:sz="4" w:space="0" w:color="A6A6A6"/>
              <w:right w:val="single" w:sz="4" w:space="0" w:color="A6A6A6"/>
            </w:tcBorders>
            <w:shd w:val="clear" w:color="auto" w:fill="auto"/>
            <w:noWrap/>
            <w:vAlign w:val="bottom"/>
            <w:hideMark/>
          </w:tcPr>
          <w:p w14:paraId="3321234C" w14:textId="77777777" w:rsidR="003C07F3" w:rsidRPr="003C07F3" w:rsidRDefault="009E7112" w:rsidP="009E7112">
            <w:pPr>
              <w:spacing w:after="0"/>
              <w:ind w:right="307"/>
              <w:jc w:val="right"/>
              <w:rPr>
                <w:rFonts w:ascii="Calibri" w:hAnsi="Calibri" w:cs="Calibri"/>
                <w:color w:val="000000"/>
                <w:sz w:val="22"/>
                <w:szCs w:val="22"/>
                <w:lang w:eastAsia="en-AU"/>
              </w:rPr>
            </w:pPr>
            <w:r>
              <w:rPr>
                <w:rFonts w:ascii="Calibri" w:hAnsi="Calibri" w:cs="Calibri"/>
                <w:color w:val="000000"/>
                <w:sz w:val="22"/>
                <w:szCs w:val="22"/>
                <w:lang w:eastAsia="en-AU"/>
              </w:rPr>
              <w:t>$23</w:t>
            </w:r>
          </w:p>
        </w:tc>
        <w:tc>
          <w:tcPr>
            <w:tcW w:w="1282" w:type="dxa"/>
            <w:tcBorders>
              <w:top w:val="nil"/>
              <w:left w:val="nil"/>
              <w:bottom w:val="dotted" w:sz="4" w:space="0" w:color="A6A6A6"/>
              <w:right w:val="single" w:sz="4" w:space="0" w:color="A6A6A6"/>
            </w:tcBorders>
            <w:shd w:val="clear" w:color="auto" w:fill="auto"/>
            <w:noWrap/>
            <w:vAlign w:val="bottom"/>
            <w:hideMark/>
          </w:tcPr>
          <w:p w14:paraId="1953E4DE" w14:textId="77777777" w:rsidR="003C07F3" w:rsidRPr="003C07F3" w:rsidRDefault="000A3C3C" w:rsidP="009E7112">
            <w:pPr>
              <w:spacing w:after="0"/>
              <w:ind w:right="307"/>
              <w:jc w:val="right"/>
              <w:rPr>
                <w:rFonts w:ascii="Calibri" w:hAnsi="Calibri" w:cs="Calibri"/>
                <w:color w:val="000000"/>
                <w:sz w:val="22"/>
                <w:szCs w:val="22"/>
                <w:lang w:eastAsia="en-AU"/>
              </w:rPr>
            </w:pPr>
            <w:r>
              <w:rPr>
                <w:rFonts w:ascii="Calibri" w:hAnsi="Calibri" w:cs="Calibri"/>
                <w:color w:val="000000"/>
                <w:sz w:val="22"/>
                <w:szCs w:val="22"/>
                <w:lang w:eastAsia="en-AU"/>
              </w:rPr>
              <w:t>$111</w:t>
            </w:r>
          </w:p>
        </w:tc>
      </w:tr>
      <w:tr w:rsidR="003C07F3" w:rsidRPr="003C07F3" w14:paraId="7E863758" w14:textId="77777777" w:rsidTr="003C07F3">
        <w:trPr>
          <w:trHeight w:val="300"/>
        </w:trPr>
        <w:tc>
          <w:tcPr>
            <w:tcW w:w="5504" w:type="dxa"/>
            <w:tcBorders>
              <w:top w:val="nil"/>
              <w:left w:val="single" w:sz="4" w:space="0" w:color="A6A6A6"/>
              <w:bottom w:val="dotted" w:sz="4" w:space="0" w:color="A6A6A6"/>
              <w:right w:val="nil"/>
            </w:tcBorders>
            <w:shd w:val="clear" w:color="auto" w:fill="auto"/>
            <w:noWrap/>
            <w:vAlign w:val="bottom"/>
            <w:hideMark/>
          </w:tcPr>
          <w:p w14:paraId="3BCF58E9" w14:textId="77777777" w:rsidR="003C07F3" w:rsidRPr="003C07F3" w:rsidRDefault="003C07F3" w:rsidP="009E7112">
            <w:pPr>
              <w:spacing w:after="0"/>
              <w:ind w:firstLineChars="141" w:firstLine="310"/>
              <w:rPr>
                <w:rFonts w:ascii="Calibri" w:hAnsi="Calibri" w:cs="Calibri"/>
                <w:color w:val="000000"/>
                <w:sz w:val="22"/>
                <w:szCs w:val="22"/>
                <w:lang w:eastAsia="en-AU"/>
              </w:rPr>
            </w:pPr>
            <w:r w:rsidRPr="003C07F3">
              <w:rPr>
                <w:rFonts w:ascii="Calibri" w:hAnsi="Calibri" w:cs="Calibri"/>
                <w:color w:val="000000"/>
                <w:sz w:val="22"/>
                <w:szCs w:val="22"/>
                <w:lang w:eastAsia="en-AU"/>
              </w:rPr>
              <w:t>Assessment and approvals</w:t>
            </w:r>
          </w:p>
        </w:tc>
        <w:tc>
          <w:tcPr>
            <w:tcW w:w="1282" w:type="dxa"/>
            <w:tcBorders>
              <w:top w:val="nil"/>
              <w:left w:val="single" w:sz="4" w:space="0" w:color="A6A6A6"/>
              <w:bottom w:val="dotted" w:sz="4" w:space="0" w:color="A6A6A6"/>
              <w:right w:val="single" w:sz="4" w:space="0" w:color="A6A6A6"/>
            </w:tcBorders>
            <w:shd w:val="clear" w:color="auto" w:fill="auto"/>
            <w:noWrap/>
            <w:vAlign w:val="bottom"/>
            <w:hideMark/>
          </w:tcPr>
          <w:p w14:paraId="1C92AFAC" w14:textId="77777777" w:rsidR="003C07F3" w:rsidRPr="003C07F3" w:rsidRDefault="000A3C3C" w:rsidP="009D57FA">
            <w:pPr>
              <w:spacing w:after="0"/>
              <w:ind w:right="307" w:hanging="93"/>
              <w:jc w:val="right"/>
              <w:rPr>
                <w:rFonts w:ascii="Calibri" w:hAnsi="Calibri" w:cs="Calibri"/>
                <w:color w:val="000000"/>
                <w:sz w:val="22"/>
                <w:szCs w:val="22"/>
                <w:lang w:eastAsia="en-AU"/>
              </w:rPr>
            </w:pPr>
            <w:r>
              <w:rPr>
                <w:rFonts w:ascii="Calibri" w:hAnsi="Calibri" w:cs="Calibri"/>
                <w:color w:val="000000"/>
                <w:sz w:val="22"/>
                <w:szCs w:val="22"/>
                <w:lang w:eastAsia="en-AU"/>
              </w:rPr>
              <w:t>$450</w:t>
            </w:r>
          </w:p>
        </w:tc>
        <w:tc>
          <w:tcPr>
            <w:tcW w:w="1282" w:type="dxa"/>
            <w:tcBorders>
              <w:top w:val="nil"/>
              <w:left w:val="nil"/>
              <w:bottom w:val="dotted" w:sz="4" w:space="0" w:color="A6A6A6"/>
              <w:right w:val="single" w:sz="4" w:space="0" w:color="A6A6A6"/>
            </w:tcBorders>
            <w:shd w:val="clear" w:color="auto" w:fill="auto"/>
            <w:noWrap/>
            <w:vAlign w:val="bottom"/>
            <w:hideMark/>
          </w:tcPr>
          <w:p w14:paraId="426A28D5" w14:textId="77777777" w:rsidR="003C07F3" w:rsidRPr="003C07F3" w:rsidRDefault="000A3C3C" w:rsidP="009E7112">
            <w:pPr>
              <w:spacing w:after="0"/>
              <w:ind w:right="307"/>
              <w:jc w:val="right"/>
              <w:rPr>
                <w:rFonts w:ascii="Calibri" w:hAnsi="Calibri" w:cs="Calibri"/>
                <w:color w:val="000000"/>
                <w:sz w:val="22"/>
                <w:szCs w:val="22"/>
                <w:lang w:eastAsia="en-AU"/>
              </w:rPr>
            </w:pPr>
            <w:r>
              <w:rPr>
                <w:rFonts w:ascii="Calibri" w:hAnsi="Calibri" w:cs="Calibri"/>
                <w:color w:val="000000"/>
                <w:sz w:val="22"/>
                <w:szCs w:val="22"/>
                <w:lang w:eastAsia="en-AU"/>
              </w:rPr>
              <w:t>$105</w:t>
            </w:r>
          </w:p>
        </w:tc>
        <w:tc>
          <w:tcPr>
            <w:tcW w:w="1282" w:type="dxa"/>
            <w:tcBorders>
              <w:top w:val="nil"/>
              <w:left w:val="nil"/>
              <w:bottom w:val="dotted" w:sz="4" w:space="0" w:color="A6A6A6"/>
              <w:right w:val="single" w:sz="4" w:space="0" w:color="A6A6A6"/>
            </w:tcBorders>
            <w:shd w:val="clear" w:color="auto" w:fill="auto"/>
            <w:noWrap/>
            <w:vAlign w:val="bottom"/>
            <w:hideMark/>
          </w:tcPr>
          <w:p w14:paraId="7DAD5AED" w14:textId="77777777" w:rsidR="003C07F3" w:rsidRPr="003C07F3" w:rsidRDefault="000A3C3C" w:rsidP="009E7112">
            <w:pPr>
              <w:spacing w:after="0"/>
              <w:ind w:right="307"/>
              <w:jc w:val="right"/>
              <w:rPr>
                <w:rFonts w:ascii="Calibri" w:hAnsi="Calibri" w:cs="Calibri"/>
                <w:color w:val="000000"/>
                <w:sz w:val="22"/>
                <w:szCs w:val="22"/>
                <w:lang w:eastAsia="en-AU"/>
              </w:rPr>
            </w:pPr>
            <w:r>
              <w:rPr>
                <w:rFonts w:ascii="Calibri" w:hAnsi="Calibri" w:cs="Calibri"/>
                <w:color w:val="000000"/>
                <w:sz w:val="22"/>
                <w:szCs w:val="22"/>
                <w:lang w:eastAsia="en-AU"/>
              </w:rPr>
              <w:t>$555</w:t>
            </w:r>
          </w:p>
        </w:tc>
      </w:tr>
      <w:tr w:rsidR="003C07F3" w:rsidRPr="003C07F3" w14:paraId="729E0071" w14:textId="77777777" w:rsidTr="003C07F3">
        <w:trPr>
          <w:trHeight w:val="300"/>
        </w:trPr>
        <w:tc>
          <w:tcPr>
            <w:tcW w:w="5504" w:type="dxa"/>
            <w:tcBorders>
              <w:top w:val="nil"/>
              <w:left w:val="single" w:sz="4" w:space="0" w:color="A6A6A6"/>
              <w:bottom w:val="dotted" w:sz="4" w:space="0" w:color="A6A6A6"/>
              <w:right w:val="nil"/>
            </w:tcBorders>
            <w:shd w:val="clear" w:color="auto" w:fill="auto"/>
            <w:noWrap/>
            <w:vAlign w:val="bottom"/>
            <w:hideMark/>
          </w:tcPr>
          <w:p w14:paraId="7E0637E8" w14:textId="77777777" w:rsidR="003C07F3" w:rsidRPr="003C07F3" w:rsidRDefault="003C07F3" w:rsidP="009E7112">
            <w:pPr>
              <w:spacing w:after="0"/>
              <w:ind w:firstLineChars="141" w:firstLine="310"/>
              <w:rPr>
                <w:rFonts w:ascii="Calibri" w:hAnsi="Calibri" w:cs="Calibri"/>
                <w:color w:val="000000"/>
                <w:sz w:val="22"/>
                <w:szCs w:val="22"/>
                <w:lang w:eastAsia="en-AU"/>
              </w:rPr>
            </w:pPr>
            <w:r w:rsidRPr="003C07F3">
              <w:rPr>
                <w:rFonts w:ascii="Calibri" w:hAnsi="Calibri" w:cs="Calibri"/>
                <w:color w:val="000000"/>
                <w:sz w:val="22"/>
                <w:szCs w:val="22"/>
                <w:lang w:eastAsia="en-AU"/>
              </w:rPr>
              <w:t>Finalise assessment and advise hospital</w:t>
            </w:r>
          </w:p>
        </w:tc>
        <w:tc>
          <w:tcPr>
            <w:tcW w:w="1282" w:type="dxa"/>
            <w:tcBorders>
              <w:top w:val="nil"/>
              <w:left w:val="single" w:sz="4" w:space="0" w:color="A6A6A6"/>
              <w:bottom w:val="dotted" w:sz="4" w:space="0" w:color="A6A6A6"/>
              <w:right w:val="single" w:sz="4" w:space="0" w:color="A6A6A6"/>
            </w:tcBorders>
            <w:shd w:val="clear" w:color="auto" w:fill="auto"/>
            <w:noWrap/>
            <w:vAlign w:val="bottom"/>
            <w:hideMark/>
          </w:tcPr>
          <w:p w14:paraId="4F9BB2BF" w14:textId="77777777" w:rsidR="003C07F3" w:rsidRPr="003C07F3" w:rsidRDefault="000A3C3C" w:rsidP="009E7112">
            <w:pPr>
              <w:spacing w:after="0"/>
              <w:ind w:right="307"/>
              <w:jc w:val="right"/>
              <w:rPr>
                <w:rFonts w:ascii="Calibri" w:hAnsi="Calibri" w:cs="Calibri"/>
                <w:color w:val="000000"/>
                <w:sz w:val="22"/>
                <w:szCs w:val="22"/>
                <w:lang w:eastAsia="en-AU"/>
              </w:rPr>
            </w:pPr>
            <w:r>
              <w:rPr>
                <w:rFonts w:ascii="Calibri" w:hAnsi="Calibri" w:cs="Calibri"/>
                <w:color w:val="000000"/>
                <w:sz w:val="22"/>
                <w:szCs w:val="22"/>
                <w:lang w:eastAsia="en-AU"/>
              </w:rPr>
              <w:t>$105</w:t>
            </w:r>
          </w:p>
        </w:tc>
        <w:tc>
          <w:tcPr>
            <w:tcW w:w="1282" w:type="dxa"/>
            <w:tcBorders>
              <w:top w:val="nil"/>
              <w:left w:val="nil"/>
              <w:bottom w:val="dotted" w:sz="4" w:space="0" w:color="A6A6A6"/>
              <w:right w:val="single" w:sz="4" w:space="0" w:color="A6A6A6"/>
            </w:tcBorders>
            <w:shd w:val="clear" w:color="auto" w:fill="auto"/>
            <w:noWrap/>
            <w:vAlign w:val="bottom"/>
            <w:hideMark/>
          </w:tcPr>
          <w:p w14:paraId="23251FC8" w14:textId="77777777" w:rsidR="003C07F3" w:rsidRPr="003C07F3" w:rsidRDefault="000A3C3C" w:rsidP="009E7112">
            <w:pPr>
              <w:spacing w:after="0"/>
              <w:ind w:right="307"/>
              <w:jc w:val="right"/>
              <w:rPr>
                <w:rFonts w:ascii="Calibri" w:hAnsi="Calibri" w:cs="Calibri"/>
                <w:color w:val="000000"/>
                <w:sz w:val="22"/>
                <w:szCs w:val="22"/>
                <w:lang w:eastAsia="en-AU"/>
              </w:rPr>
            </w:pPr>
            <w:r>
              <w:rPr>
                <w:rFonts w:ascii="Calibri" w:hAnsi="Calibri" w:cs="Calibri"/>
                <w:color w:val="000000"/>
                <w:sz w:val="22"/>
                <w:szCs w:val="22"/>
                <w:lang w:eastAsia="en-AU"/>
              </w:rPr>
              <w:t>$29</w:t>
            </w:r>
          </w:p>
        </w:tc>
        <w:tc>
          <w:tcPr>
            <w:tcW w:w="1282" w:type="dxa"/>
            <w:tcBorders>
              <w:top w:val="nil"/>
              <w:left w:val="nil"/>
              <w:bottom w:val="dotted" w:sz="4" w:space="0" w:color="A6A6A6"/>
              <w:right w:val="single" w:sz="4" w:space="0" w:color="A6A6A6"/>
            </w:tcBorders>
            <w:shd w:val="clear" w:color="auto" w:fill="auto"/>
            <w:noWrap/>
            <w:vAlign w:val="bottom"/>
            <w:hideMark/>
          </w:tcPr>
          <w:p w14:paraId="6240FFB0" w14:textId="77777777" w:rsidR="003C07F3" w:rsidRPr="003C07F3" w:rsidRDefault="000A3C3C" w:rsidP="009E7112">
            <w:pPr>
              <w:spacing w:after="0"/>
              <w:ind w:right="307"/>
              <w:jc w:val="right"/>
              <w:rPr>
                <w:rFonts w:ascii="Calibri" w:hAnsi="Calibri" w:cs="Calibri"/>
                <w:color w:val="000000"/>
                <w:sz w:val="22"/>
                <w:szCs w:val="22"/>
                <w:lang w:eastAsia="en-AU"/>
              </w:rPr>
            </w:pPr>
            <w:r>
              <w:rPr>
                <w:rFonts w:ascii="Calibri" w:hAnsi="Calibri" w:cs="Calibri"/>
                <w:color w:val="000000"/>
                <w:sz w:val="22"/>
                <w:szCs w:val="22"/>
                <w:lang w:eastAsia="en-AU"/>
              </w:rPr>
              <w:t>$134</w:t>
            </w:r>
          </w:p>
        </w:tc>
      </w:tr>
      <w:tr w:rsidR="003C07F3" w:rsidRPr="003C07F3" w14:paraId="22A2851C" w14:textId="77777777" w:rsidTr="003C07F3">
        <w:trPr>
          <w:trHeight w:val="300"/>
        </w:trPr>
        <w:tc>
          <w:tcPr>
            <w:tcW w:w="5504" w:type="dxa"/>
            <w:tcBorders>
              <w:top w:val="nil"/>
              <w:left w:val="single" w:sz="4" w:space="0" w:color="A6A6A6"/>
              <w:bottom w:val="nil"/>
              <w:right w:val="nil"/>
            </w:tcBorders>
            <w:shd w:val="clear" w:color="auto" w:fill="auto"/>
            <w:noWrap/>
            <w:vAlign w:val="bottom"/>
            <w:hideMark/>
          </w:tcPr>
          <w:p w14:paraId="3283D268" w14:textId="77777777" w:rsidR="003C07F3" w:rsidRPr="003C07F3" w:rsidRDefault="003C07F3" w:rsidP="009E7112">
            <w:pPr>
              <w:spacing w:after="0"/>
              <w:ind w:firstLineChars="141" w:firstLine="310"/>
              <w:rPr>
                <w:rFonts w:ascii="Calibri" w:hAnsi="Calibri" w:cs="Calibri"/>
                <w:color w:val="000000"/>
                <w:sz w:val="22"/>
                <w:szCs w:val="22"/>
                <w:lang w:eastAsia="en-AU"/>
              </w:rPr>
            </w:pPr>
            <w:r w:rsidRPr="003C07F3">
              <w:rPr>
                <w:rFonts w:ascii="Calibri" w:hAnsi="Calibri" w:cs="Calibri"/>
                <w:color w:val="000000"/>
                <w:sz w:val="22"/>
                <w:szCs w:val="22"/>
                <w:lang w:eastAsia="en-AU"/>
              </w:rPr>
              <w:t>Publish outcome</w:t>
            </w:r>
          </w:p>
        </w:tc>
        <w:tc>
          <w:tcPr>
            <w:tcW w:w="1282" w:type="dxa"/>
            <w:tcBorders>
              <w:top w:val="nil"/>
              <w:left w:val="single" w:sz="4" w:space="0" w:color="A6A6A6"/>
              <w:bottom w:val="nil"/>
              <w:right w:val="single" w:sz="4" w:space="0" w:color="A6A6A6"/>
            </w:tcBorders>
            <w:shd w:val="clear" w:color="auto" w:fill="auto"/>
            <w:noWrap/>
            <w:vAlign w:val="bottom"/>
            <w:hideMark/>
          </w:tcPr>
          <w:p w14:paraId="062BB43B" w14:textId="77777777" w:rsidR="003C07F3" w:rsidRPr="003C07F3" w:rsidRDefault="000A3C3C" w:rsidP="009E7112">
            <w:pPr>
              <w:spacing w:after="0"/>
              <w:ind w:right="307"/>
              <w:jc w:val="right"/>
              <w:rPr>
                <w:rFonts w:ascii="Calibri" w:hAnsi="Calibri" w:cs="Calibri"/>
                <w:color w:val="000000"/>
                <w:sz w:val="22"/>
                <w:szCs w:val="22"/>
                <w:lang w:eastAsia="en-AU"/>
              </w:rPr>
            </w:pPr>
            <w:r>
              <w:rPr>
                <w:rFonts w:ascii="Calibri" w:hAnsi="Calibri" w:cs="Calibri"/>
                <w:color w:val="000000"/>
                <w:sz w:val="22"/>
                <w:szCs w:val="22"/>
                <w:lang w:eastAsia="en-AU"/>
              </w:rPr>
              <w:t>$59</w:t>
            </w:r>
          </w:p>
        </w:tc>
        <w:tc>
          <w:tcPr>
            <w:tcW w:w="1282" w:type="dxa"/>
            <w:tcBorders>
              <w:top w:val="nil"/>
              <w:left w:val="nil"/>
              <w:bottom w:val="nil"/>
              <w:right w:val="single" w:sz="4" w:space="0" w:color="A6A6A6"/>
            </w:tcBorders>
            <w:shd w:val="clear" w:color="auto" w:fill="auto"/>
            <w:noWrap/>
            <w:vAlign w:val="bottom"/>
            <w:hideMark/>
          </w:tcPr>
          <w:p w14:paraId="55ADE3BE" w14:textId="77777777" w:rsidR="003C07F3" w:rsidRPr="003C07F3" w:rsidRDefault="009E7112" w:rsidP="009E7112">
            <w:pPr>
              <w:spacing w:after="0"/>
              <w:ind w:right="307"/>
              <w:jc w:val="right"/>
              <w:rPr>
                <w:rFonts w:ascii="Calibri" w:hAnsi="Calibri" w:cs="Calibri"/>
                <w:color w:val="000000"/>
                <w:sz w:val="22"/>
                <w:szCs w:val="22"/>
                <w:lang w:eastAsia="en-AU"/>
              </w:rPr>
            </w:pPr>
            <w:r>
              <w:rPr>
                <w:rFonts w:ascii="Calibri" w:hAnsi="Calibri" w:cs="Calibri"/>
                <w:color w:val="000000"/>
                <w:sz w:val="22"/>
                <w:szCs w:val="22"/>
                <w:lang w:eastAsia="en-AU"/>
              </w:rPr>
              <w:t>$16</w:t>
            </w:r>
          </w:p>
        </w:tc>
        <w:tc>
          <w:tcPr>
            <w:tcW w:w="1282" w:type="dxa"/>
            <w:tcBorders>
              <w:top w:val="nil"/>
              <w:left w:val="nil"/>
              <w:bottom w:val="nil"/>
              <w:right w:val="single" w:sz="4" w:space="0" w:color="A6A6A6"/>
            </w:tcBorders>
            <w:shd w:val="clear" w:color="auto" w:fill="auto"/>
            <w:noWrap/>
            <w:vAlign w:val="bottom"/>
            <w:hideMark/>
          </w:tcPr>
          <w:p w14:paraId="0B06E597" w14:textId="77777777" w:rsidR="003C07F3" w:rsidRPr="003C07F3" w:rsidRDefault="000A3C3C" w:rsidP="009E7112">
            <w:pPr>
              <w:spacing w:after="0"/>
              <w:ind w:right="307"/>
              <w:jc w:val="right"/>
              <w:rPr>
                <w:rFonts w:ascii="Calibri" w:hAnsi="Calibri" w:cs="Calibri"/>
                <w:color w:val="000000"/>
                <w:sz w:val="22"/>
                <w:szCs w:val="22"/>
                <w:lang w:eastAsia="en-AU"/>
              </w:rPr>
            </w:pPr>
            <w:r>
              <w:rPr>
                <w:rFonts w:ascii="Calibri" w:hAnsi="Calibri" w:cs="Calibri"/>
                <w:color w:val="000000"/>
                <w:sz w:val="22"/>
                <w:szCs w:val="22"/>
                <w:lang w:eastAsia="en-AU"/>
              </w:rPr>
              <w:t>$75</w:t>
            </w:r>
          </w:p>
        </w:tc>
      </w:tr>
      <w:tr w:rsidR="003C07F3" w:rsidRPr="003C07F3" w14:paraId="234F07FB" w14:textId="77777777" w:rsidTr="003C07F3">
        <w:trPr>
          <w:trHeight w:val="300"/>
        </w:trPr>
        <w:tc>
          <w:tcPr>
            <w:tcW w:w="5504" w:type="dxa"/>
            <w:tcBorders>
              <w:top w:val="single" w:sz="4" w:space="0" w:color="A6A6A6"/>
              <w:left w:val="single" w:sz="4" w:space="0" w:color="A6A6A6"/>
              <w:bottom w:val="single" w:sz="4" w:space="0" w:color="A6A6A6"/>
              <w:right w:val="nil"/>
            </w:tcBorders>
            <w:shd w:val="clear" w:color="auto" w:fill="auto"/>
            <w:noWrap/>
            <w:vAlign w:val="bottom"/>
            <w:hideMark/>
          </w:tcPr>
          <w:p w14:paraId="4FD93FF0" w14:textId="77777777" w:rsidR="003C07F3" w:rsidRPr="003C07F3" w:rsidRDefault="003C07F3" w:rsidP="003C07F3">
            <w:pPr>
              <w:spacing w:after="0"/>
              <w:ind w:firstLineChars="100" w:firstLine="220"/>
              <w:rPr>
                <w:rFonts w:ascii="Calibri" w:hAnsi="Calibri" w:cs="Calibri"/>
                <w:color w:val="000000"/>
                <w:sz w:val="22"/>
                <w:szCs w:val="22"/>
                <w:lang w:eastAsia="en-AU"/>
              </w:rPr>
            </w:pPr>
            <w:r w:rsidRPr="003C07F3">
              <w:rPr>
                <w:rFonts w:ascii="Calibri" w:hAnsi="Calibri" w:cs="Calibri"/>
                <w:color w:val="000000"/>
                <w:sz w:val="22"/>
                <w:szCs w:val="22"/>
                <w:lang w:eastAsia="en-AU"/>
              </w:rPr>
              <w:t>Total for Application Processing</w:t>
            </w:r>
          </w:p>
        </w:tc>
        <w:tc>
          <w:tcPr>
            <w:tcW w:w="1282" w:type="dxa"/>
            <w:tcBorders>
              <w:top w:val="single" w:sz="4" w:space="0" w:color="A6A6A6"/>
              <w:left w:val="single" w:sz="4" w:space="0" w:color="A6A6A6"/>
              <w:bottom w:val="single" w:sz="4" w:space="0" w:color="A6A6A6"/>
              <w:right w:val="single" w:sz="4" w:space="0" w:color="A6A6A6"/>
            </w:tcBorders>
            <w:shd w:val="clear" w:color="auto" w:fill="auto"/>
            <w:noWrap/>
            <w:vAlign w:val="bottom"/>
            <w:hideMark/>
          </w:tcPr>
          <w:p w14:paraId="5C76BFF0" w14:textId="77777777" w:rsidR="003C07F3" w:rsidRPr="003C07F3" w:rsidRDefault="000A3C3C" w:rsidP="009E7112">
            <w:pPr>
              <w:spacing w:after="0"/>
              <w:ind w:right="307"/>
              <w:jc w:val="right"/>
              <w:rPr>
                <w:rFonts w:ascii="Calibri" w:hAnsi="Calibri" w:cs="Calibri"/>
                <w:color w:val="000000"/>
                <w:sz w:val="22"/>
                <w:szCs w:val="22"/>
                <w:lang w:eastAsia="en-AU"/>
              </w:rPr>
            </w:pPr>
            <w:r>
              <w:rPr>
                <w:rFonts w:ascii="Calibri" w:hAnsi="Calibri" w:cs="Calibri"/>
                <w:color w:val="000000"/>
                <w:sz w:val="22"/>
                <w:szCs w:val="22"/>
                <w:lang w:eastAsia="en-AU"/>
              </w:rPr>
              <w:t>$720</w:t>
            </w:r>
          </w:p>
        </w:tc>
        <w:tc>
          <w:tcPr>
            <w:tcW w:w="1282" w:type="dxa"/>
            <w:tcBorders>
              <w:top w:val="single" w:sz="4" w:space="0" w:color="A6A6A6"/>
              <w:left w:val="nil"/>
              <w:bottom w:val="single" w:sz="4" w:space="0" w:color="A6A6A6"/>
              <w:right w:val="single" w:sz="4" w:space="0" w:color="A6A6A6"/>
            </w:tcBorders>
            <w:shd w:val="clear" w:color="auto" w:fill="auto"/>
            <w:noWrap/>
            <w:vAlign w:val="bottom"/>
            <w:hideMark/>
          </w:tcPr>
          <w:p w14:paraId="52AE4DA7" w14:textId="77777777" w:rsidR="003C07F3" w:rsidRPr="003C07F3" w:rsidRDefault="000A3C3C" w:rsidP="009E7112">
            <w:pPr>
              <w:spacing w:after="0"/>
              <w:ind w:right="307"/>
              <w:jc w:val="right"/>
              <w:rPr>
                <w:rFonts w:ascii="Calibri" w:hAnsi="Calibri" w:cs="Calibri"/>
                <w:color w:val="000000"/>
                <w:sz w:val="22"/>
                <w:szCs w:val="22"/>
                <w:lang w:eastAsia="en-AU"/>
              </w:rPr>
            </w:pPr>
            <w:r>
              <w:rPr>
                <w:rFonts w:ascii="Calibri" w:hAnsi="Calibri" w:cs="Calibri"/>
                <w:color w:val="000000"/>
                <w:sz w:val="22"/>
                <w:szCs w:val="22"/>
                <w:lang w:eastAsia="en-AU"/>
              </w:rPr>
              <w:t>$178</w:t>
            </w:r>
          </w:p>
        </w:tc>
        <w:tc>
          <w:tcPr>
            <w:tcW w:w="1282" w:type="dxa"/>
            <w:tcBorders>
              <w:top w:val="single" w:sz="4" w:space="0" w:color="A6A6A6"/>
              <w:left w:val="nil"/>
              <w:bottom w:val="single" w:sz="4" w:space="0" w:color="A6A6A6"/>
              <w:right w:val="single" w:sz="4" w:space="0" w:color="A6A6A6"/>
            </w:tcBorders>
            <w:shd w:val="clear" w:color="auto" w:fill="auto"/>
            <w:noWrap/>
            <w:vAlign w:val="bottom"/>
            <w:hideMark/>
          </w:tcPr>
          <w:p w14:paraId="03E5D5FD" w14:textId="77777777" w:rsidR="003C07F3" w:rsidRPr="009E7112" w:rsidRDefault="000A3C3C" w:rsidP="009E7112">
            <w:pPr>
              <w:spacing w:after="0"/>
              <w:ind w:right="307"/>
              <w:jc w:val="right"/>
              <w:rPr>
                <w:rFonts w:ascii="Calibri" w:hAnsi="Calibri" w:cs="Calibri"/>
                <w:color w:val="000000"/>
                <w:sz w:val="22"/>
                <w:szCs w:val="22"/>
                <w:lang w:eastAsia="en-AU"/>
              </w:rPr>
            </w:pPr>
            <w:r>
              <w:rPr>
                <w:rFonts w:ascii="Calibri" w:hAnsi="Calibri" w:cs="Calibri"/>
                <w:color w:val="000000"/>
                <w:sz w:val="22"/>
                <w:szCs w:val="22"/>
                <w:lang w:eastAsia="en-AU"/>
              </w:rPr>
              <w:t>$898</w:t>
            </w:r>
          </w:p>
        </w:tc>
      </w:tr>
    </w:tbl>
    <w:p w14:paraId="29F1DD16" w14:textId="77777777" w:rsidR="0080758D" w:rsidRPr="0080758D" w:rsidRDefault="000A3C3C" w:rsidP="0080758D">
      <w:pPr>
        <w:rPr>
          <w:sz w:val="20"/>
          <w:szCs w:val="20"/>
        </w:rPr>
      </w:pPr>
      <w:r>
        <w:rPr>
          <w:sz w:val="20"/>
          <w:szCs w:val="20"/>
        </w:rPr>
        <w:t>Note: Second-</w:t>
      </w:r>
      <w:r w:rsidR="0080758D">
        <w:rPr>
          <w:sz w:val="20"/>
          <w:szCs w:val="20"/>
        </w:rPr>
        <w:t>tier eligibility application fees are rounded to the nearest $5.</w:t>
      </w:r>
    </w:p>
    <w:p w14:paraId="3EBB519C" w14:textId="77777777" w:rsidR="006B3C6B" w:rsidRDefault="006B3C6B" w:rsidP="006B3C6B">
      <w:pPr>
        <w:spacing w:before="240"/>
      </w:pPr>
      <w:r>
        <w:t xml:space="preserve">The </w:t>
      </w:r>
      <w:r w:rsidR="00B84E41">
        <w:t>D</w:t>
      </w:r>
      <w:r>
        <w:t>epartment estimated the volume of applic</w:t>
      </w:r>
      <w:r w:rsidR="002A2541">
        <w:t>ations based on existing second-</w:t>
      </w:r>
      <w:r>
        <w:t xml:space="preserve">tier expiration and accreditation dates. Based on past trends, the </w:t>
      </w:r>
      <w:r w:rsidR="00B84E41">
        <w:t>D</w:t>
      </w:r>
      <w:r>
        <w:t xml:space="preserve">epartment </w:t>
      </w:r>
      <w:r w:rsidR="00496E56">
        <w:t xml:space="preserve">has </w:t>
      </w:r>
      <w:r w:rsidR="00067E97">
        <w:t>assumed that most</w:t>
      </w:r>
      <w:r w:rsidR="00E83F47">
        <w:t xml:space="preserve"> hospitals with existing second</w:t>
      </w:r>
      <w:r w:rsidR="002A2541">
        <w:t>-</w:t>
      </w:r>
      <w:r>
        <w:t xml:space="preserve">tier eligibility will re-apply when </w:t>
      </w:r>
      <w:r w:rsidR="00A66C7A">
        <w:t>their current</w:t>
      </w:r>
      <w:r w:rsidR="00B84E41">
        <w:t xml:space="preserve"> eligibility expires. The De</w:t>
      </w:r>
      <w:r>
        <w:t xml:space="preserve">partment also </w:t>
      </w:r>
      <w:r w:rsidR="00496E56">
        <w:t xml:space="preserve">has </w:t>
      </w:r>
      <w:r>
        <w:t>assumed that the administrative improvements it will deliver will encourage a small number of existing private ho</w:t>
      </w:r>
      <w:r w:rsidR="00E83F47">
        <w:t>spitals that do not have second</w:t>
      </w:r>
      <w:r w:rsidR="002A2541">
        <w:t>-</w:t>
      </w:r>
      <w:r>
        <w:t xml:space="preserve">tier eligibility to apply. </w:t>
      </w:r>
      <w:r w:rsidR="00943A7D">
        <w:t>Given</w:t>
      </w:r>
      <w:r>
        <w:t xml:space="preserve"> recent trends</w:t>
      </w:r>
      <w:r w:rsidR="00943A7D">
        <w:t xml:space="preserve">, and the fact that hospitals </w:t>
      </w:r>
      <w:r w:rsidR="006A7972">
        <w:t xml:space="preserve">are </w:t>
      </w:r>
      <w:r w:rsidR="00E83F47">
        <w:t>able to apply for second</w:t>
      </w:r>
      <w:r w:rsidR="002A2541">
        <w:t>-</w:t>
      </w:r>
      <w:r w:rsidR="00943A7D">
        <w:t xml:space="preserve">tier eligibility at the time of </w:t>
      </w:r>
      <w:r w:rsidR="00A66C7A">
        <w:t xml:space="preserve">applying for hospital </w:t>
      </w:r>
      <w:r w:rsidR="00943A7D">
        <w:t>declaration</w:t>
      </w:r>
      <w:r>
        <w:t xml:space="preserve">, the </w:t>
      </w:r>
      <w:r w:rsidR="00B84E41">
        <w:t>D</w:t>
      </w:r>
      <w:r>
        <w:t xml:space="preserve">epartment </w:t>
      </w:r>
      <w:r w:rsidR="00496E56">
        <w:t xml:space="preserve">has </w:t>
      </w:r>
      <w:r w:rsidR="00067E97">
        <w:t>assumed that most</w:t>
      </w:r>
      <w:r>
        <w:t xml:space="preserve"> newly declared private hospitals will also apply for second</w:t>
      </w:r>
      <w:r w:rsidR="002A2541">
        <w:t>-</w:t>
      </w:r>
      <w:r>
        <w:t>tier eligibility.</w:t>
      </w:r>
    </w:p>
    <w:p w14:paraId="3336A57D" w14:textId="77777777" w:rsidR="006B3C6B" w:rsidRDefault="006B3C6B" w:rsidP="006B3C6B">
      <w:r w:rsidRPr="00BD2E1C">
        <w:t xml:space="preserve">The </w:t>
      </w:r>
      <w:r w:rsidR="00B84E41">
        <w:t>D</w:t>
      </w:r>
      <w:r w:rsidRPr="00BD2E1C">
        <w:t>epartment review</w:t>
      </w:r>
      <w:r w:rsidR="004D5B01">
        <w:t>s</w:t>
      </w:r>
      <w:r w:rsidRPr="00BD2E1C">
        <w:t xml:space="preserve"> its administrative processes and estimated volume of applications each year in order to estimate the cost of the regulatory charging activity for the next financial year.</w:t>
      </w:r>
      <w:r w:rsidR="00A01559">
        <w:t xml:space="preserve"> </w:t>
      </w:r>
    </w:p>
    <w:p w14:paraId="527781C1" w14:textId="77777777" w:rsidR="004E11E0" w:rsidRPr="00BD2E1C" w:rsidRDefault="004E11E0" w:rsidP="002927AE">
      <w:pPr>
        <w:pStyle w:val="Heading3"/>
      </w:pPr>
      <w:bookmarkStart w:id="5" w:name="_Table_1:_Cost_1"/>
      <w:bookmarkStart w:id="6" w:name="_Table_1:_Cost"/>
      <w:bookmarkEnd w:id="5"/>
      <w:bookmarkEnd w:id="6"/>
      <w:r w:rsidRPr="00BD2E1C">
        <w:t>Design of regulatory</w:t>
      </w:r>
      <w:r w:rsidR="00CA3ADB" w:rsidRPr="00BD2E1C">
        <w:t xml:space="preserve"> charges</w:t>
      </w:r>
    </w:p>
    <w:p w14:paraId="4DB99EAE" w14:textId="77777777" w:rsidR="00DD3A5A" w:rsidRDefault="00A102E7" w:rsidP="00CA3ADB">
      <w:r w:rsidRPr="00BD2E1C">
        <w:t>The Government’s policy decis</w:t>
      </w:r>
      <w:r w:rsidR="00B84E41">
        <w:t>ion provides authority for the D</w:t>
      </w:r>
      <w:r w:rsidRPr="00BD2E1C">
        <w:t>epartment to fully cost r</w:t>
      </w:r>
      <w:r w:rsidR="00E83F47">
        <w:t>ecover administration of second</w:t>
      </w:r>
      <w:r w:rsidR="002A2541">
        <w:t>-</w:t>
      </w:r>
      <w:r w:rsidRPr="00BD2E1C">
        <w:t>tier eligibility by charging a cost recovery fee to private hospitals applying for second</w:t>
      </w:r>
      <w:r w:rsidR="002A2541">
        <w:t>-</w:t>
      </w:r>
      <w:r w:rsidRPr="00BD2E1C">
        <w:t>tier default benefits eligibility</w:t>
      </w:r>
      <w:r w:rsidR="00F86247">
        <w:t>, and applying an indexation rate to the fee annually</w:t>
      </w:r>
      <w:r w:rsidRPr="00BD2E1C">
        <w:t xml:space="preserve">. The fee reflects the efficient cost of the service provided by the </w:t>
      </w:r>
      <w:r w:rsidR="00B84E41">
        <w:t>D</w:t>
      </w:r>
      <w:r w:rsidRPr="00BD2E1C">
        <w:t>epartment, as outlined in section 3.2</w:t>
      </w:r>
      <w:r w:rsidR="00EB703F" w:rsidRPr="00BD2E1C">
        <w:t>.</w:t>
      </w:r>
      <w:r w:rsidR="005D5D01">
        <w:t xml:space="preserve"> </w:t>
      </w:r>
    </w:p>
    <w:p w14:paraId="650963AF" w14:textId="77777777" w:rsidR="00F86247" w:rsidRDefault="00F86247" w:rsidP="00CA3ADB">
      <w:r>
        <w:t>Charging for this serv</w:t>
      </w:r>
      <w:r w:rsidR="0021562C">
        <w:t xml:space="preserve">ice commenced on 1 January 2019. The application fee is </w:t>
      </w:r>
      <w:r>
        <w:t>subject to an annual fee increase due to indexation. This application fee does not incur GST.</w:t>
      </w:r>
    </w:p>
    <w:p w14:paraId="34420EAF" w14:textId="77777777" w:rsidR="004E11E0" w:rsidRDefault="0021562C" w:rsidP="00934B20">
      <w:r w:rsidRPr="0021562C">
        <w:t>The application fee of $</w:t>
      </w:r>
      <w:r w:rsidR="00614E45">
        <w:t>900 is payable</w:t>
      </w:r>
      <w:r w:rsidRPr="0021562C">
        <w:t xml:space="preserve"> from 1 July 202</w:t>
      </w:r>
      <w:r w:rsidR="00614E45">
        <w:t>1</w:t>
      </w:r>
      <w:r w:rsidRPr="0021562C">
        <w:t xml:space="preserve">. </w:t>
      </w:r>
      <w:r>
        <w:t xml:space="preserve">This </w:t>
      </w:r>
      <w:r w:rsidR="004E11E0">
        <w:t xml:space="preserve">fee </w:t>
      </w:r>
      <w:r w:rsidR="0013339C">
        <w:t xml:space="preserve">is </w:t>
      </w:r>
      <w:r w:rsidR="004E11E0">
        <w:t>charged for each application and a separate application is required for each hospital. The application fee must be paid in full prior to the</w:t>
      </w:r>
      <w:r w:rsidR="00B84E41">
        <w:t xml:space="preserve"> D</w:t>
      </w:r>
      <w:r w:rsidR="004E11E0">
        <w:t>epartment commencing ass</w:t>
      </w:r>
      <w:r w:rsidR="00B84E41">
        <w:t>essment of an application. The D</w:t>
      </w:r>
      <w:r w:rsidR="004E11E0">
        <w:t>epartment will not waive the fee in any circumstances and the fee will only be refunded where a hospital withdraw</w:t>
      </w:r>
      <w:r w:rsidR="00B84E41">
        <w:t>s its application prior to the D</w:t>
      </w:r>
      <w:r w:rsidR="004E11E0">
        <w:t>epartment commencing any part of assessment.</w:t>
      </w:r>
    </w:p>
    <w:p w14:paraId="653A2ECE" w14:textId="77777777" w:rsidR="00E839E5" w:rsidRDefault="00A102E7" w:rsidP="00934B20">
      <w:bookmarkStart w:id="7" w:name="calculationofcosts"/>
      <w:bookmarkEnd w:id="4"/>
      <w:r>
        <w:lastRenderedPageBreak/>
        <w:t xml:space="preserve">The application fee </w:t>
      </w:r>
      <w:r w:rsidR="0013339C">
        <w:t xml:space="preserve">is </w:t>
      </w:r>
      <w:r>
        <w:t xml:space="preserve">published on the </w:t>
      </w:r>
      <w:hyperlink r:id="rId8" w:history="1">
        <w:r w:rsidRPr="00E50668">
          <w:rPr>
            <w:rStyle w:val="Hyperlink"/>
          </w:rPr>
          <w:t>second-tier default benefits page of the Department of Health website</w:t>
        </w:r>
      </w:hyperlink>
      <w:r>
        <w:t xml:space="preserve"> and </w:t>
      </w:r>
      <w:r w:rsidR="0013339C">
        <w:t xml:space="preserve">is </w:t>
      </w:r>
      <w:r>
        <w:t>listed in the application form available on the same webpage.</w:t>
      </w:r>
    </w:p>
    <w:p w14:paraId="04228FDF" w14:textId="77777777" w:rsidR="008B679D" w:rsidRPr="002927AE" w:rsidRDefault="008B679D" w:rsidP="002927AE">
      <w:pPr>
        <w:pStyle w:val="Heading2"/>
      </w:pPr>
      <w:r w:rsidRPr="002927AE">
        <w:t>RISK ASSESSMENT</w:t>
      </w:r>
    </w:p>
    <w:p w14:paraId="3CF61B3B" w14:textId="77777777" w:rsidR="00940980" w:rsidRDefault="00B84E41" w:rsidP="00873D36">
      <w:r>
        <w:t>The D</w:t>
      </w:r>
      <w:r w:rsidR="00940980">
        <w:t xml:space="preserve">epartment </w:t>
      </w:r>
      <w:r w:rsidR="001B79ED">
        <w:t xml:space="preserve">continues to </w:t>
      </w:r>
      <w:r w:rsidR="00940980">
        <w:t>manag</w:t>
      </w:r>
      <w:r w:rsidR="001B79ED">
        <w:t>e</w:t>
      </w:r>
      <w:r w:rsidR="00940980">
        <w:t xml:space="preserve"> </w:t>
      </w:r>
      <w:r w:rsidR="001B79ED">
        <w:t xml:space="preserve">cost estimate risks </w:t>
      </w:r>
      <w:r w:rsidR="00940980">
        <w:t xml:space="preserve">by considering the costs of comparable activities </w:t>
      </w:r>
      <w:r>
        <w:t xml:space="preserve">it </w:t>
      </w:r>
      <w:r w:rsidR="00940980">
        <w:t>und</w:t>
      </w:r>
      <w:r>
        <w:t>ertakes. The D</w:t>
      </w:r>
      <w:r w:rsidR="00940980">
        <w:t>epartment review</w:t>
      </w:r>
      <w:r w:rsidR="0013339C">
        <w:t>s</w:t>
      </w:r>
      <w:r w:rsidR="00940980">
        <w:t xml:space="preserve"> its processes and cost estimates </w:t>
      </w:r>
      <w:r w:rsidR="004D5B01">
        <w:t>annually</w:t>
      </w:r>
      <w:r w:rsidR="00940980">
        <w:t xml:space="preserve"> and </w:t>
      </w:r>
      <w:r w:rsidR="0013339C">
        <w:t xml:space="preserve">will </w:t>
      </w:r>
      <w:r w:rsidR="00940980">
        <w:t>adjust if required</w:t>
      </w:r>
      <w:r w:rsidR="00980D45">
        <w:t xml:space="preserve"> to charge </w:t>
      </w:r>
      <w:r w:rsidR="004D5B01">
        <w:t xml:space="preserve">only </w:t>
      </w:r>
      <w:r w:rsidR="00980D45">
        <w:t>for the efficient costs of providing this service</w:t>
      </w:r>
      <w:r w:rsidR="00940980">
        <w:t>.</w:t>
      </w:r>
    </w:p>
    <w:p w14:paraId="487F6945" w14:textId="77777777" w:rsidR="008B679D" w:rsidRPr="00C14195" w:rsidRDefault="008B679D" w:rsidP="003A27A7">
      <w:pPr>
        <w:pStyle w:val="Heading2"/>
        <w:ind w:left="709" w:hanging="709"/>
      </w:pPr>
      <w:r w:rsidRPr="00C14195">
        <w:t>STAKEHOLDER ENGAGEMENT</w:t>
      </w:r>
    </w:p>
    <w:p w14:paraId="5AF656CE" w14:textId="77777777" w:rsidR="00236B24" w:rsidRDefault="00D24FE4" w:rsidP="00236B24">
      <w:r>
        <w:t>In early</w:t>
      </w:r>
      <w:r w:rsidR="00236B24">
        <w:t xml:space="preserve"> 2017 the </w:t>
      </w:r>
      <w:r w:rsidR="00236B24" w:rsidRPr="00236B24">
        <w:t xml:space="preserve">Private Health Ministerial Advisory Committee – </w:t>
      </w:r>
      <w:r w:rsidR="00236B24">
        <w:t xml:space="preserve">Contracting and Default </w:t>
      </w:r>
      <w:r>
        <w:t>Benefits Working Group</w:t>
      </w:r>
      <w:r w:rsidR="00236B24">
        <w:t xml:space="preserve"> discuss</w:t>
      </w:r>
      <w:r>
        <w:t>ed</w:t>
      </w:r>
      <w:r w:rsidR="00236B24">
        <w:t xml:space="preserve"> second</w:t>
      </w:r>
      <w:r w:rsidR="00F22172">
        <w:t>-</w:t>
      </w:r>
      <w:r w:rsidR="00236B24">
        <w:t>tier arrangements. At the request of members the s</w:t>
      </w:r>
      <w:r w:rsidR="00236B24" w:rsidRPr="00236B24">
        <w:t xml:space="preserve">ecretariat agreed to consider whether </w:t>
      </w:r>
      <w:r w:rsidR="00236B24">
        <w:t>administration of second</w:t>
      </w:r>
      <w:r w:rsidR="002A2541">
        <w:t>-</w:t>
      </w:r>
      <w:r w:rsidR="00236B24">
        <w:t>tier default benefits</w:t>
      </w:r>
      <w:r w:rsidR="00236B24" w:rsidRPr="00236B24">
        <w:t xml:space="preserve"> should be undertaken by the Department of Health, possibly at the point of Commonwealth hospital declaration, and if so whether the cost of undertaking this role would be recovered from industry.</w:t>
      </w:r>
      <w:r w:rsidR="00732C7C">
        <w:t xml:space="preserve"> </w:t>
      </w:r>
      <w:r w:rsidR="00944DE2" w:rsidRPr="0087514F">
        <w:t xml:space="preserve">The final report from the </w:t>
      </w:r>
      <w:r w:rsidR="00B067DD">
        <w:t>W</w:t>
      </w:r>
      <w:r w:rsidR="00944DE2" w:rsidRPr="0087514F">
        <w:t xml:space="preserve">orking </w:t>
      </w:r>
      <w:r w:rsidR="00B067DD">
        <w:t>G</w:t>
      </w:r>
      <w:r w:rsidR="00944DE2" w:rsidRPr="0087514F">
        <w:t>roup support</w:t>
      </w:r>
      <w:r w:rsidR="0087514F" w:rsidRPr="0087514F">
        <w:t>ed</w:t>
      </w:r>
      <w:r w:rsidR="00944DE2" w:rsidRPr="0087514F">
        <w:t xml:space="preserve"> this a</w:t>
      </w:r>
      <w:r w:rsidR="0087514F" w:rsidRPr="0087514F">
        <w:t>pproach</w:t>
      </w:r>
      <w:r w:rsidR="009C4688">
        <w:t>.</w:t>
      </w:r>
      <w:r w:rsidR="0087514F">
        <w:t xml:space="preserve"> </w:t>
      </w:r>
    </w:p>
    <w:p w14:paraId="376CF567" w14:textId="77777777" w:rsidR="009C4688" w:rsidRDefault="00D92781" w:rsidP="00D92781">
      <w:r w:rsidRPr="00006CAB">
        <w:t>In early Aug</w:t>
      </w:r>
      <w:r w:rsidR="00D24FE4">
        <w:t xml:space="preserve">ust 2018 the </w:t>
      </w:r>
      <w:r w:rsidR="00B84E41">
        <w:t>D</w:t>
      </w:r>
      <w:r w:rsidR="00D24FE4">
        <w:t>epartment public</w:t>
      </w:r>
      <w:r w:rsidRPr="00006CAB">
        <w:t xml:space="preserve">ly consulted stakeholders, including private hospital peak bodies, about the 2018-19 CRIS. </w:t>
      </w:r>
    </w:p>
    <w:p w14:paraId="6A0F3EB7" w14:textId="77777777" w:rsidR="009C4688" w:rsidRDefault="009C4688" w:rsidP="00D92781">
      <w:r>
        <w:t>The CRIS is updated twice a year for stakeholders:</w:t>
      </w:r>
    </w:p>
    <w:p w14:paraId="65E5EB90" w14:textId="77777777" w:rsidR="009C4688" w:rsidRDefault="009C4688" w:rsidP="00331DB0">
      <w:pPr>
        <w:pStyle w:val="ListParagraph"/>
        <w:numPr>
          <w:ilvl w:val="0"/>
          <w:numId w:val="15"/>
        </w:numPr>
      </w:pPr>
      <w:r>
        <w:t>prior to the commencement of the new financial year to advise the fee payable from 1 July; and</w:t>
      </w:r>
    </w:p>
    <w:p w14:paraId="408AE188" w14:textId="77777777" w:rsidR="009C4688" w:rsidRDefault="009C4688" w:rsidP="00331DB0">
      <w:pPr>
        <w:pStyle w:val="ListParagraph"/>
        <w:numPr>
          <w:ilvl w:val="0"/>
          <w:numId w:val="15"/>
        </w:numPr>
      </w:pPr>
      <w:r>
        <w:t>in November to report on the actual financial and non-financial results for the previous financial year.</w:t>
      </w:r>
    </w:p>
    <w:p w14:paraId="2AFAFFAA" w14:textId="77777777" w:rsidR="009C4688" w:rsidRDefault="009C4688" w:rsidP="00D92781">
      <w:r>
        <w:t>Feedback on the CRIS can be provided to</w:t>
      </w:r>
      <w:r w:rsidR="00331DB0">
        <w:t>: phi.hospitals@health.gov.au</w:t>
      </w:r>
    </w:p>
    <w:p w14:paraId="7A2EEDC1" w14:textId="77777777" w:rsidR="006F74CC" w:rsidRDefault="009E7112" w:rsidP="00D92781">
      <w:r>
        <w:t>T</w:t>
      </w:r>
      <w:r w:rsidR="007948E8">
        <w:t>he</w:t>
      </w:r>
      <w:r w:rsidR="00B84E41">
        <w:t xml:space="preserve"> D</w:t>
      </w:r>
      <w:r w:rsidR="007948E8">
        <w:t>epartment review</w:t>
      </w:r>
      <w:r w:rsidR="009C4688">
        <w:t>s</w:t>
      </w:r>
      <w:r w:rsidR="007948E8">
        <w:t xml:space="preserve"> its processes and costs annually, and adjust</w:t>
      </w:r>
      <w:r w:rsidR="009C4688">
        <w:t>s</w:t>
      </w:r>
      <w:r w:rsidR="007948E8">
        <w:t xml:space="preserve"> the application fee accordingly.</w:t>
      </w:r>
      <w:r w:rsidR="00890BC4">
        <w:t xml:space="preserve"> </w:t>
      </w:r>
      <w:r w:rsidR="006F74CC">
        <w:t xml:space="preserve">Any changes to </w:t>
      </w:r>
      <w:r w:rsidR="009C4688">
        <w:t xml:space="preserve">the fee, other than by annual indexation, </w:t>
      </w:r>
      <w:r w:rsidR="006F74CC">
        <w:t xml:space="preserve">will be consulted with the private hospital sector. </w:t>
      </w:r>
    </w:p>
    <w:p w14:paraId="7563EC83" w14:textId="77777777" w:rsidR="00D92781" w:rsidRPr="00006CAB" w:rsidRDefault="00D92781" w:rsidP="00D92781">
      <w:r w:rsidRPr="00006CAB">
        <w:t xml:space="preserve">The </w:t>
      </w:r>
      <w:r w:rsidR="00B84E41">
        <w:t>D</w:t>
      </w:r>
      <w:r w:rsidRPr="00006CAB">
        <w:t xml:space="preserve">epartment has policy </w:t>
      </w:r>
      <w:r w:rsidR="007948E8">
        <w:t>approval</w:t>
      </w:r>
      <w:r w:rsidRPr="00006CAB">
        <w:t xml:space="preserve"> to cost recover assessment </w:t>
      </w:r>
      <w:r w:rsidR="007948E8">
        <w:t xml:space="preserve">of applications </w:t>
      </w:r>
      <w:r w:rsidRPr="00006CAB">
        <w:t xml:space="preserve">and publishing of </w:t>
      </w:r>
      <w:r w:rsidR="007948E8">
        <w:t xml:space="preserve">a list of </w:t>
      </w:r>
      <w:r w:rsidR="00E83F47">
        <w:t>second</w:t>
      </w:r>
      <w:r w:rsidR="002A2541">
        <w:t>-</w:t>
      </w:r>
      <w:r w:rsidRPr="00006CAB">
        <w:t>t</w:t>
      </w:r>
      <w:r w:rsidR="007948E8">
        <w:t>ier default benefits eligible hospitals</w:t>
      </w:r>
      <w:r w:rsidRPr="00006CAB">
        <w:t xml:space="preserve">. Eligibility lists were previously published by the </w:t>
      </w:r>
      <w:r w:rsidR="00B84E41">
        <w:t>D</w:t>
      </w:r>
      <w:r w:rsidRPr="00006CAB">
        <w:t xml:space="preserve">epartment three or four times per year, but now </w:t>
      </w:r>
      <w:r w:rsidR="007948E8">
        <w:t>that private hospitals can apply for second</w:t>
      </w:r>
      <w:r w:rsidR="002A2541">
        <w:t>-</w:t>
      </w:r>
      <w:r w:rsidR="007948E8">
        <w:t xml:space="preserve">tier default benefits eligibility at any time, the list </w:t>
      </w:r>
      <w:r w:rsidR="003C16AD">
        <w:t>is</w:t>
      </w:r>
      <w:r w:rsidRPr="00006CAB">
        <w:t xml:space="preserve"> </w:t>
      </w:r>
      <w:r w:rsidR="007948E8">
        <w:t xml:space="preserve">updated </w:t>
      </w:r>
      <w:r w:rsidR="00334139">
        <w:t>as the Department is advised of changes of hospital details</w:t>
      </w:r>
      <w:r w:rsidR="006838B7">
        <w:t>.</w:t>
      </w:r>
    </w:p>
    <w:p w14:paraId="157550E8" w14:textId="77777777" w:rsidR="006F74CC" w:rsidRPr="00006CAB" w:rsidRDefault="00B84E41" w:rsidP="00D92781">
      <w:r>
        <w:t>The D</w:t>
      </w:r>
      <w:r w:rsidR="00D92781" w:rsidRPr="00006CAB">
        <w:t xml:space="preserve">epartment </w:t>
      </w:r>
      <w:r w:rsidR="00736A59">
        <w:t xml:space="preserve">undertook consultation and </w:t>
      </w:r>
      <w:r w:rsidR="00D92781" w:rsidRPr="00006CAB">
        <w:t>provide</w:t>
      </w:r>
      <w:r w:rsidR="00384E9E">
        <w:t>d</w:t>
      </w:r>
      <w:r w:rsidR="00D92781" w:rsidRPr="00006CAB">
        <w:t xml:space="preserve"> information about </w:t>
      </w:r>
      <w:r w:rsidR="00384E9E">
        <w:t xml:space="preserve">the </w:t>
      </w:r>
      <w:r w:rsidR="00D92781" w:rsidRPr="00006CAB">
        <w:t xml:space="preserve">supporting evidence </w:t>
      </w:r>
      <w:r w:rsidR="00384E9E">
        <w:t xml:space="preserve">needed </w:t>
      </w:r>
      <w:r w:rsidR="00D92781" w:rsidRPr="00006CAB">
        <w:t xml:space="preserve">with applications in a guidelines document. </w:t>
      </w:r>
      <w:r w:rsidR="00384E9E">
        <w:t xml:space="preserve">The guidelines can be found at </w:t>
      </w:r>
      <w:hyperlink r:id="rId9" w:history="1">
        <w:r w:rsidR="00AB6A6E" w:rsidRPr="00AB6A6E">
          <w:rPr>
            <w:rStyle w:val="Hyperlink"/>
          </w:rPr>
          <w:t>https://www.health.gov.au/resources/publications/second-tier-default-benefits-guidelines</w:t>
        </w:r>
      </w:hyperlink>
      <w:r w:rsidR="00AB6A6E">
        <w:t>.</w:t>
      </w:r>
    </w:p>
    <w:p w14:paraId="50AD9CBC" w14:textId="77777777" w:rsidR="00493B85" w:rsidRDefault="0087514F" w:rsidP="00F0619A">
      <w:pPr>
        <w:pStyle w:val="Heading2"/>
      </w:pPr>
      <w:r>
        <w:lastRenderedPageBreak/>
        <w:t>FINANCIAL ESTIMATES</w:t>
      </w:r>
    </w:p>
    <w:p w14:paraId="2F62CAF0" w14:textId="77777777" w:rsidR="000F681B" w:rsidRPr="000F681B" w:rsidRDefault="0021562C" w:rsidP="000521EA">
      <w:pPr>
        <w:pStyle w:val="Heading4"/>
      </w:pPr>
      <w:bookmarkStart w:id="8" w:name="_Table_2:_Forecast"/>
      <w:bookmarkEnd w:id="8"/>
      <w:r w:rsidRPr="0021562C">
        <w:rPr>
          <w:rFonts w:asciiTheme="minorHAnsi" w:hAnsiTheme="minorHAnsi"/>
          <w:b w:val="0"/>
          <w:bCs w:val="0"/>
          <w:szCs w:val="24"/>
        </w:rPr>
        <w:t>The application fee of $</w:t>
      </w:r>
      <w:r w:rsidR="009C4688">
        <w:rPr>
          <w:rFonts w:asciiTheme="minorHAnsi" w:hAnsiTheme="minorHAnsi"/>
          <w:b w:val="0"/>
          <w:bCs w:val="0"/>
          <w:szCs w:val="24"/>
        </w:rPr>
        <w:t>900</w:t>
      </w:r>
      <w:r w:rsidRPr="0021562C">
        <w:rPr>
          <w:rFonts w:asciiTheme="minorHAnsi" w:hAnsiTheme="minorHAnsi"/>
          <w:b w:val="0"/>
          <w:bCs w:val="0"/>
          <w:szCs w:val="24"/>
        </w:rPr>
        <w:t xml:space="preserve"> </w:t>
      </w:r>
      <w:r w:rsidR="009C4688">
        <w:rPr>
          <w:rFonts w:asciiTheme="minorHAnsi" w:hAnsiTheme="minorHAnsi"/>
          <w:b w:val="0"/>
          <w:bCs w:val="0"/>
          <w:szCs w:val="24"/>
        </w:rPr>
        <w:t>is payable</w:t>
      </w:r>
      <w:r w:rsidR="004E629E" w:rsidRPr="0021562C">
        <w:rPr>
          <w:rFonts w:asciiTheme="minorHAnsi" w:hAnsiTheme="minorHAnsi"/>
          <w:b w:val="0"/>
          <w:bCs w:val="0"/>
          <w:szCs w:val="24"/>
        </w:rPr>
        <w:t xml:space="preserve"> from 1 July 202</w:t>
      </w:r>
      <w:r w:rsidR="009C4688">
        <w:rPr>
          <w:rFonts w:asciiTheme="minorHAnsi" w:hAnsiTheme="minorHAnsi"/>
          <w:b w:val="0"/>
          <w:bCs w:val="0"/>
          <w:szCs w:val="24"/>
        </w:rPr>
        <w:t>1</w:t>
      </w:r>
      <w:r w:rsidRPr="0021562C">
        <w:rPr>
          <w:rFonts w:asciiTheme="minorHAnsi" w:hAnsiTheme="minorHAnsi"/>
          <w:b w:val="0"/>
          <w:bCs w:val="0"/>
          <w:szCs w:val="24"/>
        </w:rPr>
        <w:t xml:space="preserve"> and is indexed annually</w:t>
      </w:r>
      <w:r w:rsidR="004E629E">
        <w:rPr>
          <w:rFonts w:asciiTheme="minorHAnsi" w:hAnsiTheme="minorHAnsi"/>
          <w:b w:val="0"/>
          <w:bCs w:val="0"/>
          <w:szCs w:val="24"/>
        </w:rPr>
        <w:t xml:space="preserve">. </w:t>
      </w:r>
      <w:r w:rsidR="00EC0671">
        <w:rPr>
          <w:rFonts w:asciiTheme="minorHAnsi" w:hAnsiTheme="minorHAnsi"/>
          <w:b w:val="0"/>
          <w:bCs w:val="0"/>
          <w:szCs w:val="24"/>
        </w:rPr>
        <w:t xml:space="preserve">The financial forecasts in table 2 reflect </w:t>
      </w:r>
      <w:r>
        <w:rPr>
          <w:rFonts w:asciiTheme="minorHAnsi" w:hAnsiTheme="minorHAnsi"/>
          <w:b w:val="0"/>
          <w:bCs w:val="0"/>
          <w:szCs w:val="24"/>
        </w:rPr>
        <w:t xml:space="preserve">the </w:t>
      </w:r>
      <w:r w:rsidR="0082306C">
        <w:rPr>
          <w:rFonts w:asciiTheme="minorHAnsi" w:hAnsiTheme="minorHAnsi"/>
          <w:b w:val="0"/>
          <w:bCs w:val="0"/>
          <w:szCs w:val="24"/>
        </w:rPr>
        <w:t>estimated revenue and expenses, based on</w:t>
      </w:r>
      <w:r w:rsidR="00EC0671">
        <w:rPr>
          <w:rFonts w:asciiTheme="minorHAnsi" w:hAnsiTheme="minorHAnsi"/>
          <w:b w:val="0"/>
          <w:bCs w:val="0"/>
          <w:szCs w:val="24"/>
        </w:rPr>
        <w:t xml:space="preserve"> the annual indexation </w:t>
      </w:r>
      <w:r w:rsidR="0082306C">
        <w:rPr>
          <w:rFonts w:asciiTheme="minorHAnsi" w:hAnsiTheme="minorHAnsi"/>
          <w:b w:val="0"/>
          <w:bCs w:val="0"/>
          <w:szCs w:val="24"/>
        </w:rPr>
        <w:t xml:space="preserve">of the fee </w:t>
      </w:r>
      <w:r w:rsidR="00EC0671">
        <w:rPr>
          <w:rFonts w:asciiTheme="minorHAnsi" w:hAnsiTheme="minorHAnsi"/>
          <w:b w:val="0"/>
          <w:bCs w:val="0"/>
          <w:szCs w:val="24"/>
        </w:rPr>
        <w:t>in the forward years.</w:t>
      </w:r>
    </w:p>
    <w:p w14:paraId="7C102F94" w14:textId="77777777" w:rsidR="008B679D" w:rsidRDefault="005E484B" w:rsidP="00493B85">
      <w:pPr>
        <w:pStyle w:val="Heading4"/>
      </w:pPr>
      <w:r>
        <w:t>Table 2</w:t>
      </w:r>
      <w:r w:rsidR="00493B85">
        <w:t>: Forecast financial performance</w:t>
      </w:r>
    </w:p>
    <w:tbl>
      <w:tblPr>
        <w:tblW w:w="7229" w:type="dxa"/>
        <w:tblInd w:w="137" w:type="dxa"/>
        <w:tblLook w:val="04A0" w:firstRow="1" w:lastRow="0" w:firstColumn="1" w:lastColumn="0" w:noHBand="0" w:noVBand="1"/>
      </w:tblPr>
      <w:tblGrid>
        <w:gridCol w:w="2126"/>
        <w:gridCol w:w="1276"/>
        <w:gridCol w:w="1276"/>
        <w:gridCol w:w="1276"/>
        <w:gridCol w:w="1275"/>
      </w:tblGrid>
      <w:tr w:rsidR="00331DB0" w:rsidRPr="00E30232" w14:paraId="6BC62CD2" w14:textId="77777777" w:rsidTr="000521EA">
        <w:trPr>
          <w:trHeight w:val="402"/>
        </w:trPr>
        <w:tc>
          <w:tcPr>
            <w:tcW w:w="2126" w:type="dxa"/>
            <w:tcBorders>
              <w:top w:val="single" w:sz="4" w:space="0" w:color="A6A6A6"/>
              <w:left w:val="single" w:sz="4" w:space="0" w:color="A6A6A6"/>
              <w:bottom w:val="single" w:sz="4" w:space="0" w:color="A6A6A6"/>
              <w:right w:val="nil"/>
            </w:tcBorders>
            <w:shd w:val="clear" w:color="auto" w:fill="D9D9D9" w:themeFill="background1" w:themeFillShade="D9"/>
            <w:vAlign w:val="center"/>
            <w:hideMark/>
          </w:tcPr>
          <w:p w14:paraId="13FE2B2B" w14:textId="77777777" w:rsidR="00331DB0" w:rsidRPr="000F681B" w:rsidRDefault="00331DB0" w:rsidP="000A3C3C">
            <w:pPr>
              <w:spacing w:before="120" w:after="120"/>
              <w:rPr>
                <w:b/>
                <w:lang w:eastAsia="en-AU"/>
              </w:rPr>
            </w:pPr>
            <w:r w:rsidRPr="000F681B">
              <w:rPr>
                <w:b/>
                <w:lang w:eastAsia="en-AU"/>
              </w:rPr>
              <w:t>Forecast Financial Estimates</w:t>
            </w:r>
          </w:p>
        </w:tc>
        <w:tc>
          <w:tcPr>
            <w:tcW w:w="1276" w:type="dxa"/>
            <w:tcBorders>
              <w:top w:val="single" w:sz="4" w:space="0" w:color="A6A6A6"/>
              <w:left w:val="nil"/>
              <w:bottom w:val="single" w:sz="4" w:space="0" w:color="A6A6A6"/>
              <w:right w:val="single" w:sz="4" w:space="0" w:color="auto"/>
            </w:tcBorders>
            <w:shd w:val="clear" w:color="auto" w:fill="D9D9D9" w:themeFill="background1" w:themeFillShade="D9"/>
            <w:vAlign w:val="center"/>
          </w:tcPr>
          <w:p w14:paraId="18CAC167" w14:textId="77777777" w:rsidR="00331DB0" w:rsidRPr="000F681B" w:rsidRDefault="00331DB0" w:rsidP="000A3C3C">
            <w:pPr>
              <w:spacing w:before="120" w:after="120"/>
              <w:jc w:val="center"/>
              <w:rPr>
                <w:b/>
                <w:lang w:eastAsia="en-AU"/>
              </w:rPr>
            </w:pPr>
            <w:r>
              <w:rPr>
                <w:b/>
                <w:lang w:eastAsia="en-AU"/>
              </w:rPr>
              <w:t>2020-21</w:t>
            </w:r>
          </w:p>
        </w:tc>
        <w:tc>
          <w:tcPr>
            <w:tcW w:w="1276" w:type="dxa"/>
            <w:tcBorders>
              <w:top w:val="single" w:sz="4" w:space="0" w:color="A6A6A6"/>
              <w:left w:val="single" w:sz="4" w:space="0" w:color="auto"/>
              <w:bottom w:val="single" w:sz="4" w:space="0" w:color="A6A6A6"/>
              <w:right w:val="single" w:sz="4" w:space="0" w:color="A6A6A6"/>
            </w:tcBorders>
            <w:shd w:val="clear" w:color="auto" w:fill="D9D9D9" w:themeFill="background1" w:themeFillShade="D9"/>
            <w:vAlign w:val="center"/>
            <w:hideMark/>
          </w:tcPr>
          <w:p w14:paraId="356A4969" w14:textId="77777777" w:rsidR="00331DB0" w:rsidRPr="000F681B" w:rsidRDefault="00331DB0" w:rsidP="000A3C3C">
            <w:pPr>
              <w:spacing w:before="120" w:after="120"/>
              <w:jc w:val="center"/>
              <w:rPr>
                <w:b/>
                <w:lang w:eastAsia="en-AU"/>
              </w:rPr>
            </w:pPr>
            <w:r w:rsidRPr="000F681B">
              <w:rPr>
                <w:b/>
                <w:lang w:eastAsia="en-AU"/>
              </w:rPr>
              <w:t>2021-22</w:t>
            </w:r>
          </w:p>
        </w:tc>
        <w:tc>
          <w:tcPr>
            <w:tcW w:w="1276" w:type="dxa"/>
            <w:tcBorders>
              <w:top w:val="single" w:sz="4" w:space="0" w:color="A6A6A6"/>
              <w:left w:val="nil"/>
              <w:bottom w:val="single" w:sz="4" w:space="0" w:color="A6A6A6"/>
              <w:right w:val="single" w:sz="4" w:space="0" w:color="A6A6A6"/>
            </w:tcBorders>
            <w:shd w:val="clear" w:color="auto" w:fill="D9D9D9" w:themeFill="background1" w:themeFillShade="D9"/>
            <w:vAlign w:val="center"/>
            <w:hideMark/>
          </w:tcPr>
          <w:p w14:paraId="498F1570" w14:textId="77777777" w:rsidR="00331DB0" w:rsidRPr="000F681B" w:rsidRDefault="00331DB0" w:rsidP="000A3C3C">
            <w:pPr>
              <w:spacing w:before="120" w:after="120"/>
              <w:jc w:val="center"/>
              <w:rPr>
                <w:b/>
                <w:lang w:eastAsia="en-AU"/>
              </w:rPr>
            </w:pPr>
            <w:r w:rsidRPr="000F681B">
              <w:rPr>
                <w:b/>
                <w:lang w:eastAsia="en-AU"/>
              </w:rPr>
              <w:t>2022-23</w:t>
            </w:r>
          </w:p>
        </w:tc>
        <w:tc>
          <w:tcPr>
            <w:tcW w:w="1275" w:type="dxa"/>
            <w:tcBorders>
              <w:top w:val="single" w:sz="4" w:space="0" w:color="A6A6A6"/>
              <w:left w:val="nil"/>
              <w:bottom w:val="single" w:sz="4" w:space="0" w:color="A6A6A6"/>
              <w:right w:val="single" w:sz="4" w:space="0" w:color="A6A6A6"/>
            </w:tcBorders>
            <w:shd w:val="clear" w:color="auto" w:fill="D9D9D9" w:themeFill="background1" w:themeFillShade="D9"/>
            <w:vAlign w:val="center"/>
            <w:hideMark/>
          </w:tcPr>
          <w:p w14:paraId="113650CB" w14:textId="77777777" w:rsidR="00331DB0" w:rsidRPr="000F681B" w:rsidRDefault="00331DB0" w:rsidP="000A3C3C">
            <w:pPr>
              <w:spacing w:before="120" w:after="120"/>
              <w:jc w:val="center"/>
              <w:rPr>
                <w:b/>
                <w:lang w:eastAsia="en-AU"/>
              </w:rPr>
            </w:pPr>
            <w:r w:rsidRPr="000F681B">
              <w:rPr>
                <w:b/>
                <w:lang w:eastAsia="en-AU"/>
              </w:rPr>
              <w:t>2023-24</w:t>
            </w:r>
          </w:p>
        </w:tc>
      </w:tr>
      <w:tr w:rsidR="00331DB0" w:rsidRPr="00E30232" w14:paraId="57D57E7A" w14:textId="77777777" w:rsidTr="000521EA">
        <w:trPr>
          <w:trHeight w:val="300"/>
        </w:trPr>
        <w:tc>
          <w:tcPr>
            <w:tcW w:w="2126" w:type="dxa"/>
            <w:tcBorders>
              <w:top w:val="single" w:sz="4" w:space="0" w:color="A6A6A6"/>
              <w:left w:val="single" w:sz="4" w:space="0" w:color="A6A6A6"/>
              <w:bottom w:val="dotted" w:sz="4" w:space="0" w:color="A6A6A6"/>
              <w:right w:val="single" w:sz="4" w:space="0" w:color="A6A6A6"/>
            </w:tcBorders>
            <w:shd w:val="clear" w:color="auto" w:fill="auto"/>
            <w:noWrap/>
            <w:vAlign w:val="bottom"/>
          </w:tcPr>
          <w:p w14:paraId="2CB27385" w14:textId="77777777" w:rsidR="00331DB0" w:rsidRPr="00E30232" w:rsidRDefault="00331DB0" w:rsidP="000A3C3C">
            <w:pPr>
              <w:spacing w:after="0"/>
              <w:jc w:val="both"/>
              <w:rPr>
                <w:rFonts w:ascii="Calibri" w:hAnsi="Calibri" w:cs="Calibri"/>
                <w:color w:val="000000"/>
                <w:sz w:val="22"/>
                <w:szCs w:val="22"/>
                <w:lang w:eastAsia="en-AU"/>
              </w:rPr>
            </w:pPr>
            <w:r>
              <w:rPr>
                <w:rFonts w:ascii="Calibri" w:hAnsi="Calibri" w:cs="Calibri"/>
                <w:color w:val="000000"/>
                <w:sz w:val="22"/>
                <w:szCs w:val="22"/>
                <w:lang w:eastAsia="en-AU"/>
              </w:rPr>
              <w:t>Fee per Application</w:t>
            </w:r>
          </w:p>
        </w:tc>
        <w:tc>
          <w:tcPr>
            <w:tcW w:w="1276" w:type="dxa"/>
            <w:tcBorders>
              <w:top w:val="single" w:sz="4" w:space="0" w:color="A6A6A6"/>
              <w:left w:val="nil"/>
              <w:bottom w:val="dotted" w:sz="4" w:space="0" w:color="A6A6A6"/>
              <w:right w:val="single" w:sz="4" w:space="0" w:color="auto"/>
            </w:tcBorders>
          </w:tcPr>
          <w:p w14:paraId="55067947" w14:textId="77777777" w:rsidR="00331DB0" w:rsidRDefault="00331DB0" w:rsidP="000A3C3C">
            <w:pPr>
              <w:spacing w:after="0"/>
              <w:jc w:val="right"/>
              <w:rPr>
                <w:rFonts w:ascii="Calibri" w:hAnsi="Calibri" w:cs="Calibri"/>
                <w:color w:val="000000"/>
                <w:sz w:val="22"/>
                <w:szCs w:val="22"/>
                <w:lang w:eastAsia="en-AU"/>
              </w:rPr>
            </w:pPr>
            <w:r>
              <w:rPr>
                <w:rFonts w:ascii="Calibri" w:hAnsi="Calibri" w:cs="Calibri"/>
                <w:color w:val="000000"/>
                <w:sz w:val="22"/>
                <w:szCs w:val="22"/>
                <w:lang w:eastAsia="en-AU"/>
              </w:rPr>
              <w:t>$895</w:t>
            </w:r>
          </w:p>
        </w:tc>
        <w:tc>
          <w:tcPr>
            <w:tcW w:w="1276" w:type="dxa"/>
            <w:tcBorders>
              <w:top w:val="single" w:sz="4" w:space="0" w:color="A6A6A6"/>
              <w:left w:val="single" w:sz="4" w:space="0" w:color="auto"/>
              <w:bottom w:val="dotted" w:sz="4" w:space="0" w:color="A6A6A6"/>
              <w:right w:val="single" w:sz="4" w:space="0" w:color="A6A6A6"/>
            </w:tcBorders>
            <w:shd w:val="clear" w:color="auto" w:fill="auto"/>
            <w:noWrap/>
            <w:vAlign w:val="bottom"/>
          </w:tcPr>
          <w:p w14:paraId="746768F7" w14:textId="77777777" w:rsidR="00331DB0" w:rsidRDefault="00331DB0" w:rsidP="000A3C3C">
            <w:pPr>
              <w:spacing w:after="0"/>
              <w:jc w:val="right"/>
              <w:rPr>
                <w:rFonts w:ascii="Calibri" w:hAnsi="Calibri" w:cs="Calibri"/>
                <w:color w:val="000000"/>
                <w:sz w:val="22"/>
                <w:szCs w:val="22"/>
                <w:lang w:eastAsia="en-AU"/>
              </w:rPr>
            </w:pPr>
            <w:r>
              <w:rPr>
                <w:rFonts w:ascii="Calibri" w:hAnsi="Calibri" w:cs="Calibri"/>
                <w:color w:val="000000"/>
                <w:sz w:val="22"/>
                <w:szCs w:val="22"/>
                <w:lang w:eastAsia="en-AU"/>
              </w:rPr>
              <w:t>$900</w:t>
            </w:r>
          </w:p>
        </w:tc>
        <w:tc>
          <w:tcPr>
            <w:tcW w:w="1276" w:type="dxa"/>
            <w:tcBorders>
              <w:top w:val="single" w:sz="4" w:space="0" w:color="A6A6A6"/>
              <w:left w:val="nil"/>
              <w:bottom w:val="dotted" w:sz="4" w:space="0" w:color="A6A6A6"/>
              <w:right w:val="single" w:sz="4" w:space="0" w:color="A6A6A6"/>
            </w:tcBorders>
            <w:shd w:val="clear" w:color="auto" w:fill="auto"/>
            <w:noWrap/>
            <w:vAlign w:val="bottom"/>
          </w:tcPr>
          <w:p w14:paraId="3E32B335" w14:textId="77777777" w:rsidR="00331DB0" w:rsidRDefault="00331DB0" w:rsidP="000A3C3C">
            <w:pPr>
              <w:spacing w:after="0"/>
              <w:jc w:val="right"/>
              <w:rPr>
                <w:rFonts w:ascii="Calibri" w:hAnsi="Calibri" w:cs="Calibri"/>
                <w:color w:val="000000"/>
                <w:sz w:val="22"/>
                <w:szCs w:val="22"/>
                <w:lang w:eastAsia="en-AU"/>
              </w:rPr>
            </w:pPr>
            <w:r>
              <w:rPr>
                <w:rFonts w:ascii="Calibri" w:hAnsi="Calibri" w:cs="Calibri"/>
                <w:color w:val="000000"/>
                <w:sz w:val="22"/>
                <w:szCs w:val="22"/>
                <w:lang w:eastAsia="en-AU"/>
              </w:rPr>
              <w:t>*</w:t>
            </w:r>
          </w:p>
        </w:tc>
        <w:tc>
          <w:tcPr>
            <w:tcW w:w="1275" w:type="dxa"/>
            <w:tcBorders>
              <w:top w:val="single" w:sz="4" w:space="0" w:color="A6A6A6"/>
              <w:left w:val="nil"/>
              <w:bottom w:val="dotted" w:sz="4" w:space="0" w:color="A6A6A6"/>
              <w:right w:val="single" w:sz="4" w:space="0" w:color="A6A6A6"/>
            </w:tcBorders>
            <w:shd w:val="clear" w:color="auto" w:fill="auto"/>
            <w:noWrap/>
            <w:vAlign w:val="bottom"/>
          </w:tcPr>
          <w:p w14:paraId="3A11CC40" w14:textId="77777777" w:rsidR="00331DB0" w:rsidRDefault="00331DB0" w:rsidP="000A3C3C">
            <w:pPr>
              <w:spacing w:after="0"/>
              <w:jc w:val="right"/>
              <w:rPr>
                <w:rFonts w:ascii="Calibri" w:hAnsi="Calibri" w:cs="Calibri"/>
                <w:color w:val="000000"/>
                <w:sz w:val="22"/>
                <w:szCs w:val="22"/>
                <w:lang w:eastAsia="en-AU"/>
              </w:rPr>
            </w:pPr>
            <w:r>
              <w:rPr>
                <w:rFonts w:ascii="Calibri" w:hAnsi="Calibri" w:cs="Calibri"/>
                <w:color w:val="000000"/>
                <w:sz w:val="22"/>
                <w:szCs w:val="22"/>
                <w:lang w:eastAsia="en-AU"/>
              </w:rPr>
              <w:t>*</w:t>
            </w:r>
          </w:p>
        </w:tc>
      </w:tr>
      <w:tr w:rsidR="00331DB0" w:rsidRPr="00E30232" w14:paraId="22752160" w14:textId="77777777" w:rsidTr="000521EA">
        <w:trPr>
          <w:trHeight w:val="300"/>
        </w:trPr>
        <w:tc>
          <w:tcPr>
            <w:tcW w:w="2126" w:type="dxa"/>
            <w:tcBorders>
              <w:top w:val="single" w:sz="4" w:space="0" w:color="A6A6A6"/>
              <w:left w:val="single" w:sz="4" w:space="0" w:color="A6A6A6"/>
              <w:bottom w:val="dotted" w:sz="4" w:space="0" w:color="A6A6A6"/>
              <w:right w:val="single" w:sz="4" w:space="0" w:color="A6A6A6"/>
            </w:tcBorders>
            <w:shd w:val="clear" w:color="auto" w:fill="auto"/>
            <w:noWrap/>
            <w:vAlign w:val="bottom"/>
            <w:hideMark/>
          </w:tcPr>
          <w:p w14:paraId="3461F63F" w14:textId="77777777" w:rsidR="00331DB0" w:rsidRPr="00E30232" w:rsidRDefault="00331DB0" w:rsidP="000A3C3C">
            <w:pPr>
              <w:spacing w:after="0"/>
              <w:jc w:val="both"/>
              <w:rPr>
                <w:rFonts w:ascii="Calibri" w:hAnsi="Calibri" w:cs="Calibri"/>
                <w:color w:val="000000"/>
                <w:sz w:val="22"/>
                <w:szCs w:val="22"/>
                <w:lang w:eastAsia="en-AU"/>
              </w:rPr>
            </w:pPr>
            <w:r w:rsidRPr="00E30232">
              <w:rPr>
                <w:rFonts w:ascii="Calibri" w:hAnsi="Calibri" w:cs="Calibri"/>
                <w:color w:val="000000"/>
                <w:sz w:val="22"/>
                <w:szCs w:val="22"/>
                <w:lang w:eastAsia="en-AU"/>
              </w:rPr>
              <w:t>Expenses = X</w:t>
            </w:r>
          </w:p>
        </w:tc>
        <w:tc>
          <w:tcPr>
            <w:tcW w:w="1276" w:type="dxa"/>
            <w:tcBorders>
              <w:top w:val="single" w:sz="4" w:space="0" w:color="A6A6A6"/>
              <w:left w:val="nil"/>
              <w:bottom w:val="dotted" w:sz="4" w:space="0" w:color="A6A6A6"/>
              <w:right w:val="single" w:sz="4" w:space="0" w:color="auto"/>
            </w:tcBorders>
          </w:tcPr>
          <w:p w14:paraId="2D30A641" w14:textId="77777777" w:rsidR="00331DB0" w:rsidRDefault="00331DB0" w:rsidP="000A3C3C">
            <w:pPr>
              <w:spacing w:after="0"/>
              <w:jc w:val="right"/>
              <w:rPr>
                <w:rFonts w:ascii="Calibri" w:hAnsi="Calibri" w:cs="Calibri"/>
                <w:color w:val="000000"/>
                <w:sz w:val="22"/>
                <w:szCs w:val="22"/>
                <w:lang w:eastAsia="en-AU"/>
              </w:rPr>
            </w:pPr>
            <w:r>
              <w:rPr>
                <w:rFonts w:ascii="Calibri" w:hAnsi="Calibri" w:cs="Calibri"/>
                <w:color w:val="000000"/>
                <w:sz w:val="22"/>
                <w:szCs w:val="22"/>
                <w:lang w:eastAsia="en-AU"/>
              </w:rPr>
              <w:t>$187,367</w:t>
            </w:r>
          </w:p>
        </w:tc>
        <w:tc>
          <w:tcPr>
            <w:tcW w:w="1276" w:type="dxa"/>
            <w:tcBorders>
              <w:top w:val="single" w:sz="4" w:space="0" w:color="A6A6A6"/>
              <w:left w:val="single" w:sz="4" w:space="0" w:color="auto"/>
              <w:bottom w:val="dotted" w:sz="4" w:space="0" w:color="A6A6A6"/>
              <w:right w:val="single" w:sz="4" w:space="0" w:color="A6A6A6"/>
            </w:tcBorders>
            <w:shd w:val="clear" w:color="auto" w:fill="auto"/>
            <w:noWrap/>
            <w:vAlign w:val="bottom"/>
            <w:hideMark/>
          </w:tcPr>
          <w:p w14:paraId="3E66DD83" w14:textId="77777777" w:rsidR="00331DB0" w:rsidRPr="00E30232" w:rsidRDefault="00331DB0" w:rsidP="000A3C3C">
            <w:pPr>
              <w:spacing w:after="0"/>
              <w:jc w:val="right"/>
              <w:rPr>
                <w:rFonts w:ascii="Calibri" w:hAnsi="Calibri" w:cs="Calibri"/>
                <w:color w:val="000000"/>
                <w:sz w:val="22"/>
                <w:szCs w:val="22"/>
                <w:lang w:eastAsia="en-AU"/>
              </w:rPr>
            </w:pPr>
            <w:r>
              <w:rPr>
                <w:rFonts w:ascii="Calibri" w:hAnsi="Calibri" w:cs="Calibri"/>
                <w:color w:val="000000"/>
                <w:sz w:val="22"/>
                <w:szCs w:val="22"/>
                <w:lang w:eastAsia="en-AU"/>
              </w:rPr>
              <w:t>$71,939</w:t>
            </w:r>
            <w:r w:rsidRPr="00E30232">
              <w:rPr>
                <w:rFonts w:ascii="Calibri" w:hAnsi="Calibri" w:cs="Calibri"/>
                <w:color w:val="000000"/>
                <w:sz w:val="22"/>
                <w:szCs w:val="22"/>
                <w:lang w:eastAsia="en-AU"/>
              </w:rPr>
              <w:t xml:space="preserve"> </w:t>
            </w:r>
          </w:p>
        </w:tc>
        <w:tc>
          <w:tcPr>
            <w:tcW w:w="1276" w:type="dxa"/>
            <w:tcBorders>
              <w:top w:val="single" w:sz="4" w:space="0" w:color="A6A6A6"/>
              <w:left w:val="nil"/>
              <w:bottom w:val="dotted" w:sz="4" w:space="0" w:color="A6A6A6"/>
              <w:right w:val="single" w:sz="4" w:space="0" w:color="A6A6A6"/>
            </w:tcBorders>
            <w:shd w:val="clear" w:color="auto" w:fill="auto"/>
            <w:noWrap/>
            <w:vAlign w:val="bottom"/>
            <w:hideMark/>
          </w:tcPr>
          <w:p w14:paraId="0B4CB286" w14:textId="77777777" w:rsidR="00331DB0" w:rsidRPr="00E30232" w:rsidRDefault="00331DB0" w:rsidP="000A3C3C">
            <w:pPr>
              <w:spacing w:after="0"/>
              <w:jc w:val="right"/>
              <w:rPr>
                <w:rFonts w:ascii="Calibri" w:hAnsi="Calibri" w:cs="Calibri"/>
                <w:color w:val="000000"/>
                <w:sz w:val="22"/>
                <w:szCs w:val="22"/>
                <w:lang w:eastAsia="en-AU"/>
              </w:rPr>
            </w:pPr>
            <w:r>
              <w:rPr>
                <w:rFonts w:ascii="Calibri" w:hAnsi="Calibri" w:cs="Calibri"/>
                <w:color w:val="000000"/>
                <w:sz w:val="22"/>
                <w:szCs w:val="22"/>
                <w:lang w:eastAsia="en-AU"/>
              </w:rPr>
              <w:t>$112,732</w:t>
            </w:r>
            <w:r w:rsidRPr="00E30232">
              <w:rPr>
                <w:rFonts w:ascii="Calibri" w:hAnsi="Calibri" w:cs="Calibri"/>
                <w:color w:val="000000"/>
                <w:sz w:val="22"/>
                <w:szCs w:val="22"/>
                <w:lang w:eastAsia="en-AU"/>
              </w:rPr>
              <w:t xml:space="preserve"> </w:t>
            </w:r>
          </w:p>
        </w:tc>
        <w:tc>
          <w:tcPr>
            <w:tcW w:w="1275" w:type="dxa"/>
            <w:tcBorders>
              <w:top w:val="single" w:sz="4" w:space="0" w:color="A6A6A6"/>
              <w:left w:val="nil"/>
              <w:bottom w:val="dotted" w:sz="4" w:space="0" w:color="A6A6A6"/>
              <w:right w:val="single" w:sz="4" w:space="0" w:color="A6A6A6"/>
            </w:tcBorders>
            <w:shd w:val="clear" w:color="auto" w:fill="auto"/>
            <w:noWrap/>
            <w:vAlign w:val="bottom"/>
            <w:hideMark/>
          </w:tcPr>
          <w:p w14:paraId="1869808B" w14:textId="77777777" w:rsidR="00331DB0" w:rsidRPr="00E30232" w:rsidRDefault="00331DB0" w:rsidP="000A3C3C">
            <w:pPr>
              <w:spacing w:after="0"/>
              <w:jc w:val="right"/>
              <w:rPr>
                <w:rFonts w:ascii="Calibri" w:hAnsi="Calibri" w:cs="Calibri"/>
                <w:color w:val="000000"/>
                <w:sz w:val="22"/>
                <w:szCs w:val="22"/>
                <w:lang w:eastAsia="en-AU"/>
              </w:rPr>
            </w:pPr>
            <w:r>
              <w:rPr>
                <w:rFonts w:ascii="Calibri" w:hAnsi="Calibri" w:cs="Calibri"/>
                <w:color w:val="000000"/>
                <w:sz w:val="22"/>
                <w:szCs w:val="22"/>
                <w:lang w:eastAsia="en-AU"/>
              </w:rPr>
              <w:t>$159,481</w:t>
            </w:r>
            <w:r w:rsidRPr="00E30232">
              <w:rPr>
                <w:rFonts w:ascii="Calibri" w:hAnsi="Calibri" w:cs="Calibri"/>
                <w:color w:val="000000"/>
                <w:sz w:val="22"/>
                <w:szCs w:val="22"/>
                <w:lang w:eastAsia="en-AU"/>
              </w:rPr>
              <w:t xml:space="preserve"> </w:t>
            </w:r>
          </w:p>
        </w:tc>
      </w:tr>
      <w:tr w:rsidR="00331DB0" w:rsidRPr="00E30232" w14:paraId="6B03905B" w14:textId="77777777" w:rsidTr="000521EA">
        <w:trPr>
          <w:trHeight w:val="300"/>
        </w:trPr>
        <w:tc>
          <w:tcPr>
            <w:tcW w:w="2126" w:type="dxa"/>
            <w:tcBorders>
              <w:top w:val="nil"/>
              <w:left w:val="single" w:sz="4" w:space="0" w:color="A6A6A6"/>
              <w:bottom w:val="dotted" w:sz="4" w:space="0" w:color="A6A6A6"/>
              <w:right w:val="single" w:sz="4" w:space="0" w:color="A6A6A6"/>
            </w:tcBorders>
            <w:shd w:val="clear" w:color="auto" w:fill="auto"/>
            <w:noWrap/>
            <w:vAlign w:val="bottom"/>
            <w:hideMark/>
          </w:tcPr>
          <w:p w14:paraId="028E214B" w14:textId="77777777" w:rsidR="00331DB0" w:rsidRPr="00E30232" w:rsidRDefault="00331DB0" w:rsidP="000A3C3C">
            <w:pPr>
              <w:spacing w:after="0"/>
              <w:jc w:val="both"/>
              <w:rPr>
                <w:rFonts w:ascii="Calibri" w:hAnsi="Calibri" w:cs="Calibri"/>
                <w:color w:val="000000"/>
                <w:sz w:val="22"/>
                <w:szCs w:val="22"/>
                <w:lang w:eastAsia="en-AU"/>
              </w:rPr>
            </w:pPr>
            <w:r w:rsidRPr="00E30232">
              <w:rPr>
                <w:rFonts w:ascii="Calibri" w:hAnsi="Calibri" w:cs="Calibri"/>
                <w:color w:val="000000"/>
                <w:sz w:val="22"/>
                <w:szCs w:val="22"/>
                <w:lang w:eastAsia="en-AU"/>
              </w:rPr>
              <w:t>Revenue = Y</w:t>
            </w:r>
          </w:p>
        </w:tc>
        <w:tc>
          <w:tcPr>
            <w:tcW w:w="1276" w:type="dxa"/>
            <w:tcBorders>
              <w:top w:val="nil"/>
              <w:left w:val="nil"/>
              <w:bottom w:val="dotted" w:sz="4" w:space="0" w:color="A6A6A6"/>
              <w:right w:val="single" w:sz="4" w:space="0" w:color="auto"/>
            </w:tcBorders>
          </w:tcPr>
          <w:p w14:paraId="219FDD51" w14:textId="77777777" w:rsidR="00331DB0" w:rsidRDefault="00331DB0" w:rsidP="000A3C3C">
            <w:pPr>
              <w:spacing w:after="0"/>
              <w:jc w:val="right"/>
              <w:rPr>
                <w:rFonts w:ascii="Calibri" w:hAnsi="Calibri" w:cs="Calibri"/>
                <w:color w:val="000000"/>
                <w:sz w:val="22"/>
                <w:szCs w:val="22"/>
                <w:lang w:eastAsia="en-AU"/>
              </w:rPr>
            </w:pPr>
            <w:r>
              <w:rPr>
                <w:rFonts w:ascii="Calibri" w:hAnsi="Calibri" w:cs="Calibri"/>
                <w:color w:val="000000"/>
                <w:sz w:val="22"/>
                <w:szCs w:val="22"/>
                <w:lang w:eastAsia="en-AU"/>
              </w:rPr>
              <w:t>$187,055</w:t>
            </w:r>
          </w:p>
        </w:tc>
        <w:tc>
          <w:tcPr>
            <w:tcW w:w="1276" w:type="dxa"/>
            <w:tcBorders>
              <w:top w:val="nil"/>
              <w:left w:val="single" w:sz="4" w:space="0" w:color="auto"/>
              <w:bottom w:val="dotted" w:sz="4" w:space="0" w:color="A6A6A6"/>
              <w:right w:val="single" w:sz="4" w:space="0" w:color="A6A6A6"/>
            </w:tcBorders>
            <w:shd w:val="clear" w:color="auto" w:fill="auto"/>
            <w:noWrap/>
            <w:vAlign w:val="bottom"/>
            <w:hideMark/>
          </w:tcPr>
          <w:p w14:paraId="0CFA2035" w14:textId="77777777" w:rsidR="00331DB0" w:rsidRPr="00E30232" w:rsidRDefault="00331DB0" w:rsidP="000A3C3C">
            <w:pPr>
              <w:spacing w:after="0"/>
              <w:jc w:val="right"/>
              <w:rPr>
                <w:rFonts w:ascii="Calibri" w:hAnsi="Calibri" w:cs="Calibri"/>
                <w:color w:val="000000"/>
                <w:sz w:val="22"/>
                <w:szCs w:val="22"/>
                <w:lang w:eastAsia="en-AU"/>
              </w:rPr>
            </w:pPr>
            <w:r>
              <w:rPr>
                <w:rFonts w:ascii="Calibri" w:hAnsi="Calibri" w:cs="Calibri"/>
                <w:color w:val="000000"/>
                <w:sz w:val="22"/>
                <w:szCs w:val="22"/>
                <w:lang w:eastAsia="en-AU"/>
              </w:rPr>
              <w:t>$72,000</w:t>
            </w:r>
            <w:r w:rsidRPr="00E30232">
              <w:rPr>
                <w:rFonts w:ascii="Calibri" w:hAnsi="Calibri" w:cs="Calibri"/>
                <w:color w:val="000000"/>
                <w:sz w:val="22"/>
                <w:szCs w:val="22"/>
                <w:lang w:eastAsia="en-AU"/>
              </w:rPr>
              <w:t xml:space="preserve"> </w:t>
            </w:r>
          </w:p>
        </w:tc>
        <w:tc>
          <w:tcPr>
            <w:tcW w:w="1276" w:type="dxa"/>
            <w:tcBorders>
              <w:top w:val="nil"/>
              <w:left w:val="nil"/>
              <w:bottom w:val="dotted" w:sz="4" w:space="0" w:color="A6A6A6"/>
              <w:right w:val="single" w:sz="4" w:space="0" w:color="A6A6A6"/>
            </w:tcBorders>
            <w:shd w:val="clear" w:color="auto" w:fill="auto"/>
            <w:noWrap/>
            <w:vAlign w:val="bottom"/>
            <w:hideMark/>
          </w:tcPr>
          <w:p w14:paraId="72B24913" w14:textId="77777777" w:rsidR="00331DB0" w:rsidRPr="00E30232" w:rsidRDefault="00331DB0" w:rsidP="000A3C3C">
            <w:pPr>
              <w:spacing w:after="0"/>
              <w:jc w:val="right"/>
              <w:rPr>
                <w:rFonts w:ascii="Calibri" w:hAnsi="Calibri" w:cs="Calibri"/>
                <w:color w:val="000000"/>
                <w:sz w:val="22"/>
                <w:szCs w:val="22"/>
                <w:lang w:eastAsia="en-AU"/>
              </w:rPr>
            </w:pPr>
            <w:r>
              <w:rPr>
                <w:rFonts w:ascii="Calibri" w:hAnsi="Calibri" w:cs="Calibri"/>
                <w:color w:val="000000"/>
                <w:sz w:val="22"/>
                <w:szCs w:val="22"/>
                <w:lang w:eastAsia="en-AU"/>
              </w:rPr>
              <w:t>$112,840</w:t>
            </w:r>
          </w:p>
        </w:tc>
        <w:tc>
          <w:tcPr>
            <w:tcW w:w="1275" w:type="dxa"/>
            <w:tcBorders>
              <w:top w:val="nil"/>
              <w:left w:val="nil"/>
              <w:bottom w:val="dotted" w:sz="4" w:space="0" w:color="A6A6A6"/>
              <w:right w:val="single" w:sz="4" w:space="0" w:color="A6A6A6"/>
            </w:tcBorders>
            <w:shd w:val="clear" w:color="auto" w:fill="auto"/>
            <w:noWrap/>
            <w:vAlign w:val="bottom"/>
            <w:hideMark/>
          </w:tcPr>
          <w:p w14:paraId="3CAA441B" w14:textId="77777777" w:rsidR="00331DB0" w:rsidRPr="00E30232" w:rsidRDefault="00331DB0" w:rsidP="000A3C3C">
            <w:pPr>
              <w:spacing w:after="0"/>
              <w:jc w:val="right"/>
              <w:rPr>
                <w:rFonts w:ascii="Calibri" w:hAnsi="Calibri" w:cs="Calibri"/>
                <w:color w:val="000000"/>
                <w:sz w:val="22"/>
                <w:szCs w:val="22"/>
                <w:lang w:eastAsia="en-AU"/>
              </w:rPr>
            </w:pPr>
            <w:r>
              <w:rPr>
                <w:rFonts w:ascii="Calibri" w:hAnsi="Calibri" w:cs="Calibri"/>
                <w:color w:val="000000"/>
                <w:sz w:val="22"/>
                <w:szCs w:val="22"/>
                <w:lang w:eastAsia="en-AU"/>
              </w:rPr>
              <w:t>$159,160</w:t>
            </w:r>
            <w:r w:rsidRPr="00E30232">
              <w:rPr>
                <w:rFonts w:ascii="Calibri" w:hAnsi="Calibri" w:cs="Calibri"/>
                <w:color w:val="000000"/>
                <w:sz w:val="22"/>
                <w:szCs w:val="22"/>
                <w:lang w:eastAsia="en-AU"/>
              </w:rPr>
              <w:t xml:space="preserve"> </w:t>
            </w:r>
          </w:p>
        </w:tc>
      </w:tr>
      <w:tr w:rsidR="00331DB0" w:rsidRPr="00E30232" w14:paraId="432DEB5E" w14:textId="77777777" w:rsidTr="000521EA">
        <w:trPr>
          <w:trHeight w:val="300"/>
        </w:trPr>
        <w:tc>
          <w:tcPr>
            <w:tcW w:w="2126" w:type="dxa"/>
            <w:tcBorders>
              <w:top w:val="nil"/>
              <w:left w:val="single" w:sz="4" w:space="0" w:color="A6A6A6"/>
              <w:bottom w:val="dotted" w:sz="4" w:space="0" w:color="A6A6A6"/>
              <w:right w:val="single" w:sz="4" w:space="0" w:color="A6A6A6"/>
            </w:tcBorders>
            <w:shd w:val="clear" w:color="auto" w:fill="auto"/>
            <w:noWrap/>
            <w:vAlign w:val="bottom"/>
            <w:hideMark/>
          </w:tcPr>
          <w:p w14:paraId="02C5D704" w14:textId="77777777" w:rsidR="00331DB0" w:rsidRPr="00E30232" w:rsidRDefault="00331DB0" w:rsidP="000A3C3C">
            <w:pPr>
              <w:spacing w:after="0"/>
              <w:jc w:val="both"/>
              <w:rPr>
                <w:rFonts w:ascii="Calibri" w:hAnsi="Calibri" w:cs="Calibri"/>
                <w:color w:val="000000"/>
                <w:sz w:val="22"/>
                <w:szCs w:val="22"/>
                <w:lang w:eastAsia="en-AU"/>
              </w:rPr>
            </w:pPr>
            <w:r w:rsidRPr="00E30232">
              <w:rPr>
                <w:rFonts w:ascii="Calibri" w:hAnsi="Calibri" w:cs="Calibri"/>
                <w:color w:val="000000"/>
                <w:sz w:val="22"/>
                <w:szCs w:val="22"/>
                <w:lang w:eastAsia="en-AU"/>
              </w:rPr>
              <w:t>Balance = Y - X</w:t>
            </w:r>
          </w:p>
        </w:tc>
        <w:tc>
          <w:tcPr>
            <w:tcW w:w="1276" w:type="dxa"/>
            <w:tcBorders>
              <w:top w:val="nil"/>
              <w:left w:val="nil"/>
              <w:bottom w:val="dotted" w:sz="4" w:space="0" w:color="A6A6A6"/>
              <w:right w:val="single" w:sz="4" w:space="0" w:color="auto"/>
            </w:tcBorders>
          </w:tcPr>
          <w:p w14:paraId="7AD673EA" w14:textId="77777777" w:rsidR="00331DB0" w:rsidRDefault="00331DB0" w:rsidP="000A3C3C">
            <w:pPr>
              <w:spacing w:after="0"/>
              <w:jc w:val="right"/>
              <w:rPr>
                <w:rFonts w:ascii="Calibri" w:hAnsi="Calibri" w:cs="Calibri"/>
                <w:color w:val="000000"/>
                <w:sz w:val="22"/>
                <w:szCs w:val="22"/>
                <w:lang w:eastAsia="en-AU"/>
              </w:rPr>
            </w:pPr>
            <w:r>
              <w:rPr>
                <w:rFonts w:ascii="Calibri" w:hAnsi="Calibri" w:cs="Calibri"/>
                <w:color w:val="000000"/>
                <w:sz w:val="22"/>
                <w:szCs w:val="22"/>
                <w:lang w:eastAsia="en-AU"/>
              </w:rPr>
              <w:t>-$312</w:t>
            </w:r>
          </w:p>
        </w:tc>
        <w:tc>
          <w:tcPr>
            <w:tcW w:w="1276" w:type="dxa"/>
            <w:tcBorders>
              <w:top w:val="nil"/>
              <w:left w:val="single" w:sz="4" w:space="0" w:color="auto"/>
              <w:bottom w:val="dotted" w:sz="4" w:space="0" w:color="A6A6A6"/>
              <w:right w:val="single" w:sz="4" w:space="0" w:color="A6A6A6"/>
            </w:tcBorders>
            <w:shd w:val="clear" w:color="auto" w:fill="auto"/>
            <w:noWrap/>
            <w:vAlign w:val="bottom"/>
            <w:hideMark/>
          </w:tcPr>
          <w:p w14:paraId="1029D272" w14:textId="77777777" w:rsidR="00331DB0" w:rsidRPr="00E30232" w:rsidRDefault="00331DB0" w:rsidP="000A3C3C">
            <w:pPr>
              <w:spacing w:after="0"/>
              <w:jc w:val="right"/>
              <w:rPr>
                <w:rFonts w:ascii="Calibri" w:hAnsi="Calibri" w:cs="Calibri"/>
                <w:color w:val="000000"/>
                <w:sz w:val="22"/>
                <w:szCs w:val="22"/>
                <w:lang w:eastAsia="en-AU"/>
              </w:rPr>
            </w:pPr>
            <w:r>
              <w:rPr>
                <w:rFonts w:ascii="Calibri" w:hAnsi="Calibri" w:cs="Calibri"/>
                <w:color w:val="000000"/>
                <w:sz w:val="22"/>
                <w:szCs w:val="22"/>
                <w:lang w:eastAsia="en-AU"/>
              </w:rPr>
              <w:t>$61</w:t>
            </w:r>
            <w:r w:rsidRPr="00E30232">
              <w:rPr>
                <w:rFonts w:ascii="Calibri" w:hAnsi="Calibri" w:cs="Calibri"/>
                <w:color w:val="000000"/>
                <w:sz w:val="22"/>
                <w:szCs w:val="22"/>
                <w:lang w:eastAsia="en-AU"/>
              </w:rPr>
              <w:t xml:space="preserve"> </w:t>
            </w:r>
          </w:p>
        </w:tc>
        <w:tc>
          <w:tcPr>
            <w:tcW w:w="1276" w:type="dxa"/>
            <w:tcBorders>
              <w:top w:val="nil"/>
              <w:left w:val="nil"/>
              <w:bottom w:val="dotted" w:sz="4" w:space="0" w:color="A6A6A6"/>
              <w:right w:val="single" w:sz="4" w:space="0" w:color="A6A6A6"/>
            </w:tcBorders>
            <w:shd w:val="clear" w:color="auto" w:fill="auto"/>
            <w:noWrap/>
            <w:vAlign w:val="bottom"/>
            <w:hideMark/>
          </w:tcPr>
          <w:p w14:paraId="2F7B2254" w14:textId="77777777" w:rsidR="00331DB0" w:rsidRPr="00E30232" w:rsidRDefault="00331DB0" w:rsidP="000A3C3C">
            <w:pPr>
              <w:spacing w:after="0"/>
              <w:jc w:val="right"/>
              <w:rPr>
                <w:rFonts w:ascii="Calibri" w:hAnsi="Calibri" w:cs="Calibri"/>
                <w:color w:val="000000"/>
                <w:sz w:val="22"/>
                <w:szCs w:val="22"/>
                <w:lang w:eastAsia="en-AU"/>
              </w:rPr>
            </w:pPr>
            <w:r>
              <w:rPr>
                <w:rFonts w:ascii="Calibri" w:hAnsi="Calibri" w:cs="Calibri"/>
                <w:color w:val="000000"/>
                <w:sz w:val="22"/>
                <w:szCs w:val="22"/>
                <w:lang w:eastAsia="en-AU"/>
              </w:rPr>
              <w:t>$108</w:t>
            </w:r>
            <w:r w:rsidRPr="00E30232">
              <w:rPr>
                <w:rFonts w:ascii="Calibri" w:hAnsi="Calibri" w:cs="Calibri"/>
                <w:color w:val="000000"/>
                <w:sz w:val="22"/>
                <w:szCs w:val="22"/>
                <w:lang w:eastAsia="en-AU"/>
              </w:rPr>
              <w:t xml:space="preserve"> </w:t>
            </w:r>
          </w:p>
        </w:tc>
        <w:tc>
          <w:tcPr>
            <w:tcW w:w="1275" w:type="dxa"/>
            <w:tcBorders>
              <w:top w:val="nil"/>
              <w:left w:val="nil"/>
              <w:bottom w:val="dotted" w:sz="4" w:space="0" w:color="A6A6A6"/>
              <w:right w:val="single" w:sz="4" w:space="0" w:color="A6A6A6"/>
            </w:tcBorders>
            <w:shd w:val="clear" w:color="auto" w:fill="auto"/>
            <w:noWrap/>
            <w:vAlign w:val="bottom"/>
            <w:hideMark/>
          </w:tcPr>
          <w:p w14:paraId="21E0ABDC" w14:textId="77777777" w:rsidR="00331DB0" w:rsidRPr="00E30232" w:rsidRDefault="00331DB0" w:rsidP="000A3C3C">
            <w:pPr>
              <w:spacing w:after="0"/>
              <w:jc w:val="right"/>
              <w:rPr>
                <w:rFonts w:ascii="Calibri" w:hAnsi="Calibri" w:cs="Calibri"/>
                <w:color w:val="000000"/>
                <w:sz w:val="22"/>
                <w:szCs w:val="22"/>
                <w:lang w:eastAsia="en-AU"/>
              </w:rPr>
            </w:pPr>
            <w:r>
              <w:rPr>
                <w:rFonts w:ascii="Calibri" w:hAnsi="Calibri" w:cs="Calibri"/>
                <w:color w:val="000000"/>
                <w:sz w:val="22"/>
                <w:szCs w:val="22"/>
                <w:lang w:eastAsia="en-AU"/>
              </w:rPr>
              <w:t>-$321</w:t>
            </w:r>
            <w:r w:rsidRPr="00E30232">
              <w:rPr>
                <w:rFonts w:ascii="Calibri" w:hAnsi="Calibri" w:cs="Calibri"/>
                <w:color w:val="000000"/>
                <w:sz w:val="22"/>
                <w:szCs w:val="22"/>
                <w:lang w:eastAsia="en-AU"/>
              </w:rPr>
              <w:t xml:space="preserve"> </w:t>
            </w:r>
          </w:p>
        </w:tc>
      </w:tr>
      <w:tr w:rsidR="00331DB0" w:rsidRPr="00E30232" w14:paraId="6A66F02A" w14:textId="77777777" w:rsidTr="000521EA">
        <w:trPr>
          <w:trHeight w:val="300"/>
        </w:trPr>
        <w:tc>
          <w:tcPr>
            <w:tcW w:w="2126" w:type="dxa"/>
            <w:tcBorders>
              <w:top w:val="nil"/>
              <w:left w:val="single" w:sz="4" w:space="0" w:color="A6A6A6"/>
              <w:bottom w:val="single" w:sz="4" w:space="0" w:color="A6A6A6"/>
              <w:right w:val="single" w:sz="4" w:space="0" w:color="A6A6A6"/>
            </w:tcBorders>
            <w:shd w:val="clear" w:color="auto" w:fill="auto"/>
            <w:noWrap/>
            <w:vAlign w:val="bottom"/>
            <w:hideMark/>
          </w:tcPr>
          <w:p w14:paraId="53AB43D3" w14:textId="77777777" w:rsidR="00331DB0" w:rsidRPr="00E30232" w:rsidRDefault="00331DB0" w:rsidP="000A3C3C">
            <w:pPr>
              <w:spacing w:after="0"/>
              <w:jc w:val="both"/>
              <w:rPr>
                <w:rFonts w:ascii="Calibri" w:hAnsi="Calibri" w:cs="Calibri"/>
                <w:color w:val="000000"/>
                <w:sz w:val="22"/>
                <w:szCs w:val="22"/>
                <w:lang w:eastAsia="en-AU"/>
              </w:rPr>
            </w:pPr>
            <w:r w:rsidRPr="00E30232">
              <w:rPr>
                <w:rFonts w:ascii="Calibri" w:hAnsi="Calibri" w:cs="Calibri"/>
                <w:color w:val="000000"/>
                <w:sz w:val="22"/>
                <w:szCs w:val="22"/>
                <w:lang w:eastAsia="en-AU"/>
              </w:rPr>
              <w:t>Cumulative Balance</w:t>
            </w:r>
          </w:p>
        </w:tc>
        <w:tc>
          <w:tcPr>
            <w:tcW w:w="1276" w:type="dxa"/>
            <w:tcBorders>
              <w:top w:val="nil"/>
              <w:left w:val="nil"/>
              <w:bottom w:val="single" w:sz="4" w:space="0" w:color="A6A6A6"/>
              <w:right w:val="single" w:sz="4" w:space="0" w:color="auto"/>
            </w:tcBorders>
          </w:tcPr>
          <w:p w14:paraId="6C55C4D9" w14:textId="77777777" w:rsidR="00331DB0" w:rsidRPr="00E30232" w:rsidRDefault="00331DB0" w:rsidP="000A3C3C">
            <w:pPr>
              <w:spacing w:after="0"/>
              <w:jc w:val="right"/>
              <w:rPr>
                <w:rFonts w:ascii="Calibri" w:hAnsi="Calibri" w:cs="Calibri"/>
                <w:color w:val="000000"/>
                <w:sz w:val="22"/>
                <w:szCs w:val="22"/>
                <w:lang w:eastAsia="en-AU"/>
              </w:rPr>
            </w:pPr>
            <w:r>
              <w:rPr>
                <w:rFonts w:ascii="Calibri" w:hAnsi="Calibri" w:cs="Calibri"/>
                <w:color w:val="000000"/>
                <w:sz w:val="22"/>
                <w:szCs w:val="22"/>
                <w:lang w:eastAsia="en-AU"/>
              </w:rPr>
              <w:t>-$11,426</w:t>
            </w:r>
          </w:p>
        </w:tc>
        <w:tc>
          <w:tcPr>
            <w:tcW w:w="1276" w:type="dxa"/>
            <w:tcBorders>
              <w:top w:val="nil"/>
              <w:left w:val="single" w:sz="4" w:space="0" w:color="auto"/>
              <w:bottom w:val="single" w:sz="4" w:space="0" w:color="A6A6A6"/>
              <w:right w:val="single" w:sz="4" w:space="0" w:color="A6A6A6"/>
            </w:tcBorders>
            <w:shd w:val="clear" w:color="auto" w:fill="auto"/>
            <w:noWrap/>
            <w:vAlign w:val="bottom"/>
            <w:hideMark/>
          </w:tcPr>
          <w:p w14:paraId="316DB8D0" w14:textId="77777777" w:rsidR="00331DB0" w:rsidRPr="00E30232" w:rsidRDefault="00331DB0" w:rsidP="000A3C3C">
            <w:pPr>
              <w:spacing w:after="0"/>
              <w:jc w:val="right"/>
              <w:rPr>
                <w:rFonts w:ascii="Calibri" w:hAnsi="Calibri" w:cs="Calibri"/>
                <w:color w:val="000000"/>
                <w:sz w:val="22"/>
                <w:szCs w:val="22"/>
                <w:lang w:eastAsia="en-AU"/>
              </w:rPr>
            </w:pPr>
            <w:r w:rsidRPr="00E30232">
              <w:rPr>
                <w:rFonts w:ascii="Calibri" w:hAnsi="Calibri" w:cs="Calibri"/>
                <w:color w:val="000000"/>
                <w:sz w:val="22"/>
                <w:szCs w:val="22"/>
                <w:lang w:eastAsia="en-AU"/>
              </w:rPr>
              <w:t>-$</w:t>
            </w:r>
            <w:r>
              <w:rPr>
                <w:rFonts w:ascii="Calibri" w:hAnsi="Calibri" w:cs="Calibri"/>
                <w:color w:val="000000"/>
                <w:sz w:val="22"/>
                <w:szCs w:val="22"/>
                <w:lang w:eastAsia="en-AU"/>
              </w:rPr>
              <w:t>11,365</w:t>
            </w:r>
            <w:r w:rsidRPr="00E30232">
              <w:rPr>
                <w:rFonts w:ascii="Calibri" w:hAnsi="Calibri" w:cs="Calibri"/>
                <w:color w:val="000000"/>
                <w:sz w:val="22"/>
                <w:szCs w:val="22"/>
                <w:lang w:eastAsia="en-AU"/>
              </w:rPr>
              <w:t xml:space="preserve"> </w:t>
            </w:r>
          </w:p>
        </w:tc>
        <w:tc>
          <w:tcPr>
            <w:tcW w:w="1276" w:type="dxa"/>
            <w:tcBorders>
              <w:top w:val="nil"/>
              <w:left w:val="nil"/>
              <w:bottom w:val="single" w:sz="4" w:space="0" w:color="A6A6A6"/>
              <w:right w:val="single" w:sz="4" w:space="0" w:color="A6A6A6"/>
            </w:tcBorders>
            <w:shd w:val="clear" w:color="auto" w:fill="auto"/>
            <w:noWrap/>
            <w:vAlign w:val="bottom"/>
            <w:hideMark/>
          </w:tcPr>
          <w:p w14:paraId="5957C054" w14:textId="77777777" w:rsidR="00331DB0" w:rsidRPr="00E30232" w:rsidRDefault="00331DB0" w:rsidP="00B41FC7">
            <w:pPr>
              <w:spacing w:after="0"/>
              <w:jc w:val="right"/>
              <w:rPr>
                <w:rFonts w:ascii="Calibri" w:hAnsi="Calibri" w:cs="Calibri"/>
                <w:color w:val="000000"/>
                <w:sz w:val="22"/>
                <w:szCs w:val="22"/>
                <w:lang w:eastAsia="en-AU"/>
              </w:rPr>
            </w:pPr>
            <w:r w:rsidRPr="00E30232">
              <w:rPr>
                <w:rFonts w:ascii="Calibri" w:hAnsi="Calibri" w:cs="Calibri"/>
                <w:color w:val="000000"/>
                <w:sz w:val="22"/>
                <w:szCs w:val="22"/>
                <w:lang w:eastAsia="en-AU"/>
              </w:rPr>
              <w:t>-$</w:t>
            </w:r>
            <w:r>
              <w:rPr>
                <w:rFonts w:ascii="Calibri" w:hAnsi="Calibri" w:cs="Calibri"/>
                <w:color w:val="000000"/>
                <w:sz w:val="22"/>
                <w:szCs w:val="22"/>
                <w:lang w:eastAsia="en-AU"/>
              </w:rPr>
              <w:t>11,257</w:t>
            </w:r>
            <w:r w:rsidRPr="00E30232">
              <w:rPr>
                <w:rFonts w:ascii="Calibri" w:hAnsi="Calibri" w:cs="Calibri"/>
                <w:color w:val="000000"/>
                <w:sz w:val="22"/>
                <w:szCs w:val="22"/>
                <w:lang w:eastAsia="en-AU"/>
              </w:rPr>
              <w:t xml:space="preserve"> </w:t>
            </w:r>
          </w:p>
        </w:tc>
        <w:tc>
          <w:tcPr>
            <w:tcW w:w="1275" w:type="dxa"/>
            <w:tcBorders>
              <w:top w:val="nil"/>
              <w:left w:val="nil"/>
              <w:bottom w:val="single" w:sz="4" w:space="0" w:color="A6A6A6"/>
              <w:right w:val="single" w:sz="4" w:space="0" w:color="A6A6A6"/>
            </w:tcBorders>
            <w:shd w:val="clear" w:color="auto" w:fill="auto"/>
            <w:noWrap/>
            <w:vAlign w:val="bottom"/>
            <w:hideMark/>
          </w:tcPr>
          <w:p w14:paraId="167A3C45" w14:textId="77777777" w:rsidR="00331DB0" w:rsidRPr="00E30232" w:rsidRDefault="00331DB0" w:rsidP="000A3C3C">
            <w:pPr>
              <w:spacing w:after="0"/>
              <w:jc w:val="right"/>
              <w:rPr>
                <w:rFonts w:ascii="Calibri" w:hAnsi="Calibri" w:cs="Calibri"/>
                <w:color w:val="000000"/>
                <w:sz w:val="22"/>
                <w:szCs w:val="22"/>
                <w:lang w:eastAsia="en-AU"/>
              </w:rPr>
            </w:pPr>
            <w:r w:rsidRPr="00E30232">
              <w:rPr>
                <w:rFonts w:ascii="Calibri" w:hAnsi="Calibri" w:cs="Calibri"/>
                <w:color w:val="000000"/>
                <w:sz w:val="22"/>
                <w:szCs w:val="22"/>
                <w:lang w:eastAsia="en-AU"/>
              </w:rPr>
              <w:t>-$</w:t>
            </w:r>
            <w:r>
              <w:rPr>
                <w:rFonts w:ascii="Calibri" w:hAnsi="Calibri" w:cs="Calibri"/>
                <w:color w:val="000000"/>
                <w:sz w:val="22"/>
                <w:szCs w:val="22"/>
                <w:lang w:eastAsia="en-AU"/>
              </w:rPr>
              <w:t>11,578</w:t>
            </w:r>
            <w:r w:rsidRPr="00E30232">
              <w:rPr>
                <w:rFonts w:ascii="Calibri" w:hAnsi="Calibri" w:cs="Calibri"/>
                <w:color w:val="000000"/>
                <w:sz w:val="22"/>
                <w:szCs w:val="22"/>
                <w:lang w:eastAsia="en-AU"/>
              </w:rPr>
              <w:t xml:space="preserve"> </w:t>
            </w:r>
          </w:p>
        </w:tc>
      </w:tr>
    </w:tbl>
    <w:p w14:paraId="0A1877F1" w14:textId="77777777" w:rsidR="00331DB0" w:rsidRDefault="00331DB0" w:rsidP="00331DB0">
      <w:pPr>
        <w:spacing w:before="240"/>
      </w:pPr>
      <w:r>
        <w:rPr>
          <w:rFonts w:ascii="Calibri" w:hAnsi="Calibri" w:cs="Calibri"/>
          <w:color w:val="000000"/>
          <w:sz w:val="22"/>
          <w:szCs w:val="22"/>
          <w:lang w:eastAsia="en-AU"/>
        </w:rPr>
        <w:t>*F</w:t>
      </w:r>
      <w:r w:rsidRPr="000521EA">
        <w:rPr>
          <w:rFonts w:ascii="Calibri" w:hAnsi="Calibri" w:cs="Calibri"/>
          <w:color w:val="000000"/>
          <w:sz w:val="22"/>
          <w:szCs w:val="22"/>
          <w:lang w:eastAsia="en-AU"/>
        </w:rPr>
        <w:t>inancial estimates to be updated</w:t>
      </w:r>
      <w:r w:rsidRPr="00331DB0">
        <w:rPr>
          <w:rFonts w:ascii="Calibri" w:hAnsi="Calibri" w:cs="Calibri"/>
          <w:color w:val="000000"/>
          <w:sz w:val="22"/>
          <w:szCs w:val="22"/>
          <w:lang w:eastAsia="en-AU"/>
        </w:rPr>
        <w:t xml:space="preserve"> at next annual</w:t>
      </w:r>
      <w:r>
        <w:rPr>
          <w:rFonts w:ascii="Calibri" w:hAnsi="Calibri" w:cs="Calibri"/>
          <w:color w:val="000000"/>
          <w:sz w:val="22"/>
          <w:szCs w:val="22"/>
          <w:lang w:eastAsia="en-AU"/>
        </w:rPr>
        <w:t xml:space="preserve"> update of</w:t>
      </w:r>
      <w:r w:rsidRPr="00331DB0">
        <w:rPr>
          <w:rFonts w:ascii="Calibri" w:hAnsi="Calibri" w:cs="Calibri"/>
          <w:color w:val="000000"/>
          <w:sz w:val="22"/>
          <w:szCs w:val="22"/>
          <w:lang w:eastAsia="en-AU"/>
        </w:rPr>
        <w:t xml:space="preserve"> CRIS</w:t>
      </w:r>
      <w:r w:rsidRPr="000521EA">
        <w:rPr>
          <w:rFonts w:ascii="Calibri" w:hAnsi="Calibri" w:cs="Calibri"/>
          <w:color w:val="000000"/>
          <w:sz w:val="22"/>
          <w:szCs w:val="22"/>
          <w:lang w:eastAsia="en-AU"/>
        </w:rPr>
        <w:t xml:space="preserve"> and application fee indexation</w:t>
      </w:r>
      <w:r>
        <w:rPr>
          <w:rFonts w:ascii="Calibri" w:hAnsi="Calibri" w:cs="Calibri"/>
          <w:color w:val="000000"/>
          <w:sz w:val="22"/>
          <w:szCs w:val="22"/>
          <w:lang w:eastAsia="en-AU"/>
        </w:rPr>
        <w:t>.</w:t>
      </w:r>
    </w:p>
    <w:p w14:paraId="67BE159E" w14:textId="77777777" w:rsidR="00B5279E" w:rsidRDefault="00B5279E" w:rsidP="00D10257">
      <w:pPr>
        <w:spacing w:before="240"/>
      </w:pPr>
      <w:r>
        <w:t xml:space="preserve">The cumulative balance for </w:t>
      </w:r>
      <w:r w:rsidR="006344DA">
        <w:t>2020</w:t>
      </w:r>
      <w:r w:rsidR="00520383">
        <w:t>-21</w:t>
      </w:r>
      <w:r>
        <w:t xml:space="preserve"> includes the balance shown at Table 3, below.</w:t>
      </w:r>
    </w:p>
    <w:p w14:paraId="025029AA" w14:textId="77777777" w:rsidR="00E541FF" w:rsidRDefault="00E541FF" w:rsidP="00E541FF">
      <w:pPr>
        <w:pStyle w:val="Heading2"/>
      </w:pPr>
      <w:r>
        <w:t>PERFORMANCE</w:t>
      </w:r>
    </w:p>
    <w:p w14:paraId="585B1B60" w14:textId="77777777" w:rsidR="00E541FF" w:rsidRDefault="00E541FF" w:rsidP="00E541FF">
      <w:pPr>
        <w:pStyle w:val="Heading3"/>
      </w:pPr>
      <w:r>
        <w:t>Financial Performance</w:t>
      </w:r>
    </w:p>
    <w:p w14:paraId="3A3609B2" w14:textId="77777777" w:rsidR="00493B85" w:rsidRPr="00823A8D" w:rsidRDefault="00493B85" w:rsidP="00890BC4">
      <w:pPr>
        <w:pStyle w:val="Heading4"/>
      </w:pPr>
      <w:bookmarkStart w:id="9" w:name="_Table_3:_Actual"/>
      <w:bookmarkEnd w:id="9"/>
      <w:r w:rsidRPr="00823A8D">
        <w:t xml:space="preserve">Table </w:t>
      </w:r>
      <w:r w:rsidR="005E484B" w:rsidRPr="00823A8D">
        <w:t>3</w:t>
      </w:r>
      <w:r w:rsidRPr="00823A8D">
        <w:t>: Actual financial performance</w:t>
      </w:r>
    </w:p>
    <w:tbl>
      <w:tblPr>
        <w:tblStyle w:val="TableGrid"/>
        <w:tblW w:w="8534" w:type="dxa"/>
        <w:tblInd w:w="108" w:type="dxa"/>
        <w:tblLayout w:type="fixed"/>
        <w:tblLook w:val="04A0" w:firstRow="1" w:lastRow="0" w:firstColumn="1" w:lastColumn="0" w:noHBand="0" w:noVBand="1"/>
        <w:tblCaption w:val="Table 3: Actual financial performance"/>
        <w:tblDescription w:val="Table showing the actual costs to the department of administering second-tier default benefits and the actual revenue received from application fees. This table will be updated as financial performance information becomes available."/>
      </w:tblPr>
      <w:tblGrid>
        <w:gridCol w:w="2014"/>
        <w:gridCol w:w="1417"/>
        <w:gridCol w:w="1276"/>
        <w:gridCol w:w="1276"/>
        <w:gridCol w:w="1275"/>
        <w:gridCol w:w="1276"/>
      </w:tblGrid>
      <w:tr w:rsidR="009E7112" w:rsidRPr="00823A8D" w14:paraId="27B7CEEA" w14:textId="77777777" w:rsidTr="00001A7B">
        <w:trPr>
          <w:tblHeader/>
        </w:trPr>
        <w:tc>
          <w:tcPr>
            <w:tcW w:w="2014" w:type="dxa"/>
            <w:shd w:val="clear" w:color="auto" w:fill="D9D9D9" w:themeFill="background1" w:themeFillShade="D9"/>
          </w:tcPr>
          <w:p w14:paraId="461EB7A6" w14:textId="77777777" w:rsidR="009E7112" w:rsidRPr="00823A8D" w:rsidRDefault="009E7112" w:rsidP="00917F96">
            <w:pPr>
              <w:spacing w:before="120" w:after="120"/>
              <w:rPr>
                <w:rFonts w:asciiTheme="minorHAnsi" w:hAnsiTheme="minorHAnsi"/>
                <w:b/>
              </w:rPr>
            </w:pPr>
            <w:r w:rsidRPr="00823A8D">
              <w:rPr>
                <w:rFonts w:asciiTheme="minorHAnsi" w:hAnsiTheme="minorHAnsi"/>
                <w:b/>
              </w:rPr>
              <w:t>Type</w:t>
            </w:r>
          </w:p>
        </w:tc>
        <w:tc>
          <w:tcPr>
            <w:tcW w:w="1417" w:type="dxa"/>
            <w:shd w:val="clear" w:color="auto" w:fill="D9D9D9" w:themeFill="background1" w:themeFillShade="D9"/>
            <w:vAlign w:val="center"/>
          </w:tcPr>
          <w:p w14:paraId="237827CF" w14:textId="77777777" w:rsidR="009E7112" w:rsidRPr="00823A8D" w:rsidRDefault="009E7112" w:rsidP="00391F88">
            <w:pPr>
              <w:spacing w:before="120" w:after="120"/>
              <w:ind w:left="178"/>
              <w:jc w:val="center"/>
              <w:rPr>
                <w:rFonts w:asciiTheme="minorHAnsi" w:hAnsiTheme="minorHAnsi"/>
                <w:b/>
              </w:rPr>
            </w:pPr>
            <w:r w:rsidRPr="00823A8D">
              <w:rPr>
                <w:rFonts w:asciiTheme="minorHAnsi" w:hAnsiTheme="minorHAnsi"/>
                <w:b/>
              </w:rPr>
              <w:t>Actual 2018-19</w:t>
            </w:r>
          </w:p>
        </w:tc>
        <w:tc>
          <w:tcPr>
            <w:tcW w:w="1276" w:type="dxa"/>
            <w:shd w:val="clear" w:color="auto" w:fill="D9D9D9" w:themeFill="background1" w:themeFillShade="D9"/>
            <w:vAlign w:val="center"/>
          </w:tcPr>
          <w:p w14:paraId="539BF522" w14:textId="77777777" w:rsidR="009E7112" w:rsidRPr="00823A8D" w:rsidRDefault="0006382B" w:rsidP="00391F88">
            <w:pPr>
              <w:spacing w:before="120" w:after="120"/>
              <w:ind w:left="178"/>
              <w:jc w:val="center"/>
              <w:rPr>
                <w:rFonts w:asciiTheme="minorHAnsi" w:hAnsiTheme="minorHAnsi"/>
                <w:b/>
              </w:rPr>
            </w:pPr>
            <w:r w:rsidRPr="00823A8D">
              <w:rPr>
                <w:rFonts w:asciiTheme="minorHAnsi" w:hAnsiTheme="minorHAnsi"/>
                <w:b/>
              </w:rPr>
              <w:t xml:space="preserve">Actual </w:t>
            </w:r>
            <w:r w:rsidR="009E7112" w:rsidRPr="00823A8D">
              <w:rPr>
                <w:rFonts w:asciiTheme="minorHAnsi" w:hAnsiTheme="minorHAnsi"/>
                <w:b/>
              </w:rPr>
              <w:t>2019-20</w:t>
            </w:r>
          </w:p>
        </w:tc>
        <w:tc>
          <w:tcPr>
            <w:tcW w:w="1276" w:type="dxa"/>
            <w:shd w:val="clear" w:color="auto" w:fill="D9D9D9" w:themeFill="background1" w:themeFillShade="D9"/>
            <w:vAlign w:val="center"/>
          </w:tcPr>
          <w:p w14:paraId="2117F764" w14:textId="77777777" w:rsidR="009E7112" w:rsidRPr="00823A8D" w:rsidRDefault="009E7112" w:rsidP="00520383">
            <w:pPr>
              <w:spacing w:before="120" w:after="120"/>
              <w:jc w:val="right"/>
              <w:rPr>
                <w:rFonts w:asciiTheme="minorHAnsi" w:hAnsiTheme="minorHAnsi"/>
                <w:b/>
              </w:rPr>
            </w:pPr>
            <w:r w:rsidRPr="00823A8D">
              <w:rPr>
                <w:rFonts w:asciiTheme="minorHAnsi" w:hAnsiTheme="minorHAnsi"/>
                <w:b/>
              </w:rPr>
              <w:t>2020-21</w:t>
            </w:r>
            <w:r w:rsidR="00520383">
              <w:rPr>
                <w:rFonts w:asciiTheme="minorHAnsi" w:hAnsiTheme="minorHAnsi"/>
                <w:b/>
              </w:rPr>
              <w:t xml:space="preserve">   </w:t>
            </w:r>
          </w:p>
        </w:tc>
        <w:tc>
          <w:tcPr>
            <w:tcW w:w="1275" w:type="dxa"/>
            <w:shd w:val="clear" w:color="auto" w:fill="D9D9D9" w:themeFill="background1" w:themeFillShade="D9"/>
            <w:vAlign w:val="center"/>
          </w:tcPr>
          <w:p w14:paraId="2F7A693B" w14:textId="77777777" w:rsidR="009E7112" w:rsidRPr="00823A8D" w:rsidRDefault="009E7112" w:rsidP="009E7112">
            <w:pPr>
              <w:spacing w:before="120" w:after="120"/>
              <w:ind w:left="178"/>
              <w:jc w:val="center"/>
              <w:rPr>
                <w:rFonts w:asciiTheme="minorHAnsi" w:hAnsiTheme="minorHAnsi"/>
                <w:b/>
              </w:rPr>
            </w:pPr>
            <w:r w:rsidRPr="00823A8D">
              <w:rPr>
                <w:rFonts w:asciiTheme="minorHAnsi" w:hAnsiTheme="minorHAnsi"/>
                <w:b/>
              </w:rPr>
              <w:t>2021-22</w:t>
            </w:r>
          </w:p>
        </w:tc>
        <w:tc>
          <w:tcPr>
            <w:tcW w:w="1276" w:type="dxa"/>
            <w:shd w:val="clear" w:color="auto" w:fill="D9D9D9" w:themeFill="background1" w:themeFillShade="D9"/>
            <w:vAlign w:val="center"/>
          </w:tcPr>
          <w:p w14:paraId="0623D53A" w14:textId="77777777" w:rsidR="009E7112" w:rsidRPr="00823A8D" w:rsidRDefault="009E7112" w:rsidP="009E7112">
            <w:pPr>
              <w:spacing w:before="120" w:after="120"/>
              <w:ind w:left="178"/>
              <w:jc w:val="center"/>
              <w:rPr>
                <w:rFonts w:asciiTheme="minorHAnsi" w:hAnsiTheme="minorHAnsi"/>
                <w:b/>
              </w:rPr>
            </w:pPr>
            <w:r w:rsidRPr="00823A8D">
              <w:rPr>
                <w:rFonts w:asciiTheme="minorHAnsi" w:hAnsiTheme="minorHAnsi"/>
                <w:b/>
              </w:rPr>
              <w:t>2022-23</w:t>
            </w:r>
          </w:p>
        </w:tc>
      </w:tr>
      <w:tr w:rsidR="00774FA9" w:rsidRPr="00823A8D" w14:paraId="2AA10548" w14:textId="77777777" w:rsidTr="00001A7B">
        <w:tc>
          <w:tcPr>
            <w:tcW w:w="2014" w:type="dxa"/>
            <w:shd w:val="clear" w:color="auto" w:fill="auto"/>
            <w:vAlign w:val="center"/>
          </w:tcPr>
          <w:p w14:paraId="5189AD5D" w14:textId="77777777" w:rsidR="00774FA9" w:rsidRPr="00823A8D" w:rsidRDefault="00774FA9" w:rsidP="00774FA9">
            <w:pPr>
              <w:spacing w:before="60" w:after="60"/>
              <w:rPr>
                <w:rFonts w:asciiTheme="minorHAnsi" w:hAnsiTheme="minorHAnsi"/>
                <w:sz w:val="22"/>
                <w:szCs w:val="22"/>
              </w:rPr>
            </w:pPr>
            <w:r w:rsidRPr="00823A8D">
              <w:rPr>
                <w:rFonts w:asciiTheme="minorHAnsi" w:hAnsiTheme="minorHAnsi"/>
                <w:sz w:val="22"/>
                <w:szCs w:val="22"/>
              </w:rPr>
              <w:t>Expenses = X</w:t>
            </w:r>
          </w:p>
        </w:tc>
        <w:tc>
          <w:tcPr>
            <w:tcW w:w="1417" w:type="dxa"/>
            <w:shd w:val="clear" w:color="auto" w:fill="auto"/>
            <w:vAlign w:val="center"/>
          </w:tcPr>
          <w:p w14:paraId="29CCB821" w14:textId="77777777" w:rsidR="00774FA9" w:rsidRPr="00823A8D" w:rsidRDefault="00774FA9" w:rsidP="00774FA9">
            <w:pPr>
              <w:spacing w:before="120" w:after="120"/>
              <w:ind w:left="-173" w:firstLine="173"/>
              <w:jc w:val="right"/>
              <w:rPr>
                <w:rFonts w:asciiTheme="minorHAnsi" w:hAnsiTheme="minorHAnsi"/>
                <w:sz w:val="22"/>
                <w:szCs w:val="22"/>
              </w:rPr>
            </w:pPr>
            <w:r w:rsidRPr="00823A8D">
              <w:rPr>
                <w:rFonts w:asciiTheme="minorHAnsi" w:hAnsiTheme="minorHAnsi"/>
                <w:sz w:val="22"/>
                <w:szCs w:val="22"/>
              </w:rPr>
              <w:t xml:space="preserve">$ 150,738 </w:t>
            </w:r>
          </w:p>
        </w:tc>
        <w:tc>
          <w:tcPr>
            <w:tcW w:w="1276" w:type="dxa"/>
            <w:shd w:val="clear" w:color="auto" w:fill="auto"/>
            <w:vAlign w:val="center"/>
          </w:tcPr>
          <w:p w14:paraId="2DC0A0AF" w14:textId="77777777" w:rsidR="00774FA9" w:rsidRPr="00823A8D" w:rsidRDefault="00430538" w:rsidP="00774FA9">
            <w:pPr>
              <w:spacing w:before="120" w:after="120"/>
              <w:ind w:left="-173" w:firstLine="173"/>
              <w:jc w:val="right"/>
              <w:rPr>
                <w:rFonts w:asciiTheme="minorHAnsi" w:hAnsiTheme="minorHAnsi"/>
                <w:sz w:val="22"/>
                <w:szCs w:val="22"/>
              </w:rPr>
            </w:pPr>
            <w:r w:rsidRPr="00823A8D">
              <w:rPr>
                <w:rFonts w:asciiTheme="minorHAnsi" w:hAnsiTheme="minorHAnsi"/>
                <w:sz w:val="22"/>
                <w:szCs w:val="22"/>
              </w:rPr>
              <w:t>$ 218,226</w:t>
            </w:r>
          </w:p>
        </w:tc>
        <w:tc>
          <w:tcPr>
            <w:tcW w:w="1276" w:type="dxa"/>
            <w:shd w:val="clear" w:color="auto" w:fill="auto"/>
          </w:tcPr>
          <w:p w14:paraId="51E1131E" w14:textId="77777777" w:rsidR="00774FA9" w:rsidRPr="00823A8D" w:rsidRDefault="00774FA9" w:rsidP="00774FA9">
            <w:pPr>
              <w:spacing w:before="120" w:after="120"/>
              <w:ind w:left="-173" w:firstLine="173"/>
              <w:jc w:val="right"/>
              <w:rPr>
                <w:sz w:val="22"/>
                <w:szCs w:val="22"/>
              </w:rPr>
            </w:pPr>
          </w:p>
        </w:tc>
        <w:tc>
          <w:tcPr>
            <w:tcW w:w="1275" w:type="dxa"/>
            <w:shd w:val="clear" w:color="auto" w:fill="auto"/>
          </w:tcPr>
          <w:p w14:paraId="42A752EB" w14:textId="77777777" w:rsidR="00774FA9" w:rsidRPr="00823A8D" w:rsidRDefault="00774FA9" w:rsidP="00774FA9">
            <w:pPr>
              <w:spacing w:before="120" w:after="120"/>
              <w:ind w:left="-173" w:firstLine="173"/>
              <w:jc w:val="right"/>
              <w:rPr>
                <w:sz w:val="22"/>
                <w:szCs w:val="22"/>
              </w:rPr>
            </w:pPr>
          </w:p>
        </w:tc>
        <w:tc>
          <w:tcPr>
            <w:tcW w:w="1276" w:type="dxa"/>
            <w:shd w:val="clear" w:color="auto" w:fill="auto"/>
          </w:tcPr>
          <w:p w14:paraId="2824E63A" w14:textId="77777777" w:rsidR="00774FA9" w:rsidRPr="00823A8D" w:rsidRDefault="00774FA9" w:rsidP="00774FA9">
            <w:pPr>
              <w:spacing w:before="120" w:after="120"/>
              <w:ind w:left="-173" w:firstLine="173"/>
              <w:jc w:val="right"/>
              <w:rPr>
                <w:sz w:val="22"/>
                <w:szCs w:val="22"/>
              </w:rPr>
            </w:pPr>
          </w:p>
        </w:tc>
      </w:tr>
      <w:tr w:rsidR="00774FA9" w:rsidRPr="00823A8D" w14:paraId="09ECFD0A" w14:textId="77777777" w:rsidTr="00001A7B">
        <w:tc>
          <w:tcPr>
            <w:tcW w:w="2014" w:type="dxa"/>
            <w:shd w:val="clear" w:color="auto" w:fill="auto"/>
            <w:vAlign w:val="center"/>
          </w:tcPr>
          <w:p w14:paraId="7E545632" w14:textId="77777777" w:rsidR="00774FA9" w:rsidRPr="00823A8D" w:rsidRDefault="00774FA9" w:rsidP="00774FA9">
            <w:pPr>
              <w:spacing w:before="60" w:after="60"/>
              <w:rPr>
                <w:rFonts w:asciiTheme="minorHAnsi" w:hAnsiTheme="minorHAnsi"/>
                <w:sz w:val="22"/>
                <w:szCs w:val="22"/>
              </w:rPr>
            </w:pPr>
            <w:r w:rsidRPr="00823A8D">
              <w:rPr>
                <w:rFonts w:asciiTheme="minorHAnsi" w:hAnsiTheme="minorHAnsi"/>
                <w:sz w:val="22"/>
                <w:szCs w:val="22"/>
              </w:rPr>
              <w:t>Revenue = Y</w:t>
            </w:r>
          </w:p>
        </w:tc>
        <w:tc>
          <w:tcPr>
            <w:tcW w:w="1417" w:type="dxa"/>
            <w:shd w:val="clear" w:color="auto" w:fill="auto"/>
            <w:vAlign w:val="center"/>
          </w:tcPr>
          <w:p w14:paraId="047BC177" w14:textId="77777777" w:rsidR="00774FA9" w:rsidRPr="00823A8D" w:rsidRDefault="00774FA9" w:rsidP="00774FA9">
            <w:pPr>
              <w:spacing w:before="120" w:after="120"/>
              <w:jc w:val="right"/>
              <w:rPr>
                <w:rFonts w:asciiTheme="minorHAnsi" w:hAnsiTheme="minorHAnsi"/>
                <w:sz w:val="22"/>
                <w:szCs w:val="22"/>
              </w:rPr>
            </w:pPr>
            <w:r w:rsidRPr="00823A8D">
              <w:rPr>
                <w:rFonts w:asciiTheme="minorHAnsi" w:hAnsiTheme="minorHAnsi"/>
                <w:sz w:val="22"/>
                <w:szCs w:val="22"/>
              </w:rPr>
              <w:t xml:space="preserve">$ 148,750 </w:t>
            </w:r>
          </w:p>
        </w:tc>
        <w:tc>
          <w:tcPr>
            <w:tcW w:w="1276" w:type="dxa"/>
            <w:shd w:val="clear" w:color="auto" w:fill="auto"/>
            <w:vAlign w:val="center"/>
          </w:tcPr>
          <w:p w14:paraId="1AB9AB1B" w14:textId="77777777" w:rsidR="00774FA9" w:rsidRPr="00823A8D" w:rsidRDefault="00430538" w:rsidP="00774FA9">
            <w:pPr>
              <w:spacing w:before="120" w:after="120"/>
              <w:jc w:val="right"/>
              <w:rPr>
                <w:rFonts w:asciiTheme="minorHAnsi" w:hAnsiTheme="minorHAnsi"/>
                <w:sz w:val="22"/>
                <w:szCs w:val="22"/>
              </w:rPr>
            </w:pPr>
            <w:r w:rsidRPr="00823A8D">
              <w:rPr>
                <w:rFonts w:asciiTheme="minorHAnsi" w:hAnsiTheme="minorHAnsi"/>
                <w:sz w:val="22"/>
                <w:szCs w:val="22"/>
              </w:rPr>
              <w:t>$209,100</w:t>
            </w:r>
          </w:p>
        </w:tc>
        <w:tc>
          <w:tcPr>
            <w:tcW w:w="1276" w:type="dxa"/>
            <w:shd w:val="clear" w:color="auto" w:fill="auto"/>
          </w:tcPr>
          <w:p w14:paraId="5FE5D91D" w14:textId="77777777" w:rsidR="00774FA9" w:rsidRPr="00823A8D" w:rsidRDefault="00774FA9" w:rsidP="00774FA9">
            <w:pPr>
              <w:spacing w:before="120" w:after="120"/>
              <w:jc w:val="right"/>
              <w:rPr>
                <w:sz w:val="22"/>
                <w:szCs w:val="22"/>
              </w:rPr>
            </w:pPr>
          </w:p>
        </w:tc>
        <w:tc>
          <w:tcPr>
            <w:tcW w:w="1275" w:type="dxa"/>
            <w:shd w:val="clear" w:color="auto" w:fill="auto"/>
          </w:tcPr>
          <w:p w14:paraId="0FC7111E" w14:textId="77777777" w:rsidR="00774FA9" w:rsidRPr="00823A8D" w:rsidRDefault="00774FA9" w:rsidP="00774FA9">
            <w:pPr>
              <w:spacing w:before="120" w:after="120"/>
              <w:jc w:val="right"/>
              <w:rPr>
                <w:sz w:val="22"/>
                <w:szCs w:val="22"/>
              </w:rPr>
            </w:pPr>
          </w:p>
        </w:tc>
        <w:tc>
          <w:tcPr>
            <w:tcW w:w="1276" w:type="dxa"/>
            <w:shd w:val="clear" w:color="auto" w:fill="auto"/>
          </w:tcPr>
          <w:p w14:paraId="62E86EBC" w14:textId="77777777" w:rsidR="00774FA9" w:rsidRPr="00823A8D" w:rsidRDefault="00774FA9" w:rsidP="00774FA9">
            <w:pPr>
              <w:spacing w:before="120" w:after="120"/>
              <w:jc w:val="right"/>
              <w:rPr>
                <w:sz w:val="22"/>
                <w:szCs w:val="22"/>
              </w:rPr>
            </w:pPr>
          </w:p>
        </w:tc>
      </w:tr>
      <w:tr w:rsidR="00774FA9" w:rsidRPr="00823A8D" w14:paraId="7D6BC45A" w14:textId="77777777" w:rsidTr="00001A7B">
        <w:tc>
          <w:tcPr>
            <w:tcW w:w="2014" w:type="dxa"/>
            <w:shd w:val="clear" w:color="auto" w:fill="auto"/>
            <w:vAlign w:val="center"/>
          </w:tcPr>
          <w:p w14:paraId="63B41AD5" w14:textId="77777777" w:rsidR="00774FA9" w:rsidRPr="00823A8D" w:rsidRDefault="00774FA9" w:rsidP="00774FA9">
            <w:pPr>
              <w:spacing w:before="60" w:after="60"/>
              <w:rPr>
                <w:rFonts w:asciiTheme="minorHAnsi" w:hAnsiTheme="minorHAnsi"/>
                <w:sz w:val="22"/>
                <w:szCs w:val="22"/>
              </w:rPr>
            </w:pPr>
            <w:r w:rsidRPr="00823A8D">
              <w:rPr>
                <w:rFonts w:asciiTheme="minorHAnsi" w:hAnsiTheme="minorHAnsi"/>
                <w:sz w:val="22"/>
                <w:szCs w:val="22"/>
              </w:rPr>
              <w:t>Balance = Y – X</w:t>
            </w:r>
          </w:p>
        </w:tc>
        <w:tc>
          <w:tcPr>
            <w:tcW w:w="1417" w:type="dxa"/>
            <w:shd w:val="clear" w:color="auto" w:fill="auto"/>
            <w:vAlign w:val="center"/>
          </w:tcPr>
          <w:p w14:paraId="0F76520C" w14:textId="77777777" w:rsidR="00774FA9" w:rsidRPr="00823A8D" w:rsidRDefault="00774FA9" w:rsidP="00774FA9">
            <w:pPr>
              <w:spacing w:before="120" w:after="120"/>
              <w:jc w:val="right"/>
              <w:rPr>
                <w:rFonts w:asciiTheme="minorHAnsi" w:hAnsiTheme="minorHAnsi"/>
                <w:sz w:val="22"/>
                <w:szCs w:val="22"/>
              </w:rPr>
            </w:pPr>
            <w:r w:rsidRPr="00823A8D">
              <w:rPr>
                <w:rFonts w:asciiTheme="minorHAnsi" w:hAnsiTheme="minorHAnsi"/>
                <w:sz w:val="22"/>
                <w:szCs w:val="22"/>
              </w:rPr>
              <w:t xml:space="preserve">-$ 1,988 </w:t>
            </w:r>
          </w:p>
        </w:tc>
        <w:tc>
          <w:tcPr>
            <w:tcW w:w="1276" w:type="dxa"/>
            <w:shd w:val="clear" w:color="auto" w:fill="auto"/>
            <w:vAlign w:val="center"/>
          </w:tcPr>
          <w:p w14:paraId="493642B7" w14:textId="77777777" w:rsidR="00774FA9" w:rsidRPr="00823A8D" w:rsidRDefault="00430538" w:rsidP="00774FA9">
            <w:pPr>
              <w:spacing w:before="120" w:after="120"/>
              <w:jc w:val="right"/>
              <w:rPr>
                <w:rFonts w:asciiTheme="minorHAnsi" w:hAnsiTheme="minorHAnsi"/>
                <w:sz w:val="22"/>
                <w:szCs w:val="22"/>
              </w:rPr>
            </w:pPr>
            <w:r w:rsidRPr="00823A8D">
              <w:rPr>
                <w:rFonts w:asciiTheme="minorHAnsi" w:hAnsiTheme="minorHAnsi"/>
                <w:sz w:val="22"/>
                <w:szCs w:val="22"/>
              </w:rPr>
              <w:t>-$9,126</w:t>
            </w:r>
          </w:p>
        </w:tc>
        <w:tc>
          <w:tcPr>
            <w:tcW w:w="1276" w:type="dxa"/>
            <w:shd w:val="clear" w:color="auto" w:fill="auto"/>
          </w:tcPr>
          <w:p w14:paraId="41AA54B3" w14:textId="77777777" w:rsidR="00774FA9" w:rsidRPr="00823A8D" w:rsidRDefault="00774FA9" w:rsidP="00774FA9">
            <w:pPr>
              <w:spacing w:before="120" w:after="120"/>
              <w:jc w:val="right"/>
              <w:rPr>
                <w:sz w:val="22"/>
                <w:szCs w:val="22"/>
              </w:rPr>
            </w:pPr>
          </w:p>
        </w:tc>
        <w:tc>
          <w:tcPr>
            <w:tcW w:w="1275" w:type="dxa"/>
            <w:shd w:val="clear" w:color="auto" w:fill="auto"/>
          </w:tcPr>
          <w:p w14:paraId="3E803849" w14:textId="77777777" w:rsidR="00774FA9" w:rsidRPr="00823A8D" w:rsidRDefault="00774FA9" w:rsidP="00774FA9">
            <w:pPr>
              <w:spacing w:before="120" w:after="120"/>
              <w:jc w:val="right"/>
              <w:rPr>
                <w:sz w:val="22"/>
                <w:szCs w:val="22"/>
              </w:rPr>
            </w:pPr>
          </w:p>
        </w:tc>
        <w:tc>
          <w:tcPr>
            <w:tcW w:w="1276" w:type="dxa"/>
            <w:shd w:val="clear" w:color="auto" w:fill="auto"/>
          </w:tcPr>
          <w:p w14:paraId="57FC1984" w14:textId="77777777" w:rsidR="00774FA9" w:rsidRPr="00823A8D" w:rsidRDefault="00774FA9" w:rsidP="00774FA9">
            <w:pPr>
              <w:spacing w:before="120" w:after="120"/>
              <w:jc w:val="right"/>
              <w:rPr>
                <w:sz w:val="22"/>
                <w:szCs w:val="22"/>
              </w:rPr>
            </w:pPr>
          </w:p>
        </w:tc>
      </w:tr>
      <w:tr w:rsidR="00774FA9" w:rsidRPr="00C225F9" w14:paraId="1270C0F1" w14:textId="77777777" w:rsidTr="00001A7B">
        <w:tc>
          <w:tcPr>
            <w:tcW w:w="2014" w:type="dxa"/>
            <w:shd w:val="clear" w:color="auto" w:fill="auto"/>
            <w:vAlign w:val="center"/>
          </w:tcPr>
          <w:p w14:paraId="2A58A403" w14:textId="77777777" w:rsidR="00774FA9" w:rsidRPr="00823A8D" w:rsidRDefault="00774FA9" w:rsidP="00774FA9">
            <w:pPr>
              <w:spacing w:before="60" w:after="60"/>
              <w:rPr>
                <w:rFonts w:asciiTheme="minorHAnsi" w:hAnsiTheme="minorHAnsi"/>
                <w:sz w:val="22"/>
                <w:szCs w:val="22"/>
              </w:rPr>
            </w:pPr>
            <w:r w:rsidRPr="00823A8D">
              <w:rPr>
                <w:rFonts w:asciiTheme="minorHAnsi" w:hAnsiTheme="minorHAnsi"/>
                <w:sz w:val="22"/>
                <w:szCs w:val="22"/>
              </w:rPr>
              <w:t>Cumulative balance</w:t>
            </w:r>
          </w:p>
        </w:tc>
        <w:tc>
          <w:tcPr>
            <w:tcW w:w="1417" w:type="dxa"/>
            <w:shd w:val="clear" w:color="auto" w:fill="auto"/>
            <w:vAlign w:val="center"/>
          </w:tcPr>
          <w:p w14:paraId="2598CF8C" w14:textId="77777777" w:rsidR="00774FA9" w:rsidRPr="00823A8D" w:rsidRDefault="00774FA9" w:rsidP="00774FA9">
            <w:pPr>
              <w:spacing w:before="120" w:after="120"/>
              <w:jc w:val="right"/>
              <w:rPr>
                <w:rFonts w:asciiTheme="minorHAnsi" w:hAnsiTheme="minorHAnsi"/>
                <w:sz w:val="22"/>
                <w:szCs w:val="22"/>
              </w:rPr>
            </w:pPr>
            <w:r w:rsidRPr="00823A8D">
              <w:rPr>
                <w:rFonts w:asciiTheme="minorHAnsi" w:hAnsiTheme="minorHAnsi"/>
                <w:sz w:val="22"/>
                <w:szCs w:val="22"/>
              </w:rPr>
              <w:t xml:space="preserve">-$ 1,988 </w:t>
            </w:r>
          </w:p>
        </w:tc>
        <w:tc>
          <w:tcPr>
            <w:tcW w:w="1276" w:type="dxa"/>
            <w:shd w:val="clear" w:color="auto" w:fill="auto"/>
            <w:vAlign w:val="center"/>
          </w:tcPr>
          <w:p w14:paraId="725EFA22" w14:textId="77777777" w:rsidR="00430538" w:rsidRPr="00823A8D" w:rsidRDefault="004425C1" w:rsidP="004425C1">
            <w:pPr>
              <w:spacing w:before="120" w:after="120"/>
              <w:jc w:val="right"/>
              <w:rPr>
                <w:rFonts w:asciiTheme="minorHAnsi" w:hAnsiTheme="minorHAnsi"/>
                <w:sz w:val="22"/>
                <w:szCs w:val="22"/>
              </w:rPr>
            </w:pPr>
            <w:r w:rsidRPr="00823A8D">
              <w:rPr>
                <w:rFonts w:asciiTheme="minorHAnsi" w:hAnsiTheme="minorHAnsi"/>
                <w:sz w:val="22"/>
                <w:szCs w:val="22"/>
              </w:rPr>
              <w:t>-</w:t>
            </w:r>
            <w:r w:rsidR="00430538" w:rsidRPr="00823A8D">
              <w:rPr>
                <w:rFonts w:asciiTheme="minorHAnsi" w:hAnsiTheme="minorHAnsi"/>
                <w:sz w:val="22"/>
                <w:szCs w:val="22"/>
              </w:rPr>
              <w:t>$</w:t>
            </w:r>
            <w:r w:rsidRPr="00823A8D">
              <w:rPr>
                <w:rFonts w:asciiTheme="minorHAnsi" w:hAnsiTheme="minorHAnsi"/>
                <w:sz w:val="22"/>
                <w:szCs w:val="22"/>
              </w:rPr>
              <w:t>11,114</w:t>
            </w:r>
          </w:p>
        </w:tc>
        <w:tc>
          <w:tcPr>
            <w:tcW w:w="1276" w:type="dxa"/>
            <w:shd w:val="clear" w:color="auto" w:fill="auto"/>
          </w:tcPr>
          <w:p w14:paraId="40AEE71C" w14:textId="77777777" w:rsidR="00774FA9" w:rsidRPr="00001A7B" w:rsidRDefault="00774FA9" w:rsidP="00774FA9">
            <w:pPr>
              <w:spacing w:before="120" w:after="120"/>
              <w:jc w:val="right"/>
              <w:rPr>
                <w:sz w:val="22"/>
                <w:szCs w:val="22"/>
              </w:rPr>
            </w:pPr>
          </w:p>
        </w:tc>
        <w:tc>
          <w:tcPr>
            <w:tcW w:w="1275" w:type="dxa"/>
            <w:shd w:val="clear" w:color="auto" w:fill="auto"/>
          </w:tcPr>
          <w:p w14:paraId="10E4E149" w14:textId="77777777" w:rsidR="00774FA9" w:rsidRPr="00001A7B" w:rsidRDefault="00774FA9" w:rsidP="00774FA9">
            <w:pPr>
              <w:spacing w:before="120" w:after="120"/>
              <w:jc w:val="right"/>
              <w:rPr>
                <w:sz w:val="22"/>
                <w:szCs w:val="22"/>
              </w:rPr>
            </w:pPr>
          </w:p>
        </w:tc>
        <w:tc>
          <w:tcPr>
            <w:tcW w:w="1276" w:type="dxa"/>
            <w:shd w:val="clear" w:color="auto" w:fill="auto"/>
          </w:tcPr>
          <w:p w14:paraId="37A36544" w14:textId="77777777" w:rsidR="00774FA9" w:rsidRPr="00001A7B" w:rsidRDefault="00774FA9" w:rsidP="00774FA9">
            <w:pPr>
              <w:spacing w:before="120" w:after="120"/>
              <w:jc w:val="right"/>
              <w:rPr>
                <w:sz w:val="22"/>
                <w:szCs w:val="22"/>
              </w:rPr>
            </w:pPr>
          </w:p>
        </w:tc>
      </w:tr>
    </w:tbl>
    <w:p w14:paraId="0AA68BDC" w14:textId="77777777" w:rsidR="00E541FF" w:rsidRDefault="00E541FF" w:rsidP="00E541FF">
      <w:pPr>
        <w:pStyle w:val="Heading3"/>
      </w:pPr>
      <w:r>
        <w:t>Non-financial performance</w:t>
      </w:r>
    </w:p>
    <w:p w14:paraId="32503424" w14:textId="77777777" w:rsidR="00E541FF" w:rsidRDefault="00E541FF" w:rsidP="00E541FF">
      <w:r>
        <w:t>The following performance measures will be used to monitor the non-financial performance of administering second</w:t>
      </w:r>
      <w:r w:rsidR="002A2541">
        <w:t>-</w:t>
      </w:r>
      <w:r>
        <w:t>tier default benefits eligibility</w:t>
      </w:r>
      <w:r w:rsidR="00493B85">
        <w:t>.</w:t>
      </w:r>
    </w:p>
    <w:p w14:paraId="49ED0BEA" w14:textId="77777777" w:rsidR="00493B85" w:rsidRDefault="00493B85" w:rsidP="00493B85">
      <w:pPr>
        <w:pStyle w:val="Heading4"/>
      </w:pPr>
      <w:bookmarkStart w:id="10" w:name="_Table_4:_Forecast"/>
      <w:bookmarkEnd w:id="10"/>
      <w:r>
        <w:t xml:space="preserve">Table </w:t>
      </w:r>
      <w:r w:rsidR="005E484B">
        <w:t>4</w:t>
      </w:r>
      <w:r>
        <w:t>: Forecast non-financial performance</w:t>
      </w:r>
    </w:p>
    <w:tbl>
      <w:tblPr>
        <w:tblStyle w:val="TableGrid"/>
        <w:tblW w:w="8931" w:type="dxa"/>
        <w:tblInd w:w="108" w:type="dxa"/>
        <w:tblLayout w:type="fixed"/>
        <w:tblLook w:val="04A0" w:firstRow="1" w:lastRow="0" w:firstColumn="1" w:lastColumn="0" w:noHBand="0" w:noVBand="1"/>
        <w:tblCaption w:val="Table 4: Forecast non-financial performance"/>
        <w:tblDescription w:val="Table showing the department's forecast for non-financial performance of the regulatory charging activity. This table will be updated each financial year."/>
      </w:tblPr>
      <w:tblGrid>
        <w:gridCol w:w="3918"/>
        <w:gridCol w:w="1254"/>
        <w:gridCol w:w="1253"/>
        <w:gridCol w:w="1253"/>
        <w:gridCol w:w="1253"/>
      </w:tblGrid>
      <w:tr w:rsidR="00493B85" w:rsidRPr="0017207A" w14:paraId="5E8EF1C6" w14:textId="77777777" w:rsidTr="009D57FA">
        <w:trPr>
          <w:tblHeader/>
        </w:trPr>
        <w:tc>
          <w:tcPr>
            <w:tcW w:w="3918" w:type="dxa"/>
            <w:shd w:val="clear" w:color="auto" w:fill="D9D9D9" w:themeFill="background1" w:themeFillShade="D9"/>
            <w:vAlign w:val="center"/>
          </w:tcPr>
          <w:p w14:paraId="25EEEABF" w14:textId="77777777" w:rsidR="0017207A" w:rsidRPr="0017207A" w:rsidRDefault="0017207A" w:rsidP="00493B85">
            <w:pPr>
              <w:spacing w:before="120" w:after="120"/>
              <w:rPr>
                <w:rFonts w:asciiTheme="minorHAnsi" w:hAnsiTheme="minorHAnsi"/>
                <w:b/>
              </w:rPr>
            </w:pPr>
            <w:r>
              <w:rPr>
                <w:rFonts w:asciiTheme="minorHAnsi" w:hAnsiTheme="minorHAnsi"/>
                <w:b/>
              </w:rPr>
              <w:t>Measure</w:t>
            </w:r>
          </w:p>
        </w:tc>
        <w:tc>
          <w:tcPr>
            <w:tcW w:w="1254" w:type="dxa"/>
            <w:shd w:val="clear" w:color="auto" w:fill="D9D9D9" w:themeFill="background1" w:themeFillShade="D9"/>
            <w:vAlign w:val="center"/>
          </w:tcPr>
          <w:p w14:paraId="59B079F3" w14:textId="77777777" w:rsidR="0017207A" w:rsidRPr="00CC7AAD" w:rsidRDefault="0017207A" w:rsidP="003C3694">
            <w:pPr>
              <w:spacing w:before="120" w:after="120"/>
              <w:jc w:val="center"/>
              <w:rPr>
                <w:rFonts w:asciiTheme="minorHAnsi" w:hAnsiTheme="minorHAnsi"/>
                <w:b/>
              </w:rPr>
            </w:pPr>
            <w:r>
              <w:rPr>
                <w:rFonts w:asciiTheme="minorHAnsi" w:hAnsiTheme="minorHAnsi"/>
                <w:b/>
              </w:rPr>
              <w:t>20</w:t>
            </w:r>
            <w:r w:rsidR="00DB37E2">
              <w:rPr>
                <w:rFonts w:asciiTheme="minorHAnsi" w:hAnsiTheme="minorHAnsi"/>
                <w:b/>
              </w:rPr>
              <w:t>20-21</w:t>
            </w:r>
            <w:r w:rsidR="00154BC3">
              <w:rPr>
                <w:rFonts w:asciiTheme="minorHAnsi" w:hAnsiTheme="minorHAnsi"/>
                <w:b/>
              </w:rPr>
              <w:t xml:space="preserve"> </w:t>
            </w:r>
            <w:r w:rsidR="00493B85">
              <w:rPr>
                <w:rFonts w:asciiTheme="minorHAnsi" w:hAnsiTheme="minorHAnsi"/>
                <w:b/>
              </w:rPr>
              <w:t>forecast</w:t>
            </w:r>
          </w:p>
        </w:tc>
        <w:tc>
          <w:tcPr>
            <w:tcW w:w="1253" w:type="dxa"/>
            <w:shd w:val="clear" w:color="auto" w:fill="D9D9D9" w:themeFill="background1" w:themeFillShade="D9"/>
            <w:vAlign w:val="center"/>
          </w:tcPr>
          <w:p w14:paraId="624353F0" w14:textId="77777777" w:rsidR="0017207A" w:rsidRPr="00CC7AAD" w:rsidRDefault="0017207A" w:rsidP="003C3694">
            <w:pPr>
              <w:spacing w:before="120" w:after="120"/>
              <w:jc w:val="center"/>
              <w:rPr>
                <w:rFonts w:asciiTheme="minorHAnsi" w:hAnsiTheme="minorHAnsi"/>
                <w:b/>
              </w:rPr>
            </w:pPr>
            <w:r>
              <w:rPr>
                <w:rFonts w:asciiTheme="minorHAnsi" w:hAnsiTheme="minorHAnsi"/>
                <w:b/>
              </w:rPr>
              <w:t>20</w:t>
            </w:r>
            <w:r w:rsidR="00DB37E2">
              <w:rPr>
                <w:rFonts w:asciiTheme="minorHAnsi" w:hAnsiTheme="minorHAnsi"/>
                <w:b/>
              </w:rPr>
              <w:t>21-22</w:t>
            </w:r>
            <w:r w:rsidR="00493B85">
              <w:rPr>
                <w:rFonts w:asciiTheme="minorHAnsi" w:hAnsiTheme="minorHAnsi"/>
                <w:b/>
              </w:rPr>
              <w:t xml:space="preserve"> forecast</w:t>
            </w:r>
          </w:p>
        </w:tc>
        <w:tc>
          <w:tcPr>
            <w:tcW w:w="1253" w:type="dxa"/>
            <w:shd w:val="clear" w:color="auto" w:fill="D9D9D9" w:themeFill="background1" w:themeFillShade="D9"/>
            <w:vAlign w:val="center"/>
          </w:tcPr>
          <w:p w14:paraId="4BF81745" w14:textId="77777777" w:rsidR="0017207A" w:rsidRPr="00CC7AAD" w:rsidRDefault="00DB37E2" w:rsidP="003C3694">
            <w:pPr>
              <w:spacing w:before="120" w:after="120"/>
              <w:jc w:val="center"/>
              <w:rPr>
                <w:rFonts w:asciiTheme="minorHAnsi" w:hAnsiTheme="minorHAnsi"/>
                <w:b/>
              </w:rPr>
            </w:pPr>
            <w:r>
              <w:rPr>
                <w:rFonts w:asciiTheme="minorHAnsi" w:hAnsiTheme="minorHAnsi"/>
                <w:b/>
              </w:rPr>
              <w:t>2022-23 forecast</w:t>
            </w:r>
          </w:p>
        </w:tc>
        <w:tc>
          <w:tcPr>
            <w:tcW w:w="1253" w:type="dxa"/>
            <w:shd w:val="clear" w:color="auto" w:fill="D9D9D9" w:themeFill="background1" w:themeFillShade="D9"/>
            <w:vAlign w:val="center"/>
          </w:tcPr>
          <w:p w14:paraId="07A1A04A" w14:textId="77777777" w:rsidR="0017207A" w:rsidRPr="00CC7AAD" w:rsidRDefault="00DB37E2" w:rsidP="003C3694">
            <w:pPr>
              <w:spacing w:before="120" w:after="120"/>
              <w:jc w:val="center"/>
              <w:rPr>
                <w:rFonts w:asciiTheme="minorHAnsi" w:hAnsiTheme="minorHAnsi"/>
                <w:b/>
              </w:rPr>
            </w:pPr>
            <w:r>
              <w:rPr>
                <w:rFonts w:asciiTheme="minorHAnsi" w:hAnsiTheme="minorHAnsi"/>
                <w:b/>
              </w:rPr>
              <w:t>2023-24 forecast</w:t>
            </w:r>
          </w:p>
        </w:tc>
      </w:tr>
      <w:tr w:rsidR="0017207A" w:rsidRPr="00C225F9" w14:paraId="3104FA99" w14:textId="77777777" w:rsidTr="009D57FA">
        <w:tc>
          <w:tcPr>
            <w:tcW w:w="3918" w:type="dxa"/>
            <w:shd w:val="clear" w:color="auto" w:fill="auto"/>
            <w:vAlign w:val="center"/>
          </w:tcPr>
          <w:p w14:paraId="2CDE304B" w14:textId="77777777" w:rsidR="0017207A" w:rsidRPr="00C225F9" w:rsidRDefault="00DB37E2" w:rsidP="00493B85">
            <w:pPr>
              <w:spacing w:before="120" w:after="120"/>
              <w:rPr>
                <w:rFonts w:asciiTheme="minorHAnsi" w:hAnsiTheme="minorHAnsi"/>
                <w:sz w:val="22"/>
                <w:szCs w:val="22"/>
              </w:rPr>
            </w:pPr>
            <w:r>
              <w:rPr>
                <w:rFonts w:asciiTheme="minorHAnsi" w:hAnsiTheme="minorHAnsi"/>
                <w:sz w:val="22"/>
                <w:szCs w:val="22"/>
              </w:rPr>
              <w:t>Number of applications</w:t>
            </w:r>
          </w:p>
        </w:tc>
        <w:tc>
          <w:tcPr>
            <w:tcW w:w="1254" w:type="dxa"/>
            <w:shd w:val="clear" w:color="auto" w:fill="auto"/>
            <w:vAlign w:val="center"/>
          </w:tcPr>
          <w:p w14:paraId="62EF6E48" w14:textId="77777777" w:rsidR="0017207A" w:rsidRPr="00C225F9" w:rsidRDefault="00DB37E2" w:rsidP="00493B85">
            <w:pPr>
              <w:spacing w:before="120" w:after="120"/>
              <w:ind w:left="-173" w:firstLine="173"/>
              <w:jc w:val="center"/>
              <w:rPr>
                <w:rFonts w:asciiTheme="minorHAnsi" w:hAnsiTheme="minorHAnsi"/>
                <w:sz w:val="22"/>
                <w:szCs w:val="22"/>
              </w:rPr>
            </w:pPr>
            <w:r>
              <w:rPr>
                <w:rFonts w:asciiTheme="minorHAnsi" w:hAnsiTheme="minorHAnsi"/>
                <w:sz w:val="22"/>
                <w:szCs w:val="22"/>
              </w:rPr>
              <w:t>209</w:t>
            </w:r>
          </w:p>
        </w:tc>
        <w:tc>
          <w:tcPr>
            <w:tcW w:w="1253" w:type="dxa"/>
            <w:shd w:val="clear" w:color="auto" w:fill="auto"/>
            <w:vAlign w:val="center"/>
          </w:tcPr>
          <w:p w14:paraId="1666B379" w14:textId="77777777" w:rsidR="0017207A" w:rsidRPr="00C225F9" w:rsidRDefault="00DB37E2" w:rsidP="00493B85">
            <w:pPr>
              <w:spacing w:before="120" w:after="120"/>
              <w:ind w:left="-173" w:firstLine="173"/>
              <w:jc w:val="center"/>
              <w:rPr>
                <w:rFonts w:asciiTheme="minorHAnsi" w:hAnsiTheme="minorHAnsi"/>
                <w:sz w:val="22"/>
                <w:szCs w:val="22"/>
              </w:rPr>
            </w:pPr>
            <w:r>
              <w:rPr>
                <w:rFonts w:asciiTheme="minorHAnsi" w:hAnsiTheme="minorHAnsi"/>
                <w:sz w:val="22"/>
                <w:szCs w:val="22"/>
              </w:rPr>
              <w:t>80</w:t>
            </w:r>
          </w:p>
        </w:tc>
        <w:tc>
          <w:tcPr>
            <w:tcW w:w="1253" w:type="dxa"/>
            <w:shd w:val="clear" w:color="auto" w:fill="auto"/>
            <w:vAlign w:val="center"/>
          </w:tcPr>
          <w:p w14:paraId="7CFFF156" w14:textId="77777777" w:rsidR="0017207A" w:rsidRPr="00C225F9" w:rsidRDefault="00DB37E2" w:rsidP="00493B85">
            <w:pPr>
              <w:spacing w:before="120" w:after="120"/>
              <w:jc w:val="center"/>
              <w:rPr>
                <w:rFonts w:asciiTheme="minorHAnsi" w:hAnsiTheme="minorHAnsi"/>
                <w:sz w:val="22"/>
                <w:szCs w:val="22"/>
              </w:rPr>
            </w:pPr>
            <w:r>
              <w:rPr>
                <w:rFonts w:asciiTheme="minorHAnsi" w:hAnsiTheme="minorHAnsi"/>
                <w:sz w:val="22"/>
                <w:szCs w:val="22"/>
              </w:rPr>
              <w:t>124</w:t>
            </w:r>
          </w:p>
        </w:tc>
        <w:tc>
          <w:tcPr>
            <w:tcW w:w="1253" w:type="dxa"/>
            <w:shd w:val="clear" w:color="auto" w:fill="auto"/>
            <w:vAlign w:val="center"/>
          </w:tcPr>
          <w:p w14:paraId="01DA5BEB" w14:textId="77777777" w:rsidR="0017207A" w:rsidRPr="00C225F9" w:rsidRDefault="00DB37E2" w:rsidP="00493B85">
            <w:pPr>
              <w:spacing w:before="120" w:after="120"/>
              <w:jc w:val="center"/>
              <w:rPr>
                <w:rFonts w:asciiTheme="minorHAnsi" w:hAnsiTheme="minorHAnsi"/>
                <w:sz w:val="22"/>
                <w:szCs w:val="22"/>
              </w:rPr>
            </w:pPr>
            <w:r>
              <w:rPr>
                <w:rFonts w:asciiTheme="minorHAnsi" w:hAnsiTheme="minorHAnsi"/>
                <w:sz w:val="22"/>
                <w:szCs w:val="22"/>
              </w:rPr>
              <w:t>173</w:t>
            </w:r>
          </w:p>
        </w:tc>
      </w:tr>
      <w:tr w:rsidR="00DB37E2" w:rsidRPr="00C225F9" w14:paraId="6A07D006" w14:textId="77777777" w:rsidTr="009D57FA">
        <w:tc>
          <w:tcPr>
            <w:tcW w:w="3918" w:type="dxa"/>
            <w:shd w:val="clear" w:color="auto" w:fill="auto"/>
            <w:vAlign w:val="center"/>
          </w:tcPr>
          <w:p w14:paraId="270E8A37" w14:textId="77777777" w:rsidR="00DB37E2" w:rsidRPr="00C225F9" w:rsidRDefault="00DB37E2" w:rsidP="00DB37E2">
            <w:pPr>
              <w:spacing w:before="120" w:after="120"/>
              <w:rPr>
                <w:rFonts w:asciiTheme="minorHAnsi" w:hAnsiTheme="minorHAnsi"/>
                <w:sz w:val="22"/>
                <w:szCs w:val="22"/>
              </w:rPr>
            </w:pPr>
            <w:r>
              <w:rPr>
                <w:rFonts w:asciiTheme="minorHAnsi" w:hAnsiTheme="minorHAnsi"/>
                <w:sz w:val="22"/>
                <w:szCs w:val="22"/>
              </w:rPr>
              <w:t>Percentage of applications finalised within 60 days</w:t>
            </w:r>
          </w:p>
        </w:tc>
        <w:tc>
          <w:tcPr>
            <w:tcW w:w="1254" w:type="dxa"/>
            <w:shd w:val="clear" w:color="auto" w:fill="auto"/>
            <w:vAlign w:val="center"/>
          </w:tcPr>
          <w:p w14:paraId="73D92729" w14:textId="77777777" w:rsidR="00DB37E2" w:rsidRPr="00C225F9" w:rsidRDefault="00DB37E2" w:rsidP="00DB37E2">
            <w:pPr>
              <w:spacing w:before="120" w:after="120"/>
              <w:jc w:val="center"/>
              <w:rPr>
                <w:rFonts w:asciiTheme="minorHAnsi" w:hAnsiTheme="minorHAnsi"/>
                <w:sz w:val="22"/>
                <w:szCs w:val="22"/>
              </w:rPr>
            </w:pPr>
            <w:r>
              <w:rPr>
                <w:rFonts w:asciiTheme="minorHAnsi" w:hAnsiTheme="minorHAnsi"/>
                <w:sz w:val="22"/>
                <w:szCs w:val="22"/>
              </w:rPr>
              <w:t>100%</w:t>
            </w:r>
          </w:p>
        </w:tc>
        <w:tc>
          <w:tcPr>
            <w:tcW w:w="1253" w:type="dxa"/>
            <w:shd w:val="clear" w:color="auto" w:fill="auto"/>
            <w:vAlign w:val="center"/>
          </w:tcPr>
          <w:p w14:paraId="6CC03F29" w14:textId="77777777" w:rsidR="00DB37E2" w:rsidRPr="00C225F9" w:rsidRDefault="00DB37E2" w:rsidP="00DB37E2">
            <w:pPr>
              <w:spacing w:before="120" w:after="120"/>
              <w:jc w:val="center"/>
              <w:rPr>
                <w:rFonts w:asciiTheme="minorHAnsi" w:hAnsiTheme="minorHAnsi"/>
                <w:sz w:val="22"/>
                <w:szCs w:val="22"/>
              </w:rPr>
            </w:pPr>
            <w:r>
              <w:rPr>
                <w:rFonts w:asciiTheme="minorHAnsi" w:hAnsiTheme="minorHAnsi"/>
                <w:sz w:val="22"/>
                <w:szCs w:val="22"/>
              </w:rPr>
              <w:t>100%</w:t>
            </w:r>
          </w:p>
        </w:tc>
        <w:tc>
          <w:tcPr>
            <w:tcW w:w="1253" w:type="dxa"/>
            <w:shd w:val="clear" w:color="auto" w:fill="auto"/>
            <w:vAlign w:val="center"/>
          </w:tcPr>
          <w:p w14:paraId="2643FE0F" w14:textId="77777777" w:rsidR="00DB37E2" w:rsidRPr="00C225F9" w:rsidRDefault="00DB37E2" w:rsidP="00DB37E2">
            <w:pPr>
              <w:spacing w:before="120" w:after="120"/>
              <w:jc w:val="center"/>
              <w:rPr>
                <w:rFonts w:asciiTheme="minorHAnsi" w:hAnsiTheme="minorHAnsi"/>
                <w:sz w:val="22"/>
                <w:szCs w:val="22"/>
              </w:rPr>
            </w:pPr>
            <w:r>
              <w:rPr>
                <w:rFonts w:asciiTheme="minorHAnsi" w:hAnsiTheme="minorHAnsi"/>
                <w:sz w:val="22"/>
                <w:szCs w:val="22"/>
              </w:rPr>
              <w:t>100%</w:t>
            </w:r>
          </w:p>
        </w:tc>
        <w:tc>
          <w:tcPr>
            <w:tcW w:w="1253" w:type="dxa"/>
            <w:shd w:val="clear" w:color="auto" w:fill="auto"/>
            <w:vAlign w:val="center"/>
          </w:tcPr>
          <w:p w14:paraId="19764A29" w14:textId="77777777" w:rsidR="00DB37E2" w:rsidRPr="00C225F9" w:rsidRDefault="00DB37E2" w:rsidP="00DB37E2">
            <w:pPr>
              <w:spacing w:before="120" w:after="120"/>
              <w:jc w:val="center"/>
              <w:rPr>
                <w:rFonts w:asciiTheme="minorHAnsi" w:hAnsiTheme="minorHAnsi"/>
                <w:sz w:val="22"/>
                <w:szCs w:val="22"/>
              </w:rPr>
            </w:pPr>
            <w:r>
              <w:rPr>
                <w:rFonts w:asciiTheme="minorHAnsi" w:hAnsiTheme="minorHAnsi"/>
                <w:sz w:val="22"/>
                <w:szCs w:val="22"/>
              </w:rPr>
              <w:t>100%</w:t>
            </w:r>
          </w:p>
        </w:tc>
      </w:tr>
      <w:tr w:rsidR="00DB37E2" w:rsidRPr="00C225F9" w14:paraId="47C95829" w14:textId="77777777" w:rsidTr="009D57FA">
        <w:tc>
          <w:tcPr>
            <w:tcW w:w="3918" w:type="dxa"/>
            <w:shd w:val="clear" w:color="auto" w:fill="auto"/>
            <w:vAlign w:val="center"/>
          </w:tcPr>
          <w:p w14:paraId="48C45ACF" w14:textId="77777777" w:rsidR="00DB37E2" w:rsidRPr="00C225F9" w:rsidRDefault="00DB37E2" w:rsidP="00DB37E2">
            <w:pPr>
              <w:spacing w:before="120" w:after="120"/>
              <w:rPr>
                <w:rFonts w:asciiTheme="minorHAnsi" w:hAnsiTheme="minorHAnsi"/>
                <w:sz w:val="22"/>
                <w:szCs w:val="22"/>
              </w:rPr>
            </w:pPr>
            <w:r>
              <w:rPr>
                <w:rFonts w:asciiTheme="minorHAnsi" w:hAnsiTheme="minorHAnsi"/>
                <w:sz w:val="22"/>
                <w:szCs w:val="22"/>
              </w:rPr>
              <w:lastRenderedPageBreak/>
              <w:t>Number of unsuccessful applications</w:t>
            </w:r>
          </w:p>
        </w:tc>
        <w:tc>
          <w:tcPr>
            <w:tcW w:w="1254" w:type="dxa"/>
            <w:shd w:val="clear" w:color="auto" w:fill="auto"/>
            <w:vAlign w:val="center"/>
          </w:tcPr>
          <w:p w14:paraId="2FDC8EDE" w14:textId="77777777" w:rsidR="00DB37E2" w:rsidRPr="00C225F9" w:rsidRDefault="00DB37E2" w:rsidP="00DB37E2">
            <w:pPr>
              <w:spacing w:before="120" w:after="120"/>
              <w:jc w:val="center"/>
              <w:rPr>
                <w:rFonts w:asciiTheme="minorHAnsi" w:hAnsiTheme="minorHAnsi"/>
                <w:sz w:val="22"/>
                <w:szCs w:val="22"/>
              </w:rPr>
            </w:pPr>
            <w:r>
              <w:rPr>
                <w:rFonts w:asciiTheme="minorHAnsi" w:hAnsiTheme="minorHAnsi"/>
                <w:sz w:val="22"/>
                <w:szCs w:val="22"/>
              </w:rPr>
              <w:t>5</w:t>
            </w:r>
          </w:p>
        </w:tc>
        <w:tc>
          <w:tcPr>
            <w:tcW w:w="1253" w:type="dxa"/>
            <w:shd w:val="clear" w:color="auto" w:fill="auto"/>
            <w:vAlign w:val="center"/>
          </w:tcPr>
          <w:p w14:paraId="3B61A20E" w14:textId="77777777" w:rsidR="00DB37E2" w:rsidRPr="00C225F9" w:rsidRDefault="00DB37E2" w:rsidP="00DB37E2">
            <w:pPr>
              <w:spacing w:before="120" w:after="120"/>
              <w:jc w:val="center"/>
              <w:rPr>
                <w:rFonts w:asciiTheme="minorHAnsi" w:hAnsiTheme="minorHAnsi"/>
                <w:sz w:val="22"/>
                <w:szCs w:val="22"/>
              </w:rPr>
            </w:pPr>
            <w:r>
              <w:rPr>
                <w:rFonts w:asciiTheme="minorHAnsi" w:hAnsiTheme="minorHAnsi"/>
                <w:sz w:val="22"/>
                <w:szCs w:val="22"/>
              </w:rPr>
              <w:t>5</w:t>
            </w:r>
          </w:p>
        </w:tc>
        <w:tc>
          <w:tcPr>
            <w:tcW w:w="1253" w:type="dxa"/>
            <w:shd w:val="clear" w:color="auto" w:fill="auto"/>
            <w:vAlign w:val="center"/>
          </w:tcPr>
          <w:p w14:paraId="2B92D0E6" w14:textId="77777777" w:rsidR="00DB37E2" w:rsidRPr="00C225F9" w:rsidRDefault="00DB37E2" w:rsidP="00DB37E2">
            <w:pPr>
              <w:spacing w:before="120" w:after="120"/>
              <w:jc w:val="center"/>
              <w:rPr>
                <w:rFonts w:asciiTheme="minorHAnsi" w:hAnsiTheme="minorHAnsi"/>
                <w:sz w:val="22"/>
                <w:szCs w:val="22"/>
              </w:rPr>
            </w:pPr>
            <w:r>
              <w:rPr>
                <w:rFonts w:asciiTheme="minorHAnsi" w:hAnsiTheme="minorHAnsi"/>
                <w:sz w:val="22"/>
                <w:szCs w:val="22"/>
              </w:rPr>
              <w:t>5</w:t>
            </w:r>
          </w:p>
        </w:tc>
        <w:tc>
          <w:tcPr>
            <w:tcW w:w="1253" w:type="dxa"/>
            <w:shd w:val="clear" w:color="auto" w:fill="auto"/>
            <w:vAlign w:val="center"/>
          </w:tcPr>
          <w:p w14:paraId="3A64CAEA" w14:textId="77777777" w:rsidR="00DB37E2" w:rsidRPr="00C225F9" w:rsidRDefault="00DB37E2" w:rsidP="00DB37E2">
            <w:pPr>
              <w:spacing w:before="120" w:after="120"/>
              <w:jc w:val="center"/>
              <w:rPr>
                <w:rFonts w:asciiTheme="minorHAnsi" w:hAnsiTheme="minorHAnsi"/>
                <w:sz w:val="22"/>
                <w:szCs w:val="22"/>
              </w:rPr>
            </w:pPr>
            <w:r>
              <w:rPr>
                <w:rFonts w:asciiTheme="minorHAnsi" w:hAnsiTheme="minorHAnsi"/>
                <w:sz w:val="22"/>
                <w:szCs w:val="22"/>
              </w:rPr>
              <w:t>5</w:t>
            </w:r>
          </w:p>
        </w:tc>
      </w:tr>
    </w:tbl>
    <w:p w14:paraId="1247FEFB" w14:textId="77777777" w:rsidR="00520383" w:rsidRDefault="003F18C1" w:rsidP="009D57FA">
      <w:pPr>
        <w:spacing w:before="240"/>
      </w:pPr>
      <w:r>
        <w:t>The number of expected applications in 2021-22 is low</w:t>
      </w:r>
      <w:r w:rsidR="0082306C">
        <w:t>er than past years due to</w:t>
      </w:r>
      <w:r>
        <w:t xml:space="preserve"> the decision </w:t>
      </w:r>
      <w:r w:rsidR="0082306C">
        <w:t xml:space="preserve">of </w:t>
      </w:r>
      <w:r>
        <w:t>the Australian Commission on Safety and Quality in Health Care</w:t>
      </w:r>
      <w:r w:rsidR="00067E97">
        <w:t xml:space="preserve"> (ACSQHC)</w:t>
      </w:r>
      <w:r>
        <w:t xml:space="preserve"> to “maintain” accreditation for 12 months due to Covid-19. The second-tier </w:t>
      </w:r>
      <w:r w:rsidR="0082306C">
        <w:t xml:space="preserve">approval </w:t>
      </w:r>
      <w:r>
        <w:t xml:space="preserve">process is </w:t>
      </w:r>
      <w:r w:rsidR="0082306C">
        <w:t>aligned</w:t>
      </w:r>
      <w:r>
        <w:t xml:space="preserve"> to the accreditation expiry date. This </w:t>
      </w:r>
      <w:r w:rsidR="0082306C">
        <w:t>will result in</w:t>
      </w:r>
      <w:r>
        <w:t xml:space="preserve"> a significant </w:t>
      </w:r>
      <w:r w:rsidR="001449EF">
        <w:t>decrease</w:t>
      </w:r>
      <w:r>
        <w:t xml:space="preserve"> in second-tier applications</w:t>
      </w:r>
      <w:r w:rsidR="00067E97">
        <w:t xml:space="preserve"> </w:t>
      </w:r>
      <w:r w:rsidR="0082306C">
        <w:t>from</w:t>
      </w:r>
      <w:r w:rsidR="00067E97">
        <w:t xml:space="preserve"> Jan</w:t>
      </w:r>
      <w:r w:rsidR="0082306C">
        <w:t>uary</w:t>
      </w:r>
      <w:r>
        <w:t xml:space="preserve"> 2022</w:t>
      </w:r>
      <w:r w:rsidR="00331DB0">
        <w:t xml:space="preserve"> as the Department</w:t>
      </w:r>
      <w:r>
        <w:t xml:space="preserve"> realign</w:t>
      </w:r>
      <w:r w:rsidR="00331DB0">
        <w:t>s hospitals</w:t>
      </w:r>
      <w:r>
        <w:t xml:space="preserve"> with their accreditation date.  </w:t>
      </w:r>
    </w:p>
    <w:p w14:paraId="6F0D8DBE" w14:textId="77777777" w:rsidR="009D57FA" w:rsidRDefault="009D57FA" w:rsidP="009D57FA">
      <w:pPr>
        <w:spacing w:before="240"/>
        <w:rPr>
          <w:rFonts w:asciiTheme="majorHAnsi" w:hAnsiTheme="majorHAnsi"/>
          <w:b/>
          <w:bCs/>
          <w:szCs w:val="28"/>
        </w:rPr>
      </w:pPr>
      <w:r>
        <w:t>The following table will be updated after each financial year. This will enable comparison of the actual non-financial performance to the forecast non-financial performance (</w:t>
      </w:r>
      <w:hyperlink w:anchor="_Table_4:_Forecast" w:history="1">
        <w:r w:rsidRPr="000B00B1">
          <w:rPr>
            <w:rStyle w:val="Hyperlink"/>
          </w:rPr>
          <w:t>Table 4</w:t>
        </w:r>
      </w:hyperlink>
      <w:r>
        <w:t>). Any material variances that have financial consequences will be considered in determining the application fee in future years.</w:t>
      </w:r>
    </w:p>
    <w:p w14:paraId="76039274" w14:textId="77777777" w:rsidR="00493B85" w:rsidRPr="00823A8D" w:rsidRDefault="00493B85" w:rsidP="00493B85">
      <w:pPr>
        <w:pStyle w:val="Heading4"/>
      </w:pPr>
      <w:r w:rsidRPr="00823A8D">
        <w:t xml:space="preserve">Table </w:t>
      </w:r>
      <w:r w:rsidR="005E484B" w:rsidRPr="00823A8D">
        <w:t>5</w:t>
      </w:r>
      <w:r w:rsidRPr="00823A8D">
        <w:t>: Actual non-financial performance</w:t>
      </w:r>
    </w:p>
    <w:tbl>
      <w:tblPr>
        <w:tblStyle w:val="TableGrid"/>
        <w:tblW w:w="9243" w:type="dxa"/>
        <w:tblInd w:w="108" w:type="dxa"/>
        <w:tblLayout w:type="fixed"/>
        <w:tblLook w:val="04A0" w:firstRow="1" w:lastRow="0" w:firstColumn="1" w:lastColumn="0" w:noHBand="0" w:noVBand="1"/>
        <w:tblCaption w:val="Table 5: Actual non-financial performance"/>
        <w:tblDescription w:val="Table showing the actual non-financial performance of the regulatory charging activity. This table will be updated as performance information becomes available."/>
      </w:tblPr>
      <w:tblGrid>
        <w:gridCol w:w="3573"/>
        <w:gridCol w:w="1134"/>
        <w:gridCol w:w="1134"/>
        <w:gridCol w:w="1134"/>
        <w:gridCol w:w="1134"/>
        <w:gridCol w:w="1134"/>
      </w:tblGrid>
      <w:tr w:rsidR="009D57FA" w:rsidRPr="00823A8D" w14:paraId="79467C13" w14:textId="77777777" w:rsidTr="003917D5">
        <w:trPr>
          <w:tblHeader/>
        </w:trPr>
        <w:tc>
          <w:tcPr>
            <w:tcW w:w="3573" w:type="dxa"/>
            <w:shd w:val="clear" w:color="auto" w:fill="D9D9D9" w:themeFill="background1" w:themeFillShade="D9"/>
            <w:vAlign w:val="center"/>
          </w:tcPr>
          <w:p w14:paraId="021663A8" w14:textId="77777777" w:rsidR="009D57FA" w:rsidRPr="00823A8D" w:rsidRDefault="009D57FA" w:rsidP="009D57FA">
            <w:pPr>
              <w:spacing w:before="120" w:after="120"/>
              <w:rPr>
                <w:rFonts w:asciiTheme="minorHAnsi" w:hAnsiTheme="minorHAnsi"/>
                <w:b/>
              </w:rPr>
            </w:pPr>
            <w:r w:rsidRPr="00823A8D">
              <w:rPr>
                <w:rFonts w:asciiTheme="minorHAnsi" w:hAnsiTheme="minorHAnsi"/>
                <w:b/>
              </w:rPr>
              <w:t>Measure</w:t>
            </w:r>
          </w:p>
        </w:tc>
        <w:tc>
          <w:tcPr>
            <w:tcW w:w="1134" w:type="dxa"/>
            <w:shd w:val="clear" w:color="auto" w:fill="D9D9D9" w:themeFill="background1" w:themeFillShade="D9"/>
            <w:vAlign w:val="center"/>
          </w:tcPr>
          <w:p w14:paraId="2FF9CCB8" w14:textId="77777777" w:rsidR="009D57FA" w:rsidRPr="00823A8D" w:rsidRDefault="009D57FA" w:rsidP="009D57FA">
            <w:pPr>
              <w:spacing w:before="120" w:after="120"/>
              <w:jc w:val="center"/>
              <w:rPr>
                <w:rFonts w:asciiTheme="minorHAnsi" w:hAnsiTheme="minorHAnsi"/>
                <w:b/>
              </w:rPr>
            </w:pPr>
            <w:r w:rsidRPr="00823A8D">
              <w:rPr>
                <w:rFonts w:asciiTheme="minorHAnsi" w:hAnsiTheme="minorHAnsi"/>
                <w:b/>
              </w:rPr>
              <w:t>Actual 2018-19</w:t>
            </w:r>
          </w:p>
        </w:tc>
        <w:tc>
          <w:tcPr>
            <w:tcW w:w="1134" w:type="dxa"/>
            <w:shd w:val="clear" w:color="auto" w:fill="D9D9D9" w:themeFill="background1" w:themeFillShade="D9"/>
            <w:vAlign w:val="center"/>
          </w:tcPr>
          <w:p w14:paraId="1D2F7A87" w14:textId="77777777" w:rsidR="009D57FA" w:rsidRPr="00823A8D" w:rsidRDefault="0006382B" w:rsidP="009D57FA">
            <w:pPr>
              <w:spacing w:before="120" w:after="120"/>
              <w:jc w:val="center"/>
              <w:rPr>
                <w:rFonts w:asciiTheme="minorHAnsi" w:hAnsiTheme="minorHAnsi"/>
                <w:b/>
              </w:rPr>
            </w:pPr>
            <w:r w:rsidRPr="00823A8D">
              <w:rPr>
                <w:rFonts w:asciiTheme="minorHAnsi" w:hAnsiTheme="minorHAnsi"/>
                <w:b/>
              </w:rPr>
              <w:t xml:space="preserve">Actual </w:t>
            </w:r>
            <w:r w:rsidR="009D57FA" w:rsidRPr="00823A8D">
              <w:rPr>
                <w:rFonts w:asciiTheme="minorHAnsi" w:hAnsiTheme="minorHAnsi"/>
                <w:b/>
              </w:rPr>
              <w:t>2019-20</w:t>
            </w:r>
          </w:p>
        </w:tc>
        <w:tc>
          <w:tcPr>
            <w:tcW w:w="1134" w:type="dxa"/>
            <w:shd w:val="clear" w:color="auto" w:fill="D9D9D9" w:themeFill="background1" w:themeFillShade="D9"/>
            <w:vAlign w:val="center"/>
          </w:tcPr>
          <w:p w14:paraId="417C42B1" w14:textId="77777777" w:rsidR="009D57FA" w:rsidRPr="00823A8D" w:rsidRDefault="009D57FA" w:rsidP="009D57FA">
            <w:pPr>
              <w:spacing w:before="120" w:after="120"/>
              <w:jc w:val="center"/>
              <w:rPr>
                <w:b/>
              </w:rPr>
            </w:pPr>
            <w:r w:rsidRPr="00823A8D">
              <w:rPr>
                <w:rFonts w:asciiTheme="minorHAnsi" w:hAnsiTheme="minorHAnsi"/>
                <w:b/>
              </w:rPr>
              <w:t>2020-21</w:t>
            </w:r>
          </w:p>
        </w:tc>
        <w:tc>
          <w:tcPr>
            <w:tcW w:w="1134" w:type="dxa"/>
            <w:shd w:val="clear" w:color="auto" w:fill="D9D9D9" w:themeFill="background1" w:themeFillShade="D9"/>
            <w:vAlign w:val="center"/>
          </w:tcPr>
          <w:p w14:paraId="57175C3D" w14:textId="77777777" w:rsidR="009D57FA" w:rsidRPr="00823A8D" w:rsidRDefault="009D57FA" w:rsidP="009D57FA">
            <w:pPr>
              <w:spacing w:before="120" w:after="120"/>
              <w:jc w:val="center"/>
              <w:rPr>
                <w:b/>
              </w:rPr>
            </w:pPr>
            <w:r w:rsidRPr="00823A8D">
              <w:rPr>
                <w:rFonts w:asciiTheme="minorHAnsi" w:hAnsiTheme="minorHAnsi"/>
                <w:b/>
              </w:rPr>
              <w:t>2021-22</w:t>
            </w:r>
          </w:p>
        </w:tc>
        <w:tc>
          <w:tcPr>
            <w:tcW w:w="1134" w:type="dxa"/>
            <w:shd w:val="clear" w:color="auto" w:fill="D9D9D9" w:themeFill="background1" w:themeFillShade="D9"/>
            <w:vAlign w:val="center"/>
          </w:tcPr>
          <w:p w14:paraId="363A6521" w14:textId="77777777" w:rsidR="009D57FA" w:rsidRPr="00823A8D" w:rsidRDefault="009D57FA" w:rsidP="009D57FA">
            <w:pPr>
              <w:spacing w:before="120" w:after="120"/>
              <w:jc w:val="center"/>
              <w:rPr>
                <w:b/>
              </w:rPr>
            </w:pPr>
            <w:r w:rsidRPr="00823A8D">
              <w:rPr>
                <w:rFonts w:asciiTheme="minorHAnsi" w:hAnsiTheme="minorHAnsi"/>
                <w:b/>
              </w:rPr>
              <w:t>2022-23</w:t>
            </w:r>
          </w:p>
        </w:tc>
      </w:tr>
      <w:tr w:rsidR="009D57FA" w:rsidRPr="00823A8D" w14:paraId="6AE77F74" w14:textId="77777777" w:rsidTr="003917D5">
        <w:tc>
          <w:tcPr>
            <w:tcW w:w="3573" w:type="dxa"/>
            <w:shd w:val="clear" w:color="auto" w:fill="auto"/>
            <w:vAlign w:val="center"/>
          </w:tcPr>
          <w:p w14:paraId="2012E3FC" w14:textId="77777777" w:rsidR="009D57FA" w:rsidRPr="00823A8D" w:rsidRDefault="009D57FA" w:rsidP="009D57FA">
            <w:pPr>
              <w:spacing w:before="60" w:after="60"/>
              <w:rPr>
                <w:rFonts w:asciiTheme="minorHAnsi" w:hAnsiTheme="minorHAnsi"/>
                <w:sz w:val="22"/>
                <w:szCs w:val="22"/>
              </w:rPr>
            </w:pPr>
            <w:r w:rsidRPr="00823A8D">
              <w:rPr>
                <w:rFonts w:asciiTheme="minorHAnsi" w:hAnsiTheme="minorHAnsi"/>
                <w:sz w:val="22"/>
                <w:szCs w:val="22"/>
              </w:rPr>
              <w:t>Number of applications received</w:t>
            </w:r>
          </w:p>
        </w:tc>
        <w:tc>
          <w:tcPr>
            <w:tcW w:w="1134" w:type="dxa"/>
            <w:shd w:val="clear" w:color="auto" w:fill="auto"/>
            <w:vAlign w:val="center"/>
          </w:tcPr>
          <w:p w14:paraId="0FC0F06C" w14:textId="77777777" w:rsidR="009D57FA" w:rsidRPr="00823A8D" w:rsidRDefault="009D57FA" w:rsidP="009D57FA">
            <w:pPr>
              <w:ind w:left="-173" w:firstLine="173"/>
              <w:jc w:val="center"/>
              <w:rPr>
                <w:rFonts w:asciiTheme="minorHAnsi" w:hAnsiTheme="minorHAnsi"/>
                <w:sz w:val="22"/>
                <w:szCs w:val="22"/>
              </w:rPr>
            </w:pPr>
            <w:r w:rsidRPr="00823A8D">
              <w:rPr>
                <w:rFonts w:asciiTheme="minorHAnsi" w:hAnsiTheme="minorHAnsi"/>
                <w:sz w:val="22"/>
                <w:szCs w:val="22"/>
              </w:rPr>
              <w:t>175</w:t>
            </w:r>
          </w:p>
        </w:tc>
        <w:tc>
          <w:tcPr>
            <w:tcW w:w="1134" w:type="dxa"/>
            <w:shd w:val="clear" w:color="auto" w:fill="auto"/>
            <w:vAlign w:val="center"/>
          </w:tcPr>
          <w:p w14:paraId="77D429B6" w14:textId="77777777" w:rsidR="009D57FA" w:rsidRPr="00823A8D" w:rsidRDefault="00774FA9" w:rsidP="009D57FA">
            <w:pPr>
              <w:ind w:left="-173" w:firstLine="173"/>
              <w:jc w:val="center"/>
              <w:rPr>
                <w:rFonts w:asciiTheme="minorHAnsi" w:hAnsiTheme="minorHAnsi"/>
                <w:sz w:val="22"/>
                <w:szCs w:val="22"/>
              </w:rPr>
            </w:pPr>
            <w:r w:rsidRPr="00823A8D">
              <w:rPr>
                <w:rFonts w:asciiTheme="minorHAnsi" w:hAnsiTheme="minorHAnsi"/>
                <w:sz w:val="22"/>
                <w:szCs w:val="22"/>
              </w:rPr>
              <w:t>246</w:t>
            </w:r>
          </w:p>
        </w:tc>
        <w:tc>
          <w:tcPr>
            <w:tcW w:w="1134" w:type="dxa"/>
            <w:vAlign w:val="center"/>
          </w:tcPr>
          <w:p w14:paraId="21511A17" w14:textId="77777777" w:rsidR="009D57FA" w:rsidRPr="00823A8D" w:rsidRDefault="009D57FA" w:rsidP="009D57FA">
            <w:pPr>
              <w:ind w:left="-173" w:firstLine="173"/>
              <w:jc w:val="center"/>
              <w:rPr>
                <w:sz w:val="22"/>
                <w:szCs w:val="22"/>
              </w:rPr>
            </w:pPr>
          </w:p>
        </w:tc>
        <w:tc>
          <w:tcPr>
            <w:tcW w:w="1134" w:type="dxa"/>
            <w:vAlign w:val="center"/>
          </w:tcPr>
          <w:p w14:paraId="3F629848" w14:textId="77777777" w:rsidR="009D57FA" w:rsidRPr="00823A8D" w:rsidRDefault="009D57FA" w:rsidP="009D57FA">
            <w:pPr>
              <w:ind w:left="-173" w:firstLine="173"/>
              <w:jc w:val="center"/>
              <w:rPr>
                <w:sz w:val="22"/>
                <w:szCs w:val="22"/>
              </w:rPr>
            </w:pPr>
          </w:p>
        </w:tc>
        <w:tc>
          <w:tcPr>
            <w:tcW w:w="1134" w:type="dxa"/>
            <w:vAlign w:val="center"/>
          </w:tcPr>
          <w:p w14:paraId="4478D746" w14:textId="77777777" w:rsidR="009D57FA" w:rsidRPr="00823A8D" w:rsidRDefault="009D57FA" w:rsidP="009D57FA">
            <w:pPr>
              <w:ind w:left="-173" w:firstLine="173"/>
              <w:jc w:val="center"/>
              <w:rPr>
                <w:sz w:val="22"/>
                <w:szCs w:val="22"/>
              </w:rPr>
            </w:pPr>
          </w:p>
        </w:tc>
      </w:tr>
      <w:tr w:rsidR="009D57FA" w:rsidRPr="00823A8D" w14:paraId="5489AA3C" w14:textId="77777777" w:rsidTr="003917D5">
        <w:tc>
          <w:tcPr>
            <w:tcW w:w="3573" w:type="dxa"/>
            <w:shd w:val="clear" w:color="auto" w:fill="auto"/>
            <w:vAlign w:val="center"/>
          </w:tcPr>
          <w:p w14:paraId="4E117BFA" w14:textId="77777777" w:rsidR="009D57FA" w:rsidRPr="00823A8D" w:rsidRDefault="009D57FA" w:rsidP="009D57FA">
            <w:pPr>
              <w:spacing w:before="60" w:after="60"/>
              <w:rPr>
                <w:rFonts w:asciiTheme="minorHAnsi" w:hAnsiTheme="minorHAnsi"/>
                <w:sz w:val="22"/>
                <w:szCs w:val="22"/>
              </w:rPr>
            </w:pPr>
            <w:r w:rsidRPr="00823A8D">
              <w:rPr>
                <w:rFonts w:asciiTheme="minorHAnsi" w:hAnsiTheme="minorHAnsi"/>
                <w:sz w:val="22"/>
                <w:szCs w:val="22"/>
              </w:rPr>
              <w:t>Percentage of applications finalised within 60 days</w:t>
            </w:r>
          </w:p>
        </w:tc>
        <w:tc>
          <w:tcPr>
            <w:tcW w:w="1134" w:type="dxa"/>
            <w:shd w:val="clear" w:color="auto" w:fill="auto"/>
            <w:vAlign w:val="center"/>
          </w:tcPr>
          <w:p w14:paraId="0FCE02F6" w14:textId="77777777" w:rsidR="009D57FA" w:rsidRPr="00823A8D" w:rsidRDefault="009D57FA" w:rsidP="009D57FA">
            <w:pPr>
              <w:jc w:val="center"/>
              <w:rPr>
                <w:rFonts w:asciiTheme="minorHAnsi" w:hAnsiTheme="minorHAnsi"/>
                <w:sz w:val="22"/>
                <w:szCs w:val="22"/>
              </w:rPr>
            </w:pPr>
            <w:r w:rsidRPr="00823A8D">
              <w:rPr>
                <w:rFonts w:asciiTheme="minorHAnsi" w:hAnsiTheme="minorHAnsi"/>
                <w:sz w:val="22"/>
                <w:szCs w:val="22"/>
              </w:rPr>
              <w:t>100%</w:t>
            </w:r>
          </w:p>
        </w:tc>
        <w:tc>
          <w:tcPr>
            <w:tcW w:w="1134" w:type="dxa"/>
            <w:shd w:val="clear" w:color="auto" w:fill="auto"/>
            <w:vAlign w:val="center"/>
          </w:tcPr>
          <w:p w14:paraId="6D544260" w14:textId="77777777" w:rsidR="009D57FA" w:rsidRPr="00823A8D" w:rsidRDefault="00774FA9" w:rsidP="009D57FA">
            <w:pPr>
              <w:jc w:val="center"/>
              <w:rPr>
                <w:rFonts w:asciiTheme="minorHAnsi" w:hAnsiTheme="minorHAnsi"/>
                <w:sz w:val="22"/>
                <w:szCs w:val="22"/>
              </w:rPr>
            </w:pPr>
            <w:r w:rsidRPr="00823A8D">
              <w:rPr>
                <w:rFonts w:asciiTheme="minorHAnsi" w:hAnsiTheme="minorHAnsi"/>
                <w:sz w:val="22"/>
                <w:szCs w:val="22"/>
              </w:rPr>
              <w:t>100%</w:t>
            </w:r>
          </w:p>
        </w:tc>
        <w:tc>
          <w:tcPr>
            <w:tcW w:w="1134" w:type="dxa"/>
            <w:vAlign w:val="center"/>
          </w:tcPr>
          <w:p w14:paraId="548340C1" w14:textId="77777777" w:rsidR="009D57FA" w:rsidRPr="00823A8D" w:rsidRDefault="009D57FA" w:rsidP="009D57FA">
            <w:pPr>
              <w:jc w:val="center"/>
              <w:rPr>
                <w:sz w:val="22"/>
                <w:szCs w:val="22"/>
              </w:rPr>
            </w:pPr>
          </w:p>
        </w:tc>
        <w:tc>
          <w:tcPr>
            <w:tcW w:w="1134" w:type="dxa"/>
            <w:vAlign w:val="center"/>
          </w:tcPr>
          <w:p w14:paraId="4A580AE6" w14:textId="77777777" w:rsidR="009D57FA" w:rsidRPr="00823A8D" w:rsidRDefault="009D57FA" w:rsidP="009D57FA">
            <w:pPr>
              <w:jc w:val="center"/>
              <w:rPr>
                <w:sz w:val="22"/>
                <w:szCs w:val="22"/>
              </w:rPr>
            </w:pPr>
          </w:p>
        </w:tc>
        <w:tc>
          <w:tcPr>
            <w:tcW w:w="1134" w:type="dxa"/>
            <w:vAlign w:val="center"/>
          </w:tcPr>
          <w:p w14:paraId="2EA6EAC7" w14:textId="77777777" w:rsidR="009D57FA" w:rsidRPr="00823A8D" w:rsidRDefault="009D57FA" w:rsidP="009D57FA">
            <w:pPr>
              <w:jc w:val="center"/>
              <w:rPr>
                <w:sz w:val="22"/>
                <w:szCs w:val="22"/>
              </w:rPr>
            </w:pPr>
          </w:p>
        </w:tc>
      </w:tr>
      <w:tr w:rsidR="009D57FA" w:rsidRPr="00C225F9" w14:paraId="780F3E15" w14:textId="77777777" w:rsidTr="003917D5">
        <w:tc>
          <w:tcPr>
            <w:tcW w:w="3573" w:type="dxa"/>
            <w:shd w:val="clear" w:color="auto" w:fill="auto"/>
            <w:vAlign w:val="center"/>
          </w:tcPr>
          <w:p w14:paraId="4054A6C0" w14:textId="77777777" w:rsidR="009D57FA" w:rsidRPr="00823A8D" w:rsidRDefault="009D57FA" w:rsidP="009D57FA">
            <w:pPr>
              <w:spacing w:before="60" w:after="60"/>
              <w:rPr>
                <w:rFonts w:asciiTheme="minorHAnsi" w:hAnsiTheme="minorHAnsi"/>
                <w:sz w:val="22"/>
                <w:szCs w:val="22"/>
              </w:rPr>
            </w:pPr>
            <w:r w:rsidRPr="00823A8D">
              <w:rPr>
                <w:rFonts w:asciiTheme="minorHAnsi" w:hAnsiTheme="minorHAnsi"/>
                <w:sz w:val="22"/>
                <w:szCs w:val="22"/>
              </w:rPr>
              <w:t>Number of unsuccessful applications</w:t>
            </w:r>
          </w:p>
        </w:tc>
        <w:tc>
          <w:tcPr>
            <w:tcW w:w="1134" w:type="dxa"/>
            <w:shd w:val="clear" w:color="auto" w:fill="auto"/>
            <w:vAlign w:val="center"/>
          </w:tcPr>
          <w:p w14:paraId="0A8DDD42" w14:textId="77777777" w:rsidR="009D57FA" w:rsidRPr="00823A8D" w:rsidRDefault="009D57FA" w:rsidP="009D57FA">
            <w:pPr>
              <w:jc w:val="center"/>
              <w:rPr>
                <w:rFonts w:asciiTheme="minorHAnsi" w:hAnsiTheme="minorHAnsi"/>
                <w:sz w:val="22"/>
                <w:szCs w:val="22"/>
              </w:rPr>
            </w:pPr>
            <w:r w:rsidRPr="00823A8D">
              <w:rPr>
                <w:rFonts w:asciiTheme="minorHAnsi" w:hAnsiTheme="minorHAnsi"/>
                <w:sz w:val="22"/>
                <w:szCs w:val="22"/>
              </w:rPr>
              <w:t>0</w:t>
            </w:r>
          </w:p>
        </w:tc>
        <w:tc>
          <w:tcPr>
            <w:tcW w:w="1134" w:type="dxa"/>
            <w:shd w:val="clear" w:color="auto" w:fill="auto"/>
            <w:vAlign w:val="center"/>
          </w:tcPr>
          <w:p w14:paraId="7F6DE7B8" w14:textId="77777777" w:rsidR="009D57FA" w:rsidRPr="00823A8D" w:rsidRDefault="00774FA9" w:rsidP="009D57FA">
            <w:pPr>
              <w:jc w:val="center"/>
              <w:rPr>
                <w:rFonts w:asciiTheme="minorHAnsi" w:hAnsiTheme="minorHAnsi"/>
                <w:sz w:val="22"/>
                <w:szCs w:val="22"/>
              </w:rPr>
            </w:pPr>
            <w:r w:rsidRPr="00823A8D">
              <w:rPr>
                <w:rFonts w:asciiTheme="minorHAnsi" w:hAnsiTheme="minorHAnsi"/>
                <w:sz w:val="22"/>
                <w:szCs w:val="22"/>
              </w:rPr>
              <w:t>0</w:t>
            </w:r>
          </w:p>
        </w:tc>
        <w:tc>
          <w:tcPr>
            <w:tcW w:w="1134" w:type="dxa"/>
            <w:vAlign w:val="center"/>
          </w:tcPr>
          <w:p w14:paraId="365F6745" w14:textId="77777777" w:rsidR="009D57FA" w:rsidRDefault="009D57FA" w:rsidP="009D57FA">
            <w:pPr>
              <w:jc w:val="center"/>
              <w:rPr>
                <w:sz w:val="22"/>
                <w:szCs w:val="22"/>
              </w:rPr>
            </w:pPr>
          </w:p>
        </w:tc>
        <w:tc>
          <w:tcPr>
            <w:tcW w:w="1134" w:type="dxa"/>
            <w:vAlign w:val="center"/>
          </w:tcPr>
          <w:p w14:paraId="05098B6D" w14:textId="77777777" w:rsidR="009D57FA" w:rsidRDefault="009D57FA" w:rsidP="009D57FA">
            <w:pPr>
              <w:jc w:val="center"/>
              <w:rPr>
                <w:sz w:val="22"/>
                <w:szCs w:val="22"/>
              </w:rPr>
            </w:pPr>
          </w:p>
        </w:tc>
        <w:tc>
          <w:tcPr>
            <w:tcW w:w="1134" w:type="dxa"/>
            <w:vAlign w:val="center"/>
          </w:tcPr>
          <w:p w14:paraId="5A368167" w14:textId="77777777" w:rsidR="009D57FA" w:rsidRDefault="009D57FA" w:rsidP="009D57FA">
            <w:pPr>
              <w:jc w:val="center"/>
              <w:rPr>
                <w:sz w:val="22"/>
                <w:szCs w:val="22"/>
              </w:rPr>
            </w:pPr>
          </w:p>
        </w:tc>
      </w:tr>
    </w:tbl>
    <w:p w14:paraId="7BCD9A85" w14:textId="77777777" w:rsidR="005E484B" w:rsidRPr="00001A7B" w:rsidRDefault="00E541FF" w:rsidP="00934B20">
      <w:pPr>
        <w:tabs>
          <w:tab w:val="left" w:pos="1982"/>
        </w:tabs>
        <w:spacing w:before="240"/>
      </w:pPr>
      <w:r w:rsidRPr="00001A7B">
        <w:t>The</w:t>
      </w:r>
      <w:r w:rsidR="00101A95" w:rsidRPr="00001A7B">
        <w:t>se</w:t>
      </w:r>
      <w:r w:rsidRPr="00001A7B">
        <w:t xml:space="preserve"> measures demonstrate the efficiency of the </w:t>
      </w:r>
      <w:r w:rsidR="00B84E41" w:rsidRPr="00001A7B">
        <w:t>D</w:t>
      </w:r>
      <w:r w:rsidRPr="00001A7B">
        <w:t>epartment’s administration of second</w:t>
      </w:r>
      <w:r w:rsidR="002A2541" w:rsidRPr="00001A7B">
        <w:t>-</w:t>
      </w:r>
      <w:r w:rsidRPr="00001A7B">
        <w:t>tier default benefits.</w:t>
      </w:r>
      <w:r w:rsidR="009B7A01">
        <w:t xml:space="preserve">  Despite the number of applications exceeding the forecast number by 18% </w:t>
      </w:r>
      <w:r w:rsidR="004D1339">
        <w:t xml:space="preserve">in 2019-20 </w:t>
      </w:r>
      <w:r w:rsidR="009B7A01">
        <w:t>all applications were finalised within the required 60 days.</w:t>
      </w:r>
    </w:p>
    <w:p w14:paraId="19ADD9ED" w14:textId="77777777" w:rsidR="005A3513" w:rsidRPr="00001A7B" w:rsidRDefault="00F77E6B" w:rsidP="00AB7324">
      <w:pPr>
        <w:tabs>
          <w:tab w:val="left" w:pos="1982"/>
        </w:tabs>
      </w:pPr>
      <w:r w:rsidRPr="00001A7B">
        <w:t>T</w:t>
      </w:r>
      <w:r w:rsidR="00101A95" w:rsidRPr="00001A7B">
        <w:t>he number of applications received is</w:t>
      </w:r>
      <w:r w:rsidR="008A55BD" w:rsidRPr="00001A7B">
        <w:t xml:space="preserve"> a significant cost driver</w:t>
      </w:r>
      <w:r w:rsidR="00AB7324" w:rsidRPr="00001A7B">
        <w:t>.</w:t>
      </w:r>
      <w:r w:rsidR="00101A95" w:rsidRPr="00001A7B">
        <w:t xml:space="preserve"> </w:t>
      </w:r>
      <w:r w:rsidR="00AB7324" w:rsidRPr="00001A7B">
        <w:t>V</w:t>
      </w:r>
      <w:r w:rsidR="008A55BD" w:rsidRPr="00001A7B">
        <w:t xml:space="preserve">ariations in </w:t>
      </w:r>
      <w:r w:rsidR="00AB7324" w:rsidRPr="00001A7B">
        <w:t xml:space="preserve">the </w:t>
      </w:r>
      <w:r w:rsidR="008A55BD" w:rsidRPr="00001A7B">
        <w:t>volume</w:t>
      </w:r>
      <w:r w:rsidR="00AB7324" w:rsidRPr="00001A7B">
        <w:t xml:space="preserve"> of application</w:t>
      </w:r>
      <w:r w:rsidR="008A55BD" w:rsidRPr="00001A7B">
        <w:t xml:space="preserve">s </w:t>
      </w:r>
      <w:r w:rsidR="00AB7324" w:rsidRPr="00001A7B">
        <w:t xml:space="preserve">received by the </w:t>
      </w:r>
      <w:r w:rsidR="00B84E41" w:rsidRPr="00001A7B">
        <w:t>D</w:t>
      </w:r>
      <w:r w:rsidR="00AB7324" w:rsidRPr="00001A7B">
        <w:t xml:space="preserve">epartment </w:t>
      </w:r>
      <w:r w:rsidR="008A55BD" w:rsidRPr="00001A7B">
        <w:t>impact on total costs.</w:t>
      </w:r>
      <w:r w:rsidR="00C21EEB" w:rsidRPr="00001A7B">
        <w:t xml:space="preserve"> </w:t>
      </w:r>
      <w:r w:rsidR="00101A95" w:rsidRPr="00001A7B">
        <w:t xml:space="preserve">An inability to </w:t>
      </w:r>
      <w:r w:rsidR="00C21EEB" w:rsidRPr="00001A7B">
        <w:t>finalise</w:t>
      </w:r>
      <w:r w:rsidR="00101A95" w:rsidRPr="00001A7B">
        <w:t xml:space="preserve"> applications</w:t>
      </w:r>
      <w:r w:rsidR="00C21EEB" w:rsidRPr="00001A7B">
        <w:t xml:space="preserve"> within the </w:t>
      </w:r>
      <w:r w:rsidR="00577F96" w:rsidRPr="00001A7B">
        <w:t>legislated</w:t>
      </w:r>
      <w:r w:rsidR="00C21EEB" w:rsidRPr="00001A7B">
        <w:t xml:space="preserve"> timeframe of 60 days </w:t>
      </w:r>
      <w:r w:rsidR="00CF0544" w:rsidRPr="00001A7B">
        <w:t xml:space="preserve">may indicate </w:t>
      </w:r>
      <w:r w:rsidR="00045A42" w:rsidRPr="00001A7B">
        <w:t xml:space="preserve">the need for </w:t>
      </w:r>
      <w:r w:rsidR="00CF0544" w:rsidRPr="00001A7B">
        <w:t xml:space="preserve">a review of </w:t>
      </w:r>
      <w:r w:rsidR="000B00B1" w:rsidRPr="00001A7B">
        <w:t>administrative processes</w:t>
      </w:r>
      <w:r w:rsidR="00CF0544" w:rsidRPr="00001A7B">
        <w:t xml:space="preserve"> </w:t>
      </w:r>
      <w:r w:rsidR="00AB7324" w:rsidRPr="00001A7B">
        <w:t>or resourcing</w:t>
      </w:r>
      <w:r w:rsidR="004E1D91" w:rsidRPr="00001A7B">
        <w:t>.</w:t>
      </w:r>
    </w:p>
    <w:p w14:paraId="3D8E2B72" w14:textId="77777777" w:rsidR="00111EB6" w:rsidRDefault="00577F96" w:rsidP="00AB7324">
      <w:pPr>
        <w:tabs>
          <w:tab w:val="left" w:pos="1982"/>
        </w:tabs>
      </w:pPr>
      <w:r w:rsidRPr="00001A7B">
        <w:t>T</w:t>
      </w:r>
      <w:r w:rsidR="00C21EEB" w:rsidRPr="00001A7B">
        <w:t xml:space="preserve">he number of unsuccessful applications </w:t>
      </w:r>
      <w:r w:rsidRPr="00001A7B">
        <w:t>is an</w:t>
      </w:r>
      <w:r w:rsidR="00C21EEB" w:rsidRPr="00001A7B">
        <w:t xml:space="preserve"> </w:t>
      </w:r>
      <w:r w:rsidRPr="00001A7B">
        <w:t xml:space="preserve">indicator of </w:t>
      </w:r>
      <w:r w:rsidR="00A732DF" w:rsidRPr="00001A7B">
        <w:t>whether</w:t>
      </w:r>
      <w:r w:rsidRPr="00001A7B">
        <w:t xml:space="preserve"> private hospitals understand the</w:t>
      </w:r>
      <w:r w:rsidR="00F22172" w:rsidRPr="00001A7B">
        <w:t xml:space="preserve"> assessment criteria for second-</w:t>
      </w:r>
      <w:r w:rsidRPr="00001A7B">
        <w:t>tier default benefits eligibility</w:t>
      </w:r>
      <w:r w:rsidR="00AB7324" w:rsidRPr="00001A7B">
        <w:t>, and could indicate a need fo</w:t>
      </w:r>
      <w:r w:rsidR="00B84E41" w:rsidRPr="00001A7B">
        <w:t>r clearer communication by the D</w:t>
      </w:r>
      <w:r w:rsidR="00AB7324" w:rsidRPr="00001A7B">
        <w:t>epartment</w:t>
      </w:r>
      <w:r w:rsidR="00C21EEB" w:rsidRPr="00001A7B">
        <w:t>.</w:t>
      </w:r>
      <w:r w:rsidR="000B00B1" w:rsidRPr="00001A7B">
        <w:t xml:space="preserve"> The </w:t>
      </w:r>
      <w:r w:rsidR="00B84E41" w:rsidRPr="00001A7B">
        <w:t>D</w:t>
      </w:r>
      <w:r w:rsidR="000B00B1" w:rsidRPr="00001A7B">
        <w:t>epartment aims for</w:t>
      </w:r>
      <w:r w:rsidR="001723EF" w:rsidRPr="00001A7B">
        <w:t xml:space="preserve"> this to </w:t>
      </w:r>
      <w:r w:rsidR="00986DA0" w:rsidRPr="00001A7B">
        <w:t>be maintained at five</w:t>
      </w:r>
      <w:r w:rsidR="001A473F" w:rsidRPr="00001A7B">
        <w:t xml:space="preserve"> or fewer applications</w:t>
      </w:r>
      <w:r w:rsidR="001723EF" w:rsidRPr="00001A7B">
        <w:t>, to minimise hospitals wasting money on fees for unsuccessful applications.</w:t>
      </w:r>
    </w:p>
    <w:p w14:paraId="12257FCC" w14:textId="77777777" w:rsidR="00D45444" w:rsidRPr="00391F88" w:rsidRDefault="00D45444" w:rsidP="00D45444">
      <w:pPr>
        <w:tabs>
          <w:tab w:val="left" w:pos="1982"/>
        </w:tabs>
      </w:pPr>
      <w:r w:rsidRPr="000B3871">
        <w:t>To date, all applications have been processed within the 60 day timeframe and there have been no unsuccessful applications.</w:t>
      </w:r>
    </w:p>
    <w:p w14:paraId="43A45E3F" w14:textId="77777777" w:rsidR="008B679D" w:rsidRDefault="008B679D" w:rsidP="00F0619A">
      <w:pPr>
        <w:pStyle w:val="Heading2"/>
      </w:pPr>
      <w:r w:rsidRPr="00D1274B">
        <w:lastRenderedPageBreak/>
        <w:t>KEY FORWARD DATES AND EVENTS</w:t>
      </w:r>
    </w:p>
    <w:tbl>
      <w:tblPr>
        <w:tblStyle w:val="TableGrid"/>
        <w:tblW w:w="8931" w:type="dxa"/>
        <w:tblInd w:w="108" w:type="dxa"/>
        <w:tblLook w:val="04A0" w:firstRow="1" w:lastRow="0" w:firstColumn="1" w:lastColumn="0" w:noHBand="0" w:noVBand="1"/>
        <w:tblCaption w:val="Key forward dates and events"/>
        <w:tblDescription w:val="Table showing dates for future reviews of this document."/>
      </w:tblPr>
      <w:tblGrid>
        <w:gridCol w:w="6663"/>
        <w:gridCol w:w="2268"/>
      </w:tblGrid>
      <w:tr w:rsidR="000E68B4" w:rsidRPr="006E0A30" w14:paraId="0E973A8D" w14:textId="77777777" w:rsidTr="001723EF">
        <w:trPr>
          <w:cantSplit/>
          <w:tblHeader/>
        </w:trPr>
        <w:tc>
          <w:tcPr>
            <w:tcW w:w="6663" w:type="dxa"/>
            <w:shd w:val="clear" w:color="auto" w:fill="D9D9D9" w:themeFill="background1" w:themeFillShade="D9"/>
            <w:vAlign w:val="bottom"/>
          </w:tcPr>
          <w:p w14:paraId="13C06604" w14:textId="77777777" w:rsidR="000E68B4" w:rsidRPr="006E0A30" w:rsidRDefault="000E68B4" w:rsidP="002B38C9">
            <w:pPr>
              <w:spacing w:before="120" w:after="120"/>
              <w:rPr>
                <w:rFonts w:asciiTheme="minorHAnsi" w:hAnsiTheme="minorHAnsi"/>
                <w:b/>
              </w:rPr>
            </w:pPr>
            <w:r w:rsidRPr="006E0A30">
              <w:rPr>
                <w:rFonts w:asciiTheme="minorHAnsi" w:hAnsiTheme="minorHAnsi"/>
                <w:b/>
              </w:rPr>
              <w:t>Event</w:t>
            </w:r>
          </w:p>
        </w:tc>
        <w:tc>
          <w:tcPr>
            <w:tcW w:w="2268" w:type="dxa"/>
            <w:shd w:val="clear" w:color="auto" w:fill="D9D9D9" w:themeFill="background1" w:themeFillShade="D9"/>
            <w:vAlign w:val="bottom"/>
          </w:tcPr>
          <w:p w14:paraId="571653BC" w14:textId="77777777" w:rsidR="000E68B4" w:rsidRPr="006E0A30" w:rsidRDefault="000E68B4" w:rsidP="002B38C9">
            <w:pPr>
              <w:spacing w:before="120" w:after="120"/>
              <w:rPr>
                <w:rFonts w:asciiTheme="minorHAnsi" w:hAnsiTheme="minorHAnsi"/>
                <w:b/>
              </w:rPr>
            </w:pPr>
            <w:r w:rsidRPr="006E0A30">
              <w:rPr>
                <w:rFonts w:asciiTheme="minorHAnsi" w:hAnsiTheme="minorHAnsi"/>
                <w:b/>
              </w:rPr>
              <w:t>Date</w:t>
            </w:r>
          </w:p>
        </w:tc>
      </w:tr>
      <w:tr w:rsidR="0024563F" w:rsidRPr="006E0A30" w14:paraId="60998994" w14:textId="77777777" w:rsidTr="00823A8D">
        <w:tc>
          <w:tcPr>
            <w:tcW w:w="6663" w:type="dxa"/>
            <w:shd w:val="clear" w:color="auto" w:fill="auto"/>
          </w:tcPr>
          <w:p w14:paraId="5AADF23C" w14:textId="77777777" w:rsidR="0024563F" w:rsidRPr="00391F88" w:rsidRDefault="0024563F" w:rsidP="00F61364">
            <w:pPr>
              <w:spacing w:before="120" w:after="120"/>
            </w:pPr>
            <w:r w:rsidRPr="00776408">
              <w:rPr>
                <w:rFonts w:asciiTheme="minorHAnsi" w:hAnsiTheme="minorHAnsi"/>
              </w:rPr>
              <w:t>Change to the application fee</w:t>
            </w:r>
          </w:p>
        </w:tc>
        <w:tc>
          <w:tcPr>
            <w:tcW w:w="2268" w:type="dxa"/>
            <w:shd w:val="clear" w:color="auto" w:fill="auto"/>
          </w:tcPr>
          <w:p w14:paraId="5E32DEC8" w14:textId="77777777" w:rsidR="0024563F" w:rsidRPr="00391F88" w:rsidRDefault="0024563F" w:rsidP="00F81EDA">
            <w:pPr>
              <w:spacing w:before="120" w:after="120"/>
            </w:pPr>
            <w:r w:rsidRPr="00776408">
              <w:rPr>
                <w:rFonts w:asciiTheme="minorHAnsi" w:hAnsiTheme="minorHAnsi"/>
              </w:rPr>
              <w:t>1 J</w:t>
            </w:r>
            <w:r w:rsidR="00F81EDA">
              <w:rPr>
                <w:rFonts w:asciiTheme="minorHAnsi" w:hAnsiTheme="minorHAnsi"/>
              </w:rPr>
              <w:t>uly</w:t>
            </w:r>
            <w:r w:rsidRPr="00776408">
              <w:rPr>
                <w:rFonts w:asciiTheme="minorHAnsi" w:hAnsiTheme="minorHAnsi"/>
              </w:rPr>
              <w:t xml:space="preserve"> 2021</w:t>
            </w:r>
          </w:p>
        </w:tc>
      </w:tr>
      <w:tr w:rsidR="00AA7EA0" w:rsidRPr="006E0A30" w14:paraId="53F43C63" w14:textId="77777777" w:rsidTr="001723EF">
        <w:tc>
          <w:tcPr>
            <w:tcW w:w="6663" w:type="dxa"/>
          </w:tcPr>
          <w:p w14:paraId="7D3FD452" w14:textId="77777777" w:rsidR="00AA7EA0" w:rsidRPr="00391F88" w:rsidRDefault="00AA7EA0" w:rsidP="00F61364">
            <w:pPr>
              <w:spacing w:before="120" w:after="120"/>
              <w:rPr>
                <w:rFonts w:asciiTheme="minorHAnsi" w:hAnsiTheme="minorHAnsi"/>
              </w:rPr>
            </w:pPr>
            <w:r w:rsidRPr="00391F88">
              <w:rPr>
                <w:rFonts w:asciiTheme="minorHAnsi" w:hAnsiTheme="minorHAnsi"/>
              </w:rPr>
              <w:t>Annual update of CRIS</w:t>
            </w:r>
          </w:p>
        </w:tc>
        <w:tc>
          <w:tcPr>
            <w:tcW w:w="2268" w:type="dxa"/>
          </w:tcPr>
          <w:p w14:paraId="14C13AAA" w14:textId="77777777" w:rsidR="00AA7EA0" w:rsidRPr="00391F88" w:rsidRDefault="00AA7EA0" w:rsidP="003010DB">
            <w:pPr>
              <w:spacing w:before="120" w:after="120"/>
              <w:rPr>
                <w:rFonts w:asciiTheme="minorHAnsi" w:hAnsiTheme="minorHAnsi"/>
              </w:rPr>
            </w:pPr>
            <w:r w:rsidRPr="00391F88">
              <w:rPr>
                <w:rFonts w:asciiTheme="minorHAnsi" w:hAnsiTheme="minorHAnsi"/>
              </w:rPr>
              <w:t xml:space="preserve">1 July </w:t>
            </w:r>
            <w:r w:rsidR="003010DB" w:rsidRPr="00391F88">
              <w:rPr>
                <w:rFonts w:asciiTheme="minorHAnsi" w:hAnsiTheme="minorHAnsi"/>
              </w:rPr>
              <w:t>202</w:t>
            </w:r>
            <w:r w:rsidR="003010DB">
              <w:rPr>
                <w:rFonts w:asciiTheme="minorHAnsi" w:hAnsiTheme="minorHAnsi"/>
              </w:rPr>
              <w:t>1</w:t>
            </w:r>
          </w:p>
        </w:tc>
      </w:tr>
      <w:tr w:rsidR="001734BA" w:rsidRPr="006E0A30" w14:paraId="3C797011" w14:textId="77777777" w:rsidTr="001723EF">
        <w:tc>
          <w:tcPr>
            <w:tcW w:w="6663" w:type="dxa"/>
          </w:tcPr>
          <w:p w14:paraId="5BBD7762" w14:textId="77777777" w:rsidR="001734BA" w:rsidRPr="001734BA" w:rsidRDefault="001734BA" w:rsidP="0024563F">
            <w:pPr>
              <w:spacing w:before="120" w:after="120"/>
              <w:rPr>
                <w:rFonts w:asciiTheme="minorHAnsi" w:hAnsiTheme="minorHAnsi"/>
              </w:rPr>
            </w:pPr>
            <w:r w:rsidRPr="001734BA">
              <w:rPr>
                <w:rFonts w:asciiTheme="minorHAnsi" w:hAnsiTheme="minorHAnsi"/>
              </w:rPr>
              <w:t xml:space="preserve">Update </w:t>
            </w:r>
            <w:r>
              <w:rPr>
                <w:rFonts w:asciiTheme="minorHAnsi" w:hAnsiTheme="minorHAnsi"/>
              </w:rPr>
              <w:t xml:space="preserve">of actual results for </w:t>
            </w:r>
            <w:r w:rsidR="0024563F">
              <w:rPr>
                <w:rFonts w:asciiTheme="minorHAnsi" w:hAnsiTheme="minorHAnsi"/>
              </w:rPr>
              <w:t>2020</w:t>
            </w:r>
            <w:r>
              <w:rPr>
                <w:rFonts w:asciiTheme="minorHAnsi" w:hAnsiTheme="minorHAnsi"/>
              </w:rPr>
              <w:t>-</w:t>
            </w:r>
            <w:r w:rsidR="0024563F">
              <w:rPr>
                <w:rFonts w:asciiTheme="minorHAnsi" w:hAnsiTheme="minorHAnsi"/>
              </w:rPr>
              <w:t>21</w:t>
            </w:r>
          </w:p>
        </w:tc>
        <w:tc>
          <w:tcPr>
            <w:tcW w:w="2268" w:type="dxa"/>
          </w:tcPr>
          <w:p w14:paraId="0E99C724" w14:textId="77777777" w:rsidR="001734BA" w:rsidRPr="001734BA" w:rsidRDefault="001734BA" w:rsidP="0024563F">
            <w:pPr>
              <w:spacing w:before="120" w:after="120"/>
              <w:rPr>
                <w:rFonts w:asciiTheme="minorHAnsi" w:hAnsiTheme="minorHAnsi"/>
              </w:rPr>
            </w:pPr>
            <w:r>
              <w:rPr>
                <w:rFonts w:asciiTheme="minorHAnsi" w:hAnsiTheme="minorHAnsi"/>
              </w:rPr>
              <w:t xml:space="preserve">November </w:t>
            </w:r>
            <w:r w:rsidR="0024563F">
              <w:rPr>
                <w:rFonts w:asciiTheme="minorHAnsi" w:hAnsiTheme="minorHAnsi"/>
              </w:rPr>
              <w:t>2021</w:t>
            </w:r>
          </w:p>
        </w:tc>
      </w:tr>
    </w:tbl>
    <w:bookmarkEnd w:id="7"/>
    <w:p w14:paraId="19CD1AAA" w14:textId="77777777" w:rsidR="008B679D" w:rsidRDefault="008B679D" w:rsidP="00F0619A">
      <w:pPr>
        <w:pStyle w:val="Heading2"/>
      </w:pPr>
      <w:r w:rsidRPr="00D1274B">
        <w:t>CRIS APPROVAL AND CHANGE REGISTER</w:t>
      </w:r>
    </w:p>
    <w:tbl>
      <w:tblPr>
        <w:tblStyle w:val="TableGrid"/>
        <w:tblW w:w="8931" w:type="dxa"/>
        <w:tblInd w:w="108" w:type="dxa"/>
        <w:tblLayout w:type="fixed"/>
        <w:tblLook w:val="04A0" w:firstRow="1" w:lastRow="0" w:firstColumn="1" w:lastColumn="0" w:noHBand="0" w:noVBand="1"/>
        <w:tblCaption w:val="CRIS approval and change register"/>
        <w:tblDescription w:val="Table listing all approved changes to this document."/>
      </w:tblPr>
      <w:tblGrid>
        <w:gridCol w:w="2019"/>
        <w:gridCol w:w="2268"/>
        <w:gridCol w:w="2409"/>
        <w:gridCol w:w="2235"/>
      </w:tblGrid>
      <w:tr w:rsidR="000E68B4" w:rsidRPr="006E0A30" w14:paraId="4E26E4CC" w14:textId="77777777" w:rsidTr="001723EF">
        <w:trPr>
          <w:cantSplit/>
          <w:tblHeader/>
        </w:trPr>
        <w:tc>
          <w:tcPr>
            <w:tcW w:w="2019" w:type="dxa"/>
            <w:shd w:val="clear" w:color="auto" w:fill="D9D9D9" w:themeFill="background1" w:themeFillShade="D9"/>
            <w:vAlign w:val="bottom"/>
          </w:tcPr>
          <w:p w14:paraId="6C84A11B" w14:textId="77777777" w:rsidR="000E68B4" w:rsidRPr="006E0A30" w:rsidRDefault="000E68B4" w:rsidP="002B38C9">
            <w:pPr>
              <w:spacing w:before="120" w:after="120"/>
              <w:rPr>
                <w:rFonts w:asciiTheme="minorHAnsi" w:hAnsiTheme="minorHAnsi"/>
                <w:b/>
                <w:iCs/>
              </w:rPr>
            </w:pPr>
            <w:r w:rsidRPr="006E0A30">
              <w:rPr>
                <w:rFonts w:asciiTheme="minorHAnsi" w:hAnsiTheme="minorHAnsi"/>
                <w:b/>
                <w:iCs/>
              </w:rPr>
              <w:t>Date of CRIS change</w:t>
            </w:r>
          </w:p>
        </w:tc>
        <w:tc>
          <w:tcPr>
            <w:tcW w:w="2268" w:type="dxa"/>
            <w:shd w:val="clear" w:color="auto" w:fill="D9D9D9" w:themeFill="background1" w:themeFillShade="D9"/>
            <w:vAlign w:val="bottom"/>
          </w:tcPr>
          <w:p w14:paraId="37256F3D" w14:textId="77777777" w:rsidR="000E68B4" w:rsidRPr="006E0A30" w:rsidRDefault="000E68B4" w:rsidP="002B38C9">
            <w:pPr>
              <w:spacing w:before="120" w:after="120"/>
              <w:rPr>
                <w:rFonts w:asciiTheme="minorHAnsi" w:hAnsiTheme="minorHAnsi"/>
                <w:b/>
                <w:iCs/>
              </w:rPr>
            </w:pPr>
            <w:r w:rsidRPr="006E0A30">
              <w:rPr>
                <w:rFonts w:asciiTheme="minorHAnsi" w:hAnsiTheme="minorHAnsi"/>
                <w:b/>
                <w:iCs/>
              </w:rPr>
              <w:t>CRIS change</w:t>
            </w:r>
          </w:p>
        </w:tc>
        <w:tc>
          <w:tcPr>
            <w:tcW w:w="2409" w:type="dxa"/>
            <w:shd w:val="clear" w:color="auto" w:fill="D9D9D9" w:themeFill="background1" w:themeFillShade="D9"/>
            <w:vAlign w:val="bottom"/>
          </w:tcPr>
          <w:p w14:paraId="32293653" w14:textId="77777777" w:rsidR="000E68B4" w:rsidRPr="006E0A30" w:rsidRDefault="000E68B4" w:rsidP="002B38C9">
            <w:pPr>
              <w:spacing w:before="120" w:after="120"/>
              <w:rPr>
                <w:rFonts w:asciiTheme="minorHAnsi" w:hAnsiTheme="minorHAnsi"/>
                <w:b/>
                <w:iCs/>
              </w:rPr>
            </w:pPr>
            <w:r w:rsidRPr="006E0A30">
              <w:rPr>
                <w:rFonts w:asciiTheme="minorHAnsi" w:hAnsiTheme="minorHAnsi"/>
                <w:b/>
                <w:iCs/>
              </w:rPr>
              <w:t>Approver</w:t>
            </w:r>
          </w:p>
        </w:tc>
        <w:tc>
          <w:tcPr>
            <w:tcW w:w="2235" w:type="dxa"/>
            <w:shd w:val="clear" w:color="auto" w:fill="D9D9D9" w:themeFill="background1" w:themeFillShade="D9"/>
            <w:vAlign w:val="bottom"/>
          </w:tcPr>
          <w:p w14:paraId="7215ECB6" w14:textId="77777777" w:rsidR="000E68B4" w:rsidRPr="006E0A30" w:rsidRDefault="000E68B4" w:rsidP="002B38C9">
            <w:pPr>
              <w:spacing w:before="120" w:after="120"/>
              <w:rPr>
                <w:rFonts w:asciiTheme="minorHAnsi" w:hAnsiTheme="minorHAnsi"/>
                <w:b/>
                <w:iCs/>
              </w:rPr>
            </w:pPr>
            <w:r w:rsidRPr="006E0A30">
              <w:rPr>
                <w:rFonts w:asciiTheme="minorHAnsi" w:hAnsiTheme="minorHAnsi"/>
                <w:b/>
                <w:iCs/>
              </w:rPr>
              <w:t>Basis for change</w:t>
            </w:r>
          </w:p>
        </w:tc>
      </w:tr>
      <w:tr w:rsidR="000E68B4" w:rsidRPr="006E0A30" w14:paraId="5C27314C" w14:textId="77777777" w:rsidTr="001723EF">
        <w:tc>
          <w:tcPr>
            <w:tcW w:w="2019" w:type="dxa"/>
            <w:shd w:val="clear" w:color="auto" w:fill="auto"/>
            <w:vAlign w:val="center"/>
          </w:tcPr>
          <w:p w14:paraId="4524487D" w14:textId="77777777" w:rsidR="000E68B4" w:rsidRPr="00BD2E1C" w:rsidRDefault="008C1C65" w:rsidP="002B38C9">
            <w:pPr>
              <w:spacing w:before="120" w:after="120"/>
              <w:rPr>
                <w:rFonts w:asciiTheme="minorHAnsi" w:hAnsiTheme="minorHAnsi"/>
                <w:szCs w:val="22"/>
              </w:rPr>
            </w:pPr>
            <w:r>
              <w:rPr>
                <w:rFonts w:asciiTheme="minorHAnsi" w:hAnsiTheme="minorHAnsi"/>
                <w:szCs w:val="22"/>
              </w:rPr>
              <w:t>2/09/2018</w:t>
            </w:r>
          </w:p>
        </w:tc>
        <w:tc>
          <w:tcPr>
            <w:tcW w:w="2268" w:type="dxa"/>
            <w:shd w:val="clear" w:color="auto" w:fill="auto"/>
            <w:vAlign w:val="center"/>
          </w:tcPr>
          <w:p w14:paraId="1BFDD035" w14:textId="77777777" w:rsidR="000E68B4" w:rsidRPr="006E0A30" w:rsidRDefault="000E68B4" w:rsidP="002B38C9">
            <w:pPr>
              <w:spacing w:before="120" w:after="120"/>
              <w:rPr>
                <w:rFonts w:asciiTheme="minorHAnsi" w:hAnsiTheme="minorHAnsi"/>
                <w:szCs w:val="22"/>
              </w:rPr>
            </w:pPr>
            <w:r w:rsidRPr="006E0A30">
              <w:rPr>
                <w:rFonts w:asciiTheme="minorHAnsi" w:hAnsiTheme="minorHAnsi"/>
                <w:szCs w:val="22"/>
              </w:rPr>
              <w:t>Certification of the CRIS</w:t>
            </w:r>
          </w:p>
        </w:tc>
        <w:tc>
          <w:tcPr>
            <w:tcW w:w="2409" w:type="dxa"/>
            <w:shd w:val="clear" w:color="auto" w:fill="auto"/>
            <w:vAlign w:val="center"/>
          </w:tcPr>
          <w:p w14:paraId="73295133" w14:textId="77777777" w:rsidR="000E68B4" w:rsidRPr="006E0A30" w:rsidRDefault="000E68B4" w:rsidP="002B38C9">
            <w:pPr>
              <w:spacing w:before="120" w:after="120"/>
              <w:rPr>
                <w:rFonts w:asciiTheme="minorHAnsi" w:hAnsiTheme="minorHAnsi"/>
                <w:szCs w:val="22"/>
              </w:rPr>
            </w:pPr>
            <w:r w:rsidRPr="006E0A30">
              <w:rPr>
                <w:rFonts w:asciiTheme="minorHAnsi" w:hAnsiTheme="minorHAnsi"/>
                <w:szCs w:val="22"/>
              </w:rPr>
              <w:t>Glenys Beauchamp, Secretary, Department of Health</w:t>
            </w:r>
          </w:p>
        </w:tc>
        <w:tc>
          <w:tcPr>
            <w:tcW w:w="2235" w:type="dxa"/>
            <w:shd w:val="clear" w:color="auto" w:fill="auto"/>
            <w:vAlign w:val="center"/>
          </w:tcPr>
          <w:p w14:paraId="131D0A77" w14:textId="77777777" w:rsidR="000E68B4" w:rsidRPr="006E0A30" w:rsidRDefault="000E68B4" w:rsidP="00E83F47">
            <w:pPr>
              <w:spacing w:before="120" w:after="120"/>
              <w:rPr>
                <w:rFonts w:asciiTheme="minorHAnsi" w:hAnsiTheme="minorHAnsi"/>
                <w:szCs w:val="22"/>
              </w:rPr>
            </w:pPr>
            <w:r w:rsidRPr="006E0A30">
              <w:rPr>
                <w:rFonts w:asciiTheme="minorHAnsi" w:hAnsiTheme="minorHAnsi"/>
                <w:szCs w:val="22"/>
              </w:rPr>
              <w:t>New regulatory charging activity</w:t>
            </w:r>
          </w:p>
        </w:tc>
      </w:tr>
      <w:tr w:rsidR="000E68B4" w:rsidRPr="006E0A30" w14:paraId="50286A56" w14:textId="77777777" w:rsidTr="001723EF">
        <w:tc>
          <w:tcPr>
            <w:tcW w:w="2019" w:type="dxa"/>
            <w:shd w:val="clear" w:color="auto" w:fill="auto"/>
            <w:vAlign w:val="center"/>
          </w:tcPr>
          <w:p w14:paraId="669B280B" w14:textId="77777777" w:rsidR="000E68B4" w:rsidRPr="00BD2E1C" w:rsidRDefault="008C1C65" w:rsidP="002B38C9">
            <w:pPr>
              <w:spacing w:before="120" w:after="120"/>
              <w:rPr>
                <w:rFonts w:asciiTheme="minorHAnsi" w:hAnsiTheme="minorHAnsi"/>
                <w:szCs w:val="22"/>
              </w:rPr>
            </w:pPr>
            <w:r>
              <w:rPr>
                <w:rFonts w:asciiTheme="minorHAnsi" w:hAnsiTheme="minorHAnsi"/>
                <w:szCs w:val="22"/>
              </w:rPr>
              <w:t>20/09/2018</w:t>
            </w:r>
          </w:p>
        </w:tc>
        <w:tc>
          <w:tcPr>
            <w:tcW w:w="2268" w:type="dxa"/>
            <w:shd w:val="clear" w:color="auto" w:fill="auto"/>
            <w:vAlign w:val="center"/>
          </w:tcPr>
          <w:p w14:paraId="695C1C5D" w14:textId="77777777" w:rsidR="000E68B4" w:rsidRPr="006E0A30" w:rsidRDefault="003451BC" w:rsidP="003451BC">
            <w:pPr>
              <w:spacing w:before="120" w:after="120"/>
              <w:rPr>
                <w:rFonts w:asciiTheme="minorHAnsi" w:hAnsiTheme="minorHAnsi"/>
                <w:szCs w:val="22"/>
              </w:rPr>
            </w:pPr>
            <w:r>
              <w:rPr>
                <w:rFonts w:asciiTheme="minorHAnsi" w:hAnsiTheme="minorHAnsi"/>
                <w:szCs w:val="22"/>
              </w:rPr>
              <w:t>Approval of</w:t>
            </w:r>
            <w:r w:rsidR="000E68B4" w:rsidRPr="006E0A30">
              <w:rPr>
                <w:rFonts w:asciiTheme="minorHAnsi" w:hAnsiTheme="minorHAnsi"/>
                <w:szCs w:val="22"/>
              </w:rPr>
              <w:t xml:space="preserve"> the CRIS</w:t>
            </w:r>
          </w:p>
        </w:tc>
        <w:tc>
          <w:tcPr>
            <w:tcW w:w="2409" w:type="dxa"/>
            <w:shd w:val="clear" w:color="auto" w:fill="auto"/>
            <w:vAlign w:val="center"/>
          </w:tcPr>
          <w:p w14:paraId="0DB90AFB" w14:textId="77777777" w:rsidR="000E68B4" w:rsidRPr="006E0A30" w:rsidRDefault="000E68B4" w:rsidP="002B38C9">
            <w:pPr>
              <w:spacing w:before="120" w:after="120"/>
              <w:rPr>
                <w:rFonts w:asciiTheme="minorHAnsi" w:hAnsiTheme="minorHAnsi"/>
                <w:szCs w:val="22"/>
              </w:rPr>
            </w:pPr>
            <w:r w:rsidRPr="006E0A30">
              <w:rPr>
                <w:rFonts w:asciiTheme="minorHAnsi" w:hAnsiTheme="minorHAnsi"/>
                <w:szCs w:val="22"/>
              </w:rPr>
              <w:t>The Hon Greg Hunt MP, Minister for Health</w:t>
            </w:r>
          </w:p>
        </w:tc>
        <w:tc>
          <w:tcPr>
            <w:tcW w:w="2235" w:type="dxa"/>
            <w:shd w:val="clear" w:color="auto" w:fill="auto"/>
            <w:vAlign w:val="center"/>
          </w:tcPr>
          <w:p w14:paraId="0EE707F1" w14:textId="77777777" w:rsidR="000E68B4" w:rsidRPr="006E0A30" w:rsidRDefault="000E68B4" w:rsidP="002B38C9">
            <w:pPr>
              <w:spacing w:before="120" w:after="120"/>
              <w:rPr>
                <w:rFonts w:asciiTheme="minorHAnsi" w:hAnsiTheme="minorHAnsi"/>
                <w:szCs w:val="22"/>
              </w:rPr>
            </w:pPr>
            <w:r w:rsidRPr="006E0A30">
              <w:rPr>
                <w:rFonts w:asciiTheme="minorHAnsi" w:hAnsiTheme="minorHAnsi"/>
                <w:szCs w:val="22"/>
              </w:rPr>
              <w:t>New regulatory charging activity</w:t>
            </w:r>
          </w:p>
        </w:tc>
      </w:tr>
      <w:tr w:rsidR="008C6B17" w:rsidRPr="008C6B17" w14:paraId="0E5C369E" w14:textId="77777777" w:rsidTr="001723EF">
        <w:tc>
          <w:tcPr>
            <w:tcW w:w="2019" w:type="dxa"/>
            <w:shd w:val="clear" w:color="auto" w:fill="auto"/>
            <w:vAlign w:val="center"/>
          </w:tcPr>
          <w:p w14:paraId="39845184" w14:textId="77777777" w:rsidR="008C6B17" w:rsidRPr="008C6B17" w:rsidRDefault="008C6B17" w:rsidP="002B38C9">
            <w:pPr>
              <w:spacing w:before="120" w:after="120"/>
              <w:rPr>
                <w:rFonts w:asciiTheme="minorHAnsi" w:hAnsiTheme="minorHAnsi"/>
                <w:szCs w:val="22"/>
              </w:rPr>
            </w:pPr>
            <w:r w:rsidRPr="008C6B17">
              <w:rPr>
                <w:rFonts w:asciiTheme="minorHAnsi" w:hAnsiTheme="minorHAnsi"/>
                <w:szCs w:val="22"/>
              </w:rPr>
              <w:t>30/04/2019</w:t>
            </w:r>
          </w:p>
        </w:tc>
        <w:tc>
          <w:tcPr>
            <w:tcW w:w="2268" w:type="dxa"/>
            <w:shd w:val="clear" w:color="auto" w:fill="auto"/>
            <w:vAlign w:val="center"/>
          </w:tcPr>
          <w:p w14:paraId="2437FA7D" w14:textId="77777777" w:rsidR="008C6B17" w:rsidRPr="008C6B17" w:rsidRDefault="008C6B17" w:rsidP="003451BC">
            <w:pPr>
              <w:spacing w:before="120" w:after="120"/>
              <w:rPr>
                <w:rFonts w:asciiTheme="minorHAnsi" w:hAnsiTheme="minorHAnsi"/>
                <w:szCs w:val="22"/>
              </w:rPr>
            </w:pPr>
            <w:r>
              <w:rPr>
                <w:rFonts w:asciiTheme="minorHAnsi" w:hAnsiTheme="minorHAnsi"/>
                <w:szCs w:val="22"/>
              </w:rPr>
              <w:t>Annual update of CRIS</w:t>
            </w:r>
          </w:p>
        </w:tc>
        <w:tc>
          <w:tcPr>
            <w:tcW w:w="2409" w:type="dxa"/>
            <w:shd w:val="clear" w:color="auto" w:fill="auto"/>
            <w:vAlign w:val="center"/>
          </w:tcPr>
          <w:p w14:paraId="12915678" w14:textId="77777777" w:rsidR="008C6B17" w:rsidRPr="008C6B17" w:rsidRDefault="00AD197B" w:rsidP="00AD197B">
            <w:pPr>
              <w:spacing w:before="120" w:after="120"/>
              <w:rPr>
                <w:rFonts w:asciiTheme="minorHAnsi" w:hAnsiTheme="minorHAnsi"/>
                <w:szCs w:val="22"/>
              </w:rPr>
            </w:pPr>
            <w:r>
              <w:rPr>
                <w:rFonts w:asciiTheme="minorHAnsi" w:hAnsiTheme="minorHAnsi"/>
                <w:szCs w:val="22"/>
              </w:rPr>
              <w:t>Nick Henderson</w:t>
            </w:r>
            <w:r w:rsidR="008C6B17">
              <w:rPr>
                <w:rFonts w:asciiTheme="minorHAnsi" w:hAnsiTheme="minorHAnsi"/>
                <w:szCs w:val="22"/>
              </w:rPr>
              <w:t xml:space="preserve"> Assistant Secretary, Department of Health</w:t>
            </w:r>
          </w:p>
        </w:tc>
        <w:tc>
          <w:tcPr>
            <w:tcW w:w="2235" w:type="dxa"/>
            <w:shd w:val="clear" w:color="auto" w:fill="auto"/>
            <w:vAlign w:val="center"/>
          </w:tcPr>
          <w:p w14:paraId="6CAEF0E3" w14:textId="77777777" w:rsidR="008C6B17" w:rsidRPr="008C6B17" w:rsidRDefault="008C6B17" w:rsidP="002B38C9">
            <w:pPr>
              <w:spacing w:before="120" w:after="120"/>
              <w:rPr>
                <w:rFonts w:asciiTheme="minorHAnsi" w:hAnsiTheme="minorHAnsi"/>
                <w:szCs w:val="22"/>
              </w:rPr>
            </w:pPr>
            <w:r>
              <w:rPr>
                <w:rFonts w:asciiTheme="minorHAnsi" w:hAnsiTheme="minorHAnsi"/>
                <w:szCs w:val="22"/>
              </w:rPr>
              <w:t>Annual update and review</w:t>
            </w:r>
          </w:p>
        </w:tc>
      </w:tr>
      <w:tr w:rsidR="00936B41" w:rsidRPr="00D47B85" w14:paraId="49ADD12E" w14:textId="77777777" w:rsidTr="00391F88">
        <w:tc>
          <w:tcPr>
            <w:tcW w:w="2019" w:type="dxa"/>
            <w:shd w:val="clear" w:color="auto" w:fill="auto"/>
            <w:vAlign w:val="center"/>
          </w:tcPr>
          <w:p w14:paraId="02A81282" w14:textId="77777777" w:rsidR="00936B41" w:rsidRPr="00D47B85" w:rsidRDefault="00936B41" w:rsidP="002B38C9">
            <w:pPr>
              <w:spacing w:before="120" w:after="120"/>
              <w:rPr>
                <w:rFonts w:asciiTheme="minorHAnsi" w:hAnsiTheme="minorHAnsi" w:cstheme="minorHAnsi"/>
                <w:szCs w:val="22"/>
              </w:rPr>
            </w:pPr>
            <w:r w:rsidRPr="00D47B85">
              <w:rPr>
                <w:rFonts w:asciiTheme="minorHAnsi" w:hAnsiTheme="minorHAnsi" w:cstheme="minorHAnsi"/>
                <w:szCs w:val="22"/>
              </w:rPr>
              <w:t>10/</w:t>
            </w:r>
            <w:r w:rsidR="00D47B85">
              <w:rPr>
                <w:rFonts w:asciiTheme="minorHAnsi" w:hAnsiTheme="minorHAnsi" w:cstheme="minorHAnsi"/>
                <w:szCs w:val="22"/>
              </w:rPr>
              <w:t>11/</w:t>
            </w:r>
            <w:r w:rsidRPr="00D47B85">
              <w:rPr>
                <w:rFonts w:asciiTheme="minorHAnsi" w:hAnsiTheme="minorHAnsi" w:cstheme="minorHAnsi"/>
                <w:szCs w:val="22"/>
              </w:rPr>
              <w:t>2019</w:t>
            </w:r>
          </w:p>
        </w:tc>
        <w:tc>
          <w:tcPr>
            <w:tcW w:w="2268" w:type="dxa"/>
            <w:shd w:val="clear" w:color="auto" w:fill="auto"/>
            <w:vAlign w:val="center"/>
          </w:tcPr>
          <w:p w14:paraId="04DAC72B" w14:textId="77777777" w:rsidR="00936B41" w:rsidRPr="00D47B85" w:rsidRDefault="00936B41">
            <w:pPr>
              <w:spacing w:before="120" w:after="120"/>
              <w:rPr>
                <w:rFonts w:asciiTheme="minorHAnsi" w:hAnsiTheme="minorHAnsi" w:cstheme="minorHAnsi"/>
                <w:szCs w:val="22"/>
              </w:rPr>
            </w:pPr>
            <w:r w:rsidRPr="00D47B85">
              <w:rPr>
                <w:rFonts w:asciiTheme="minorHAnsi" w:hAnsiTheme="minorHAnsi" w:cstheme="minorHAnsi"/>
                <w:szCs w:val="22"/>
              </w:rPr>
              <w:t>Update of actual results for 2018-19</w:t>
            </w:r>
          </w:p>
        </w:tc>
        <w:tc>
          <w:tcPr>
            <w:tcW w:w="2409" w:type="dxa"/>
            <w:shd w:val="clear" w:color="auto" w:fill="auto"/>
            <w:vAlign w:val="center"/>
          </w:tcPr>
          <w:p w14:paraId="58176A1B" w14:textId="77777777" w:rsidR="00936B41" w:rsidRPr="00D47B85" w:rsidRDefault="00391F88" w:rsidP="00391F88">
            <w:pPr>
              <w:spacing w:after="0"/>
              <w:rPr>
                <w:rFonts w:asciiTheme="minorHAnsi" w:hAnsiTheme="minorHAnsi" w:cstheme="minorHAnsi"/>
                <w:szCs w:val="22"/>
              </w:rPr>
            </w:pPr>
            <w:r w:rsidRPr="00D47B85">
              <w:rPr>
                <w:rFonts w:asciiTheme="minorHAnsi" w:hAnsiTheme="minorHAnsi" w:cstheme="minorHAnsi"/>
                <w:szCs w:val="22"/>
              </w:rPr>
              <w:t>David Weiss</w:t>
            </w:r>
            <w:r w:rsidR="004616AA" w:rsidRPr="00D47B85">
              <w:rPr>
                <w:rFonts w:asciiTheme="minorHAnsi" w:hAnsiTheme="minorHAnsi" w:cstheme="minorHAnsi"/>
                <w:szCs w:val="22"/>
              </w:rPr>
              <w:t>,</w:t>
            </w:r>
          </w:p>
          <w:p w14:paraId="154E6219" w14:textId="77777777" w:rsidR="004616AA" w:rsidRPr="00D47B85" w:rsidRDefault="00391F88" w:rsidP="00391F88">
            <w:pPr>
              <w:spacing w:after="0"/>
              <w:rPr>
                <w:rFonts w:asciiTheme="minorHAnsi" w:hAnsiTheme="minorHAnsi" w:cstheme="minorHAnsi"/>
                <w:szCs w:val="22"/>
              </w:rPr>
            </w:pPr>
            <w:r w:rsidRPr="00D47B85">
              <w:rPr>
                <w:rFonts w:asciiTheme="minorHAnsi" w:hAnsiTheme="minorHAnsi" w:cstheme="minorHAnsi"/>
                <w:szCs w:val="22"/>
              </w:rPr>
              <w:t xml:space="preserve">First Assistant </w:t>
            </w:r>
            <w:r w:rsidR="004616AA" w:rsidRPr="00D47B85">
              <w:rPr>
                <w:rFonts w:asciiTheme="minorHAnsi" w:hAnsiTheme="minorHAnsi" w:cstheme="minorHAnsi"/>
                <w:szCs w:val="22"/>
              </w:rPr>
              <w:t>Secretary,</w:t>
            </w:r>
          </w:p>
          <w:p w14:paraId="7B160A88" w14:textId="77777777" w:rsidR="004616AA" w:rsidRPr="00D47B85" w:rsidRDefault="004616AA" w:rsidP="00391F88">
            <w:pPr>
              <w:spacing w:after="60"/>
              <w:rPr>
                <w:rFonts w:asciiTheme="minorHAnsi" w:hAnsiTheme="minorHAnsi" w:cstheme="minorHAnsi"/>
                <w:szCs w:val="22"/>
              </w:rPr>
            </w:pPr>
            <w:r w:rsidRPr="00D47B85">
              <w:rPr>
                <w:rFonts w:asciiTheme="minorHAnsi" w:hAnsiTheme="minorHAnsi" w:cstheme="minorHAnsi"/>
                <w:szCs w:val="22"/>
              </w:rPr>
              <w:t>Department of Health</w:t>
            </w:r>
          </w:p>
        </w:tc>
        <w:tc>
          <w:tcPr>
            <w:tcW w:w="2235" w:type="dxa"/>
            <w:shd w:val="clear" w:color="auto" w:fill="auto"/>
            <w:vAlign w:val="center"/>
          </w:tcPr>
          <w:p w14:paraId="179EFF1E" w14:textId="77777777" w:rsidR="00936B41" w:rsidRPr="00D47B85" w:rsidRDefault="004616AA" w:rsidP="00391F88">
            <w:pPr>
              <w:spacing w:after="60"/>
              <w:rPr>
                <w:rFonts w:asciiTheme="minorHAnsi" w:hAnsiTheme="minorHAnsi" w:cstheme="minorHAnsi"/>
                <w:szCs w:val="22"/>
              </w:rPr>
            </w:pPr>
            <w:r w:rsidRPr="00D47B85">
              <w:rPr>
                <w:rFonts w:asciiTheme="minorHAnsi" w:hAnsiTheme="minorHAnsi" w:cstheme="minorHAnsi"/>
                <w:szCs w:val="22"/>
              </w:rPr>
              <w:t>Update actual results and revised forward estimates</w:t>
            </w:r>
          </w:p>
        </w:tc>
      </w:tr>
      <w:tr w:rsidR="001734BA" w:rsidRPr="001734BA" w14:paraId="0980D5FA" w14:textId="77777777" w:rsidTr="004D1339">
        <w:trPr>
          <w:trHeight w:val="1328"/>
        </w:trPr>
        <w:tc>
          <w:tcPr>
            <w:tcW w:w="2019" w:type="dxa"/>
            <w:shd w:val="clear" w:color="auto" w:fill="auto"/>
            <w:vAlign w:val="center"/>
          </w:tcPr>
          <w:p w14:paraId="2C3E9CCA" w14:textId="77777777" w:rsidR="001734BA" w:rsidRPr="001734BA" w:rsidRDefault="00231BCE" w:rsidP="00776408">
            <w:pPr>
              <w:spacing w:before="120" w:after="120"/>
              <w:rPr>
                <w:rFonts w:asciiTheme="minorHAnsi" w:hAnsiTheme="minorHAnsi" w:cstheme="minorHAnsi"/>
                <w:szCs w:val="22"/>
              </w:rPr>
            </w:pPr>
            <w:r>
              <w:rPr>
                <w:rFonts w:asciiTheme="minorHAnsi" w:hAnsiTheme="minorHAnsi" w:cstheme="minorHAnsi"/>
                <w:szCs w:val="22"/>
              </w:rPr>
              <w:t>25</w:t>
            </w:r>
            <w:r w:rsidR="001734BA" w:rsidRPr="001734BA">
              <w:rPr>
                <w:rFonts w:asciiTheme="minorHAnsi" w:hAnsiTheme="minorHAnsi" w:cstheme="minorHAnsi"/>
                <w:szCs w:val="22"/>
              </w:rPr>
              <w:t>/0</w:t>
            </w:r>
            <w:r w:rsidR="00776408">
              <w:rPr>
                <w:rFonts w:asciiTheme="minorHAnsi" w:hAnsiTheme="minorHAnsi" w:cstheme="minorHAnsi"/>
                <w:szCs w:val="22"/>
              </w:rPr>
              <w:t>6</w:t>
            </w:r>
            <w:r w:rsidR="001734BA" w:rsidRPr="001734BA">
              <w:rPr>
                <w:rFonts w:asciiTheme="minorHAnsi" w:hAnsiTheme="minorHAnsi" w:cstheme="minorHAnsi"/>
                <w:szCs w:val="22"/>
              </w:rPr>
              <w:t>/2020</w:t>
            </w:r>
          </w:p>
        </w:tc>
        <w:tc>
          <w:tcPr>
            <w:tcW w:w="2268" w:type="dxa"/>
            <w:shd w:val="clear" w:color="auto" w:fill="auto"/>
            <w:vAlign w:val="center"/>
          </w:tcPr>
          <w:p w14:paraId="7911CB5E" w14:textId="77777777" w:rsidR="001734BA" w:rsidRPr="001734BA" w:rsidRDefault="001734BA" w:rsidP="00000339">
            <w:pPr>
              <w:spacing w:before="120" w:after="120"/>
              <w:rPr>
                <w:rFonts w:asciiTheme="minorHAnsi" w:hAnsiTheme="minorHAnsi" w:cstheme="minorHAnsi"/>
                <w:szCs w:val="22"/>
              </w:rPr>
            </w:pPr>
            <w:r>
              <w:rPr>
                <w:rFonts w:asciiTheme="minorHAnsi" w:hAnsiTheme="minorHAnsi" w:cstheme="minorHAnsi"/>
                <w:szCs w:val="22"/>
              </w:rPr>
              <w:t>Annual update of CRIS</w:t>
            </w:r>
            <w:r w:rsidR="004D1339">
              <w:rPr>
                <w:rFonts w:asciiTheme="minorHAnsi" w:hAnsiTheme="minorHAnsi" w:cstheme="minorHAnsi"/>
                <w:szCs w:val="22"/>
              </w:rPr>
              <w:t xml:space="preserve"> and</w:t>
            </w:r>
            <w:r w:rsidR="00380E8C">
              <w:rPr>
                <w:rFonts w:asciiTheme="minorHAnsi" w:hAnsiTheme="minorHAnsi" w:cstheme="minorHAnsi"/>
                <w:szCs w:val="22"/>
              </w:rPr>
              <w:t xml:space="preserve"> </w:t>
            </w:r>
            <w:r w:rsidR="006F74CC">
              <w:rPr>
                <w:rFonts w:asciiTheme="minorHAnsi" w:hAnsiTheme="minorHAnsi" w:cstheme="minorHAnsi"/>
                <w:szCs w:val="22"/>
              </w:rPr>
              <w:t xml:space="preserve">application </w:t>
            </w:r>
            <w:r w:rsidR="00170EF9">
              <w:rPr>
                <w:rFonts w:asciiTheme="minorHAnsi" w:hAnsiTheme="minorHAnsi" w:cstheme="minorHAnsi"/>
                <w:szCs w:val="22"/>
              </w:rPr>
              <w:t>fee</w:t>
            </w:r>
            <w:r w:rsidR="006F74CC">
              <w:rPr>
                <w:rFonts w:asciiTheme="minorHAnsi" w:hAnsiTheme="minorHAnsi" w:cstheme="minorHAnsi"/>
                <w:szCs w:val="22"/>
              </w:rPr>
              <w:t xml:space="preserve"> </w:t>
            </w:r>
            <w:r w:rsidR="00986DA0">
              <w:rPr>
                <w:rFonts w:asciiTheme="minorHAnsi" w:hAnsiTheme="minorHAnsi" w:cstheme="minorHAnsi"/>
                <w:szCs w:val="22"/>
              </w:rPr>
              <w:t>indexation</w:t>
            </w:r>
            <w:r w:rsidR="006F74CC">
              <w:rPr>
                <w:rFonts w:asciiTheme="minorHAnsi" w:hAnsiTheme="minorHAnsi" w:cstheme="minorHAnsi"/>
                <w:szCs w:val="22"/>
              </w:rPr>
              <w:t>.</w:t>
            </w:r>
          </w:p>
        </w:tc>
        <w:tc>
          <w:tcPr>
            <w:tcW w:w="2409" w:type="dxa"/>
            <w:shd w:val="clear" w:color="auto" w:fill="auto"/>
            <w:vAlign w:val="center"/>
          </w:tcPr>
          <w:p w14:paraId="3AB3DB1F" w14:textId="77777777" w:rsidR="001734BA" w:rsidRDefault="00000339" w:rsidP="001734BA">
            <w:pPr>
              <w:spacing w:before="120" w:after="120"/>
              <w:rPr>
                <w:rFonts w:asciiTheme="minorHAnsi" w:hAnsiTheme="minorHAnsi" w:cstheme="minorHAnsi"/>
                <w:szCs w:val="22"/>
              </w:rPr>
            </w:pPr>
            <w:r>
              <w:rPr>
                <w:rFonts w:asciiTheme="minorHAnsi" w:hAnsiTheme="minorHAnsi" w:cstheme="minorHAnsi"/>
                <w:szCs w:val="22"/>
              </w:rPr>
              <w:t>Paul McBride</w:t>
            </w:r>
          </w:p>
          <w:p w14:paraId="20EA0569" w14:textId="77777777" w:rsidR="00000339" w:rsidRPr="001734BA" w:rsidRDefault="00000339" w:rsidP="001734BA">
            <w:pPr>
              <w:spacing w:before="120" w:after="120"/>
              <w:rPr>
                <w:rFonts w:asciiTheme="minorHAnsi" w:hAnsiTheme="minorHAnsi" w:cstheme="minorHAnsi"/>
                <w:szCs w:val="22"/>
              </w:rPr>
            </w:pPr>
            <w:r>
              <w:rPr>
                <w:rFonts w:asciiTheme="minorHAnsi" w:hAnsiTheme="minorHAnsi" w:cstheme="minorHAnsi"/>
                <w:szCs w:val="22"/>
              </w:rPr>
              <w:t>First Assistant Secretary, Department of Health</w:t>
            </w:r>
          </w:p>
        </w:tc>
        <w:tc>
          <w:tcPr>
            <w:tcW w:w="2235" w:type="dxa"/>
            <w:shd w:val="clear" w:color="auto" w:fill="auto"/>
            <w:vAlign w:val="center"/>
          </w:tcPr>
          <w:p w14:paraId="4CDE5C1E" w14:textId="77777777" w:rsidR="001734BA" w:rsidRPr="001734BA" w:rsidRDefault="001734BA" w:rsidP="001734BA">
            <w:pPr>
              <w:spacing w:before="120" w:after="120"/>
              <w:rPr>
                <w:rFonts w:asciiTheme="minorHAnsi" w:hAnsiTheme="minorHAnsi" w:cstheme="minorHAnsi"/>
                <w:szCs w:val="22"/>
              </w:rPr>
            </w:pPr>
            <w:r>
              <w:rPr>
                <w:rFonts w:asciiTheme="minorHAnsi" w:hAnsiTheme="minorHAnsi" w:cstheme="minorHAnsi"/>
                <w:szCs w:val="22"/>
              </w:rPr>
              <w:t>Annual update and review</w:t>
            </w:r>
          </w:p>
        </w:tc>
      </w:tr>
      <w:tr w:rsidR="0024563F" w:rsidRPr="001734BA" w14:paraId="2015723B" w14:textId="77777777" w:rsidTr="00391F88">
        <w:tc>
          <w:tcPr>
            <w:tcW w:w="2019" w:type="dxa"/>
            <w:shd w:val="clear" w:color="auto" w:fill="auto"/>
            <w:vAlign w:val="center"/>
          </w:tcPr>
          <w:p w14:paraId="2E9D7A97" w14:textId="77777777" w:rsidR="0024563F" w:rsidRPr="003E451D" w:rsidRDefault="0021562C" w:rsidP="00776408">
            <w:pPr>
              <w:spacing w:before="120" w:after="120"/>
              <w:rPr>
                <w:rFonts w:asciiTheme="minorHAnsi" w:hAnsiTheme="minorHAnsi" w:cstheme="minorHAnsi"/>
                <w:szCs w:val="22"/>
              </w:rPr>
            </w:pPr>
            <w:r>
              <w:rPr>
                <w:rFonts w:asciiTheme="minorHAnsi" w:hAnsiTheme="minorHAnsi" w:cstheme="minorHAnsi"/>
                <w:szCs w:val="22"/>
              </w:rPr>
              <w:t>26</w:t>
            </w:r>
            <w:r w:rsidR="0024563F" w:rsidRPr="003E451D">
              <w:rPr>
                <w:rFonts w:asciiTheme="minorHAnsi" w:hAnsiTheme="minorHAnsi" w:cstheme="minorHAnsi"/>
                <w:szCs w:val="22"/>
              </w:rPr>
              <w:t>/11/2021</w:t>
            </w:r>
          </w:p>
        </w:tc>
        <w:tc>
          <w:tcPr>
            <w:tcW w:w="2268" w:type="dxa"/>
            <w:shd w:val="clear" w:color="auto" w:fill="auto"/>
            <w:vAlign w:val="center"/>
          </w:tcPr>
          <w:p w14:paraId="6A74B11E" w14:textId="77777777" w:rsidR="0024563F" w:rsidRPr="003E451D" w:rsidRDefault="0024563F" w:rsidP="00000339">
            <w:pPr>
              <w:spacing w:before="120" w:after="120"/>
              <w:rPr>
                <w:rFonts w:asciiTheme="minorHAnsi" w:hAnsiTheme="minorHAnsi" w:cstheme="minorHAnsi"/>
                <w:szCs w:val="22"/>
              </w:rPr>
            </w:pPr>
            <w:r w:rsidRPr="003E451D">
              <w:rPr>
                <w:rFonts w:asciiTheme="minorHAnsi" w:hAnsiTheme="minorHAnsi" w:cstheme="minorHAnsi"/>
                <w:szCs w:val="22"/>
              </w:rPr>
              <w:t>Update of actual results for 2019-20</w:t>
            </w:r>
          </w:p>
        </w:tc>
        <w:tc>
          <w:tcPr>
            <w:tcW w:w="2409" w:type="dxa"/>
            <w:shd w:val="clear" w:color="auto" w:fill="auto"/>
            <w:vAlign w:val="center"/>
          </w:tcPr>
          <w:p w14:paraId="19BBC9EE" w14:textId="77777777" w:rsidR="000032EE" w:rsidRDefault="000032EE" w:rsidP="000032EE">
            <w:pPr>
              <w:spacing w:before="120" w:after="120"/>
              <w:rPr>
                <w:rFonts w:asciiTheme="minorHAnsi" w:hAnsiTheme="minorHAnsi" w:cstheme="minorHAnsi"/>
                <w:szCs w:val="22"/>
              </w:rPr>
            </w:pPr>
            <w:r>
              <w:rPr>
                <w:rFonts w:asciiTheme="minorHAnsi" w:hAnsiTheme="minorHAnsi" w:cstheme="minorHAnsi"/>
                <w:szCs w:val="22"/>
              </w:rPr>
              <w:t>Paul McBride</w:t>
            </w:r>
          </w:p>
          <w:p w14:paraId="543E76DE" w14:textId="77777777" w:rsidR="0024563F" w:rsidRPr="003E451D" w:rsidRDefault="000032EE" w:rsidP="000032EE">
            <w:pPr>
              <w:spacing w:before="120" w:after="120"/>
              <w:rPr>
                <w:rFonts w:asciiTheme="minorHAnsi" w:hAnsiTheme="minorHAnsi" w:cstheme="minorHAnsi"/>
                <w:szCs w:val="22"/>
              </w:rPr>
            </w:pPr>
            <w:r>
              <w:rPr>
                <w:rFonts w:asciiTheme="minorHAnsi" w:hAnsiTheme="minorHAnsi" w:cstheme="minorHAnsi"/>
                <w:szCs w:val="22"/>
              </w:rPr>
              <w:t>First Assistant Secretary, Department of Health</w:t>
            </w:r>
          </w:p>
        </w:tc>
        <w:tc>
          <w:tcPr>
            <w:tcW w:w="2235" w:type="dxa"/>
            <w:shd w:val="clear" w:color="auto" w:fill="auto"/>
            <w:vAlign w:val="center"/>
          </w:tcPr>
          <w:p w14:paraId="7B630075" w14:textId="77777777" w:rsidR="0024563F" w:rsidRPr="003E451D" w:rsidRDefault="000032EE" w:rsidP="001734BA">
            <w:pPr>
              <w:spacing w:before="120" w:after="120"/>
              <w:rPr>
                <w:rFonts w:asciiTheme="minorHAnsi" w:hAnsiTheme="minorHAnsi" w:cstheme="minorHAnsi"/>
                <w:szCs w:val="22"/>
              </w:rPr>
            </w:pPr>
            <w:r w:rsidRPr="003E451D">
              <w:rPr>
                <w:rFonts w:asciiTheme="minorHAnsi" w:hAnsiTheme="minorHAnsi" w:cstheme="minorHAnsi"/>
                <w:szCs w:val="22"/>
              </w:rPr>
              <w:t>Update actual results</w:t>
            </w:r>
          </w:p>
        </w:tc>
      </w:tr>
      <w:tr w:rsidR="004D1339" w:rsidRPr="001734BA" w14:paraId="21B726E6" w14:textId="77777777" w:rsidTr="00391F88">
        <w:tc>
          <w:tcPr>
            <w:tcW w:w="2019" w:type="dxa"/>
            <w:shd w:val="clear" w:color="auto" w:fill="auto"/>
            <w:vAlign w:val="center"/>
          </w:tcPr>
          <w:p w14:paraId="71CC004C" w14:textId="77777777" w:rsidR="004D1339" w:rsidRPr="00520383" w:rsidRDefault="001E57B8" w:rsidP="004D1339">
            <w:pPr>
              <w:spacing w:before="120" w:after="120"/>
              <w:rPr>
                <w:rFonts w:asciiTheme="minorHAnsi" w:hAnsiTheme="minorHAnsi" w:cstheme="minorHAnsi"/>
                <w:szCs w:val="22"/>
              </w:rPr>
            </w:pPr>
            <w:r>
              <w:rPr>
                <w:rFonts w:asciiTheme="minorHAnsi" w:hAnsiTheme="minorHAnsi" w:cstheme="minorHAnsi"/>
                <w:szCs w:val="22"/>
              </w:rPr>
              <w:t>19/05</w:t>
            </w:r>
            <w:r w:rsidR="004D1339" w:rsidRPr="00520383">
              <w:rPr>
                <w:rFonts w:asciiTheme="minorHAnsi" w:hAnsiTheme="minorHAnsi" w:cstheme="minorHAnsi"/>
                <w:szCs w:val="22"/>
              </w:rPr>
              <w:t>/2021</w:t>
            </w:r>
          </w:p>
        </w:tc>
        <w:tc>
          <w:tcPr>
            <w:tcW w:w="2268" w:type="dxa"/>
            <w:shd w:val="clear" w:color="auto" w:fill="auto"/>
            <w:vAlign w:val="center"/>
          </w:tcPr>
          <w:p w14:paraId="3A344CA9" w14:textId="77777777" w:rsidR="004D1339" w:rsidRPr="001734BA" w:rsidRDefault="004D1339" w:rsidP="004D1339">
            <w:pPr>
              <w:spacing w:before="120" w:after="120"/>
              <w:rPr>
                <w:rFonts w:asciiTheme="minorHAnsi" w:hAnsiTheme="minorHAnsi" w:cstheme="minorHAnsi"/>
                <w:szCs w:val="22"/>
              </w:rPr>
            </w:pPr>
            <w:r>
              <w:rPr>
                <w:rFonts w:asciiTheme="minorHAnsi" w:hAnsiTheme="minorHAnsi" w:cstheme="minorHAnsi"/>
                <w:szCs w:val="22"/>
              </w:rPr>
              <w:t>Annual update of CRIS and application fee indexation.</w:t>
            </w:r>
          </w:p>
        </w:tc>
        <w:tc>
          <w:tcPr>
            <w:tcW w:w="2409" w:type="dxa"/>
            <w:shd w:val="clear" w:color="auto" w:fill="auto"/>
            <w:vAlign w:val="center"/>
          </w:tcPr>
          <w:p w14:paraId="036DBC5A" w14:textId="77777777" w:rsidR="004D1339" w:rsidRDefault="004D1339" w:rsidP="004D1339">
            <w:pPr>
              <w:spacing w:before="120" w:after="120"/>
              <w:rPr>
                <w:rFonts w:asciiTheme="minorHAnsi" w:hAnsiTheme="minorHAnsi" w:cstheme="minorHAnsi"/>
                <w:szCs w:val="22"/>
              </w:rPr>
            </w:pPr>
            <w:r>
              <w:rPr>
                <w:rFonts w:asciiTheme="minorHAnsi" w:hAnsiTheme="minorHAnsi" w:cstheme="minorHAnsi"/>
                <w:szCs w:val="22"/>
              </w:rPr>
              <w:t>Paul McBride</w:t>
            </w:r>
          </w:p>
          <w:p w14:paraId="23DF6AB7" w14:textId="77777777" w:rsidR="004D1339" w:rsidRPr="001734BA" w:rsidRDefault="004D1339" w:rsidP="004D1339">
            <w:pPr>
              <w:spacing w:before="120" w:after="120"/>
              <w:rPr>
                <w:rFonts w:asciiTheme="minorHAnsi" w:hAnsiTheme="minorHAnsi" w:cstheme="minorHAnsi"/>
                <w:szCs w:val="22"/>
              </w:rPr>
            </w:pPr>
            <w:r>
              <w:rPr>
                <w:rFonts w:asciiTheme="minorHAnsi" w:hAnsiTheme="minorHAnsi" w:cstheme="minorHAnsi"/>
                <w:szCs w:val="22"/>
              </w:rPr>
              <w:t>First Assistant Secretary, Department of Health</w:t>
            </w:r>
          </w:p>
        </w:tc>
        <w:tc>
          <w:tcPr>
            <w:tcW w:w="2235" w:type="dxa"/>
            <w:shd w:val="clear" w:color="auto" w:fill="auto"/>
            <w:vAlign w:val="center"/>
          </w:tcPr>
          <w:p w14:paraId="4D0DB3CA" w14:textId="77777777" w:rsidR="004D1339" w:rsidRPr="001734BA" w:rsidRDefault="004D1339" w:rsidP="004D1339">
            <w:pPr>
              <w:spacing w:before="120" w:after="120"/>
              <w:rPr>
                <w:rFonts w:asciiTheme="minorHAnsi" w:hAnsiTheme="minorHAnsi" w:cstheme="minorHAnsi"/>
                <w:szCs w:val="22"/>
              </w:rPr>
            </w:pPr>
            <w:r>
              <w:rPr>
                <w:rFonts w:asciiTheme="minorHAnsi" w:hAnsiTheme="minorHAnsi" w:cstheme="minorHAnsi"/>
                <w:szCs w:val="22"/>
              </w:rPr>
              <w:t>Annual update and review</w:t>
            </w:r>
          </w:p>
        </w:tc>
      </w:tr>
    </w:tbl>
    <w:p w14:paraId="0A5C0938" w14:textId="77777777" w:rsidR="00EF1087" w:rsidRPr="00AB20F0" w:rsidRDefault="00EF1087" w:rsidP="00F83A94">
      <w:bookmarkStart w:id="11" w:name="_Attachment_A:_Second-tier"/>
      <w:bookmarkEnd w:id="11"/>
    </w:p>
    <w:sectPr w:rsidR="00EF1087" w:rsidRPr="00AB20F0" w:rsidSect="003917D5">
      <w:footerReference w:type="default" r:id="rId10"/>
      <w:headerReference w:type="first" r:id="rId11"/>
      <w:pgSz w:w="11907" w:h="16839" w:code="9"/>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1BD533" w14:textId="77777777" w:rsidR="00B84412" w:rsidRDefault="00B84412" w:rsidP="008B679D">
      <w:r>
        <w:separator/>
      </w:r>
    </w:p>
  </w:endnote>
  <w:endnote w:type="continuationSeparator" w:id="0">
    <w:p w14:paraId="368EFA74" w14:textId="77777777" w:rsidR="00B84412" w:rsidRDefault="00B84412" w:rsidP="008B67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29709867"/>
      <w:docPartObj>
        <w:docPartGallery w:val="Page Numbers (Bottom of Page)"/>
        <w:docPartUnique/>
      </w:docPartObj>
    </w:sdtPr>
    <w:sdtEndPr/>
    <w:sdtContent>
      <w:sdt>
        <w:sdtPr>
          <w:id w:val="860082579"/>
          <w:docPartObj>
            <w:docPartGallery w:val="Page Numbers (Top of Page)"/>
            <w:docPartUnique/>
          </w:docPartObj>
        </w:sdtPr>
        <w:sdtEndPr/>
        <w:sdtContent>
          <w:p w14:paraId="5BB03445" w14:textId="77777777" w:rsidR="009D57FA" w:rsidRDefault="009D57FA" w:rsidP="00391F88">
            <w:pPr>
              <w:pStyle w:val="Footer"/>
              <w:jc w:val="right"/>
            </w:pPr>
            <w:r>
              <w:t xml:space="preserve">Page </w:t>
            </w:r>
            <w:r>
              <w:rPr>
                <w:b/>
                <w:bCs/>
              </w:rPr>
              <w:fldChar w:fldCharType="begin"/>
            </w:r>
            <w:r>
              <w:rPr>
                <w:b/>
                <w:bCs/>
              </w:rPr>
              <w:instrText xml:space="preserve"> PAGE </w:instrText>
            </w:r>
            <w:r>
              <w:rPr>
                <w:b/>
                <w:bCs/>
              </w:rPr>
              <w:fldChar w:fldCharType="separate"/>
            </w:r>
            <w:r w:rsidR="001E57B8">
              <w:rPr>
                <w:b/>
                <w:bCs/>
                <w:noProof/>
              </w:rPr>
              <w:t>8</w:t>
            </w:r>
            <w:r>
              <w:rPr>
                <w:b/>
                <w:bCs/>
              </w:rPr>
              <w:fldChar w:fldCharType="end"/>
            </w:r>
            <w:r>
              <w:t xml:space="preserve"> of </w:t>
            </w:r>
            <w:r>
              <w:rPr>
                <w:b/>
                <w:bCs/>
              </w:rPr>
              <w:fldChar w:fldCharType="begin"/>
            </w:r>
            <w:r>
              <w:rPr>
                <w:b/>
                <w:bCs/>
              </w:rPr>
              <w:instrText xml:space="preserve"> NUMPAGES  </w:instrText>
            </w:r>
            <w:r>
              <w:rPr>
                <w:b/>
                <w:bCs/>
              </w:rPr>
              <w:fldChar w:fldCharType="separate"/>
            </w:r>
            <w:r w:rsidR="001E57B8">
              <w:rPr>
                <w:b/>
                <w:bCs/>
                <w:noProof/>
              </w:rPr>
              <w:t>8</w:t>
            </w:r>
            <w:r>
              <w:rPr>
                <w:b/>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DA5DA6" w14:textId="77777777" w:rsidR="00B84412" w:rsidRDefault="00B84412" w:rsidP="008B679D">
      <w:r>
        <w:separator/>
      </w:r>
    </w:p>
  </w:footnote>
  <w:footnote w:type="continuationSeparator" w:id="0">
    <w:p w14:paraId="4E83048E" w14:textId="77777777" w:rsidR="00B84412" w:rsidRDefault="00B84412" w:rsidP="008B679D">
      <w:r>
        <w:continuationSeparator/>
      </w:r>
    </w:p>
  </w:footnote>
  <w:footnote w:id="1">
    <w:p w14:paraId="61572AB0" w14:textId="77777777" w:rsidR="009D57FA" w:rsidRPr="006A2116" w:rsidRDefault="009D57FA" w:rsidP="006E0A30">
      <w:pPr>
        <w:pStyle w:val="FootnoteText"/>
      </w:pPr>
      <w:r w:rsidRPr="00101163">
        <w:rPr>
          <w:rStyle w:val="FootnoteReference"/>
        </w:rPr>
        <w:footnoteRef/>
      </w:r>
      <w:r w:rsidRPr="00101163">
        <w:t xml:space="preserve"> </w:t>
      </w:r>
      <w:r>
        <w:t xml:space="preserve">The Australian Government Charging Framework and the CRGs are available on the </w:t>
      </w:r>
      <w:hyperlink r:id="rId1" w:history="1">
        <w:r w:rsidRPr="00890923">
          <w:rPr>
            <w:rStyle w:val="Hyperlink"/>
          </w:rPr>
          <w:t>Department of Finance website</w:t>
        </w:r>
      </w:hyperlink>
      <w:r w:rsidRPr="006A2116">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338609" w14:textId="77777777" w:rsidR="009D57FA" w:rsidRDefault="009D57FA" w:rsidP="00CA3ADB">
    <w:pPr>
      <w:pStyle w:val="Header"/>
      <w:jc w:val="center"/>
    </w:pPr>
    <w:r w:rsidRPr="00F978FC">
      <w:rPr>
        <w:noProof/>
        <w:lang w:eastAsia="en-AU"/>
      </w:rPr>
      <w:drawing>
        <wp:inline distT="0" distB="0" distL="0" distR="0" wp14:anchorId="010246EF" wp14:editId="4F67EF61">
          <wp:extent cx="1809750" cy="1200150"/>
          <wp:effectExtent l="0" t="0" r="0" b="0"/>
          <wp:docPr id="7" name="Picture 7" descr="Department of Health stacke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partment of Health stacked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9750" cy="12001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90D49"/>
    <w:multiLevelType w:val="hybridMultilevel"/>
    <w:tmpl w:val="B9846B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7A00E94"/>
    <w:multiLevelType w:val="hybridMultilevel"/>
    <w:tmpl w:val="F5348D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B9022C9"/>
    <w:multiLevelType w:val="hybridMultilevel"/>
    <w:tmpl w:val="5906B1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CC60041"/>
    <w:multiLevelType w:val="multilevel"/>
    <w:tmpl w:val="D9DEC78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1827387"/>
    <w:multiLevelType w:val="hybridMultilevel"/>
    <w:tmpl w:val="8C10C5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1BF111E"/>
    <w:multiLevelType w:val="hybridMultilevel"/>
    <w:tmpl w:val="4BF2DBAA"/>
    <w:lvl w:ilvl="0" w:tplc="BB7AA89E">
      <w:start w:val="8"/>
      <w:numFmt w:val="bullet"/>
      <w:lvlText w:val="-"/>
      <w:lvlJc w:val="left"/>
      <w:pPr>
        <w:ind w:left="7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85779FC"/>
    <w:multiLevelType w:val="multilevel"/>
    <w:tmpl w:val="11E499B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4FBC3586"/>
    <w:multiLevelType w:val="hybridMultilevel"/>
    <w:tmpl w:val="77EC2C6C"/>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4F90BE0"/>
    <w:multiLevelType w:val="multilevel"/>
    <w:tmpl w:val="3EC4655A"/>
    <w:lvl w:ilvl="0">
      <w:start w:val="1"/>
      <w:numFmt w:val="decimal"/>
      <w:pStyle w:val="Heading2"/>
      <w:lvlText w:val="%1."/>
      <w:lvlJc w:val="left"/>
      <w:pPr>
        <w:ind w:left="360" w:hanging="360"/>
      </w:pPr>
    </w:lvl>
    <w:lvl w:ilvl="1">
      <w:start w:val="1"/>
      <w:numFmt w:val="decimal"/>
      <w:pStyle w:val="Heading3"/>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BF4381D"/>
    <w:multiLevelType w:val="hybridMultilevel"/>
    <w:tmpl w:val="F98AD7F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703F02DB"/>
    <w:multiLevelType w:val="hybridMultilevel"/>
    <w:tmpl w:val="98A6BF4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1297194"/>
    <w:multiLevelType w:val="hybridMultilevel"/>
    <w:tmpl w:val="8BF823BA"/>
    <w:lvl w:ilvl="0" w:tplc="4C389820">
      <w:numFmt w:val="bullet"/>
      <w:lvlText w:val=""/>
      <w:lvlJc w:val="left"/>
      <w:pPr>
        <w:ind w:left="720" w:hanging="360"/>
      </w:pPr>
      <w:rPr>
        <w:rFonts w:ascii="Symbol" w:eastAsia="Times New Roman" w:hAnsi="Symbol" w:cs="Calibri" w:hint="default"/>
        <w:color w:val="000000"/>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27F520A"/>
    <w:multiLevelType w:val="multilevel"/>
    <w:tmpl w:val="1C6E0C2E"/>
    <w:lvl w:ilvl="0">
      <w:start w:val="1"/>
      <w:numFmt w:val="decimal"/>
      <w:lvlText w:val="%1"/>
      <w:lvlJc w:val="left"/>
      <w:pPr>
        <w:ind w:left="720" w:hanging="720"/>
      </w:pPr>
      <w:rPr>
        <w:rFonts w:eastAsia="Times New Roman" w:hint="default"/>
      </w:rPr>
    </w:lvl>
    <w:lvl w:ilvl="1">
      <w:start w:val="1"/>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2160" w:hanging="2160"/>
      </w:pPr>
      <w:rPr>
        <w:rFonts w:eastAsia="Times New Roman" w:hint="default"/>
      </w:rPr>
    </w:lvl>
  </w:abstractNum>
  <w:abstractNum w:abstractNumId="13" w15:restartNumberingAfterBreak="0">
    <w:nsid w:val="74A650A2"/>
    <w:multiLevelType w:val="hybridMultilevel"/>
    <w:tmpl w:val="3CC825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9E52626"/>
    <w:multiLevelType w:val="multilevel"/>
    <w:tmpl w:val="901AC33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CA648DB"/>
    <w:multiLevelType w:val="multilevel"/>
    <w:tmpl w:val="04090025"/>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pStyle w:val="Heading5"/>
      <w:lvlText w:val="%1.%2.%3.%4.%5"/>
      <w:lvlJc w:val="left"/>
      <w:pPr>
        <w:tabs>
          <w:tab w:val="num" w:pos="1008"/>
        </w:tabs>
        <w:ind w:left="1008" w:hanging="1008"/>
      </w:pPr>
      <w:rPr>
        <w:rFonts w:cs="Times New Roman"/>
      </w:rPr>
    </w:lvl>
    <w:lvl w:ilvl="5">
      <w:start w:val="1"/>
      <w:numFmt w:val="decimal"/>
      <w:pStyle w:val="Heading6"/>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start w:val="1"/>
      <w:numFmt w:val="decimal"/>
      <w:pStyle w:val="Heading9"/>
      <w:lvlText w:val="%1.%2.%3.%4.%5.%6.%7.%8.%9"/>
      <w:lvlJc w:val="left"/>
      <w:pPr>
        <w:tabs>
          <w:tab w:val="num" w:pos="1584"/>
        </w:tabs>
        <w:ind w:left="1584" w:hanging="1584"/>
      </w:pPr>
      <w:rPr>
        <w:rFonts w:cs="Times New Roman"/>
      </w:rPr>
    </w:lvl>
  </w:abstractNum>
  <w:num w:numId="1">
    <w:abstractNumId w:val="15"/>
  </w:num>
  <w:num w:numId="2">
    <w:abstractNumId w:val="5"/>
  </w:num>
  <w:num w:numId="3">
    <w:abstractNumId w:val="0"/>
  </w:num>
  <w:num w:numId="4">
    <w:abstractNumId w:val="1"/>
  </w:num>
  <w:num w:numId="5">
    <w:abstractNumId w:val="10"/>
  </w:num>
  <w:num w:numId="6">
    <w:abstractNumId w:val="14"/>
  </w:num>
  <w:num w:numId="7">
    <w:abstractNumId w:val="3"/>
  </w:num>
  <w:num w:numId="8">
    <w:abstractNumId w:val="12"/>
  </w:num>
  <w:num w:numId="9">
    <w:abstractNumId w:val="8"/>
  </w:num>
  <w:num w:numId="10">
    <w:abstractNumId w:val="6"/>
  </w:num>
  <w:num w:numId="11">
    <w:abstractNumId w:val="13"/>
  </w:num>
  <w:num w:numId="12">
    <w:abstractNumId w:val="2"/>
  </w:num>
  <w:num w:numId="13">
    <w:abstractNumId w:val="4"/>
  </w:num>
  <w:num w:numId="14">
    <w:abstractNumId w:val="8"/>
  </w:num>
  <w:num w:numId="15">
    <w:abstractNumId w:val="9"/>
  </w:num>
  <w:num w:numId="16">
    <w:abstractNumId w:val="7"/>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679D"/>
    <w:rsid w:val="00000339"/>
    <w:rsid w:val="00001A7B"/>
    <w:rsid w:val="000032EE"/>
    <w:rsid w:val="00006CAB"/>
    <w:rsid w:val="000126B8"/>
    <w:rsid w:val="0001668C"/>
    <w:rsid w:val="000170BD"/>
    <w:rsid w:val="00026D0A"/>
    <w:rsid w:val="00030F94"/>
    <w:rsid w:val="00032DCB"/>
    <w:rsid w:val="00033DB6"/>
    <w:rsid w:val="00042C9A"/>
    <w:rsid w:val="000458CC"/>
    <w:rsid w:val="00045A42"/>
    <w:rsid w:val="000467F4"/>
    <w:rsid w:val="000521EA"/>
    <w:rsid w:val="0005223D"/>
    <w:rsid w:val="000525B4"/>
    <w:rsid w:val="0005303F"/>
    <w:rsid w:val="0006382B"/>
    <w:rsid w:val="00064BEC"/>
    <w:rsid w:val="00067E97"/>
    <w:rsid w:val="00072970"/>
    <w:rsid w:val="00074A30"/>
    <w:rsid w:val="00074C45"/>
    <w:rsid w:val="00076936"/>
    <w:rsid w:val="00080B3E"/>
    <w:rsid w:val="00087A76"/>
    <w:rsid w:val="000A2E2B"/>
    <w:rsid w:val="000A3C3C"/>
    <w:rsid w:val="000A6FA2"/>
    <w:rsid w:val="000B00B1"/>
    <w:rsid w:val="000B03A0"/>
    <w:rsid w:val="000B3871"/>
    <w:rsid w:val="000B4500"/>
    <w:rsid w:val="000D65A5"/>
    <w:rsid w:val="000E5C90"/>
    <w:rsid w:val="000E5F02"/>
    <w:rsid w:val="000E68B4"/>
    <w:rsid w:val="000F2337"/>
    <w:rsid w:val="000F401E"/>
    <w:rsid w:val="000F681B"/>
    <w:rsid w:val="00101163"/>
    <w:rsid w:val="0010181F"/>
    <w:rsid w:val="00101A95"/>
    <w:rsid w:val="001052B4"/>
    <w:rsid w:val="00106185"/>
    <w:rsid w:val="00106F93"/>
    <w:rsid w:val="00107407"/>
    <w:rsid w:val="00111001"/>
    <w:rsid w:val="00111EB6"/>
    <w:rsid w:val="00113386"/>
    <w:rsid w:val="00115783"/>
    <w:rsid w:val="001200B9"/>
    <w:rsid w:val="00124196"/>
    <w:rsid w:val="00125C13"/>
    <w:rsid w:val="0013107E"/>
    <w:rsid w:val="0013339C"/>
    <w:rsid w:val="00137622"/>
    <w:rsid w:val="00143AA2"/>
    <w:rsid w:val="001449EF"/>
    <w:rsid w:val="00147FF2"/>
    <w:rsid w:val="00154BC3"/>
    <w:rsid w:val="0016712E"/>
    <w:rsid w:val="00170EF9"/>
    <w:rsid w:val="0017207A"/>
    <w:rsid w:val="001723EF"/>
    <w:rsid w:val="001734BA"/>
    <w:rsid w:val="00175CB3"/>
    <w:rsid w:val="001826EC"/>
    <w:rsid w:val="00183D20"/>
    <w:rsid w:val="001844FE"/>
    <w:rsid w:val="00197648"/>
    <w:rsid w:val="001A2E68"/>
    <w:rsid w:val="001A436C"/>
    <w:rsid w:val="001A473F"/>
    <w:rsid w:val="001A71E6"/>
    <w:rsid w:val="001A7C52"/>
    <w:rsid w:val="001B0211"/>
    <w:rsid w:val="001B79ED"/>
    <w:rsid w:val="001C2990"/>
    <w:rsid w:val="001D0BD7"/>
    <w:rsid w:val="001D1A29"/>
    <w:rsid w:val="001D55C1"/>
    <w:rsid w:val="001E208F"/>
    <w:rsid w:val="001E4AF2"/>
    <w:rsid w:val="001E57B8"/>
    <w:rsid w:val="001F00D0"/>
    <w:rsid w:val="001F10DA"/>
    <w:rsid w:val="001F4FD1"/>
    <w:rsid w:val="00205906"/>
    <w:rsid w:val="00213908"/>
    <w:rsid w:val="0021562C"/>
    <w:rsid w:val="00216E0C"/>
    <w:rsid w:val="002202F4"/>
    <w:rsid w:val="00225415"/>
    <w:rsid w:val="00231BCE"/>
    <w:rsid w:val="00235C26"/>
    <w:rsid w:val="00236122"/>
    <w:rsid w:val="00236B24"/>
    <w:rsid w:val="00242102"/>
    <w:rsid w:val="0024563F"/>
    <w:rsid w:val="00245DA7"/>
    <w:rsid w:val="00247FF2"/>
    <w:rsid w:val="002505EF"/>
    <w:rsid w:val="00250D71"/>
    <w:rsid w:val="00252D3A"/>
    <w:rsid w:val="0025338F"/>
    <w:rsid w:val="0025617E"/>
    <w:rsid w:val="0027444F"/>
    <w:rsid w:val="002767CE"/>
    <w:rsid w:val="002805DD"/>
    <w:rsid w:val="00283C39"/>
    <w:rsid w:val="00283C6A"/>
    <w:rsid w:val="00284234"/>
    <w:rsid w:val="00284763"/>
    <w:rsid w:val="00285AEC"/>
    <w:rsid w:val="00285F10"/>
    <w:rsid w:val="002927AE"/>
    <w:rsid w:val="002A0ECA"/>
    <w:rsid w:val="002A2541"/>
    <w:rsid w:val="002B38C9"/>
    <w:rsid w:val="002B4B21"/>
    <w:rsid w:val="002B727A"/>
    <w:rsid w:val="002C1FE4"/>
    <w:rsid w:val="002C450F"/>
    <w:rsid w:val="002C5D92"/>
    <w:rsid w:val="002D3194"/>
    <w:rsid w:val="002D64FB"/>
    <w:rsid w:val="002E3AC6"/>
    <w:rsid w:val="002E4C0A"/>
    <w:rsid w:val="002E6151"/>
    <w:rsid w:val="002F0754"/>
    <w:rsid w:val="002F09BD"/>
    <w:rsid w:val="002F2431"/>
    <w:rsid w:val="002F36D5"/>
    <w:rsid w:val="002F4F86"/>
    <w:rsid w:val="002F6343"/>
    <w:rsid w:val="003010DB"/>
    <w:rsid w:val="0030399A"/>
    <w:rsid w:val="003066B3"/>
    <w:rsid w:val="003115A0"/>
    <w:rsid w:val="003130A3"/>
    <w:rsid w:val="00314066"/>
    <w:rsid w:val="00316A15"/>
    <w:rsid w:val="00331DB0"/>
    <w:rsid w:val="00334139"/>
    <w:rsid w:val="0033561D"/>
    <w:rsid w:val="0033702C"/>
    <w:rsid w:val="003408B0"/>
    <w:rsid w:val="003434ED"/>
    <w:rsid w:val="00344E86"/>
    <w:rsid w:val="003451BC"/>
    <w:rsid w:val="0035238D"/>
    <w:rsid w:val="00352391"/>
    <w:rsid w:val="00355C27"/>
    <w:rsid w:val="00366F16"/>
    <w:rsid w:val="00366FC4"/>
    <w:rsid w:val="00367B86"/>
    <w:rsid w:val="00372BEA"/>
    <w:rsid w:val="00380E8C"/>
    <w:rsid w:val="00384A9A"/>
    <w:rsid w:val="00384E9E"/>
    <w:rsid w:val="00387E94"/>
    <w:rsid w:val="003915D0"/>
    <w:rsid w:val="003917D5"/>
    <w:rsid w:val="00391F88"/>
    <w:rsid w:val="003A27A7"/>
    <w:rsid w:val="003A662F"/>
    <w:rsid w:val="003B2141"/>
    <w:rsid w:val="003B4085"/>
    <w:rsid w:val="003B57E7"/>
    <w:rsid w:val="003C07F3"/>
    <w:rsid w:val="003C0D81"/>
    <w:rsid w:val="003C16AD"/>
    <w:rsid w:val="003C246E"/>
    <w:rsid w:val="003C3694"/>
    <w:rsid w:val="003C60CC"/>
    <w:rsid w:val="003C784E"/>
    <w:rsid w:val="003D0CCF"/>
    <w:rsid w:val="003D30F2"/>
    <w:rsid w:val="003D520D"/>
    <w:rsid w:val="003D563E"/>
    <w:rsid w:val="003D6B04"/>
    <w:rsid w:val="003E451D"/>
    <w:rsid w:val="003E4A46"/>
    <w:rsid w:val="003E5B3F"/>
    <w:rsid w:val="003E7454"/>
    <w:rsid w:val="003E755B"/>
    <w:rsid w:val="003F1229"/>
    <w:rsid w:val="003F18C1"/>
    <w:rsid w:val="003F2521"/>
    <w:rsid w:val="003F542F"/>
    <w:rsid w:val="003F6B42"/>
    <w:rsid w:val="004008BE"/>
    <w:rsid w:val="0040160E"/>
    <w:rsid w:val="00402E14"/>
    <w:rsid w:val="00414954"/>
    <w:rsid w:val="00422A61"/>
    <w:rsid w:val="00427A84"/>
    <w:rsid w:val="00427B93"/>
    <w:rsid w:val="00430538"/>
    <w:rsid w:val="00440E67"/>
    <w:rsid w:val="00441E28"/>
    <w:rsid w:val="004425C1"/>
    <w:rsid w:val="00447D9B"/>
    <w:rsid w:val="00452E92"/>
    <w:rsid w:val="00453C96"/>
    <w:rsid w:val="0045601A"/>
    <w:rsid w:val="004616AA"/>
    <w:rsid w:val="00463896"/>
    <w:rsid w:val="0046408A"/>
    <w:rsid w:val="00474DEB"/>
    <w:rsid w:val="0048079B"/>
    <w:rsid w:val="00483D5F"/>
    <w:rsid w:val="00485E16"/>
    <w:rsid w:val="00486C44"/>
    <w:rsid w:val="00487CEC"/>
    <w:rsid w:val="0049314F"/>
    <w:rsid w:val="00493B85"/>
    <w:rsid w:val="00494478"/>
    <w:rsid w:val="00494B36"/>
    <w:rsid w:val="00496E56"/>
    <w:rsid w:val="004B20A8"/>
    <w:rsid w:val="004B4210"/>
    <w:rsid w:val="004C1C53"/>
    <w:rsid w:val="004C5CA4"/>
    <w:rsid w:val="004D1339"/>
    <w:rsid w:val="004D2BB0"/>
    <w:rsid w:val="004D2F75"/>
    <w:rsid w:val="004D3D98"/>
    <w:rsid w:val="004D5B01"/>
    <w:rsid w:val="004E11E0"/>
    <w:rsid w:val="004E1B13"/>
    <w:rsid w:val="004E1D91"/>
    <w:rsid w:val="004E60D8"/>
    <w:rsid w:val="004E629E"/>
    <w:rsid w:val="004E665F"/>
    <w:rsid w:val="004F2067"/>
    <w:rsid w:val="004F732F"/>
    <w:rsid w:val="0050056C"/>
    <w:rsid w:val="00504E70"/>
    <w:rsid w:val="00504EA6"/>
    <w:rsid w:val="00506CDB"/>
    <w:rsid w:val="00510FFE"/>
    <w:rsid w:val="00520383"/>
    <w:rsid w:val="0052263D"/>
    <w:rsid w:val="00523044"/>
    <w:rsid w:val="0052314A"/>
    <w:rsid w:val="005253CB"/>
    <w:rsid w:val="0054061A"/>
    <w:rsid w:val="00543B50"/>
    <w:rsid w:val="00544B33"/>
    <w:rsid w:val="00557A28"/>
    <w:rsid w:val="00557D2A"/>
    <w:rsid w:val="005615D6"/>
    <w:rsid w:val="0056422D"/>
    <w:rsid w:val="00565A89"/>
    <w:rsid w:val="00566B6C"/>
    <w:rsid w:val="00567982"/>
    <w:rsid w:val="00570BF5"/>
    <w:rsid w:val="00572A05"/>
    <w:rsid w:val="00572DF6"/>
    <w:rsid w:val="00573115"/>
    <w:rsid w:val="0057638D"/>
    <w:rsid w:val="00577F96"/>
    <w:rsid w:val="00580788"/>
    <w:rsid w:val="0058246D"/>
    <w:rsid w:val="00586241"/>
    <w:rsid w:val="005919D3"/>
    <w:rsid w:val="00591C4E"/>
    <w:rsid w:val="0059392C"/>
    <w:rsid w:val="005953FB"/>
    <w:rsid w:val="005A3513"/>
    <w:rsid w:val="005A6BF5"/>
    <w:rsid w:val="005A7484"/>
    <w:rsid w:val="005B0022"/>
    <w:rsid w:val="005B2F3C"/>
    <w:rsid w:val="005B5CE6"/>
    <w:rsid w:val="005C3E88"/>
    <w:rsid w:val="005C4AA3"/>
    <w:rsid w:val="005C4FF9"/>
    <w:rsid w:val="005C7164"/>
    <w:rsid w:val="005C735C"/>
    <w:rsid w:val="005D13C1"/>
    <w:rsid w:val="005D2566"/>
    <w:rsid w:val="005D285C"/>
    <w:rsid w:val="005D5D01"/>
    <w:rsid w:val="005D60EA"/>
    <w:rsid w:val="005D6897"/>
    <w:rsid w:val="005E1CE9"/>
    <w:rsid w:val="005E484B"/>
    <w:rsid w:val="006069FC"/>
    <w:rsid w:val="00612750"/>
    <w:rsid w:val="00614E45"/>
    <w:rsid w:val="006172FD"/>
    <w:rsid w:val="0062092A"/>
    <w:rsid w:val="00623186"/>
    <w:rsid w:val="00625E7A"/>
    <w:rsid w:val="0062782B"/>
    <w:rsid w:val="00627EAD"/>
    <w:rsid w:val="00632871"/>
    <w:rsid w:val="006344DA"/>
    <w:rsid w:val="006608E7"/>
    <w:rsid w:val="00672AF4"/>
    <w:rsid w:val="00673153"/>
    <w:rsid w:val="0067602E"/>
    <w:rsid w:val="006771CD"/>
    <w:rsid w:val="0068234A"/>
    <w:rsid w:val="006838B7"/>
    <w:rsid w:val="00684C13"/>
    <w:rsid w:val="00685320"/>
    <w:rsid w:val="00687F36"/>
    <w:rsid w:val="0069475D"/>
    <w:rsid w:val="006A0290"/>
    <w:rsid w:val="006A157E"/>
    <w:rsid w:val="006A2116"/>
    <w:rsid w:val="006A2BE9"/>
    <w:rsid w:val="006A2E14"/>
    <w:rsid w:val="006A4AE9"/>
    <w:rsid w:val="006A7972"/>
    <w:rsid w:val="006B3C6B"/>
    <w:rsid w:val="006B5943"/>
    <w:rsid w:val="006C2B7C"/>
    <w:rsid w:val="006D2553"/>
    <w:rsid w:val="006E0A30"/>
    <w:rsid w:val="006E5457"/>
    <w:rsid w:val="006E6DB8"/>
    <w:rsid w:val="006F74CC"/>
    <w:rsid w:val="00701101"/>
    <w:rsid w:val="007033FE"/>
    <w:rsid w:val="0070745E"/>
    <w:rsid w:val="00716CA3"/>
    <w:rsid w:val="00721FA3"/>
    <w:rsid w:val="00723217"/>
    <w:rsid w:val="0072729C"/>
    <w:rsid w:val="00732C7C"/>
    <w:rsid w:val="00733BA2"/>
    <w:rsid w:val="00733CBC"/>
    <w:rsid w:val="00736A59"/>
    <w:rsid w:val="007409DC"/>
    <w:rsid w:val="007551F7"/>
    <w:rsid w:val="00760FFC"/>
    <w:rsid w:val="0076395A"/>
    <w:rsid w:val="00763B0A"/>
    <w:rsid w:val="00773EA9"/>
    <w:rsid w:val="00774FA9"/>
    <w:rsid w:val="00776408"/>
    <w:rsid w:val="007800BB"/>
    <w:rsid w:val="00784EF0"/>
    <w:rsid w:val="007948E8"/>
    <w:rsid w:val="00796105"/>
    <w:rsid w:val="007962C8"/>
    <w:rsid w:val="007A25AE"/>
    <w:rsid w:val="007A4138"/>
    <w:rsid w:val="007B006F"/>
    <w:rsid w:val="007B2E91"/>
    <w:rsid w:val="007B586B"/>
    <w:rsid w:val="007C096D"/>
    <w:rsid w:val="007C4271"/>
    <w:rsid w:val="007C52B4"/>
    <w:rsid w:val="007C69CC"/>
    <w:rsid w:val="007D4E1F"/>
    <w:rsid w:val="00802167"/>
    <w:rsid w:val="00803D1B"/>
    <w:rsid w:val="0080758D"/>
    <w:rsid w:val="00807F3F"/>
    <w:rsid w:val="00811B0F"/>
    <w:rsid w:val="00812743"/>
    <w:rsid w:val="00814860"/>
    <w:rsid w:val="008153B1"/>
    <w:rsid w:val="0082306C"/>
    <w:rsid w:val="00823A8D"/>
    <w:rsid w:val="00824A08"/>
    <w:rsid w:val="008323CE"/>
    <w:rsid w:val="008329E0"/>
    <w:rsid w:val="00832B62"/>
    <w:rsid w:val="00833266"/>
    <w:rsid w:val="008333C9"/>
    <w:rsid w:val="0083615B"/>
    <w:rsid w:val="00842F0F"/>
    <w:rsid w:val="0084301F"/>
    <w:rsid w:val="00851BEE"/>
    <w:rsid w:val="0086625E"/>
    <w:rsid w:val="008673B3"/>
    <w:rsid w:val="00867E7C"/>
    <w:rsid w:val="00872671"/>
    <w:rsid w:val="00873D36"/>
    <w:rsid w:val="008746E8"/>
    <w:rsid w:val="0087514F"/>
    <w:rsid w:val="0087732B"/>
    <w:rsid w:val="00882BD6"/>
    <w:rsid w:val="00886D1A"/>
    <w:rsid w:val="008905EE"/>
    <w:rsid w:val="00890923"/>
    <w:rsid w:val="00890BC4"/>
    <w:rsid w:val="00892600"/>
    <w:rsid w:val="008A09AA"/>
    <w:rsid w:val="008A2409"/>
    <w:rsid w:val="008A55BD"/>
    <w:rsid w:val="008A5EBD"/>
    <w:rsid w:val="008B679D"/>
    <w:rsid w:val="008B6FC5"/>
    <w:rsid w:val="008C1C65"/>
    <w:rsid w:val="008C5898"/>
    <w:rsid w:val="008C6B17"/>
    <w:rsid w:val="008D292A"/>
    <w:rsid w:val="008D2E37"/>
    <w:rsid w:val="008E7B2E"/>
    <w:rsid w:val="00903E66"/>
    <w:rsid w:val="0090414F"/>
    <w:rsid w:val="00904382"/>
    <w:rsid w:val="009060EE"/>
    <w:rsid w:val="0091025C"/>
    <w:rsid w:val="00917F96"/>
    <w:rsid w:val="009217E4"/>
    <w:rsid w:val="009320F9"/>
    <w:rsid w:val="00932739"/>
    <w:rsid w:val="009331AB"/>
    <w:rsid w:val="00934B20"/>
    <w:rsid w:val="00936B41"/>
    <w:rsid w:val="00936E4E"/>
    <w:rsid w:val="00936F70"/>
    <w:rsid w:val="00940980"/>
    <w:rsid w:val="00943A7D"/>
    <w:rsid w:val="00944BC9"/>
    <w:rsid w:val="00944DE2"/>
    <w:rsid w:val="00947B04"/>
    <w:rsid w:val="00950340"/>
    <w:rsid w:val="00955A4D"/>
    <w:rsid w:val="0095615D"/>
    <w:rsid w:val="00956AF8"/>
    <w:rsid w:val="00970B5B"/>
    <w:rsid w:val="00970E2A"/>
    <w:rsid w:val="00980904"/>
    <w:rsid w:val="00980D45"/>
    <w:rsid w:val="00981F86"/>
    <w:rsid w:val="009850E4"/>
    <w:rsid w:val="00985865"/>
    <w:rsid w:val="00986DA0"/>
    <w:rsid w:val="0099618C"/>
    <w:rsid w:val="009A0008"/>
    <w:rsid w:val="009A6F94"/>
    <w:rsid w:val="009A751C"/>
    <w:rsid w:val="009B03F4"/>
    <w:rsid w:val="009B7A01"/>
    <w:rsid w:val="009C1A52"/>
    <w:rsid w:val="009C20E1"/>
    <w:rsid w:val="009C3196"/>
    <w:rsid w:val="009C4688"/>
    <w:rsid w:val="009C5BDD"/>
    <w:rsid w:val="009C6571"/>
    <w:rsid w:val="009C6C59"/>
    <w:rsid w:val="009D57FA"/>
    <w:rsid w:val="009D6EAB"/>
    <w:rsid w:val="009E0FE9"/>
    <w:rsid w:val="009E3862"/>
    <w:rsid w:val="009E4F07"/>
    <w:rsid w:val="009E5607"/>
    <w:rsid w:val="009E7112"/>
    <w:rsid w:val="009F2FEF"/>
    <w:rsid w:val="009F53D3"/>
    <w:rsid w:val="009F5C69"/>
    <w:rsid w:val="00A01559"/>
    <w:rsid w:val="00A05D01"/>
    <w:rsid w:val="00A102E7"/>
    <w:rsid w:val="00A12415"/>
    <w:rsid w:val="00A2099C"/>
    <w:rsid w:val="00A25914"/>
    <w:rsid w:val="00A25E57"/>
    <w:rsid w:val="00A27AD0"/>
    <w:rsid w:val="00A3487D"/>
    <w:rsid w:val="00A35995"/>
    <w:rsid w:val="00A42015"/>
    <w:rsid w:val="00A622D3"/>
    <w:rsid w:val="00A63805"/>
    <w:rsid w:val="00A64475"/>
    <w:rsid w:val="00A66C7A"/>
    <w:rsid w:val="00A71300"/>
    <w:rsid w:val="00A732DF"/>
    <w:rsid w:val="00A77F0E"/>
    <w:rsid w:val="00A91DC2"/>
    <w:rsid w:val="00A95675"/>
    <w:rsid w:val="00A96196"/>
    <w:rsid w:val="00A9762A"/>
    <w:rsid w:val="00AA36B5"/>
    <w:rsid w:val="00AA6B6C"/>
    <w:rsid w:val="00AA720E"/>
    <w:rsid w:val="00AA7258"/>
    <w:rsid w:val="00AA7EA0"/>
    <w:rsid w:val="00AB20F0"/>
    <w:rsid w:val="00AB2A21"/>
    <w:rsid w:val="00AB38B3"/>
    <w:rsid w:val="00AB6A6E"/>
    <w:rsid w:val="00AB7324"/>
    <w:rsid w:val="00AC04F5"/>
    <w:rsid w:val="00AC213E"/>
    <w:rsid w:val="00AC4146"/>
    <w:rsid w:val="00AD197B"/>
    <w:rsid w:val="00AD2C9B"/>
    <w:rsid w:val="00AE10B8"/>
    <w:rsid w:val="00AE3BE5"/>
    <w:rsid w:val="00AE4EFA"/>
    <w:rsid w:val="00AE605D"/>
    <w:rsid w:val="00AF0238"/>
    <w:rsid w:val="00AF1ECD"/>
    <w:rsid w:val="00B067DD"/>
    <w:rsid w:val="00B0730A"/>
    <w:rsid w:val="00B11DDB"/>
    <w:rsid w:val="00B12159"/>
    <w:rsid w:val="00B2042B"/>
    <w:rsid w:val="00B24A86"/>
    <w:rsid w:val="00B25C69"/>
    <w:rsid w:val="00B27126"/>
    <w:rsid w:val="00B2788F"/>
    <w:rsid w:val="00B3534F"/>
    <w:rsid w:val="00B41FC7"/>
    <w:rsid w:val="00B510C3"/>
    <w:rsid w:val="00B5279E"/>
    <w:rsid w:val="00B545D6"/>
    <w:rsid w:val="00B54F17"/>
    <w:rsid w:val="00B56BCC"/>
    <w:rsid w:val="00B64BA6"/>
    <w:rsid w:val="00B84412"/>
    <w:rsid w:val="00B84E41"/>
    <w:rsid w:val="00B86BE6"/>
    <w:rsid w:val="00B92CD9"/>
    <w:rsid w:val="00B961A3"/>
    <w:rsid w:val="00B973D3"/>
    <w:rsid w:val="00BB3486"/>
    <w:rsid w:val="00BB4609"/>
    <w:rsid w:val="00BC0235"/>
    <w:rsid w:val="00BC3B98"/>
    <w:rsid w:val="00BD2E1C"/>
    <w:rsid w:val="00BD5711"/>
    <w:rsid w:val="00BD61F2"/>
    <w:rsid w:val="00BE15FD"/>
    <w:rsid w:val="00BE32A4"/>
    <w:rsid w:val="00BF0FEA"/>
    <w:rsid w:val="00BF126E"/>
    <w:rsid w:val="00BF4E91"/>
    <w:rsid w:val="00C01401"/>
    <w:rsid w:val="00C14195"/>
    <w:rsid w:val="00C14F96"/>
    <w:rsid w:val="00C21DCE"/>
    <w:rsid w:val="00C21EEB"/>
    <w:rsid w:val="00C225F9"/>
    <w:rsid w:val="00C22F37"/>
    <w:rsid w:val="00C23607"/>
    <w:rsid w:val="00C244BC"/>
    <w:rsid w:val="00C30B35"/>
    <w:rsid w:val="00C516D9"/>
    <w:rsid w:val="00C6177E"/>
    <w:rsid w:val="00C62E9B"/>
    <w:rsid w:val="00C74CE2"/>
    <w:rsid w:val="00C7634C"/>
    <w:rsid w:val="00C77712"/>
    <w:rsid w:val="00C9250C"/>
    <w:rsid w:val="00C92FDA"/>
    <w:rsid w:val="00C97B7E"/>
    <w:rsid w:val="00CA3ADB"/>
    <w:rsid w:val="00CA5D5A"/>
    <w:rsid w:val="00CC0D2B"/>
    <w:rsid w:val="00CC2593"/>
    <w:rsid w:val="00CC385A"/>
    <w:rsid w:val="00CC3EE6"/>
    <w:rsid w:val="00CC5420"/>
    <w:rsid w:val="00CC7AAD"/>
    <w:rsid w:val="00CC7E93"/>
    <w:rsid w:val="00CD07E4"/>
    <w:rsid w:val="00CD0FBD"/>
    <w:rsid w:val="00CD4B68"/>
    <w:rsid w:val="00CD4CAE"/>
    <w:rsid w:val="00CE5AC4"/>
    <w:rsid w:val="00CF0544"/>
    <w:rsid w:val="00CF2F39"/>
    <w:rsid w:val="00CF39FA"/>
    <w:rsid w:val="00CF52E8"/>
    <w:rsid w:val="00CF6D39"/>
    <w:rsid w:val="00CF7172"/>
    <w:rsid w:val="00D01482"/>
    <w:rsid w:val="00D10257"/>
    <w:rsid w:val="00D11B74"/>
    <w:rsid w:val="00D1274B"/>
    <w:rsid w:val="00D17D71"/>
    <w:rsid w:val="00D2206D"/>
    <w:rsid w:val="00D22352"/>
    <w:rsid w:val="00D2325D"/>
    <w:rsid w:val="00D24FE4"/>
    <w:rsid w:val="00D2724E"/>
    <w:rsid w:val="00D27736"/>
    <w:rsid w:val="00D325CE"/>
    <w:rsid w:val="00D36D32"/>
    <w:rsid w:val="00D37C5F"/>
    <w:rsid w:val="00D45444"/>
    <w:rsid w:val="00D45C06"/>
    <w:rsid w:val="00D47B85"/>
    <w:rsid w:val="00D65574"/>
    <w:rsid w:val="00D72080"/>
    <w:rsid w:val="00D753D3"/>
    <w:rsid w:val="00D758BF"/>
    <w:rsid w:val="00D75D66"/>
    <w:rsid w:val="00D81D2A"/>
    <w:rsid w:val="00D92781"/>
    <w:rsid w:val="00D946E3"/>
    <w:rsid w:val="00DA2287"/>
    <w:rsid w:val="00DA425B"/>
    <w:rsid w:val="00DA52D2"/>
    <w:rsid w:val="00DA5694"/>
    <w:rsid w:val="00DB37E2"/>
    <w:rsid w:val="00DC07D7"/>
    <w:rsid w:val="00DC4767"/>
    <w:rsid w:val="00DD2B06"/>
    <w:rsid w:val="00DD3A5A"/>
    <w:rsid w:val="00DD50AA"/>
    <w:rsid w:val="00DD73B1"/>
    <w:rsid w:val="00DE202F"/>
    <w:rsid w:val="00DF04E8"/>
    <w:rsid w:val="00E049E4"/>
    <w:rsid w:val="00E129DD"/>
    <w:rsid w:val="00E15E16"/>
    <w:rsid w:val="00E22866"/>
    <w:rsid w:val="00E22BE5"/>
    <w:rsid w:val="00E26700"/>
    <w:rsid w:val="00E2687D"/>
    <w:rsid w:val="00E26CA3"/>
    <w:rsid w:val="00E26DA6"/>
    <w:rsid w:val="00E30232"/>
    <w:rsid w:val="00E3599A"/>
    <w:rsid w:val="00E419C2"/>
    <w:rsid w:val="00E419D8"/>
    <w:rsid w:val="00E42B4B"/>
    <w:rsid w:val="00E45903"/>
    <w:rsid w:val="00E46B76"/>
    <w:rsid w:val="00E50668"/>
    <w:rsid w:val="00E5354E"/>
    <w:rsid w:val="00E541FF"/>
    <w:rsid w:val="00E56B8F"/>
    <w:rsid w:val="00E6144A"/>
    <w:rsid w:val="00E62173"/>
    <w:rsid w:val="00E63703"/>
    <w:rsid w:val="00E72E78"/>
    <w:rsid w:val="00E839E5"/>
    <w:rsid w:val="00E83F47"/>
    <w:rsid w:val="00E91872"/>
    <w:rsid w:val="00E9459E"/>
    <w:rsid w:val="00E95B0B"/>
    <w:rsid w:val="00EB703F"/>
    <w:rsid w:val="00EC0671"/>
    <w:rsid w:val="00EC2A01"/>
    <w:rsid w:val="00EC6CBC"/>
    <w:rsid w:val="00ED03A4"/>
    <w:rsid w:val="00ED1959"/>
    <w:rsid w:val="00ED333C"/>
    <w:rsid w:val="00EE460E"/>
    <w:rsid w:val="00EE574F"/>
    <w:rsid w:val="00EE6C82"/>
    <w:rsid w:val="00EF1087"/>
    <w:rsid w:val="00EF33A1"/>
    <w:rsid w:val="00EF44F7"/>
    <w:rsid w:val="00EF7E59"/>
    <w:rsid w:val="00F01666"/>
    <w:rsid w:val="00F04BDD"/>
    <w:rsid w:val="00F05E45"/>
    <w:rsid w:val="00F0619A"/>
    <w:rsid w:val="00F0625C"/>
    <w:rsid w:val="00F06F0C"/>
    <w:rsid w:val="00F1255A"/>
    <w:rsid w:val="00F1303B"/>
    <w:rsid w:val="00F1426B"/>
    <w:rsid w:val="00F21A5A"/>
    <w:rsid w:val="00F22172"/>
    <w:rsid w:val="00F22258"/>
    <w:rsid w:val="00F22B89"/>
    <w:rsid w:val="00F30BBA"/>
    <w:rsid w:val="00F37967"/>
    <w:rsid w:val="00F44502"/>
    <w:rsid w:val="00F45353"/>
    <w:rsid w:val="00F4788E"/>
    <w:rsid w:val="00F562B2"/>
    <w:rsid w:val="00F61364"/>
    <w:rsid w:val="00F6314C"/>
    <w:rsid w:val="00F63A90"/>
    <w:rsid w:val="00F70411"/>
    <w:rsid w:val="00F7235E"/>
    <w:rsid w:val="00F72C5C"/>
    <w:rsid w:val="00F760F9"/>
    <w:rsid w:val="00F77512"/>
    <w:rsid w:val="00F77E6B"/>
    <w:rsid w:val="00F81EDA"/>
    <w:rsid w:val="00F83A94"/>
    <w:rsid w:val="00F86247"/>
    <w:rsid w:val="00F978FC"/>
    <w:rsid w:val="00FA1894"/>
    <w:rsid w:val="00FA2C57"/>
    <w:rsid w:val="00FA6854"/>
    <w:rsid w:val="00FB1FBC"/>
    <w:rsid w:val="00FC07E0"/>
    <w:rsid w:val="00FC43E7"/>
    <w:rsid w:val="00FC5C02"/>
    <w:rsid w:val="00FD35F6"/>
    <w:rsid w:val="00FD6E47"/>
    <w:rsid w:val="00FD71C2"/>
    <w:rsid w:val="00FE1C15"/>
    <w:rsid w:val="00FE6705"/>
    <w:rsid w:val="00FF09CB"/>
    <w:rsid w:val="00FF3FDD"/>
    <w:rsid w:val="00FF511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4629471"/>
  <w15:docId w15:val="{33D342A7-2235-40C3-B5C3-382A4B1C8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7C5F"/>
    <w:pPr>
      <w:spacing w:after="240" w:line="240" w:lineRule="auto"/>
    </w:pPr>
    <w:rPr>
      <w:rFonts w:eastAsia="Times New Roman" w:cs="Times New Roman"/>
      <w:sz w:val="24"/>
      <w:szCs w:val="24"/>
    </w:rPr>
  </w:style>
  <w:style w:type="paragraph" w:styleId="Heading1">
    <w:name w:val="heading 1"/>
    <w:basedOn w:val="Pa12"/>
    <w:next w:val="Normal"/>
    <w:link w:val="Heading1Char"/>
    <w:uiPriority w:val="99"/>
    <w:qFormat/>
    <w:rsid w:val="00970E2A"/>
    <w:pPr>
      <w:jc w:val="center"/>
      <w:outlineLvl w:val="0"/>
    </w:pPr>
    <w:rPr>
      <w:rFonts w:asciiTheme="minorHAnsi" w:hAnsiTheme="minorHAnsi" w:cs="Times New Roman"/>
      <w:b/>
      <w:bCs/>
      <w:sz w:val="32"/>
      <w:szCs w:val="32"/>
      <w:lang w:val="en-AU"/>
    </w:rPr>
  </w:style>
  <w:style w:type="paragraph" w:styleId="Heading2">
    <w:name w:val="heading 2"/>
    <w:next w:val="Normal"/>
    <w:link w:val="Heading2Char"/>
    <w:uiPriority w:val="99"/>
    <w:qFormat/>
    <w:rsid w:val="00763B0A"/>
    <w:pPr>
      <w:keepNext/>
      <w:numPr>
        <w:numId w:val="9"/>
      </w:numPr>
      <w:spacing w:before="240" w:after="0" w:line="240" w:lineRule="auto"/>
      <w:outlineLvl w:val="1"/>
    </w:pPr>
    <w:rPr>
      <w:rFonts w:asciiTheme="majorHAnsi" w:eastAsia="Times New Roman" w:hAnsiTheme="majorHAnsi" w:cs="Times New Roman"/>
      <w:b/>
      <w:sz w:val="28"/>
      <w:szCs w:val="24"/>
    </w:rPr>
  </w:style>
  <w:style w:type="paragraph" w:styleId="Heading3">
    <w:name w:val="heading 3"/>
    <w:basedOn w:val="Heading2"/>
    <w:next w:val="Normal"/>
    <w:link w:val="Heading3Char"/>
    <w:uiPriority w:val="99"/>
    <w:qFormat/>
    <w:rsid w:val="00763B0A"/>
    <w:pPr>
      <w:numPr>
        <w:ilvl w:val="1"/>
      </w:numPr>
      <w:spacing w:before="120"/>
      <w:ind w:left="708" w:hanging="714"/>
      <w:outlineLvl w:val="2"/>
    </w:pPr>
    <w:rPr>
      <w:rFonts w:asciiTheme="minorHAnsi" w:hAnsiTheme="minorHAnsi"/>
    </w:rPr>
  </w:style>
  <w:style w:type="paragraph" w:styleId="Heading4">
    <w:name w:val="heading 4"/>
    <w:basedOn w:val="Normal"/>
    <w:next w:val="Normal"/>
    <w:link w:val="Heading4Char"/>
    <w:uiPriority w:val="99"/>
    <w:qFormat/>
    <w:rsid w:val="005D60EA"/>
    <w:pPr>
      <w:keepNext/>
      <w:spacing w:before="240" w:after="60"/>
      <w:outlineLvl w:val="3"/>
    </w:pPr>
    <w:rPr>
      <w:rFonts w:asciiTheme="majorHAnsi" w:hAnsiTheme="majorHAnsi"/>
      <w:b/>
      <w:bCs/>
      <w:szCs w:val="28"/>
    </w:rPr>
  </w:style>
  <w:style w:type="paragraph" w:styleId="Heading5">
    <w:name w:val="heading 5"/>
    <w:basedOn w:val="Normal"/>
    <w:next w:val="Normal"/>
    <w:link w:val="Heading5Char"/>
    <w:uiPriority w:val="99"/>
    <w:qFormat/>
    <w:rsid w:val="008B679D"/>
    <w:pPr>
      <w:numPr>
        <w:ilvl w:val="4"/>
        <w:numId w:val="1"/>
      </w:numPr>
      <w:spacing w:before="240" w:after="60"/>
      <w:outlineLvl w:val="4"/>
    </w:pPr>
    <w:rPr>
      <w:b/>
      <w:bCs/>
      <w:i/>
      <w:iCs/>
      <w:sz w:val="26"/>
      <w:szCs w:val="26"/>
    </w:rPr>
  </w:style>
  <w:style w:type="paragraph" w:styleId="Heading6">
    <w:name w:val="heading 6"/>
    <w:basedOn w:val="Normal"/>
    <w:next w:val="Normal"/>
    <w:link w:val="Heading6Char"/>
    <w:uiPriority w:val="99"/>
    <w:qFormat/>
    <w:rsid w:val="008B679D"/>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9"/>
    <w:qFormat/>
    <w:rsid w:val="008B679D"/>
    <w:pPr>
      <w:numPr>
        <w:ilvl w:val="6"/>
        <w:numId w:val="1"/>
      </w:numPr>
      <w:spacing w:before="240" w:after="60"/>
      <w:outlineLvl w:val="6"/>
    </w:pPr>
  </w:style>
  <w:style w:type="paragraph" w:styleId="Heading8">
    <w:name w:val="heading 8"/>
    <w:basedOn w:val="Normal"/>
    <w:next w:val="Normal"/>
    <w:link w:val="Heading8Char"/>
    <w:uiPriority w:val="99"/>
    <w:qFormat/>
    <w:rsid w:val="008B679D"/>
    <w:pPr>
      <w:numPr>
        <w:ilvl w:val="7"/>
        <w:numId w:val="1"/>
      </w:numPr>
      <w:spacing w:before="240" w:after="60"/>
      <w:outlineLvl w:val="7"/>
    </w:pPr>
    <w:rPr>
      <w:i/>
      <w:iCs/>
    </w:rPr>
  </w:style>
  <w:style w:type="paragraph" w:styleId="Heading9">
    <w:name w:val="heading 9"/>
    <w:basedOn w:val="Normal"/>
    <w:next w:val="Normal"/>
    <w:link w:val="Heading9Char"/>
    <w:uiPriority w:val="99"/>
    <w:qFormat/>
    <w:rsid w:val="008B679D"/>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970E2A"/>
    <w:rPr>
      <w:rFonts w:eastAsia="SimSun" w:cs="Times New Roman"/>
      <w:b/>
      <w:bCs/>
      <w:sz w:val="32"/>
      <w:szCs w:val="32"/>
    </w:rPr>
  </w:style>
  <w:style w:type="character" w:customStyle="1" w:styleId="Heading2Char">
    <w:name w:val="Heading 2 Char"/>
    <w:basedOn w:val="DefaultParagraphFont"/>
    <w:link w:val="Heading2"/>
    <w:uiPriority w:val="99"/>
    <w:rsid w:val="00763B0A"/>
    <w:rPr>
      <w:rFonts w:asciiTheme="majorHAnsi" w:eastAsia="Times New Roman" w:hAnsiTheme="majorHAnsi" w:cs="Times New Roman"/>
      <w:b/>
      <w:sz w:val="28"/>
      <w:szCs w:val="24"/>
    </w:rPr>
  </w:style>
  <w:style w:type="character" w:customStyle="1" w:styleId="Heading3Char">
    <w:name w:val="Heading 3 Char"/>
    <w:basedOn w:val="DefaultParagraphFont"/>
    <w:link w:val="Heading3"/>
    <w:uiPriority w:val="99"/>
    <w:rsid w:val="00763B0A"/>
    <w:rPr>
      <w:rFonts w:eastAsia="Times New Roman" w:cs="Times New Roman"/>
      <w:b/>
      <w:sz w:val="28"/>
      <w:szCs w:val="24"/>
    </w:rPr>
  </w:style>
  <w:style w:type="character" w:customStyle="1" w:styleId="Heading4Char">
    <w:name w:val="Heading 4 Char"/>
    <w:basedOn w:val="DefaultParagraphFont"/>
    <w:link w:val="Heading4"/>
    <w:uiPriority w:val="99"/>
    <w:rsid w:val="005D60EA"/>
    <w:rPr>
      <w:rFonts w:asciiTheme="majorHAnsi" w:eastAsia="Times New Roman" w:hAnsiTheme="majorHAnsi" w:cs="Times New Roman"/>
      <w:b/>
      <w:bCs/>
      <w:sz w:val="24"/>
      <w:szCs w:val="28"/>
    </w:rPr>
  </w:style>
  <w:style w:type="character" w:customStyle="1" w:styleId="Heading5Char">
    <w:name w:val="Heading 5 Char"/>
    <w:basedOn w:val="DefaultParagraphFont"/>
    <w:link w:val="Heading5"/>
    <w:uiPriority w:val="99"/>
    <w:rsid w:val="008B679D"/>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uiPriority w:val="99"/>
    <w:rsid w:val="008B679D"/>
    <w:rPr>
      <w:rFonts w:ascii="Times New Roman" w:eastAsia="Times New Roman" w:hAnsi="Times New Roman" w:cs="Times New Roman"/>
      <w:b/>
      <w:bCs/>
    </w:rPr>
  </w:style>
  <w:style w:type="character" w:customStyle="1" w:styleId="Heading7Char">
    <w:name w:val="Heading 7 Char"/>
    <w:basedOn w:val="DefaultParagraphFont"/>
    <w:link w:val="Heading7"/>
    <w:uiPriority w:val="99"/>
    <w:rsid w:val="008B679D"/>
    <w:rPr>
      <w:rFonts w:ascii="Times New Roman" w:eastAsia="Times New Roman" w:hAnsi="Times New Roman" w:cs="Times New Roman"/>
      <w:sz w:val="24"/>
      <w:szCs w:val="24"/>
    </w:rPr>
  </w:style>
  <w:style w:type="character" w:customStyle="1" w:styleId="Heading8Char">
    <w:name w:val="Heading 8 Char"/>
    <w:basedOn w:val="DefaultParagraphFont"/>
    <w:link w:val="Heading8"/>
    <w:uiPriority w:val="99"/>
    <w:rsid w:val="008B679D"/>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uiPriority w:val="99"/>
    <w:rsid w:val="008B679D"/>
    <w:rPr>
      <w:rFonts w:ascii="Arial" w:eastAsia="Times New Roman" w:hAnsi="Arial" w:cs="Arial"/>
    </w:rPr>
  </w:style>
  <w:style w:type="paragraph" w:customStyle="1" w:styleId="Pa4">
    <w:name w:val="Pa4"/>
    <w:basedOn w:val="Normal"/>
    <w:next w:val="Normal"/>
    <w:uiPriority w:val="99"/>
    <w:rsid w:val="008B679D"/>
    <w:pPr>
      <w:widowControl w:val="0"/>
      <w:autoSpaceDE w:val="0"/>
      <w:autoSpaceDN w:val="0"/>
      <w:adjustRightInd w:val="0"/>
      <w:spacing w:after="160" w:line="201" w:lineRule="atLeast"/>
    </w:pPr>
    <w:rPr>
      <w:rFonts w:ascii="Univers" w:eastAsia="SimSun" w:hAnsi="Univers" w:cs="Univers"/>
      <w:lang w:val="en-US"/>
    </w:rPr>
  </w:style>
  <w:style w:type="paragraph" w:customStyle="1" w:styleId="Pa12">
    <w:name w:val="Pa12"/>
    <w:basedOn w:val="Normal"/>
    <w:next w:val="Normal"/>
    <w:uiPriority w:val="99"/>
    <w:rsid w:val="008B679D"/>
    <w:pPr>
      <w:widowControl w:val="0"/>
      <w:autoSpaceDE w:val="0"/>
      <w:autoSpaceDN w:val="0"/>
      <w:adjustRightInd w:val="0"/>
      <w:spacing w:after="160" w:line="241" w:lineRule="atLeast"/>
    </w:pPr>
    <w:rPr>
      <w:rFonts w:ascii="Univers" w:eastAsia="SimSun" w:hAnsi="Univers" w:cs="Univers"/>
      <w:lang w:val="en-US"/>
    </w:rPr>
  </w:style>
  <w:style w:type="paragraph" w:styleId="BodyText">
    <w:name w:val="Body Text"/>
    <w:basedOn w:val="Normal"/>
    <w:link w:val="BodyTextChar"/>
    <w:uiPriority w:val="99"/>
    <w:rsid w:val="008B679D"/>
    <w:rPr>
      <w:i/>
      <w:iCs/>
      <w:color w:val="999999"/>
    </w:rPr>
  </w:style>
  <w:style w:type="character" w:customStyle="1" w:styleId="BodyTextChar">
    <w:name w:val="Body Text Char"/>
    <w:basedOn w:val="DefaultParagraphFont"/>
    <w:link w:val="BodyText"/>
    <w:uiPriority w:val="99"/>
    <w:rsid w:val="008B679D"/>
    <w:rPr>
      <w:rFonts w:ascii="Times New Roman" w:eastAsia="Times New Roman" w:hAnsi="Times New Roman" w:cs="Times New Roman"/>
      <w:i/>
      <w:iCs/>
      <w:color w:val="999999"/>
      <w:sz w:val="24"/>
      <w:szCs w:val="24"/>
    </w:rPr>
  </w:style>
  <w:style w:type="character" w:styleId="Hyperlink">
    <w:name w:val="Hyperlink"/>
    <w:basedOn w:val="DefaultParagraphFont"/>
    <w:uiPriority w:val="99"/>
    <w:rsid w:val="00E50668"/>
    <w:rPr>
      <w:rFonts w:cs="Times New Roman"/>
      <w:color w:val="0000FF"/>
      <w:u w:val="single"/>
    </w:rPr>
  </w:style>
  <w:style w:type="table" w:styleId="TableGrid">
    <w:name w:val="Table Grid"/>
    <w:basedOn w:val="TableNormal"/>
    <w:uiPriority w:val="59"/>
    <w:rsid w:val="008B679D"/>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qFormat/>
    <w:rsid w:val="00101163"/>
    <w:rPr>
      <w:sz w:val="20"/>
      <w:szCs w:val="20"/>
    </w:rPr>
  </w:style>
  <w:style w:type="character" w:customStyle="1" w:styleId="FootnoteTextChar">
    <w:name w:val="Footnote Text Char"/>
    <w:basedOn w:val="DefaultParagraphFont"/>
    <w:link w:val="FootnoteText"/>
    <w:uiPriority w:val="99"/>
    <w:rsid w:val="00101163"/>
    <w:rPr>
      <w:rFonts w:eastAsia="Times New Roman" w:cs="Times New Roman"/>
      <w:sz w:val="20"/>
      <w:szCs w:val="20"/>
    </w:rPr>
  </w:style>
  <w:style w:type="character" w:styleId="FootnoteReference">
    <w:name w:val="footnote reference"/>
    <w:uiPriority w:val="99"/>
    <w:unhideWhenUsed/>
    <w:rsid w:val="006A0290"/>
    <w:rPr>
      <w:rFonts w:asciiTheme="minorHAnsi" w:hAnsiTheme="minorHAnsi"/>
      <w:color w:val="7F7F7F" w:themeColor="text1" w:themeTint="80"/>
      <w:vertAlign w:val="superscript"/>
      <w:lang w:eastAsia="en-AU"/>
    </w:rPr>
  </w:style>
  <w:style w:type="paragraph" w:styleId="Header">
    <w:name w:val="header"/>
    <w:basedOn w:val="Normal"/>
    <w:link w:val="HeaderChar"/>
    <w:uiPriority w:val="99"/>
    <w:unhideWhenUsed/>
    <w:rsid w:val="008B679D"/>
    <w:pPr>
      <w:tabs>
        <w:tab w:val="center" w:pos="4513"/>
        <w:tab w:val="right" w:pos="9026"/>
      </w:tabs>
    </w:pPr>
  </w:style>
  <w:style w:type="character" w:customStyle="1" w:styleId="HeaderChar">
    <w:name w:val="Header Char"/>
    <w:basedOn w:val="DefaultParagraphFont"/>
    <w:link w:val="Header"/>
    <w:uiPriority w:val="99"/>
    <w:rsid w:val="008B679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B679D"/>
    <w:pPr>
      <w:tabs>
        <w:tab w:val="center" w:pos="4513"/>
        <w:tab w:val="right" w:pos="9026"/>
      </w:tabs>
    </w:pPr>
  </w:style>
  <w:style w:type="character" w:customStyle="1" w:styleId="FooterChar">
    <w:name w:val="Footer Char"/>
    <w:basedOn w:val="DefaultParagraphFont"/>
    <w:link w:val="Footer"/>
    <w:uiPriority w:val="99"/>
    <w:rsid w:val="008B679D"/>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A211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2116"/>
    <w:rPr>
      <w:rFonts w:ascii="Segoe UI" w:eastAsia="Times New Roman" w:hAnsi="Segoe UI" w:cs="Segoe UI"/>
      <w:sz w:val="18"/>
      <w:szCs w:val="18"/>
    </w:rPr>
  </w:style>
  <w:style w:type="paragraph" w:styleId="EndnoteText">
    <w:name w:val="endnote text"/>
    <w:basedOn w:val="Normal"/>
    <w:link w:val="EndnoteTextChar"/>
    <w:uiPriority w:val="99"/>
    <w:semiHidden/>
    <w:unhideWhenUsed/>
    <w:rsid w:val="005B5CE6"/>
    <w:rPr>
      <w:sz w:val="20"/>
      <w:szCs w:val="20"/>
    </w:rPr>
  </w:style>
  <w:style w:type="character" w:customStyle="1" w:styleId="EndnoteTextChar">
    <w:name w:val="Endnote Text Char"/>
    <w:basedOn w:val="DefaultParagraphFont"/>
    <w:link w:val="EndnoteText"/>
    <w:uiPriority w:val="99"/>
    <w:semiHidden/>
    <w:rsid w:val="005B5CE6"/>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5B5CE6"/>
    <w:rPr>
      <w:vertAlign w:val="superscript"/>
    </w:rPr>
  </w:style>
  <w:style w:type="character" w:styleId="CommentReference">
    <w:name w:val="annotation reference"/>
    <w:basedOn w:val="DefaultParagraphFont"/>
    <w:uiPriority w:val="99"/>
    <w:semiHidden/>
    <w:unhideWhenUsed/>
    <w:rsid w:val="0086625E"/>
    <w:rPr>
      <w:sz w:val="16"/>
      <w:szCs w:val="16"/>
    </w:rPr>
  </w:style>
  <w:style w:type="paragraph" w:styleId="CommentText">
    <w:name w:val="annotation text"/>
    <w:basedOn w:val="Normal"/>
    <w:link w:val="CommentTextChar"/>
    <w:uiPriority w:val="99"/>
    <w:unhideWhenUsed/>
    <w:rsid w:val="0086625E"/>
    <w:rPr>
      <w:sz w:val="20"/>
      <w:szCs w:val="20"/>
    </w:rPr>
  </w:style>
  <w:style w:type="character" w:customStyle="1" w:styleId="CommentTextChar">
    <w:name w:val="Comment Text Char"/>
    <w:basedOn w:val="DefaultParagraphFont"/>
    <w:link w:val="CommentText"/>
    <w:uiPriority w:val="99"/>
    <w:rsid w:val="0086625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6625E"/>
    <w:rPr>
      <w:b/>
      <w:bCs/>
    </w:rPr>
  </w:style>
  <w:style w:type="character" w:customStyle="1" w:styleId="CommentSubjectChar">
    <w:name w:val="Comment Subject Char"/>
    <w:basedOn w:val="CommentTextChar"/>
    <w:link w:val="CommentSubject"/>
    <w:uiPriority w:val="99"/>
    <w:semiHidden/>
    <w:rsid w:val="0086625E"/>
    <w:rPr>
      <w:rFonts w:ascii="Times New Roman" w:eastAsia="Times New Roman" w:hAnsi="Times New Roman" w:cs="Times New Roman"/>
      <w:b/>
      <w:bCs/>
      <w:sz w:val="20"/>
      <w:szCs w:val="20"/>
    </w:rPr>
  </w:style>
  <w:style w:type="paragraph" w:styleId="ListParagraph">
    <w:name w:val="List Paragraph"/>
    <w:basedOn w:val="Normal"/>
    <w:uiPriority w:val="34"/>
    <w:qFormat/>
    <w:rsid w:val="001052B4"/>
    <w:pPr>
      <w:ind w:left="720"/>
      <w:contextualSpacing/>
    </w:pPr>
  </w:style>
  <w:style w:type="character" w:styleId="FollowedHyperlink">
    <w:name w:val="FollowedHyperlink"/>
    <w:basedOn w:val="DefaultParagraphFont"/>
    <w:uiPriority w:val="99"/>
    <w:semiHidden/>
    <w:unhideWhenUsed/>
    <w:rsid w:val="005D6897"/>
    <w:rPr>
      <w:color w:val="800080" w:themeColor="followedHyperlink"/>
      <w:u w:val="single"/>
    </w:rPr>
  </w:style>
  <w:style w:type="paragraph" w:styleId="NormalWeb">
    <w:name w:val="Normal (Web)"/>
    <w:basedOn w:val="Normal"/>
    <w:uiPriority w:val="99"/>
    <w:semiHidden/>
    <w:unhideWhenUsed/>
    <w:rsid w:val="00733BA2"/>
    <w:pPr>
      <w:spacing w:before="100" w:beforeAutospacing="1" w:after="100" w:afterAutospacing="1"/>
    </w:pPr>
    <w:rPr>
      <w:rFonts w:ascii="Times New Roman" w:eastAsiaTheme="minorEastAsia" w:hAnsi="Times New Roman"/>
      <w:lang w:eastAsia="en-AU"/>
    </w:rPr>
  </w:style>
  <w:style w:type="paragraph" w:styleId="Revision">
    <w:name w:val="Revision"/>
    <w:hidden/>
    <w:uiPriority w:val="99"/>
    <w:semiHidden/>
    <w:rsid w:val="00981F86"/>
    <w:pPr>
      <w:spacing w:after="0" w:line="240" w:lineRule="auto"/>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183722">
      <w:bodyDiv w:val="1"/>
      <w:marLeft w:val="0"/>
      <w:marRight w:val="0"/>
      <w:marTop w:val="0"/>
      <w:marBottom w:val="0"/>
      <w:divBdr>
        <w:top w:val="none" w:sz="0" w:space="0" w:color="auto"/>
        <w:left w:val="none" w:sz="0" w:space="0" w:color="auto"/>
        <w:bottom w:val="none" w:sz="0" w:space="0" w:color="auto"/>
        <w:right w:val="none" w:sz="0" w:space="0" w:color="auto"/>
      </w:divBdr>
    </w:div>
    <w:div w:id="80107079">
      <w:bodyDiv w:val="1"/>
      <w:marLeft w:val="0"/>
      <w:marRight w:val="0"/>
      <w:marTop w:val="0"/>
      <w:marBottom w:val="0"/>
      <w:divBdr>
        <w:top w:val="none" w:sz="0" w:space="0" w:color="auto"/>
        <w:left w:val="none" w:sz="0" w:space="0" w:color="auto"/>
        <w:bottom w:val="none" w:sz="0" w:space="0" w:color="auto"/>
        <w:right w:val="none" w:sz="0" w:space="0" w:color="auto"/>
      </w:divBdr>
    </w:div>
    <w:div w:id="192809658">
      <w:bodyDiv w:val="1"/>
      <w:marLeft w:val="0"/>
      <w:marRight w:val="0"/>
      <w:marTop w:val="0"/>
      <w:marBottom w:val="0"/>
      <w:divBdr>
        <w:top w:val="none" w:sz="0" w:space="0" w:color="auto"/>
        <w:left w:val="none" w:sz="0" w:space="0" w:color="auto"/>
        <w:bottom w:val="none" w:sz="0" w:space="0" w:color="auto"/>
        <w:right w:val="none" w:sz="0" w:space="0" w:color="auto"/>
      </w:divBdr>
    </w:div>
    <w:div w:id="280382971">
      <w:bodyDiv w:val="1"/>
      <w:marLeft w:val="0"/>
      <w:marRight w:val="0"/>
      <w:marTop w:val="0"/>
      <w:marBottom w:val="0"/>
      <w:divBdr>
        <w:top w:val="none" w:sz="0" w:space="0" w:color="auto"/>
        <w:left w:val="none" w:sz="0" w:space="0" w:color="auto"/>
        <w:bottom w:val="none" w:sz="0" w:space="0" w:color="auto"/>
        <w:right w:val="none" w:sz="0" w:space="0" w:color="auto"/>
      </w:divBdr>
    </w:div>
    <w:div w:id="282418211">
      <w:bodyDiv w:val="1"/>
      <w:marLeft w:val="0"/>
      <w:marRight w:val="0"/>
      <w:marTop w:val="0"/>
      <w:marBottom w:val="0"/>
      <w:divBdr>
        <w:top w:val="none" w:sz="0" w:space="0" w:color="auto"/>
        <w:left w:val="none" w:sz="0" w:space="0" w:color="auto"/>
        <w:bottom w:val="none" w:sz="0" w:space="0" w:color="auto"/>
        <w:right w:val="none" w:sz="0" w:space="0" w:color="auto"/>
      </w:divBdr>
    </w:div>
    <w:div w:id="329253993">
      <w:bodyDiv w:val="1"/>
      <w:marLeft w:val="0"/>
      <w:marRight w:val="0"/>
      <w:marTop w:val="0"/>
      <w:marBottom w:val="0"/>
      <w:divBdr>
        <w:top w:val="none" w:sz="0" w:space="0" w:color="auto"/>
        <w:left w:val="none" w:sz="0" w:space="0" w:color="auto"/>
        <w:bottom w:val="none" w:sz="0" w:space="0" w:color="auto"/>
        <w:right w:val="none" w:sz="0" w:space="0" w:color="auto"/>
      </w:divBdr>
    </w:div>
    <w:div w:id="474445794">
      <w:bodyDiv w:val="1"/>
      <w:marLeft w:val="0"/>
      <w:marRight w:val="0"/>
      <w:marTop w:val="0"/>
      <w:marBottom w:val="0"/>
      <w:divBdr>
        <w:top w:val="none" w:sz="0" w:space="0" w:color="auto"/>
        <w:left w:val="none" w:sz="0" w:space="0" w:color="auto"/>
        <w:bottom w:val="none" w:sz="0" w:space="0" w:color="auto"/>
        <w:right w:val="none" w:sz="0" w:space="0" w:color="auto"/>
      </w:divBdr>
    </w:div>
    <w:div w:id="483743292">
      <w:bodyDiv w:val="1"/>
      <w:marLeft w:val="0"/>
      <w:marRight w:val="0"/>
      <w:marTop w:val="0"/>
      <w:marBottom w:val="0"/>
      <w:divBdr>
        <w:top w:val="none" w:sz="0" w:space="0" w:color="auto"/>
        <w:left w:val="none" w:sz="0" w:space="0" w:color="auto"/>
        <w:bottom w:val="none" w:sz="0" w:space="0" w:color="auto"/>
        <w:right w:val="none" w:sz="0" w:space="0" w:color="auto"/>
      </w:divBdr>
    </w:div>
    <w:div w:id="520557950">
      <w:bodyDiv w:val="1"/>
      <w:marLeft w:val="0"/>
      <w:marRight w:val="0"/>
      <w:marTop w:val="0"/>
      <w:marBottom w:val="0"/>
      <w:divBdr>
        <w:top w:val="none" w:sz="0" w:space="0" w:color="auto"/>
        <w:left w:val="none" w:sz="0" w:space="0" w:color="auto"/>
        <w:bottom w:val="none" w:sz="0" w:space="0" w:color="auto"/>
        <w:right w:val="none" w:sz="0" w:space="0" w:color="auto"/>
      </w:divBdr>
    </w:div>
    <w:div w:id="565728523">
      <w:bodyDiv w:val="1"/>
      <w:marLeft w:val="0"/>
      <w:marRight w:val="0"/>
      <w:marTop w:val="0"/>
      <w:marBottom w:val="0"/>
      <w:divBdr>
        <w:top w:val="none" w:sz="0" w:space="0" w:color="auto"/>
        <w:left w:val="none" w:sz="0" w:space="0" w:color="auto"/>
        <w:bottom w:val="none" w:sz="0" w:space="0" w:color="auto"/>
        <w:right w:val="none" w:sz="0" w:space="0" w:color="auto"/>
      </w:divBdr>
    </w:div>
    <w:div w:id="601841866">
      <w:bodyDiv w:val="1"/>
      <w:marLeft w:val="0"/>
      <w:marRight w:val="0"/>
      <w:marTop w:val="0"/>
      <w:marBottom w:val="0"/>
      <w:divBdr>
        <w:top w:val="none" w:sz="0" w:space="0" w:color="auto"/>
        <w:left w:val="none" w:sz="0" w:space="0" w:color="auto"/>
        <w:bottom w:val="none" w:sz="0" w:space="0" w:color="auto"/>
        <w:right w:val="none" w:sz="0" w:space="0" w:color="auto"/>
      </w:divBdr>
    </w:div>
    <w:div w:id="693917968">
      <w:bodyDiv w:val="1"/>
      <w:marLeft w:val="0"/>
      <w:marRight w:val="0"/>
      <w:marTop w:val="0"/>
      <w:marBottom w:val="0"/>
      <w:divBdr>
        <w:top w:val="none" w:sz="0" w:space="0" w:color="auto"/>
        <w:left w:val="none" w:sz="0" w:space="0" w:color="auto"/>
        <w:bottom w:val="none" w:sz="0" w:space="0" w:color="auto"/>
        <w:right w:val="none" w:sz="0" w:space="0" w:color="auto"/>
      </w:divBdr>
    </w:div>
    <w:div w:id="736973400">
      <w:bodyDiv w:val="1"/>
      <w:marLeft w:val="0"/>
      <w:marRight w:val="0"/>
      <w:marTop w:val="0"/>
      <w:marBottom w:val="0"/>
      <w:divBdr>
        <w:top w:val="none" w:sz="0" w:space="0" w:color="auto"/>
        <w:left w:val="none" w:sz="0" w:space="0" w:color="auto"/>
        <w:bottom w:val="none" w:sz="0" w:space="0" w:color="auto"/>
        <w:right w:val="none" w:sz="0" w:space="0" w:color="auto"/>
      </w:divBdr>
    </w:div>
    <w:div w:id="795951550">
      <w:bodyDiv w:val="1"/>
      <w:marLeft w:val="0"/>
      <w:marRight w:val="0"/>
      <w:marTop w:val="0"/>
      <w:marBottom w:val="0"/>
      <w:divBdr>
        <w:top w:val="none" w:sz="0" w:space="0" w:color="auto"/>
        <w:left w:val="none" w:sz="0" w:space="0" w:color="auto"/>
        <w:bottom w:val="none" w:sz="0" w:space="0" w:color="auto"/>
        <w:right w:val="none" w:sz="0" w:space="0" w:color="auto"/>
      </w:divBdr>
    </w:div>
    <w:div w:id="804544697">
      <w:bodyDiv w:val="1"/>
      <w:marLeft w:val="0"/>
      <w:marRight w:val="0"/>
      <w:marTop w:val="0"/>
      <w:marBottom w:val="0"/>
      <w:divBdr>
        <w:top w:val="none" w:sz="0" w:space="0" w:color="auto"/>
        <w:left w:val="none" w:sz="0" w:space="0" w:color="auto"/>
        <w:bottom w:val="none" w:sz="0" w:space="0" w:color="auto"/>
        <w:right w:val="none" w:sz="0" w:space="0" w:color="auto"/>
      </w:divBdr>
    </w:div>
    <w:div w:id="861551061">
      <w:bodyDiv w:val="1"/>
      <w:marLeft w:val="0"/>
      <w:marRight w:val="0"/>
      <w:marTop w:val="0"/>
      <w:marBottom w:val="0"/>
      <w:divBdr>
        <w:top w:val="none" w:sz="0" w:space="0" w:color="auto"/>
        <w:left w:val="none" w:sz="0" w:space="0" w:color="auto"/>
        <w:bottom w:val="none" w:sz="0" w:space="0" w:color="auto"/>
        <w:right w:val="none" w:sz="0" w:space="0" w:color="auto"/>
      </w:divBdr>
    </w:div>
    <w:div w:id="900363742">
      <w:bodyDiv w:val="1"/>
      <w:marLeft w:val="0"/>
      <w:marRight w:val="0"/>
      <w:marTop w:val="0"/>
      <w:marBottom w:val="0"/>
      <w:divBdr>
        <w:top w:val="none" w:sz="0" w:space="0" w:color="auto"/>
        <w:left w:val="none" w:sz="0" w:space="0" w:color="auto"/>
        <w:bottom w:val="none" w:sz="0" w:space="0" w:color="auto"/>
        <w:right w:val="none" w:sz="0" w:space="0" w:color="auto"/>
      </w:divBdr>
    </w:div>
    <w:div w:id="1074744675">
      <w:bodyDiv w:val="1"/>
      <w:marLeft w:val="0"/>
      <w:marRight w:val="0"/>
      <w:marTop w:val="0"/>
      <w:marBottom w:val="0"/>
      <w:divBdr>
        <w:top w:val="none" w:sz="0" w:space="0" w:color="auto"/>
        <w:left w:val="none" w:sz="0" w:space="0" w:color="auto"/>
        <w:bottom w:val="none" w:sz="0" w:space="0" w:color="auto"/>
        <w:right w:val="none" w:sz="0" w:space="0" w:color="auto"/>
      </w:divBdr>
    </w:div>
    <w:div w:id="1093747141">
      <w:bodyDiv w:val="1"/>
      <w:marLeft w:val="0"/>
      <w:marRight w:val="0"/>
      <w:marTop w:val="0"/>
      <w:marBottom w:val="0"/>
      <w:divBdr>
        <w:top w:val="none" w:sz="0" w:space="0" w:color="auto"/>
        <w:left w:val="none" w:sz="0" w:space="0" w:color="auto"/>
        <w:bottom w:val="none" w:sz="0" w:space="0" w:color="auto"/>
        <w:right w:val="none" w:sz="0" w:space="0" w:color="auto"/>
      </w:divBdr>
    </w:div>
    <w:div w:id="1100762963">
      <w:bodyDiv w:val="1"/>
      <w:marLeft w:val="0"/>
      <w:marRight w:val="0"/>
      <w:marTop w:val="0"/>
      <w:marBottom w:val="0"/>
      <w:divBdr>
        <w:top w:val="none" w:sz="0" w:space="0" w:color="auto"/>
        <w:left w:val="none" w:sz="0" w:space="0" w:color="auto"/>
        <w:bottom w:val="none" w:sz="0" w:space="0" w:color="auto"/>
        <w:right w:val="none" w:sz="0" w:space="0" w:color="auto"/>
      </w:divBdr>
    </w:div>
    <w:div w:id="1129472669">
      <w:bodyDiv w:val="1"/>
      <w:marLeft w:val="0"/>
      <w:marRight w:val="0"/>
      <w:marTop w:val="0"/>
      <w:marBottom w:val="0"/>
      <w:divBdr>
        <w:top w:val="none" w:sz="0" w:space="0" w:color="auto"/>
        <w:left w:val="none" w:sz="0" w:space="0" w:color="auto"/>
        <w:bottom w:val="none" w:sz="0" w:space="0" w:color="auto"/>
        <w:right w:val="none" w:sz="0" w:space="0" w:color="auto"/>
      </w:divBdr>
    </w:div>
    <w:div w:id="1140422404">
      <w:bodyDiv w:val="1"/>
      <w:marLeft w:val="0"/>
      <w:marRight w:val="0"/>
      <w:marTop w:val="0"/>
      <w:marBottom w:val="0"/>
      <w:divBdr>
        <w:top w:val="none" w:sz="0" w:space="0" w:color="auto"/>
        <w:left w:val="none" w:sz="0" w:space="0" w:color="auto"/>
        <w:bottom w:val="none" w:sz="0" w:space="0" w:color="auto"/>
        <w:right w:val="none" w:sz="0" w:space="0" w:color="auto"/>
      </w:divBdr>
    </w:div>
    <w:div w:id="1163666050">
      <w:bodyDiv w:val="1"/>
      <w:marLeft w:val="0"/>
      <w:marRight w:val="0"/>
      <w:marTop w:val="0"/>
      <w:marBottom w:val="0"/>
      <w:divBdr>
        <w:top w:val="none" w:sz="0" w:space="0" w:color="auto"/>
        <w:left w:val="none" w:sz="0" w:space="0" w:color="auto"/>
        <w:bottom w:val="none" w:sz="0" w:space="0" w:color="auto"/>
        <w:right w:val="none" w:sz="0" w:space="0" w:color="auto"/>
      </w:divBdr>
    </w:div>
    <w:div w:id="1418088575">
      <w:bodyDiv w:val="1"/>
      <w:marLeft w:val="0"/>
      <w:marRight w:val="0"/>
      <w:marTop w:val="0"/>
      <w:marBottom w:val="0"/>
      <w:divBdr>
        <w:top w:val="none" w:sz="0" w:space="0" w:color="auto"/>
        <w:left w:val="none" w:sz="0" w:space="0" w:color="auto"/>
        <w:bottom w:val="none" w:sz="0" w:space="0" w:color="auto"/>
        <w:right w:val="none" w:sz="0" w:space="0" w:color="auto"/>
      </w:divBdr>
    </w:div>
    <w:div w:id="1497647181">
      <w:bodyDiv w:val="1"/>
      <w:marLeft w:val="0"/>
      <w:marRight w:val="0"/>
      <w:marTop w:val="0"/>
      <w:marBottom w:val="0"/>
      <w:divBdr>
        <w:top w:val="none" w:sz="0" w:space="0" w:color="auto"/>
        <w:left w:val="none" w:sz="0" w:space="0" w:color="auto"/>
        <w:bottom w:val="none" w:sz="0" w:space="0" w:color="auto"/>
        <w:right w:val="none" w:sz="0" w:space="0" w:color="auto"/>
      </w:divBdr>
    </w:div>
    <w:div w:id="1504468858">
      <w:bodyDiv w:val="1"/>
      <w:marLeft w:val="0"/>
      <w:marRight w:val="0"/>
      <w:marTop w:val="0"/>
      <w:marBottom w:val="0"/>
      <w:divBdr>
        <w:top w:val="none" w:sz="0" w:space="0" w:color="auto"/>
        <w:left w:val="none" w:sz="0" w:space="0" w:color="auto"/>
        <w:bottom w:val="none" w:sz="0" w:space="0" w:color="auto"/>
        <w:right w:val="none" w:sz="0" w:space="0" w:color="auto"/>
      </w:divBdr>
    </w:div>
    <w:div w:id="1641688160">
      <w:bodyDiv w:val="1"/>
      <w:marLeft w:val="0"/>
      <w:marRight w:val="0"/>
      <w:marTop w:val="0"/>
      <w:marBottom w:val="0"/>
      <w:divBdr>
        <w:top w:val="none" w:sz="0" w:space="0" w:color="auto"/>
        <w:left w:val="none" w:sz="0" w:space="0" w:color="auto"/>
        <w:bottom w:val="none" w:sz="0" w:space="0" w:color="auto"/>
        <w:right w:val="none" w:sz="0" w:space="0" w:color="auto"/>
      </w:divBdr>
    </w:div>
    <w:div w:id="1663390932">
      <w:bodyDiv w:val="1"/>
      <w:marLeft w:val="0"/>
      <w:marRight w:val="0"/>
      <w:marTop w:val="0"/>
      <w:marBottom w:val="0"/>
      <w:divBdr>
        <w:top w:val="none" w:sz="0" w:space="0" w:color="auto"/>
        <w:left w:val="none" w:sz="0" w:space="0" w:color="auto"/>
        <w:bottom w:val="none" w:sz="0" w:space="0" w:color="auto"/>
        <w:right w:val="none" w:sz="0" w:space="0" w:color="auto"/>
      </w:divBdr>
    </w:div>
    <w:div w:id="1709836239">
      <w:bodyDiv w:val="1"/>
      <w:marLeft w:val="0"/>
      <w:marRight w:val="0"/>
      <w:marTop w:val="0"/>
      <w:marBottom w:val="0"/>
      <w:divBdr>
        <w:top w:val="none" w:sz="0" w:space="0" w:color="auto"/>
        <w:left w:val="none" w:sz="0" w:space="0" w:color="auto"/>
        <w:bottom w:val="none" w:sz="0" w:space="0" w:color="auto"/>
        <w:right w:val="none" w:sz="0" w:space="0" w:color="auto"/>
      </w:divBdr>
    </w:div>
    <w:div w:id="1758012522">
      <w:bodyDiv w:val="1"/>
      <w:marLeft w:val="0"/>
      <w:marRight w:val="0"/>
      <w:marTop w:val="0"/>
      <w:marBottom w:val="0"/>
      <w:divBdr>
        <w:top w:val="none" w:sz="0" w:space="0" w:color="auto"/>
        <w:left w:val="none" w:sz="0" w:space="0" w:color="auto"/>
        <w:bottom w:val="none" w:sz="0" w:space="0" w:color="auto"/>
        <w:right w:val="none" w:sz="0" w:space="0" w:color="auto"/>
      </w:divBdr>
    </w:div>
    <w:div w:id="1902521447">
      <w:bodyDiv w:val="1"/>
      <w:marLeft w:val="0"/>
      <w:marRight w:val="0"/>
      <w:marTop w:val="0"/>
      <w:marBottom w:val="0"/>
      <w:divBdr>
        <w:top w:val="none" w:sz="0" w:space="0" w:color="auto"/>
        <w:left w:val="none" w:sz="0" w:space="0" w:color="auto"/>
        <w:bottom w:val="none" w:sz="0" w:space="0" w:color="auto"/>
        <w:right w:val="none" w:sz="0" w:space="0" w:color="auto"/>
      </w:divBdr>
    </w:div>
    <w:div w:id="1956985857">
      <w:bodyDiv w:val="1"/>
      <w:marLeft w:val="0"/>
      <w:marRight w:val="0"/>
      <w:marTop w:val="0"/>
      <w:marBottom w:val="0"/>
      <w:divBdr>
        <w:top w:val="none" w:sz="0" w:space="0" w:color="auto"/>
        <w:left w:val="none" w:sz="0" w:space="0" w:color="auto"/>
        <w:bottom w:val="none" w:sz="0" w:space="0" w:color="auto"/>
        <w:right w:val="none" w:sz="0" w:space="0" w:color="auto"/>
      </w:divBdr>
    </w:div>
    <w:div w:id="1967613659">
      <w:bodyDiv w:val="1"/>
      <w:marLeft w:val="0"/>
      <w:marRight w:val="0"/>
      <w:marTop w:val="0"/>
      <w:marBottom w:val="0"/>
      <w:divBdr>
        <w:top w:val="none" w:sz="0" w:space="0" w:color="auto"/>
        <w:left w:val="none" w:sz="0" w:space="0" w:color="auto"/>
        <w:bottom w:val="none" w:sz="0" w:space="0" w:color="auto"/>
        <w:right w:val="none" w:sz="0" w:space="0" w:color="auto"/>
      </w:divBdr>
    </w:div>
    <w:div w:id="2047946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health.gov.au/health-topics/private-health-insurance/operating-rules-for-private-health-insurers-and-providers/become-a-second-tier-default-benefits-eligible-hospita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health.gov.au/resources/publications/second-tier-default-benefits-guidelines"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finance.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25BEFC-2E10-4E78-92A8-7A9C2F2136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2410</Words>
  <Characters>13738</Characters>
  <Application>Microsoft Office Word</Application>
  <DocSecurity>4</DocSecurity>
  <Lines>114</Lines>
  <Paragraphs>32</Paragraphs>
  <ScaleCrop>false</ScaleCrop>
  <HeadingPairs>
    <vt:vector size="2" baseType="variant">
      <vt:variant>
        <vt:lpstr>Title</vt:lpstr>
      </vt:variant>
      <vt:variant>
        <vt:i4>1</vt:i4>
      </vt:variant>
    </vt:vector>
  </HeadingPairs>
  <TitlesOfParts>
    <vt:vector size="1" baseType="lpstr">
      <vt:lpstr>Cost Recovery Implementation Statement Template</vt:lpstr>
    </vt:vector>
  </TitlesOfParts>
  <Company>FINANCE</Company>
  <LinksUpToDate>false</LinksUpToDate>
  <CharactersWithSpaces>16116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Cost Recovery Implementation Statement Template</dc:title>
  <dc:creator>Department of Finance</dc:creator>
  <cp:lastModifiedBy>MANGOS, Natasha</cp:lastModifiedBy>
  <cp:revision>2</cp:revision>
  <cp:lastPrinted>2021-06-25T01:49:00Z</cp:lastPrinted>
  <dcterms:created xsi:type="dcterms:W3CDTF">2021-06-25T01:50:00Z</dcterms:created>
  <dcterms:modified xsi:type="dcterms:W3CDTF">2021-06-25T01:50:00Z</dcterms:modified>
</cp:coreProperties>
</file>