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3471" w14:textId="77777777" w:rsidR="00B211B6" w:rsidRPr="002F5E02" w:rsidRDefault="00B211B6" w:rsidP="00567A9D">
      <w:pPr>
        <w:pStyle w:val="Subtitle"/>
      </w:pPr>
      <w:r w:rsidRPr="002F5E02">
        <w:t>N</w:t>
      </w:r>
      <w:bookmarkStart w:id="0" w:name="_GoBack"/>
      <w:bookmarkEnd w:id="0"/>
      <w:r w:rsidRPr="002F5E02">
        <w:t xml:space="preserve">ew Zealand – Situation </w:t>
      </w:r>
      <w:r w:rsidR="009051AB" w:rsidRPr="002F5E02">
        <w:t>u</w:t>
      </w:r>
      <w:r w:rsidRPr="002F5E02">
        <w:t xml:space="preserve">pdate </w:t>
      </w:r>
      <w:r w:rsidR="004009C1">
        <w:br/>
      </w:r>
      <w:r w:rsidR="00F33CD8">
        <w:rPr>
          <w:color w:val="FF0000"/>
        </w:rPr>
        <w:t>23</w:t>
      </w:r>
      <w:r w:rsidR="00372037">
        <w:rPr>
          <w:color w:val="FF0000"/>
        </w:rPr>
        <w:t xml:space="preserve"> </w:t>
      </w:r>
      <w:r w:rsidR="00372037" w:rsidRPr="00441C90">
        <w:t>June</w:t>
      </w:r>
      <w:r w:rsidR="00A05252" w:rsidRPr="00441C90">
        <w:t xml:space="preserve"> </w:t>
      </w:r>
      <w:r w:rsidRPr="00441C90">
        <w:t>202</w:t>
      </w:r>
      <w:r w:rsidR="00A1790B" w:rsidRPr="00441C90">
        <w:t>1</w:t>
      </w:r>
      <w:r w:rsidR="006B229F" w:rsidRPr="00441C90">
        <w:t xml:space="preserve"> </w:t>
      </w:r>
    </w:p>
    <w:p w14:paraId="14EAA972" w14:textId="77777777" w:rsidR="003F5DCC" w:rsidRPr="00B968C7" w:rsidRDefault="003F5DCC" w:rsidP="00590DF1">
      <w:pPr>
        <w:spacing w:before="1200" w:after="480"/>
        <w:rPr>
          <w:rFonts w:cs="Arial"/>
          <w:color w:val="FF0000"/>
        </w:rPr>
      </w:pPr>
    </w:p>
    <w:p w14:paraId="09733E74" w14:textId="77777777" w:rsidR="003077BF" w:rsidRDefault="00590CB1" w:rsidP="00494230">
      <w:pPr>
        <w:tabs>
          <w:tab w:val="left" w:pos="2169"/>
        </w:tabs>
        <w:spacing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52F98EC" w14:textId="77777777" w:rsidR="009E22D0" w:rsidRPr="00C056F7" w:rsidRDefault="009E22D0" w:rsidP="009E22D0">
      <w:pPr>
        <w:pStyle w:val="Heading1"/>
        <w:spacing w:before="180" w:after="0" w:line="264" w:lineRule="auto"/>
        <w:contextualSpacing w:val="0"/>
        <w:rPr>
          <w:color w:val="auto"/>
        </w:rPr>
      </w:pPr>
      <w:r>
        <w:rPr>
          <w:color w:val="auto"/>
        </w:rPr>
        <w:t>Current Assessment Summary</w:t>
      </w:r>
    </w:p>
    <w:p w14:paraId="2E0A52BA" w14:textId="77777777" w:rsidR="008C0875" w:rsidRPr="008C0875" w:rsidRDefault="00651B3C" w:rsidP="00DF7207">
      <w:pPr>
        <w:pStyle w:val="ListParagraph"/>
        <w:numPr>
          <w:ilvl w:val="0"/>
          <w:numId w:val="27"/>
        </w:numPr>
        <w:tabs>
          <w:tab w:val="left" w:pos="2169"/>
        </w:tabs>
        <w:spacing w:before="60" w:after="60" w:line="240" w:lineRule="auto"/>
        <w:ind w:hanging="357"/>
        <w:textAlignment w:val="auto"/>
        <w:rPr>
          <w:color w:val="FF0000"/>
        </w:rPr>
      </w:pPr>
      <w:r w:rsidRPr="008C0875">
        <w:rPr>
          <w:color w:val="auto"/>
        </w:rPr>
        <w:t xml:space="preserve">There </w:t>
      </w:r>
      <w:r w:rsidR="00C36A9E" w:rsidRPr="008C0875">
        <w:rPr>
          <w:color w:val="auto"/>
        </w:rPr>
        <w:t xml:space="preserve">have been no locally acquired cases of COVID-19 in the last </w:t>
      </w:r>
      <w:r w:rsidR="00441D70" w:rsidRPr="008C0875">
        <w:rPr>
          <w:color w:val="auto"/>
        </w:rPr>
        <w:t>7</w:t>
      </w:r>
      <w:r w:rsidR="00C36A9E" w:rsidRPr="008C0875">
        <w:rPr>
          <w:color w:val="auto"/>
        </w:rPr>
        <w:t xml:space="preserve"> days</w:t>
      </w:r>
      <w:r w:rsidR="000F78EE" w:rsidRPr="008C0875">
        <w:rPr>
          <w:color w:val="auto"/>
        </w:rPr>
        <w:t>.</w:t>
      </w:r>
    </w:p>
    <w:p w14:paraId="5D147DDD" w14:textId="2FBD6B33" w:rsidR="00001F82" w:rsidRDefault="00001F82" w:rsidP="00001F82">
      <w:pPr>
        <w:pStyle w:val="ListParagraph"/>
        <w:numPr>
          <w:ilvl w:val="0"/>
          <w:numId w:val="27"/>
        </w:numPr>
        <w:spacing w:after="0" w:line="240" w:lineRule="auto"/>
        <w:textAlignment w:val="auto"/>
        <w:rPr>
          <w:color w:val="FF0000"/>
        </w:rPr>
      </w:pPr>
      <w:r>
        <w:rPr>
          <w:color w:val="FF0000"/>
        </w:rPr>
        <w:t xml:space="preserve">An </w:t>
      </w:r>
      <w:r w:rsidRPr="00C04314">
        <w:rPr>
          <w:color w:val="FF0000"/>
        </w:rPr>
        <w:t>Australian</w:t>
      </w:r>
      <w:r>
        <w:rPr>
          <w:color w:val="FF0000"/>
        </w:rPr>
        <w:t xml:space="preserve"> traveller from Sydney tested positive to COVID-19 on return from a trip to New Zealand.</w:t>
      </w:r>
    </w:p>
    <w:p w14:paraId="762D6E62" w14:textId="183CFDAD" w:rsidR="00001F82" w:rsidRPr="00806A8B" w:rsidRDefault="00001F82" w:rsidP="00001F82">
      <w:pPr>
        <w:pStyle w:val="ListParagraph"/>
        <w:numPr>
          <w:ilvl w:val="1"/>
          <w:numId w:val="27"/>
        </w:numPr>
        <w:spacing w:after="0" w:line="240" w:lineRule="auto"/>
        <w:textAlignment w:val="auto"/>
        <w:rPr>
          <w:color w:val="FF0000"/>
        </w:rPr>
      </w:pPr>
      <w:r>
        <w:rPr>
          <w:color w:val="FF0000"/>
        </w:rPr>
        <w:t xml:space="preserve">The traveller flew from Sydney to Wellington, </w:t>
      </w:r>
      <w:r w:rsidRPr="00C04314">
        <w:rPr>
          <w:color w:val="FF0000"/>
        </w:rPr>
        <w:t xml:space="preserve">departing Sydney </w:t>
      </w:r>
      <w:r>
        <w:rPr>
          <w:color w:val="FF0000"/>
        </w:rPr>
        <w:t xml:space="preserve">on flight QF163 at </w:t>
      </w:r>
      <w:r w:rsidRPr="00C04314">
        <w:rPr>
          <w:color w:val="FF0000"/>
        </w:rPr>
        <w:t>19:05</w:t>
      </w:r>
      <w:r>
        <w:rPr>
          <w:color w:val="FF0000"/>
        </w:rPr>
        <w:t xml:space="preserve"> AEST</w:t>
      </w:r>
      <w:r w:rsidRPr="00C04314">
        <w:rPr>
          <w:color w:val="FF0000"/>
        </w:rPr>
        <w:t xml:space="preserve"> on Friday 18 June 2021.</w:t>
      </w:r>
      <w:r>
        <w:rPr>
          <w:color w:val="FF0000"/>
        </w:rPr>
        <w:t xml:space="preserve"> </w:t>
      </w:r>
      <w:r w:rsidR="00B97DAD">
        <w:rPr>
          <w:color w:val="FF0000"/>
        </w:rPr>
        <w:t>They</w:t>
      </w:r>
      <w:r>
        <w:rPr>
          <w:color w:val="FF0000"/>
        </w:rPr>
        <w:t xml:space="preserve"> departed Wellington </w:t>
      </w:r>
      <w:r w:rsidRPr="00806A8B">
        <w:rPr>
          <w:color w:val="FF0000"/>
        </w:rPr>
        <w:t>on flight NZ247 at 10:13 NZT on Monday 21 June 2021.</w:t>
      </w:r>
    </w:p>
    <w:p w14:paraId="47F0A368" w14:textId="77777777" w:rsidR="00031F72" w:rsidRPr="00031F72" w:rsidRDefault="00DF7207" w:rsidP="00031F72">
      <w:pPr>
        <w:pStyle w:val="ListParagraph"/>
        <w:numPr>
          <w:ilvl w:val="0"/>
          <w:numId w:val="27"/>
        </w:numPr>
        <w:spacing w:before="60" w:after="60" w:line="240" w:lineRule="auto"/>
        <w:ind w:hanging="357"/>
        <w:textAlignment w:val="auto"/>
        <w:rPr>
          <w:color w:val="FF0000"/>
        </w:rPr>
      </w:pPr>
      <w:r w:rsidRPr="00C04314">
        <w:rPr>
          <w:color w:val="FF0000"/>
        </w:rPr>
        <w:t xml:space="preserve">Four contacts have been identified and are in isolation in New Zealand. </w:t>
      </w:r>
      <w:r w:rsidR="00031F72">
        <w:rPr>
          <w:color w:val="FF0000"/>
        </w:rPr>
        <w:t>All four have returned initial negative results.</w:t>
      </w:r>
    </w:p>
    <w:p w14:paraId="75B9A5B8" w14:textId="77777777" w:rsidR="00001F82" w:rsidRPr="002D13BC" w:rsidRDefault="00001F82" w:rsidP="00001F82">
      <w:pPr>
        <w:pStyle w:val="ListParagraph"/>
        <w:numPr>
          <w:ilvl w:val="0"/>
          <w:numId w:val="27"/>
        </w:numPr>
        <w:spacing w:after="0" w:line="240" w:lineRule="auto"/>
        <w:textAlignment w:val="auto"/>
        <w:rPr>
          <w:color w:val="FF0000"/>
        </w:rPr>
      </w:pPr>
      <w:r w:rsidRPr="002D13BC">
        <w:rPr>
          <w:color w:val="FF0000"/>
        </w:rPr>
        <w:t xml:space="preserve">Quarantine-free travel between New Zealand and New South Wales has been suspended for </w:t>
      </w:r>
      <w:r>
        <w:rPr>
          <w:color w:val="FF0000"/>
        </w:rPr>
        <w:t xml:space="preserve">an initial period of </w:t>
      </w:r>
      <w:r w:rsidRPr="002D13BC">
        <w:rPr>
          <w:color w:val="FF0000"/>
        </w:rPr>
        <w:t xml:space="preserve">72 hours as at 23:59 NZT on 22 June 2021. </w:t>
      </w:r>
    </w:p>
    <w:p w14:paraId="6E1774FC" w14:textId="77777777" w:rsidR="00DF7207" w:rsidRPr="00066472" w:rsidRDefault="00DF7207" w:rsidP="00DF7207">
      <w:pPr>
        <w:numPr>
          <w:ilvl w:val="0"/>
          <w:numId w:val="27"/>
        </w:numPr>
        <w:tabs>
          <w:tab w:val="left" w:pos="2169"/>
        </w:tabs>
        <w:spacing w:before="60" w:after="60" w:line="240" w:lineRule="auto"/>
        <w:ind w:hanging="357"/>
        <w:rPr>
          <w:rFonts w:eastAsia="Calibri" w:cs="Arial"/>
          <w:color w:val="FF0000"/>
        </w:rPr>
      </w:pPr>
      <w:r w:rsidRPr="00066472">
        <w:rPr>
          <w:rFonts w:eastAsia="Calibri" w:cs="Arial"/>
        </w:rPr>
        <w:t xml:space="preserve">New Zealand is currently accepting passengers under ‘green zone’ travel </w:t>
      </w:r>
      <w:proofErr w:type="gramStart"/>
      <w:r w:rsidRPr="00066472">
        <w:rPr>
          <w:rFonts w:eastAsia="Calibri" w:cs="Arial"/>
        </w:rPr>
        <w:t>arrangements</w:t>
      </w:r>
      <w:proofErr w:type="gramEnd"/>
      <w:r w:rsidRPr="00066472">
        <w:rPr>
          <w:rFonts w:eastAsia="Calibri" w:cs="Arial"/>
        </w:rPr>
        <w:t xml:space="preserve"> from all Australian states and territories with the exception of </w:t>
      </w:r>
      <w:r w:rsidRPr="00066472">
        <w:rPr>
          <w:rFonts w:eastAsia="Calibri" w:cs="Arial"/>
          <w:color w:val="FF0000"/>
        </w:rPr>
        <w:t xml:space="preserve">New South Wales. </w:t>
      </w:r>
    </w:p>
    <w:p w14:paraId="14EFCC2E" w14:textId="77777777" w:rsidR="00DF7207" w:rsidRPr="00351CAF" w:rsidRDefault="00DF7207" w:rsidP="00DF7207">
      <w:pPr>
        <w:numPr>
          <w:ilvl w:val="1"/>
          <w:numId w:val="27"/>
        </w:numPr>
        <w:tabs>
          <w:tab w:val="left" w:pos="2169"/>
        </w:tabs>
        <w:spacing w:before="60" w:after="60" w:line="240" w:lineRule="auto"/>
        <w:ind w:hanging="357"/>
        <w:rPr>
          <w:rFonts w:eastAsia="Calibri" w:cs="Arial"/>
          <w:color w:val="FF0000"/>
        </w:rPr>
      </w:pPr>
      <w:r w:rsidRPr="00351CAF">
        <w:rPr>
          <w:rFonts w:eastAsia="Calibri" w:cs="Arial"/>
          <w:color w:val="FF0000"/>
        </w:rPr>
        <w:t xml:space="preserve">From </w:t>
      </w:r>
      <w:r>
        <w:rPr>
          <w:rFonts w:eastAsia="Calibri" w:cs="Arial"/>
          <w:color w:val="FF0000"/>
        </w:rPr>
        <w:t xml:space="preserve">23:59 </w:t>
      </w:r>
      <w:r w:rsidRPr="00351CAF">
        <w:rPr>
          <w:rFonts w:eastAsia="Calibri" w:cs="Arial"/>
          <w:color w:val="FF0000"/>
        </w:rPr>
        <w:t>NZT</w:t>
      </w:r>
      <w:r>
        <w:rPr>
          <w:rFonts w:eastAsia="Calibri" w:cs="Arial"/>
          <w:color w:val="FF0000"/>
        </w:rPr>
        <w:t xml:space="preserve"> on</w:t>
      </w:r>
      <w:r w:rsidRPr="00351CAF">
        <w:rPr>
          <w:rFonts w:eastAsia="Calibri" w:cs="Arial"/>
          <w:color w:val="FF0000"/>
        </w:rPr>
        <w:t xml:space="preserve"> 22 June 2021, New Zealand’s quarantine-free travel with New South Wales </w:t>
      </w:r>
      <w:r w:rsidR="00001F82">
        <w:rPr>
          <w:rFonts w:eastAsia="Calibri" w:cs="Arial"/>
          <w:color w:val="FF0000"/>
        </w:rPr>
        <w:t>has been</w:t>
      </w:r>
      <w:r w:rsidRPr="00351CAF">
        <w:rPr>
          <w:rFonts w:eastAsia="Calibri" w:cs="Arial"/>
          <w:color w:val="FF0000"/>
        </w:rPr>
        <w:t xml:space="preserve"> paused </w:t>
      </w:r>
      <w:r w:rsidR="00001F82">
        <w:rPr>
          <w:rFonts w:eastAsia="Calibri" w:cs="Arial"/>
          <w:color w:val="FF0000"/>
        </w:rPr>
        <w:t>for 72 hours</w:t>
      </w:r>
      <w:r w:rsidRPr="00351CAF">
        <w:rPr>
          <w:rFonts w:eastAsia="Calibri" w:cs="Arial"/>
          <w:color w:val="FF0000"/>
        </w:rPr>
        <w:t xml:space="preserve">, and </w:t>
      </w:r>
      <w:r w:rsidR="00001F82">
        <w:rPr>
          <w:rFonts w:eastAsia="Calibri" w:cs="Arial"/>
          <w:color w:val="FF0000"/>
        </w:rPr>
        <w:t>New Zealand authorities are regularly assessing the situation</w:t>
      </w:r>
      <w:r w:rsidRPr="00351CAF">
        <w:rPr>
          <w:rFonts w:eastAsia="Calibri" w:cs="Arial"/>
          <w:color w:val="FF0000"/>
        </w:rPr>
        <w:t>.</w:t>
      </w:r>
    </w:p>
    <w:p w14:paraId="4E78B217" w14:textId="77777777" w:rsidR="00A21291" w:rsidRDefault="00DF7207" w:rsidP="00DF7207">
      <w:pPr>
        <w:numPr>
          <w:ilvl w:val="0"/>
          <w:numId w:val="27"/>
        </w:numPr>
        <w:tabs>
          <w:tab w:val="left" w:pos="2169"/>
        </w:tabs>
        <w:spacing w:before="60" w:after="60" w:line="240" w:lineRule="auto"/>
        <w:ind w:hanging="357"/>
        <w:rPr>
          <w:rFonts w:eastAsia="Calibri" w:cs="Arial"/>
        </w:rPr>
      </w:pPr>
      <w:r w:rsidRPr="00066472">
        <w:rPr>
          <w:rFonts w:eastAsia="Calibri" w:cs="Arial"/>
        </w:rPr>
        <w:t xml:space="preserve">Anyone who has been at a location of interest during stated times in </w:t>
      </w:r>
      <w:r w:rsidRPr="00351CAF">
        <w:rPr>
          <w:rFonts w:eastAsia="Calibri" w:cs="Arial"/>
          <w:color w:val="FF0000"/>
        </w:rPr>
        <w:t xml:space="preserve">the </w:t>
      </w:r>
      <w:r w:rsidRPr="00066472">
        <w:rPr>
          <w:rFonts w:eastAsia="Calibri" w:cs="Arial"/>
          <w:color w:val="FF0000"/>
        </w:rPr>
        <w:t>Australian Capital Territory</w:t>
      </w:r>
      <w:r>
        <w:rPr>
          <w:rFonts w:eastAsia="Calibri" w:cs="Arial"/>
          <w:color w:val="FF0000"/>
        </w:rPr>
        <w:t>,</w:t>
      </w:r>
      <w:r w:rsidRPr="00066472">
        <w:rPr>
          <w:rFonts w:eastAsia="Calibri" w:cs="Arial"/>
        </w:rPr>
        <w:t xml:space="preserve"> New South Wales, Queensland, or Victoria is not permitted to travel to New Zealand within 14 days from being at the location of interest. </w:t>
      </w:r>
    </w:p>
    <w:p w14:paraId="0754EABC" w14:textId="77777777" w:rsidR="00001F82" w:rsidRPr="00001F82" w:rsidRDefault="00001F82" w:rsidP="00001F82">
      <w:pPr>
        <w:pStyle w:val="ListParagraph"/>
        <w:numPr>
          <w:ilvl w:val="0"/>
          <w:numId w:val="27"/>
        </w:numPr>
        <w:tabs>
          <w:tab w:val="left" w:pos="2169"/>
        </w:tabs>
        <w:spacing w:before="60" w:after="60" w:line="240" w:lineRule="auto"/>
        <w:ind w:hanging="357"/>
        <w:textAlignment w:val="auto"/>
        <w:rPr>
          <w:color w:val="auto"/>
        </w:rPr>
      </w:pPr>
      <w:r w:rsidRPr="00806A8B">
        <w:rPr>
          <w:rFonts w:eastAsia="Calibri"/>
          <w:color w:val="FF0000"/>
        </w:rPr>
        <w:t xml:space="preserve">At the time of this report, there are 18 contacts who have been identified in New Zealand as being at locations of interest in Sydney, and all have been provided appropriate health advice to stay at home and be tested.  </w:t>
      </w:r>
    </w:p>
    <w:p w14:paraId="5FBDE19F" w14:textId="77777777" w:rsidR="00001F82" w:rsidRPr="005E6A2E" w:rsidRDefault="00001F82" w:rsidP="00001F82">
      <w:pPr>
        <w:pStyle w:val="ListParagraph"/>
        <w:numPr>
          <w:ilvl w:val="0"/>
          <w:numId w:val="27"/>
        </w:numPr>
        <w:tabs>
          <w:tab w:val="left" w:pos="2169"/>
        </w:tabs>
        <w:spacing w:before="60" w:after="60" w:line="240" w:lineRule="auto"/>
        <w:ind w:hanging="357"/>
        <w:textAlignment w:val="auto"/>
        <w:rPr>
          <w:color w:val="auto"/>
        </w:rPr>
      </w:pPr>
      <w:r w:rsidRPr="002D13BC">
        <w:rPr>
          <w:color w:val="FF0000"/>
        </w:rPr>
        <w:t xml:space="preserve">From </w:t>
      </w:r>
      <w:r>
        <w:rPr>
          <w:color w:val="FF0000"/>
        </w:rPr>
        <w:t xml:space="preserve">6pm NZT </w:t>
      </w:r>
      <w:r w:rsidRPr="002D13BC">
        <w:rPr>
          <w:color w:val="FF0000"/>
        </w:rPr>
        <w:t>23 June 2021,</w:t>
      </w:r>
      <w:r>
        <w:rPr>
          <w:color w:val="FF0000"/>
        </w:rPr>
        <w:t xml:space="preserve"> Wellington is at Alert Level 2, until Sunday 27 June 2021.</w:t>
      </w:r>
      <w:r w:rsidRPr="002D13BC">
        <w:rPr>
          <w:color w:val="FF0000"/>
        </w:rPr>
        <w:t xml:space="preserve"> </w:t>
      </w:r>
    </w:p>
    <w:p w14:paraId="12857ADD" w14:textId="77777777" w:rsidR="00001F82" w:rsidRDefault="00001F82" w:rsidP="00001F82">
      <w:pPr>
        <w:pStyle w:val="ListParagraph"/>
        <w:numPr>
          <w:ilvl w:val="0"/>
          <w:numId w:val="27"/>
        </w:numPr>
        <w:tabs>
          <w:tab w:val="left" w:pos="2169"/>
        </w:tabs>
        <w:spacing w:before="60" w:after="60" w:line="240" w:lineRule="auto"/>
        <w:ind w:hanging="357"/>
        <w:textAlignment w:val="auto"/>
      </w:pPr>
      <w:r w:rsidRPr="002D13BC">
        <w:rPr>
          <w:color w:val="FF0000"/>
        </w:rPr>
        <w:t xml:space="preserve">The rest of </w:t>
      </w:r>
      <w:r w:rsidRPr="002D13BC">
        <w:t xml:space="preserve">New Zealand </w:t>
      </w:r>
      <w:r w:rsidRPr="005E6A2E">
        <w:rPr>
          <w:color w:val="FF0000"/>
        </w:rPr>
        <w:t xml:space="preserve">remains </w:t>
      </w:r>
      <w:r w:rsidRPr="002D13BC">
        <w:t xml:space="preserve">at Alert Level 1. </w:t>
      </w:r>
    </w:p>
    <w:p w14:paraId="25C72B8E" w14:textId="77777777" w:rsidR="00616F76" w:rsidRDefault="00616F76" w:rsidP="00441C90">
      <w:pPr>
        <w:pStyle w:val="List"/>
        <w:ind w:left="0" w:firstLine="0"/>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82685D" w14:paraId="1BBADB80" w14:textId="77777777" w:rsidTr="00441C90">
        <w:trPr>
          <w:trHeight w:val="222"/>
          <w:tblHeader/>
        </w:trPr>
        <w:tc>
          <w:tcPr>
            <w:tcW w:w="7371" w:type="dxa"/>
            <w:shd w:val="clear" w:color="auto" w:fill="DAEEF3" w:themeFill="accent5" w:themeFillTint="33"/>
            <w:tcMar>
              <w:top w:w="45" w:type="dxa"/>
              <w:left w:w="75" w:type="dxa"/>
              <w:bottom w:w="45" w:type="dxa"/>
              <w:right w:w="75" w:type="dxa"/>
            </w:tcMar>
            <w:vAlign w:val="bottom"/>
            <w:hideMark/>
          </w:tcPr>
          <w:p w14:paraId="64DEB40F" w14:textId="77777777" w:rsidR="00046248" w:rsidRPr="0082685D" w:rsidRDefault="00046248" w:rsidP="00046248">
            <w:pPr>
              <w:rPr>
                <w:rFonts w:eastAsia="Times New Roman" w:cs="Arial"/>
                <w:b/>
                <w:lang w:eastAsia="en-AU"/>
              </w:rPr>
            </w:pP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82685D" w:rsidRDefault="00046248" w:rsidP="00046248">
            <w:pPr>
              <w:jc w:val="center"/>
              <w:rPr>
                <w:rFonts w:eastAsia="Times New Roman" w:cs="Arial"/>
                <w:b/>
                <w:lang w:eastAsia="en-AU"/>
              </w:rPr>
            </w:pPr>
            <w:r w:rsidRPr="0082685D">
              <w:rPr>
                <w:rFonts w:eastAsia="Times New Roman" w:cs="Arial"/>
                <w:b/>
                <w:lang w:eastAsia="en-AU"/>
              </w:rPr>
              <w:t>Total</w:t>
            </w:r>
          </w:p>
        </w:tc>
      </w:tr>
      <w:tr w:rsidR="00046248" w:rsidRPr="00306E01" w14:paraId="2211065B" w14:textId="77777777" w:rsidTr="00441C90">
        <w:trPr>
          <w:trHeight w:val="222"/>
        </w:trPr>
        <w:tc>
          <w:tcPr>
            <w:tcW w:w="7371" w:type="dxa"/>
            <w:shd w:val="clear" w:color="auto" w:fill="auto"/>
            <w:tcMar>
              <w:top w:w="45" w:type="dxa"/>
              <w:left w:w="75" w:type="dxa"/>
              <w:bottom w:w="45" w:type="dxa"/>
              <w:right w:w="75" w:type="dxa"/>
            </w:tcMar>
            <w:vAlign w:val="bottom"/>
            <w:hideMark/>
          </w:tcPr>
          <w:p w14:paraId="6A837445" w14:textId="77777777" w:rsidR="00046248" w:rsidRPr="00441C90" w:rsidRDefault="00046248" w:rsidP="00046248">
            <w:pPr>
              <w:rPr>
                <w:rFonts w:eastAsia="Times New Roman" w:cs="Arial"/>
                <w:lang w:eastAsia="en-AU"/>
              </w:rPr>
            </w:pPr>
            <w:r w:rsidRPr="00441C90">
              <w:rPr>
                <w:rFonts w:eastAsia="Times New Roman" w:cs="Arial"/>
                <w:lang w:eastAsia="en-AU"/>
              </w:rPr>
              <w:t>Cumulative confirmed cases – last week</w:t>
            </w:r>
          </w:p>
        </w:tc>
        <w:tc>
          <w:tcPr>
            <w:tcW w:w="1701" w:type="dxa"/>
            <w:shd w:val="clear" w:color="auto" w:fill="auto"/>
            <w:tcMar>
              <w:top w:w="45" w:type="dxa"/>
              <w:left w:w="75" w:type="dxa"/>
              <w:bottom w:w="45" w:type="dxa"/>
              <w:right w:w="75" w:type="dxa"/>
            </w:tcMar>
          </w:tcPr>
          <w:p w14:paraId="501072CD" w14:textId="77777777" w:rsidR="00046248" w:rsidRPr="00306E01" w:rsidRDefault="00046248" w:rsidP="00F33CD8">
            <w:pPr>
              <w:jc w:val="center"/>
              <w:rPr>
                <w:rFonts w:eastAsia="Times New Roman" w:cs="Arial"/>
                <w:color w:val="FF0000"/>
                <w:lang w:eastAsia="en-AU"/>
              </w:rPr>
            </w:pPr>
            <w:r w:rsidRPr="00C8073A">
              <w:rPr>
                <w:rFonts w:eastAsia="Times New Roman" w:cs="Arial"/>
                <w:color w:val="FF0000"/>
                <w:lang w:eastAsia="en-AU"/>
              </w:rPr>
              <w:t>2,3</w:t>
            </w:r>
            <w:r w:rsidR="00F33CD8">
              <w:rPr>
                <w:rFonts w:eastAsia="Times New Roman" w:cs="Arial"/>
                <w:color w:val="FF0000"/>
                <w:lang w:eastAsia="en-AU"/>
              </w:rPr>
              <w:t>55</w:t>
            </w:r>
          </w:p>
        </w:tc>
      </w:tr>
      <w:tr w:rsidR="00046248" w:rsidRPr="00306E01" w14:paraId="3582A456" w14:textId="77777777" w:rsidTr="00441C90">
        <w:trPr>
          <w:trHeight w:val="222"/>
        </w:trPr>
        <w:tc>
          <w:tcPr>
            <w:tcW w:w="7371" w:type="dxa"/>
            <w:shd w:val="clear" w:color="auto" w:fill="auto"/>
            <w:tcMar>
              <w:top w:w="45" w:type="dxa"/>
              <w:left w:w="75" w:type="dxa"/>
              <w:bottom w:w="45" w:type="dxa"/>
              <w:right w:w="75" w:type="dxa"/>
            </w:tcMar>
            <w:vAlign w:val="bottom"/>
          </w:tcPr>
          <w:p w14:paraId="022D8969" w14:textId="77777777" w:rsidR="00046248" w:rsidRPr="00441C90" w:rsidRDefault="00046248" w:rsidP="00046248">
            <w:pPr>
              <w:rPr>
                <w:rFonts w:eastAsia="Times New Roman" w:cs="Arial"/>
                <w:lang w:eastAsia="en-AU"/>
              </w:rPr>
            </w:pPr>
            <w:r w:rsidRPr="00441C90">
              <w:rPr>
                <w:rFonts w:eastAsia="Times New Roman" w:cs="Arial"/>
                <w:lang w:eastAsia="en-AU"/>
              </w:rPr>
              <w:t>New cases – managed quarantine</w:t>
            </w:r>
          </w:p>
        </w:tc>
        <w:tc>
          <w:tcPr>
            <w:tcW w:w="1701" w:type="dxa"/>
            <w:shd w:val="clear" w:color="auto" w:fill="auto"/>
            <w:tcMar>
              <w:top w:w="45" w:type="dxa"/>
              <w:left w:w="75" w:type="dxa"/>
              <w:bottom w:w="45" w:type="dxa"/>
              <w:right w:w="75" w:type="dxa"/>
            </w:tcMar>
          </w:tcPr>
          <w:p w14:paraId="27FD2509" w14:textId="77777777" w:rsidR="00046248" w:rsidRPr="003C08F9" w:rsidRDefault="00F33CD8" w:rsidP="00F33CD8">
            <w:pPr>
              <w:jc w:val="center"/>
              <w:rPr>
                <w:rFonts w:eastAsia="Times New Roman" w:cs="Arial"/>
                <w:color w:val="FF0000"/>
                <w:lang w:eastAsia="en-AU"/>
              </w:rPr>
            </w:pPr>
            <w:r>
              <w:rPr>
                <w:rFonts w:eastAsia="Times New Roman" w:cs="Arial"/>
                <w:color w:val="FF0000"/>
                <w:lang w:eastAsia="en-AU"/>
              </w:rPr>
              <w:t xml:space="preserve">    </w:t>
            </w:r>
            <w:r w:rsidR="00046248" w:rsidRPr="003C08F9">
              <w:rPr>
                <w:rFonts w:eastAsia="Times New Roman" w:cs="Arial"/>
                <w:color w:val="FF0000"/>
                <w:lang w:eastAsia="en-AU"/>
              </w:rPr>
              <w:t>1</w:t>
            </w:r>
            <w:r>
              <w:rPr>
                <w:rFonts w:eastAsia="Times New Roman" w:cs="Arial"/>
                <w:color w:val="FF0000"/>
                <w:lang w:eastAsia="en-AU"/>
              </w:rPr>
              <w:t>4</w:t>
            </w:r>
          </w:p>
        </w:tc>
      </w:tr>
      <w:tr w:rsidR="00046248" w:rsidRPr="00306E01" w14:paraId="4D5A3D43" w14:textId="77777777" w:rsidTr="00441C90">
        <w:trPr>
          <w:trHeight w:val="222"/>
        </w:trPr>
        <w:tc>
          <w:tcPr>
            <w:tcW w:w="7371" w:type="dxa"/>
            <w:shd w:val="clear" w:color="auto" w:fill="auto"/>
            <w:tcMar>
              <w:top w:w="45" w:type="dxa"/>
              <w:left w:w="75" w:type="dxa"/>
              <w:bottom w:w="45" w:type="dxa"/>
              <w:right w:w="75" w:type="dxa"/>
            </w:tcMar>
            <w:vAlign w:val="bottom"/>
          </w:tcPr>
          <w:p w14:paraId="6FE74E75" w14:textId="77777777" w:rsidR="00046248" w:rsidRPr="00441C90" w:rsidRDefault="00046248" w:rsidP="00046248">
            <w:pPr>
              <w:rPr>
                <w:rFonts w:eastAsia="Times New Roman" w:cs="Arial"/>
                <w:lang w:eastAsia="en-AU"/>
              </w:rPr>
            </w:pPr>
            <w:r w:rsidRPr="00441C90">
              <w:rPr>
                <w:rFonts w:eastAsia="Times New Roman" w:cs="Arial"/>
                <w:lang w:eastAsia="en-AU"/>
              </w:rPr>
              <w:t>New cases – locally acquired</w:t>
            </w:r>
          </w:p>
        </w:tc>
        <w:tc>
          <w:tcPr>
            <w:tcW w:w="1701" w:type="dxa"/>
            <w:shd w:val="clear" w:color="auto" w:fill="auto"/>
            <w:tcMar>
              <w:top w:w="45" w:type="dxa"/>
              <w:left w:w="75" w:type="dxa"/>
              <w:bottom w:w="45" w:type="dxa"/>
              <w:right w:w="75" w:type="dxa"/>
            </w:tcMar>
          </w:tcPr>
          <w:p w14:paraId="17B9C8D4" w14:textId="77777777" w:rsidR="00046248" w:rsidRPr="003C08F9" w:rsidRDefault="00F33CD8" w:rsidP="00567A9D">
            <w:pPr>
              <w:jc w:val="center"/>
              <w:rPr>
                <w:rFonts w:eastAsia="Times New Roman" w:cs="Arial"/>
                <w:color w:val="FF0000"/>
                <w:lang w:eastAsia="en-AU"/>
              </w:rPr>
            </w:pPr>
            <w:r>
              <w:rPr>
                <w:rFonts w:eastAsia="Times New Roman" w:cs="Arial"/>
                <w:color w:val="FF0000"/>
                <w:lang w:eastAsia="en-AU"/>
              </w:rPr>
              <w:t xml:space="preserve">      0</w:t>
            </w:r>
          </w:p>
        </w:tc>
      </w:tr>
      <w:tr w:rsidR="00046248" w:rsidRPr="00306E01" w14:paraId="64A49BEC" w14:textId="77777777" w:rsidTr="00441C90">
        <w:trPr>
          <w:trHeight w:val="222"/>
        </w:trPr>
        <w:tc>
          <w:tcPr>
            <w:tcW w:w="7371" w:type="dxa"/>
            <w:shd w:val="clear" w:color="auto" w:fill="auto"/>
            <w:tcMar>
              <w:top w:w="45" w:type="dxa"/>
              <w:left w:w="75" w:type="dxa"/>
              <w:bottom w:w="45" w:type="dxa"/>
              <w:right w:w="75" w:type="dxa"/>
            </w:tcMar>
            <w:vAlign w:val="bottom"/>
          </w:tcPr>
          <w:p w14:paraId="19ED21C9" w14:textId="77777777" w:rsidR="00046248" w:rsidRPr="00441C90" w:rsidRDefault="00046248" w:rsidP="00046248">
            <w:pPr>
              <w:rPr>
                <w:rFonts w:eastAsia="Times New Roman" w:cs="Arial"/>
                <w:lang w:eastAsia="en-AU"/>
              </w:rPr>
            </w:pPr>
            <w:r w:rsidRPr="00441C90">
              <w:rPr>
                <w:rFonts w:eastAsia="Times New Roman" w:cs="Arial"/>
                <w:lang w:eastAsia="en-AU"/>
              </w:rPr>
              <w:t>Cases removed or reclassified</w:t>
            </w:r>
          </w:p>
        </w:tc>
        <w:tc>
          <w:tcPr>
            <w:tcW w:w="1701" w:type="dxa"/>
            <w:shd w:val="clear" w:color="auto" w:fill="auto"/>
            <w:tcMar>
              <w:top w:w="45" w:type="dxa"/>
              <w:left w:w="75" w:type="dxa"/>
              <w:bottom w:w="45" w:type="dxa"/>
              <w:right w:w="75" w:type="dxa"/>
            </w:tcMar>
          </w:tcPr>
          <w:p w14:paraId="3935EBD2" w14:textId="77777777" w:rsidR="00046248" w:rsidRPr="003C08F9" w:rsidRDefault="00F33CD8" w:rsidP="00F33CD8">
            <w:pPr>
              <w:jc w:val="center"/>
              <w:rPr>
                <w:rFonts w:eastAsia="Times New Roman" w:cs="Arial"/>
                <w:color w:val="FF0000"/>
                <w:lang w:eastAsia="en-AU"/>
              </w:rPr>
            </w:pPr>
            <w:r>
              <w:rPr>
                <w:rFonts w:eastAsia="Times New Roman" w:cs="Arial"/>
                <w:color w:val="FF0000"/>
                <w:lang w:eastAsia="en-AU"/>
              </w:rPr>
              <w:t xml:space="preserve">    </w:t>
            </w:r>
            <w:r w:rsidR="00046248" w:rsidRPr="003C08F9">
              <w:rPr>
                <w:rFonts w:eastAsia="Times New Roman" w:cs="Arial"/>
                <w:color w:val="FF0000"/>
                <w:lang w:eastAsia="en-AU"/>
              </w:rPr>
              <w:t>-</w:t>
            </w:r>
            <w:r>
              <w:rPr>
                <w:rFonts w:eastAsia="Times New Roman" w:cs="Arial"/>
                <w:color w:val="FF0000"/>
                <w:lang w:eastAsia="en-AU"/>
              </w:rPr>
              <w:t>2</w:t>
            </w:r>
          </w:p>
        </w:tc>
      </w:tr>
      <w:tr w:rsidR="00046248" w:rsidRPr="00306E01" w14:paraId="5C9CCFDC" w14:textId="77777777" w:rsidTr="00441C90">
        <w:trPr>
          <w:trHeight w:val="222"/>
        </w:trPr>
        <w:tc>
          <w:tcPr>
            <w:tcW w:w="7371" w:type="dxa"/>
            <w:shd w:val="clear" w:color="auto" w:fill="auto"/>
            <w:tcMar>
              <w:top w:w="45" w:type="dxa"/>
              <w:left w:w="75" w:type="dxa"/>
              <w:bottom w:w="45" w:type="dxa"/>
              <w:right w:w="75" w:type="dxa"/>
            </w:tcMar>
            <w:vAlign w:val="bottom"/>
          </w:tcPr>
          <w:p w14:paraId="19FE9543" w14:textId="77777777" w:rsidR="00046248" w:rsidRPr="00441C90" w:rsidRDefault="00046248" w:rsidP="00046248">
            <w:pPr>
              <w:rPr>
                <w:rFonts w:eastAsia="Times New Roman" w:cs="Arial"/>
                <w:lang w:eastAsia="en-AU"/>
              </w:rPr>
            </w:pPr>
            <w:r w:rsidRPr="00441C90">
              <w:rPr>
                <w:rFonts w:eastAsia="Times New Roman" w:cs="Arial"/>
                <w:lang w:eastAsia="en-AU"/>
              </w:rPr>
              <w:t>Cumulative confirmed cases – this week</w:t>
            </w:r>
          </w:p>
        </w:tc>
        <w:tc>
          <w:tcPr>
            <w:tcW w:w="1701" w:type="dxa"/>
            <w:shd w:val="clear" w:color="auto" w:fill="auto"/>
            <w:tcMar>
              <w:top w:w="45" w:type="dxa"/>
              <w:left w:w="75" w:type="dxa"/>
              <w:bottom w:w="45" w:type="dxa"/>
              <w:right w:w="75" w:type="dxa"/>
            </w:tcMar>
          </w:tcPr>
          <w:p w14:paraId="56B0EDBA" w14:textId="77777777" w:rsidR="00046248" w:rsidRPr="003C08F9" w:rsidRDefault="00046248" w:rsidP="00F33CD8">
            <w:pPr>
              <w:jc w:val="center"/>
              <w:rPr>
                <w:rFonts w:eastAsia="Times New Roman" w:cs="Arial"/>
                <w:color w:val="FF0000"/>
                <w:lang w:eastAsia="en-AU"/>
              </w:rPr>
            </w:pPr>
            <w:r w:rsidRPr="003C08F9">
              <w:rPr>
                <w:rFonts w:eastAsia="Times New Roman" w:cs="Arial"/>
                <w:color w:val="FF0000"/>
                <w:lang w:eastAsia="en-AU"/>
              </w:rPr>
              <w:t>2,3</w:t>
            </w:r>
            <w:r w:rsidR="00F33CD8">
              <w:rPr>
                <w:rFonts w:eastAsia="Times New Roman" w:cs="Arial"/>
                <w:color w:val="FF0000"/>
                <w:lang w:eastAsia="en-AU"/>
              </w:rPr>
              <w:t>67</w:t>
            </w:r>
          </w:p>
        </w:tc>
      </w:tr>
    </w:tbl>
    <w:p w14:paraId="06DF1C38" w14:textId="77777777" w:rsidR="00046248" w:rsidRPr="00441C90" w:rsidRDefault="00046248" w:rsidP="00441C90">
      <w:pPr>
        <w:pStyle w:val="List"/>
        <w:spacing w:before="240" w:after="120" w:line="240" w:lineRule="auto"/>
        <w:ind w:left="284" w:firstLine="0"/>
        <w:contextualSpacing w:val="0"/>
        <w:rPr>
          <w:rFonts w:cs="Arial"/>
          <w:b/>
        </w:rPr>
      </w:pPr>
      <w:r w:rsidRPr="00046248">
        <w:rPr>
          <w:rFonts w:cs="Arial"/>
          <w:b/>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82685D" w14:paraId="4D47BAE0" w14:textId="77777777" w:rsidTr="00441C90">
        <w:trPr>
          <w:trHeight w:val="160"/>
        </w:trPr>
        <w:tc>
          <w:tcPr>
            <w:tcW w:w="7372" w:type="dxa"/>
            <w:tcBorders>
              <w:bottom w:val="single" w:sz="4" w:space="0" w:color="auto"/>
            </w:tcBorders>
            <w:shd w:val="clear" w:color="auto" w:fill="DBE5F1" w:themeFill="accent1" w:themeFillTint="33"/>
            <w:vAlign w:val="center"/>
          </w:tcPr>
          <w:p w14:paraId="384A3609" w14:textId="77777777" w:rsidR="00046248" w:rsidRPr="0082685D" w:rsidRDefault="00046248" w:rsidP="00441C90">
            <w:pPr>
              <w:spacing w:before="20" w:after="20"/>
              <w:rPr>
                <w:rFonts w:cs="Arial"/>
                <w:b/>
                <w:lang w:val="en"/>
              </w:rPr>
            </w:pPr>
          </w:p>
        </w:tc>
        <w:tc>
          <w:tcPr>
            <w:tcW w:w="1701" w:type="dxa"/>
            <w:shd w:val="clear" w:color="auto" w:fill="DBE5F1" w:themeFill="accent1" w:themeFillTint="33"/>
            <w:vAlign w:val="center"/>
          </w:tcPr>
          <w:p w14:paraId="1207B8C3" w14:textId="77777777" w:rsidR="00046248" w:rsidRPr="0082685D" w:rsidRDefault="00046248" w:rsidP="00441C90">
            <w:pPr>
              <w:spacing w:before="20" w:after="20"/>
              <w:jc w:val="center"/>
              <w:rPr>
                <w:rFonts w:cs="Arial"/>
                <w:b/>
                <w:lang w:val="en"/>
              </w:rPr>
            </w:pPr>
          </w:p>
        </w:tc>
      </w:tr>
      <w:tr w:rsidR="00046248" w:rsidRPr="0082685D" w14:paraId="6526DFA2" w14:textId="77777777" w:rsidTr="00441C90">
        <w:trPr>
          <w:trHeight w:val="160"/>
        </w:trPr>
        <w:tc>
          <w:tcPr>
            <w:tcW w:w="7372" w:type="dxa"/>
            <w:tcBorders>
              <w:top w:val="single" w:sz="4" w:space="0" w:color="auto"/>
            </w:tcBorders>
            <w:vAlign w:val="center"/>
          </w:tcPr>
          <w:p w14:paraId="53D8F964" w14:textId="77777777" w:rsidR="00046248" w:rsidRPr="00441C90" w:rsidRDefault="00046248" w:rsidP="00441C90">
            <w:pPr>
              <w:spacing w:before="20" w:after="20"/>
              <w:rPr>
                <w:rFonts w:cs="Arial"/>
                <w:lang w:val="en"/>
              </w:rPr>
            </w:pPr>
            <w:r w:rsidRPr="00441C90">
              <w:rPr>
                <w:rFonts w:cs="Arial"/>
                <w:lang w:val="en"/>
              </w:rPr>
              <w:t>Cumulative deaths</w:t>
            </w:r>
          </w:p>
        </w:tc>
        <w:tc>
          <w:tcPr>
            <w:tcW w:w="1701" w:type="dxa"/>
            <w:vAlign w:val="center"/>
          </w:tcPr>
          <w:p w14:paraId="45E45F3F" w14:textId="77777777" w:rsidR="00046248" w:rsidRPr="0082685D" w:rsidRDefault="00441C90" w:rsidP="00441C90">
            <w:pPr>
              <w:spacing w:before="20" w:after="20"/>
              <w:jc w:val="center"/>
              <w:rPr>
                <w:rFonts w:cs="Arial"/>
                <w:color w:val="FF0000"/>
                <w:lang w:val="en"/>
              </w:rPr>
            </w:pPr>
            <w:r w:rsidRPr="00441C90">
              <w:rPr>
                <w:rFonts w:cs="Arial"/>
                <w:color w:val="auto"/>
                <w:lang w:val="en"/>
              </w:rPr>
              <w:t>26</w:t>
            </w:r>
          </w:p>
        </w:tc>
      </w:tr>
      <w:tr w:rsidR="00046248" w:rsidRPr="0082685D" w14:paraId="7D3570B1" w14:textId="77777777" w:rsidTr="00441C90">
        <w:trPr>
          <w:trHeight w:val="160"/>
        </w:trPr>
        <w:tc>
          <w:tcPr>
            <w:tcW w:w="7372" w:type="dxa"/>
            <w:vAlign w:val="center"/>
          </w:tcPr>
          <w:p w14:paraId="1F5E2B56" w14:textId="77777777" w:rsidR="00046248" w:rsidRPr="00441C90" w:rsidRDefault="00046248" w:rsidP="00441C90">
            <w:pPr>
              <w:spacing w:before="20" w:after="20"/>
              <w:rPr>
                <w:rFonts w:cs="Arial"/>
                <w:lang w:val="en"/>
              </w:rPr>
            </w:pPr>
            <w:r w:rsidRPr="00441C90">
              <w:rPr>
                <w:rFonts w:cs="Arial"/>
                <w:lang w:val="en"/>
              </w:rPr>
              <w:t>Currently</w:t>
            </w:r>
            <w:r w:rsidRPr="00441C90">
              <w:rPr>
                <w:rFonts w:cs="Arial"/>
              </w:rPr>
              <w:t xml:space="preserve"> hospitalised</w:t>
            </w:r>
          </w:p>
        </w:tc>
        <w:tc>
          <w:tcPr>
            <w:tcW w:w="1701" w:type="dxa"/>
            <w:vAlign w:val="center"/>
          </w:tcPr>
          <w:p w14:paraId="7AB141C7" w14:textId="77777777" w:rsidR="00046248" w:rsidRPr="0082685D" w:rsidRDefault="007A5D86" w:rsidP="00441C90">
            <w:pPr>
              <w:spacing w:before="20" w:after="20"/>
              <w:jc w:val="center"/>
              <w:rPr>
                <w:rFonts w:cs="Arial"/>
                <w:color w:val="FF0000"/>
                <w:lang w:val="en"/>
              </w:rPr>
            </w:pPr>
            <w:r>
              <w:rPr>
                <w:rFonts w:cs="Arial"/>
                <w:color w:val="FF0000"/>
                <w:lang w:val="en"/>
              </w:rPr>
              <w:t>2</w:t>
            </w:r>
          </w:p>
        </w:tc>
      </w:tr>
    </w:tbl>
    <w:p w14:paraId="06312AD1" w14:textId="77777777" w:rsidR="00046248" w:rsidRDefault="00046248" w:rsidP="00567A9D">
      <w:pPr>
        <w:pStyle w:val="List"/>
        <w:spacing w:after="0" w:line="264" w:lineRule="auto"/>
        <w:ind w:left="0" w:firstLine="0"/>
        <w:contextualSpacing w:val="0"/>
        <w:rPr>
          <w:b/>
          <w:color w:val="auto"/>
        </w:rPr>
      </w:pPr>
    </w:p>
    <w:p w14:paraId="274458C9" w14:textId="77777777" w:rsidR="00C05D0C" w:rsidRPr="00C05D0C" w:rsidRDefault="00B211B6" w:rsidP="00441C90">
      <w:pPr>
        <w:pStyle w:val="List"/>
        <w:spacing w:before="240" w:after="120" w:line="240" w:lineRule="auto"/>
        <w:ind w:left="284" w:firstLine="0"/>
        <w:contextualSpacing w:val="0"/>
      </w:pPr>
      <w:r w:rsidRPr="005A2316">
        <w:rPr>
          <w:b/>
          <w:color w:val="auto"/>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2F5E02" w14:paraId="71F03864" w14:textId="77777777" w:rsidTr="00441C90">
        <w:trPr>
          <w:trHeight w:val="385"/>
          <w:tblHeader/>
        </w:trPr>
        <w:tc>
          <w:tcPr>
            <w:tcW w:w="5671" w:type="dxa"/>
            <w:tcBorders>
              <w:bottom w:val="single" w:sz="4" w:space="0" w:color="auto"/>
            </w:tcBorders>
            <w:shd w:val="clear" w:color="auto" w:fill="DBE5F1" w:themeFill="accent1" w:themeFillTint="33"/>
          </w:tcPr>
          <w:p w14:paraId="040EEE17" w14:textId="77777777" w:rsidR="00B211B6" w:rsidRPr="002F5E02" w:rsidRDefault="00B211B6" w:rsidP="00441C90">
            <w:pPr>
              <w:spacing w:after="0" w:line="22" w:lineRule="atLeast"/>
              <w:rPr>
                <w:rFonts w:cs="Arial"/>
                <w:b/>
                <w:color w:val="auto"/>
                <w:szCs w:val="20"/>
                <w:lang w:val="en"/>
              </w:rPr>
            </w:pPr>
          </w:p>
        </w:tc>
        <w:tc>
          <w:tcPr>
            <w:tcW w:w="1701" w:type="dxa"/>
            <w:shd w:val="clear" w:color="auto" w:fill="DBE5F1" w:themeFill="accent1" w:themeFillTint="33"/>
            <w:vAlign w:val="center"/>
          </w:tcPr>
          <w:p w14:paraId="4BD09E61" w14:textId="77777777" w:rsidR="00B211B6" w:rsidRPr="002F5E02" w:rsidRDefault="00343B8C" w:rsidP="00441C90">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1701" w:type="dxa"/>
            <w:shd w:val="clear" w:color="auto" w:fill="DBE5F1" w:themeFill="accent1" w:themeFillTint="33"/>
            <w:vAlign w:val="center"/>
          </w:tcPr>
          <w:p w14:paraId="1D58C7A8" w14:textId="77777777" w:rsidR="00B211B6" w:rsidRPr="002F5E02" w:rsidRDefault="00B211B6" w:rsidP="00441C90">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14:paraId="78C6A913" w14:textId="77777777" w:rsidTr="00441C90">
        <w:trPr>
          <w:trHeight w:val="370"/>
        </w:trPr>
        <w:tc>
          <w:tcPr>
            <w:tcW w:w="5671" w:type="dxa"/>
            <w:tcBorders>
              <w:top w:val="single" w:sz="4" w:space="0" w:color="auto"/>
            </w:tcBorders>
          </w:tcPr>
          <w:p w14:paraId="27B055A8" w14:textId="77777777" w:rsidR="000F78EE" w:rsidRPr="002F5E02" w:rsidRDefault="000F78EE" w:rsidP="00F33CD8">
            <w:pPr>
              <w:spacing w:after="0" w:line="22" w:lineRule="atLeast"/>
              <w:rPr>
                <w:rFonts w:cs="Arial"/>
                <w:color w:val="auto"/>
                <w:szCs w:val="20"/>
                <w:lang w:val="en"/>
              </w:rPr>
            </w:pPr>
            <w:r w:rsidRPr="002F5E02">
              <w:rPr>
                <w:color w:val="auto"/>
              </w:rPr>
              <w:t xml:space="preserve">Last locally acquired case </w:t>
            </w:r>
          </w:p>
        </w:tc>
        <w:tc>
          <w:tcPr>
            <w:tcW w:w="1701" w:type="dxa"/>
            <w:vAlign w:val="center"/>
          </w:tcPr>
          <w:p w14:paraId="32D2D54A" w14:textId="77777777" w:rsidR="000F78EE" w:rsidRPr="00AA2159" w:rsidRDefault="000F78EE" w:rsidP="00441C90">
            <w:pPr>
              <w:spacing w:after="0" w:line="22" w:lineRule="atLeast"/>
              <w:jc w:val="center"/>
              <w:rPr>
                <w:rFonts w:cs="Arial"/>
                <w:color w:val="FF0000"/>
                <w:szCs w:val="20"/>
                <w:lang w:val="en"/>
              </w:rPr>
            </w:pPr>
            <w:r w:rsidRPr="00C93689">
              <w:rPr>
                <w:rFonts w:cs="Arial"/>
                <w:color w:val="auto"/>
                <w:lang w:val="en"/>
              </w:rPr>
              <w:t>20/04/2021</w:t>
            </w:r>
          </w:p>
        </w:tc>
        <w:tc>
          <w:tcPr>
            <w:tcW w:w="1701" w:type="dxa"/>
            <w:vAlign w:val="center"/>
          </w:tcPr>
          <w:p w14:paraId="5D4D47C1" w14:textId="77777777" w:rsidR="000F78EE" w:rsidRPr="00AA2159" w:rsidRDefault="00F33CD8" w:rsidP="00F33CD8">
            <w:pPr>
              <w:spacing w:after="0" w:line="22" w:lineRule="atLeast"/>
              <w:jc w:val="center"/>
              <w:rPr>
                <w:rFonts w:cs="Arial"/>
                <w:color w:val="FF0000"/>
                <w:szCs w:val="20"/>
                <w:lang w:val="en"/>
              </w:rPr>
            </w:pPr>
            <w:r>
              <w:rPr>
                <w:rFonts w:cs="Arial"/>
                <w:color w:val="FF0000"/>
                <w:lang w:val="en"/>
              </w:rPr>
              <w:t xml:space="preserve">  64</w:t>
            </w:r>
          </w:p>
        </w:tc>
      </w:tr>
      <w:tr w:rsidR="000F78EE" w:rsidRPr="002F5E02" w14:paraId="6D949696" w14:textId="77777777" w:rsidTr="00441C90">
        <w:trPr>
          <w:trHeight w:val="342"/>
        </w:trPr>
        <w:tc>
          <w:tcPr>
            <w:tcW w:w="5671" w:type="dxa"/>
          </w:tcPr>
          <w:p w14:paraId="785148AB" w14:textId="77777777" w:rsidR="000F78EE" w:rsidRPr="002F5E02" w:rsidRDefault="000F78EE" w:rsidP="00441C90">
            <w:pPr>
              <w:spacing w:after="0" w:line="22" w:lineRule="atLeast"/>
              <w:rPr>
                <w:rFonts w:cs="Arial"/>
                <w:color w:val="auto"/>
                <w:szCs w:val="20"/>
                <w:lang w:val="en"/>
              </w:rPr>
            </w:pPr>
            <w:r w:rsidRPr="002F5E02">
              <w:rPr>
                <w:color w:val="auto"/>
              </w:rPr>
              <w:t xml:space="preserve">Last locally acquired case of unknown source </w:t>
            </w:r>
          </w:p>
        </w:tc>
        <w:tc>
          <w:tcPr>
            <w:tcW w:w="1701" w:type="dxa"/>
            <w:vAlign w:val="center"/>
          </w:tcPr>
          <w:p w14:paraId="615DB13E" w14:textId="77777777" w:rsidR="000F78EE" w:rsidRPr="007E68CB" w:rsidRDefault="000F78EE" w:rsidP="00441C90">
            <w:pPr>
              <w:pStyle w:val="NormalWeb"/>
              <w:spacing w:before="0" w:beforeAutospacing="0" w:after="0" w:afterAutospacing="0" w:line="22" w:lineRule="atLeast"/>
              <w:jc w:val="center"/>
              <w:rPr>
                <w:rFonts w:ascii="Arial" w:hAnsi="Arial" w:cs="Arial"/>
                <w:color w:val="FF0000"/>
              </w:rPr>
            </w:pPr>
            <w:r>
              <w:rPr>
                <w:rFonts w:ascii="Arial" w:hAnsi="Arial" w:cs="Arial"/>
                <w:lang w:val="en"/>
              </w:rPr>
              <w:t>13/02/2021</w:t>
            </w:r>
          </w:p>
        </w:tc>
        <w:tc>
          <w:tcPr>
            <w:tcW w:w="1701" w:type="dxa"/>
            <w:vAlign w:val="center"/>
          </w:tcPr>
          <w:p w14:paraId="626591BB" w14:textId="77777777" w:rsidR="000F78EE" w:rsidRPr="007E68CB" w:rsidRDefault="000F78EE" w:rsidP="00F33CD8">
            <w:pPr>
              <w:spacing w:after="0" w:line="22" w:lineRule="atLeast"/>
              <w:jc w:val="center"/>
              <w:rPr>
                <w:rFonts w:cs="Arial"/>
                <w:color w:val="FF0000"/>
              </w:rPr>
            </w:pPr>
            <w:r>
              <w:rPr>
                <w:rFonts w:cs="Arial"/>
                <w:color w:val="FF0000"/>
                <w:lang w:val="en"/>
              </w:rPr>
              <w:t>1</w:t>
            </w:r>
            <w:r w:rsidR="00F33CD8">
              <w:rPr>
                <w:rFonts w:cs="Arial"/>
                <w:color w:val="FF0000"/>
                <w:lang w:val="en"/>
              </w:rPr>
              <w:t>30</w:t>
            </w:r>
          </w:p>
        </w:tc>
      </w:tr>
    </w:tbl>
    <w:p w14:paraId="7861E8A8" w14:textId="77777777" w:rsidR="00A03F95" w:rsidRDefault="00A03F95" w:rsidP="00494230">
      <w:pPr>
        <w:spacing w:after="0" w:line="22" w:lineRule="atLeast"/>
        <w:rPr>
          <w:color w:val="auto"/>
        </w:rPr>
      </w:pPr>
    </w:p>
    <w:p w14:paraId="5F277216" w14:textId="77777777" w:rsidR="00441C90" w:rsidRDefault="00441C90" w:rsidP="00441C90">
      <w:pPr>
        <w:pStyle w:val="BodyText"/>
      </w:pPr>
    </w:p>
    <w:p w14:paraId="075095FB" w14:textId="77777777" w:rsidR="00441C90" w:rsidRDefault="00441C90" w:rsidP="00441C90">
      <w:pPr>
        <w:pStyle w:val="BodyText"/>
      </w:pPr>
    </w:p>
    <w:p w14:paraId="39966572" w14:textId="77777777" w:rsidR="00441C90" w:rsidRPr="00441C90" w:rsidRDefault="00441C90" w:rsidP="00441C90">
      <w:pPr>
        <w:pStyle w:val="BodyText"/>
      </w:pPr>
    </w:p>
    <w:p w14:paraId="59BEA725" w14:textId="2DB7989D" w:rsidR="002F7DF8" w:rsidRPr="002F7DF8" w:rsidRDefault="00454248" w:rsidP="002F7DF8">
      <w:pPr>
        <w:pStyle w:val="BodyText"/>
      </w:pPr>
      <w:r>
        <w:pict w14:anchorId="77668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5pt;height:119.05pt">
            <v:imagedata r:id="rId11" o:title="Pauls elec signature"/>
          </v:shape>
        </w:pict>
      </w:r>
    </w:p>
    <w:p w14:paraId="021F2364" w14:textId="77777777" w:rsidR="00A03F95" w:rsidRDefault="00A03F95" w:rsidP="00494230">
      <w:pPr>
        <w:spacing w:after="0" w:line="22" w:lineRule="atLeast"/>
        <w:rPr>
          <w:color w:val="auto"/>
        </w:rPr>
      </w:pPr>
    </w:p>
    <w:p w14:paraId="7F9D6AD9" w14:textId="77777777" w:rsidR="00B211B6" w:rsidRPr="002F5E02" w:rsidRDefault="000A5B04" w:rsidP="00441C90">
      <w:pPr>
        <w:spacing w:after="0" w:line="22" w:lineRule="atLeast"/>
        <w:ind w:left="284"/>
        <w:rPr>
          <w:color w:val="auto"/>
        </w:rPr>
      </w:pPr>
      <w:r>
        <w:rPr>
          <w:color w:val="auto"/>
        </w:rPr>
        <w:t>C</w:t>
      </w:r>
      <w:r w:rsidR="00B211B6" w:rsidRPr="002F5E02">
        <w:rPr>
          <w:color w:val="auto"/>
        </w:rPr>
        <w:t>hief Medical Officer</w:t>
      </w:r>
    </w:p>
    <w:p w14:paraId="5518F787" w14:textId="77777777" w:rsidR="00B211B6" w:rsidRPr="002F5E02" w:rsidRDefault="00B211B6" w:rsidP="00441C90">
      <w:pPr>
        <w:spacing w:after="0" w:line="22" w:lineRule="atLeast"/>
        <w:ind w:left="284"/>
        <w:rPr>
          <w:color w:val="auto"/>
        </w:rPr>
      </w:pPr>
      <w:r w:rsidRPr="002F5E02">
        <w:rPr>
          <w:color w:val="auto"/>
        </w:rPr>
        <w:t xml:space="preserve">Professor </w:t>
      </w:r>
      <w:r w:rsidR="00A81607">
        <w:rPr>
          <w:color w:val="auto"/>
        </w:rPr>
        <w:t>Paul Kelly</w:t>
      </w:r>
      <w:r w:rsidR="00872F1C">
        <w:rPr>
          <w:color w:val="auto"/>
        </w:rPr>
        <w:t xml:space="preserve"> </w:t>
      </w:r>
    </w:p>
    <w:p w14:paraId="39DCC7CA" w14:textId="77777777" w:rsidR="00365261" w:rsidRPr="000F073C" w:rsidRDefault="0084065A" w:rsidP="00441C90">
      <w:pPr>
        <w:spacing w:after="0" w:line="22" w:lineRule="atLeast"/>
        <w:ind w:left="284"/>
        <w:rPr>
          <w:color w:val="FF0000"/>
        </w:rPr>
      </w:pPr>
      <w:r w:rsidRPr="000F073C">
        <w:rPr>
          <w:noProof/>
          <w:color w:val="FF0000"/>
          <w:lang w:eastAsia="en-AU"/>
        </w:rPr>
        <mc:AlternateContent>
          <mc:Choice Requires="wps">
            <w:drawing>
              <wp:anchor distT="0" distB="0" distL="114300" distR="114300" simplePos="0" relativeHeight="251657216"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v:textbox>
              </v:shape>
            </w:pict>
          </mc:Fallback>
        </mc:AlternateContent>
      </w:r>
      <w:r w:rsidR="00F33CD8">
        <w:rPr>
          <w:noProof/>
          <w:color w:val="FF0000"/>
          <w:lang w:eastAsia="en-AU"/>
        </w:rPr>
        <w:t>23</w:t>
      </w:r>
      <w:r w:rsidR="00372037">
        <w:rPr>
          <w:noProof/>
          <w:color w:val="FF0000"/>
          <w:lang w:eastAsia="en-AU"/>
        </w:rPr>
        <w:t xml:space="preserve"> June</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8C9E" w14:textId="77777777" w:rsidR="00A166D3" w:rsidRDefault="00A166D3" w:rsidP="003F5DCC">
      <w:pPr>
        <w:spacing w:after="0" w:line="240" w:lineRule="auto"/>
      </w:pPr>
      <w:r>
        <w:separator/>
      </w:r>
    </w:p>
  </w:endnote>
  <w:endnote w:type="continuationSeparator" w:id="0">
    <w:p w14:paraId="45BFA22C" w14:textId="77777777" w:rsidR="00A166D3" w:rsidRDefault="00A166D3" w:rsidP="003F5DCC">
      <w:pPr>
        <w:spacing w:after="0" w:line="240" w:lineRule="auto"/>
      </w:pPr>
      <w:r>
        <w:continuationSeparator/>
      </w:r>
    </w:p>
  </w:endnote>
  <w:endnote w:type="continuationNotice" w:id="1">
    <w:p w14:paraId="6E6C2255" w14:textId="77777777" w:rsidR="00A166D3" w:rsidRDefault="00A16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2728" w14:textId="28A399C9"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454248">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1B17C" w14:textId="77777777" w:rsidR="00A166D3" w:rsidRDefault="00A166D3" w:rsidP="003F5DCC">
      <w:pPr>
        <w:spacing w:after="0" w:line="240" w:lineRule="auto"/>
      </w:pPr>
      <w:r>
        <w:separator/>
      </w:r>
    </w:p>
  </w:footnote>
  <w:footnote w:type="continuationSeparator" w:id="0">
    <w:p w14:paraId="4B7D5627" w14:textId="77777777" w:rsidR="00A166D3" w:rsidRDefault="00A166D3" w:rsidP="003F5DCC">
      <w:pPr>
        <w:spacing w:after="0" w:line="240" w:lineRule="auto"/>
      </w:pPr>
      <w:r>
        <w:continuationSeparator/>
      </w:r>
    </w:p>
  </w:footnote>
  <w:footnote w:type="continuationNotice" w:id="1">
    <w:p w14:paraId="2D728230" w14:textId="77777777" w:rsidR="00A166D3" w:rsidRDefault="00A166D3">
      <w:pPr>
        <w:spacing w:after="0" w:line="240" w:lineRule="auto"/>
      </w:pPr>
    </w:p>
  </w:footnote>
  <w:footnote w:id="2">
    <w:p w14:paraId="199931C6" w14:textId="77777777"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E6E1" w14:textId="77777777"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7F14" w14:textId="77777777"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E3C8" w14:textId="77777777" w:rsidR="00B13F9B" w:rsidRDefault="00454248"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4C4F"/>
    <w:multiLevelType w:val="hybridMultilevel"/>
    <w:tmpl w:val="8776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19"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EC07F1"/>
    <w:multiLevelType w:val="hybridMultilevel"/>
    <w:tmpl w:val="941A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F2E30"/>
    <w:multiLevelType w:val="hybridMultilevel"/>
    <w:tmpl w:val="A6523D34"/>
    <w:lvl w:ilvl="0" w:tplc="0C090001">
      <w:start w:val="1"/>
      <w:numFmt w:val="bullet"/>
      <w:lvlText w:val=""/>
      <w:lvlJc w:val="left"/>
      <w:pPr>
        <w:ind w:left="720" w:hanging="360"/>
      </w:pPr>
      <w:rPr>
        <w:rFonts w:ascii="Symbol" w:hAnsi="Symbol" w:hint="default"/>
      </w:rPr>
    </w:lvl>
    <w:lvl w:ilvl="1" w:tplc="4134E982">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2EA058C"/>
    <w:multiLevelType w:val="hybridMultilevel"/>
    <w:tmpl w:val="E160B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1"/>
  </w:num>
  <w:num w:numId="4">
    <w:abstractNumId w:val="7"/>
  </w:num>
  <w:num w:numId="5">
    <w:abstractNumId w:val="22"/>
  </w:num>
  <w:num w:numId="6">
    <w:abstractNumId w:val="1"/>
  </w:num>
  <w:num w:numId="7">
    <w:abstractNumId w:val="12"/>
  </w:num>
  <w:num w:numId="8">
    <w:abstractNumId w:val="29"/>
  </w:num>
  <w:num w:numId="9">
    <w:abstractNumId w:val="19"/>
  </w:num>
  <w:num w:numId="10">
    <w:abstractNumId w:val="4"/>
  </w:num>
  <w:num w:numId="11">
    <w:abstractNumId w:val="9"/>
  </w:num>
  <w:num w:numId="12">
    <w:abstractNumId w:val="21"/>
  </w:num>
  <w:num w:numId="13">
    <w:abstractNumId w:val="27"/>
  </w:num>
  <w:num w:numId="14">
    <w:abstractNumId w:val="0"/>
  </w:num>
  <w:num w:numId="15">
    <w:abstractNumId w:val="14"/>
  </w:num>
  <w:num w:numId="16">
    <w:abstractNumId w:val="33"/>
  </w:num>
  <w:num w:numId="17">
    <w:abstractNumId w:val="25"/>
  </w:num>
  <w:num w:numId="18">
    <w:abstractNumId w:val="32"/>
  </w:num>
  <w:num w:numId="19">
    <w:abstractNumId w:val="3"/>
  </w:num>
  <w:num w:numId="20">
    <w:abstractNumId w:val="28"/>
  </w:num>
  <w:num w:numId="21">
    <w:abstractNumId w:val="13"/>
  </w:num>
  <w:num w:numId="22">
    <w:abstractNumId w:val="10"/>
  </w:num>
  <w:num w:numId="23">
    <w:abstractNumId w:val="23"/>
  </w:num>
  <w:num w:numId="24">
    <w:abstractNumId w:val="17"/>
  </w:num>
  <w:num w:numId="25">
    <w:abstractNumId w:val="12"/>
  </w:num>
  <w:num w:numId="26">
    <w:abstractNumId w:val="18"/>
  </w:num>
  <w:num w:numId="27">
    <w:abstractNumId w:val="26"/>
  </w:num>
  <w:num w:numId="28">
    <w:abstractNumId w:val="20"/>
  </w:num>
  <w:num w:numId="29">
    <w:abstractNumId w:val="12"/>
  </w:num>
  <w:num w:numId="30">
    <w:abstractNumId w:val="12"/>
  </w:num>
  <w:num w:numId="31">
    <w:abstractNumId w:val="12"/>
  </w:num>
  <w:num w:numId="32">
    <w:abstractNumId w:val="15"/>
  </w:num>
  <w:num w:numId="33">
    <w:abstractNumId w:val="11"/>
  </w:num>
  <w:num w:numId="34">
    <w:abstractNumId w:val="5"/>
  </w:num>
  <w:num w:numId="35">
    <w:abstractNumId w:val="12"/>
  </w:num>
  <w:num w:numId="36">
    <w:abstractNumId w:val="16"/>
  </w:num>
  <w:num w:numId="37">
    <w:abstractNumId w:val="12"/>
  </w:num>
  <w:num w:numId="38">
    <w:abstractNumId w:val="2"/>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01F82"/>
    <w:rsid w:val="00014341"/>
    <w:rsid w:val="000217E2"/>
    <w:rsid w:val="0002211D"/>
    <w:rsid w:val="00022C1C"/>
    <w:rsid w:val="000231F0"/>
    <w:rsid w:val="000246E2"/>
    <w:rsid w:val="00025ED0"/>
    <w:rsid w:val="0002708E"/>
    <w:rsid w:val="00031F72"/>
    <w:rsid w:val="00033906"/>
    <w:rsid w:val="00040026"/>
    <w:rsid w:val="00046248"/>
    <w:rsid w:val="00057650"/>
    <w:rsid w:val="00062E83"/>
    <w:rsid w:val="00070122"/>
    <w:rsid w:val="00075BFE"/>
    <w:rsid w:val="00076514"/>
    <w:rsid w:val="00076817"/>
    <w:rsid w:val="0007741B"/>
    <w:rsid w:val="00081BA5"/>
    <w:rsid w:val="00085A07"/>
    <w:rsid w:val="000860B8"/>
    <w:rsid w:val="00086473"/>
    <w:rsid w:val="00087EF0"/>
    <w:rsid w:val="000941E5"/>
    <w:rsid w:val="00097D19"/>
    <w:rsid w:val="000A1CE3"/>
    <w:rsid w:val="000A5B04"/>
    <w:rsid w:val="000B6D1B"/>
    <w:rsid w:val="000C1DBC"/>
    <w:rsid w:val="000D2D06"/>
    <w:rsid w:val="000E60C1"/>
    <w:rsid w:val="000F073C"/>
    <w:rsid w:val="000F568B"/>
    <w:rsid w:val="000F5BB7"/>
    <w:rsid w:val="000F7501"/>
    <w:rsid w:val="000F78EE"/>
    <w:rsid w:val="0010335F"/>
    <w:rsid w:val="00115D98"/>
    <w:rsid w:val="00116001"/>
    <w:rsid w:val="001177D4"/>
    <w:rsid w:val="00123406"/>
    <w:rsid w:val="00147564"/>
    <w:rsid w:val="00152A33"/>
    <w:rsid w:val="001569AD"/>
    <w:rsid w:val="00157327"/>
    <w:rsid w:val="00162C88"/>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2FEF"/>
    <w:rsid w:val="001D4193"/>
    <w:rsid w:val="001E047B"/>
    <w:rsid w:val="001E0E4A"/>
    <w:rsid w:val="001F3133"/>
    <w:rsid w:val="001F546F"/>
    <w:rsid w:val="001F6295"/>
    <w:rsid w:val="002063C3"/>
    <w:rsid w:val="00214AD8"/>
    <w:rsid w:val="002205B1"/>
    <w:rsid w:val="002209EC"/>
    <w:rsid w:val="002210D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3323"/>
    <w:rsid w:val="002C7AB1"/>
    <w:rsid w:val="002D0DAD"/>
    <w:rsid w:val="002D655D"/>
    <w:rsid w:val="002E29D9"/>
    <w:rsid w:val="002E7AF7"/>
    <w:rsid w:val="002F2B8A"/>
    <w:rsid w:val="002F5E02"/>
    <w:rsid w:val="002F7DF8"/>
    <w:rsid w:val="00300221"/>
    <w:rsid w:val="00304E16"/>
    <w:rsid w:val="003077BF"/>
    <w:rsid w:val="00312B4E"/>
    <w:rsid w:val="00321098"/>
    <w:rsid w:val="00325A97"/>
    <w:rsid w:val="003320C4"/>
    <w:rsid w:val="00337760"/>
    <w:rsid w:val="003433A0"/>
    <w:rsid w:val="00343B8C"/>
    <w:rsid w:val="003555FE"/>
    <w:rsid w:val="003636FF"/>
    <w:rsid w:val="003642AD"/>
    <w:rsid w:val="00365065"/>
    <w:rsid w:val="00365261"/>
    <w:rsid w:val="00372037"/>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16B6A"/>
    <w:rsid w:val="0042089A"/>
    <w:rsid w:val="004229E8"/>
    <w:rsid w:val="0042698A"/>
    <w:rsid w:val="0043061F"/>
    <w:rsid w:val="00433958"/>
    <w:rsid w:val="00441C90"/>
    <w:rsid w:val="00441D70"/>
    <w:rsid w:val="0045132C"/>
    <w:rsid w:val="00452299"/>
    <w:rsid w:val="004535FA"/>
    <w:rsid w:val="00454248"/>
    <w:rsid w:val="00465B56"/>
    <w:rsid w:val="00470665"/>
    <w:rsid w:val="00472D94"/>
    <w:rsid w:val="00472E2A"/>
    <w:rsid w:val="004867D1"/>
    <w:rsid w:val="00486A4D"/>
    <w:rsid w:val="00494230"/>
    <w:rsid w:val="004A0573"/>
    <w:rsid w:val="004A075B"/>
    <w:rsid w:val="004A0E1F"/>
    <w:rsid w:val="004C3474"/>
    <w:rsid w:val="004C3A6B"/>
    <w:rsid w:val="004C49F6"/>
    <w:rsid w:val="004C7729"/>
    <w:rsid w:val="004E1B97"/>
    <w:rsid w:val="004E7100"/>
    <w:rsid w:val="004F6B1F"/>
    <w:rsid w:val="0050312A"/>
    <w:rsid w:val="005040A5"/>
    <w:rsid w:val="00504B59"/>
    <w:rsid w:val="00511B99"/>
    <w:rsid w:val="00517361"/>
    <w:rsid w:val="00521CFC"/>
    <w:rsid w:val="00530D98"/>
    <w:rsid w:val="00531A70"/>
    <w:rsid w:val="00542E6B"/>
    <w:rsid w:val="00546CBE"/>
    <w:rsid w:val="0055025C"/>
    <w:rsid w:val="00551EEE"/>
    <w:rsid w:val="0055260C"/>
    <w:rsid w:val="005536FF"/>
    <w:rsid w:val="005572F4"/>
    <w:rsid w:val="005662FC"/>
    <w:rsid w:val="00567805"/>
    <w:rsid w:val="00567A9D"/>
    <w:rsid w:val="0057086A"/>
    <w:rsid w:val="00581AE2"/>
    <w:rsid w:val="00583468"/>
    <w:rsid w:val="0058410E"/>
    <w:rsid w:val="00586656"/>
    <w:rsid w:val="00590CB1"/>
    <w:rsid w:val="00590DF1"/>
    <w:rsid w:val="005954C2"/>
    <w:rsid w:val="00596341"/>
    <w:rsid w:val="005A107B"/>
    <w:rsid w:val="005A2316"/>
    <w:rsid w:val="005B1E35"/>
    <w:rsid w:val="005B62AD"/>
    <w:rsid w:val="005D31CC"/>
    <w:rsid w:val="005E0C6D"/>
    <w:rsid w:val="005E1E18"/>
    <w:rsid w:val="005E5FFE"/>
    <w:rsid w:val="005F0F31"/>
    <w:rsid w:val="005F1BF3"/>
    <w:rsid w:val="005F201D"/>
    <w:rsid w:val="00604999"/>
    <w:rsid w:val="006060C4"/>
    <w:rsid w:val="00616F76"/>
    <w:rsid w:val="0062366B"/>
    <w:rsid w:val="006236DF"/>
    <w:rsid w:val="006241BE"/>
    <w:rsid w:val="00626224"/>
    <w:rsid w:val="006332AA"/>
    <w:rsid w:val="00651B3C"/>
    <w:rsid w:val="00662616"/>
    <w:rsid w:val="0066797E"/>
    <w:rsid w:val="00672091"/>
    <w:rsid w:val="0067565E"/>
    <w:rsid w:val="00677725"/>
    <w:rsid w:val="00677AE1"/>
    <w:rsid w:val="006850C5"/>
    <w:rsid w:val="00685E34"/>
    <w:rsid w:val="0068768F"/>
    <w:rsid w:val="0069566E"/>
    <w:rsid w:val="006968FA"/>
    <w:rsid w:val="006A0B05"/>
    <w:rsid w:val="006A21FE"/>
    <w:rsid w:val="006A2F59"/>
    <w:rsid w:val="006B123D"/>
    <w:rsid w:val="006B229F"/>
    <w:rsid w:val="006B5542"/>
    <w:rsid w:val="006B63B0"/>
    <w:rsid w:val="006C167A"/>
    <w:rsid w:val="006C1A96"/>
    <w:rsid w:val="006C75E4"/>
    <w:rsid w:val="006C79C8"/>
    <w:rsid w:val="006D5BC7"/>
    <w:rsid w:val="006F1695"/>
    <w:rsid w:val="006F4608"/>
    <w:rsid w:val="007000C4"/>
    <w:rsid w:val="007175DD"/>
    <w:rsid w:val="00724C76"/>
    <w:rsid w:val="00726BE0"/>
    <w:rsid w:val="00744435"/>
    <w:rsid w:val="007454BB"/>
    <w:rsid w:val="0074789B"/>
    <w:rsid w:val="00755C1E"/>
    <w:rsid w:val="007575E7"/>
    <w:rsid w:val="007702C5"/>
    <w:rsid w:val="00771686"/>
    <w:rsid w:val="00772AAC"/>
    <w:rsid w:val="007750C4"/>
    <w:rsid w:val="00777FF1"/>
    <w:rsid w:val="00793D70"/>
    <w:rsid w:val="007A46D6"/>
    <w:rsid w:val="007A5D86"/>
    <w:rsid w:val="007A601E"/>
    <w:rsid w:val="007A6C8A"/>
    <w:rsid w:val="007B0669"/>
    <w:rsid w:val="007C0E67"/>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451D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0875"/>
    <w:rsid w:val="008C2A74"/>
    <w:rsid w:val="008C68FD"/>
    <w:rsid w:val="008C6A01"/>
    <w:rsid w:val="008E2A90"/>
    <w:rsid w:val="009051AB"/>
    <w:rsid w:val="009143D3"/>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66D3"/>
    <w:rsid w:val="00A1790B"/>
    <w:rsid w:val="00A21291"/>
    <w:rsid w:val="00A24237"/>
    <w:rsid w:val="00A32BE1"/>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7406"/>
    <w:rsid w:val="00B713E1"/>
    <w:rsid w:val="00B71E64"/>
    <w:rsid w:val="00B77066"/>
    <w:rsid w:val="00B83628"/>
    <w:rsid w:val="00B85810"/>
    <w:rsid w:val="00B867A8"/>
    <w:rsid w:val="00B93496"/>
    <w:rsid w:val="00B968C7"/>
    <w:rsid w:val="00B97DAD"/>
    <w:rsid w:val="00BA1102"/>
    <w:rsid w:val="00BA274A"/>
    <w:rsid w:val="00BA2E0E"/>
    <w:rsid w:val="00BA525E"/>
    <w:rsid w:val="00BB0833"/>
    <w:rsid w:val="00BB56A4"/>
    <w:rsid w:val="00BC1AC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766A0"/>
    <w:rsid w:val="00C81B48"/>
    <w:rsid w:val="00C91BD6"/>
    <w:rsid w:val="00CA0AA7"/>
    <w:rsid w:val="00CA14DF"/>
    <w:rsid w:val="00CA4CC3"/>
    <w:rsid w:val="00CA5637"/>
    <w:rsid w:val="00CA654D"/>
    <w:rsid w:val="00CB1808"/>
    <w:rsid w:val="00CC0B7C"/>
    <w:rsid w:val="00CC47E8"/>
    <w:rsid w:val="00CC4C1B"/>
    <w:rsid w:val="00CC764C"/>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524E"/>
    <w:rsid w:val="00DC55C7"/>
    <w:rsid w:val="00DC7086"/>
    <w:rsid w:val="00DD5DD6"/>
    <w:rsid w:val="00DE1D7A"/>
    <w:rsid w:val="00DF7207"/>
    <w:rsid w:val="00E025DA"/>
    <w:rsid w:val="00E03083"/>
    <w:rsid w:val="00E11B80"/>
    <w:rsid w:val="00E40EED"/>
    <w:rsid w:val="00E421D6"/>
    <w:rsid w:val="00E4221B"/>
    <w:rsid w:val="00E42337"/>
    <w:rsid w:val="00E47B8E"/>
    <w:rsid w:val="00E55E4E"/>
    <w:rsid w:val="00E66E74"/>
    <w:rsid w:val="00E74C4E"/>
    <w:rsid w:val="00E76CA9"/>
    <w:rsid w:val="00E80445"/>
    <w:rsid w:val="00E820A3"/>
    <w:rsid w:val="00E83222"/>
    <w:rsid w:val="00E90311"/>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1499"/>
    <w:rsid w:val="00EF3FD8"/>
    <w:rsid w:val="00F00FC1"/>
    <w:rsid w:val="00F03901"/>
    <w:rsid w:val="00F057DB"/>
    <w:rsid w:val="00F10259"/>
    <w:rsid w:val="00F102EE"/>
    <w:rsid w:val="00F11126"/>
    <w:rsid w:val="00F13CB4"/>
    <w:rsid w:val="00F13DFA"/>
    <w:rsid w:val="00F1508F"/>
    <w:rsid w:val="00F20FB9"/>
    <w:rsid w:val="00F30384"/>
    <w:rsid w:val="00F33B73"/>
    <w:rsid w:val="00F33CD8"/>
    <w:rsid w:val="00F4102D"/>
    <w:rsid w:val="00F503F4"/>
    <w:rsid w:val="00F55E42"/>
    <w:rsid w:val="00F60D81"/>
    <w:rsid w:val="00F75E48"/>
    <w:rsid w:val="00F82E13"/>
    <w:rsid w:val="00F84338"/>
    <w:rsid w:val="00F85146"/>
    <w:rsid w:val="00F86AE1"/>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CDD0-89BB-43F4-973D-60F7E5C2F50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4EAE7A-892A-45E7-BD6D-8B40CB11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 Zealand – Situation update as at 23 June 2021</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Situation update as at 23 June 2021</dc:title>
  <dc:subject>Communicable diseases; Emergency health management; Travel health</dc:subject>
  <dc:creator>Australian Government Department of Health</dc:creator>
  <cp:keywords>coronavirus; covid-19; statistics; NZ</cp:keywords>
  <dc:description/>
  <cp:lastModifiedBy>KENNEDY, Emma</cp:lastModifiedBy>
  <cp:revision>3</cp:revision>
  <cp:lastPrinted>2021-02-24T03:46:00Z</cp:lastPrinted>
  <dcterms:created xsi:type="dcterms:W3CDTF">2021-06-25T00:35:00Z</dcterms:created>
  <dcterms:modified xsi:type="dcterms:W3CDTF">2021-06-25T00:51:00Z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