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CB329" w14:textId="77777777" w:rsidR="00621425" w:rsidRPr="00932284" w:rsidRDefault="00621425" w:rsidP="006576E6">
      <w:pPr>
        <w:pStyle w:val="Title"/>
      </w:pPr>
      <w:r w:rsidRPr="00932284">
        <w:t>Medicare Benefits Schedule Review Taskforce</w:t>
      </w:r>
    </w:p>
    <w:p w14:paraId="40A1EAFC" w14:textId="77777777" w:rsidR="00621425" w:rsidRDefault="00621425" w:rsidP="006576E6">
      <w:pPr>
        <w:pStyle w:val="titlesub"/>
      </w:pPr>
      <w:r>
        <w:t xml:space="preserve">Thoracic Medicine </w:t>
      </w:r>
    </w:p>
    <w:p w14:paraId="1EC09D24" w14:textId="77777777" w:rsidR="00621425" w:rsidRPr="00E2678D" w:rsidRDefault="00621425" w:rsidP="006576E6">
      <w:pPr>
        <w:pStyle w:val="titlesub"/>
      </w:pPr>
      <w:r>
        <w:t xml:space="preserve">Clinical </w:t>
      </w:r>
      <w:r w:rsidRPr="00932284">
        <w:t>Committee</w:t>
      </w:r>
      <w:r w:rsidRPr="00E2678D">
        <w:t xml:space="preserve"> Report</w:t>
      </w:r>
    </w:p>
    <w:p w14:paraId="5E592E84" w14:textId="77777777" w:rsidR="00621425" w:rsidRDefault="00621425" w:rsidP="006576E6">
      <w:pPr>
        <w:pStyle w:val="titlesub"/>
      </w:pPr>
      <w:r>
        <w:t>Taskforce Findings</w:t>
      </w:r>
    </w:p>
    <w:p w14:paraId="1E5A5FE3" w14:textId="77777777" w:rsidR="00621425" w:rsidRDefault="00621425" w:rsidP="00621425">
      <w:pPr>
        <w:spacing w:before="240"/>
        <w:rPr>
          <w:rFonts w:asciiTheme="minorHAnsi" w:hAnsiTheme="minorHAnsi" w:cs="Arial"/>
          <w:color w:val="000000" w:themeColor="text1"/>
          <w:sz w:val="22"/>
        </w:rPr>
      </w:pPr>
    </w:p>
    <w:p w14:paraId="0C1D4A74" w14:textId="77777777" w:rsidR="00621425" w:rsidRPr="00621425" w:rsidRDefault="00621425" w:rsidP="00621425">
      <w:pPr>
        <w:spacing w:before="240" w:after="240" w:line="276" w:lineRule="auto"/>
        <w:rPr>
          <w:rFonts w:asciiTheme="minorHAnsi" w:hAnsiTheme="minorHAnsi" w:cs="Arial"/>
          <w:b/>
          <w:color w:val="000000" w:themeColor="text1"/>
          <w:sz w:val="22"/>
          <w:szCs w:val="22"/>
        </w:rPr>
      </w:pPr>
      <w:r w:rsidRPr="00AB469A">
        <w:rPr>
          <w:rFonts w:asciiTheme="minorHAnsi" w:hAnsiTheme="minorHAnsi" w:cs="Arial"/>
          <w:color w:val="000000" w:themeColor="text1"/>
          <w:sz w:val="22"/>
          <w:szCs w:val="22"/>
        </w:rPr>
        <w:t>This document outlines</w:t>
      </w:r>
      <w:r w:rsidRPr="00621425">
        <w:rPr>
          <w:rFonts w:asciiTheme="minorHAnsi" w:hAnsiTheme="minorHAnsi" w:cs="Arial"/>
          <w:color w:val="000000" w:themeColor="text1"/>
          <w:sz w:val="22"/>
          <w:szCs w:val="22"/>
        </w:rPr>
        <w:t xml:space="preserve"> the Medicare Benefits Schedule (MBS) Taskforce’s recommendations relating to thoracic medicine items.</w:t>
      </w:r>
    </w:p>
    <w:p w14:paraId="5ABE0673" w14:textId="77777777" w:rsidR="00621425" w:rsidRPr="00AB469A" w:rsidRDefault="00621425" w:rsidP="00621425">
      <w:pPr>
        <w:spacing w:before="240" w:after="240" w:line="276" w:lineRule="auto"/>
        <w:rPr>
          <w:rFonts w:asciiTheme="minorHAnsi" w:hAnsiTheme="minorHAnsi" w:cs="Arial"/>
          <w:color w:val="000000" w:themeColor="text1"/>
          <w:sz w:val="22"/>
          <w:szCs w:val="22"/>
        </w:rPr>
      </w:pPr>
      <w:r w:rsidRPr="00621425">
        <w:rPr>
          <w:rFonts w:asciiTheme="minorHAnsi" w:hAnsiTheme="minorHAnsi" w:cs="Arial"/>
          <w:color w:val="000000" w:themeColor="text1"/>
          <w:sz w:val="22"/>
          <w:szCs w:val="22"/>
        </w:rPr>
        <w:t>The Taskforce considered the recommendations from the Thoracic Medicine Clinical Committee and feedback from the public consultation.</w:t>
      </w:r>
    </w:p>
    <w:tbl>
      <w:tblPr>
        <w:tblStyle w:val="TableGrid"/>
        <w:tblpPr w:leftFromText="180" w:rightFromText="180" w:vertAnchor="text" w:horzAnchor="page" w:tblpX="6848" w:tblpY="56"/>
        <w:tblW w:w="2298"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1 lists the panel members for the Obstetrics Clinical Committee and their positions. The table also shows that they have no declared conflicts of interest."/>
      </w:tblPr>
      <w:tblGrid>
        <w:gridCol w:w="3085"/>
        <w:gridCol w:w="832"/>
      </w:tblGrid>
      <w:tr w:rsidR="00621425" w:rsidRPr="00AB469A" w14:paraId="119689D6" w14:textId="77777777" w:rsidTr="00B26446">
        <w:trPr>
          <w:trHeight w:val="208"/>
          <w:tblHeader/>
        </w:trPr>
        <w:tc>
          <w:tcPr>
            <w:tcW w:w="3938" w:type="pct"/>
            <w:shd w:val="clear" w:color="auto" w:fill="FFFFFF" w:themeFill="background1"/>
          </w:tcPr>
          <w:p w14:paraId="470A6077" w14:textId="77777777" w:rsidR="00621425" w:rsidRPr="00AB469A" w:rsidRDefault="00621425" w:rsidP="00B26446">
            <w:pPr>
              <w:spacing w:line="276" w:lineRule="auto"/>
              <w:rPr>
                <w:rFonts w:asciiTheme="minorHAnsi" w:hAnsiTheme="minorHAnsi"/>
                <w:b/>
                <w:sz w:val="22"/>
                <w:szCs w:val="22"/>
              </w:rPr>
            </w:pPr>
            <w:r w:rsidRPr="00AB469A">
              <w:rPr>
                <w:rFonts w:asciiTheme="minorHAnsi" w:hAnsiTheme="minorHAnsi"/>
                <w:b/>
                <w:sz w:val="22"/>
                <w:szCs w:val="22"/>
              </w:rPr>
              <w:t>Number of items reviewed</w:t>
            </w:r>
          </w:p>
        </w:tc>
        <w:tc>
          <w:tcPr>
            <w:tcW w:w="1062" w:type="pct"/>
            <w:shd w:val="clear" w:color="auto" w:fill="auto"/>
            <w:vAlign w:val="center"/>
          </w:tcPr>
          <w:p w14:paraId="74238447" w14:textId="77777777" w:rsidR="00621425" w:rsidRPr="00AB469A" w:rsidRDefault="00621425" w:rsidP="00B26446">
            <w:pPr>
              <w:spacing w:line="276" w:lineRule="auto"/>
              <w:jc w:val="center"/>
              <w:rPr>
                <w:rFonts w:asciiTheme="minorHAnsi" w:hAnsiTheme="minorHAnsi"/>
                <w:sz w:val="22"/>
                <w:szCs w:val="22"/>
              </w:rPr>
            </w:pPr>
            <w:r>
              <w:rPr>
                <w:rFonts w:asciiTheme="minorHAnsi" w:hAnsiTheme="minorHAnsi"/>
                <w:sz w:val="22"/>
                <w:szCs w:val="22"/>
              </w:rPr>
              <w:t>19</w:t>
            </w:r>
          </w:p>
        </w:tc>
      </w:tr>
      <w:tr w:rsidR="00621425" w:rsidRPr="00AB469A" w14:paraId="7D400909" w14:textId="77777777" w:rsidTr="00B26446">
        <w:trPr>
          <w:trHeight w:val="297"/>
        </w:trPr>
        <w:tc>
          <w:tcPr>
            <w:tcW w:w="3938" w:type="pct"/>
            <w:shd w:val="clear" w:color="auto" w:fill="FFFFFF" w:themeFill="background1"/>
            <w:hideMark/>
          </w:tcPr>
          <w:p w14:paraId="57329BE6" w14:textId="77777777" w:rsidR="00621425" w:rsidRPr="00AB469A" w:rsidRDefault="00621425" w:rsidP="00B26446">
            <w:pPr>
              <w:spacing w:before="40" w:line="276" w:lineRule="auto"/>
              <w:rPr>
                <w:rFonts w:asciiTheme="minorHAnsi" w:hAnsiTheme="minorHAnsi"/>
                <w:b/>
                <w:sz w:val="22"/>
                <w:szCs w:val="22"/>
              </w:rPr>
            </w:pPr>
            <w:r w:rsidRPr="00AB469A">
              <w:rPr>
                <w:rFonts w:asciiTheme="minorHAnsi" w:hAnsiTheme="minorHAnsi"/>
                <w:b/>
                <w:sz w:val="22"/>
                <w:szCs w:val="22"/>
              </w:rPr>
              <w:t>Number of recommendations made</w:t>
            </w:r>
          </w:p>
        </w:tc>
        <w:tc>
          <w:tcPr>
            <w:tcW w:w="1062" w:type="pct"/>
            <w:shd w:val="clear" w:color="auto" w:fill="auto"/>
            <w:vAlign w:val="center"/>
          </w:tcPr>
          <w:p w14:paraId="4B93B97F" w14:textId="77777777" w:rsidR="00621425" w:rsidRPr="00AB469A" w:rsidRDefault="000B73E0" w:rsidP="00B26446">
            <w:pPr>
              <w:spacing w:before="40" w:line="276" w:lineRule="auto"/>
              <w:jc w:val="center"/>
              <w:rPr>
                <w:rFonts w:asciiTheme="minorHAnsi" w:hAnsiTheme="minorHAnsi"/>
                <w:sz w:val="22"/>
                <w:szCs w:val="22"/>
              </w:rPr>
            </w:pPr>
            <w:r>
              <w:rPr>
                <w:rFonts w:asciiTheme="minorHAnsi" w:hAnsiTheme="minorHAnsi"/>
                <w:sz w:val="22"/>
                <w:szCs w:val="22"/>
              </w:rPr>
              <w:t>5</w:t>
            </w:r>
          </w:p>
        </w:tc>
      </w:tr>
    </w:tbl>
    <w:p w14:paraId="1CA79E8D" w14:textId="77777777" w:rsidR="00621425" w:rsidRDefault="00621425" w:rsidP="00621425">
      <w:pPr>
        <w:spacing w:after="240" w:line="276" w:lineRule="auto"/>
        <w:rPr>
          <w:rFonts w:asciiTheme="minorHAnsi" w:hAnsiTheme="minorHAnsi" w:cs="Arial"/>
          <w:color w:val="000000" w:themeColor="text1"/>
          <w:sz w:val="22"/>
          <w:szCs w:val="22"/>
        </w:rPr>
      </w:pPr>
      <w:r w:rsidRPr="00621425">
        <w:rPr>
          <w:rFonts w:asciiTheme="minorHAnsi" w:hAnsiTheme="minorHAnsi" w:cs="Arial"/>
          <w:color w:val="000000" w:themeColor="text1"/>
          <w:sz w:val="22"/>
          <w:szCs w:val="22"/>
        </w:rPr>
        <w:t>The Taskforce endorsed all but one of the recommendations from the Thoracic Medicine Clinical Committee and submitted these to the Minister for Heal</w:t>
      </w:r>
      <w:r>
        <w:rPr>
          <w:rFonts w:asciiTheme="minorHAnsi" w:hAnsiTheme="minorHAnsi" w:cs="Arial"/>
          <w:color w:val="000000" w:themeColor="text1"/>
          <w:sz w:val="22"/>
          <w:szCs w:val="22"/>
        </w:rPr>
        <w:t>th for Government consideration.</w:t>
      </w:r>
    </w:p>
    <w:p w14:paraId="657A397F" w14:textId="77777777" w:rsidR="00621425" w:rsidRDefault="00621425" w:rsidP="00621425">
      <w:pPr>
        <w:spacing w:line="276" w:lineRule="auto"/>
        <w:rPr>
          <w:rFonts w:eastAsiaTheme="minorHAnsi"/>
          <w:lang w:val="en-GB"/>
        </w:rPr>
      </w:pPr>
      <w:r w:rsidRPr="00621425">
        <w:rPr>
          <w:rFonts w:asciiTheme="minorHAnsi" w:hAnsiTheme="minorHAnsi" w:cs="Arial"/>
          <w:color w:val="000000" w:themeColor="text1"/>
          <w:sz w:val="22"/>
          <w:szCs w:val="22"/>
        </w:rPr>
        <w:t>The intent of the recommendations is to ensure that patients have access to MBS services that reflect modern clinical practices. They also update the MBS items to capture the current scope of the procedure being performed. The removal of MBS items which are out dated and no longer reflect modern clinical practice will encourage practitioners to provide services that are recognised by the relevant profession as reflecting current clinical practice. Practitioners will also benefit from the consolidation of some services which should minimise confusion when billing MBS items.</w:t>
      </w:r>
    </w:p>
    <w:p w14:paraId="1CFCB8C5" w14:textId="77777777" w:rsidR="00621425" w:rsidRPr="00E2678D" w:rsidRDefault="00AD0D48" w:rsidP="006576E6">
      <w:pPr>
        <w:pStyle w:val="Heading1"/>
      </w:pPr>
      <w:r>
        <w:t>List of</w:t>
      </w:r>
      <w:r w:rsidR="00621425">
        <w:t xml:space="preserve"> Taskforce recommendations</w:t>
      </w:r>
    </w:p>
    <w:p w14:paraId="26492C2B" w14:textId="77777777" w:rsidR="00621425" w:rsidRPr="00905CFC" w:rsidRDefault="00AD0D48" w:rsidP="006576E6">
      <w:pPr>
        <w:pStyle w:val="Heading2"/>
      </w:pPr>
      <w:r>
        <w:t>Amend spirometry services</w:t>
      </w:r>
    </w:p>
    <w:p w14:paraId="603035DA" w14:textId="77777777" w:rsidR="00621425" w:rsidRPr="00AB469A" w:rsidRDefault="00621425" w:rsidP="00AD0D48">
      <w:pPr>
        <w:shd w:val="clear" w:color="auto" w:fill="FFFFFF" w:themeFill="background1"/>
        <w:spacing w:line="360" w:lineRule="auto"/>
        <w:rPr>
          <w:rFonts w:asciiTheme="minorHAnsi" w:hAnsiTheme="minorHAnsi" w:cs="Arial"/>
          <w:color w:val="000000" w:themeColor="text1"/>
          <w:sz w:val="22"/>
          <w:szCs w:val="22"/>
        </w:rPr>
      </w:pPr>
      <w:r w:rsidRPr="00AB469A">
        <w:rPr>
          <w:rFonts w:asciiTheme="minorHAnsi" w:hAnsiTheme="minorHAnsi" w:cs="Arial"/>
          <w:color w:val="000000" w:themeColor="text1"/>
          <w:sz w:val="22"/>
          <w:szCs w:val="22"/>
        </w:rPr>
        <w:t>The Taskforce recommends</w:t>
      </w:r>
      <w:r w:rsidR="00AD0D48">
        <w:rPr>
          <w:rFonts w:asciiTheme="minorHAnsi" w:hAnsiTheme="minorHAnsi" w:cs="Arial"/>
          <w:color w:val="000000" w:themeColor="text1"/>
          <w:sz w:val="22"/>
          <w:szCs w:val="22"/>
        </w:rPr>
        <w:t>:</w:t>
      </w:r>
      <w:r w:rsidRPr="00AB469A">
        <w:rPr>
          <w:rFonts w:asciiTheme="minorHAnsi" w:hAnsiTheme="minorHAnsi" w:cs="Arial"/>
          <w:color w:val="000000" w:themeColor="text1"/>
          <w:sz w:val="22"/>
          <w:szCs w:val="22"/>
        </w:rPr>
        <w:t xml:space="preserve"> </w:t>
      </w:r>
    </w:p>
    <w:p w14:paraId="348EC9EE" w14:textId="77777777" w:rsidR="00AD0D48" w:rsidRPr="00AD0D48" w:rsidRDefault="00AD0D48" w:rsidP="00AD0D48">
      <w:pPr>
        <w:pStyle w:val="NormalBulleted"/>
        <w:spacing w:before="0"/>
        <w:rPr>
          <w:szCs w:val="22"/>
        </w:rPr>
      </w:pPr>
      <w:r w:rsidRPr="00AD0D48">
        <w:rPr>
          <w:szCs w:val="22"/>
        </w:rPr>
        <w:t xml:space="preserve">one annual spirometry (reversibility testing)  item to confirm diagnosis of asthma, chronic obstructive pulmonary disorder or other causes of airflow limitation, with a schedule fee of $40 which is double the fee of current item 11506; retain item 11506 for other office based spirometry </w:t>
      </w:r>
      <w:r w:rsidR="0081065A">
        <w:rPr>
          <w:szCs w:val="22"/>
        </w:rPr>
        <w:t>(</w:t>
      </w:r>
      <w:r w:rsidRPr="00AD0D48">
        <w:rPr>
          <w:szCs w:val="22"/>
        </w:rPr>
        <w:t>reversibility testing but with additional quality requirement</w:t>
      </w:r>
      <w:r w:rsidR="0081065A">
        <w:rPr>
          <w:szCs w:val="22"/>
        </w:rPr>
        <w:t>s</w:t>
      </w:r>
      <w:r w:rsidRPr="00AD0D48">
        <w:rPr>
          <w:szCs w:val="22"/>
        </w:rPr>
        <w:t xml:space="preserve"> as below). The Taskforce did not adopt the T</w:t>
      </w:r>
      <w:r w:rsidR="0081065A">
        <w:rPr>
          <w:szCs w:val="22"/>
        </w:rPr>
        <w:t>horacic Medicine Clinical Committee r</w:t>
      </w:r>
      <w:r w:rsidRPr="00AD0D48">
        <w:rPr>
          <w:szCs w:val="22"/>
        </w:rPr>
        <w:t xml:space="preserve">ecommendation to revise this item and allow pre OR post bronchodilator spirometry. </w:t>
      </w:r>
    </w:p>
    <w:p w14:paraId="64E59237" w14:textId="77777777" w:rsidR="00AD0D48" w:rsidRPr="00AD0D48" w:rsidRDefault="00AD0D48" w:rsidP="00AD0D48">
      <w:pPr>
        <w:pStyle w:val="NormalBulleted"/>
        <w:rPr>
          <w:szCs w:val="22"/>
        </w:rPr>
      </w:pPr>
      <w:r w:rsidRPr="00AD0D48">
        <w:rPr>
          <w:szCs w:val="22"/>
        </w:rPr>
        <w:lastRenderedPageBreak/>
        <w:t>subsuming item 11509 (laboratory based spirometry) into current item 11512 (more complex laboratory based spirometry); and</w:t>
      </w:r>
    </w:p>
    <w:p w14:paraId="56273141" w14:textId="77777777" w:rsidR="00AD0D48" w:rsidRPr="00AB469A" w:rsidRDefault="00AD0D48" w:rsidP="00AD0D48">
      <w:pPr>
        <w:pStyle w:val="NormalBulleted"/>
        <w:rPr>
          <w:rFonts w:cs="Arial"/>
          <w:color w:val="000000" w:themeColor="text1"/>
          <w:szCs w:val="22"/>
        </w:rPr>
      </w:pPr>
      <w:r w:rsidRPr="00AD0D48">
        <w:rPr>
          <w:szCs w:val="22"/>
        </w:rPr>
        <w:t>introduce enhanced quality requirements for all spirometry items</w:t>
      </w:r>
      <w:r>
        <w:rPr>
          <w:szCs w:val="22"/>
        </w:rPr>
        <w:t>.</w:t>
      </w:r>
    </w:p>
    <w:p w14:paraId="38996C52" w14:textId="77777777" w:rsidR="00621425" w:rsidRPr="00AB469A" w:rsidRDefault="00AD0D48" w:rsidP="006576E6">
      <w:pPr>
        <w:pStyle w:val="Heading2"/>
      </w:pPr>
      <w:r>
        <w:t>Changes to other respiratory function tests</w:t>
      </w:r>
    </w:p>
    <w:p w14:paraId="70DD5A3B" w14:textId="77777777" w:rsidR="00621425" w:rsidRPr="00905CFC" w:rsidRDefault="00621425" w:rsidP="006576E6">
      <w:pPr>
        <w:spacing w:line="360" w:lineRule="auto"/>
        <w:contextualSpacing/>
        <w:rPr>
          <w:rFonts w:asciiTheme="minorHAnsi" w:hAnsiTheme="minorHAnsi"/>
          <w:sz w:val="22"/>
          <w:szCs w:val="22"/>
          <w:lang w:val="en-US"/>
        </w:rPr>
      </w:pPr>
      <w:r w:rsidRPr="00AB469A">
        <w:rPr>
          <w:rFonts w:asciiTheme="minorHAnsi" w:hAnsiTheme="minorHAnsi" w:cs="Arial"/>
          <w:color w:val="000000" w:themeColor="text1"/>
          <w:sz w:val="22"/>
          <w:szCs w:val="22"/>
        </w:rPr>
        <w:t>The Taskforce recommends:</w:t>
      </w:r>
    </w:p>
    <w:p w14:paraId="76DB7E78" w14:textId="77777777" w:rsidR="00AD0D48" w:rsidRPr="00AD0D48" w:rsidRDefault="00AD0D48" w:rsidP="00AD0D48">
      <w:pPr>
        <w:pStyle w:val="NormalBulleted"/>
        <w:spacing w:before="0"/>
        <w:rPr>
          <w:rFonts w:cs="Arial"/>
          <w:color w:val="000000" w:themeColor="text1"/>
          <w:szCs w:val="22"/>
        </w:rPr>
      </w:pPr>
      <w:r>
        <w:rPr>
          <w:rFonts w:cs="Arial"/>
          <w:color w:val="000000" w:themeColor="text1"/>
          <w:szCs w:val="22"/>
        </w:rPr>
        <w:t>a</w:t>
      </w:r>
      <w:r w:rsidR="00621425" w:rsidRPr="00AB469A">
        <w:rPr>
          <w:rFonts w:cs="Arial"/>
          <w:color w:val="000000" w:themeColor="text1"/>
          <w:szCs w:val="22"/>
        </w:rPr>
        <w:t xml:space="preserve"> </w:t>
      </w:r>
      <w:r w:rsidRPr="00AD0D48">
        <w:rPr>
          <w:rFonts w:cs="Arial"/>
          <w:color w:val="000000" w:themeColor="text1"/>
          <w:szCs w:val="22"/>
        </w:rPr>
        <w:t>revised list of respiratory function tests that are able to be claimed under item 11503 be included in the item descriptor to remove any discretion about what tests are claimable (as per the list developed by the Thoracic Medicine Clinical Committee);</w:t>
      </w:r>
    </w:p>
    <w:p w14:paraId="5D8FB74E" w14:textId="77777777" w:rsidR="00AD0D48" w:rsidRPr="00AB469A" w:rsidRDefault="00AD0D48" w:rsidP="00AD0D48">
      <w:pPr>
        <w:pStyle w:val="NormalBulleted"/>
        <w:rPr>
          <w:rFonts w:cs="Arial"/>
          <w:color w:val="000000" w:themeColor="text1"/>
          <w:szCs w:val="22"/>
        </w:rPr>
      </w:pPr>
      <w:r w:rsidRPr="00AD0D48">
        <w:rPr>
          <w:rFonts w:cs="Arial"/>
          <w:color w:val="000000" w:themeColor="text1"/>
          <w:szCs w:val="22"/>
        </w:rPr>
        <w:t>fractional exhaled nitric oxide testing not be claimable under item 11503;</w:t>
      </w:r>
    </w:p>
    <w:p w14:paraId="6D7812F6" w14:textId="77777777" w:rsidR="00AD0D48" w:rsidRDefault="00AD0D48" w:rsidP="00AD0D48">
      <w:pPr>
        <w:pStyle w:val="NormalBulleted"/>
      </w:pPr>
      <w:r>
        <w:t>for</w:t>
      </w:r>
      <w:r w:rsidRPr="00642E3F">
        <w:t xml:space="preserve"> laboratory-based spirometry (item 11512) </w:t>
      </w:r>
      <w:r>
        <w:t>when</w:t>
      </w:r>
      <w:r w:rsidRPr="00642E3F">
        <w:t xml:space="preserve"> performed on the same day as a test approved under item 11503, then 11503 should be claimed</w:t>
      </w:r>
      <w:r>
        <w:t>; w</w:t>
      </w:r>
      <w:r w:rsidRPr="00642E3F">
        <w:t>hen spirometry is the only laboratory test performed then 11512 should be claimed</w:t>
      </w:r>
      <w:r>
        <w:t xml:space="preserve">; </w:t>
      </w:r>
    </w:p>
    <w:p w14:paraId="327C493A" w14:textId="77777777" w:rsidR="00AD0D48" w:rsidRPr="00642E3F" w:rsidRDefault="00AD0D48" w:rsidP="00AD0D48">
      <w:pPr>
        <w:pStyle w:val="NormalBulleted"/>
        <w:rPr>
          <w:b/>
        </w:rPr>
      </w:pPr>
      <w:r w:rsidRPr="00642E3F">
        <w:t>a new item be introduced for laboratory-based spirometry with fractiona</w:t>
      </w:r>
      <w:r w:rsidR="0081065A">
        <w:t>l exhaled nitric oxide, with an MBS</w:t>
      </w:r>
      <w:r w:rsidRPr="00642E3F">
        <w:t xml:space="preserve"> fee set between the current fee for items 11512 and 11503</w:t>
      </w:r>
      <w:r>
        <w:t>; and</w:t>
      </w:r>
    </w:p>
    <w:p w14:paraId="6511F23C" w14:textId="77777777" w:rsidR="00AD0D48" w:rsidRPr="00642E3F" w:rsidRDefault="00AD0D48" w:rsidP="00AD0D48">
      <w:pPr>
        <w:pStyle w:val="NormalBulleted"/>
      </w:pPr>
      <w:r w:rsidRPr="00642E3F">
        <w:t xml:space="preserve">a new item </w:t>
      </w:r>
      <w:r w:rsidR="00787C26" w:rsidRPr="00642E3F">
        <w:t>is</w:t>
      </w:r>
      <w:r w:rsidRPr="00642E3F">
        <w:t xml:space="preserve"> introduced for cardio-pulmonary exercise testing in defined clinical circumstances, with a M</w:t>
      </w:r>
      <w:r w:rsidR="0081065A">
        <w:t>BS</w:t>
      </w:r>
      <w:r w:rsidRPr="00642E3F">
        <w:t xml:space="preserve"> fee of approximately $300.</w:t>
      </w:r>
    </w:p>
    <w:p w14:paraId="7C86E287" w14:textId="77777777" w:rsidR="00621425" w:rsidRPr="00AB469A" w:rsidRDefault="00AD0D48" w:rsidP="006576E6">
      <w:pPr>
        <w:pStyle w:val="Heading2"/>
      </w:pPr>
      <w:r>
        <w:t>Amend sleep study services</w:t>
      </w:r>
    </w:p>
    <w:p w14:paraId="5DAD431C" w14:textId="77777777" w:rsidR="00AD0D48" w:rsidRPr="00905CFC" w:rsidRDefault="00AD0D48" w:rsidP="006576E6">
      <w:pPr>
        <w:spacing w:line="360" w:lineRule="auto"/>
        <w:contextualSpacing/>
        <w:rPr>
          <w:rFonts w:asciiTheme="minorHAnsi" w:hAnsiTheme="minorHAnsi"/>
          <w:sz w:val="22"/>
          <w:szCs w:val="22"/>
          <w:lang w:val="en-US"/>
        </w:rPr>
      </w:pPr>
      <w:r w:rsidRPr="00AB469A">
        <w:rPr>
          <w:rFonts w:asciiTheme="minorHAnsi" w:hAnsiTheme="minorHAnsi" w:cs="Arial"/>
          <w:color w:val="000000" w:themeColor="text1"/>
          <w:sz w:val="22"/>
          <w:szCs w:val="22"/>
        </w:rPr>
        <w:t>The Taskforce recommends:</w:t>
      </w:r>
    </w:p>
    <w:p w14:paraId="5AF482EE" w14:textId="77777777" w:rsidR="00AD0D48" w:rsidRPr="00AD0D48" w:rsidRDefault="00AD0D48" w:rsidP="00AD0D48">
      <w:pPr>
        <w:pStyle w:val="NormalBulleted"/>
        <w:spacing w:before="0"/>
        <w:rPr>
          <w:rFonts w:cs="Arial"/>
          <w:color w:val="000000" w:themeColor="text1"/>
          <w:szCs w:val="22"/>
        </w:rPr>
      </w:pPr>
      <w:r w:rsidRPr="00AD0D48">
        <w:rPr>
          <w:rFonts w:cs="Arial"/>
          <w:color w:val="000000" w:themeColor="text1"/>
          <w:szCs w:val="22"/>
        </w:rPr>
        <w:t xml:space="preserve">direct GP referral for patients with a high pre-test probability for moderate to severe obstructive sleep apnoea (OSA) and also retains the ability of the respiratory and sleep physicians to refer patients for testing; </w:t>
      </w:r>
    </w:p>
    <w:p w14:paraId="714FC4AB" w14:textId="77777777" w:rsidR="00AD0D48" w:rsidRPr="00AD0D48" w:rsidRDefault="00AD0D48" w:rsidP="00AD0D48">
      <w:pPr>
        <w:pStyle w:val="NormalBulleted"/>
        <w:rPr>
          <w:rFonts w:cs="Arial"/>
          <w:color w:val="000000" w:themeColor="text1"/>
          <w:szCs w:val="22"/>
        </w:rPr>
      </w:pPr>
      <w:r w:rsidRPr="00AD0D48">
        <w:rPr>
          <w:rFonts w:cs="Arial"/>
          <w:color w:val="000000" w:themeColor="text1"/>
          <w:szCs w:val="22"/>
        </w:rPr>
        <w:t xml:space="preserve">that patients should have the most suitable test, noting that patients who have high pre-test probability for moderate to severe OSA are generally suitable for unattended sleep studies; </w:t>
      </w:r>
    </w:p>
    <w:p w14:paraId="1C38B6A8" w14:textId="77777777" w:rsidR="00AD0D48" w:rsidRPr="00AD0D48" w:rsidRDefault="00AD0D48" w:rsidP="00AD0D48">
      <w:pPr>
        <w:pStyle w:val="NormalBulleted"/>
        <w:rPr>
          <w:rFonts w:cs="Arial"/>
          <w:color w:val="000000" w:themeColor="text1"/>
          <w:szCs w:val="22"/>
        </w:rPr>
      </w:pPr>
      <w:r w:rsidRPr="00AD0D48">
        <w:rPr>
          <w:rFonts w:cs="Arial"/>
          <w:color w:val="000000" w:themeColor="text1"/>
          <w:szCs w:val="22"/>
        </w:rPr>
        <w:t xml:space="preserve">to delay consideration of implementation of </w:t>
      </w:r>
      <w:r w:rsidR="0081065A">
        <w:rPr>
          <w:rFonts w:cs="Arial"/>
          <w:color w:val="000000" w:themeColor="text1"/>
          <w:szCs w:val="22"/>
        </w:rPr>
        <w:t>auto</w:t>
      </w:r>
      <w:r w:rsidR="00644208">
        <w:rPr>
          <w:rFonts w:cs="Arial"/>
          <w:color w:val="000000" w:themeColor="text1"/>
          <w:szCs w:val="22"/>
        </w:rPr>
        <w:t xml:space="preserve">matic positive airway pressure </w:t>
      </w:r>
      <w:r w:rsidRPr="00AD0D48">
        <w:rPr>
          <w:rFonts w:cs="Arial"/>
          <w:color w:val="000000" w:themeColor="text1"/>
          <w:szCs w:val="22"/>
        </w:rPr>
        <w:t xml:space="preserve">titration and vigilance testing until the impact of other proposed changes </w:t>
      </w:r>
      <w:r w:rsidR="00644208">
        <w:rPr>
          <w:rFonts w:cs="Arial"/>
          <w:color w:val="000000" w:themeColor="text1"/>
          <w:szCs w:val="22"/>
        </w:rPr>
        <w:t xml:space="preserve">can be assessed (noting that a Medical Services Advisory Committee </w:t>
      </w:r>
      <w:r w:rsidRPr="00AD0D48">
        <w:rPr>
          <w:rFonts w:cs="Arial"/>
          <w:color w:val="000000" w:themeColor="text1"/>
          <w:szCs w:val="22"/>
        </w:rPr>
        <w:t xml:space="preserve">assessment will be required); </w:t>
      </w:r>
    </w:p>
    <w:p w14:paraId="46C3F91D" w14:textId="77777777" w:rsidR="00AD0D48" w:rsidRPr="00AD0D48" w:rsidRDefault="00AD0D48" w:rsidP="00AD0D48">
      <w:pPr>
        <w:pStyle w:val="NormalBulleted"/>
        <w:rPr>
          <w:rFonts w:cs="Arial"/>
          <w:color w:val="000000" w:themeColor="text1"/>
          <w:szCs w:val="22"/>
        </w:rPr>
      </w:pPr>
      <w:r w:rsidRPr="00AD0D48">
        <w:rPr>
          <w:rFonts w:cs="Arial"/>
          <w:color w:val="000000" w:themeColor="text1"/>
          <w:szCs w:val="22"/>
        </w:rPr>
        <w:t>limits for diagnostic and treatment initiation sleep studies;</w:t>
      </w:r>
    </w:p>
    <w:p w14:paraId="67389C35" w14:textId="77777777" w:rsidR="00AD0D48" w:rsidRPr="00AD0D48" w:rsidRDefault="00AD0D48" w:rsidP="00AD0D48">
      <w:pPr>
        <w:pStyle w:val="NormalBulleted"/>
        <w:rPr>
          <w:rFonts w:cs="Arial"/>
          <w:color w:val="000000" w:themeColor="text1"/>
          <w:szCs w:val="22"/>
        </w:rPr>
      </w:pPr>
      <w:r w:rsidRPr="00AD0D48">
        <w:rPr>
          <w:rFonts w:cs="Arial"/>
          <w:color w:val="000000" w:themeColor="text1"/>
          <w:szCs w:val="22"/>
        </w:rPr>
        <w:t>patients who are diagnosed with a sleep disorder should personally be assessed by a medical professional who can advise on appropriate management; and</w:t>
      </w:r>
    </w:p>
    <w:p w14:paraId="01CD92D2" w14:textId="77777777" w:rsidR="0081065A" w:rsidRPr="006576E6" w:rsidRDefault="00AD0D48" w:rsidP="006576E6">
      <w:pPr>
        <w:pStyle w:val="NormalBulleted"/>
        <w:shd w:val="clear" w:color="auto" w:fill="FFFFFF" w:themeFill="background1"/>
        <w:spacing w:after="60" w:line="360" w:lineRule="auto"/>
        <w:rPr>
          <w:rFonts w:cs="Arial"/>
          <w:color w:val="000000" w:themeColor="text1"/>
          <w:szCs w:val="22"/>
        </w:rPr>
      </w:pPr>
      <w:r w:rsidRPr="00AD0D48">
        <w:rPr>
          <w:rFonts w:cs="Arial"/>
          <w:color w:val="000000" w:themeColor="text1"/>
          <w:szCs w:val="22"/>
        </w:rPr>
        <w:t>that in providing sleep study items, providers comply with the relevant Australian clinical guidelines.</w:t>
      </w:r>
    </w:p>
    <w:p w14:paraId="4686358A" w14:textId="77777777" w:rsidR="0081065A" w:rsidRPr="00FD6CDB" w:rsidRDefault="00FD6CDB" w:rsidP="00FD6CDB">
      <w:pPr>
        <w:rPr>
          <w:rFonts w:asciiTheme="minorHAnsi" w:hAnsiTheme="minorHAnsi" w:cs="Arial"/>
          <w:color w:val="000000" w:themeColor="text1"/>
          <w:sz w:val="22"/>
          <w:szCs w:val="22"/>
          <w:lang w:eastAsia="en-AU"/>
        </w:rPr>
      </w:pPr>
      <w:r>
        <w:rPr>
          <w:rFonts w:cs="Arial"/>
          <w:color w:val="000000" w:themeColor="text1"/>
          <w:szCs w:val="22"/>
        </w:rPr>
        <w:br w:type="page"/>
      </w:r>
    </w:p>
    <w:p w14:paraId="25C0D244" w14:textId="77777777" w:rsidR="00621425" w:rsidRPr="00AB469A" w:rsidRDefault="00AD0D48" w:rsidP="006576E6">
      <w:pPr>
        <w:pStyle w:val="Heading2"/>
        <w:rPr>
          <w:rFonts w:cs="Arial"/>
          <w:color w:val="000000" w:themeColor="text1"/>
        </w:rPr>
      </w:pPr>
      <w:r>
        <w:lastRenderedPageBreak/>
        <w:t>Diagnostic and therapeutic procedures – lung, trachea and bronchus</w:t>
      </w:r>
    </w:p>
    <w:p w14:paraId="714F5118" w14:textId="77777777" w:rsidR="00621425" w:rsidRPr="00AB469A" w:rsidRDefault="00AD0D48" w:rsidP="00621425">
      <w:pPr>
        <w:shd w:val="clear" w:color="auto" w:fill="FFFFFF" w:themeFill="background1"/>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120" w:line="360" w:lineRule="auto"/>
        <w:rPr>
          <w:rFonts w:asciiTheme="minorHAnsi" w:hAnsiTheme="minorHAnsi" w:cs="Arial"/>
          <w:color w:val="000000" w:themeColor="text1"/>
          <w:sz w:val="22"/>
          <w:szCs w:val="22"/>
        </w:rPr>
      </w:pPr>
      <w:r w:rsidRPr="00AD0D48">
        <w:rPr>
          <w:rFonts w:asciiTheme="minorHAnsi" w:hAnsiTheme="minorHAnsi" w:cs="Arial"/>
          <w:color w:val="000000" w:themeColor="text1"/>
          <w:sz w:val="22"/>
          <w:szCs w:val="22"/>
        </w:rPr>
        <w:t>The Taskforce recommends no changes be made to the following items relating to diagnostic and therapeutic procedures for lung, trachea and bronchus: items 30696, 30710, 41889, 41892, 41893, 41898 and 41905</w:t>
      </w:r>
      <w:r w:rsidR="00621425" w:rsidRPr="00AB469A">
        <w:rPr>
          <w:rFonts w:asciiTheme="minorHAnsi" w:hAnsiTheme="minorHAnsi" w:cs="Arial"/>
          <w:color w:val="000000" w:themeColor="text1"/>
          <w:sz w:val="22"/>
          <w:szCs w:val="22"/>
        </w:rPr>
        <w:t xml:space="preserve">. </w:t>
      </w:r>
    </w:p>
    <w:p w14:paraId="0AE6F01F" w14:textId="77777777" w:rsidR="00621425" w:rsidRPr="00AB469A" w:rsidRDefault="00AD0D48" w:rsidP="006576E6">
      <w:pPr>
        <w:pStyle w:val="Heading2"/>
      </w:pPr>
      <w:r>
        <w:t>Obsolete items</w:t>
      </w:r>
    </w:p>
    <w:p w14:paraId="5896860A" w14:textId="77777777" w:rsidR="00AD0D48" w:rsidRDefault="00AD0D48" w:rsidP="00AD0D48">
      <w:pPr>
        <w:shd w:val="clear" w:color="auto" w:fill="FFFFFF" w:themeFill="background1"/>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120" w:line="360"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The</w:t>
      </w:r>
      <w:r w:rsidRPr="00AD0D48">
        <w:rPr>
          <w:rFonts w:asciiTheme="minorHAnsi" w:hAnsiTheme="minorHAnsi" w:cs="Arial"/>
          <w:color w:val="000000" w:themeColor="text1"/>
          <w:sz w:val="22"/>
          <w:szCs w:val="22"/>
        </w:rPr>
        <w:t xml:space="preserve"> Taskforce recommends that</w:t>
      </w:r>
      <w:r w:rsidR="005E23CE">
        <w:rPr>
          <w:rFonts w:asciiTheme="minorHAnsi" w:hAnsiTheme="minorHAnsi" w:cs="Arial"/>
          <w:color w:val="000000" w:themeColor="text1"/>
          <w:sz w:val="22"/>
          <w:szCs w:val="22"/>
        </w:rPr>
        <w:t xml:space="preserve"> </w:t>
      </w:r>
      <w:r w:rsidRPr="00AD0D48">
        <w:rPr>
          <w:rFonts w:asciiTheme="minorHAnsi" w:hAnsiTheme="minorHAnsi" w:cs="Arial"/>
          <w:color w:val="000000" w:themeColor="text1"/>
          <w:sz w:val="22"/>
          <w:szCs w:val="22"/>
        </w:rPr>
        <w:t>11500 as an obsolete item and that spirometry item 11509 be subsumed into item 11512, which also provides for spirometry performed in a respiratory labora</w:t>
      </w:r>
      <w:r>
        <w:rPr>
          <w:rFonts w:asciiTheme="minorHAnsi" w:hAnsiTheme="minorHAnsi" w:cs="Arial"/>
          <w:color w:val="000000" w:themeColor="text1"/>
          <w:sz w:val="22"/>
          <w:szCs w:val="22"/>
        </w:rPr>
        <w:t>tory.</w:t>
      </w:r>
    </w:p>
    <w:p w14:paraId="21A110FD" w14:textId="77777777" w:rsidR="00AD0D48" w:rsidRPr="00AD0D48" w:rsidRDefault="0081065A" w:rsidP="001E4CD4">
      <w:pPr>
        <w:shd w:val="clear" w:color="auto" w:fill="FFFFFF" w:themeFill="background1"/>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240" w:after="120" w:line="360"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In</w:t>
      </w:r>
      <w:r w:rsidR="00AD0D48" w:rsidRPr="00AD0D48">
        <w:rPr>
          <w:rFonts w:asciiTheme="minorHAnsi" w:hAnsiTheme="minorHAnsi" w:cs="Arial"/>
          <w:color w:val="000000" w:themeColor="text1"/>
          <w:sz w:val="22"/>
          <w:szCs w:val="22"/>
        </w:rPr>
        <w:t xml:space="preserve">formation and evidence supporting each </w:t>
      </w:r>
      <w:r>
        <w:rPr>
          <w:rFonts w:asciiTheme="minorHAnsi" w:hAnsiTheme="minorHAnsi" w:cs="Arial"/>
          <w:color w:val="000000" w:themeColor="text1"/>
          <w:sz w:val="22"/>
          <w:szCs w:val="22"/>
        </w:rPr>
        <w:t xml:space="preserve">of </w:t>
      </w:r>
      <w:r w:rsidR="00787C26">
        <w:rPr>
          <w:rFonts w:asciiTheme="minorHAnsi" w:hAnsiTheme="minorHAnsi" w:cs="Arial"/>
          <w:color w:val="000000" w:themeColor="text1"/>
          <w:sz w:val="22"/>
          <w:szCs w:val="22"/>
        </w:rPr>
        <w:t xml:space="preserve">these </w:t>
      </w:r>
      <w:r w:rsidR="00787C26" w:rsidRPr="00AD0D48">
        <w:rPr>
          <w:rFonts w:asciiTheme="minorHAnsi" w:hAnsiTheme="minorHAnsi" w:cs="Arial"/>
          <w:color w:val="000000" w:themeColor="text1"/>
          <w:sz w:val="22"/>
          <w:szCs w:val="22"/>
        </w:rPr>
        <w:t>recommendations</w:t>
      </w:r>
      <w:r w:rsidR="00AD0D48" w:rsidRPr="00AD0D48">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is included in th</w:t>
      </w:r>
      <w:r w:rsidR="00AD0D48" w:rsidRPr="00AD0D48">
        <w:rPr>
          <w:rFonts w:asciiTheme="minorHAnsi" w:hAnsiTheme="minorHAnsi" w:cs="Arial"/>
          <w:color w:val="000000" w:themeColor="text1"/>
          <w:sz w:val="22"/>
          <w:szCs w:val="22"/>
        </w:rPr>
        <w:t>e Thoracic Medicine Clinical Committee reports</w:t>
      </w:r>
      <w:r>
        <w:rPr>
          <w:rFonts w:asciiTheme="minorHAnsi" w:hAnsiTheme="minorHAnsi" w:cs="Arial"/>
          <w:color w:val="000000" w:themeColor="text1"/>
          <w:sz w:val="22"/>
          <w:szCs w:val="22"/>
        </w:rPr>
        <w:t>.</w:t>
      </w:r>
    </w:p>
    <w:sectPr w:rsidR="00AD0D48" w:rsidRPr="00AD0D48" w:rsidSect="00FD6CDB">
      <w:footerReference w:type="default" r:id="rId7"/>
      <w:pgSz w:w="11906" w:h="16838"/>
      <w:pgMar w:top="1440" w:right="1800" w:bottom="851" w:left="1800" w:header="708"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E8567" w14:textId="77777777" w:rsidR="002665C1" w:rsidRDefault="002665C1" w:rsidP="00621425">
      <w:r>
        <w:separator/>
      </w:r>
    </w:p>
  </w:endnote>
  <w:endnote w:type="continuationSeparator" w:id="0">
    <w:p w14:paraId="3CEC992A" w14:textId="77777777" w:rsidR="002665C1" w:rsidRDefault="002665C1" w:rsidP="0062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C4322" w14:textId="77777777" w:rsidR="00621425" w:rsidRDefault="00621425" w:rsidP="00621425">
    <w:pPr>
      <w:pStyle w:val="Footer"/>
      <w:pBdr>
        <w:top w:val="single" w:sz="4" w:space="1" w:color="B56012"/>
      </w:pBdr>
      <w:tabs>
        <w:tab w:val="clear" w:pos="4513"/>
      </w:tabs>
      <w:jc w:val="center"/>
    </w:pPr>
    <w:r>
      <w:rPr>
        <w:color w:val="01653F"/>
        <w:sz w:val="16"/>
      </w:rPr>
      <w:t>Taskforce findings from the Thoracic Medicine Clinical Committee Report</w:t>
    </w:r>
    <w:r>
      <w:rPr>
        <w:color w:val="01653F"/>
        <w:sz w:val="16"/>
      </w:rPr>
      <w:tab/>
    </w:r>
    <w:r w:rsidRPr="003B1222">
      <w:rPr>
        <w:color w:val="01653F"/>
        <w:sz w:val="16"/>
      </w:rPr>
      <w:t xml:space="preserve">Page </w:t>
    </w:r>
    <w:r w:rsidRPr="003B1222">
      <w:rPr>
        <w:rFonts w:eastAsiaTheme="minorHAnsi"/>
        <w:color w:val="01653F"/>
        <w:sz w:val="22"/>
      </w:rPr>
      <w:fldChar w:fldCharType="begin"/>
    </w:r>
    <w:r w:rsidRPr="003B1222">
      <w:rPr>
        <w:color w:val="01653F"/>
      </w:rPr>
      <w:instrText xml:space="preserve"> PAGE   \* MERGEFORMAT </w:instrText>
    </w:r>
    <w:r w:rsidRPr="003B1222">
      <w:rPr>
        <w:rFonts w:eastAsiaTheme="minorHAnsi"/>
        <w:color w:val="01653F"/>
        <w:sz w:val="22"/>
      </w:rPr>
      <w:fldChar w:fldCharType="separate"/>
    </w:r>
    <w:r w:rsidR="00C87EEB" w:rsidRPr="00C87EEB">
      <w:rPr>
        <w:rFonts w:eastAsiaTheme="majorEastAsia"/>
        <w:noProof/>
        <w:color w:val="01653F"/>
        <w:sz w:val="16"/>
      </w:rPr>
      <w:t>1</w:t>
    </w:r>
    <w:r w:rsidRPr="003B1222">
      <w:rPr>
        <w:rFonts w:eastAsiaTheme="majorEastAsia"/>
        <w:noProof/>
        <w:color w:val="01653F"/>
        <w:sz w:val="16"/>
      </w:rPr>
      <w:fldChar w:fldCharType="end"/>
    </w:r>
  </w:p>
  <w:p w14:paraId="63185E3E" w14:textId="77777777" w:rsidR="00621425" w:rsidRPr="00621425" w:rsidRDefault="00621425" w:rsidP="00621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24B96" w14:textId="77777777" w:rsidR="002665C1" w:rsidRDefault="002665C1" w:rsidP="00621425">
      <w:r>
        <w:separator/>
      </w:r>
    </w:p>
  </w:footnote>
  <w:footnote w:type="continuationSeparator" w:id="0">
    <w:p w14:paraId="14ED7621" w14:textId="77777777" w:rsidR="002665C1" w:rsidRDefault="002665C1" w:rsidP="00621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1686D"/>
    <w:multiLevelType w:val="hybridMultilevel"/>
    <w:tmpl w:val="C220F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FF13FC"/>
    <w:multiLevelType w:val="hybridMultilevel"/>
    <w:tmpl w:val="DDEAE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770642"/>
    <w:multiLevelType w:val="multilevel"/>
    <w:tmpl w:val="1A30E91C"/>
    <w:lvl w:ilvl="0">
      <w:start w:val="1"/>
      <w:numFmt w:val="decimal"/>
      <w:pStyle w:val="Heading2"/>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425"/>
    <w:rsid w:val="00003743"/>
    <w:rsid w:val="00067456"/>
    <w:rsid w:val="000B73E0"/>
    <w:rsid w:val="001B3443"/>
    <w:rsid w:val="001E4CD4"/>
    <w:rsid w:val="002665C1"/>
    <w:rsid w:val="002F3AE3"/>
    <w:rsid w:val="0030786C"/>
    <w:rsid w:val="003D17F9"/>
    <w:rsid w:val="004867E2"/>
    <w:rsid w:val="005E23CE"/>
    <w:rsid w:val="00621425"/>
    <w:rsid w:val="00644208"/>
    <w:rsid w:val="006576E6"/>
    <w:rsid w:val="00660947"/>
    <w:rsid w:val="00787C26"/>
    <w:rsid w:val="0081065A"/>
    <w:rsid w:val="008264EB"/>
    <w:rsid w:val="00A4512D"/>
    <w:rsid w:val="00A57FD3"/>
    <w:rsid w:val="00A705AF"/>
    <w:rsid w:val="00AA5371"/>
    <w:rsid w:val="00AD0D48"/>
    <w:rsid w:val="00B42851"/>
    <w:rsid w:val="00C87EEB"/>
    <w:rsid w:val="00CB5B1A"/>
    <w:rsid w:val="00FD6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72D63"/>
  <w15:docId w15:val="{543EB3DA-361E-3A46-A35D-DC3EBD2C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425"/>
    <w:rPr>
      <w:sz w:val="24"/>
      <w:szCs w:val="24"/>
      <w:lang w:eastAsia="en-US"/>
    </w:rPr>
  </w:style>
  <w:style w:type="paragraph" w:styleId="Heading1">
    <w:name w:val="heading 1"/>
    <w:basedOn w:val="Normal"/>
    <w:next w:val="Normal"/>
    <w:qFormat/>
    <w:rsid w:val="006576E6"/>
    <w:pPr>
      <w:keepNext/>
      <w:spacing w:before="120" w:line="276" w:lineRule="auto"/>
      <w:ind w:left="567" w:hanging="567"/>
      <w:outlineLvl w:val="0"/>
    </w:pPr>
    <w:rPr>
      <w:rFonts w:asciiTheme="minorHAnsi" w:eastAsiaTheme="minorHAnsi" w:hAnsiTheme="minorHAnsi" w:cs="Arial"/>
      <w:b/>
      <w:bCs/>
      <w:color w:val="01653F"/>
      <w:kern w:val="32"/>
      <w:sz w:val="32"/>
      <w:szCs w:val="28"/>
      <w:lang w:val="en-US"/>
    </w:rPr>
  </w:style>
  <w:style w:type="paragraph" w:styleId="Heading2">
    <w:name w:val="heading 2"/>
    <w:basedOn w:val="Normal"/>
    <w:next w:val="Normal"/>
    <w:qFormat/>
    <w:rsid w:val="006576E6"/>
    <w:pPr>
      <w:numPr>
        <w:numId w:val="2"/>
      </w:numPr>
      <w:spacing w:before="180" w:after="60" w:line="360" w:lineRule="auto"/>
      <w:ind w:left="357" w:hanging="357"/>
      <w:contextualSpacing/>
      <w:outlineLvl w:val="1"/>
    </w:pPr>
    <w:rPr>
      <w:rFonts w:asciiTheme="minorHAnsi" w:hAnsiTheme="minorHAnsi"/>
      <w:b/>
      <w:sz w:val="22"/>
      <w:szCs w:val="22"/>
      <w:lang w:val="en-US"/>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6576E6"/>
    <w:pPr>
      <w:pBdr>
        <w:top w:val="double" w:sz="12" w:space="31" w:color="B66113"/>
        <w:bottom w:val="double" w:sz="12" w:space="1" w:color="B66113"/>
      </w:pBdr>
      <w:spacing w:line="312" w:lineRule="auto"/>
      <w:jc w:val="center"/>
    </w:pPr>
    <w:rPr>
      <w:rFonts w:asciiTheme="minorHAnsi" w:hAnsiTheme="minorHAnsi" w:cs="Arial"/>
      <w:b/>
      <w:color w:val="01653F"/>
      <w:spacing w:val="5"/>
      <w:sz w:val="44"/>
      <w:szCs w:val="48"/>
      <w:lang w:eastAsia="en-AU"/>
    </w:rPr>
  </w:style>
  <w:style w:type="character" w:customStyle="1" w:styleId="TitleChar">
    <w:name w:val="Title Char"/>
    <w:basedOn w:val="DefaultParagraphFont"/>
    <w:link w:val="Title"/>
    <w:rsid w:val="006576E6"/>
    <w:rPr>
      <w:rFonts w:asciiTheme="minorHAnsi" w:hAnsiTheme="minorHAnsi" w:cs="Arial"/>
      <w:b/>
      <w:color w:val="01653F"/>
      <w:spacing w:val="5"/>
      <w:sz w:val="44"/>
      <w:szCs w:val="48"/>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4512D"/>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621425"/>
    <w:rPr>
      <w:sz w:val="24"/>
      <w:szCs w:val="24"/>
      <w:lang w:eastAsia="en-US"/>
    </w:rPr>
  </w:style>
  <w:style w:type="table" w:styleId="TableGrid">
    <w:name w:val="Table Grid"/>
    <w:basedOn w:val="TableNormal"/>
    <w:rsid w:val="00621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Numbered">
    <w:name w:val="Heading 3 Numbered"/>
    <w:basedOn w:val="Heading2"/>
    <w:qFormat/>
    <w:rsid w:val="00621425"/>
    <w:pPr>
      <w:spacing w:before="120" w:after="120" w:line="312" w:lineRule="auto"/>
      <w:ind w:left="720" w:hanging="720"/>
      <w:outlineLvl w:val="2"/>
    </w:pPr>
    <w:rPr>
      <w:rFonts w:eastAsiaTheme="minorHAnsi"/>
      <w:color w:val="B56011"/>
    </w:rPr>
  </w:style>
  <w:style w:type="paragraph" w:customStyle="1" w:styleId="NormalBulleted">
    <w:name w:val="Normal Bulleted"/>
    <w:basedOn w:val="ListContinue"/>
    <w:link w:val="NormalBulletedChar"/>
    <w:qFormat/>
    <w:rsid w:val="00621425"/>
    <w:pPr>
      <w:numPr>
        <w:numId w:val="1"/>
      </w:numPr>
      <w:spacing w:before="180" w:line="312" w:lineRule="auto"/>
    </w:pPr>
    <w:rPr>
      <w:rFonts w:asciiTheme="minorHAnsi" w:hAnsiTheme="minorHAnsi"/>
      <w:sz w:val="22"/>
      <w:lang w:eastAsia="en-AU"/>
    </w:rPr>
  </w:style>
  <w:style w:type="character" w:customStyle="1" w:styleId="NormalBulletedChar">
    <w:name w:val="Normal Bulleted Char"/>
    <w:basedOn w:val="DefaultParagraphFont"/>
    <w:link w:val="NormalBulleted"/>
    <w:rsid w:val="00621425"/>
    <w:rPr>
      <w:rFonts w:asciiTheme="minorHAnsi" w:hAnsiTheme="minorHAnsi"/>
      <w:sz w:val="22"/>
      <w:szCs w:val="24"/>
    </w:rPr>
  </w:style>
  <w:style w:type="paragraph" w:styleId="ListContinue">
    <w:name w:val="List Continue"/>
    <w:basedOn w:val="Normal"/>
    <w:rsid w:val="00621425"/>
    <w:pPr>
      <w:spacing w:after="120"/>
      <w:ind w:left="283"/>
      <w:contextualSpacing/>
    </w:pPr>
  </w:style>
  <w:style w:type="paragraph" w:styleId="Header">
    <w:name w:val="header"/>
    <w:basedOn w:val="Normal"/>
    <w:link w:val="HeaderChar"/>
    <w:rsid w:val="00621425"/>
    <w:pPr>
      <w:tabs>
        <w:tab w:val="center" w:pos="4513"/>
        <w:tab w:val="right" w:pos="9026"/>
      </w:tabs>
    </w:pPr>
  </w:style>
  <w:style w:type="character" w:customStyle="1" w:styleId="HeaderChar">
    <w:name w:val="Header Char"/>
    <w:basedOn w:val="DefaultParagraphFont"/>
    <w:link w:val="Header"/>
    <w:rsid w:val="00621425"/>
    <w:rPr>
      <w:sz w:val="24"/>
      <w:szCs w:val="24"/>
      <w:lang w:eastAsia="en-US"/>
    </w:rPr>
  </w:style>
  <w:style w:type="paragraph" w:styleId="Footer">
    <w:name w:val="footer"/>
    <w:basedOn w:val="Normal"/>
    <w:link w:val="FooterChar"/>
    <w:uiPriority w:val="99"/>
    <w:rsid w:val="00621425"/>
    <w:pPr>
      <w:tabs>
        <w:tab w:val="center" w:pos="4513"/>
        <w:tab w:val="right" w:pos="9026"/>
      </w:tabs>
    </w:pPr>
  </w:style>
  <w:style w:type="character" w:customStyle="1" w:styleId="FooterChar">
    <w:name w:val="Footer Char"/>
    <w:basedOn w:val="DefaultParagraphFont"/>
    <w:link w:val="Footer"/>
    <w:uiPriority w:val="99"/>
    <w:rsid w:val="00621425"/>
    <w:rPr>
      <w:sz w:val="24"/>
      <w:szCs w:val="24"/>
      <w:lang w:eastAsia="en-US"/>
    </w:rPr>
  </w:style>
  <w:style w:type="paragraph" w:customStyle="1" w:styleId="titlesub">
    <w:name w:val="title sub"/>
    <w:basedOn w:val="Title"/>
    <w:qFormat/>
    <w:rsid w:val="006576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36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678</Words>
  <Characters>3910</Characters>
  <Application>Microsoft Office Word</Application>
  <DocSecurity>0</DocSecurity>
  <Lines>79</Lines>
  <Paragraphs>38</Paragraphs>
  <ScaleCrop>false</ScaleCrop>
  <HeadingPairs>
    <vt:vector size="2" baseType="variant">
      <vt:variant>
        <vt:lpstr>Title</vt:lpstr>
      </vt:variant>
      <vt:variant>
        <vt:i4>1</vt:i4>
      </vt:variant>
    </vt:vector>
  </HeadingPairs>
  <TitlesOfParts>
    <vt:vector size="1" baseType="lpstr">
      <vt:lpstr>Medicare Benefits Schedule Review Taskforce Thoracic Medicine </vt:lpstr>
    </vt:vector>
  </TitlesOfParts>
  <Manager/>
  <Company>Dept Health And Ageing</Company>
  <LinksUpToDate>false</LinksUpToDate>
  <CharactersWithSpaces>4560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Thoracic Medicine </dc:title>
  <dc:subject>MBS Review, Medicare</dc:subject>
  <dc:creator>MBS Review Taskforce</dc:creator>
  <cp:keywords/>
  <dc:description/>
  <cp:lastModifiedBy>emma kennedy</cp:lastModifiedBy>
  <cp:revision>6</cp:revision>
  <dcterms:created xsi:type="dcterms:W3CDTF">2017-07-13T06:36:00Z</dcterms:created>
  <dcterms:modified xsi:type="dcterms:W3CDTF">2021-05-28T05:57:00Z</dcterms:modified>
  <cp:category/>
</cp:coreProperties>
</file>