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F40B4" w14:textId="77777777" w:rsidR="00932284" w:rsidRPr="00C04139" w:rsidRDefault="00932284" w:rsidP="00AC1182">
      <w:pPr>
        <w:pStyle w:val="Subtitle"/>
        <w:spacing w:before="0" w:after="0"/>
        <w:rPr>
          <w:sz w:val="40"/>
        </w:rPr>
      </w:pPr>
      <w:r w:rsidRPr="00C04139">
        <w:rPr>
          <w:sz w:val="40"/>
        </w:rPr>
        <w:t>Medicare Benefits Schedule Review Taskforce</w:t>
      </w:r>
    </w:p>
    <w:p w14:paraId="3FB1EE5E" w14:textId="77777777" w:rsidR="006E45AF" w:rsidRPr="006E45AF" w:rsidRDefault="006E45AF" w:rsidP="006E45AF">
      <w:pPr>
        <w:pStyle w:val="Title"/>
        <w:spacing w:before="0" w:after="0" w:line="360" w:lineRule="auto"/>
      </w:pPr>
      <w:r w:rsidRPr="006E45AF">
        <w:t>Taskforce Findings</w:t>
      </w:r>
    </w:p>
    <w:p w14:paraId="28124FBC" w14:textId="77777777" w:rsidR="00932284" w:rsidRPr="00C04139" w:rsidRDefault="00AC6B06" w:rsidP="00AC1182">
      <w:pPr>
        <w:pStyle w:val="Title"/>
        <w:spacing w:before="0" w:after="0" w:line="360" w:lineRule="auto"/>
        <w:rPr>
          <w:sz w:val="48"/>
        </w:rPr>
      </w:pPr>
      <w:r w:rsidRPr="00C04139">
        <w:rPr>
          <w:sz w:val="48"/>
        </w:rPr>
        <w:t xml:space="preserve">Renal Medicine Clinical Committee </w:t>
      </w:r>
      <w:r w:rsidR="0026358E" w:rsidRPr="00C04139">
        <w:rPr>
          <w:sz w:val="48"/>
        </w:rPr>
        <w:t>Report</w:t>
      </w:r>
    </w:p>
    <w:p w14:paraId="6189B2FD" w14:textId="77777777" w:rsidR="00932284" w:rsidRPr="00AB469A" w:rsidRDefault="00E2678D" w:rsidP="00D06BE5">
      <w:r w:rsidRPr="00AB469A">
        <w:t>This document outlines the Medica</w:t>
      </w:r>
      <w:r w:rsidR="00F339E7">
        <w:t>re</w:t>
      </w:r>
      <w:r w:rsidRPr="00AB469A">
        <w:t xml:space="preserve"> Benefits Schedule (MBS) Taskforce’s recommendations in response </w:t>
      </w:r>
      <w:r w:rsidR="00AC6B06">
        <w:t>to the Renal Medicine</w:t>
      </w:r>
      <w:r w:rsidR="002908B1">
        <w:t xml:space="preserve"> </w:t>
      </w:r>
      <w:r w:rsidR="002908B1" w:rsidRPr="00AB469A">
        <w:t>Clinical</w:t>
      </w:r>
      <w:r w:rsidRPr="00AB469A">
        <w:t xml:space="preserve"> Committee Report. </w:t>
      </w:r>
    </w:p>
    <w:p w14:paraId="7AA48FFD" w14:textId="77777777" w:rsidR="00932284" w:rsidRPr="00AB469A" w:rsidRDefault="00E2678D" w:rsidP="00D06BE5">
      <w:r w:rsidRPr="00AB469A">
        <w:t xml:space="preserve">The </w:t>
      </w:r>
      <w:r w:rsidR="006663DA">
        <w:t>Taskforce</w:t>
      </w:r>
      <w:r w:rsidRPr="00AB469A">
        <w:t xml:space="preserve"> considered the recommendations from the </w:t>
      </w:r>
      <w:r w:rsidR="00AC6B06">
        <w:t xml:space="preserve">Renal Medicine </w:t>
      </w:r>
      <w:r w:rsidRPr="00AB469A">
        <w:t>Clinical Committee and feedback from the public consultation.</w:t>
      </w:r>
    </w:p>
    <w:tbl>
      <w:tblPr>
        <w:tblStyle w:val="TableGrid"/>
        <w:tblpPr w:leftFromText="180" w:rightFromText="180" w:vertAnchor="text" w:horzAnchor="page" w:tblpX="6848" w:tblpY="56"/>
        <w:tblW w:w="2298" w:type="pct"/>
        <w:tblBorders>
          <w:top w:val="single" w:sz="4" w:space="0" w:color="B56012"/>
          <w:left w:val="none" w:sz="0" w:space="0" w:color="auto"/>
          <w:bottom w:val="single" w:sz="4" w:space="0" w:color="B56012"/>
          <w:right w:val="none" w:sz="0" w:space="0" w:color="auto"/>
          <w:insideH w:val="single" w:sz="4" w:space="0" w:color="B56012"/>
          <w:insideV w:val="none" w:sz="0" w:space="0" w:color="auto"/>
        </w:tblBorders>
        <w:tblLook w:val="04A0" w:firstRow="1" w:lastRow="0" w:firstColumn="1" w:lastColumn="0" w:noHBand="0" w:noVBand="1"/>
        <w:tblDescription w:val="The box to the right of the report lists a summary of the number of items reviewed at 7 and the number of recommendations made as 6."/>
      </w:tblPr>
      <w:tblGrid>
        <w:gridCol w:w="3085"/>
        <w:gridCol w:w="832"/>
      </w:tblGrid>
      <w:tr w:rsidR="00E2678D" w:rsidRPr="00AB469A" w14:paraId="099F6CE4" w14:textId="77777777" w:rsidTr="00FC4653">
        <w:trPr>
          <w:trHeight w:val="208"/>
          <w:tblHeader/>
        </w:trPr>
        <w:tc>
          <w:tcPr>
            <w:tcW w:w="3938" w:type="pct"/>
            <w:shd w:val="clear" w:color="auto" w:fill="FFFFFF" w:themeFill="background1"/>
          </w:tcPr>
          <w:p w14:paraId="1634D553" w14:textId="77777777" w:rsidR="00E2678D" w:rsidRPr="00AB469A" w:rsidRDefault="00E2678D" w:rsidP="00AC1182">
            <w:pPr>
              <w:spacing w:before="0" w:after="0"/>
              <w:rPr>
                <w:b/>
                <w:szCs w:val="22"/>
              </w:rPr>
            </w:pPr>
            <w:r w:rsidRPr="00AB469A">
              <w:rPr>
                <w:b/>
                <w:szCs w:val="22"/>
              </w:rPr>
              <w:t>Number of items reviewed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03E880BC" w14:textId="77777777" w:rsidR="00E2678D" w:rsidRPr="00AB469A" w:rsidRDefault="00AC6B06" w:rsidP="00AC1182">
            <w:pPr>
              <w:spacing w:before="0" w:after="0"/>
              <w:jc w:val="center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</w:tr>
      <w:tr w:rsidR="00E2678D" w:rsidRPr="00AB469A" w14:paraId="02799DF5" w14:textId="77777777" w:rsidTr="00FC4653">
        <w:trPr>
          <w:trHeight w:val="297"/>
        </w:trPr>
        <w:tc>
          <w:tcPr>
            <w:tcW w:w="3938" w:type="pct"/>
            <w:shd w:val="clear" w:color="auto" w:fill="FFFFFF" w:themeFill="background1"/>
            <w:hideMark/>
          </w:tcPr>
          <w:p w14:paraId="442109F8" w14:textId="77777777" w:rsidR="00E2678D" w:rsidRPr="00AB469A" w:rsidRDefault="00E2678D" w:rsidP="00AC1182">
            <w:pPr>
              <w:spacing w:before="0" w:after="0"/>
              <w:rPr>
                <w:b/>
                <w:szCs w:val="22"/>
              </w:rPr>
            </w:pPr>
            <w:r w:rsidRPr="00AB469A">
              <w:rPr>
                <w:b/>
                <w:szCs w:val="22"/>
              </w:rPr>
              <w:t>Number of recommendations made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42885033" w14:textId="77777777" w:rsidR="00E2678D" w:rsidRPr="00AB469A" w:rsidRDefault="0061274F" w:rsidP="00AC1182">
            <w:pPr>
              <w:spacing w:before="0" w:after="0"/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</w:tr>
    </w:tbl>
    <w:p w14:paraId="0EAD62ED" w14:textId="77777777" w:rsidR="00932284" w:rsidRPr="00AB469A" w:rsidRDefault="00280E55" w:rsidP="00D06BE5">
      <w:r>
        <w:t xml:space="preserve">The Taskforce </w:t>
      </w:r>
      <w:r w:rsidR="00932284" w:rsidRPr="00AB469A">
        <w:t xml:space="preserve">endorsed all recommendations from </w:t>
      </w:r>
      <w:r w:rsidR="00AC6B06">
        <w:t>the Renal Medicine</w:t>
      </w:r>
      <w:r w:rsidR="002908B1">
        <w:t xml:space="preserve"> </w:t>
      </w:r>
      <w:r w:rsidR="00932284" w:rsidRPr="00AB469A">
        <w:t xml:space="preserve">Clinical Committee and submitted them to the Minister for Health for Government consideration. </w:t>
      </w:r>
    </w:p>
    <w:p w14:paraId="2CB8C3F1" w14:textId="77777777" w:rsidR="008D58B8" w:rsidRPr="00D06BE5" w:rsidRDefault="00932284" w:rsidP="00D06BE5">
      <w:r w:rsidRPr="00AB469A">
        <w:rPr>
          <w:rFonts w:cs="Arial"/>
          <w:color w:val="000000" w:themeColor="text1"/>
          <w:szCs w:val="22"/>
        </w:rPr>
        <w:t xml:space="preserve">The recommendations are intended to </w:t>
      </w:r>
      <w:r w:rsidR="005778D3" w:rsidRPr="00B0157E">
        <w:t>encourag</w:t>
      </w:r>
      <w:r w:rsidR="005778D3">
        <w:t>e</w:t>
      </w:r>
      <w:r w:rsidR="005778D3" w:rsidRPr="00B0157E">
        <w:t xml:space="preserve"> best practice, improv</w:t>
      </w:r>
      <w:r w:rsidR="005778D3">
        <w:t>e</w:t>
      </w:r>
      <w:r w:rsidR="005778D3" w:rsidRPr="00B0157E">
        <w:t xml:space="preserve"> patient care and safety, and </w:t>
      </w:r>
      <w:r w:rsidR="00E42A10" w:rsidRPr="00B0157E">
        <w:t>ensu</w:t>
      </w:r>
      <w:r w:rsidR="00E42A10">
        <w:t>re</w:t>
      </w:r>
      <w:r w:rsidR="00E42A10" w:rsidRPr="00B0157E">
        <w:t xml:space="preserve"> </w:t>
      </w:r>
      <w:r w:rsidR="005778D3" w:rsidRPr="00B0157E">
        <w:t>that MBS services provide value for the patient and the healthcare system</w:t>
      </w:r>
      <w:r w:rsidR="004306B2">
        <w:t xml:space="preserve"> through deleting</w:t>
      </w:r>
      <w:r w:rsidR="00E42A10">
        <w:t xml:space="preserve"> obsolete or low clinical value items; </w:t>
      </w:r>
      <w:r w:rsidR="004306B2">
        <w:t>consolidating</w:t>
      </w:r>
      <w:r w:rsidR="00E42A10">
        <w:t xml:space="preserve"> or splitting items to address potential misuse; modernis</w:t>
      </w:r>
      <w:r w:rsidR="004306B2">
        <w:t>ing</w:t>
      </w:r>
      <w:r w:rsidR="00E42A10">
        <w:t xml:space="preserve"> item descriptors to reflect best pract</w:t>
      </w:r>
      <w:r w:rsidR="004306B2">
        <w:t>ice; and providing</w:t>
      </w:r>
      <w:r w:rsidR="00E42A10">
        <w:t xml:space="preserve"> clinical guidance for appropriate item use through explanatory notes. </w:t>
      </w:r>
    </w:p>
    <w:p w14:paraId="4741B49D" w14:textId="77777777" w:rsidR="00E2678D" w:rsidRDefault="00E2678D" w:rsidP="00AC1182">
      <w:pPr>
        <w:pStyle w:val="Heading1"/>
        <w:spacing w:before="0" w:after="0" w:line="360" w:lineRule="auto"/>
      </w:pPr>
      <w:r w:rsidRPr="00A22898">
        <w:t>List of Taskforce recommendations</w:t>
      </w:r>
    </w:p>
    <w:p w14:paraId="3EBAD07D" w14:textId="77777777" w:rsidR="0061274F" w:rsidRDefault="00D06BE5" w:rsidP="00D06BE5">
      <w:pPr>
        <w:pStyle w:val="Heading2"/>
      </w:pPr>
      <w:r w:rsidRPr="00D06BE5">
        <w:t>Recommendation</w:t>
      </w:r>
      <w:r>
        <w:t xml:space="preserve"> 1 –</w:t>
      </w:r>
      <w:r w:rsidR="0061274F">
        <w:t xml:space="preserve"> Very remote dialysis in a primary care/community based setting</w:t>
      </w:r>
    </w:p>
    <w:p w14:paraId="1FDD2301" w14:textId="77777777" w:rsidR="0061274F" w:rsidRDefault="004306B2" w:rsidP="00D06BE5">
      <w:pPr>
        <w:rPr>
          <w:lang w:val="en-GB"/>
        </w:rPr>
      </w:pPr>
      <w:r>
        <w:rPr>
          <w:lang w:val="en-GB"/>
        </w:rPr>
        <w:t>The Taskforce recommend</w:t>
      </w:r>
      <w:r w:rsidR="00605D5F">
        <w:rPr>
          <w:lang w:val="en-GB"/>
        </w:rPr>
        <w:t>s</w:t>
      </w:r>
      <w:r w:rsidR="00E42A10">
        <w:rPr>
          <w:lang w:val="en-GB"/>
        </w:rPr>
        <w:t xml:space="preserve"> </w:t>
      </w:r>
      <w:r w:rsidR="00605D5F">
        <w:rPr>
          <w:lang w:val="en-GB"/>
        </w:rPr>
        <w:t xml:space="preserve">introducing </w:t>
      </w:r>
      <w:r w:rsidR="00E42A10">
        <w:rPr>
          <w:lang w:val="en-GB"/>
        </w:rPr>
        <w:t xml:space="preserve">a </w:t>
      </w:r>
      <w:r w:rsidR="0061274F">
        <w:rPr>
          <w:lang w:val="en-GB"/>
        </w:rPr>
        <w:t>new MBS item to support the delivery of dialysis by nurses,</w:t>
      </w:r>
      <w:r w:rsidR="0061274F">
        <w:t xml:space="preserve"> Aboriginal and Torres Strait Islander health practitioners and Aboriginal health workers</w:t>
      </w:r>
      <w:r w:rsidR="0061274F">
        <w:rPr>
          <w:lang w:val="en-GB"/>
        </w:rPr>
        <w:t xml:space="preserve"> in very remote areas of Australia. This new item will help address the economic, cultural and social impacts on Indigenous Australian </w:t>
      </w:r>
      <w:r w:rsidR="00743231">
        <w:rPr>
          <w:lang w:val="en-GB"/>
        </w:rPr>
        <w:t xml:space="preserve">renal </w:t>
      </w:r>
      <w:r w:rsidR="0061274F">
        <w:rPr>
          <w:lang w:val="en-GB"/>
        </w:rPr>
        <w:t xml:space="preserve">patients who are forced to move to urban areas for dialysis, providing greater access for these patients, and leading to better health outcomes. </w:t>
      </w:r>
    </w:p>
    <w:p w14:paraId="01949DCE" w14:textId="77777777" w:rsidR="00E42A10" w:rsidRPr="002E69F5" w:rsidRDefault="00E42A10" w:rsidP="00D06BE5">
      <w:pPr>
        <w:rPr>
          <w:u w:val="single"/>
        </w:rPr>
      </w:pPr>
      <w:r>
        <w:rPr>
          <w:lang w:val="en-GB"/>
        </w:rPr>
        <w:lastRenderedPageBreak/>
        <w:t xml:space="preserve">The </w:t>
      </w:r>
      <w:r w:rsidR="00AF4B7A">
        <w:rPr>
          <w:lang w:val="en-GB"/>
        </w:rPr>
        <w:t xml:space="preserve">Renal Medicine Clinical Committee </w:t>
      </w:r>
      <w:r>
        <w:rPr>
          <w:lang w:val="en-GB"/>
        </w:rPr>
        <w:t xml:space="preserve">amended the wording of this recommendation from </w:t>
      </w:r>
      <w:r w:rsidR="00605D5F">
        <w:rPr>
          <w:lang w:val="en-GB"/>
        </w:rPr>
        <w:t>‘very remote dialysis item’</w:t>
      </w:r>
      <w:r>
        <w:rPr>
          <w:lang w:val="en-GB"/>
        </w:rPr>
        <w:t xml:space="preserve"> to ‘very remote dialysis in a primary care/community based setting’</w:t>
      </w:r>
      <w:r w:rsidR="00AF4B7A">
        <w:rPr>
          <w:lang w:val="en-GB"/>
        </w:rPr>
        <w:t xml:space="preserve"> before making its recommendations to the Taskforce. The amendment was intended</w:t>
      </w:r>
      <w:r>
        <w:rPr>
          <w:lang w:val="en-GB"/>
        </w:rPr>
        <w:t xml:space="preserve"> to clearly articulate</w:t>
      </w:r>
      <w:r w:rsidR="00AF4B7A">
        <w:rPr>
          <w:lang w:val="en-GB"/>
        </w:rPr>
        <w:t xml:space="preserve"> that </w:t>
      </w:r>
      <w:r w:rsidR="004306B2">
        <w:rPr>
          <w:lang w:val="en-GB"/>
        </w:rPr>
        <w:t>this</w:t>
      </w:r>
      <w:r w:rsidR="004306B2" w:rsidRPr="004306B2">
        <w:t xml:space="preserve"> item is for use in a primary care/community based setting provided by a primary care practice or Aboriginal Health Service</w:t>
      </w:r>
      <w:r w:rsidR="00AF4B7A">
        <w:t xml:space="preserve"> and is endorsed by the Taskforce</w:t>
      </w:r>
      <w:r w:rsidR="004306B2" w:rsidRPr="004306B2">
        <w:t>.</w:t>
      </w:r>
    </w:p>
    <w:p w14:paraId="3D76A368" w14:textId="77777777" w:rsidR="0061274F" w:rsidRDefault="0061274F" w:rsidP="00D06BE5">
      <w:pPr>
        <w:pStyle w:val="Heading2"/>
      </w:pPr>
      <w:r>
        <w:t>Recommendation 2 – Medical supervision of dialysis items</w:t>
      </w:r>
    </w:p>
    <w:p w14:paraId="0B678FC6" w14:textId="77777777" w:rsidR="0061274F" w:rsidRDefault="004306B2" w:rsidP="00D06BE5">
      <w:r>
        <w:t xml:space="preserve">To ensure consistent rebates for dialysis supervision for all patients, the </w:t>
      </w:r>
      <w:r w:rsidR="00D03589">
        <w:t>Taskforce</w:t>
      </w:r>
      <w:r>
        <w:t xml:space="preserve"> </w:t>
      </w:r>
      <w:r w:rsidR="00D03589">
        <w:t>recommended introducing</w:t>
      </w:r>
      <w:r>
        <w:t xml:space="preserve"> </w:t>
      </w:r>
      <w:r w:rsidR="0061274F">
        <w:t>a new MBS item (replacing two items), claimable weekly</w:t>
      </w:r>
      <w:r>
        <w:t>. This is designed</w:t>
      </w:r>
      <w:r w:rsidR="0061274F">
        <w:t xml:space="preserve"> to change the funding of in-centre dialysis supervision to better reflect the role of nephrologist in overseeing and planning treatment and care for patients on dialysis.  </w:t>
      </w:r>
    </w:p>
    <w:p w14:paraId="1F034658" w14:textId="77777777" w:rsidR="0061274F" w:rsidRDefault="0061274F" w:rsidP="00D06BE5">
      <w:pPr>
        <w:pStyle w:val="Heading2"/>
      </w:pPr>
      <w:r>
        <w:t xml:space="preserve">Recommendation 3 – Remove </w:t>
      </w:r>
      <w:r>
        <w:rPr>
          <w:lang w:val="en-GB"/>
        </w:rPr>
        <w:t>item 13106 d</w:t>
      </w:r>
      <w:proofErr w:type="spellStart"/>
      <w:r>
        <w:t>eclotting</w:t>
      </w:r>
      <w:proofErr w:type="spellEnd"/>
      <w:r>
        <w:t xml:space="preserve"> of an a</w:t>
      </w:r>
      <w:proofErr w:type="spellStart"/>
      <w:r>
        <w:rPr>
          <w:lang w:val="en-GB"/>
        </w:rPr>
        <w:t>rteriovenous</w:t>
      </w:r>
      <w:proofErr w:type="spellEnd"/>
      <w:r>
        <w:rPr>
          <w:lang w:val="en-GB"/>
        </w:rPr>
        <w:t xml:space="preserve"> shunt </w:t>
      </w:r>
    </w:p>
    <w:p w14:paraId="5BAE6646" w14:textId="77777777" w:rsidR="0061274F" w:rsidRDefault="004306B2" w:rsidP="00D06BE5">
      <w:r>
        <w:t>The Taskforce r</w:t>
      </w:r>
      <w:r w:rsidR="00605D5F">
        <w:t>ecommends</w:t>
      </w:r>
      <w:r w:rsidR="006E45AF">
        <w:t xml:space="preserve"> deleting item </w:t>
      </w:r>
      <w:r w:rsidR="0061274F">
        <w:t xml:space="preserve">13106. The removal of this item will simplify the MBS. Shunts are no longer used as part of contemporary clinical practice. </w:t>
      </w:r>
    </w:p>
    <w:p w14:paraId="4C967022" w14:textId="77777777" w:rsidR="0061274F" w:rsidRDefault="0061274F" w:rsidP="00D06BE5">
      <w:pPr>
        <w:pStyle w:val="Heading2"/>
      </w:pPr>
      <w:r>
        <w:t>Recommendation 4 – Remove insertion of temporary catheter item 13112</w:t>
      </w:r>
    </w:p>
    <w:p w14:paraId="4258A6FC" w14:textId="77777777" w:rsidR="0061274F" w:rsidRDefault="00605D5F" w:rsidP="00D06BE5">
      <w:r>
        <w:t>The Taskforce recommends</w:t>
      </w:r>
      <w:r w:rsidR="004306B2">
        <w:t xml:space="preserve"> deleting </w:t>
      </w:r>
      <w:r w:rsidR="0061274F">
        <w:t xml:space="preserve">item 13112. This procedure has been replaced in clinical practice by alternative procedures. </w:t>
      </w:r>
    </w:p>
    <w:p w14:paraId="5E0AFB32" w14:textId="77777777" w:rsidR="0061274F" w:rsidRDefault="0061274F" w:rsidP="00D06BE5">
      <w:pPr>
        <w:pStyle w:val="Heading2"/>
      </w:pPr>
      <w:r>
        <w:t xml:space="preserve">Recommendation 5 – Change item descriptor for indwelling peritoneal catheter for dialysis items </w:t>
      </w:r>
    </w:p>
    <w:p w14:paraId="66538B59" w14:textId="77777777" w:rsidR="004306B2" w:rsidRDefault="004306B2" w:rsidP="00D06BE5">
      <w:r>
        <w:t xml:space="preserve">The Taskforce </w:t>
      </w:r>
      <w:r w:rsidR="00605D5F">
        <w:t>recommends</w:t>
      </w:r>
      <w:r>
        <w:t xml:space="preserve"> amending the item descriptor for the removal of an </w:t>
      </w:r>
      <w:r>
        <w:rPr>
          <w:lang w:val="en-GB"/>
        </w:rPr>
        <w:t xml:space="preserve">indwelling </w:t>
      </w:r>
      <w:proofErr w:type="spellStart"/>
      <w:r>
        <w:rPr>
          <w:lang w:val="en-GB"/>
        </w:rPr>
        <w:t>Tenckhoff</w:t>
      </w:r>
      <w:proofErr w:type="spellEnd"/>
      <w:r>
        <w:rPr>
          <w:lang w:val="en-GB"/>
        </w:rPr>
        <w:t xml:space="preserve"> peritoneal catheter (item 13110) and aligning it with the item descriptor for the insertion of a </w:t>
      </w:r>
      <w:proofErr w:type="spellStart"/>
      <w:r>
        <w:t>Tenckoff</w:t>
      </w:r>
      <w:proofErr w:type="spellEnd"/>
      <w:r>
        <w:t xml:space="preserve"> </w:t>
      </w:r>
      <w:r>
        <w:rPr>
          <w:lang w:val="en-GB"/>
        </w:rPr>
        <w:t>peritoneal</w:t>
      </w:r>
      <w:r>
        <w:t xml:space="preserve"> catheter (item 13109). Amending the descriptor will reduce confusion and increase consistency of the MBS. </w:t>
      </w:r>
    </w:p>
    <w:p w14:paraId="2E15BB89" w14:textId="77777777" w:rsidR="0061274F" w:rsidRDefault="004306B2" w:rsidP="00D06BE5">
      <w:pPr>
        <w:pStyle w:val="Heading2"/>
      </w:pPr>
      <w:r w:rsidRPr="004306B2" w:rsidDel="004306B2">
        <w:t xml:space="preserve"> </w:t>
      </w:r>
      <w:r w:rsidR="0061274F">
        <w:t xml:space="preserve">Recommendation 6 </w:t>
      </w:r>
      <w:r w:rsidR="00F32DB8">
        <w:t>–</w:t>
      </w:r>
      <w:r w:rsidR="0061274F">
        <w:t xml:space="preserve"> </w:t>
      </w:r>
      <w:proofErr w:type="spellStart"/>
      <w:r w:rsidR="00F32DB8">
        <w:t>Paediatric</w:t>
      </w:r>
      <w:proofErr w:type="spellEnd"/>
      <w:r w:rsidR="005E21AA">
        <w:t xml:space="preserve"> – </w:t>
      </w:r>
      <w:r w:rsidR="0061274F">
        <w:t>adult transition</w:t>
      </w:r>
      <w:r w:rsidR="0061274F">
        <w:tab/>
      </w:r>
    </w:p>
    <w:p w14:paraId="12C84752" w14:textId="77777777" w:rsidR="0061274F" w:rsidRDefault="004306B2" w:rsidP="00D06BE5">
      <w:r>
        <w:rPr>
          <w:lang w:val="en-GB"/>
        </w:rPr>
        <w:t xml:space="preserve">The Taskforce </w:t>
      </w:r>
      <w:r w:rsidR="00605D5F">
        <w:rPr>
          <w:lang w:val="en-GB"/>
        </w:rPr>
        <w:t>recommends</w:t>
      </w:r>
      <w:r>
        <w:rPr>
          <w:lang w:val="en-GB"/>
        </w:rPr>
        <w:t xml:space="preserve"> an</w:t>
      </w:r>
      <w:r w:rsidR="0061274F">
        <w:rPr>
          <w:lang w:val="en-GB"/>
        </w:rPr>
        <w:t xml:space="preserve"> ongoing and sustainable service (or funding for </w:t>
      </w:r>
      <w:r>
        <w:rPr>
          <w:lang w:val="en-GB"/>
        </w:rPr>
        <w:t xml:space="preserve">such </w:t>
      </w:r>
      <w:r w:rsidR="0061274F">
        <w:rPr>
          <w:lang w:val="en-GB"/>
        </w:rPr>
        <w:t xml:space="preserve">a service) to provide support for the care of adolescent patients with complex kidney disease. This aims to support patients by providing </w:t>
      </w:r>
      <w:r w:rsidR="0061274F">
        <w:t>better co-ordinated support for adolescents and young adults who have high incidences of rejecting transplants.</w:t>
      </w:r>
    </w:p>
    <w:p w14:paraId="2864D262" w14:textId="77777777" w:rsidR="0061274F" w:rsidRPr="0061274F" w:rsidRDefault="00743231" w:rsidP="00F32DB8">
      <w:pPr>
        <w:rPr>
          <w:lang w:val="en-US"/>
        </w:rPr>
      </w:pPr>
      <w:r>
        <w:t>The Taskforce recommends referring</w:t>
      </w:r>
      <w:r w:rsidR="004306B2">
        <w:t xml:space="preserve"> the</w:t>
      </w:r>
      <w:r w:rsidR="0061274F">
        <w:t xml:space="preserve"> issue of paediatric to adult transition of patients with complex kidney disease to an appropriate Government or inter-Governmental body</w:t>
      </w:r>
      <w:r>
        <w:t>.</w:t>
      </w:r>
    </w:p>
    <w:sectPr w:rsidR="0061274F" w:rsidRPr="0061274F" w:rsidSect="005D4630">
      <w:footerReference w:type="default" r:id="rId7"/>
      <w:pgSz w:w="11906" w:h="16838"/>
      <w:pgMar w:top="993" w:right="1800" w:bottom="1440" w:left="1800" w:header="708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937F4" w14:textId="77777777" w:rsidR="003A6DD4" w:rsidRDefault="003A6DD4" w:rsidP="00932284">
      <w:r>
        <w:separator/>
      </w:r>
    </w:p>
    <w:p w14:paraId="50746F98" w14:textId="77777777" w:rsidR="003A6DD4" w:rsidRDefault="003A6DD4"/>
  </w:endnote>
  <w:endnote w:type="continuationSeparator" w:id="0">
    <w:p w14:paraId="350AE0B0" w14:textId="77777777" w:rsidR="003A6DD4" w:rsidRDefault="003A6DD4" w:rsidP="00932284">
      <w:r>
        <w:continuationSeparator/>
      </w:r>
    </w:p>
    <w:p w14:paraId="7D5A9A5F" w14:textId="77777777" w:rsidR="003A6DD4" w:rsidRDefault="003A6D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4DFB6" w14:textId="77777777" w:rsidR="005D4630" w:rsidRDefault="005D4630" w:rsidP="005D4630">
    <w:pPr>
      <w:pStyle w:val="Footer"/>
      <w:pBdr>
        <w:top w:val="single" w:sz="4" w:space="1" w:color="B56012"/>
      </w:pBdr>
      <w:tabs>
        <w:tab w:val="clear" w:pos="4513"/>
      </w:tabs>
      <w:jc w:val="center"/>
    </w:pPr>
    <w:r>
      <w:rPr>
        <w:color w:val="01653F"/>
        <w:sz w:val="16"/>
      </w:rPr>
      <w:t xml:space="preserve">Taskforce findings from the </w:t>
    </w:r>
    <w:r w:rsidR="00AC6B06">
      <w:rPr>
        <w:color w:val="01653F"/>
        <w:sz w:val="16"/>
      </w:rPr>
      <w:t>Renal Medicine</w:t>
    </w:r>
    <w:r>
      <w:rPr>
        <w:color w:val="01653F"/>
        <w:sz w:val="16"/>
      </w:rPr>
      <w:t xml:space="preserve"> Clinical Committee Report</w:t>
    </w:r>
    <w:r>
      <w:rPr>
        <w:color w:val="01653F"/>
        <w:sz w:val="16"/>
      </w:rPr>
      <w:tab/>
    </w:r>
    <w:r w:rsidRPr="003B1222">
      <w:rPr>
        <w:color w:val="01653F"/>
        <w:sz w:val="16"/>
      </w:rPr>
      <w:t xml:space="preserve">Page </w:t>
    </w:r>
    <w:r w:rsidRPr="003B1222">
      <w:rPr>
        <w:rFonts w:eastAsiaTheme="minorHAnsi"/>
        <w:color w:val="01653F"/>
      </w:rPr>
      <w:fldChar w:fldCharType="begin"/>
    </w:r>
    <w:r w:rsidRPr="003B1222">
      <w:rPr>
        <w:color w:val="01653F"/>
      </w:rPr>
      <w:instrText xml:space="preserve"> PAGE   \* MERGEFORMAT </w:instrText>
    </w:r>
    <w:r w:rsidRPr="003B1222">
      <w:rPr>
        <w:rFonts w:eastAsiaTheme="minorHAnsi"/>
        <w:color w:val="01653F"/>
      </w:rPr>
      <w:fldChar w:fldCharType="separate"/>
    </w:r>
    <w:r w:rsidR="00AC3AAF" w:rsidRPr="00AC3AAF">
      <w:rPr>
        <w:rFonts w:eastAsiaTheme="majorEastAsia"/>
        <w:noProof/>
        <w:color w:val="01653F"/>
        <w:sz w:val="16"/>
      </w:rPr>
      <w:t>1</w:t>
    </w:r>
    <w:r w:rsidRPr="003B1222">
      <w:rPr>
        <w:rFonts w:eastAsiaTheme="majorEastAsia"/>
        <w:noProof/>
        <w:color w:val="01653F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8FE9E1" w14:textId="77777777" w:rsidR="003A6DD4" w:rsidRDefault="003A6DD4" w:rsidP="00932284">
      <w:r>
        <w:separator/>
      </w:r>
    </w:p>
    <w:p w14:paraId="270C3049" w14:textId="77777777" w:rsidR="003A6DD4" w:rsidRDefault="003A6DD4"/>
  </w:footnote>
  <w:footnote w:type="continuationSeparator" w:id="0">
    <w:p w14:paraId="7007EC42" w14:textId="77777777" w:rsidR="003A6DD4" w:rsidRDefault="003A6DD4" w:rsidP="00932284">
      <w:r>
        <w:continuationSeparator/>
      </w:r>
    </w:p>
    <w:p w14:paraId="7AFF9B75" w14:textId="77777777" w:rsidR="003A6DD4" w:rsidRDefault="003A6D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1686D"/>
    <w:multiLevelType w:val="hybridMultilevel"/>
    <w:tmpl w:val="C220FC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F2BAD"/>
    <w:multiLevelType w:val="multilevel"/>
    <w:tmpl w:val="B0E83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723834"/>
    <w:multiLevelType w:val="hybridMultilevel"/>
    <w:tmpl w:val="AF8AEEAA"/>
    <w:lvl w:ilvl="0" w:tplc="6B88DACE">
      <w:start w:val="1"/>
      <w:numFmt w:val="upperLetter"/>
      <w:pStyle w:val="AppendixStyle1"/>
      <w:lvlText w:val="Appendix %1"/>
      <w:lvlJc w:val="left"/>
      <w:pPr>
        <w:ind w:left="360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27BFD"/>
    <w:multiLevelType w:val="multilevel"/>
    <w:tmpl w:val="D42414C6"/>
    <w:lvl w:ilvl="0">
      <w:start w:val="1"/>
      <w:numFmt w:val="bullet"/>
      <w:lvlText w:val="■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bullet"/>
      <w:lvlText w:val="–"/>
      <w:lvlJc w:val="left"/>
      <w:pPr>
        <w:tabs>
          <w:tab w:val="num" w:pos="646"/>
        </w:tabs>
        <w:ind w:left="644" w:hanging="284"/>
      </w:pPr>
      <w:rPr>
        <w:rFonts w:ascii="Arial" w:hAnsi="Arial" w:hint="default"/>
        <w:color w:val="auto"/>
        <w:sz w:val="24"/>
      </w:rPr>
    </w:lvl>
    <w:lvl w:ilvl="2">
      <w:start w:val="1"/>
      <w:numFmt w:val="bullet"/>
      <w:lvlText w:val="□"/>
      <w:lvlJc w:val="left"/>
      <w:pPr>
        <w:tabs>
          <w:tab w:val="num" w:pos="924"/>
        </w:tabs>
        <w:ind w:left="927" w:hanging="283"/>
      </w:pPr>
      <w:rPr>
        <w:rFonts w:ascii="Times New Roman" w:hAnsi="Times New Roman" w:cs="Times New Roman" w:hint="default"/>
        <w:color w:val="auto"/>
        <w:sz w:val="20"/>
      </w:rPr>
    </w:lvl>
    <w:lvl w:ilvl="3">
      <w:start w:val="1"/>
      <w:numFmt w:val="bullet"/>
      <w:lvlText w:val="-"/>
      <w:lvlJc w:val="left"/>
      <w:pPr>
        <w:tabs>
          <w:tab w:val="num" w:pos="1213"/>
        </w:tabs>
        <w:ind w:left="1211" w:hanging="284"/>
      </w:pPr>
      <w:rPr>
        <w:rFonts w:ascii="Times New Roman" w:hAnsi="Times New Roman" w:cs="Times New Roman" w:hint="default"/>
        <w:color w:val="002960"/>
        <w:sz w:val="24"/>
      </w:rPr>
    </w:lvl>
    <w:lvl w:ilvl="4">
      <w:start w:val="1"/>
      <w:numFmt w:val="lowerLetter"/>
      <w:lvlText w:val="(%5)"/>
      <w:lvlJc w:val="left"/>
      <w:pPr>
        <w:tabs>
          <w:tab w:val="num" w:pos="1877"/>
        </w:tabs>
        <w:ind w:left="187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7"/>
        </w:tabs>
        <w:ind w:left="223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7"/>
        </w:tabs>
        <w:ind w:left="295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7"/>
        </w:tabs>
        <w:ind w:left="3317" w:hanging="360"/>
      </w:pPr>
      <w:rPr>
        <w:rFonts w:hint="default"/>
      </w:rPr>
    </w:lvl>
  </w:abstractNum>
  <w:abstractNum w:abstractNumId="4" w15:restartNumberingAfterBreak="0">
    <w:nsid w:val="227E774B"/>
    <w:multiLevelType w:val="multilevel"/>
    <w:tmpl w:val="A210F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742B66"/>
    <w:multiLevelType w:val="hybridMultilevel"/>
    <w:tmpl w:val="4EF461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6AB9E8">
      <w:start w:val="1"/>
      <w:numFmt w:val="bullet"/>
      <w:pStyle w:val="Bullet2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A48BF"/>
    <w:multiLevelType w:val="multilevel"/>
    <w:tmpl w:val="399EB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770642"/>
    <w:multiLevelType w:val="multilevel"/>
    <w:tmpl w:val="5798DB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C574A11"/>
    <w:multiLevelType w:val="hybridMultilevel"/>
    <w:tmpl w:val="2BBC3E4A"/>
    <w:lvl w:ilvl="0" w:tplc="0CD805F4">
      <w:start w:val="1"/>
      <w:numFmt w:val="bullet"/>
      <w:pStyle w:val="02dash"/>
      <w:lvlText w:val="‒"/>
      <w:lvlJc w:val="left"/>
      <w:pPr>
        <w:ind w:left="108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CC6A6A"/>
    <w:multiLevelType w:val="hybridMultilevel"/>
    <w:tmpl w:val="7EB44BA4"/>
    <w:lvl w:ilvl="0" w:tplc="5B2C068A">
      <w:start w:val="1"/>
      <w:numFmt w:val="decimal"/>
      <w:lvlText w:val="%1."/>
      <w:lvlJc w:val="left"/>
      <w:pPr>
        <w:ind w:left="765" w:hanging="360"/>
      </w:pPr>
      <w:rPr>
        <w:b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67254B0D"/>
    <w:multiLevelType w:val="hybridMultilevel"/>
    <w:tmpl w:val="FE1E8374"/>
    <w:lvl w:ilvl="0" w:tplc="638664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9153F"/>
    <w:multiLevelType w:val="hybridMultilevel"/>
    <w:tmpl w:val="841829CA"/>
    <w:lvl w:ilvl="0" w:tplc="9FF875D0">
      <w:start w:val="1"/>
      <w:numFmt w:val="bullet"/>
      <w:pStyle w:val="NormalBulleted"/>
      <w:lvlText w:val="∆"/>
      <w:lvlJc w:val="left"/>
      <w:pPr>
        <w:ind w:left="431" w:hanging="431"/>
      </w:pPr>
      <w:rPr>
        <w:rFonts w:ascii="Calibri" w:hAnsi="Calibri" w:hint="default"/>
        <w:color w:val="B56012"/>
      </w:rPr>
    </w:lvl>
    <w:lvl w:ilvl="1" w:tplc="74B6F98C">
      <w:numFmt w:val="bullet"/>
      <w:lvlText w:val="-"/>
      <w:lvlJc w:val="left"/>
      <w:pPr>
        <w:ind w:left="1800" w:hanging="72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1559E3"/>
    <w:multiLevelType w:val="multilevel"/>
    <w:tmpl w:val="43800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6017BF"/>
    <w:multiLevelType w:val="multilevel"/>
    <w:tmpl w:val="D42414C6"/>
    <w:lvl w:ilvl="0">
      <w:start w:val="1"/>
      <w:numFmt w:val="bullet"/>
      <w:pStyle w:val="01squarebullet"/>
      <w:lvlText w:val="Δ"/>
      <w:lvlJc w:val="left"/>
      <w:pPr>
        <w:ind w:left="1080" w:hanging="360"/>
      </w:pPr>
      <w:rPr>
        <w:rFonts w:ascii="Calibri" w:hAnsi="Calibri" w:cs="Times New Roman" w:hint="default"/>
        <w:color w:val="B66113"/>
        <w:sz w:val="24"/>
      </w:rPr>
    </w:lvl>
    <w:lvl w:ilvl="1">
      <w:start w:val="1"/>
      <w:numFmt w:val="bullet"/>
      <w:lvlText w:val="–"/>
      <w:lvlJc w:val="left"/>
      <w:pPr>
        <w:tabs>
          <w:tab w:val="num" w:pos="646"/>
        </w:tabs>
        <w:ind w:left="644" w:hanging="284"/>
      </w:pPr>
      <w:rPr>
        <w:rFonts w:ascii="Arial" w:hAnsi="Arial" w:hint="default"/>
        <w:color w:val="auto"/>
        <w:sz w:val="24"/>
      </w:rPr>
    </w:lvl>
    <w:lvl w:ilvl="2">
      <w:start w:val="1"/>
      <w:numFmt w:val="bullet"/>
      <w:lvlText w:val="□"/>
      <w:lvlJc w:val="left"/>
      <w:pPr>
        <w:tabs>
          <w:tab w:val="num" w:pos="924"/>
        </w:tabs>
        <w:ind w:left="927" w:hanging="283"/>
      </w:pPr>
      <w:rPr>
        <w:rFonts w:ascii="Times New Roman" w:hAnsi="Times New Roman" w:cs="Times New Roman" w:hint="default"/>
        <w:color w:val="auto"/>
        <w:sz w:val="20"/>
      </w:rPr>
    </w:lvl>
    <w:lvl w:ilvl="3">
      <w:start w:val="1"/>
      <w:numFmt w:val="bullet"/>
      <w:lvlText w:val="-"/>
      <w:lvlJc w:val="left"/>
      <w:pPr>
        <w:tabs>
          <w:tab w:val="num" w:pos="1213"/>
        </w:tabs>
        <w:ind w:left="1211" w:hanging="284"/>
      </w:pPr>
      <w:rPr>
        <w:rFonts w:ascii="Times New Roman" w:hAnsi="Times New Roman" w:cs="Times New Roman" w:hint="default"/>
        <w:color w:val="002960"/>
        <w:sz w:val="24"/>
      </w:rPr>
    </w:lvl>
    <w:lvl w:ilvl="4">
      <w:start w:val="1"/>
      <w:numFmt w:val="lowerLetter"/>
      <w:lvlText w:val="(%5)"/>
      <w:lvlJc w:val="left"/>
      <w:pPr>
        <w:tabs>
          <w:tab w:val="num" w:pos="1877"/>
        </w:tabs>
        <w:ind w:left="187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7"/>
        </w:tabs>
        <w:ind w:left="223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7"/>
        </w:tabs>
        <w:ind w:left="295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7"/>
        </w:tabs>
        <w:ind w:left="3317" w:hanging="360"/>
      </w:pPr>
      <w:rPr>
        <w:rFonts w:hint="default"/>
      </w:rPr>
    </w:lvl>
  </w:abstractNum>
  <w:abstractNum w:abstractNumId="14" w15:restartNumberingAfterBreak="0">
    <w:nsid w:val="6E6A2E0D"/>
    <w:multiLevelType w:val="multilevel"/>
    <w:tmpl w:val="A3F2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8F07CB"/>
    <w:multiLevelType w:val="hybridMultilevel"/>
    <w:tmpl w:val="3EB620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0575B2"/>
    <w:multiLevelType w:val="multilevel"/>
    <w:tmpl w:val="B44443D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5"/>
  </w:num>
  <w:num w:numId="5">
    <w:abstractNumId w:val="11"/>
  </w:num>
  <w:num w:numId="6">
    <w:abstractNumId w:val="7"/>
  </w:num>
  <w:num w:numId="7">
    <w:abstractNumId w:val="2"/>
  </w:num>
  <w:num w:numId="8">
    <w:abstractNumId w:val="10"/>
  </w:num>
  <w:num w:numId="9">
    <w:abstractNumId w:val="4"/>
  </w:num>
  <w:num w:numId="10">
    <w:abstractNumId w:val="14"/>
  </w:num>
  <w:num w:numId="11">
    <w:abstractNumId w:val="6"/>
  </w:num>
  <w:num w:numId="12">
    <w:abstractNumId w:val="1"/>
  </w:num>
  <w:num w:numId="13">
    <w:abstractNumId w:val="13"/>
  </w:num>
  <w:num w:numId="14">
    <w:abstractNumId w:val="9"/>
  </w:num>
  <w:num w:numId="15">
    <w:abstractNumId w:val="8"/>
  </w:num>
  <w:num w:numId="16">
    <w:abstractNumId w:val="13"/>
  </w:num>
  <w:num w:numId="17">
    <w:abstractNumId w:val="8"/>
  </w:num>
  <w:num w:numId="18">
    <w:abstractNumId w:val="13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284"/>
    <w:rsid w:val="00001D35"/>
    <w:rsid w:val="00003743"/>
    <w:rsid w:val="00014D34"/>
    <w:rsid w:val="0002442F"/>
    <w:rsid w:val="00067456"/>
    <w:rsid w:val="000714CA"/>
    <w:rsid w:val="00082603"/>
    <w:rsid w:val="0008483A"/>
    <w:rsid w:val="00086B59"/>
    <w:rsid w:val="000A0FC3"/>
    <w:rsid w:val="000B3376"/>
    <w:rsid w:val="000B54D4"/>
    <w:rsid w:val="000E20F9"/>
    <w:rsid w:val="000F2FE1"/>
    <w:rsid w:val="00116BCA"/>
    <w:rsid w:val="001264DB"/>
    <w:rsid w:val="0017755B"/>
    <w:rsid w:val="00180FFC"/>
    <w:rsid w:val="001A1FC2"/>
    <w:rsid w:val="001A6DF4"/>
    <w:rsid w:val="001B03DF"/>
    <w:rsid w:val="001B3443"/>
    <w:rsid w:val="001F092B"/>
    <w:rsid w:val="002329AB"/>
    <w:rsid w:val="0026358E"/>
    <w:rsid w:val="00276B04"/>
    <w:rsid w:val="00280E55"/>
    <w:rsid w:val="002908B1"/>
    <w:rsid w:val="002A0F28"/>
    <w:rsid w:val="002A1C29"/>
    <w:rsid w:val="002A21FA"/>
    <w:rsid w:val="002A289E"/>
    <w:rsid w:val="002E69F5"/>
    <w:rsid w:val="002F3AE3"/>
    <w:rsid w:val="0030786C"/>
    <w:rsid w:val="00374E49"/>
    <w:rsid w:val="0038228F"/>
    <w:rsid w:val="003A6DD4"/>
    <w:rsid w:val="003D17F9"/>
    <w:rsid w:val="003D51B1"/>
    <w:rsid w:val="003F16CD"/>
    <w:rsid w:val="00430161"/>
    <w:rsid w:val="004306B2"/>
    <w:rsid w:val="004454A8"/>
    <w:rsid w:val="0047266C"/>
    <w:rsid w:val="004867E2"/>
    <w:rsid w:val="004A5611"/>
    <w:rsid w:val="004B40C6"/>
    <w:rsid w:val="004B58A3"/>
    <w:rsid w:val="004D6896"/>
    <w:rsid w:val="0053556D"/>
    <w:rsid w:val="005778D3"/>
    <w:rsid w:val="00583D03"/>
    <w:rsid w:val="00597869"/>
    <w:rsid w:val="005D4630"/>
    <w:rsid w:val="005D7BBB"/>
    <w:rsid w:val="005E21AA"/>
    <w:rsid w:val="00605D5F"/>
    <w:rsid w:val="0061274F"/>
    <w:rsid w:val="006663DA"/>
    <w:rsid w:val="006720F4"/>
    <w:rsid w:val="00672D28"/>
    <w:rsid w:val="00676938"/>
    <w:rsid w:val="006A506F"/>
    <w:rsid w:val="006B1C44"/>
    <w:rsid w:val="006B346A"/>
    <w:rsid w:val="006E45AF"/>
    <w:rsid w:val="006E518B"/>
    <w:rsid w:val="00743231"/>
    <w:rsid w:val="00747537"/>
    <w:rsid w:val="0075367C"/>
    <w:rsid w:val="00754F91"/>
    <w:rsid w:val="00755C22"/>
    <w:rsid w:val="00781E9D"/>
    <w:rsid w:val="007A07C7"/>
    <w:rsid w:val="007A2738"/>
    <w:rsid w:val="007A4F4B"/>
    <w:rsid w:val="007A5BE2"/>
    <w:rsid w:val="007A61C0"/>
    <w:rsid w:val="007B6422"/>
    <w:rsid w:val="007C37E0"/>
    <w:rsid w:val="00803C1F"/>
    <w:rsid w:val="00807115"/>
    <w:rsid w:val="008264EB"/>
    <w:rsid w:val="008333E4"/>
    <w:rsid w:val="00860262"/>
    <w:rsid w:val="00860CEB"/>
    <w:rsid w:val="008A0A04"/>
    <w:rsid w:val="008A0FB2"/>
    <w:rsid w:val="008B77D8"/>
    <w:rsid w:val="008C68FC"/>
    <w:rsid w:val="008D58B8"/>
    <w:rsid w:val="00905CFC"/>
    <w:rsid w:val="00932284"/>
    <w:rsid w:val="0095605A"/>
    <w:rsid w:val="009861A1"/>
    <w:rsid w:val="00987C33"/>
    <w:rsid w:val="009D79D8"/>
    <w:rsid w:val="00A22898"/>
    <w:rsid w:val="00A357C5"/>
    <w:rsid w:val="00A4512D"/>
    <w:rsid w:val="00A55930"/>
    <w:rsid w:val="00A57FD3"/>
    <w:rsid w:val="00A61485"/>
    <w:rsid w:val="00A705AF"/>
    <w:rsid w:val="00A90DAC"/>
    <w:rsid w:val="00AB469A"/>
    <w:rsid w:val="00AC1182"/>
    <w:rsid w:val="00AC3AAF"/>
    <w:rsid w:val="00AC6B06"/>
    <w:rsid w:val="00AF4852"/>
    <w:rsid w:val="00AF4B32"/>
    <w:rsid w:val="00AF4B7A"/>
    <w:rsid w:val="00B26077"/>
    <w:rsid w:val="00B3274D"/>
    <w:rsid w:val="00B42851"/>
    <w:rsid w:val="00B433E6"/>
    <w:rsid w:val="00B62E51"/>
    <w:rsid w:val="00B730C5"/>
    <w:rsid w:val="00B90F18"/>
    <w:rsid w:val="00BA35DA"/>
    <w:rsid w:val="00C04139"/>
    <w:rsid w:val="00C26467"/>
    <w:rsid w:val="00C86EF8"/>
    <w:rsid w:val="00C9572F"/>
    <w:rsid w:val="00CB5B1A"/>
    <w:rsid w:val="00CD3D5E"/>
    <w:rsid w:val="00CF7565"/>
    <w:rsid w:val="00D03589"/>
    <w:rsid w:val="00D06BE5"/>
    <w:rsid w:val="00D15DA6"/>
    <w:rsid w:val="00D56D2B"/>
    <w:rsid w:val="00D7697A"/>
    <w:rsid w:val="00D854A7"/>
    <w:rsid w:val="00DA0FFF"/>
    <w:rsid w:val="00DC6C72"/>
    <w:rsid w:val="00E01E1C"/>
    <w:rsid w:val="00E2678D"/>
    <w:rsid w:val="00E42A10"/>
    <w:rsid w:val="00E47BBC"/>
    <w:rsid w:val="00E768E3"/>
    <w:rsid w:val="00E8392D"/>
    <w:rsid w:val="00E97588"/>
    <w:rsid w:val="00EA1A68"/>
    <w:rsid w:val="00EC0E75"/>
    <w:rsid w:val="00EC11AF"/>
    <w:rsid w:val="00ED509A"/>
    <w:rsid w:val="00F03A9C"/>
    <w:rsid w:val="00F16A6A"/>
    <w:rsid w:val="00F1784C"/>
    <w:rsid w:val="00F32DB8"/>
    <w:rsid w:val="00F339E7"/>
    <w:rsid w:val="00F9564F"/>
    <w:rsid w:val="00FA74A5"/>
    <w:rsid w:val="00FB48E5"/>
    <w:rsid w:val="00FC4653"/>
    <w:rsid w:val="00FF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4C7E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6BE5"/>
    <w:pPr>
      <w:spacing w:before="120" w:after="120" w:line="360" w:lineRule="auto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A22898"/>
    <w:pPr>
      <w:keepNext/>
      <w:spacing w:line="276" w:lineRule="auto"/>
      <w:ind w:left="567" w:hanging="567"/>
      <w:outlineLvl w:val="0"/>
    </w:pPr>
    <w:rPr>
      <w:rFonts w:eastAsiaTheme="minorHAnsi" w:cs="Arial"/>
      <w:b/>
      <w:bCs/>
      <w:color w:val="01653F"/>
      <w:kern w:val="32"/>
      <w:sz w:val="32"/>
      <w:szCs w:val="28"/>
      <w:lang w:val="en-US"/>
    </w:rPr>
  </w:style>
  <w:style w:type="paragraph" w:styleId="Heading2">
    <w:name w:val="heading 2"/>
    <w:basedOn w:val="Normal"/>
    <w:next w:val="Normal"/>
    <w:qFormat/>
    <w:rsid w:val="00D06BE5"/>
    <w:pPr>
      <w:keepNext/>
      <w:spacing w:before="180" w:after="60"/>
      <w:ind w:left="357" w:hanging="357"/>
      <w:contextualSpacing/>
      <w:outlineLvl w:val="1"/>
    </w:pPr>
    <w:rPr>
      <w:b/>
      <w:szCs w:val="22"/>
      <w:lang w:val="en-US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uiPriority w:val="9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uiPriority w:val="9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2678D"/>
    <w:pPr>
      <w:keepNext/>
      <w:keepLines/>
      <w:spacing w:before="200" w:after="60" w:line="312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2678D"/>
    <w:pPr>
      <w:keepNext/>
      <w:keepLines/>
      <w:spacing w:before="200" w:after="60" w:line="312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2678D"/>
    <w:pPr>
      <w:keepNext/>
      <w:keepLines/>
      <w:spacing w:before="200" w:after="60" w:line="312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22898"/>
    <w:pPr>
      <w:pBdr>
        <w:top w:val="double" w:sz="12" w:space="31" w:color="B66113"/>
        <w:bottom w:val="double" w:sz="12" w:space="1" w:color="B66113"/>
      </w:pBdr>
      <w:jc w:val="center"/>
    </w:pPr>
    <w:rPr>
      <w:rFonts w:cs="Arial"/>
      <w:b/>
      <w:color w:val="01653F"/>
      <w:spacing w:val="5"/>
      <w:sz w:val="44"/>
      <w:szCs w:val="48"/>
      <w:lang w:eastAsia="en-AU"/>
    </w:rPr>
  </w:style>
  <w:style w:type="character" w:customStyle="1" w:styleId="SubtitleChar">
    <w:name w:val="Subtitle Char"/>
    <w:basedOn w:val="DefaultParagraphFont"/>
    <w:link w:val="Subtitle"/>
    <w:rsid w:val="00A22898"/>
    <w:rPr>
      <w:rFonts w:asciiTheme="minorHAnsi" w:hAnsiTheme="minorHAnsi" w:cs="Arial"/>
      <w:b/>
      <w:color w:val="01653F"/>
      <w:spacing w:val="5"/>
      <w:sz w:val="44"/>
      <w:szCs w:val="48"/>
    </w:rPr>
  </w:style>
  <w:style w:type="paragraph" w:styleId="Title">
    <w:name w:val="Title"/>
    <w:basedOn w:val="Normal"/>
    <w:next w:val="Normal"/>
    <w:link w:val="TitleChar"/>
    <w:qFormat/>
    <w:rsid w:val="00A22898"/>
    <w:pPr>
      <w:pBdr>
        <w:top w:val="double" w:sz="12" w:space="31" w:color="B66113"/>
        <w:bottom w:val="double" w:sz="12" w:space="1" w:color="B66113"/>
      </w:pBdr>
      <w:spacing w:before="240" w:line="312" w:lineRule="auto"/>
      <w:contextualSpacing/>
      <w:jc w:val="center"/>
    </w:pPr>
    <w:rPr>
      <w:rFonts w:cs="Arial"/>
      <w:b/>
      <w:spacing w:val="5"/>
      <w:sz w:val="52"/>
      <w:szCs w:val="60"/>
      <w:lang w:eastAsia="en-AU"/>
    </w:rPr>
  </w:style>
  <w:style w:type="character" w:customStyle="1" w:styleId="TitleChar">
    <w:name w:val="Title Char"/>
    <w:basedOn w:val="DefaultParagraphFont"/>
    <w:link w:val="Title"/>
    <w:rsid w:val="00A22898"/>
    <w:rPr>
      <w:rFonts w:asciiTheme="minorHAnsi" w:hAnsiTheme="minorHAnsi" w:cs="Arial"/>
      <w:b/>
      <w:spacing w:val="5"/>
      <w:sz w:val="52"/>
      <w:szCs w:val="60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aliases w:val="Bullet Point,Bullet point,Bulletr List Paragraph,Content descriptions,FooterText,L,List Bullet 1,List Paragraph1,List Paragraph11,List Paragraph2,List Paragraph21,Listeafsnit1,NFP GP Bulleted List,Paragraphe de liste1,Recommendation,リスト段落"/>
    <w:basedOn w:val="Normal"/>
    <w:link w:val="ListParagraphChar"/>
    <w:uiPriority w:val="34"/>
    <w:qFormat/>
    <w:rsid w:val="00A4512D"/>
    <w:pPr>
      <w:ind w:left="720"/>
      <w:contextualSpacing/>
    </w:pPr>
  </w:style>
  <w:style w:type="character" w:customStyle="1" w:styleId="ListParagraphChar">
    <w:name w:val="List Paragraph Char"/>
    <w:aliases w:val="Bullet Point Char,Bullet point Char,Bulletr List Paragraph Char,Content descriptions Char,FooterText Char,L Char,List Bullet 1 Char,List Paragraph1 Char,List Paragraph11 Char,List Paragraph2 Char,List Paragraph21 Char,リスト段落 Char"/>
    <w:basedOn w:val="DefaultParagraphFont"/>
    <w:link w:val="ListParagraph"/>
    <w:uiPriority w:val="34"/>
    <w:rsid w:val="00932284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9322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3228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9322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284"/>
    <w:rPr>
      <w:sz w:val="24"/>
      <w:szCs w:val="24"/>
      <w:lang w:eastAsia="en-US"/>
    </w:rPr>
  </w:style>
  <w:style w:type="table" w:styleId="TableGrid">
    <w:name w:val="Table Grid"/>
    <w:basedOn w:val="TableNormal"/>
    <w:rsid w:val="00E26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rsid w:val="00E2678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E2678D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E2678D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customStyle="1" w:styleId="Heading3Numbered">
    <w:name w:val="Heading 3 Numbered"/>
    <w:basedOn w:val="Heading2"/>
    <w:qFormat/>
    <w:rsid w:val="00E2678D"/>
    <w:pPr>
      <w:spacing w:before="120" w:after="120" w:line="312" w:lineRule="auto"/>
      <w:ind w:left="720" w:hanging="720"/>
      <w:outlineLvl w:val="2"/>
    </w:pPr>
    <w:rPr>
      <w:rFonts w:eastAsiaTheme="minorHAnsi"/>
      <w:color w:val="B56011"/>
    </w:rPr>
  </w:style>
  <w:style w:type="paragraph" w:customStyle="1" w:styleId="NormalBulleted">
    <w:name w:val="Normal Bulleted"/>
    <w:basedOn w:val="ListContinue"/>
    <w:link w:val="NormalBulletedChar"/>
    <w:qFormat/>
    <w:rsid w:val="00E2678D"/>
    <w:pPr>
      <w:numPr>
        <w:numId w:val="5"/>
      </w:numPr>
      <w:spacing w:before="180" w:line="312" w:lineRule="auto"/>
    </w:pPr>
    <w:rPr>
      <w:lang w:eastAsia="en-AU"/>
    </w:rPr>
  </w:style>
  <w:style w:type="character" w:customStyle="1" w:styleId="NormalBulletedChar">
    <w:name w:val="Normal Bulleted Char"/>
    <w:basedOn w:val="DefaultParagraphFont"/>
    <w:link w:val="NormalBulleted"/>
    <w:rsid w:val="00E2678D"/>
    <w:rPr>
      <w:rFonts w:asciiTheme="minorHAnsi" w:hAnsiTheme="minorHAnsi"/>
      <w:sz w:val="22"/>
      <w:szCs w:val="24"/>
    </w:rPr>
  </w:style>
  <w:style w:type="paragraph" w:customStyle="1" w:styleId="Bullet2">
    <w:name w:val="Bullet 2"/>
    <w:basedOn w:val="ListParagraph"/>
    <w:rsid w:val="00E2678D"/>
    <w:pPr>
      <w:numPr>
        <w:ilvl w:val="1"/>
        <w:numId w:val="4"/>
      </w:numPr>
      <w:spacing w:after="60" w:line="312" w:lineRule="auto"/>
      <w:contextualSpacing w:val="0"/>
    </w:pPr>
    <w:rPr>
      <w:rFonts w:eastAsiaTheme="minorHAnsi" w:cs="Arial"/>
      <w:szCs w:val="22"/>
      <w:lang w:eastAsia="en-AU"/>
    </w:rPr>
  </w:style>
  <w:style w:type="paragraph" w:styleId="ListContinue">
    <w:name w:val="List Continue"/>
    <w:basedOn w:val="Normal"/>
    <w:rsid w:val="00E2678D"/>
    <w:pPr>
      <w:ind w:left="283"/>
      <w:contextualSpacing/>
    </w:pPr>
  </w:style>
  <w:style w:type="paragraph" w:customStyle="1" w:styleId="AppendixStyle1">
    <w:name w:val="Appendix Style 1"/>
    <w:basedOn w:val="Normal"/>
    <w:next w:val="Normal"/>
    <w:qFormat/>
    <w:rsid w:val="005D4630"/>
    <w:pPr>
      <w:numPr>
        <w:numId w:val="7"/>
      </w:numPr>
      <w:spacing w:line="312" w:lineRule="auto"/>
      <w:outlineLvl w:val="0"/>
    </w:pPr>
    <w:rPr>
      <w:rFonts w:cs="Arial"/>
      <w:b/>
      <w:color w:val="016500"/>
      <w:sz w:val="32"/>
      <w:lang w:val="en-US"/>
    </w:rPr>
  </w:style>
  <w:style w:type="character" w:styleId="CommentReference">
    <w:name w:val="annotation reference"/>
    <w:basedOn w:val="DefaultParagraphFont"/>
    <w:rsid w:val="00583D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3D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3D0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83D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3D03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583D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3D03"/>
    <w:rPr>
      <w:rFonts w:ascii="Tahoma" w:hAnsi="Tahoma"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rsid w:val="00F03A9C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03A9C"/>
    <w:rPr>
      <w:rFonts w:asciiTheme="minorHAnsi" w:hAnsiTheme="minorHAnsi"/>
      <w:lang w:eastAsia="en-US"/>
    </w:rPr>
  </w:style>
  <w:style w:type="character" w:styleId="EndnoteReference">
    <w:name w:val="endnote reference"/>
    <w:basedOn w:val="DefaultParagraphFont"/>
    <w:rsid w:val="00F03A9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2908B1"/>
    <w:pPr>
      <w:spacing w:before="100" w:beforeAutospacing="1" w:after="100" w:afterAutospacing="1"/>
    </w:pPr>
    <w:rPr>
      <w:rFonts w:ascii="Times New Roman" w:eastAsiaTheme="minorHAnsi" w:hAnsi="Times New Roman"/>
      <w:sz w:val="24"/>
      <w:lang w:eastAsia="en-AU"/>
    </w:rPr>
  </w:style>
  <w:style w:type="paragraph" w:customStyle="1" w:styleId="01squarebullet">
    <w:name w:val="01 square bullet"/>
    <w:basedOn w:val="Normal"/>
    <w:uiPriority w:val="4"/>
    <w:qFormat/>
    <w:rsid w:val="005778D3"/>
    <w:pPr>
      <w:numPr>
        <w:numId w:val="13"/>
      </w:numPr>
      <w:ind w:right="142"/>
    </w:pPr>
    <w:rPr>
      <w:szCs w:val="20"/>
      <w:lang w:val="en-US"/>
    </w:rPr>
  </w:style>
  <w:style w:type="paragraph" w:customStyle="1" w:styleId="02dash">
    <w:name w:val="02 dash"/>
    <w:basedOn w:val="01squarebullet"/>
    <w:uiPriority w:val="4"/>
    <w:qFormat/>
    <w:rsid w:val="00CF7565"/>
    <w:pPr>
      <w:numPr>
        <w:numId w:val="15"/>
      </w:numPr>
      <w:tabs>
        <w:tab w:val="left" w:pos="646"/>
      </w:tabs>
    </w:pPr>
  </w:style>
  <w:style w:type="character" w:customStyle="1" w:styleId="tgc">
    <w:name w:val="_tgc"/>
    <w:basedOn w:val="DefaultParagraphFont"/>
    <w:rsid w:val="000A0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4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3335</Characters>
  <Application>Microsoft Office Word</Application>
  <DocSecurity>0</DocSecurity>
  <Lines>58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Renal Medicine Clinical Committee Report</dc:title>
  <dc:subject>MBS Review, Medicare</dc:subject>
  <dc:creator/>
  <cp:keywords/>
  <dc:description/>
  <cp:lastModifiedBy/>
  <cp:revision>1</cp:revision>
  <dcterms:created xsi:type="dcterms:W3CDTF">2018-04-04T02:07:00Z</dcterms:created>
  <dcterms:modified xsi:type="dcterms:W3CDTF">2021-05-28T05:56:00Z</dcterms:modified>
  <cp:category/>
</cp:coreProperties>
</file>