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0913" w14:textId="77777777" w:rsidR="00567AFE" w:rsidRPr="00932284" w:rsidRDefault="00567AFE" w:rsidP="00AD08F9">
      <w:pPr>
        <w:pStyle w:val="Title"/>
      </w:pPr>
      <w:r w:rsidRPr="00932284">
        <w:t>Medicare Benefits Schedule Review Taskforce</w:t>
      </w:r>
    </w:p>
    <w:p w14:paraId="44A6E203" w14:textId="77777777" w:rsidR="00567AFE" w:rsidRPr="00E2678D" w:rsidRDefault="00567AFE" w:rsidP="00AD08F9">
      <w:pPr>
        <w:pStyle w:val="Titlesub"/>
      </w:pPr>
      <w:r>
        <w:t xml:space="preserve">Gastroenterology </w:t>
      </w:r>
      <w:r w:rsidRPr="00932284">
        <w:t>Clinical Committee</w:t>
      </w:r>
      <w:r w:rsidRPr="00E2678D">
        <w:t xml:space="preserve"> Report</w:t>
      </w:r>
    </w:p>
    <w:p w14:paraId="51396B33" w14:textId="77777777" w:rsidR="00567AFE" w:rsidRDefault="00567AFE" w:rsidP="00AD08F9">
      <w:pPr>
        <w:pStyle w:val="Titlesub"/>
      </w:pPr>
      <w:r>
        <w:t>Taskforce Findings</w:t>
      </w:r>
    </w:p>
    <w:p w14:paraId="22D262C3" w14:textId="77777777" w:rsidR="00567AFE" w:rsidRDefault="00567AFE" w:rsidP="00567AFE">
      <w:pPr>
        <w:spacing w:before="240" w:after="240" w:line="276" w:lineRule="auto"/>
        <w:rPr>
          <w:rFonts w:asciiTheme="minorHAnsi" w:hAnsiTheme="minorHAnsi" w:cs="Arial"/>
          <w:color w:val="000000" w:themeColor="text1"/>
          <w:sz w:val="22"/>
          <w:szCs w:val="22"/>
        </w:rPr>
      </w:pPr>
    </w:p>
    <w:p w14:paraId="7C23A781" w14:textId="77777777" w:rsidR="00567AFE" w:rsidRPr="00AB469A" w:rsidRDefault="00567AFE" w:rsidP="00C5322A">
      <w:pPr>
        <w:spacing w:before="240" w:after="24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T</w:t>
      </w:r>
      <w:r w:rsidRPr="00AB469A">
        <w:rPr>
          <w:rFonts w:asciiTheme="minorHAnsi" w:hAnsiTheme="minorHAnsi" w:cs="Arial"/>
          <w:color w:val="000000" w:themeColor="text1"/>
          <w:sz w:val="22"/>
          <w:szCs w:val="22"/>
        </w:rPr>
        <w:t>his document outlines the Medica</w:t>
      </w:r>
      <w:r w:rsidR="00DC31C3">
        <w:rPr>
          <w:rFonts w:asciiTheme="minorHAnsi" w:hAnsiTheme="minorHAnsi" w:cs="Arial"/>
          <w:color w:val="000000" w:themeColor="text1"/>
          <w:sz w:val="22"/>
          <w:szCs w:val="22"/>
        </w:rPr>
        <w:t xml:space="preserve">re </w:t>
      </w:r>
      <w:r w:rsidRPr="00AB469A">
        <w:rPr>
          <w:rFonts w:asciiTheme="minorHAnsi" w:hAnsiTheme="minorHAnsi" w:cs="Arial"/>
          <w:color w:val="000000" w:themeColor="text1"/>
          <w:sz w:val="22"/>
          <w:szCs w:val="22"/>
        </w:rPr>
        <w:t xml:space="preserve">Benefits Schedule (MBS) Taskforce’s recommendations in response to the </w:t>
      </w:r>
      <w:r>
        <w:rPr>
          <w:rFonts w:asciiTheme="minorHAnsi" w:hAnsiTheme="minorHAnsi" w:cs="Arial"/>
          <w:color w:val="000000" w:themeColor="text1"/>
          <w:sz w:val="22"/>
          <w:szCs w:val="22"/>
        </w:rPr>
        <w:t>Gastroenterology</w:t>
      </w:r>
      <w:r w:rsidRPr="00AB469A">
        <w:rPr>
          <w:rFonts w:asciiTheme="minorHAnsi" w:hAnsiTheme="minorHAnsi" w:cs="Arial"/>
          <w:color w:val="000000" w:themeColor="text1"/>
          <w:sz w:val="22"/>
          <w:szCs w:val="22"/>
        </w:rPr>
        <w:t xml:space="preserve"> Clinical Committee Report. </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85"/>
        <w:gridCol w:w="832"/>
      </w:tblGrid>
      <w:tr w:rsidR="00567AFE" w:rsidRPr="00AB469A" w14:paraId="39A2CCF4" w14:textId="77777777" w:rsidTr="007C5E46">
        <w:trPr>
          <w:trHeight w:val="208"/>
          <w:tblHeader/>
        </w:trPr>
        <w:tc>
          <w:tcPr>
            <w:tcW w:w="3938" w:type="pct"/>
            <w:shd w:val="clear" w:color="auto" w:fill="FFFFFF" w:themeFill="background1"/>
          </w:tcPr>
          <w:p w14:paraId="7EDE09CE" w14:textId="77777777" w:rsidR="00567AFE" w:rsidRPr="00AB469A" w:rsidRDefault="00567AFE" w:rsidP="006220B4">
            <w:pPr>
              <w:rPr>
                <w:rFonts w:asciiTheme="minorHAnsi" w:hAnsiTheme="minorHAnsi"/>
                <w:b/>
                <w:sz w:val="22"/>
                <w:szCs w:val="22"/>
              </w:rPr>
            </w:pPr>
            <w:r w:rsidRPr="00AB469A">
              <w:rPr>
                <w:rFonts w:asciiTheme="minorHAnsi" w:hAnsiTheme="minorHAnsi"/>
                <w:b/>
                <w:sz w:val="22"/>
                <w:szCs w:val="22"/>
              </w:rPr>
              <w:t>Number of items reviewed</w:t>
            </w:r>
          </w:p>
        </w:tc>
        <w:tc>
          <w:tcPr>
            <w:tcW w:w="1062" w:type="pct"/>
            <w:shd w:val="clear" w:color="auto" w:fill="auto"/>
            <w:vAlign w:val="center"/>
          </w:tcPr>
          <w:p w14:paraId="272B0D1D" w14:textId="77777777" w:rsidR="00567AFE" w:rsidRPr="00AB469A" w:rsidRDefault="00567AFE" w:rsidP="006220B4">
            <w:pPr>
              <w:spacing w:line="360" w:lineRule="auto"/>
              <w:jc w:val="center"/>
              <w:rPr>
                <w:rFonts w:asciiTheme="minorHAnsi" w:hAnsiTheme="minorHAnsi"/>
                <w:sz w:val="22"/>
                <w:szCs w:val="22"/>
              </w:rPr>
            </w:pPr>
            <w:r>
              <w:rPr>
                <w:rFonts w:asciiTheme="minorHAnsi" w:hAnsiTheme="minorHAnsi"/>
                <w:sz w:val="22"/>
                <w:szCs w:val="22"/>
              </w:rPr>
              <w:t>53</w:t>
            </w:r>
          </w:p>
        </w:tc>
      </w:tr>
      <w:tr w:rsidR="00567AFE" w:rsidRPr="00AB469A" w14:paraId="0357A228" w14:textId="77777777" w:rsidTr="007C5E46">
        <w:trPr>
          <w:trHeight w:val="297"/>
        </w:trPr>
        <w:tc>
          <w:tcPr>
            <w:tcW w:w="3938" w:type="pct"/>
            <w:shd w:val="clear" w:color="auto" w:fill="FFFFFF" w:themeFill="background1"/>
            <w:hideMark/>
          </w:tcPr>
          <w:p w14:paraId="359D880E" w14:textId="77777777" w:rsidR="00567AFE" w:rsidRPr="00AB469A" w:rsidRDefault="00567AFE" w:rsidP="006220B4">
            <w:pPr>
              <w:spacing w:before="40"/>
              <w:rPr>
                <w:rFonts w:asciiTheme="minorHAnsi" w:hAnsiTheme="minorHAnsi"/>
                <w:b/>
                <w:sz w:val="22"/>
                <w:szCs w:val="22"/>
              </w:rPr>
            </w:pPr>
            <w:r w:rsidRPr="00AB469A">
              <w:rPr>
                <w:rFonts w:asciiTheme="minorHAnsi" w:hAnsiTheme="minorHAnsi"/>
                <w:b/>
                <w:sz w:val="22"/>
                <w:szCs w:val="22"/>
              </w:rPr>
              <w:t>Number of recommendations made</w:t>
            </w:r>
          </w:p>
        </w:tc>
        <w:tc>
          <w:tcPr>
            <w:tcW w:w="1062" w:type="pct"/>
            <w:shd w:val="clear" w:color="auto" w:fill="auto"/>
            <w:vAlign w:val="center"/>
          </w:tcPr>
          <w:p w14:paraId="77794BA3" w14:textId="77777777" w:rsidR="00567AFE" w:rsidRPr="00AB469A" w:rsidRDefault="00567AFE" w:rsidP="006220B4">
            <w:pPr>
              <w:spacing w:before="40" w:line="360" w:lineRule="auto"/>
              <w:jc w:val="center"/>
              <w:rPr>
                <w:rFonts w:asciiTheme="minorHAnsi" w:hAnsiTheme="minorHAnsi"/>
                <w:sz w:val="22"/>
                <w:szCs w:val="22"/>
              </w:rPr>
            </w:pPr>
            <w:r w:rsidRPr="00AB469A">
              <w:rPr>
                <w:rFonts w:asciiTheme="minorHAnsi" w:hAnsiTheme="minorHAnsi"/>
                <w:sz w:val="22"/>
                <w:szCs w:val="22"/>
              </w:rPr>
              <w:t>1</w:t>
            </w:r>
            <w:r>
              <w:rPr>
                <w:rFonts w:asciiTheme="minorHAnsi" w:hAnsiTheme="minorHAnsi"/>
                <w:sz w:val="22"/>
                <w:szCs w:val="22"/>
              </w:rPr>
              <w:t>0</w:t>
            </w:r>
          </w:p>
        </w:tc>
      </w:tr>
    </w:tbl>
    <w:p w14:paraId="53F48869" w14:textId="77777777" w:rsidR="00567AFE" w:rsidRDefault="00C5322A" w:rsidP="006220B4">
      <w:pPr>
        <w:spacing w:before="240" w:after="24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567AFE" w:rsidRPr="00567AFE">
        <w:rPr>
          <w:rFonts w:asciiTheme="minorHAnsi" w:hAnsiTheme="minorHAnsi" w:cs="Arial"/>
          <w:color w:val="000000" w:themeColor="text1"/>
          <w:sz w:val="22"/>
          <w:szCs w:val="22"/>
        </w:rPr>
        <w:t>The Taskforce considered the recommendations from the Gastroenterology Clinical Committee and feedback from the public consultation.</w:t>
      </w:r>
    </w:p>
    <w:p w14:paraId="6722009B" w14:textId="77777777" w:rsidR="00567AFE" w:rsidRPr="00AB469A" w:rsidRDefault="00567AFE" w:rsidP="006220B4">
      <w:pPr>
        <w:spacing w:line="360" w:lineRule="auto"/>
        <w:rPr>
          <w:rFonts w:asciiTheme="minorHAnsi" w:hAnsiTheme="minorHAnsi" w:cs="Arial"/>
          <w:color w:val="000000" w:themeColor="text1"/>
          <w:sz w:val="22"/>
          <w:szCs w:val="22"/>
        </w:rPr>
      </w:pPr>
      <w:r w:rsidRPr="00567AFE">
        <w:rPr>
          <w:rFonts w:asciiTheme="minorHAnsi" w:hAnsiTheme="minorHAnsi" w:cs="Arial"/>
          <w:color w:val="000000" w:themeColor="text1"/>
          <w:sz w:val="22"/>
          <w:szCs w:val="22"/>
        </w:rPr>
        <w:t>The Taskforce endorsed all of the recommendations from the Gastroenterology Clinical Committee and submitted them to the Minister for Health for Government consideration. The recommendations are intended to better define the clinical indications for certain services (including colonoscopy), and include some procedural requirements that support quality service provision. Some changes have been made to reduce ambiguity about appropriate use.</w:t>
      </w:r>
    </w:p>
    <w:p w14:paraId="1E7E19B2" w14:textId="77777777" w:rsidR="00567AFE" w:rsidRDefault="00567AFE" w:rsidP="00567AFE">
      <w:pPr>
        <w:spacing w:line="276" w:lineRule="auto"/>
        <w:rPr>
          <w:rFonts w:asciiTheme="minorHAnsi" w:hAnsiTheme="minorHAnsi" w:cs="Arial"/>
          <w:color w:val="000000" w:themeColor="text1"/>
          <w:sz w:val="22"/>
          <w:szCs w:val="22"/>
        </w:rPr>
      </w:pPr>
    </w:p>
    <w:p w14:paraId="66AC7DE8" w14:textId="77777777" w:rsidR="00567AFE" w:rsidRDefault="00567AFE" w:rsidP="00AD08F9">
      <w:pPr>
        <w:pStyle w:val="Heading1"/>
      </w:pPr>
      <w:r>
        <w:t>List of Taskforce recommendations</w:t>
      </w:r>
    </w:p>
    <w:p w14:paraId="0267089F" w14:textId="77777777" w:rsidR="00567AFE" w:rsidRDefault="00567AFE" w:rsidP="00AD08F9">
      <w:pPr>
        <w:pStyle w:val="Heading2"/>
      </w:pPr>
      <w:r w:rsidRPr="00AB469A">
        <w:t>Item</w:t>
      </w:r>
      <w:r>
        <w:t xml:space="preserve">s </w:t>
      </w:r>
      <w:r w:rsidR="006220B4">
        <w:t xml:space="preserve">32090 and </w:t>
      </w:r>
      <w:r w:rsidR="00DC31C3">
        <w:t>32093</w:t>
      </w:r>
      <w:r>
        <w:t xml:space="preserve"> - Colonoscopy</w:t>
      </w:r>
    </w:p>
    <w:p w14:paraId="45C27F59" w14:textId="77777777" w:rsidR="00385A8E" w:rsidRPr="00AB469A" w:rsidRDefault="00385A8E" w:rsidP="00AD08F9">
      <w:pPr>
        <w:pStyle w:val="Heading3Numbered"/>
      </w:pPr>
      <w:r w:rsidRPr="00AB469A">
        <w:t>New item</w:t>
      </w:r>
      <w:r w:rsidR="00B30D3A">
        <w:t>s</w:t>
      </w:r>
    </w:p>
    <w:p w14:paraId="519C4D07" w14:textId="77777777" w:rsidR="00385A8E" w:rsidRDefault="00567AFE" w:rsidP="00B84C68">
      <w:pPr>
        <w:pStyle w:val="NormalBulleted"/>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0" w:after="0" w:line="360" w:lineRule="auto"/>
        <w:rPr>
          <w:szCs w:val="22"/>
          <w:lang w:val="en-US"/>
        </w:rPr>
      </w:pPr>
      <w:r w:rsidRPr="00385A8E">
        <w:rPr>
          <w:szCs w:val="22"/>
          <w:lang w:val="en-US"/>
        </w:rPr>
        <w:t>The Taskforce recommended items for colonoscopy (32090 and 32093) to be removed from the MBS and replaced with 20 new items to align colonoscopy services with Australian clinical practice guidelines.</w:t>
      </w:r>
      <w:r w:rsidR="00385A8E" w:rsidRPr="00385A8E">
        <w:rPr>
          <w:szCs w:val="22"/>
          <w:lang w:val="en-US"/>
        </w:rPr>
        <w:t xml:space="preserve"> </w:t>
      </w:r>
    </w:p>
    <w:p w14:paraId="7443F243" w14:textId="77777777" w:rsidR="00567AFE" w:rsidRPr="00385A8E" w:rsidRDefault="00385A8E" w:rsidP="00B84C68">
      <w:pPr>
        <w:pStyle w:val="NormalBulleted"/>
        <w:shd w:val="clear" w:color="auto" w:fill="FFFFFF" w:themeFill="background1"/>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0" w:after="0" w:line="360" w:lineRule="auto"/>
        <w:rPr>
          <w:szCs w:val="22"/>
          <w:lang w:val="en-US"/>
        </w:rPr>
      </w:pPr>
      <w:r w:rsidRPr="00385A8E">
        <w:rPr>
          <w:szCs w:val="22"/>
          <w:lang w:val="en-US"/>
        </w:rPr>
        <w:t xml:space="preserve"> </w:t>
      </w:r>
      <w:r w:rsidR="00567AFE" w:rsidRPr="00385A8E">
        <w:rPr>
          <w:szCs w:val="22"/>
          <w:lang w:val="en-US"/>
        </w:rPr>
        <w:t>The new items will better describe the indications for initial colonoscopy and ensure appropriate surveillance intervals of patients who are at increased risk of developing colorectal cancer.</w:t>
      </w:r>
    </w:p>
    <w:p w14:paraId="6DB1E3AE" w14:textId="77777777" w:rsidR="00567AFE" w:rsidRDefault="00567AFE" w:rsidP="00AD08F9">
      <w:pPr>
        <w:pStyle w:val="Heading2"/>
      </w:pPr>
      <w:r>
        <w:lastRenderedPageBreak/>
        <w:t xml:space="preserve">Items 30473, </w:t>
      </w:r>
      <w:r w:rsidR="006220B4">
        <w:t xml:space="preserve">32090 and </w:t>
      </w:r>
      <w:r>
        <w:t>32093 – Same-day upper and lower gastrointestinal endoscopy services</w:t>
      </w:r>
    </w:p>
    <w:p w14:paraId="5C78876A" w14:textId="77777777" w:rsidR="00567AFE" w:rsidRDefault="00567AFE" w:rsidP="00567AFE">
      <w:pPr>
        <w:spacing w:after="240" w:line="360" w:lineRule="auto"/>
        <w:contextualSpacing/>
        <w:rPr>
          <w:rFonts w:asciiTheme="minorHAnsi" w:hAnsiTheme="minorHAnsi"/>
          <w:sz w:val="22"/>
          <w:szCs w:val="22"/>
          <w:lang w:val="en-US"/>
        </w:rPr>
      </w:pPr>
      <w:r w:rsidRPr="00567AFE">
        <w:rPr>
          <w:rFonts w:asciiTheme="minorHAnsi" w:hAnsiTheme="minorHAnsi"/>
          <w:sz w:val="22"/>
          <w:szCs w:val="22"/>
          <w:lang w:val="en-US"/>
        </w:rPr>
        <w:t>The Taskforce recommended that these services be referred to professional stakeholder groups to consider the need to develop clinical guidelines or standards for the appropriate concurrent use of these procedures.</w:t>
      </w:r>
      <w:r>
        <w:rPr>
          <w:rFonts w:asciiTheme="minorHAnsi" w:hAnsiTheme="minorHAnsi"/>
          <w:sz w:val="22"/>
          <w:szCs w:val="22"/>
          <w:lang w:val="en-US"/>
        </w:rPr>
        <w:t xml:space="preserve"> </w:t>
      </w:r>
    </w:p>
    <w:p w14:paraId="16EFDB6E" w14:textId="77777777" w:rsidR="00567AFE" w:rsidRPr="00567AFE" w:rsidRDefault="00567AFE" w:rsidP="00AD08F9">
      <w:pPr>
        <w:pStyle w:val="Heading2"/>
      </w:pPr>
      <w:r w:rsidRPr="00567AFE">
        <w:t>Item 11820 – Capsule endoscopy</w:t>
      </w:r>
    </w:p>
    <w:p w14:paraId="0AC1D059" w14:textId="77777777" w:rsidR="00567AFE" w:rsidRPr="00AD08F9" w:rsidRDefault="00567AFE" w:rsidP="00AD08F9">
      <w:pPr>
        <w:spacing w:after="240" w:line="360" w:lineRule="auto"/>
        <w:contextualSpacing/>
        <w:rPr>
          <w:rFonts w:asciiTheme="minorHAnsi" w:hAnsiTheme="minorHAnsi"/>
          <w:sz w:val="22"/>
          <w:szCs w:val="22"/>
          <w:lang w:val="en-US"/>
        </w:rPr>
      </w:pPr>
      <w:r w:rsidRPr="00AD08F9">
        <w:rPr>
          <w:rFonts w:asciiTheme="minorHAnsi" w:hAnsiTheme="minorHAnsi"/>
          <w:sz w:val="22"/>
          <w:szCs w:val="22"/>
          <w:lang w:val="en-US"/>
        </w:rPr>
        <w:t>The Taskforce recommended amending this endoscopy item to better describe the service and the patient population.</w:t>
      </w:r>
    </w:p>
    <w:p w14:paraId="4862A173" w14:textId="77777777" w:rsidR="00567AFE" w:rsidRPr="00AD08F9" w:rsidRDefault="00567AFE" w:rsidP="00AD08F9">
      <w:pPr>
        <w:spacing w:after="240" w:line="360" w:lineRule="auto"/>
        <w:contextualSpacing/>
        <w:rPr>
          <w:rFonts w:asciiTheme="minorHAnsi" w:hAnsiTheme="minorHAnsi"/>
          <w:sz w:val="22"/>
          <w:szCs w:val="22"/>
          <w:lang w:val="en-US"/>
        </w:rPr>
      </w:pPr>
      <w:r w:rsidRPr="00AD08F9">
        <w:rPr>
          <w:rFonts w:asciiTheme="minorHAnsi" w:hAnsiTheme="minorHAnsi"/>
          <w:sz w:val="22"/>
          <w:szCs w:val="22"/>
          <w:lang w:val="en-US"/>
        </w:rPr>
        <w:t>The Taskforce recommended an assessment of the fee for item 11820 by the Medical Services Advisory Committee to determine whether the current fee is reflective of the current costs.</w:t>
      </w:r>
    </w:p>
    <w:p w14:paraId="0AD89EAF" w14:textId="77777777" w:rsidR="0039293D" w:rsidRPr="00A86D61" w:rsidRDefault="00A86D61" w:rsidP="00AD08F9">
      <w:pPr>
        <w:pStyle w:val="Heading2"/>
        <w:rPr>
          <w:color w:val="000000" w:themeColor="text1"/>
        </w:rPr>
      </w:pPr>
      <w:r w:rsidRPr="00A86D61">
        <w:t>Items 30473, 30476, 30478 and 30479</w:t>
      </w:r>
      <w:r>
        <w:t xml:space="preserve"> - </w:t>
      </w:r>
      <w:r w:rsidR="007C5E46" w:rsidRPr="00A86D61">
        <w:t>Endoscopic upper gastrointestinal services</w:t>
      </w:r>
    </w:p>
    <w:p w14:paraId="334C5440" w14:textId="77777777" w:rsidR="0039293D" w:rsidRPr="00AD08F9" w:rsidRDefault="0039293D" w:rsidP="00AD08F9">
      <w:pPr>
        <w:spacing w:after="240" w:line="360" w:lineRule="auto"/>
        <w:contextualSpacing/>
        <w:rPr>
          <w:rFonts w:asciiTheme="minorHAnsi" w:hAnsiTheme="minorHAnsi"/>
          <w:sz w:val="22"/>
          <w:szCs w:val="22"/>
          <w:lang w:val="en-US"/>
        </w:rPr>
      </w:pPr>
      <w:r w:rsidRPr="00AD08F9">
        <w:rPr>
          <w:rFonts w:asciiTheme="minorHAnsi" w:hAnsiTheme="minorHAnsi"/>
          <w:sz w:val="22"/>
          <w:szCs w:val="22"/>
          <w:lang w:val="en-US"/>
        </w:rPr>
        <w:t>The Taskforce recommended simplifying and restructuring the endoscopic upper gastrointestinal interventional items and apply</w:t>
      </w:r>
      <w:r w:rsidR="00C5322A" w:rsidRPr="00AD08F9">
        <w:rPr>
          <w:rFonts w:asciiTheme="minorHAnsi" w:hAnsiTheme="minorHAnsi"/>
          <w:sz w:val="22"/>
          <w:szCs w:val="22"/>
          <w:lang w:val="en-US"/>
        </w:rPr>
        <w:t>ing</w:t>
      </w:r>
      <w:r w:rsidRPr="00AD08F9">
        <w:rPr>
          <w:rFonts w:asciiTheme="minorHAnsi" w:hAnsiTheme="minorHAnsi"/>
          <w:sz w:val="22"/>
          <w:szCs w:val="22"/>
          <w:lang w:val="en-US"/>
        </w:rPr>
        <w:t xml:space="preserve"> co-claiming restrictions to item 30479.</w:t>
      </w:r>
    </w:p>
    <w:p w14:paraId="1248E954" w14:textId="77777777" w:rsidR="0039293D" w:rsidRPr="0039293D" w:rsidRDefault="0039293D" w:rsidP="00F8230C">
      <w:pPr>
        <w:pStyle w:val="ListParagraph"/>
        <w:numPr>
          <w:ilvl w:val="0"/>
          <w:numId w:val="5"/>
        </w:numPr>
        <w:spacing w:line="360" w:lineRule="auto"/>
        <w:ind w:left="850" w:hanging="425"/>
        <w:rPr>
          <w:b/>
          <w:color w:val="000000" w:themeColor="text1"/>
          <w:sz w:val="22"/>
        </w:rPr>
      </w:pPr>
      <w:r w:rsidRPr="0039293D">
        <w:rPr>
          <w:rFonts w:asciiTheme="minorHAnsi" w:hAnsiTheme="minorHAnsi"/>
          <w:b/>
          <w:sz w:val="22"/>
          <w:szCs w:val="22"/>
          <w:lang w:val="en-US"/>
        </w:rPr>
        <w:t>Item 30478</w:t>
      </w:r>
    </w:p>
    <w:p w14:paraId="122BF956" w14:textId="77777777" w:rsidR="00F8230C" w:rsidRPr="00AD08F9" w:rsidRDefault="0039293D" w:rsidP="00AD08F9">
      <w:pPr>
        <w:spacing w:after="240" w:line="360" w:lineRule="auto"/>
        <w:contextualSpacing/>
        <w:rPr>
          <w:rFonts w:asciiTheme="minorHAnsi" w:hAnsiTheme="minorHAnsi"/>
          <w:sz w:val="22"/>
          <w:szCs w:val="22"/>
          <w:lang w:val="en-US"/>
        </w:rPr>
      </w:pPr>
      <w:r w:rsidRPr="00AD08F9">
        <w:rPr>
          <w:rFonts w:asciiTheme="minorHAnsi" w:hAnsiTheme="minorHAnsi"/>
          <w:sz w:val="22"/>
          <w:szCs w:val="22"/>
          <w:lang w:val="en-US"/>
        </w:rPr>
        <w:t>The Taskforce recommended the inclusion of push enteroscopy in the endoscopic upper gastrointestinal interventional item 30478. The services currently provided under item 30487 (small bowel intubation) will shift to the upper gastrointestinal interventional item, making item 30487 obsolete.</w:t>
      </w:r>
    </w:p>
    <w:p w14:paraId="3C090619" w14:textId="77777777" w:rsidR="0039293D" w:rsidRPr="00F8230C" w:rsidRDefault="0039293D" w:rsidP="00AD08F9">
      <w:pPr>
        <w:pStyle w:val="Heading2"/>
      </w:pPr>
      <w:r w:rsidRPr="00F8230C">
        <w:t>Items 30475, 41819, 41820 and 41831</w:t>
      </w:r>
      <w:r w:rsidR="0001316E">
        <w:t xml:space="preserve"> - </w:t>
      </w:r>
      <w:r w:rsidR="0001316E" w:rsidRPr="00F8230C">
        <w:t>Endoscopic</w:t>
      </w:r>
      <w:r w:rsidR="0001316E">
        <w:t xml:space="preserve"> upper gastrointestinal stricture services </w:t>
      </w:r>
      <w:r w:rsidR="0001316E" w:rsidRPr="00F8230C">
        <w:t xml:space="preserve"> </w:t>
      </w:r>
    </w:p>
    <w:p w14:paraId="413BCD37" w14:textId="77777777" w:rsidR="0039293D" w:rsidRPr="0039293D" w:rsidRDefault="0039293D" w:rsidP="0039293D">
      <w:pPr>
        <w:spacing w:line="360" w:lineRule="auto"/>
        <w:rPr>
          <w:b/>
          <w:color w:val="000000" w:themeColor="text1"/>
          <w:sz w:val="22"/>
        </w:rPr>
      </w:pPr>
      <w:r w:rsidRPr="0039293D">
        <w:rPr>
          <w:rFonts w:asciiTheme="minorHAnsi" w:hAnsiTheme="minorHAnsi"/>
          <w:color w:val="000000" w:themeColor="text1"/>
          <w:sz w:val="22"/>
        </w:rPr>
        <w:t>The Taskforce recommended the consolidation of items for endoscopic upper gastrointestinal stricture 41819 and 41820 into 30475. This item will include imaging intensification if done and the fee will be the current fee for 41819 which is higher than 30475 but lower than 41820. Amendment to item 41831 is also recommended to indicate that this service is specific to the treatment of achalasia.</w:t>
      </w:r>
    </w:p>
    <w:p w14:paraId="2E3C928B" w14:textId="77777777" w:rsidR="0039293D" w:rsidRDefault="0039293D" w:rsidP="00AD08F9">
      <w:pPr>
        <w:pStyle w:val="Heading2"/>
      </w:pPr>
      <w:r>
        <w:t xml:space="preserve">Items </w:t>
      </w:r>
      <w:r w:rsidR="00DC31C3">
        <w:t>32084</w:t>
      </w:r>
      <w:r>
        <w:t xml:space="preserve"> and 3</w:t>
      </w:r>
      <w:r w:rsidR="00DC31C3">
        <w:t>2087</w:t>
      </w:r>
      <w:r>
        <w:t xml:space="preserve"> - </w:t>
      </w:r>
      <w:r w:rsidRPr="0039293D">
        <w:t>Sigmoidoscopy/colonoscopy</w:t>
      </w:r>
    </w:p>
    <w:p w14:paraId="64CEB6FC" w14:textId="77777777" w:rsidR="00F8230C" w:rsidRDefault="0039293D" w:rsidP="00AD08F9">
      <w:pPr>
        <w:spacing w:before="120" w:line="360" w:lineRule="auto"/>
        <w:rPr>
          <w:rFonts w:asciiTheme="minorHAnsi" w:hAnsiTheme="minorHAnsi"/>
          <w:sz w:val="22"/>
          <w:szCs w:val="22"/>
          <w:lang w:val="en-US"/>
        </w:rPr>
      </w:pPr>
      <w:r w:rsidRPr="0039293D">
        <w:rPr>
          <w:rFonts w:asciiTheme="minorHAnsi" w:hAnsiTheme="minorHAnsi"/>
          <w:sz w:val="22"/>
          <w:szCs w:val="22"/>
          <w:lang w:val="en-US"/>
        </w:rPr>
        <w:t>The Taskforce recommended amending items 3</w:t>
      </w:r>
      <w:r w:rsidR="00DC31C3">
        <w:rPr>
          <w:rFonts w:asciiTheme="minorHAnsi" w:hAnsiTheme="minorHAnsi"/>
          <w:sz w:val="22"/>
          <w:szCs w:val="22"/>
          <w:lang w:val="en-US"/>
        </w:rPr>
        <w:t>2084</w:t>
      </w:r>
      <w:r w:rsidRPr="0039293D">
        <w:rPr>
          <w:rFonts w:asciiTheme="minorHAnsi" w:hAnsiTheme="minorHAnsi"/>
          <w:sz w:val="22"/>
          <w:szCs w:val="22"/>
          <w:lang w:val="en-US"/>
        </w:rPr>
        <w:t xml:space="preserve"> and 3</w:t>
      </w:r>
      <w:r w:rsidR="00DC31C3">
        <w:rPr>
          <w:rFonts w:asciiTheme="minorHAnsi" w:hAnsiTheme="minorHAnsi"/>
          <w:sz w:val="22"/>
          <w:szCs w:val="22"/>
          <w:lang w:val="en-US"/>
        </w:rPr>
        <w:t>2087</w:t>
      </w:r>
      <w:r w:rsidRPr="0039293D">
        <w:rPr>
          <w:rFonts w:asciiTheme="minorHAnsi" w:hAnsiTheme="minorHAnsi"/>
          <w:sz w:val="22"/>
          <w:szCs w:val="22"/>
          <w:lang w:val="en-US"/>
        </w:rPr>
        <w:t xml:space="preserve"> to better define the examination of the colon and other minor changes.</w:t>
      </w:r>
    </w:p>
    <w:p w14:paraId="694ECF3D" w14:textId="77777777" w:rsidR="006220B4" w:rsidRPr="006220B4" w:rsidRDefault="006220B4" w:rsidP="00AD08F9">
      <w:pPr>
        <w:pStyle w:val="Heading2"/>
      </w:pPr>
      <w:r w:rsidRPr="006220B4">
        <w:t xml:space="preserve">Items </w:t>
      </w:r>
      <w:r w:rsidR="0039293D" w:rsidRPr="006220B4">
        <w:rPr>
          <w:i/>
        </w:rPr>
        <w:t xml:space="preserve"> </w:t>
      </w:r>
      <w:r w:rsidR="0039293D" w:rsidRPr="006220B4">
        <w:t>30688, 30690, 30692</w:t>
      </w:r>
      <w:r w:rsidR="0039293D" w:rsidRPr="006220B4">
        <w:rPr>
          <w:i/>
        </w:rPr>
        <w:t xml:space="preserve"> </w:t>
      </w:r>
      <w:r w:rsidR="0039293D" w:rsidRPr="00F8230C">
        <w:t xml:space="preserve">and </w:t>
      </w:r>
      <w:r w:rsidR="0039293D" w:rsidRPr="006220B4">
        <w:t>30694</w:t>
      </w:r>
      <w:r w:rsidR="0039293D" w:rsidRPr="006220B4">
        <w:rPr>
          <w:i/>
        </w:rPr>
        <w:t xml:space="preserve"> – </w:t>
      </w:r>
      <w:r w:rsidR="0039293D" w:rsidRPr="006220B4">
        <w:t>Endoscopic ultrasound services</w:t>
      </w:r>
    </w:p>
    <w:p w14:paraId="0F71545E" w14:textId="77777777" w:rsidR="005D17BC" w:rsidRDefault="0039293D" w:rsidP="00AD08F9">
      <w:pPr>
        <w:spacing w:before="120" w:line="360" w:lineRule="auto"/>
        <w:rPr>
          <w:rFonts w:asciiTheme="minorHAnsi" w:hAnsiTheme="minorHAnsi"/>
          <w:sz w:val="22"/>
        </w:rPr>
      </w:pPr>
      <w:r w:rsidRPr="006220B4">
        <w:rPr>
          <w:rFonts w:asciiTheme="minorHAnsi" w:hAnsiTheme="minorHAnsi"/>
          <w:sz w:val="22"/>
        </w:rPr>
        <w:t>The Taskforce recommended the removal of co-claiming restrictions to allow endoscopic retrograde cholangiopancreatogram and related therapeutic procedures (30484, 30485</w:t>
      </w:r>
      <w:r w:rsidR="00DC31C3">
        <w:rPr>
          <w:rFonts w:asciiTheme="minorHAnsi" w:hAnsiTheme="minorHAnsi"/>
          <w:sz w:val="22"/>
        </w:rPr>
        <w:t>,</w:t>
      </w:r>
      <w:r w:rsidRPr="006220B4">
        <w:rPr>
          <w:rFonts w:asciiTheme="minorHAnsi" w:hAnsiTheme="minorHAnsi"/>
          <w:sz w:val="22"/>
        </w:rPr>
        <w:t xml:space="preserve"> 30491 and 30494) to be performed during the same episode of care.</w:t>
      </w:r>
    </w:p>
    <w:p w14:paraId="09BE61A2" w14:textId="77777777" w:rsidR="006220B4" w:rsidRPr="006220B4" w:rsidRDefault="006220B4" w:rsidP="00AD08F9">
      <w:pPr>
        <w:pStyle w:val="Heading2"/>
      </w:pPr>
      <w:r>
        <w:t xml:space="preserve">Items 30680, 30682, 30684 and 30686 - </w:t>
      </w:r>
      <w:r w:rsidRPr="006220B4">
        <w:t>Balloon enteroscopy</w:t>
      </w:r>
    </w:p>
    <w:p w14:paraId="67B44244" w14:textId="77777777" w:rsidR="006220B4" w:rsidRDefault="006220B4" w:rsidP="00AD08F9">
      <w:pPr>
        <w:spacing w:before="120" w:after="240" w:line="360" w:lineRule="auto"/>
        <w:rPr>
          <w:rFonts w:asciiTheme="minorHAnsi" w:hAnsiTheme="minorHAnsi"/>
          <w:sz w:val="22"/>
          <w:szCs w:val="22"/>
          <w:lang w:val="en-US"/>
        </w:rPr>
      </w:pPr>
      <w:r w:rsidRPr="006220B4">
        <w:rPr>
          <w:rFonts w:asciiTheme="minorHAnsi" w:hAnsiTheme="minorHAnsi"/>
          <w:sz w:val="22"/>
          <w:szCs w:val="22"/>
          <w:lang w:val="en-US"/>
        </w:rPr>
        <w:t>The Taskforce recommended an assessment by the Medical Services Advisory Committee to consider expanding the list of clinical conditions covered under items 30680, 30682, 30684 and 30686 to include small bowel diseases without anaemia or bleeding</w:t>
      </w:r>
    </w:p>
    <w:p w14:paraId="095F104F" w14:textId="77777777" w:rsidR="006220B4" w:rsidRDefault="006220B4" w:rsidP="00AD08F9">
      <w:pPr>
        <w:pStyle w:val="Heading2"/>
      </w:pPr>
      <w:r w:rsidRPr="006220B4">
        <w:t>Endoscopic mucosal resection</w:t>
      </w:r>
    </w:p>
    <w:p w14:paraId="1F0165DE" w14:textId="77777777" w:rsidR="006220B4" w:rsidRDefault="006220B4" w:rsidP="00AD08F9">
      <w:pPr>
        <w:spacing w:before="120" w:after="240" w:line="360" w:lineRule="auto"/>
        <w:rPr>
          <w:rFonts w:asciiTheme="minorHAnsi" w:hAnsiTheme="minorHAnsi"/>
          <w:sz w:val="22"/>
          <w:szCs w:val="22"/>
          <w:lang w:val="en-US"/>
        </w:rPr>
      </w:pPr>
      <w:r w:rsidRPr="006220B4">
        <w:rPr>
          <w:rFonts w:asciiTheme="minorHAnsi" w:hAnsiTheme="minorHAnsi"/>
          <w:sz w:val="22"/>
          <w:szCs w:val="22"/>
          <w:lang w:val="en-US"/>
        </w:rPr>
        <w:t>The Taskforce recommended the Medical Se</w:t>
      </w:r>
      <w:r w:rsidR="00635280">
        <w:rPr>
          <w:rFonts w:asciiTheme="minorHAnsi" w:hAnsiTheme="minorHAnsi"/>
          <w:sz w:val="22"/>
          <w:szCs w:val="22"/>
          <w:lang w:val="en-US"/>
        </w:rPr>
        <w:t>rvices Advisory Committee</w:t>
      </w:r>
      <w:r w:rsidRPr="006220B4">
        <w:rPr>
          <w:rFonts w:asciiTheme="minorHAnsi" w:hAnsiTheme="minorHAnsi"/>
          <w:sz w:val="22"/>
          <w:szCs w:val="22"/>
          <w:lang w:val="en-US"/>
        </w:rPr>
        <w:t xml:space="preserve"> consider public funding for a new service for EMR; and professional stakeholder groups submit an application to MSAC and request an expedited assessment.</w:t>
      </w:r>
    </w:p>
    <w:p w14:paraId="13ADADD9" w14:textId="77777777" w:rsidR="006220B4" w:rsidRDefault="006220B4" w:rsidP="00AD08F9">
      <w:pPr>
        <w:pStyle w:val="Heading2"/>
      </w:pPr>
      <w:r>
        <w:t>Obsolete items</w:t>
      </w:r>
    </w:p>
    <w:p w14:paraId="08F31A27" w14:textId="77777777" w:rsidR="00567AFE" w:rsidRPr="00AD08F9" w:rsidRDefault="006220B4" w:rsidP="00AD08F9">
      <w:pPr>
        <w:spacing w:line="360" w:lineRule="auto"/>
        <w:rPr>
          <w:rFonts w:asciiTheme="minorHAnsi" w:hAnsiTheme="minorHAnsi"/>
          <w:sz w:val="22"/>
          <w:szCs w:val="22"/>
          <w:lang w:val="en-US"/>
        </w:rPr>
      </w:pPr>
      <w:r w:rsidRPr="006220B4">
        <w:rPr>
          <w:rFonts w:asciiTheme="minorHAnsi" w:hAnsiTheme="minorHAnsi"/>
          <w:sz w:val="22"/>
          <w:szCs w:val="22"/>
          <w:lang w:val="en-US"/>
        </w:rPr>
        <w:t>The Taskforce recommended the removal of items 30487 (small bowel intubation)</w:t>
      </w:r>
      <w:r w:rsidR="00117159">
        <w:rPr>
          <w:rFonts w:asciiTheme="minorHAnsi" w:hAnsiTheme="minorHAnsi"/>
          <w:sz w:val="22"/>
          <w:szCs w:val="22"/>
          <w:lang w:val="en-US"/>
        </w:rPr>
        <w:t>,</w:t>
      </w:r>
      <w:r w:rsidRPr="006220B4">
        <w:rPr>
          <w:rFonts w:asciiTheme="minorHAnsi" w:hAnsiTheme="minorHAnsi"/>
          <w:sz w:val="22"/>
          <w:szCs w:val="22"/>
          <w:lang w:val="en-US"/>
        </w:rPr>
        <w:t xml:space="preserve"> 30493 (biliary manometry)</w:t>
      </w:r>
      <w:r w:rsidR="00117159">
        <w:rPr>
          <w:rFonts w:asciiTheme="minorHAnsi" w:hAnsiTheme="minorHAnsi"/>
          <w:sz w:val="22"/>
          <w:szCs w:val="22"/>
          <w:lang w:val="en-US"/>
        </w:rPr>
        <w:t>, 13500 and 13503 (gastric hypothermia) and 32078 and 32081 (sigmoidoscopic examination with diathermy)</w:t>
      </w:r>
      <w:r w:rsidRPr="006220B4">
        <w:rPr>
          <w:rFonts w:asciiTheme="minorHAnsi" w:hAnsiTheme="minorHAnsi"/>
          <w:sz w:val="22"/>
          <w:szCs w:val="22"/>
          <w:lang w:val="en-US"/>
        </w:rPr>
        <w:t xml:space="preserve"> from the Medicare Benefits Schedule.</w:t>
      </w:r>
    </w:p>
    <w:p w14:paraId="713F061C" w14:textId="77777777" w:rsidR="00F945AE" w:rsidRPr="00567514" w:rsidRDefault="00DC31C3" w:rsidP="00AD08F9">
      <w:pPr>
        <w:spacing w:before="240" w:line="360" w:lineRule="auto"/>
        <w:rPr>
          <w:rFonts w:asciiTheme="minorHAnsi" w:hAnsiTheme="minorHAnsi" w:cs="Arial"/>
          <w:color w:val="000000" w:themeColor="text1"/>
          <w:sz w:val="22"/>
          <w:szCs w:val="22"/>
          <w:u w:val="single"/>
        </w:rPr>
      </w:pPr>
      <w:r>
        <w:rPr>
          <w:rFonts w:asciiTheme="minorHAnsi" w:hAnsiTheme="minorHAnsi" w:cs="Arial"/>
          <w:color w:val="000000" w:themeColor="text1"/>
          <w:sz w:val="22"/>
          <w:szCs w:val="22"/>
        </w:rPr>
        <w:t>I</w:t>
      </w:r>
      <w:r w:rsidR="00F945AE" w:rsidRPr="00567514">
        <w:rPr>
          <w:rFonts w:asciiTheme="minorHAnsi" w:hAnsiTheme="minorHAnsi" w:cs="Arial"/>
          <w:color w:val="000000" w:themeColor="text1"/>
          <w:sz w:val="22"/>
          <w:szCs w:val="22"/>
        </w:rPr>
        <w:t>nformation and evidence supporting each</w:t>
      </w:r>
      <w:r w:rsidR="00270AF3">
        <w:rPr>
          <w:rFonts w:asciiTheme="minorHAnsi" w:hAnsiTheme="minorHAnsi" w:cs="Arial"/>
          <w:color w:val="000000" w:themeColor="text1"/>
          <w:sz w:val="22"/>
          <w:szCs w:val="22"/>
        </w:rPr>
        <w:t xml:space="preserve"> of these </w:t>
      </w:r>
      <w:r w:rsidR="00F945AE" w:rsidRPr="00567514">
        <w:rPr>
          <w:rFonts w:asciiTheme="minorHAnsi" w:hAnsiTheme="minorHAnsi" w:cs="Arial"/>
          <w:color w:val="000000" w:themeColor="text1"/>
          <w:sz w:val="22"/>
          <w:szCs w:val="22"/>
        </w:rPr>
        <w:t>recommendation</w:t>
      </w:r>
      <w:r w:rsidR="00635280">
        <w:rPr>
          <w:rFonts w:asciiTheme="minorHAnsi" w:hAnsiTheme="minorHAnsi" w:cs="Arial"/>
          <w:color w:val="000000" w:themeColor="text1"/>
          <w:sz w:val="22"/>
          <w:szCs w:val="22"/>
        </w:rPr>
        <w:t>s</w:t>
      </w:r>
      <w:r w:rsidR="00F945AE" w:rsidRPr="00567514">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included in the </w:t>
      </w:r>
      <w:r w:rsidR="00F945AE">
        <w:rPr>
          <w:rFonts w:asciiTheme="minorHAnsi" w:hAnsiTheme="minorHAnsi" w:cs="Arial"/>
          <w:color w:val="000000" w:themeColor="text1"/>
          <w:sz w:val="22"/>
          <w:szCs w:val="22"/>
        </w:rPr>
        <w:t xml:space="preserve">Gastroenterology </w:t>
      </w:r>
      <w:r w:rsidR="00F945AE" w:rsidRPr="00567514">
        <w:rPr>
          <w:rFonts w:asciiTheme="minorHAnsi" w:hAnsiTheme="minorHAnsi" w:cs="Arial"/>
          <w:color w:val="000000" w:themeColor="text1"/>
          <w:sz w:val="22"/>
          <w:szCs w:val="22"/>
        </w:rPr>
        <w:t xml:space="preserve">Clinical </w:t>
      </w:r>
      <w:r w:rsidR="00F945AE">
        <w:rPr>
          <w:rFonts w:asciiTheme="minorHAnsi" w:hAnsiTheme="minorHAnsi" w:cs="Arial"/>
          <w:color w:val="000000" w:themeColor="text1"/>
          <w:sz w:val="22"/>
          <w:szCs w:val="22"/>
        </w:rPr>
        <w:t>C</w:t>
      </w:r>
      <w:r w:rsidR="00F945AE" w:rsidRPr="00567514">
        <w:rPr>
          <w:rFonts w:asciiTheme="minorHAnsi" w:hAnsiTheme="minorHAnsi" w:cs="Arial"/>
          <w:color w:val="000000" w:themeColor="text1"/>
          <w:sz w:val="22"/>
          <w:szCs w:val="22"/>
        </w:rPr>
        <w:t>ommittee</w:t>
      </w:r>
      <w:r w:rsidR="00F945AE">
        <w:rPr>
          <w:rFonts w:asciiTheme="minorHAnsi" w:hAnsiTheme="minorHAnsi" w:cs="Arial"/>
          <w:color w:val="000000" w:themeColor="text1"/>
          <w:sz w:val="22"/>
          <w:szCs w:val="22"/>
        </w:rPr>
        <w:t xml:space="preserve"> report</w:t>
      </w:r>
      <w:r>
        <w:rPr>
          <w:rFonts w:asciiTheme="minorHAnsi" w:hAnsiTheme="minorHAnsi" w:cs="Arial"/>
          <w:color w:val="000000" w:themeColor="text1"/>
          <w:sz w:val="22"/>
          <w:szCs w:val="22"/>
        </w:rPr>
        <w:t>.</w:t>
      </w:r>
    </w:p>
    <w:p w14:paraId="19DA4601" w14:textId="77777777" w:rsidR="00567AFE" w:rsidRDefault="00567AFE" w:rsidP="00567AFE">
      <w:pPr>
        <w:shd w:val="clear" w:color="auto" w:fill="FFFFFF" w:themeFill="background1"/>
        <w:spacing w:line="360" w:lineRule="auto"/>
        <w:rPr>
          <w:rFonts w:asciiTheme="minorHAnsi" w:hAnsiTheme="minorHAnsi" w:cs="Arial"/>
          <w:color w:val="000000" w:themeColor="text1"/>
          <w:sz w:val="22"/>
          <w:szCs w:val="22"/>
        </w:rPr>
      </w:pPr>
    </w:p>
    <w:p w14:paraId="65BC4224" w14:textId="77777777" w:rsidR="00567AFE" w:rsidRDefault="00567AFE" w:rsidP="00567AFE">
      <w:pPr>
        <w:shd w:val="clear" w:color="auto" w:fill="FFFFFF" w:themeFill="background1"/>
        <w:spacing w:line="360" w:lineRule="auto"/>
        <w:rPr>
          <w:rFonts w:asciiTheme="minorHAnsi" w:hAnsiTheme="minorHAnsi" w:cs="Arial"/>
          <w:color w:val="000000" w:themeColor="text1"/>
          <w:sz w:val="22"/>
          <w:szCs w:val="22"/>
        </w:rPr>
      </w:pPr>
    </w:p>
    <w:p w14:paraId="02425E9C" w14:textId="77777777" w:rsidR="00567AFE" w:rsidRDefault="00567AFE" w:rsidP="00567AFE">
      <w:pPr>
        <w:shd w:val="clear" w:color="auto" w:fill="FFFFFF" w:themeFill="background1"/>
        <w:spacing w:line="360" w:lineRule="auto"/>
        <w:rPr>
          <w:rFonts w:asciiTheme="minorHAnsi" w:hAnsiTheme="minorHAnsi" w:cs="Arial"/>
          <w:color w:val="000000" w:themeColor="text1"/>
          <w:sz w:val="22"/>
          <w:szCs w:val="22"/>
        </w:rPr>
      </w:pPr>
    </w:p>
    <w:p w14:paraId="47343FFE" w14:textId="77777777" w:rsidR="00567AFE" w:rsidRPr="00AB469A" w:rsidRDefault="00567AFE" w:rsidP="00567AFE">
      <w:pPr>
        <w:shd w:val="clear" w:color="auto" w:fill="FFFFFF" w:themeFill="background1"/>
        <w:spacing w:before="240" w:line="360" w:lineRule="auto"/>
        <w:rPr>
          <w:sz w:val="22"/>
          <w:szCs w:val="22"/>
        </w:rPr>
      </w:pPr>
    </w:p>
    <w:p w14:paraId="3A87CB64" w14:textId="77777777" w:rsidR="00567AFE" w:rsidRDefault="00567AFE" w:rsidP="00567AFE">
      <w:pPr>
        <w:spacing w:before="180" w:line="360" w:lineRule="auto"/>
        <w:contextualSpacing/>
        <w:rPr>
          <w:rFonts w:asciiTheme="minorHAnsi" w:hAnsiTheme="minorHAnsi"/>
          <w:b/>
          <w:sz w:val="22"/>
          <w:szCs w:val="22"/>
          <w:lang w:val="en-US"/>
        </w:rPr>
      </w:pPr>
    </w:p>
    <w:p w14:paraId="06929D30" w14:textId="77777777" w:rsidR="00567AFE" w:rsidRPr="00AB469A" w:rsidRDefault="00567AFE" w:rsidP="00567AFE">
      <w:pPr>
        <w:spacing w:line="276" w:lineRule="auto"/>
        <w:rPr>
          <w:rFonts w:asciiTheme="minorHAnsi" w:hAnsiTheme="minorHAnsi" w:cs="Arial"/>
          <w:color w:val="000000" w:themeColor="text1"/>
          <w:sz w:val="22"/>
          <w:szCs w:val="22"/>
        </w:rPr>
      </w:pPr>
    </w:p>
    <w:p w14:paraId="41A4F675" w14:textId="77777777" w:rsidR="00567AFE" w:rsidRDefault="00567AFE" w:rsidP="00567AFE">
      <w:pPr>
        <w:spacing w:line="276" w:lineRule="auto"/>
        <w:rPr>
          <w:rFonts w:eastAsiaTheme="minorHAnsi"/>
          <w:lang w:val="en-GB"/>
        </w:rPr>
      </w:pPr>
    </w:p>
    <w:p w14:paraId="708FACEF" w14:textId="77777777" w:rsidR="00567AFE" w:rsidRPr="002F3AE3" w:rsidRDefault="00567AFE" w:rsidP="00567AFE"/>
    <w:p w14:paraId="52EA4323" w14:textId="77777777" w:rsidR="00003743" w:rsidRPr="002F3AE3" w:rsidRDefault="00003743" w:rsidP="002F3AE3"/>
    <w:sectPr w:rsidR="00003743" w:rsidRPr="002F3AE3" w:rsidSect="00261FF4">
      <w:footerReference w:type="default" r:id="rId8"/>
      <w:pgSz w:w="11906" w:h="16838"/>
      <w:pgMar w:top="814" w:right="1800" w:bottom="993" w:left="1800" w:header="56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C78A9" w14:textId="77777777" w:rsidR="00947C9A" w:rsidRDefault="00947C9A" w:rsidP="00567AFE">
      <w:r>
        <w:separator/>
      </w:r>
    </w:p>
  </w:endnote>
  <w:endnote w:type="continuationSeparator" w:id="0">
    <w:p w14:paraId="4517EE61" w14:textId="77777777" w:rsidR="00947C9A" w:rsidRDefault="00947C9A" w:rsidP="0056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0E60" w14:textId="77777777" w:rsidR="007C5E46" w:rsidRDefault="007C5E46" w:rsidP="007C5E46">
    <w:pPr>
      <w:pStyle w:val="Footer"/>
      <w:pBdr>
        <w:top w:val="single" w:sz="4" w:space="1" w:color="B56012"/>
      </w:pBdr>
      <w:tabs>
        <w:tab w:val="clear" w:pos="4513"/>
      </w:tabs>
      <w:jc w:val="center"/>
    </w:pPr>
    <w:r>
      <w:rPr>
        <w:color w:val="01653F"/>
        <w:sz w:val="16"/>
      </w:rPr>
      <w:t>Taskforce findings from the Gastroenterology Clinical Committee Report</w:t>
    </w:r>
    <w:r>
      <w:rPr>
        <w:color w:val="01653F"/>
        <w:sz w:val="16"/>
      </w:rPr>
      <w:tab/>
    </w:r>
    <w:r w:rsidRPr="003B1222">
      <w:rPr>
        <w:color w:val="01653F"/>
        <w:sz w:val="16"/>
      </w:rPr>
      <w:t xml:space="preserve">Page </w:t>
    </w:r>
    <w:r w:rsidRPr="003B1222">
      <w:rPr>
        <w:rFonts w:eastAsiaTheme="minorHAnsi"/>
        <w:color w:val="01653F"/>
        <w:sz w:val="22"/>
      </w:rPr>
      <w:fldChar w:fldCharType="begin"/>
    </w:r>
    <w:r w:rsidRPr="003B1222">
      <w:rPr>
        <w:color w:val="01653F"/>
      </w:rPr>
      <w:instrText xml:space="preserve"> PAGE   \* MERGEFORMAT </w:instrText>
    </w:r>
    <w:r w:rsidRPr="003B1222">
      <w:rPr>
        <w:rFonts w:eastAsiaTheme="minorHAnsi"/>
        <w:color w:val="01653F"/>
        <w:sz w:val="22"/>
      </w:rPr>
      <w:fldChar w:fldCharType="separate"/>
    </w:r>
    <w:r w:rsidR="00094D7D" w:rsidRPr="00094D7D">
      <w:rPr>
        <w:rFonts w:eastAsiaTheme="majorEastAsia"/>
        <w:noProof/>
        <w:color w:val="01653F"/>
        <w:sz w:val="16"/>
      </w:rPr>
      <w:t>1</w:t>
    </w:r>
    <w:r w:rsidRPr="003B1222">
      <w:rPr>
        <w:rFonts w:eastAsiaTheme="majorEastAsia"/>
        <w:noProof/>
        <w:color w:val="01653F"/>
        <w:sz w:val="16"/>
      </w:rPr>
      <w:fldChar w:fldCharType="end"/>
    </w:r>
  </w:p>
  <w:p w14:paraId="46956466" w14:textId="77777777" w:rsidR="007C5E46" w:rsidRDefault="007C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8D331" w14:textId="77777777" w:rsidR="00947C9A" w:rsidRDefault="00947C9A" w:rsidP="00567AFE">
      <w:r>
        <w:separator/>
      </w:r>
    </w:p>
  </w:footnote>
  <w:footnote w:type="continuationSeparator" w:id="0">
    <w:p w14:paraId="187F39A2" w14:textId="77777777" w:rsidR="00947C9A" w:rsidRDefault="00947C9A" w:rsidP="00567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2D17"/>
    <w:multiLevelType w:val="hybridMultilevel"/>
    <w:tmpl w:val="053AC2F2"/>
    <w:lvl w:ilvl="0" w:tplc="BC1863CC">
      <w:start w:val="1"/>
      <w:numFmt w:val="lowerRoman"/>
      <w:lvlText w:val="%1."/>
      <w:lvlJc w:val="left"/>
      <w:pPr>
        <w:ind w:left="1440" w:hanging="720"/>
      </w:pPr>
      <w:rPr>
        <w:rFonts w:asciiTheme="minorHAnsi" w:hAnsiTheme="minorHAnsi"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51770642"/>
    <w:multiLevelType w:val="multilevel"/>
    <w:tmpl w:val="1206B146"/>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50AF0"/>
    <w:multiLevelType w:val="hybridMultilevel"/>
    <w:tmpl w:val="82A47370"/>
    <w:lvl w:ilvl="0" w:tplc="14A2E73C">
      <w:start w:val="1"/>
      <w:numFmt w:val="lowerRoman"/>
      <w:lvlText w:val="%1."/>
      <w:lvlJc w:val="left"/>
      <w:pPr>
        <w:ind w:left="1080" w:hanging="72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7D68A1"/>
    <w:multiLevelType w:val="hybridMultilevel"/>
    <w:tmpl w:val="E788E0F2"/>
    <w:lvl w:ilvl="0" w:tplc="2F8C8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AFE"/>
    <w:rsid w:val="00003743"/>
    <w:rsid w:val="0001316E"/>
    <w:rsid w:val="00067456"/>
    <w:rsid w:val="00094D7D"/>
    <w:rsid w:val="00117159"/>
    <w:rsid w:val="001B3443"/>
    <w:rsid w:val="00261FF4"/>
    <w:rsid w:val="00270AF3"/>
    <w:rsid w:val="002F1335"/>
    <w:rsid w:val="002F3AE3"/>
    <w:rsid w:val="0030786C"/>
    <w:rsid w:val="00385A8E"/>
    <w:rsid w:val="0039293D"/>
    <w:rsid w:val="003D17F9"/>
    <w:rsid w:val="004867E2"/>
    <w:rsid w:val="00567AFE"/>
    <w:rsid w:val="005D17BC"/>
    <w:rsid w:val="006054E4"/>
    <w:rsid w:val="006220B4"/>
    <w:rsid w:val="00635280"/>
    <w:rsid w:val="007865EF"/>
    <w:rsid w:val="007C5E46"/>
    <w:rsid w:val="008264EB"/>
    <w:rsid w:val="00947C9A"/>
    <w:rsid w:val="00A4512D"/>
    <w:rsid w:val="00A57FD3"/>
    <w:rsid w:val="00A705AF"/>
    <w:rsid w:val="00A86D61"/>
    <w:rsid w:val="00AD08F9"/>
    <w:rsid w:val="00B30D3A"/>
    <w:rsid w:val="00B42851"/>
    <w:rsid w:val="00B84C68"/>
    <w:rsid w:val="00C5322A"/>
    <w:rsid w:val="00C73D70"/>
    <w:rsid w:val="00CB5B1A"/>
    <w:rsid w:val="00DC31C3"/>
    <w:rsid w:val="00F8230C"/>
    <w:rsid w:val="00F94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DE221"/>
  <w15:docId w15:val="{543EB3DA-361E-3A46-A35D-DC3EBD2C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AFE"/>
    <w:rPr>
      <w:sz w:val="24"/>
      <w:szCs w:val="24"/>
      <w:lang w:eastAsia="en-US"/>
    </w:rPr>
  </w:style>
  <w:style w:type="paragraph" w:styleId="Heading1">
    <w:name w:val="heading 1"/>
    <w:basedOn w:val="Normal"/>
    <w:next w:val="Normal"/>
    <w:qFormat/>
    <w:rsid w:val="00AD08F9"/>
    <w:pPr>
      <w:spacing w:line="276" w:lineRule="auto"/>
      <w:outlineLvl w:val="0"/>
    </w:pPr>
    <w:rPr>
      <w:rFonts w:asciiTheme="minorHAnsi" w:eastAsiaTheme="minorHAnsi" w:hAnsiTheme="minorHAnsi" w:cs="Arial"/>
      <w:b/>
      <w:bCs/>
      <w:color w:val="01653F"/>
      <w:kern w:val="32"/>
      <w:sz w:val="32"/>
      <w:szCs w:val="28"/>
      <w:lang w:val="en-US"/>
    </w:rPr>
  </w:style>
  <w:style w:type="paragraph" w:styleId="Heading2">
    <w:name w:val="heading 2"/>
    <w:basedOn w:val="Normal"/>
    <w:next w:val="Normal"/>
    <w:qFormat/>
    <w:rsid w:val="00AD08F9"/>
    <w:pPr>
      <w:numPr>
        <w:numId w:val="1"/>
      </w:numPr>
      <w:spacing w:before="180" w:line="360" w:lineRule="auto"/>
      <w:contextualSpacing/>
      <w:outlineLvl w:val="1"/>
    </w:pPr>
    <w:rPr>
      <w:rFonts w:asciiTheme="minorHAnsi" w:hAnsiTheme="minorHAnsi"/>
      <w:b/>
      <w:sz w:val="22"/>
      <w:szCs w:val="22"/>
      <w:lang w:val="en-US"/>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D08F9"/>
    <w:pPr>
      <w:pBdr>
        <w:top w:val="double" w:sz="12" w:space="31" w:color="B66113"/>
        <w:bottom w:val="double" w:sz="12" w:space="1" w:color="B66113"/>
      </w:pBdr>
      <w:spacing w:line="312" w:lineRule="auto"/>
      <w:jc w:val="center"/>
    </w:pPr>
    <w:rPr>
      <w:rFonts w:asciiTheme="minorHAnsi" w:hAnsiTheme="minorHAnsi" w:cs="Arial"/>
      <w:b/>
      <w:color w:val="01653F"/>
      <w:spacing w:val="5"/>
      <w:sz w:val="44"/>
      <w:szCs w:val="48"/>
      <w:lang w:eastAsia="en-AU"/>
    </w:rPr>
  </w:style>
  <w:style w:type="character" w:customStyle="1" w:styleId="TitleChar">
    <w:name w:val="Title Char"/>
    <w:basedOn w:val="DefaultParagraphFont"/>
    <w:link w:val="Title"/>
    <w:rsid w:val="00AD08F9"/>
    <w:rPr>
      <w:rFonts w:asciiTheme="minorHAnsi" w:hAnsiTheme="minorHAnsi" w:cs="Arial"/>
      <w:b/>
      <w:color w:val="01653F"/>
      <w:spacing w:val="5"/>
      <w:sz w:val="44"/>
      <w:szCs w:val="4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uiPriority w:val="99"/>
    <w:rsid w:val="00567AFE"/>
    <w:pPr>
      <w:tabs>
        <w:tab w:val="center" w:pos="4513"/>
        <w:tab w:val="right" w:pos="9026"/>
      </w:tabs>
    </w:pPr>
  </w:style>
  <w:style w:type="character" w:customStyle="1" w:styleId="FooterChar">
    <w:name w:val="Footer Char"/>
    <w:basedOn w:val="DefaultParagraphFont"/>
    <w:link w:val="Footer"/>
    <w:uiPriority w:val="99"/>
    <w:rsid w:val="00567AFE"/>
    <w:rPr>
      <w:sz w:val="24"/>
      <w:szCs w:val="24"/>
      <w:lang w:eastAsia="en-US"/>
    </w:rPr>
  </w:style>
  <w:style w:type="table" w:styleId="TableGrid">
    <w:name w:val="Table Grid"/>
    <w:basedOn w:val="TableNormal"/>
    <w:rsid w:val="0056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ListContinue"/>
    <w:link w:val="NormalBulletedChar"/>
    <w:qFormat/>
    <w:rsid w:val="00567AFE"/>
    <w:pPr>
      <w:numPr>
        <w:numId w:val="2"/>
      </w:numPr>
      <w:spacing w:before="180" w:line="312" w:lineRule="auto"/>
    </w:pPr>
    <w:rPr>
      <w:rFonts w:asciiTheme="minorHAnsi" w:hAnsiTheme="minorHAnsi"/>
      <w:sz w:val="22"/>
      <w:lang w:eastAsia="en-AU"/>
    </w:rPr>
  </w:style>
  <w:style w:type="character" w:customStyle="1" w:styleId="NormalBulletedChar">
    <w:name w:val="Normal Bulleted Char"/>
    <w:basedOn w:val="DefaultParagraphFont"/>
    <w:link w:val="NormalBulleted"/>
    <w:rsid w:val="00567AFE"/>
    <w:rPr>
      <w:rFonts w:asciiTheme="minorHAnsi" w:hAnsiTheme="minorHAnsi"/>
      <w:sz w:val="22"/>
      <w:szCs w:val="24"/>
    </w:rPr>
  </w:style>
  <w:style w:type="paragraph" w:customStyle="1" w:styleId="Heading3Numbered">
    <w:name w:val="Heading 3 Numbered"/>
    <w:basedOn w:val="Heading3"/>
    <w:qFormat/>
    <w:rsid w:val="00AD08F9"/>
    <w:pPr>
      <w:spacing w:before="0" w:after="0" w:line="360" w:lineRule="auto"/>
      <w:ind w:left="720" w:hanging="720"/>
    </w:pPr>
    <w:rPr>
      <w:rFonts w:asciiTheme="minorHAnsi" w:eastAsiaTheme="minorHAnsi" w:hAnsiTheme="minorHAnsi"/>
      <w:b/>
      <w:i/>
      <w:color w:val="B56011"/>
      <w:szCs w:val="22"/>
      <w:lang w:val="en-US"/>
    </w:rPr>
  </w:style>
  <w:style w:type="paragraph" w:styleId="ListContinue">
    <w:name w:val="List Continue"/>
    <w:basedOn w:val="Normal"/>
    <w:rsid w:val="00567AFE"/>
    <w:pPr>
      <w:spacing w:after="120"/>
      <w:ind w:left="283"/>
      <w:contextualSpacing/>
    </w:pPr>
  </w:style>
  <w:style w:type="paragraph" w:styleId="Header">
    <w:name w:val="header"/>
    <w:basedOn w:val="Normal"/>
    <w:link w:val="HeaderChar"/>
    <w:rsid w:val="00567AFE"/>
    <w:pPr>
      <w:tabs>
        <w:tab w:val="center" w:pos="4513"/>
        <w:tab w:val="right" w:pos="9026"/>
      </w:tabs>
    </w:pPr>
  </w:style>
  <w:style w:type="character" w:customStyle="1" w:styleId="HeaderChar">
    <w:name w:val="Header Char"/>
    <w:basedOn w:val="DefaultParagraphFont"/>
    <w:link w:val="Header"/>
    <w:rsid w:val="00567AFE"/>
    <w:rPr>
      <w:sz w:val="24"/>
      <w:szCs w:val="24"/>
      <w:lang w:eastAsia="en-US"/>
    </w:rPr>
  </w:style>
  <w:style w:type="paragraph" w:styleId="BalloonText">
    <w:name w:val="Balloon Text"/>
    <w:basedOn w:val="Normal"/>
    <w:link w:val="BalloonTextChar"/>
    <w:rsid w:val="007C5E46"/>
    <w:rPr>
      <w:rFonts w:ascii="Tahoma" w:hAnsi="Tahoma" w:cs="Tahoma"/>
      <w:sz w:val="16"/>
      <w:szCs w:val="16"/>
    </w:rPr>
  </w:style>
  <w:style w:type="character" w:customStyle="1" w:styleId="BalloonTextChar">
    <w:name w:val="Balloon Text Char"/>
    <w:basedOn w:val="DefaultParagraphFont"/>
    <w:link w:val="BalloonText"/>
    <w:rsid w:val="007C5E46"/>
    <w:rPr>
      <w:rFonts w:ascii="Tahoma" w:hAnsi="Tahoma" w:cs="Tahoma"/>
      <w:sz w:val="16"/>
      <w:szCs w:val="16"/>
      <w:lang w:eastAsia="en-US"/>
    </w:rPr>
  </w:style>
  <w:style w:type="paragraph" w:customStyle="1" w:styleId="Titlesub">
    <w:name w:val="Title sub"/>
    <w:basedOn w:val="Title"/>
    <w:qFormat/>
    <w:rsid w:val="00AD08F9"/>
    <w:rPr>
      <w:color w:val="auto"/>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ADF1-811A-4941-8413-B7AF9878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627</Words>
  <Characters>3874</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Medicare Benefits Schedule Review Taskforce Gastroenterology Clinical Committee Report</vt:lpstr>
    </vt:vector>
  </TitlesOfParts>
  <Manager/>
  <Company/>
  <LinksUpToDate>false</LinksUpToDate>
  <CharactersWithSpaces>4475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Gastroenterology Clinical Committee Report</dc:title>
  <dc:subject>MBS Review, Medicare</dc:subject>
  <dc:creator>MBS Review Taskforce</dc:creator>
  <cp:keywords/>
  <dc:description/>
  <cp:lastModifiedBy>emma kennedy</cp:lastModifiedBy>
  <cp:revision>8</cp:revision>
  <dcterms:created xsi:type="dcterms:W3CDTF">2017-07-13T05:57:00Z</dcterms:created>
  <dcterms:modified xsi:type="dcterms:W3CDTF">2021-05-28T05:51:00Z</dcterms:modified>
  <cp:category/>
</cp:coreProperties>
</file>