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3C562" w14:textId="77777777" w:rsidR="00932284" w:rsidRPr="00B140C0" w:rsidRDefault="00932284" w:rsidP="00A22898">
      <w:pPr>
        <w:pStyle w:val="Subtitle"/>
        <w:rPr>
          <w:sz w:val="40"/>
          <w:szCs w:val="40"/>
        </w:rPr>
      </w:pPr>
      <w:r w:rsidRPr="00B140C0">
        <w:rPr>
          <w:sz w:val="40"/>
          <w:szCs w:val="40"/>
        </w:rPr>
        <w:t>Medicare Benefits Schedule Review Taskforce</w:t>
      </w:r>
    </w:p>
    <w:p w14:paraId="14883771" w14:textId="77777777" w:rsidR="00B140C0" w:rsidRPr="00A22898" w:rsidRDefault="00B140C0" w:rsidP="00B140C0">
      <w:pPr>
        <w:pStyle w:val="Title"/>
      </w:pPr>
      <w:r w:rsidRPr="00A22898">
        <w:t>Taskforce Findings</w:t>
      </w:r>
    </w:p>
    <w:p w14:paraId="48C3A0AC" w14:textId="77777777" w:rsidR="00932284" w:rsidRPr="00B140C0" w:rsidRDefault="005426A7" w:rsidP="00A22898">
      <w:pPr>
        <w:pStyle w:val="Title"/>
        <w:rPr>
          <w:sz w:val="48"/>
          <w:szCs w:val="48"/>
        </w:rPr>
      </w:pPr>
      <w:r w:rsidRPr="00B140C0">
        <w:rPr>
          <w:sz w:val="48"/>
          <w:szCs w:val="48"/>
        </w:rPr>
        <w:t>Endocrinology Clinical</w:t>
      </w:r>
      <w:r w:rsidR="00932284" w:rsidRPr="00B140C0">
        <w:rPr>
          <w:sz w:val="48"/>
          <w:szCs w:val="48"/>
        </w:rPr>
        <w:t xml:space="preserve"> Committee</w:t>
      </w:r>
      <w:r w:rsidR="00E2678D" w:rsidRPr="00B140C0">
        <w:rPr>
          <w:sz w:val="48"/>
          <w:szCs w:val="48"/>
        </w:rPr>
        <w:t xml:space="preserve"> Report</w:t>
      </w:r>
    </w:p>
    <w:p w14:paraId="13F7D049" w14:textId="77777777" w:rsidR="00932284" w:rsidRPr="00AB469A" w:rsidRDefault="00E2678D" w:rsidP="007074E9">
      <w:r w:rsidRPr="00AB469A">
        <w:t>This document outlines the Medica</w:t>
      </w:r>
      <w:r w:rsidR="00F339E7">
        <w:t>re</w:t>
      </w:r>
      <w:r w:rsidRPr="00AB469A">
        <w:t xml:space="preserve"> Benefits Schedule (MBS) Taskforce’s recommendations in response to the </w:t>
      </w:r>
      <w:r w:rsidR="005426A7">
        <w:t>Endocrinology</w:t>
      </w:r>
      <w:r w:rsidRPr="00AB469A">
        <w:t xml:space="preserve"> Clinical Committee Report. </w:t>
      </w:r>
    </w:p>
    <w:p w14:paraId="24FE4648" w14:textId="77777777" w:rsidR="00932284" w:rsidRPr="00AB469A" w:rsidRDefault="00E2678D" w:rsidP="007074E9">
      <w:r w:rsidRPr="00AB469A">
        <w:t xml:space="preserve">The </w:t>
      </w:r>
      <w:r w:rsidR="006663DA">
        <w:t>Taskforce</w:t>
      </w:r>
      <w:r w:rsidRPr="00AB469A">
        <w:t xml:space="preserve"> considered the recommendations from the </w:t>
      </w:r>
      <w:r w:rsidR="005426A7">
        <w:t>Endocrinology</w:t>
      </w:r>
      <w:r w:rsidRPr="00AB469A">
        <w:t xml:space="preserve"> Clinical Committee and feedback from the public consultation.</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he box to the right of the report lists a summary of the number of items reviewed at 17 and the number of recommendations made as 8."/>
      </w:tblPr>
      <w:tblGrid>
        <w:gridCol w:w="3346"/>
        <w:gridCol w:w="902"/>
      </w:tblGrid>
      <w:tr w:rsidR="00E2678D" w:rsidRPr="00AB469A" w14:paraId="1BACE90F" w14:textId="77777777" w:rsidTr="00FC4653">
        <w:trPr>
          <w:trHeight w:val="208"/>
          <w:tblHeader/>
        </w:trPr>
        <w:tc>
          <w:tcPr>
            <w:tcW w:w="3938" w:type="pct"/>
            <w:shd w:val="clear" w:color="auto" w:fill="FFFFFF" w:themeFill="background1"/>
          </w:tcPr>
          <w:p w14:paraId="49DAEFC1" w14:textId="77777777" w:rsidR="00E2678D" w:rsidRPr="00AB469A" w:rsidRDefault="00E2678D" w:rsidP="00871C17">
            <w:pPr>
              <w:rPr>
                <w:b/>
              </w:rPr>
            </w:pPr>
            <w:r w:rsidRPr="00AB469A">
              <w:rPr>
                <w:b/>
              </w:rPr>
              <w:t>Number of items reviewed</w:t>
            </w:r>
          </w:p>
        </w:tc>
        <w:tc>
          <w:tcPr>
            <w:tcW w:w="1062" w:type="pct"/>
            <w:shd w:val="clear" w:color="auto" w:fill="auto"/>
            <w:vAlign w:val="center"/>
          </w:tcPr>
          <w:p w14:paraId="6F2C9068" w14:textId="77777777" w:rsidR="00E2678D" w:rsidRPr="00AB469A" w:rsidRDefault="006C3104" w:rsidP="00871C17">
            <w:r>
              <w:t>17</w:t>
            </w:r>
          </w:p>
        </w:tc>
      </w:tr>
      <w:tr w:rsidR="00E2678D" w:rsidRPr="00AB469A" w14:paraId="5A2771D6" w14:textId="77777777" w:rsidTr="00FC4653">
        <w:trPr>
          <w:trHeight w:val="297"/>
        </w:trPr>
        <w:tc>
          <w:tcPr>
            <w:tcW w:w="3938" w:type="pct"/>
            <w:shd w:val="clear" w:color="auto" w:fill="FFFFFF" w:themeFill="background1"/>
            <w:hideMark/>
          </w:tcPr>
          <w:p w14:paraId="5375A0EA" w14:textId="77777777" w:rsidR="00E2678D" w:rsidRPr="00AB469A" w:rsidRDefault="00E2678D" w:rsidP="00871C17">
            <w:pPr>
              <w:rPr>
                <w:b/>
              </w:rPr>
            </w:pPr>
            <w:r w:rsidRPr="00AB469A">
              <w:rPr>
                <w:b/>
              </w:rPr>
              <w:t>Number of recommendations made</w:t>
            </w:r>
          </w:p>
        </w:tc>
        <w:tc>
          <w:tcPr>
            <w:tcW w:w="1062" w:type="pct"/>
            <w:shd w:val="clear" w:color="auto" w:fill="auto"/>
            <w:vAlign w:val="center"/>
          </w:tcPr>
          <w:p w14:paraId="62AB2140" w14:textId="77777777" w:rsidR="00E2678D" w:rsidRPr="00AB469A" w:rsidRDefault="00652C45" w:rsidP="00871C17">
            <w:r>
              <w:t>8</w:t>
            </w:r>
          </w:p>
        </w:tc>
      </w:tr>
    </w:tbl>
    <w:p w14:paraId="3646F390" w14:textId="77777777" w:rsidR="00932284" w:rsidRPr="00AB469A" w:rsidRDefault="00932284" w:rsidP="007074E9">
      <w:r w:rsidRPr="00AB469A">
        <w:t xml:space="preserve">The Taskforce </w:t>
      </w:r>
      <w:r w:rsidR="00280E55">
        <w:t xml:space="preserve">noted the </w:t>
      </w:r>
      <w:r w:rsidR="005426A7">
        <w:t>Endocrinology</w:t>
      </w:r>
      <w:r w:rsidR="00280E55">
        <w:t xml:space="preserve"> Clinical Committee</w:t>
      </w:r>
      <w:r w:rsidR="007074E9">
        <w:t>’s</w:t>
      </w:r>
      <w:r w:rsidR="00280E55">
        <w:t xml:space="preserve"> recommendations on </w:t>
      </w:r>
      <w:r w:rsidR="00B24B97">
        <w:t>items related to endocrinology pathology</w:t>
      </w:r>
      <w:r w:rsidR="00CD3D5E">
        <w:t xml:space="preserve"> were referred </w:t>
      </w:r>
      <w:r w:rsidR="00B24B97">
        <w:t>to the Pathology Clinical Committee</w:t>
      </w:r>
      <w:r w:rsidR="00280E55">
        <w:t xml:space="preserve">. The Taskforce </w:t>
      </w:r>
      <w:r w:rsidRPr="00AB469A">
        <w:t xml:space="preserve">endorsed all </w:t>
      </w:r>
      <w:r w:rsidR="00280E55">
        <w:t>other</w:t>
      </w:r>
      <w:r w:rsidR="00A55930">
        <w:t xml:space="preserve"> </w:t>
      </w:r>
      <w:r w:rsidRPr="00AB469A">
        <w:t xml:space="preserve">recommendations from the </w:t>
      </w:r>
      <w:r w:rsidR="005426A7">
        <w:t>Endocrinology</w:t>
      </w:r>
      <w:r w:rsidRPr="00AB469A">
        <w:t xml:space="preserve"> Clinical Committee and submitted them to the Minister for Health for Government consideration. </w:t>
      </w:r>
    </w:p>
    <w:p w14:paraId="5AFAA677" w14:textId="77777777" w:rsidR="008456FD" w:rsidRDefault="008456FD" w:rsidP="00871C17">
      <w:r>
        <w:t>The changes focus on encouraging best practice and simplifying the MBS to improve patient care by consolidating item numbers; improving the clarity of descriptors; and providing clinical guidance for appropriate use through explanatory notes.</w:t>
      </w:r>
    </w:p>
    <w:p w14:paraId="5CD10430" w14:textId="77777777" w:rsidR="00E2678D" w:rsidRPr="00A22898" w:rsidRDefault="00E2678D" w:rsidP="00A22898">
      <w:pPr>
        <w:pStyle w:val="Heading1"/>
      </w:pPr>
      <w:r w:rsidRPr="00A22898">
        <w:t>List of Taskforce recommendations</w:t>
      </w:r>
    </w:p>
    <w:p w14:paraId="599A80EC" w14:textId="77777777" w:rsidR="006C3104" w:rsidRPr="006C3104" w:rsidRDefault="006C3104" w:rsidP="007074E9">
      <w:pPr>
        <w:pStyle w:val="Heading2"/>
      </w:pPr>
      <w:r w:rsidRPr="007074E9">
        <w:t>Recommendation</w:t>
      </w:r>
      <w:r w:rsidRPr="006C3104">
        <w:t xml:space="preserve"> 1</w:t>
      </w:r>
    </w:p>
    <w:p w14:paraId="1750D59F" w14:textId="77777777" w:rsidR="006C3104" w:rsidRPr="006B5425" w:rsidRDefault="004421D7" w:rsidP="003914AB">
      <w:pPr>
        <w:pStyle w:val="NormalBulleted"/>
        <w:spacing w:line="360" w:lineRule="auto"/>
        <w:rPr>
          <w:b/>
          <w:lang w:val="en-US"/>
        </w:rPr>
      </w:pPr>
      <w:r>
        <w:rPr>
          <w:lang w:val="en-US"/>
        </w:rPr>
        <w:t>To c</w:t>
      </w:r>
      <w:r w:rsidR="006C3104" w:rsidRPr="006B5425">
        <w:rPr>
          <w:lang w:val="en-US"/>
        </w:rPr>
        <w:t>onsolidate item 30309 under item 30296 and leave the descriptor for item 30296 un</w:t>
      </w:r>
      <w:r w:rsidR="008969D4">
        <w:rPr>
          <w:lang w:val="en-US"/>
        </w:rPr>
        <w:t>changed</w:t>
      </w:r>
      <w:r w:rsidR="006C3104" w:rsidRPr="006B5425">
        <w:rPr>
          <w:lang w:val="en-US"/>
        </w:rPr>
        <w:t>.</w:t>
      </w:r>
    </w:p>
    <w:p w14:paraId="13200038" w14:textId="77777777" w:rsidR="00A357C5" w:rsidRDefault="004421D7" w:rsidP="003914AB">
      <w:pPr>
        <w:pStyle w:val="NormalBulleted"/>
        <w:spacing w:line="360" w:lineRule="auto"/>
      </w:pPr>
      <w:r>
        <w:t>To a</w:t>
      </w:r>
      <w:r w:rsidR="006C3104" w:rsidRPr="006B5425">
        <w:t xml:space="preserve">dd the following explanatory notes: “Total Thyroidectomy or total hemithyroidectomy are the most appropriate procedures in the majority of circumstances when a thyroidectomy is required. The preferred procedure for thyrotoxicosis is total thyroidectomy (item 30296). Item </w:t>
      </w:r>
      <w:r w:rsidR="00C64C1E">
        <w:t>303XX (</w:t>
      </w:r>
      <w:r w:rsidR="006C3104" w:rsidRPr="006B5425">
        <w:t xml:space="preserve">note: item to be created, see recommendations </w:t>
      </w:r>
      <w:r w:rsidR="00C64C1E">
        <w:t>for items 30308 and 30309 below)</w:t>
      </w:r>
      <w:r w:rsidR="006C3104" w:rsidRPr="006B5425">
        <w:t xml:space="preserve"> is to be used only in uncommon circumstances where a subtotal or partial thyroidectomy is indicated and includes a subtotal lobectomy, nodulectomy, or isthmusectomy or equivalent partial thyroidectomy." These explanatory notes are recommended for all thyroidectomy items </w:t>
      </w:r>
      <w:r w:rsidR="006C3104" w:rsidRPr="006B5425">
        <w:lastRenderedPageBreak/>
        <w:t>other than 30297, please see recommendations for items 30306, 30308 and 30310 for further rationale. (Explanatory notes are not currently provided for these items.)</w:t>
      </w:r>
    </w:p>
    <w:p w14:paraId="4DB51472" w14:textId="77777777" w:rsidR="006C3104" w:rsidRPr="006C3104" w:rsidRDefault="006C3104" w:rsidP="007074E9">
      <w:pPr>
        <w:pStyle w:val="Heading2"/>
      </w:pPr>
      <w:r w:rsidRPr="006C3104">
        <w:t>Recommendation 2</w:t>
      </w:r>
    </w:p>
    <w:p w14:paraId="36DE4AC8" w14:textId="77777777" w:rsidR="006C3104" w:rsidRPr="006B5425" w:rsidRDefault="004421D7" w:rsidP="003914AB">
      <w:pPr>
        <w:pStyle w:val="NormalBulleted"/>
        <w:spacing w:line="360" w:lineRule="auto"/>
        <w:rPr>
          <w:lang w:val="en-US"/>
        </w:rPr>
      </w:pPr>
      <w:r>
        <w:rPr>
          <w:lang w:val="en-US"/>
        </w:rPr>
        <w:t>To l</w:t>
      </w:r>
      <w:r w:rsidR="006C3104" w:rsidRPr="006B5425">
        <w:rPr>
          <w:lang w:val="en-US"/>
        </w:rPr>
        <w:t xml:space="preserve">eave the item descriptor </w:t>
      </w:r>
      <w:r w:rsidR="006B5425">
        <w:rPr>
          <w:lang w:val="en-US"/>
        </w:rPr>
        <w:t xml:space="preserve">for 30306 </w:t>
      </w:r>
      <w:r w:rsidR="006C3104" w:rsidRPr="006B5425">
        <w:rPr>
          <w:lang w:val="en-US"/>
        </w:rPr>
        <w:t>un</w:t>
      </w:r>
      <w:r w:rsidR="008969D4">
        <w:rPr>
          <w:lang w:val="en-US"/>
        </w:rPr>
        <w:t>changed.</w:t>
      </w:r>
    </w:p>
    <w:p w14:paraId="08E7ADAE" w14:textId="77777777" w:rsidR="006C3104" w:rsidRPr="006B5425" w:rsidRDefault="004421D7" w:rsidP="003914AB">
      <w:pPr>
        <w:pStyle w:val="NormalBulleted"/>
        <w:spacing w:line="360" w:lineRule="auto"/>
      </w:pPr>
      <w:r>
        <w:rPr>
          <w:lang w:val="en-GB"/>
        </w:rPr>
        <w:t>To a</w:t>
      </w:r>
      <w:r w:rsidR="006C3104" w:rsidRPr="006B5425">
        <w:rPr>
          <w:lang w:val="en-GB"/>
        </w:rPr>
        <w:t>dd the following explanatory notes: “</w:t>
      </w:r>
      <w:r w:rsidR="006C3104" w:rsidRPr="006B5425">
        <w:t>Total Thyroidectomy or total hemithyroidectomy are the most appropriate procedures in the majority of circumstances when a thyroidectomy is required. The preferred procedure for thyrotoxicosis is total th</w:t>
      </w:r>
      <w:r w:rsidR="006E7A95">
        <w:t>yroidectomy (item 30296). Item 303XX</w:t>
      </w:r>
      <w:r w:rsidR="00C64C1E">
        <w:t xml:space="preserve"> (</w:t>
      </w:r>
      <w:r w:rsidR="006E7A95" w:rsidRPr="006E7A95">
        <w:t>consolidation 30308 and 30310</w:t>
      </w:r>
      <w:r w:rsidR="00C64C1E">
        <w:t>)</w:t>
      </w:r>
      <w:r w:rsidR="006C3104" w:rsidRPr="006B5425">
        <w:t xml:space="preserve"> is to be used only in uncommon circumstances where a subtotal or partial thyroidectomy is indicated and includes a subtotal lobectomy, nodulectomy, or isthmusectomy or equivalent partial thyroidectomy." These explanatory notes are recommended for all thyroidectomy items other than 30297, please see recommendations for items 30296 and 30309, and 30308 and 30310 for further rationale. (Explanatory notes are not currently provided for this item.)</w:t>
      </w:r>
    </w:p>
    <w:p w14:paraId="3AFEA994" w14:textId="77777777" w:rsidR="006C3104" w:rsidRPr="006C3104" w:rsidRDefault="006C3104" w:rsidP="007074E9">
      <w:pPr>
        <w:pStyle w:val="Heading2"/>
      </w:pPr>
      <w:r w:rsidRPr="006C3104">
        <w:t xml:space="preserve">Recommendation 3 </w:t>
      </w:r>
    </w:p>
    <w:p w14:paraId="56BC638A" w14:textId="77777777" w:rsidR="006C3104" w:rsidRPr="006B5425" w:rsidRDefault="004421D7" w:rsidP="003914AB">
      <w:pPr>
        <w:pStyle w:val="NormalBulleted"/>
        <w:spacing w:line="360" w:lineRule="auto"/>
        <w:rPr>
          <w:lang w:val="en-US"/>
        </w:rPr>
      </w:pPr>
      <w:r>
        <w:rPr>
          <w:lang w:val="en-US"/>
        </w:rPr>
        <w:t>To c</w:t>
      </w:r>
      <w:r w:rsidR="006C3104" w:rsidRPr="006B5425">
        <w:rPr>
          <w:lang w:val="en-US"/>
        </w:rPr>
        <w:t>onsolidate items 30308 and 30310 into one</w:t>
      </w:r>
      <w:r w:rsidR="006B5425" w:rsidRPr="006B5425">
        <w:rPr>
          <w:lang w:val="en-US"/>
        </w:rPr>
        <w:t xml:space="preserve"> new</w:t>
      </w:r>
      <w:r w:rsidR="006C3104" w:rsidRPr="006B5425">
        <w:rPr>
          <w:lang w:val="en-US"/>
        </w:rPr>
        <w:t xml:space="preserve"> item</w:t>
      </w:r>
      <w:r w:rsidR="006E7A95">
        <w:rPr>
          <w:lang w:val="en-US"/>
        </w:rPr>
        <w:t xml:space="preserve"> (item 303XX)</w:t>
      </w:r>
      <w:r w:rsidR="006C3104" w:rsidRPr="006B5425">
        <w:rPr>
          <w:lang w:val="en-US"/>
        </w:rPr>
        <w:t xml:space="preserve"> for the uncommon circumstances when a partial or subtotal thyroidectomy is indicated. The proposed item descriptor is as follows: “Partial or subtotal thyroidectomy (Anaes.) (Assist.)”</w:t>
      </w:r>
    </w:p>
    <w:p w14:paraId="144377A2" w14:textId="77777777" w:rsidR="006C3104" w:rsidRDefault="004421D7" w:rsidP="003914AB">
      <w:pPr>
        <w:pStyle w:val="NormalBulleted"/>
        <w:spacing w:line="360" w:lineRule="auto"/>
      </w:pPr>
      <w:r>
        <w:t>To a</w:t>
      </w:r>
      <w:r w:rsidR="006C3104" w:rsidRPr="006B5425">
        <w:t xml:space="preserve">dd the following explanatory notes: “Total Thyroidectomy or total hemithyroidectomy are the most appropriate procedures in the majority of circumstances when a thyroidectomy is required. The preferred procedure for thyrotoxicosis is total thyroidectomy (item 30296). Item </w:t>
      </w:r>
      <w:r w:rsidR="006E7A95">
        <w:t>303X</w:t>
      </w:r>
      <w:r w:rsidR="006C3104" w:rsidRPr="006B5425">
        <w:t>X [</w:t>
      </w:r>
      <w:r w:rsidR="008969D4">
        <w:t>consolidation</w:t>
      </w:r>
      <w:r w:rsidR="006E7A95">
        <w:t xml:space="preserve"> of</w:t>
      </w:r>
      <w:r w:rsidR="008969D4">
        <w:t xml:space="preserve"> 30308 and 30310</w:t>
      </w:r>
      <w:r w:rsidR="006C3104" w:rsidRPr="006B5425">
        <w:t>] is to be used only in uncommon circumstances where a subtotal or partial thyroidectomy is indicated and includes a subtotal lobectomy, nodulectomy, or isthmusectomy or equivalent partial thyroidectomy." These explanatory notes are recommended for all thyroidectomy items other than 30297. (Explanatory notes are not currently provided for these items.)</w:t>
      </w:r>
    </w:p>
    <w:p w14:paraId="7B5134CD" w14:textId="77777777" w:rsidR="006C3104" w:rsidRPr="001D22B1" w:rsidRDefault="006C3104" w:rsidP="007074E9">
      <w:pPr>
        <w:pStyle w:val="Heading2"/>
      </w:pPr>
      <w:r w:rsidRPr="006C3104">
        <w:t>Recommendation 4</w:t>
      </w:r>
    </w:p>
    <w:p w14:paraId="75638A17" w14:textId="77777777" w:rsidR="006C3104" w:rsidRPr="006B5425" w:rsidRDefault="004421D7" w:rsidP="007074E9">
      <w:pPr>
        <w:pStyle w:val="NormalBulleted"/>
        <w:rPr>
          <w:lang w:val="en-US"/>
        </w:rPr>
      </w:pPr>
      <w:r>
        <w:rPr>
          <w:lang w:val="en-US"/>
        </w:rPr>
        <w:t>To l</w:t>
      </w:r>
      <w:r w:rsidR="006C3104" w:rsidRPr="006B5425">
        <w:rPr>
          <w:lang w:val="en-US"/>
        </w:rPr>
        <w:t>eave the item descriptor</w:t>
      </w:r>
      <w:r w:rsidR="006B5425">
        <w:rPr>
          <w:lang w:val="en-US"/>
        </w:rPr>
        <w:t xml:space="preserve"> for 30297</w:t>
      </w:r>
      <w:r w:rsidR="006C3104" w:rsidRPr="006B5425">
        <w:rPr>
          <w:lang w:val="en-US"/>
        </w:rPr>
        <w:t xml:space="preserve"> </w:t>
      </w:r>
      <w:r w:rsidR="008969D4">
        <w:rPr>
          <w:lang w:val="en-US"/>
        </w:rPr>
        <w:t>unchanged.</w:t>
      </w:r>
    </w:p>
    <w:p w14:paraId="06B58AAC" w14:textId="77777777" w:rsidR="006C3104" w:rsidRPr="006B5425" w:rsidRDefault="004421D7" w:rsidP="007074E9">
      <w:pPr>
        <w:pStyle w:val="NormalBulleted"/>
      </w:pPr>
      <w:r>
        <w:t>To a</w:t>
      </w:r>
      <w:r w:rsidR="006C3104" w:rsidRPr="006B5425">
        <w:t>dd the following explanatory notes: “This procedure is for re-exploratory thyroid surgery where prior thyroid surgery and associated scar tissue increases the complexity of surgery. For completion hemithyroidectomy on the contralateral side to a previous hemi thyroidectomy for thyroid cancer, item 30306 is the appropriate item.” (Explanatory notes are not currently provided for this item.)</w:t>
      </w:r>
    </w:p>
    <w:p w14:paraId="7D9594C3" w14:textId="77777777" w:rsidR="00652C45" w:rsidRPr="00652C45" w:rsidRDefault="00652C45" w:rsidP="007074E9">
      <w:pPr>
        <w:pStyle w:val="Heading2"/>
      </w:pPr>
      <w:r w:rsidRPr="00652C45">
        <w:lastRenderedPageBreak/>
        <w:t>Recommendation 5</w:t>
      </w:r>
    </w:p>
    <w:p w14:paraId="6E790A74" w14:textId="77777777" w:rsidR="00652C45" w:rsidRPr="006B5425" w:rsidRDefault="004421D7" w:rsidP="007074E9">
      <w:pPr>
        <w:pStyle w:val="NormalBulleted"/>
        <w:rPr>
          <w:lang w:val="en-US"/>
        </w:rPr>
      </w:pPr>
      <w:r>
        <w:rPr>
          <w:lang w:val="en-US"/>
        </w:rPr>
        <w:t>To a</w:t>
      </w:r>
      <w:r w:rsidR="00652C45" w:rsidRPr="006B5425">
        <w:rPr>
          <w:lang w:val="en-US"/>
        </w:rPr>
        <w:t xml:space="preserve">mend the descriptors for all four items to promote best practice and improve ease of use. Proposed item </w:t>
      </w:r>
      <w:r w:rsidR="006B5425">
        <w:rPr>
          <w:lang w:val="en-US"/>
        </w:rPr>
        <w:t>descriptors are provided below:</w:t>
      </w:r>
    </w:p>
    <w:p w14:paraId="3492E9AB" w14:textId="77777777" w:rsidR="00652C45" w:rsidRPr="006B5425" w:rsidRDefault="00652C45" w:rsidP="007074E9">
      <w:pPr>
        <w:pStyle w:val="02dash"/>
      </w:pPr>
      <w:r w:rsidRPr="006B5425">
        <w:t>30315: Minimally invasive parathyroidectomy. Removal of 1 or more parathyroid adenoma through a small cervical incision for an image localised adenoma including thymectomy, not to be claimed with itself or items 30316, 30317 or 30320. (Anaes.) (Assist.)</w:t>
      </w:r>
    </w:p>
    <w:p w14:paraId="031B23C2" w14:textId="77777777" w:rsidR="00652C45" w:rsidRPr="006B5425" w:rsidRDefault="006B5425" w:rsidP="007074E9">
      <w:pPr>
        <w:pStyle w:val="02dash"/>
      </w:pPr>
      <w:r>
        <w:t>30318:</w:t>
      </w:r>
      <w:r w:rsidR="00652C45" w:rsidRPr="006B5425">
        <w:t xml:space="preserve"> Open parathyroidectomy, exploration and removal of 1 or more adenoma or hyperplastic glands via a cervical incision including thymectomy and cervical exploration of the mediastinum when performed. Not to be claimed with itself or items 30315, 30317 or 30320. (Anaes.) (Assist.)</w:t>
      </w:r>
    </w:p>
    <w:p w14:paraId="43378CC3" w14:textId="77777777" w:rsidR="00652C45" w:rsidRPr="006B5425" w:rsidRDefault="00652C45" w:rsidP="007074E9">
      <w:pPr>
        <w:pStyle w:val="02dash"/>
      </w:pPr>
      <w:r w:rsidRPr="006B5425">
        <w:t>30317: Redo parathyroidectomy. Cervical re-exploration for persistent or recurrent hyperparathyroidism including thymectomy and cervical exploration of the mediastinum, not to be claimed with itself or items 30315, 30316 or 30320. (Anaes.) (Assist.)</w:t>
      </w:r>
    </w:p>
    <w:p w14:paraId="451FF307" w14:textId="77777777" w:rsidR="00652C45" w:rsidRPr="006B5425" w:rsidRDefault="00652C45" w:rsidP="007074E9">
      <w:pPr>
        <w:pStyle w:val="02dash"/>
      </w:pPr>
      <w:r w:rsidRPr="006B5425">
        <w:t xml:space="preserve">30320: Removal of a mediastinal parathyroid adenoma via sternotomy or mediastinal thorascopic approach, not to be claimed with itself or items 30315, 30316 or 30317. (Anaes.) (Assist.) </w:t>
      </w:r>
    </w:p>
    <w:p w14:paraId="75BB2A62" w14:textId="77777777" w:rsidR="00652C45" w:rsidRPr="006B5425" w:rsidRDefault="00652C45" w:rsidP="007074E9">
      <w:pPr>
        <w:pStyle w:val="NormalBulleted"/>
      </w:pPr>
      <w:r w:rsidRPr="006B5425">
        <w:t>The Committee advises that the revised item 30316 has a similar scope of practice to item 30315 and should have the same schedule fee.</w:t>
      </w:r>
    </w:p>
    <w:p w14:paraId="2855DF73" w14:textId="77777777" w:rsidR="00652C45" w:rsidRDefault="00652C45" w:rsidP="007074E9">
      <w:pPr>
        <w:pStyle w:val="Heading2"/>
      </w:pPr>
      <w:r w:rsidRPr="00652C45">
        <w:t>Recommendation 6</w:t>
      </w:r>
    </w:p>
    <w:p w14:paraId="0169FD59" w14:textId="77777777" w:rsidR="00652C45" w:rsidRPr="006B5425" w:rsidRDefault="004421D7" w:rsidP="007074E9">
      <w:pPr>
        <w:pStyle w:val="NormalBulleted"/>
        <w:rPr>
          <w:lang w:val="en-US"/>
        </w:rPr>
      </w:pPr>
      <w:r>
        <w:rPr>
          <w:lang w:val="en-US"/>
        </w:rPr>
        <w:t>To a</w:t>
      </w:r>
      <w:r w:rsidR="006B5425">
        <w:rPr>
          <w:lang w:val="en-US"/>
        </w:rPr>
        <w:t>mend</w:t>
      </w:r>
      <w:r w:rsidR="00652C45" w:rsidRPr="006B5425">
        <w:rPr>
          <w:lang w:val="en-US"/>
        </w:rPr>
        <w:t xml:space="preserve"> the item descriptor to require a basal cortisol qua</w:t>
      </w:r>
      <w:r w:rsidR="001F3779">
        <w:rPr>
          <w:lang w:val="en-US"/>
        </w:rPr>
        <w:t>ntitation prior to a Synacthen Stimulation T</w:t>
      </w:r>
      <w:r w:rsidR="00652C45" w:rsidRPr="006B5425">
        <w:rPr>
          <w:lang w:val="en-US"/>
        </w:rPr>
        <w:t>est. The proposed it</w:t>
      </w:r>
      <w:r w:rsidR="006B5425">
        <w:rPr>
          <w:lang w:val="en-US"/>
        </w:rPr>
        <w:t>em descriptor is provided below:</w:t>
      </w:r>
    </w:p>
    <w:p w14:paraId="5A28E625" w14:textId="77777777" w:rsidR="00652C45" w:rsidRPr="006B5425" w:rsidRDefault="00652C45" w:rsidP="007074E9">
      <w:pPr>
        <w:pStyle w:val="02dash"/>
      </w:pPr>
      <w:r w:rsidRPr="006B5425">
        <w:t xml:space="preserve">Personal performance of a Synacthen Stimulation Test, including associated consultation; by a medical practitioner with resuscitation training and access to facilities where life support procedures can be implemented, if serum cortisol at 0830-0930 hours in the preceding month has been measured at greater than 100 nmol/L but less than 400 nmol/L; or in a patient who is acutely unwell where adrenal insufficiency is suspected. </w:t>
      </w:r>
    </w:p>
    <w:p w14:paraId="6E11F6BA" w14:textId="77777777" w:rsidR="00652C45" w:rsidRPr="006B5425" w:rsidRDefault="004421D7" w:rsidP="007074E9">
      <w:pPr>
        <w:pStyle w:val="NormalBulleted"/>
        <w:rPr>
          <w:lang w:val="en-US"/>
        </w:rPr>
      </w:pPr>
      <w:r>
        <w:rPr>
          <w:lang w:val="en-US"/>
        </w:rPr>
        <w:t>To a</w:t>
      </w:r>
      <w:r w:rsidR="00652C45" w:rsidRPr="006B5425">
        <w:rPr>
          <w:lang w:val="en-US"/>
        </w:rPr>
        <w:t xml:space="preserve">dd explanatory notes to guide best practice. Proposed explanatory notes: </w:t>
      </w:r>
    </w:p>
    <w:p w14:paraId="42332858" w14:textId="77777777" w:rsidR="00652C45" w:rsidRPr="006B5425" w:rsidRDefault="00652C45" w:rsidP="007074E9">
      <w:pPr>
        <w:pStyle w:val="02dash"/>
      </w:pPr>
      <w:r w:rsidRPr="006B5425">
        <w:t>A 0900h serum cortisol (0830-0930) less than 100 nmol/L indicates adrenal deficiency and a Synacthen Test is not required.</w:t>
      </w:r>
    </w:p>
    <w:p w14:paraId="3F9F8BAA" w14:textId="77777777" w:rsidR="00652C45" w:rsidRPr="006B5425" w:rsidRDefault="00652C45" w:rsidP="007074E9">
      <w:pPr>
        <w:pStyle w:val="02dash"/>
      </w:pPr>
      <w:r w:rsidRPr="006B5425">
        <w:t>A 0900h serum cortisol (0830-0930) greater than 400 nmol/L indicates adrenal sufficiency and a Synacthen Test is not required. An exception to this is when testing women on oral contraception where cortisol levels may be higher due to increases in cortisol-binding globulin and this threshold may not exclude women with adrenal insufficiency.</w:t>
      </w:r>
    </w:p>
    <w:p w14:paraId="66BDCE79" w14:textId="77777777" w:rsidR="00652C45" w:rsidRPr="00652C45" w:rsidRDefault="00652C45" w:rsidP="007074E9">
      <w:pPr>
        <w:pStyle w:val="Heading2"/>
      </w:pPr>
      <w:r w:rsidRPr="00652C45">
        <w:lastRenderedPageBreak/>
        <w:t>Recommendation 7</w:t>
      </w:r>
    </w:p>
    <w:p w14:paraId="1AA6F05F" w14:textId="77777777" w:rsidR="00652C45" w:rsidRPr="006B5425" w:rsidRDefault="004421D7" w:rsidP="007074E9">
      <w:pPr>
        <w:pStyle w:val="NormalBulleted"/>
        <w:rPr>
          <w:lang w:val="en-US"/>
        </w:rPr>
      </w:pPr>
      <w:r>
        <w:rPr>
          <w:lang w:val="en-US"/>
        </w:rPr>
        <w:t>To d</w:t>
      </w:r>
      <w:r w:rsidR="00652C45" w:rsidRPr="006B5425">
        <w:rPr>
          <w:lang w:val="en-US"/>
        </w:rPr>
        <w:t>elete</w:t>
      </w:r>
      <w:r w:rsidR="00652C45" w:rsidRPr="006B5425">
        <w:rPr>
          <w:vertAlign w:val="superscript"/>
          <w:lang w:val="en-GB"/>
        </w:rPr>
        <w:t xml:space="preserve"> </w:t>
      </w:r>
      <w:r w:rsidR="00652C45" w:rsidRPr="006B5425">
        <w:rPr>
          <w:lang w:val="en-US"/>
        </w:rPr>
        <w:t xml:space="preserve">item 30313, and instead use item 30314. </w:t>
      </w:r>
    </w:p>
    <w:p w14:paraId="11601C05" w14:textId="77777777" w:rsidR="00652C45" w:rsidRPr="006B5425" w:rsidRDefault="004421D7" w:rsidP="007074E9">
      <w:pPr>
        <w:pStyle w:val="NormalBulleted"/>
      </w:pPr>
      <w:r>
        <w:t>To a</w:t>
      </w:r>
      <w:r w:rsidR="006B5425">
        <w:t>mend</w:t>
      </w:r>
      <w:r w:rsidR="00652C45" w:rsidRPr="006B5425">
        <w:t xml:space="preserve"> the item descriptor for item 30314 to read: “Sistrunks procedure. Excision of a thyroglossal duct cyst or fistula including removal of the body of the hyoid bone. (Anaes.) (Assist.)”</w:t>
      </w:r>
    </w:p>
    <w:p w14:paraId="2F1FA570" w14:textId="77777777" w:rsidR="00652C45" w:rsidRPr="00652C45" w:rsidRDefault="00652C45" w:rsidP="007074E9">
      <w:pPr>
        <w:pStyle w:val="Heading2"/>
      </w:pPr>
      <w:r w:rsidRPr="00652C45">
        <w:t>Recommendation 8</w:t>
      </w:r>
    </w:p>
    <w:p w14:paraId="6C1A8750" w14:textId="77777777" w:rsidR="00652C45" w:rsidRPr="006B5425" w:rsidRDefault="004421D7" w:rsidP="007074E9">
      <w:pPr>
        <w:pStyle w:val="NormalBulleted"/>
        <w:rPr>
          <w:lang w:val="en-US"/>
        </w:rPr>
      </w:pPr>
      <w:r>
        <w:rPr>
          <w:lang w:val="en-US"/>
        </w:rPr>
        <w:t>To c</w:t>
      </w:r>
      <w:r w:rsidR="00652C45" w:rsidRPr="006B5425">
        <w:rPr>
          <w:lang w:val="en-US"/>
        </w:rPr>
        <w:t>onsolidate item 30321 under item 30323.</w:t>
      </w:r>
    </w:p>
    <w:p w14:paraId="50C5E8CB" w14:textId="77777777" w:rsidR="00652C45" w:rsidRDefault="004421D7" w:rsidP="007074E9">
      <w:pPr>
        <w:pStyle w:val="NormalBulleted"/>
        <w:rPr>
          <w:lang w:val="en-US"/>
        </w:rPr>
      </w:pPr>
      <w:r>
        <w:rPr>
          <w:lang w:val="en-US"/>
        </w:rPr>
        <w:t>To a</w:t>
      </w:r>
      <w:r w:rsidR="006B5425">
        <w:rPr>
          <w:lang w:val="en-US"/>
        </w:rPr>
        <w:t>mend</w:t>
      </w:r>
      <w:r w:rsidR="00652C45" w:rsidRPr="006B5425">
        <w:rPr>
          <w:lang w:val="en-US"/>
        </w:rPr>
        <w:t xml:space="preserve"> the descriptor for item 30323 to read: “Excision of phaeochromocytoma or extra</w:t>
      </w:r>
      <w:r w:rsidR="007074E9">
        <w:rPr>
          <w:lang w:val="en-US"/>
        </w:rPr>
        <w:noBreakHyphen/>
      </w:r>
      <w:r w:rsidR="00652C45" w:rsidRPr="006B5425">
        <w:rPr>
          <w:lang w:val="en-US"/>
        </w:rPr>
        <w:t>adrenal paraganglioma via endoscopic or open approach. (Anaes.) (Assist.)”</w:t>
      </w:r>
    </w:p>
    <w:p w14:paraId="5380A0C4" w14:textId="77777777" w:rsidR="00E708F3" w:rsidRPr="00E708F3" w:rsidRDefault="004421D7" w:rsidP="007074E9">
      <w:pPr>
        <w:pStyle w:val="NormalBulleted"/>
      </w:pPr>
      <w:r>
        <w:t>To c</w:t>
      </w:r>
      <w:r w:rsidR="00E708F3" w:rsidRPr="006B5425">
        <w:t>onsolidate item 36500 under item 30324. (Item 36500 was assigned to the Urology Clinical Committee. This recommendation will be referred to this committee or to the Urological Society of Australia and New Zealand directly.)</w:t>
      </w:r>
    </w:p>
    <w:p w14:paraId="08A4640F" w14:textId="77777777" w:rsidR="00652C45" w:rsidRPr="006B5425" w:rsidRDefault="004421D7" w:rsidP="007074E9">
      <w:pPr>
        <w:pStyle w:val="NormalBulleted"/>
        <w:rPr>
          <w:lang w:val="en-US"/>
        </w:rPr>
      </w:pPr>
      <w:r>
        <w:rPr>
          <w:lang w:val="en-US"/>
        </w:rPr>
        <w:t>To a</w:t>
      </w:r>
      <w:r w:rsidR="006B5425">
        <w:rPr>
          <w:lang w:val="en-US"/>
        </w:rPr>
        <w:t>mend</w:t>
      </w:r>
      <w:r w:rsidR="00652C45" w:rsidRPr="006B5425">
        <w:rPr>
          <w:lang w:val="en-US"/>
        </w:rPr>
        <w:t xml:space="preserve"> the descriptor for item 30324 to read: “Excision</w:t>
      </w:r>
      <w:r w:rsidR="006B5425">
        <w:rPr>
          <w:lang w:val="en-US"/>
        </w:rPr>
        <w:t xml:space="preserve"> of an adrenocortical tumour or </w:t>
      </w:r>
      <w:r w:rsidR="00652C45" w:rsidRPr="006B5425">
        <w:rPr>
          <w:lang w:val="en-US"/>
        </w:rPr>
        <w:t>hyperplasia via endoscopic or open approach. (Anaes.) (Assist.)”</w:t>
      </w:r>
    </w:p>
    <w:sectPr w:rsidR="00652C45" w:rsidRPr="006B5425" w:rsidSect="00B140C0">
      <w:footerReference w:type="default" r:id="rId7"/>
      <w:pgSz w:w="11906" w:h="16838"/>
      <w:pgMar w:top="1134" w:right="1440" w:bottom="1134" w:left="1440"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052BA" w14:textId="77777777" w:rsidR="008B1464" w:rsidRDefault="008B1464" w:rsidP="00932284">
      <w:r>
        <w:separator/>
      </w:r>
    </w:p>
    <w:p w14:paraId="7602B396" w14:textId="77777777" w:rsidR="008B1464" w:rsidRDefault="008B1464"/>
  </w:endnote>
  <w:endnote w:type="continuationSeparator" w:id="0">
    <w:p w14:paraId="6C0AF6D3" w14:textId="77777777" w:rsidR="008B1464" w:rsidRDefault="008B1464" w:rsidP="00932284">
      <w:r>
        <w:continuationSeparator/>
      </w:r>
    </w:p>
    <w:p w14:paraId="7BABFAAE" w14:textId="77777777" w:rsidR="008B1464" w:rsidRDefault="008B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9942" w14:textId="77777777" w:rsidR="005D4630" w:rsidRDefault="005D4630" w:rsidP="005D4630">
    <w:pPr>
      <w:pStyle w:val="Footer"/>
      <w:pBdr>
        <w:top w:val="single" w:sz="4" w:space="1" w:color="B56012"/>
      </w:pBdr>
      <w:tabs>
        <w:tab w:val="clear" w:pos="4513"/>
      </w:tabs>
      <w:jc w:val="center"/>
    </w:pPr>
    <w:r>
      <w:rPr>
        <w:color w:val="01653F"/>
        <w:sz w:val="16"/>
      </w:rPr>
      <w:t xml:space="preserve">Taskforce findings from the </w:t>
    </w:r>
    <w:r w:rsidR="005426A7">
      <w:rPr>
        <w:color w:val="01653F"/>
        <w:sz w:val="16"/>
      </w:rPr>
      <w:t>Endocrinology</w:t>
    </w:r>
    <w:r>
      <w:rPr>
        <w:color w:val="01653F"/>
        <w:sz w:val="16"/>
      </w:rPr>
      <w:t xml:space="preserve"> Clinical Committee Report</w:t>
    </w:r>
    <w:r>
      <w:rPr>
        <w:color w:val="01653F"/>
        <w:sz w:val="16"/>
      </w:rPr>
      <w:tab/>
    </w:r>
    <w:r w:rsidRPr="003B1222">
      <w:rPr>
        <w:color w:val="01653F"/>
        <w:sz w:val="16"/>
      </w:rPr>
      <w:t xml:space="preserve">Page </w:t>
    </w:r>
    <w:r w:rsidRPr="003B1222">
      <w:rPr>
        <w:rFonts w:eastAsiaTheme="minorHAnsi"/>
        <w:color w:val="01653F"/>
      </w:rPr>
      <w:fldChar w:fldCharType="begin"/>
    </w:r>
    <w:r w:rsidRPr="003B1222">
      <w:rPr>
        <w:color w:val="01653F"/>
      </w:rPr>
      <w:instrText xml:space="preserve"> PAGE   \* MERGEFORMAT </w:instrText>
    </w:r>
    <w:r w:rsidRPr="003B1222">
      <w:rPr>
        <w:rFonts w:eastAsiaTheme="minorHAnsi"/>
        <w:color w:val="01653F"/>
      </w:rPr>
      <w:fldChar w:fldCharType="separate"/>
    </w:r>
    <w:r w:rsidR="00C64C1E" w:rsidRPr="00C64C1E">
      <w:rPr>
        <w:rFonts w:eastAsiaTheme="majorEastAsia"/>
        <w:noProof/>
        <w:color w:val="01653F"/>
        <w:sz w:val="16"/>
      </w:rPr>
      <w:t>2</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B8749" w14:textId="77777777" w:rsidR="008B1464" w:rsidRDefault="008B1464" w:rsidP="00932284">
      <w:r>
        <w:separator/>
      </w:r>
    </w:p>
    <w:p w14:paraId="04D1FBF3" w14:textId="77777777" w:rsidR="008B1464" w:rsidRDefault="008B1464"/>
  </w:footnote>
  <w:footnote w:type="continuationSeparator" w:id="0">
    <w:p w14:paraId="5C6AC38A" w14:textId="77777777" w:rsidR="008B1464" w:rsidRDefault="008B1464" w:rsidP="00932284">
      <w:r>
        <w:continuationSeparator/>
      </w:r>
    </w:p>
    <w:p w14:paraId="06DC729B" w14:textId="77777777" w:rsidR="008B1464" w:rsidRDefault="008B14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DE7"/>
    <w:multiLevelType w:val="hybridMultilevel"/>
    <w:tmpl w:val="9F3E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C0709"/>
    <w:multiLevelType w:val="hybridMultilevel"/>
    <w:tmpl w:val="3556A630"/>
    <w:lvl w:ilvl="0" w:tplc="8FD0B3E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1686D"/>
    <w:multiLevelType w:val="hybridMultilevel"/>
    <w:tmpl w:val="C220F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23F30"/>
    <w:multiLevelType w:val="hybridMultilevel"/>
    <w:tmpl w:val="B97A1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863F9"/>
    <w:multiLevelType w:val="hybridMultilevel"/>
    <w:tmpl w:val="324CE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3C0923"/>
    <w:multiLevelType w:val="hybridMultilevel"/>
    <w:tmpl w:val="8DD2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21176"/>
    <w:multiLevelType w:val="hybridMultilevel"/>
    <w:tmpl w:val="3A7A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E1A41"/>
    <w:multiLevelType w:val="hybridMultilevel"/>
    <w:tmpl w:val="E3222C58"/>
    <w:lvl w:ilvl="0" w:tplc="FAEE1D38">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152EE6"/>
    <w:multiLevelType w:val="hybridMultilevel"/>
    <w:tmpl w:val="BDCAA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B73F2C"/>
    <w:multiLevelType w:val="multilevel"/>
    <w:tmpl w:val="E3EECD6E"/>
    <w:numStyleLink w:val="Style3"/>
  </w:abstractNum>
  <w:abstractNum w:abstractNumId="12" w15:restartNumberingAfterBreak="0">
    <w:nsid w:val="484416AB"/>
    <w:multiLevelType w:val="hybridMultilevel"/>
    <w:tmpl w:val="C914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25168"/>
    <w:multiLevelType w:val="hybridMultilevel"/>
    <w:tmpl w:val="72800EB6"/>
    <w:lvl w:ilvl="0" w:tplc="FAEE1D38">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1770642"/>
    <w:multiLevelType w:val="multilevel"/>
    <w:tmpl w:val="5798DB0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C574A11"/>
    <w:multiLevelType w:val="hybridMultilevel"/>
    <w:tmpl w:val="50DA3286"/>
    <w:lvl w:ilvl="0" w:tplc="C7BC209A">
      <w:start w:val="1"/>
      <w:numFmt w:val="bullet"/>
      <w:pStyle w:val="02dash"/>
      <w:lvlText w:val="‒"/>
      <w:lvlJc w:val="left"/>
      <w:pPr>
        <w:ind w:left="1080" w:hanging="360"/>
      </w:pPr>
      <w:rPr>
        <w:rFonts w:ascii="Arial" w:hAnsi="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E51251"/>
    <w:multiLevelType w:val="hybridMultilevel"/>
    <w:tmpl w:val="D0F4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54767"/>
    <w:multiLevelType w:val="hybridMultilevel"/>
    <w:tmpl w:val="FF561AD8"/>
    <w:lvl w:ilvl="0" w:tplc="8FD0B3E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54B0D"/>
    <w:multiLevelType w:val="hybridMultilevel"/>
    <w:tmpl w:val="FE1E8374"/>
    <w:lvl w:ilvl="0" w:tplc="638664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C54F9"/>
    <w:multiLevelType w:val="hybridMultilevel"/>
    <w:tmpl w:val="4228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8F0478"/>
    <w:multiLevelType w:val="hybridMultilevel"/>
    <w:tmpl w:val="5E461306"/>
    <w:lvl w:ilvl="0" w:tplc="0C090001">
      <w:start w:val="1"/>
      <w:numFmt w:val="bullet"/>
      <w:lvlText w:val=""/>
      <w:lvlJc w:val="left"/>
      <w:pPr>
        <w:ind w:left="720" w:hanging="360"/>
      </w:pPr>
      <w:rPr>
        <w:rFonts w:ascii="Symbol" w:hAnsi="Symbol" w:hint="default"/>
      </w:rPr>
    </w:lvl>
    <w:lvl w:ilvl="1" w:tplc="FAEE1D38">
      <w:start w:val="1"/>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8F07CB"/>
    <w:multiLevelType w:val="hybridMultilevel"/>
    <w:tmpl w:val="3EB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F12B6D"/>
    <w:multiLevelType w:val="multilevel"/>
    <w:tmpl w:val="E3EECD6E"/>
    <w:styleLink w:val="Style3"/>
    <w:lvl w:ilvl="0">
      <w:start w:val="1"/>
      <w:numFmt w:val="bullet"/>
      <w:pStyle w:val="01squarebullet"/>
      <w:lvlText w:val="Δ"/>
      <w:lvlJc w:val="left"/>
      <w:pPr>
        <w:ind w:left="360" w:hanging="360"/>
      </w:pPr>
      <w:rPr>
        <w:rFonts w:ascii="Calibri" w:hAnsi="Calibri"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4" w15:restartNumberingAfterBreak="0">
    <w:nsid w:val="7B2B6C41"/>
    <w:multiLevelType w:val="hybridMultilevel"/>
    <w:tmpl w:val="A48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22E03"/>
    <w:multiLevelType w:val="hybridMultilevel"/>
    <w:tmpl w:val="E2707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0575B2"/>
    <w:multiLevelType w:val="multilevel"/>
    <w:tmpl w:val="B44443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22"/>
  </w:num>
  <w:num w:numId="3">
    <w:abstractNumId w:val="26"/>
  </w:num>
  <w:num w:numId="4">
    <w:abstractNumId w:val="9"/>
  </w:num>
  <w:num w:numId="5">
    <w:abstractNumId w:val="19"/>
  </w:num>
  <w:num w:numId="6">
    <w:abstractNumId w:val="14"/>
  </w:num>
  <w:num w:numId="7">
    <w:abstractNumId w:val="5"/>
  </w:num>
  <w:num w:numId="8">
    <w:abstractNumId w:val="18"/>
  </w:num>
  <w:num w:numId="9">
    <w:abstractNumId w:val="17"/>
  </w:num>
  <w:num w:numId="10">
    <w:abstractNumId w:val="1"/>
  </w:num>
  <w:num w:numId="11">
    <w:abstractNumId w:val="15"/>
  </w:num>
  <w:num w:numId="12">
    <w:abstractNumId w:val="23"/>
  </w:num>
  <w:num w:numId="13">
    <w:abstractNumId w:val="11"/>
  </w:num>
  <w:num w:numId="14">
    <w:abstractNumId w:val="10"/>
  </w:num>
  <w:num w:numId="15">
    <w:abstractNumId w:val="7"/>
  </w:num>
  <w:num w:numId="16">
    <w:abstractNumId w:val="4"/>
  </w:num>
  <w:num w:numId="17">
    <w:abstractNumId w:val="12"/>
  </w:num>
  <w:num w:numId="18">
    <w:abstractNumId w:val="24"/>
  </w:num>
  <w:num w:numId="19">
    <w:abstractNumId w:val="16"/>
  </w:num>
  <w:num w:numId="20">
    <w:abstractNumId w:val="6"/>
  </w:num>
  <w:num w:numId="21">
    <w:abstractNumId w:val="3"/>
  </w:num>
  <w:num w:numId="22">
    <w:abstractNumId w:val="8"/>
  </w:num>
  <w:num w:numId="23">
    <w:abstractNumId w:val="25"/>
  </w:num>
  <w:num w:numId="24">
    <w:abstractNumId w:val="13"/>
  </w:num>
  <w:num w:numId="25">
    <w:abstractNumId w:val="0"/>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84"/>
    <w:rsid w:val="00003743"/>
    <w:rsid w:val="00067456"/>
    <w:rsid w:val="00086B59"/>
    <w:rsid w:val="000C0C62"/>
    <w:rsid w:val="000E20F9"/>
    <w:rsid w:val="00145C16"/>
    <w:rsid w:val="001663ED"/>
    <w:rsid w:val="001B3443"/>
    <w:rsid w:val="001D22B1"/>
    <w:rsid w:val="001F092B"/>
    <w:rsid w:val="001F3779"/>
    <w:rsid w:val="00206D0D"/>
    <w:rsid w:val="002622AB"/>
    <w:rsid w:val="00280E55"/>
    <w:rsid w:val="002A289E"/>
    <w:rsid w:val="002F3AE3"/>
    <w:rsid w:val="0030786C"/>
    <w:rsid w:val="0038228F"/>
    <w:rsid w:val="003914AB"/>
    <w:rsid w:val="003D17F9"/>
    <w:rsid w:val="004421D7"/>
    <w:rsid w:val="00445895"/>
    <w:rsid w:val="004867E2"/>
    <w:rsid w:val="005426A7"/>
    <w:rsid w:val="00583D03"/>
    <w:rsid w:val="005D4630"/>
    <w:rsid w:val="00652C45"/>
    <w:rsid w:val="00655C0E"/>
    <w:rsid w:val="006663DA"/>
    <w:rsid w:val="00672D28"/>
    <w:rsid w:val="006A506F"/>
    <w:rsid w:val="006B346A"/>
    <w:rsid w:val="006B5425"/>
    <w:rsid w:val="006C3104"/>
    <w:rsid w:val="006E7A95"/>
    <w:rsid w:val="007074E9"/>
    <w:rsid w:val="00734752"/>
    <w:rsid w:val="00747537"/>
    <w:rsid w:val="00781E9D"/>
    <w:rsid w:val="007A5BE2"/>
    <w:rsid w:val="007A61C0"/>
    <w:rsid w:val="00803C1F"/>
    <w:rsid w:val="008264EB"/>
    <w:rsid w:val="008456FD"/>
    <w:rsid w:val="00871C17"/>
    <w:rsid w:val="008969D4"/>
    <w:rsid w:val="008A0FB2"/>
    <w:rsid w:val="008B1464"/>
    <w:rsid w:val="008C68FC"/>
    <w:rsid w:val="00905CFC"/>
    <w:rsid w:val="00932284"/>
    <w:rsid w:val="00A22898"/>
    <w:rsid w:val="00A357C5"/>
    <w:rsid w:val="00A4512D"/>
    <w:rsid w:val="00A55930"/>
    <w:rsid w:val="00A57FD3"/>
    <w:rsid w:val="00A705AF"/>
    <w:rsid w:val="00AB469A"/>
    <w:rsid w:val="00AE5677"/>
    <w:rsid w:val="00B140C0"/>
    <w:rsid w:val="00B24B97"/>
    <w:rsid w:val="00B42851"/>
    <w:rsid w:val="00B90F18"/>
    <w:rsid w:val="00C10D3E"/>
    <w:rsid w:val="00C64C1E"/>
    <w:rsid w:val="00CB5B1A"/>
    <w:rsid w:val="00CD3D5E"/>
    <w:rsid w:val="00D74DE9"/>
    <w:rsid w:val="00D7697A"/>
    <w:rsid w:val="00DE1E46"/>
    <w:rsid w:val="00E2678D"/>
    <w:rsid w:val="00E708F3"/>
    <w:rsid w:val="00EC0E75"/>
    <w:rsid w:val="00F03A9C"/>
    <w:rsid w:val="00F1784C"/>
    <w:rsid w:val="00F339E7"/>
    <w:rsid w:val="00FA3283"/>
    <w:rsid w:val="00FC4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D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E9"/>
    <w:pPr>
      <w:spacing w:before="120" w:after="120" w:line="360" w:lineRule="auto"/>
    </w:pPr>
    <w:rPr>
      <w:rFonts w:asciiTheme="minorHAnsi" w:hAnsiTheme="minorHAnsi"/>
      <w:sz w:val="22"/>
      <w:szCs w:val="24"/>
      <w:lang w:eastAsia="en-US"/>
    </w:rPr>
  </w:style>
  <w:style w:type="paragraph" w:styleId="Heading1">
    <w:name w:val="heading 1"/>
    <w:basedOn w:val="Normal"/>
    <w:next w:val="Normal"/>
    <w:qFormat/>
    <w:rsid w:val="00A22898"/>
    <w:pPr>
      <w:keepNext/>
      <w:spacing w:line="276" w:lineRule="auto"/>
      <w:ind w:left="567" w:hanging="567"/>
      <w:outlineLvl w:val="0"/>
    </w:pPr>
    <w:rPr>
      <w:rFonts w:eastAsiaTheme="minorHAnsi" w:cs="Arial"/>
      <w:b/>
      <w:bCs/>
      <w:color w:val="01653F"/>
      <w:kern w:val="32"/>
      <w:sz w:val="32"/>
      <w:szCs w:val="28"/>
      <w:lang w:val="en-US"/>
    </w:rPr>
  </w:style>
  <w:style w:type="paragraph" w:styleId="Heading2">
    <w:name w:val="heading 2"/>
    <w:basedOn w:val="Normal"/>
    <w:next w:val="Normal"/>
    <w:qFormat/>
    <w:rsid w:val="007074E9"/>
    <w:pPr>
      <w:keepNext/>
      <w:spacing w:before="180" w:after="60"/>
      <w:contextualSpacing/>
      <w:outlineLvl w:val="1"/>
    </w:pPr>
    <w:rPr>
      <w:b/>
      <w:szCs w:val="22"/>
      <w:lang w:val="en-US"/>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E2678D"/>
    <w:pPr>
      <w:keepNext/>
      <w:keepLines/>
      <w:spacing w:before="200" w:after="60" w:line="312"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E2678D"/>
    <w:pPr>
      <w:keepNext/>
      <w:keepLines/>
      <w:spacing w:before="200" w:after="60" w:line="312"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E2678D"/>
    <w:pPr>
      <w:keepNext/>
      <w:keepLines/>
      <w:spacing w:before="200" w:after="60" w:line="312"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22898"/>
    <w:pPr>
      <w:pBdr>
        <w:top w:val="double" w:sz="12" w:space="31" w:color="B66113"/>
        <w:bottom w:val="double" w:sz="12" w:space="1" w:color="B66113"/>
      </w:pBdr>
      <w:jc w:val="center"/>
    </w:pPr>
    <w:rPr>
      <w:rFonts w:cs="Arial"/>
      <w:b/>
      <w:color w:val="01653F"/>
      <w:spacing w:val="5"/>
      <w:sz w:val="44"/>
      <w:szCs w:val="48"/>
      <w:lang w:eastAsia="en-AU"/>
    </w:rPr>
  </w:style>
  <w:style w:type="character" w:customStyle="1" w:styleId="SubtitleChar">
    <w:name w:val="Subtitle Char"/>
    <w:basedOn w:val="DefaultParagraphFont"/>
    <w:link w:val="Subtitle"/>
    <w:rsid w:val="00A22898"/>
    <w:rPr>
      <w:rFonts w:asciiTheme="minorHAnsi" w:hAnsiTheme="minorHAnsi" w:cs="Arial"/>
      <w:b/>
      <w:color w:val="01653F"/>
      <w:spacing w:val="5"/>
      <w:sz w:val="44"/>
      <w:szCs w:val="48"/>
    </w:rPr>
  </w:style>
  <w:style w:type="paragraph" w:styleId="Title">
    <w:name w:val="Title"/>
    <w:basedOn w:val="Normal"/>
    <w:next w:val="Normal"/>
    <w:link w:val="TitleChar"/>
    <w:qFormat/>
    <w:rsid w:val="00A22898"/>
    <w:pPr>
      <w:pBdr>
        <w:top w:val="double" w:sz="12" w:space="31" w:color="B66113"/>
        <w:bottom w:val="double" w:sz="12" w:space="1" w:color="B66113"/>
      </w:pBdr>
      <w:spacing w:before="240" w:line="312" w:lineRule="auto"/>
      <w:contextualSpacing/>
      <w:jc w:val="center"/>
    </w:pPr>
    <w:rPr>
      <w:rFonts w:cs="Arial"/>
      <w:b/>
      <w:spacing w:val="5"/>
      <w:sz w:val="52"/>
      <w:szCs w:val="60"/>
      <w:lang w:eastAsia="en-AU"/>
    </w:rPr>
  </w:style>
  <w:style w:type="character" w:customStyle="1" w:styleId="TitleChar">
    <w:name w:val="Title Char"/>
    <w:basedOn w:val="DefaultParagraphFont"/>
    <w:link w:val="Title"/>
    <w:rsid w:val="00A22898"/>
    <w:rPr>
      <w:rFonts w:asciiTheme="minorHAnsi" w:hAnsiTheme="minorHAnsi" w:cs="Arial"/>
      <w:b/>
      <w:spacing w:val="5"/>
      <w:sz w:val="52"/>
      <w:szCs w:val="60"/>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932284"/>
    <w:rPr>
      <w:sz w:val="24"/>
      <w:szCs w:val="24"/>
      <w:lang w:eastAsia="en-US"/>
    </w:rPr>
  </w:style>
  <w:style w:type="paragraph" w:styleId="Header">
    <w:name w:val="header"/>
    <w:basedOn w:val="Normal"/>
    <w:link w:val="HeaderChar"/>
    <w:rsid w:val="00932284"/>
    <w:pPr>
      <w:tabs>
        <w:tab w:val="center" w:pos="4513"/>
        <w:tab w:val="right" w:pos="9026"/>
      </w:tabs>
    </w:pPr>
  </w:style>
  <w:style w:type="character" w:customStyle="1" w:styleId="HeaderChar">
    <w:name w:val="Header Char"/>
    <w:basedOn w:val="DefaultParagraphFont"/>
    <w:link w:val="Header"/>
    <w:rsid w:val="00932284"/>
    <w:rPr>
      <w:sz w:val="24"/>
      <w:szCs w:val="24"/>
      <w:lang w:eastAsia="en-US"/>
    </w:rPr>
  </w:style>
  <w:style w:type="paragraph" w:styleId="Footer">
    <w:name w:val="footer"/>
    <w:basedOn w:val="Normal"/>
    <w:link w:val="FooterChar"/>
    <w:uiPriority w:val="99"/>
    <w:rsid w:val="00932284"/>
    <w:pPr>
      <w:tabs>
        <w:tab w:val="center" w:pos="4513"/>
        <w:tab w:val="right" w:pos="9026"/>
      </w:tabs>
    </w:pPr>
  </w:style>
  <w:style w:type="character" w:customStyle="1" w:styleId="FooterChar">
    <w:name w:val="Footer Char"/>
    <w:basedOn w:val="DefaultParagraphFont"/>
    <w:link w:val="Footer"/>
    <w:uiPriority w:val="99"/>
    <w:rsid w:val="00932284"/>
    <w:rPr>
      <w:sz w:val="24"/>
      <w:szCs w:val="24"/>
      <w:lang w:eastAsia="en-US"/>
    </w:rPr>
  </w:style>
  <w:style w:type="table" w:styleId="TableGrid">
    <w:name w:val="Table Grid"/>
    <w:basedOn w:val="TableNormal"/>
    <w:uiPriority w:val="59"/>
    <w:rsid w:val="00E2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E2678D"/>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678D"/>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678D"/>
    <w:rPr>
      <w:rFonts w:asciiTheme="majorHAnsi" w:eastAsiaTheme="majorEastAsia" w:hAnsiTheme="majorHAnsi" w:cstheme="majorBidi"/>
      <w:i/>
      <w:iCs/>
      <w:color w:val="404040" w:themeColor="text1" w:themeTint="BF"/>
      <w:lang w:val="en-US" w:eastAsia="en-US"/>
    </w:rPr>
  </w:style>
  <w:style w:type="paragraph" w:customStyle="1" w:styleId="Heading3Numbered">
    <w:name w:val="Heading 3 Numbered"/>
    <w:basedOn w:val="Heading2"/>
    <w:qFormat/>
    <w:rsid w:val="00E2678D"/>
    <w:pPr>
      <w:spacing w:before="120" w:after="120" w:line="312" w:lineRule="auto"/>
      <w:ind w:left="720" w:hanging="720"/>
      <w:outlineLvl w:val="2"/>
    </w:pPr>
    <w:rPr>
      <w:rFonts w:eastAsiaTheme="minorHAnsi"/>
      <w:color w:val="B56011"/>
    </w:rPr>
  </w:style>
  <w:style w:type="paragraph" w:customStyle="1" w:styleId="NormalBulleted">
    <w:name w:val="Normal Bulleted"/>
    <w:basedOn w:val="ListContinue"/>
    <w:link w:val="NormalBulletedChar"/>
    <w:qFormat/>
    <w:rsid w:val="00E2678D"/>
    <w:pPr>
      <w:numPr>
        <w:numId w:val="5"/>
      </w:numPr>
      <w:spacing w:before="180" w:line="312" w:lineRule="auto"/>
    </w:pPr>
    <w:rPr>
      <w:lang w:eastAsia="en-AU"/>
    </w:rPr>
  </w:style>
  <w:style w:type="character" w:customStyle="1" w:styleId="NormalBulletedChar">
    <w:name w:val="Normal Bulleted Char"/>
    <w:basedOn w:val="DefaultParagraphFont"/>
    <w:link w:val="NormalBulleted"/>
    <w:rsid w:val="00E2678D"/>
    <w:rPr>
      <w:rFonts w:asciiTheme="minorHAnsi" w:hAnsiTheme="minorHAnsi"/>
      <w:sz w:val="22"/>
      <w:szCs w:val="24"/>
    </w:rPr>
  </w:style>
  <w:style w:type="paragraph" w:customStyle="1" w:styleId="Bullet2">
    <w:name w:val="Bullet 2"/>
    <w:basedOn w:val="ListParagraph"/>
    <w:rsid w:val="00E2678D"/>
    <w:pPr>
      <w:numPr>
        <w:ilvl w:val="1"/>
        <w:numId w:val="4"/>
      </w:numPr>
      <w:spacing w:after="60" w:line="312" w:lineRule="auto"/>
      <w:contextualSpacing w:val="0"/>
    </w:pPr>
    <w:rPr>
      <w:rFonts w:eastAsiaTheme="minorHAnsi" w:cs="Arial"/>
      <w:szCs w:val="22"/>
      <w:lang w:eastAsia="en-AU"/>
    </w:rPr>
  </w:style>
  <w:style w:type="paragraph" w:styleId="ListContinue">
    <w:name w:val="List Continue"/>
    <w:basedOn w:val="Normal"/>
    <w:rsid w:val="00E2678D"/>
    <w:pPr>
      <w:ind w:left="283"/>
      <w:contextualSpacing/>
    </w:pPr>
  </w:style>
  <w:style w:type="paragraph" w:customStyle="1" w:styleId="AppendixStyle1">
    <w:name w:val="Appendix Style 1"/>
    <w:basedOn w:val="Normal"/>
    <w:next w:val="Normal"/>
    <w:qFormat/>
    <w:rsid w:val="005D4630"/>
    <w:pPr>
      <w:numPr>
        <w:numId w:val="7"/>
      </w:numPr>
      <w:spacing w:line="312" w:lineRule="auto"/>
      <w:outlineLvl w:val="0"/>
    </w:pPr>
    <w:rPr>
      <w:rFonts w:cs="Arial"/>
      <w:b/>
      <w:color w:val="016500"/>
      <w:sz w:val="32"/>
      <w:lang w:val="en-US"/>
    </w:rPr>
  </w:style>
  <w:style w:type="character" w:styleId="CommentReference">
    <w:name w:val="annotation reference"/>
    <w:basedOn w:val="DefaultParagraphFont"/>
    <w:rsid w:val="00583D03"/>
    <w:rPr>
      <w:sz w:val="16"/>
      <w:szCs w:val="16"/>
    </w:rPr>
  </w:style>
  <w:style w:type="paragraph" w:styleId="CommentText">
    <w:name w:val="annotation text"/>
    <w:basedOn w:val="Normal"/>
    <w:link w:val="CommentTextChar"/>
    <w:rsid w:val="00583D03"/>
    <w:rPr>
      <w:sz w:val="20"/>
      <w:szCs w:val="20"/>
    </w:rPr>
  </w:style>
  <w:style w:type="character" w:customStyle="1" w:styleId="CommentTextChar">
    <w:name w:val="Comment Text Char"/>
    <w:basedOn w:val="DefaultParagraphFont"/>
    <w:link w:val="CommentText"/>
    <w:rsid w:val="00583D03"/>
    <w:rPr>
      <w:lang w:eastAsia="en-US"/>
    </w:rPr>
  </w:style>
  <w:style w:type="paragraph" w:styleId="CommentSubject">
    <w:name w:val="annotation subject"/>
    <w:basedOn w:val="CommentText"/>
    <w:next w:val="CommentText"/>
    <w:link w:val="CommentSubjectChar"/>
    <w:rsid w:val="00583D03"/>
    <w:rPr>
      <w:b/>
      <w:bCs/>
    </w:rPr>
  </w:style>
  <w:style w:type="character" w:customStyle="1" w:styleId="CommentSubjectChar">
    <w:name w:val="Comment Subject Char"/>
    <w:basedOn w:val="CommentTextChar"/>
    <w:link w:val="CommentSubject"/>
    <w:rsid w:val="00583D03"/>
    <w:rPr>
      <w:b/>
      <w:bCs/>
      <w:lang w:eastAsia="en-US"/>
    </w:rPr>
  </w:style>
  <w:style w:type="paragraph" w:styleId="BalloonText">
    <w:name w:val="Balloon Text"/>
    <w:basedOn w:val="Normal"/>
    <w:link w:val="BalloonTextChar"/>
    <w:rsid w:val="00583D03"/>
    <w:rPr>
      <w:rFonts w:ascii="Tahoma" w:hAnsi="Tahoma" w:cs="Tahoma"/>
      <w:sz w:val="16"/>
      <w:szCs w:val="16"/>
    </w:rPr>
  </w:style>
  <w:style w:type="character" w:customStyle="1" w:styleId="BalloonTextChar">
    <w:name w:val="Balloon Text Char"/>
    <w:basedOn w:val="DefaultParagraphFont"/>
    <w:link w:val="BalloonText"/>
    <w:rsid w:val="00583D03"/>
    <w:rPr>
      <w:rFonts w:ascii="Tahoma" w:hAnsi="Tahoma" w:cs="Tahoma"/>
      <w:sz w:val="16"/>
      <w:szCs w:val="16"/>
      <w:lang w:eastAsia="en-US"/>
    </w:rPr>
  </w:style>
  <w:style w:type="paragraph" w:styleId="EndnoteText">
    <w:name w:val="endnote text"/>
    <w:basedOn w:val="Normal"/>
    <w:link w:val="EndnoteTextChar"/>
    <w:rsid w:val="00F03A9C"/>
    <w:pPr>
      <w:spacing w:before="0" w:after="0"/>
    </w:pPr>
    <w:rPr>
      <w:sz w:val="20"/>
      <w:szCs w:val="20"/>
    </w:rPr>
  </w:style>
  <w:style w:type="character" w:customStyle="1" w:styleId="EndnoteTextChar">
    <w:name w:val="Endnote Text Char"/>
    <w:basedOn w:val="DefaultParagraphFont"/>
    <w:link w:val="EndnoteText"/>
    <w:rsid w:val="00F03A9C"/>
    <w:rPr>
      <w:rFonts w:asciiTheme="minorHAnsi" w:hAnsiTheme="minorHAnsi"/>
      <w:lang w:eastAsia="en-US"/>
    </w:rPr>
  </w:style>
  <w:style w:type="character" w:styleId="EndnoteReference">
    <w:name w:val="endnote reference"/>
    <w:basedOn w:val="DefaultParagraphFont"/>
    <w:rsid w:val="00F03A9C"/>
    <w:rPr>
      <w:vertAlign w:val="superscript"/>
    </w:rPr>
  </w:style>
  <w:style w:type="paragraph" w:styleId="FootnoteText">
    <w:name w:val="footnote text"/>
    <w:basedOn w:val="Normal"/>
    <w:link w:val="FootnoteTextChar"/>
    <w:uiPriority w:val="99"/>
    <w:unhideWhenUsed/>
    <w:rsid w:val="006C3104"/>
    <w:pPr>
      <w:spacing w:before="0" w:after="0"/>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6C3104"/>
    <w:rPr>
      <w:rFonts w:eastAsiaTheme="minorHAnsi" w:cstheme="minorBidi"/>
      <w:lang w:eastAsia="en-US"/>
    </w:rPr>
  </w:style>
  <w:style w:type="character" w:styleId="FootnoteReference">
    <w:name w:val="footnote reference"/>
    <w:basedOn w:val="DefaultParagraphFont"/>
    <w:uiPriority w:val="99"/>
    <w:rsid w:val="006C3104"/>
    <w:rPr>
      <w:vertAlign w:val="superscript"/>
    </w:rPr>
  </w:style>
  <w:style w:type="paragraph" w:customStyle="1" w:styleId="01squarebullet">
    <w:name w:val="01 square bullet"/>
    <w:basedOn w:val="Normal"/>
    <w:uiPriority w:val="4"/>
    <w:qFormat/>
    <w:rsid w:val="006C3104"/>
    <w:pPr>
      <w:numPr>
        <w:numId w:val="13"/>
      </w:numPr>
      <w:spacing w:after="60"/>
      <w:ind w:right="142"/>
    </w:pPr>
    <w:rPr>
      <w:szCs w:val="20"/>
      <w:lang w:val="en-US"/>
    </w:rPr>
  </w:style>
  <w:style w:type="paragraph" w:customStyle="1" w:styleId="02dash">
    <w:name w:val="02 dash"/>
    <w:basedOn w:val="01squarebullet"/>
    <w:uiPriority w:val="5"/>
    <w:qFormat/>
    <w:rsid w:val="006C3104"/>
    <w:pPr>
      <w:numPr>
        <w:numId w:val="11"/>
      </w:numPr>
      <w:tabs>
        <w:tab w:val="left" w:pos="646"/>
      </w:tabs>
      <w:ind w:left="641" w:hanging="284"/>
    </w:pPr>
  </w:style>
  <w:style w:type="paragraph" w:customStyle="1" w:styleId="Boldhdg">
    <w:name w:val="Bold hdg"/>
    <w:basedOn w:val="Normal"/>
    <w:link w:val="BoldhdgChar"/>
    <w:uiPriority w:val="7"/>
    <w:qFormat/>
    <w:rsid w:val="006C3104"/>
    <w:pPr>
      <w:keepNext/>
      <w:spacing w:before="320" w:after="60"/>
    </w:pPr>
    <w:rPr>
      <w:rFonts w:eastAsiaTheme="minorHAnsi" w:cs="Arial"/>
      <w:b/>
      <w:sz w:val="24"/>
      <w:lang w:val="en-GB"/>
    </w:rPr>
  </w:style>
  <w:style w:type="character" w:customStyle="1" w:styleId="BoldhdgChar">
    <w:name w:val="Bold hdg Char"/>
    <w:basedOn w:val="DefaultParagraphFont"/>
    <w:link w:val="Boldhdg"/>
    <w:uiPriority w:val="7"/>
    <w:rsid w:val="006C3104"/>
    <w:rPr>
      <w:rFonts w:asciiTheme="minorHAnsi" w:eastAsiaTheme="minorHAnsi" w:hAnsiTheme="minorHAnsi" w:cs="Arial"/>
      <w:b/>
      <w:sz w:val="24"/>
      <w:szCs w:val="24"/>
      <w:lang w:val="en-GB" w:eastAsia="en-US"/>
    </w:rPr>
  </w:style>
  <w:style w:type="numbering" w:customStyle="1" w:styleId="Style3">
    <w:name w:val="Style3"/>
    <w:uiPriority w:val="99"/>
    <w:rsid w:val="006C310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8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6432</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Taskforce Findings</vt:lpstr>
    </vt:vector>
  </TitlesOfParts>
  <Manager/>
  <Company/>
  <LinksUpToDate>false</LinksUpToDate>
  <CharactersWithSpaces>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Endocrinology Clinical Committee Report</dc:title>
  <dc:subject>MBS Review, Medicare</dc:subject>
  <dc:creator/>
  <cp:keywords/>
  <dc:description/>
  <cp:lastModifiedBy/>
  <cp:revision>1</cp:revision>
  <dcterms:created xsi:type="dcterms:W3CDTF">2018-04-04T02:07:00Z</dcterms:created>
  <dcterms:modified xsi:type="dcterms:W3CDTF">2021-05-28T05:50:00Z</dcterms:modified>
  <cp:category/>
</cp:coreProperties>
</file>