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D5285" w14:textId="77777777" w:rsidR="00FC233A" w:rsidRPr="00932284" w:rsidRDefault="00FC233A" w:rsidP="00FC233A">
      <w:pPr>
        <w:pBdr>
          <w:top w:val="double" w:sz="12" w:space="31" w:color="B66113"/>
          <w:bottom w:val="double" w:sz="12" w:space="1" w:color="B66113"/>
        </w:pBdr>
        <w:spacing w:line="312" w:lineRule="auto"/>
        <w:jc w:val="center"/>
        <w:rPr>
          <w:rFonts w:asciiTheme="minorHAnsi" w:hAnsiTheme="minorHAnsi" w:cs="Arial"/>
          <w:b/>
          <w:color w:val="01653F"/>
          <w:spacing w:val="5"/>
          <w:sz w:val="44"/>
          <w:szCs w:val="48"/>
          <w:lang w:eastAsia="en-AU"/>
        </w:rPr>
      </w:pPr>
      <w:r w:rsidRPr="00932284">
        <w:rPr>
          <w:rFonts w:asciiTheme="minorHAnsi" w:hAnsiTheme="minorHAnsi" w:cs="Arial"/>
          <w:b/>
          <w:color w:val="01653F"/>
          <w:spacing w:val="5"/>
          <w:sz w:val="44"/>
          <w:szCs w:val="48"/>
          <w:lang w:eastAsia="en-AU"/>
        </w:rPr>
        <w:t>Medicare Benefits Schedule Review Taskforce</w:t>
      </w:r>
    </w:p>
    <w:p w14:paraId="268384BF" w14:textId="77777777" w:rsidR="001F1958" w:rsidRDefault="00FC233A" w:rsidP="00FC233A">
      <w:pPr>
        <w:pBdr>
          <w:top w:val="double" w:sz="12" w:space="31" w:color="B66113"/>
          <w:bottom w:val="double" w:sz="12" w:space="1" w:color="B66113"/>
        </w:pBdr>
        <w:spacing w:before="840" w:after="360" w:line="312" w:lineRule="auto"/>
        <w:contextualSpacing/>
        <w:jc w:val="center"/>
        <w:rPr>
          <w:rFonts w:asciiTheme="minorHAnsi" w:hAnsiTheme="minorHAnsi" w:cs="Arial"/>
          <w:b/>
          <w:spacing w:val="5"/>
          <w:sz w:val="52"/>
          <w:szCs w:val="60"/>
          <w:lang w:eastAsia="en-AU"/>
        </w:rPr>
      </w:pPr>
      <w:r>
        <w:rPr>
          <w:rFonts w:asciiTheme="minorHAnsi" w:hAnsiTheme="minorHAnsi" w:cs="Arial"/>
          <w:b/>
          <w:spacing w:val="5"/>
          <w:sz w:val="52"/>
          <w:szCs w:val="60"/>
          <w:lang w:eastAsia="en-AU"/>
        </w:rPr>
        <w:t>Ear, Nose and Throat Surgery</w:t>
      </w:r>
      <w:r w:rsidRPr="00932284">
        <w:rPr>
          <w:rFonts w:asciiTheme="minorHAnsi" w:hAnsiTheme="minorHAnsi" w:cs="Arial"/>
          <w:b/>
          <w:spacing w:val="5"/>
          <w:sz w:val="52"/>
          <w:szCs w:val="60"/>
          <w:lang w:eastAsia="en-AU"/>
        </w:rPr>
        <w:t xml:space="preserve"> </w:t>
      </w:r>
    </w:p>
    <w:p w14:paraId="1E88515B" w14:textId="77777777" w:rsidR="00FC233A" w:rsidRPr="00E2678D" w:rsidRDefault="00FC233A" w:rsidP="00FC233A">
      <w:pPr>
        <w:pBdr>
          <w:top w:val="double" w:sz="12" w:space="31" w:color="B66113"/>
          <w:bottom w:val="double" w:sz="12" w:space="1" w:color="B66113"/>
        </w:pBdr>
        <w:spacing w:before="840" w:after="360" w:line="312" w:lineRule="auto"/>
        <w:contextualSpacing/>
        <w:jc w:val="center"/>
        <w:rPr>
          <w:rFonts w:asciiTheme="minorHAnsi" w:hAnsiTheme="minorHAnsi" w:cs="Arial"/>
          <w:b/>
          <w:spacing w:val="5"/>
          <w:sz w:val="52"/>
          <w:szCs w:val="60"/>
          <w:lang w:eastAsia="en-AU"/>
        </w:rPr>
      </w:pPr>
      <w:r w:rsidRPr="00932284">
        <w:rPr>
          <w:rFonts w:asciiTheme="minorHAnsi" w:hAnsiTheme="minorHAnsi" w:cs="Arial"/>
          <w:b/>
          <w:spacing w:val="5"/>
          <w:sz w:val="52"/>
          <w:szCs w:val="60"/>
          <w:lang w:eastAsia="en-AU"/>
        </w:rPr>
        <w:t>Clinical Committee</w:t>
      </w:r>
      <w:r w:rsidRPr="00E2678D">
        <w:rPr>
          <w:rFonts w:asciiTheme="minorHAnsi" w:hAnsiTheme="minorHAnsi" w:cs="Arial"/>
          <w:b/>
          <w:spacing w:val="5"/>
          <w:sz w:val="52"/>
          <w:szCs w:val="60"/>
          <w:lang w:eastAsia="en-AU"/>
        </w:rPr>
        <w:t xml:space="preserve"> Report</w:t>
      </w:r>
    </w:p>
    <w:p w14:paraId="6EA5CBD9" w14:textId="77777777" w:rsidR="00FC233A" w:rsidRDefault="00FC233A" w:rsidP="00FC233A">
      <w:pPr>
        <w:pBdr>
          <w:top w:val="double" w:sz="12" w:space="31" w:color="B66113"/>
          <w:bottom w:val="double" w:sz="12" w:space="1" w:color="B66113"/>
        </w:pBdr>
        <w:spacing w:before="840" w:after="360" w:line="312" w:lineRule="auto"/>
        <w:contextualSpacing/>
        <w:jc w:val="center"/>
        <w:rPr>
          <w:rFonts w:asciiTheme="minorHAnsi" w:hAnsiTheme="minorHAnsi" w:cs="Arial"/>
          <w:b/>
          <w:spacing w:val="5"/>
          <w:sz w:val="56"/>
          <w:szCs w:val="60"/>
          <w:lang w:eastAsia="en-AU"/>
        </w:rPr>
      </w:pPr>
      <w:r>
        <w:rPr>
          <w:rFonts w:asciiTheme="minorHAnsi" w:hAnsiTheme="minorHAnsi" w:cs="Arial"/>
          <w:b/>
          <w:spacing w:val="5"/>
          <w:sz w:val="56"/>
          <w:szCs w:val="60"/>
          <w:lang w:eastAsia="en-AU"/>
        </w:rPr>
        <w:t>Taskforce Findings</w:t>
      </w:r>
    </w:p>
    <w:p w14:paraId="698A4216" w14:textId="77777777" w:rsidR="00FC233A" w:rsidRDefault="00FC233A" w:rsidP="00FC233A">
      <w:pPr>
        <w:spacing w:before="240"/>
        <w:rPr>
          <w:rFonts w:asciiTheme="minorHAnsi" w:hAnsiTheme="minorHAnsi" w:cs="Arial"/>
          <w:color w:val="000000" w:themeColor="text1"/>
          <w:sz w:val="22"/>
        </w:rPr>
      </w:pPr>
    </w:p>
    <w:p w14:paraId="78162260" w14:textId="77777777" w:rsidR="00FC233A" w:rsidRPr="00AB469A" w:rsidRDefault="00FC233A" w:rsidP="00FC233A">
      <w:pPr>
        <w:spacing w:before="240" w:after="240"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B469A">
        <w:rPr>
          <w:rFonts w:asciiTheme="minorHAnsi" w:hAnsiTheme="minorHAnsi" w:cs="Arial"/>
          <w:color w:val="000000" w:themeColor="text1"/>
          <w:sz w:val="22"/>
          <w:szCs w:val="22"/>
        </w:rPr>
        <w:t>This document outlines</w:t>
      </w:r>
      <w:r w:rsidR="001F1958" w:rsidRPr="001F1958">
        <w:rPr>
          <w:rFonts w:asciiTheme="minorHAnsi" w:hAnsiTheme="minorHAnsi" w:cs="Arial"/>
          <w:color w:val="000000" w:themeColor="text1"/>
          <w:sz w:val="22"/>
          <w:szCs w:val="22"/>
        </w:rPr>
        <w:t xml:space="preserve"> the Medicare Benefits Schedule (MBS) Taskforce’s recommendations relating to tonsillectomy, adenoidectomy and the insertion of grommets. </w:t>
      </w:r>
      <w:r w:rsidR="001F1958" w:rsidRPr="001F1958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The Taskforce notes that this follows the initial, but yet to be completed, review of </w:t>
      </w:r>
      <w:r w:rsidR="001F1958">
        <w:rPr>
          <w:rFonts w:asciiTheme="minorHAnsi" w:hAnsiTheme="minorHAnsi" w:cs="Arial"/>
          <w:b/>
          <w:color w:val="000000" w:themeColor="text1"/>
          <w:sz w:val="22"/>
          <w:szCs w:val="22"/>
        </w:rPr>
        <w:t>ear, nose and throat</w:t>
      </w:r>
      <w:r w:rsidR="001F1958" w:rsidRPr="001F1958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services.</w:t>
      </w:r>
    </w:p>
    <w:p w14:paraId="0431BBA8" w14:textId="77777777" w:rsidR="00FC233A" w:rsidRPr="00AB469A" w:rsidRDefault="00FC233A" w:rsidP="00FC233A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B469A">
        <w:rPr>
          <w:rFonts w:asciiTheme="minorHAnsi" w:hAnsiTheme="minorHAnsi" w:cs="Arial"/>
          <w:color w:val="000000" w:themeColor="text1"/>
          <w:sz w:val="22"/>
          <w:szCs w:val="22"/>
        </w:rPr>
        <w:t>The</w:t>
      </w:r>
      <w:r w:rsidR="001F1958" w:rsidRPr="001F1958">
        <w:rPr>
          <w:rFonts w:asciiTheme="minorHAnsi" w:hAnsiTheme="minorHAnsi" w:cs="Arial"/>
          <w:color w:val="000000" w:themeColor="text1"/>
          <w:sz w:val="22"/>
          <w:szCs w:val="22"/>
        </w:rPr>
        <w:t xml:space="preserve"> MBS Taskforce considered the recommendations from the Ear, Nose and Throat Surgery Clinical Committee and feedback from public consultation</w:t>
      </w:r>
      <w:r w:rsidR="001F1958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="001F1958" w:rsidRPr="001F1958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page" w:tblpX="6848" w:tblpY="56"/>
        <w:tblW w:w="2298" w:type="pct"/>
        <w:tblBorders>
          <w:top w:val="single" w:sz="4" w:space="0" w:color="B56012"/>
          <w:left w:val="none" w:sz="0" w:space="0" w:color="auto"/>
          <w:bottom w:val="single" w:sz="4" w:space="0" w:color="B56012"/>
          <w:right w:val="none" w:sz="0" w:space="0" w:color="auto"/>
          <w:insideH w:val="single" w:sz="4" w:space="0" w:color="B56012"/>
          <w:insideV w:val="none" w:sz="0" w:space="0" w:color="auto"/>
        </w:tblBorders>
        <w:tblLook w:val="04A0" w:firstRow="1" w:lastRow="0" w:firstColumn="1" w:lastColumn="0" w:noHBand="0" w:noVBand="1"/>
        <w:tblDescription w:val="Table 1 lists the panel members for the Obstetrics Clinical Committee and their positions. The table also shows that they have no declared conflicts of interest."/>
      </w:tblPr>
      <w:tblGrid>
        <w:gridCol w:w="3085"/>
        <w:gridCol w:w="832"/>
      </w:tblGrid>
      <w:tr w:rsidR="00FC233A" w:rsidRPr="00AB469A" w14:paraId="4FAF9924" w14:textId="77777777" w:rsidTr="00B26446">
        <w:trPr>
          <w:trHeight w:val="208"/>
          <w:tblHeader/>
        </w:trPr>
        <w:tc>
          <w:tcPr>
            <w:tcW w:w="3938" w:type="pct"/>
            <w:shd w:val="clear" w:color="auto" w:fill="FFFFFF" w:themeFill="background1"/>
          </w:tcPr>
          <w:p w14:paraId="02F8DC66" w14:textId="77777777" w:rsidR="00FC233A" w:rsidRPr="00AB469A" w:rsidRDefault="00FC233A" w:rsidP="00B26446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AB469A">
              <w:rPr>
                <w:rFonts w:asciiTheme="minorHAnsi" w:hAnsiTheme="minorHAnsi"/>
                <w:b/>
                <w:sz w:val="22"/>
                <w:szCs w:val="22"/>
              </w:rPr>
              <w:t>Number of items reviewed</w:t>
            </w:r>
            <w:r w:rsidR="001F1958">
              <w:rPr>
                <w:rStyle w:val="FootnoteReference"/>
                <w:rFonts w:asciiTheme="minorHAnsi" w:hAnsiTheme="min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202BE9A8" w14:textId="77777777" w:rsidR="00FC233A" w:rsidRPr="00AB469A" w:rsidRDefault="001F1958" w:rsidP="00B264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196</w:t>
            </w:r>
          </w:p>
        </w:tc>
      </w:tr>
      <w:tr w:rsidR="00FC233A" w:rsidRPr="00AB469A" w14:paraId="459978B3" w14:textId="77777777" w:rsidTr="00B26446">
        <w:trPr>
          <w:trHeight w:val="297"/>
        </w:trPr>
        <w:tc>
          <w:tcPr>
            <w:tcW w:w="3938" w:type="pct"/>
            <w:shd w:val="clear" w:color="auto" w:fill="FFFFFF" w:themeFill="background1"/>
            <w:hideMark/>
          </w:tcPr>
          <w:p w14:paraId="1E92D305" w14:textId="77777777" w:rsidR="00FC233A" w:rsidRPr="00AB469A" w:rsidRDefault="00FC233A" w:rsidP="00B26446">
            <w:pPr>
              <w:spacing w:before="4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AB469A">
              <w:rPr>
                <w:rFonts w:asciiTheme="minorHAnsi" w:hAnsiTheme="minorHAnsi"/>
                <w:b/>
                <w:sz w:val="22"/>
                <w:szCs w:val="22"/>
              </w:rPr>
              <w:t>Number of recommendations made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01B63199" w14:textId="77777777" w:rsidR="00FC233A" w:rsidRPr="00AB469A" w:rsidRDefault="001F1958" w:rsidP="00B26446">
            <w:pPr>
              <w:spacing w:before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</w:tbl>
    <w:p w14:paraId="2BB834C3" w14:textId="77777777" w:rsidR="00FC233A" w:rsidRPr="00AB469A" w:rsidRDefault="00FC233A" w:rsidP="00FC233A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4CCDD21" w14:textId="77777777" w:rsidR="00FC233A" w:rsidRPr="00AB469A" w:rsidRDefault="001F1958" w:rsidP="00FC233A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The</w:t>
      </w:r>
      <w:r w:rsidRPr="001F1958">
        <w:rPr>
          <w:rFonts w:asciiTheme="minorHAnsi" w:hAnsiTheme="minorHAnsi" w:cs="Arial"/>
          <w:color w:val="000000" w:themeColor="text1"/>
          <w:sz w:val="22"/>
          <w:szCs w:val="22"/>
        </w:rPr>
        <w:t xml:space="preserve"> Taskforce endorsed all of the recommendat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ions from the</w:t>
      </w:r>
      <w:r w:rsidRPr="001F1958">
        <w:rPr>
          <w:rFonts w:asciiTheme="minorHAnsi" w:hAnsiTheme="minorHAnsi" w:cs="Arial"/>
          <w:color w:val="000000" w:themeColor="text1"/>
          <w:sz w:val="22"/>
          <w:szCs w:val="22"/>
        </w:rPr>
        <w:t xml:space="preserve"> Ear, Nose and Throat Surgery Clinical Committee and submitted them to the Minister for Health for Government consideration. </w:t>
      </w:r>
      <w:r w:rsidR="00FC233A" w:rsidRPr="00AB469A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14:paraId="524C0EFB" w14:textId="77777777" w:rsidR="00FC233A" w:rsidRPr="00AB469A" w:rsidRDefault="00FC233A" w:rsidP="00FC233A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AE7A4C6" w14:textId="77777777" w:rsidR="00FC233A" w:rsidRPr="00AB469A" w:rsidRDefault="001F1958" w:rsidP="00FC233A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F1958">
        <w:rPr>
          <w:rFonts w:asciiTheme="minorHAnsi" w:hAnsiTheme="minorHAnsi" w:cs="Arial"/>
          <w:color w:val="000000" w:themeColor="text1"/>
          <w:sz w:val="22"/>
          <w:szCs w:val="22"/>
        </w:rPr>
        <w:t>The recommendations are intended to better reflect modern clinical practice, reduce variation in claiming, decrease misuse and encourage best practice.</w:t>
      </w:r>
    </w:p>
    <w:p w14:paraId="33A927DB" w14:textId="77777777" w:rsidR="00FC233A" w:rsidRDefault="00FC233A" w:rsidP="00FC233A">
      <w:pPr>
        <w:spacing w:line="276" w:lineRule="auto"/>
        <w:rPr>
          <w:rFonts w:eastAsiaTheme="minorHAnsi"/>
          <w:lang w:val="en-GB"/>
        </w:rPr>
      </w:pPr>
    </w:p>
    <w:p w14:paraId="7B6AD3EC" w14:textId="77777777" w:rsidR="00FC233A" w:rsidRDefault="001F1958" w:rsidP="001F1958">
      <w:pPr>
        <w:keepNext/>
        <w:spacing w:before="120" w:after="240" w:line="276" w:lineRule="auto"/>
        <w:ind w:left="567" w:hanging="567"/>
        <w:outlineLvl w:val="0"/>
        <w:rPr>
          <w:rFonts w:asciiTheme="minorHAnsi" w:eastAsiaTheme="minorHAnsi" w:hAnsiTheme="minorHAnsi" w:cs="Arial"/>
          <w:b/>
          <w:bCs/>
          <w:color w:val="01653F"/>
          <w:kern w:val="32"/>
          <w:sz w:val="32"/>
          <w:szCs w:val="28"/>
          <w:lang w:val="en-US"/>
        </w:rPr>
      </w:pPr>
      <w:r>
        <w:rPr>
          <w:rFonts w:asciiTheme="minorHAnsi" w:eastAsiaTheme="minorHAnsi" w:hAnsiTheme="minorHAnsi" w:cs="Arial"/>
          <w:b/>
          <w:bCs/>
          <w:color w:val="01653F"/>
          <w:kern w:val="32"/>
          <w:sz w:val="32"/>
          <w:szCs w:val="28"/>
          <w:lang w:val="en-US"/>
        </w:rPr>
        <w:t>Consolidated</w:t>
      </w:r>
      <w:r w:rsidR="00FC233A">
        <w:rPr>
          <w:rFonts w:asciiTheme="minorHAnsi" w:eastAsiaTheme="minorHAnsi" w:hAnsiTheme="minorHAnsi" w:cs="Arial"/>
          <w:b/>
          <w:bCs/>
          <w:color w:val="01653F"/>
          <w:kern w:val="32"/>
          <w:sz w:val="32"/>
          <w:szCs w:val="28"/>
          <w:lang w:val="en-US"/>
        </w:rPr>
        <w:t xml:space="preserve"> Taskforce recommendations</w:t>
      </w:r>
    </w:p>
    <w:p w14:paraId="4C50FCFE" w14:textId="77777777" w:rsidR="00FC233A" w:rsidRDefault="001F1958" w:rsidP="00FC233A">
      <w:pPr>
        <w:numPr>
          <w:ilvl w:val="0"/>
          <w:numId w:val="2"/>
        </w:numPr>
        <w:spacing w:before="180" w:after="60" w:line="360" w:lineRule="auto"/>
        <w:contextualSpacing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Amend adenoidectomy services</w:t>
      </w:r>
    </w:p>
    <w:p w14:paraId="5A068AA4" w14:textId="77777777" w:rsidR="0072359F" w:rsidRDefault="001F1958" w:rsidP="001F1958">
      <w:pPr>
        <w:spacing w:before="180" w:after="60" w:line="360" w:lineRule="auto"/>
        <w:contextualSpacing/>
        <w:rPr>
          <w:rFonts w:asciiTheme="minorHAnsi" w:hAnsiTheme="minorHAnsi"/>
          <w:sz w:val="22"/>
          <w:szCs w:val="22"/>
          <w:lang w:val="en-US"/>
        </w:rPr>
      </w:pPr>
      <w:r w:rsidRPr="001F1958">
        <w:rPr>
          <w:rFonts w:asciiTheme="minorHAnsi" w:hAnsiTheme="minorHAnsi"/>
          <w:sz w:val="22"/>
          <w:szCs w:val="22"/>
          <w:lang w:val="en-US"/>
        </w:rPr>
        <w:t xml:space="preserve">The Taskforce recommends the item descriptor for adenoidectomy be amended to clarify that the service includes examination of the post-nasal space and administration </w:t>
      </w:r>
      <w:r w:rsidR="004E5F94" w:rsidRPr="001F1958">
        <w:rPr>
          <w:rFonts w:asciiTheme="minorHAnsi" w:hAnsiTheme="minorHAnsi"/>
          <w:sz w:val="22"/>
          <w:szCs w:val="22"/>
          <w:lang w:val="en-US"/>
        </w:rPr>
        <w:t>of local</w:t>
      </w:r>
      <w:r w:rsidRPr="001F1958">
        <w:rPr>
          <w:rFonts w:asciiTheme="minorHAnsi" w:hAnsiTheme="minorHAnsi"/>
          <w:sz w:val="22"/>
          <w:szCs w:val="22"/>
          <w:lang w:val="en-US"/>
        </w:rPr>
        <w:t xml:space="preserve"> anaesthetic and that restrictions be put in place to prevent co-claiming of adenoidectomy with item 41764.</w:t>
      </w:r>
    </w:p>
    <w:p w14:paraId="4801A4C6" w14:textId="77777777" w:rsidR="001F1958" w:rsidRDefault="0072359F" w:rsidP="0072359F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br w:type="page"/>
      </w:r>
    </w:p>
    <w:p w14:paraId="021B08B0" w14:textId="77777777" w:rsidR="0072359F" w:rsidRPr="0072359F" w:rsidRDefault="00293130" w:rsidP="0072359F">
      <w:pPr>
        <w:pStyle w:val="ListParagraph"/>
        <w:numPr>
          <w:ilvl w:val="0"/>
          <w:numId w:val="2"/>
        </w:numPr>
        <w:spacing w:before="180" w:after="60" w:line="360" w:lineRule="auto"/>
        <w:rPr>
          <w:rFonts w:asciiTheme="minorHAnsi" w:hAnsiTheme="minorHAnsi"/>
          <w:b/>
          <w:sz w:val="22"/>
          <w:szCs w:val="22"/>
          <w:lang w:val="en-US"/>
        </w:rPr>
      </w:pPr>
      <w:r w:rsidRPr="00293130">
        <w:rPr>
          <w:rFonts w:asciiTheme="minorHAnsi" w:hAnsiTheme="minorHAnsi"/>
          <w:sz w:val="22"/>
          <w:szCs w:val="22"/>
          <w:lang w:val="en-US"/>
        </w:rPr>
        <w:lastRenderedPageBreak/>
        <w:t xml:space="preserve"> </w:t>
      </w:r>
      <w:r w:rsidR="001F1958" w:rsidRPr="00293130">
        <w:rPr>
          <w:rFonts w:asciiTheme="minorHAnsi" w:hAnsiTheme="minorHAnsi"/>
          <w:b/>
          <w:sz w:val="22"/>
          <w:szCs w:val="22"/>
          <w:lang w:val="en-US"/>
        </w:rPr>
        <w:t xml:space="preserve">Amend </w:t>
      </w:r>
      <w:r w:rsidR="00791FAA">
        <w:rPr>
          <w:rFonts w:asciiTheme="minorHAnsi" w:hAnsiTheme="minorHAnsi"/>
          <w:b/>
          <w:sz w:val="22"/>
          <w:szCs w:val="22"/>
          <w:lang w:val="en-US"/>
        </w:rPr>
        <w:t>tonsillectomy</w:t>
      </w:r>
      <w:r w:rsidR="001F1958" w:rsidRPr="00293130">
        <w:rPr>
          <w:rFonts w:asciiTheme="minorHAnsi" w:hAnsiTheme="minorHAnsi"/>
          <w:b/>
          <w:sz w:val="22"/>
          <w:szCs w:val="22"/>
          <w:lang w:val="en-US"/>
        </w:rPr>
        <w:t xml:space="preserve"> service</w:t>
      </w:r>
      <w:r w:rsidR="0072359F">
        <w:rPr>
          <w:rFonts w:asciiTheme="minorHAnsi" w:hAnsiTheme="minorHAnsi"/>
          <w:b/>
          <w:sz w:val="22"/>
          <w:szCs w:val="22"/>
          <w:lang w:val="en-US"/>
        </w:rPr>
        <w:t>s</w:t>
      </w:r>
    </w:p>
    <w:p w14:paraId="622909B9" w14:textId="77777777" w:rsidR="00FC233A" w:rsidRPr="0072359F" w:rsidRDefault="00FC233A" w:rsidP="0072359F">
      <w:pPr>
        <w:spacing w:before="180" w:after="60" w:line="360" w:lineRule="auto"/>
        <w:rPr>
          <w:rFonts w:asciiTheme="minorHAnsi" w:hAnsiTheme="minorHAnsi"/>
          <w:b/>
          <w:sz w:val="22"/>
          <w:szCs w:val="22"/>
          <w:lang w:val="en-US"/>
        </w:rPr>
      </w:pPr>
      <w:r w:rsidRPr="0072359F">
        <w:rPr>
          <w:rFonts w:asciiTheme="minorHAnsi" w:hAnsiTheme="minorHAnsi" w:cs="Arial"/>
          <w:color w:val="000000" w:themeColor="text1"/>
          <w:sz w:val="22"/>
          <w:szCs w:val="22"/>
        </w:rPr>
        <w:t xml:space="preserve">The Taskforce </w:t>
      </w:r>
      <w:r w:rsidR="001F1958" w:rsidRPr="0072359F">
        <w:rPr>
          <w:rFonts w:asciiTheme="minorHAnsi" w:hAnsiTheme="minorHAnsi" w:cs="Arial"/>
          <w:color w:val="000000" w:themeColor="text1"/>
          <w:sz w:val="22"/>
          <w:szCs w:val="22"/>
        </w:rPr>
        <w:t>recommends:</w:t>
      </w:r>
      <w:r w:rsidRPr="0072359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14:paraId="5B66EA7B" w14:textId="77777777" w:rsidR="001F1958" w:rsidRPr="00B26446" w:rsidRDefault="001F1958" w:rsidP="001F1958">
      <w:pPr>
        <w:pStyle w:val="NormalBulleted"/>
        <w:spacing w:before="0"/>
        <w:rPr>
          <w:lang w:val="en-US"/>
        </w:rPr>
      </w:pPr>
      <w:r w:rsidRPr="00B26446">
        <w:rPr>
          <w:lang w:val="en-US"/>
        </w:rPr>
        <w:t xml:space="preserve">item descriptors for tonsillectomy should be amended to clarify that the item includes examination of the post-nasal space and infiltration of local anaesthetic; </w:t>
      </w:r>
    </w:p>
    <w:p w14:paraId="163E4D39" w14:textId="77777777" w:rsidR="001F1958" w:rsidRPr="00B26446" w:rsidRDefault="001F1958" w:rsidP="001F1958">
      <w:pPr>
        <w:pStyle w:val="NormalBulleted"/>
        <w:rPr>
          <w:lang w:val="en-US"/>
        </w:rPr>
      </w:pPr>
      <w:r w:rsidRPr="00B26446">
        <w:rPr>
          <w:lang w:val="en-US"/>
        </w:rPr>
        <w:t>restrictions be introduced to prevent co-claiming of tonsillectomy with item 41764;</w:t>
      </w:r>
    </w:p>
    <w:p w14:paraId="6F2543B1" w14:textId="77777777" w:rsidR="001F1958" w:rsidRPr="00B26446" w:rsidRDefault="001F1958" w:rsidP="001F1958">
      <w:pPr>
        <w:pStyle w:val="NormalBulleted"/>
        <w:rPr>
          <w:lang w:val="en-US"/>
        </w:rPr>
      </w:pPr>
      <w:r w:rsidRPr="00B26446">
        <w:rPr>
          <w:lang w:val="en-US"/>
        </w:rPr>
        <w:t>age distinction for services provided to under 12-year-olds and over-12-year-olds should be retained in the item descriptors for tonsillectomy; and</w:t>
      </w:r>
    </w:p>
    <w:p w14:paraId="03A2E227" w14:textId="77777777" w:rsidR="001F1958" w:rsidRPr="00B26446" w:rsidRDefault="001F1958" w:rsidP="001F1958">
      <w:pPr>
        <w:pStyle w:val="NormalBulleted"/>
        <w:rPr>
          <w:lang w:val="en-US"/>
        </w:rPr>
      </w:pPr>
      <w:r w:rsidRPr="00B26446">
        <w:rPr>
          <w:lang w:val="en-US"/>
        </w:rPr>
        <w:t xml:space="preserve">no change </w:t>
      </w:r>
      <w:r w:rsidR="00A61306" w:rsidRPr="00B26446">
        <w:rPr>
          <w:lang w:val="en-US"/>
        </w:rPr>
        <w:t>is</w:t>
      </w:r>
      <w:r w:rsidRPr="00B26446">
        <w:rPr>
          <w:lang w:val="en-US"/>
        </w:rPr>
        <w:t xml:space="preserve"> made to item 41796 for arrest of haemorrhage (other than removal of the fee differential between GPs and specialists as separately recommended by the MBS Principles and Rules Committee).</w:t>
      </w:r>
    </w:p>
    <w:p w14:paraId="1ACAA798" w14:textId="77777777" w:rsidR="00FC233A" w:rsidRPr="00AB469A" w:rsidRDefault="001F1958" w:rsidP="00FC233A">
      <w:pPr>
        <w:numPr>
          <w:ilvl w:val="0"/>
          <w:numId w:val="2"/>
        </w:numPr>
        <w:spacing w:before="180" w:after="60" w:line="360" w:lineRule="auto"/>
        <w:contextualSpacing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Further analysis on tonsillectomy, grommet and myringotomy services</w:t>
      </w:r>
    </w:p>
    <w:p w14:paraId="6B8C3940" w14:textId="77777777" w:rsidR="00FC233A" w:rsidRPr="00905CFC" w:rsidRDefault="00FC233A" w:rsidP="00293130">
      <w:pPr>
        <w:spacing w:line="360" w:lineRule="auto"/>
        <w:contextualSpacing/>
        <w:rPr>
          <w:rFonts w:asciiTheme="minorHAnsi" w:hAnsiTheme="minorHAnsi"/>
          <w:sz w:val="22"/>
          <w:szCs w:val="22"/>
          <w:lang w:val="en-US"/>
        </w:rPr>
      </w:pPr>
      <w:r w:rsidRPr="00AB469A">
        <w:rPr>
          <w:rFonts w:asciiTheme="minorHAnsi" w:hAnsiTheme="minorHAnsi" w:cs="Arial"/>
          <w:color w:val="000000" w:themeColor="text1"/>
          <w:sz w:val="22"/>
          <w:szCs w:val="22"/>
        </w:rPr>
        <w:t>The Taskforce recommends:</w:t>
      </w:r>
    </w:p>
    <w:p w14:paraId="7D7D2D94" w14:textId="77777777" w:rsidR="00293130" w:rsidRPr="00293130" w:rsidRDefault="00293130" w:rsidP="00293130">
      <w:pPr>
        <w:pStyle w:val="NormalBulleted"/>
        <w:spacing w:before="0"/>
        <w:rPr>
          <w:rFonts w:cs="Arial"/>
          <w:color w:val="000000" w:themeColor="text1"/>
          <w:szCs w:val="22"/>
        </w:rPr>
      </w:pPr>
      <w:r w:rsidRPr="00293130">
        <w:rPr>
          <w:rFonts w:cs="Arial"/>
          <w:color w:val="000000" w:themeColor="text1"/>
          <w:szCs w:val="22"/>
        </w:rPr>
        <w:t>further work analysing the reasons for geographical variation in tonsillectomy and grommets services is warranted; and</w:t>
      </w:r>
    </w:p>
    <w:p w14:paraId="464A852B" w14:textId="77777777" w:rsidR="00293130" w:rsidRPr="00293130" w:rsidRDefault="00293130" w:rsidP="00293130">
      <w:pPr>
        <w:pStyle w:val="NormalBulleted"/>
        <w:rPr>
          <w:b/>
          <w:szCs w:val="22"/>
          <w:lang w:val="en-US"/>
        </w:rPr>
      </w:pPr>
      <w:r w:rsidRPr="00293130">
        <w:rPr>
          <w:rFonts w:cs="Arial"/>
          <w:color w:val="000000" w:themeColor="text1"/>
          <w:szCs w:val="22"/>
        </w:rPr>
        <w:t xml:space="preserve">low service rates of myringotomy in the Northern Territory </w:t>
      </w:r>
      <w:r w:rsidR="00A61306" w:rsidRPr="00293130">
        <w:rPr>
          <w:rFonts w:cs="Arial"/>
          <w:color w:val="000000" w:themeColor="text1"/>
          <w:szCs w:val="22"/>
        </w:rPr>
        <w:t>are</w:t>
      </w:r>
      <w:r w:rsidRPr="00293130">
        <w:rPr>
          <w:rFonts w:cs="Arial"/>
          <w:color w:val="000000" w:themeColor="text1"/>
          <w:szCs w:val="22"/>
        </w:rPr>
        <w:t xml:space="preserve"> further examined as it is an area of need and inadequate access to appropriate services can have serious implications for hearing problems in Indigenous populations.</w:t>
      </w:r>
    </w:p>
    <w:p w14:paraId="33E3ACF2" w14:textId="77777777" w:rsidR="00293130" w:rsidRPr="00293130" w:rsidRDefault="00293130" w:rsidP="00293130">
      <w:pPr>
        <w:pStyle w:val="NormalBulleted"/>
        <w:numPr>
          <w:ilvl w:val="0"/>
          <w:numId w:val="0"/>
        </w:numPr>
        <w:ind w:left="431" w:hanging="431"/>
        <w:rPr>
          <w:b/>
          <w:szCs w:val="22"/>
          <w:lang w:val="en-US"/>
        </w:rPr>
      </w:pPr>
    </w:p>
    <w:p w14:paraId="406E9016" w14:textId="77777777" w:rsidR="00FC233A" w:rsidRPr="00293130" w:rsidRDefault="0072359F" w:rsidP="00293130">
      <w:pPr>
        <w:pStyle w:val="NormalBulleted"/>
        <w:numPr>
          <w:ilvl w:val="0"/>
          <w:numId w:val="2"/>
        </w:numPr>
        <w:rPr>
          <w:b/>
          <w:szCs w:val="22"/>
          <w:lang w:val="en-US"/>
        </w:rPr>
      </w:pPr>
      <w:r>
        <w:rPr>
          <w:b/>
          <w:szCs w:val="22"/>
          <w:lang w:val="en-US"/>
        </w:rPr>
        <w:t>Amend cauteris</w:t>
      </w:r>
      <w:r w:rsidR="00293130">
        <w:rPr>
          <w:b/>
          <w:szCs w:val="22"/>
          <w:lang w:val="en-US"/>
        </w:rPr>
        <w:t>ation services</w:t>
      </w:r>
    </w:p>
    <w:p w14:paraId="6C9A8377" w14:textId="77777777" w:rsidR="00293130" w:rsidRDefault="00293130" w:rsidP="00293130">
      <w:pPr>
        <w:shd w:val="clear" w:color="auto" w:fill="FFFFFF" w:themeFill="background1"/>
        <w:spacing w:after="120"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93130">
        <w:rPr>
          <w:rFonts w:asciiTheme="minorHAnsi" w:hAnsiTheme="minorHAnsi" w:cs="Arial"/>
          <w:color w:val="000000" w:themeColor="text1"/>
          <w:sz w:val="22"/>
          <w:szCs w:val="22"/>
        </w:rPr>
        <w:t>The Taskforce recommends that a minor amendment be made to item 41674 to remove coverage for cauterisation of the pharynx as this procedure is not considered to be appropriate clinical practice</w:t>
      </w:r>
    </w:p>
    <w:p w14:paraId="7EB26683" w14:textId="77777777" w:rsidR="00FC233A" w:rsidRPr="00293130" w:rsidRDefault="00293130" w:rsidP="00293130">
      <w:pPr>
        <w:pStyle w:val="ListParagraph"/>
        <w:numPr>
          <w:ilvl w:val="0"/>
          <w:numId w:val="2"/>
        </w:numPr>
        <w:shd w:val="clear" w:color="auto" w:fill="FFFFFF" w:themeFill="background1"/>
        <w:spacing w:after="120"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val="en-US"/>
        </w:rPr>
        <w:t>Consider new item for st</w:t>
      </w:r>
      <w:r w:rsidR="00A61306">
        <w:rPr>
          <w:rFonts w:asciiTheme="minorHAnsi" w:hAnsiTheme="minorHAnsi"/>
          <w:b/>
          <w:sz w:val="22"/>
          <w:szCs w:val="22"/>
          <w:lang w:val="en-US"/>
        </w:rPr>
        <w:t>r</w:t>
      </w:r>
      <w:r>
        <w:rPr>
          <w:rFonts w:asciiTheme="minorHAnsi" w:hAnsiTheme="minorHAnsi"/>
          <w:b/>
          <w:sz w:val="22"/>
          <w:szCs w:val="22"/>
          <w:lang w:val="en-US"/>
        </w:rPr>
        <w:t>oboscopy</w:t>
      </w:r>
    </w:p>
    <w:p w14:paraId="1D139A37" w14:textId="77777777" w:rsidR="00293130" w:rsidRDefault="00FC233A" w:rsidP="00293130">
      <w:pPr>
        <w:shd w:val="clear" w:color="auto" w:fill="FFFFFF" w:themeFill="background1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040"/>
          <w:tab w:val="left" w:pos="5616"/>
          <w:tab w:val="left" w:pos="6192"/>
          <w:tab w:val="left" w:pos="6768"/>
          <w:tab w:val="left" w:pos="7344"/>
          <w:tab w:val="left" w:pos="7920"/>
          <w:tab w:val="left" w:pos="8496"/>
        </w:tabs>
        <w:autoSpaceDE w:val="0"/>
        <w:autoSpaceDN w:val="0"/>
        <w:adjustRightInd w:val="0"/>
        <w:spacing w:after="120"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B469A">
        <w:rPr>
          <w:rFonts w:asciiTheme="minorHAnsi" w:hAnsiTheme="minorHAnsi" w:cs="Arial"/>
          <w:color w:val="000000" w:themeColor="text1"/>
          <w:sz w:val="22"/>
          <w:szCs w:val="22"/>
        </w:rPr>
        <w:t xml:space="preserve">The Taskforce </w:t>
      </w:r>
      <w:r w:rsidR="00293130" w:rsidRPr="00293130">
        <w:rPr>
          <w:rFonts w:asciiTheme="minorHAnsi" w:hAnsiTheme="minorHAnsi" w:cs="Arial"/>
          <w:color w:val="000000" w:themeColor="text1"/>
          <w:sz w:val="22"/>
          <w:szCs w:val="22"/>
        </w:rPr>
        <w:t>recommends that a new item for stroboscopy be considered on the basis of the evidence review that supports its clinical utility and advice that stroboscopy is inappropriately being claimed under item 41846.</w:t>
      </w:r>
    </w:p>
    <w:p w14:paraId="140FF5BE" w14:textId="77777777" w:rsidR="00FC233A" w:rsidRPr="00293130" w:rsidRDefault="00293130" w:rsidP="002931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040"/>
          <w:tab w:val="left" w:pos="5616"/>
          <w:tab w:val="left" w:pos="6192"/>
          <w:tab w:val="left" w:pos="6768"/>
          <w:tab w:val="left" w:pos="7344"/>
          <w:tab w:val="left" w:pos="7920"/>
          <w:tab w:val="left" w:pos="8496"/>
        </w:tabs>
        <w:autoSpaceDE w:val="0"/>
        <w:autoSpaceDN w:val="0"/>
        <w:adjustRightInd w:val="0"/>
        <w:spacing w:after="120"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Removal of obsolete items</w:t>
      </w:r>
    </w:p>
    <w:p w14:paraId="4353319F" w14:textId="77777777" w:rsidR="00FC233A" w:rsidRDefault="00293130" w:rsidP="00FC233A">
      <w:pPr>
        <w:shd w:val="clear" w:color="auto" w:fill="FFFFFF" w:themeFill="background1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040"/>
          <w:tab w:val="left" w:pos="5616"/>
          <w:tab w:val="left" w:pos="6192"/>
          <w:tab w:val="left" w:pos="6768"/>
          <w:tab w:val="left" w:pos="7344"/>
          <w:tab w:val="left" w:pos="7920"/>
          <w:tab w:val="left" w:pos="8496"/>
        </w:tabs>
        <w:autoSpaceDE w:val="0"/>
        <w:autoSpaceDN w:val="0"/>
        <w:adjustRightInd w:val="0"/>
        <w:spacing w:after="120"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93130">
        <w:rPr>
          <w:rFonts w:asciiTheme="minorHAnsi" w:hAnsiTheme="minorHAnsi" w:cs="Arial"/>
          <w:color w:val="000000" w:themeColor="text1"/>
          <w:sz w:val="22"/>
          <w:szCs w:val="22"/>
        </w:rPr>
        <w:t>The Taskforce recommends the removal of item 41846 (noting a new item has been proposed for stroboscopy). Seven other ENT items (11321, 18246, 41680, 41695, 41758</w:t>
      </w:r>
      <w:r w:rsidR="00A61306" w:rsidRPr="00293130">
        <w:rPr>
          <w:rFonts w:asciiTheme="minorHAnsi" w:hAnsiTheme="minorHAnsi" w:cs="Arial"/>
          <w:color w:val="000000" w:themeColor="text1"/>
          <w:sz w:val="22"/>
          <w:szCs w:val="22"/>
        </w:rPr>
        <w:t>, 41761</w:t>
      </w:r>
      <w:r w:rsidRPr="00293130">
        <w:rPr>
          <w:rFonts w:asciiTheme="minorHAnsi" w:hAnsiTheme="minorHAnsi" w:cs="Arial"/>
          <w:color w:val="000000" w:themeColor="text1"/>
          <w:sz w:val="22"/>
          <w:szCs w:val="22"/>
        </w:rPr>
        <w:t>, and 41849) were removed from the MBS on 1 July 2016 as they no longer reflected contemporary practice.</w:t>
      </w:r>
    </w:p>
    <w:p w14:paraId="69A3720F" w14:textId="77777777" w:rsidR="00293130" w:rsidRDefault="00293130" w:rsidP="002931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040"/>
          <w:tab w:val="left" w:pos="5616"/>
          <w:tab w:val="left" w:pos="6192"/>
          <w:tab w:val="left" w:pos="6768"/>
          <w:tab w:val="left" w:pos="7344"/>
          <w:tab w:val="left" w:pos="7920"/>
          <w:tab w:val="left" w:pos="8496"/>
        </w:tabs>
        <w:autoSpaceDE w:val="0"/>
        <w:autoSpaceDN w:val="0"/>
        <w:adjustRightInd w:val="0"/>
        <w:spacing w:after="120"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Items requiring no change</w:t>
      </w:r>
    </w:p>
    <w:p w14:paraId="3E5B865C" w14:textId="77777777" w:rsidR="00293130" w:rsidRDefault="00293130" w:rsidP="00293130">
      <w:pPr>
        <w:shd w:val="clear" w:color="auto" w:fill="FFFFFF" w:themeFill="background1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040"/>
          <w:tab w:val="left" w:pos="5616"/>
          <w:tab w:val="left" w:pos="6192"/>
          <w:tab w:val="left" w:pos="6768"/>
          <w:tab w:val="left" w:pos="7344"/>
          <w:tab w:val="left" w:pos="7920"/>
          <w:tab w:val="left" w:pos="8496"/>
        </w:tabs>
        <w:autoSpaceDE w:val="0"/>
        <w:autoSpaceDN w:val="0"/>
        <w:adjustRightInd w:val="0"/>
        <w:spacing w:after="120"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93130">
        <w:rPr>
          <w:rFonts w:asciiTheme="minorHAnsi" w:hAnsiTheme="minorHAnsi" w:cs="Arial"/>
          <w:color w:val="000000" w:themeColor="text1"/>
          <w:sz w:val="22"/>
          <w:szCs w:val="22"/>
        </w:rPr>
        <w:t>The Taskforce recommends no changes be made to items 41590, 41614, 41615, 41779, 41632 and 41796.</w:t>
      </w:r>
    </w:p>
    <w:p w14:paraId="583E5A40" w14:textId="77777777" w:rsidR="007F1104" w:rsidRDefault="007F1104" w:rsidP="00293130">
      <w:pPr>
        <w:shd w:val="clear" w:color="auto" w:fill="FFFFFF" w:themeFill="background1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040"/>
          <w:tab w:val="left" w:pos="5616"/>
          <w:tab w:val="left" w:pos="6192"/>
          <w:tab w:val="left" w:pos="6768"/>
          <w:tab w:val="left" w:pos="7344"/>
          <w:tab w:val="left" w:pos="7920"/>
          <w:tab w:val="left" w:pos="8496"/>
        </w:tabs>
        <w:autoSpaceDE w:val="0"/>
        <w:autoSpaceDN w:val="0"/>
        <w:adjustRightInd w:val="0"/>
        <w:spacing w:after="120"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6B19397E" w14:textId="77777777" w:rsidR="007F1104" w:rsidRPr="00293130" w:rsidRDefault="007F1104" w:rsidP="00293130">
      <w:pPr>
        <w:shd w:val="clear" w:color="auto" w:fill="FFFFFF" w:themeFill="background1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040"/>
          <w:tab w:val="left" w:pos="5616"/>
          <w:tab w:val="left" w:pos="6192"/>
          <w:tab w:val="left" w:pos="6768"/>
          <w:tab w:val="left" w:pos="7344"/>
          <w:tab w:val="left" w:pos="7920"/>
          <w:tab w:val="left" w:pos="8496"/>
        </w:tabs>
        <w:autoSpaceDE w:val="0"/>
        <w:autoSpaceDN w:val="0"/>
        <w:adjustRightInd w:val="0"/>
        <w:spacing w:after="120"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1BF745C" w14:textId="77777777" w:rsidR="00293130" w:rsidRDefault="00293130" w:rsidP="002931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040"/>
          <w:tab w:val="left" w:pos="5616"/>
          <w:tab w:val="left" w:pos="6192"/>
          <w:tab w:val="left" w:pos="6768"/>
          <w:tab w:val="left" w:pos="7344"/>
          <w:tab w:val="left" w:pos="7920"/>
          <w:tab w:val="left" w:pos="8496"/>
        </w:tabs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Generic recommendations</w:t>
      </w:r>
    </w:p>
    <w:p w14:paraId="68DFC250" w14:textId="77777777" w:rsidR="00293130" w:rsidRPr="00293130" w:rsidRDefault="00293130" w:rsidP="00293130">
      <w:pPr>
        <w:shd w:val="clear" w:color="auto" w:fill="FFFFFF" w:themeFill="background1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040"/>
          <w:tab w:val="left" w:pos="5616"/>
          <w:tab w:val="left" w:pos="6192"/>
          <w:tab w:val="left" w:pos="6768"/>
          <w:tab w:val="left" w:pos="7344"/>
          <w:tab w:val="left" w:pos="7920"/>
          <w:tab w:val="left" w:pos="8496"/>
        </w:tabs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93130">
        <w:rPr>
          <w:rFonts w:asciiTheme="minorHAnsi" w:hAnsiTheme="minorHAnsi" w:cs="Arial"/>
          <w:color w:val="000000" w:themeColor="text1"/>
          <w:sz w:val="22"/>
          <w:szCs w:val="22"/>
        </w:rPr>
        <w:t>The Taskforce endorsed the Ear, Nose and Throat Surgery Cl</w:t>
      </w:r>
      <w:r w:rsidR="0072359F">
        <w:rPr>
          <w:rFonts w:asciiTheme="minorHAnsi" w:hAnsiTheme="minorHAnsi" w:cs="Arial"/>
          <w:color w:val="000000" w:themeColor="text1"/>
          <w:sz w:val="22"/>
          <w:szCs w:val="22"/>
        </w:rPr>
        <w:t>inical Committee recommendations</w:t>
      </w:r>
      <w:r w:rsidRPr="0029313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72359F">
        <w:rPr>
          <w:rFonts w:asciiTheme="minorHAnsi" w:hAnsiTheme="minorHAnsi" w:cs="Arial"/>
          <w:color w:val="000000" w:themeColor="text1"/>
          <w:sz w:val="22"/>
          <w:szCs w:val="22"/>
        </w:rPr>
        <w:t>for</w:t>
      </w:r>
      <w:r w:rsidRPr="00293130">
        <w:rPr>
          <w:rFonts w:asciiTheme="minorHAnsi" w:hAnsiTheme="minorHAnsi" w:cs="Arial"/>
          <w:color w:val="000000" w:themeColor="text1"/>
          <w:sz w:val="22"/>
          <w:szCs w:val="22"/>
        </w:rPr>
        <w:t xml:space="preserve"> further work </w:t>
      </w:r>
      <w:r w:rsidR="0072359F">
        <w:rPr>
          <w:rFonts w:asciiTheme="minorHAnsi" w:hAnsiTheme="minorHAnsi" w:cs="Arial"/>
          <w:color w:val="000000" w:themeColor="text1"/>
          <w:sz w:val="22"/>
          <w:szCs w:val="22"/>
        </w:rPr>
        <w:t xml:space="preserve">to </w:t>
      </w:r>
      <w:r w:rsidRPr="00293130">
        <w:rPr>
          <w:rFonts w:asciiTheme="minorHAnsi" w:hAnsiTheme="minorHAnsi" w:cs="Arial"/>
          <w:color w:val="000000" w:themeColor="text1"/>
          <w:sz w:val="22"/>
          <w:szCs w:val="22"/>
        </w:rPr>
        <w:t>be undertaken on providing feedback to practitioners on claiming patterns (including co-claiming) compared with their peers and for more regular discussions between the Department of He</w:t>
      </w:r>
      <w:r w:rsidR="0072359F">
        <w:rPr>
          <w:rFonts w:asciiTheme="minorHAnsi" w:hAnsiTheme="minorHAnsi" w:cs="Arial"/>
          <w:color w:val="000000" w:themeColor="text1"/>
          <w:sz w:val="22"/>
          <w:szCs w:val="22"/>
        </w:rPr>
        <w:t>alth and professional colleges</w:t>
      </w:r>
      <w:r w:rsidRPr="00293130">
        <w:rPr>
          <w:rFonts w:asciiTheme="minorHAnsi" w:hAnsiTheme="minorHAnsi" w:cs="Arial"/>
          <w:color w:val="000000" w:themeColor="text1"/>
          <w:sz w:val="22"/>
          <w:szCs w:val="22"/>
        </w:rPr>
        <w:t xml:space="preserve"> to discuss claiming patterns, including co-claiming.</w:t>
      </w:r>
    </w:p>
    <w:p w14:paraId="6B2E6F8B" w14:textId="77777777" w:rsidR="00003743" w:rsidRDefault="00003743" w:rsidP="002F3AE3"/>
    <w:p w14:paraId="6F7A2AB1" w14:textId="77777777" w:rsidR="00293130" w:rsidRPr="00A61306" w:rsidRDefault="00A61306" w:rsidP="00A61306">
      <w:pPr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61306">
        <w:rPr>
          <w:rFonts w:asciiTheme="minorHAnsi" w:hAnsiTheme="minorHAnsi" w:cs="Arial"/>
          <w:color w:val="000000" w:themeColor="text1"/>
          <w:sz w:val="22"/>
          <w:szCs w:val="22"/>
        </w:rPr>
        <w:t>I</w:t>
      </w:r>
      <w:r w:rsidR="00293130" w:rsidRPr="00A61306">
        <w:rPr>
          <w:rFonts w:asciiTheme="minorHAnsi" w:hAnsiTheme="minorHAnsi" w:cs="Arial"/>
          <w:color w:val="000000" w:themeColor="text1"/>
          <w:sz w:val="22"/>
          <w:szCs w:val="22"/>
        </w:rPr>
        <w:t>nformation and evidence supporting each</w:t>
      </w:r>
      <w:r w:rsidRPr="00A61306">
        <w:rPr>
          <w:rFonts w:asciiTheme="minorHAnsi" w:hAnsiTheme="minorHAnsi" w:cs="Arial"/>
          <w:color w:val="000000" w:themeColor="text1"/>
          <w:sz w:val="22"/>
          <w:szCs w:val="22"/>
        </w:rPr>
        <w:t xml:space="preserve"> of these</w:t>
      </w:r>
      <w:r w:rsidR="00293130" w:rsidRPr="00A61306">
        <w:rPr>
          <w:rFonts w:asciiTheme="minorHAnsi" w:hAnsiTheme="minorHAnsi" w:cs="Arial"/>
          <w:color w:val="000000" w:themeColor="text1"/>
          <w:sz w:val="22"/>
          <w:szCs w:val="22"/>
        </w:rPr>
        <w:t xml:space="preserve"> recommendation</w:t>
      </w:r>
      <w:r w:rsidRPr="00A61306">
        <w:rPr>
          <w:rFonts w:asciiTheme="minorHAnsi" w:hAnsiTheme="minorHAnsi" w:cs="Arial"/>
          <w:color w:val="000000" w:themeColor="text1"/>
          <w:sz w:val="22"/>
          <w:szCs w:val="22"/>
        </w:rPr>
        <w:t>s is included in the</w:t>
      </w:r>
      <w:r w:rsidR="00293130" w:rsidRPr="00A61306">
        <w:rPr>
          <w:rFonts w:asciiTheme="minorHAnsi" w:hAnsiTheme="minorHAnsi" w:cs="Arial"/>
          <w:color w:val="000000" w:themeColor="text1"/>
          <w:sz w:val="22"/>
          <w:szCs w:val="22"/>
        </w:rPr>
        <w:t xml:space="preserve"> Ear, Nose and Throat Surgery Clinical Committee report</w:t>
      </w:r>
      <w:r w:rsidRPr="00A61306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sectPr w:rsidR="00293130" w:rsidRPr="00A61306" w:rsidSect="00293130">
      <w:footerReference w:type="default" r:id="rId8"/>
      <w:pgSz w:w="11906" w:h="16838"/>
      <w:pgMar w:top="993" w:right="1800" w:bottom="709" w:left="1800" w:header="70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8502E" w14:textId="77777777" w:rsidR="00D74BE5" w:rsidRDefault="00D74BE5" w:rsidP="00FC233A">
      <w:r>
        <w:separator/>
      </w:r>
    </w:p>
  </w:endnote>
  <w:endnote w:type="continuationSeparator" w:id="0">
    <w:p w14:paraId="17CD496A" w14:textId="77777777" w:rsidR="00D74BE5" w:rsidRDefault="00D74BE5" w:rsidP="00FC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773D6" w14:textId="77777777" w:rsidR="005D4630" w:rsidRDefault="00716DE3" w:rsidP="005D4630">
    <w:pPr>
      <w:pStyle w:val="Footer"/>
      <w:pBdr>
        <w:top w:val="single" w:sz="4" w:space="1" w:color="B56012"/>
      </w:pBdr>
      <w:tabs>
        <w:tab w:val="clear" w:pos="4513"/>
      </w:tabs>
      <w:jc w:val="center"/>
    </w:pPr>
    <w:r>
      <w:rPr>
        <w:color w:val="01653F"/>
        <w:sz w:val="16"/>
      </w:rPr>
      <w:t xml:space="preserve">Taskforce findings from the </w:t>
    </w:r>
    <w:r w:rsidR="00FC233A">
      <w:rPr>
        <w:color w:val="01653F"/>
        <w:sz w:val="16"/>
      </w:rPr>
      <w:t>Ear, Nose and Throat Surgery</w:t>
    </w:r>
    <w:r>
      <w:rPr>
        <w:color w:val="01653F"/>
        <w:sz w:val="16"/>
      </w:rPr>
      <w:t xml:space="preserve"> Clinical Committee Report</w:t>
    </w:r>
    <w:r>
      <w:rPr>
        <w:color w:val="01653F"/>
        <w:sz w:val="16"/>
      </w:rPr>
      <w:tab/>
    </w:r>
    <w:r w:rsidRPr="003B1222">
      <w:rPr>
        <w:color w:val="01653F"/>
        <w:sz w:val="16"/>
      </w:rPr>
      <w:t xml:space="preserve">Page </w:t>
    </w:r>
    <w:r w:rsidRPr="003B1222">
      <w:rPr>
        <w:rFonts w:eastAsiaTheme="minorHAnsi"/>
        <w:color w:val="01653F"/>
        <w:sz w:val="22"/>
      </w:rPr>
      <w:fldChar w:fldCharType="begin"/>
    </w:r>
    <w:r w:rsidRPr="003B1222">
      <w:rPr>
        <w:color w:val="01653F"/>
      </w:rPr>
      <w:instrText xml:space="preserve"> PAGE   \* MERGEFORMAT </w:instrText>
    </w:r>
    <w:r w:rsidRPr="003B1222">
      <w:rPr>
        <w:rFonts w:eastAsiaTheme="minorHAnsi"/>
        <w:color w:val="01653F"/>
        <w:sz w:val="22"/>
      </w:rPr>
      <w:fldChar w:fldCharType="separate"/>
    </w:r>
    <w:r w:rsidR="007F1104" w:rsidRPr="007F1104">
      <w:rPr>
        <w:rFonts w:eastAsiaTheme="majorEastAsia"/>
        <w:noProof/>
        <w:color w:val="01653F"/>
        <w:sz w:val="16"/>
      </w:rPr>
      <w:t>3</w:t>
    </w:r>
    <w:r w:rsidRPr="003B1222">
      <w:rPr>
        <w:rFonts w:eastAsiaTheme="majorEastAsia"/>
        <w:noProof/>
        <w:color w:val="01653F"/>
        <w:sz w:val="16"/>
      </w:rPr>
      <w:fldChar w:fldCharType="end"/>
    </w:r>
  </w:p>
  <w:p w14:paraId="6313CE3A" w14:textId="77777777" w:rsidR="005D4630" w:rsidRDefault="00D74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7DC6D" w14:textId="77777777" w:rsidR="00D74BE5" w:rsidRDefault="00D74BE5" w:rsidP="00FC233A">
      <w:r>
        <w:separator/>
      </w:r>
    </w:p>
  </w:footnote>
  <w:footnote w:type="continuationSeparator" w:id="0">
    <w:p w14:paraId="37208DAF" w14:textId="77777777" w:rsidR="00D74BE5" w:rsidRDefault="00D74BE5" w:rsidP="00FC233A">
      <w:r>
        <w:continuationSeparator/>
      </w:r>
    </w:p>
  </w:footnote>
  <w:footnote w:id="1">
    <w:p w14:paraId="16E2BB55" w14:textId="77777777" w:rsidR="001F1958" w:rsidRPr="001F1958" w:rsidRDefault="001F1958">
      <w:pPr>
        <w:pStyle w:val="FootnoteText"/>
        <w:rPr>
          <w:rFonts w:asciiTheme="minorHAnsi" w:hAnsiTheme="minorHAnsi"/>
        </w:rPr>
      </w:pPr>
      <w:r w:rsidRPr="001F1958">
        <w:rPr>
          <w:rStyle w:val="FootnoteReference"/>
          <w:rFonts w:asciiTheme="minorHAnsi" w:hAnsiTheme="minorHAnsi"/>
        </w:rPr>
        <w:footnoteRef/>
      </w:r>
      <w:r w:rsidRPr="001F1958">
        <w:rPr>
          <w:rFonts w:asciiTheme="minorHAnsi" w:hAnsiTheme="minorHAnsi"/>
        </w:rPr>
        <w:t xml:space="preserve"> At the completion of the first phase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D0283"/>
    <w:multiLevelType w:val="hybridMultilevel"/>
    <w:tmpl w:val="19FEA97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770642"/>
    <w:multiLevelType w:val="multilevel"/>
    <w:tmpl w:val="6360F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7E9153F"/>
    <w:multiLevelType w:val="hybridMultilevel"/>
    <w:tmpl w:val="841829CA"/>
    <w:lvl w:ilvl="0" w:tplc="9FF875D0">
      <w:start w:val="1"/>
      <w:numFmt w:val="bullet"/>
      <w:pStyle w:val="NormalBulleted"/>
      <w:lvlText w:val="∆"/>
      <w:lvlJc w:val="left"/>
      <w:pPr>
        <w:ind w:left="431" w:hanging="431"/>
      </w:pPr>
      <w:rPr>
        <w:rFonts w:ascii="Calibri" w:hAnsi="Calibri" w:hint="default"/>
        <w:color w:val="B56012"/>
      </w:rPr>
    </w:lvl>
    <w:lvl w:ilvl="1" w:tplc="74B6F98C">
      <w:numFmt w:val="bullet"/>
      <w:lvlText w:val="-"/>
      <w:lvlJc w:val="left"/>
      <w:pPr>
        <w:ind w:left="1800" w:hanging="72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33A"/>
    <w:rsid w:val="00003743"/>
    <w:rsid w:val="00067456"/>
    <w:rsid w:val="001B3443"/>
    <w:rsid w:val="001F1958"/>
    <w:rsid w:val="00293130"/>
    <w:rsid w:val="002F3AE3"/>
    <w:rsid w:val="0030786C"/>
    <w:rsid w:val="003D17F9"/>
    <w:rsid w:val="004867E2"/>
    <w:rsid w:val="004E5F94"/>
    <w:rsid w:val="00554877"/>
    <w:rsid w:val="00716DE3"/>
    <w:rsid w:val="0072359F"/>
    <w:rsid w:val="00791FAA"/>
    <w:rsid w:val="007F1104"/>
    <w:rsid w:val="008264EB"/>
    <w:rsid w:val="009D48CC"/>
    <w:rsid w:val="00A4512D"/>
    <w:rsid w:val="00A57FD3"/>
    <w:rsid w:val="00A61306"/>
    <w:rsid w:val="00A705AF"/>
    <w:rsid w:val="00B42851"/>
    <w:rsid w:val="00BB7A4E"/>
    <w:rsid w:val="00CB5B1A"/>
    <w:rsid w:val="00D74BE5"/>
    <w:rsid w:val="00E32C38"/>
    <w:rsid w:val="00E75110"/>
    <w:rsid w:val="00F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A81CA"/>
  <w15:docId w15:val="{543EB3DA-361E-3A46-A35D-DC3EBD2C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233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A4512D"/>
    <w:pPr>
      <w:ind w:left="720"/>
      <w:contextualSpacing/>
    </w:p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basedOn w:val="DefaultParagraphFont"/>
    <w:link w:val="ListParagraph"/>
    <w:uiPriority w:val="34"/>
    <w:rsid w:val="00FC233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C23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33A"/>
    <w:rPr>
      <w:sz w:val="24"/>
      <w:szCs w:val="24"/>
      <w:lang w:eastAsia="en-US"/>
    </w:rPr>
  </w:style>
  <w:style w:type="table" w:styleId="TableGrid">
    <w:name w:val="Table Grid"/>
    <w:basedOn w:val="TableNormal"/>
    <w:rsid w:val="00FC2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Numbered">
    <w:name w:val="Heading 3 Numbered"/>
    <w:basedOn w:val="Heading2"/>
    <w:qFormat/>
    <w:rsid w:val="00FC233A"/>
    <w:pPr>
      <w:spacing w:before="120" w:after="120" w:line="312" w:lineRule="auto"/>
      <w:ind w:left="720" w:hanging="720"/>
      <w:outlineLvl w:val="2"/>
    </w:pPr>
    <w:rPr>
      <w:rFonts w:asciiTheme="minorHAnsi" w:eastAsiaTheme="minorHAnsi" w:hAnsiTheme="minorHAnsi"/>
      <w:color w:val="B56011"/>
      <w:szCs w:val="22"/>
      <w:lang w:val="en-US"/>
    </w:rPr>
  </w:style>
  <w:style w:type="paragraph" w:customStyle="1" w:styleId="NormalBulleted">
    <w:name w:val="Normal Bulleted"/>
    <w:basedOn w:val="ListContinue"/>
    <w:link w:val="NormalBulletedChar"/>
    <w:qFormat/>
    <w:rsid w:val="00FC233A"/>
    <w:pPr>
      <w:numPr>
        <w:numId w:val="1"/>
      </w:numPr>
      <w:spacing w:before="180" w:line="312" w:lineRule="auto"/>
    </w:pPr>
    <w:rPr>
      <w:rFonts w:asciiTheme="minorHAnsi" w:hAnsiTheme="minorHAnsi"/>
      <w:sz w:val="22"/>
      <w:lang w:eastAsia="en-AU"/>
    </w:rPr>
  </w:style>
  <w:style w:type="character" w:customStyle="1" w:styleId="NormalBulletedChar">
    <w:name w:val="Normal Bulleted Char"/>
    <w:basedOn w:val="DefaultParagraphFont"/>
    <w:link w:val="NormalBulleted"/>
    <w:rsid w:val="00FC233A"/>
    <w:rPr>
      <w:rFonts w:asciiTheme="minorHAnsi" w:hAnsiTheme="minorHAnsi"/>
      <w:sz w:val="22"/>
      <w:szCs w:val="24"/>
    </w:rPr>
  </w:style>
  <w:style w:type="paragraph" w:styleId="ListContinue">
    <w:name w:val="List Continue"/>
    <w:basedOn w:val="Normal"/>
    <w:rsid w:val="00FC233A"/>
    <w:pPr>
      <w:spacing w:after="120"/>
      <w:ind w:left="283"/>
      <w:contextualSpacing/>
    </w:pPr>
  </w:style>
  <w:style w:type="paragraph" w:styleId="Header">
    <w:name w:val="header"/>
    <w:basedOn w:val="Normal"/>
    <w:link w:val="HeaderChar"/>
    <w:rsid w:val="00FC23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233A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1F19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1958"/>
    <w:rPr>
      <w:lang w:eastAsia="en-US"/>
    </w:rPr>
  </w:style>
  <w:style w:type="character" w:styleId="FootnoteReference">
    <w:name w:val="footnote reference"/>
    <w:basedOn w:val="DefaultParagraphFont"/>
    <w:rsid w:val="001F19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9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286A4-46A0-48C0-BB19-AAD32E75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3287</Characters>
  <Application>Microsoft Office Word</Application>
  <DocSecurity>0</DocSecurity>
  <Lines>78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Ear, Nose and Throat Surgery   Clinical Committee Report  </dc:title>
  <dc:subject>MBS Review, Medicare</dc:subject>
  <dc:creator>MBS Review Taskforce</dc:creator>
  <cp:keywords/>
  <dc:description/>
  <cp:lastModifiedBy>emma kennedy</cp:lastModifiedBy>
  <cp:revision>4</cp:revision>
  <dcterms:created xsi:type="dcterms:W3CDTF">2017-06-23T01:50:00Z</dcterms:created>
  <dcterms:modified xsi:type="dcterms:W3CDTF">2021-05-28T05:50:00Z</dcterms:modified>
  <cp:category/>
</cp:coreProperties>
</file>