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D" w:rsidRPr="00932284" w:rsidRDefault="009D420D" w:rsidP="009D420D">
      <w:pPr>
        <w:pBdr>
          <w:top w:val="double" w:sz="12" w:space="31" w:color="B66113"/>
          <w:bottom w:val="double" w:sz="12" w:space="1" w:color="B66113"/>
        </w:pBdr>
        <w:spacing w:line="312" w:lineRule="auto"/>
        <w:jc w:val="center"/>
        <w:rPr>
          <w:rFonts w:asciiTheme="minorHAnsi" w:hAnsiTheme="minorHAnsi" w:cs="Arial"/>
          <w:b/>
          <w:color w:val="01653F"/>
          <w:spacing w:val="5"/>
          <w:sz w:val="44"/>
          <w:szCs w:val="48"/>
          <w:lang w:eastAsia="en-AU"/>
        </w:rPr>
      </w:pPr>
      <w:r w:rsidRPr="00932284">
        <w:rPr>
          <w:rFonts w:asciiTheme="minorHAnsi" w:hAnsiTheme="minorHAnsi" w:cs="Arial"/>
          <w:b/>
          <w:color w:val="01653F"/>
          <w:spacing w:val="5"/>
          <w:sz w:val="44"/>
          <w:szCs w:val="48"/>
          <w:lang w:eastAsia="en-AU"/>
        </w:rPr>
        <w:t>Medicare Benefits Schedule Review Taskforce</w:t>
      </w:r>
    </w:p>
    <w:p w:rsidR="009D420D" w:rsidRPr="009D420D" w:rsidRDefault="009D420D" w:rsidP="009D420D">
      <w:pPr>
        <w:pBdr>
          <w:top w:val="double" w:sz="12" w:space="31" w:color="B66113"/>
          <w:bottom w:val="double" w:sz="12" w:space="1" w:color="B66113"/>
        </w:pBdr>
        <w:spacing w:before="840" w:after="360" w:line="312" w:lineRule="auto"/>
        <w:contextualSpacing/>
        <w:jc w:val="center"/>
        <w:rPr>
          <w:rFonts w:asciiTheme="minorHAnsi" w:hAnsiTheme="minorHAnsi" w:cs="Arial"/>
          <w:b/>
          <w:spacing w:val="5"/>
          <w:sz w:val="48"/>
          <w:szCs w:val="60"/>
          <w:lang w:eastAsia="en-AU"/>
        </w:rPr>
      </w:pPr>
      <w:bookmarkStart w:id="0" w:name="_GoBack"/>
      <w:r w:rsidRPr="009D420D">
        <w:rPr>
          <w:rFonts w:asciiTheme="minorHAnsi" w:hAnsiTheme="minorHAnsi" w:cs="Arial"/>
          <w:b/>
          <w:spacing w:val="5"/>
          <w:sz w:val="48"/>
          <w:szCs w:val="60"/>
          <w:lang w:eastAsia="en-AU"/>
        </w:rPr>
        <w:t>Diagnostic Imaging Clinical Committee</w:t>
      </w:r>
      <w:r>
        <w:rPr>
          <w:rFonts w:asciiTheme="minorHAnsi" w:hAnsiTheme="minorHAnsi" w:cs="Arial"/>
          <w:b/>
          <w:spacing w:val="5"/>
          <w:sz w:val="48"/>
          <w:szCs w:val="60"/>
          <w:lang w:eastAsia="en-AU"/>
        </w:rPr>
        <w:t xml:space="preserve"> Bone Densitometry </w:t>
      </w:r>
      <w:r w:rsidRPr="009D420D">
        <w:rPr>
          <w:rFonts w:asciiTheme="minorHAnsi" w:hAnsiTheme="minorHAnsi" w:cs="Arial"/>
          <w:b/>
          <w:spacing w:val="5"/>
          <w:sz w:val="48"/>
          <w:szCs w:val="60"/>
          <w:lang w:eastAsia="en-AU"/>
        </w:rPr>
        <w:t>Report</w:t>
      </w:r>
    </w:p>
    <w:p w:rsidR="009D420D" w:rsidRDefault="009D420D" w:rsidP="009D420D">
      <w:pPr>
        <w:pBdr>
          <w:top w:val="double" w:sz="12" w:space="31" w:color="B66113"/>
          <w:bottom w:val="double" w:sz="12" w:space="1" w:color="B66113"/>
        </w:pBdr>
        <w:spacing w:before="840" w:after="360" w:line="312" w:lineRule="auto"/>
        <w:contextualSpacing/>
        <w:jc w:val="center"/>
        <w:rPr>
          <w:rFonts w:asciiTheme="minorHAnsi" w:hAnsiTheme="minorHAnsi" w:cs="Arial"/>
          <w:b/>
          <w:spacing w:val="5"/>
          <w:sz w:val="56"/>
          <w:szCs w:val="60"/>
          <w:lang w:eastAsia="en-AU"/>
        </w:rPr>
      </w:pPr>
      <w:r>
        <w:rPr>
          <w:rFonts w:asciiTheme="minorHAnsi" w:hAnsiTheme="minorHAnsi" w:cs="Arial"/>
          <w:b/>
          <w:spacing w:val="5"/>
          <w:sz w:val="56"/>
          <w:szCs w:val="60"/>
          <w:lang w:eastAsia="en-AU"/>
        </w:rPr>
        <w:t>Taskforce Findings</w:t>
      </w:r>
      <w:bookmarkEnd w:id="0"/>
    </w:p>
    <w:p w:rsidR="009D420D" w:rsidRDefault="009D420D" w:rsidP="009D420D">
      <w:pPr>
        <w:spacing w:before="240"/>
        <w:rPr>
          <w:rFonts w:asciiTheme="minorHAnsi" w:hAnsiTheme="minorHAnsi" w:cs="Arial"/>
          <w:color w:val="000000" w:themeColor="text1"/>
          <w:sz w:val="22"/>
        </w:rPr>
      </w:pPr>
    </w:p>
    <w:p w:rsidR="009D420D" w:rsidRPr="00AB469A" w:rsidRDefault="009D420D" w:rsidP="009D420D">
      <w:pPr>
        <w:spacing w:before="240" w:after="24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 xml:space="preserve">This document 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outlines the Medical Benefits Schedule (MBS) Taskforce’s recommendations relating to bone densitometry</w:t>
      </w: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9D420D" w:rsidRPr="00AB469A" w:rsidRDefault="009D420D" w:rsidP="009D420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The Taskforce considered the recommendations from the Diagnostic Imaging Clinical Committee and feedback from the public consultation.</w:t>
      </w:r>
    </w:p>
    <w:tbl>
      <w:tblPr>
        <w:tblStyle w:val="TableGrid"/>
        <w:tblpPr w:leftFromText="180" w:rightFromText="180" w:vertAnchor="text" w:horzAnchor="page" w:tblpX="6848" w:tblpY="56"/>
        <w:tblW w:w="2298" w:type="pct"/>
        <w:tblBorders>
          <w:top w:val="single" w:sz="4" w:space="0" w:color="B56012"/>
          <w:left w:val="none" w:sz="0" w:space="0" w:color="auto"/>
          <w:bottom w:val="single" w:sz="4" w:space="0" w:color="B56012"/>
          <w:right w:val="none" w:sz="0" w:space="0" w:color="auto"/>
          <w:insideH w:val="single" w:sz="4" w:space="0" w:color="B56012"/>
          <w:insideV w:val="none" w:sz="0" w:space="0" w:color="auto"/>
        </w:tblBorders>
        <w:tblLook w:val="04A0" w:firstRow="1" w:lastRow="0" w:firstColumn="1" w:lastColumn="0" w:noHBand="0" w:noVBand="1"/>
        <w:tblDescription w:val="Table 1 lists the panel members for the Obstetrics Clinical Committee and their positions. The table also shows that they have no declared conflicts of interest."/>
      </w:tblPr>
      <w:tblGrid>
        <w:gridCol w:w="3311"/>
        <w:gridCol w:w="893"/>
      </w:tblGrid>
      <w:tr w:rsidR="009D420D" w:rsidRPr="00AB469A" w:rsidTr="00B26446">
        <w:trPr>
          <w:trHeight w:val="208"/>
          <w:tblHeader/>
        </w:trPr>
        <w:tc>
          <w:tcPr>
            <w:tcW w:w="3938" w:type="pct"/>
            <w:shd w:val="clear" w:color="auto" w:fill="FFFFFF" w:themeFill="background1"/>
          </w:tcPr>
          <w:p w:rsidR="009D420D" w:rsidRPr="00AB469A" w:rsidRDefault="009D420D" w:rsidP="00B2644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B469A">
              <w:rPr>
                <w:rFonts w:asciiTheme="minorHAnsi" w:hAnsiTheme="minorHAnsi"/>
                <w:b/>
                <w:sz w:val="22"/>
                <w:szCs w:val="22"/>
              </w:rPr>
              <w:t>Number of items reviewed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D420D" w:rsidRPr="00AB469A" w:rsidRDefault="009D420D" w:rsidP="00B264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9D420D" w:rsidRPr="00AB469A" w:rsidTr="00B26446">
        <w:trPr>
          <w:trHeight w:val="297"/>
        </w:trPr>
        <w:tc>
          <w:tcPr>
            <w:tcW w:w="3938" w:type="pct"/>
            <w:shd w:val="clear" w:color="auto" w:fill="FFFFFF" w:themeFill="background1"/>
            <w:hideMark/>
          </w:tcPr>
          <w:p w:rsidR="009D420D" w:rsidRPr="00AB469A" w:rsidRDefault="009D420D" w:rsidP="00B26446">
            <w:pPr>
              <w:spacing w:before="4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B469A">
              <w:rPr>
                <w:rFonts w:asciiTheme="minorHAnsi" w:hAnsiTheme="minorHAnsi"/>
                <w:b/>
                <w:sz w:val="22"/>
                <w:szCs w:val="22"/>
              </w:rPr>
              <w:t>Number of recommendations made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D420D" w:rsidRPr="00AB469A" w:rsidRDefault="009D420D" w:rsidP="00B26446">
            <w:pPr>
              <w:spacing w:before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9D420D" w:rsidRPr="00AB469A" w:rsidRDefault="009D420D" w:rsidP="009D420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0D" w:rsidRPr="00AB469A" w:rsidRDefault="009D420D" w:rsidP="009D420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The Taskforce endorsed all of the recommendations from the Diagnostic Imaging Clinical Committee relating to bone densitometry and submitted them to the Minister for Health for Government consideration</w:t>
      </w: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9D420D" w:rsidRPr="00AB469A" w:rsidRDefault="009D420D" w:rsidP="009D420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0D" w:rsidRPr="00AB469A" w:rsidRDefault="009D420D" w:rsidP="009D420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The recommendations reflect clinical evidence that indicates regular testing for most people is not required and also current practice with respect to regulation of providers of the services</w:t>
      </w: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9D420D" w:rsidRDefault="009D420D" w:rsidP="009D420D">
      <w:pPr>
        <w:spacing w:line="276" w:lineRule="auto"/>
        <w:rPr>
          <w:rFonts w:eastAsiaTheme="minorHAnsi"/>
          <w:lang w:val="en-GB"/>
        </w:rPr>
      </w:pPr>
    </w:p>
    <w:p w:rsidR="009D420D" w:rsidRPr="00E2678D" w:rsidRDefault="009D420D" w:rsidP="009D420D">
      <w:pPr>
        <w:keepNext/>
        <w:spacing w:before="120" w:line="276" w:lineRule="auto"/>
        <w:ind w:left="567" w:hanging="567"/>
        <w:outlineLvl w:val="0"/>
        <w:rPr>
          <w:rFonts w:asciiTheme="minorHAnsi" w:eastAsiaTheme="minorHAnsi" w:hAnsiTheme="minorHAnsi" w:cs="Arial"/>
          <w:b/>
          <w:bCs/>
          <w:color w:val="01653F"/>
          <w:kern w:val="32"/>
          <w:sz w:val="32"/>
          <w:szCs w:val="28"/>
          <w:lang w:val="en-US"/>
        </w:rPr>
      </w:pPr>
      <w:r>
        <w:rPr>
          <w:rFonts w:asciiTheme="minorHAnsi" w:eastAsiaTheme="minorHAnsi" w:hAnsiTheme="minorHAnsi" w:cs="Arial"/>
          <w:b/>
          <w:bCs/>
          <w:color w:val="01653F"/>
          <w:kern w:val="32"/>
          <w:sz w:val="32"/>
          <w:szCs w:val="28"/>
          <w:lang w:val="en-US"/>
        </w:rPr>
        <w:t>List of Taskforce recommendations</w:t>
      </w:r>
    </w:p>
    <w:p w:rsidR="009D420D" w:rsidRPr="00905CFC" w:rsidRDefault="009D420D" w:rsidP="009D420D">
      <w:pPr>
        <w:numPr>
          <w:ilvl w:val="0"/>
          <w:numId w:val="2"/>
        </w:numPr>
        <w:spacing w:before="180" w:after="60" w:line="360" w:lineRule="auto"/>
        <w:contextualSpacing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New items for repeat testing with intervals</w:t>
      </w:r>
    </w:p>
    <w:p w:rsidR="009D420D" w:rsidRDefault="009D420D" w:rsidP="00AD3249">
      <w:pPr>
        <w:shd w:val="clear" w:color="auto" w:fill="FFFFFF" w:themeFill="background1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The Taskforce recommends the introduction of intervals for bone densitometry (currently item 12323) for the measurement of bone mineral density, for a person aged 70 years or over.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This would involve the introduction of two new items with defined intervals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9D420D" w:rsidRPr="00AB469A" w:rsidRDefault="009D420D" w:rsidP="009D420D">
      <w:pPr>
        <w:pStyle w:val="Heading3Numbered"/>
        <w:spacing w:before="0" w:after="0" w:line="360" w:lineRule="auto"/>
        <w:rPr>
          <w:sz w:val="22"/>
        </w:rPr>
      </w:pPr>
      <w:r w:rsidRPr="00AB469A">
        <w:rPr>
          <w:sz w:val="22"/>
        </w:rPr>
        <w:t>New items</w:t>
      </w:r>
    </w:p>
    <w:p w:rsidR="009D420D" w:rsidRPr="00AB469A" w:rsidRDefault="009D420D" w:rsidP="009D420D">
      <w:pPr>
        <w:pStyle w:val="NormalBulleted"/>
        <w:spacing w:before="0" w:after="240" w:line="360" w:lineRule="auto"/>
        <w:rPr>
          <w:szCs w:val="22"/>
        </w:rPr>
      </w:pPr>
      <w:r w:rsidRPr="00EC0FF6">
        <w:rPr>
          <w:rFonts w:cs="Arial"/>
          <w:color w:val="000000" w:themeColor="text1"/>
        </w:rPr>
        <w:t>Norm</w:t>
      </w:r>
      <w:r>
        <w:rPr>
          <w:rFonts w:cs="Arial"/>
          <w:color w:val="000000" w:themeColor="text1"/>
        </w:rPr>
        <w:t>al or mild osteopenia (down to T</w:t>
      </w:r>
      <w:r w:rsidRPr="00EC0FF6">
        <w:rPr>
          <w:rFonts w:cs="Arial"/>
          <w:color w:val="000000" w:themeColor="text1"/>
        </w:rPr>
        <w:t xml:space="preserve"> score of -1.5</w:t>
      </w:r>
      <w:r w:rsidR="00855044">
        <w:rPr>
          <w:rFonts w:cs="Arial"/>
          <w:color w:val="000000" w:themeColor="text1"/>
        </w:rPr>
        <w:t xml:space="preserve"> when</w:t>
      </w:r>
      <w:r w:rsidR="00E42352" w:rsidRPr="00E42352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  <w:r w:rsidR="00E42352" w:rsidRPr="00E42352">
        <w:rPr>
          <w:rFonts w:cs="Arial"/>
          <w:color w:val="000000" w:themeColor="text1"/>
        </w:rPr>
        <w:t>compared to their same gender young normal mean (i.e. young normal defined as individuals between the ages of 21 and 29 years</w:t>
      </w:r>
      <w:r w:rsidRPr="00EC0FF6">
        <w:rPr>
          <w:rFonts w:cs="Arial"/>
          <w:color w:val="000000" w:themeColor="text1"/>
        </w:rPr>
        <w:t>)</w:t>
      </w:r>
      <w:r w:rsidR="00FB2F1F">
        <w:rPr>
          <w:rFonts w:cs="Arial"/>
          <w:color w:val="000000" w:themeColor="text1"/>
        </w:rPr>
        <w:t>)</w:t>
      </w:r>
      <w:r w:rsidRPr="00EC0FF6">
        <w:rPr>
          <w:rFonts w:cs="Arial"/>
          <w:color w:val="000000" w:themeColor="text1"/>
        </w:rPr>
        <w:t xml:space="preserve"> 1 scan every 5 years</w:t>
      </w:r>
      <w:r w:rsidRPr="00AB469A">
        <w:rPr>
          <w:szCs w:val="22"/>
        </w:rPr>
        <w:t>;</w:t>
      </w:r>
      <w:r>
        <w:rPr>
          <w:szCs w:val="22"/>
        </w:rPr>
        <w:t xml:space="preserve"> and</w:t>
      </w:r>
    </w:p>
    <w:p w:rsidR="009D420D" w:rsidRPr="00FB2F1F" w:rsidRDefault="009D420D" w:rsidP="009D420D">
      <w:pPr>
        <w:pStyle w:val="NormalBulleted"/>
        <w:spacing w:before="240" w:after="240" w:line="360" w:lineRule="auto"/>
        <w:rPr>
          <w:rFonts w:cs="Arial"/>
          <w:color w:val="000000" w:themeColor="text1"/>
          <w:szCs w:val="22"/>
        </w:rPr>
      </w:pPr>
      <w:r w:rsidRPr="00EC0FF6">
        <w:rPr>
          <w:rFonts w:cs="Arial"/>
          <w:color w:val="000000" w:themeColor="text1"/>
        </w:rPr>
        <w:t>Moderate to marked osteopenia (T score of -1.5 to -</w:t>
      </w:r>
      <w:r w:rsidR="00855044" w:rsidRPr="00EC0FF6">
        <w:rPr>
          <w:rFonts w:cs="Arial"/>
          <w:color w:val="000000" w:themeColor="text1"/>
        </w:rPr>
        <w:t>2.5</w:t>
      </w:r>
      <w:r w:rsidR="00E42352" w:rsidRPr="00E42352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  <w:r w:rsidR="0085504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when </w:t>
      </w:r>
      <w:r w:rsidR="00E42352" w:rsidRPr="00E42352">
        <w:rPr>
          <w:rFonts w:cs="Arial"/>
          <w:color w:val="000000" w:themeColor="text1"/>
        </w:rPr>
        <w:t>compared to their same gender young normal mean (i.e. young normal defined as individuals between the ages of 21 and 29 years</w:t>
      </w:r>
      <w:r w:rsidRPr="00EC0FF6">
        <w:rPr>
          <w:rFonts w:cs="Arial"/>
          <w:color w:val="000000" w:themeColor="text1"/>
        </w:rPr>
        <w:t>)</w:t>
      </w:r>
      <w:r w:rsidR="00FB2F1F">
        <w:rPr>
          <w:rFonts w:cs="Arial"/>
          <w:color w:val="000000" w:themeColor="text1"/>
        </w:rPr>
        <w:t>)</w:t>
      </w:r>
      <w:r w:rsidRPr="00EC0FF6">
        <w:rPr>
          <w:rFonts w:cs="Arial"/>
          <w:color w:val="000000" w:themeColor="text1"/>
        </w:rPr>
        <w:t xml:space="preserve"> 1 scan every 2 years</w:t>
      </w:r>
      <w:r>
        <w:rPr>
          <w:rFonts w:cs="Arial"/>
          <w:color w:val="000000" w:themeColor="text1"/>
        </w:rPr>
        <w:t>.</w:t>
      </w:r>
    </w:p>
    <w:p w:rsidR="00FB2F1F" w:rsidRPr="009D420D" w:rsidRDefault="00FB2F1F" w:rsidP="00FB2F1F">
      <w:pPr>
        <w:pStyle w:val="NormalBulleted"/>
        <w:numPr>
          <w:ilvl w:val="0"/>
          <w:numId w:val="0"/>
        </w:numPr>
        <w:spacing w:before="240" w:after="240" w:line="360" w:lineRule="auto"/>
        <w:ind w:left="431"/>
        <w:rPr>
          <w:rFonts w:cs="Arial"/>
          <w:color w:val="000000" w:themeColor="text1"/>
          <w:szCs w:val="22"/>
        </w:rPr>
      </w:pPr>
    </w:p>
    <w:p w:rsidR="009D420D" w:rsidRPr="00AB469A" w:rsidRDefault="009D420D" w:rsidP="00FB2F1F">
      <w:pPr>
        <w:numPr>
          <w:ilvl w:val="0"/>
          <w:numId w:val="2"/>
        </w:numPr>
        <w:spacing w:before="180" w:after="60" w:line="360" w:lineRule="auto"/>
        <w:contextualSpacing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>Clarification on who can perform dual-energy X-ray absorptiometry (DEXA)</w:t>
      </w:r>
    </w:p>
    <w:p w:rsidR="009D420D" w:rsidRDefault="00FB2F1F" w:rsidP="00FB2F1F">
      <w:pPr>
        <w:spacing w:before="180" w:after="24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The Taskforce recommends that </w:t>
      </w:r>
      <w:r w:rsidR="009D420D" w:rsidRPr="009D420D">
        <w:rPr>
          <w:rFonts w:asciiTheme="minorHAnsi" w:hAnsiTheme="minorHAnsi" w:cs="Arial"/>
          <w:color w:val="000000" w:themeColor="text1"/>
          <w:sz w:val="22"/>
          <w:szCs w:val="22"/>
        </w:rPr>
        <w:t>a person who holds a radiation licence from the relevant State or Territory jurisdiction can perform a DEXA scan, under the supervision of an appropriately qualified specialist or consultant physician</w:t>
      </w:r>
      <w:r w:rsidR="009D420D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This is currently usual 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practice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B2F1F" w:rsidRPr="00FB2F1F" w:rsidRDefault="00FB2F1F" w:rsidP="00FB2F1F">
      <w:pPr>
        <w:spacing w:before="180" w:after="24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0D" w:rsidRPr="00AB469A" w:rsidRDefault="009D420D" w:rsidP="00FB2F1F">
      <w:pPr>
        <w:numPr>
          <w:ilvl w:val="0"/>
          <w:numId w:val="2"/>
        </w:numPr>
        <w:spacing w:before="180" w:after="60" w:line="360" w:lineRule="auto"/>
        <w:contextualSpacing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Remove items for quantitative comput</w:t>
      </w:r>
      <w:r w:rsidR="00E42352">
        <w:rPr>
          <w:rFonts w:asciiTheme="minorHAnsi" w:hAnsiTheme="minorHAnsi"/>
          <w:b/>
          <w:sz w:val="22"/>
          <w:szCs w:val="22"/>
          <w:lang w:val="en-US"/>
        </w:rPr>
        <w:t>ed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 tomography (QCT)</w:t>
      </w:r>
    </w:p>
    <w:p w:rsidR="009D420D" w:rsidRDefault="009D420D" w:rsidP="00FB2F1F">
      <w:pPr>
        <w:shd w:val="clear" w:color="auto" w:fill="FFFFFF" w:themeFill="background1"/>
        <w:spacing w:after="12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The Taskforce recommends that items for QCT scans (12309 and 12318) are removed from the MBS, on the basis that QCT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provides lower value care in comparison to DEXA, which is the superior test for bone densitometry</w:t>
      </w: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B2F1F" w:rsidRPr="00AB469A" w:rsidRDefault="00FB2F1F" w:rsidP="00FB2F1F">
      <w:pPr>
        <w:shd w:val="clear" w:color="auto" w:fill="FFFFFF" w:themeFill="background1"/>
        <w:spacing w:after="12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0D" w:rsidRPr="00AB469A" w:rsidRDefault="009D420D" w:rsidP="00FB2F1F">
      <w:pPr>
        <w:numPr>
          <w:ilvl w:val="0"/>
          <w:numId w:val="2"/>
        </w:numPr>
        <w:shd w:val="clear" w:color="auto" w:fill="FFFFFF" w:themeFill="background1"/>
        <w:spacing w:before="180" w:after="60" w:line="360" w:lineRule="auto"/>
        <w:contextualSpacing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Int</w:t>
      </w:r>
      <w:r w:rsidRPr="00AB469A">
        <w:rPr>
          <w:rFonts w:asciiTheme="minorHAnsi" w:hAnsiTheme="minorHAnsi"/>
          <w:b/>
          <w:sz w:val="22"/>
          <w:szCs w:val="22"/>
          <w:lang w:val="en-US"/>
        </w:rPr>
        <w:t>e</w:t>
      </w:r>
      <w:r>
        <w:rPr>
          <w:rFonts w:asciiTheme="minorHAnsi" w:hAnsiTheme="minorHAnsi"/>
          <w:b/>
          <w:sz w:val="22"/>
          <w:szCs w:val="22"/>
          <w:lang w:val="en-US"/>
        </w:rPr>
        <w:t>rpretation and report provided by a specialist or consultant physician</w:t>
      </w:r>
    </w:p>
    <w:p w:rsidR="009D420D" w:rsidRDefault="009D420D" w:rsidP="00FB2F1F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The Taskforce recommends that the interpretation and report for bone densitometry and QCT scans must be provided by a specialist or consultant physician.</w:t>
      </w: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FB2F1F" w:rsidRPr="00AB469A" w:rsidRDefault="00FB2F1F" w:rsidP="00FB2F1F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0D" w:rsidRPr="00AB469A" w:rsidRDefault="009D420D" w:rsidP="00FB2F1F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Site measurements for QCT and DEXA items</w:t>
      </w:r>
    </w:p>
    <w:p w:rsidR="009D420D" w:rsidRDefault="009D420D" w:rsidP="00FB2F1F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 xml:space="preserve">The Taskforce recommends that the Department of Health undertake further work to determine the </w:t>
      </w:r>
      <w:r w:rsidR="005F4FC2">
        <w:rPr>
          <w:rFonts w:asciiTheme="minorHAnsi" w:hAnsiTheme="minorHAnsi" w:cs="Arial"/>
          <w:color w:val="000000" w:themeColor="text1"/>
          <w:sz w:val="22"/>
          <w:szCs w:val="22"/>
        </w:rPr>
        <w:t>most appropriate way to include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F4FC2">
        <w:rPr>
          <w:rFonts w:asciiTheme="minorHAnsi" w:hAnsiTheme="minorHAnsi" w:cs="Arial"/>
          <w:color w:val="000000" w:themeColor="text1"/>
          <w:sz w:val="22"/>
          <w:szCs w:val="22"/>
        </w:rPr>
        <w:t xml:space="preserve">site measurements for the 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 xml:space="preserve">spine and </w:t>
      </w:r>
      <w:r w:rsidR="005F4FC2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>hip</w:t>
      </w:r>
      <w:r w:rsidR="00FB2F1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F4FC2" w:rsidRPr="009D420D">
        <w:rPr>
          <w:rFonts w:asciiTheme="minorHAnsi" w:hAnsiTheme="minorHAnsi" w:cs="Arial"/>
          <w:color w:val="000000" w:themeColor="text1"/>
          <w:sz w:val="22"/>
          <w:szCs w:val="22"/>
        </w:rPr>
        <w:t>in</w:t>
      </w:r>
      <w:r w:rsidRPr="009D420D">
        <w:rPr>
          <w:rFonts w:asciiTheme="minorHAnsi" w:hAnsiTheme="minorHAnsi" w:cs="Arial"/>
          <w:color w:val="000000" w:themeColor="text1"/>
          <w:sz w:val="22"/>
          <w:szCs w:val="22"/>
        </w:rPr>
        <w:t xml:space="preserve"> the item desc</w:t>
      </w:r>
      <w:r w:rsidR="005F4FC2">
        <w:rPr>
          <w:rFonts w:asciiTheme="minorHAnsi" w:hAnsiTheme="minorHAnsi" w:cs="Arial"/>
          <w:color w:val="000000" w:themeColor="text1"/>
          <w:sz w:val="22"/>
          <w:szCs w:val="22"/>
        </w:rPr>
        <w:t>riptor and explanatory notes</w:t>
      </w: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B2F1F" w:rsidRPr="00AB469A" w:rsidRDefault="00FB2F1F" w:rsidP="00FB2F1F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36864" w:rsidRPr="00C36864" w:rsidRDefault="0009024E" w:rsidP="00FB2F1F">
      <w:p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C36864" w:rsidRPr="00567514">
        <w:rPr>
          <w:rFonts w:asciiTheme="minorHAnsi" w:hAnsiTheme="minorHAnsi" w:cs="Arial"/>
          <w:color w:val="000000" w:themeColor="text1"/>
          <w:sz w:val="22"/>
          <w:szCs w:val="22"/>
        </w:rPr>
        <w:t xml:space="preserve">nformation and evidence supporting each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of these </w:t>
      </w:r>
      <w:r w:rsidR="00C36864" w:rsidRPr="00567514">
        <w:rPr>
          <w:rFonts w:asciiTheme="minorHAnsi" w:hAnsiTheme="minorHAnsi" w:cs="Arial"/>
          <w:color w:val="000000" w:themeColor="text1"/>
          <w:sz w:val="22"/>
          <w:szCs w:val="22"/>
        </w:rPr>
        <w:t>recommendation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s is included in </w:t>
      </w:r>
      <w:r w:rsidR="00C36864" w:rsidRPr="00567514">
        <w:rPr>
          <w:rFonts w:asciiTheme="minorHAnsi" w:hAnsiTheme="minorHAnsi" w:cs="Arial"/>
          <w:color w:val="000000" w:themeColor="text1"/>
          <w:sz w:val="22"/>
          <w:szCs w:val="22"/>
        </w:rPr>
        <w:t xml:space="preserve">the Diagnostic Imaging Clinical </w:t>
      </w:r>
      <w:r w:rsidR="00C36864">
        <w:rPr>
          <w:rFonts w:asciiTheme="minorHAnsi" w:hAnsiTheme="minorHAnsi" w:cs="Arial"/>
          <w:color w:val="000000" w:themeColor="text1"/>
          <w:sz w:val="22"/>
          <w:szCs w:val="22"/>
        </w:rPr>
        <w:t>C</w:t>
      </w:r>
      <w:r w:rsidR="00C36864" w:rsidRPr="00567514">
        <w:rPr>
          <w:rFonts w:asciiTheme="minorHAnsi" w:hAnsiTheme="minorHAnsi" w:cs="Arial"/>
          <w:color w:val="000000" w:themeColor="text1"/>
          <w:sz w:val="22"/>
          <w:szCs w:val="22"/>
        </w:rPr>
        <w:t>ommittee</w:t>
      </w:r>
      <w:r w:rsidR="00C36864">
        <w:rPr>
          <w:rFonts w:asciiTheme="minorHAnsi" w:hAnsiTheme="minorHAnsi" w:cs="Arial"/>
          <w:color w:val="000000" w:themeColor="text1"/>
          <w:sz w:val="22"/>
          <w:szCs w:val="22"/>
        </w:rPr>
        <w:t xml:space="preserve"> report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09024E" w:rsidRDefault="0009024E" w:rsidP="00FB2F1F">
      <w:p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  <w:u w:val="single"/>
        </w:rPr>
      </w:pPr>
    </w:p>
    <w:p w:rsidR="00003743" w:rsidRPr="00C36864" w:rsidRDefault="00003743" w:rsidP="00C36864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003743" w:rsidRPr="00C36864" w:rsidSect="009D420D">
      <w:footerReference w:type="default" r:id="rId7"/>
      <w:pgSz w:w="11906" w:h="16838"/>
      <w:pgMar w:top="993" w:right="1558" w:bottom="1440" w:left="1418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67" w:rsidRDefault="00D85267" w:rsidP="009D420D">
      <w:r>
        <w:separator/>
      </w:r>
    </w:p>
  </w:endnote>
  <w:endnote w:type="continuationSeparator" w:id="0">
    <w:p w:rsidR="00D85267" w:rsidRDefault="00D85267" w:rsidP="009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30" w:rsidRDefault="00D85267" w:rsidP="005D4630">
    <w:pPr>
      <w:pStyle w:val="Footer"/>
      <w:pBdr>
        <w:top w:val="single" w:sz="4" w:space="1" w:color="B56012"/>
      </w:pBdr>
      <w:tabs>
        <w:tab w:val="clear" w:pos="4513"/>
      </w:tabs>
      <w:jc w:val="center"/>
    </w:pPr>
    <w:r>
      <w:rPr>
        <w:color w:val="01653F"/>
        <w:sz w:val="16"/>
      </w:rPr>
      <w:t xml:space="preserve">Taskforce findings from the </w:t>
    </w:r>
    <w:r w:rsidR="009D420D">
      <w:rPr>
        <w:color w:val="01653F"/>
        <w:sz w:val="16"/>
      </w:rPr>
      <w:t>Diagnostic Imaging</w:t>
    </w:r>
    <w:r>
      <w:rPr>
        <w:color w:val="01653F"/>
        <w:sz w:val="16"/>
      </w:rPr>
      <w:t xml:space="preserve"> Clinical Committee Report</w:t>
    </w:r>
    <w:r>
      <w:rPr>
        <w:color w:val="01653F"/>
        <w:sz w:val="16"/>
      </w:rPr>
      <w:tab/>
    </w:r>
    <w:r w:rsidRPr="003B1222">
      <w:rPr>
        <w:color w:val="01653F"/>
        <w:sz w:val="16"/>
      </w:rPr>
      <w:t xml:space="preserve">Page </w:t>
    </w:r>
    <w:r w:rsidRPr="003B1222">
      <w:rPr>
        <w:rFonts w:eastAsiaTheme="minorHAnsi"/>
        <w:color w:val="01653F"/>
        <w:sz w:val="22"/>
      </w:rPr>
      <w:fldChar w:fldCharType="begin"/>
    </w:r>
    <w:r w:rsidRPr="003B1222">
      <w:rPr>
        <w:color w:val="01653F"/>
      </w:rPr>
      <w:instrText xml:space="preserve"> PAGE   \* MERGEFORMAT </w:instrText>
    </w:r>
    <w:r w:rsidRPr="003B1222">
      <w:rPr>
        <w:rFonts w:eastAsiaTheme="minorHAnsi"/>
        <w:color w:val="01653F"/>
        <w:sz w:val="22"/>
      </w:rPr>
      <w:fldChar w:fldCharType="separate"/>
    </w:r>
    <w:r w:rsidR="00416E11" w:rsidRPr="00416E11">
      <w:rPr>
        <w:rFonts w:eastAsiaTheme="majorEastAsia"/>
        <w:noProof/>
        <w:color w:val="01653F"/>
        <w:sz w:val="16"/>
      </w:rPr>
      <w:t>1</w:t>
    </w:r>
    <w:r w:rsidRPr="003B1222">
      <w:rPr>
        <w:rFonts w:eastAsiaTheme="majorEastAsia"/>
        <w:noProof/>
        <w:color w:val="01653F"/>
        <w:sz w:val="16"/>
      </w:rPr>
      <w:fldChar w:fldCharType="end"/>
    </w:r>
  </w:p>
  <w:p w:rsidR="005D4630" w:rsidRDefault="00416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67" w:rsidRDefault="00D85267" w:rsidP="009D420D">
      <w:r>
        <w:separator/>
      </w:r>
    </w:p>
  </w:footnote>
  <w:footnote w:type="continuationSeparator" w:id="0">
    <w:p w:rsidR="00D85267" w:rsidRDefault="00D85267" w:rsidP="009D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0642"/>
    <w:multiLevelType w:val="multilevel"/>
    <w:tmpl w:val="6360F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E9153F"/>
    <w:multiLevelType w:val="hybridMultilevel"/>
    <w:tmpl w:val="841829CA"/>
    <w:lvl w:ilvl="0" w:tplc="9FF875D0">
      <w:start w:val="1"/>
      <w:numFmt w:val="bullet"/>
      <w:pStyle w:val="NormalBulleted"/>
      <w:lvlText w:val="∆"/>
      <w:lvlJc w:val="left"/>
      <w:pPr>
        <w:ind w:left="431" w:hanging="431"/>
      </w:pPr>
      <w:rPr>
        <w:rFonts w:ascii="Calibri" w:hAnsi="Calibri" w:hint="default"/>
        <w:color w:val="B56012"/>
      </w:rPr>
    </w:lvl>
    <w:lvl w:ilvl="1" w:tplc="74B6F98C">
      <w:numFmt w:val="bullet"/>
      <w:lvlText w:val="-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0D"/>
    <w:rsid w:val="00003743"/>
    <w:rsid w:val="00067456"/>
    <w:rsid w:val="0009024E"/>
    <w:rsid w:val="000E14E0"/>
    <w:rsid w:val="001B3443"/>
    <w:rsid w:val="002F3AE3"/>
    <w:rsid w:val="0030786C"/>
    <w:rsid w:val="003D17F9"/>
    <w:rsid w:val="00416E11"/>
    <w:rsid w:val="004867E2"/>
    <w:rsid w:val="004B19C9"/>
    <w:rsid w:val="005F4FC2"/>
    <w:rsid w:val="008264EB"/>
    <w:rsid w:val="00855044"/>
    <w:rsid w:val="009D420D"/>
    <w:rsid w:val="00A4512D"/>
    <w:rsid w:val="00A57FD3"/>
    <w:rsid w:val="00A705AF"/>
    <w:rsid w:val="00AD3249"/>
    <w:rsid w:val="00B42851"/>
    <w:rsid w:val="00C36864"/>
    <w:rsid w:val="00CB5B1A"/>
    <w:rsid w:val="00D85267"/>
    <w:rsid w:val="00E42352"/>
    <w:rsid w:val="00F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533539-B2A7-4FF9-94CD-4B3D7708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9D420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D42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20D"/>
    <w:rPr>
      <w:sz w:val="24"/>
      <w:szCs w:val="24"/>
      <w:lang w:eastAsia="en-US"/>
    </w:rPr>
  </w:style>
  <w:style w:type="table" w:styleId="TableGrid">
    <w:name w:val="Table Grid"/>
    <w:basedOn w:val="TableNormal"/>
    <w:rsid w:val="009D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Numbered">
    <w:name w:val="Heading 3 Numbered"/>
    <w:basedOn w:val="Heading2"/>
    <w:qFormat/>
    <w:rsid w:val="009D420D"/>
    <w:pPr>
      <w:spacing w:before="120" w:after="120" w:line="312" w:lineRule="auto"/>
      <w:ind w:left="720" w:hanging="720"/>
      <w:outlineLvl w:val="2"/>
    </w:pPr>
    <w:rPr>
      <w:rFonts w:asciiTheme="minorHAnsi" w:eastAsiaTheme="minorHAnsi" w:hAnsiTheme="minorHAnsi"/>
      <w:color w:val="B56011"/>
      <w:szCs w:val="22"/>
      <w:lang w:val="en-US"/>
    </w:rPr>
  </w:style>
  <w:style w:type="paragraph" w:customStyle="1" w:styleId="NormalBulleted">
    <w:name w:val="Normal Bulleted"/>
    <w:basedOn w:val="ListContinue"/>
    <w:link w:val="NormalBulletedChar"/>
    <w:qFormat/>
    <w:rsid w:val="009D420D"/>
    <w:pPr>
      <w:numPr>
        <w:numId w:val="1"/>
      </w:numPr>
      <w:spacing w:before="180" w:line="312" w:lineRule="auto"/>
    </w:pPr>
    <w:rPr>
      <w:rFonts w:asciiTheme="minorHAnsi" w:hAnsiTheme="minorHAnsi"/>
      <w:sz w:val="22"/>
      <w:lang w:eastAsia="en-AU"/>
    </w:rPr>
  </w:style>
  <w:style w:type="character" w:customStyle="1" w:styleId="NormalBulletedChar">
    <w:name w:val="Normal Bulleted Char"/>
    <w:basedOn w:val="DefaultParagraphFont"/>
    <w:link w:val="NormalBulleted"/>
    <w:rsid w:val="009D420D"/>
    <w:rPr>
      <w:rFonts w:asciiTheme="minorHAnsi" w:hAnsiTheme="minorHAnsi"/>
      <w:sz w:val="22"/>
      <w:szCs w:val="24"/>
    </w:rPr>
  </w:style>
  <w:style w:type="paragraph" w:styleId="ListContinue">
    <w:name w:val="List Continue"/>
    <w:basedOn w:val="Normal"/>
    <w:rsid w:val="009D420D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rsid w:val="009D42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42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Taskforce findings – Diagnostic Imaging Clinical Committee Bone Densitometry Report</dc:title>
  <dc:creator>MBS Review Taskforce</dc:creator>
  <cp:keywords>MBS Review, Medicare</cp:keywords>
  <cp:lastModifiedBy>ROBERTSON, Jen</cp:lastModifiedBy>
  <cp:revision>3</cp:revision>
  <dcterms:created xsi:type="dcterms:W3CDTF">2017-06-23T02:07:00Z</dcterms:created>
  <dcterms:modified xsi:type="dcterms:W3CDTF">2021-05-28T06:58:00Z</dcterms:modified>
</cp:coreProperties>
</file>