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84" w:rsidRPr="00A22898" w:rsidRDefault="00932284" w:rsidP="00AC1182">
      <w:pPr>
        <w:pStyle w:val="Subtitle"/>
        <w:spacing w:before="0" w:after="0" w:line="360" w:lineRule="auto"/>
      </w:pPr>
      <w:r w:rsidRPr="00A22898">
        <w:t>Medicare Benefits Schedule Review Taskforce</w:t>
      </w:r>
    </w:p>
    <w:p w:rsidR="00932284" w:rsidRPr="00A22898" w:rsidRDefault="008361C3" w:rsidP="00AC1182">
      <w:pPr>
        <w:pStyle w:val="Title"/>
        <w:spacing w:before="0" w:after="0" w:line="360" w:lineRule="auto"/>
      </w:pPr>
      <w:r>
        <w:t>Diagnostic Imaging</w:t>
      </w:r>
      <w:r w:rsidR="002908B1">
        <w:t xml:space="preserve"> </w:t>
      </w:r>
      <w:r w:rsidR="00932284" w:rsidRPr="00A22898">
        <w:t xml:space="preserve">Clinical </w:t>
      </w:r>
      <w:bookmarkStart w:id="0" w:name="_GoBack"/>
      <w:bookmarkEnd w:id="0"/>
      <w:r w:rsidR="00932284" w:rsidRPr="00A22898">
        <w:t>Committee</w:t>
      </w:r>
      <w:r w:rsidR="00E2678D" w:rsidRPr="00A22898">
        <w:t xml:space="preserve"> Report</w:t>
      </w:r>
      <w:r>
        <w:t xml:space="preserve"> – Pulmonary Embolism and Deep Vein Thrombosis</w:t>
      </w:r>
    </w:p>
    <w:p w:rsidR="00E2678D" w:rsidRPr="00A22898" w:rsidRDefault="00E2678D" w:rsidP="00AC1182">
      <w:pPr>
        <w:pStyle w:val="Title"/>
        <w:spacing w:before="0" w:after="0" w:line="360" w:lineRule="auto"/>
      </w:pPr>
      <w:r w:rsidRPr="00A22898">
        <w:t>Taskforce Findings</w:t>
      </w:r>
    </w:p>
    <w:p w:rsidR="00932284" w:rsidRDefault="00E2678D" w:rsidP="00F37ABF">
      <w:pPr>
        <w:spacing w:before="240" w:after="0" w:line="360" w:lineRule="auto"/>
        <w:rPr>
          <w:rFonts w:cs="Arial"/>
          <w:color w:val="000000" w:themeColor="text1"/>
          <w:szCs w:val="22"/>
        </w:rPr>
      </w:pPr>
      <w:r w:rsidRPr="00AB469A">
        <w:rPr>
          <w:rFonts w:cs="Arial"/>
          <w:color w:val="000000" w:themeColor="text1"/>
          <w:szCs w:val="22"/>
        </w:rPr>
        <w:t>This document outlines the Medica</w:t>
      </w:r>
      <w:r w:rsidR="00F339E7">
        <w:rPr>
          <w:rFonts w:cs="Arial"/>
          <w:color w:val="000000" w:themeColor="text1"/>
          <w:szCs w:val="22"/>
        </w:rPr>
        <w:t>re</w:t>
      </w:r>
      <w:r w:rsidRPr="00AB469A">
        <w:rPr>
          <w:rFonts w:cs="Arial"/>
          <w:color w:val="000000" w:themeColor="text1"/>
          <w:szCs w:val="22"/>
        </w:rPr>
        <w:t xml:space="preserve"> Benefits Schedule (MBS) Taskforce’s recommendations in response to </w:t>
      </w:r>
      <w:r w:rsidR="008F2403">
        <w:rPr>
          <w:rFonts w:cs="Arial"/>
          <w:color w:val="000000" w:themeColor="text1"/>
          <w:szCs w:val="22"/>
        </w:rPr>
        <w:t>Diagnostic Imaging</w:t>
      </w:r>
      <w:r w:rsidR="002908B1">
        <w:rPr>
          <w:rFonts w:cs="Arial"/>
          <w:color w:val="000000" w:themeColor="text1"/>
          <w:szCs w:val="22"/>
        </w:rPr>
        <w:t xml:space="preserve"> </w:t>
      </w:r>
      <w:r w:rsidR="002908B1" w:rsidRPr="00AB469A">
        <w:rPr>
          <w:rFonts w:cs="Arial"/>
          <w:color w:val="000000" w:themeColor="text1"/>
          <w:szCs w:val="22"/>
        </w:rPr>
        <w:t>Clinical</w:t>
      </w:r>
      <w:r w:rsidRPr="00AB469A">
        <w:rPr>
          <w:rFonts w:cs="Arial"/>
          <w:color w:val="000000" w:themeColor="text1"/>
          <w:szCs w:val="22"/>
        </w:rPr>
        <w:t xml:space="preserve"> Committee Report</w:t>
      </w:r>
      <w:r w:rsidR="008F2403">
        <w:rPr>
          <w:rFonts w:cs="Arial"/>
          <w:color w:val="000000" w:themeColor="text1"/>
          <w:szCs w:val="22"/>
        </w:rPr>
        <w:t xml:space="preserve"> – Pulmonary Embolism and Deep Vein Thrombosis</w:t>
      </w:r>
      <w:r w:rsidRPr="00AB469A">
        <w:rPr>
          <w:rFonts w:cs="Arial"/>
          <w:color w:val="000000" w:themeColor="text1"/>
          <w:szCs w:val="22"/>
        </w:rPr>
        <w:t xml:space="preserve">. </w:t>
      </w:r>
    </w:p>
    <w:p w:rsidR="00F37ABF" w:rsidRPr="00AB469A" w:rsidRDefault="00F37ABF" w:rsidP="00F37ABF">
      <w:pPr>
        <w:spacing w:before="0" w:after="0" w:line="360" w:lineRule="auto"/>
        <w:rPr>
          <w:rFonts w:cs="Arial"/>
          <w:color w:val="000000" w:themeColor="text1"/>
          <w:szCs w:val="22"/>
        </w:rPr>
      </w:pPr>
    </w:p>
    <w:p w:rsidR="00932284" w:rsidRPr="00AB469A" w:rsidRDefault="00E2678D" w:rsidP="00F37ABF">
      <w:pPr>
        <w:spacing w:before="0" w:after="0" w:line="360" w:lineRule="auto"/>
        <w:rPr>
          <w:rFonts w:cs="Arial"/>
          <w:color w:val="000000" w:themeColor="text1"/>
          <w:szCs w:val="22"/>
        </w:rPr>
      </w:pPr>
      <w:r w:rsidRPr="00AB469A">
        <w:rPr>
          <w:rFonts w:cs="Arial"/>
          <w:color w:val="000000" w:themeColor="text1"/>
          <w:szCs w:val="22"/>
        </w:rPr>
        <w:t xml:space="preserve">The </w:t>
      </w:r>
      <w:r w:rsidR="006663DA">
        <w:rPr>
          <w:rFonts w:cs="Arial"/>
          <w:color w:val="000000" w:themeColor="text1"/>
          <w:szCs w:val="22"/>
        </w:rPr>
        <w:t>Taskforce</w:t>
      </w:r>
      <w:r w:rsidRPr="00AB469A">
        <w:rPr>
          <w:rFonts w:cs="Arial"/>
          <w:color w:val="000000" w:themeColor="text1"/>
          <w:szCs w:val="22"/>
        </w:rPr>
        <w:t xml:space="preserve"> considered the recommendations from the </w:t>
      </w:r>
      <w:r w:rsidR="008F2403">
        <w:rPr>
          <w:rFonts w:cs="Arial"/>
          <w:color w:val="000000" w:themeColor="text1"/>
          <w:szCs w:val="22"/>
        </w:rPr>
        <w:t>Diagnostic Imaging</w:t>
      </w:r>
      <w:r w:rsidR="002908B1">
        <w:rPr>
          <w:rFonts w:cs="Arial"/>
          <w:color w:val="000000" w:themeColor="text1"/>
          <w:szCs w:val="22"/>
        </w:rPr>
        <w:t xml:space="preserve"> </w:t>
      </w:r>
      <w:r w:rsidRPr="00AB469A">
        <w:rPr>
          <w:rFonts w:cs="Arial"/>
          <w:color w:val="000000" w:themeColor="text1"/>
          <w:szCs w:val="22"/>
        </w:rPr>
        <w:t>Clinical Committee and feedback from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06"/>
        <w:gridCol w:w="811"/>
      </w:tblGrid>
      <w:tr w:rsidR="00E2678D" w:rsidRPr="00AB469A" w:rsidTr="00FC4653">
        <w:trPr>
          <w:trHeight w:val="208"/>
          <w:tblHeader/>
        </w:trPr>
        <w:tc>
          <w:tcPr>
            <w:tcW w:w="3938" w:type="pct"/>
            <w:shd w:val="clear" w:color="auto" w:fill="FFFFFF" w:themeFill="background1"/>
          </w:tcPr>
          <w:p w:rsidR="00E2678D" w:rsidRPr="00AB469A" w:rsidRDefault="00E2678D" w:rsidP="00AC1182">
            <w:pPr>
              <w:spacing w:before="0" w:after="0" w:line="360" w:lineRule="auto"/>
              <w:rPr>
                <w:b/>
                <w:szCs w:val="22"/>
              </w:rPr>
            </w:pPr>
            <w:r w:rsidRPr="00AB469A">
              <w:rPr>
                <w:b/>
                <w:szCs w:val="22"/>
              </w:rPr>
              <w:t>Number of items reviewed</w:t>
            </w:r>
          </w:p>
        </w:tc>
        <w:tc>
          <w:tcPr>
            <w:tcW w:w="1062" w:type="pct"/>
            <w:shd w:val="clear" w:color="auto" w:fill="auto"/>
            <w:vAlign w:val="center"/>
          </w:tcPr>
          <w:p w:rsidR="00E2678D" w:rsidRPr="00AB469A" w:rsidRDefault="008F2403" w:rsidP="008F2403">
            <w:pPr>
              <w:spacing w:before="0" w:after="0" w:line="360" w:lineRule="auto"/>
              <w:jc w:val="center"/>
              <w:rPr>
                <w:szCs w:val="22"/>
              </w:rPr>
            </w:pPr>
            <w:r>
              <w:rPr>
                <w:szCs w:val="22"/>
              </w:rPr>
              <w:t>9</w:t>
            </w:r>
          </w:p>
        </w:tc>
      </w:tr>
      <w:tr w:rsidR="00E2678D" w:rsidRPr="00AB469A" w:rsidTr="00FC4653">
        <w:trPr>
          <w:trHeight w:val="297"/>
        </w:trPr>
        <w:tc>
          <w:tcPr>
            <w:tcW w:w="3938" w:type="pct"/>
            <w:shd w:val="clear" w:color="auto" w:fill="FFFFFF" w:themeFill="background1"/>
            <w:hideMark/>
          </w:tcPr>
          <w:p w:rsidR="00E2678D" w:rsidRPr="00AB469A" w:rsidRDefault="00E2678D" w:rsidP="00AC1182">
            <w:pPr>
              <w:spacing w:before="0" w:after="0" w:line="360" w:lineRule="auto"/>
              <w:rPr>
                <w:b/>
                <w:szCs w:val="22"/>
              </w:rPr>
            </w:pPr>
            <w:r w:rsidRPr="00AB469A">
              <w:rPr>
                <w:b/>
                <w:szCs w:val="22"/>
              </w:rPr>
              <w:t>Number of recommendations made</w:t>
            </w:r>
          </w:p>
        </w:tc>
        <w:tc>
          <w:tcPr>
            <w:tcW w:w="1062" w:type="pct"/>
            <w:shd w:val="clear" w:color="auto" w:fill="auto"/>
            <w:vAlign w:val="center"/>
          </w:tcPr>
          <w:p w:rsidR="00E2678D" w:rsidRPr="00AB469A" w:rsidRDefault="008F2403" w:rsidP="00AC1182">
            <w:pPr>
              <w:spacing w:before="0" w:after="0" w:line="360" w:lineRule="auto"/>
              <w:jc w:val="center"/>
              <w:rPr>
                <w:szCs w:val="22"/>
              </w:rPr>
            </w:pPr>
            <w:r>
              <w:rPr>
                <w:szCs w:val="22"/>
              </w:rPr>
              <w:t>4</w:t>
            </w:r>
          </w:p>
        </w:tc>
      </w:tr>
    </w:tbl>
    <w:p w:rsidR="00932284" w:rsidRDefault="00280E55" w:rsidP="00AC1182">
      <w:pPr>
        <w:spacing w:before="0" w:after="0" w:line="360" w:lineRule="auto"/>
        <w:rPr>
          <w:rFonts w:cs="Arial"/>
          <w:color w:val="000000" w:themeColor="text1"/>
          <w:szCs w:val="22"/>
        </w:rPr>
      </w:pPr>
      <w:r>
        <w:rPr>
          <w:rFonts w:cs="Arial"/>
          <w:color w:val="000000" w:themeColor="text1"/>
          <w:szCs w:val="22"/>
        </w:rPr>
        <w:t xml:space="preserve">The Taskforce </w:t>
      </w:r>
      <w:r w:rsidR="00932284" w:rsidRPr="00AB469A">
        <w:rPr>
          <w:rFonts w:cs="Arial"/>
          <w:color w:val="000000" w:themeColor="text1"/>
          <w:szCs w:val="22"/>
        </w:rPr>
        <w:t xml:space="preserve">endorsed </w:t>
      </w:r>
      <w:r w:rsidR="00F37ABF">
        <w:rPr>
          <w:rFonts w:cs="Arial"/>
          <w:color w:val="000000" w:themeColor="text1"/>
          <w:szCs w:val="22"/>
        </w:rPr>
        <w:t>the</w:t>
      </w:r>
      <w:r w:rsidR="00932284" w:rsidRPr="00AB469A">
        <w:rPr>
          <w:rFonts w:cs="Arial"/>
          <w:color w:val="000000" w:themeColor="text1"/>
          <w:szCs w:val="22"/>
        </w:rPr>
        <w:t xml:space="preserve"> recommendations from the </w:t>
      </w:r>
      <w:r w:rsidR="002908B1">
        <w:rPr>
          <w:rFonts w:cs="Arial"/>
          <w:color w:val="000000" w:themeColor="text1"/>
          <w:szCs w:val="22"/>
        </w:rPr>
        <w:t>D</w:t>
      </w:r>
      <w:r w:rsidR="008F2403">
        <w:rPr>
          <w:rFonts w:cs="Arial"/>
          <w:color w:val="000000" w:themeColor="text1"/>
          <w:szCs w:val="22"/>
        </w:rPr>
        <w:t>iagnostic Imaging</w:t>
      </w:r>
      <w:r w:rsidR="002908B1">
        <w:rPr>
          <w:rFonts w:cs="Arial"/>
          <w:color w:val="000000" w:themeColor="text1"/>
          <w:szCs w:val="22"/>
        </w:rPr>
        <w:t xml:space="preserve"> </w:t>
      </w:r>
      <w:r w:rsidR="00932284" w:rsidRPr="00AB469A">
        <w:rPr>
          <w:rFonts w:cs="Arial"/>
          <w:color w:val="000000" w:themeColor="text1"/>
          <w:szCs w:val="22"/>
        </w:rPr>
        <w:t>Clinical Committee</w:t>
      </w:r>
      <w:r w:rsidR="008F2403">
        <w:rPr>
          <w:rFonts w:cs="Arial"/>
          <w:color w:val="000000" w:themeColor="text1"/>
          <w:szCs w:val="22"/>
        </w:rPr>
        <w:t>, with one minor amendment to one recommendation,</w:t>
      </w:r>
      <w:r w:rsidR="00932284" w:rsidRPr="00AB469A">
        <w:rPr>
          <w:rFonts w:cs="Arial"/>
          <w:color w:val="000000" w:themeColor="text1"/>
          <w:szCs w:val="22"/>
        </w:rPr>
        <w:t xml:space="preserve"> and submitted them to the Minister for Health for Government consideration. </w:t>
      </w:r>
    </w:p>
    <w:p w:rsidR="00F37ABF" w:rsidRPr="00AB469A" w:rsidRDefault="00F37ABF" w:rsidP="00AC1182">
      <w:pPr>
        <w:spacing w:before="0" w:after="0" w:line="360" w:lineRule="auto"/>
        <w:rPr>
          <w:rFonts w:cs="Arial"/>
          <w:color w:val="000000" w:themeColor="text1"/>
          <w:szCs w:val="22"/>
        </w:rPr>
      </w:pPr>
    </w:p>
    <w:p w:rsidR="005778D3" w:rsidRPr="00B0157E" w:rsidRDefault="00932284" w:rsidP="00AC1182">
      <w:pPr>
        <w:spacing w:before="0" w:after="0" w:line="360" w:lineRule="auto"/>
      </w:pPr>
      <w:r w:rsidRPr="00AB469A">
        <w:rPr>
          <w:rFonts w:cs="Arial"/>
          <w:color w:val="000000" w:themeColor="text1"/>
          <w:szCs w:val="22"/>
        </w:rPr>
        <w:t xml:space="preserve">The recommendations are intended to </w:t>
      </w:r>
      <w:r w:rsidR="005778D3" w:rsidRPr="00B0157E">
        <w:t>encourag</w:t>
      </w:r>
      <w:r w:rsidR="005778D3">
        <w:t>e</w:t>
      </w:r>
      <w:r w:rsidR="005778D3" w:rsidRPr="00B0157E">
        <w:t xml:space="preserve"> best practice, improv</w:t>
      </w:r>
      <w:r w:rsidR="005778D3">
        <w:t>e</w:t>
      </w:r>
      <w:r w:rsidR="005778D3" w:rsidRPr="00B0157E">
        <w:t xml:space="preserve"> patient care and safety, and ensuring that MBS services provide value for the patient and the healthcare system. </w:t>
      </w:r>
      <w:r w:rsidR="008F2403">
        <w:t>This may be</w:t>
      </w:r>
      <w:r w:rsidR="005778D3" w:rsidRPr="00B0157E">
        <w:t xml:space="preserve"> achieved by</w:t>
      </w:r>
      <w:r w:rsidR="00755C22">
        <w:t xml:space="preserve"> d</w:t>
      </w:r>
      <w:r w:rsidR="005778D3" w:rsidRPr="00B0157E">
        <w:t>eleting items that are obsolete</w:t>
      </w:r>
      <w:r w:rsidR="00755C22">
        <w:t xml:space="preserve"> </w:t>
      </w:r>
      <w:r w:rsidR="005778D3" w:rsidRPr="00B0157E">
        <w:t xml:space="preserve">or that provide questionable clinical value or low-value care; </w:t>
      </w:r>
      <w:r w:rsidR="00755C22">
        <w:t>c</w:t>
      </w:r>
      <w:r w:rsidR="005778D3" w:rsidRPr="00B0157E">
        <w:t xml:space="preserve">onsolidating or splitting items to address potential misuse; </w:t>
      </w:r>
      <w:r w:rsidR="00755C22">
        <w:t>m</w:t>
      </w:r>
      <w:r w:rsidR="005778D3" w:rsidRPr="00B0157E">
        <w:t xml:space="preserve">odernising item descriptors to reflect best practice; and </w:t>
      </w:r>
      <w:r w:rsidR="00755C22">
        <w:t>p</w:t>
      </w:r>
      <w:r w:rsidR="005778D3" w:rsidRPr="00B0157E">
        <w:t xml:space="preserve">roviding clinical guidance for appropriate use through explanatory notes. </w:t>
      </w:r>
    </w:p>
    <w:p w:rsidR="005778D3" w:rsidRDefault="005778D3" w:rsidP="003B1B86">
      <w:pPr>
        <w:spacing w:before="0" w:after="0" w:line="360" w:lineRule="auto"/>
      </w:pPr>
    </w:p>
    <w:p w:rsidR="00E2678D" w:rsidRPr="00A22898" w:rsidRDefault="00E2678D" w:rsidP="003B1B86">
      <w:pPr>
        <w:pStyle w:val="Heading1"/>
        <w:spacing w:before="0" w:after="0" w:line="360" w:lineRule="auto"/>
      </w:pPr>
      <w:r w:rsidRPr="00A22898">
        <w:lastRenderedPageBreak/>
        <w:t>List of Taskforce recommendations</w:t>
      </w:r>
    </w:p>
    <w:p w:rsidR="002908B1" w:rsidRPr="003B1B86" w:rsidRDefault="00014D34" w:rsidP="003B1B86">
      <w:pPr>
        <w:pStyle w:val="NormalWeb"/>
        <w:spacing w:before="0" w:beforeAutospacing="0" w:after="0" w:afterAutospacing="0" w:line="360" w:lineRule="auto"/>
        <w:rPr>
          <w:rFonts w:asciiTheme="minorHAnsi" w:hAnsiTheme="minorHAnsi"/>
          <w:sz w:val="17"/>
          <w:szCs w:val="17"/>
        </w:rPr>
      </w:pPr>
      <w:r w:rsidRPr="003B1B86">
        <w:rPr>
          <w:rFonts w:asciiTheme="minorHAnsi" w:hAnsiTheme="minorHAnsi"/>
          <w:b/>
          <w:bCs/>
          <w:sz w:val="22"/>
          <w:szCs w:val="22"/>
        </w:rPr>
        <w:t>Item</w:t>
      </w:r>
      <w:r w:rsidR="008F2403" w:rsidRPr="003B1B86">
        <w:rPr>
          <w:rFonts w:asciiTheme="minorHAnsi" w:hAnsiTheme="minorHAnsi"/>
          <w:b/>
          <w:bCs/>
          <w:sz w:val="22"/>
          <w:szCs w:val="22"/>
        </w:rPr>
        <w:t>s</w:t>
      </w:r>
      <w:r w:rsidRPr="003B1B86">
        <w:rPr>
          <w:rFonts w:asciiTheme="minorHAnsi" w:hAnsiTheme="minorHAnsi"/>
          <w:b/>
          <w:bCs/>
          <w:sz w:val="22"/>
          <w:szCs w:val="22"/>
        </w:rPr>
        <w:t xml:space="preserve"> </w:t>
      </w:r>
      <w:r w:rsidR="008F2403" w:rsidRPr="003B1B86">
        <w:rPr>
          <w:rFonts w:asciiTheme="minorHAnsi" w:hAnsiTheme="minorHAnsi"/>
          <w:b/>
          <w:bCs/>
          <w:sz w:val="22"/>
          <w:szCs w:val="22"/>
        </w:rPr>
        <w:t>55221 and 55244</w:t>
      </w:r>
      <w:r w:rsidR="00276B04" w:rsidRPr="003B1B86">
        <w:rPr>
          <w:rFonts w:asciiTheme="minorHAnsi" w:hAnsiTheme="minorHAnsi"/>
          <w:b/>
          <w:bCs/>
          <w:sz w:val="22"/>
          <w:szCs w:val="22"/>
        </w:rPr>
        <w:t xml:space="preserve"> </w:t>
      </w:r>
      <w:r w:rsidR="008F2403" w:rsidRPr="003B1B86">
        <w:rPr>
          <w:rFonts w:asciiTheme="minorHAnsi" w:hAnsiTheme="minorHAnsi"/>
          <w:b/>
          <w:bCs/>
          <w:sz w:val="22"/>
          <w:szCs w:val="22"/>
        </w:rPr>
        <w:t>–</w:t>
      </w:r>
      <w:r w:rsidR="00276B04" w:rsidRPr="003B1B86">
        <w:rPr>
          <w:rFonts w:asciiTheme="minorHAnsi" w:hAnsiTheme="minorHAnsi"/>
          <w:b/>
          <w:bCs/>
          <w:sz w:val="22"/>
          <w:szCs w:val="22"/>
        </w:rPr>
        <w:t xml:space="preserve"> </w:t>
      </w:r>
      <w:r w:rsidR="008F2403" w:rsidRPr="003B1B86">
        <w:rPr>
          <w:rFonts w:asciiTheme="minorHAnsi" w:hAnsiTheme="minorHAnsi"/>
          <w:b/>
          <w:bCs/>
          <w:sz w:val="22"/>
          <w:szCs w:val="22"/>
        </w:rPr>
        <w:t>MBS explanatory notes for imaging for DVT</w:t>
      </w:r>
    </w:p>
    <w:p w:rsidR="008F2403" w:rsidRPr="003B1B86" w:rsidRDefault="008F2403" w:rsidP="003B1B86">
      <w:pPr>
        <w:spacing w:before="0" w:after="0" w:line="360" w:lineRule="auto"/>
        <w:rPr>
          <w:rFonts w:cs="Arial"/>
          <w:color w:val="000000" w:themeColor="text1"/>
        </w:rPr>
      </w:pPr>
      <w:r w:rsidRPr="003B1B86">
        <w:rPr>
          <w:rFonts w:cs="Arial"/>
          <w:color w:val="000000" w:themeColor="text1"/>
        </w:rPr>
        <w:t>MBS explanatory notes should be added to items used for DVT imaging (55221 and 55244) advising requestors to read and consider the Royal Australian and New Zealand College of Radiologists (RANZCR) 2015 Choosing Wisely Recommendations, or such clinical RANZCR Choosing Wisely recommendations as succeed it.</w:t>
      </w:r>
    </w:p>
    <w:p w:rsidR="003B1B86" w:rsidRPr="003B1B86" w:rsidRDefault="003B1B86" w:rsidP="003B1B86">
      <w:pPr>
        <w:pStyle w:val="NormalWeb"/>
        <w:spacing w:before="0" w:beforeAutospacing="0" w:after="0" w:afterAutospacing="0" w:line="360" w:lineRule="auto"/>
        <w:rPr>
          <w:rFonts w:asciiTheme="minorHAnsi" w:hAnsiTheme="minorHAnsi"/>
          <w:b/>
          <w:bCs/>
          <w:sz w:val="22"/>
          <w:szCs w:val="22"/>
        </w:rPr>
      </w:pPr>
      <w:r w:rsidRPr="003B1B86">
        <w:rPr>
          <w:rFonts w:asciiTheme="minorHAnsi" w:hAnsiTheme="minorHAnsi"/>
          <w:b/>
          <w:bCs/>
          <w:sz w:val="22"/>
          <w:szCs w:val="22"/>
        </w:rPr>
        <w:t>Co-claiming duplex scanning for DVT and chronic venous disease</w:t>
      </w:r>
    </w:p>
    <w:p w:rsidR="00014D34" w:rsidRPr="003B1B86" w:rsidRDefault="008F2403" w:rsidP="003B1B86">
      <w:pPr>
        <w:pStyle w:val="NormalWeb"/>
        <w:spacing w:before="0" w:beforeAutospacing="0" w:after="0" w:afterAutospacing="0" w:line="360" w:lineRule="auto"/>
        <w:rPr>
          <w:rFonts w:asciiTheme="minorHAnsi" w:hAnsiTheme="minorHAnsi"/>
          <w:bCs/>
          <w:sz w:val="22"/>
          <w:szCs w:val="22"/>
        </w:rPr>
      </w:pPr>
      <w:r w:rsidRPr="003B1B86">
        <w:rPr>
          <w:rFonts w:asciiTheme="minorHAnsi" w:hAnsiTheme="minorHAnsi"/>
          <w:bCs/>
          <w:sz w:val="22"/>
          <w:szCs w:val="22"/>
        </w:rPr>
        <w:t>In the case of a same provider undertaking venous ultrasound for the same patient on the same day that:</w:t>
      </w:r>
    </w:p>
    <w:p w:rsidR="008F2403" w:rsidRPr="003B1B86" w:rsidRDefault="008F2403" w:rsidP="003B1B86">
      <w:pPr>
        <w:pStyle w:val="NormalWeb"/>
        <w:numPr>
          <w:ilvl w:val="0"/>
          <w:numId w:val="22"/>
        </w:numPr>
        <w:spacing w:before="0" w:beforeAutospacing="0" w:after="0" w:afterAutospacing="0" w:line="360" w:lineRule="auto"/>
        <w:rPr>
          <w:rFonts w:asciiTheme="minorHAnsi" w:hAnsiTheme="minorHAnsi"/>
          <w:sz w:val="22"/>
          <w:szCs w:val="22"/>
        </w:rPr>
      </w:pPr>
      <w:r w:rsidRPr="003B1B86">
        <w:rPr>
          <w:rFonts w:asciiTheme="minorHAnsi" w:hAnsiTheme="minorHAnsi"/>
          <w:sz w:val="22"/>
          <w:szCs w:val="22"/>
        </w:rPr>
        <w:t>It is inappropriate to claim ultrasound items for both acute DVT and chronic venous disease on the same leg in the same patient on the same day</w:t>
      </w:r>
    </w:p>
    <w:p w:rsidR="008F2403" w:rsidRPr="003B1B86" w:rsidRDefault="008F2403" w:rsidP="003B1B86">
      <w:pPr>
        <w:pStyle w:val="NormalWeb"/>
        <w:numPr>
          <w:ilvl w:val="0"/>
          <w:numId w:val="22"/>
        </w:numPr>
        <w:spacing w:before="0" w:beforeAutospacing="0" w:after="0" w:afterAutospacing="0" w:line="360" w:lineRule="auto"/>
        <w:rPr>
          <w:rFonts w:asciiTheme="minorHAnsi" w:hAnsiTheme="minorHAnsi"/>
          <w:sz w:val="22"/>
          <w:szCs w:val="22"/>
        </w:rPr>
      </w:pPr>
      <w:r w:rsidRPr="003B1B86">
        <w:rPr>
          <w:rFonts w:asciiTheme="minorHAnsi" w:hAnsiTheme="minorHAnsi"/>
          <w:sz w:val="22"/>
          <w:szCs w:val="22"/>
        </w:rPr>
        <w:t>The multiple services rules for diagnostic ultrasound apply and should be adhered to</w:t>
      </w:r>
    </w:p>
    <w:p w:rsidR="003B1B86" w:rsidRDefault="003B1B86" w:rsidP="003B1B86">
      <w:pPr>
        <w:pStyle w:val="01squarebullet"/>
        <w:numPr>
          <w:ilvl w:val="0"/>
          <w:numId w:val="0"/>
        </w:numPr>
        <w:spacing w:before="0" w:after="0" w:line="360" w:lineRule="auto"/>
        <w:rPr>
          <w:rFonts w:eastAsia="MS Mincho"/>
          <w:b/>
          <w:lang w:val="en-AU"/>
        </w:rPr>
      </w:pPr>
      <w:r>
        <w:rPr>
          <w:rFonts w:eastAsia="MS Mincho"/>
          <w:b/>
          <w:lang w:val="en-AU"/>
        </w:rPr>
        <w:t>Redundant items for DVT imaging</w:t>
      </w:r>
    </w:p>
    <w:p w:rsidR="00014D34" w:rsidRPr="003B1B86" w:rsidRDefault="008F2403" w:rsidP="003B1B86">
      <w:pPr>
        <w:pStyle w:val="01squarebullet"/>
        <w:numPr>
          <w:ilvl w:val="0"/>
          <w:numId w:val="0"/>
        </w:numPr>
        <w:spacing w:before="0" w:after="0" w:line="360" w:lineRule="auto"/>
        <w:rPr>
          <w:rFonts w:eastAsia="MS Mincho"/>
          <w:lang w:val="en-AU"/>
        </w:rPr>
      </w:pPr>
      <w:r w:rsidRPr="003B1B86">
        <w:rPr>
          <w:rFonts w:eastAsia="MS Mincho"/>
          <w:lang w:val="en-AU"/>
        </w:rPr>
        <w:t xml:space="preserve">A mechanism is identified to reduce the number of NK (services performed on old equipment), which duplicate regular items and lengthen the Diagnostic Imaging Services Table, as a class solution. </w:t>
      </w:r>
    </w:p>
    <w:p w:rsidR="008F2403" w:rsidRDefault="008F2403" w:rsidP="003B1B86">
      <w:pPr>
        <w:pStyle w:val="NormalWeb"/>
        <w:spacing w:before="0" w:beforeAutospacing="0" w:after="0" w:afterAutospacing="0" w:line="360" w:lineRule="auto"/>
        <w:rPr>
          <w:rFonts w:asciiTheme="minorHAnsi" w:hAnsiTheme="minorHAnsi"/>
          <w:b/>
          <w:bCs/>
          <w:sz w:val="22"/>
          <w:szCs w:val="22"/>
        </w:rPr>
      </w:pPr>
      <w:r w:rsidRPr="003B1B86">
        <w:rPr>
          <w:rFonts w:asciiTheme="minorHAnsi" w:hAnsiTheme="minorHAnsi"/>
          <w:b/>
          <w:bCs/>
          <w:sz w:val="22"/>
          <w:szCs w:val="22"/>
        </w:rPr>
        <w:t>Items 57351, 57356, 61328, 61340</w:t>
      </w:r>
      <w:r>
        <w:rPr>
          <w:rFonts w:asciiTheme="minorHAnsi" w:hAnsiTheme="minorHAnsi"/>
          <w:b/>
          <w:bCs/>
          <w:sz w:val="22"/>
          <w:szCs w:val="22"/>
        </w:rPr>
        <w:t xml:space="preserve"> AND 61348 – MBS explanatory notes for imaging for PE</w:t>
      </w:r>
    </w:p>
    <w:p w:rsidR="003B1B86" w:rsidRPr="003B1B86" w:rsidRDefault="003B1B86" w:rsidP="003B1B86">
      <w:pPr>
        <w:spacing w:before="0" w:after="0" w:line="360" w:lineRule="auto"/>
        <w:rPr>
          <w:rFonts w:cs="Arial"/>
          <w:color w:val="000000" w:themeColor="text1"/>
        </w:rPr>
      </w:pPr>
      <w:r w:rsidRPr="003B1B86">
        <w:rPr>
          <w:rFonts w:cs="Arial"/>
          <w:color w:val="000000" w:themeColor="text1"/>
        </w:rPr>
        <w:t xml:space="preserve">MBS explanatory notes should be added to items used for </w:t>
      </w:r>
      <w:r>
        <w:rPr>
          <w:rFonts w:cs="Arial"/>
          <w:color w:val="000000" w:themeColor="text1"/>
        </w:rPr>
        <w:t>PE</w:t>
      </w:r>
      <w:r w:rsidRPr="003B1B86">
        <w:rPr>
          <w:rFonts w:cs="Arial"/>
          <w:color w:val="000000" w:themeColor="text1"/>
        </w:rPr>
        <w:t xml:space="preserve"> imaging (</w:t>
      </w:r>
      <w:r>
        <w:rPr>
          <w:rFonts w:cs="Arial"/>
          <w:color w:val="000000" w:themeColor="text1"/>
        </w:rPr>
        <w:t>57351, 57356, 61328, 61340</w:t>
      </w:r>
      <w:r w:rsidRPr="003B1B86">
        <w:rPr>
          <w:rFonts w:cs="Arial"/>
          <w:color w:val="000000" w:themeColor="text1"/>
        </w:rPr>
        <w:t xml:space="preserve"> and </w:t>
      </w:r>
      <w:r>
        <w:rPr>
          <w:rFonts w:cs="Arial"/>
          <w:color w:val="000000" w:themeColor="text1"/>
        </w:rPr>
        <w:t>61348</w:t>
      </w:r>
      <w:r w:rsidRPr="003B1B86">
        <w:rPr>
          <w:rFonts w:cs="Arial"/>
          <w:color w:val="000000" w:themeColor="text1"/>
        </w:rPr>
        <w:t>) advising requestors to read and consider the Royal Australian and New Zealand College of Radiologists (RANZCR) 2015 Choosing Wisely Recommendations, or such clinical RANZCR Choosing Wisely recommendations as succeed it.</w:t>
      </w:r>
    </w:p>
    <w:p w:rsidR="003B1B86" w:rsidRPr="002908B1" w:rsidRDefault="003B1B86" w:rsidP="003B1B86">
      <w:pPr>
        <w:pStyle w:val="NormalWeb"/>
        <w:spacing w:before="0" w:beforeAutospacing="0" w:after="0" w:afterAutospacing="0" w:line="360" w:lineRule="auto"/>
        <w:rPr>
          <w:rFonts w:asciiTheme="minorHAnsi" w:hAnsiTheme="minorHAnsi"/>
          <w:sz w:val="17"/>
          <w:szCs w:val="17"/>
        </w:rPr>
      </w:pPr>
    </w:p>
    <w:p w:rsidR="001264DB" w:rsidRPr="002A1C29" w:rsidRDefault="001264DB" w:rsidP="003B1B86">
      <w:pPr>
        <w:pStyle w:val="01squarebullet"/>
        <w:numPr>
          <w:ilvl w:val="0"/>
          <w:numId w:val="0"/>
        </w:numPr>
        <w:spacing w:before="0" w:after="0" w:line="360" w:lineRule="auto"/>
        <w:ind w:left="426" w:hanging="426"/>
        <w:rPr>
          <w:lang w:val="en-AU"/>
        </w:rPr>
      </w:pPr>
    </w:p>
    <w:sectPr w:rsidR="001264DB" w:rsidRPr="002A1C29" w:rsidSect="005D4630">
      <w:footerReference w:type="default" r:id="rId8"/>
      <w:pgSz w:w="11906" w:h="16838"/>
      <w:pgMar w:top="993" w:right="1800" w:bottom="1440" w:left="180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9D" w:rsidRDefault="00781E9D" w:rsidP="00932284">
      <w:r>
        <w:separator/>
      </w:r>
    </w:p>
    <w:p w:rsidR="002A289E" w:rsidRDefault="002A289E"/>
  </w:endnote>
  <w:endnote w:type="continuationSeparator" w:id="0">
    <w:p w:rsidR="00781E9D" w:rsidRDefault="00781E9D" w:rsidP="00932284">
      <w:r>
        <w:continuationSeparator/>
      </w:r>
    </w:p>
    <w:p w:rsidR="002A289E" w:rsidRDefault="002A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30" w:rsidRDefault="005D4630" w:rsidP="005D4630">
    <w:pPr>
      <w:pStyle w:val="Footer"/>
      <w:pBdr>
        <w:top w:val="single" w:sz="4" w:space="1" w:color="B56012"/>
      </w:pBdr>
      <w:tabs>
        <w:tab w:val="clear" w:pos="4513"/>
      </w:tabs>
      <w:jc w:val="center"/>
    </w:pPr>
    <w:r>
      <w:rPr>
        <w:color w:val="01653F"/>
        <w:sz w:val="16"/>
      </w:rPr>
      <w:t xml:space="preserve">Taskforce findings from the </w:t>
    </w:r>
    <w:r w:rsidR="006E518B">
      <w:rPr>
        <w:color w:val="01653F"/>
        <w:sz w:val="16"/>
      </w:rPr>
      <w:t>Dermatology, Allergy and Immunology</w:t>
    </w:r>
    <w:r>
      <w:rPr>
        <w:color w:val="01653F"/>
        <w:sz w:val="16"/>
      </w:rPr>
      <w:t xml:space="preserve"> Clinical Committee Report</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6708DB" w:rsidRPr="006708DB">
      <w:rPr>
        <w:rFonts w:eastAsiaTheme="majorEastAsia"/>
        <w:noProof/>
        <w:color w:val="01653F"/>
        <w:sz w:val="16"/>
      </w:rPr>
      <w:t>2</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9D" w:rsidRDefault="00781E9D" w:rsidP="00932284">
      <w:r>
        <w:separator/>
      </w:r>
    </w:p>
    <w:p w:rsidR="002A289E" w:rsidRDefault="002A289E"/>
  </w:footnote>
  <w:footnote w:type="continuationSeparator" w:id="0">
    <w:p w:rsidR="00781E9D" w:rsidRDefault="00781E9D" w:rsidP="00932284">
      <w:r>
        <w:continuationSeparator/>
      </w:r>
    </w:p>
    <w:p w:rsidR="002A289E" w:rsidRDefault="002A28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2BAD"/>
    <w:multiLevelType w:val="multilevel"/>
    <w:tmpl w:val="B0E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27BFD"/>
    <w:multiLevelType w:val="multilevel"/>
    <w:tmpl w:val="D42414C6"/>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227E774B"/>
    <w:multiLevelType w:val="multilevel"/>
    <w:tmpl w:val="A210F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E4194"/>
    <w:multiLevelType w:val="hybridMultilevel"/>
    <w:tmpl w:val="5526226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62D8B"/>
    <w:multiLevelType w:val="hybridMultilevel"/>
    <w:tmpl w:val="D140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CA48BF"/>
    <w:multiLevelType w:val="multilevel"/>
    <w:tmpl w:val="399E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70642"/>
    <w:multiLevelType w:val="multilevel"/>
    <w:tmpl w:val="5798DB06"/>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C574A11"/>
    <w:multiLevelType w:val="hybridMultilevel"/>
    <w:tmpl w:val="2BBC3E4A"/>
    <w:lvl w:ilvl="0" w:tplc="0CD805F4">
      <w:start w:val="1"/>
      <w:numFmt w:val="bullet"/>
      <w:pStyle w:val="02dash"/>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CC6A6A"/>
    <w:multiLevelType w:val="hybridMultilevel"/>
    <w:tmpl w:val="7EB44BA4"/>
    <w:lvl w:ilvl="0" w:tplc="5B2C068A">
      <w:start w:val="1"/>
      <w:numFmt w:val="decimal"/>
      <w:lvlText w:val="%1."/>
      <w:lvlJc w:val="left"/>
      <w:pPr>
        <w:ind w:left="765" w:hanging="360"/>
      </w:pPr>
      <w:rPr>
        <w:b/>
        <w:sz w:val="22"/>
        <w:szCs w:val="22"/>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2" w15:restartNumberingAfterBreak="0">
    <w:nsid w:val="67254B0D"/>
    <w:multiLevelType w:val="hybridMultilevel"/>
    <w:tmpl w:val="FE1E8374"/>
    <w:lvl w:ilvl="0" w:tplc="63866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559E3"/>
    <w:multiLevelType w:val="multilevel"/>
    <w:tmpl w:val="4380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017BF"/>
    <w:multiLevelType w:val="multilevel"/>
    <w:tmpl w:val="D42414C6"/>
    <w:lvl w:ilvl="0">
      <w:start w:val="1"/>
      <w:numFmt w:val="bullet"/>
      <w:pStyle w:val="01squarebullet"/>
      <w:lvlText w:val="Δ"/>
      <w:lvlJc w:val="left"/>
      <w:pPr>
        <w:ind w:left="108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6E6A2E0D"/>
    <w:multiLevelType w:val="multilevel"/>
    <w:tmpl w:val="A3F2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F07CB"/>
    <w:multiLevelType w:val="hybridMultilevel"/>
    <w:tmpl w:val="3EB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0575B2"/>
    <w:multiLevelType w:val="multilevel"/>
    <w:tmpl w:val="B44443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7"/>
  </w:num>
  <w:num w:numId="3">
    <w:abstractNumId w:val="18"/>
  </w:num>
  <w:num w:numId="4">
    <w:abstractNumId w:val="5"/>
  </w:num>
  <w:num w:numId="5">
    <w:abstractNumId w:val="13"/>
  </w:num>
  <w:num w:numId="6">
    <w:abstractNumId w:val="9"/>
  </w:num>
  <w:num w:numId="7">
    <w:abstractNumId w:val="2"/>
  </w:num>
  <w:num w:numId="8">
    <w:abstractNumId w:val="12"/>
  </w:num>
  <w:num w:numId="9">
    <w:abstractNumId w:val="4"/>
  </w:num>
  <w:num w:numId="10">
    <w:abstractNumId w:val="16"/>
  </w:num>
  <w:num w:numId="11">
    <w:abstractNumId w:val="8"/>
  </w:num>
  <w:num w:numId="12">
    <w:abstractNumId w:val="1"/>
  </w:num>
  <w:num w:numId="13">
    <w:abstractNumId w:val="15"/>
  </w:num>
  <w:num w:numId="14">
    <w:abstractNumId w:val="11"/>
  </w:num>
  <w:num w:numId="15">
    <w:abstractNumId w:val="10"/>
  </w:num>
  <w:num w:numId="16">
    <w:abstractNumId w:val="15"/>
  </w:num>
  <w:num w:numId="17">
    <w:abstractNumId w:val="10"/>
  </w:num>
  <w:num w:numId="18">
    <w:abstractNumId w:val="15"/>
  </w:num>
  <w:num w:numId="19">
    <w:abstractNumId w:val="3"/>
  </w:num>
  <w:num w:numId="20">
    <w:abstractNumId w:val="14"/>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84"/>
    <w:rsid w:val="00001D35"/>
    <w:rsid w:val="00003743"/>
    <w:rsid w:val="00014D34"/>
    <w:rsid w:val="0002442F"/>
    <w:rsid w:val="00067456"/>
    <w:rsid w:val="000714CA"/>
    <w:rsid w:val="00082603"/>
    <w:rsid w:val="0008483A"/>
    <w:rsid w:val="00086B59"/>
    <w:rsid w:val="000B3376"/>
    <w:rsid w:val="000B54D4"/>
    <w:rsid w:val="000E20F9"/>
    <w:rsid w:val="000F2FE1"/>
    <w:rsid w:val="001264DB"/>
    <w:rsid w:val="0017755B"/>
    <w:rsid w:val="001B03DF"/>
    <w:rsid w:val="001B3443"/>
    <w:rsid w:val="001F092B"/>
    <w:rsid w:val="002329AB"/>
    <w:rsid w:val="00276B04"/>
    <w:rsid w:val="00280E55"/>
    <w:rsid w:val="002908B1"/>
    <w:rsid w:val="002A0F28"/>
    <w:rsid w:val="002A1C29"/>
    <w:rsid w:val="002A289E"/>
    <w:rsid w:val="002F3AE3"/>
    <w:rsid w:val="0030786C"/>
    <w:rsid w:val="003420CC"/>
    <w:rsid w:val="00374E49"/>
    <w:rsid w:val="0038228F"/>
    <w:rsid w:val="003B1B86"/>
    <w:rsid w:val="003D17F9"/>
    <w:rsid w:val="003F16CD"/>
    <w:rsid w:val="00430161"/>
    <w:rsid w:val="004454A8"/>
    <w:rsid w:val="004867E2"/>
    <w:rsid w:val="004A5611"/>
    <w:rsid w:val="004B40C6"/>
    <w:rsid w:val="004D6896"/>
    <w:rsid w:val="0053556D"/>
    <w:rsid w:val="005778D3"/>
    <w:rsid w:val="00583D03"/>
    <w:rsid w:val="00597869"/>
    <w:rsid w:val="005D4630"/>
    <w:rsid w:val="005D7BBB"/>
    <w:rsid w:val="00637FA5"/>
    <w:rsid w:val="006663DA"/>
    <w:rsid w:val="006708DB"/>
    <w:rsid w:val="006720F4"/>
    <w:rsid w:val="00672D28"/>
    <w:rsid w:val="00676938"/>
    <w:rsid w:val="006A506F"/>
    <w:rsid w:val="006B1C44"/>
    <w:rsid w:val="006B346A"/>
    <w:rsid w:val="006E518B"/>
    <w:rsid w:val="00747537"/>
    <w:rsid w:val="0075367C"/>
    <w:rsid w:val="00754F91"/>
    <w:rsid w:val="00755C22"/>
    <w:rsid w:val="00781E9D"/>
    <w:rsid w:val="007A07C7"/>
    <w:rsid w:val="007A2738"/>
    <w:rsid w:val="007A4F4B"/>
    <w:rsid w:val="007A5BE2"/>
    <w:rsid w:val="007A61C0"/>
    <w:rsid w:val="007B6422"/>
    <w:rsid w:val="007C37E0"/>
    <w:rsid w:val="00803C1F"/>
    <w:rsid w:val="008264EB"/>
    <w:rsid w:val="008333E4"/>
    <w:rsid w:val="008361C3"/>
    <w:rsid w:val="00860262"/>
    <w:rsid w:val="00860CEB"/>
    <w:rsid w:val="008A0A04"/>
    <w:rsid w:val="008A0FB2"/>
    <w:rsid w:val="008B77D8"/>
    <w:rsid w:val="008C68FC"/>
    <w:rsid w:val="008F2403"/>
    <w:rsid w:val="00905CFC"/>
    <w:rsid w:val="00932284"/>
    <w:rsid w:val="0095605A"/>
    <w:rsid w:val="009861A1"/>
    <w:rsid w:val="00987C33"/>
    <w:rsid w:val="009D79D8"/>
    <w:rsid w:val="00A22898"/>
    <w:rsid w:val="00A357C5"/>
    <w:rsid w:val="00A4512D"/>
    <w:rsid w:val="00A55930"/>
    <w:rsid w:val="00A57FD3"/>
    <w:rsid w:val="00A61485"/>
    <w:rsid w:val="00A705AF"/>
    <w:rsid w:val="00A90DAC"/>
    <w:rsid w:val="00AB469A"/>
    <w:rsid w:val="00AC1182"/>
    <w:rsid w:val="00AF4B32"/>
    <w:rsid w:val="00B26077"/>
    <w:rsid w:val="00B42851"/>
    <w:rsid w:val="00B433E6"/>
    <w:rsid w:val="00B62E51"/>
    <w:rsid w:val="00B730C5"/>
    <w:rsid w:val="00B90F18"/>
    <w:rsid w:val="00BA35DA"/>
    <w:rsid w:val="00C86EF8"/>
    <w:rsid w:val="00C9572F"/>
    <w:rsid w:val="00CB5B1A"/>
    <w:rsid w:val="00CD3D5E"/>
    <w:rsid w:val="00CF7565"/>
    <w:rsid w:val="00D15DA6"/>
    <w:rsid w:val="00D56D2B"/>
    <w:rsid w:val="00D7697A"/>
    <w:rsid w:val="00DA0FFF"/>
    <w:rsid w:val="00DC6C72"/>
    <w:rsid w:val="00E01E1C"/>
    <w:rsid w:val="00E2678D"/>
    <w:rsid w:val="00E47BBC"/>
    <w:rsid w:val="00E768E3"/>
    <w:rsid w:val="00E8392D"/>
    <w:rsid w:val="00E97588"/>
    <w:rsid w:val="00EA1A68"/>
    <w:rsid w:val="00EC0E75"/>
    <w:rsid w:val="00EC11AF"/>
    <w:rsid w:val="00F03A9C"/>
    <w:rsid w:val="00F16A6A"/>
    <w:rsid w:val="00F1784C"/>
    <w:rsid w:val="00F339E7"/>
    <w:rsid w:val="00F37ABF"/>
    <w:rsid w:val="00F9564F"/>
    <w:rsid w:val="00FA74A5"/>
    <w:rsid w:val="00FB48E5"/>
    <w:rsid w:val="00FC4653"/>
    <w:rsid w:val="00FF3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FD1987-7C7B-45E7-995C-4418440F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98"/>
    <w:pPr>
      <w:spacing w:before="120" w:after="120"/>
    </w:pPr>
    <w:rPr>
      <w:rFonts w:asciiTheme="minorHAnsi" w:hAnsiTheme="minorHAnsi"/>
      <w:sz w:val="22"/>
      <w:szCs w:val="24"/>
      <w:lang w:eastAsia="en-US"/>
    </w:rPr>
  </w:style>
  <w:style w:type="paragraph" w:styleId="Heading1">
    <w:name w:val="heading 1"/>
    <w:basedOn w:val="Normal"/>
    <w:next w:val="Normal"/>
    <w:qFormat/>
    <w:rsid w:val="00A22898"/>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Normal"/>
    <w:next w:val="Normal"/>
    <w:qFormat/>
    <w:rsid w:val="00A22898"/>
    <w:pPr>
      <w:keepNext/>
      <w:numPr>
        <w:numId w:val="6"/>
      </w:numPr>
      <w:spacing w:before="180" w:after="60" w:line="360" w:lineRule="auto"/>
      <w:ind w:left="357" w:hanging="357"/>
      <w:contextualSpacing/>
      <w:outlineLvl w:val="1"/>
    </w:pPr>
    <w:rPr>
      <w:b/>
      <w:szCs w:val="22"/>
      <w:lang w:val="en-US"/>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E2678D"/>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E2678D"/>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E2678D"/>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22898"/>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A22898"/>
    <w:rPr>
      <w:rFonts w:asciiTheme="minorHAnsi" w:hAnsiTheme="minorHAnsi" w:cs="Arial"/>
      <w:b/>
      <w:color w:val="01653F"/>
      <w:spacing w:val="5"/>
      <w:sz w:val="44"/>
      <w:szCs w:val="48"/>
    </w:rPr>
  </w:style>
  <w:style w:type="paragraph" w:styleId="Title">
    <w:name w:val="Title"/>
    <w:basedOn w:val="Normal"/>
    <w:next w:val="Normal"/>
    <w:link w:val="TitleChar"/>
    <w:qFormat/>
    <w:rsid w:val="00A22898"/>
    <w:pPr>
      <w:pBdr>
        <w:top w:val="double" w:sz="12" w:space="31" w:color="B66113"/>
        <w:bottom w:val="double" w:sz="12" w:space="1" w:color="B66113"/>
      </w:pBdr>
      <w:spacing w:before="240" w:line="312" w:lineRule="auto"/>
      <w:contextualSpacing/>
      <w:jc w:val="center"/>
    </w:pPr>
    <w:rPr>
      <w:rFonts w:cs="Arial"/>
      <w:b/>
      <w:spacing w:val="5"/>
      <w:sz w:val="52"/>
      <w:szCs w:val="60"/>
      <w:lang w:eastAsia="en-AU"/>
    </w:rPr>
  </w:style>
  <w:style w:type="character" w:customStyle="1" w:styleId="TitleChar">
    <w:name w:val="Title Char"/>
    <w:basedOn w:val="DefaultParagraphFont"/>
    <w:link w:val="Title"/>
    <w:rsid w:val="00A22898"/>
    <w:rPr>
      <w:rFonts w:asciiTheme="minorHAnsi" w:hAnsiTheme="minorHAnsi" w:cs="Arial"/>
      <w:b/>
      <w:spacing w:val="5"/>
      <w:sz w:val="52"/>
      <w:szCs w:val="60"/>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32284"/>
    <w:rPr>
      <w:sz w:val="24"/>
      <w:szCs w:val="24"/>
      <w:lang w:eastAsia="en-US"/>
    </w:rPr>
  </w:style>
  <w:style w:type="paragraph" w:styleId="Header">
    <w:name w:val="header"/>
    <w:basedOn w:val="Normal"/>
    <w:link w:val="HeaderChar"/>
    <w:rsid w:val="00932284"/>
    <w:pPr>
      <w:tabs>
        <w:tab w:val="center" w:pos="4513"/>
        <w:tab w:val="right" w:pos="9026"/>
      </w:tabs>
    </w:pPr>
  </w:style>
  <w:style w:type="character" w:customStyle="1" w:styleId="HeaderChar">
    <w:name w:val="Header Char"/>
    <w:basedOn w:val="DefaultParagraphFont"/>
    <w:link w:val="Header"/>
    <w:rsid w:val="00932284"/>
    <w:rPr>
      <w:sz w:val="24"/>
      <w:szCs w:val="24"/>
      <w:lang w:eastAsia="en-US"/>
    </w:rPr>
  </w:style>
  <w:style w:type="paragraph" w:styleId="Footer">
    <w:name w:val="footer"/>
    <w:basedOn w:val="Normal"/>
    <w:link w:val="FooterChar"/>
    <w:uiPriority w:val="99"/>
    <w:rsid w:val="00932284"/>
    <w:pPr>
      <w:tabs>
        <w:tab w:val="center" w:pos="4513"/>
        <w:tab w:val="right" w:pos="9026"/>
      </w:tabs>
    </w:pPr>
  </w:style>
  <w:style w:type="character" w:customStyle="1" w:styleId="FooterChar">
    <w:name w:val="Footer Char"/>
    <w:basedOn w:val="DefaultParagraphFont"/>
    <w:link w:val="Footer"/>
    <w:uiPriority w:val="99"/>
    <w:rsid w:val="00932284"/>
    <w:rPr>
      <w:sz w:val="24"/>
      <w:szCs w:val="24"/>
      <w:lang w:eastAsia="en-US"/>
    </w:rPr>
  </w:style>
  <w:style w:type="table" w:styleId="TableGrid">
    <w:name w:val="Table Grid"/>
    <w:basedOn w:val="TableNormal"/>
    <w:rsid w:val="00E2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2678D"/>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678D"/>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678D"/>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E2678D"/>
    <w:pPr>
      <w:spacing w:before="120" w:after="120"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E2678D"/>
    <w:pPr>
      <w:numPr>
        <w:numId w:val="5"/>
      </w:numPr>
      <w:spacing w:before="180" w:line="312" w:lineRule="auto"/>
    </w:pPr>
    <w:rPr>
      <w:lang w:eastAsia="en-AU"/>
    </w:rPr>
  </w:style>
  <w:style w:type="character" w:customStyle="1" w:styleId="NormalBulletedChar">
    <w:name w:val="Normal Bulleted Char"/>
    <w:basedOn w:val="DefaultParagraphFont"/>
    <w:link w:val="NormalBulleted"/>
    <w:rsid w:val="00E2678D"/>
    <w:rPr>
      <w:rFonts w:asciiTheme="minorHAnsi" w:hAnsiTheme="minorHAnsi"/>
      <w:sz w:val="22"/>
      <w:szCs w:val="24"/>
    </w:rPr>
  </w:style>
  <w:style w:type="paragraph" w:customStyle="1" w:styleId="Bullet2">
    <w:name w:val="Bullet 2"/>
    <w:basedOn w:val="ListParagraph"/>
    <w:rsid w:val="00E2678D"/>
    <w:pPr>
      <w:numPr>
        <w:ilvl w:val="1"/>
        <w:numId w:val="4"/>
      </w:numPr>
      <w:spacing w:after="60" w:line="312" w:lineRule="auto"/>
      <w:contextualSpacing w:val="0"/>
    </w:pPr>
    <w:rPr>
      <w:rFonts w:eastAsiaTheme="minorHAnsi" w:cs="Arial"/>
      <w:szCs w:val="22"/>
      <w:lang w:eastAsia="en-AU"/>
    </w:rPr>
  </w:style>
  <w:style w:type="paragraph" w:styleId="ListContinue">
    <w:name w:val="List Continue"/>
    <w:basedOn w:val="Normal"/>
    <w:rsid w:val="00E2678D"/>
    <w:pPr>
      <w:ind w:left="283"/>
      <w:contextualSpacing/>
    </w:pPr>
  </w:style>
  <w:style w:type="paragraph" w:customStyle="1" w:styleId="AppendixStyle1">
    <w:name w:val="Appendix Style 1"/>
    <w:basedOn w:val="Normal"/>
    <w:next w:val="Normal"/>
    <w:qFormat/>
    <w:rsid w:val="005D4630"/>
    <w:pPr>
      <w:numPr>
        <w:numId w:val="7"/>
      </w:numPr>
      <w:spacing w:line="312" w:lineRule="auto"/>
      <w:outlineLvl w:val="0"/>
    </w:pPr>
    <w:rPr>
      <w:rFonts w:cs="Arial"/>
      <w:b/>
      <w:color w:val="016500"/>
      <w:sz w:val="32"/>
      <w:lang w:val="en-US"/>
    </w:rPr>
  </w:style>
  <w:style w:type="character" w:styleId="CommentReference">
    <w:name w:val="annotation reference"/>
    <w:basedOn w:val="DefaultParagraphFont"/>
    <w:rsid w:val="00583D03"/>
    <w:rPr>
      <w:sz w:val="16"/>
      <w:szCs w:val="16"/>
    </w:rPr>
  </w:style>
  <w:style w:type="paragraph" w:styleId="CommentText">
    <w:name w:val="annotation text"/>
    <w:basedOn w:val="Normal"/>
    <w:link w:val="CommentTextChar"/>
    <w:rsid w:val="00583D03"/>
    <w:rPr>
      <w:sz w:val="20"/>
      <w:szCs w:val="20"/>
    </w:rPr>
  </w:style>
  <w:style w:type="character" w:customStyle="1" w:styleId="CommentTextChar">
    <w:name w:val="Comment Text Char"/>
    <w:basedOn w:val="DefaultParagraphFont"/>
    <w:link w:val="CommentText"/>
    <w:rsid w:val="00583D03"/>
    <w:rPr>
      <w:lang w:eastAsia="en-US"/>
    </w:rPr>
  </w:style>
  <w:style w:type="paragraph" w:styleId="CommentSubject">
    <w:name w:val="annotation subject"/>
    <w:basedOn w:val="CommentText"/>
    <w:next w:val="CommentText"/>
    <w:link w:val="CommentSubjectChar"/>
    <w:rsid w:val="00583D03"/>
    <w:rPr>
      <w:b/>
      <w:bCs/>
    </w:rPr>
  </w:style>
  <w:style w:type="character" w:customStyle="1" w:styleId="CommentSubjectChar">
    <w:name w:val="Comment Subject Char"/>
    <w:basedOn w:val="CommentTextChar"/>
    <w:link w:val="CommentSubject"/>
    <w:rsid w:val="00583D03"/>
    <w:rPr>
      <w:b/>
      <w:bCs/>
      <w:lang w:eastAsia="en-US"/>
    </w:rPr>
  </w:style>
  <w:style w:type="paragraph" w:styleId="BalloonText">
    <w:name w:val="Balloon Text"/>
    <w:basedOn w:val="Normal"/>
    <w:link w:val="BalloonTextChar"/>
    <w:rsid w:val="00583D03"/>
    <w:rPr>
      <w:rFonts w:ascii="Tahoma" w:hAnsi="Tahoma" w:cs="Tahoma"/>
      <w:sz w:val="16"/>
      <w:szCs w:val="16"/>
    </w:rPr>
  </w:style>
  <w:style w:type="character" w:customStyle="1" w:styleId="BalloonTextChar">
    <w:name w:val="Balloon Text Char"/>
    <w:basedOn w:val="DefaultParagraphFont"/>
    <w:link w:val="BalloonText"/>
    <w:rsid w:val="00583D03"/>
    <w:rPr>
      <w:rFonts w:ascii="Tahoma" w:hAnsi="Tahoma" w:cs="Tahoma"/>
      <w:sz w:val="16"/>
      <w:szCs w:val="16"/>
      <w:lang w:eastAsia="en-US"/>
    </w:rPr>
  </w:style>
  <w:style w:type="paragraph" w:styleId="EndnoteText">
    <w:name w:val="endnote text"/>
    <w:basedOn w:val="Normal"/>
    <w:link w:val="EndnoteTextChar"/>
    <w:rsid w:val="00F03A9C"/>
    <w:pPr>
      <w:spacing w:before="0" w:after="0"/>
    </w:pPr>
    <w:rPr>
      <w:sz w:val="20"/>
      <w:szCs w:val="20"/>
    </w:rPr>
  </w:style>
  <w:style w:type="character" w:customStyle="1" w:styleId="EndnoteTextChar">
    <w:name w:val="Endnote Text Char"/>
    <w:basedOn w:val="DefaultParagraphFont"/>
    <w:link w:val="EndnoteText"/>
    <w:rsid w:val="00F03A9C"/>
    <w:rPr>
      <w:rFonts w:asciiTheme="minorHAnsi" w:hAnsiTheme="minorHAnsi"/>
      <w:lang w:eastAsia="en-US"/>
    </w:rPr>
  </w:style>
  <w:style w:type="character" w:styleId="EndnoteReference">
    <w:name w:val="endnote reference"/>
    <w:basedOn w:val="DefaultParagraphFont"/>
    <w:rsid w:val="00F03A9C"/>
    <w:rPr>
      <w:vertAlign w:val="superscript"/>
    </w:rPr>
  </w:style>
  <w:style w:type="paragraph" w:styleId="NormalWeb">
    <w:name w:val="Normal (Web)"/>
    <w:basedOn w:val="Normal"/>
    <w:uiPriority w:val="99"/>
    <w:unhideWhenUsed/>
    <w:rsid w:val="002908B1"/>
    <w:pPr>
      <w:spacing w:before="100" w:beforeAutospacing="1" w:after="100" w:afterAutospacing="1"/>
    </w:pPr>
    <w:rPr>
      <w:rFonts w:ascii="Times New Roman" w:eastAsiaTheme="minorHAnsi" w:hAnsi="Times New Roman"/>
      <w:sz w:val="24"/>
      <w:lang w:eastAsia="en-AU"/>
    </w:rPr>
  </w:style>
  <w:style w:type="paragraph" w:customStyle="1" w:styleId="01squarebullet">
    <w:name w:val="01 square bullet"/>
    <w:basedOn w:val="Normal"/>
    <w:uiPriority w:val="4"/>
    <w:qFormat/>
    <w:rsid w:val="005778D3"/>
    <w:pPr>
      <w:numPr>
        <w:numId w:val="13"/>
      </w:numPr>
      <w:ind w:right="142"/>
    </w:pPr>
    <w:rPr>
      <w:szCs w:val="20"/>
      <w:lang w:val="en-US"/>
    </w:rPr>
  </w:style>
  <w:style w:type="paragraph" w:customStyle="1" w:styleId="02dash">
    <w:name w:val="02 dash"/>
    <w:basedOn w:val="01squarebullet"/>
    <w:uiPriority w:val="4"/>
    <w:qFormat/>
    <w:rsid w:val="00CF7565"/>
    <w:pPr>
      <w:numPr>
        <w:numId w:val="15"/>
      </w:numPr>
      <w:tabs>
        <w:tab w:val="left" w:pos="6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7827">
      <w:bodyDiv w:val="1"/>
      <w:marLeft w:val="0"/>
      <w:marRight w:val="0"/>
      <w:marTop w:val="0"/>
      <w:marBottom w:val="0"/>
      <w:divBdr>
        <w:top w:val="none" w:sz="0" w:space="0" w:color="auto"/>
        <w:left w:val="none" w:sz="0" w:space="0" w:color="auto"/>
        <w:bottom w:val="none" w:sz="0" w:space="0" w:color="auto"/>
        <w:right w:val="none" w:sz="0" w:space="0" w:color="auto"/>
      </w:divBdr>
    </w:div>
    <w:div w:id="1348629941">
      <w:bodyDiv w:val="1"/>
      <w:marLeft w:val="0"/>
      <w:marRight w:val="0"/>
      <w:marTop w:val="0"/>
      <w:marBottom w:val="0"/>
      <w:divBdr>
        <w:top w:val="none" w:sz="0" w:space="0" w:color="auto"/>
        <w:left w:val="none" w:sz="0" w:space="0" w:color="auto"/>
        <w:bottom w:val="none" w:sz="0" w:space="0" w:color="auto"/>
        <w:right w:val="none" w:sz="0" w:space="0" w:color="auto"/>
      </w:divBdr>
    </w:div>
    <w:div w:id="1608779251">
      <w:bodyDiv w:val="1"/>
      <w:marLeft w:val="0"/>
      <w:marRight w:val="0"/>
      <w:marTop w:val="0"/>
      <w:marBottom w:val="0"/>
      <w:divBdr>
        <w:top w:val="none" w:sz="0" w:space="0" w:color="auto"/>
        <w:left w:val="none" w:sz="0" w:space="0" w:color="auto"/>
        <w:bottom w:val="none" w:sz="0" w:space="0" w:color="auto"/>
        <w:right w:val="none" w:sz="0" w:space="0" w:color="auto"/>
      </w:divBdr>
    </w:div>
    <w:div w:id="1643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C1AC-4C53-4ACB-B3B0-1E7F6464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Obstetrics Clinical Committee Report Taskforce Findings</vt:lpstr>
    </vt:vector>
  </TitlesOfParts>
  <Company>Dept Health And Ageing</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Imaging Clinical Committee Report – Pulmonary Embolism and Deep Vein Thrombosis</dc:title>
  <dc:subject>Medicare Benefits Schedule Review Taskforce</dc:subject>
  <dc:creator>MBS Review Taskforce</dc:creator>
  <cp:keywords>MBS Review, Medicare</cp:keywords>
  <dc:description/>
  <cp:lastModifiedBy>ROBERTSON, Jen</cp:lastModifiedBy>
  <cp:revision>3</cp:revision>
  <cp:lastPrinted>2017-06-22T04:51:00Z</cp:lastPrinted>
  <dcterms:created xsi:type="dcterms:W3CDTF">2021-05-19T02:33:00Z</dcterms:created>
  <dcterms:modified xsi:type="dcterms:W3CDTF">2021-05-28T07:17:00Z</dcterms:modified>
  <cp:category>Report from the Obstetrics Clinical Committee</cp:category>
</cp:coreProperties>
</file>