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A2" w:rsidRPr="00386E44" w:rsidRDefault="009A7BA2" w:rsidP="00791FE1">
      <w:pPr>
        <w:pStyle w:val="CoverH1White"/>
        <w:tabs>
          <w:tab w:val="right" w:pos="8312"/>
        </w:tabs>
        <w:spacing w:before="0" w:after="180" w:line="240" w:lineRule="auto"/>
        <w:rPr>
          <w:lang w:val="en-AU"/>
        </w:rPr>
      </w:pPr>
      <w:bookmarkStart w:id="0" w:name="_Toc448369494"/>
      <w:bookmarkStart w:id="1" w:name="_Toc427153112"/>
      <w:bookmarkStart w:id="2" w:name="_GoBack"/>
      <w:bookmarkEnd w:id="2"/>
      <w:r w:rsidRPr="00386E44">
        <w:rPr>
          <w:lang w:val="en-AU"/>
        </w:rPr>
        <w:tab/>
      </w:r>
    </w:p>
    <w:bookmarkStart w:id="3" w:name="_Hlk503433997"/>
    <w:bookmarkEnd w:id="3"/>
    <w:p w:rsidR="008A49F1" w:rsidRPr="00386E44" w:rsidRDefault="005C7FB0" w:rsidP="00791FE1">
      <w:pPr>
        <w:spacing w:before="0" w:after="180" w:line="240" w:lineRule="auto"/>
        <w:rPr>
          <w:rStyle w:val="IntenseEmphasis"/>
        </w:rPr>
      </w:pPr>
      <w:r w:rsidRPr="00386E44">
        <w:rPr>
          <w:b/>
          <w:bCs/>
          <w:i/>
          <w:iCs/>
          <w:noProof/>
          <w:color w:val="1952F3"/>
        </w:rPr>
        <mc:AlternateContent>
          <mc:Choice Requires="wps">
            <w:drawing>
              <wp:anchor distT="0" distB="0" distL="114300" distR="114300" simplePos="0" relativeHeight="251658240" behindDoc="0" locked="0" layoutInCell="1" allowOverlap="1" wp14:anchorId="3958CB5B" wp14:editId="2511A442">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75EA4" w:rsidRPr="005C7FB0" w:rsidRDefault="00175EA4" w:rsidP="005C7FB0">
                            <w:pPr>
                              <w:pStyle w:val="CoverH1White"/>
                              <w:spacing w:before="720" w:after="180"/>
                              <w:rPr>
                                <w:rFonts w:asciiTheme="minorHAnsi" w:hAnsiTheme="minorHAnsi" w:cstheme="minorHAnsi"/>
                              </w:rPr>
                            </w:pPr>
                            <w:r w:rsidRPr="005C7FB0">
                              <w:rPr>
                                <w:rFonts w:asciiTheme="minorHAnsi" w:hAnsiTheme="minorHAnsi" w:cstheme="minorHAnsi"/>
                              </w:rPr>
                              <w:t>Medicare Benefits Schedule Review Taskforce</w:t>
                            </w:r>
                          </w:p>
                          <w:p w:rsidR="00175EA4" w:rsidRPr="005C7FB0" w:rsidRDefault="00175EA4" w:rsidP="005C7FB0">
                            <w:pPr>
                              <w:pStyle w:val="CoverH1Green"/>
                              <w:spacing w:before="720" w:after="180"/>
                            </w:pPr>
                            <w:r>
                              <w:t>Final R</w:t>
                            </w:r>
                            <w:r w:rsidRPr="005C7FB0">
                              <w:t xml:space="preserve">eport from </w:t>
                            </w:r>
                            <w:r>
                              <w:br/>
                            </w:r>
                            <w:r w:rsidRPr="005C7FB0">
                              <w:t>the</w:t>
                            </w:r>
                            <w:r>
                              <w:t xml:space="preserve"> Consumer Panel</w:t>
                            </w:r>
                          </w:p>
                          <w:p w:rsidR="00175EA4" w:rsidRPr="005C7FB0" w:rsidRDefault="00175EA4" w:rsidP="005C7FB0">
                            <w:pPr>
                              <w:pStyle w:val="Coverdate"/>
                              <w:pBdr>
                                <w:bottom w:val="single" w:sz="12" w:space="8" w:color="BFBFBF"/>
                              </w:pBdr>
                              <w:tabs>
                                <w:tab w:val="center" w:pos="3117"/>
                              </w:tabs>
                              <w:spacing w:before="540" w:after="540"/>
                            </w:pPr>
                            <w:r>
                              <w:t>2020</w:t>
                            </w:r>
                          </w:p>
                          <w:p w:rsidR="00175EA4" w:rsidRDefault="00175EA4" w:rsidP="005C7FB0">
                            <w:pPr>
                              <w:spacing w:before="135" w:after="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8CB5B"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rsidR="00175EA4" w:rsidRPr="005C7FB0" w:rsidRDefault="00175EA4" w:rsidP="005C7FB0">
                      <w:pPr>
                        <w:pStyle w:val="CoverH1White"/>
                        <w:spacing w:before="720" w:after="180"/>
                        <w:rPr>
                          <w:rFonts w:asciiTheme="minorHAnsi" w:hAnsiTheme="minorHAnsi" w:cstheme="minorHAnsi"/>
                        </w:rPr>
                      </w:pPr>
                      <w:r w:rsidRPr="005C7FB0">
                        <w:rPr>
                          <w:rFonts w:asciiTheme="minorHAnsi" w:hAnsiTheme="minorHAnsi" w:cstheme="minorHAnsi"/>
                        </w:rPr>
                        <w:t>Medicare Benefits Schedule Review Taskforce</w:t>
                      </w:r>
                    </w:p>
                    <w:p w:rsidR="00175EA4" w:rsidRPr="005C7FB0" w:rsidRDefault="00175EA4" w:rsidP="005C7FB0">
                      <w:pPr>
                        <w:pStyle w:val="CoverH1Green"/>
                        <w:spacing w:before="720" w:after="180"/>
                      </w:pPr>
                      <w:r>
                        <w:t>Final R</w:t>
                      </w:r>
                      <w:r w:rsidRPr="005C7FB0">
                        <w:t xml:space="preserve">eport from </w:t>
                      </w:r>
                      <w:r>
                        <w:br/>
                      </w:r>
                      <w:r w:rsidRPr="005C7FB0">
                        <w:t>the</w:t>
                      </w:r>
                      <w:r>
                        <w:t xml:space="preserve"> Consumer Panel</w:t>
                      </w:r>
                    </w:p>
                    <w:p w:rsidR="00175EA4" w:rsidRPr="005C7FB0" w:rsidRDefault="00175EA4" w:rsidP="005C7FB0">
                      <w:pPr>
                        <w:pStyle w:val="Coverdate"/>
                        <w:pBdr>
                          <w:bottom w:val="single" w:sz="12" w:space="8" w:color="BFBFBF"/>
                        </w:pBdr>
                        <w:tabs>
                          <w:tab w:val="center" w:pos="3117"/>
                        </w:tabs>
                        <w:spacing w:before="540" w:after="540"/>
                      </w:pPr>
                      <w:r>
                        <w:t>2020</w:t>
                      </w:r>
                    </w:p>
                    <w:p w:rsidR="00175EA4" w:rsidRDefault="00175EA4" w:rsidP="005C7FB0">
                      <w:pPr>
                        <w:spacing w:before="135" w:after="45"/>
                      </w:pPr>
                    </w:p>
                  </w:txbxContent>
                </v:textbox>
                <w10:wrap type="square" anchorx="margin" anchory="page"/>
              </v:shape>
            </w:pict>
          </mc:Fallback>
        </mc:AlternateContent>
      </w:r>
      <w:r w:rsidR="008A49F1" w:rsidRPr="00386E44">
        <w:rPr>
          <w:rStyle w:val="IntenseEmphasis"/>
        </w:rPr>
        <w:br w:type="page"/>
      </w:r>
    </w:p>
    <w:tbl>
      <w:tblPr>
        <w:tblStyle w:val="TableGrid"/>
        <w:tblW w:w="9357" w:type="dxa"/>
        <w:tblInd w:w="-471" w:type="dxa"/>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Description w:val="IMPORTANT NOTES&#10;1. This report does not constitute the final position on these items, which is subject to:&#10;• consideration by the Minister for Health, and&#10;• the Government.&#10;2. The views and recommendations in this report originated from the clinical committee. Following consultation with stakeholders, the clinical committee made amendments and presented this report to the MBS Review Taskforce for its consideration. &#10;3. Any eliminations, amendments or commentary from the MBS Review Taskforce are noted in boxed comments in the body of the report:&#10;[Group] Recommendation [#] – Taskforce’s Advice&#10;[The Taskforce’s rationale behind their decision.]&#10;  &#10;"/>
      </w:tblPr>
      <w:tblGrid>
        <w:gridCol w:w="9357"/>
      </w:tblGrid>
      <w:tr w:rsidR="00175EA4" w:rsidTr="00321C36">
        <w:trPr>
          <w:tblHeader/>
        </w:trPr>
        <w:tc>
          <w:tcPr>
            <w:tcW w:w="9357" w:type="dxa"/>
            <w:tcBorders>
              <w:top w:val="single" w:sz="36" w:space="0" w:color="01653F"/>
              <w:left w:val="single" w:sz="36" w:space="0" w:color="01653F"/>
              <w:bottom w:val="single" w:sz="36" w:space="0" w:color="01653F"/>
              <w:right w:val="single" w:sz="36" w:space="0" w:color="01653F"/>
            </w:tcBorders>
            <w:hideMark/>
          </w:tcPr>
          <w:p w:rsidR="00175EA4" w:rsidRPr="00175EA4" w:rsidRDefault="00175EA4" w:rsidP="00175EA4">
            <w:pPr>
              <w:spacing w:before="240" w:after="240" w:line="240" w:lineRule="auto"/>
              <w:ind w:left="57" w:right="57"/>
              <w:jc w:val="center"/>
              <w:rPr>
                <w:rFonts w:eastAsia="MS Mincho" w:cstheme="minorHAnsi"/>
                <w:caps/>
                <w:color w:val="01653F"/>
                <w:spacing w:val="20"/>
                <w:sz w:val="36"/>
                <w:szCs w:val="20"/>
                <w:lang w:val="en-GB" w:eastAsia="en-US"/>
              </w:rPr>
            </w:pPr>
            <w:r w:rsidRPr="00175EA4">
              <w:rPr>
                <w:rFonts w:eastAsia="MS Mincho" w:cstheme="minorHAnsi"/>
                <w:b/>
                <w:caps/>
                <w:color w:val="01653F"/>
                <w:spacing w:val="20"/>
                <w:sz w:val="36"/>
                <w:szCs w:val="20"/>
                <w:lang w:val="en-GB" w:eastAsia="en-US"/>
              </w:rPr>
              <w:lastRenderedPageBreak/>
              <w:t>Important notes</w:t>
            </w:r>
          </w:p>
          <w:p w:rsidR="00175EA4" w:rsidRPr="00175EA4" w:rsidRDefault="00175EA4" w:rsidP="00175EA4">
            <w:pPr>
              <w:pStyle w:val="ListParagraph"/>
              <w:numPr>
                <w:ilvl w:val="0"/>
                <w:numId w:val="51"/>
              </w:numPr>
              <w:spacing w:before="0" w:after="180" w:line="240" w:lineRule="auto"/>
              <w:ind w:right="57"/>
              <w:rPr>
                <w:rFonts w:eastAsia="MS Mincho" w:cstheme="minorHAnsi"/>
                <w:szCs w:val="22"/>
                <w:lang w:val="en-GB" w:eastAsia="en-US"/>
              </w:rPr>
            </w:pPr>
            <w:r w:rsidRPr="00175EA4">
              <w:rPr>
                <w:rFonts w:eastAsia="MS Mincho" w:cstheme="minorHAnsi"/>
                <w:szCs w:val="22"/>
                <w:lang w:val="en-GB" w:eastAsia="en-US"/>
              </w:rPr>
              <w:t>This report does not constitute the final position on these items, which is subject to:</w:t>
            </w:r>
          </w:p>
          <w:p w:rsidR="00175EA4" w:rsidRPr="007F059F" w:rsidRDefault="00175EA4" w:rsidP="00175EA4">
            <w:pPr>
              <w:numPr>
                <w:ilvl w:val="0"/>
                <w:numId w:val="49"/>
              </w:numPr>
              <w:tabs>
                <w:tab w:val="clear" w:pos="714"/>
                <w:tab w:val="num" w:pos="1126"/>
              </w:tabs>
              <w:spacing w:before="0" w:after="180" w:line="240" w:lineRule="auto"/>
              <w:ind w:left="924"/>
              <w:rPr>
                <w:szCs w:val="22"/>
                <w:lang w:val="en-GB"/>
              </w:rPr>
            </w:pPr>
            <w:r>
              <w:rPr>
                <w:szCs w:val="22"/>
                <w:lang w:val="en-GB"/>
              </w:rPr>
              <w:t>c</w:t>
            </w:r>
            <w:r w:rsidRPr="007F059F">
              <w:rPr>
                <w:szCs w:val="22"/>
                <w:lang w:val="en-GB"/>
              </w:rPr>
              <w:t>onsideration by the Minister for Health, and</w:t>
            </w:r>
          </w:p>
          <w:p w:rsidR="00175EA4" w:rsidRPr="007F059F" w:rsidRDefault="00175EA4" w:rsidP="00175EA4">
            <w:pPr>
              <w:numPr>
                <w:ilvl w:val="0"/>
                <w:numId w:val="49"/>
              </w:numPr>
              <w:tabs>
                <w:tab w:val="clear" w:pos="714"/>
                <w:tab w:val="num" w:pos="1126"/>
              </w:tabs>
              <w:spacing w:before="0" w:after="180" w:line="240" w:lineRule="auto"/>
              <w:ind w:left="924"/>
              <w:rPr>
                <w:szCs w:val="22"/>
                <w:lang w:val="en-GB"/>
              </w:rPr>
            </w:pPr>
            <w:r w:rsidRPr="007F059F">
              <w:rPr>
                <w:szCs w:val="22"/>
                <w:lang w:val="en-GB"/>
              </w:rPr>
              <w:t>the Government.</w:t>
            </w:r>
          </w:p>
          <w:p w:rsidR="00175EA4" w:rsidRPr="00175EA4" w:rsidRDefault="00175EA4" w:rsidP="00175EA4">
            <w:pPr>
              <w:pStyle w:val="ListParagraph"/>
              <w:numPr>
                <w:ilvl w:val="0"/>
                <w:numId w:val="51"/>
              </w:numPr>
              <w:spacing w:before="0" w:after="180" w:line="240" w:lineRule="auto"/>
              <w:ind w:right="57"/>
              <w:rPr>
                <w:szCs w:val="22"/>
                <w:lang w:val="en-GB"/>
              </w:rPr>
            </w:pPr>
            <w:r w:rsidRPr="00175EA4">
              <w:rPr>
                <w:szCs w:val="22"/>
                <w:lang w:val="en-GB"/>
              </w:rPr>
              <w:t xml:space="preserve">The views and recommendations in this report originated from the clinical committee. Following consultation with stakeholders, the clinical committee made amendments and presented this report to the MBS Review Taskforce for its consideration. </w:t>
            </w:r>
          </w:p>
          <w:p w:rsidR="00175EA4" w:rsidRPr="00175EA4" w:rsidRDefault="00175EA4" w:rsidP="00175EA4">
            <w:pPr>
              <w:pStyle w:val="ListParagraph"/>
              <w:numPr>
                <w:ilvl w:val="0"/>
                <w:numId w:val="51"/>
              </w:numPr>
              <w:spacing w:before="0" w:after="180" w:line="240" w:lineRule="auto"/>
              <w:ind w:right="57"/>
              <w:rPr>
                <w:szCs w:val="22"/>
                <w:lang w:val="en-GB"/>
              </w:rPr>
            </w:pPr>
            <w:r w:rsidRPr="00175EA4">
              <w:rPr>
                <w:szCs w:val="22"/>
                <w:lang w:val="en-GB"/>
              </w:rPr>
              <w:t>Any eliminations, amendments or commentary from the MBS Review Taskforce are noted in boxed comments in the body of the report:</w:t>
            </w:r>
          </w:p>
          <w:tbl>
            <w:tblPr>
              <w:tblStyle w:val="TableGrid"/>
              <w:tblW w:w="0" w:type="auto"/>
              <w:tblInd w:w="274" w:type="dxa"/>
              <w:shd w:val="clear" w:color="auto" w:fill="E6EED6"/>
              <w:tblLook w:val="04A0" w:firstRow="1" w:lastRow="0" w:firstColumn="1" w:lastColumn="0" w:noHBand="0" w:noVBand="1"/>
              <w:tblDescription w:val="[Group] Recommendation [#] – Taskforce’s Advice&#10;[The Taskforce’s rationale behind their decision.]&#10;"/>
            </w:tblPr>
            <w:tblGrid>
              <w:gridCol w:w="8522"/>
            </w:tblGrid>
            <w:tr w:rsidR="00175EA4" w:rsidTr="00321C36">
              <w:trPr>
                <w:tblHeader/>
              </w:trPr>
              <w:tc>
                <w:tcPr>
                  <w:tcW w:w="8522" w:type="dxa"/>
                  <w:tcBorders>
                    <w:top w:val="single" w:sz="12" w:space="0" w:color="01653F"/>
                    <w:left w:val="single" w:sz="12" w:space="0" w:color="01653F"/>
                    <w:bottom w:val="single" w:sz="12" w:space="0" w:color="01653F"/>
                    <w:right w:val="single" w:sz="12" w:space="0" w:color="01653F"/>
                  </w:tcBorders>
                  <w:shd w:val="clear" w:color="auto" w:fill="E6EED6"/>
                  <w:hideMark/>
                </w:tcPr>
                <w:p w:rsidR="00175EA4" w:rsidRPr="00175EA4" w:rsidRDefault="00175EA4" w:rsidP="00175EA4">
                  <w:pPr>
                    <w:pStyle w:val="Heading7"/>
                    <w:spacing w:before="120" w:after="120" w:line="240" w:lineRule="auto"/>
                    <w:ind w:left="57" w:right="57"/>
                    <w:rPr>
                      <w:rFonts w:asciiTheme="minorHAnsi" w:hAnsiTheme="minorHAnsi" w:cstheme="minorHAnsi"/>
                      <w:i w:val="0"/>
                      <w:iCs w:val="0"/>
                      <w:color w:val="auto"/>
                      <w:szCs w:val="20"/>
                      <w:lang w:val="en-AU"/>
                    </w:rPr>
                  </w:pPr>
                  <w:r w:rsidRPr="00175EA4">
                    <w:rPr>
                      <w:rFonts w:asciiTheme="minorHAnsi" w:hAnsiTheme="minorHAnsi" w:cstheme="minorHAnsi"/>
                      <w:i w:val="0"/>
                      <w:iCs w:val="0"/>
                      <w:color w:val="auto"/>
                      <w:szCs w:val="20"/>
                      <w:lang w:val="en-AU"/>
                    </w:rPr>
                    <w:t>[Group] Recommendation [#] – Taskforce’s Advice</w:t>
                  </w:r>
                </w:p>
                <w:p w:rsidR="00175EA4" w:rsidRPr="00455D78" w:rsidRDefault="00175EA4" w:rsidP="00175EA4">
                  <w:pPr>
                    <w:pStyle w:val="BoxNormal"/>
                  </w:pPr>
                  <w:r w:rsidRPr="00175EA4">
                    <w:rPr>
                      <w:rFonts w:eastAsia="MS Mincho"/>
                      <w:b/>
                    </w:rPr>
                    <w:t>[The Taskforce’s rationale behind their decision.]</w:t>
                  </w:r>
                </w:p>
              </w:tc>
            </w:tr>
          </w:tbl>
          <w:p w:rsidR="00175EA4" w:rsidRDefault="00175EA4" w:rsidP="00175EA4">
            <w:pPr>
              <w:rPr>
                <w:rFonts w:eastAsiaTheme="minorHAnsi"/>
                <w:lang w:val="en-GB"/>
              </w:rPr>
            </w:pPr>
            <w:r>
              <w:rPr>
                <w:rFonts w:eastAsiaTheme="minorHAnsi"/>
                <w:lang w:val="en-GB"/>
              </w:rPr>
              <w:t xml:space="preserve">  </w:t>
            </w:r>
          </w:p>
        </w:tc>
      </w:tr>
    </w:tbl>
    <w:p w:rsidR="00175EA4" w:rsidRDefault="00175EA4">
      <w:pPr>
        <w:spacing w:before="0" w:after="0" w:line="240" w:lineRule="auto"/>
        <w:rPr>
          <w:rFonts w:ascii="Calibri" w:hAnsi="Calibri" w:cs="Calibri"/>
          <w:b/>
          <w:color w:val="01653F"/>
          <w:sz w:val="40"/>
          <w:szCs w:val="40"/>
          <w:lang w:eastAsia="en-US"/>
        </w:rPr>
      </w:pPr>
      <w:r>
        <w:br w:type="page"/>
      </w:r>
    </w:p>
    <w:p w:rsidR="00222F31" w:rsidRPr="00175EA4" w:rsidRDefault="00222F31" w:rsidP="00791FE1">
      <w:pPr>
        <w:pStyle w:val="Header1"/>
        <w:spacing w:before="0" w:after="180" w:line="240" w:lineRule="auto"/>
        <w:contextualSpacing w:val="0"/>
        <w:rPr>
          <w:rFonts w:asciiTheme="minorHAnsi" w:eastAsiaTheme="minorHAnsi" w:hAnsiTheme="minorHAnsi" w:cstheme="minorHAnsi"/>
          <w:bCs/>
          <w:lang w:val="en-US"/>
        </w:rPr>
      </w:pPr>
      <w:r w:rsidRPr="00175EA4">
        <w:rPr>
          <w:rFonts w:asciiTheme="minorHAnsi" w:eastAsiaTheme="minorHAnsi" w:hAnsiTheme="minorHAnsi" w:cstheme="minorHAnsi"/>
          <w:bCs/>
          <w:lang w:val="en-US"/>
        </w:rPr>
        <w:lastRenderedPageBreak/>
        <w:t>Acknowledgement</w:t>
      </w:r>
    </w:p>
    <w:p w:rsidR="00222F31" w:rsidRPr="00D7653E" w:rsidRDefault="000107B2" w:rsidP="00791FE1">
      <w:pPr>
        <w:spacing w:before="0" w:after="180" w:line="240" w:lineRule="auto"/>
        <w:rPr>
          <w:rFonts w:eastAsiaTheme="minorHAnsi"/>
        </w:rPr>
      </w:pPr>
      <w:r>
        <w:rPr>
          <w:rFonts w:eastAsiaTheme="minorHAnsi"/>
        </w:rPr>
        <w:t xml:space="preserve">The Consumer Panel acknowledges the traditional custodians of the lands, seas and waters known as Australia and we express our respect to </w:t>
      </w:r>
      <w:r w:rsidR="001F04F5">
        <w:rPr>
          <w:rFonts w:eastAsiaTheme="minorHAnsi"/>
        </w:rPr>
        <w:t>E</w:t>
      </w:r>
      <w:r>
        <w:rPr>
          <w:rFonts w:eastAsiaTheme="minorHAnsi"/>
        </w:rPr>
        <w:t xml:space="preserve">lders past, present and emerging. </w:t>
      </w:r>
      <w:r w:rsidR="00222F31">
        <w:rPr>
          <w:rFonts w:eastAsiaTheme="minorHAnsi"/>
        </w:rPr>
        <w:t>We acknowledge that the land and the law, language and culture are as important today as they have always been to Aboriginal and Torres Strait Islander people and are integral to health and wellbeing.</w:t>
      </w:r>
    </w:p>
    <w:p w:rsidR="00D7653E" w:rsidRPr="00175EA4" w:rsidRDefault="00BC6466" w:rsidP="00791FE1">
      <w:pPr>
        <w:pStyle w:val="Header1"/>
        <w:spacing w:before="0" w:after="180" w:line="240" w:lineRule="auto"/>
        <w:contextualSpacing w:val="0"/>
        <w:rPr>
          <w:rFonts w:asciiTheme="minorHAnsi" w:eastAsiaTheme="minorHAnsi" w:hAnsiTheme="minorHAnsi" w:cstheme="minorHAnsi"/>
          <w:bCs/>
          <w:lang w:val="en-US"/>
        </w:rPr>
      </w:pPr>
      <w:r w:rsidRPr="00175EA4">
        <w:rPr>
          <w:rFonts w:asciiTheme="minorHAnsi" w:eastAsiaTheme="minorHAnsi" w:hAnsiTheme="minorHAnsi" w:cstheme="minorHAnsi"/>
          <w:bCs/>
          <w:lang w:val="en-US"/>
        </w:rPr>
        <w:t>Statement of appreciation</w:t>
      </w:r>
    </w:p>
    <w:p w:rsidR="00BC6466" w:rsidRPr="00D7653E" w:rsidRDefault="00BC6466" w:rsidP="00791FE1">
      <w:pPr>
        <w:spacing w:before="0" w:after="180" w:line="240" w:lineRule="auto"/>
      </w:pPr>
      <w:r>
        <w:rPr>
          <w:rFonts w:eastAsiaTheme="minorHAnsi"/>
        </w:rPr>
        <w:t xml:space="preserve">The Consumer Panel expresses our thanks </w:t>
      </w:r>
      <w:r w:rsidR="001F04F5">
        <w:rPr>
          <w:rFonts w:eastAsiaTheme="minorHAnsi"/>
        </w:rPr>
        <w:t>for</w:t>
      </w:r>
      <w:r>
        <w:rPr>
          <w:rFonts w:eastAsiaTheme="minorHAnsi"/>
        </w:rPr>
        <w:t xml:space="preserve"> the support received from Secretariat members. We </w:t>
      </w:r>
      <w:r w:rsidR="005912AC">
        <w:rPr>
          <w:rFonts w:eastAsiaTheme="minorHAnsi"/>
        </w:rPr>
        <w:t>acknowledge</w:t>
      </w:r>
      <w:r>
        <w:rPr>
          <w:rFonts w:eastAsiaTheme="minorHAnsi"/>
        </w:rPr>
        <w:t xml:space="preserve"> the commitment and hard work of consumers on Taskforce </w:t>
      </w:r>
      <w:r w:rsidR="00672699">
        <w:rPr>
          <w:rFonts w:eastAsiaTheme="minorHAnsi"/>
        </w:rPr>
        <w:t>c</w:t>
      </w:r>
      <w:r>
        <w:rPr>
          <w:rFonts w:eastAsiaTheme="minorHAnsi"/>
        </w:rPr>
        <w:t xml:space="preserve">ommittees and </w:t>
      </w:r>
      <w:r w:rsidR="00672699">
        <w:rPr>
          <w:rFonts w:eastAsiaTheme="minorHAnsi"/>
        </w:rPr>
        <w:t>w</w:t>
      </w:r>
      <w:r>
        <w:rPr>
          <w:rFonts w:eastAsiaTheme="minorHAnsi"/>
        </w:rPr>
        <w:t xml:space="preserve">orking </w:t>
      </w:r>
      <w:r w:rsidR="00672699">
        <w:rPr>
          <w:rFonts w:eastAsiaTheme="minorHAnsi"/>
        </w:rPr>
        <w:t>g</w:t>
      </w:r>
      <w:r>
        <w:rPr>
          <w:rFonts w:eastAsiaTheme="minorHAnsi"/>
        </w:rPr>
        <w:t xml:space="preserve">roups and thank the </w:t>
      </w:r>
      <w:r w:rsidR="00672699">
        <w:rPr>
          <w:rFonts w:eastAsiaTheme="minorHAnsi"/>
        </w:rPr>
        <w:t>c</w:t>
      </w:r>
      <w:r>
        <w:rPr>
          <w:rFonts w:eastAsiaTheme="minorHAnsi"/>
        </w:rPr>
        <w:t xml:space="preserve">onsumers and </w:t>
      </w:r>
      <w:r w:rsidR="00672699">
        <w:rPr>
          <w:rFonts w:eastAsiaTheme="minorHAnsi"/>
        </w:rPr>
        <w:t>c</w:t>
      </w:r>
      <w:r>
        <w:rPr>
          <w:rFonts w:eastAsiaTheme="minorHAnsi"/>
        </w:rPr>
        <w:t xml:space="preserve">ommittee </w:t>
      </w:r>
      <w:r w:rsidR="00672699">
        <w:rPr>
          <w:rFonts w:eastAsiaTheme="minorHAnsi"/>
        </w:rPr>
        <w:t>c</w:t>
      </w:r>
      <w:r>
        <w:rPr>
          <w:rFonts w:eastAsiaTheme="minorHAnsi"/>
        </w:rPr>
        <w:t>ha</w:t>
      </w:r>
      <w:r w:rsidR="009C5BC5">
        <w:rPr>
          <w:rFonts w:eastAsiaTheme="minorHAnsi"/>
        </w:rPr>
        <w:t xml:space="preserve">irs who responded to our </w:t>
      </w:r>
      <w:r w:rsidR="003E7A10">
        <w:rPr>
          <w:rFonts w:eastAsiaTheme="minorHAnsi"/>
        </w:rPr>
        <w:t>survey</w:t>
      </w:r>
      <w:r w:rsidR="007B4064">
        <w:rPr>
          <w:rFonts w:eastAsiaTheme="minorHAnsi"/>
        </w:rPr>
        <w:t xml:space="preserve"> and the organisations and individuals who responded as part of our public consultation process on the report</w:t>
      </w:r>
      <w:r>
        <w:rPr>
          <w:rFonts w:eastAsiaTheme="minorHAnsi"/>
        </w:rPr>
        <w:t>.</w:t>
      </w:r>
    </w:p>
    <w:p w:rsidR="00AE03BD" w:rsidRPr="00175EA4" w:rsidRDefault="00682816" w:rsidP="00175EA4">
      <w:pPr>
        <w:pStyle w:val="Header1"/>
        <w:spacing w:before="0" w:after="180" w:line="240" w:lineRule="auto"/>
        <w:contextualSpacing w:val="0"/>
        <w:rPr>
          <w:rFonts w:asciiTheme="minorHAnsi" w:eastAsiaTheme="minorHAnsi" w:hAnsiTheme="minorHAnsi" w:cstheme="minorHAnsi"/>
          <w:bCs/>
          <w:lang w:val="en-US"/>
        </w:rPr>
      </w:pPr>
      <w:r w:rsidRPr="00175EA4">
        <w:rPr>
          <w:rFonts w:asciiTheme="minorHAnsi" w:eastAsiaTheme="minorHAnsi" w:hAnsiTheme="minorHAnsi" w:cstheme="minorHAnsi"/>
          <w:bCs/>
          <w:lang w:val="en-US"/>
        </w:rPr>
        <w:t>Purpose of this Report</w:t>
      </w:r>
    </w:p>
    <w:p w:rsidR="00062271" w:rsidRDefault="00682816" w:rsidP="00791FE1">
      <w:pPr>
        <w:spacing w:before="0" w:after="180" w:line="240" w:lineRule="auto"/>
      </w:pPr>
      <w:r>
        <w:t xml:space="preserve">The purpose of this Report is to outline the work of the Consumer Panel and consumer involvement throughout the MBS Review, to provide information on lessons learnt, and to make recommendations to the Taskforce on consumer-related health technology considerations, both immediate and </w:t>
      </w:r>
      <w:r w:rsidR="008149FF">
        <w:t>systemic</w:t>
      </w:r>
      <w:r>
        <w:t xml:space="preserve">. </w:t>
      </w:r>
    </w:p>
    <w:p w:rsidR="00682816" w:rsidRDefault="00682816" w:rsidP="00791FE1">
      <w:pPr>
        <w:spacing w:before="0" w:after="180" w:line="240" w:lineRule="auto"/>
      </w:pPr>
      <w:r w:rsidRPr="00682816">
        <w:t xml:space="preserve">Though the Taskforce has developed a mechanism for reviewing the MBS items at a clinical or cost relative level, </w:t>
      </w:r>
      <w:r>
        <w:t xml:space="preserve">the Consumer Panel are of the opinion that </w:t>
      </w:r>
      <w:r w:rsidRPr="00682816">
        <w:t>further work is required in order to effectively fulfil the statement of ‘improving health outcomes for patients’.</w:t>
      </w:r>
    </w:p>
    <w:p w:rsidR="005F0410" w:rsidRDefault="005F0410" w:rsidP="00791FE1">
      <w:pPr>
        <w:spacing w:before="0" w:after="180" w:line="240" w:lineRule="auto"/>
      </w:pPr>
      <w:r>
        <w:t xml:space="preserve">The Consumer Panel support all or any of its recommendations to be considered by a future review mechanism, and that any future review should include </w:t>
      </w:r>
      <w:r w:rsidR="007B4064">
        <w:t xml:space="preserve">a </w:t>
      </w:r>
      <w:r w:rsidRPr="005F0410">
        <w:t>specific committee dedicated to consumer elements</w:t>
      </w:r>
      <w:r>
        <w:t>.</w:t>
      </w:r>
    </w:p>
    <w:p w:rsidR="009B4B96" w:rsidRPr="00386E44" w:rsidRDefault="009B4B96" w:rsidP="00791FE1">
      <w:pPr>
        <w:pStyle w:val="Footer"/>
        <w:spacing w:before="0" w:after="180" w:line="240" w:lineRule="auto"/>
        <w:sectPr w:rsidR="009B4B96" w:rsidRPr="00386E44" w:rsidSect="00061998">
          <w:headerReference w:type="even" r:id="rId8"/>
          <w:headerReference w:type="default" r:id="rId9"/>
          <w:footerReference w:type="default" r:id="rId10"/>
          <w:headerReference w:type="first" r:id="rId11"/>
          <w:pgSz w:w="11906" w:h="16838" w:code="9"/>
          <w:pgMar w:top="1440" w:right="1797" w:bottom="1440" w:left="1797" w:header="720" w:footer="720" w:gutter="0"/>
          <w:cols w:space="720"/>
          <w:titlePg/>
          <w:docGrid w:linePitch="326"/>
        </w:sectPr>
      </w:pPr>
    </w:p>
    <w:p w:rsidR="00C56DF9" w:rsidRPr="00D7653E" w:rsidRDefault="00C56DF9" w:rsidP="00175EA4">
      <w:pPr>
        <w:pStyle w:val="TOCHeading"/>
        <w:spacing w:before="240" w:after="120"/>
      </w:pPr>
      <w:r w:rsidRPr="00D7653E">
        <w:lastRenderedPageBreak/>
        <w:t xml:space="preserve">Table of </w:t>
      </w:r>
      <w:r w:rsidR="005C2F46" w:rsidRPr="00D7653E">
        <w:t>c</w:t>
      </w:r>
      <w:r w:rsidRPr="00D7653E">
        <w:t>ontents</w:t>
      </w:r>
      <w:bookmarkEnd w:id="0"/>
    </w:p>
    <w:p w:rsidR="00CC2596" w:rsidRDefault="00625EB2">
      <w:pPr>
        <w:pStyle w:val="TOC1"/>
        <w:rPr>
          <w:rFonts w:eastAsiaTheme="minorEastAsia" w:cstheme="minorBidi"/>
          <w:b w:val="0"/>
        </w:rPr>
      </w:pPr>
      <w:r w:rsidRPr="00D7653E">
        <w:rPr>
          <w:color w:val="FF0000"/>
        </w:rPr>
        <w:fldChar w:fldCharType="begin"/>
      </w:r>
      <w:r w:rsidRPr="00D7653E">
        <w:rPr>
          <w:color w:val="FF0000"/>
        </w:rPr>
        <w:instrText xml:space="preserve"> TOC \o "1-3" \h \z \u </w:instrText>
      </w:r>
      <w:r w:rsidRPr="00D7653E">
        <w:rPr>
          <w:color w:val="FF0000"/>
        </w:rPr>
        <w:fldChar w:fldCharType="separate"/>
      </w:r>
      <w:hyperlink w:anchor="_Toc33103174" w:history="1">
        <w:r w:rsidR="00CC2596" w:rsidRPr="0005782C">
          <w:rPr>
            <w:rStyle w:val="Hyperlink"/>
          </w:rPr>
          <w:t>1.</w:t>
        </w:r>
        <w:r w:rsidR="00CC2596">
          <w:rPr>
            <w:rFonts w:eastAsiaTheme="minorEastAsia" w:cstheme="minorBidi"/>
            <w:b w:val="0"/>
          </w:rPr>
          <w:tab/>
        </w:r>
        <w:r w:rsidR="00CC2596" w:rsidRPr="0005782C">
          <w:rPr>
            <w:rStyle w:val="Hyperlink"/>
          </w:rPr>
          <w:t>Executive summary</w:t>
        </w:r>
        <w:r w:rsidR="00CC2596">
          <w:rPr>
            <w:webHidden/>
          </w:rPr>
          <w:tab/>
        </w:r>
        <w:r w:rsidR="00CC2596">
          <w:rPr>
            <w:webHidden/>
          </w:rPr>
          <w:fldChar w:fldCharType="begin"/>
        </w:r>
        <w:r w:rsidR="00CC2596">
          <w:rPr>
            <w:webHidden/>
          </w:rPr>
          <w:instrText xml:space="preserve"> PAGEREF _Toc33103174 \h </w:instrText>
        </w:r>
        <w:r w:rsidR="00CC2596">
          <w:rPr>
            <w:webHidden/>
          </w:rPr>
        </w:r>
        <w:r w:rsidR="00CC2596">
          <w:rPr>
            <w:webHidden/>
          </w:rPr>
          <w:fldChar w:fldCharType="separate"/>
        </w:r>
        <w:r w:rsidR="003C3652">
          <w:rPr>
            <w:webHidden/>
          </w:rPr>
          <w:t>6</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75" w:history="1">
        <w:r w:rsidR="00CC2596" w:rsidRPr="0005782C">
          <w:rPr>
            <w:rStyle w:val="Hyperlink"/>
          </w:rPr>
          <w:t>1.1</w:t>
        </w:r>
        <w:r w:rsidR="00CC2596">
          <w:rPr>
            <w:rFonts w:eastAsiaTheme="minorEastAsia" w:cstheme="minorBidi"/>
          </w:rPr>
          <w:tab/>
        </w:r>
        <w:r w:rsidR="00CC2596" w:rsidRPr="0005782C">
          <w:rPr>
            <w:rStyle w:val="Hyperlink"/>
          </w:rPr>
          <w:t>Medicare Benefits Schedule Review Taskforce</w:t>
        </w:r>
        <w:r w:rsidR="00CC2596">
          <w:rPr>
            <w:webHidden/>
          </w:rPr>
          <w:tab/>
        </w:r>
        <w:r w:rsidR="00CC2596">
          <w:rPr>
            <w:webHidden/>
          </w:rPr>
          <w:fldChar w:fldCharType="begin"/>
        </w:r>
        <w:r w:rsidR="00CC2596">
          <w:rPr>
            <w:webHidden/>
          </w:rPr>
          <w:instrText xml:space="preserve"> PAGEREF _Toc33103175 \h </w:instrText>
        </w:r>
        <w:r w:rsidR="00CC2596">
          <w:rPr>
            <w:webHidden/>
          </w:rPr>
        </w:r>
        <w:r w:rsidR="00CC2596">
          <w:rPr>
            <w:webHidden/>
          </w:rPr>
          <w:fldChar w:fldCharType="separate"/>
        </w:r>
        <w:r w:rsidR="003C3652">
          <w:rPr>
            <w:webHidden/>
          </w:rPr>
          <w:t>6</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76" w:history="1">
        <w:r w:rsidR="00CC2596" w:rsidRPr="0005782C">
          <w:rPr>
            <w:rStyle w:val="Hyperlink"/>
          </w:rPr>
          <w:t>1.2</w:t>
        </w:r>
        <w:r w:rsidR="00CC2596">
          <w:rPr>
            <w:rFonts w:eastAsiaTheme="minorEastAsia" w:cstheme="minorBidi"/>
          </w:rPr>
          <w:tab/>
        </w:r>
        <w:r w:rsidR="00CC2596" w:rsidRPr="0005782C">
          <w:rPr>
            <w:rStyle w:val="Hyperlink"/>
          </w:rPr>
          <w:t>Consumers role in the MBS Review</w:t>
        </w:r>
        <w:r w:rsidR="00CC2596">
          <w:rPr>
            <w:webHidden/>
          </w:rPr>
          <w:tab/>
        </w:r>
        <w:r w:rsidR="00CC2596">
          <w:rPr>
            <w:webHidden/>
          </w:rPr>
          <w:fldChar w:fldCharType="begin"/>
        </w:r>
        <w:r w:rsidR="00CC2596">
          <w:rPr>
            <w:webHidden/>
          </w:rPr>
          <w:instrText xml:space="preserve"> PAGEREF _Toc33103176 \h </w:instrText>
        </w:r>
        <w:r w:rsidR="00CC2596">
          <w:rPr>
            <w:webHidden/>
          </w:rPr>
        </w:r>
        <w:r w:rsidR="00CC2596">
          <w:rPr>
            <w:webHidden/>
          </w:rPr>
          <w:fldChar w:fldCharType="separate"/>
        </w:r>
        <w:r w:rsidR="003C3652">
          <w:rPr>
            <w:webHidden/>
          </w:rPr>
          <w:t>6</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77" w:history="1">
        <w:r w:rsidR="00CC2596" w:rsidRPr="0005782C">
          <w:rPr>
            <w:rStyle w:val="Hyperlink"/>
          </w:rPr>
          <w:t>1.3</w:t>
        </w:r>
        <w:r w:rsidR="00CC2596">
          <w:rPr>
            <w:rFonts w:eastAsiaTheme="minorEastAsia" w:cstheme="minorBidi"/>
          </w:rPr>
          <w:tab/>
        </w:r>
        <w:r w:rsidR="00CC2596" w:rsidRPr="0005782C">
          <w:rPr>
            <w:rStyle w:val="Hyperlink"/>
          </w:rPr>
          <w:t>Key Issues</w:t>
        </w:r>
        <w:r w:rsidR="00CC2596">
          <w:rPr>
            <w:webHidden/>
          </w:rPr>
          <w:tab/>
        </w:r>
        <w:r w:rsidR="00CC2596">
          <w:rPr>
            <w:webHidden/>
          </w:rPr>
          <w:fldChar w:fldCharType="begin"/>
        </w:r>
        <w:r w:rsidR="00CC2596">
          <w:rPr>
            <w:webHidden/>
          </w:rPr>
          <w:instrText xml:space="preserve"> PAGEREF _Toc33103177 \h </w:instrText>
        </w:r>
        <w:r w:rsidR="00CC2596">
          <w:rPr>
            <w:webHidden/>
          </w:rPr>
        </w:r>
        <w:r w:rsidR="00CC2596">
          <w:rPr>
            <w:webHidden/>
          </w:rPr>
          <w:fldChar w:fldCharType="separate"/>
        </w:r>
        <w:r w:rsidR="003C3652">
          <w:rPr>
            <w:webHidden/>
          </w:rPr>
          <w:t>6</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78" w:history="1">
        <w:r w:rsidR="00CC2596" w:rsidRPr="0005782C">
          <w:rPr>
            <w:rStyle w:val="Hyperlink"/>
          </w:rPr>
          <w:t>1.4</w:t>
        </w:r>
        <w:r w:rsidR="00CC2596">
          <w:rPr>
            <w:rFonts w:eastAsiaTheme="minorEastAsia" w:cstheme="minorBidi"/>
          </w:rPr>
          <w:tab/>
        </w:r>
        <w:r w:rsidR="00CC2596" w:rsidRPr="0005782C">
          <w:rPr>
            <w:rStyle w:val="Hyperlink"/>
          </w:rPr>
          <w:t>Key recommendations</w:t>
        </w:r>
        <w:r w:rsidR="00CC2596">
          <w:rPr>
            <w:webHidden/>
          </w:rPr>
          <w:tab/>
        </w:r>
        <w:r w:rsidR="00CC2596">
          <w:rPr>
            <w:webHidden/>
          </w:rPr>
          <w:fldChar w:fldCharType="begin"/>
        </w:r>
        <w:r w:rsidR="00CC2596">
          <w:rPr>
            <w:webHidden/>
          </w:rPr>
          <w:instrText xml:space="preserve"> PAGEREF _Toc33103178 \h </w:instrText>
        </w:r>
        <w:r w:rsidR="00CC2596">
          <w:rPr>
            <w:webHidden/>
          </w:rPr>
        </w:r>
        <w:r w:rsidR="00CC2596">
          <w:rPr>
            <w:webHidden/>
          </w:rPr>
          <w:fldChar w:fldCharType="separate"/>
        </w:r>
        <w:r w:rsidR="003C3652">
          <w:rPr>
            <w:webHidden/>
          </w:rPr>
          <w:t>7</w:t>
        </w:r>
        <w:r w:rsidR="00CC2596">
          <w:rPr>
            <w:webHidden/>
          </w:rPr>
          <w:fldChar w:fldCharType="end"/>
        </w:r>
      </w:hyperlink>
    </w:p>
    <w:p w:rsidR="00CC2596" w:rsidRDefault="00C05F20">
      <w:pPr>
        <w:pStyle w:val="TOC1"/>
        <w:rPr>
          <w:rFonts w:eastAsiaTheme="minorEastAsia" w:cstheme="minorBidi"/>
          <w:b w:val="0"/>
        </w:rPr>
      </w:pPr>
      <w:hyperlink w:anchor="_Toc33103179" w:history="1">
        <w:r w:rsidR="00CC2596" w:rsidRPr="0005782C">
          <w:rPr>
            <w:rStyle w:val="Hyperlink"/>
          </w:rPr>
          <w:t>2.</w:t>
        </w:r>
        <w:r w:rsidR="00CC2596">
          <w:rPr>
            <w:rFonts w:eastAsiaTheme="minorEastAsia" w:cstheme="minorBidi"/>
            <w:b w:val="0"/>
          </w:rPr>
          <w:tab/>
        </w:r>
        <w:r w:rsidR="00CC2596" w:rsidRPr="0005782C">
          <w:rPr>
            <w:rStyle w:val="Hyperlink"/>
          </w:rPr>
          <w:t>About the Medicare Benefits Schedule (MBS) Review and Taskforce</w:t>
        </w:r>
        <w:r w:rsidR="00CC2596">
          <w:rPr>
            <w:webHidden/>
          </w:rPr>
          <w:tab/>
        </w:r>
        <w:r w:rsidR="00CC2596">
          <w:rPr>
            <w:webHidden/>
          </w:rPr>
          <w:fldChar w:fldCharType="begin"/>
        </w:r>
        <w:r w:rsidR="00CC2596">
          <w:rPr>
            <w:webHidden/>
          </w:rPr>
          <w:instrText xml:space="preserve"> PAGEREF _Toc33103179 \h </w:instrText>
        </w:r>
        <w:r w:rsidR="00CC2596">
          <w:rPr>
            <w:webHidden/>
          </w:rPr>
        </w:r>
        <w:r w:rsidR="00CC2596">
          <w:rPr>
            <w:webHidden/>
          </w:rPr>
          <w:fldChar w:fldCharType="separate"/>
        </w:r>
        <w:r w:rsidR="003C3652">
          <w:rPr>
            <w:webHidden/>
          </w:rPr>
          <w:t>8</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0" w:history="1">
        <w:r w:rsidR="00CC2596" w:rsidRPr="0005782C">
          <w:rPr>
            <w:rStyle w:val="Hyperlink"/>
          </w:rPr>
          <w:t>2.1</w:t>
        </w:r>
        <w:r w:rsidR="00CC2596">
          <w:rPr>
            <w:rFonts w:eastAsiaTheme="minorEastAsia" w:cstheme="minorBidi"/>
          </w:rPr>
          <w:tab/>
        </w:r>
        <w:r w:rsidR="00CC2596" w:rsidRPr="0005782C">
          <w:rPr>
            <w:rStyle w:val="Hyperlink"/>
          </w:rPr>
          <w:t>Medicare and the MBS</w:t>
        </w:r>
        <w:r w:rsidR="00CC2596">
          <w:rPr>
            <w:webHidden/>
          </w:rPr>
          <w:tab/>
        </w:r>
        <w:r w:rsidR="00CC2596">
          <w:rPr>
            <w:webHidden/>
          </w:rPr>
          <w:fldChar w:fldCharType="begin"/>
        </w:r>
        <w:r w:rsidR="00CC2596">
          <w:rPr>
            <w:webHidden/>
          </w:rPr>
          <w:instrText xml:space="preserve"> PAGEREF _Toc33103180 \h </w:instrText>
        </w:r>
        <w:r w:rsidR="00CC2596">
          <w:rPr>
            <w:webHidden/>
          </w:rPr>
        </w:r>
        <w:r w:rsidR="00CC2596">
          <w:rPr>
            <w:webHidden/>
          </w:rPr>
          <w:fldChar w:fldCharType="separate"/>
        </w:r>
        <w:r w:rsidR="003C3652">
          <w:rPr>
            <w:webHidden/>
          </w:rPr>
          <w:t>8</w:t>
        </w:r>
        <w:r w:rsidR="00CC2596">
          <w:rPr>
            <w:webHidden/>
          </w:rPr>
          <w:fldChar w:fldCharType="end"/>
        </w:r>
      </w:hyperlink>
    </w:p>
    <w:p w:rsidR="00CC2596" w:rsidRDefault="00C05F20">
      <w:pPr>
        <w:pStyle w:val="TOC3"/>
        <w:tabs>
          <w:tab w:val="left" w:pos="1474"/>
          <w:tab w:val="right" w:leader="dot" w:pos="8302"/>
        </w:tabs>
        <w:rPr>
          <w:rFonts w:eastAsiaTheme="minorEastAsia" w:cstheme="minorBidi"/>
        </w:rPr>
      </w:pPr>
      <w:hyperlink w:anchor="_Toc33103181" w:history="1">
        <w:r w:rsidR="00CC2596" w:rsidRPr="0005782C">
          <w:rPr>
            <w:rStyle w:val="Hyperlink"/>
          </w:rPr>
          <w:t>2.1.1</w:t>
        </w:r>
        <w:r w:rsidR="00CC2596">
          <w:rPr>
            <w:rFonts w:eastAsiaTheme="minorEastAsia" w:cstheme="minorBidi"/>
          </w:rPr>
          <w:tab/>
        </w:r>
        <w:r w:rsidR="00CC2596" w:rsidRPr="0005782C">
          <w:rPr>
            <w:rStyle w:val="Hyperlink"/>
          </w:rPr>
          <w:t>What is Medicare?</w:t>
        </w:r>
        <w:r w:rsidR="00CC2596">
          <w:rPr>
            <w:webHidden/>
          </w:rPr>
          <w:tab/>
        </w:r>
        <w:r w:rsidR="00CC2596">
          <w:rPr>
            <w:webHidden/>
          </w:rPr>
          <w:fldChar w:fldCharType="begin"/>
        </w:r>
        <w:r w:rsidR="00CC2596">
          <w:rPr>
            <w:webHidden/>
          </w:rPr>
          <w:instrText xml:space="preserve"> PAGEREF _Toc33103181 \h </w:instrText>
        </w:r>
        <w:r w:rsidR="00CC2596">
          <w:rPr>
            <w:webHidden/>
          </w:rPr>
        </w:r>
        <w:r w:rsidR="00CC2596">
          <w:rPr>
            <w:webHidden/>
          </w:rPr>
          <w:fldChar w:fldCharType="separate"/>
        </w:r>
        <w:r w:rsidR="003C3652">
          <w:rPr>
            <w:webHidden/>
          </w:rPr>
          <w:t>8</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2" w:history="1">
        <w:r w:rsidR="00CC2596" w:rsidRPr="0005782C">
          <w:rPr>
            <w:rStyle w:val="Hyperlink"/>
          </w:rPr>
          <w:t>2.2</w:t>
        </w:r>
        <w:r w:rsidR="00CC2596">
          <w:rPr>
            <w:rFonts w:eastAsiaTheme="minorEastAsia" w:cstheme="minorBidi"/>
          </w:rPr>
          <w:tab/>
        </w:r>
        <w:r w:rsidR="00CC2596" w:rsidRPr="0005782C">
          <w:rPr>
            <w:rStyle w:val="Hyperlink"/>
          </w:rPr>
          <w:t>What is the MBS?</w:t>
        </w:r>
        <w:r w:rsidR="00CC2596">
          <w:rPr>
            <w:webHidden/>
          </w:rPr>
          <w:tab/>
        </w:r>
        <w:r w:rsidR="00CC2596">
          <w:rPr>
            <w:webHidden/>
          </w:rPr>
          <w:fldChar w:fldCharType="begin"/>
        </w:r>
        <w:r w:rsidR="00CC2596">
          <w:rPr>
            <w:webHidden/>
          </w:rPr>
          <w:instrText xml:space="preserve"> PAGEREF _Toc33103182 \h </w:instrText>
        </w:r>
        <w:r w:rsidR="00CC2596">
          <w:rPr>
            <w:webHidden/>
          </w:rPr>
        </w:r>
        <w:r w:rsidR="00CC2596">
          <w:rPr>
            <w:webHidden/>
          </w:rPr>
          <w:fldChar w:fldCharType="separate"/>
        </w:r>
        <w:r w:rsidR="003C3652">
          <w:rPr>
            <w:webHidden/>
          </w:rPr>
          <w:t>8</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3" w:history="1">
        <w:r w:rsidR="00CC2596" w:rsidRPr="0005782C">
          <w:rPr>
            <w:rStyle w:val="Hyperlink"/>
          </w:rPr>
          <w:t>2.3</w:t>
        </w:r>
        <w:r w:rsidR="00CC2596">
          <w:rPr>
            <w:rFonts w:eastAsiaTheme="minorEastAsia" w:cstheme="minorBidi"/>
          </w:rPr>
          <w:tab/>
        </w:r>
        <w:r w:rsidR="00CC2596" w:rsidRPr="0005782C">
          <w:rPr>
            <w:rStyle w:val="Hyperlink"/>
          </w:rPr>
          <w:t>What is the MBS Review Taskforce?</w:t>
        </w:r>
        <w:r w:rsidR="00CC2596">
          <w:rPr>
            <w:webHidden/>
          </w:rPr>
          <w:tab/>
        </w:r>
        <w:r w:rsidR="00CC2596">
          <w:rPr>
            <w:webHidden/>
          </w:rPr>
          <w:fldChar w:fldCharType="begin"/>
        </w:r>
        <w:r w:rsidR="00CC2596">
          <w:rPr>
            <w:webHidden/>
          </w:rPr>
          <w:instrText xml:space="preserve"> PAGEREF _Toc33103183 \h </w:instrText>
        </w:r>
        <w:r w:rsidR="00CC2596">
          <w:rPr>
            <w:webHidden/>
          </w:rPr>
        </w:r>
        <w:r w:rsidR="00CC2596">
          <w:rPr>
            <w:webHidden/>
          </w:rPr>
          <w:fldChar w:fldCharType="separate"/>
        </w:r>
        <w:r w:rsidR="003C3652">
          <w:rPr>
            <w:webHidden/>
          </w:rPr>
          <w:t>8</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4" w:history="1">
        <w:r w:rsidR="00CC2596" w:rsidRPr="0005782C">
          <w:rPr>
            <w:rStyle w:val="Hyperlink"/>
          </w:rPr>
          <w:t>2.4</w:t>
        </w:r>
        <w:r w:rsidR="00CC2596">
          <w:rPr>
            <w:rFonts w:eastAsiaTheme="minorEastAsia" w:cstheme="minorBidi"/>
          </w:rPr>
          <w:tab/>
        </w:r>
        <w:r w:rsidR="00CC2596" w:rsidRPr="0005782C">
          <w:rPr>
            <w:rStyle w:val="Hyperlink"/>
          </w:rPr>
          <w:t>The Taskforce’s approach</w:t>
        </w:r>
        <w:r w:rsidR="00CC2596">
          <w:rPr>
            <w:webHidden/>
          </w:rPr>
          <w:tab/>
        </w:r>
        <w:r w:rsidR="00CC2596">
          <w:rPr>
            <w:webHidden/>
          </w:rPr>
          <w:fldChar w:fldCharType="begin"/>
        </w:r>
        <w:r w:rsidR="00CC2596">
          <w:rPr>
            <w:webHidden/>
          </w:rPr>
          <w:instrText xml:space="preserve"> PAGEREF _Toc33103184 \h </w:instrText>
        </w:r>
        <w:r w:rsidR="00CC2596">
          <w:rPr>
            <w:webHidden/>
          </w:rPr>
        </w:r>
        <w:r w:rsidR="00CC2596">
          <w:rPr>
            <w:webHidden/>
          </w:rPr>
          <w:fldChar w:fldCharType="separate"/>
        </w:r>
        <w:r w:rsidR="003C3652">
          <w:rPr>
            <w:webHidden/>
          </w:rPr>
          <w:t>9</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5" w:history="1">
        <w:r w:rsidR="00CC2596" w:rsidRPr="0005782C">
          <w:rPr>
            <w:rStyle w:val="Hyperlink"/>
          </w:rPr>
          <w:t>2.5</w:t>
        </w:r>
        <w:r w:rsidR="00CC2596">
          <w:rPr>
            <w:rFonts w:eastAsiaTheme="minorEastAsia" w:cstheme="minorBidi"/>
          </w:rPr>
          <w:tab/>
        </w:r>
        <w:r w:rsidR="00CC2596" w:rsidRPr="0005782C">
          <w:rPr>
            <w:rStyle w:val="Hyperlink"/>
          </w:rPr>
          <w:t>Consumer engagement in the Review</w:t>
        </w:r>
        <w:r w:rsidR="00CC2596">
          <w:rPr>
            <w:webHidden/>
          </w:rPr>
          <w:tab/>
        </w:r>
        <w:r w:rsidR="00CC2596">
          <w:rPr>
            <w:webHidden/>
          </w:rPr>
          <w:fldChar w:fldCharType="begin"/>
        </w:r>
        <w:r w:rsidR="00CC2596">
          <w:rPr>
            <w:webHidden/>
          </w:rPr>
          <w:instrText xml:space="preserve"> PAGEREF _Toc33103185 \h </w:instrText>
        </w:r>
        <w:r w:rsidR="00CC2596">
          <w:rPr>
            <w:webHidden/>
          </w:rPr>
        </w:r>
        <w:r w:rsidR="00CC2596">
          <w:rPr>
            <w:webHidden/>
          </w:rPr>
          <w:fldChar w:fldCharType="separate"/>
        </w:r>
        <w:r w:rsidR="003C3652">
          <w:rPr>
            <w:webHidden/>
          </w:rPr>
          <w:t>10</w:t>
        </w:r>
        <w:r w:rsidR="00CC2596">
          <w:rPr>
            <w:webHidden/>
          </w:rPr>
          <w:fldChar w:fldCharType="end"/>
        </w:r>
      </w:hyperlink>
    </w:p>
    <w:p w:rsidR="00CC2596" w:rsidRDefault="00C05F20">
      <w:pPr>
        <w:pStyle w:val="TOC1"/>
        <w:rPr>
          <w:rFonts w:eastAsiaTheme="minorEastAsia" w:cstheme="minorBidi"/>
          <w:b w:val="0"/>
        </w:rPr>
      </w:pPr>
      <w:hyperlink w:anchor="_Toc33103186" w:history="1">
        <w:r w:rsidR="00CC2596" w:rsidRPr="0005782C">
          <w:rPr>
            <w:rStyle w:val="Hyperlink"/>
          </w:rPr>
          <w:t>3.</w:t>
        </w:r>
        <w:r w:rsidR="00CC2596">
          <w:rPr>
            <w:rFonts w:eastAsiaTheme="minorEastAsia" w:cstheme="minorBidi"/>
            <w:b w:val="0"/>
          </w:rPr>
          <w:tab/>
        </w:r>
        <w:r w:rsidR="00CC2596" w:rsidRPr="0005782C">
          <w:rPr>
            <w:rStyle w:val="Hyperlink"/>
          </w:rPr>
          <w:t>The Consumer Panel</w:t>
        </w:r>
        <w:r w:rsidR="00CC2596">
          <w:rPr>
            <w:webHidden/>
          </w:rPr>
          <w:tab/>
        </w:r>
        <w:r w:rsidR="00CC2596">
          <w:rPr>
            <w:webHidden/>
          </w:rPr>
          <w:fldChar w:fldCharType="begin"/>
        </w:r>
        <w:r w:rsidR="00CC2596">
          <w:rPr>
            <w:webHidden/>
          </w:rPr>
          <w:instrText xml:space="preserve"> PAGEREF _Toc33103186 \h </w:instrText>
        </w:r>
        <w:r w:rsidR="00CC2596">
          <w:rPr>
            <w:webHidden/>
          </w:rPr>
        </w:r>
        <w:r w:rsidR="00CC2596">
          <w:rPr>
            <w:webHidden/>
          </w:rPr>
          <w:fldChar w:fldCharType="separate"/>
        </w:r>
        <w:r w:rsidR="003C3652">
          <w:rPr>
            <w:webHidden/>
          </w:rPr>
          <w:t>12</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7" w:history="1">
        <w:r w:rsidR="00CC2596" w:rsidRPr="0005782C">
          <w:rPr>
            <w:rStyle w:val="Hyperlink"/>
          </w:rPr>
          <w:t>3.1</w:t>
        </w:r>
        <w:r w:rsidR="00CC2596">
          <w:rPr>
            <w:rFonts w:eastAsiaTheme="minorEastAsia" w:cstheme="minorBidi"/>
          </w:rPr>
          <w:tab/>
        </w:r>
        <w:r w:rsidR="00CC2596" w:rsidRPr="0005782C">
          <w:rPr>
            <w:rStyle w:val="Hyperlink"/>
          </w:rPr>
          <w:t>Background</w:t>
        </w:r>
        <w:r w:rsidR="00CC2596">
          <w:rPr>
            <w:webHidden/>
          </w:rPr>
          <w:tab/>
        </w:r>
        <w:r w:rsidR="00CC2596">
          <w:rPr>
            <w:webHidden/>
          </w:rPr>
          <w:fldChar w:fldCharType="begin"/>
        </w:r>
        <w:r w:rsidR="00CC2596">
          <w:rPr>
            <w:webHidden/>
          </w:rPr>
          <w:instrText xml:space="preserve"> PAGEREF _Toc33103187 \h </w:instrText>
        </w:r>
        <w:r w:rsidR="00CC2596">
          <w:rPr>
            <w:webHidden/>
          </w:rPr>
        </w:r>
        <w:r w:rsidR="00CC2596">
          <w:rPr>
            <w:webHidden/>
          </w:rPr>
          <w:fldChar w:fldCharType="separate"/>
        </w:r>
        <w:r w:rsidR="003C3652">
          <w:rPr>
            <w:webHidden/>
          </w:rPr>
          <w:t>12</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8" w:history="1">
        <w:r w:rsidR="00CC2596" w:rsidRPr="0005782C">
          <w:rPr>
            <w:rStyle w:val="Hyperlink"/>
          </w:rPr>
          <w:t>3.2</w:t>
        </w:r>
        <w:r w:rsidR="00CC2596">
          <w:rPr>
            <w:rFonts w:eastAsiaTheme="minorEastAsia" w:cstheme="minorBidi"/>
          </w:rPr>
          <w:tab/>
        </w:r>
        <w:r w:rsidR="00CC2596" w:rsidRPr="0005782C">
          <w:rPr>
            <w:rStyle w:val="Hyperlink"/>
          </w:rPr>
          <w:t>Establishment of the Consumer Panel</w:t>
        </w:r>
        <w:r w:rsidR="00CC2596">
          <w:rPr>
            <w:webHidden/>
          </w:rPr>
          <w:tab/>
        </w:r>
        <w:r w:rsidR="00CC2596">
          <w:rPr>
            <w:webHidden/>
          </w:rPr>
          <w:fldChar w:fldCharType="begin"/>
        </w:r>
        <w:r w:rsidR="00CC2596">
          <w:rPr>
            <w:webHidden/>
          </w:rPr>
          <w:instrText xml:space="preserve"> PAGEREF _Toc33103188 \h </w:instrText>
        </w:r>
        <w:r w:rsidR="00CC2596">
          <w:rPr>
            <w:webHidden/>
          </w:rPr>
        </w:r>
        <w:r w:rsidR="00CC2596">
          <w:rPr>
            <w:webHidden/>
          </w:rPr>
          <w:fldChar w:fldCharType="separate"/>
        </w:r>
        <w:r w:rsidR="003C3652">
          <w:rPr>
            <w:webHidden/>
          </w:rPr>
          <w:t>13</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89" w:history="1">
        <w:r w:rsidR="00CC2596" w:rsidRPr="0005782C">
          <w:rPr>
            <w:rStyle w:val="Hyperlink"/>
          </w:rPr>
          <w:t>3.3</w:t>
        </w:r>
        <w:r w:rsidR="00CC2596">
          <w:rPr>
            <w:rFonts w:eastAsiaTheme="minorEastAsia" w:cstheme="minorBidi"/>
          </w:rPr>
          <w:tab/>
        </w:r>
        <w:r w:rsidR="00CC2596" w:rsidRPr="0005782C">
          <w:rPr>
            <w:rStyle w:val="Hyperlink"/>
          </w:rPr>
          <w:t>Consumer Panel Terms of Reference</w:t>
        </w:r>
        <w:r w:rsidR="00CC2596">
          <w:rPr>
            <w:webHidden/>
          </w:rPr>
          <w:tab/>
        </w:r>
        <w:r w:rsidR="00CC2596">
          <w:rPr>
            <w:webHidden/>
          </w:rPr>
          <w:fldChar w:fldCharType="begin"/>
        </w:r>
        <w:r w:rsidR="00CC2596">
          <w:rPr>
            <w:webHidden/>
          </w:rPr>
          <w:instrText xml:space="preserve"> PAGEREF _Toc33103189 \h </w:instrText>
        </w:r>
        <w:r w:rsidR="00CC2596">
          <w:rPr>
            <w:webHidden/>
          </w:rPr>
        </w:r>
        <w:r w:rsidR="00CC2596">
          <w:rPr>
            <w:webHidden/>
          </w:rPr>
          <w:fldChar w:fldCharType="separate"/>
        </w:r>
        <w:r w:rsidR="003C3652">
          <w:rPr>
            <w:webHidden/>
          </w:rPr>
          <w:t>13</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90" w:history="1">
        <w:r w:rsidR="00CC2596" w:rsidRPr="0005782C">
          <w:rPr>
            <w:rStyle w:val="Hyperlink"/>
          </w:rPr>
          <w:t>3.4</w:t>
        </w:r>
        <w:r w:rsidR="00CC2596">
          <w:rPr>
            <w:rFonts w:eastAsiaTheme="minorEastAsia" w:cstheme="minorBidi"/>
          </w:rPr>
          <w:tab/>
        </w:r>
        <w:r w:rsidR="00CC2596" w:rsidRPr="0005782C">
          <w:rPr>
            <w:rStyle w:val="Hyperlink"/>
          </w:rPr>
          <w:t>Consumer Panel members</w:t>
        </w:r>
        <w:r w:rsidR="00CC2596">
          <w:rPr>
            <w:webHidden/>
          </w:rPr>
          <w:tab/>
        </w:r>
        <w:r w:rsidR="00CC2596">
          <w:rPr>
            <w:webHidden/>
          </w:rPr>
          <w:fldChar w:fldCharType="begin"/>
        </w:r>
        <w:r w:rsidR="00CC2596">
          <w:rPr>
            <w:webHidden/>
          </w:rPr>
          <w:instrText xml:space="preserve"> PAGEREF _Toc33103190 \h </w:instrText>
        </w:r>
        <w:r w:rsidR="00CC2596">
          <w:rPr>
            <w:webHidden/>
          </w:rPr>
        </w:r>
        <w:r w:rsidR="00CC2596">
          <w:rPr>
            <w:webHidden/>
          </w:rPr>
          <w:fldChar w:fldCharType="separate"/>
        </w:r>
        <w:r w:rsidR="003C3652">
          <w:rPr>
            <w:webHidden/>
          </w:rPr>
          <w:t>14</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191" w:history="1">
        <w:r w:rsidR="00CC2596" w:rsidRPr="0005782C">
          <w:rPr>
            <w:rStyle w:val="Hyperlink"/>
          </w:rPr>
          <w:t>3.5</w:t>
        </w:r>
        <w:r w:rsidR="00CC2596">
          <w:rPr>
            <w:rFonts w:eastAsiaTheme="minorEastAsia" w:cstheme="minorBidi"/>
          </w:rPr>
          <w:tab/>
        </w:r>
        <w:r w:rsidR="00CC2596" w:rsidRPr="0005782C">
          <w:rPr>
            <w:rStyle w:val="Hyperlink"/>
          </w:rPr>
          <w:t>Declared interests and potential conflicts</w:t>
        </w:r>
        <w:r w:rsidR="00CC2596">
          <w:rPr>
            <w:webHidden/>
          </w:rPr>
          <w:tab/>
        </w:r>
        <w:r w:rsidR="00CC2596">
          <w:rPr>
            <w:webHidden/>
          </w:rPr>
          <w:fldChar w:fldCharType="begin"/>
        </w:r>
        <w:r w:rsidR="00CC2596">
          <w:rPr>
            <w:webHidden/>
          </w:rPr>
          <w:instrText xml:space="preserve"> PAGEREF _Toc33103191 \h </w:instrText>
        </w:r>
        <w:r w:rsidR="00CC2596">
          <w:rPr>
            <w:webHidden/>
          </w:rPr>
        </w:r>
        <w:r w:rsidR="00CC2596">
          <w:rPr>
            <w:webHidden/>
          </w:rPr>
          <w:fldChar w:fldCharType="separate"/>
        </w:r>
        <w:r w:rsidR="003C3652">
          <w:rPr>
            <w:webHidden/>
          </w:rPr>
          <w:t>15</w:t>
        </w:r>
        <w:r w:rsidR="00CC2596">
          <w:rPr>
            <w:webHidden/>
          </w:rPr>
          <w:fldChar w:fldCharType="end"/>
        </w:r>
      </w:hyperlink>
    </w:p>
    <w:p w:rsidR="00CC2596" w:rsidRDefault="00C05F20">
      <w:pPr>
        <w:pStyle w:val="TOC1"/>
        <w:rPr>
          <w:rFonts w:eastAsiaTheme="minorEastAsia" w:cstheme="minorBidi"/>
          <w:b w:val="0"/>
        </w:rPr>
      </w:pPr>
      <w:hyperlink w:anchor="_Toc33103192" w:history="1">
        <w:r w:rsidR="00CC2596" w:rsidRPr="0005782C">
          <w:rPr>
            <w:rStyle w:val="Hyperlink"/>
          </w:rPr>
          <w:t>4.</w:t>
        </w:r>
        <w:r w:rsidR="00CC2596">
          <w:rPr>
            <w:rFonts w:eastAsiaTheme="minorEastAsia" w:cstheme="minorBidi"/>
            <w:b w:val="0"/>
          </w:rPr>
          <w:tab/>
        </w:r>
        <w:r w:rsidR="00CC2596" w:rsidRPr="0005782C">
          <w:rPr>
            <w:rStyle w:val="Hyperlink"/>
          </w:rPr>
          <w:t>Consumer Panel role #1:  Support the work of Taskforce Committees</w:t>
        </w:r>
        <w:r w:rsidR="00CC2596">
          <w:rPr>
            <w:webHidden/>
          </w:rPr>
          <w:tab/>
        </w:r>
        <w:r w:rsidR="00CC2596">
          <w:rPr>
            <w:webHidden/>
          </w:rPr>
          <w:fldChar w:fldCharType="begin"/>
        </w:r>
        <w:r w:rsidR="00CC2596">
          <w:rPr>
            <w:webHidden/>
          </w:rPr>
          <w:instrText xml:space="preserve"> PAGEREF _Toc33103192 \h </w:instrText>
        </w:r>
        <w:r w:rsidR="00CC2596">
          <w:rPr>
            <w:webHidden/>
          </w:rPr>
        </w:r>
        <w:r w:rsidR="00CC2596">
          <w:rPr>
            <w:webHidden/>
          </w:rPr>
          <w:fldChar w:fldCharType="separate"/>
        </w:r>
        <w:r w:rsidR="003C3652">
          <w:rPr>
            <w:webHidden/>
          </w:rPr>
          <w:t>16</w:t>
        </w:r>
        <w:r w:rsidR="00CC2596">
          <w:rPr>
            <w:webHidden/>
          </w:rPr>
          <w:fldChar w:fldCharType="end"/>
        </w:r>
      </w:hyperlink>
    </w:p>
    <w:p w:rsidR="00CC2596" w:rsidRDefault="00C05F20">
      <w:pPr>
        <w:pStyle w:val="TOC1"/>
        <w:rPr>
          <w:rFonts w:eastAsiaTheme="minorEastAsia" w:cstheme="minorBidi"/>
          <w:b w:val="0"/>
        </w:rPr>
      </w:pPr>
      <w:hyperlink w:anchor="_Toc33103193" w:history="1">
        <w:r w:rsidR="00CC2596" w:rsidRPr="0005782C">
          <w:rPr>
            <w:rStyle w:val="Hyperlink"/>
          </w:rPr>
          <w:t>5.</w:t>
        </w:r>
        <w:r w:rsidR="00CC2596">
          <w:rPr>
            <w:rFonts w:eastAsiaTheme="minorEastAsia" w:cstheme="minorBidi"/>
            <w:b w:val="0"/>
          </w:rPr>
          <w:tab/>
        </w:r>
        <w:r w:rsidR="00CC2596" w:rsidRPr="0005782C">
          <w:rPr>
            <w:rStyle w:val="Hyperlink"/>
          </w:rPr>
          <w:t>Consumer Panel role #2:  Address systemic improvements to the MBS</w:t>
        </w:r>
        <w:r w:rsidR="00CC2596">
          <w:rPr>
            <w:webHidden/>
          </w:rPr>
          <w:tab/>
        </w:r>
        <w:r w:rsidR="00CC2596">
          <w:rPr>
            <w:webHidden/>
          </w:rPr>
          <w:fldChar w:fldCharType="begin"/>
        </w:r>
        <w:r w:rsidR="00CC2596">
          <w:rPr>
            <w:webHidden/>
          </w:rPr>
          <w:instrText xml:space="preserve"> PAGEREF _Toc33103193 \h </w:instrText>
        </w:r>
        <w:r w:rsidR="00CC2596">
          <w:rPr>
            <w:webHidden/>
          </w:rPr>
        </w:r>
        <w:r w:rsidR="00CC2596">
          <w:rPr>
            <w:webHidden/>
          </w:rPr>
          <w:fldChar w:fldCharType="separate"/>
        </w:r>
        <w:r w:rsidR="003C3652">
          <w:rPr>
            <w:webHidden/>
          </w:rPr>
          <w:t>18</w:t>
        </w:r>
        <w:r w:rsidR="00CC2596">
          <w:rPr>
            <w:webHidden/>
          </w:rPr>
          <w:fldChar w:fldCharType="end"/>
        </w:r>
      </w:hyperlink>
    </w:p>
    <w:p w:rsidR="00CC2596" w:rsidRDefault="00C05F20">
      <w:pPr>
        <w:pStyle w:val="TOC1"/>
        <w:rPr>
          <w:rFonts w:eastAsiaTheme="minorEastAsia" w:cstheme="minorBidi"/>
          <w:b w:val="0"/>
        </w:rPr>
      </w:pPr>
      <w:hyperlink w:anchor="_Toc33103194" w:history="1">
        <w:r w:rsidR="00CC2596" w:rsidRPr="0005782C">
          <w:rPr>
            <w:rStyle w:val="Hyperlink"/>
          </w:rPr>
          <w:t>6.</w:t>
        </w:r>
        <w:r w:rsidR="00CC2596">
          <w:rPr>
            <w:rFonts w:eastAsiaTheme="minorEastAsia" w:cstheme="minorBidi"/>
            <w:b w:val="0"/>
          </w:rPr>
          <w:tab/>
        </w:r>
        <w:r w:rsidR="00CC2596" w:rsidRPr="0005782C">
          <w:rPr>
            <w:rStyle w:val="Hyperlink"/>
          </w:rPr>
          <w:t>Consumer impact and influence in the review</w:t>
        </w:r>
        <w:r w:rsidR="00CC2596">
          <w:rPr>
            <w:webHidden/>
          </w:rPr>
          <w:tab/>
        </w:r>
        <w:r w:rsidR="00CC2596">
          <w:rPr>
            <w:webHidden/>
          </w:rPr>
          <w:fldChar w:fldCharType="begin"/>
        </w:r>
        <w:r w:rsidR="00CC2596">
          <w:rPr>
            <w:webHidden/>
          </w:rPr>
          <w:instrText xml:space="preserve"> PAGEREF _Toc33103194 \h </w:instrText>
        </w:r>
        <w:r w:rsidR="00CC2596">
          <w:rPr>
            <w:webHidden/>
          </w:rPr>
        </w:r>
        <w:r w:rsidR="00CC2596">
          <w:rPr>
            <w:webHidden/>
          </w:rPr>
          <w:fldChar w:fldCharType="separate"/>
        </w:r>
        <w:r w:rsidR="003C3652">
          <w:rPr>
            <w:webHidden/>
          </w:rPr>
          <w:t>19</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195" w:history="1">
        <w:r w:rsidR="00CC2596" w:rsidRPr="0005782C">
          <w:rPr>
            <w:rStyle w:val="Hyperlink"/>
          </w:rPr>
          <w:t>Chairperson survey feedback</w:t>
        </w:r>
        <w:r w:rsidR="00CC2596">
          <w:rPr>
            <w:webHidden/>
          </w:rPr>
          <w:tab/>
        </w:r>
        <w:r w:rsidR="00CC2596">
          <w:rPr>
            <w:webHidden/>
          </w:rPr>
          <w:fldChar w:fldCharType="begin"/>
        </w:r>
        <w:r w:rsidR="00CC2596">
          <w:rPr>
            <w:webHidden/>
          </w:rPr>
          <w:instrText xml:space="preserve"> PAGEREF _Toc33103195 \h </w:instrText>
        </w:r>
        <w:r w:rsidR="00CC2596">
          <w:rPr>
            <w:webHidden/>
          </w:rPr>
        </w:r>
        <w:r w:rsidR="00CC2596">
          <w:rPr>
            <w:webHidden/>
          </w:rPr>
          <w:fldChar w:fldCharType="separate"/>
        </w:r>
        <w:r w:rsidR="003C3652">
          <w:rPr>
            <w:webHidden/>
          </w:rPr>
          <w:t>19</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196" w:history="1">
        <w:r w:rsidR="00CC2596" w:rsidRPr="0005782C">
          <w:rPr>
            <w:rStyle w:val="Hyperlink"/>
          </w:rPr>
          <w:t>Consumer survey feedback</w:t>
        </w:r>
        <w:r w:rsidR="00CC2596">
          <w:rPr>
            <w:webHidden/>
          </w:rPr>
          <w:tab/>
        </w:r>
        <w:r w:rsidR="00CC2596">
          <w:rPr>
            <w:webHidden/>
          </w:rPr>
          <w:fldChar w:fldCharType="begin"/>
        </w:r>
        <w:r w:rsidR="00CC2596">
          <w:rPr>
            <w:webHidden/>
          </w:rPr>
          <w:instrText xml:space="preserve"> PAGEREF _Toc33103196 \h </w:instrText>
        </w:r>
        <w:r w:rsidR="00CC2596">
          <w:rPr>
            <w:webHidden/>
          </w:rPr>
        </w:r>
        <w:r w:rsidR="00CC2596">
          <w:rPr>
            <w:webHidden/>
          </w:rPr>
          <w:fldChar w:fldCharType="separate"/>
        </w:r>
        <w:r w:rsidR="003C3652">
          <w:rPr>
            <w:webHidden/>
          </w:rPr>
          <w:t>24</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197" w:history="1">
        <w:r w:rsidR="00CC2596" w:rsidRPr="0005782C">
          <w:rPr>
            <w:rStyle w:val="Hyperlink"/>
          </w:rPr>
          <w:t>Consumer suggestions re future engagement of consumers on Committees:</w:t>
        </w:r>
        <w:r w:rsidR="00CC2596">
          <w:rPr>
            <w:webHidden/>
          </w:rPr>
          <w:tab/>
        </w:r>
        <w:r w:rsidR="00CC2596">
          <w:rPr>
            <w:webHidden/>
          </w:rPr>
          <w:fldChar w:fldCharType="begin"/>
        </w:r>
        <w:r w:rsidR="00CC2596">
          <w:rPr>
            <w:webHidden/>
          </w:rPr>
          <w:instrText xml:space="preserve"> PAGEREF _Toc33103197 \h </w:instrText>
        </w:r>
        <w:r w:rsidR="00CC2596">
          <w:rPr>
            <w:webHidden/>
          </w:rPr>
        </w:r>
        <w:r w:rsidR="00CC2596">
          <w:rPr>
            <w:webHidden/>
          </w:rPr>
          <w:fldChar w:fldCharType="separate"/>
        </w:r>
        <w:r w:rsidR="003C3652">
          <w:rPr>
            <w:webHidden/>
          </w:rPr>
          <w:t>27</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198" w:history="1">
        <w:r w:rsidR="00CC2596" w:rsidRPr="0005782C">
          <w:rPr>
            <w:rStyle w:val="Hyperlink"/>
          </w:rPr>
          <w:t>Consumer perception of impact</w:t>
        </w:r>
        <w:r w:rsidR="00CC2596">
          <w:rPr>
            <w:webHidden/>
          </w:rPr>
          <w:tab/>
        </w:r>
        <w:r w:rsidR="00CC2596">
          <w:rPr>
            <w:webHidden/>
          </w:rPr>
          <w:fldChar w:fldCharType="begin"/>
        </w:r>
        <w:r w:rsidR="00CC2596">
          <w:rPr>
            <w:webHidden/>
          </w:rPr>
          <w:instrText xml:space="preserve"> PAGEREF _Toc33103198 \h </w:instrText>
        </w:r>
        <w:r w:rsidR="00CC2596">
          <w:rPr>
            <w:webHidden/>
          </w:rPr>
        </w:r>
        <w:r w:rsidR="00CC2596">
          <w:rPr>
            <w:webHidden/>
          </w:rPr>
          <w:fldChar w:fldCharType="separate"/>
        </w:r>
        <w:r w:rsidR="003C3652">
          <w:rPr>
            <w:webHidden/>
          </w:rPr>
          <w:t>28</w:t>
        </w:r>
        <w:r w:rsidR="00CC2596">
          <w:rPr>
            <w:webHidden/>
          </w:rPr>
          <w:fldChar w:fldCharType="end"/>
        </w:r>
      </w:hyperlink>
    </w:p>
    <w:p w:rsidR="00CC2596" w:rsidRDefault="00C05F20">
      <w:pPr>
        <w:pStyle w:val="TOC1"/>
        <w:rPr>
          <w:rFonts w:eastAsiaTheme="minorEastAsia" w:cstheme="minorBidi"/>
          <w:b w:val="0"/>
        </w:rPr>
      </w:pPr>
      <w:hyperlink w:anchor="_Toc33103199" w:history="1">
        <w:r w:rsidR="00CC2596" w:rsidRPr="0005782C">
          <w:rPr>
            <w:rStyle w:val="Hyperlink"/>
          </w:rPr>
          <w:t>7.</w:t>
        </w:r>
        <w:r w:rsidR="00CC2596">
          <w:rPr>
            <w:rFonts w:eastAsiaTheme="minorEastAsia" w:cstheme="minorBidi"/>
            <w:b w:val="0"/>
          </w:rPr>
          <w:tab/>
        </w:r>
        <w:r w:rsidR="00CC2596" w:rsidRPr="0005782C">
          <w:rPr>
            <w:rStyle w:val="Hyperlink"/>
          </w:rPr>
          <w:t>Recommendations</w:t>
        </w:r>
        <w:r w:rsidR="00CC2596">
          <w:rPr>
            <w:webHidden/>
          </w:rPr>
          <w:tab/>
        </w:r>
        <w:r w:rsidR="00CC2596">
          <w:rPr>
            <w:webHidden/>
          </w:rPr>
          <w:fldChar w:fldCharType="begin"/>
        </w:r>
        <w:r w:rsidR="00CC2596">
          <w:rPr>
            <w:webHidden/>
          </w:rPr>
          <w:instrText xml:space="preserve"> PAGEREF _Toc33103199 \h </w:instrText>
        </w:r>
        <w:r w:rsidR="00CC2596">
          <w:rPr>
            <w:webHidden/>
          </w:rPr>
        </w:r>
        <w:r w:rsidR="00CC2596">
          <w:rPr>
            <w:webHidden/>
          </w:rPr>
          <w:fldChar w:fldCharType="separate"/>
        </w:r>
        <w:r w:rsidR="003C3652">
          <w:rPr>
            <w:webHidden/>
          </w:rPr>
          <w:t>30</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200" w:history="1">
        <w:r w:rsidR="00CC2596" w:rsidRPr="0005782C">
          <w:rPr>
            <w:rStyle w:val="Hyperlink"/>
          </w:rPr>
          <w:t>RECOMMENDATION 1: PRINCIPLES</w:t>
        </w:r>
        <w:r w:rsidR="00CC2596">
          <w:rPr>
            <w:webHidden/>
          </w:rPr>
          <w:tab/>
        </w:r>
        <w:r w:rsidR="00CC2596">
          <w:rPr>
            <w:webHidden/>
          </w:rPr>
          <w:fldChar w:fldCharType="begin"/>
        </w:r>
        <w:r w:rsidR="00CC2596">
          <w:rPr>
            <w:webHidden/>
          </w:rPr>
          <w:instrText xml:space="preserve"> PAGEREF _Toc33103200 \h </w:instrText>
        </w:r>
        <w:r w:rsidR="00CC2596">
          <w:rPr>
            <w:webHidden/>
          </w:rPr>
        </w:r>
        <w:r w:rsidR="00CC2596">
          <w:rPr>
            <w:webHidden/>
          </w:rPr>
          <w:fldChar w:fldCharType="separate"/>
        </w:r>
        <w:r w:rsidR="003C3652">
          <w:rPr>
            <w:webHidden/>
          </w:rPr>
          <w:t>30</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201" w:history="1">
        <w:r w:rsidR="00CC2596" w:rsidRPr="0005782C">
          <w:rPr>
            <w:rStyle w:val="Hyperlink"/>
          </w:rPr>
          <w:t>RECOMMENDATION 2: PRACTICE</w:t>
        </w:r>
        <w:r w:rsidR="00CC2596">
          <w:rPr>
            <w:webHidden/>
          </w:rPr>
          <w:tab/>
        </w:r>
        <w:r w:rsidR="00CC2596">
          <w:rPr>
            <w:webHidden/>
          </w:rPr>
          <w:fldChar w:fldCharType="begin"/>
        </w:r>
        <w:r w:rsidR="00CC2596">
          <w:rPr>
            <w:webHidden/>
          </w:rPr>
          <w:instrText xml:space="preserve"> PAGEREF _Toc33103201 \h </w:instrText>
        </w:r>
        <w:r w:rsidR="00CC2596">
          <w:rPr>
            <w:webHidden/>
          </w:rPr>
        </w:r>
        <w:r w:rsidR="00CC2596">
          <w:rPr>
            <w:webHidden/>
          </w:rPr>
          <w:fldChar w:fldCharType="separate"/>
        </w:r>
        <w:r w:rsidR="003C3652">
          <w:rPr>
            <w:webHidden/>
          </w:rPr>
          <w:t>32</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202" w:history="1">
        <w:r w:rsidR="00CC2596" w:rsidRPr="0005782C">
          <w:rPr>
            <w:rStyle w:val="Hyperlink"/>
          </w:rPr>
          <w:t>RECOMMENDATION 3: PRIORITIES</w:t>
        </w:r>
        <w:r w:rsidR="00CC2596">
          <w:rPr>
            <w:webHidden/>
          </w:rPr>
          <w:tab/>
        </w:r>
        <w:r w:rsidR="00CC2596">
          <w:rPr>
            <w:webHidden/>
          </w:rPr>
          <w:fldChar w:fldCharType="begin"/>
        </w:r>
        <w:r w:rsidR="00CC2596">
          <w:rPr>
            <w:webHidden/>
          </w:rPr>
          <w:instrText xml:space="preserve"> PAGEREF _Toc33103202 \h </w:instrText>
        </w:r>
        <w:r w:rsidR="00CC2596">
          <w:rPr>
            <w:webHidden/>
          </w:rPr>
        </w:r>
        <w:r w:rsidR="00CC2596">
          <w:rPr>
            <w:webHidden/>
          </w:rPr>
          <w:fldChar w:fldCharType="separate"/>
        </w:r>
        <w:r w:rsidR="003C3652">
          <w:rPr>
            <w:webHidden/>
          </w:rPr>
          <w:t>33</w:t>
        </w:r>
        <w:r w:rsidR="00CC2596">
          <w:rPr>
            <w:webHidden/>
          </w:rPr>
          <w:fldChar w:fldCharType="end"/>
        </w:r>
      </w:hyperlink>
    </w:p>
    <w:p w:rsidR="00CC2596" w:rsidRDefault="00C05F20">
      <w:pPr>
        <w:pStyle w:val="TOC2"/>
        <w:tabs>
          <w:tab w:val="right" w:leader="dot" w:pos="8302"/>
        </w:tabs>
        <w:rPr>
          <w:rFonts w:eastAsiaTheme="minorEastAsia" w:cstheme="minorBidi"/>
        </w:rPr>
      </w:pPr>
      <w:hyperlink w:anchor="_Toc33103203" w:history="1">
        <w:r w:rsidR="00CC2596" w:rsidRPr="0005782C">
          <w:rPr>
            <w:rStyle w:val="Hyperlink"/>
          </w:rPr>
          <w:t>RECOMMENDATION 4: PARTNERSHIP</w:t>
        </w:r>
        <w:r w:rsidR="00CC2596">
          <w:rPr>
            <w:webHidden/>
          </w:rPr>
          <w:tab/>
        </w:r>
        <w:r w:rsidR="00CC2596">
          <w:rPr>
            <w:webHidden/>
          </w:rPr>
          <w:fldChar w:fldCharType="begin"/>
        </w:r>
        <w:r w:rsidR="00CC2596">
          <w:rPr>
            <w:webHidden/>
          </w:rPr>
          <w:instrText xml:space="preserve"> PAGEREF _Toc33103203 \h </w:instrText>
        </w:r>
        <w:r w:rsidR="00CC2596">
          <w:rPr>
            <w:webHidden/>
          </w:rPr>
        </w:r>
        <w:r w:rsidR="00CC2596">
          <w:rPr>
            <w:webHidden/>
          </w:rPr>
          <w:fldChar w:fldCharType="separate"/>
        </w:r>
        <w:r w:rsidR="003C3652">
          <w:rPr>
            <w:webHidden/>
          </w:rPr>
          <w:t>34</w:t>
        </w:r>
        <w:r w:rsidR="00CC2596">
          <w:rPr>
            <w:webHidden/>
          </w:rPr>
          <w:fldChar w:fldCharType="end"/>
        </w:r>
      </w:hyperlink>
    </w:p>
    <w:p w:rsidR="00CC2596" w:rsidRDefault="00C05F20">
      <w:pPr>
        <w:pStyle w:val="TOC1"/>
        <w:rPr>
          <w:rFonts w:eastAsiaTheme="minorEastAsia" w:cstheme="minorBidi"/>
          <w:b w:val="0"/>
        </w:rPr>
      </w:pPr>
      <w:hyperlink w:anchor="_Toc33103204" w:history="1">
        <w:r w:rsidR="00CC2596" w:rsidRPr="0005782C">
          <w:rPr>
            <w:rStyle w:val="Hyperlink"/>
          </w:rPr>
          <w:t>8.</w:t>
        </w:r>
        <w:r w:rsidR="00CC2596">
          <w:rPr>
            <w:rFonts w:eastAsiaTheme="minorEastAsia" w:cstheme="minorBidi"/>
            <w:b w:val="0"/>
          </w:rPr>
          <w:tab/>
        </w:r>
        <w:r w:rsidR="00CC2596" w:rsidRPr="0005782C">
          <w:rPr>
            <w:rStyle w:val="Hyperlink"/>
          </w:rPr>
          <w:t>Lessons Learnt</w:t>
        </w:r>
        <w:r w:rsidR="00CC2596">
          <w:rPr>
            <w:webHidden/>
          </w:rPr>
          <w:tab/>
        </w:r>
        <w:r w:rsidR="00CC2596">
          <w:rPr>
            <w:webHidden/>
          </w:rPr>
          <w:fldChar w:fldCharType="begin"/>
        </w:r>
        <w:r w:rsidR="00CC2596">
          <w:rPr>
            <w:webHidden/>
          </w:rPr>
          <w:instrText xml:space="preserve"> PAGEREF _Toc33103204 \h </w:instrText>
        </w:r>
        <w:r w:rsidR="00CC2596">
          <w:rPr>
            <w:webHidden/>
          </w:rPr>
        </w:r>
        <w:r w:rsidR="00CC2596">
          <w:rPr>
            <w:webHidden/>
          </w:rPr>
          <w:fldChar w:fldCharType="separate"/>
        </w:r>
        <w:r w:rsidR="003C3652">
          <w:rPr>
            <w:webHidden/>
          </w:rPr>
          <w:t>36</w:t>
        </w:r>
        <w:r w:rsidR="00CC2596">
          <w:rPr>
            <w:webHidden/>
          </w:rPr>
          <w:fldChar w:fldCharType="end"/>
        </w:r>
      </w:hyperlink>
    </w:p>
    <w:p w:rsidR="00C330B7" w:rsidRDefault="00C330B7">
      <w:pPr>
        <w:spacing w:before="0" w:after="0" w:line="240" w:lineRule="auto"/>
        <w:rPr>
          <w:rStyle w:val="Hyperlink"/>
          <w:b/>
          <w:noProof/>
          <w:szCs w:val="22"/>
        </w:rPr>
      </w:pPr>
      <w:r>
        <w:rPr>
          <w:rStyle w:val="Hyperlink"/>
          <w:noProof/>
        </w:rPr>
        <w:br w:type="page"/>
      </w:r>
    </w:p>
    <w:p w:rsidR="00CC2596" w:rsidRDefault="00C05F20">
      <w:pPr>
        <w:pStyle w:val="TOC1"/>
        <w:rPr>
          <w:rFonts w:eastAsiaTheme="minorEastAsia" w:cstheme="minorBidi"/>
          <w:b w:val="0"/>
        </w:rPr>
      </w:pPr>
      <w:hyperlink w:anchor="_Toc33103205" w:history="1">
        <w:r w:rsidR="00CC2596" w:rsidRPr="0005782C">
          <w:rPr>
            <w:rStyle w:val="Hyperlink"/>
          </w:rPr>
          <w:t>9.</w:t>
        </w:r>
        <w:r w:rsidR="00CC2596">
          <w:rPr>
            <w:rFonts w:eastAsiaTheme="minorEastAsia" w:cstheme="minorBidi"/>
            <w:b w:val="0"/>
          </w:rPr>
          <w:tab/>
        </w:r>
        <w:r w:rsidR="00CC2596" w:rsidRPr="0005782C">
          <w:rPr>
            <w:rStyle w:val="Hyperlink"/>
          </w:rPr>
          <w:t>Summary</w:t>
        </w:r>
        <w:r w:rsidR="00CC2596">
          <w:rPr>
            <w:webHidden/>
          </w:rPr>
          <w:tab/>
        </w:r>
        <w:r w:rsidR="00C330B7" w:rsidRPr="00C330B7">
          <w:rPr>
            <w:webHidden/>
          </w:rPr>
          <w:tab/>
        </w:r>
        <w:r w:rsidR="00CC2596">
          <w:rPr>
            <w:webHidden/>
          </w:rPr>
          <w:fldChar w:fldCharType="begin"/>
        </w:r>
        <w:r w:rsidR="00CC2596">
          <w:rPr>
            <w:webHidden/>
          </w:rPr>
          <w:instrText xml:space="preserve"> PAGEREF _Toc33103205 \h </w:instrText>
        </w:r>
        <w:r w:rsidR="00CC2596">
          <w:rPr>
            <w:webHidden/>
          </w:rPr>
        </w:r>
        <w:r w:rsidR="00CC2596">
          <w:rPr>
            <w:webHidden/>
          </w:rPr>
          <w:fldChar w:fldCharType="separate"/>
        </w:r>
        <w:r w:rsidR="003C3652">
          <w:rPr>
            <w:webHidden/>
          </w:rPr>
          <w:t>37</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206" w:history="1">
        <w:r w:rsidR="00CC2596" w:rsidRPr="0005782C">
          <w:rPr>
            <w:rStyle w:val="Hyperlink"/>
          </w:rPr>
          <w:t>9.1</w:t>
        </w:r>
        <w:r w:rsidR="00CC2596">
          <w:rPr>
            <w:rFonts w:eastAsiaTheme="minorEastAsia" w:cstheme="minorBidi"/>
          </w:rPr>
          <w:tab/>
        </w:r>
        <w:r w:rsidR="00CC2596" w:rsidRPr="0005782C">
          <w:rPr>
            <w:rStyle w:val="Hyperlink"/>
          </w:rPr>
          <w:t>Future directions/opportunity/obligation</w:t>
        </w:r>
        <w:r w:rsidR="00CC2596">
          <w:rPr>
            <w:webHidden/>
          </w:rPr>
          <w:tab/>
        </w:r>
        <w:r w:rsidR="00CC2596">
          <w:rPr>
            <w:webHidden/>
          </w:rPr>
          <w:fldChar w:fldCharType="begin"/>
        </w:r>
        <w:r w:rsidR="00CC2596">
          <w:rPr>
            <w:webHidden/>
          </w:rPr>
          <w:instrText xml:space="preserve"> PAGEREF _Toc33103206 \h </w:instrText>
        </w:r>
        <w:r w:rsidR="00CC2596">
          <w:rPr>
            <w:webHidden/>
          </w:rPr>
        </w:r>
        <w:r w:rsidR="00CC2596">
          <w:rPr>
            <w:webHidden/>
          </w:rPr>
          <w:fldChar w:fldCharType="separate"/>
        </w:r>
        <w:r w:rsidR="003C3652">
          <w:rPr>
            <w:webHidden/>
          </w:rPr>
          <w:t>37</w:t>
        </w:r>
        <w:r w:rsidR="00CC2596">
          <w:rPr>
            <w:webHidden/>
          </w:rPr>
          <w:fldChar w:fldCharType="end"/>
        </w:r>
      </w:hyperlink>
    </w:p>
    <w:p w:rsidR="00CC2596" w:rsidRDefault="00C05F20">
      <w:pPr>
        <w:pStyle w:val="TOC2"/>
        <w:tabs>
          <w:tab w:val="left" w:pos="1474"/>
          <w:tab w:val="right" w:leader="dot" w:pos="8302"/>
        </w:tabs>
        <w:rPr>
          <w:rFonts w:eastAsiaTheme="minorEastAsia" w:cstheme="minorBidi"/>
        </w:rPr>
      </w:pPr>
      <w:hyperlink w:anchor="_Toc33103207" w:history="1">
        <w:r w:rsidR="00CC2596" w:rsidRPr="0005782C">
          <w:rPr>
            <w:rStyle w:val="Hyperlink"/>
          </w:rPr>
          <w:t>9.2</w:t>
        </w:r>
        <w:r w:rsidR="00CC2596">
          <w:rPr>
            <w:rFonts w:eastAsiaTheme="minorEastAsia" w:cstheme="minorBidi"/>
          </w:rPr>
          <w:tab/>
        </w:r>
        <w:r w:rsidR="00CC2596" w:rsidRPr="0005782C">
          <w:rPr>
            <w:rStyle w:val="Hyperlink"/>
          </w:rPr>
          <w:t>Lessons Learnt</w:t>
        </w:r>
        <w:r w:rsidR="00CC2596">
          <w:rPr>
            <w:webHidden/>
          </w:rPr>
          <w:tab/>
        </w:r>
        <w:r w:rsidR="00CC2596">
          <w:rPr>
            <w:webHidden/>
          </w:rPr>
          <w:fldChar w:fldCharType="begin"/>
        </w:r>
        <w:r w:rsidR="00CC2596">
          <w:rPr>
            <w:webHidden/>
          </w:rPr>
          <w:instrText xml:space="preserve"> PAGEREF _Toc33103207 \h </w:instrText>
        </w:r>
        <w:r w:rsidR="00CC2596">
          <w:rPr>
            <w:webHidden/>
          </w:rPr>
        </w:r>
        <w:r w:rsidR="00CC2596">
          <w:rPr>
            <w:webHidden/>
          </w:rPr>
          <w:fldChar w:fldCharType="separate"/>
        </w:r>
        <w:r w:rsidR="003C3652">
          <w:rPr>
            <w:webHidden/>
          </w:rPr>
          <w:t>37</w:t>
        </w:r>
        <w:r w:rsidR="00CC2596">
          <w:rPr>
            <w:webHidden/>
          </w:rPr>
          <w:fldChar w:fldCharType="end"/>
        </w:r>
      </w:hyperlink>
    </w:p>
    <w:p w:rsidR="00CC2596" w:rsidRDefault="00C05F20">
      <w:pPr>
        <w:pStyle w:val="TOC1"/>
        <w:rPr>
          <w:rFonts w:eastAsiaTheme="minorEastAsia" w:cstheme="minorBidi"/>
          <w:b w:val="0"/>
        </w:rPr>
      </w:pPr>
      <w:hyperlink w:anchor="_Toc33103208" w:history="1">
        <w:r w:rsidR="00CC2596" w:rsidRPr="0005782C">
          <w:rPr>
            <w:rStyle w:val="Hyperlink"/>
          </w:rPr>
          <w:t>10.</w:t>
        </w:r>
        <w:r w:rsidR="00CC2596">
          <w:rPr>
            <w:rFonts w:eastAsiaTheme="minorEastAsia" w:cstheme="minorBidi"/>
            <w:b w:val="0"/>
          </w:rPr>
          <w:tab/>
        </w:r>
        <w:r w:rsidR="00CC2596" w:rsidRPr="0005782C">
          <w:rPr>
            <w:rStyle w:val="Hyperlink"/>
          </w:rPr>
          <w:t>Glossary of consumer-related terminology</w:t>
        </w:r>
        <w:r w:rsidR="00CC2596">
          <w:rPr>
            <w:webHidden/>
          </w:rPr>
          <w:tab/>
        </w:r>
        <w:r w:rsidR="00CC2596">
          <w:rPr>
            <w:webHidden/>
          </w:rPr>
          <w:fldChar w:fldCharType="begin"/>
        </w:r>
        <w:r w:rsidR="00CC2596">
          <w:rPr>
            <w:webHidden/>
          </w:rPr>
          <w:instrText xml:space="preserve"> PAGEREF _Toc33103208 \h </w:instrText>
        </w:r>
        <w:r w:rsidR="00CC2596">
          <w:rPr>
            <w:webHidden/>
          </w:rPr>
        </w:r>
        <w:r w:rsidR="00CC2596">
          <w:rPr>
            <w:webHidden/>
          </w:rPr>
          <w:fldChar w:fldCharType="separate"/>
        </w:r>
        <w:r w:rsidR="003C3652">
          <w:rPr>
            <w:webHidden/>
          </w:rPr>
          <w:t>38</w:t>
        </w:r>
        <w:r w:rsidR="00CC2596">
          <w:rPr>
            <w:webHidden/>
          </w:rPr>
          <w:fldChar w:fldCharType="end"/>
        </w:r>
      </w:hyperlink>
    </w:p>
    <w:p w:rsidR="00CC2596" w:rsidRDefault="00C05F20">
      <w:pPr>
        <w:pStyle w:val="TOC1"/>
        <w:rPr>
          <w:rFonts w:eastAsiaTheme="minorEastAsia" w:cstheme="minorBidi"/>
          <w:b w:val="0"/>
        </w:rPr>
      </w:pPr>
      <w:hyperlink w:anchor="_Toc33103209" w:history="1">
        <w:r w:rsidR="00CC2596" w:rsidRPr="0005782C">
          <w:rPr>
            <w:rStyle w:val="Hyperlink"/>
          </w:rPr>
          <w:t>11.</w:t>
        </w:r>
        <w:r w:rsidR="00CC2596">
          <w:rPr>
            <w:rFonts w:eastAsiaTheme="minorEastAsia" w:cstheme="minorBidi"/>
            <w:b w:val="0"/>
          </w:rPr>
          <w:tab/>
        </w:r>
        <w:r w:rsidR="00CC2596" w:rsidRPr="0005782C">
          <w:rPr>
            <w:rStyle w:val="Hyperlink"/>
          </w:rPr>
          <w:t>Appendices</w:t>
        </w:r>
        <w:r w:rsidR="00CC2596">
          <w:rPr>
            <w:webHidden/>
          </w:rPr>
          <w:tab/>
        </w:r>
        <w:r w:rsidR="00CC2596">
          <w:rPr>
            <w:webHidden/>
          </w:rPr>
          <w:fldChar w:fldCharType="begin"/>
        </w:r>
        <w:r w:rsidR="00CC2596">
          <w:rPr>
            <w:webHidden/>
          </w:rPr>
          <w:instrText xml:space="preserve"> PAGEREF _Toc33103209 \h </w:instrText>
        </w:r>
        <w:r w:rsidR="00CC2596">
          <w:rPr>
            <w:webHidden/>
          </w:rPr>
        </w:r>
        <w:r w:rsidR="00CC2596">
          <w:rPr>
            <w:webHidden/>
          </w:rPr>
          <w:fldChar w:fldCharType="separate"/>
        </w:r>
        <w:r w:rsidR="003C3652">
          <w:rPr>
            <w:webHidden/>
          </w:rPr>
          <w:t>42</w:t>
        </w:r>
        <w:r w:rsidR="00CC2596">
          <w:rPr>
            <w:webHidden/>
          </w:rPr>
          <w:fldChar w:fldCharType="end"/>
        </w:r>
      </w:hyperlink>
    </w:p>
    <w:p w:rsidR="00CC2596" w:rsidRDefault="00C05F20">
      <w:pPr>
        <w:pStyle w:val="TOC1"/>
        <w:rPr>
          <w:rFonts w:eastAsiaTheme="minorEastAsia" w:cstheme="minorBidi"/>
          <w:b w:val="0"/>
        </w:rPr>
      </w:pPr>
      <w:hyperlink w:anchor="_Toc33103210" w:history="1">
        <w:r w:rsidR="00CC2596" w:rsidRPr="0005782C">
          <w:rPr>
            <w:rStyle w:val="Hyperlink"/>
          </w:rPr>
          <w:t>12.</w:t>
        </w:r>
        <w:r w:rsidR="00CC2596">
          <w:rPr>
            <w:rFonts w:eastAsiaTheme="minorEastAsia" w:cstheme="minorBidi"/>
            <w:b w:val="0"/>
          </w:rPr>
          <w:tab/>
        </w:r>
        <w:r w:rsidR="00CC2596" w:rsidRPr="0005782C">
          <w:rPr>
            <w:rStyle w:val="Hyperlink"/>
          </w:rPr>
          <w:t>References</w:t>
        </w:r>
        <w:r w:rsidR="00CC2596">
          <w:rPr>
            <w:webHidden/>
          </w:rPr>
          <w:tab/>
        </w:r>
        <w:r w:rsidR="00CC2596">
          <w:rPr>
            <w:webHidden/>
          </w:rPr>
          <w:fldChar w:fldCharType="begin"/>
        </w:r>
        <w:r w:rsidR="00CC2596">
          <w:rPr>
            <w:webHidden/>
          </w:rPr>
          <w:instrText xml:space="preserve"> PAGEREF _Toc33103210 \h </w:instrText>
        </w:r>
        <w:r w:rsidR="00CC2596">
          <w:rPr>
            <w:webHidden/>
          </w:rPr>
        </w:r>
        <w:r w:rsidR="00CC2596">
          <w:rPr>
            <w:webHidden/>
          </w:rPr>
          <w:fldChar w:fldCharType="separate"/>
        </w:r>
        <w:r w:rsidR="003C3652">
          <w:rPr>
            <w:webHidden/>
          </w:rPr>
          <w:t>43</w:t>
        </w:r>
        <w:r w:rsidR="00CC2596">
          <w:rPr>
            <w:webHidden/>
          </w:rPr>
          <w:fldChar w:fldCharType="end"/>
        </w:r>
      </w:hyperlink>
    </w:p>
    <w:p w:rsidR="00CC2596" w:rsidRDefault="00C05F20">
      <w:pPr>
        <w:pStyle w:val="TOC1"/>
        <w:rPr>
          <w:rFonts w:eastAsiaTheme="minorEastAsia" w:cstheme="minorBidi"/>
          <w:b w:val="0"/>
        </w:rPr>
      </w:pPr>
      <w:hyperlink w:anchor="_Toc33103211" w:history="1">
        <w:r w:rsidR="00CC2596" w:rsidRPr="0005782C">
          <w:rPr>
            <w:rStyle w:val="Hyperlink"/>
            <w14:scene3d>
              <w14:camera w14:prst="orthographicFront"/>
              <w14:lightRig w14:rig="threePt" w14:dir="t">
                <w14:rot w14:lat="0" w14:lon="0" w14:rev="0"/>
              </w14:lightRig>
            </w14:scene3d>
          </w:rPr>
          <w:t>Appendix A</w:t>
        </w:r>
        <w:r w:rsidR="00CC2596">
          <w:rPr>
            <w:rFonts w:eastAsiaTheme="minorEastAsia" w:cstheme="minorBidi"/>
            <w:b w:val="0"/>
          </w:rPr>
          <w:tab/>
        </w:r>
        <w:r w:rsidR="00CC2596" w:rsidRPr="0005782C">
          <w:rPr>
            <w:rStyle w:val="Hyperlink"/>
          </w:rPr>
          <w:t>Terms of Reference of the Consumer Panel for the MBS Review Taskforce</w:t>
        </w:r>
        <w:r w:rsidR="00CC2596">
          <w:rPr>
            <w:webHidden/>
          </w:rPr>
          <w:tab/>
        </w:r>
        <w:r w:rsidR="00CC2596">
          <w:rPr>
            <w:webHidden/>
          </w:rPr>
          <w:fldChar w:fldCharType="begin"/>
        </w:r>
        <w:r w:rsidR="00CC2596">
          <w:rPr>
            <w:webHidden/>
          </w:rPr>
          <w:instrText xml:space="preserve"> PAGEREF _Toc33103211 \h </w:instrText>
        </w:r>
        <w:r w:rsidR="00CC2596">
          <w:rPr>
            <w:webHidden/>
          </w:rPr>
        </w:r>
        <w:r w:rsidR="00CC2596">
          <w:rPr>
            <w:webHidden/>
          </w:rPr>
          <w:fldChar w:fldCharType="separate"/>
        </w:r>
        <w:r w:rsidR="003C3652">
          <w:rPr>
            <w:webHidden/>
          </w:rPr>
          <w:t>45</w:t>
        </w:r>
        <w:r w:rsidR="00CC2596">
          <w:rPr>
            <w:webHidden/>
          </w:rPr>
          <w:fldChar w:fldCharType="end"/>
        </w:r>
      </w:hyperlink>
    </w:p>
    <w:p w:rsidR="00CC2596" w:rsidRDefault="00C05F20">
      <w:pPr>
        <w:pStyle w:val="TOC1"/>
        <w:rPr>
          <w:rFonts w:eastAsiaTheme="minorEastAsia" w:cstheme="minorBidi"/>
          <w:b w:val="0"/>
        </w:rPr>
      </w:pPr>
      <w:hyperlink w:anchor="_Toc33103212" w:history="1">
        <w:r w:rsidR="00CC2596" w:rsidRPr="0005782C">
          <w:rPr>
            <w:rStyle w:val="Hyperlink"/>
            <w14:scene3d>
              <w14:camera w14:prst="orthographicFront"/>
              <w14:lightRig w14:rig="threePt" w14:dir="t">
                <w14:rot w14:lat="0" w14:lon="0" w14:rev="0"/>
              </w14:lightRig>
            </w14:scene3d>
          </w:rPr>
          <w:t>Appendix B</w:t>
        </w:r>
        <w:r w:rsidR="00CC2596">
          <w:rPr>
            <w:rFonts w:eastAsiaTheme="minorEastAsia" w:cstheme="minorBidi"/>
            <w:b w:val="0"/>
          </w:rPr>
          <w:tab/>
        </w:r>
        <w:r w:rsidR="00CC2596" w:rsidRPr="0005782C">
          <w:rPr>
            <w:rStyle w:val="Hyperlink"/>
          </w:rPr>
          <w:t>Consumer Engagement Resource</w:t>
        </w:r>
        <w:r w:rsidR="00CC2596">
          <w:rPr>
            <w:webHidden/>
          </w:rPr>
          <w:tab/>
        </w:r>
        <w:r w:rsidR="00CC2596">
          <w:rPr>
            <w:webHidden/>
          </w:rPr>
          <w:fldChar w:fldCharType="begin"/>
        </w:r>
        <w:r w:rsidR="00CC2596">
          <w:rPr>
            <w:webHidden/>
          </w:rPr>
          <w:instrText xml:space="preserve"> PAGEREF _Toc33103212 \h </w:instrText>
        </w:r>
        <w:r w:rsidR="00CC2596">
          <w:rPr>
            <w:webHidden/>
          </w:rPr>
        </w:r>
        <w:r w:rsidR="00CC2596">
          <w:rPr>
            <w:webHidden/>
          </w:rPr>
          <w:fldChar w:fldCharType="separate"/>
        </w:r>
        <w:r w:rsidR="003C3652">
          <w:rPr>
            <w:webHidden/>
          </w:rPr>
          <w:t>48</w:t>
        </w:r>
        <w:r w:rsidR="00CC2596">
          <w:rPr>
            <w:webHidden/>
          </w:rPr>
          <w:fldChar w:fldCharType="end"/>
        </w:r>
      </w:hyperlink>
    </w:p>
    <w:p w:rsidR="00CC2596" w:rsidRDefault="00C05F20">
      <w:pPr>
        <w:pStyle w:val="TOC1"/>
        <w:rPr>
          <w:rFonts w:eastAsiaTheme="minorEastAsia" w:cstheme="minorBidi"/>
          <w:b w:val="0"/>
        </w:rPr>
      </w:pPr>
      <w:hyperlink w:anchor="_Toc33103213" w:history="1">
        <w:r w:rsidR="00CC2596" w:rsidRPr="0005782C">
          <w:rPr>
            <w:rStyle w:val="Hyperlink"/>
            <w14:scene3d>
              <w14:camera w14:prst="orthographicFront"/>
              <w14:lightRig w14:rig="threePt" w14:dir="t">
                <w14:rot w14:lat="0" w14:lon="0" w14:rev="0"/>
              </w14:lightRig>
            </w14:scene3d>
          </w:rPr>
          <w:t>Appendix C</w:t>
        </w:r>
        <w:r w:rsidR="00CC2596">
          <w:rPr>
            <w:rFonts w:eastAsiaTheme="minorEastAsia" w:cstheme="minorBidi"/>
            <w:b w:val="0"/>
          </w:rPr>
          <w:tab/>
        </w:r>
        <w:r w:rsidR="00CC2596" w:rsidRPr="0005782C">
          <w:rPr>
            <w:rStyle w:val="Hyperlink"/>
          </w:rPr>
          <w:t>Consumer Engagement in the MBS Review Frequently Asked Questions</w:t>
        </w:r>
        <w:r w:rsidR="00CC2596">
          <w:rPr>
            <w:webHidden/>
          </w:rPr>
          <w:tab/>
        </w:r>
        <w:r w:rsidR="00CC2596">
          <w:rPr>
            <w:webHidden/>
          </w:rPr>
          <w:fldChar w:fldCharType="begin"/>
        </w:r>
        <w:r w:rsidR="00CC2596">
          <w:rPr>
            <w:webHidden/>
          </w:rPr>
          <w:instrText xml:space="preserve"> PAGEREF _Toc33103213 \h </w:instrText>
        </w:r>
        <w:r w:rsidR="00CC2596">
          <w:rPr>
            <w:webHidden/>
          </w:rPr>
        </w:r>
        <w:r w:rsidR="00CC2596">
          <w:rPr>
            <w:webHidden/>
          </w:rPr>
          <w:fldChar w:fldCharType="separate"/>
        </w:r>
        <w:r w:rsidR="003C3652">
          <w:rPr>
            <w:webHidden/>
          </w:rPr>
          <w:t>49</w:t>
        </w:r>
        <w:r w:rsidR="00CC2596">
          <w:rPr>
            <w:webHidden/>
          </w:rPr>
          <w:fldChar w:fldCharType="end"/>
        </w:r>
      </w:hyperlink>
    </w:p>
    <w:p w:rsidR="00CC2596" w:rsidRDefault="00C05F20">
      <w:pPr>
        <w:pStyle w:val="TOC1"/>
        <w:rPr>
          <w:rFonts w:eastAsiaTheme="minorEastAsia" w:cstheme="minorBidi"/>
          <w:b w:val="0"/>
        </w:rPr>
      </w:pPr>
      <w:hyperlink w:anchor="_Toc33103214" w:history="1">
        <w:r w:rsidR="00CC2596" w:rsidRPr="0005782C">
          <w:rPr>
            <w:rStyle w:val="Hyperlink"/>
            <w14:scene3d>
              <w14:camera w14:prst="orthographicFront"/>
              <w14:lightRig w14:rig="threePt" w14:dir="t">
                <w14:rot w14:lat="0" w14:lon="0" w14:rev="0"/>
              </w14:lightRig>
            </w14:scene3d>
          </w:rPr>
          <w:t>Appendix D</w:t>
        </w:r>
        <w:r w:rsidR="00CC2596">
          <w:rPr>
            <w:rFonts w:eastAsiaTheme="minorEastAsia" w:cstheme="minorBidi"/>
            <w:b w:val="0"/>
          </w:rPr>
          <w:tab/>
        </w:r>
        <w:r w:rsidR="00CC2596" w:rsidRPr="0005782C">
          <w:rPr>
            <w:rStyle w:val="Hyperlink"/>
          </w:rPr>
          <w:t>Guidance for Committee Chairpersons to support effective engagement of consumer members</w:t>
        </w:r>
        <w:r w:rsidR="00CC2596">
          <w:rPr>
            <w:webHidden/>
          </w:rPr>
          <w:tab/>
        </w:r>
        <w:r w:rsidR="00CC2596">
          <w:rPr>
            <w:webHidden/>
          </w:rPr>
          <w:fldChar w:fldCharType="begin"/>
        </w:r>
        <w:r w:rsidR="00CC2596">
          <w:rPr>
            <w:webHidden/>
          </w:rPr>
          <w:instrText xml:space="preserve"> PAGEREF _Toc33103214 \h </w:instrText>
        </w:r>
        <w:r w:rsidR="00CC2596">
          <w:rPr>
            <w:webHidden/>
          </w:rPr>
        </w:r>
        <w:r w:rsidR="00CC2596">
          <w:rPr>
            <w:webHidden/>
          </w:rPr>
          <w:fldChar w:fldCharType="separate"/>
        </w:r>
        <w:r w:rsidR="003C3652">
          <w:rPr>
            <w:webHidden/>
          </w:rPr>
          <w:t>52</w:t>
        </w:r>
        <w:r w:rsidR="00CC2596">
          <w:rPr>
            <w:webHidden/>
          </w:rPr>
          <w:fldChar w:fldCharType="end"/>
        </w:r>
      </w:hyperlink>
    </w:p>
    <w:p w:rsidR="00B20DC9" w:rsidRDefault="00625EB2" w:rsidP="00B20DC9">
      <w:pPr>
        <w:pStyle w:val="TableofFigures"/>
        <w:tabs>
          <w:tab w:val="left" w:pos="440"/>
          <w:tab w:val="right" w:leader="dot" w:pos="8302"/>
        </w:tabs>
        <w:spacing w:after="180" w:line="240" w:lineRule="auto"/>
        <w:ind w:left="0" w:firstLine="0"/>
        <w:rPr>
          <w:color w:val="FF0000"/>
        </w:rPr>
      </w:pPr>
      <w:r w:rsidRPr="00D7653E">
        <w:rPr>
          <w:color w:val="FF0000"/>
          <w:sz w:val="22"/>
          <w:szCs w:val="22"/>
          <w14:scene3d>
            <w14:camera w14:prst="orthographicFront"/>
            <w14:lightRig w14:rig="threePt" w14:dir="t">
              <w14:rot w14:lat="0" w14:lon="0" w14:rev="0"/>
            </w14:lightRig>
          </w14:scene3d>
        </w:rPr>
        <w:fldChar w:fldCharType="end"/>
      </w:r>
    </w:p>
    <w:p w:rsidR="00B94F94" w:rsidRPr="00D7653E" w:rsidRDefault="0011166D" w:rsidP="00175EA4">
      <w:pPr>
        <w:pStyle w:val="TOCHeading"/>
        <w:spacing w:before="240" w:after="120"/>
      </w:pPr>
      <w:r w:rsidRPr="00175EA4">
        <w:t xml:space="preserve">List of </w:t>
      </w:r>
      <w:r w:rsidR="00875B90" w:rsidRPr="00175EA4">
        <w:t>t</w:t>
      </w:r>
      <w:r w:rsidRPr="00175EA4">
        <w:t>ables</w:t>
      </w:r>
    </w:p>
    <w:p w:rsidR="00D7653E" w:rsidRDefault="00240E05" w:rsidP="00B20DC9">
      <w:pPr>
        <w:pStyle w:val="TableofFigures"/>
        <w:tabs>
          <w:tab w:val="right" w:leader="dot" w:pos="8302"/>
        </w:tabs>
        <w:spacing w:after="180" w:line="240" w:lineRule="auto"/>
        <w:ind w:left="142"/>
        <w:rPr>
          <w:rFonts w:eastAsiaTheme="minorEastAsia" w:cstheme="minorBidi"/>
          <w:noProof/>
          <w:sz w:val="22"/>
          <w:szCs w:val="22"/>
        </w:rPr>
      </w:pPr>
      <w:r w:rsidRPr="00D7653E">
        <w:fldChar w:fldCharType="begin"/>
      </w:r>
      <w:r w:rsidR="0011166D" w:rsidRPr="00D7653E">
        <w:instrText xml:space="preserve"> TOC \h \z \c "Table" </w:instrText>
      </w:r>
      <w:r w:rsidRPr="00D7653E">
        <w:fldChar w:fldCharType="separate"/>
      </w:r>
      <w:hyperlink w:anchor="_Toc535308139" w:history="1">
        <w:r w:rsidR="00D7653E" w:rsidRPr="004D7AB1">
          <w:rPr>
            <w:rStyle w:val="Hyperlink"/>
            <w:noProof/>
          </w:rPr>
          <w:t>Table 1: Consumer Panel members</w:t>
        </w:r>
        <w:r w:rsidR="00D7653E">
          <w:rPr>
            <w:noProof/>
            <w:webHidden/>
          </w:rPr>
          <w:tab/>
        </w:r>
        <w:r w:rsidR="00D7653E">
          <w:rPr>
            <w:noProof/>
            <w:webHidden/>
          </w:rPr>
          <w:fldChar w:fldCharType="begin"/>
        </w:r>
        <w:r w:rsidR="00D7653E">
          <w:rPr>
            <w:noProof/>
            <w:webHidden/>
          </w:rPr>
          <w:instrText xml:space="preserve"> PAGEREF _Toc535308139 \h </w:instrText>
        </w:r>
        <w:r w:rsidR="00D7653E">
          <w:rPr>
            <w:noProof/>
            <w:webHidden/>
          </w:rPr>
        </w:r>
        <w:r w:rsidR="00D7653E">
          <w:rPr>
            <w:noProof/>
            <w:webHidden/>
          </w:rPr>
          <w:fldChar w:fldCharType="separate"/>
        </w:r>
        <w:r w:rsidR="003C3652">
          <w:rPr>
            <w:noProof/>
            <w:webHidden/>
          </w:rPr>
          <w:t>14</w:t>
        </w:r>
        <w:r w:rsidR="00D7653E">
          <w:rPr>
            <w:noProof/>
            <w:webHidden/>
          </w:rPr>
          <w:fldChar w:fldCharType="end"/>
        </w:r>
      </w:hyperlink>
    </w:p>
    <w:p w:rsidR="00262127" w:rsidRPr="00BC4978" w:rsidRDefault="00240E05" w:rsidP="00791FE1">
      <w:pPr>
        <w:pStyle w:val="TableofFigures"/>
        <w:tabs>
          <w:tab w:val="left" w:pos="1100"/>
          <w:tab w:val="right" w:leader="dot" w:pos="9016"/>
        </w:tabs>
        <w:spacing w:after="180" w:line="240" w:lineRule="auto"/>
        <w:ind w:left="0" w:firstLine="0"/>
      </w:pPr>
      <w:r w:rsidRPr="00D7653E">
        <w:fldChar w:fldCharType="end"/>
      </w:r>
      <w:r w:rsidR="00262127" w:rsidRPr="00386E44">
        <w:rPr>
          <w:rFonts w:cs="Arial"/>
        </w:rPr>
        <w:br w:type="page"/>
      </w:r>
    </w:p>
    <w:p w:rsidR="00222B98" w:rsidRPr="005C7FB0" w:rsidRDefault="00222B98" w:rsidP="00711063">
      <w:pPr>
        <w:pStyle w:val="Heading1"/>
      </w:pPr>
      <w:bookmarkStart w:id="4" w:name="_Toc485295711"/>
      <w:bookmarkStart w:id="5" w:name="_Toc505843865"/>
      <w:bookmarkStart w:id="6" w:name="_Toc33103174"/>
      <w:bookmarkStart w:id="7" w:name="_Toc485295724"/>
      <w:bookmarkEnd w:id="1"/>
      <w:r w:rsidRPr="005C7FB0">
        <w:lastRenderedPageBreak/>
        <w:t xml:space="preserve">Executive </w:t>
      </w:r>
      <w:r>
        <w:t>s</w:t>
      </w:r>
      <w:r w:rsidRPr="005C7FB0">
        <w:t>ummary</w:t>
      </w:r>
      <w:bookmarkEnd w:id="4"/>
      <w:bookmarkEnd w:id="5"/>
      <w:bookmarkEnd w:id="6"/>
    </w:p>
    <w:p w:rsidR="00B376C7" w:rsidRPr="00175EA4" w:rsidRDefault="002177D5" w:rsidP="00175EA4">
      <w:pPr>
        <w:pStyle w:val="Heading2"/>
        <w:spacing w:after="120"/>
        <w:ind w:left="-414" w:hanging="578"/>
        <w:rPr>
          <w:sz w:val="32"/>
          <w:szCs w:val="32"/>
        </w:rPr>
      </w:pPr>
      <w:bookmarkStart w:id="8" w:name="_Toc33103175"/>
      <w:r w:rsidRPr="00175EA4">
        <w:rPr>
          <w:sz w:val="32"/>
          <w:szCs w:val="32"/>
        </w:rPr>
        <w:t>Medicare Benefits Schedule Review Taskforce</w:t>
      </w:r>
      <w:bookmarkEnd w:id="8"/>
    </w:p>
    <w:p w:rsidR="00222B98" w:rsidRDefault="00222B98" w:rsidP="00791FE1">
      <w:pPr>
        <w:spacing w:before="0" w:after="180" w:line="240" w:lineRule="auto"/>
      </w:pPr>
      <w:r w:rsidRPr="00900FA2">
        <w:t xml:space="preserve">The Medicare Benefits Schedule (MBS) Review Taskforce (the Taskforce) </w:t>
      </w:r>
      <w:r w:rsidR="00B376C7">
        <w:t xml:space="preserve">was established </w:t>
      </w:r>
      <w:r w:rsidR="00A643AA">
        <w:t xml:space="preserve">in 2015 </w:t>
      </w:r>
      <w:r w:rsidR="00B376C7">
        <w:t>to</w:t>
      </w:r>
      <w:r w:rsidRPr="00900FA2">
        <w:t xml:space="preserve"> </w:t>
      </w:r>
      <w:r w:rsidR="00B376C7">
        <w:t>look at</w:t>
      </w:r>
      <w:r w:rsidRPr="00900FA2">
        <w:t xml:space="preserve"> how </w:t>
      </w:r>
      <w:r w:rsidR="00B376C7">
        <w:t xml:space="preserve">the </w:t>
      </w:r>
      <w:r w:rsidRPr="00900FA2">
        <w:t xml:space="preserve">more than 5,700 </w:t>
      </w:r>
      <w:r w:rsidR="005540F1">
        <w:t xml:space="preserve">MBS </w:t>
      </w:r>
      <w:r w:rsidRPr="00900FA2">
        <w:t>items c</w:t>
      </w:r>
      <w:r w:rsidR="00A643AA">
        <w:t>ould</w:t>
      </w:r>
      <w:r w:rsidRPr="00900FA2">
        <w:t xml:space="preserve"> be aligned with contemporary clinical evidence and practice </w:t>
      </w:r>
      <w:r w:rsidR="005540F1">
        <w:t>to</w:t>
      </w:r>
      <w:r w:rsidR="005540F1" w:rsidRPr="00900FA2">
        <w:t xml:space="preserve"> </w:t>
      </w:r>
      <w:r w:rsidRPr="00900FA2">
        <w:t xml:space="preserve">improve health outcomes for patients. </w:t>
      </w:r>
      <w:r w:rsidR="00B376C7">
        <w:t>This included identifying</w:t>
      </w:r>
      <w:r w:rsidRPr="00900FA2">
        <w:t xml:space="preserve"> any services that </w:t>
      </w:r>
      <w:r w:rsidR="00B376C7">
        <w:t>were</w:t>
      </w:r>
      <w:r w:rsidRPr="00900FA2">
        <w:t xml:space="preserve"> unnecessary, outdated or potentially unsafe.</w:t>
      </w:r>
    </w:p>
    <w:p w:rsidR="00062271" w:rsidRDefault="002177D5" w:rsidP="00175EA4">
      <w:pPr>
        <w:spacing w:before="240" w:after="240" w:line="240" w:lineRule="auto"/>
      </w:pPr>
      <w:r w:rsidRPr="009200D8">
        <w:t xml:space="preserve">The Taskforce </w:t>
      </w:r>
      <w:r>
        <w:t xml:space="preserve">established a range of </w:t>
      </w:r>
      <w:r w:rsidR="00672699">
        <w:t>c</w:t>
      </w:r>
      <w:r w:rsidRPr="009200D8">
        <w:t>linical</w:t>
      </w:r>
      <w:r w:rsidR="00FA2A1B">
        <w:t xml:space="preserve"> </w:t>
      </w:r>
      <w:r w:rsidR="00672699">
        <w:t>c</w:t>
      </w:r>
      <w:r w:rsidRPr="009200D8">
        <w:t xml:space="preserve">ommittees and </w:t>
      </w:r>
      <w:r w:rsidR="00672699">
        <w:t>w</w:t>
      </w:r>
      <w:r w:rsidRPr="009200D8">
        <w:t xml:space="preserve">orking </w:t>
      </w:r>
      <w:r w:rsidR="00672699">
        <w:t>g</w:t>
      </w:r>
      <w:r w:rsidRPr="009200D8">
        <w:t>roups</w:t>
      </w:r>
      <w:r>
        <w:t xml:space="preserve"> to advise them</w:t>
      </w:r>
      <w:r w:rsidRPr="009200D8">
        <w:t>.</w:t>
      </w:r>
    </w:p>
    <w:p w:rsidR="001C67B6" w:rsidRPr="00175EA4" w:rsidRDefault="001C67B6" w:rsidP="00175EA4">
      <w:pPr>
        <w:pStyle w:val="Heading2"/>
        <w:spacing w:after="120"/>
        <w:ind w:left="-414" w:hanging="578"/>
        <w:rPr>
          <w:sz w:val="32"/>
          <w:szCs w:val="32"/>
        </w:rPr>
      </w:pPr>
      <w:bookmarkStart w:id="9" w:name="_Toc33103176"/>
      <w:r w:rsidRPr="00175EA4">
        <w:rPr>
          <w:sz w:val="32"/>
          <w:szCs w:val="32"/>
        </w:rPr>
        <w:t>Consumers role in the MBS Review</w:t>
      </w:r>
      <w:bookmarkEnd w:id="9"/>
    </w:p>
    <w:p w:rsidR="00F17636" w:rsidRDefault="001C67B6" w:rsidP="00791FE1">
      <w:pPr>
        <w:spacing w:before="0" w:after="180" w:line="240" w:lineRule="auto"/>
      </w:pPr>
      <w:r>
        <w:t>In 2016, the Taskforce established the Consumer Panel (</w:t>
      </w:r>
      <w:r w:rsidR="007B4064">
        <w:t>t</w:t>
      </w:r>
      <w:r>
        <w:t xml:space="preserve">he Panel). Establishment of the Panel was informed by the peak national health consumers’ organisation, the Consumers </w:t>
      </w:r>
      <w:r w:rsidR="00C71CFD">
        <w:t>Health Forum of Australia (CHF)</w:t>
      </w:r>
      <w:sdt>
        <w:sdtPr>
          <w:id w:val="277837710"/>
          <w:citation/>
        </w:sdtPr>
        <w:sdtEndPr/>
        <w:sdtContent>
          <w:r w:rsidR="002506A4">
            <w:fldChar w:fldCharType="begin"/>
          </w:r>
          <w:r w:rsidR="002506A4">
            <w:instrText xml:space="preserve"> CITATION Con15 \l 3081 </w:instrText>
          </w:r>
          <w:r w:rsidR="002506A4">
            <w:fldChar w:fldCharType="separate"/>
          </w:r>
          <w:r w:rsidR="002506A4">
            <w:rPr>
              <w:noProof/>
            </w:rPr>
            <w:t xml:space="preserve"> (1)</w:t>
          </w:r>
          <w:r w:rsidR="002506A4">
            <w:fldChar w:fldCharType="end"/>
          </w:r>
        </w:sdtContent>
      </w:sdt>
      <w:r w:rsidR="00C71CFD">
        <w:t xml:space="preserve"> </w:t>
      </w:r>
      <w:r w:rsidR="002177D5">
        <w:t xml:space="preserve">and </w:t>
      </w:r>
      <w:r w:rsidR="007B4064">
        <w:t xml:space="preserve">Panel </w:t>
      </w:r>
      <w:r w:rsidR="002177D5">
        <w:t>members comprised all consumers who had participated</w:t>
      </w:r>
      <w:r w:rsidR="00FC4AB2">
        <w:t xml:space="preserve"> </w:t>
      </w:r>
      <w:r w:rsidR="005540F1">
        <w:t>at that time</w:t>
      </w:r>
      <w:r w:rsidR="002177D5">
        <w:t xml:space="preserve"> in Taskforce </w:t>
      </w:r>
      <w:r w:rsidR="00672699">
        <w:t>c</w:t>
      </w:r>
      <w:r w:rsidR="00233567">
        <w:t xml:space="preserve">ommittees </w:t>
      </w:r>
      <w:r w:rsidR="007B4064">
        <w:t>and</w:t>
      </w:r>
      <w:r w:rsidR="00783F8C">
        <w:t xml:space="preserve"> a</w:t>
      </w:r>
      <w:r w:rsidR="007B4064">
        <w:t xml:space="preserve"> clinician nominated from the Taskforce</w:t>
      </w:r>
      <w:r w:rsidR="002177D5">
        <w:t xml:space="preserve">. </w:t>
      </w:r>
    </w:p>
    <w:p w:rsidR="000A293F" w:rsidRDefault="002177D5" w:rsidP="00791FE1">
      <w:pPr>
        <w:spacing w:before="0" w:after="180" w:line="240" w:lineRule="auto"/>
      </w:pPr>
      <w:r>
        <w:t>The Panel’s terms of reference encompassed providing advice to the</w:t>
      </w:r>
      <w:r w:rsidR="000A736F">
        <w:t xml:space="preserve"> </w:t>
      </w:r>
      <w:r w:rsidR="00900FA2">
        <w:t xml:space="preserve">Taskforce and its </w:t>
      </w:r>
      <w:r w:rsidR="00672699">
        <w:t>c</w:t>
      </w:r>
      <w:r w:rsidR="00233567">
        <w:t>ommittees</w:t>
      </w:r>
      <w:r w:rsidR="000A293F">
        <w:t xml:space="preserve">, </w:t>
      </w:r>
      <w:r w:rsidR="000A736F">
        <w:t xml:space="preserve">to </w:t>
      </w:r>
      <w:r w:rsidR="000A293F">
        <w:t>undertake and commission tasks, to enable evidence-informed consumer engagement in the MBS Review and, as opportunities ar</w:t>
      </w:r>
      <w:r w:rsidR="00B376C7">
        <w:t>o</w:t>
      </w:r>
      <w:r w:rsidR="000A293F">
        <w:t>se, to modernise all aspects of the MBS.</w:t>
      </w:r>
      <w:r w:rsidR="00B376C7">
        <w:t xml:space="preserve"> </w:t>
      </w:r>
      <w:r w:rsidR="000A736F">
        <w:t>T</w:t>
      </w:r>
      <w:r w:rsidR="000A293F">
        <w:t xml:space="preserve">heir scope </w:t>
      </w:r>
      <w:r w:rsidR="005912AC">
        <w:t>was to include</w:t>
      </w:r>
      <w:r w:rsidR="000A293F">
        <w:t>:</w:t>
      </w:r>
    </w:p>
    <w:p w:rsidR="000A293F" w:rsidRDefault="000A293F" w:rsidP="008D0F0A">
      <w:pPr>
        <w:spacing w:before="0" w:after="120" w:line="240" w:lineRule="auto"/>
      </w:pPr>
      <w:r>
        <w:t>1.</w:t>
      </w:r>
      <w:r>
        <w:tab/>
        <w:t>Administrative rules and mechanisms</w:t>
      </w:r>
    </w:p>
    <w:p w:rsidR="000A293F" w:rsidRDefault="000A293F" w:rsidP="008D0F0A">
      <w:pPr>
        <w:spacing w:before="0" w:after="120" w:line="240" w:lineRule="auto"/>
      </w:pPr>
      <w:r>
        <w:t>2.</w:t>
      </w:r>
      <w:r>
        <w:tab/>
        <w:t>Infor</w:t>
      </w:r>
      <w:r w:rsidR="00672699">
        <w:t>mation access and use of plain English</w:t>
      </w:r>
    </w:p>
    <w:p w:rsidR="000A293F" w:rsidRDefault="000A293F" w:rsidP="008D0F0A">
      <w:pPr>
        <w:spacing w:before="0" w:after="120" w:line="240" w:lineRule="auto"/>
      </w:pPr>
      <w:r>
        <w:lastRenderedPageBreak/>
        <w:t>3.</w:t>
      </w:r>
      <w:r>
        <w:tab/>
        <w:t xml:space="preserve">Communications and community engagement </w:t>
      </w:r>
    </w:p>
    <w:p w:rsidR="005D3787" w:rsidRDefault="000A293F" w:rsidP="002053C8">
      <w:pPr>
        <w:spacing w:before="0" w:after="180" w:line="240" w:lineRule="auto"/>
      </w:pPr>
      <w:r>
        <w:t>4.</w:t>
      </w:r>
      <w:r>
        <w:tab/>
        <w:t xml:space="preserve">Induction, training and support of </w:t>
      </w:r>
      <w:r w:rsidR="00672699">
        <w:t>c</w:t>
      </w:r>
      <w:r>
        <w:t xml:space="preserve">onsumer </w:t>
      </w:r>
      <w:r w:rsidR="00672699">
        <w:t>r</w:t>
      </w:r>
      <w:r>
        <w:t xml:space="preserve">epresentatives and their </w:t>
      </w:r>
      <w:r w:rsidR="00672699">
        <w:t>c</w:t>
      </w:r>
      <w:r>
        <w:t>ommittees.</w:t>
      </w:r>
    </w:p>
    <w:p w:rsidR="00900FA2" w:rsidRPr="00175EA4" w:rsidRDefault="00900FA2" w:rsidP="00175EA4">
      <w:pPr>
        <w:pStyle w:val="Heading2"/>
        <w:spacing w:before="240" w:after="120"/>
        <w:ind w:left="-414" w:hanging="578"/>
        <w:rPr>
          <w:sz w:val="32"/>
          <w:szCs w:val="32"/>
        </w:rPr>
      </w:pPr>
      <w:bookmarkStart w:id="10" w:name="_Toc33103177"/>
      <w:bookmarkStart w:id="11" w:name="_Toc505843866"/>
      <w:r w:rsidRPr="00175EA4">
        <w:rPr>
          <w:sz w:val="32"/>
          <w:szCs w:val="32"/>
        </w:rPr>
        <w:t>Key Issues</w:t>
      </w:r>
      <w:bookmarkEnd w:id="10"/>
    </w:p>
    <w:p w:rsidR="005540F1" w:rsidRDefault="00A643AA" w:rsidP="00791FE1">
      <w:pPr>
        <w:spacing w:before="0" w:after="180" w:line="240" w:lineRule="auto"/>
        <w:rPr>
          <w:lang w:val="en-US" w:eastAsia="en-US"/>
        </w:rPr>
      </w:pPr>
      <w:r>
        <w:rPr>
          <w:lang w:val="en-US" w:eastAsia="en-US"/>
        </w:rPr>
        <w:t>The terms of reference of the Panel</w:t>
      </w:r>
      <w:r w:rsidR="00062271">
        <w:rPr>
          <w:lang w:val="en-US" w:eastAsia="en-US"/>
        </w:rPr>
        <w:t xml:space="preserve"> </w:t>
      </w:r>
      <w:r w:rsidR="000107B2">
        <w:rPr>
          <w:lang w:val="en-US" w:eastAsia="en-US"/>
        </w:rPr>
        <w:t>are in</w:t>
      </w:r>
      <w:r>
        <w:rPr>
          <w:lang w:val="en-US" w:eastAsia="en-US"/>
        </w:rPr>
        <w:t xml:space="preserve"> keeping with </w:t>
      </w:r>
      <w:r w:rsidR="00FC4AB2">
        <w:rPr>
          <w:lang w:val="en-US" w:eastAsia="en-US"/>
        </w:rPr>
        <w:t xml:space="preserve">contemporary co-design approaches to health policy and services. </w:t>
      </w:r>
    </w:p>
    <w:p w:rsidR="00D2055A" w:rsidRPr="005341EA" w:rsidRDefault="00A643AA">
      <w:pPr>
        <w:spacing w:before="0" w:after="180" w:line="240" w:lineRule="auto"/>
        <w:rPr>
          <w:lang w:val="en-US" w:eastAsia="en-US"/>
        </w:rPr>
      </w:pPr>
      <w:r>
        <w:rPr>
          <w:lang w:val="en-US" w:eastAsia="en-US"/>
        </w:rPr>
        <w:t xml:space="preserve">The Panel initially established tools and templates for </w:t>
      </w:r>
      <w:r w:rsidR="00672699">
        <w:rPr>
          <w:lang w:val="en-US" w:eastAsia="en-US"/>
        </w:rPr>
        <w:t>c</w:t>
      </w:r>
      <w:r>
        <w:rPr>
          <w:lang w:val="en-US" w:eastAsia="en-US"/>
        </w:rPr>
        <w:t>ommittees</w:t>
      </w:r>
      <w:r w:rsidR="00FD7C45">
        <w:rPr>
          <w:lang w:val="en-US" w:eastAsia="en-US"/>
        </w:rPr>
        <w:t xml:space="preserve"> to support </w:t>
      </w:r>
      <w:r>
        <w:rPr>
          <w:lang w:val="en-US" w:eastAsia="en-US"/>
        </w:rPr>
        <w:t xml:space="preserve">inclusion of consumer evidence and perspectives in </w:t>
      </w:r>
      <w:r w:rsidR="00672699">
        <w:rPr>
          <w:lang w:val="en-US" w:eastAsia="en-US"/>
        </w:rPr>
        <w:t>c</w:t>
      </w:r>
      <w:r w:rsidR="00233567">
        <w:rPr>
          <w:lang w:val="en-US" w:eastAsia="en-US"/>
        </w:rPr>
        <w:t xml:space="preserve">ommittee </w:t>
      </w:r>
      <w:r>
        <w:rPr>
          <w:lang w:val="en-US" w:eastAsia="en-US"/>
        </w:rPr>
        <w:t>and</w:t>
      </w:r>
      <w:r w:rsidRPr="00711063">
        <w:rPr>
          <w:lang w:val="en-US" w:eastAsia="en-US"/>
        </w:rPr>
        <w:t xml:space="preserve"> T</w:t>
      </w:r>
      <w:r w:rsidR="00FC4AB2" w:rsidRPr="00711063">
        <w:rPr>
          <w:lang w:val="en-US" w:eastAsia="en-US"/>
        </w:rPr>
        <w:t>askforce r</w:t>
      </w:r>
      <w:r w:rsidRPr="00711063">
        <w:rPr>
          <w:lang w:val="en-US" w:eastAsia="en-US"/>
        </w:rPr>
        <w:t>eports</w:t>
      </w:r>
      <w:r w:rsidR="005540F1" w:rsidRPr="00711063">
        <w:rPr>
          <w:lang w:val="en-US" w:eastAsia="en-US"/>
        </w:rPr>
        <w:t xml:space="preserve">; </w:t>
      </w:r>
      <w:r w:rsidR="000A736F" w:rsidRPr="00711063">
        <w:rPr>
          <w:lang w:val="en-US" w:eastAsia="en-US"/>
        </w:rPr>
        <w:t>to guide public consultations</w:t>
      </w:r>
      <w:r w:rsidR="005540F1" w:rsidRPr="00711063">
        <w:rPr>
          <w:lang w:val="en-US" w:eastAsia="en-US"/>
        </w:rPr>
        <w:t>; and</w:t>
      </w:r>
      <w:r w:rsidR="005540F1" w:rsidRPr="005341EA">
        <w:rPr>
          <w:lang w:val="en-US" w:eastAsia="en-US"/>
        </w:rPr>
        <w:t xml:space="preserve"> to inform consumer recruitment, induction and support</w:t>
      </w:r>
      <w:r w:rsidRPr="005341EA">
        <w:rPr>
          <w:lang w:val="en-US" w:eastAsia="en-US"/>
        </w:rPr>
        <w:t xml:space="preserve">. </w:t>
      </w:r>
      <w:r w:rsidR="00F17636" w:rsidRPr="005341EA">
        <w:rPr>
          <w:lang w:val="en-US" w:eastAsia="en-US"/>
        </w:rPr>
        <w:t>This guidance was</w:t>
      </w:r>
      <w:r w:rsidR="00FC4AB2" w:rsidRPr="005341EA">
        <w:rPr>
          <w:lang w:val="en-US" w:eastAsia="en-US"/>
        </w:rPr>
        <w:t xml:space="preserve"> compiled in th</w:t>
      </w:r>
      <w:r w:rsidR="00FD7C45" w:rsidRPr="005341EA">
        <w:rPr>
          <w:lang w:val="en-US" w:eastAsia="en-US"/>
        </w:rPr>
        <w:t xml:space="preserve">e Panel’s </w:t>
      </w:r>
      <w:r w:rsidR="00FD7C45" w:rsidRPr="00711063">
        <w:rPr>
          <w:lang w:val="en-US" w:eastAsia="en-US"/>
        </w:rPr>
        <w:t>Consumer Engagement Resource</w:t>
      </w:r>
      <w:r w:rsidR="008236A0">
        <w:rPr>
          <w:lang w:val="en-US" w:eastAsia="en-US"/>
        </w:rPr>
        <w:t xml:space="preserve"> (the Resource)</w:t>
      </w:r>
      <w:r w:rsidR="00FD7C45" w:rsidRPr="005341EA">
        <w:rPr>
          <w:lang w:val="en-US" w:eastAsia="en-US"/>
        </w:rPr>
        <w:t xml:space="preserve">. </w:t>
      </w:r>
      <w:r w:rsidR="005912AC" w:rsidRPr="005341EA">
        <w:rPr>
          <w:lang w:val="en-US" w:eastAsia="en-US"/>
        </w:rPr>
        <w:t>In 2017, the Resource was updated to include</w:t>
      </w:r>
      <w:r w:rsidR="00D2055A" w:rsidRPr="005341EA">
        <w:rPr>
          <w:lang w:val="en-US" w:eastAsia="en-US"/>
        </w:rPr>
        <w:t xml:space="preserve"> consumer principles as endorsed by the </w:t>
      </w:r>
      <w:r w:rsidR="00BA471A" w:rsidRPr="005341EA">
        <w:rPr>
          <w:lang w:val="en-US" w:eastAsia="en-US"/>
        </w:rPr>
        <w:t>T</w:t>
      </w:r>
      <w:r w:rsidR="00D2055A" w:rsidRPr="005341EA">
        <w:rPr>
          <w:lang w:val="en-US" w:eastAsia="en-US"/>
        </w:rPr>
        <w:t xml:space="preserve">askforce and additional tools, processes and guidelines for </w:t>
      </w:r>
      <w:r w:rsidR="00672699">
        <w:rPr>
          <w:lang w:val="en-US" w:eastAsia="en-US"/>
        </w:rPr>
        <w:t>c</w:t>
      </w:r>
      <w:r w:rsidR="00D2055A" w:rsidRPr="005341EA">
        <w:rPr>
          <w:lang w:val="en-US" w:eastAsia="en-US"/>
        </w:rPr>
        <w:t>ommittees.</w:t>
      </w:r>
    </w:p>
    <w:p w:rsidR="00447D17" w:rsidRDefault="005F0410" w:rsidP="00791FE1">
      <w:pPr>
        <w:spacing w:before="0" w:after="180" w:line="240" w:lineRule="auto"/>
        <w:rPr>
          <w:lang w:val="en-US" w:eastAsia="en-US"/>
        </w:rPr>
      </w:pPr>
      <w:r>
        <w:rPr>
          <w:lang w:val="en-US" w:eastAsia="en-US"/>
        </w:rPr>
        <w:t xml:space="preserve">On </w:t>
      </w:r>
      <w:r w:rsidR="003E7A10">
        <w:rPr>
          <w:lang w:val="en-US" w:eastAsia="en-US"/>
        </w:rPr>
        <w:t>occasion,</w:t>
      </w:r>
      <w:r w:rsidR="000A736F">
        <w:rPr>
          <w:lang w:val="en-US" w:eastAsia="en-US"/>
        </w:rPr>
        <w:t xml:space="preserve"> the </w:t>
      </w:r>
      <w:r w:rsidR="005540F1">
        <w:rPr>
          <w:lang w:val="en-US" w:eastAsia="en-US"/>
        </w:rPr>
        <w:t xml:space="preserve">Consumer </w:t>
      </w:r>
      <w:r>
        <w:rPr>
          <w:lang w:val="en-US" w:eastAsia="en-US"/>
        </w:rPr>
        <w:t xml:space="preserve">Panel </w:t>
      </w:r>
      <w:r w:rsidR="003E7A10">
        <w:rPr>
          <w:lang w:val="en-US" w:eastAsia="en-US"/>
        </w:rPr>
        <w:t xml:space="preserve">was </w:t>
      </w:r>
      <w:r w:rsidR="000A736F">
        <w:rPr>
          <w:lang w:val="en-US" w:eastAsia="en-US"/>
        </w:rPr>
        <w:t xml:space="preserve">asked for advice on Taskforce recommendations </w:t>
      </w:r>
      <w:r w:rsidR="007561FB">
        <w:rPr>
          <w:lang w:val="en-US" w:eastAsia="en-US"/>
        </w:rPr>
        <w:t xml:space="preserve">or </w:t>
      </w:r>
      <w:r w:rsidR="00672699">
        <w:rPr>
          <w:lang w:val="en-US" w:eastAsia="en-US"/>
        </w:rPr>
        <w:t>clinical c</w:t>
      </w:r>
      <w:r w:rsidR="00233567">
        <w:rPr>
          <w:lang w:val="en-US" w:eastAsia="en-US"/>
        </w:rPr>
        <w:t xml:space="preserve">ommittee </w:t>
      </w:r>
      <w:r w:rsidR="007561FB">
        <w:rPr>
          <w:lang w:val="en-US" w:eastAsia="en-US"/>
        </w:rPr>
        <w:t>draft reports</w:t>
      </w:r>
      <w:r w:rsidR="00596900">
        <w:rPr>
          <w:lang w:val="en-US" w:eastAsia="en-US"/>
        </w:rPr>
        <w:t>.</w:t>
      </w:r>
    </w:p>
    <w:p w:rsidR="000A736F" w:rsidRDefault="00A643AA" w:rsidP="00791FE1">
      <w:pPr>
        <w:spacing w:before="0" w:after="180" w:line="240" w:lineRule="auto"/>
        <w:rPr>
          <w:lang w:val="en-US" w:eastAsia="en-US"/>
        </w:rPr>
      </w:pPr>
      <w:r>
        <w:rPr>
          <w:lang w:val="en-US" w:eastAsia="en-US"/>
        </w:rPr>
        <w:t xml:space="preserve">Feedback from </w:t>
      </w:r>
      <w:r w:rsidR="00672699">
        <w:rPr>
          <w:lang w:val="en-US" w:eastAsia="en-US"/>
        </w:rPr>
        <w:t>c</w:t>
      </w:r>
      <w:r>
        <w:rPr>
          <w:lang w:val="en-US" w:eastAsia="en-US"/>
        </w:rPr>
        <w:t xml:space="preserve">ommittee </w:t>
      </w:r>
      <w:r w:rsidR="00672699">
        <w:rPr>
          <w:lang w:val="en-US" w:eastAsia="en-US"/>
        </w:rPr>
        <w:t>c</w:t>
      </w:r>
      <w:r>
        <w:rPr>
          <w:lang w:val="en-US" w:eastAsia="en-US"/>
        </w:rPr>
        <w:t xml:space="preserve">hairs and consumers on </w:t>
      </w:r>
      <w:r w:rsidR="00672699">
        <w:rPr>
          <w:lang w:val="en-US" w:eastAsia="en-US"/>
        </w:rPr>
        <w:t>c</w:t>
      </w:r>
      <w:r>
        <w:rPr>
          <w:lang w:val="en-US" w:eastAsia="en-US"/>
        </w:rPr>
        <w:t>ommittees</w:t>
      </w:r>
      <w:r w:rsidR="00D2055A">
        <w:rPr>
          <w:lang w:val="en-US" w:eastAsia="en-US"/>
        </w:rPr>
        <w:t xml:space="preserve"> via a survey distributed late in 2018</w:t>
      </w:r>
      <w:r>
        <w:rPr>
          <w:lang w:val="en-US" w:eastAsia="en-US"/>
        </w:rPr>
        <w:t xml:space="preserve"> indicate</w:t>
      </w:r>
      <w:r w:rsidR="002915E3">
        <w:rPr>
          <w:lang w:val="en-US" w:eastAsia="en-US"/>
        </w:rPr>
        <w:t xml:space="preserve">d </w:t>
      </w:r>
      <w:r w:rsidR="00596900">
        <w:rPr>
          <w:lang w:val="en-US" w:eastAsia="en-US"/>
        </w:rPr>
        <w:t xml:space="preserve">differing, and evolving, </w:t>
      </w:r>
      <w:r w:rsidR="00DB4B6C">
        <w:rPr>
          <w:lang w:val="en-US" w:eastAsia="en-US"/>
        </w:rPr>
        <w:t xml:space="preserve">approaches to consumer engagement in </w:t>
      </w:r>
      <w:r w:rsidR="00672699">
        <w:rPr>
          <w:lang w:val="en-US" w:eastAsia="en-US"/>
        </w:rPr>
        <w:t>c</w:t>
      </w:r>
      <w:r w:rsidR="00DB4B6C">
        <w:rPr>
          <w:lang w:val="en-US" w:eastAsia="en-US"/>
        </w:rPr>
        <w:t>ommittee work and significant consumer impact and influence in many areas.</w:t>
      </w:r>
      <w:r w:rsidR="002177D5">
        <w:rPr>
          <w:lang w:val="en-US" w:eastAsia="en-US"/>
        </w:rPr>
        <w:t xml:space="preserve"> </w:t>
      </w:r>
      <w:r w:rsidR="000A736F">
        <w:rPr>
          <w:lang w:val="en-US" w:eastAsia="en-US"/>
        </w:rPr>
        <w:t>Anecdotal feedback was received that the consumer</w:t>
      </w:r>
      <w:r w:rsidR="00DB4B6C">
        <w:rPr>
          <w:lang w:val="en-US" w:eastAsia="en-US"/>
        </w:rPr>
        <w:t>-focused</w:t>
      </w:r>
      <w:r w:rsidR="000A736F">
        <w:rPr>
          <w:lang w:val="en-US" w:eastAsia="en-US"/>
        </w:rPr>
        <w:t xml:space="preserve"> sections of the </w:t>
      </w:r>
      <w:r w:rsidR="00672699">
        <w:rPr>
          <w:lang w:val="en-US" w:eastAsia="en-US"/>
        </w:rPr>
        <w:t>c</w:t>
      </w:r>
      <w:r w:rsidR="000A736F">
        <w:rPr>
          <w:lang w:val="en-US" w:eastAsia="en-US"/>
        </w:rPr>
        <w:t xml:space="preserve">ommittee reports </w:t>
      </w:r>
      <w:r w:rsidR="00F17636">
        <w:rPr>
          <w:lang w:val="en-US" w:eastAsia="en-US"/>
        </w:rPr>
        <w:t xml:space="preserve">(consumer impact and summary statements) </w:t>
      </w:r>
      <w:r w:rsidR="007561FB">
        <w:rPr>
          <w:lang w:val="en-US" w:eastAsia="en-US"/>
        </w:rPr>
        <w:t>were highly valued</w:t>
      </w:r>
      <w:r w:rsidR="000A736F">
        <w:rPr>
          <w:lang w:val="en-US" w:eastAsia="en-US"/>
        </w:rPr>
        <w:t>.</w:t>
      </w:r>
    </w:p>
    <w:p w:rsidR="00FD7C45" w:rsidRDefault="00873966" w:rsidP="00791FE1">
      <w:pPr>
        <w:spacing w:before="0" w:after="180" w:line="240" w:lineRule="auto"/>
        <w:rPr>
          <w:lang w:val="en-US" w:eastAsia="en-US"/>
        </w:rPr>
      </w:pPr>
      <w:r>
        <w:rPr>
          <w:lang w:val="en-US" w:eastAsia="en-US"/>
        </w:rPr>
        <w:t>The evidence</w:t>
      </w:r>
      <w:r w:rsidR="00BC6466">
        <w:rPr>
          <w:lang w:val="en-US" w:eastAsia="en-US"/>
        </w:rPr>
        <w:t xml:space="preserve"> </w:t>
      </w:r>
      <w:r w:rsidR="00FD7C45">
        <w:rPr>
          <w:lang w:val="en-US" w:eastAsia="en-US"/>
        </w:rPr>
        <w:t>of genuine partnerships</w:t>
      </w:r>
      <w:r>
        <w:rPr>
          <w:lang w:val="en-US" w:eastAsia="en-US"/>
        </w:rPr>
        <w:t xml:space="preserve"> within the </w:t>
      </w:r>
      <w:r w:rsidR="008236A0">
        <w:rPr>
          <w:lang w:val="en-US" w:eastAsia="en-US"/>
        </w:rPr>
        <w:t xml:space="preserve">MBS </w:t>
      </w:r>
      <w:r>
        <w:rPr>
          <w:lang w:val="en-US" w:eastAsia="en-US"/>
        </w:rPr>
        <w:t>Review</w:t>
      </w:r>
      <w:r w:rsidR="00FD7C45">
        <w:rPr>
          <w:lang w:val="en-US" w:eastAsia="en-US"/>
        </w:rPr>
        <w:t xml:space="preserve"> between consumers, clinicians and policy-makers demonstrated</w:t>
      </w:r>
      <w:r w:rsidR="005540F1">
        <w:rPr>
          <w:lang w:val="en-US" w:eastAsia="en-US"/>
        </w:rPr>
        <w:t xml:space="preserve"> that the presence of consumers on </w:t>
      </w:r>
      <w:r w:rsidR="00672699">
        <w:rPr>
          <w:lang w:val="en-US" w:eastAsia="en-US"/>
        </w:rPr>
        <w:t>c</w:t>
      </w:r>
      <w:r w:rsidR="005540F1">
        <w:rPr>
          <w:lang w:val="en-US" w:eastAsia="en-US"/>
        </w:rPr>
        <w:t>ommittees can enable considerations of va</w:t>
      </w:r>
      <w:r w:rsidR="00F17636">
        <w:rPr>
          <w:lang w:val="en-US" w:eastAsia="en-US"/>
        </w:rPr>
        <w:t>lue from a consumer perspective</w:t>
      </w:r>
      <w:r w:rsidR="00FD7C45">
        <w:rPr>
          <w:lang w:val="en-US" w:eastAsia="en-US"/>
        </w:rPr>
        <w:t xml:space="preserve"> and what </w:t>
      </w:r>
      <w:r w:rsidR="00BC6466">
        <w:rPr>
          <w:lang w:val="en-US" w:eastAsia="en-US"/>
        </w:rPr>
        <w:t xml:space="preserve">can be </w:t>
      </w:r>
      <w:r w:rsidR="00FD7C45">
        <w:rPr>
          <w:lang w:val="en-US" w:eastAsia="en-US"/>
        </w:rPr>
        <w:t xml:space="preserve">lost when </w:t>
      </w:r>
      <w:r w:rsidR="00F17636">
        <w:rPr>
          <w:lang w:val="en-US" w:eastAsia="en-US"/>
        </w:rPr>
        <w:t xml:space="preserve">partnering with consumers </w:t>
      </w:r>
      <w:r w:rsidR="00FD7C45">
        <w:rPr>
          <w:lang w:val="en-US" w:eastAsia="en-US"/>
        </w:rPr>
        <w:t>is not business-as-usual in health</w:t>
      </w:r>
      <w:r w:rsidR="00A96A02">
        <w:rPr>
          <w:lang w:val="en-US" w:eastAsia="en-US"/>
        </w:rPr>
        <w:t xml:space="preserve"> </w:t>
      </w:r>
      <w:r w:rsidR="00FD7C45">
        <w:rPr>
          <w:lang w:val="en-US" w:eastAsia="en-US"/>
        </w:rPr>
        <w:t>technology reviews.</w:t>
      </w:r>
      <w:sdt>
        <w:sdtPr>
          <w:rPr>
            <w:lang w:val="en-US" w:eastAsia="en-US"/>
          </w:rPr>
          <w:id w:val="1155182517"/>
          <w:citation/>
        </w:sdtPr>
        <w:sdtEndPr/>
        <w:sdtContent>
          <w:r w:rsidR="003546C2">
            <w:rPr>
              <w:lang w:val="en-US" w:eastAsia="en-US"/>
            </w:rPr>
            <w:fldChar w:fldCharType="begin"/>
          </w:r>
          <w:r w:rsidR="003546C2">
            <w:rPr>
              <w:lang w:eastAsia="en-US"/>
            </w:rPr>
            <w:instrText xml:space="preserve"> CITATION NSQ17 \l 3081 </w:instrText>
          </w:r>
          <w:r w:rsidR="003546C2">
            <w:rPr>
              <w:lang w:val="en-US" w:eastAsia="en-US"/>
            </w:rPr>
            <w:fldChar w:fldCharType="separate"/>
          </w:r>
          <w:r w:rsidR="00797B8D">
            <w:rPr>
              <w:noProof/>
              <w:lang w:eastAsia="en-US"/>
            </w:rPr>
            <w:t xml:space="preserve"> (2)</w:t>
          </w:r>
          <w:r w:rsidR="003546C2">
            <w:rPr>
              <w:lang w:val="en-US" w:eastAsia="en-US"/>
            </w:rPr>
            <w:fldChar w:fldCharType="end"/>
          </w:r>
        </w:sdtContent>
      </w:sdt>
    </w:p>
    <w:p w:rsidR="00DD4317" w:rsidRPr="00175EA4" w:rsidRDefault="00222B98" w:rsidP="00175EA4">
      <w:pPr>
        <w:pStyle w:val="Heading2"/>
        <w:spacing w:before="240" w:after="120"/>
        <w:ind w:left="-414" w:hanging="578"/>
        <w:rPr>
          <w:sz w:val="32"/>
          <w:szCs w:val="32"/>
        </w:rPr>
      </w:pPr>
      <w:bookmarkStart w:id="12" w:name="_Toc33103178"/>
      <w:r w:rsidRPr="00175EA4">
        <w:rPr>
          <w:sz w:val="32"/>
          <w:szCs w:val="32"/>
        </w:rPr>
        <w:lastRenderedPageBreak/>
        <w:t>Key recommendations</w:t>
      </w:r>
      <w:bookmarkEnd w:id="11"/>
      <w:bookmarkEnd w:id="12"/>
    </w:p>
    <w:p w:rsidR="00987051" w:rsidRDefault="005540F1" w:rsidP="00711063">
      <w:pPr>
        <w:spacing w:before="0" w:after="180" w:line="240" w:lineRule="auto"/>
        <w:rPr>
          <w:lang w:val="en-US" w:eastAsia="en-US"/>
        </w:rPr>
      </w:pPr>
      <w:r>
        <w:rPr>
          <w:lang w:val="en-US" w:eastAsia="en-US"/>
        </w:rPr>
        <w:t>Collectively the</w:t>
      </w:r>
      <w:r w:rsidR="00F240FE">
        <w:rPr>
          <w:lang w:val="en-US" w:eastAsia="en-US"/>
        </w:rPr>
        <w:t xml:space="preserve"> 1</w:t>
      </w:r>
      <w:r w:rsidR="005816D3">
        <w:rPr>
          <w:lang w:val="en-US" w:eastAsia="en-US"/>
        </w:rPr>
        <w:t>0</w:t>
      </w:r>
      <w:r w:rsidR="00F240FE">
        <w:rPr>
          <w:lang w:val="en-US" w:eastAsia="en-US"/>
        </w:rPr>
        <w:t xml:space="preserve"> </w:t>
      </w:r>
      <w:r w:rsidR="007B4064">
        <w:rPr>
          <w:lang w:val="en-US" w:eastAsia="en-US"/>
        </w:rPr>
        <w:t xml:space="preserve">consumer </w:t>
      </w:r>
      <w:r>
        <w:rPr>
          <w:lang w:val="en-US" w:eastAsia="en-US"/>
        </w:rPr>
        <w:t>members of the Consumer Panel served on</w:t>
      </w:r>
      <w:r w:rsidR="00F240FE">
        <w:rPr>
          <w:lang w:val="en-US" w:eastAsia="en-US"/>
        </w:rPr>
        <w:t xml:space="preserve"> a</w:t>
      </w:r>
      <w:r w:rsidR="00A96A02">
        <w:rPr>
          <w:lang w:val="en-US" w:eastAsia="en-US"/>
        </w:rPr>
        <w:t>pproximately</w:t>
      </w:r>
      <w:r w:rsidR="00F240FE">
        <w:rPr>
          <w:lang w:val="en-US" w:eastAsia="en-US"/>
        </w:rPr>
        <w:t xml:space="preserve"> </w:t>
      </w:r>
      <w:r w:rsidR="00A96A02">
        <w:rPr>
          <w:lang w:val="en-US" w:eastAsia="en-US"/>
        </w:rPr>
        <w:t>31</w:t>
      </w:r>
      <w:r w:rsidR="0026706A">
        <w:rPr>
          <w:lang w:val="en-US" w:eastAsia="en-US"/>
        </w:rPr>
        <w:t xml:space="preserve"> </w:t>
      </w:r>
      <w:r w:rsidR="00672699">
        <w:rPr>
          <w:lang w:val="en-US" w:eastAsia="en-US"/>
        </w:rPr>
        <w:t>c</w:t>
      </w:r>
      <w:r w:rsidR="00FA2A1B">
        <w:rPr>
          <w:lang w:val="en-US" w:eastAsia="en-US"/>
        </w:rPr>
        <w:t xml:space="preserve">ommittees </w:t>
      </w:r>
      <w:r>
        <w:rPr>
          <w:lang w:val="en-US" w:eastAsia="en-US"/>
        </w:rPr>
        <w:t xml:space="preserve">and </w:t>
      </w:r>
      <w:r w:rsidR="00672699">
        <w:rPr>
          <w:lang w:val="en-US" w:eastAsia="en-US"/>
        </w:rPr>
        <w:t>w</w:t>
      </w:r>
      <w:r w:rsidR="00FA2A1B">
        <w:rPr>
          <w:lang w:val="en-US" w:eastAsia="en-US"/>
        </w:rPr>
        <w:t xml:space="preserve">orking </w:t>
      </w:r>
      <w:r w:rsidR="00672699">
        <w:rPr>
          <w:lang w:val="en-US" w:eastAsia="en-US"/>
        </w:rPr>
        <w:t>g</w:t>
      </w:r>
      <w:r w:rsidR="00FA2A1B">
        <w:rPr>
          <w:lang w:val="en-US" w:eastAsia="en-US"/>
        </w:rPr>
        <w:t xml:space="preserve">roups </w:t>
      </w:r>
      <w:r w:rsidR="007561FB">
        <w:rPr>
          <w:lang w:val="en-US" w:eastAsia="en-US"/>
        </w:rPr>
        <w:t>including</w:t>
      </w:r>
      <w:r>
        <w:rPr>
          <w:lang w:val="en-US" w:eastAsia="en-US"/>
        </w:rPr>
        <w:t xml:space="preserve"> </w:t>
      </w:r>
      <w:r w:rsidR="00DB4B6C">
        <w:rPr>
          <w:lang w:val="en-US" w:eastAsia="en-US"/>
        </w:rPr>
        <w:t xml:space="preserve">one </w:t>
      </w:r>
      <w:r w:rsidR="007B4064">
        <w:rPr>
          <w:lang w:val="en-US" w:eastAsia="en-US"/>
        </w:rPr>
        <w:t>consumer</w:t>
      </w:r>
      <w:r w:rsidR="00DB4B6C">
        <w:rPr>
          <w:lang w:val="en-US" w:eastAsia="en-US"/>
        </w:rPr>
        <w:t xml:space="preserve"> member </w:t>
      </w:r>
      <w:r w:rsidR="00B72150">
        <w:rPr>
          <w:lang w:val="en-US" w:eastAsia="en-US"/>
        </w:rPr>
        <w:t>who sits on t</w:t>
      </w:r>
      <w:r w:rsidR="00DB4B6C">
        <w:rPr>
          <w:lang w:val="en-US" w:eastAsia="en-US"/>
        </w:rPr>
        <w:t xml:space="preserve">he </w:t>
      </w:r>
      <w:r>
        <w:rPr>
          <w:lang w:val="en-US" w:eastAsia="en-US"/>
        </w:rPr>
        <w:t xml:space="preserve">Taskforce. </w:t>
      </w:r>
      <w:r w:rsidR="00062271">
        <w:rPr>
          <w:lang w:val="en-US" w:eastAsia="en-US"/>
        </w:rPr>
        <w:t xml:space="preserve">Consumers who participated in the </w:t>
      </w:r>
      <w:r w:rsidR="008236A0">
        <w:rPr>
          <w:lang w:val="en-US" w:eastAsia="en-US"/>
        </w:rPr>
        <w:t xml:space="preserve">MBS </w:t>
      </w:r>
      <w:r w:rsidR="00062271">
        <w:rPr>
          <w:lang w:val="en-US" w:eastAsia="en-US"/>
        </w:rPr>
        <w:t xml:space="preserve">Review, via the Panel and in committee work, brought a wealth of knowledge and experience in consumer engagement in health research, policy, services and practice. </w:t>
      </w:r>
      <w:r>
        <w:rPr>
          <w:lang w:val="en-US" w:eastAsia="en-US"/>
        </w:rPr>
        <w:t xml:space="preserve">Consideration of their shared perspectives, of </w:t>
      </w:r>
      <w:r w:rsidR="00F17636">
        <w:rPr>
          <w:lang w:val="en-US" w:eastAsia="en-US"/>
        </w:rPr>
        <w:t xml:space="preserve">survey responses </w:t>
      </w:r>
      <w:r>
        <w:rPr>
          <w:lang w:val="en-US" w:eastAsia="en-US"/>
        </w:rPr>
        <w:t xml:space="preserve">from </w:t>
      </w:r>
      <w:r w:rsidR="00672699">
        <w:rPr>
          <w:lang w:val="en-US" w:eastAsia="en-US"/>
        </w:rPr>
        <w:t>c</w:t>
      </w:r>
      <w:r w:rsidR="00FA2A1B">
        <w:rPr>
          <w:lang w:val="en-US" w:eastAsia="en-US"/>
        </w:rPr>
        <w:t xml:space="preserve">ommittee </w:t>
      </w:r>
      <w:r w:rsidR="00672699">
        <w:rPr>
          <w:lang w:val="en-US" w:eastAsia="en-US"/>
        </w:rPr>
        <w:t>c</w:t>
      </w:r>
      <w:r w:rsidR="00FA2A1B">
        <w:rPr>
          <w:lang w:val="en-US" w:eastAsia="en-US"/>
        </w:rPr>
        <w:t xml:space="preserve">hairs </w:t>
      </w:r>
      <w:r>
        <w:rPr>
          <w:lang w:val="en-US" w:eastAsia="en-US"/>
        </w:rPr>
        <w:t>and consumer members</w:t>
      </w:r>
      <w:r w:rsidR="007B4064">
        <w:rPr>
          <w:lang w:val="en-US" w:eastAsia="en-US"/>
        </w:rPr>
        <w:t>; and from the public consultation process</w:t>
      </w:r>
      <w:r>
        <w:rPr>
          <w:lang w:val="en-US" w:eastAsia="en-US"/>
        </w:rPr>
        <w:t xml:space="preserve"> informed </w:t>
      </w:r>
      <w:r w:rsidR="00D2055A">
        <w:rPr>
          <w:lang w:val="en-US" w:eastAsia="en-US"/>
        </w:rPr>
        <w:t xml:space="preserve">the Panel’s </w:t>
      </w:r>
      <w:r w:rsidR="00987051">
        <w:rPr>
          <w:lang w:val="en-US" w:eastAsia="en-US"/>
        </w:rPr>
        <w:t>recommendations</w:t>
      </w:r>
      <w:r w:rsidR="00D2055A">
        <w:rPr>
          <w:lang w:val="en-US" w:eastAsia="en-US"/>
        </w:rPr>
        <w:t>, detailed in this report</w:t>
      </w:r>
      <w:r w:rsidR="00297011">
        <w:rPr>
          <w:lang w:val="en-US" w:eastAsia="en-US"/>
        </w:rPr>
        <w:t>. (Also refer Section 7. Recommendations p. 35)</w:t>
      </w:r>
      <w:r w:rsidR="00987051">
        <w:rPr>
          <w:lang w:val="en-US" w:eastAsia="en-US"/>
        </w:rPr>
        <w:t>:</w:t>
      </w:r>
    </w:p>
    <w:p w:rsidR="00D2055A" w:rsidRDefault="00135075" w:rsidP="008236A0">
      <w:pPr>
        <w:pStyle w:val="ListParagraph"/>
        <w:numPr>
          <w:ilvl w:val="0"/>
          <w:numId w:val="29"/>
        </w:numPr>
        <w:spacing w:before="0" w:after="180" w:line="240" w:lineRule="auto"/>
        <w:ind w:left="426"/>
        <w:contextualSpacing w:val="0"/>
        <w:rPr>
          <w:b/>
          <w:lang w:val="en-US" w:eastAsia="en-US"/>
        </w:rPr>
      </w:pPr>
      <w:r>
        <w:rPr>
          <w:b/>
          <w:lang w:val="en-US" w:eastAsia="en-US"/>
        </w:rPr>
        <w:t>Principles:</w:t>
      </w:r>
    </w:p>
    <w:p w:rsidR="00987051" w:rsidRPr="00C8060C" w:rsidRDefault="00987051" w:rsidP="008236A0">
      <w:pPr>
        <w:pStyle w:val="ListParagraph"/>
        <w:spacing w:before="0" w:after="180" w:line="240" w:lineRule="auto"/>
        <w:ind w:left="426"/>
        <w:contextualSpacing w:val="0"/>
        <w:rPr>
          <w:b/>
          <w:lang w:val="en-US" w:eastAsia="en-US"/>
        </w:rPr>
      </w:pPr>
      <w:r w:rsidRPr="00C8060C">
        <w:rPr>
          <w:b/>
          <w:lang w:val="en-US" w:eastAsia="en-US"/>
        </w:rPr>
        <w:t>Apply principle-based decision-making to build a consumer-</w:t>
      </w:r>
      <w:r w:rsidR="00B12A44" w:rsidRPr="00C8060C">
        <w:rPr>
          <w:b/>
          <w:lang w:val="en-US" w:eastAsia="en-US"/>
        </w:rPr>
        <w:t>centered</w:t>
      </w:r>
      <w:r w:rsidRPr="00C8060C">
        <w:rPr>
          <w:b/>
          <w:lang w:val="en-US" w:eastAsia="en-US"/>
        </w:rPr>
        <w:t xml:space="preserve"> MBS</w:t>
      </w:r>
      <w:r w:rsidR="00D2055A" w:rsidRPr="00C8060C">
        <w:rPr>
          <w:b/>
          <w:lang w:val="en-US" w:eastAsia="en-US"/>
        </w:rPr>
        <w:t>.</w:t>
      </w:r>
    </w:p>
    <w:p w:rsidR="00987051" w:rsidRDefault="007561FB" w:rsidP="0085679F">
      <w:pPr>
        <w:pStyle w:val="ListParagraph"/>
        <w:spacing w:before="0" w:after="180" w:line="240" w:lineRule="auto"/>
        <w:ind w:left="426"/>
        <w:contextualSpacing w:val="0"/>
        <w:rPr>
          <w:lang w:val="en-US" w:eastAsia="en-US"/>
        </w:rPr>
      </w:pPr>
      <w:r>
        <w:rPr>
          <w:lang w:val="en-US" w:eastAsia="en-US"/>
        </w:rPr>
        <w:t xml:space="preserve">The Panel recommends that </w:t>
      </w:r>
      <w:r w:rsidR="001106EA">
        <w:rPr>
          <w:lang w:val="en-US" w:eastAsia="en-US"/>
        </w:rPr>
        <w:t>1</w:t>
      </w:r>
      <w:r w:rsidR="000F5EF9">
        <w:rPr>
          <w:lang w:val="en-US" w:eastAsia="en-US"/>
        </w:rPr>
        <w:t>2</w:t>
      </w:r>
      <w:r w:rsidR="00D2055A">
        <w:rPr>
          <w:lang w:val="en-US" w:eastAsia="en-US"/>
        </w:rPr>
        <w:t xml:space="preserve"> </w:t>
      </w:r>
      <w:r w:rsidR="00987051">
        <w:rPr>
          <w:lang w:val="en-US" w:eastAsia="en-US"/>
        </w:rPr>
        <w:t xml:space="preserve">consumer principles, previously endorsed </w:t>
      </w:r>
      <w:r w:rsidR="00D2055A">
        <w:rPr>
          <w:lang w:val="en-US" w:eastAsia="en-US"/>
        </w:rPr>
        <w:t>by the T</w:t>
      </w:r>
      <w:r w:rsidR="00987051">
        <w:rPr>
          <w:lang w:val="en-US" w:eastAsia="en-US"/>
        </w:rPr>
        <w:t>askfo</w:t>
      </w:r>
      <w:r w:rsidR="00D2055A">
        <w:rPr>
          <w:lang w:val="en-US" w:eastAsia="en-US"/>
        </w:rPr>
        <w:t>rce</w:t>
      </w:r>
      <w:r>
        <w:rPr>
          <w:lang w:val="en-US" w:eastAsia="en-US"/>
        </w:rPr>
        <w:t>,</w:t>
      </w:r>
      <w:r w:rsidR="007B4064">
        <w:rPr>
          <w:lang w:val="en-US" w:eastAsia="en-US"/>
        </w:rPr>
        <w:t xml:space="preserve"> and modified in response to public consultation,</w:t>
      </w:r>
      <w:r w:rsidR="00D2055A">
        <w:rPr>
          <w:lang w:val="en-US" w:eastAsia="en-US"/>
        </w:rPr>
        <w:t xml:space="preserve"> are </w:t>
      </w:r>
      <w:r w:rsidR="00357F09">
        <w:rPr>
          <w:lang w:val="en-US" w:eastAsia="en-US"/>
        </w:rPr>
        <w:t>utilis</w:t>
      </w:r>
      <w:r w:rsidR="000F5EF9">
        <w:rPr>
          <w:lang w:val="en-US" w:eastAsia="en-US"/>
        </w:rPr>
        <w:t>ed</w:t>
      </w:r>
      <w:r w:rsidR="00DF5D17">
        <w:rPr>
          <w:lang w:val="en-US" w:eastAsia="en-US"/>
        </w:rPr>
        <w:t xml:space="preserve"> </w:t>
      </w:r>
      <w:r w:rsidR="00987051">
        <w:rPr>
          <w:lang w:val="en-US" w:eastAsia="en-US"/>
        </w:rPr>
        <w:t xml:space="preserve">for </w:t>
      </w:r>
      <w:r w:rsidR="00DB4B6C">
        <w:rPr>
          <w:lang w:val="en-US" w:eastAsia="en-US"/>
        </w:rPr>
        <w:t xml:space="preserve">further development and </w:t>
      </w:r>
      <w:r w:rsidR="00987051">
        <w:rPr>
          <w:lang w:val="en-US" w:eastAsia="en-US"/>
        </w:rPr>
        <w:t xml:space="preserve">application in </w:t>
      </w:r>
      <w:r w:rsidR="00DF5D17">
        <w:rPr>
          <w:lang w:val="en-US" w:eastAsia="en-US"/>
        </w:rPr>
        <w:t xml:space="preserve">future </w:t>
      </w:r>
      <w:r w:rsidR="00690743">
        <w:rPr>
          <w:lang w:val="en-US" w:eastAsia="en-US"/>
        </w:rPr>
        <w:t>health technology</w:t>
      </w:r>
      <w:r w:rsidR="00987051">
        <w:rPr>
          <w:lang w:val="en-US" w:eastAsia="en-US"/>
        </w:rPr>
        <w:t xml:space="preserve"> deliberations and decision-making.</w:t>
      </w:r>
    </w:p>
    <w:p w:rsidR="0069036A" w:rsidRPr="00D753B2" w:rsidRDefault="0069036A" w:rsidP="008236A0">
      <w:pPr>
        <w:pStyle w:val="ListParagraph"/>
        <w:numPr>
          <w:ilvl w:val="0"/>
          <w:numId w:val="29"/>
        </w:numPr>
        <w:spacing w:before="0" w:after="180" w:line="240" w:lineRule="auto"/>
        <w:ind w:left="426"/>
        <w:contextualSpacing w:val="0"/>
        <w:rPr>
          <w:b/>
          <w:lang w:val="en-US" w:eastAsia="en-US"/>
        </w:rPr>
      </w:pPr>
      <w:r w:rsidRPr="00D753B2">
        <w:rPr>
          <w:b/>
          <w:lang w:val="en-US" w:eastAsia="en-US"/>
        </w:rPr>
        <w:t>Practice:</w:t>
      </w:r>
    </w:p>
    <w:p w:rsidR="0069036A" w:rsidRPr="008236A0" w:rsidRDefault="0069036A" w:rsidP="008236A0">
      <w:pPr>
        <w:pStyle w:val="ListParagraph"/>
        <w:spacing w:before="0" w:after="180" w:line="240" w:lineRule="auto"/>
        <w:ind w:left="426"/>
        <w:contextualSpacing w:val="0"/>
        <w:rPr>
          <w:b/>
          <w:lang w:val="en-US" w:eastAsia="en-US"/>
        </w:rPr>
      </w:pPr>
      <w:r w:rsidRPr="00C8060C">
        <w:rPr>
          <w:b/>
          <w:lang w:val="en-US" w:eastAsia="en-US"/>
        </w:rPr>
        <w:t>The Consumer Panel Consumer Engagement resource is used as a reference in future planning for ongoing review of the MBS.</w:t>
      </w:r>
    </w:p>
    <w:p w:rsidR="0069036A" w:rsidRDefault="0069036A" w:rsidP="0085679F">
      <w:pPr>
        <w:pStyle w:val="ListParagraph"/>
        <w:spacing w:before="0" w:after="180" w:line="240" w:lineRule="auto"/>
        <w:ind w:left="426"/>
        <w:contextualSpacing w:val="0"/>
        <w:rPr>
          <w:lang w:val="en-US" w:eastAsia="en-US"/>
        </w:rPr>
      </w:pPr>
      <w:r>
        <w:rPr>
          <w:lang w:val="en-US" w:eastAsia="en-US"/>
        </w:rPr>
        <w:t xml:space="preserve">The Consumer Engagement Resource has a number of tools and templates that can be further co-designed and </w:t>
      </w:r>
      <w:r w:rsidR="002A6FD2">
        <w:rPr>
          <w:lang w:val="en-US" w:eastAsia="en-US"/>
        </w:rPr>
        <w:t>customis</w:t>
      </w:r>
      <w:r w:rsidR="000F5EF9">
        <w:rPr>
          <w:lang w:val="en-US" w:eastAsia="en-US"/>
        </w:rPr>
        <w:t>ed</w:t>
      </w:r>
      <w:r>
        <w:rPr>
          <w:lang w:val="en-US" w:eastAsia="en-US"/>
        </w:rPr>
        <w:t xml:space="preserve"> to guide partnerships to achieve consumer-</w:t>
      </w:r>
      <w:r w:rsidR="00B12A44">
        <w:rPr>
          <w:lang w:val="en-US" w:eastAsia="en-US"/>
        </w:rPr>
        <w:t>centered</w:t>
      </w:r>
      <w:r>
        <w:rPr>
          <w:lang w:val="en-US" w:eastAsia="en-US"/>
        </w:rPr>
        <w:t xml:space="preserve"> health policy including health technology assessment and review.</w:t>
      </w:r>
    </w:p>
    <w:p w:rsidR="00D2055A" w:rsidRPr="00D753B2" w:rsidRDefault="00135075" w:rsidP="008236A0">
      <w:pPr>
        <w:pStyle w:val="ListParagraph"/>
        <w:numPr>
          <w:ilvl w:val="0"/>
          <w:numId w:val="29"/>
        </w:numPr>
        <w:spacing w:before="0" w:after="180" w:line="240" w:lineRule="auto"/>
        <w:ind w:left="426"/>
        <w:contextualSpacing w:val="0"/>
        <w:rPr>
          <w:b/>
          <w:lang w:val="en-US" w:eastAsia="en-US"/>
        </w:rPr>
      </w:pPr>
      <w:r w:rsidRPr="00E84448">
        <w:rPr>
          <w:b/>
          <w:lang w:val="en-US" w:eastAsia="en-US"/>
        </w:rPr>
        <w:t>Priorities</w:t>
      </w:r>
      <w:r w:rsidRPr="00D753B2">
        <w:rPr>
          <w:b/>
          <w:lang w:val="en-US" w:eastAsia="en-US"/>
        </w:rPr>
        <w:t>:</w:t>
      </w:r>
    </w:p>
    <w:p w:rsidR="00987051" w:rsidRPr="008236A0" w:rsidRDefault="00987051" w:rsidP="008236A0">
      <w:pPr>
        <w:pStyle w:val="ListParagraph"/>
        <w:spacing w:before="0" w:after="180" w:line="240" w:lineRule="auto"/>
        <w:ind w:left="426"/>
        <w:contextualSpacing w:val="0"/>
        <w:rPr>
          <w:b/>
          <w:lang w:val="en-US" w:eastAsia="en-US"/>
        </w:rPr>
      </w:pPr>
      <w:r w:rsidRPr="00C8060C">
        <w:rPr>
          <w:b/>
          <w:lang w:val="en-US" w:eastAsia="en-US"/>
        </w:rPr>
        <w:t>Consumer priorities and</w:t>
      </w:r>
      <w:r w:rsidR="00D2055A">
        <w:rPr>
          <w:b/>
          <w:lang w:val="en-US" w:eastAsia="en-US"/>
        </w:rPr>
        <w:t xml:space="preserve"> perspectives are key drivers in</w:t>
      </w:r>
      <w:r w:rsidRPr="00C8060C">
        <w:rPr>
          <w:b/>
          <w:lang w:val="en-US" w:eastAsia="en-US"/>
        </w:rPr>
        <w:t xml:space="preserve"> an ongoing cycle of MBS review</w:t>
      </w:r>
      <w:r w:rsidR="00D2055A" w:rsidRPr="00C8060C">
        <w:rPr>
          <w:b/>
          <w:lang w:val="en-US" w:eastAsia="en-US"/>
        </w:rPr>
        <w:t>.</w:t>
      </w:r>
    </w:p>
    <w:p w:rsidR="00987051" w:rsidRDefault="007561FB" w:rsidP="0085679F">
      <w:pPr>
        <w:pStyle w:val="ListParagraph"/>
        <w:spacing w:before="0" w:after="180" w:line="240" w:lineRule="auto"/>
        <w:ind w:left="426"/>
        <w:contextualSpacing w:val="0"/>
        <w:rPr>
          <w:lang w:val="en-US" w:eastAsia="en-US"/>
        </w:rPr>
      </w:pPr>
      <w:r>
        <w:rPr>
          <w:lang w:val="en-US" w:eastAsia="en-US"/>
        </w:rPr>
        <w:lastRenderedPageBreak/>
        <w:t xml:space="preserve">The Panel recommends that </w:t>
      </w:r>
      <w:r w:rsidR="001106EA">
        <w:rPr>
          <w:lang w:val="en-US" w:eastAsia="en-US"/>
        </w:rPr>
        <w:t>1</w:t>
      </w:r>
      <w:r w:rsidR="00480EC9">
        <w:rPr>
          <w:lang w:val="en-US" w:eastAsia="en-US"/>
        </w:rPr>
        <w:t>5</w:t>
      </w:r>
      <w:r w:rsidR="00987051">
        <w:rPr>
          <w:lang w:val="en-US" w:eastAsia="en-US"/>
        </w:rPr>
        <w:t xml:space="preserve"> priorities, </w:t>
      </w:r>
      <w:r w:rsidR="00987051" w:rsidRPr="00D753B2">
        <w:rPr>
          <w:lang w:val="en-US" w:eastAsia="en-US"/>
        </w:rPr>
        <w:t xml:space="preserve">identified </w:t>
      </w:r>
      <w:r w:rsidR="00D2055A" w:rsidRPr="00D753B2">
        <w:rPr>
          <w:lang w:val="en-US" w:eastAsia="en-US"/>
        </w:rPr>
        <w:t>in the Review</w:t>
      </w:r>
      <w:r w:rsidR="00D2055A">
        <w:rPr>
          <w:lang w:val="en-US" w:eastAsia="en-US"/>
        </w:rPr>
        <w:t>, are provided for initial consideration in framing future approaches to ongoing review of the MBS - and other publicly-funded health technologies.</w:t>
      </w:r>
    </w:p>
    <w:p w:rsidR="00D2055A" w:rsidRPr="00D753B2" w:rsidRDefault="00987051" w:rsidP="008236A0">
      <w:pPr>
        <w:pStyle w:val="ListParagraph"/>
        <w:numPr>
          <w:ilvl w:val="0"/>
          <w:numId w:val="29"/>
        </w:numPr>
        <w:spacing w:before="0" w:after="180" w:line="240" w:lineRule="auto"/>
        <w:ind w:left="426"/>
        <w:contextualSpacing w:val="0"/>
        <w:rPr>
          <w:b/>
          <w:lang w:val="en-US" w:eastAsia="en-US"/>
        </w:rPr>
      </w:pPr>
      <w:r w:rsidRPr="00C8060C">
        <w:rPr>
          <w:b/>
          <w:lang w:val="en-US" w:eastAsia="en-US"/>
        </w:rPr>
        <w:t>Partnership:</w:t>
      </w:r>
    </w:p>
    <w:p w:rsidR="00987051" w:rsidRPr="008236A0" w:rsidRDefault="00987051" w:rsidP="008236A0">
      <w:pPr>
        <w:pStyle w:val="ListParagraph"/>
        <w:spacing w:before="0" w:after="180" w:line="240" w:lineRule="auto"/>
        <w:ind w:left="426"/>
        <w:contextualSpacing w:val="0"/>
        <w:rPr>
          <w:b/>
          <w:lang w:val="en-US" w:eastAsia="en-US"/>
        </w:rPr>
      </w:pPr>
      <w:r w:rsidRPr="00C8060C">
        <w:rPr>
          <w:b/>
          <w:lang w:val="en-US" w:eastAsia="en-US"/>
        </w:rPr>
        <w:t xml:space="preserve">A genuine, evidence-informed </w:t>
      </w:r>
      <w:r w:rsidRPr="008236A0">
        <w:rPr>
          <w:b/>
          <w:lang w:val="en-US" w:eastAsia="en-US"/>
        </w:rPr>
        <w:t xml:space="preserve">partnership between consumers, clinicians, researchers and policy-makers drives an ongoing MBS cycle of </w:t>
      </w:r>
      <w:r w:rsidR="00A0771F" w:rsidRPr="008236A0">
        <w:rPr>
          <w:b/>
          <w:lang w:val="en-US" w:eastAsia="en-US"/>
        </w:rPr>
        <w:t>review.</w:t>
      </w:r>
    </w:p>
    <w:p w:rsidR="00900FA2" w:rsidRDefault="007561FB" w:rsidP="0085679F">
      <w:pPr>
        <w:pStyle w:val="ListParagraph"/>
        <w:spacing w:before="0" w:after="180" w:line="240" w:lineRule="auto"/>
        <w:ind w:left="426"/>
        <w:contextualSpacing w:val="0"/>
        <w:rPr>
          <w:lang w:val="en-US" w:eastAsia="en-US"/>
        </w:rPr>
      </w:pPr>
      <w:r>
        <w:rPr>
          <w:lang w:val="en-US" w:eastAsia="en-US"/>
        </w:rPr>
        <w:t xml:space="preserve">The Panel recommends that </w:t>
      </w:r>
      <w:r w:rsidR="004C654B">
        <w:rPr>
          <w:lang w:val="en-US" w:eastAsia="en-US"/>
        </w:rPr>
        <w:t>ten</w:t>
      </w:r>
      <w:r w:rsidR="004C654B" w:rsidRPr="00C8060C">
        <w:rPr>
          <w:lang w:val="en-US" w:eastAsia="en-US"/>
        </w:rPr>
        <w:t xml:space="preserve"> </w:t>
      </w:r>
      <w:r w:rsidR="00987051" w:rsidRPr="00C8060C">
        <w:rPr>
          <w:lang w:val="en-US" w:eastAsia="en-US"/>
        </w:rPr>
        <w:t xml:space="preserve">initial areas in which to focus partnership activity are provided </w:t>
      </w:r>
      <w:r w:rsidR="00D2055A">
        <w:rPr>
          <w:lang w:val="en-US" w:eastAsia="en-US"/>
        </w:rPr>
        <w:t xml:space="preserve">to inform future approaches to ongoing review of the MBS – and other </w:t>
      </w:r>
      <w:r w:rsidR="003E7A10">
        <w:rPr>
          <w:lang w:val="en-US" w:eastAsia="en-US"/>
        </w:rPr>
        <w:t>publicly funded</w:t>
      </w:r>
      <w:r w:rsidR="00D2055A">
        <w:rPr>
          <w:lang w:val="en-US" w:eastAsia="en-US"/>
        </w:rPr>
        <w:t xml:space="preserve"> health technologies</w:t>
      </w:r>
      <w:r w:rsidR="00596900">
        <w:rPr>
          <w:lang w:val="en-US" w:eastAsia="en-US"/>
        </w:rPr>
        <w:t>.</w:t>
      </w:r>
    </w:p>
    <w:p w:rsidR="00900FA2" w:rsidRPr="00900FA2" w:rsidRDefault="00900FA2" w:rsidP="00D753B2">
      <w:pPr>
        <w:pStyle w:val="Heading1"/>
        <w:spacing w:before="0" w:after="180" w:line="240" w:lineRule="auto"/>
      </w:pPr>
      <w:bookmarkStart w:id="13" w:name="_Toc485295714"/>
      <w:bookmarkStart w:id="14" w:name="_Toc505843868"/>
      <w:bookmarkStart w:id="15" w:name="_Toc531593765"/>
      <w:bookmarkStart w:id="16" w:name="_Toc33103179"/>
      <w:r w:rsidRPr="00900FA2">
        <w:t>About the Medicare Benefits Schedule (MBS) Review</w:t>
      </w:r>
      <w:bookmarkEnd w:id="13"/>
      <w:bookmarkEnd w:id="14"/>
      <w:bookmarkEnd w:id="15"/>
      <w:r w:rsidR="00F17636">
        <w:t xml:space="preserve"> and Taskforce</w:t>
      </w:r>
      <w:bookmarkEnd w:id="16"/>
    </w:p>
    <w:p w:rsidR="00222B98" w:rsidRPr="00175EA4" w:rsidRDefault="00222B98" w:rsidP="00175EA4">
      <w:pPr>
        <w:pStyle w:val="Heading2"/>
        <w:spacing w:before="240" w:after="240"/>
        <w:ind w:left="-414" w:hanging="578"/>
        <w:rPr>
          <w:sz w:val="32"/>
          <w:szCs w:val="32"/>
        </w:rPr>
      </w:pPr>
      <w:bookmarkStart w:id="17" w:name="_Toc485295715"/>
      <w:bookmarkStart w:id="18" w:name="_Toc505843869"/>
      <w:bookmarkStart w:id="19" w:name="_Toc33103180"/>
      <w:r w:rsidRPr="00175EA4">
        <w:rPr>
          <w:sz w:val="32"/>
          <w:szCs w:val="32"/>
        </w:rPr>
        <w:t>Medicare and the MBS</w:t>
      </w:r>
      <w:bookmarkEnd w:id="17"/>
      <w:bookmarkEnd w:id="18"/>
      <w:bookmarkEnd w:id="19"/>
    </w:p>
    <w:p w:rsidR="00222B98" w:rsidRPr="00175EA4" w:rsidRDefault="00222B98" w:rsidP="00175EA4">
      <w:pPr>
        <w:pStyle w:val="Heading3Numbered"/>
        <w:spacing w:before="240" w:after="120"/>
        <w:ind w:left="709"/>
        <w:rPr>
          <w:rFonts w:ascii="Calibri" w:eastAsia="Calibri" w:hAnsi="Calibri" w:cs="Calibri"/>
          <w:bCs w:val="0"/>
          <w:iCs w:val="0"/>
          <w:color w:val="01653F"/>
          <w:sz w:val="28"/>
          <w:szCs w:val="20"/>
        </w:rPr>
      </w:pPr>
      <w:bookmarkStart w:id="20" w:name="_Toc505843870"/>
      <w:bookmarkStart w:id="21" w:name="_Toc32403129"/>
      <w:bookmarkStart w:id="22" w:name="_Toc33103181"/>
      <w:r w:rsidRPr="00175EA4">
        <w:rPr>
          <w:rFonts w:ascii="Calibri" w:eastAsia="Calibri" w:hAnsi="Calibri" w:cs="Calibri"/>
          <w:bCs w:val="0"/>
          <w:iCs w:val="0"/>
          <w:color w:val="01653F"/>
          <w:sz w:val="28"/>
          <w:szCs w:val="20"/>
        </w:rPr>
        <w:t>What is Medicare?</w:t>
      </w:r>
      <w:bookmarkEnd w:id="20"/>
      <w:bookmarkEnd w:id="21"/>
      <w:bookmarkEnd w:id="22"/>
    </w:p>
    <w:p w:rsidR="00222B98" w:rsidRPr="00222B98" w:rsidRDefault="00222B98" w:rsidP="00791FE1">
      <w:pPr>
        <w:spacing w:before="0" w:after="180" w:line="240" w:lineRule="auto"/>
      </w:pPr>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rsidR="00222B98" w:rsidRPr="00222B98" w:rsidRDefault="00222B98" w:rsidP="00791FE1">
      <w:pPr>
        <w:spacing w:before="0" w:after="180" w:line="240" w:lineRule="auto"/>
      </w:pPr>
      <w:r w:rsidRPr="00222B98">
        <w:t xml:space="preserve">Introduced in 1984, Medicare has three components: </w:t>
      </w:r>
    </w:p>
    <w:p w:rsidR="00222B98" w:rsidRDefault="001F0EEE" w:rsidP="002053C8">
      <w:pPr>
        <w:pStyle w:val="Bullet-green"/>
        <w:spacing w:after="180" w:line="240" w:lineRule="auto"/>
      </w:pPr>
      <w:r>
        <w:t>F</w:t>
      </w:r>
      <w:r w:rsidR="00222B98" w:rsidRPr="00E130F6">
        <w:t>ree public hospital services for public patients</w:t>
      </w:r>
      <w:r w:rsidR="00512DBA">
        <w:t>.</w:t>
      </w:r>
    </w:p>
    <w:p w:rsidR="00222B98" w:rsidRDefault="001F0EEE" w:rsidP="00791FE1">
      <w:pPr>
        <w:pStyle w:val="Bullet-green"/>
        <w:spacing w:after="180" w:line="240" w:lineRule="auto"/>
      </w:pPr>
      <w:r>
        <w:t>S</w:t>
      </w:r>
      <w:r w:rsidR="00222B98" w:rsidRPr="00E130F6">
        <w:t>ubsidised drugs covered by the Pharmaceutical Benefits Scheme</w:t>
      </w:r>
      <w:r w:rsidR="00222B98">
        <w:t xml:space="preserve"> (PBS)</w:t>
      </w:r>
      <w:r w:rsidR="00512DBA">
        <w:t>.</w:t>
      </w:r>
    </w:p>
    <w:p w:rsidR="00222B98" w:rsidRDefault="001F0EEE" w:rsidP="00791FE1">
      <w:pPr>
        <w:pStyle w:val="Bullet-green"/>
        <w:spacing w:after="180" w:line="240" w:lineRule="auto"/>
      </w:pPr>
      <w:r>
        <w:lastRenderedPageBreak/>
        <w:t>S</w:t>
      </w:r>
      <w:r w:rsidR="00222B98" w:rsidRPr="00E130F6">
        <w:t>ubsidised health professional services listed on the</w:t>
      </w:r>
      <w:r w:rsidR="00222B98">
        <w:t xml:space="preserve"> MBS</w:t>
      </w:r>
      <w:r w:rsidR="00222B98" w:rsidRPr="00E130F6">
        <w:t>.</w:t>
      </w:r>
    </w:p>
    <w:p w:rsidR="00222B98" w:rsidRPr="00175EA4" w:rsidRDefault="00222B98" w:rsidP="00175EA4">
      <w:pPr>
        <w:pStyle w:val="Heading2"/>
        <w:spacing w:before="240" w:after="120"/>
        <w:ind w:left="-414" w:hanging="578"/>
        <w:rPr>
          <w:sz w:val="32"/>
          <w:szCs w:val="32"/>
        </w:rPr>
      </w:pPr>
      <w:bookmarkStart w:id="23" w:name="_Toc505843871"/>
      <w:bookmarkStart w:id="24" w:name="_Toc33103182"/>
      <w:r w:rsidRPr="00175EA4">
        <w:rPr>
          <w:sz w:val="32"/>
          <w:szCs w:val="32"/>
        </w:rPr>
        <w:t>What is the MBS?</w:t>
      </w:r>
      <w:bookmarkEnd w:id="23"/>
      <w:bookmarkEnd w:id="24"/>
    </w:p>
    <w:p w:rsidR="00222B98" w:rsidRDefault="00222B98" w:rsidP="00791FE1">
      <w:pPr>
        <w:spacing w:before="0" w:after="180" w:line="240" w:lineRule="auto"/>
      </w:pPr>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w:t>
      </w:r>
      <w:r w:rsidR="00B376C7">
        <w:t>surgery</w:t>
      </w:r>
      <w:r w:rsidR="00B02B97">
        <w:t>.</w:t>
      </w:r>
    </w:p>
    <w:p w:rsidR="00222B98" w:rsidRPr="00175EA4" w:rsidRDefault="00222B98" w:rsidP="00175EA4">
      <w:pPr>
        <w:pStyle w:val="Heading2"/>
        <w:spacing w:before="240" w:after="120"/>
        <w:ind w:left="-414" w:hanging="578"/>
        <w:rPr>
          <w:sz w:val="32"/>
          <w:szCs w:val="32"/>
        </w:rPr>
      </w:pPr>
      <w:bookmarkStart w:id="25" w:name="_Toc485295716"/>
      <w:bookmarkStart w:id="26" w:name="_Toc505843872"/>
      <w:bookmarkStart w:id="27" w:name="_Toc33103183"/>
      <w:r w:rsidRPr="00175EA4">
        <w:rPr>
          <w:sz w:val="32"/>
          <w:szCs w:val="32"/>
        </w:rPr>
        <w:t>What is the MBS Review Taskforce?</w:t>
      </w:r>
      <w:bookmarkEnd w:id="25"/>
      <w:bookmarkEnd w:id="26"/>
      <w:bookmarkEnd w:id="27"/>
    </w:p>
    <w:p w:rsidR="004F4306" w:rsidRDefault="00222B98" w:rsidP="00791FE1">
      <w:pPr>
        <w:spacing w:before="0" w:after="180" w:line="240" w:lineRule="auto"/>
      </w:pPr>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rsidR="00F17636">
        <w:t>was also charged with modernising the</w:t>
      </w:r>
      <w:r>
        <w:t xml:space="preserve"> MBS by </w:t>
      </w:r>
      <w:r w:rsidRPr="00B0157E">
        <w:t>identify</w:t>
      </w:r>
      <w:r>
        <w:t>ing</w:t>
      </w:r>
      <w:r w:rsidRPr="00B0157E">
        <w:t xml:space="preserve"> any services that may be unnecessary, outdated or potentially unsafe. </w:t>
      </w:r>
    </w:p>
    <w:p w:rsidR="00222B98" w:rsidRPr="00B0157E" w:rsidRDefault="00222B98" w:rsidP="00791FE1">
      <w:pPr>
        <w:spacing w:before="0" w:after="180" w:line="240" w:lineRule="auto"/>
      </w:pPr>
      <w:r w:rsidRPr="00B0157E">
        <w:t xml:space="preserve">The </w:t>
      </w:r>
      <w:r w:rsidR="00A210D1">
        <w:t xml:space="preserve">MBS </w:t>
      </w:r>
      <w:r>
        <w:t>Review</w:t>
      </w:r>
      <w:r w:rsidRPr="00B0157E">
        <w:t xml:space="preserve"> </w:t>
      </w:r>
      <w:r w:rsidR="00F17636">
        <w:t>was to be</w:t>
      </w:r>
      <w:r w:rsidRPr="00B0157E">
        <w:t xml:space="preserve"> clinician-led, and there </w:t>
      </w:r>
      <w:r w:rsidR="00F17636">
        <w:t>were</w:t>
      </w:r>
      <w:r w:rsidRPr="00B0157E">
        <w:t xml:space="preserve"> no </w:t>
      </w:r>
      <w:r w:rsidR="00D2055A">
        <w:t xml:space="preserve">attached </w:t>
      </w:r>
      <w:r w:rsidRPr="00B0157E">
        <w:t xml:space="preserve">targets for savings. </w:t>
      </w:r>
    </w:p>
    <w:p w:rsidR="00222B98" w:rsidRPr="00222B98" w:rsidRDefault="00222B98" w:rsidP="00791FE1">
      <w:pPr>
        <w:spacing w:before="0" w:after="180" w:line="240" w:lineRule="auto"/>
      </w:pPr>
      <w:r w:rsidRPr="00222B98">
        <w:t>The Taskforce is committed to providing recommendations to the Minister that will allow the MBS to deliver on each of these four key goals:</w:t>
      </w:r>
    </w:p>
    <w:p w:rsidR="00222B98" w:rsidRPr="000869E6" w:rsidRDefault="00222B98" w:rsidP="00791FE1">
      <w:pPr>
        <w:pStyle w:val="Bullet-green"/>
        <w:spacing w:after="180" w:line="240" w:lineRule="auto"/>
      </w:pPr>
      <w:r w:rsidRPr="005E1B17">
        <w:rPr>
          <w:b/>
        </w:rPr>
        <w:t>Affordable and universal access</w:t>
      </w:r>
      <w:r w:rsidR="005E1B17">
        <w:t xml:space="preserve"> </w:t>
      </w:r>
      <w:r w:rsidRPr="000869E6">
        <w:t>—</w:t>
      </w:r>
      <w:r w:rsidR="005E1B17">
        <w:t xml:space="preserve"> </w:t>
      </w:r>
      <w:r w:rsidRPr="000869E6">
        <w:t xml:space="preserve">the evidence demonstrates that the MBS supports very good access to primary care services for most Australians, particularly in urban Australia. However, despite increases in the specialist workforce over the last decade, access </w:t>
      </w:r>
      <w:r w:rsidR="00680176">
        <w:t>to</w:t>
      </w:r>
      <w:r w:rsidRPr="000869E6">
        <w:t xml:space="preserve"> many specialist services remains problematic</w:t>
      </w:r>
      <w:r>
        <w:t>,</w:t>
      </w:r>
      <w:r w:rsidRPr="000869E6">
        <w:t xml:space="preserve"> with some rural patients being particularly under-serviced.</w:t>
      </w:r>
    </w:p>
    <w:p w:rsidR="00222B98" w:rsidRPr="000869E6" w:rsidRDefault="00222B98" w:rsidP="00791FE1">
      <w:pPr>
        <w:pStyle w:val="Bullet-green"/>
        <w:spacing w:after="180" w:line="240" w:lineRule="auto"/>
      </w:pPr>
      <w:r w:rsidRPr="005E1B17">
        <w:rPr>
          <w:b/>
        </w:rPr>
        <w:t>Best practice health services</w:t>
      </w:r>
      <w:r w:rsidR="005E1B17">
        <w:t xml:space="preserve"> </w:t>
      </w:r>
      <w:r w:rsidRPr="000869E6">
        <w:t>—</w:t>
      </w:r>
      <w:r w:rsidR="005E1B17">
        <w:t xml:space="preserve"> </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w:t>
      </w:r>
      <w:r w:rsidRPr="000869E6">
        <w:lastRenderedPageBreak/>
        <w:t>Medical Services Advisory Committee (MSAC) plays a crucial role in thoroughly evaluating new services, the vast majority</w:t>
      </w:r>
      <w:r>
        <w:t xml:space="preserve"> of existing MBS items pre-date this process and have</w:t>
      </w:r>
      <w:r w:rsidRPr="000869E6">
        <w:t xml:space="preserve"> never been reviewed.</w:t>
      </w:r>
    </w:p>
    <w:p w:rsidR="00222B98" w:rsidRPr="000869E6" w:rsidRDefault="00222B98" w:rsidP="00791FE1">
      <w:pPr>
        <w:pStyle w:val="Bullet-green"/>
        <w:spacing w:after="180" w:line="240" w:lineRule="auto"/>
      </w:pPr>
      <w:r w:rsidRPr="005E1B17">
        <w:rPr>
          <w:b/>
        </w:rPr>
        <w:t>Value for the individual patient</w:t>
      </w:r>
      <w:r w:rsidR="005E1B17">
        <w:t xml:space="preserve"> </w:t>
      </w:r>
      <w:r w:rsidRPr="000869E6">
        <w:t>—</w:t>
      </w:r>
      <w:r w:rsidR="005E1B17">
        <w:t xml:space="preserve"> </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rsidR="00222B98" w:rsidRDefault="00222B98" w:rsidP="00791FE1">
      <w:pPr>
        <w:pStyle w:val="Bullet-green"/>
        <w:spacing w:after="180" w:line="240" w:lineRule="auto"/>
      </w:pPr>
      <w:r w:rsidRPr="005E1B17">
        <w:rPr>
          <w:b/>
        </w:rPr>
        <w:t>Value for the health system</w:t>
      </w:r>
      <w:r w:rsidR="005E1B17">
        <w:t xml:space="preserve"> </w:t>
      </w:r>
      <w:r w:rsidRPr="000869E6">
        <w:t>—</w:t>
      </w:r>
      <w:r w:rsidR="005E1B17">
        <w:t xml:space="preserve"> </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rsidR="00222B98" w:rsidRPr="00175EA4" w:rsidRDefault="00222B98" w:rsidP="00175EA4">
      <w:pPr>
        <w:pStyle w:val="Heading2"/>
        <w:spacing w:before="240" w:after="120"/>
        <w:ind w:left="-414" w:hanging="578"/>
        <w:rPr>
          <w:sz w:val="32"/>
          <w:szCs w:val="32"/>
        </w:rPr>
      </w:pPr>
      <w:bookmarkStart w:id="28" w:name="_Toc485295717"/>
      <w:bookmarkStart w:id="29" w:name="_Toc505843874"/>
      <w:bookmarkStart w:id="30" w:name="_Toc33103184"/>
      <w:r w:rsidRPr="00175EA4">
        <w:rPr>
          <w:sz w:val="32"/>
          <w:szCs w:val="32"/>
        </w:rPr>
        <w:t>The Taskforce’s approach</w:t>
      </w:r>
      <w:bookmarkEnd w:id="28"/>
      <w:bookmarkEnd w:id="29"/>
      <w:bookmarkEnd w:id="30"/>
    </w:p>
    <w:p w:rsidR="00222B98" w:rsidRDefault="00222B98" w:rsidP="00791FE1">
      <w:pPr>
        <w:spacing w:before="0" w:after="180" w:line="240" w:lineRule="auto"/>
      </w:pPr>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rsidR="00222B98" w:rsidRPr="00FD6810" w:rsidRDefault="00222B98" w:rsidP="00791FE1">
      <w:pPr>
        <w:spacing w:before="0" w:after="180" w:line="240" w:lineRule="auto"/>
      </w:pPr>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rsidR="00222B98" w:rsidRDefault="00222B98" w:rsidP="00791FE1">
      <w:pPr>
        <w:spacing w:before="0" w:after="180" w:line="240" w:lineRule="auto"/>
      </w:pPr>
      <w:r>
        <w:lastRenderedPageBreak/>
        <w:t xml:space="preserve">As the MBS Review is </w:t>
      </w:r>
      <w:r w:rsidRPr="00FD6810">
        <w:t xml:space="preserve">clinician-led, the Taskforce decided that </w:t>
      </w:r>
      <w:r w:rsidR="00672699">
        <w:t>c</w:t>
      </w:r>
      <w:r w:rsidRPr="00FD6810">
        <w:t xml:space="preserve">linical </w:t>
      </w:r>
      <w:r w:rsidR="00672699">
        <w:t>c</w:t>
      </w:r>
      <w:r w:rsidRPr="00FD6810">
        <w:t xml:space="preserve">ommittees should conduct the detailed review of MBS items. The </w:t>
      </w:r>
      <w:r w:rsidR="00672699">
        <w:t>c</w:t>
      </w:r>
      <w:r w:rsidRPr="00FD6810">
        <w:t xml:space="preserve">ommittees are broad-based in their membership, and members have been appointed in an individual capacity, rather than as representatives of any organisation. </w:t>
      </w:r>
    </w:p>
    <w:p w:rsidR="00222B98" w:rsidRPr="00A34B4C" w:rsidRDefault="00222B98" w:rsidP="002053C8">
      <w:pPr>
        <w:spacing w:before="0" w:after="120" w:line="240" w:lineRule="auto"/>
      </w:pPr>
      <w:r w:rsidRPr="00A34B4C">
        <w:t xml:space="preserve">The Taskforce asked </w:t>
      </w:r>
      <w:r>
        <w:t xml:space="preserve">the </w:t>
      </w:r>
      <w:r w:rsidR="00672699">
        <w:t>c</w:t>
      </w:r>
      <w:r w:rsidRPr="00A34B4C">
        <w:t>ommittees to review MBS items using a framework based on Professor Adam Elshaug’s appropriate use criteria</w:t>
      </w:r>
      <w:sdt>
        <w:sdtPr>
          <w:id w:val="1310066884"/>
          <w:citation/>
        </w:sdtPr>
        <w:sdtEndPr/>
        <w:sdtContent>
          <w:r w:rsidR="003008E8">
            <w:fldChar w:fldCharType="begin"/>
          </w:r>
          <w:r w:rsidR="003008E8">
            <w:instrText xml:space="preserve"> CITATION Els16 \l 3081 </w:instrText>
          </w:r>
          <w:r w:rsidR="003008E8">
            <w:fldChar w:fldCharType="separate"/>
          </w:r>
          <w:r w:rsidR="00797B8D">
            <w:rPr>
              <w:noProof/>
            </w:rPr>
            <w:t xml:space="preserve"> (3)</w:t>
          </w:r>
          <w:r w:rsidR="003008E8">
            <w:fldChar w:fldCharType="end"/>
          </w:r>
        </w:sdtContent>
      </w:sdt>
      <w:r w:rsidR="00B12A44">
        <w:t xml:space="preserve">. </w:t>
      </w:r>
      <w:r w:rsidRPr="00A34B4C">
        <w:t>The framework consists of seven steps:</w:t>
      </w:r>
    </w:p>
    <w:p w:rsidR="00222B98" w:rsidRPr="00222B98" w:rsidRDefault="00222B98" w:rsidP="008236A0">
      <w:pPr>
        <w:pStyle w:val="Numbering"/>
        <w:spacing w:before="0" w:after="180" w:line="240" w:lineRule="auto"/>
        <w:ind w:left="357" w:hanging="357"/>
        <w:contextualSpacing w:val="0"/>
      </w:pPr>
      <w:r w:rsidRPr="00756A5C">
        <w:t xml:space="preserve">Develop an initial fact base for all items under consideration, drawing on the relevant data and literature. </w:t>
      </w:r>
    </w:p>
    <w:p w:rsidR="00222B98" w:rsidRPr="00756A5C" w:rsidRDefault="00222B98" w:rsidP="008236A0">
      <w:pPr>
        <w:pStyle w:val="Numbering"/>
        <w:spacing w:before="0" w:after="180" w:line="240" w:lineRule="auto"/>
        <w:ind w:left="357" w:hanging="357"/>
        <w:contextualSpacing w:val="0"/>
      </w:pPr>
      <w:r w:rsidRPr="00756A5C">
        <w:t xml:space="preserve">Identify items that are obsolete, are of questionable </w:t>
      </w:r>
      <w:r w:rsidRPr="006949D8">
        <w:t>clinical value</w:t>
      </w:r>
      <w:r w:rsidR="00A85043">
        <w:t>,</w:t>
      </w:r>
      <w:sdt>
        <w:sdtPr>
          <w:id w:val="-1078975311"/>
          <w:citation/>
        </w:sdtPr>
        <w:sdtEndPr/>
        <w:sdtContent>
          <w:r w:rsidR="003008E8">
            <w:fldChar w:fldCharType="begin"/>
          </w:r>
          <w:r w:rsidR="008236A0">
            <w:rPr>
              <w:lang w:val="en-AU"/>
            </w:rPr>
            <w:instrText xml:space="preserve">CITATION Els12 \l 3081 </w:instrText>
          </w:r>
          <w:r w:rsidR="003008E8">
            <w:fldChar w:fldCharType="separate"/>
          </w:r>
          <w:r w:rsidR="008236A0">
            <w:rPr>
              <w:noProof/>
              <w:lang w:val="en-AU"/>
            </w:rPr>
            <w:t xml:space="preserve"> </w:t>
          </w:r>
          <w:r w:rsidR="008236A0" w:rsidRPr="008236A0">
            <w:rPr>
              <w:noProof/>
              <w:lang w:val="en-AU"/>
            </w:rPr>
            <w:t>(4)</w:t>
          </w:r>
          <w:r w:rsidR="003008E8">
            <w:fldChar w:fldCharType="end"/>
          </w:r>
        </w:sdtContent>
      </w:sdt>
      <w:r w:rsidRPr="006949D8">
        <w:rPr>
          <w:rStyle w:val="FootnoteReference"/>
        </w:rPr>
        <w:footnoteReference w:id="1"/>
      </w:r>
      <w:r w:rsidRPr="006949D8">
        <w:t xml:space="preserve"> are misused</w:t>
      </w:r>
      <w:sdt>
        <w:sdtPr>
          <w:id w:val="-198858357"/>
          <w:showingPlcHdr/>
          <w:citation/>
        </w:sdtPr>
        <w:sdtEndPr/>
        <w:sdtContent>
          <w:r w:rsidR="003008E8">
            <w:t xml:space="preserve">     </w:t>
          </w:r>
        </w:sdtContent>
      </w:sdt>
      <w:r w:rsidRPr="006949D8">
        <w:rPr>
          <w:rStyle w:val="FootnoteReference"/>
        </w:rPr>
        <w:footnoteReference w:id="2"/>
      </w:r>
      <w:r w:rsidRPr="006949D8">
        <w:t xml:space="preserve"> and/or pose </w:t>
      </w:r>
      <w:r w:rsidRPr="00756A5C">
        <w:t xml:space="preserve">a risk to patient safety. This step includes </w:t>
      </w:r>
      <w:r w:rsidR="000F5EF9" w:rsidRPr="00756A5C">
        <w:t>prioriti</w:t>
      </w:r>
      <w:r w:rsidR="002A6FD2">
        <w:t>s</w:t>
      </w:r>
      <w:r w:rsidR="000F5EF9" w:rsidRPr="00756A5C">
        <w:t>ing</w:t>
      </w:r>
      <w:r w:rsidRPr="00756A5C">
        <w:t xml:space="preserve"> items as “priority 1”, “priority 2” or “priority 3”</w:t>
      </w:r>
      <w:r>
        <w:t>,</w:t>
      </w:r>
      <w:r w:rsidRPr="00756A5C">
        <w:t xml:space="preserve"> using a </w:t>
      </w:r>
      <w:r w:rsidR="000F5EF9" w:rsidRPr="00756A5C">
        <w:t>prioriti</w:t>
      </w:r>
      <w:r w:rsidR="00672699">
        <w:t>s</w:t>
      </w:r>
      <w:r w:rsidR="000F5EF9" w:rsidRPr="00756A5C">
        <w:t>ation</w:t>
      </w:r>
      <w:r w:rsidRPr="00756A5C">
        <w:t xml:space="preserve"> methodology (described in more detail below).</w:t>
      </w:r>
    </w:p>
    <w:p w:rsidR="00222B98" w:rsidRPr="00756A5C" w:rsidRDefault="00222B98" w:rsidP="00791FE1">
      <w:pPr>
        <w:pStyle w:val="Numbering"/>
        <w:spacing w:before="0" w:after="180" w:line="240" w:lineRule="auto"/>
        <w:ind w:left="357" w:hanging="357"/>
        <w:contextualSpacing w:val="0"/>
      </w:pPr>
      <w:r w:rsidRPr="00756A5C">
        <w:lastRenderedPageBreak/>
        <w:t>Identify any issues, develop hypotheses for recommendations and create a work plan (including establishing working groups, when required) to arrive at recommendations for each item.</w:t>
      </w:r>
    </w:p>
    <w:p w:rsidR="00222B98" w:rsidRPr="00756A5C" w:rsidRDefault="00222B98" w:rsidP="00791FE1">
      <w:pPr>
        <w:pStyle w:val="Numbering"/>
        <w:spacing w:before="0" w:after="180" w:line="240" w:lineRule="auto"/>
        <w:ind w:left="357" w:hanging="357"/>
        <w:contextualSpacing w:val="0"/>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672699">
        <w:t>c</w:t>
      </w:r>
      <w:r w:rsidRPr="00756A5C">
        <w:t xml:space="preserve">ommittee, </w:t>
      </w:r>
      <w:r w:rsidR="00672699">
        <w:t>w</w:t>
      </w:r>
      <w:r w:rsidRPr="00756A5C">
        <w:t xml:space="preserve">orking </w:t>
      </w:r>
      <w:r w:rsidR="00672699">
        <w:t>g</w:t>
      </w:r>
      <w:r w:rsidRPr="00756A5C">
        <w:t xml:space="preserve">roups, and relevant colleagues or </w:t>
      </w:r>
      <w:r w:rsidR="00672699">
        <w:t>c</w:t>
      </w:r>
      <w:r w:rsidRPr="00756A5C">
        <w:t>olleges. For complex cases, full appropriate use criteria were developed for the item’s explanatory notes.</w:t>
      </w:r>
    </w:p>
    <w:p w:rsidR="00222B98" w:rsidRPr="00756A5C" w:rsidRDefault="00222B98" w:rsidP="00791FE1">
      <w:pPr>
        <w:pStyle w:val="Numbering"/>
        <w:spacing w:before="0" w:after="180" w:line="240" w:lineRule="auto"/>
        <w:ind w:left="357" w:hanging="357"/>
        <w:contextualSpacing w:val="0"/>
      </w:pPr>
      <w:bookmarkStart w:id="31" w:name="_Ref505174405"/>
      <w:r w:rsidRPr="00756A5C">
        <w:t>Review the provisional recommendations and the accompanying rationales, and gather further evidence as required.</w:t>
      </w:r>
      <w:bookmarkEnd w:id="31"/>
    </w:p>
    <w:p w:rsidR="00222B98" w:rsidRPr="00756A5C" w:rsidRDefault="00B02B97" w:rsidP="00791FE1">
      <w:pPr>
        <w:pStyle w:val="Numbering"/>
        <w:spacing w:before="0" w:after="180" w:line="240" w:lineRule="auto"/>
        <w:ind w:left="357" w:hanging="357"/>
        <w:contextualSpacing w:val="0"/>
      </w:pPr>
      <w:r>
        <w:t>Finalis</w:t>
      </w:r>
      <w:r w:rsidR="000F5EF9" w:rsidRPr="00756A5C">
        <w:t>e</w:t>
      </w:r>
      <w:r w:rsidR="00222B98" w:rsidRPr="00756A5C">
        <w:t xml:space="preserve"> the recommendations in preparation for broader stakeholder consultation.</w:t>
      </w:r>
    </w:p>
    <w:p w:rsidR="00222B98" w:rsidRPr="00756A5C" w:rsidRDefault="00222B98" w:rsidP="00791FE1">
      <w:pPr>
        <w:pStyle w:val="Numbering"/>
        <w:spacing w:before="0" w:after="180" w:line="240" w:lineRule="auto"/>
        <w:ind w:left="357" w:hanging="357"/>
        <w:contextualSpacing w:val="0"/>
      </w:pPr>
      <w:r w:rsidRPr="00756A5C">
        <w:t xml:space="preserve">Incorporate feedback gathered during stakeholder consultation and </w:t>
      </w:r>
      <w:r w:rsidR="000F5EF9" w:rsidRPr="00756A5C">
        <w:t>finali</w:t>
      </w:r>
      <w:r w:rsidR="002A6FD2">
        <w:t>s</w:t>
      </w:r>
      <w:r w:rsidR="000F5EF9" w:rsidRPr="00756A5C">
        <w:t>e</w:t>
      </w:r>
      <w:r w:rsidRPr="00756A5C">
        <w:t xml:space="preserve"> the </w:t>
      </w:r>
      <w:r w:rsidR="00691271">
        <w:t>r</w:t>
      </w:r>
      <w:r w:rsidRPr="00756A5C">
        <w:t xml:space="preserve">eview </w:t>
      </w:r>
      <w:r w:rsidR="00691271">
        <w:t>r</w:t>
      </w:r>
      <w:r w:rsidRPr="00756A5C">
        <w:t xml:space="preserve">eport, which provides recommendations for the Taskforce. </w:t>
      </w:r>
    </w:p>
    <w:p w:rsidR="00222B98" w:rsidRPr="00FD6810" w:rsidRDefault="00222B98" w:rsidP="00791FE1">
      <w:pPr>
        <w:spacing w:before="0" w:after="180" w:line="240" w:lineRule="auto"/>
      </w:pPr>
      <w:r w:rsidRPr="00FD6810">
        <w:t xml:space="preserve">All MBS items will be reviewed during the course of the MBS Review. However, given the breadth of the </w:t>
      </w:r>
      <w:r w:rsidR="007C69AE">
        <w:t>r</w:t>
      </w:r>
      <w:r w:rsidRPr="00FD6810">
        <w:t>eview</w:t>
      </w:r>
      <w:r w:rsidR="00E940DF">
        <w:t xml:space="preserve"> and its timeframe</w:t>
      </w:r>
      <w:r w:rsidRPr="00FD6810">
        <w:t xml:space="preserve">, each </w:t>
      </w:r>
      <w:r w:rsidR="00672699">
        <w:t>c</w:t>
      </w:r>
      <w:r w:rsidR="00DB5631" w:rsidRPr="00FD6810">
        <w:t xml:space="preserve">linical </w:t>
      </w:r>
      <w:r w:rsidR="00672699">
        <w:t>c</w:t>
      </w:r>
      <w:r w:rsidR="00DB5631" w:rsidRPr="00FD6810">
        <w:t>ommittee</w:t>
      </w:r>
      <w:r w:rsidR="00DB5631">
        <w:t xml:space="preserve"> </w:t>
      </w:r>
      <w:r>
        <w:t>has</w:t>
      </w:r>
      <w:r w:rsidRPr="00FD6810">
        <w:t xml:space="preserve"> to develop a work plan and assign priorities, keeping in mind the objectives of the </w:t>
      </w:r>
      <w:r w:rsidR="008C33FB">
        <w:t>r</w:t>
      </w:r>
      <w:r w:rsidRPr="00FD6810">
        <w:t>eview</w:t>
      </w:r>
      <w:r>
        <w:t>. Committees use</w:t>
      </w:r>
      <w:r w:rsidRPr="00FD6810">
        <w:t xml:space="preserve"> a robust</w:t>
      </w:r>
      <w:r w:rsidR="00C62F3E">
        <w:t xml:space="preserve"> </w:t>
      </w:r>
      <w:r w:rsidRPr="00FD6810">
        <w:t xml:space="preserve">prioritisation methodology to focus their attention and resources on the most important </w:t>
      </w:r>
      <w:r w:rsidR="00FA3AC2">
        <w:t>i</w:t>
      </w:r>
      <w:r w:rsidRPr="00FD6810">
        <w:t>tems requiring review. This was determined based on a combination of two standard metrics, derived from the appropriate use criteria</w:t>
      </w:r>
      <w:sdt>
        <w:sdtPr>
          <w:id w:val="157731877"/>
          <w:citation/>
        </w:sdtPr>
        <w:sdtEndPr/>
        <w:sdtContent>
          <w:r w:rsidR="00E931FA">
            <w:fldChar w:fldCharType="begin"/>
          </w:r>
          <w:r w:rsidR="00E931FA">
            <w:instrText xml:space="preserve"> CITATION Els16 \l 3081 </w:instrText>
          </w:r>
          <w:r w:rsidR="00E931FA">
            <w:fldChar w:fldCharType="separate"/>
          </w:r>
          <w:r w:rsidR="00797B8D">
            <w:rPr>
              <w:noProof/>
            </w:rPr>
            <w:t xml:space="preserve"> (3)</w:t>
          </w:r>
          <w:r w:rsidR="00E931FA">
            <w:fldChar w:fldCharType="end"/>
          </w:r>
        </w:sdtContent>
      </w:sdt>
      <w:r w:rsidR="00E931FA">
        <w:t>:</w:t>
      </w:r>
    </w:p>
    <w:p w:rsidR="00222B98" w:rsidRPr="00FB48BC" w:rsidRDefault="00222B98" w:rsidP="00791FE1">
      <w:pPr>
        <w:pStyle w:val="Bullet-green"/>
        <w:spacing w:after="180" w:line="240" w:lineRule="auto"/>
      </w:pPr>
      <w:r w:rsidRPr="00FB48BC">
        <w:t>Service volume.</w:t>
      </w:r>
    </w:p>
    <w:p w:rsidR="00B46467" w:rsidRDefault="00222B98">
      <w:pPr>
        <w:pStyle w:val="Bullet-green"/>
        <w:spacing w:after="180" w:line="240" w:lineRule="auto"/>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672699">
        <w:t>c</w:t>
      </w:r>
      <w:r w:rsidR="00DB5631" w:rsidRPr="00FB48BC">
        <w:t xml:space="preserve">linical </w:t>
      </w:r>
      <w:r w:rsidR="00672699">
        <w:t>c</w:t>
      </w:r>
      <w:r w:rsidR="00DB5631" w:rsidRPr="00FB48BC">
        <w:t xml:space="preserve">ommittee </w:t>
      </w:r>
      <w:r w:rsidRPr="00FB48BC">
        <w:t>(such as inappropriate co-claiming).</w:t>
      </w:r>
    </w:p>
    <w:p w:rsidR="00E327BE" w:rsidRPr="00175EA4" w:rsidRDefault="00E327BE" w:rsidP="00175EA4">
      <w:pPr>
        <w:pStyle w:val="Heading2"/>
        <w:spacing w:before="240" w:after="120"/>
        <w:ind w:left="-414" w:hanging="578"/>
        <w:rPr>
          <w:rFonts w:cstheme="minorHAnsi"/>
          <w:bCs w:val="0"/>
          <w:iCs w:val="0"/>
          <w:sz w:val="32"/>
          <w:lang w:val="en-AU" w:eastAsia="en-AU"/>
        </w:rPr>
      </w:pPr>
      <w:bookmarkStart w:id="32" w:name="_Toc33103185"/>
      <w:r w:rsidRPr="00175EA4">
        <w:rPr>
          <w:rFonts w:cstheme="minorHAnsi"/>
          <w:bCs w:val="0"/>
          <w:iCs w:val="0"/>
          <w:sz w:val="32"/>
          <w:lang w:val="en-AU" w:eastAsia="en-AU"/>
        </w:rPr>
        <w:lastRenderedPageBreak/>
        <w:t>Consumer engagement in the Review</w:t>
      </w:r>
      <w:bookmarkEnd w:id="32"/>
    </w:p>
    <w:p w:rsidR="00E327BE" w:rsidRPr="00C8060C" w:rsidRDefault="00E327BE" w:rsidP="00791FE1">
      <w:pPr>
        <w:pStyle w:val="Bullet-green"/>
        <w:numPr>
          <w:ilvl w:val="0"/>
          <w:numId w:val="0"/>
        </w:numPr>
        <w:spacing w:after="180" w:line="240" w:lineRule="auto"/>
      </w:pPr>
      <w:r w:rsidRPr="00E327BE">
        <w:rPr>
          <w:rFonts w:eastAsiaTheme="minorHAnsi"/>
          <w:lang w:eastAsia="en-US"/>
        </w:rPr>
        <w:t xml:space="preserve">The </w:t>
      </w:r>
      <w:r w:rsidR="008236A0">
        <w:rPr>
          <w:rFonts w:eastAsiaTheme="minorHAnsi"/>
          <w:lang w:eastAsia="en-US"/>
        </w:rPr>
        <w:t xml:space="preserve">MBS </w:t>
      </w:r>
      <w:r w:rsidRPr="00E327BE">
        <w:rPr>
          <w:rFonts w:eastAsiaTheme="minorHAnsi"/>
          <w:lang w:eastAsia="en-US"/>
        </w:rPr>
        <w:t xml:space="preserve">Review was characterised throughout by the different understandings and expectations of clinicians, policy makers and consumers about the nature </w:t>
      </w:r>
      <w:r w:rsidR="00245BDE">
        <w:rPr>
          <w:rFonts w:eastAsiaTheme="minorHAnsi"/>
          <w:lang w:eastAsia="en-US"/>
        </w:rPr>
        <w:t>and/or</w:t>
      </w:r>
      <w:r w:rsidR="00D2055A">
        <w:rPr>
          <w:rFonts w:eastAsiaTheme="minorHAnsi"/>
          <w:lang w:eastAsia="en-US"/>
        </w:rPr>
        <w:t xml:space="preserve"> priority to be given to</w:t>
      </w:r>
      <w:r w:rsidRPr="00E327BE">
        <w:rPr>
          <w:rFonts w:eastAsiaTheme="minorHAnsi"/>
          <w:lang w:eastAsia="en-US"/>
        </w:rPr>
        <w:t xml:space="preserve"> effective consumer engagement. This is reflected in the engagement approaches, opportunities and challenges described in this account of </w:t>
      </w:r>
      <w:r w:rsidR="00E92F20">
        <w:rPr>
          <w:rFonts w:eastAsiaTheme="minorHAnsi"/>
          <w:lang w:eastAsia="en-US"/>
        </w:rPr>
        <w:t>the work of</w:t>
      </w:r>
      <w:r>
        <w:rPr>
          <w:rFonts w:eastAsiaTheme="minorHAnsi"/>
          <w:lang w:eastAsia="en-US"/>
        </w:rPr>
        <w:t xml:space="preserve"> Panel and </w:t>
      </w:r>
      <w:r w:rsidRPr="00E327BE">
        <w:rPr>
          <w:rFonts w:eastAsiaTheme="minorHAnsi"/>
          <w:lang w:eastAsia="en-US"/>
        </w:rPr>
        <w:t>consumer engagement in the MBS Review.</w:t>
      </w:r>
    </w:p>
    <w:p w:rsidR="00215AD9" w:rsidRPr="0048761C" w:rsidRDefault="008F4E2C" w:rsidP="00791FE1">
      <w:pPr>
        <w:spacing w:before="0" w:after="180" w:line="240" w:lineRule="auto"/>
        <w:rPr>
          <w:rFonts w:eastAsiaTheme="minorHAnsi"/>
          <w:lang w:eastAsia="en-US"/>
        </w:rPr>
      </w:pPr>
      <w:r>
        <w:rPr>
          <w:rFonts w:eastAsiaTheme="minorHAnsi"/>
          <w:lang w:eastAsia="en-US"/>
        </w:rPr>
        <w:t xml:space="preserve">Initially, </w:t>
      </w:r>
      <w:r w:rsidR="00215AD9" w:rsidRPr="0048761C">
        <w:rPr>
          <w:rFonts w:eastAsiaTheme="minorHAnsi"/>
          <w:lang w:eastAsia="en-US"/>
        </w:rPr>
        <w:t xml:space="preserve">the national health consumer peak body, the Consumers Health Forum </w:t>
      </w:r>
      <w:r>
        <w:rPr>
          <w:rFonts w:eastAsiaTheme="minorHAnsi"/>
          <w:lang w:eastAsia="en-US"/>
        </w:rPr>
        <w:t>of Australia</w:t>
      </w:r>
      <w:r w:rsidR="00215AD9" w:rsidRPr="0048761C">
        <w:rPr>
          <w:rFonts w:eastAsiaTheme="minorHAnsi"/>
          <w:lang w:eastAsia="en-US"/>
        </w:rPr>
        <w:t>,</w:t>
      </w:r>
      <w:r>
        <w:rPr>
          <w:rFonts w:eastAsiaTheme="minorHAnsi"/>
          <w:lang w:eastAsia="en-US"/>
        </w:rPr>
        <w:t xml:space="preserve"> was </w:t>
      </w:r>
      <w:r w:rsidR="00A0771F">
        <w:rPr>
          <w:rFonts w:eastAsiaTheme="minorHAnsi"/>
          <w:lang w:eastAsia="en-US"/>
        </w:rPr>
        <w:t xml:space="preserve">approached </w:t>
      </w:r>
      <w:r w:rsidR="00A0771F" w:rsidRPr="0048761C">
        <w:rPr>
          <w:rFonts w:eastAsiaTheme="minorHAnsi"/>
          <w:lang w:eastAsia="en-US"/>
        </w:rPr>
        <w:t>to</w:t>
      </w:r>
      <w:r w:rsidR="00215AD9" w:rsidRPr="0048761C">
        <w:rPr>
          <w:rFonts w:eastAsiaTheme="minorHAnsi"/>
          <w:lang w:eastAsia="en-US"/>
        </w:rPr>
        <w:t xml:space="preserve"> inform consumer engagement in the Review. In 2015</w:t>
      </w:r>
      <w:r w:rsidR="00215AD9">
        <w:rPr>
          <w:rFonts w:eastAsiaTheme="minorHAnsi"/>
          <w:lang w:eastAsia="en-US"/>
        </w:rPr>
        <w:t xml:space="preserve">, the </w:t>
      </w:r>
      <w:r w:rsidR="00215AD9" w:rsidRPr="0048761C">
        <w:rPr>
          <w:rFonts w:eastAsiaTheme="minorHAnsi"/>
          <w:lang w:eastAsia="en-US"/>
        </w:rPr>
        <w:t>C</w:t>
      </w:r>
      <w:r>
        <w:rPr>
          <w:rFonts w:eastAsiaTheme="minorHAnsi"/>
          <w:lang w:eastAsia="en-US"/>
        </w:rPr>
        <w:t>onsumers Health Forum</w:t>
      </w:r>
      <w:r w:rsidR="00215AD9" w:rsidRPr="0048761C">
        <w:rPr>
          <w:rFonts w:eastAsiaTheme="minorHAnsi"/>
          <w:lang w:eastAsia="en-US"/>
        </w:rPr>
        <w:t>:</w:t>
      </w:r>
    </w:p>
    <w:p w:rsidR="00215AD9" w:rsidRPr="00F7165B" w:rsidRDefault="00215AD9" w:rsidP="00B11243">
      <w:pPr>
        <w:pStyle w:val="Bullet-green"/>
        <w:spacing w:after="180" w:line="240" w:lineRule="auto"/>
        <w:rPr>
          <w:rFonts w:eastAsiaTheme="minorHAnsi"/>
          <w:lang w:eastAsia="en-US"/>
        </w:rPr>
      </w:pPr>
      <w:r w:rsidRPr="00D753B2">
        <w:rPr>
          <w:rFonts w:eastAsiaTheme="minorHAnsi"/>
          <w:lang w:eastAsia="en-US"/>
        </w:rPr>
        <w:t>Published</w:t>
      </w:r>
      <w:r w:rsidRPr="00F7165B">
        <w:rPr>
          <w:rFonts w:eastAsiaTheme="minorHAnsi"/>
          <w:lang w:eastAsia="en-US"/>
        </w:rPr>
        <w:t xml:space="preserve"> a report on the role of health consumer representatives in health decision making</w:t>
      </w:r>
      <w:r w:rsidRPr="00190FAF">
        <w:rPr>
          <w:rFonts w:eastAsiaTheme="minorHAnsi"/>
          <w:szCs w:val="22"/>
          <w:lang w:eastAsia="en-US"/>
        </w:rPr>
        <w:t xml:space="preserve"> (</w:t>
      </w:r>
      <w:r w:rsidR="00200B4F" w:rsidRPr="00200B4F">
        <w:rPr>
          <w:rFonts w:eastAsiaTheme="minorHAnsi" w:cs="Arial"/>
          <w:b/>
          <w:bCs/>
          <w:iCs/>
          <w:szCs w:val="22"/>
          <w:lang w:eastAsia="en-US"/>
        </w:rPr>
        <w:t>https://chf.org.au/sites/default/files/role-of-reps-health-decision-making-2015.pdf</w:t>
      </w:r>
      <w:r w:rsidRPr="00190FAF">
        <w:rPr>
          <w:rFonts w:eastAsiaTheme="minorHAnsi"/>
          <w:szCs w:val="22"/>
          <w:lang w:eastAsia="en-US"/>
        </w:rPr>
        <w:t xml:space="preserve">). </w:t>
      </w:r>
    </w:p>
    <w:p w:rsidR="00215AD9" w:rsidRPr="00F7165B" w:rsidRDefault="00215AD9" w:rsidP="00B11243">
      <w:pPr>
        <w:pStyle w:val="Bullet-green"/>
        <w:spacing w:after="180" w:line="240" w:lineRule="auto"/>
        <w:rPr>
          <w:rFonts w:eastAsiaTheme="minorHAnsi"/>
          <w:i/>
          <w:lang w:eastAsia="en-US"/>
        </w:rPr>
      </w:pPr>
      <w:r w:rsidRPr="00D753B2">
        <w:rPr>
          <w:rFonts w:eastAsiaTheme="minorHAnsi"/>
          <w:lang w:eastAsia="en-US"/>
        </w:rPr>
        <w:t>Conducted</w:t>
      </w:r>
      <w:r w:rsidRPr="00F7165B">
        <w:rPr>
          <w:rFonts w:eastAsiaTheme="minorHAnsi"/>
          <w:lang w:eastAsia="en-US"/>
        </w:rPr>
        <w:t xml:space="preserve"> a rapid review of international practice to inform improved consumer engagement in the Review. The review (unpublished, Nunn 2015) appraised five relevant models and found </w:t>
      </w:r>
      <w:r w:rsidRPr="00F7165B">
        <w:rPr>
          <w:rFonts w:eastAsiaTheme="minorHAnsi"/>
          <w:i/>
          <w:lang w:eastAsia="en-US"/>
        </w:rPr>
        <w:t xml:space="preserve">a general consensus that obtaining </w:t>
      </w:r>
      <w:r w:rsidRPr="00F7165B">
        <w:rPr>
          <w:rFonts w:eastAsiaTheme="minorHAnsi"/>
          <w:lang w:eastAsia="en-US"/>
        </w:rPr>
        <w:t xml:space="preserve">[consumer] </w:t>
      </w:r>
      <w:r w:rsidRPr="00F7165B">
        <w:rPr>
          <w:rFonts w:eastAsiaTheme="minorHAnsi"/>
          <w:i/>
          <w:lang w:eastAsia="en-US"/>
        </w:rPr>
        <w:t>perspectives is important</w:t>
      </w:r>
      <w:r w:rsidRPr="00F7165B">
        <w:rPr>
          <w:rFonts w:eastAsiaTheme="minorHAnsi"/>
          <w:lang w:eastAsia="en-US"/>
        </w:rPr>
        <w:t>; it also found a</w:t>
      </w:r>
      <w:r w:rsidRPr="00F7165B">
        <w:rPr>
          <w:rFonts w:eastAsiaTheme="minorHAnsi"/>
          <w:i/>
          <w:lang w:eastAsia="en-US"/>
        </w:rPr>
        <w:t xml:space="preserve"> lack of evaluative evidence on the comparative merit of different approaches</w:t>
      </w:r>
      <w:r w:rsidRPr="00F7165B">
        <w:rPr>
          <w:rFonts w:eastAsiaTheme="minorHAnsi"/>
          <w:lang w:eastAsia="en-US"/>
        </w:rPr>
        <w:t xml:space="preserve"> (p9).</w:t>
      </w:r>
      <w:r w:rsidRPr="00F7165B">
        <w:rPr>
          <w:rFonts w:eastAsiaTheme="minorHAnsi"/>
          <w:i/>
          <w:lang w:eastAsia="en-US"/>
        </w:rPr>
        <w:t xml:space="preserve"> </w:t>
      </w:r>
    </w:p>
    <w:p w:rsidR="00215AD9" w:rsidRPr="00D753B2" w:rsidRDefault="00215AD9" w:rsidP="00B11243">
      <w:pPr>
        <w:pStyle w:val="Bullet-green"/>
        <w:spacing w:after="180" w:line="240" w:lineRule="auto"/>
        <w:rPr>
          <w:rFonts w:eastAsiaTheme="minorHAnsi"/>
          <w:lang w:eastAsia="en-US"/>
        </w:rPr>
      </w:pPr>
      <w:r w:rsidRPr="00D753B2">
        <w:rPr>
          <w:rFonts w:eastAsiaTheme="minorHAnsi"/>
          <w:lang w:eastAsia="en-US"/>
        </w:rPr>
        <w:t>Provided a consultation report (3 December 2015) with 12 explicit recommendations to engage consumers</w:t>
      </w:r>
      <w:r w:rsidR="007561FB" w:rsidRPr="00D753B2">
        <w:rPr>
          <w:rFonts w:eastAsiaTheme="minorHAnsi"/>
          <w:lang w:eastAsia="en-US"/>
        </w:rPr>
        <w:t>.</w:t>
      </w:r>
    </w:p>
    <w:p w:rsidR="00215AD9" w:rsidRPr="00D753B2" w:rsidRDefault="00215AD9" w:rsidP="00B11243">
      <w:pPr>
        <w:pStyle w:val="Bullet-green"/>
        <w:spacing w:after="180" w:line="240" w:lineRule="auto"/>
        <w:rPr>
          <w:rFonts w:eastAsiaTheme="minorHAnsi"/>
          <w:lang w:eastAsia="en-US"/>
        </w:rPr>
      </w:pPr>
      <w:r w:rsidRPr="00D753B2">
        <w:rPr>
          <w:rFonts w:eastAsiaTheme="minorHAnsi"/>
          <w:lang w:eastAsia="en-US"/>
        </w:rPr>
        <w:t>Made a submission to the Taskforce</w:t>
      </w:r>
      <w:sdt>
        <w:sdtPr>
          <w:rPr>
            <w:rFonts w:eastAsiaTheme="minorHAnsi"/>
            <w:lang w:eastAsia="en-US"/>
          </w:rPr>
          <w:id w:val="-1517535649"/>
          <w:citation/>
        </w:sdtPr>
        <w:sdtEndPr/>
        <w:sdtContent>
          <w:r w:rsidR="008B31A3">
            <w:rPr>
              <w:rFonts w:eastAsiaTheme="minorHAnsi"/>
              <w:lang w:eastAsia="en-US"/>
            </w:rPr>
            <w:fldChar w:fldCharType="begin"/>
          </w:r>
          <w:r w:rsidR="008B31A3">
            <w:rPr>
              <w:rFonts w:eastAsiaTheme="minorHAnsi"/>
              <w:lang w:eastAsia="en-US"/>
            </w:rPr>
            <w:instrText xml:space="preserve"> CITATION Con15 \l 3081 </w:instrText>
          </w:r>
          <w:r w:rsidR="008B31A3">
            <w:rPr>
              <w:rFonts w:eastAsiaTheme="minorHAnsi"/>
              <w:lang w:eastAsia="en-US"/>
            </w:rPr>
            <w:fldChar w:fldCharType="separate"/>
          </w:r>
          <w:r w:rsidR="008B31A3">
            <w:rPr>
              <w:rFonts w:eastAsiaTheme="minorHAnsi"/>
              <w:noProof/>
              <w:lang w:eastAsia="en-US"/>
            </w:rPr>
            <w:t xml:space="preserve"> </w:t>
          </w:r>
          <w:r w:rsidR="008B31A3" w:rsidRPr="008B31A3">
            <w:rPr>
              <w:rFonts w:eastAsiaTheme="minorHAnsi"/>
              <w:noProof/>
              <w:lang w:eastAsia="en-US"/>
            </w:rPr>
            <w:t>(1)</w:t>
          </w:r>
          <w:r w:rsidR="008B31A3">
            <w:rPr>
              <w:rFonts w:eastAsiaTheme="minorHAnsi"/>
              <w:lang w:eastAsia="en-US"/>
            </w:rPr>
            <w:fldChar w:fldCharType="end"/>
          </w:r>
        </w:sdtContent>
      </w:sdt>
      <w:r w:rsidRPr="00D753B2">
        <w:rPr>
          <w:rFonts w:eastAsiaTheme="minorHAnsi"/>
          <w:lang w:eastAsia="en-US"/>
        </w:rPr>
        <w:t>, recommending a public consultation process and health literacy campaign.</w:t>
      </w:r>
    </w:p>
    <w:p w:rsidR="00215AD9" w:rsidRPr="0048761C" w:rsidRDefault="00215AD9" w:rsidP="00791FE1">
      <w:pPr>
        <w:spacing w:before="0" w:after="180" w:line="240" w:lineRule="auto"/>
        <w:rPr>
          <w:rFonts w:eastAsiaTheme="minorHAnsi"/>
          <w:lang w:eastAsia="en-US"/>
        </w:rPr>
      </w:pPr>
      <w:r w:rsidRPr="0048761C">
        <w:rPr>
          <w:rFonts w:eastAsiaTheme="minorHAnsi"/>
          <w:lang w:eastAsia="en-US"/>
        </w:rPr>
        <w:t xml:space="preserve">Conversations were held between the Department and </w:t>
      </w:r>
      <w:r>
        <w:rPr>
          <w:rFonts w:eastAsiaTheme="minorHAnsi"/>
          <w:lang w:eastAsia="en-US"/>
        </w:rPr>
        <w:t xml:space="preserve">the </w:t>
      </w:r>
      <w:r w:rsidRPr="0048761C">
        <w:rPr>
          <w:rFonts w:eastAsiaTheme="minorHAnsi"/>
          <w:lang w:eastAsia="en-US"/>
        </w:rPr>
        <w:t>C</w:t>
      </w:r>
      <w:r w:rsidR="008F4E2C">
        <w:rPr>
          <w:rFonts w:eastAsiaTheme="minorHAnsi"/>
          <w:lang w:eastAsia="en-US"/>
        </w:rPr>
        <w:t xml:space="preserve">onsumers Health Forum </w:t>
      </w:r>
      <w:r w:rsidRPr="0048761C">
        <w:rPr>
          <w:rFonts w:eastAsiaTheme="minorHAnsi"/>
          <w:lang w:eastAsia="en-US"/>
        </w:rPr>
        <w:t xml:space="preserve">regarding recruitment of consumers to Taskforce </w:t>
      </w:r>
      <w:r w:rsidR="00672699">
        <w:rPr>
          <w:rFonts w:eastAsiaTheme="minorHAnsi"/>
          <w:lang w:eastAsia="en-US"/>
        </w:rPr>
        <w:t>c</w:t>
      </w:r>
      <w:r w:rsidR="00DB5631" w:rsidRPr="0048761C">
        <w:rPr>
          <w:rFonts w:eastAsiaTheme="minorHAnsi"/>
          <w:lang w:eastAsia="en-US"/>
        </w:rPr>
        <w:t xml:space="preserve">ommittees </w:t>
      </w:r>
      <w:r w:rsidRPr="0048761C">
        <w:rPr>
          <w:rFonts w:eastAsiaTheme="minorHAnsi"/>
          <w:lang w:eastAsia="en-US"/>
        </w:rPr>
        <w:t xml:space="preserve">and provision of training. A partnership approach was considered </w:t>
      </w:r>
      <w:r>
        <w:rPr>
          <w:rFonts w:eastAsiaTheme="minorHAnsi"/>
          <w:lang w:eastAsia="en-US"/>
        </w:rPr>
        <w:t xml:space="preserve">where the </w:t>
      </w:r>
      <w:r w:rsidR="008F4E2C">
        <w:rPr>
          <w:rFonts w:eastAsiaTheme="minorHAnsi"/>
          <w:lang w:eastAsia="en-US"/>
        </w:rPr>
        <w:t xml:space="preserve">Consumers Health Forum </w:t>
      </w:r>
      <w:r>
        <w:rPr>
          <w:rFonts w:eastAsiaTheme="minorHAnsi"/>
          <w:lang w:eastAsia="en-US"/>
        </w:rPr>
        <w:t xml:space="preserve">would advertise </w:t>
      </w:r>
      <w:r>
        <w:rPr>
          <w:rFonts w:eastAsiaTheme="minorHAnsi"/>
          <w:lang w:eastAsia="en-US"/>
        </w:rPr>
        <w:lastRenderedPageBreak/>
        <w:t xml:space="preserve">available positions on </w:t>
      </w:r>
      <w:r w:rsidR="00672699">
        <w:rPr>
          <w:rFonts w:eastAsiaTheme="minorHAnsi"/>
          <w:lang w:eastAsia="en-US"/>
        </w:rPr>
        <w:t>c</w:t>
      </w:r>
      <w:r w:rsidR="00DB5631">
        <w:rPr>
          <w:rFonts w:eastAsiaTheme="minorHAnsi"/>
          <w:lang w:eastAsia="en-US"/>
        </w:rPr>
        <w:t xml:space="preserve">linical </w:t>
      </w:r>
      <w:r w:rsidR="00672699">
        <w:rPr>
          <w:rFonts w:eastAsiaTheme="minorHAnsi"/>
          <w:lang w:eastAsia="en-US"/>
        </w:rPr>
        <w:t>c</w:t>
      </w:r>
      <w:r w:rsidR="00DB5631">
        <w:rPr>
          <w:rFonts w:eastAsiaTheme="minorHAnsi"/>
          <w:lang w:eastAsia="en-US"/>
        </w:rPr>
        <w:t>ommittees</w:t>
      </w:r>
      <w:r>
        <w:rPr>
          <w:rFonts w:eastAsiaTheme="minorHAnsi"/>
          <w:lang w:eastAsia="en-US"/>
        </w:rPr>
        <w:t>, and the Department would maintain an open nomination process via its website</w:t>
      </w:r>
      <w:r w:rsidRPr="0048761C">
        <w:rPr>
          <w:rFonts w:eastAsiaTheme="minorHAnsi"/>
          <w:lang w:eastAsia="en-US"/>
        </w:rPr>
        <w:t xml:space="preserve"> </w:t>
      </w:r>
      <w:r>
        <w:rPr>
          <w:rFonts w:eastAsiaTheme="minorHAnsi"/>
          <w:lang w:eastAsia="en-US"/>
        </w:rPr>
        <w:t>(</w:t>
      </w:r>
      <w:r w:rsidRPr="0048761C">
        <w:rPr>
          <w:rFonts w:eastAsiaTheme="minorHAnsi"/>
          <w:lang w:eastAsia="en-US"/>
        </w:rPr>
        <w:t>in the same manner as clinicians were recruited</w:t>
      </w:r>
      <w:r>
        <w:rPr>
          <w:rFonts w:eastAsiaTheme="minorHAnsi"/>
          <w:lang w:eastAsia="en-US"/>
        </w:rPr>
        <w:t>)</w:t>
      </w:r>
      <w:r w:rsidRPr="0048761C">
        <w:rPr>
          <w:rFonts w:eastAsiaTheme="minorHAnsi"/>
          <w:lang w:eastAsia="en-US"/>
        </w:rPr>
        <w:t xml:space="preserve">. </w:t>
      </w:r>
    </w:p>
    <w:p w:rsidR="00215AD9" w:rsidRPr="0048761C" w:rsidRDefault="00215AD9" w:rsidP="00791FE1">
      <w:pPr>
        <w:spacing w:before="0" w:after="180" w:line="240" w:lineRule="auto"/>
        <w:rPr>
          <w:rFonts w:eastAsiaTheme="minorHAnsi"/>
          <w:lang w:eastAsia="en-US"/>
        </w:rPr>
      </w:pPr>
      <w:r>
        <w:rPr>
          <w:rFonts w:eastAsiaTheme="minorHAnsi"/>
          <w:lang w:eastAsia="en-US"/>
        </w:rPr>
        <w:t>As the Review progressed, c</w:t>
      </w:r>
      <w:r w:rsidRPr="0048761C">
        <w:rPr>
          <w:rFonts w:eastAsiaTheme="minorHAnsi"/>
          <w:lang w:eastAsia="en-US"/>
        </w:rPr>
        <w:t xml:space="preserve">onsumer engagement occurred at </w:t>
      </w:r>
      <w:r w:rsidR="00CA00EC">
        <w:rPr>
          <w:rFonts w:eastAsiaTheme="minorHAnsi"/>
          <w:lang w:eastAsia="en-US"/>
        </w:rPr>
        <w:t>three</w:t>
      </w:r>
      <w:r w:rsidRPr="0048761C">
        <w:rPr>
          <w:rFonts w:eastAsiaTheme="minorHAnsi"/>
          <w:lang w:eastAsia="en-US"/>
        </w:rPr>
        <w:t xml:space="preserve"> levels: via </w:t>
      </w:r>
      <w:r w:rsidR="00CA00EC">
        <w:rPr>
          <w:rFonts w:eastAsiaTheme="minorHAnsi"/>
          <w:lang w:eastAsia="en-US"/>
        </w:rPr>
        <w:t xml:space="preserve">the Consumer Panel, individual </w:t>
      </w:r>
      <w:r w:rsidRPr="0048761C">
        <w:rPr>
          <w:rFonts w:eastAsiaTheme="minorHAnsi"/>
          <w:lang w:eastAsia="en-US"/>
        </w:rPr>
        <w:t xml:space="preserve">consumers on </w:t>
      </w:r>
      <w:r w:rsidR="00672699">
        <w:rPr>
          <w:rFonts w:eastAsiaTheme="minorHAnsi"/>
          <w:lang w:eastAsia="en-US"/>
        </w:rPr>
        <w:t>c</w:t>
      </w:r>
      <w:r w:rsidR="00DB5631" w:rsidRPr="0048761C">
        <w:rPr>
          <w:rFonts w:eastAsiaTheme="minorHAnsi"/>
          <w:lang w:eastAsia="en-US"/>
        </w:rPr>
        <w:t xml:space="preserve">ommittees </w:t>
      </w:r>
      <w:r w:rsidRPr="0048761C">
        <w:rPr>
          <w:rFonts w:eastAsiaTheme="minorHAnsi"/>
          <w:lang w:eastAsia="en-US"/>
        </w:rPr>
        <w:t xml:space="preserve">and </w:t>
      </w:r>
      <w:r w:rsidR="00766762">
        <w:rPr>
          <w:rFonts w:eastAsiaTheme="minorHAnsi"/>
          <w:lang w:eastAsia="en-US"/>
        </w:rPr>
        <w:t xml:space="preserve">via </w:t>
      </w:r>
      <w:r w:rsidRPr="0048761C">
        <w:rPr>
          <w:rFonts w:eastAsiaTheme="minorHAnsi"/>
          <w:lang w:eastAsia="en-US"/>
        </w:rPr>
        <w:t>public</w:t>
      </w:r>
      <w:r>
        <w:rPr>
          <w:rFonts w:eastAsiaTheme="minorHAnsi"/>
          <w:lang w:eastAsia="en-US"/>
        </w:rPr>
        <w:t xml:space="preserve"> or targeted</w:t>
      </w:r>
      <w:r w:rsidRPr="0048761C">
        <w:rPr>
          <w:rFonts w:eastAsiaTheme="minorHAnsi"/>
          <w:lang w:eastAsia="en-US"/>
        </w:rPr>
        <w:t xml:space="preserve"> consultation</w:t>
      </w:r>
      <w:r w:rsidR="00766762">
        <w:rPr>
          <w:rFonts w:eastAsiaTheme="minorHAnsi"/>
          <w:lang w:eastAsia="en-US"/>
        </w:rPr>
        <w:t>:</w:t>
      </w:r>
    </w:p>
    <w:p w:rsidR="00215AD9" w:rsidRPr="00766762" w:rsidRDefault="007D3492" w:rsidP="00B11243">
      <w:pPr>
        <w:pStyle w:val="Bullet-green"/>
        <w:spacing w:after="180" w:line="240" w:lineRule="auto"/>
        <w:rPr>
          <w:rFonts w:eastAsiaTheme="minorHAnsi"/>
          <w:lang w:eastAsia="en-US"/>
        </w:rPr>
      </w:pPr>
      <w:r>
        <w:rPr>
          <w:rFonts w:eastAsiaTheme="minorHAnsi"/>
          <w:lang w:eastAsia="en-US"/>
        </w:rPr>
        <w:t>One</w:t>
      </w:r>
      <w:r w:rsidR="007F29F9">
        <w:rPr>
          <w:rFonts w:eastAsiaTheme="minorHAnsi"/>
          <w:lang w:eastAsia="en-US"/>
        </w:rPr>
        <w:t xml:space="preserve"> and subsequently two consumers were</w:t>
      </w:r>
      <w:r w:rsidR="00215AD9" w:rsidRPr="00766762">
        <w:rPr>
          <w:rFonts w:eastAsiaTheme="minorHAnsi"/>
          <w:lang w:eastAsia="en-US"/>
        </w:rPr>
        <w:t xml:space="preserve"> appointed to most </w:t>
      </w:r>
      <w:r w:rsidR="00672699">
        <w:rPr>
          <w:rFonts w:eastAsiaTheme="minorHAnsi"/>
          <w:lang w:eastAsia="en-US"/>
        </w:rPr>
        <w:t>c</w:t>
      </w:r>
      <w:r w:rsidR="00DB5631" w:rsidRPr="00766762">
        <w:rPr>
          <w:rFonts w:eastAsiaTheme="minorHAnsi"/>
          <w:lang w:eastAsia="en-US"/>
        </w:rPr>
        <w:t xml:space="preserve">linical </w:t>
      </w:r>
      <w:r w:rsidR="00672699">
        <w:rPr>
          <w:rFonts w:eastAsiaTheme="minorHAnsi"/>
          <w:lang w:eastAsia="en-US"/>
        </w:rPr>
        <w:t>c</w:t>
      </w:r>
      <w:r w:rsidR="00DB5631" w:rsidRPr="00766762">
        <w:rPr>
          <w:rFonts w:eastAsiaTheme="minorHAnsi"/>
          <w:lang w:eastAsia="en-US"/>
        </w:rPr>
        <w:t xml:space="preserve">ommittees </w:t>
      </w:r>
      <w:r w:rsidR="00215AD9" w:rsidRPr="00766762">
        <w:rPr>
          <w:rFonts w:eastAsiaTheme="minorHAnsi"/>
          <w:lang w:eastAsia="en-US"/>
        </w:rPr>
        <w:t xml:space="preserve">and </w:t>
      </w:r>
      <w:r w:rsidR="00672699">
        <w:rPr>
          <w:rFonts w:eastAsiaTheme="minorHAnsi"/>
          <w:lang w:eastAsia="en-US"/>
        </w:rPr>
        <w:t>w</w:t>
      </w:r>
      <w:r w:rsidR="00DB5631" w:rsidRPr="00766762">
        <w:rPr>
          <w:rFonts w:eastAsiaTheme="minorHAnsi"/>
          <w:lang w:eastAsia="en-US"/>
        </w:rPr>
        <w:t xml:space="preserve">orking </w:t>
      </w:r>
      <w:r w:rsidR="00672699">
        <w:rPr>
          <w:rFonts w:eastAsiaTheme="minorHAnsi"/>
          <w:lang w:eastAsia="en-US"/>
        </w:rPr>
        <w:t>g</w:t>
      </w:r>
      <w:r w:rsidR="00DB5631" w:rsidRPr="00766762">
        <w:rPr>
          <w:rFonts w:eastAsiaTheme="minorHAnsi"/>
          <w:lang w:eastAsia="en-US"/>
        </w:rPr>
        <w:t>roups</w:t>
      </w:r>
      <w:r w:rsidR="00215AD9" w:rsidRPr="00766762">
        <w:rPr>
          <w:rFonts w:eastAsiaTheme="minorHAnsi"/>
          <w:lang w:eastAsia="en-US"/>
        </w:rPr>
        <w:t xml:space="preserve">. </w:t>
      </w:r>
      <w:r w:rsidR="007F29F9">
        <w:rPr>
          <w:rFonts w:eastAsiaTheme="minorHAnsi"/>
          <w:lang w:eastAsia="en-US"/>
        </w:rPr>
        <w:t>Consumers</w:t>
      </w:r>
      <w:r w:rsidR="007F29F9" w:rsidRPr="00766762">
        <w:rPr>
          <w:rFonts w:eastAsiaTheme="minorHAnsi"/>
          <w:lang w:eastAsia="en-US"/>
        </w:rPr>
        <w:t xml:space="preserve"> </w:t>
      </w:r>
      <w:r w:rsidR="00215AD9" w:rsidRPr="00766762">
        <w:rPr>
          <w:rFonts w:eastAsiaTheme="minorHAnsi"/>
          <w:lang w:eastAsia="en-US"/>
        </w:rPr>
        <w:t xml:space="preserve">were identified in a range of ways: completion of an online expression of interest; completion of a </w:t>
      </w:r>
      <w:r w:rsidR="008F4E2C">
        <w:rPr>
          <w:rFonts w:eastAsiaTheme="minorHAnsi"/>
          <w:lang w:eastAsia="en-US"/>
        </w:rPr>
        <w:t xml:space="preserve">Consumers Health Forum </w:t>
      </w:r>
      <w:r w:rsidR="00215AD9" w:rsidRPr="00766762">
        <w:rPr>
          <w:rFonts w:eastAsiaTheme="minorHAnsi"/>
          <w:lang w:eastAsia="en-US"/>
        </w:rPr>
        <w:t xml:space="preserve">expression of interest; or direct nomination by the </w:t>
      </w:r>
      <w:r w:rsidR="00672699">
        <w:rPr>
          <w:rFonts w:eastAsiaTheme="minorHAnsi"/>
          <w:lang w:eastAsia="en-US"/>
        </w:rPr>
        <w:t>c</w:t>
      </w:r>
      <w:r w:rsidR="00DB5631" w:rsidRPr="00766762">
        <w:rPr>
          <w:rFonts w:eastAsiaTheme="minorHAnsi"/>
          <w:lang w:eastAsia="en-US"/>
        </w:rPr>
        <w:t xml:space="preserve">ommittee </w:t>
      </w:r>
      <w:r w:rsidR="00672699">
        <w:rPr>
          <w:rFonts w:eastAsiaTheme="minorHAnsi"/>
          <w:lang w:eastAsia="en-US"/>
        </w:rPr>
        <w:t>c</w:t>
      </w:r>
      <w:r w:rsidR="00215AD9" w:rsidRPr="00766762">
        <w:rPr>
          <w:rFonts w:eastAsiaTheme="minorHAnsi"/>
          <w:lang w:eastAsia="en-US"/>
        </w:rPr>
        <w:t>hairperson.</w:t>
      </w:r>
    </w:p>
    <w:p w:rsidR="008F4E2C" w:rsidRDefault="008F4E2C" w:rsidP="00B11243">
      <w:pPr>
        <w:pStyle w:val="Bullet-green"/>
        <w:spacing w:after="180" w:line="240" w:lineRule="auto"/>
        <w:rPr>
          <w:rFonts w:eastAsiaTheme="minorHAnsi"/>
          <w:lang w:eastAsia="en-US"/>
        </w:rPr>
      </w:pPr>
      <w:r>
        <w:rPr>
          <w:rFonts w:eastAsiaTheme="minorHAnsi"/>
          <w:lang w:eastAsia="en-US"/>
        </w:rPr>
        <w:t>Wider public c</w:t>
      </w:r>
      <w:r w:rsidR="00215AD9" w:rsidRPr="00766762">
        <w:rPr>
          <w:rFonts w:eastAsiaTheme="minorHAnsi"/>
          <w:lang w:eastAsia="en-US"/>
        </w:rPr>
        <w:t xml:space="preserve">onsultation was managed by the </w:t>
      </w:r>
      <w:r w:rsidR="006E23D6">
        <w:rPr>
          <w:rFonts w:eastAsiaTheme="minorHAnsi"/>
          <w:lang w:eastAsia="en-US"/>
        </w:rPr>
        <w:t>D</w:t>
      </w:r>
      <w:r w:rsidR="00215AD9" w:rsidRPr="00766762">
        <w:rPr>
          <w:rFonts w:eastAsiaTheme="minorHAnsi"/>
          <w:lang w:eastAsia="en-US"/>
        </w:rPr>
        <w:t>epartment and occurred mainly via</w:t>
      </w:r>
      <w:r>
        <w:rPr>
          <w:rFonts w:eastAsiaTheme="minorHAnsi"/>
          <w:lang w:eastAsia="en-US"/>
        </w:rPr>
        <w:t>:</w:t>
      </w:r>
    </w:p>
    <w:p w:rsidR="008F4E2C" w:rsidRDefault="00215AD9" w:rsidP="000C2A76">
      <w:pPr>
        <w:pStyle w:val="ListParagraph"/>
        <w:numPr>
          <w:ilvl w:val="1"/>
          <w:numId w:val="20"/>
        </w:numPr>
        <w:spacing w:before="0" w:after="180" w:line="240" w:lineRule="auto"/>
        <w:ind w:left="851" w:hanging="425"/>
        <w:contextualSpacing w:val="0"/>
        <w:rPr>
          <w:rFonts w:eastAsiaTheme="minorHAnsi"/>
          <w:lang w:eastAsia="en-US"/>
        </w:rPr>
      </w:pPr>
      <w:r w:rsidRPr="00766762">
        <w:rPr>
          <w:rFonts w:eastAsiaTheme="minorHAnsi"/>
          <w:lang w:eastAsia="en-US"/>
        </w:rPr>
        <w:t xml:space="preserve">online responses to draft </w:t>
      </w:r>
      <w:r w:rsidR="00CA00EC">
        <w:rPr>
          <w:rFonts w:eastAsiaTheme="minorHAnsi"/>
          <w:lang w:eastAsia="en-US"/>
        </w:rPr>
        <w:t>reports</w:t>
      </w:r>
      <w:r w:rsidR="00CA00EC" w:rsidRPr="00766762">
        <w:rPr>
          <w:rFonts w:eastAsiaTheme="minorHAnsi"/>
          <w:lang w:eastAsia="en-US"/>
        </w:rPr>
        <w:t xml:space="preserve"> </w:t>
      </w:r>
      <w:r w:rsidR="008F4E2C">
        <w:rPr>
          <w:rFonts w:eastAsiaTheme="minorHAnsi"/>
          <w:lang w:eastAsia="en-US"/>
        </w:rPr>
        <w:t>and</w:t>
      </w:r>
    </w:p>
    <w:p w:rsidR="008F4E2C" w:rsidRPr="007561FB" w:rsidRDefault="00215AD9" w:rsidP="000C2A76">
      <w:pPr>
        <w:pStyle w:val="ListParagraph"/>
        <w:numPr>
          <w:ilvl w:val="1"/>
          <w:numId w:val="20"/>
        </w:numPr>
        <w:spacing w:before="0" w:after="180" w:line="240" w:lineRule="auto"/>
        <w:ind w:left="851" w:hanging="425"/>
        <w:contextualSpacing w:val="0"/>
        <w:rPr>
          <w:rFonts w:eastAsiaTheme="minorHAnsi"/>
          <w:lang w:eastAsia="en-US"/>
        </w:rPr>
      </w:pPr>
      <w:r w:rsidRPr="00766762">
        <w:rPr>
          <w:rFonts w:eastAsiaTheme="minorHAnsi"/>
          <w:lang w:eastAsia="en-US"/>
        </w:rPr>
        <w:t xml:space="preserve">targeted methods where reports were sent directly to stakeholders </w:t>
      </w:r>
      <w:r w:rsidR="00CA00EC">
        <w:rPr>
          <w:rFonts w:eastAsiaTheme="minorHAnsi"/>
          <w:lang w:eastAsia="en-US"/>
        </w:rPr>
        <w:t>and/</w:t>
      </w:r>
      <w:r w:rsidRPr="00766762">
        <w:rPr>
          <w:rFonts w:eastAsiaTheme="minorHAnsi"/>
          <w:lang w:eastAsia="en-US"/>
        </w:rPr>
        <w:t xml:space="preserve">or meetings were held with stakeholders to discuss draft recommendations. </w:t>
      </w:r>
    </w:p>
    <w:p w:rsidR="002053C8" w:rsidRDefault="00CC6591" w:rsidP="002053C8">
      <w:pPr>
        <w:pStyle w:val="Bullet-green"/>
        <w:numPr>
          <w:ilvl w:val="0"/>
          <w:numId w:val="0"/>
        </w:numPr>
        <w:spacing w:after="240" w:line="240" w:lineRule="auto"/>
      </w:pPr>
      <w:r>
        <w:t>The formation of the</w:t>
      </w:r>
      <w:r w:rsidR="008F4E2C">
        <w:t xml:space="preserve"> </w:t>
      </w:r>
      <w:r w:rsidR="006E23D6">
        <w:t xml:space="preserve">Consumer </w:t>
      </w:r>
      <w:r w:rsidR="008F4E2C">
        <w:t>Panel in 2016 reflected the priority given by the Taskforce to consumer engagement in the Review.</w:t>
      </w:r>
    </w:p>
    <w:p w:rsidR="002053C8" w:rsidRDefault="002053C8">
      <w:pPr>
        <w:spacing w:before="0" w:after="0" w:line="240" w:lineRule="auto"/>
      </w:pPr>
      <w:r>
        <w:br w:type="page"/>
      </w:r>
    </w:p>
    <w:p w:rsidR="0048761C" w:rsidRPr="00916B35" w:rsidRDefault="00F240FE" w:rsidP="002053C8">
      <w:pPr>
        <w:pStyle w:val="Heading1"/>
        <w:spacing w:before="360" w:after="180" w:line="240" w:lineRule="auto"/>
        <w:ind w:left="431" w:hanging="431"/>
        <w:rPr>
          <w:bCs w:val="0"/>
        </w:rPr>
      </w:pPr>
      <w:bookmarkStart w:id="33" w:name="_Toc33103186"/>
      <w:r w:rsidRPr="00916B35">
        <w:rPr>
          <w:bCs w:val="0"/>
        </w:rPr>
        <w:lastRenderedPageBreak/>
        <w:t>The Consumer Panel</w:t>
      </w:r>
      <w:bookmarkEnd w:id="33"/>
    </w:p>
    <w:p w:rsidR="00FE6858" w:rsidRPr="00175EA4" w:rsidRDefault="00FE6858" w:rsidP="00175EA4">
      <w:pPr>
        <w:pStyle w:val="Heading2"/>
        <w:spacing w:before="240" w:after="120"/>
        <w:ind w:left="-414" w:hanging="578"/>
        <w:rPr>
          <w:sz w:val="32"/>
          <w:szCs w:val="32"/>
        </w:rPr>
      </w:pPr>
      <w:bookmarkStart w:id="34" w:name="_Toc33103187"/>
      <w:r w:rsidRPr="00175EA4">
        <w:rPr>
          <w:sz w:val="32"/>
          <w:szCs w:val="32"/>
        </w:rPr>
        <w:t>Background</w:t>
      </w:r>
      <w:bookmarkEnd w:id="34"/>
    </w:p>
    <w:p w:rsidR="00FE6858" w:rsidRDefault="00FE6858" w:rsidP="00FE6858">
      <w:pPr>
        <w:spacing w:before="0" w:after="180" w:line="240" w:lineRule="auto"/>
        <w:rPr>
          <w:rFonts w:eastAsiaTheme="minorHAnsi"/>
          <w:lang w:eastAsia="en-US"/>
        </w:rPr>
      </w:pPr>
      <w:r w:rsidRPr="0048761C">
        <w:rPr>
          <w:rFonts w:eastAsiaTheme="minorHAnsi"/>
          <w:lang w:eastAsia="en-US"/>
        </w:rPr>
        <w:t xml:space="preserve">There was a commitment at the highest levels, from the outset, to consumer engagement in the MBS Review. When announcing the Review, the then-Minister said: </w:t>
      </w:r>
    </w:p>
    <w:p w:rsidR="00FE6858" w:rsidRPr="0034114A" w:rsidRDefault="00FE6858" w:rsidP="00FE6858">
      <w:pPr>
        <w:pStyle w:val="BoxText"/>
        <w:rPr>
          <w:rFonts w:eastAsiaTheme="minorHAnsi"/>
          <w:lang w:eastAsia="en-US"/>
        </w:rPr>
      </w:pPr>
      <w:r w:rsidRPr="0082064A">
        <w:rPr>
          <w:rFonts w:eastAsiaTheme="minorHAnsi"/>
          <w:i/>
          <w:lang w:eastAsia="en-US"/>
        </w:rPr>
        <w:t xml:space="preserve">[we will] work hand-in-hand with health professionals and patients to deliver a healthier Medicare … reform [will] draw on a broad range of expertise and experiences … including: </w:t>
      </w:r>
      <w:r w:rsidR="00672699">
        <w:rPr>
          <w:rFonts w:eastAsiaTheme="minorHAnsi"/>
          <w:i/>
          <w:lang w:eastAsia="en-US"/>
        </w:rPr>
        <w:t>c</w:t>
      </w:r>
      <w:r w:rsidRPr="0082064A">
        <w:rPr>
          <w:rFonts w:eastAsiaTheme="minorHAnsi"/>
          <w:i/>
          <w:lang w:eastAsia="en-US"/>
        </w:rPr>
        <w:t xml:space="preserve">linicians (GPs and Specialists); </w:t>
      </w:r>
      <w:r w:rsidR="00672699">
        <w:rPr>
          <w:rFonts w:eastAsiaTheme="minorHAnsi"/>
          <w:i/>
          <w:lang w:eastAsia="en-US"/>
        </w:rPr>
        <w:t>c</w:t>
      </w:r>
      <w:r w:rsidRPr="0082064A">
        <w:rPr>
          <w:rFonts w:eastAsiaTheme="minorHAnsi"/>
          <w:i/>
          <w:lang w:eastAsia="en-US"/>
        </w:rPr>
        <w:t xml:space="preserve">onsumer and </w:t>
      </w:r>
      <w:r w:rsidR="00672699">
        <w:rPr>
          <w:rFonts w:eastAsiaTheme="minorHAnsi"/>
          <w:i/>
          <w:lang w:eastAsia="en-US"/>
        </w:rPr>
        <w:t>p</w:t>
      </w:r>
      <w:r w:rsidRPr="0082064A">
        <w:rPr>
          <w:rFonts w:eastAsiaTheme="minorHAnsi"/>
          <w:i/>
          <w:lang w:eastAsia="en-US"/>
        </w:rPr>
        <w:t xml:space="preserve">atient </w:t>
      </w:r>
      <w:r w:rsidR="00672699">
        <w:rPr>
          <w:rFonts w:eastAsiaTheme="minorHAnsi"/>
          <w:i/>
          <w:lang w:eastAsia="en-US"/>
        </w:rPr>
        <w:t>r</w:t>
      </w:r>
      <w:r w:rsidRPr="0082064A">
        <w:rPr>
          <w:rFonts w:eastAsiaTheme="minorHAnsi"/>
          <w:i/>
          <w:lang w:eastAsia="en-US"/>
        </w:rPr>
        <w:t xml:space="preserve">epresentatives; </w:t>
      </w:r>
      <w:r w:rsidR="00672699">
        <w:rPr>
          <w:rFonts w:eastAsiaTheme="minorHAnsi"/>
          <w:i/>
          <w:lang w:eastAsia="en-US"/>
        </w:rPr>
        <w:t>a</w:t>
      </w:r>
      <w:r w:rsidRPr="0082064A">
        <w:rPr>
          <w:rFonts w:eastAsiaTheme="minorHAnsi"/>
          <w:i/>
          <w:lang w:eastAsia="en-US"/>
        </w:rPr>
        <w:t xml:space="preserve">cademics; Primary Health Networks; </w:t>
      </w:r>
      <w:r w:rsidR="00672699">
        <w:rPr>
          <w:rFonts w:eastAsiaTheme="minorHAnsi"/>
          <w:i/>
          <w:lang w:eastAsia="en-US"/>
        </w:rPr>
        <w:t>n</w:t>
      </w:r>
      <w:r w:rsidRPr="0082064A">
        <w:rPr>
          <w:rFonts w:eastAsiaTheme="minorHAnsi"/>
          <w:i/>
          <w:lang w:eastAsia="en-US"/>
        </w:rPr>
        <w:t xml:space="preserve">urses; </w:t>
      </w:r>
      <w:r w:rsidR="00672699">
        <w:rPr>
          <w:rFonts w:eastAsiaTheme="minorHAnsi"/>
          <w:i/>
          <w:lang w:eastAsia="en-US"/>
        </w:rPr>
        <w:t>a</w:t>
      </w:r>
      <w:r w:rsidRPr="0082064A">
        <w:rPr>
          <w:rFonts w:eastAsiaTheme="minorHAnsi"/>
          <w:i/>
          <w:lang w:eastAsia="en-US"/>
        </w:rPr>
        <w:t xml:space="preserve">llied </w:t>
      </w:r>
      <w:r w:rsidR="00672699">
        <w:rPr>
          <w:rFonts w:eastAsiaTheme="minorHAnsi"/>
          <w:i/>
          <w:lang w:eastAsia="en-US"/>
        </w:rPr>
        <w:t>h</w:t>
      </w:r>
      <w:r w:rsidRPr="0082064A">
        <w:rPr>
          <w:rFonts w:eastAsiaTheme="minorHAnsi"/>
          <w:i/>
          <w:lang w:eastAsia="en-US"/>
        </w:rPr>
        <w:t xml:space="preserve">ealth </w:t>
      </w:r>
      <w:r w:rsidR="00672699">
        <w:rPr>
          <w:rFonts w:eastAsiaTheme="minorHAnsi"/>
          <w:i/>
          <w:lang w:eastAsia="en-US"/>
        </w:rPr>
        <w:t>p</w:t>
      </w:r>
      <w:r w:rsidRPr="0082064A">
        <w:rPr>
          <w:rFonts w:eastAsiaTheme="minorHAnsi"/>
          <w:i/>
          <w:lang w:eastAsia="en-US"/>
        </w:rPr>
        <w:t xml:space="preserve">rofessionals; </w:t>
      </w:r>
      <w:r w:rsidR="00672699">
        <w:rPr>
          <w:rFonts w:eastAsiaTheme="minorHAnsi"/>
          <w:i/>
          <w:lang w:eastAsia="en-US"/>
        </w:rPr>
        <w:t>h</w:t>
      </w:r>
      <w:r w:rsidRPr="0082064A">
        <w:rPr>
          <w:rFonts w:eastAsiaTheme="minorHAnsi"/>
          <w:i/>
          <w:lang w:eastAsia="en-US"/>
        </w:rPr>
        <w:t xml:space="preserve">ealth </w:t>
      </w:r>
      <w:r w:rsidR="00672699">
        <w:rPr>
          <w:rFonts w:eastAsiaTheme="minorHAnsi"/>
          <w:i/>
          <w:lang w:eastAsia="en-US"/>
        </w:rPr>
        <w:t>e</w:t>
      </w:r>
      <w:r w:rsidRPr="0082064A">
        <w:rPr>
          <w:rFonts w:eastAsiaTheme="minorHAnsi"/>
          <w:i/>
          <w:lang w:eastAsia="en-US"/>
        </w:rPr>
        <w:t xml:space="preserve">conomists; and </w:t>
      </w:r>
      <w:r w:rsidR="00672699">
        <w:rPr>
          <w:rFonts w:eastAsiaTheme="minorHAnsi"/>
          <w:i/>
          <w:lang w:eastAsia="en-US"/>
        </w:rPr>
        <w:t>s</w:t>
      </w:r>
      <w:r w:rsidRPr="0082064A">
        <w:rPr>
          <w:rFonts w:eastAsiaTheme="minorHAnsi"/>
          <w:i/>
          <w:lang w:eastAsia="en-US"/>
        </w:rPr>
        <w:t xml:space="preserve">tates and </w:t>
      </w:r>
      <w:r w:rsidR="00672699">
        <w:rPr>
          <w:rFonts w:eastAsiaTheme="minorHAnsi"/>
          <w:i/>
          <w:lang w:eastAsia="en-US"/>
        </w:rPr>
        <w:t>t</w:t>
      </w:r>
      <w:r w:rsidRPr="0082064A">
        <w:rPr>
          <w:rFonts w:eastAsiaTheme="minorHAnsi"/>
          <w:i/>
          <w:lang w:eastAsia="en-US"/>
        </w:rPr>
        <w:t>erritories.</w:t>
      </w:r>
      <w:r w:rsidR="008B31A3">
        <w:rPr>
          <w:rFonts w:eastAsiaTheme="minorHAnsi"/>
          <w:i/>
          <w:lang w:eastAsia="en-US"/>
        </w:rPr>
        <w:t xml:space="preserve"> </w:t>
      </w:r>
      <w:sdt>
        <w:sdtPr>
          <w:rPr>
            <w:rFonts w:eastAsiaTheme="minorHAnsi"/>
            <w:i/>
            <w:lang w:eastAsia="en-US"/>
          </w:rPr>
          <w:id w:val="-1867060684"/>
          <w:citation/>
        </w:sdtPr>
        <w:sdtEndPr/>
        <w:sdtContent>
          <w:r w:rsidR="008B31A3">
            <w:rPr>
              <w:rFonts w:eastAsiaTheme="minorHAnsi"/>
              <w:i/>
              <w:lang w:eastAsia="en-US"/>
            </w:rPr>
            <w:fldChar w:fldCharType="begin"/>
          </w:r>
          <w:r w:rsidR="008B31A3">
            <w:rPr>
              <w:rFonts w:eastAsiaTheme="minorHAnsi"/>
              <w:i/>
              <w:lang w:eastAsia="en-US"/>
            </w:rPr>
            <w:instrText xml:space="preserve"> CITATION The15 \l 3081 </w:instrText>
          </w:r>
          <w:r w:rsidR="008B31A3">
            <w:rPr>
              <w:rFonts w:eastAsiaTheme="minorHAnsi"/>
              <w:i/>
              <w:lang w:eastAsia="en-US"/>
            </w:rPr>
            <w:fldChar w:fldCharType="separate"/>
          </w:r>
          <w:r w:rsidR="008B31A3" w:rsidRPr="008B31A3">
            <w:rPr>
              <w:rFonts w:eastAsiaTheme="minorHAnsi"/>
              <w:noProof/>
              <w:lang w:eastAsia="en-US"/>
            </w:rPr>
            <w:t>(5)</w:t>
          </w:r>
          <w:r w:rsidR="008B31A3">
            <w:rPr>
              <w:rFonts w:eastAsiaTheme="minorHAnsi"/>
              <w:i/>
              <w:lang w:eastAsia="en-US"/>
            </w:rPr>
            <w:fldChar w:fldCharType="end"/>
          </w:r>
        </w:sdtContent>
      </w:sdt>
    </w:p>
    <w:p w:rsidR="00FE6858" w:rsidRDefault="00FE6858" w:rsidP="00FE6858">
      <w:pPr>
        <w:spacing w:after="180" w:line="240" w:lineRule="auto"/>
        <w:rPr>
          <w:rFonts w:eastAsiaTheme="minorHAnsi"/>
          <w:lang w:eastAsia="en-US"/>
        </w:rPr>
      </w:pPr>
      <w:r w:rsidRPr="0048761C">
        <w:rPr>
          <w:rFonts w:eastAsiaTheme="minorHAnsi"/>
          <w:lang w:eastAsia="en-US"/>
        </w:rPr>
        <w:t xml:space="preserve">There was already national agreement and support for health care occurring through a patient </w:t>
      </w:r>
      <w:r>
        <w:rPr>
          <w:rFonts w:eastAsiaTheme="minorHAnsi"/>
          <w:lang w:eastAsia="en-US"/>
        </w:rPr>
        <w:t>/</w:t>
      </w:r>
      <w:r w:rsidRPr="0048761C">
        <w:rPr>
          <w:rFonts w:eastAsiaTheme="minorHAnsi"/>
          <w:lang w:eastAsia="en-US"/>
        </w:rPr>
        <w:t xml:space="preserve"> person</w:t>
      </w:r>
      <w:r>
        <w:rPr>
          <w:rFonts w:eastAsiaTheme="minorHAnsi"/>
          <w:lang w:eastAsia="en-US"/>
        </w:rPr>
        <w:t>/</w:t>
      </w:r>
      <w:r w:rsidRPr="0048761C">
        <w:rPr>
          <w:rFonts w:eastAsiaTheme="minorHAnsi"/>
          <w:lang w:eastAsia="en-US"/>
        </w:rPr>
        <w:t xml:space="preserve"> consumer-centred approach, via partnerships between health professionals and consumers at the individual, service and system level</w:t>
      </w:r>
      <w:r>
        <w:rPr>
          <w:rFonts w:eastAsiaTheme="minorHAnsi"/>
          <w:lang w:eastAsia="en-US"/>
        </w:rPr>
        <w:t xml:space="preserve"> </w:t>
      </w:r>
      <w:r w:rsidRPr="000B3102">
        <w:rPr>
          <w:rFonts w:eastAsiaTheme="minorHAnsi"/>
          <w:lang w:eastAsia="en-US"/>
        </w:rPr>
        <w:t>(see Glossary of c</w:t>
      </w:r>
      <w:r>
        <w:rPr>
          <w:rFonts w:eastAsiaTheme="minorHAnsi"/>
          <w:lang w:eastAsia="en-US"/>
        </w:rPr>
        <w:t>onsumer terminology – section 10</w:t>
      </w:r>
      <w:r w:rsidRPr="000B3102">
        <w:rPr>
          <w:rFonts w:eastAsiaTheme="minorHAnsi"/>
          <w:lang w:eastAsia="en-US"/>
        </w:rPr>
        <w:t>). The nature of these partnerships wa</w:t>
      </w:r>
      <w:r w:rsidRPr="0048761C">
        <w:rPr>
          <w:rFonts w:eastAsiaTheme="minorHAnsi"/>
          <w:lang w:eastAsia="en-US"/>
        </w:rPr>
        <w:t xml:space="preserve">s detailed by the Australian Commission for Safety and Quality in Health Care (ACSQHC) and supported by all Australian health ministers and governments: </w:t>
      </w:r>
    </w:p>
    <w:p w:rsidR="00FE6858" w:rsidRDefault="00FE6858" w:rsidP="00FE6858">
      <w:pPr>
        <w:pStyle w:val="BoxText"/>
      </w:pPr>
      <w:r w:rsidRPr="0082064A">
        <w:rPr>
          <w:rFonts w:eastAsiaTheme="minorHAnsi"/>
          <w:i/>
          <w:lang w:eastAsia="en-US"/>
        </w:rPr>
        <w:t>The patient-centred approach to health care treats each person respectfully as an individual human being and not as a condition to be treated. It involves not just the patient, but families, carers and other supporters. It is concerned about the patient’s comfort and surroundings as well as their beliefs and values.  A patient-centred approach makes care safer and of higher quality. It provides demonstrable personal, clinical and organisational benefits. It also satisfies an ethical imperative – involving patients in their own care and in the planning and governance of the health system is the right thing to do.</w:t>
      </w:r>
      <w:r w:rsidRPr="0048761C">
        <w:rPr>
          <w:rFonts w:eastAsiaTheme="minorHAnsi"/>
          <w:lang w:eastAsia="en-US"/>
        </w:rPr>
        <w:t xml:space="preserve"> </w:t>
      </w:r>
      <w:sdt>
        <w:sdtPr>
          <w:rPr>
            <w:rFonts w:eastAsiaTheme="minorHAnsi"/>
            <w:lang w:eastAsia="en-US"/>
          </w:rPr>
          <w:id w:val="-1502040483"/>
          <w:citation/>
        </w:sdtPr>
        <w:sdtEndPr/>
        <w:sdtContent>
          <w:r w:rsidR="008B31A3">
            <w:rPr>
              <w:rFonts w:eastAsiaTheme="minorHAnsi"/>
              <w:lang w:eastAsia="en-US"/>
            </w:rPr>
            <w:fldChar w:fldCharType="begin"/>
          </w:r>
          <w:r w:rsidR="008B31A3">
            <w:rPr>
              <w:rFonts w:eastAsiaTheme="minorHAnsi"/>
              <w:lang w:eastAsia="en-US"/>
            </w:rPr>
            <w:instrText xml:space="preserve"> CITATION Aus12 \l 3081 </w:instrText>
          </w:r>
          <w:r w:rsidR="008B31A3">
            <w:rPr>
              <w:rFonts w:eastAsiaTheme="minorHAnsi"/>
              <w:lang w:eastAsia="en-US"/>
            </w:rPr>
            <w:fldChar w:fldCharType="separate"/>
          </w:r>
          <w:r w:rsidR="008B31A3" w:rsidRPr="008B31A3">
            <w:rPr>
              <w:rFonts w:eastAsiaTheme="minorHAnsi"/>
              <w:noProof/>
              <w:lang w:eastAsia="en-US"/>
            </w:rPr>
            <w:t>(6)</w:t>
          </w:r>
          <w:r w:rsidR="008B31A3">
            <w:rPr>
              <w:rFonts w:eastAsiaTheme="minorHAnsi"/>
              <w:lang w:eastAsia="en-US"/>
            </w:rPr>
            <w:fldChar w:fldCharType="end"/>
          </w:r>
        </w:sdtContent>
      </w:sdt>
    </w:p>
    <w:p w:rsidR="00FE6858" w:rsidRDefault="00FE6858" w:rsidP="00FE6858">
      <w:pPr>
        <w:spacing w:before="0" w:after="180" w:line="240" w:lineRule="auto"/>
        <w:rPr>
          <w:rFonts w:eastAsiaTheme="minorHAnsi"/>
          <w:lang w:eastAsia="en-US"/>
        </w:rPr>
      </w:pPr>
      <w:r w:rsidRPr="0048761C">
        <w:rPr>
          <w:rFonts w:eastAsiaTheme="minorHAnsi"/>
          <w:lang w:eastAsia="en-US"/>
        </w:rPr>
        <w:lastRenderedPageBreak/>
        <w:t>The Review was established as clinician-led,</w:t>
      </w:r>
      <w:r>
        <w:rPr>
          <w:rFonts w:eastAsiaTheme="minorHAnsi"/>
          <w:lang w:eastAsia="en-US"/>
        </w:rPr>
        <w:t xml:space="preserve"> </w:t>
      </w:r>
      <w:r w:rsidRPr="0048761C">
        <w:rPr>
          <w:rFonts w:eastAsiaTheme="minorHAnsi"/>
          <w:lang w:eastAsia="en-US"/>
        </w:rPr>
        <w:t xml:space="preserve">structured around clinical practice, with consumers to be invited to give input and feedback: </w:t>
      </w:r>
    </w:p>
    <w:p w:rsidR="00FE6858" w:rsidRPr="0082064A" w:rsidRDefault="00FE6858" w:rsidP="00FE6858">
      <w:pPr>
        <w:pStyle w:val="BoxText"/>
        <w:rPr>
          <w:rFonts w:eastAsiaTheme="minorHAnsi"/>
          <w:lang w:eastAsia="en-US"/>
        </w:rPr>
      </w:pPr>
      <w:r w:rsidRPr="0082064A">
        <w:rPr>
          <w:rFonts w:eastAsiaTheme="minorHAnsi"/>
          <w:i/>
          <w:lang w:eastAsia="en-US"/>
        </w:rPr>
        <w:t xml:space="preserve">…we are calling on many small groups of clinicians, including those operating at the frontline of healthcare, to efficiently and effectively review the available evidence and generate recommendations with input and feedback from consumers and other stakeholders. </w:t>
      </w:r>
      <w:sdt>
        <w:sdtPr>
          <w:rPr>
            <w:rFonts w:eastAsiaTheme="minorHAnsi"/>
            <w:lang w:eastAsia="en-US"/>
          </w:rPr>
          <w:id w:val="-1056467473"/>
          <w:citation/>
        </w:sdtPr>
        <w:sdtEndPr/>
        <w:sdtContent>
          <w:r w:rsidRPr="0082064A">
            <w:rPr>
              <w:rFonts w:eastAsiaTheme="minorHAnsi"/>
              <w:lang w:eastAsia="en-US"/>
            </w:rPr>
            <w:fldChar w:fldCharType="begin"/>
          </w:r>
          <w:r w:rsidRPr="0082064A">
            <w:rPr>
              <w:rFonts w:eastAsiaTheme="minorHAnsi"/>
              <w:lang w:eastAsia="en-US"/>
            </w:rPr>
            <w:instrText xml:space="preserve"> CITATION Med15 \l 3081 </w:instrText>
          </w:r>
          <w:r w:rsidRPr="0082064A">
            <w:rPr>
              <w:rFonts w:eastAsiaTheme="minorHAnsi"/>
              <w:lang w:eastAsia="en-US"/>
            </w:rPr>
            <w:fldChar w:fldCharType="separate"/>
          </w:r>
          <w:r w:rsidR="00797B8D" w:rsidRPr="00797B8D">
            <w:rPr>
              <w:rFonts w:eastAsiaTheme="minorHAnsi"/>
              <w:noProof/>
              <w:lang w:eastAsia="en-US"/>
            </w:rPr>
            <w:t>(7)</w:t>
          </w:r>
          <w:r w:rsidRPr="0082064A">
            <w:rPr>
              <w:rFonts w:eastAsiaTheme="minorHAnsi"/>
              <w:lang w:eastAsia="en-US"/>
            </w:rPr>
            <w:fldChar w:fldCharType="end"/>
          </w:r>
        </w:sdtContent>
      </w:sdt>
    </w:p>
    <w:p w:rsidR="00FE6858" w:rsidRDefault="00FE6858" w:rsidP="00FE6858">
      <w:pPr>
        <w:spacing w:before="0" w:after="180" w:line="240" w:lineRule="auto"/>
        <w:rPr>
          <w:rFonts w:eastAsiaTheme="minorHAnsi"/>
          <w:lang w:eastAsia="en-US"/>
        </w:rPr>
      </w:pPr>
      <w:r w:rsidRPr="0048761C">
        <w:rPr>
          <w:rFonts w:eastAsiaTheme="minorHAnsi"/>
          <w:lang w:eastAsia="en-US"/>
        </w:rPr>
        <w:t xml:space="preserve">During this period, consumers, clinicians, researchers and policy influencers were articulating the health practice and system imperative for consumer-centred care. </w:t>
      </w:r>
      <w:r>
        <w:rPr>
          <w:rFonts w:eastAsiaTheme="minorHAnsi"/>
          <w:lang w:eastAsia="en-US"/>
        </w:rPr>
        <w:t>T</w:t>
      </w:r>
      <w:r w:rsidRPr="0048761C">
        <w:rPr>
          <w:rFonts w:eastAsiaTheme="minorHAnsi"/>
          <w:lang w:eastAsia="en-US"/>
        </w:rPr>
        <w:t>he Consumers Health Forum of Australia</w:t>
      </w:r>
      <w:r>
        <w:rPr>
          <w:rFonts w:eastAsiaTheme="minorHAnsi"/>
          <w:lang w:eastAsia="en-US"/>
        </w:rPr>
        <w:t xml:space="preserve">, as the peak national health consumer body, </w:t>
      </w:r>
      <w:r w:rsidRPr="0048761C">
        <w:rPr>
          <w:rFonts w:eastAsiaTheme="minorHAnsi"/>
          <w:lang w:eastAsia="en-US"/>
        </w:rPr>
        <w:t>joined with The George Institute for Global Health to release a shared vision: ‘Putting the consumer first – Creating a consumer-centred health system for a 21</w:t>
      </w:r>
      <w:r w:rsidRPr="0048761C">
        <w:rPr>
          <w:rFonts w:eastAsiaTheme="minorHAnsi"/>
          <w:vertAlign w:val="superscript"/>
          <w:lang w:eastAsia="en-US"/>
        </w:rPr>
        <w:t>st</w:t>
      </w:r>
      <w:r w:rsidRPr="0048761C">
        <w:rPr>
          <w:rFonts w:eastAsiaTheme="minorHAnsi"/>
          <w:lang w:eastAsia="en-US"/>
        </w:rPr>
        <w:t xml:space="preserve"> century Australia. A health policy report, April 2016’</w:t>
      </w:r>
      <w:sdt>
        <w:sdtPr>
          <w:rPr>
            <w:rFonts w:eastAsiaTheme="minorHAnsi"/>
            <w:lang w:eastAsia="en-US"/>
          </w:rPr>
          <w:id w:val="-1453789952"/>
          <w:citation/>
        </w:sdtPr>
        <w:sdtEndPr/>
        <w:sdtContent>
          <w:r>
            <w:rPr>
              <w:rFonts w:eastAsiaTheme="minorHAnsi"/>
              <w:lang w:eastAsia="en-US"/>
            </w:rPr>
            <w:fldChar w:fldCharType="begin"/>
          </w:r>
          <w:r>
            <w:rPr>
              <w:rFonts w:eastAsiaTheme="minorHAnsi"/>
              <w:lang w:eastAsia="en-US"/>
            </w:rPr>
            <w:instrText xml:space="preserve"> CITATION The16 \l 3081 </w:instrText>
          </w:r>
          <w:r>
            <w:rPr>
              <w:rFonts w:eastAsiaTheme="minorHAnsi"/>
              <w:lang w:eastAsia="en-US"/>
            </w:rPr>
            <w:fldChar w:fldCharType="separate"/>
          </w:r>
          <w:r w:rsidR="00797B8D">
            <w:rPr>
              <w:rFonts w:eastAsiaTheme="minorHAnsi"/>
              <w:noProof/>
              <w:lang w:eastAsia="en-US"/>
            </w:rPr>
            <w:t xml:space="preserve"> </w:t>
          </w:r>
          <w:r w:rsidR="00797B8D" w:rsidRPr="00797B8D">
            <w:rPr>
              <w:rFonts w:eastAsiaTheme="minorHAnsi"/>
              <w:noProof/>
              <w:lang w:eastAsia="en-US"/>
            </w:rPr>
            <w:t>(8)</w:t>
          </w:r>
          <w:r>
            <w:rPr>
              <w:rFonts w:eastAsiaTheme="minorHAnsi"/>
              <w:lang w:eastAsia="en-US"/>
            </w:rPr>
            <w:fldChar w:fldCharType="end"/>
          </w:r>
        </w:sdtContent>
      </w:sdt>
      <w:r>
        <w:rPr>
          <w:rFonts w:eastAsiaTheme="minorHAnsi"/>
          <w:lang w:eastAsia="en-US"/>
        </w:rPr>
        <w:t>:</w:t>
      </w:r>
    </w:p>
    <w:p w:rsidR="00FE6858" w:rsidRPr="0048761C" w:rsidRDefault="00FE6858" w:rsidP="00FE6858">
      <w:pPr>
        <w:spacing w:before="0" w:after="180" w:line="240" w:lineRule="auto"/>
        <w:rPr>
          <w:rFonts w:eastAsiaTheme="minorHAnsi"/>
          <w:lang w:eastAsia="en-US"/>
        </w:rPr>
      </w:pPr>
      <w:r>
        <w:rPr>
          <w:rFonts w:eastAsiaTheme="minorHAnsi"/>
          <w:lang w:eastAsia="en-US"/>
        </w:rPr>
        <w:t>This report</w:t>
      </w:r>
      <w:r w:rsidRPr="0048761C">
        <w:rPr>
          <w:rFonts w:eastAsiaTheme="minorHAnsi"/>
          <w:lang w:eastAsia="en-US"/>
        </w:rPr>
        <w:t xml:space="preserve"> made eight recommendations: </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Develop a National Vision for Australia’s Health 2025 through the Council of Australian Governments (COAG), that describes and commits to the principles of consumer-centred healthcare</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Involve consumers in governance arrangements throughout all levels of healthcare and research </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Invest in empowering consumers to become more involved in healthcare design and delivery, and self-management of their health </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Define consumer-centred professional practice as a core healthcare professional competency across all levels of healthcare education, to grow skills in working with patients and as part of multidisciplinary teams </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lastRenderedPageBreak/>
        <w:t xml:space="preserve">Ensure that consumer experience drives the health system by routinely measuring and benchmarking patient experiences and outcomes across the health system, and making this information publically available to allow informed decision-making </w:t>
      </w:r>
    </w:p>
    <w:p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Enable innovation in healthcare while ensuring new approaches are evidence-based, developed collaboratively and ‘fit for purpose’ </w:t>
      </w:r>
    </w:p>
    <w:p w:rsidR="00FE6858" w:rsidRDefault="00FE6858" w:rsidP="00FE6858">
      <w:pPr>
        <w:pStyle w:val="ListParagraph"/>
        <w:numPr>
          <w:ilvl w:val="0"/>
          <w:numId w:val="15"/>
        </w:numPr>
        <w:spacing w:before="0" w:after="180" w:line="240" w:lineRule="auto"/>
        <w:contextualSpacing w:val="0"/>
        <w:rPr>
          <w:rFonts w:eastAsiaTheme="minorHAnsi"/>
          <w:lang w:eastAsia="en-US"/>
        </w:rPr>
      </w:pPr>
      <w:r w:rsidRPr="00F240FE">
        <w:rPr>
          <w:rFonts w:eastAsiaTheme="minorHAnsi"/>
          <w:lang w:eastAsia="en-US"/>
        </w:rPr>
        <w:t xml:space="preserve">Adjust drivers to create the right policy, infrastructure and incentive platforms to drive change and support consumer-centred care </w:t>
      </w:r>
    </w:p>
    <w:p w:rsidR="00FE6858" w:rsidRPr="00F240FE" w:rsidRDefault="00FE6858" w:rsidP="00FE6858">
      <w:pPr>
        <w:pStyle w:val="ListParagraph"/>
        <w:numPr>
          <w:ilvl w:val="0"/>
          <w:numId w:val="15"/>
        </w:numPr>
        <w:spacing w:before="0" w:after="180" w:line="240" w:lineRule="auto"/>
        <w:contextualSpacing w:val="0"/>
        <w:rPr>
          <w:rFonts w:eastAsiaTheme="minorHAnsi"/>
          <w:lang w:eastAsia="en-US"/>
        </w:rPr>
      </w:pPr>
      <w:r w:rsidRPr="00F240FE">
        <w:rPr>
          <w:rFonts w:eastAsiaTheme="minorHAnsi"/>
          <w:lang w:eastAsia="en-US"/>
        </w:rPr>
        <w:t>Develop a change management strategy to facilitate the implementation of a consumer-centred health system</w:t>
      </w:r>
    </w:p>
    <w:p w:rsidR="00FE6858" w:rsidRPr="00175EA4" w:rsidRDefault="00FE6858" w:rsidP="00175EA4">
      <w:pPr>
        <w:pStyle w:val="Heading2"/>
        <w:spacing w:before="240" w:after="120"/>
        <w:ind w:left="-414" w:hanging="578"/>
        <w:rPr>
          <w:sz w:val="32"/>
          <w:szCs w:val="32"/>
        </w:rPr>
      </w:pPr>
      <w:bookmarkStart w:id="35" w:name="_Toc33103188"/>
      <w:r w:rsidRPr="00175EA4">
        <w:rPr>
          <w:sz w:val="32"/>
          <w:szCs w:val="32"/>
        </w:rPr>
        <w:t>Establishment of the Consumer Panel</w:t>
      </w:r>
      <w:bookmarkEnd w:id="35"/>
    </w:p>
    <w:p w:rsidR="00FE6858" w:rsidRDefault="00FE6858" w:rsidP="00FE6858">
      <w:pPr>
        <w:spacing w:before="0" w:after="180" w:line="240" w:lineRule="auto"/>
        <w:rPr>
          <w:rFonts w:eastAsiaTheme="minorHAnsi"/>
          <w:lang w:eastAsia="en-US"/>
        </w:rPr>
      </w:pPr>
      <w:r w:rsidRPr="0048761C">
        <w:rPr>
          <w:rFonts w:eastAsiaTheme="minorHAnsi"/>
          <w:lang w:eastAsia="en-US"/>
        </w:rPr>
        <w:t xml:space="preserve">Consumer advocacy from a range of quarters led to the convening of a meeting </w:t>
      </w:r>
      <w:r>
        <w:rPr>
          <w:rFonts w:eastAsiaTheme="minorHAnsi"/>
          <w:lang w:eastAsia="en-US"/>
        </w:rPr>
        <w:t xml:space="preserve">in June 2016 </w:t>
      </w:r>
      <w:r w:rsidRPr="0048761C">
        <w:rPr>
          <w:rFonts w:eastAsiaTheme="minorHAnsi"/>
          <w:lang w:eastAsia="en-US"/>
        </w:rPr>
        <w:t xml:space="preserve">by the Department and </w:t>
      </w:r>
      <w:r>
        <w:rPr>
          <w:rFonts w:eastAsiaTheme="minorHAnsi"/>
          <w:lang w:eastAsia="en-US"/>
        </w:rPr>
        <w:t>the Consumers Health Forum, to which</w:t>
      </w:r>
      <w:r w:rsidRPr="0048761C">
        <w:rPr>
          <w:rFonts w:eastAsiaTheme="minorHAnsi"/>
          <w:lang w:eastAsia="en-US"/>
        </w:rPr>
        <w:t xml:space="preserve"> consumers already appointed to Taskforce </w:t>
      </w:r>
      <w:r w:rsidR="00DB5631">
        <w:rPr>
          <w:rFonts w:eastAsiaTheme="minorHAnsi"/>
          <w:lang w:eastAsia="en-US"/>
        </w:rPr>
        <w:t>C</w:t>
      </w:r>
      <w:r w:rsidR="00DB5631" w:rsidRPr="0048761C">
        <w:rPr>
          <w:rFonts w:eastAsiaTheme="minorHAnsi"/>
          <w:lang w:eastAsia="en-US"/>
        </w:rPr>
        <w:t>ommittees</w:t>
      </w:r>
      <w:r w:rsidR="00DB5631">
        <w:rPr>
          <w:rFonts w:eastAsiaTheme="minorHAnsi"/>
          <w:lang w:eastAsia="en-US"/>
        </w:rPr>
        <w:t xml:space="preserve"> </w:t>
      </w:r>
      <w:r>
        <w:rPr>
          <w:rFonts w:eastAsiaTheme="minorHAnsi"/>
          <w:lang w:eastAsia="en-US"/>
        </w:rPr>
        <w:t>were invited</w:t>
      </w:r>
      <w:r w:rsidRPr="0048761C">
        <w:rPr>
          <w:rFonts w:eastAsiaTheme="minorHAnsi"/>
          <w:lang w:eastAsia="en-US"/>
        </w:rPr>
        <w:t xml:space="preserve">. </w:t>
      </w:r>
      <w:r>
        <w:rPr>
          <w:rFonts w:eastAsiaTheme="minorHAnsi"/>
          <w:lang w:eastAsia="en-US"/>
        </w:rPr>
        <w:t>A significant</w:t>
      </w:r>
      <w:r w:rsidRPr="0048761C">
        <w:rPr>
          <w:rFonts w:eastAsiaTheme="minorHAnsi"/>
          <w:lang w:eastAsia="en-US"/>
        </w:rPr>
        <w:t xml:space="preserve"> outcome</w:t>
      </w:r>
      <w:r>
        <w:rPr>
          <w:rFonts w:eastAsiaTheme="minorHAnsi"/>
          <w:lang w:eastAsia="en-US"/>
        </w:rPr>
        <w:t xml:space="preserve"> of this meeting</w:t>
      </w:r>
      <w:r w:rsidRPr="0048761C">
        <w:rPr>
          <w:rFonts w:eastAsiaTheme="minorHAnsi"/>
          <w:lang w:eastAsia="en-US"/>
        </w:rPr>
        <w:t xml:space="preserve"> was the formation of the MBS Review Taskforce Consumer Panel</w:t>
      </w:r>
      <w:r>
        <w:rPr>
          <w:rFonts w:eastAsiaTheme="minorHAnsi"/>
          <w:lang w:eastAsia="en-US"/>
        </w:rPr>
        <w:t xml:space="preserve">. </w:t>
      </w:r>
      <w:r w:rsidRPr="0048761C">
        <w:rPr>
          <w:rFonts w:eastAsiaTheme="minorHAnsi"/>
          <w:lang w:eastAsia="en-US"/>
        </w:rPr>
        <w:t xml:space="preserve">All current consumer members </w:t>
      </w:r>
      <w:r>
        <w:rPr>
          <w:rFonts w:eastAsiaTheme="minorHAnsi"/>
          <w:lang w:eastAsia="en-US"/>
        </w:rPr>
        <w:t xml:space="preserve">of Taskforce </w:t>
      </w:r>
      <w:r w:rsidR="00DB5631">
        <w:rPr>
          <w:rFonts w:eastAsiaTheme="minorHAnsi"/>
          <w:lang w:eastAsia="en-US"/>
        </w:rPr>
        <w:t xml:space="preserve">Committees </w:t>
      </w:r>
      <w:r w:rsidRPr="0048761C">
        <w:rPr>
          <w:rFonts w:eastAsiaTheme="minorHAnsi"/>
          <w:lang w:eastAsia="en-US"/>
        </w:rPr>
        <w:t>were invi</w:t>
      </w:r>
      <w:r>
        <w:rPr>
          <w:rFonts w:eastAsiaTheme="minorHAnsi"/>
          <w:lang w:eastAsia="en-US"/>
        </w:rPr>
        <w:t>ted – and agreed – to form the Panel. The first meeting was held in September 2016</w:t>
      </w:r>
      <w:r w:rsidRPr="002A3425">
        <w:rPr>
          <w:rFonts w:eastAsiaTheme="minorHAnsi"/>
          <w:lang w:eastAsia="en-US"/>
        </w:rPr>
        <w:t xml:space="preserve">. </w:t>
      </w:r>
    </w:p>
    <w:p w:rsidR="00FE6858" w:rsidRDefault="00FE6858" w:rsidP="00FE6858">
      <w:pPr>
        <w:spacing w:before="0" w:after="180" w:line="240" w:lineRule="auto"/>
      </w:pPr>
      <w:r>
        <w:t xml:space="preserve">The Panel was supported by a </w:t>
      </w:r>
      <w:r w:rsidR="001F1895">
        <w:t>s</w:t>
      </w:r>
      <w:r>
        <w:t>ecretariat within the Department of Health.</w:t>
      </w:r>
    </w:p>
    <w:p w:rsidR="00FE6858" w:rsidRDefault="00FE6858" w:rsidP="00FE6858">
      <w:pPr>
        <w:spacing w:before="0" w:after="180" w:line="240" w:lineRule="auto"/>
      </w:pPr>
      <w:r>
        <w:t>The Panel met 1</w:t>
      </w:r>
      <w:r w:rsidR="0002068A">
        <w:t>4</w:t>
      </w:r>
      <w:r>
        <w:t xml:space="preserve"> times (</w:t>
      </w:r>
      <w:r w:rsidR="00C476ED">
        <w:t>five</w:t>
      </w:r>
      <w:r>
        <w:t xml:space="preserve"> face to </w:t>
      </w:r>
      <w:r w:rsidR="00406513">
        <w:t>face, nine</w:t>
      </w:r>
      <w:r w:rsidR="00C476ED">
        <w:t xml:space="preserve"> via</w:t>
      </w:r>
      <w:r w:rsidR="0002068A">
        <w:t xml:space="preserve"> </w:t>
      </w:r>
      <w:r>
        <w:t>teleconfere</w:t>
      </w:r>
      <w:r w:rsidR="00406513">
        <w:t>nce</w:t>
      </w:r>
      <w:r>
        <w:t xml:space="preserve">) between September 2016 and </w:t>
      </w:r>
      <w:r w:rsidR="0002068A">
        <w:t>January 2020</w:t>
      </w:r>
      <w:r>
        <w:t>: three times in 2016, seven times in 2017, twice in 2018</w:t>
      </w:r>
      <w:r w:rsidR="0002068A">
        <w:t xml:space="preserve">, once in </w:t>
      </w:r>
      <w:r>
        <w:t>2019</w:t>
      </w:r>
      <w:r w:rsidR="0002068A">
        <w:t xml:space="preserve"> and in January 2020</w:t>
      </w:r>
      <w:r>
        <w:t xml:space="preserve">. Considerable work was also undertaken out of session. </w:t>
      </w:r>
    </w:p>
    <w:p w:rsidR="00FE6858" w:rsidRPr="00175EA4" w:rsidRDefault="00FE6858" w:rsidP="00175EA4">
      <w:pPr>
        <w:pStyle w:val="Heading2"/>
        <w:spacing w:before="240" w:after="120"/>
        <w:ind w:left="-414" w:hanging="578"/>
        <w:rPr>
          <w:sz w:val="32"/>
          <w:szCs w:val="32"/>
        </w:rPr>
      </w:pPr>
      <w:bookmarkStart w:id="36" w:name="_Toc33103189"/>
      <w:r w:rsidRPr="00175EA4">
        <w:rPr>
          <w:sz w:val="32"/>
          <w:szCs w:val="32"/>
        </w:rPr>
        <w:t>Consumer Panel Terms of Reference</w:t>
      </w:r>
      <w:bookmarkEnd w:id="36"/>
    </w:p>
    <w:p w:rsidR="00FE6858" w:rsidRPr="0048761C" w:rsidRDefault="00FE6858" w:rsidP="00FE6858">
      <w:pPr>
        <w:spacing w:before="0" w:after="180" w:line="240" w:lineRule="auto"/>
        <w:rPr>
          <w:rFonts w:eastAsiaTheme="minorHAnsi"/>
          <w:lang w:eastAsia="en-US"/>
        </w:rPr>
      </w:pPr>
      <w:r w:rsidRPr="002A3425">
        <w:rPr>
          <w:rFonts w:eastAsiaTheme="minorHAnsi"/>
          <w:lang w:eastAsia="en-US"/>
        </w:rPr>
        <w:t>The Panel’s Term</w:t>
      </w:r>
      <w:r>
        <w:rPr>
          <w:rFonts w:eastAsiaTheme="minorHAnsi"/>
          <w:lang w:eastAsia="en-US"/>
        </w:rPr>
        <w:t>s of R</w:t>
      </w:r>
      <w:r w:rsidRPr="00445792">
        <w:rPr>
          <w:rFonts w:eastAsiaTheme="minorHAnsi"/>
          <w:lang w:eastAsia="en-US"/>
        </w:rPr>
        <w:t>eference</w:t>
      </w:r>
      <w:r w:rsidRPr="0048761C">
        <w:rPr>
          <w:rFonts w:eastAsiaTheme="minorHAnsi"/>
          <w:lang w:eastAsia="en-US"/>
        </w:rPr>
        <w:t xml:space="preserve"> remained unchanged throughout the Review</w:t>
      </w:r>
      <w:r>
        <w:rPr>
          <w:rFonts w:eastAsiaTheme="minorHAnsi"/>
          <w:lang w:eastAsia="en-US"/>
        </w:rPr>
        <w:t>, although the actual work referred to the Panel reflected only some aspects of this scope.</w:t>
      </w:r>
    </w:p>
    <w:p w:rsidR="00FE6858" w:rsidRPr="0048761C" w:rsidRDefault="00FE6858" w:rsidP="00FE6858">
      <w:pPr>
        <w:spacing w:before="0" w:after="180" w:line="240" w:lineRule="auto"/>
        <w:rPr>
          <w:rFonts w:eastAsiaTheme="minorHAnsi"/>
          <w:lang w:eastAsia="en-US"/>
        </w:rPr>
      </w:pPr>
      <w:r w:rsidRPr="0048761C">
        <w:rPr>
          <w:rFonts w:eastAsiaTheme="minorHAnsi"/>
          <w:lang w:eastAsia="en-US"/>
        </w:rPr>
        <w:lastRenderedPageBreak/>
        <w:t xml:space="preserve">The Panel’s agreed deliverables and expectations </w:t>
      </w:r>
      <w:r>
        <w:rPr>
          <w:rFonts w:eastAsiaTheme="minorHAnsi"/>
          <w:lang w:eastAsia="en-US"/>
        </w:rPr>
        <w:t>stated that the Panel was to:</w:t>
      </w:r>
    </w:p>
    <w:p w:rsidR="00FE6858" w:rsidRPr="00756D7B" w:rsidRDefault="00FE6858" w:rsidP="000C2A76">
      <w:pPr>
        <w:pStyle w:val="ListParagraph"/>
        <w:numPr>
          <w:ilvl w:val="0"/>
          <w:numId w:val="22"/>
        </w:numPr>
        <w:spacing w:before="0" w:after="180" w:line="240" w:lineRule="auto"/>
        <w:contextualSpacing w:val="0"/>
        <w:rPr>
          <w:rFonts w:eastAsiaTheme="minorHAnsi"/>
          <w:lang w:eastAsia="en-US"/>
        </w:rPr>
      </w:pPr>
      <w:r w:rsidRPr="00756D7B">
        <w:rPr>
          <w:rFonts w:eastAsiaTheme="minorHAnsi"/>
          <w:lang w:eastAsia="en-US"/>
        </w:rPr>
        <w:t xml:space="preserve">Support the work of Taskforce </w:t>
      </w:r>
      <w:r w:rsidR="001F1895">
        <w:rPr>
          <w:rFonts w:eastAsiaTheme="minorHAnsi"/>
          <w:lang w:eastAsia="en-US"/>
        </w:rPr>
        <w:t>c</w:t>
      </w:r>
      <w:r w:rsidRPr="00756D7B">
        <w:rPr>
          <w:rFonts w:eastAsiaTheme="minorHAnsi"/>
          <w:lang w:eastAsia="en-US"/>
        </w:rPr>
        <w:t>ommittees</w:t>
      </w:r>
    </w:p>
    <w:p w:rsidR="00FE6858" w:rsidRDefault="00FE6858" w:rsidP="000C2A76">
      <w:pPr>
        <w:pStyle w:val="ListParagraph"/>
        <w:numPr>
          <w:ilvl w:val="0"/>
          <w:numId w:val="22"/>
        </w:numPr>
        <w:spacing w:before="0" w:after="180" w:line="240" w:lineRule="auto"/>
        <w:contextualSpacing w:val="0"/>
        <w:rPr>
          <w:rFonts w:eastAsiaTheme="minorHAnsi"/>
          <w:lang w:eastAsia="en-US"/>
        </w:rPr>
      </w:pPr>
      <w:r w:rsidRPr="00756D7B">
        <w:rPr>
          <w:rFonts w:eastAsiaTheme="minorHAnsi"/>
          <w:lang w:eastAsia="en-US"/>
        </w:rPr>
        <w:t>Address systemic improvements to the MBS</w:t>
      </w:r>
    </w:p>
    <w:p w:rsidR="00FE6858" w:rsidRDefault="00FE6858" w:rsidP="00FE6858">
      <w:pPr>
        <w:spacing w:before="0" w:after="180" w:line="240" w:lineRule="auto"/>
        <w:rPr>
          <w:rFonts w:eastAsiaTheme="minorHAnsi"/>
          <w:lang w:eastAsia="en-US"/>
        </w:rPr>
      </w:pPr>
      <w:r>
        <w:rPr>
          <w:rFonts w:eastAsiaTheme="minorHAnsi"/>
          <w:lang w:eastAsia="en-US"/>
        </w:rPr>
        <w:t xml:space="preserve">The full terms of reference are </w:t>
      </w:r>
      <w:r w:rsidRPr="003849BF">
        <w:rPr>
          <w:rFonts w:eastAsiaTheme="minorHAnsi"/>
          <w:lang w:eastAsia="en-US"/>
        </w:rPr>
        <w:t>in Appendix A. Outputs</w:t>
      </w:r>
      <w:r>
        <w:rPr>
          <w:rFonts w:eastAsiaTheme="minorHAnsi"/>
          <w:lang w:eastAsia="en-US"/>
        </w:rPr>
        <w:t xml:space="preserve"> in relation to each of these areas are summarised in sections 4 and 5 of this report.</w:t>
      </w:r>
    </w:p>
    <w:p w:rsidR="00FE6858" w:rsidRPr="00175EA4" w:rsidRDefault="00FE6858" w:rsidP="00175EA4">
      <w:pPr>
        <w:pStyle w:val="Heading2"/>
        <w:spacing w:before="240" w:after="120"/>
        <w:ind w:left="-414" w:hanging="578"/>
        <w:rPr>
          <w:sz w:val="32"/>
          <w:szCs w:val="32"/>
        </w:rPr>
      </w:pPr>
      <w:r>
        <w:t xml:space="preserve"> </w:t>
      </w:r>
      <w:bookmarkStart w:id="37" w:name="_Toc33103190"/>
      <w:r w:rsidRPr="00175EA4">
        <w:rPr>
          <w:sz w:val="32"/>
          <w:szCs w:val="32"/>
        </w:rPr>
        <w:t>Consumer Panel members</w:t>
      </w:r>
      <w:bookmarkEnd w:id="37"/>
    </w:p>
    <w:p w:rsidR="00FE6858" w:rsidRDefault="00FE6858" w:rsidP="00175EA4">
      <w:pPr>
        <w:pStyle w:val="TableCaption"/>
        <w:spacing w:before="0" w:line="240" w:lineRule="auto"/>
      </w:pPr>
      <w:bookmarkStart w:id="38" w:name="_Toc535308139"/>
      <w:r>
        <w:t xml:space="preserve">Table </w:t>
      </w:r>
      <w:r w:rsidRPr="001967B8">
        <w:fldChar w:fldCharType="begin"/>
      </w:r>
      <w:r>
        <w:instrText xml:space="preserve"> SEQ Table \* ARABIC </w:instrText>
      </w:r>
      <w:r w:rsidRPr="001967B8">
        <w:fldChar w:fldCharType="separate"/>
      </w:r>
      <w:r w:rsidR="003C3652">
        <w:rPr>
          <w:noProof/>
        </w:rPr>
        <w:t>1</w:t>
      </w:r>
      <w:r w:rsidRPr="001967B8">
        <w:fldChar w:fldCharType="end"/>
      </w:r>
      <w:r>
        <w:t>: Consumer Panel</w:t>
      </w:r>
      <w:r w:rsidRPr="003744BA">
        <w:t xml:space="preserve"> </w:t>
      </w:r>
      <w:r>
        <w:t>m</w:t>
      </w:r>
      <w:r w:rsidRPr="003744BA">
        <w:t>embers</w:t>
      </w:r>
      <w:bookmarkEnd w:id="38"/>
    </w:p>
    <w:tbl>
      <w:tblPr>
        <w:tblW w:w="5092"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1697"/>
        <w:gridCol w:w="2816"/>
        <w:gridCol w:w="3942"/>
      </w:tblGrid>
      <w:tr w:rsidR="00FE6858" w:rsidRPr="00E84448" w:rsidTr="00FE6858">
        <w:trPr>
          <w:cantSplit/>
          <w:trHeight w:val="340"/>
          <w:tblHeader/>
        </w:trPr>
        <w:tc>
          <w:tcPr>
            <w:tcW w:w="1004" w:type="pct"/>
            <w:tcBorders>
              <w:bottom w:val="single" w:sz="4" w:space="0" w:color="01653F"/>
            </w:tcBorders>
            <w:shd w:val="clear" w:color="auto" w:fill="01653F"/>
            <w:vAlign w:val="center"/>
          </w:tcPr>
          <w:p w:rsidR="00FE6858" w:rsidRPr="0082064A" w:rsidRDefault="00FE6858" w:rsidP="00FE6858">
            <w:pPr>
              <w:pStyle w:val="Tableheading"/>
              <w:spacing w:line="240" w:lineRule="auto"/>
              <w:jc w:val="center"/>
              <w:rPr>
                <w:color w:val="FFFFFF" w:themeColor="background1"/>
              </w:rPr>
            </w:pPr>
            <w:r w:rsidRPr="0082064A">
              <w:rPr>
                <w:color w:val="FFFFFF" w:themeColor="background1"/>
              </w:rPr>
              <w:t>Name</w:t>
            </w:r>
          </w:p>
        </w:tc>
        <w:tc>
          <w:tcPr>
            <w:tcW w:w="1665" w:type="pct"/>
            <w:tcBorders>
              <w:bottom w:val="single" w:sz="4" w:space="0" w:color="01653F"/>
            </w:tcBorders>
            <w:shd w:val="clear" w:color="auto" w:fill="01653F"/>
            <w:vAlign w:val="center"/>
          </w:tcPr>
          <w:p w:rsidR="00FE6858" w:rsidRPr="0082064A" w:rsidRDefault="00FE6858" w:rsidP="00FE6858">
            <w:pPr>
              <w:pStyle w:val="Tableheading"/>
              <w:spacing w:line="240" w:lineRule="auto"/>
              <w:jc w:val="center"/>
              <w:rPr>
                <w:color w:val="FFFFFF" w:themeColor="background1"/>
              </w:rPr>
            </w:pPr>
            <w:r w:rsidRPr="0082064A">
              <w:rPr>
                <w:color w:val="FFFFFF" w:themeColor="background1"/>
              </w:rPr>
              <w:t>Position/organisation</w:t>
            </w:r>
          </w:p>
        </w:tc>
        <w:tc>
          <w:tcPr>
            <w:tcW w:w="2331" w:type="pct"/>
            <w:tcBorders>
              <w:bottom w:val="single" w:sz="4" w:space="0" w:color="01653F"/>
            </w:tcBorders>
            <w:shd w:val="clear" w:color="auto" w:fill="01653F"/>
            <w:vAlign w:val="center"/>
          </w:tcPr>
          <w:p w:rsidR="00FE6858" w:rsidRPr="0082064A" w:rsidRDefault="00FE6858" w:rsidP="00FE6858">
            <w:pPr>
              <w:pStyle w:val="Tableheading"/>
              <w:spacing w:line="240" w:lineRule="auto"/>
              <w:jc w:val="center"/>
              <w:rPr>
                <w:color w:val="FFFFFF" w:themeColor="background1"/>
              </w:rPr>
            </w:pPr>
            <w:r w:rsidRPr="0082064A">
              <w:rPr>
                <w:color w:val="FFFFFF" w:themeColor="background1"/>
              </w:rPr>
              <w:t>Taskforce committees &amp; working groups</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Ms Debra Kay</w:t>
            </w:r>
            <w:r>
              <w:t xml:space="preserve"> PSM</w:t>
            </w:r>
          </w:p>
        </w:tc>
        <w:tc>
          <w:tcPr>
            <w:tcW w:w="1665" w:type="pct"/>
            <w:tcBorders>
              <w:left w:val="nil"/>
              <w:right w:val="nil"/>
            </w:tcBorders>
          </w:tcPr>
          <w:p w:rsidR="00FE6858" w:rsidRDefault="00FE6858" w:rsidP="00FE6858">
            <w:pPr>
              <w:pStyle w:val="Tabletext"/>
              <w:spacing w:before="0" w:after="180" w:line="240" w:lineRule="auto"/>
            </w:pPr>
            <w:r>
              <w:t>(Chair)</w:t>
            </w:r>
            <w:r>
              <w:br/>
              <w:t xml:space="preserve"> </w:t>
            </w:r>
            <w:r w:rsidRPr="00705C1C">
              <w:t>Consumer Representative</w:t>
            </w:r>
            <w:r>
              <w:t xml:space="preserve"> </w:t>
            </w:r>
          </w:p>
          <w:p w:rsidR="00FE6858" w:rsidRDefault="00FE6858" w:rsidP="00FE6858">
            <w:pPr>
              <w:pStyle w:val="Tabletext"/>
              <w:spacing w:before="0" w:after="180" w:line="240" w:lineRule="auto"/>
            </w:pPr>
            <w:r>
              <w:t>Member, Medical Services Advisory Committee (MSAC)</w:t>
            </w:r>
          </w:p>
          <w:p w:rsidR="00FE6858" w:rsidRPr="00DC755E" w:rsidRDefault="00FE6858" w:rsidP="00FE6858">
            <w:pPr>
              <w:pStyle w:val="Tabletext"/>
              <w:spacing w:before="0" w:after="180" w:line="240" w:lineRule="auto"/>
            </w:pPr>
            <w:r>
              <w:t xml:space="preserve">Member, Health Technology Assessment Consumer Consultative Committee </w:t>
            </w:r>
          </w:p>
        </w:tc>
        <w:tc>
          <w:tcPr>
            <w:tcW w:w="2331" w:type="pct"/>
            <w:tcBorders>
              <w:left w:val="nil"/>
              <w:right w:val="nil"/>
            </w:tcBorders>
            <w:shd w:val="clear" w:color="auto" w:fill="auto"/>
          </w:tcPr>
          <w:p w:rsidR="00FE6858" w:rsidRDefault="00FE6858" w:rsidP="00FE6858">
            <w:pPr>
              <w:pStyle w:val="Tabletext"/>
              <w:spacing w:before="0" w:after="180" w:line="240" w:lineRule="auto"/>
            </w:pPr>
            <w:r>
              <w:t xml:space="preserve">Thoracic Medicine Clinical Committee, </w:t>
            </w:r>
          </w:p>
          <w:p w:rsidR="00FE6858" w:rsidRDefault="00FE6858" w:rsidP="00FE6858">
            <w:pPr>
              <w:pStyle w:val="Tabletext"/>
              <w:spacing w:before="0" w:after="180" w:line="240" w:lineRule="auto"/>
            </w:pPr>
            <w:r>
              <w:t xml:space="preserve">Principles and Rules Committee, </w:t>
            </w:r>
          </w:p>
          <w:p w:rsidR="00FE6858" w:rsidRDefault="00FE6858" w:rsidP="00FE6858">
            <w:pPr>
              <w:pStyle w:val="Tabletext"/>
              <w:spacing w:before="0" w:after="180" w:line="240" w:lineRule="auto"/>
            </w:pPr>
            <w:r>
              <w:t>Specialists and Consultants Clinical Committee, Foot and Ankle Working Group,</w:t>
            </w:r>
            <w:r>
              <w:br/>
              <w:t>After Hours Working Group,</w:t>
            </w:r>
          </w:p>
          <w:p w:rsidR="00FE6858" w:rsidRPr="00062271" w:rsidRDefault="00FE6858" w:rsidP="00FE6858">
            <w:pPr>
              <w:spacing w:before="0" w:after="180" w:line="240" w:lineRule="auto"/>
            </w:pPr>
            <w:r w:rsidRPr="00C911DA">
              <w:rPr>
                <w:rFonts w:eastAsia="Calibri"/>
                <w:sz w:val="18"/>
                <w:szCs w:val="18"/>
              </w:rPr>
              <w:t>GP/Consumer Joint Working Group</w:t>
            </w:r>
            <w:r>
              <w:rPr>
                <w:rFonts w:eastAsia="Calibri"/>
                <w:sz w:val="18"/>
                <w:szCs w:val="18"/>
              </w:rPr>
              <w:t>.</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Ms Rebecca James</w:t>
            </w:r>
          </w:p>
        </w:tc>
        <w:tc>
          <w:tcPr>
            <w:tcW w:w="1665" w:type="pct"/>
            <w:tcBorders>
              <w:left w:val="nil"/>
              <w:right w:val="nil"/>
            </w:tcBorders>
          </w:tcPr>
          <w:p w:rsidR="00FE6858" w:rsidRPr="00A01E8E" w:rsidRDefault="00FE6858" w:rsidP="00FE6858">
            <w:pPr>
              <w:pStyle w:val="Tabletext"/>
              <w:spacing w:before="0" w:after="180" w:line="240" w:lineRule="auto"/>
            </w:pPr>
            <w:r w:rsidRPr="00705C1C">
              <w:t xml:space="preserve">(Executive Member) </w:t>
            </w:r>
            <w:r>
              <w:br/>
            </w:r>
            <w:r w:rsidRPr="00705C1C">
              <w:t>MBS Review Taskforce (Ex-Officio)</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MBS Review Taskforce</w:t>
            </w:r>
            <w:r>
              <w:br/>
              <w:t>Primary Care Phase 2 Clinical Committee, Colorectal Clinical Committee,</w:t>
            </w:r>
            <w:r>
              <w:br/>
              <w:t xml:space="preserve">Ophthalmology Clinical Committee, </w:t>
            </w:r>
            <w:r>
              <w:br/>
              <w:t>Optometry Clinical Committee.</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Mr John Stubbs</w:t>
            </w:r>
          </w:p>
        </w:tc>
        <w:tc>
          <w:tcPr>
            <w:tcW w:w="1665" w:type="pct"/>
            <w:tcBorders>
              <w:left w:val="nil"/>
              <w:right w:val="nil"/>
            </w:tcBorders>
          </w:tcPr>
          <w:p w:rsidR="00FE6858" w:rsidRPr="00A01E8E" w:rsidRDefault="00FE6858" w:rsidP="00FE6858">
            <w:pPr>
              <w:pStyle w:val="Tabletext"/>
              <w:spacing w:before="0" w:after="180" w:line="240" w:lineRule="auto"/>
            </w:pPr>
            <w:r w:rsidRPr="00705C1C">
              <w:t xml:space="preserve">(Executive Member) </w:t>
            </w:r>
            <w:r>
              <w:br/>
            </w:r>
            <w:r w:rsidRPr="00705C1C">
              <w:t>Chief Executive Officer, CanSpeak Member, Medical Services Advisory Committee Consumer Representative</w:t>
            </w:r>
            <w:r>
              <w:t>, Member Health Technology Assessment Consumer Consultative Committee</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 xml:space="preserve">Oncology Clinical Committee, </w:t>
            </w:r>
            <w:r>
              <w:br/>
              <w:t xml:space="preserve">Pain Management Clinical Committee, </w:t>
            </w:r>
            <w:r>
              <w:br/>
              <w:t>Neurology and Neurosurgery Clinical Committee, Review of Paediatric Surgery Working Group Report</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Ms Geraldine Robertson</w:t>
            </w:r>
          </w:p>
        </w:tc>
        <w:tc>
          <w:tcPr>
            <w:tcW w:w="1665" w:type="pct"/>
            <w:tcBorders>
              <w:left w:val="nil"/>
              <w:right w:val="nil"/>
            </w:tcBorders>
          </w:tcPr>
          <w:p w:rsidR="00FE6858" w:rsidRPr="00A01E8E" w:rsidRDefault="00FE6858" w:rsidP="00FE6858">
            <w:pPr>
              <w:pStyle w:val="Tabletext"/>
              <w:spacing w:before="0" w:after="180" w:line="240" w:lineRule="auto"/>
            </w:pPr>
            <w:r w:rsidRPr="00705C1C">
              <w:t>Consumer Representative, Consumers Health Forum &amp; Breast Cancer Network Australia</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 xml:space="preserve">Diagnostic Imaging Clinical Committee, </w:t>
            </w:r>
            <w:r>
              <w:br/>
              <w:t xml:space="preserve">Colorectal Surgery Clinical Committee, </w:t>
            </w:r>
            <w:r>
              <w:br/>
              <w:t>Breast Cancer Surgery and Reconstruction Working Group.</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Ms Karen Carey</w:t>
            </w:r>
          </w:p>
        </w:tc>
        <w:tc>
          <w:tcPr>
            <w:tcW w:w="1665" w:type="pct"/>
            <w:tcBorders>
              <w:left w:val="nil"/>
              <w:right w:val="nil"/>
            </w:tcBorders>
          </w:tcPr>
          <w:p w:rsidR="00FE6858" w:rsidRPr="00A01E8E" w:rsidRDefault="00FE6858" w:rsidP="0087745C">
            <w:pPr>
              <w:pStyle w:val="Tabletext"/>
              <w:spacing w:before="0" w:after="180" w:line="240" w:lineRule="auto"/>
            </w:pPr>
            <w:r w:rsidRPr="00705C1C">
              <w:t xml:space="preserve">Member, </w:t>
            </w:r>
            <w:r w:rsidR="0087745C">
              <w:t>National Health and Medical Research Council</w:t>
            </w:r>
            <w:r w:rsidRPr="00705C1C">
              <w:t xml:space="preserve"> &amp; Chair, Community and Consumer Advisory Group Consumer Representative</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Cardiac Services Clinical Committee.</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t>Ms Helen Maxwell-Wright</w:t>
            </w:r>
          </w:p>
        </w:tc>
        <w:tc>
          <w:tcPr>
            <w:tcW w:w="1665" w:type="pct"/>
            <w:tcBorders>
              <w:left w:val="nil"/>
              <w:right w:val="nil"/>
            </w:tcBorders>
          </w:tcPr>
          <w:p w:rsidR="00FE6858" w:rsidRPr="00A01E8E" w:rsidRDefault="00FE6858" w:rsidP="00FE6858">
            <w:pPr>
              <w:pStyle w:val="Tabletext"/>
              <w:spacing w:before="0" w:after="180" w:line="240" w:lineRule="auto"/>
            </w:pPr>
            <w:r w:rsidRPr="00705C1C">
              <w:t>Consumer Representative Director, Maxwell-Wright Associates, Panel of Chairs, Monitoring Committee, Medicines</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 xml:space="preserve">Eating Disorders Working Group, </w:t>
            </w:r>
            <w:r>
              <w:br/>
              <w:t xml:space="preserve">Optometry Clinical Committee, </w:t>
            </w:r>
            <w:r>
              <w:br/>
            </w:r>
            <w:r>
              <w:lastRenderedPageBreak/>
              <w:t xml:space="preserve">Endocrinology Clinical Committee, </w:t>
            </w:r>
            <w:r>
              <w:br/>
              <w:t>Anaesthesia Clinical Committee.</w:t>
            </w:r>
          </w:p>
        </w:tc>
      </w:tr>
      <w:tr w:rsidR="00FE6858" w:rsidRPr="00A01E8E" w:rsidTr="00FE6858">
        <w:trPr>
          <w:cantSplit/>
          <w:trHeight w:val="549"/>
        </w:trPr>
        <w:tc>
          <w:tcPr>
            <w:tcW w:w="1004" w:type="pct"/>
            <w:tcBorders>
              <w:left w:val="nil"/>
              <w:right w:val="nil"/>
            </w:tcBorders>
          </w:tcPr>
          <w:p w:rsidR="00FE6858" w:rsidRPr="00A01E8E" w:rsidRDefault="00FE6858" w:rsidP="00FE6858">
            <w:pPr>
              <w:pStyle w:val="Tabletext"/>
              <w:spacing w:before="0" w:after="180" w:line="240" w:lineRule="auto"/>
            </w:pPr>
            <w:r w:rsidRPr="00A01E8E">
              <w:lastRenderedPageBreak/>
              <w:t>Ms Eileen Jerga</w:t>
            </w:r>
            <w:r>
              <w:t xml:space="preserve"> AM</w:t>
            </w:r>
          </w:p>
        </w:tc>
        <w:tc>
          <w:tcPr>
            <w:tcW w:w="1665" w:type="pct"/>
            <w:tcBorders>
              <w:left w:val="nil"/>
              <w:right w:val="nil"/>
            </w:tcBorders>
          </w:tcPr>
          <w:p w:rsidR="00FE6858" w:rsidRDefault="00FE6858" w:rsidP="00FE6858">
            <w:pPr>
              <w:pStyle w:val="Tabletext"/>
              <w:spacing w:before="0" w:after="180" w:line="240" w:lineRule="auto"/>
            </w:pPr>
            <w:r w:rsidRPr="00705C1C">
              <w:t>Consumer Representative</w:t>
            </w:r>
            <w:r>
              <w:t xml:space="preserve"> </w:t>
            </w:r>
          </w:p>
          <w:p w:rsidR="00FE6858" w:rsidRDefault="00FE6858" w:rsidP="00FE6858">
            <w:pPr>
              <w:pStyle w:val="Tabletext"/>
              <w:spacing w:before="0" w:after="180" w:line="240" w:lineRule="auto"/>
            </w:pPr>
            <w:r>
              <w:t xml:space="preserve">Member, Medical Services Advisory Committee (MSAC), </w:t>
            </w:r>
          </w:p>
          <w:p w:rsidR="00FE6858" w:rsidRPr="00A01E8E" w:rsidRDefault="00FE6858" w:rsidP="00FE6858">
            <w:pPr>
              <w:pStyle w:val="Tabletext"/>
              <w:spacing w:before="0" w:after="180" w:line="240" w:lineRule="auto"/>
            </w:pPr>
            <w:r>
              <w:t>Member, Health Technology Assessment Consumer Consultative Committee.</w:t>
            </w:r>
          </w:p>
        </w:tc>
        <w:tc>
          <w:tcPr>
            <w:tcW w:w="2331" w:type="pct"/>
            <w:tcBorders>
              <w:left w:val="nil"/>
              <w:right w:val="nil"/>
            </w:tcBorders>
            <w:shd w:val="clear" w:color="auto" w:fill="auto"/>
          </w:tcPr>
          <w:p w:rsidR="00FE6858" w:rsidRDefault="00FE6858" w:rsidP="00FE6858">
            <w:pPr>
              <w:pStyle w:val="Tabletext"/>
              <w:spacing w:before="0" w:after="180" w:line="240" w:lineRule="auto"/>
            </w:pPr>
            <w:r>
              <w:t>Vascular Clinical Committee,</w:t>
            </w:r>
            <w:r>
              <w:br/>
              <w:t>Intensive Care and Emergency Medicine Clinical Committee,</w:t>
            </w:r>
            <w:r>
              <w:br/>
              <w:t>Neurology and Neurosurgery Clinical Committee,</w:t>
            </w:r>
          </w:p>
          <w:p w:rsidR="00FE6858" w:rsidRPr="00A01E8E" w:rsidRDefault="00FE6858" w:rsidP="00FE6858">
            <w:pPr>
              <w:pStyle w:val="Tabletext"/>
              <w:spacing w:before="0" w:after="180" w:line="240" w:lineRule="auto"/>
            </w:pPr>
            <w:r>
              <w:t>Review of Paediatric Surgery Working Group Report</w:t>
            </w:r>
          </w:p>
        </w:tc>
      </w:tr>
      <w:tr w:rsidR="00FE6858" w:rsidRPr="00A01E8E" w:rsidTr="00FE6858">
        <w:trPr>
          <w:cantSplit/>
          <w:trHeight w:val="996"/>
        </w:trPr>
        <w:tc>
          <w:tcPr>
            <w:tcW w:w="1004" w:type="pct"/>
            <w:tcBorders>
              <w:left w:val="nil"/>
              <w:right w:val="nil"/>
            </w:tcBorders>
          </w:tcPr>
          <w:p w:rsidR="00FE6858" w:rsidRPr="00A01E8E" w:rsidRDefault="00FE6858" w:rsidP="00FE6858">
            <w:pPr>
              <w:pStyle w:val="Tabletext"/>
              <w:spacing w:before="0" w:after="180" w:line="240" w:lineRule="auto"/>
            </w:pPr>
            <w:r w:rsidRPr="00A01E8E">
              <w:t>Ms Alison Marcus</w:t>
            </w:r>
          </w:p>
        </w:tc>
        <w:tc>
          <w:tcPr>
            <w:tcW w:w="1665" w:type="pct"/>
            <w:tcBorders>
              <w:left w:val="nil"/>
              <w:right w:val="nil"/>
            </w:tcBorders>
          </w:tcPr>
          <w:p w:rsidR="00FE6858" w:rsidRPr="00A01E8E" w:rsidRDefault="00FE6858" w:rsidP="00FE6858">
            <w:pPr>
              <w:pStyle w:val="Tabletext"/>
              <w:spacing w:before="0" w:after="180" w:line="240" w:lineRule="auto"/>
            </w:pPr>
            <w:r w:rsidRPr="00705C1C">
              <w:t>Registered Nurse Consumer Representative</w:t>
            </w:r>
            <w:r>
              <w:t>, Member of Health Technology Assessment Consumer Consultative Committee</w:t>
            </w:r>
          </w:p>
        </w:tc>
        <w:tc>
          <w:tcPr>
            <w:tcW w:w="2331" w:type="pct"/>
            <w:tcBorders>
              <w:left w:val="nil"/>
              <w:right w:val="nil"/>
            </w:tcBorders>
            <w:shd w:val="clear" w:color="auto" w:fill="auto"/>
          </w:tcPr>
          <w:p w:rsidR="00FE6858" w:rsidRPr="00A01E8E" w:rsidRDefault="00FE6858" w:rsidP="00FE6858">
            <w:pPr>
              <w:pStyle w:val="Tabletext"/>
              <w:spacing w:before="0" w:after="180" w:line="240" w:lineRule="auto"/>
            </w:pPr>
            <w:r>
              <w:t xml:space="preserve">Colorectal Surgery Clinical Committee, </w:t>
            </w:r>
            <w:r>
              <w:br/>
              <w:t xml:space="preserve">Renal Clinical Committee, </w:t>
            </w:r>
            <w:r>
              <w:br/>
              <w:t>Urology Clinical Committee.</w:t>
            </w:r>
          </w:p>
        </w:tc>
      </w:tr>
      <w:tr w:rsidR="00FE6858" w:rsidRPr="00A01E8E" w:rsidTr="00FE6858">
        <w:trPr>
          <w:cantSplit/>
          <w:trHeight w:val="996"/>
        </w:trPr>
        <w:tc>
          <w:tcPr>
            <w:tcW w:w="1004" w:type="pct"/>
            <w:tcBorders>
              <w:left w:val="nil"/>
              <w:right w:val="nil"/>
            </w:tcBorders>
          </w:tcPr>
          <w:p w:rsidR="00FE6858" w:rsidRPr="00A01E8E" w:rsidRDefault="00FE6858" w:rsidP="00FE6858">
            <w:pPr>
              <w:pStyle w:val="Tabletext"/>
              <w:spacing w:before="0" w:after="180" w:line="240" w:lineRule="auto"/>
            </w:pPr>
            <w:r w:rsidRPr="00A01E8E">
              <w:t>Mr Adam Friederich</w:t>
            </w:r>
          </w:p>
        </w:tc>
        <w:tc>
          <w:tcPr>
            <w:tcW w:w="1665" w:type="pct"/>
            <w:tcBorders>
              <w:left w:val="nil"/>
              <w:right w:val="nil"/>
            </w:tcBorders>
          </w:tcPr>
          <w:p w:rsidR="00FE6858" w:rsidRPr="00705C1C" w:rsidRDefault="00FE6858" w:rsidP="00FE6858">
            <w:pPr>
              <w:pStyle w:val="Tabletext"/>
              <w:spacing w:before="0" w:after="180" w:line="240" w:lineRule="auto"/>
            </w:pPr>
            <w:r w:rsidRPr="00705C1C">
              <w:t>Immune Deficiencies Foundation Australia Consumer representative</w:t>
            </w:r>
          </w:p>
        </w:tc>
        <w:tc>
          <w:tcPr>
            <w:tcW w:w="2331" w:type="pct"/>
            <w:tcBorders>
              <w:left w:val="nil"/>
              <w:right w:val="nil"/>
            </w:tcBorders>
            <w:shd w:val="clear" w:color="auto" w:fill="auto"/>
          </w:tcPr>
          <w:p w:rsidR="00FE6858" w:rsidRDefault="00FE6858" w:rsidP="00FE6858">
            <w:pPr>
              <w:pStyle w:val="Tabletext"/>
              <w:spacing w:before="0" w:after="180" w:line="240" w:lineRule="auto"/>
            </w:pPr>
            <w:r>
              <w:t xml:space="preserve">Dermatology, Allergy, and Immunology Clinical Committee, </w:t>
            </w:r>
            <w:r>
              <w:br/>
              <w:t>Review of Paediatric Surgery Working Group Report</w:t>
            </w:r>
          </w:p>
        </w:tc>
      </w:tr>
      <w:tr w:rsidR="00FE6858" w:rsidRPr="00A01E8E" w:rsidTr="00FE6858">
        <w:trPr>
          <w:cantSplit/>
          <w:trHeight w:val="996"/>
        </w:trPr>
        <w:tc>
          <w:tcPr>
            <w:tcW w:w="1004" w:type="pct"/>
            <w:tcBorders>
              <w:left w:val="nil"/>
              <w:right w:val="nil"/>
            </w:tcBorders>
          </w:tcPr>
          <w:p w:rsidR="00FE6858" w:rsidRPr="00A01E8E" w:rsidRDefault="00FE6858" w:rsidP="00FE6858">
            <w:pPr>
              <w:pStyle w:val="Tabletext"/>
              <w:spacing w:before="0" w:after="180" w:line="240" w:lineRule="auto"/>
            </w:pPr>
            <w:r w:rsidRPr="00A01E8E">
              <w:t>Professor Michael Besser</w:t>
            </w:r>
            <w:r>
              <w:t xml:space="preserve"> AM</w:t>
            </w:r>
          </w:p>
        </w:tc>
        <w:tc>
          <w:tcPr>
            <w:tcW w:w="1665" w:type="pct"/>
            <w:tcBorders>
              <w:left w:val="nil"/>
              <w:right w:val="nil"/>
            </w:tcBorders>
          </w:tcPr>
          <w:p w:rsidR="00FE6858" w:rsidRPr="00705C1C" w:rsidRDefault="00FE6858" w:rsidP="00FE6858">
            <w:pPr>
              <w:pStyle w:val="Tabletext"/>
              <w:spacing w:before="0" w:after="180" w:line="240" w:lineRule="auto"/>
            </w:pPr>
            <w:r w:rsidRPr="00705C1C">
              <w:t>MBS Review Taskforce (Ex-Officio)</w:t>
            </w:r>
          </w:p>
        </w:tc>
        <w:tc>
          <w:tcPr>
            <w:tcW w:w="2331" w:type="pct"/>
            <w:tcBorders>
              <w:left w:val="nil"/>
              <w:right w:val="nil"/>
            </w:tcBorders>
            <w:shd w:val="clear" w:color="auto" w:fill="auto"/>
          </w:tcPr>
          <w:p w:rsidR="00FE6858" w:rsidRDefault="00FE6858" w:rsidP="00FE6858">
            <w:pPr>
              <w:pStyle w:val="Tabletext"/>
              <w:spacing w:before="0" w:after="180" w:line="240" w:lineRule="auto"/>
            </w:pPr>
            <w:r>
              <w:t xml:space="preserve">MBS Review Taskforce and all surgical clinical committees. </w:t>
            </w:r>
          </w:p>
        </w:tc>
      </w:tr>
    </w:tbl>
    <w:p w:rsidR="00FE6858" w:rsidRPr="00175EA4" w:rsidRDefault="00FE6858" w:rsidP="00175EA4">
      <w:pPr>
        <w:pStyle w:val="Heading2"/>
        <w:spacing w:before="240" w:after="120"/>
        <w:ind w:left="-414" w:hanging="578"/>
        <w:rPr>
          <w:sz w:val="32"/>
          <w:szCs w:val="32"/>
        </w:rPr>
      </w:pPr>
      <w:bookmarkStart w:id="39" w:name="_Toc33103191"/>
      <w:r w:rsidRPr="00175EA4">
        <w:rPr>
          <w:sz w:val="32"/>
          <w:szCs w:val="32"/>
        </w:rPr>
        <w:t>Declared interests and potential conflicts</w:t>
      </w:r>
      <w:bookmarkEnd w:id="39"/>
      <w:r w:rsidRPr="00175EA4">
        <w:rPr>
          <w:sz w:val="32"/>
          <w:szCs w:val="32"/>
        </w:rPr>
        <w:t xml:space="preserve"> </w:t>
      </w:r>
    </w:p>
    <w:p w:rsidR="00FE6858" w:rsidRDefault="00FE6858" w:rsidP="00FE6858">
      <w:pPr>
        <w:spacing w:before="0" w:after="180" w:line="240" w:lineRule="auto"/>
      </w:pPr>
      <w:r w:rsidRPr="005631FB">
        <w:t xml:space="preserve">All members of the Taskforce, </w:t>
      </w:r>
      <w:r w:rsidR="001F1895">
        <w:t>c</w:t>
      </w:r>
      <w:r w:rsidR="00DB5631" w:rsidRPr="005631FB">
        <w:t xml:space="preserve">linical </w:t>
      </w:r>
      <w:r w:rsidR="001F1895">
        <w:t>c</w:t>
      </w:r>
      <w:r w:rsidR="00DB5631" w:rsidRPr="005631FB">
        <w:t xml:space="preserve">ommittees </w:t>
      </w:r>
      <w:r w:rsidRPr="005631FB">
        <w:t xml:space="preserve">and </w:t>
      </w:r>
      <w:r w:rsidR="001F1895">
        <w:t>w</w:t>
      </w:r>
      <w:r w:rsidR="00DB5631" w:rsidRPr="005631FB">
        <w:t xml:space="preserve">orking </w:t>
      </w:r>
      <w:r w:rsidR="001F1895">
        <w:t>g</w:t>
      </w:r>
      <w:r w:rsidR="00DB5631" w:rsidRPr="005631FB">
        <w:t>roups</w:t>
      </w:r>
      <w:r>
        <w:t>, including the Panel, were</w:t>
      </w:r>
      <w:r w:rsidRPr="005631FB">
        <w:t xml:space="preserve"> asked to declare any conflicts of interest at the start of their involvement and reminded to update their declarations periodically</w:t>
      </w:r>
      <w:r w:rsidRPr="00402DEC">
        <w:t xml:space="preserve">. </w:t>
      </w:r>
      <w:r>
        <w:t>All Panel members complied with this requirement.</w:t>
      </w:r>
    </w:p>
    <w:p w:rsidR="00FE6858" w:rsidRDefault="00FE6858" w:rsidP="00FE6858">
      <w:pPr>
        <w:spacing w:before="0" w:after="180" w:line="240" w:lineRule="auto"/>
      </w:pPr>
    </w:p>
    <w:p w:rsidR="00FE6858" w:rsidRDefault="00FE6858" w:rsidP="00FE6858">
      <w:pPr>
        <w:pStyle w:val="ListParagraph"/>
        <w:spacing w:before="0" w:after="180" w:line="240" w:lineRule="auto"/>
        <w:contextualSpacing w:val="0"/>
        <w:rPr>
          <w:rFonts w:eastAsiaTheme="minorHAnsi"/>
          <w:lang w:eastAsia="en-US"/>
        </w:rPr>
      </w:pPr>
      <w:r>
        <w:rPr>
          <w:rFonts w:eastAsiaTheme="minorHAnsi"/>
          <w:lang w:eastAsia="en-US"/>
        </w:rPr>
        <w:br w:type="page"/>
      </w:r>
    </w:p>
    <w:p w:rsidR="00FE6858" w:rsidRPr="00471F7C" w:rsidRDefault="00FE6858" w:rsidP="00FE6858">
      <w:pPr>
        <w:pStyle w:val="Heading1"/>
        <w:ind w:left="431" w:hanging="431"/>
      </w:pPr>
      <w:bookmarkStart w:id="40" w:name="_Toc33103192"/>
      <w:r w:rsidRPr="00471F7C">
        <w:lastRenderedPageBreak/>
        <w:t xml:space="preserve">Consumer Panel role #1: </w:t>
      </w:r>
      <w:r w:rsidRPr="00471F7C">
        <w:br/>
        <w:t>Support the work of Taskforce Committees</w:t>
      </w:r>
      <w:bookmarkEnd w:id="40"/>
    </w:p>
    <w:p w:rsidR="00FE6858" w:rsidRDefault="00FE6858" w:rsidP="00175EA4">
      <w:pPr>
        <w:spacing w:before="120" w:after="120" w:line="240" w:lineRule="auto"/>
        <w:rPr>
          <w:rFonts w:eastAsiaTheme="minorHAnsi"/>
          <w:lang w:eastAsia="en-US"/>
        </w:rPr>
      </w:pPr>
      <w:r w:rsidRPr="004818F0">
        <w:rPr>
          <w:rFonts w:eastAsiaTheme="minorHAnsi"/>
          <w:lang w:eastAsia="en-US"/>
        </w:rPr>
        <w:t>The Panel’s Terms of Reference outline a role</w:t>
      </w:r>
      <w:r>
        <w:rPr>
          <w:rFonts w:eastAsiaTheme="minorHAnsi"/>
          <w:lang w:eastAsia="en-US"/>
        </w:rPr>
        <w:t xml:space="preserve"> in </w:t>
      </w:r>
      <w:r w:rsidRPr="00C8060C">
        <w:rPr>
          <w:rFonts w:eastAsiaTheme="minorHAnsi"/>
          <w:b/>
          <w:lang w:eastAsia="en-US"/>
        </w:rPr>
        <w:t>supporting the work of Taskforce Committees</w:t>
      </w:r>
      <w:r>
        <w:rPr>
          <w:rFonts w:eastAsiaTheme="minorHAnsi"/>
          <w:lang w:eastAsia="en-US"/>
        </w:rPr>
        <w:t xml:space="preserve">, including </w:t>
      </w:r>
      <w:r w:rsidR="001F1895">
        <w:rPr>
          <w:rFonts w:eastAsiaTheme="minorHAnsi"/>
          <w:lang w:eastAsia="en-US"/>
        </w:rPr>
        <w:t>c</w:t>
      </w:r>
      <w:r w:rsidR="00DB5631">
        <w:rPr>
          <w:rFonts w:eastAsiaTheme="minorHAnsi"/>
          <w:lang w:eastAsia="en-US"/>
        </w:rPr>
        <w:t xml:space="preserve">linical </w:t>
      </w:r>
      <w:r w:rsidR="001F1895">
        <w:rPr>
          <w:rFonts w:eastAsiaTheme="minorHAnsi"/>
          <w:lang w:eastAsia="en-US"/>
        </w:rPr>
        <w:t>c</w:t>
      </w:r>
      <w:r w:rsidR="00DB5631">
        <w:rPr>
          <w:rFonts w:eastAsiaTheme="minorHAnsi"/>
          <w:lang w:eastAsia="en-US"/>
        </w:rPr>
        <w:t xml:space="preserve">ommittees </w:t>
      </w:r>
      <w:r>
        <w:rPr>
          <w:rFonts w:eastAsiaTheme="minorHAnsi"/>
          <w:lang w:eastAsia="en-US"/>
        </w:rPr>
        <w:t xml:space="preserve">and the Principle and Rules Committee. </w:t>
      </w:r>
    </w:p>
    <w:p w:rsidR="009670C6" w:rsidRDefault="009670C6" w:rsidP="00FE6858">
      <w:pPr>
        <w:spacing w:before="0" w:after="180" w:line="240" w:lineRule="auto"/>
        <w:rPr>
          <w:rFonts w:eastAsiaTheme="minorHAnsi"/>
          <w:lang w:eastAsia="en-US"/>
        </w:rPr>
      </w:pPr>
      <w:r>
        <w:rPr>
          <w:rFonts w:eastAsiaTheme="minorHAnsi"/>
          <w:lang w:eastAsia="en-US"/>
        </w:rPr>
        <w:t xml:space="preserve">Excerpts from the Panel’s Terms of Reference are below in </w:t>
      </w:r>
      <w:r w:rsidRPr="009670C6">
        <w:rPr>
          <w:rFonts w:eastAsiaTheme="minorHAnsi"/>
          <w:i/>
          <w:lang w:eastAsia="en-US"/>
        </w:rPr>
        <w:t>italics.</w:t>
      </w:r>
    </w:p>
    <w:p w:rsidR="00FE6858" w:rsidRPr="009670C6" w:rsidRDefault="009670C6" w:rsidP="002053C8">
      <w:pPr>
        <w:spacing w:before="0" w:after="120" w:line="240" w:lineRule="auto"/>
        <w:rPr>
          <w:rFonts w:eastAsiaTheme="minorHAnsi"/>
          <w:i/>
          <w:lang w:eastAsia="en-US"/>
        </w:rPr>
      </w:pPr>
      <w:r>
        <w:rPr>
          <w:rFonts w:eastAsiaTheme="minorHAnsi"/>
          <w:i/>
          <w:lang w:eastAsia="en-US"/>
        </w:rPr>
        <w:t>[</w:t>
      </w:r>
      <w:r w:rsidR="00FE6858" w:rsidRPr="009670C6">
        <w:rPr>
          <w:rFonts w:eastAsiaTheme="minorHAnsi"/>
          <w:i/>
          <w:lang w:eastAsia="en-US"/>
        </w:rPr>
        <w:t xml:space="preserve">Supporting the work of Taskforce </w:t>
      </w:r>
      <w:r w:rsidR="001F1895">
        <w:rPr>
          <w:rFonts w:eastAsiaTheme="minorHAnsi"/>
          <w:i/>
          <w:lang w:eastAsia="en-US"/>
        </w:rPr>
        <w:t>c</w:t>
      </w:r>
      <w:r w:rsidR="00DB5631" w:rsidRPr="009670C6">
        <w:rPr>
          <w:rFonts w:eastAsiaTheme="minorHAnsi"/>
          <w:i/>
          <w:lang w:eastAsia="en-US"/>
        </w:rPr>
        <w:t>ommittees</w:t>
      </w:r>
      <w:r>
        <w:rPr>
          <w:rFonts w:eastAsiaTheme="minorHAnsi"/>
          <w:i/>
          <w:lang w:eastAsia="en-US"/>
        </w:rPr>
        <w:t>]</w:t>
      </w:r>
      <w:r w:rsidR="00FE6858" w:rsidRPr="009670C6">
        <w:rPr>
          <w:rFonts w:eastAsiaTheme="minorHAnsi"/>
          <w:i/>
          <w:lang w:eastAsia="en-US"/>
        </w:rPr>
        <w:t xml:space="preserve"> may include:</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Development and implementation of a consumer engagement strategy.</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Commissioning evaluation of the strategy.</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 xml:space="preserve">Development of measurable and observable checkpoints for consumer engagement across the work of the Taskforce (for example, in induction, the conduct of </w:t>
      </w:r>
      <w:r w:rsidR="001F1895">
        <w:rPr>
          <w:rFonts w:eastAsiaTheme="minorHAnsi"/>
          <w:i/>
          <w:lang w:eastAsia="en-US"/>
        </w:rPr>
        <w:t>c</w:t>
      </w:r>
      <w:r w:rsidR="00DB5631" w:rsidRPr="009670C6">
        <w:rPr>
          <w:rFonts w:eastAsiaTheme="minorHAnsi"/>
          <w:i/>
          <w:lang w:eastAsia="en-US"/>
        </w:rPr>
        <w:t xml:space="preserve">linical </w:t>
      </w:r>
      <w:r w:rsidR="001F1895">
        <w:rPr>
          <w:rFonts w:eastAsiaTheme="minorHAnsi"/>
          <w:i/>
          <w:lang w:eastAsia="en-US"/>
        </w:rPr>
        <w:t>c</w:t>
      </w:r>
      <w:r w:rsidR="00DB5631" w:rsidRPr="009670C6">
        <w:rPr>
          <w:rFonts w:eastAsiaTheme="minorHAnsi"/>
          <w:i/>
          <w:lang w:eastAsia="en-US"/>
        </w:rPr>
        <w:t xml:space="preserve">ommittees </w:t>
      </w:r>
      <w:r w:rsidRPr="009670C6">
        <w:rPr>
          <w:rFonts w:eastAsiaTheme="minorHAnsi"/>
          <w:i/>
          <w:lang w:eastAsia="en-US"/>
        </w:rPr>
        <w:t>and the preparation of reports).</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Involvement in the development, implementation and evaluation of consumer engagement training.</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 xml:space="preserve">Mentoring new consumer representatives and </w:t>
      </w:r>
      <w:r w:rsidR="001F1895">
        <w:rPr>
          <w:rFonts w:eastAsiaTheme="minorHAnsi"/>
          <w:i/>
          <w:lang w:eastAsia="en-US"/>
        </w:rPr>
        <w:t>c</w:t>
      </w:r>
      <w:r w:rsidRPr="009670C6">
        <w:rPr>
          <w:rFonts w:eastAsiaTheme="minorHAnsi"/>
          <w:i/>
          <w:lang w:eastAsia="en-US"/>
        </w:rPr>
        <w:t xml:space="preserve">hairs of Taskforce </w:t>
      </w:r>
      <w:r w:rsidR="001F1895">
        <w:rPr>
          <w:rFonts w:eastAsiaTheme="minorHAnsi"/>
          <w:i/>
          <w:lang w:eastAsia="en-US"/>
        </w:rPr>
        <w:t>c</w:t>
      </w:r>
      <w:r w:rsidRPr="009670C6">
        <w:rPr>
          <w:rFonts w:eastAsiaTheme="minorHAnsi"/>
          <w:i/>
          <w:lang w:eastAsia="en-US"/>
        </w:rPr>
        <w:t xml:space="preserve">linical </w:t>
      </w:r>
      <w:r w:rsidR="001F1895">
        <w:rPr>
          <w:rFonts w:eastAsiaTheme="minorHAnsi"/>
          <w:i/>
          <w:lang w:eastAsia="en-US"/>
        </w:rPr>
        <w:t>c</w:t>
      </w:r>
      <w:r w:rsidRPr="009670C6">
        <w:rPr>
          <w:rFonts w:eastAsiaTheme="minorHAnsi"/>
          <w:i/>
          <w:lang w:eastAsia="en-US"/>
        </w:rPr>
        <w:t>ommittees.</w:t>
      </w:r>
    </w:p>
    <w:p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Development or adaptation of templates and guidelines to support and promote efficient and comparable reporting of consumer perspectives.</w:t>
      </w:r>
    </w:p>
    <w:p w:rsidR="00FE6858" w:rsidRPr="009670C6" w:rsidRDefault="00FE6858" w:rsidP="000C2A76">
      <w:pPr>
        <w:pStyle w:val="ListParagraph"/>
        <w:numPr>
          <w:ilvl w:val="0"/>
          <w:numId w:val="21"/>
        </w:numPr>
        <w:spacing w:before="0" w:after="180" w:line="240" w:lineRule="auto"/>
        <w:ind w:left="567" w:hanging="426"/>
        <w:contextualSpacing w:val="0"/>
        <w:rPr>
          <w:i/>
        </w:rPr>
      </w:pPr>
      <w:r w:rsidRPr="009670C6">
        <w:rPr>
          <w:rFonts w:eastAsiaTheme="minorHAnsi"/>
          <w:i/>
          <w:lang w:eastAsia="en-US"/>
        </w:rPr>
        <w:t>Reviewing reports and providing advice to the Taskforce about how to make these accessible to consumers and communities.</w:t>
      </w:r>
    </w:p>
    <w:p w:rsidR="00FE6858" w:rsidRDefault="00FE6858" w:rsidP="002053C8">
      <w:pPr>
        <w:spacing w:before="0" w:after="120" w:line="240" w:lineRule="auto"/>
        <w:rPr>
          <w:rFonts w:eastAsiaTheme="minorHAnsi"/>
          <w:lang w:eastAsia="en-US"/>
        </w:rPr>
      </w:pPr>
      <w:r>
        <w:rPr>
          <w:rFonts w:eastAsiaTheme="minorHAnsi"/>
          <w:lang w:eastAsia="en-US"/>
        </w:rPr>
        <w:t>The Panel took a strategic approach to its work</w:t>
      </w:r>
      <w:r w:rsidR="00581B09">
        <w:rPr>
          <w:rFonts w:eastAsiaTheme="minorHAnsi"/>
          <w:lang w:eastAsia="en-US"/>
        </w:rPr>
        <w:t xml:space="preserve"> with</w:t>
      </w:r>
      <w:r w:rsidR="0087745C">
        <w:rPr>
          <w:rFonts w:eastAsiaTheme="minorHAnsi"/>
          <w:lang w:eastAsia="en-US"/>
        </w:rPr>
        <w:t xml:space="preserve"> </w:t>
      </w:r>
      <w:r>
        <w:rPr>
          <w:rFonts w:eastAsiaTheme="minorHAnsi"/>
          <w:lang w:eastAsia="en-US"/>
        </w:rPr>
        <w:t>outputs</w:t>
      </w:r>
      <w:r w:rsidR="00581B09">
        <w:rPr>
          <w:rFonts w:eastAsiaTheme="minorHAnsi"/>
          <w:lang w:eastAsia="en-US"/>
        </w:rPr>
        <w:t xml:space="preserve"> that</w:t>
      </w:r>
      <w:r>
        <w:rPr>
          <w:rFonts w:eastAsiaTheme="minorHAnsi"/>
          <w:lang w:eastAsia="en-US"/>
        </w:rPr>
        <w:t xml:space="preserve"> included:</w:t>
      </w:r>
    </w:p>
    <w:p w:rsidR="00FE6858" w:rsidRPr="0082064A" w:rsidRDefault="00FE6858" w:rsidP="002053C8">
      <w:pPr>
        <w:pStyle w:val="ListParagraph"/>
        <w:numPr>
          <w:ilvl w:val="0"/>
          <w:numId w:val="41"/>
        </w:numPr>
        <w:spacing w:before="0" w:after="120" w:line="240" w:lineRule="auto"/>
        <w:ind w:left="567" w:hanging="425"/>
        <w:contextualSpacing w:val="0"/>
        <w:rPr>
          <w:rFonts w:eastAsiaTheme="minorHAnsi"/>
          <w:lang w:eastAsia="en-US"/>
        </w:rPr>
      </w:pPr>
      <w:r w:rsidRPr="0082064A">
        <w:rPr>
          <w:rFonts w:eastAsiaTheme="minorHAnsi"/>
          <w:lang w:eastAsia="en-US"/>
        </w:rPr>
        <w:lastRenderedPageBreak/>
        <w:t>Development and implementation of a consumer engagement strategy</w:t>
      </w:r>
      <w:r w:rsidRPr="00A502F9">
        <w:rPr>
          <w:rFonts w:eastAsiaTheme="minorHAnsi"/>
          <w:lang w:eastAsia="en-US"/>
        </w:rPr>
        <w:t xml:space="preserve"> and </w:t>
      </w:r>
      <w:r>
        <w:rPr>
          <w:rFonts w:eastAsiaTheme="minorHAnsi"/>
          <w:lang w:eastAsia="en-US"/>
        </w:rPr>
        <w:t>c</w:t>
      </w:r>
      <w:r w:rsidRPr="0082064A">
        <w:rPr>
          <w:rFonts w:eastAsiaTheme="minorHAnsi"/>
          <w:lang w:eastAsia="en-US"/>
        </w:rPr>
        <w:t xml:space="preserve">ommissioning </w:t>
      </w:r>
      <w:r>
        <w:rPr>
          <w:rFonts w:eastAsiaTheme="minorHAnsi"/>
          <w:lang w:eastAsia="en-US"/>
        </w:rPr>
        <w:t xml:space="preserve">an </w:t>
      </w:r>
      <w:r w:rsidRPr="0082064A">
        <w:rPr>
          <w:rFonts w:eastAsiaTheme="minorHAnsi"/>
          <w:lang w:eastAsia="en-US"/>
        </w:rPr>
        <w:t>evaluation of the strategy.</w:t>
      </w:r>
    </w:p>
    <w:p w:rsidR="00FE6858" w:rsidRPr="0082064A" w:rsidRDefault="00FE6858" w:rsidP="002053C8">
      <w:pPr>
        <w:pStyle w:val="ListParagraph"/>
        <w:numPr>
          <w:ilvl w:val="0"/>
          <w:numId w:val="41"/>
        </w:numPr>
        <w:spacing w:before="0" w:after="120" w:line="240" w:lineRule="auto"/>
        <w:ind w:left="567" w:hanging="425"/>
        <w:contextualSpacing w:val="0"/>
        <w:rPr>
          <w:rFonts w:eastAsiaTheme="minorHAnsi"/>
          <w:lang w:eastAsia="en-US"/>
        </w:rPr>
      </w:pPr>
      <w:r w:rsidRPr="0082064A">
        <w:rPr>
          <w:rFonts w:eastAsiaTheme="minorHAnsi"/>
          <w:lang w:eastAsia="en-US"/>
        </w:rPr>
        <w:t xml:space="preserve">Development of measurable and observable checkpoints for consumer engagement across the work of the Taskforce (for example, in induction, the conduct of </w:t>
      </w:r>
      <w:r w:rsidR="001F1895">
        <w:rPr>
          <w:rFonts w:eastAsiaTheme="minorHAnsi"/>
          <w:lang w:eastAsia="en-US"/>
        </w:rPr>
        <w:t>c</w:t>
      </w:r>
      <w:r w:rsidR="00DB5631" w:rsidRPr="0082064A">
        <w:rPr>
          <w:rFonts w:eastAsiaTheme="minorHAnsi"/>
          <w:lang w:eastAsia="en-US"/>
        </w:rPr>
        <w:t xml:space="preserve">linical </w:t>
      </w:r>
      <w:r w:rsidR="001F1895">
        <w:rPr>
          <w:rFonts w:eastAsiaTheme="minorHAnsi"/>
          <w:lang w:eastAsia="en-US"/>
        </w:rPr>
        <w:t>c</w:t>
      </w:r>
      <w:r w:rsidR="00DB5631" w:rsidRPr="0082064A">
        <w:rPr>
          <w:rFonts w:eastAsiaTheme="minorHAnsi"/>
          <w:lang w:eastAsia="en-US"/>
        </w:rPr>
        <w:t xml:space="preserve">ommittees </w:t>
      </w:r>
      <w:r w:rsidRPr="0082064A">
        <w:rPr>
          <w:rFonts w:eastAsiaTheme="minorHAnsi"/>
          <w:lang w:eastAsia="en-US"/>
        </w:rPr>
        <w:t>and the preparation of reports).</w:t>
      </w:r>
    </w:p>
    <w:p w:rsidR="00FE6858" w:rsidRPr="0082064A" w:rsidRDefault="00FE6858" w:rsidP="000C2A76">
      <w:pPr>
        <w:pStyle w:val="ListParagraph"/>
        <w:numPr>
          <w:ilvl w:val="0"/>
          <w:numId w:val="41"/>
        </w:numPr>
        <w:spacing w:before="0" w:after="180" w:line="240" w:lineRule="auto"/>
        <w:ind w:left="567" w:hanging="425"/>
        <w:contextualSpacing w:val="0"/>
        <w:rPr>
          <w:rFonts w:eastAsiaTheme="minorHAnsi"/>
          <w:lang w:eastAsia="en-US"/>
        </w:rPr>
      </w:pPr>
      <w:r w:rsidRPr="0082064A">
        <w:rPr>
          <w:rFonts w:eastAsiaTheme="minorHAnsi"/>
          <w:lang w:eastAsia="en-US"/>
        </w:rPr>
        <w:t>Involvement in the development, implementation and evaluation of consumer engagement training.</w:t>
      </w:r>
    </w:p>
    <w:p w:rsidR="00FE6858" w:rsidRDefault="00FE6858" w:rsidP="00FE6858">
      <w:pPr>
        <w:spacing w:before="0" w:after="180" w:line="240" w:lineRule="auto"/>
        <w:rPr>
          <w:rFonts w:eastAsiaTheme="minorHAnsi"/>
          <w:lang w:eastAsia="en-US"/>
        </w:rPr>
      </w:pPr>
      <w:r>
        <w:rPr>
          <w:rFonts w:eastAsiaTheme="minorHAnsi"/>
          <w:lang w:eastAsia="en-US"/>
        </w:rPr>
        <w:t xml:space="preserve">The Panel developed comprehensive information </w:t>
      </w:r>
      <w:r w:rsidR="00581B09">
        <w:rPr>
          <w:rFonts w:eastAsiaTheme="minorHAnsi"/>
          <w:lang w:eastAsia="en-US"/>
        </w:rPr>
        <w:t xml:space="preserve">to include in </w:t>
      </w:r>
      <w:r>
        <w:rPr>
          <w:rFonts w:eastAsiaTheme="minorHAnsi"/>
          <w:lang w:eastAsia="en-US"/>
        </w:rPr>
        <w:t xml:space="preserve">consumer engagement training and recommended that, at a minimum, </w:t>
      </w:r>
      <w:r w:rsidR="001F1895">
        <w:rPr>
          <w:rFonts w:eastAsiaTheme="minorHAnsi"/>
          <w:lang w:eastAsia="en-US"/>
        </w:rPr>
        <w:t>c</w:t>
      </w:r>
      <w:r w:rsidR="00DB5631">
        <w:rPr>
          <w:rFonts w:eastAsiaTheme="minorHAnsi"/>
          <w:lang w:eastAsia="en-US"/>
        </w:rPr>
        <w:t xml:space="preserve">ommittee </w:t>
      </w:r>
      <w:r w:rsidR="001F1895">
        <w:rPr>
          <w:rFonts w:eastAsiaTheme="minorHAnsi"/>
          <w:lang w:eastAsia="en-US"/>
        </w:rPr>
        <w:t>c</w:t>
      </w:r>
      <w:r w:rsidR="00DB5631">
        <w:rPr>
          <w:rFonts w:eastAsiaTheme="minorHAnsi"/>
          <w:lang w:eastAsia="en-US"/>
        </w:rPr>
        <w:t xml:space="preserve">hairs </w:t>
      </w:r>
      <w:r>
        <w:rPr>
          <w:rFonts w:eastAsiaTheme="minorHAnsi"/>
          <w:lang w:eastAsia="en-US"/>
        </w:rPr>
        <w:t xml:space="preserve">should participate in training with consumers to ensure a supportive environment and shared responsibility for consumer input into the work of </w:t>
      </w:r>
      <w:r w:rsidR="001F1895">
        <w:rPr>
          <w:rFonts w:eastAsiaTheme="minorHAnsi"/>
          <w:lang w:eastAsia="en-US"/>
        </w:rPr>
        <w:t>c</w:t>
      </w:r>
      <w:r w:rsidR="00DB5631">
        <w:rPr>
          <w:rFonts w:eastAsiaTheme="minorHAnsi"/>
          <w:lang w:eastAsia="en-US"/>
        </w:rPr>
        <w:t>ommittees</w:t>
      </w:r>
      <w:r>
        <w:rPr>
          <w:rFonts w:eastAsiaTheme="minorHAnsi"/>
          <w:lang w:eastAsia="en-US"/>
        </w:rPr>
        <w:t xml:space="preserve">. </w:t>
      </w:r>
    </w:p>
    <w:p w:rsidR="00FE6858" w:rsidRDefault="00FE6858" w:rsidP="002053C8">
      <w:pPr>
        <w:spacing w:before="0" w:after="120" w:line="240" w:lineRule="auto"/>
        <w:rPr>
          <w:rFonts w:eastAsiaTheme="minorHAnsi"/>
          <w:lang w:eastAsia="en-US"/>
        </w:rPr>
      </w:pPr>
      <w:r>
        <w:rPr>
          <w:rFonts w:eastAsiaTheme="minorHAnsi"/>
          <w:lang w:eastAsia="en-US"/>
        </w:rPr>
        <w:t xml:space="preserve">Material developed by the Panel for potential inclusion in training was included in the Consumer Engagement Resource. Information, tools and templates in the </w:t>
      </w:r>
      <w:r w:rsidR="00581B09">
        <w:rPr>
          <w:rFonts w:eastAsiaTheme="minorHAnsi"/>
          <w:lang w:eastAsia="en-US"/>
        </w:rPr>
        <w:t>resource</w:t>
      </w:r>
      <w:r>
        <w:rPr>
          <w:rFonts w:eastAsiaTheme="minorHAnsi"/>
          <w:lang w:eastAsia="en-US"/>
        </w:rPr>
        <w:t xml:space="preserve"> address:</w:t>
      </w:r>
    </w:p>
    <w:p w:rsidR="00FE6858" w:rsidRPr="00405973" w:rsidRDefault="00FE6858" w:rsidP="002053C8">
      <w:pPr>
        <w:pStyle w:val="Bullet-green"/>
        <w:spacing w:line="240" w:lineRule="auto"/>
        <w:rPr>
          <w:rFonts w:eastAsiaTheme="minorHAnsi"/>
          <w:lang w:eastAsia="en-US"/>
        </w:rPr>
      </w:pPr>
      <w:r>
        <w:rPr>
          <w:rFonts w:eastAsiaTheme="minorHAnsi"/>
          <w:lang w:eastAsia="en-US"/>
        </w:rPr>
        <w:t>Consumer recruitment, role and expectations</w:t>
      </w:r>
    </w:p>
    <w:p w:rsidR="00FE6858" w:rsidRPr="00405973" w:rsidRDefault="00FE6858" w:rsidP="002053C8">
      <w:pPr>
        <w:pStyle w:val="Bullet-green"/>
        <w:spacing w:line="240" w:lineRule="auto"/>
        <w:rPr>
          <w:rFonts w:eastAsiaTheme="minorHAnsi"/>
          <w:lang w:eastAsia="en-US"/>
        </w:rPr>
      </w:pPr>
      <w:r w:rsidRPr="00405973">
        <w:rPr>
          <w:rFonts w:eastAsiaTheme="minorHAnsi"/>
          <w:lang w:eastAsia="en-US"/>
        </w:rPr>
        <w:t xml:space="preserve">Consumer principles </w:t>
      </w:r>
      <w:r>
        <w:rPr>
          <w:rFonts w:eastAsiaTheme="minorHAnsi"/>
          <w:lang w:eastAsia="en-US"/>
        </w:rPr>
        <w:t>to guide Review deliberations and decisions</w:t>
      </w:r>
    </w:p>
    <w:p w:rsidR="00FE6858" w:rsidRDefault="00FE6858" w:rsidP="002053C8">
      <w:pPr>
        <w:pStyle w:val="Bullet-green"/>
        <w:spacing w:line="240" w:lineRule="auto"/>
        <w:rPr>
          <w:rFonts w:eastAsiaTheme="minorHAnsi"/>
          <w:lang w:eastAsia="en-US"/>
        </w:rPr>
      </w:pPr>
      <w:r>
        <w:rPr>
          <w:rFonts w:eastAsiaTheme="minorHAnsi"/>
          <w:lang w:eastAsia="en-US"/>
        </w:rPr>
        <w:t>Examples of questions to focus consumer perspectives in reports</w:t>
      </w:r>
    </w:p>
    <w:p w:rsidR="00FE6858" w:rsidRPr="00405973" w:rsidRDefault="00FE6858" w:rsidP="002053C8">
      <w:pPr>
        <w:pStyle w:val="Bullet-green"/>
        <w:spacing w:line="240" w:lineRule="auto"/>
        <w:rPr>
          <w:rFonts w:eastAsiaTheme="minorHAnsi"/>
          <w:lang w:eastAsia="en-US"/>
        </w:rPr>
      </w:pPr>
      <w:r>
        <w:rPr>
          <w:rFonts w:eastAsiaTheme="minorHAnsi"/>
          <w:lang w:eastAsia="en-US"/>
        </w:rPr>
        <w:t>Cr</w:t>
      </w:r>
      <w:r w:rsidRPr="00405973">
        <w:rPr>
          <w:rFonts w:eastAsiaTheme="minorHAnsi"/>
          <w:lang w:eastAsia="en-US"/>
        </w:rPr>
        <w:t xml:space="preserve">itical checkpoints for consumer engagement in the work of </w:t>
      </w:r>
      <w:r w:rsidR="001F1895">
        <w:rPr>
          <w:rFonts w:eastAsiaTheme="minorHAnsi"/>
          <w:lang w:eastAsia="en-US"/>
        </w:rPr>
        <w:t>c</w:t>
      </w:r>
      <w:r w:rsidR="00DB5631" w:rsidRPr="00405973">
        <w:rPr>
          <w:rFonts w:eastAsiaTheme="minorHAnsi"/>
          <w:lang w:eastAsia="en-US"/>
        </w:rPr>
        <w:t xml:space="preserve">linical </w:t>
      </w:r>
      <w:r w:rsidR="001F1895">
        <w:rPr>
          <w:rFonts w:eastAsiaTheme="minorHAnsi"/>
          <w:lang w:eastAsia="en-US"/>
        </w:rPr>
        <w:t>c</w:t>
      </w:r>
      <w:r w:rsidR="00DB5631" w:rsidRPr="00405973">
        <w:rPr>
          <w:rFonts w:eastAsiaTheme="minorHAnsi"/>
          <w:lang w:eastAsia="en-US"/>
        </w:rPr>
        <w:t>ommittees</w:t>
      </w:r>
    </w:p>
    <w:p w:rsidR="00FE6858" w:rsidRDefault="00FE6858" w:rsidP="002053C8">
      <w:pPr>
        <w:pStyle w:val="Bullet-green"/>
        <w:spacing w:line="240" w:lineRule="auto"/>
        <w:rPr>
          <w:rFonts w:eastAsiaTheme="minorHAnsi"/>
          <w:lang w:eastAsia="en-US"/>
        </w:rPr>
      </w:pPr>
      <w:r>
        <w:rPr>
          <w:rFonts w:eastAsiaTheme="minorHAnsi"/>
          <w:lang w:eastAsia="en-US"/>
        </w:rPr>
        <w:t>R</w:t>
      </w:r>
      <w:r w:rsidRPr="00405973">
        <w:rPr>
          <w:rFonts w:eastAsiaTheme="minorHAnsi"/>
          <w:lang w:eastAsia="en-US"/>
        </w:rPr>
        <w:t>ecommended approach to targeted public consultation</w:t>
      </w:r>
      <w:r>
        <w:rPr>
          <w:rFonts w:eastAsiaTheme="minorHAnsi"/>
          <w:lang w:eastAsia="en-US"/>
        </w:rPr>
        <w:t xml:space="preserve"> </w:t>
      </w:r>
    </w:p>
    <w:p w:rsidR="00FE6858" w:rsidRPr="00AF5414" w:rsidRDefault="00FE6858" w:rsidP="002053C8">
      <w:pPr>
        <w:pStyle w:val="Bullet-green"/>
        <w:spacing w:line="240" w:lineRule="auto"/>
        <w:rPr>
          <w:rFonts w:eastAsiaTheme="minorHAnsi"/>
          <w:lang w:eastAsia="en-US"/>
        </w:rPr>
      </w:pPr>
      <w:r>
        <w:rPr>
          <w:rFonts w:eastAsiaTheme="minorHAnsi"/>
          <w:lang w:eastAsia="en-US"/>
        </w:rPr>
        <w:t>P</w:t>
      </w:r>
      <w:r w:rsidRPr="00405973">
        <w:rPr>
          <w:rFonts w:eastAsiaTheme="minorHAnsi"/>
          <w:lang w:eastAsia="en-US"/>
        </w:rPr>
        <w:t>ublic communication checklist</w:t>
      </w:r>
    </w:p>
    <w:p w:rsidR="00FE6858" w:rsidRPr="0003163F" w:rsidRDefault="00FE6858" w:rsidP="002053C8">
      <w:pPr>
        <w:pStyle w:val="Bullet-green"/>
        <w:spacing w:line="240" w:lineRule="auto"/>
        <w:rPr>
          <w:rFonts w:eastAsiaTheme="minorHAnsi"/>
          <w:lang w:eastAsia="en-US"/>
        </w:rPr>
      </w:pPr>
      <w:r>
        <w:rPr>
          <w:rFonts w:eastAsiaTheme="minorHAnsi"/>
          <w:lang w:eastAsia="en-US"/>
        </w:rPr>
        <w:t>A consumer perspective on evidence</w:t>
      </w:r>
    </w:p>
    <w:p w:rsidR="00FE6858" w:rsidRDefault="00FE6858" w:rsidP="002053C8">
      <w:pPr>
        <w:pStyle w:val="Bullet-green"/>
        <w:spacing w:line="240" w:lineRule="auto"/>
        <w:rPr>
          <w:rFonts w:eastAsiaTheme="minorHAnsi"/>
          <w:lang w:eastAsia="en-US"/>
        </w:rPr>
      </w:pPr>
      <w:r w:rsidRPr="00F3120B">
        <w:rPr>
          <w:rFonts w:eastAsiaTheme="minorHAnsi"/>
          <w:lang w:eastAsia="en-US"/>
        </w:rPr>
        <w:t xml:space="preserve">Hints and tips for consumers on </w:t>
      </w:r>
      <w:r w:rsidR="001F1895">
        <w:rPr>
          <w:rFonts w:eastAsiaTheme="minorHAnsi"/>
          <w:lang w:eastAsia="en-US"/>
        </w:rPr>
        <w:t>c</w:t>
      </w:r>
      <w:r w:rsidR="00DB5631" w:rsidRPr="00F3120B">
        <w:rPr>
          <w:rFonts w:eastAsiaTheme="minorHAnsi"/>
          <w:lang w:eastAsia="en-US"/>
        </w:rPr>
        <w:t>ommittees</w:t>
      </w:r>
    </w:p>
    <w:p w:rsidR="00FE6858" w:rsidRDefault="00FE6858" w:rsidP="002053C8">
      <w:pPr>
        <w:pStyle w:val="Bullet-green"/>
        <w:spacing w:line="240" w:lineRule="auto"/>
        <w:rPr>
          <w:rFonts w:eastAsiaTheme="minorHAnsi"/>
          <w:lang w:eastAsia="en-US"/>
        </w:rPr>
      </w:pPr>
      <w:r>
        <w:rPr>
          <w:rFonts w:eastAsiaTheme="minorHAnsi"/>
          <w:lang w:eastAsia="en-US"/>
        </w:rPr>
        <w:t xml:space="preserve">Support available to consumers and others on </w:t>
      </w:r>
      <w:r w:rsidR="001F1895">
        <w:rPr>
          <w:rFonts w:eastAsiaTheme="minorHAnsi"/>
          <w:lang w:eastAsia="en-US"/>
        </w:rPr>
        <w:t>c</w:t>
      </w:r>
      <w:r w:rsidR="00DB5631">
        <w:rPr>
          <w:rFonts w:eastAsiaTheme="minorHAnsi"/>
          <w:lang w:eastAsia="en-US"/>
        </w:rPr>
        <w:t>ommittees</w:t>
      </w:r>
    </w:p>
    <w:p w:rsidR="00FE6858" w:rsidRPr="00944887" w:rsidRDefault="00FE6858" w:rsidP="009670C6">
      <w:pPr>
        <w:pStyle w:val="Bullet-green"/>
        <w:spacing w:after="180" w:line="240" w:lineRule="auto"/>
        <w:rPr>
          <w:rFonts w:eastAsiaTheme="minorHAnsi"/>
          <w:lang w:eastAsia="en-US"/>
        </w:rPr>
      </w:pPr>
      <w:r>
        <w:rPr>
          <w:rFonts w:eastAsiaTheme="minorHAnsi"/>
          <w:lang w:eastAsia="en-US"/>
        </w:rPr>
        <w:t>Consumer-related terminology</w:t>
      </w:r>
    </w:p>
    <w:p w:rsidR="00FE6858" w:rsidRDefault="00FE6858" w:rsidP="00FE6858">
      <w:pPr>
        <w:spacing w:before="0" w:after="180" w:line="240" w:lineRule="auto"/>
        <w:rPr>
          <w:rFonts w:eastAsiaTheme="minorHAnsi"/>
          <w:lang w:eastAsia="en-US"/>
        </w:rPr>
      </w:pPr>
      <w:r>
        <w:rPr>
          <w:rFonts w:eastAsiaTheme="minorHAnsi"/>
          <w:lang w:eastAsia="en-US"/>
        </w:rPr>
        <w:lastRenderedPageBreak/>
        <w:t xml:space="preserve">Panel members participated in induction teleconferences with consumers which </w:t>
      </w:r>
      <w:r w:rsidRPr="0048761C">
        <w:rPr>
          <w:rFonts w:eastAsiaTheme="minorHAnsi"/>
          <w:lang w:eastAsia="en-US"/>
        </w:rPr>
        <w:t>outline</w:t>
      </w:r>
      <w:r>
        <w:rPr>
          <w:rFonts w:eastAsiaTheme="minorHAnsi"/>
          <w:lang w:eastAsia="en-US"/>
        </w:rPr>
        <w:t>d</w:t>
      </w:r>
      <w:r w:rsidRPr="0048761C">
        <w:rPr>
          <w:rFonts w:eastAsiaTheme="minorHAnsi"/>
          <w:lang w:eastAsia="en-US"/>
        </w:rPr>
        <w:t xml:space="preserve"> the role of consumer representatives, discuss</w:t>
      </w:r>
      <w:r>
        <w:rPr>
          <w:rFonts w:eastAsiaTheme="minorHAnsi"/>
          <w:lang w:eastAsia="en-US"/>
        </w:rPr>
        <w:t>ed</w:t>
      </w:r>
      <w:r w:rsidRPr="0048761C">
        <w:rPr>
          <w:rFonts w:eastAsiaTheme="minorHAnsi"/>
          <w:lang w:eastAsia="en-US"/>
        </w:rPr>
        <w:t xml:space="preserve"> the elements of the </w:t>
      </w:r>
      <w:r>
        <w:rPr>
          <w:rFonts w:eastAsiaTheme="minorHAnsi"/>
          <w:lang w:eastAsia="en-US"/>
        </w:rPr>
        <w:t>Consumer Engagement Resource</w:t>
      </w:r>
      <w:r w:rsidRPr="0048761C">
        <w:rPr>
          <w:rFonts w:eastAsiaTheme="minorHAnsi"/>
          <w:lang w:eastAsia="en-US"/>
        </w:rPr>
        <w:t>, and to answer any questions new consumer representatives had about the</w:t>
      </w:r>
      <w:r>
        <w:rPr>
          <w:rFonts w:eastAsiaTheme="minorHAnsi"/>
          <w:lang w:eastAsia="en-US"/>
        </w:rPr>
        <w:t>ir role in the</w:t>
      </w:r>
      <w:r w:rsidRPr="0048761C">
        <w:rPr>
          <w:rFonts w:eastAsiaTheme="minorHAnsi"/>
          <w:lang w:eastAsia="en-US"/>
        </w:rPr>
        <w:t xml:space="preserve"> Review. There was positive feedback on this process. </w:t>
      </w:r>
    </w:p>
    <w:p w:rsidR="00FE6858" w:rsidRPr="00653E6E" w:rsidRDefault="00FE6858" w:rsidP="00FE6858">
      <w:pPr>
        <w:spacing w:before="0" w:after="180" w:line="240" w:lineRule="auto"/>
        <w:rPr>
          <w:rFonts w:eastAsiaTheme="minorHAnsi"/>
          <w:lang w:eastAsia="en-US"/>
        </w:rPr>
      </w:pPr>
      <w:r w:rsidRPr="0048761C">
        <w:rPr>
          <w:rFonts w:eastAsiaTheme="minorHAnsi"/>
          <w:lang w:eastAsia="en-US"/>
        </w:rPr>
        <w:t xml:space="preserve">In addition, </w:t>
      </w:r>
      <w:r w:rsidR="001F1895">
        <w:rPr>
          <w:rFonts w:eastAsiaTheme="minorHAnsi"/>
          <w:lang w:eastAsia="en-US"/>
        </w:rPr>
        <w:t>c</w:t>
      </w:r>
      <w:r w:rsidRPr="0048761C">
        <w:rPr>
          <w:rFonts w:eastAsiaTheme="minorHAnsi"/>
          <w:lang w:eastAsia="en-US"/>
        </w:rPr>
        <w:t xml:space="preserve">ommittee </w:t>
      </w:r>
      <w:r w:rsidR="001F1895">
        <w:rPr>
          <w:rFonts w:eastAsiaTheme="minorHAnsi"/>
          <w:lang w:eastAsia="en-US"/>
        </w:rPr>
        <w:t>c</w:t>
      </w:r>
      <w:r w:rsidRPr="0048761C">
        <w:rPr>
          <w:rFonts w:eastAsiaTheme="minorHAnsi"/>
          <w:lang w:eastAsia="en-US"/>
        </w:rPr>
        <w:t xml:space="preserve">hairs held introductory meetings with consumers and other </w:t>
      </w:r>
      <w:r w:rsidR="001F1895">
        <w:rPr>
          <w:rFonts w:eastAsiaTheme="minorHAnsi"/>
          <w:lang w:eastAsia="en-US"/>
        </w:rPr>
        <w:t>c</w:t>
      </w:r>
      <w:r w:rsidR="00DB5631" w:rsidRPr="0048761C">
        <w:rPr>
          <w:rFonts w:eastAsiaTheme="minorHAnsi"/>
          <w:lang w:eastAsia="en-US"/>
        </w:rPr>
        <w:t xml:space="preserve">ommittee </w:t>
      </w:r>
      <w:r w:rsidRPr="0048761C">
        <w:rPr>
          <w:rFonts w:eastAsiaTheme="minorHAnsi"/>
          <w:lang w:eastAsia="en-US"/>
        </w:rPr>
        <w:t>members to outline Review objectives and methodology. This process acknowledged the value of consumer input to the process.</w:t>
      </w:r>
    </w:p>
    <w:p w:rsidR="00FE6858" w:rsidRPr="0082064A" w:rsidRDefault="00FE6858" w:rsidP="000C2A76">
      <w:pPr>
        <w:pStyle w:val="ListParagraph"/>
        <w:numPr>
          <w:ilvl w:val="0"/>
          <w:numId w:val="40"/>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Mentoring new consumer representatives and </w:t>
      </w:r>
      <w:r w:rsidR="001F1895">
        <w:rPr>
          <w:rFonts w:eastAsiaTheme="minorHAnsi"/>
          <w:i/>
          <w:color w:val="000000" w:themeColor="text1"/>
          <w:lang w:eastAsia="en-US"/>
        </w:rPr>
        <w:t>c</w:t>
      </w:r>
      <w:r w:rsidRPr="0082064A">
        <w:rPr>
          <w:rFonts w:eastAsiaTheme="minorHAnsi"/>
          <w:i/>
          <w:color w:val="000000" w:themeColor="text1"/>
          <w:lang w:eastAsia="en-US"/>
        </w:rPr>
        <w:t xml:space="preserve">hairs of Taskforce </w:t>
      </w:r>
      <w:r w:rsidR="001F1895">
        <w:rPr>
          <w:rFonts w:eastAsiaTheme="minorHAnsi"/>
          <w:i/>
          <w:color w:val="000000" w:themeColor="text1"/>
          <w:lang w:eastAsia="en-US"/>
        </w:rPr>
        <w:t>c</w:t>
      </w:r>
      <w:r w:rsidRPr="0082064A">
        <w:rPr>
          <w:rFonts w:eastAsiaTheme="minorHAnsi"/>
          <w:i/>
          <w:color w:val="000000" w:themeColor="text1"/>
          <w:lang w:eastAsia="en-US"/>
        </w:rPr>
        <w:t xml:space="preserve">linical </w:t>
      </w:r>
      <w:r w:rsidR="001F1895">
        <w:rPr>
          <w:rFonts w:eastAsiaTheme="minorHAnsi"/>
          <w:i/>
          <w:color w:val="000000" w:themeColor="text1"/>
          <w:lang w:eastAsia="en-US"/>
        </w:rPr>
        <w:t>c</w:t>
      </w:r>
      <w:r w:rsidRPr="0082064A">
        <w:rPr>
          <w:rFonts w:eastAsiaTheme="minorHAnsi"/>
          <w:i/>
          <w:color w:val="000000" w:themeColor="text1"/>
          <w:lang w:eastAsia="en-US"/>
        </w:rPr>
        <w:t>ommittees.</w:t>
      </w:r>
    </w:p>
    <w:p w:rsidR="00FE6858" w:rsidRPr="0082064A" w:rsidRDefault="00FE6858" w:rsidP="002053C8">
      <w:pPr>
        <w:spacing w:before="0" w:after="120" w:line="240" w:lineRule="auto"/>
        <w:rPr>
          <w:rFonts w:eastAsiaTheme="minorHAnsi"/>
          <w:i/>
          <w:color w:val="000000" w:themeColor="text1"/>
          <w:lang w:eastAsia="en-US"/>
        </w:rPr>
      </w:pPr>
      <w:r w:rsidRPr="0082064A">
        <w:rPr>
          <w:rFonts w:eastAsiaTheme="minorHAnsi"/>
          <w:color w:val="000000" w:themeColor="text1"/>
          <w:lang w:eastAsia="en-US"/>
        </w:rPr>
        <w:t xml:space="preserve">A support and mentoring model was developed and all Panel members made themselves available to participate in this work. Some consumers reported being supported by more experienced consumers on their </w:t>
      </w:r>
      <w:r w:rsidR="001F1895">
        <w:rPr>
          <w:rFonts w:eastAsiaTheme="minorHAnsi"/>
          <w:color w:val="000000" w:themeColor="text1"/>
          <w:lang w:eastAsia="en-US"/>
        </w:rPr>
        <w:t>c</w:t>
      </w:r>
      <w:r w:rsidR="00DB5631" w:rsidRPr="0082064A">
        <w:rPr>
          <w:rFonts w:eastAsiaTheme="minorHAnsi"/>
          <w:color w:val="000000" w:themeColor="text1"/>
          <w:lang w:eastAsia="en-US"/>
        </w:rPr>
        <w:t xml:space="preserve">ommittee </w:t>
      </w:r>
      <w:r w:rsidRPr="0082064A">
        <w:rPr>
          <w:rFonts w:eastAsiaTheme="minorHAnsi"/>
          <w:color w:val="000000" w:themeColor="text1"/>
          <w:lang w:eastAsia="en-US"/>
        </w:rPr>
        <w:t xml:space="preserve">(where more than one consumer was appointed) and Panel members reported receiving occasional calls from a consumer wanting to discuss their approach to </w:t>
      </w:r>
      <w:r w:rsidR="001F1895">
        <w:rPr>
          <w:rFonts w:eastAsiaTheme="minorHAnsi"/>
          <w:color w:val="000000" w:themeColor="text1"/>
          <w:lang w:eastAsia="en-US"/>
        </w:rPr>
        <w:t>c</w:t>
      </w:r>
      <w:r w:rsidR="00DB5631" w:rsidRPr="0082064A">
        <w:rPr>
          <w:rFonts w:eastAsiaTheme="minorHAnsi"/>
          <w:color w:val="000000" w:themeColor="text1"/>
          <w:lang w:eastAsia="en-US"/>
        </w:rPr>
        <w:t xml:space="preserve">ommittee </w:t>
      </w:r>
      <w:r w:rsidRPr="0082064A">
        <w:rPr>
          <w:rFonts w:eastAsiaTheme="minorHAnsi"/>
          <w:color w:val="000000" w:themeColor="text1"/>
          <w:lang w:eastAsia="en-US"/>
        </w:rPr>
        <w:t>work.</w:t>
      </w:r>
    </w:p>
    <w:p w:rsidR="00FE6858" w:rsidRPr="0082064A" w:rsidRDefault="00FE6858" w:rsidP="002053C8">
      <w:pPr>
        <w:pStyle w:val="ListParagraph"/>
        <w:numPr>
          <w:ilvl w:val="0"/>
          <w:numId w:val="40"/>
        </w:numPr>
        <w:spacing w:before="0" w:after="120" w:line="240" w:lineRule="auto"/>
        <w:ind w:hanging="357"/>
        <w:contextualSpacing w:val="0"/>
        <w:rPr>
          <w:rFonts w:eastAsiaTheme="minorHAnsi"/>
          <w:i/>
          <w:color w:val="000000" w:themeColor="text1"/>
          <w:lang w:eastAsia="en-US"/>
        </w:rPr>
      </w:pPr>
      <w:r w:rsidRPr="0082064A">
        <w:rPr>
          <w:rFonts w:eastAsiaTheme="minorHAnsi"/>
          <w:i/>
          <w:color w:val="000000" w:themeColor="text1"/>
          <w:lang w:eastAsia="en-US"/>
        </w:rPr>
        <w:t>Development or adaptation of templates and guidelines to support and promote efficient and comparable reporting of consumer perspectives.</w:t>
      </w:r>
    </w:p>
    <w:p w:rsidR="00FE6858" w:rsidRPr="0082064A" w:rsidRDefault="00FE6858" w:rsidP="000C2A76">
      <w:pPr>
        <w:pStyle w:val="ListParagraph"/>
        <w:numPr>
          <w:ilvl w:val="0"/>
          <w:numId w:val="40"/>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Reviewing reports and providing advice to the Taskforce about how to make these accessible to consumers and communities.</w:t>
      </w:r>
    </w:p>
    <w:p w:rsidR="00FE6858" w:rsidRPr="00C702C8" w:rsidRDefault="00FE6858" w:rsidP="002053C8">
      <w:pPr>
        <w:spacing w:before="0" w:after="120" w:line="240" w:lineRule="auto"/>
        <w:rPr>
          <w:rFonts w:eastAsiaTheme="minorHAnsi"/>
          <w:lang w:eastAsia="en-US"/>
        </w:rPr>
      </w:pPr>
      <w:r>
        <w:rPr>
          <w:rFonts w:eastAsiaTheme="minorHAnsi"/>
          <w:lang w:eastAsia="en-US"/>
        </w:rPr>
        <w:t xml:space="preserve">This is the area in which the work of the Panel can be said to have the most visible influence. Early in their </w:t>
      </w:r>
      <w:r w:rsidR="003E7A10">
        <w:rPr>
          <w:rFonts w:eastAsiaTheme="minorHAnsi"/>
          <w:lang w:eastAsia="en-US"/>
        </w:rPr>
        <w:t>establishment,</w:t>
      </w:r>
      <w:r>
        <w:rPr>
          <w:rFonts w:eastAsiaTheme="minorHAnsi"/>
          <w:lang w:eastAsia="en-US"/>
        </w:rPr>
        <w:t xml:space="preserve"> the Panel developed templates for specific consumer components of </w:t>
      </w:r>
      <w:r w:rsidR="001F1895">
        <w:rPr>
          <w:rFonts w:eastAsiaTheme="minorHAnsi"/>
          <w:lang w:eastAsia="en-US"/>
        </w:rPr>
        <w:t>c</w:t>
      </w:r>
      <w:r w:rsidR="00DB5631">
        <w:rPr>
          <w:rFonts w:eastAsiaTheme="minorHAnsi"/>
          <w:lang w:eastAsia="en-US"/>
        </w:rPr>
        <w:t xml:space="preserve">ommittee </w:t>
      </w:r>
      <w:r>
        <w:rPr>
          <w:rFonts w:eastAsiaTheme="minorHAnsi"/>
          <w:lang w:eastAsia="en-US"/>
        </w:rPr>
        <w:t>reports. These templates and examples of their use were published in the Resource along with other tools:</w:t>
      </w:r>
    </w:p>
    <w:p w:rsidR="00FE6858" w:rsidRDefault="00FE6858" w:rsidP="002053C8">
      <w:pPr>
        <w:pStyle w:val="Bullet-green"/>
        <w:spacing w:line="240" w:lineRule="auto"/>
        <w:rPr>
          <w:rFonts w:eastAsiaTheme="minorHAnsi"/>
          <w:lang w:eastAsia="en-US"/>
        </w:rPr>
      </w:pPr>
      <w:r w:rsidRPr="00C702C8">
        <w:rPr>
          <w:rFonts w:eastAsiaTheme="minorHAnsi"/>
          <w:lang w:eastAsia="en-US"/>
        </w:rPr>
        <w:t xml:space="preserve">Consumer engagement </w:t>
      </w:r>
      <w:r>
        <w:rPr>
          <w:rFonts w:eastAsiaTheme="minorHAnsi"/>
          <w:lang w:eastAsia="en-US"/>
        </w:rPr>
        <w:t>summary</w:t>
      </w:r>
    </w:p>
    <w:p w:rsidR="00FE6858" w:rsidRPr="00C702C8" w:rsidRDefault="00FE6858" w:rsidP="002053C8">
      <w:pPr>
        <w:pStyle w:val="Bullet-green"/>
        <w:spacing w:line="240" w:lineRule="auto"/>
        <w:rPr>
          <w:rFonts w:eastAsiaTheme="minorHAnsi"/>
          <w:lang w:eastAsia="en-US"/>
        </w:rPr>
      </w:pPr>
      <w:r>
        <w:rPr>
          <w:rFonts w:eastAsiaTheme="minorHAnsi"/>
          <w:lang w:eastAsia="en-US"/>
        </w:rPr>
        <w:t>Consumer impact statement</w:t>
      </w:r>
    </w:p>
    <w:p w:rsidR="00FE6858" w:rsidRPr="00C702C8" w:rsidRDefault="00FE6858" w:rsidP="009670C6">
      <w:pPr>
        <w:pStyle w:val="Bullet-green"/>
        <w:spacing w:after="180" w:line="240" w:lineRule="auto"/>
        <w:rPr>
          <w:rFonts w:eastAsiaTheme="minorHAnsi"/>
          <w:lang w:eastAsia="en-US"/>
        </w:rPr>
      </w:pPr>
      <w:r>
        <w:rPr>
          <w:rFonts w:eastAsiaTheme="minorHAnsi"/>
          <w:lang w:eastAsia="en-US"/>
        </w:rPr>
        <w:t>Consumer report i.e. s</w:t>
      </w:r>
      <w:r w:rsidRPr="00C702C8">
        <w:rPr>
          <w:rFonts w:eastAsiaTheme="minorHAnsi"/>
          <w:lang w:eastAsia="en-US"/>
        </w:rPr>
        <w:t>ummary table of recommendations</w:t>
      </w:r>
      <w:r>
        <w:rPr>
          <w:rFonts w:eastAsiaTheme="minorHAnsi"/>
          <w:lang w:eastAsia="en-US"/>
        </w:rPr>
        <w:t xml:space="preserve"> and rationale.</w:t>
      </w:r>
    </w:p>
    <w:p w:rsidR="00FE6858" w:rsidRDefault="00FE6858" w:rsidP="00FE6858">
      <w:pPr>
        <w:spacing w:before="0" w:after="180" w:line="240" w:lineRule="auto"/>
        <w:rPr>
          <w:rFonts w:eastAsiaTheme="minorHAnsi"/>
          <w:lang w:eastAsia="en-US"/>
        </w:rPr>
      </w:pPr>
      <w:r>
        <w:rPr>
          <w:rFonts w:eastAsiaTheme="minorHAnsi"/>
          <w:lang w:eastAsia="en-US"/>
        </w:rPr>
        <w:lastRenderedPageBreak/>
        <w:t>The way in which these were developed varied; feedback was received that these sections of the reports were widely appreciated by the clinicians and consumers.</w:t>
      </w:r>
    </w:p>
    <w:p w:rsidR="00FE6858" w:rsidRPr="0048761C" w:rsidRDefault="00FE6858" w:rsidP="00FE6858">
      <w:pPr>
        <w:spacing w:before="0" w:after="180" w:line="240" w:lineRule="auto"/>
        <w:rPr>
          <w:rFonts w:eastAsiaTheme="minorHAnsi"/>
          <w:lang w:eastAsia="en-US"/>
        </w:rPr>
      </w:pPr>
      <w:r>
        <w:rPr>
          <w:rFonts w:eastAsiaTheme="minorHAnsi"/>
          <w:lang w:eastAsia="en-US"/>
        </w:rPr>
        <w:t xml:space="preserve">Regarding the reviewing of reports from a consumer perspective, </w:t>
      </w:r>
      <w:r w:rsidRPr="0048761C">
        <w:rPr>
          <w:rFonts w:eastAsiaTheme="minorHAnsi"/>
          <w:lang w:eastAsia="en-US"/>
        </w:rPr>
        <w:t xml:space="preserve">draft reports for public consultation were </w:t>
      </w:r>
      <w:r>
        <w:rPr>
          <w:rFonts w:eastAsiaTheme="minorHAnsi"/>
          <w:lang w:eastAsia="en-US"/>
        </w:rPr>
        <w:t xml:space="preserve">on occasion </w:t>
      </w:r>
      <w:r w:rsidRPr="0048761C">
        <w:rPr>
          <w:rFonts w:eastAsiaTheme="minorHAnsi"/>
          <w:lang w:eastAsia="en-US"/>
        </w:rPr>
        <w:t>sent to the Panel for comment</w:t>
      </w:r>
      <w:r>
        <w:rPr>
          <w:rFonts w:eastAsiaTheme="minorHAnsi"/>
          <w:lang w:eastAsia="en-US"/>
        </w:rPr>
        <w:t xml:space="preserve">. </w:t>
      </w:r>
    </w:p>
    <w:p w:rsidR="00FE6858" w:rsidRPr="0048761C" w:rsidRDefault="00FE6858" w:rsidP="00FE6858">
      <w:pPr>
        <w:spacing w:before="0" w:after="180" w:line="240" w:lineRule="auto"/>
        <w:rPr>
          <w:rFonts w:eastAsiaTheme="minorHAnsi"/>
          <w:lang w:eastAsia="en-US"/>
        </w:rPr>
      </w:pPr>
      <w:r>
        <w:rPr>
          <w:rFonts w:eastAsiaTheme="minorHAnsi"/>
          <w:lang w:eastAsia="en-US"/>
        </w:rPr>
        <w:t>In addition</w:t>
      </w:r>
      <w:r w:rsidRPr="0048761C">
        <w:rPr>
          <w:rFonts w:eastAsiaTheme="minorHAnsi"/>
          <w:lang w:eastAsia="en-US"/>
        </w:rPr>
        <w:t>, policy officers</w:t>
      </w:r>
      <w:r>
        <w:rPr>
          <w:rFonts w:eastAsiaTheme="minorHAnsi"/>
          <w:lang w:eastAsia="en-US"/>
        </w:rPr>
        <w:t xml:space="preserve"> often</w:t>
      </w:r>
      <w:r w:rsidRPr="0048761C">
        <w:rPr>
          <w:rFonts w:eastAsiaTheme="minorHAnsi"/>
          <w:lang w:eastAsia="en-US"/>
        </w:rPr>
        <w:t xml:space="preserve"> spoke with Panel members about potentially contentious Taskforce recommendations, including proposed changes to after-hours consultations, and communication strategies related </w:t>
      </w:r>
      <w:r>
        <w:rPr>
          <w:rFonts w:eastAsiaTheme="minorHAnsi"/>
          <w:lang w:eastAsia="en-US"/>
        </w:rPr>
        <w:t>c</w:t>
      </w:r>
      <w:r w:rsidRPr="0048761C">
        <w:rPr>
          <w:rFonts w:eastAsiaTheme="minorHAnsi"/>
          <w:lang w:eastAsia="en-US"/>
        </w:rPr>
        <w:t>olonoscopy service</w:t>
      </w:r>
      <w:r>
        <w:rPr>
          <w:rFonts w:eastAsiaTheme="minorHAnsi"/>
          <w:lang w:eastAsia="en-US"/>
        </w:rPr>
        <w:t xml:space="preserve"> recommendations</w:t>
      </w:r>
      <w:r w:rsidRPr="0048761C">
        <w:rPr>
          <w:rFonts w:eastAsiaTheme="minorHAnsi"/>
          <w:lang w:eastAsia="en-US"/>
        </w:rPr>
        <w:t>.</w:t>
      </w:r>
    </w:p>
    <w:p w:rsidR="00FE6858" w:rsidRPr="00471F7C" w:rsidRDefault="00FE6858" w:rsidP="00FE6858">
      <w:pPr>
        <w:pStyle w:val="Heading1"/>
        <w:ind w:left="431" w:hanging="431"/>
      </w:pPr>
      <w:bookmarkStart w:id="41" w:name="_Toc33103193"/>
      <w:r w:rsidRPr="00471F7C">
        <w:t xml:space="preserve">Consumer Panel role #2: </w:t>
      </w:r>
      <w:r w:rsidRPr="00471F7C">
        <w:br/>
        <w:t>Address systemic improvements to the MBS</w:t>
      </w:r>
      <w:bookmarkEnd w:id="41"/>
    </w:p>
    <w:p w:rsidR="00FE6858" w:rsidRDefault="00FE6858" w:rsidP="008A38D6">
      <w:pPr>
        <w:spacing w:before="0" w:after="120" w:line="240" w:lineRule="auto"/>
      </w:pPr>
      <w:r>
        <w:t xml:space="preserve">The second focus of the Panel was to </w:t>
      </w:r>
      <w:r w:rsidRPr="00C8060C">
        <w:rPr>
          <w:b/>
        </w:rPr>
        <w:t>assist the Taskforce to address systemic improvements to the MBS</w:t>
      </w:r>
      <w:r>
        <w:t>.</w:t>
      </w:r>
    </w:p>
    <w:p w:rsidR="009670C6" w:rsidRDefault="009670C6" w:rsidP="009670C6">
      <w:pPr>
        <w:spacing w:before="0" w:after="180" w:line="240" w:lineRule="auto"/>
        <w:rPr>
          <w:rFonts w:eastAsiaTheme="minorHAnsi"/>
          <w:lang w:eastAsia="en-US"/>
        </w:rPr>
      </w:pPr>
      <w:r>
        <w:rPr>
          <w:rFonts w:eastAsiaTheme="minorHAnsi"/>
          <w:lang w:eastAsia="en-US"/>
        </w:rPr>
        <w:t xml:space="preserve">Excerpts from the Panel’s Terms of Reference are below in </w:t>
      </w:r>
      <w:r w:rsidRPr="009670C6">
        <w:rPr>
          <w:rFonts w:eastAsiaTheme="minorHAnsi"/>
          <w:i/>
          <w:lang w:eastAsia="en-US"/>
        </w:rPr>
        <w:t>italics.</w:t>
      </w:r>
    </w:p>
    <w:p w:rsidR="00FE6858" w:rsidRPr="00C8060C" w:rsidRDefault="00FE6858" w:rsidP="00FE6858">
      <w:pPr>
        <w:spacing w:before="0" w:after="0"/>
        <w:rPr>
          <w:rFonts w:eastAsiaTheme="minorHAnsi"/>
          <w:i/>
          <w:lang w:eastAsia="en-US"/>
        </w:rPr>
      </w:pPr>
      <w:r>
        <w:rPr>
          <w:rFonts w:eastAsiaTheme="minorHAnsi"/>
          <w:lang w:eastAsia="en-US"/>
        </w:rPr>
        <w:t>[Addressing systemic improvements to the MBS]</w:t>
      </w:r>
      <w:r w:rsidRPr="0048761C">
        <w:rPr>
          <w:rFonts w:eastAsiaTheme="minorHAnsi"/>
          <w:lang w:eastAsia="en-US"/>
        </w:rPr>
        <w:t xml:space="preserve"> </w:t>
      </w:r>
      <w:r w:rsidRPr="00C8060C">
        <w:rPr>
          <w:rFonts w:eastAsiaTheme="minorHAnsi"/>
          <w:i/>
          <w:lang w:eastAsia="en-US"/>
        </w:rPr>
        <w:t>may include:</w:t>
      </w:r>
    </w:p>
    <w:p w:rsidR="00FE6858" w:rsidRPr="00C8060C" w:rsidRDefault="00FE6858" w:rsidP="000C2A76">
      <w:pPr>
        <w:pStyle w:val="ListParagraph"/>
        <w:numPr>
          <w:ilvl w:val="0"/>
          <w:numId w:val="16"/>
        </w:numPr>
        <w:rPr>
          <w:rFonts w:eastAsiaTheme="minorHAnsi"/>
          <w:i/>
          <w:lang w:eastAsia="en-US"/>
        </w:rPr>
      </w:pPr>
      <w:r w:rsidRPr="00C8060C">
        <w:rPr>
          <w:rFonts w:eastAsiaTheme="minorHAnsi"/>
          <w:i/>
          <w:lang w:eastAsia="en-US"/>
        </w:rPr>
        <w:t>Commissioning development of a plain English guide for the MBS.</w:t>
      </w:r>
    </w:p>
    <w:p w:rsidR="00FE6858" w:rsidRPr="00C8060C" w:rsidRDefault="00FE6858" w:rsidP="000C2A76">
      <w:pPr>
        <w:pStyle w:val="ListParagraph"/>
        <w:numPr>
          <w:ilvl w:val="0"/>
          <w:numId w:val="16"/>
        </w:numPr>
        <w:rPr>
          <w:rFonts w:eastAsiaTheme="minorHAnsi"/>
          <w:i/>
          <w:lang w:eastAsia="en-US"/>
        </w:rPr>
      </w:pPr>
      <w:r w:rsidRPr="00C8060C">
        <w:rPr>
          <w:rFonts w:eastAsiaTheme="minorHAnsi"/>
          <w:i/>
          <w:lang w:eastAsia="en-US"/>
        </w:rPr>
        <w:t>Scoping how to develop plain English descriptors and hyperlinks to clinical guidelines and plain English Clinical Guidelines.</w:t>
      </w:r>
    </w:p>
    <w:p w:rsidR="00FE6858" w:rsidRPr="00756D7B" w:rsidRDefault="00FE6858" w:rsidP="000C2A76">
      <w:pPr>
        <w:pStyle w:val="ListParagraph"/>
        <w:numPr>
          <w:ilvl w:val="0"/>
          <w:numId w:val="16"/>
        </w:numPr>
        <w:rPr>
          <w:rFonts w:eastAsiaTheme="minorHAnsi"/>
          <w:i/>
          <w:lang w:eastAsia="en-US"/>
        </w:rPr>
      </w:pPr>
      <w:r w:rsidRPr="00C8060C">
        <w:rPr>
          <w:rFonts w:eastAsiaTheme="minorHAnsi"/>
          <w:i/>
          <w:lang w:eastAsia="en-US"/>
        </w:rPr>
        <w:t>Development of a glossary of terms.</w:t>
      </w:r>
    </w:p>
    <w:p w:rsidR="00FE6858" w:rsidRPr="0082064A" w:rsidRDefault="00FE6858" w:rsidP="000C2A76">
      <w:pPr>
        <w:pStyle w:val="ListParagraph"/>
        <w:numPr>
          <w:ilvl w:val="0"/>
          <w:numId w:val="16"/>
        </w:numPr>
        <w:rPr>
          <w:i/>
        </w:rPr>
      </w:pPr>
      <w:r w:rsidRPr="00C8060C">
        <w:rPr>
          <w:rFonts w:eastAsiaTheme="minorHAnsi"/>
          <w:i/>
          <w:lang w:eastAsia="en-US"/>
        </w:rPr>
        <w:lastRenderedPageBreak/>
        <w:t>Development of evidence-informed consumer engagement principles, policy and procedures.</w:t>
      </w:r>
    </w:p>
    <w:p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Commissioning development of a plain English guide for the MBS.</w:t>
      </w:r>
    </w:p>
    <w:p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Scoping how to develop plain English descriptors and hyperlinks to clinical guidelines and plain English Clinical Guidelines.</w:t>
      </w:r>
    </w:p>
    <w:p w:rsidR="00FE6858" w:rsidRPr="0082064A"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Though this piece of work was seen as valuable, it was subsequently determined as out of the scope for the MBS Review at this time, however the Panel recommends that it be considered as part of any future review process. This work is preliminary; the Consumer Panel considers that further work on shared understandings of terminology is important to effective consumer engagement</w:t>
      </w:r>
      <w:r w:rsidR="00581B09">
        <w:rPr>
          <w:rFonts w:eastAsiaTheme="minorHAnsi"/>
          <w:color w:val="000000" w:themeColor="text1"/>
          <w:lang w:eastAsia="en-US"/>
        </w:rPr>
        <w:t xml:space="preserve"> to ‘improve outcomes for patients’</w:t>
      </w:r>
      <w:r w:rsidRPr="0082064A">
        <w:rPr>
          <w:rFonts w:eastAsiaTheme="minorHAnsi"/>
          <w:color w:val="000000" w:themeColor="text1"/>
          <w:lang w:eastAsia="en-US"/>
        </w:rPr>
        <w:t>.</w:t>
      </w:r>
    </w:p>
    <w:p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Development of a glossary of terms.</w:t>
      </w:r>
    </w:p>
    <w:p w:rsidR="00FE6858" w:rsidRPr="0082064A"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 xml:space="preserve">The Panel drafted a glossary, with working definitions of terminology commonly used in the Review (see Glossary of consumer terminology – section 10). </w:t>
      </w:r>
    </w:p>
    <w:p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Development of evidence-informed consumer engagement principles, policy and procedures.</w:t>
      </w:r>
    </w:p>
    <w:p w:rsidR="002053C8"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Early in its work, the Panel developed a set of Consumer Principles to Guide Review deliberations and decisions. These were formally accepted by the Taskforce. These Principles are included in the Panel’s r</w:t>
      </w:r>
      <w:r w:rsidR="00D342B6">
        <w:rPr>
          <w:rFonts w:eastAsiaTheme="minorHAnsi"/>
          <w:color w:val="000000" w:themeColor="text1"/>
          <w:lang w:eastAsia="en-US"/>
        </w:rPr>
        <w:t>ecommendations (see section 7).</w:t>
      </w:r>
    </w:p>
    <w:p w:rsidR="002053C8" w:rsidRDefault="002053C8">
      <w:pPr>
        <w:spacing w:before="0" w:after="0" w:line="240" w:lineRule="auto"/>
        <w:rPr>
          <w:rFonts w:eastAsiaTheme="minorHAnsi"/>
          <w:color w:val="000000" w:themeColor="text1"/>
          <w:lang w:eastAsia="en-US"/>
        </w:rPr>
      </w:pPr>
      <w:r>
        <w:rPr>
          <w:rFonts w:eastAsiaTheme="minorHAnsi"/>
          <w:color w:val="000000" w:themeColor="text1"/>
          <w:lang w:eastAsia="en-US"/>
        </w:rPr>
        <w:br w:type="page"/>
      </w:r>
    </w:p>
    <w:p w:rsidR="00FE6858" w:rsidRPr="00471F7C" w:rsidRDefault="00FE6858" w:rsidP="00D342B6">
      <w:pPr>
        <w:pStyle w:val="Heading1"/>
        <w:spacing w:before="480"/>
        <w:ind w:left="431" w:hanging="431"/>
      </w:pPr>
      <w:bookmarkStart w:id="42" w:name="_Toc33103194"/>
      <w:r w:rsidRPr="00471F7C">
        <w:lastRenderedPageBreak/>
        <w:t>Consumer impact and influence in the review</w:t>
      </w:r>
      <w:bookmarkEnd w:id="42"/>
    </w:p>
    <w:p w:rsidR="00FE6858" w:rsidRPr="000B1F67" w:rsidRDefault="00FE6858" w:rsidP="008A38D6">
      <w:pPr>
        <w:spacing w:before="120" w:after="120" w:line="240" w:lineRule="auto"/>
      </w:pPr>
      <w:r>
        <w:rPr>
          <w:rFonts w:eastAsiaTheme="minorHAnsi"/>
          <w:lang w:eastAsia="en-US"/>
        </w:rPr>
        <w:t xml:space="preserve">The Panel drafted a survey for </w:t>
      </w:r>
      <w:r w:rsidR="0093743E">
        <w:rPr>
          <w:rFonts w:eastAsiaTheme="minorHAnsi"/>
          <w:lang w:eastAsia="en-US"/>
        </w:rPr>
        <w:t>C</w:t>
      </w:r>
      <w:r>
        <w:rPr>
          <w:rFonts w:eastAsiaTheme="minorHAnsi"/>
          <w:lang w:eastAsia="en-US"/>
        </w:rPr>
        <w:t xml:space="preserve">onsumers on </w:t>
      </w:r>
      <w:r w:rsidR="0087745C">
        <w:rPr>
          <w:rFonts w:eastAsiaTheme="minorHAnsi"/>
          <w:lang w:eastAsia="en-US"/>
        </w:rPr>
        <w:t>C</w:t>
      </w:r>
      <w:r>
        <w:rPr>
          <w:rFonts w:eastAsiaTheme="minorHAnsi"/>
          <w:lang w:eastAsia="en-US"/>
        </w:rPr>
        <w:t xml:space="preserve">ommittees and another for clinicians and </w:t>
      </w:r>
      <w:r w:rsidR="00F545A0">
        <w:rPr>
          <w:rFonts w:eastAsiaTheme="minorHAnsi"/>
          <w:lang w:eastAsia="en-US"/>
        </w:rPr>
        <w:t xml:space="preserve">secretariat </w:t>
      </w:r>
      <w:r>
        <w:rPr>
          <w:rFonts w:eastAsiaTheme="minorHAnsi"/>
          <w:lang w:eastAsia="en-US"/>
        </w:rPr>
        <w:t xml:space="preserve">members. The draft surveys were sent to all committee </w:t>
      </w:r>
      <w:r w:rsidR="0087745C">
        <w:rPr>
          <w:rFonts w:eastAsiaTheme="minorHAnsi"/>
          <w:lang w:eastAsia="en-US"/>
        </w:rPr>
        <w:t>C</w:t>
      </w:r>
      <w:r>
        <w:rPr>
          <w:rFonts w:eastAsiaTheme="minorHAnsi"/>
          <w:lang w:eastAsia="en-US"/>
        </w:rPr>
        <w:t xml:space="preserve">hairpersons and all </w:t>
      </w:r>
      <w:r w:rsidR="00DB5631">
        <w:rPr>
          <w:rFonts w:eastAsiaTheme="minorHAnsi"/>
          <w:lang w:eastAsia="en-US"/>
        </w:rPr>
        <w:t>C</w:t>
      </w:r>
      <w:r>
        <w:rPr>
          <w:rFonts w:eastAsiaTheme="minorHAnsi"/>
          <w:lang w:eastAsia="en-US"/>
        </w:rPr>
        <w:t xml:space="preserve">onsumer members of </w:t>
      </w:r>
      <w:r w:rsidR="00DB5631">
        <w:rPr>
          <w:rFonts w:eastAsiaTheme="minorHAnsi"/>
          <w:lang w:eastAsia="en-US"/>
        </w:rPr>
        <w:t xml:space="preserve">Committees </w:t>
      </w:r>
      <w:r>
        <w:rPr>
          <w:rFonts w:eastAsiaTheme="minorHAnsi"/>
          <w:lang w:eastAsia="en-US"/>
        </w:rPr>
        <w:t xml:space="preserve">or </w:t>
      </w:r>
      <w:r w:rsidR="00DB5631">
        <w:rPr>
          <w:rFonts w:eastAsiaTheme="minorHAnsi"/>
          <w:lang w:eastAsia="en-US"/>
        </w:rPr>
        <w:t>Working Groups</w:t>
      </w:r>
      <w:r>
        <w:rPr>
          <w:rFonts w:eastAsiaTheme="minorHAnsi"/>
          <w:lang w:eastAsia="en-US"/>
        </w:rPr>
        <w:t xml:space="preserve">. </w:t>
      </w:r>
      <w:r>
        <w:t xml:space="preserve">37 </w:t>
      </w:r>
      <w:r w:rsidR="0087745C">
        <w:t>C</w:t>
      </w:r>
      <w:r>
        <w:t>hairpersons and 34</w:t>
      </w:r>
      <w:r w:rsidRPr="00C8060C">
        <w:t xml:space="preserve"> </w:t>
      </w:r>
      <w:r w:rsidR="00F545A0">
        <w:t xml:space="preserve">Consumers </w:t>
      </w:r>
      <w:r>
        <w:t xml:space="preserve">responded, which was approximately a 51% response rate for </w:t>
      </w:r>
      <w:r w:rsidR="00F545A0">
        <w:t>C</w:t>
      </w:r>
      <w:r w:rsidR="00DB5631">
        <w:t xml:space="preserve">onsumers </w:t>
      </w:r>
      <w:r>
        <w:t xml:space="preserve">and 44% for Chairpersons. </w:t>
      </w:r>
    </w:p>
    <w:p w:rsidR="00FE6858" w:rsidRPr="008A38D6" w:rsidRDefault="00FE6858" w:rsidP="008A38D6">
      <w:pPr>
        <w:pStyle w:val="Heading2"/>
        <w:numPr>
          <w:ilvl w:val="0"/>
          <w:numId w:val="0"/>
        </w:numPr>
        <w:spacing w:before="240" w:after="120"/>
        <w:rPr>
          <w:sz w:val="32"/>
          <w:szCs w:val="32"/>
        </w:rPr>
      </w:pPr>
      <w:bookmarkStart w:id="43" w:name="_Toc33103195"/>
      <w:r w:rsidRPr="008A38D6">
        <w:rPr>
          <w:sz w:val="32"/>
          <w:szCs w:val="32"/>
        </w:rPr>
        <w:t>Chairperson survey feedback</w:t>
      </w:r>
      <w:bookmarkEnd w:id="43"/>
    </w:p>
    <w:p w:rsidR="00FE6858" w:rsidRPr="003B2F10" w:rsidRDefault="00FE6858" w:rsidP="008A38D6">
      <w:pPr>
        <w:spacing w:before="240" w:after="120" w:line="240" w:lineRule="auto"/>
        <w:rPr>
          <w:b/>
          <w:u w:val="single"/>
        </w:rPr>
      </w:pPr>
      <w:r w:rsidRPr="003B2F10">
        <w:rPr>
          <w:b/>
          <w:u w:val="single"/>
        </w:rPr>
        <w:t>Question 1</w:t>
      </w:r>
    </w:p>
    <w:p w:rsidR="00FE6858" w:rsidRDefault="00FE6858" w:rsidP="00FE6858">
      <w:pPr>
        <w:spacing w:before="0" w:after="180" w:line="240" w:lineRule="auto"/>
        <w:rPr>
          <w:b/>
        </w:rPr>
      </w:pPr>
      <w:r w:rsidRPr="003B2F10">
        <w:t xml:space="preserve">To what extent did the </w:t>
      </w:r>
      <w:r w:rsidR="001F1895">
        <w:t>c</w:t>
      </w:r>
      <w:r w:rsidRPr="003B2F10">
        <w:t xml:space="preserve">linical </w:t>
      </w:r>
      <w:r w:rsidR="001F1895">
        <w:t>c</w:t>
      </w:r>
      <w:r w:rsidRPr="003B2F10">
        <w:t>ommittee/</w:t>
      </w:r>
      <w:r w:rsidR="001F1895">
        <w:t>w</w:t>
      </w:r>
      <w:r w:rsidRPr="003B2F10">
        <w:t xml:space="preserve">orking </w:t>
      </w:r>
      <w:r w:rsidR="001F1895">
        <w:t>g</w:t>
      </w:r>
      <w:r w:rsidR="00FA2A1B" w:rsidRPr="003B2F10">
        <w:t xml:space="preserve">roup </w:t>
      </w:r>
      <w:r w:rsidRPr="003B2F10">
        <w:t xml:space="preserve">enable consumer perspectives to influence the </w:t>
      </w:r>
      <w:r w:rsidR="007D3492" w:rsidRPr="003B2F10">
        <w:rPr>
          <w:b/>
        </w:rPr>
        <w:t>day-to-day</w:t>
      </w:r>
      <w:r w:rsidRPr="003B2F10">
        <w:rPr>
          <w:b/>
        </w:rPr>
        <w:t xml:space="preserve"> work of the </w:t>
      </w:r>
      <w:r w:rsidR="001F1895">
        <w:rPr>
          <w:b/>
        </w:rPr>
        <w:t>c</w:t>
      </w:r>
      <w:r w:rsidRPr="003B2F10">
        <w:rPr>
          <w:b/>
        </w:rPr>
        <w:t xml:space="preserve">linical </w:t>
      </w:r>
      <w:r w:rsidR="001F1895">
        <w:rPr>
          <w:b/>
        </w:rPr>
        <w:t>c</w:t>
      </w:r>
      <w:r w:rsidR="0093743E" w:rsidRPr="003B2F10">
        <w:rPr>
          <w:b/>
        </w:rPr>
        <w:t>ommittee</w:t>
      </w:r>
      <w:r w:rsidRPr="003B2F10">
        <w:rPr>
          <w:b/>
        </w:rPr>
        <w:t>/</w:t>
      </w:r>
      <w:r w:rsidR="001F1895">
        <w:rPr>
          <w:b/>
        </w:rPr>
        <w:t>w</w:t>
      </w:r>
      <w:r w:rsidRPr="003B2F10">
        <w:rPr>
          <w:b/>
        </w:rPr>
        <w:t xml:space="preserve">orking </w:t>
      </w:r>
      <w:r w:rsidR="001F1895">
        <w:rPr>
          <w:b/>
        </w:rPr>
        <w:t>g</w:t>
      </w:r>
      <w:r w:rsidRPr="003B2F10">
        <w:rPr>
          <w:b/>
        </w:rPr>
        <w:t>roup?</w:t>
      </w:r>
    </w:p>
    <w:p w:rsidR="00D342B6" w:rsidRDefault="00D342B6" w:rsidP="00D342B6">
      <w:pPr>
        <w:spacing w:before="0" w:after="0" w:line="240" w:lineRule="auto"/>
        <w:rPr>
          <w:b/>
        </w:rPr>
      </w:pPr>
    </w:p>
    <w:p w:rsidR="00FE6858" w:rsidRDefault="00FE6858" w:rsidP="00FE6858">
      <w:pPr>
        <w:spacing w:before="0" w:after="180" w:line="240" w:lineRule="auto"/>
        <w:ind w:left="360"/>
        <w:jc w:val="center"/>
        <w:rPr>
          <w:rFonts w:eastAsiaTheme="minorHAnsi"/>
          <w:lang w:eastAsia="en-US"/>
        </w:rPr>
      </w:pPr>
      <w:r>
        <w:rPr>
          <w:rFonts w:eastAsiaTheme="minorHAnsi"/>
          <w:noProof/>
        </w:rPr>
        <w:lastRenderedPageBreak/>
        <w:drawing>
          <wp:inline distT="0" distB="0" distL="0" distR="0" wp14:anchorId="414CEFC5" wp14:editId="1235A9A8">
            <wp:extent cx="4508209" cy="2486025"/>
            <wp:effectExtent l="0" t="0" r="6985" b="0"/>
            <wp:docPr id="12" name="Picture 12" descr="Bar chart showing:&#10;X Axis showing percentage. Y axis showing responses.&#10;To a great extent  30%&#10;To a moderate extent   50%&#10;To a small extent   18%&#10;Not at all 2%" title="Chairperson survey feedback -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928" cy="2489179"/>
                    </a:xfrm>
                    <a:prstGeom prst="rect">
                      <a:avLst/>
                    </a:prstGeom>
                    <a:noFill/>
                  </pic:spPr>
                </pic:pic>
              </a:graphicData>
            </a:graphic>
          </wp:inline>
        </w:drawing>
      </w:r>
    </w:p>
    <w:p w:rsidR="00FE6858" w:rsidRPr="00024547" w:rsidRDefault="00FE6858" w:rsidP="008A38D6">
      <w:pPr>
        <w:spacing w:before="240" w:after="120" w:line="240" w:lineRule="auto"/>
        <w:rPr>
          <w:b/>
          <w:u w:val="single"/>
        </w:rPr>
      </w:pPr>
      <w:r>
        <w:rPr>
          <w:b/>
          <w:u w:val="single"/>
        </w:rPr>
        <w:t>Q</w:t>
      </w:r>
      <w:r w:rsidRPr="00024547">
        <w:rPr>
          <w:b/>
          <w:u w:val="single"/>
        </w:rPr>
        <w:t>uestion 2</w:t>
      </w:r>
    </w:p>
    <w:p w:rsidR="00FE6858" w:rsidRDefault="00FE6858" w:rsidP="00FE6858">
      <w:pPr>
        <w:spacing w:before="0" w:after="180" w:line="240" w:lineRule="auto"/>
      </w:pPr>
      <w:r w:rsidRPr="003B2F10">
        <w:t xml:space="preserve">Overall, to what extent did consumer perspectives influence the </w:t>
      </w:r>
      <w:r w:rsidRPr="003B2F10">
        <w:rPr>
          <w:b/>
        </w:rPr>
        <w:t xml:space="preserve">findings and recommendations </w:t>
      </w:r>
      <w:r w:rsidRPr="003B2F10">
        <w:t xml:space="preserve">of the </w:t>
      </w:r>
      <w:r w:rsidR="001F1895">
        <w:t>c</w:t>
      </w:r>
      <w:r w:rsidR="00DB5631" w:rsidRPr="003B2F10">
        <w:t xml:space="preserve">linical </w:t>
      </w:r>
      <w:r w:rsidR="001F1895">
        <w:t>c</w:t>
      </w:r>
      <w:r w:rsidR="00DB5631" w:rsidRPr="003B2F10">
        <w:t>ommittee</w:t>
      </w:r>
      <w:r w:rsidRPr="003B2F10">
        <w:t>/</w:t>
      </w:r>
      <w:r w:rsidR="001F1895">
        <w:t>w</w:t>
      </w:r>
      <w:r w:rsidR="00DB5631" w:rsidRPr="003B2F10">
        <w:t xml:space="preserve">orking </w:t>
      </w:r>
      <w:r w:rsidR="001F1895">
        <w:t>g</w:t>
      </w:r>
      <w:r w:rsidR="00DB5631" w:rsidRPr="003B2F10">
        <w:t>roup</w:t>
      </w:r>
      <w:r w:rsidRPr="003B2F10">
        <w:t>?</w:t>
      </w:r>
    </w:p>
    <w:p w:rsidR="00FE6858" w:rsidRDefault="00FE6858" w:rsidP="00FE6858">
      <w:pPr>
        <w:spacing w:before="0" w:after="180" w:line="240" w:lineRule="auto"/>
        <w:jc w:val="center"/>
        <w:rPr>
          <w:b/>
        </w:rPr>
      </w:pPr>
      <w:r w:rsidRPr="00024547">
        <w:rPr>
          <w:noProof/>
        </w:rPr>
        <w:lastRenderedPageBreak/>
        <w:drawing>
          <wp:inline distT="0" distB="0" distL="0" distR="0" wp14:anchorId="23A1320C" wp14:editId="28444976">
            <wp:extent cx="4222143" cy="2472856"/>
            <wp:effectExtent l="0" t="0" r="6985" b="3810"/>
            <wp:docPr id="13" name="Chart 13" descr="Bar chart showing:&#10;X Axis showing percentage. Y axis showing responses.&#10;To a great extent  29%&#10;To a moderate extent   28%&#10;To some extent   20%&#10;To a small extent   20%&#10;Not at all 3%" title="Chairperson survey ques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42B6" w:rsidRPr="00024547" w:rsidRDefault="00D342B6" w:rsidP="00D342B6">
      <w:pPr>
        <w:spacing w:before="0" w:after="0" w:line="240" w:lineRule="auto"/>
        <w:jc w:val="center"/>
        <w:rPr>
          <w:b/>
        </w:rPr>
      </w:pPr>
    </w:p>
    <w:p w:rsidR="00FE6858" w:rsidRPr="003B2F10" w:rsidRDefault="00FE6858" w:rsidP="000C2A76">
      <w:pPr>
        <w:pStyle w:val="ListParagraph"/>
        <w:numPr>
          <w:ilvl w:val="0"/>
          <w:numId w:val="42"/>
        </w:numPr>
        <w:spacing w:before="0" w:after="180" w:line="240" w:lineRule="auto"/>
        <w:ind w:left="357" w:hanging="357"/>
        <w:contextualSpacing w:val="0"/>
        <w:rPr>
          <w:rFonts w:eastAsiaTheme="minorHAnsi"/>
          <w:lang w:eastAsia="en-US"/>
        </w:rPr>
      </w:pPr>
      <w:r w:rsidRPr="0082064A">
        <w:rPr>
          <w:rFonts w:eastAsiaTheme="minorHAnsi"/>
          <w:color w:val="000000" w:themeColor="text1"/>
          <w:lang w:eastAsia="en-US"/>
        </w:rPr>
        <w:t>The</w:t>
      </w:r>
      <w:r>
        <w:rPr>
          <w:rFonts w:eastAsiaTheme="minorHAnsi"/>
          <w:lang w:eastAsia="en-US"/>
        </w:rPr>
        <w:t xml:space="preserve"> majority of respondents reported that the </w:t>
      </w:r>
      <w:r w:rsidR="001F1895">
        <w:rPr>
          <w:rFonts w:eastAsiaTheme="minorHAnsi"/>
          <w:lang w:eastAsia="en-US"/>
        </w:rPr>
        <w:t>c</w:t>
      </w:r>
      <w:r w:rsidR="00DB5631">
        <w:rPr>
          <w:rFonts w:eastAsiaTheme="minorHAnsi"/>
          <w:lang w:eastAsia="en-US"/>
        </w:rPr>
        <w:t xml:space="preserve">ommittee </w:t>
      </w:r>
      <w:r>
        <w:rPr>
          <w:rFonts w:eastAsiaTheme="minorHAnsi"/>
          <w:lang w:eastAsia="en-US"/>
        </w:rPr>
        <w:t>process enabled inclusion of consumer perspectives. Comments included: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They were equal members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As chair, it was my responsibility to ensure all voices were heard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We tried to examine every item from the perspective of the consumer</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consumer being present alone reminded us the health system is primarily about service to consumers not primarily about convenience to providers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Had to specifically invite them to comment, which they did well once invited</w:t>
      </w:r>
    </w:p>
    <w:p w:rsidR="00FE6858" w:rsidRPr="0082064A" w:rsidRDefault="00FE6858" w:rsidP="000C2A76">
      <w:pPr>
        <w:pStyle w:val="ListParagraph"/>
        <w:numPr>
          <w:ilvl w:val="1"/>
          <w:numId w:val="42"/>
        </w:numPr>
        <w:spacing w:before="0" w:after="180" w:line="240" w:lineRule="auto"/>
        <w:ind w:left="709"/>
        <w:contextualSpacing w:val="0"/>
        <w:rPr>
          <w:rFonts w:eastAsiaTheme="minorHAnsi"/>
          <w:i/>
          <w:color w:val="000000" w:themeColor="text1"/>
          <w:lang w:eastAsia="en-US"/>
        </w:rPr>
      </w:pPr>
      <w:r w:rsidRPr="0082064A" w:rsidDel="0009375A">
        <w:rPr>
          <w:rFonts w:eastAsiaTheme="minorHAnsi"/>
          <w:i/>
          <w:color w:val="000000" w:themeColor="text1"/>
          <w:lang w:eastAsia="en-US"/>
        </w:rPr>
        <w:t>No process to explore consumer priorities as a key method – not consistent with best modern co-design principles</w:t>
      </w:r>
      <w:r w:rsidRPr="0082064A">
        <w:rPr>
          <w:rFonts w:eastAsiaTheme="minorHAnsi"/>
          <w:i/>
          <w:color w:val="000000" w:themeColor="text1"/>
          <w:lang w:eastAsia="en-US"/>
        </w:rPr>
        <w:t>.</w:t>
      </w:r>
    </w:p>
    <w:p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Several saw the technical nature of discussions as a barrier to consumer contributions: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lastRenderedPageBreak/>
        <w:t>Were very well prepared. However we dealt with highly technical material…so the opportunity to contribute was limited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 views on complex medical decision-making are often not that useful</w:t>
      </w:r>
    </w:p>
    <w:p w:rsidR="00FE6858" w:rsidRPr="0082064A" w:rsidRDefault="00FE6858" w:rsidP="000C2A76">
      <w:pPr>
        <w:pStyle w:val="ListParagraph"/>
        <w:numPr>
          <w:ilvl w:val="0"/>
          <w:numId w:val="42"/>
        </w:numPr>
        <w:spacing w:before="0" w:after="180" w:line="240" w:lineRule="auto"/>
        <w:ind w:left="357" w:hanging="357"/>
        <w:contextualSpacing w:val="0"/>
        <w:rPr>
          <w:rFonts w:eastAsiaTheme="minorHAnsi"/>
          <w:color w:val="000000" w:themeColor="text1"/>
          <w:lang w:eastAsia="en-US"/>
        </w:rPr>
      </w:pPr>
      <w:r w:rsidRPr="0082064A">
        <w:rPr>
          <w:rFonts w:eastAsiaTheme="minorHAnsi"/>
          <w:color w:val="000000" w:themeColor="text1"/>
          <w:lang w:eastAsia="en-US"/>
        </w:rPr>
        <w:t>Some chairs prioritised areas of consumer expertise, including access, lived experience and patient preferences: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…technical issues dominated discussions but we found our </w:t>
      </w:r>
      <w:r w:rsidR="00F545A0">
        <w:rPr>
          <w:rFonts w:eastAsiaTheme="minorHAnsi"/>
          <w:i/>
          <w:color w:val="000000" w:themeColor="text1"/>
          <w:lang w:eastAsia="en-US"/>
        </w:rPr>
        <w:t>C</w:t>
      </w:r>
      <w:r w:rsidRPr="0082064A">
        <w:rPr>
          <w:rFonts w:eastAsiaTheme="minorHAnsi"/>
          <w:i/>
          <w:color w:val="000000" w:themeColor="text1"/>
          <w:lang w:eastAsia="en-US"/>
        </w:rPr>
        <w:t xml:space="preserve">onsumer </w:t>
      </w:r>
      <w:r w:rsidR="00F545A0">
        <w:rPr>
          <w:rFonts w:eastAsiaTheme="minorHAnsi"/>
          <w:i/>
          <w:color w:val="000000" w:themeColor="text1"/>
          <w:lang w:eastAsia="en-US"/>
        </w:rPr>
        <w:t>R</w:t>
      </w:r>
      <w:r w:rsidR="00F545A0" w:rsidRPr="0082064A">
        <w:rPr>
          <w:rFonts w:eastAsiaTheme="minorHAnsi"/>
          <w:i/>
          <w:color w:val="000000" w:themeColor="text1"/>
          <w:lang w:eastAsia="en-US"/>
        </w:rPr>
        <w:t xml:space="preserve">eps </w:t>
      </w:r>
      <w:r w:rsidRPr="0082064A">
        <w:rPr>
          <w:rFonts w:eastAsiaTheme="minorHAnsi"/>
          <w:i/>
          <w:color w:val="000000" w:themeColor="text1"/>
          <w:lang w:eastAsia="en-US"/>
        </w:rPr>
        <w:t>were excellent…especially when we actively sought their input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The entire work of the </w:t>
      </w:r>
      <w:r w:rsidR="00DB5631">
        <w:rPr>
          <w:rFonts w:eastAsiaTheme="minorHAnsi"/>
          <w:i/>
          <w:color w:val="000000" w:themeColor="text1"/>
          <w:lang w:eastAsia="en-US"/>
        </w:rPr>
        <w:t>C</w:t>
      </w:r>
      <w:r w:rsidRPr="0082064A">
        <w:rPr>
          <w:rFonts w:eastAsiaTheme="minorHAnsi"/>
          <w:i/>
          <w:color w:val="000000" w:themeColor="text1"/>
          <w:lang w:eastAsia="en-US"/>
        </w:rPr>
        <w:t xml:space="preserve">ommittee begins with the position of what is best for patients and we are helped a great deal by an active </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most helpful insights were in the area of access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having been patients previously…a great perspective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 influence in dealing with disadvantage such as  patients in remote regions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…highlighting issues of importance for consumers – informed consent, availability, out of pocket expenses, rules and restrictions that cause patient inconvenience or anxiety, safety issues etc…</w:t>
      </w:r>
    </w:p>
    <w:p w:rsidR="00FE6858" w:rsidRPr="0082064A" w:rsidRDefault="00FE6858" w:rsidP="000C2A76">
      <w:pPr>
        <w:pStyle w:val="ListParagraph"/>
        <w:numPr>
          <w:ilvl w:val="0"/>
          <w:numId w:val="42"/>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Over half the respondents reported that consumers influenced recommendations to a moderate or great extent: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Major decisions influenced greatly by consumers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major influence on some of the decisions made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…their specific advice is reflected in the recommendations </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…definitely influenced our deliberations and final report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Useful and informative interactions on each item/group</w:t>
      </w:r>
    </w:p>
    <w:p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lastRenderedPageBreak/>
        <w:t>A small number of respondents reported consumers did not contribute, or influence at all:</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Not at all</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Feedback from consumer very indirect and via third party</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Input was useful and appreciated but did not really alter recommendations</w:t>
      </w:r>
    </w:p>
    <w:p w:rsidR="00FE6858" w:rsidRPr="00511DF0" w:rsidRDefault="00FE6858" w:rsidP="008A38D6">
      <w:pPr>
        <w:spacing w:before="240" w:after="120" w:line="240" w:lineRule="auto"/>
        <w:rPr>
          <w:b/>
          <w:u w:val="single"/>
        </w:rPr>
      </w:pPr>
      <w:r w:rsidRPr="00511DF0">
        <w:rPr>
          <w:b/>
          <w:u w:val="single"/>
        </w:rPr>
        <w:t>Question 3</w:t>
      </w:r>
    </w:p>
    <w:p w:rsidR="00FE6858" w:rsidRDefault="00FE6858" w:rsidP="008A38D6">
      <w:pPr>
        <w:spacing w:before="100" w:beforeAutospacing="1" w:after="120" w:line="240" w:lineRule="auto"/>
      </w:pPr>
      <w:r w:rsidRPr="00511DF0">
        <w:t xml:space="preserve">How effective was the Consumer Panel in supporting </w:t>
      </w:r>
      <w:r w:rsidR="001F1895">
        <w:t>c</w:t>
      </w:r>
      <w:r w:rsidR="00F545A0" w:rsidRPr="00511DF0">
        <w:t xml:space="preserve">onsumer </w:t>
      </w:r>
      <w:r w:rsidR="001F1895">
        <w:t>r</w:t>
      </w:r>
      <w:r w:rsidR="00F545A0" w:rsidRPr="00511DF0">
        <w:t xml:space="preserve">epresentatives </w:t>
      </w:r>
      <w:r w:rsidRPr="00511DF0">
        <w:t xml:space="preserve">on the </w:t>
      </w:r>
      <w:r w:rsidR="001F1895">
        <w:t>c</w:t>
      </w:r>
      <w:r w:rsidR="00DB5631" w:rsidRPr="00511DF0">
        <w:t xml:space="preserve">linical </w:t>
      </w:r>
      <w:r w:rsidR="001F1895">
        <w:t>c</w:t>
      </w:r>
      <w:r w:rsidR="00DB5631" w:rsidRPr="00511DF0">
        <w:t>ommittees</w:t>
      </w:r>
      <w:r w:rsidRPr="00511DF0">
        <w:t>/</w:t>
      </w:r>
      <w:r w:rsidR="001F1895">
        <w:t>w</w:t>
      </w:r>
      <w:r w:rsidR="00DB5631" w:rsidRPr="00511DF0">
        <w:t xml:space="preserve">orking </w:t>
      </w:r>
      <w:r w:rsidR="001F1895">
        <w:t>g</w:t>
      </w:r>
      <w:r w:rsidR="00DB5631" w:rsidRPr="00511DF0">
        <w:t>roups</w:t>
      </w:r>
      <w:r w:rsidRPr="00511DF0">
        <w:t>?</w:t>
      </w:r>
    </w:p>
    <w:p w:rsidR="00D342B6" w:rsidRDefault="00D342B6" w:rsidP="00D342B6">
      <w:pPr>
        <w:spacing w:before="0" w:after="0" w:line="240" w:lineRule="auto"/>
      </w:pPr>
    </w:p>
    <w:p w:rsidR="00FE6858" w:rsidRPr="00511DF0" w:rsidRDefault="00FE6858" w:rsidP="00FE6858">
      <w:pPr>
        <w:tabs>
          <w:tab w:val="left" w:pos="851"/>
        </w:tabs>
        <w:spacing w:before="0" w:after="180" w:line="240" w:lineRule="auto"/>
        <w:jc w:val="center"/>
      </w:pPr>
      <w:r w:rsidRPr="00511DF0">
        <w:rPr>
          <w:noProof/>
        </w:rPr>
        <w:drawing>
          <wp:inline distT="0" distB="0" distL="0" distR="0" wp14:anchorId="601B8488" wp14:editId="789EA8B3">
            <wp:extent cx="4572000" cy="2772410"/>
            <wp:effectExtent l="0" t="0" r="0" b="8890"/>
            <wp:docPr id="16" name="Chart 16" descr="Bar chart showing:&#10;X Axis showing percentage. Y axis showing responses.&#10;Very effective   17.7% &#10;Somewhat effective   35.3%&#10;Not so effective   5.88%&#10;Not at all  0%&#10;I was not aware there was a Consumer Panel  41.2%" title="Chairperson survey questi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lastRenderedPageBreak/>
        <w:t xml:space="preserve">The majority of </w:t>
      </w:r>
      <w:r w:rsidR="001F1895">
        <w:rPr>
          <w:rFonts w:eastAsiaTheme="minorHAnsi"/>
          <w:lang w:eastAsia="en-US"/>
        </w:rPr>
        <w:t>c</w:t>
      </w:r>
      <w:r w:rsidRPr="0082064A">
        <w:rPr>
          <w:rFonts w:eastAsiaTheme="minorHAnsi"/>
          <w:lang w:eastAsia="en-US"/>
        </w:rPr>
        <w:t xml:space="preserve">hairs (48%) felt the Consumer Panel was somewhat to very effective in supporting the </w:t>
      </w:r>
      <w:r w:rsidR="001F1895">
        <w:rPr>
          <w:rFonts w:eastAsiaTheme="minorHAnsi"/>
          <w:lang w:eastAsia="en-US"/>
        </w:rPr>
        <w:t>c</w:t>
      </w:r>
      <w:r w:rsidR="00F545A0" w:rsidRPr="0082064A">
        <w:rPr>
          <w:rFonts w:eastAsiaTheme="minorHAnsi"/>
          <w:lang w:eastAsia="en-US"/>
        </w:rPr>
        <w:t xml:space="preserve">onsumer </w:t>
      </w:r>
      <w:r w:rsidR="001F1895">
        <w:rPr>
          <w:rFonts w:eastAsiaTheme="minorHAnsi"/>
          <w:lang w:eastAsia="en-US"/>
        </w:rPr>
        <w:t>r</w:t>
      </w:r>
      <w:r w:rsidR="00F545A0" w:rsidRPr="0082064A">
        <w:rPr>
          <w:rFonts w:eastAsiaTheme="minorHAnsi"/>
          <w:lang w:eastAsia="en-US"/>
        </w:rPr>
        <w:t>epresentatives</w:t>
      </w:r>
      <w:r w:rsidRPr="0082064A">
        <w:rPr>
          <w:rFonts w:eastAsiaTheme="minorHAnsi"/>
          <w:lang w:eastAsia="en-US"/>
        </w:rPr>
        <w:t xml:space="preserve">. However, 41% did not know the Consumer Panel existed. </w:t>
      </w:r>
    </w:p>
    <w:p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Some respondents mentioned their induction:</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In the briefing prior …there was a clear message to ensure that the consumer reps were encouraged to participate, that their contributions were heard and valued, and that theirs was a priority role…</w:t>
      </w:r>
    </w:p>
    <w:p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 xml:space="preserve">There was a strong view from the </w:t>
      </w:r>
      <w:r w:rsidR="001F1895">
        <w:rPr>
          <w:rFonts w:eastAsiaTheme="minorHAnsi"/>
          <w:lang w:eastAsia="en-US"/>
        </w:rPr>
        <w:t>c</w:t>
      </w:r>
      <w:r w:rsidR="00F545A0" w:rsidRPr="00A502F9">
        <w:rPr>
          <w:rFonts w:eastAsiaTheme="minorHAnsi"/>
          <w:lang w:eastAsia="en-US"/>
        </w:rPr>
        <w:t xml:space="preserve">hairs </w:t>
      </w:r>
      <w:r w:rsidRPr="00A502F9">
        <w:rPr>
          <w:rFonts w:eastAsiaTheme="minorHAnsi"/>
          <w:lang w:eastAsia="en-US"/>
        </w:rPr>
        <w:t xml:space="preserve">that </w:t>
      </w:r>
      <w:r w:rsidR="001F1895">
        <w:rPr>
          <w:rFonts w:eastAsiaTheme="minorHAnsi"/>
          <w:lang w:eastAsia="en-US"/>
        </w:rPr>
        <w:t>c</w:t>
      </w:r>
      <w:r w:rsidR="00F545A0" w:rsidRPr="00A502F9">
        <w:rPr>
          <w:rFonts w:eastAsiaTheme="minorHAnsi"/>
          <w:lang w:eastAsia="en-US"/>
        </w:rPr>
        <w:t xml:space="preserve">onsumers </w:t>
      </w:r>
      <w:r w:rsidRPr="00A502F9">
        <w:rPr>
          <w:rFonts w:eastAsiaTheme="minorHAnsi"/>
          <w:lang w:eastAsia="en-US"/>
        </w:rPr>
        <w:t xml:space="preserve">helped keep the </w:t>
      </w:r>
      <w:r w:rsidR="001F1895">
        <w:rPr>
          <w:rFonts w:eastAsiaTheme="minorHAnsi"/>
          <w:lang w:eastAsia="en-US"/>
        </w:rPr>
        <w:t>c</w:t>
      </w:r>
      <w:r w:rsidR="00DB5631" w:rsidRPr="00A502F9">
        <w:rPr>
          <w:rFonts w:eastAsiaTheme="minorHAnsi"/>
          <w:lang w:eastAsia="en-US"/>
        </w:rPr>
        <w:t xml:space="preserve">ommittees </w:t>
      </w:r>
      <w:r w:rsidRPr="00A502F9">
        <w:rPr>
          <w:rFonts w:eastAsiaTheme="minorHAnsi"/>
          <w:lang w:eastAsia="en-US"/>
        </w:rPr>
        <w:t>on track:</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Very influential in ensuring we stuck to the terms of reference and that we put the interest of the consumer (patient) at the forefront.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MBS has been very ‘doctor’ focused…</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00F545A0">
        <w:rPr>
          <w:rFonts w:eastAsiaTheme="minorHAnsi"/>
          <w:i/>
          <w:color w:val="000000" w:themeColor="text1"/>
          <w:lang w:eastAsia="en-US"/>
        </w:rPr>
        <w:t>R</w:t>
      </w:r>
      <w:r w:rsidR="00F545A0" w:rsidRPr="0082064A">
        <w:rPr>
          <w:rFonts w:eastAsiaTheme="minorHAnsi"/>
          <w:i/>
          <w:color w:val="000000" w:themeColor="text1"/>
          <w:lang w:eastAsia="en-US"/>
        </w:rPr>
        <w:t xml:space="preserve">epresentatives </w:t>
      </w:r>
      <w:r w:rsidRPr="0082064A">
        <w:rPr>
          <w:rFonts w:eastAsiaTheme="minorHAnsi"/>
          <w:i/>
          <w:color w:val="000000" w:themeColor="text1"/>
          <w:lang w:eastAsia="en-US"/>
        </w:rPr>
        <w:t>have been able to realign the focus.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Frequent return to consumer focus; real life examples of how decisions (and current practice) impacts on consumers; assisted in balancing clinically-centric assessment of consequences.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Ensuring there is a plain language version on the recommendations is important.</w:t>
      </w:r>
    </w:p>
    <w:p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Some respondents considered the consumers had little value to offer:</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Raised some consumer related matters although in a somewhat idealistic and not terribly practical way.</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One </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Pr="0082064A">
        <w:rPr>
          <w:rFonts w:eastAsiaTheme="minorHAnsi"/>
          <w:i/>
          <w:color w:val="000000" w:themeColor="text1"/>
          <w:lang w:eastAsia="en-US"/>
        </w:rPr>
        <w:t xml:space="preserve">seemed to have a personal agenda based on individual experience…unrelated to the purpose of the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w:t>
      </w:r>
      <w:r w:rsidRPr="0082064A">
        <w:rPr>
          <w:rFonts w:eastAsiaTheme="minorHAnsi"/>
          <w:i/>
          <w:color w:val="000000" w:themeColor="text1"/>
          <w:lang w:eastAsia="en-US"/>
        </w:rPr>
        <w: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No positive influence noted.</w:t>
      </w:r>
    </w:p>
    <w:p w:rsidR="00FE6858" w:rsidRPr="00C8060C" w:rsidRDefault="00FE6858" w:rsidP="008A38D6">
      <w:pPr>
        <w:spacing w:before="120" w:after="120" w:line="240" w:lineRule="auto"/>
        <w:rPr>
          <w:rFonts w:eastAsiaTheme="minorHAnsi"/>
          <w:b/>
          <w:lang w:eastAsia="en-US"/>
        </w:rPr>
      </w:pPr>
      <w:r>
        <w:rPr>
          <w:rFonts w:eastAsiaTheme="minorHAnsi"/>
          <w:b/>
          <w:lang w:eastAsia="en-US"/>
        </w:rPr>
        <w:lastRenderedPageBreak/>
        <w:t>Chairperson comment on consumer influence: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Mental health: accessibility to services for disadvantaged consumers – whether on the basis of cost, isolation, availability of expertise; provision of different levels of care according to patient need; provision of group support and increasing access to group support in rural areas; emphasis on consultations between family, patient and treating professionals.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Framing descriptors: to be consumer-centred and focus on patient priorities and needs.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Data utilisation and referral: better analysis of how the release of practitioner level cost data would assist in informed choice by consumers and how to contextualise data in concert with referring GP.</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Enrolment of a patient with their GP: to ensure the enrolment would deliver benefits and not limit choice.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End-of-life care planning: (funding) models.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CPAP education and mask fitting: incorporated in patient attendance time.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Nuclear stress testing: in lieu of more expensive stress echo for patients in rural and remote areas.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Safety and access: prioritised (several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ommittees</w:t>
      </w:r>
      <w:r w:rsidRPr="0082064A">
        <w:rPr>
          <w:rFonts w:eastAsiaTheme="minorHAnsi"/>
          <w:i/>
          <w:color w:val="000000" w:themeColor="text1"/>
          <w:lang w:eastAsia="en-US"/>
        </w:rPr>
        <w: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Radiology: removing penalty for more than one procedure a day will increase consumer convenience at no extra cost to the MBS.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After-hours access: fair and reasonable model from consumer perspective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Psychiatry: strong emphasis on family interventions.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Oncology: rationale for bundling items.</w:t>
      </w:r>
    </w:p>
    <w:p w:rsidR="00FE6858" w:rsidRPr="00D52272" w:rsidRDefault="00FE6858" w:rsidP="008A38D6">
      <w:pPr>
        <w:spacing w:before="120" w:after="120" w:line="240" w:lineRule="auto"/>
        <w:rPr>
          <w:b/>
          <w:bCs/>
          <w:iCs/>
          <w:szCs w:val="22"/>
        </w:rPr>
      </w:pPr>
      <w:r w:rsidRPr="00D52272">
        <w:rPr>
          <w:b/>
          <w:bCs/>
          <w:iCs/>
          <w:szCs w:val="22"/>
        </w:rPr>
        <w:t xml:space="preserve">Chairperson suggestions re future engagement of </w:t>
      </w:r>
      <w:r w:rsidR="001F1895">
        <w:rPr>
          <w:b/>
          <w:bCs/>
          <w:iCs/>
          <w:szCs w:val="22"/>
        </w:rPr>
        <w:t>c</w:t>
      </w:r>
      <w:r w:rsidR="00F545A0" w:rsidRPr="00D52272">
        <w:rPr>
          <w:b/>
          <w:bCs/>
          <w:iCs/>
          <w:szCs w:val="22"/>
        </w:rPr>
        <w:t xml:space="preserve">onsumers </w:t>
      </w:r>
      <w:r w:rsidRPr="00D52272">
        <w:rPr>
          <w:b/>
          <w:bCs/>
          <w:iCs/>
          <w:szCs w:val="22"/>
        </w:rPr>
        <w:t xml:space="preserve">on </w:t>
      </w:r>
      <w:r w:rsidR="001F1895">
        <w:rPr>
          <w:b/>
          <w:bCs/>
          <w:iCs/>
          <w:szCs w:val="22"/>
        </w:rPr>
        <w:t>c</w:t>
      </w:r>
      <w:r w:rsidR="00DB5631" w:rsidRPr="00D52272">
        <w:rPr>
          <w:b/>
          <w:bCs/>
          <w:iCs/>
          <w:szCs w:val="22"/>
        </w:rPr>
        <w:t>ommittees</w:t>
      </w:r>
      <w:r w:rsidRPr="00D52272">
        <w:rPr>
          <w:b/>
          <w:bCs/>
          <w:iCs/>
          <w:szCs w:val="22"/>
        </w:rPr>
        <w:t>:</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lastRenderedPageBreak/>
        <w:t>Retain much of what we had: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I think the process went well. Hopefully the </w:t>
      </w:r>
      <w:r w:rsidR="001F1895">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001F1895">
        <w:rPr>
          <w:rFonts w:eastAsiaTheme="minorHAnsi"/>
          <w:i/>
          <w:color w:val="000000" w:themeColor="text1"/>
          <w:lang w:eastAsia="en-US"/>
        </w:rPr>
        <w:t>r</w:t>
      </w:r>
      <w:r w:rsidR="00F545A0" w:rsidRPr="0082064A">
        <w:rPr>
          <w:rFonts w:eastAsiaTheme="minorHAnsi"/>
          <w:i/>
          <w:color w:val="000000" w:themeColor="text1"/>
          <w:lang w:eastAsia="en-US"/>
        </w:rPr>
        <w:t xml:space="preserve">eps </w:t>
      </w:r>
      <w:r w:rsidRPr="0082064A">
        <w:rPr>
          <w:rFonts w:eastAsiaTheme="minorHAnsi"/>
          <w:i/>
          <w:color w:val="000000" w:themeColor="text1"/>
          <w:lang w:eastAsia="en-US"/>
        </w:rPr>
        <w:t>all agree.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One of the best ways to support professionals to move beyond self-interest is to have an articulate </w:t>
      </w:r>
      <w:r w:rsidR="001F1895">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Pr="0082064A">
        <w:rPr>
          <w:rFonts w:eastAsiaTheme="minorHAnsi"/>
          <w:i/>
          <w:color w:val="000000" w:themeColor="text1"/>
          <w:lang w:eastAsia="en-US"/>
        </w:rPr>
        <w:t>who can describe how their needs are not being satisfactorily met.</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Consider appointing more </w:t>
      </w:r>
      <w:r w:rsidR="001F1895">
        <w:rPr>
          <w:rFonts w:eastAsiaTheme="minorHAnsi"/>
          <w:lang w:eastAsia="en-US"/>
        </w:rPr>
        <w:t>c</w:t>
      </w:r>
      <w:r w:rsidR="00F545A0">
        <w:rPr>
          <w:rFonts w:eastAsiaTheme="minorHAnsi"/>
          <w:lang w:eastAsia="en-US"/>
        </w:rPr>
        <w:t xml:space="preserve">onsumers </w:t>
      </w:r>
      <w:r>
        <w:rPr>
          <w:rFonts w:eastAsiaTheme="minorHAnsi"/>
          <w:lang w:eastAsia="en-US"/>
        </w:rPr>
        <w:t xml:space="preserve">to </w:t>
      </w:r>
      <w:r w:rsidR="001F1895">
        <w:rPr>
          <w:rFonts w:eastAsiaTheme="minorHAnsi"/>
          <w:lang w:eastAsia="en-US"/>
        </w:rPr>
        <w:t>c</w:t>
      </w:r>
      <w:r w:rsidR="00DB5631">
        <w:rPr>
          <w:rFonts w:eastAsiaTheme="minorHAnsi"/>
          <w:lang w:eastAsia="en-US"/>
        </w:rPr>
        <w:t>ommittees</w:t>
      </w:r>
      <w:r>
        <w:rPr>
          <w:rFonts w:eastAsiaTheme="minorHAnsi"/>
          <w:lang w:eastAsia="en-US"/>
        </w:rPr>
        <w: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Maybe two, for individual support.</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At least three…to enable formation of subgroups without overwhelming individuals, and also to provide support among the </w:t>
      </w:r>
      <w:r w:rsidR="001F1895">
        <w:rPr>
          <w:rFonts w:eastAsiaTheme="minorHAnsi"/>
          <w:i/>
          <w:color w:val="000000" w:themeColor="text1"/>
          <w:lang w:eastAsia="en-US"/>
        </w:rPr>
        <w:t>c</w:t>
      </w:r>
      <w:r w:rsidR="00F545A0" w:rsidRPr="0082064A">
        <w:rPr>
          <w:rFonts w:eastAsiaTheme="minorHAnsi"/>
          <w:i/>
          <w:color w:val="000000" w:themeColor="text1"/>
          <w:lang w:eastAsia="en-US"/>
        </w:rPr>
        <w:t>onsumers</w:t>
      </w:r>
      <w:r w:rsidRPr="0082064A">
        <w:rPr>
          <w:rFonts w:eastAsiaTheme="minorHAnsi"/>
          <w:i/>
          <w:color w:val="000000" w:themeColor="text1"/>
          <w:lang w:eastAsia="en-US"/>
        </w:rPr>
        <w:t>.</w:t>
      </w:r>
    </w:p>
    <w:p w:rsidR="00FE6858" w:rsidRPr="0003163F"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Ensure </w:t>
      </w:r>
      <w:r w:rsidR="001F1895">
        <w:rPr>
          <w:rFonts w:eastAsiaTheme="minorHAnsi"/>
          <w:lang w:eastAsia="en-US"/>
        </w:rPr>
        <w:t>c</w:t>
      </w:r>
      <w:r w:rsidR="00F545A0">
        <w:rPr>
          <w:rFonts w:eastAsiaTheme="minorHAnsi"/>
          <w:lang w:eastAsia="en-US"/>
        </w:rPr>
        <w:t xml:space="preserve">onsumers </w:t>
      </w:r>
      <w:r>
        <w:rPr>
          <w:rFonts w:eastAsiaTheme="minorHAnsi"/>
          <w:lang w:eastAsia="en-US"/>
        </w:rPr>
        <w:t>have relevant skills and experience: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…experienced, committed reps provide information otherwise not articulated.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 in the healthcare system, health literacy.</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some background in the technical aspects.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 in the health sector and …direct patient journey experience.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confidence to speak out even when others may not want them to do so.</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appreciate state/federal jurisdictional disharmonies.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Regional and rural consumers need more representation…to be visible.</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Better represent all consumer groups – ages, cancer, disabled, low SES.</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Brief consumers: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good briefing and early connection with their peers.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Possibly a short briefing on terminology.</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lastRenderedPageBreak/>
        <w:t>Good backgrounding…regarding the clinical field for review.</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Connect them with their peers: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Consumers …should be able to caucus with other consumers.</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Brief chairs and consumers: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more formal liaison between consumers and chairs.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Meetings between consumer reps, chair and Consumer Panel chair.</w:t>
      </w:r>
    </w:p>
    <w:p w:rsidR="00FE6858" w:rsidRPr="00DC71EB" w:rsidRDefault="00FE6858" w:rsidP="000C2A76">
      <w:pPr>
        <w:pStyle w:val="ListParagraph"/>
        <w:numPr>
          <w:ilvl w:val="0"/>
          <w:numId w:val="42"/>
        </w:numPr>
        <w:spacing w:before="0" w:after="180" w:line="240" w:lineRule="auto"/>
        <w:contextualSpacing w:val="0"/>
        <w:rPr>
          <w:rFonts w:eastAsiaTheme="minorHAnsi"/>
          <w:lang w:eastAsia="en-US"/>
        </w:rPr>
      </w:pPr>
      <w:r w:rsidRPr="00DC71EB">
        <w:rPr>
          <w:rFonts w:eastAsiaTheme="minorHAnsi"/>
          <w:lang w:eastAsia="en-US"/>
        </w:rPr>
        <w:t>Develop a tool for decision-making</w:t>
      </w:r>
      <w:r>
        <w:rPr>
          <w:rFonts w:eastAsiaTheme="minorHAnsi"/>
          <w:lang w:eastAsia="en-US"/>
        </w:rPr>
        <w:t>:</w:t>
      </w:r>
      <w:r w:rsidRPr="00DC71EB">
        <w:rPr>
          <w:rFonts w:eastAsiaTheme="minorHAnsi"/>
          <w:lang w:eastAsia="en-US"/>
        </w:rPr>
        <w:t xml:space="preserve"> </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criteria that apply to every recommendation and are measured against them.</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Better early co-design methods… develop best practice consumer led reforms.</w:t>
      </w: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Ensure the agenda structures inclusion of consumer contributions: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Alter the agenda structure to include consumer-led discussion and feedback relative to the business at hand.</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Any consumer perspective needs to be stressed earlier in the deliberations.</w:t>
      </w:r>
    </w:p>
    <w:p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Ask them to speak about their experience of the Australian healthcare systems as a whole and not just about the MBS.</w:t>
      </w:r>
    </w:p>
    <w:p w:rsidR="00FE6858" w:rsidRPr="00C8060C" w:rsidRDefault="00FE6858" w:rsidP="008A38D6">
      <w:pPr>
        <w:pStyle w:val="Heading2"/>
        <w:numPr>
          <w:ilvl w:val="0"/>
          <w:numId w:val="0"/>
        </w:numPr>
        <w:spacing w:before="240" w:after="120"/>
      </w:pPr>
      <w:bookmarkStart w:id="44" w:name="_Toc33103196"/>
      <w:r w:rsidRPr="00C8060C">
        <w:t>Consumer survey feedback</w:t>
      </w:r>
      <w:bookmarkEnd w:id="44"/>
    </w:p>
    <w:p w:rsidR="00FE6858" w:rsidRPr="0099413F" w:rsidRDefault="00FE6858" w:rsidP="008A38D6">
      <w:pPr>
        <w:spacing w:before="240" w:after="120" w:line="240" w:lineRule="auto"/>
        <w:jc w:val="both"/>
        <w:rPr>
          <w:b/>
          <w:szCs w:val="20"/>
          <w:u w:val="single"/>
        </w:rPr>
      </w:pPr>
      <w:r w:rsidRPr="0099413F">
        <w:rPr>
          <w:b/>
          <w:szCs w:val="20"/>
          <w:u w:val="single"/>
        </w:rPr>
        <w:t xml:space="preserve">Question 1 </w:t>
      </w:r>
    </w:p>
    <w:p w:rsidR="00FE6858" w:rsidRDefault="00FE6858" w:rsidP="00FE6858">
      <w:pPr>
        <w:spacing w:before="0" w:after="180" w:line="240" w:lineRule="auto"/>
        <w:rPr>
          <w:szCs w:val="20"/>
        </w:rPr>
      </w:pPr>
      <w:r w:rsidRPr="00CC10DC">
        <w:rPr>
          <w:szCs w:val="20"/>
        </w:rPr>
        <w:t xml:space="preserve">How do you rate the quality of the briefing and information you were provided about your role on your </w:t>
      </w:r>
      <w:r w:rsidR="001F1895">
        <w:rPr>
          <w:szCs w:val="20"/>
        </w:rPr>
        <w:t>c</w:t>
      </w:r>
      <w:r w:rsidR="00DB5631" w:rsidRPr="00CC10DC">
        <w:rPr>
          <w:szCs w:val="20"/>
        </w:rPr>
        <w:t xml:space="preserve">linical </w:t>
      </w:r>
      <w:r w:rsidR="001F1895">
        <w:rPr>
          <w:szCs w:val="20"/>
        </w:rPr>
        <w:t>c</w:t>
      </w:r>
      <w:r w:rsidR="00DB5631" w:rsidRPr="00CC10DC">
        <w:rPr>
          <w:szCs w:val="20"/>
        </w:rPr>
        <w:t>ommittee</w:t>
      </w:r>
      <w:r w:rsidRPr="00CC10DC">
        <w:rPr>
          <w:szCs w:val="20"/>
        </w:rPr>
        <w:t>(s)/</w:t>
      </w:r>
      <w:r w:rsidR="001F1895">
        <w:rPr>
          <w:szCs w:val="20"/>
        </w:rPr>
        <w:t>w</w:t>
      </w:r>
      <w:r w:rsidR="00DB5631" w:rsidRPr="00CC10DC">
        <w:rPr>
          <w:szCs w:val="20"/>
        </w:rPr>
        <w:t xml:space="preserve">orking </w:t>
      </w:r>
      <w:r w:rsidR="001F1895">
        <w:rPr>
          <w:szCs w:val="20"/>
        </w:rPr>
        <w:t>g</w:t>
      </w:r>
      <w:r w:rsidR="00DB5631" w:rsidRPr="00CC10DC">
        <w:rPr>
          <w:szCs w:val="20"/>
        </w:rPr>
        <w:t>roup</w:t>
      </w:r>
      <w:r w:rsidRPr="00CC10DC">
        <w:rPr>
          <w:szCs w:val="20"/>
        </w:rPr>
        <w:t>(s)?</w:t>
      </w:r>
    </w:p>
    <w:p w:rsidR="00D342B6" w:rsidRPr="00CC10DC" w:rsidRDefault="00D342B6" w:rsidP="00D342B6">
      <w:pPr>
        <w:spacing w:before="0" w:after="0" w:line="240" w:lineRule="auto"/>
        <w:rPr>
          <w:szCs w:val="20"/>
        </w:rPr>
      </w:pPr>
    </w:p>
    <w:p w:rsidR="00FE6858" w:rsidRDefault="00FE6858" w:rsidP="00D342B6">
      <w:pPr>
        <w:spacing w:before="0" w:after="0" w:line="240" w:lineRule="auto"/>
        <w:jc w:val="center"/>
        <w:rPr>
          <w:b/>
          <w:szCs w:val="20"/>
        </w:rPr>
      </w:pPr>
      <w:r>
        <w:rPr>
          <w:noProof/>
        </w:rPr>
        <w:lastRenderedPageBreak/>
        <w:drawing>
          <wp:inline distT="0" distB="0" distL="0" distR="0" wp14:anchorId="2B6022DD" wp14:editId="560BCF79">
            <wp:extent cx="3914775" cy="2343785"/>
            <wp:effectExtent l="0" t="0" r="9525" b="18415"/>
            <wp:docPr id="17" name="Chart 17" descr="Bar chart showing:&#10;X Axis showing percentage. Y axis showing responses.&#10;Very high quality   40%&#10;High quality   46%&#10;Neither high nor low quality   14%&#10;" title="Consumer survey feedback"/>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42B6" w:rsidRDefault="00D342B6" w:rsidP="00D342B6">
      <w:pPr>
        <w:spacing w:before="0" w:after="0" w:line="240" w:lineRule="auto"/>
        <w:jc w:val="center"/>
        <w:rPr>
          <w:b/>
          <w:szCs w:val="20"/>
        </w:rPr>
      </w:pP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The majority of consumers reported receiving a high quality briefing although how this occurred varied:</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 was on two groups … information and what was asked for was inconsistent.</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There was little briefing though written info was generally provided.</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Received only generic information from CHF and nothing from DOH.</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Material got better as time went on.</w:t>
      </w:r>
    </w:p>
    <w:p w:rsidR="00FE6858"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Support staff excellent.</w:t>
      </w:r>
    </w:p>
    <w:p w:rsidR="00FE6858" w:rsidRPr="0099413F" w:rsidRDefault="00FE6858" w:rsidP="008A38D6">
      <w:pPr>
        <w:spacing w:before="240" w:after="120" w:line="240" w:lineRule="auto"/>
        <w:rPr>
          <w:b/>
          <w:szCs w:val="20"/>
          <w:u w:val="single"/>
        </w:rPr>
      </w:pPr>
      <w:r w:rsidRPr="0099413F">
        <w:rPr>
          <w:b/>
          <w:szCs w:val="20"/>
          <w:u w:val="single"/>
        </w:rPr>
        <w:t xml:space="preserve">Question 2 </w:t>
      </w:r>
    </w:p>
    <w:p w:rsidR="00FE6858" w:rsidRPr="00CC10DC" w:rsidRDefault="00FE6858" w:rsidP="00FE6858">
      <w:pPr>
        <w:spacing w:before="0" w:after="180" w:line="240" w:lineRule="auto"/>
        <w:rPr>
          <w:szCs w:val="20"/>
        </w:rPr>
      </w:pPr>
      <w:r w:rsidRPr="00CC10DC">
        <w:rPr>
          <w:szCs w:val="20"/>
        </w:rPr>
        <w:t>H</w:t>
      </w:r>
      <w:r>
        <w:rPr>
          <w:szCs w:val="20"/>
        </w:rPr>
        <w:t xml:space="preserve">ow was the </w:t>
      </w:r>
      <w:r w:rsidR="001F1895">
        <w:rPr>
          <w:szCs w:val="20"/>
        </w:rPr>
        <w:t>c</w:t>
      </w:r>
      <w:r w:rsidR="00DB5631">
        <w:rPr>
          <w:szCs w:val="20"/>
        </w:rPr>
        <w:t xml:space="preserve">linical </w:t>
      </w:r>
      <w:r w:rsidR="001F1895">
        <w:rPr>
          <w:szCs w:val="20"/>
        </w:rPr>
        <w:t>c</w:t>
      </w:r>
      <w:r w:rsidR="00DB5631">
        <w:rPr>
          <w:szCs w:val="20"/>
        </w:rPr>
        <w:t>ommittee</w:t>
      </w:r>
      <w:r>
        <w:rPr>
          <w:szCs w:val="20"/>
        </w:rPr>
        <w:t>/</w:t>
      </w:r>
      <w:r w:rsidR="001F1895">
        <w:rPr>
          <w:szCs w:val="20"/>
        </w:rPr>
        <w:t>w</w:t>
      </w:r>
      <w:r w:rsidR="00DB5631" w:rsidRPr="00CC10DC">
        <w:rPr>
          <w:szCs w:val="20"/>
        </w:rPr>
        <w:t xml:space="preserve">orking </w:t>
      </w:r>
      <w:r w:rsidR="001F1895">
        <w:rPr>
          <w:szCs w:val="20"/>
        </w:rPr>
        <w:t>g</w:t>
      </w:r>
      <w:r w:rsidRPr="00CC10DC">
        <w:rPr>
          <w:szCs w:val="20"/>
        </w:rPr>
        <w:t>roup informed about your role?</w:t>
      </w:r>
    </w:p>
    <w:p w:rsidR="00FE6858" w:rsidRDefault="00FE6858" w:rsidP="00FE6858">
      <w:pPr>
        <w:spacing w:before="0" w:after="180" w:line="240" w:lineRule="auto"/>
        <w:jc w:val="center"/>
        <w:rPr>
          <w:b/>
          <w:szCs w:val="20"/>
        </w:rPr>
      </w:pPr>
      <w:r>
        <w:rPr>
          <w:noProof/>
        </w:rPr>
        <w:lastRenderedPageBreak/>
        <w:drawing>
          <wp:inline distT="0" distB="0" distL="0" distR="0" wp14:anchorId="32772F51" wp14:editId="773FB4C6">
            <wp:extent cx="5172075" cy="3525520"/>
            <wp:effectExtent l="0" t="0" r="9525" b="17780"/>
            <wp:docPr id="10" name="Chart 10" descr="Bar chart showing:&#10;X Axis showing percentage. Y axis showing responses.&#10;My role was explained to the clinical committee / working group when we commenced our work   50.5%&#10;Everyone on the clinical committee / working group was made aware of the consumer resource   30.5%&#10;The clinical committee / working group secretariat articulated each of the required consumer checkpoints contained in the consumer resource    5%&#10;We negotiated my role in preparing the consumer impact statement and summary   10.5%&#10;I don't know / unsure    4.5%" title="Consumer survey feedback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6858" w:rsidRPr="0071256F" w:rsidRDefault="00FE6858" w:rsidP="000C2A76">
      <w:pPr>
        <w:pStyle w:val="ListParagraph"/>
        <w:numPr>
          <w:ilvl w:val="0"/>
          <w:numId w:val="42"/>
        </w:numPr>
        <w:spacing w:before="0" w:after="180" w:line="240" w:lineRule="auto"/>
        <w:contextualSpacing w:val="0"/>
        <w:rPr>
          <w:rFonts w:eastAsiaTheme="minorHAnsi"/>
          <w:lang w:eastAsia="en-US"/>
        </w:rPr>
      </w:pPr>
      <w:r w:rsidRPr="0071256F">
        <w:rPr>
          <w:rFonts w:eastAsiaTheme="minorHAnsi"/>
          <w:lang w:eastAsia="en-US"/>
        </w:rPr>
        <w:t>Approximately half reported their role was explained to the committee and one in three reported that the Consumer Engagement Resource was mentioned:</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The </w:t>
      </w:r>
      <w:r w:rsidR="00DB5631">
        <w:rPr>
          <w:rFonts w:eastAsiaTheme="minorHAnsi"/>
          <w:i/>
          <w:color w:val="000000" w:themeColor="text1"/>
          <w:lang w:eastAsia="en-US"/>
        </w:rPr>
        <w:t>C</w:t>
      </w:r>
      <w:r w:rsidRPr="0082064A">
        <w:rPr>
          <w:rFonts w:eastAsiaTheme="minorHAnsi"/>
          <w:i/>
          <w:color w:val="000000" w:themeColor="text1"/>
          <w:lang w:eastAsia="en-US"/>
        </w:rPr>
        <w:t>ommittee was used to consumer participation.</w:t>
      </w:r>
    </w:p>
    <w:p w:rsidR="00FE6858" w:rsidRPr="0082064A" w:rsidRDefault="00FE6858" w:rsidP="000830F6">
      <w:pPr>
        <w:pStyle w:val="ListParagraph"/>
        <w:numPr>
          <w:ilvl w:val="1"/>
          <w:numId w:val="27"/>
        </w:numPr>
        <w:spacing w:before="120" w:after="240" w:line="240" w:lineRule="auto"/>
        <w:ind w:hanging="357"/>
        <w:contextualSpacing w:val="0"/>
        <w:rPr>
          <w:rFonts w:eastAsiaTheme="minorHAnsi"/>
          <w:i/>
          <w:color w:val="000000" w:themeColor="text1"/>
          <w:lang w:eastAsia="en-US"/>
        </w:rPr>
      </w:pPr>
      <w:r w:rsidRPr="0082064A">
        <w:rPr>
          <w:rFonts w:eastAsiaTheme="minorHAnsi"/>
          <w:i/>
          <w:color w:val="000000" w:themeColor="text1"/>
          <w:lang w:eastAsia="en-US"/>
        </w:rPr>
        <w:t>Appeared not to be explained/understood.</w:t>
      </w:r>
    </w:p>
    <w:p w:rsidR="00FE6858" w:rsidRPr="00AD1C6E" w:rsidRDefault="00FE6858" w:rsidP="008A38D6">
      <w:pPr>
        <w:shd w:val="clear" w:color="auto" w:fill="FFFFFF"/>
        <w:spacing w:before="240" w:after="120" w:line="240" w:lineRule="auto"/>
        <w:rPr>
          <w:b/>
          <w:szCs w:val="20"/>
          <w:u w:val="single"/>
        </w:rPr>
      </w:pPr>
      <w:r w:rsidRPr="0099413F">
        <w:rPr>
          <w:b/>
          <w:szCs w:val="20"/>
          <w:u w:val="single"/>
        </w:rPr>
        <w:t>Question 3</w:t>
      </w:r>
    </w:p>
    <w:p w:rsidR="00FE6858" w:rsidRPr="00CC10DC" w:rsidRDefault="00FE6858" w:rsidP="00FE6858">
      <w:pPr>
        <w:shd w:val="clear" w:color="auto" w:fill="FFFFFF"/>
        <w:spacing w:before="0" w:after="180" w:line="240" w:lineRule="auto"/>
        <w:rPr>
          <w:szCs w:val="20"/>
        </w:rPr>
      </w:pPr>
      <w:r w:rsidRPr="00CC10DC">
        <w:rPr>
          <w:szCs w:val="20"/>
        </w:rPr>
        <w:t>In your opinion, how well did the other members understand your role?</w:t>
      </w:r>
    </w:p>
    <w:p w:rsidR="00FE6858" w:rsidRPr="00AD1C6E" w:rsidRDefault="00FE6858" w:rsidP="002112B7">
      <w:pPr>
        <w:shd w:val="clear" w:color="auto" w:fill="FFFFFF"/>
        <w:spacing w:before="0" w:after="180" w:line="240" w:lineRule="auto"/>
        <w:jc w:val="center"/>
        <w:rPr>
          <w:rFonts w:eastAsiaTheme="minorHAnsi"/>
          <w:color w:val="006600"/>
          <w:lang w:eastAsia="en-US"/>
        </w:rPr>
      </w:pPr>
      <w:r>
        <w:rPr>
          <w:noProof/>
        </w:rPr>
        <w:lastRenderedPageBreak/>
        <w:drawing>
          <wp:inline distT="0" distB="0" distL="0" distR="0" wp14:anchorId="6CBA6202" wp14:editId="6E3792B8">
            <wp:extent cx="4248150" cy="2305050"/>
            <wp:effectExtent l="0" t="0" r="0" b="0"/>
            <wp:docPr id="20" name="Chart 20" descr="Bar chart showing:&#10;X Axis showing percentage. Y axis showing responses.&#10;Extremely well   25%&#10;Very well   37%&#10;Somewhat well   23%&#10;Not so well   8%&#10;Not at all well   7%" title="Consumer survey feedback"/>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6858" w:rsidRPr="00C8060C" w:rsidRDefault="00FE6858" w:rsidP="000C2A76">
      <w:pPr>
        <w:pStyle w:val="ListParagraph"/>
        <w:numPr>
          <w:ilvl w:val="0"/>
          <w:numId w:val="42"/>
        </w:numPr>
        <w:spacing w:before="0" w:after="180" w:line="240" w:lineRule="auto"/>
        <w:contextualSpacing w:val="0"/>
        <w:rPr>
          <w:rFonts w:eastAsiaTheme="minorHAnsi"/>
          <w:lang w:eastAsia="en-US"/>
        </w:rPr>
      </w:pPr>
      <w:r w:rsidRPr="00C8060C">
        <w:rPr>
          <w:rFonts w:eastAsiaTheme="minorHAnsi"/>
          <w:lang w:eastAsia="en-US"/>
        </w:rPr>
        <w:t xml:space="preserve">A majority reported that </w:t>
      </w:r>
      <w:r w:rsidR="001F1895">
        <w:rPr>
          <w:rFonts w:eastAsiaTheme="minorHAnsi"/>
          <w:lang w:eastAsia="en-US"/>
        </w:rPr>
        <w:t>c</w:t>
      </w:r>
      <w:r w:rsidRPr="00C8060C">
        <w:rPr>
          <w:rFonts w:eastAsiaTheme="minorHAnsi"/>
          <w:lang w:eastAsia="en-US"/>
        </w:rPr>
        <w:t>ommittee members understood the consumer role</w:t>
      </w:r>
      <w:r>
        <w:rPr>
          <w:rFonts w:eastAsiaTheme="minorHAnsi"/>
          <w:lang w:eastAsia="en-US"/>
        </w:rPr>
        <w:t>:</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 initial group was different to subsequent groups as the experience of all concerned improved.</w:t>
      </w:r>
    </w:p>
    <w:p w:rsidR="000830F6" w:rsidRDefault="000830F6" w:rsidP="00FE6858">
      <w:pPr>
        <w:shd w:val="clear" w:color="auto" w:fill="FFFFFF"/>
        <w:spacing w:before="0" w:after="180" w:line="240" w:lineRule="auto"/>
        <w:rPr>
          <w:rStyle w:val="response-text2"/>
          <w:b/>
          <w:szCs w:val="20"/>
          <w:u w:val="single"/>
        </w:rPr>
      </w:pPr>
    </w:p>
    <w:p w:rsidR="00FE6858" w:rsidRPr="0099413F" w:rsidRDefault="00FE6858" w:rsidP="000830F6">
      <w:pPr>
        <w:shd w:val="clear" w:color="auto" w:fill="FFFFFF"/>
        <w:spacing w:before="240" w:after="120" w:line="240" w:lineRule="auto"/>
        <w:rPr>
          <w:rStyle w:val="response-text2"/>
          <w:b/>
          <w:szCs w:val="20"/>
          <w:u w:val="single"/>
        </w:rPr>
      </w:pPr>
      <w:r w:rsidRPr="0099413F">
        <w:rPr>
          <w:rStyle w:val="response-text2"/>
          <w:b/>
          <w:szCs w:val="20"/>
          <w:u w:val="single"/>
        </w:rPr>
        <w:t xml:space="preserve">Question 4 </w:t>
      </w:r>
    </w:p>
    <w:p w:rsidR="00FE6858" w:rsidRDefault="00FE6858" w:rsidP="00FE6858">
      <w:pPr>
        <w:shd w:val="clear" w:color="auto" w:fill="FFFFFF"/>
        <w:spacing w:before="0" w:after="180" w:line="240" w:lineRule="auto"/>
        <w:rPr>
          <w:rStyle w:val="response-text2"/>
          <w:szCs w:val="20"/>
        </w:rPr>
      </w:pPr>
      <w:r w:rsidRPr="00CC10DC">
        <w:rPr>
          <w:rStyle w:val="response-text2"/>
          <w:szCs w:val="20"/>
        </w:rPr>
        <w:t xml:space="preserve">To what extent did the </w:t>
      </w:r>
      <w:r w:rsidR="001F1895">
        <w:rPr>
          <w:rStyle w:val="response-text2"/>
          <w:szCs w:val="20"/>
        </w:rPr>
        <w:t>c</w:t>
      </w:r>
      <w:r w:rsidR="00DB5631" w:rsidRPr="00CC10DC">
        <w:rPr>
          <w:rStyle w:val="response-text2"/>
          <w:szCs w:val="20"/>
        </w:rPr>
        <w:t xml:space="preserve">linical </w:t>
      </w:r>
      <w:r w:rsidR="001F1895">
        <w:rPr>
          <w:rStyle w:val="response-text2"/>
          <w:szCs w:val="20"/>
        </w:rPr>
        <w:t>c</w:t>
      </w:r>
      <w:r w:rsidR="00DB5631" w:rsidRPr="00CC10DC">
        <w:rPr>
          <w:rStyle w:val="response-text2"/>
          <w:szCs w:val="20"/>
        </w:rPr>
        <w:t xml:space="preserve">ommittee </w:t>
      </w:r>
      <w:r w:rsidRPr="00CC10DC">
        <w:rPr>
          <w:rStyle w:val="response-text2"/>
          <w:szCs w:val="20"/>
        </w:rPr>
        <w:t xml:space="preserve">/ </w:t>
      </w:r>
      <w:r w:rsidR="001F1895">
        <w:rPr>
          <w:rStyle w:val="response-text2"/>
          <w:szCs w:val="20"/>
        </w:rPr>
        <w:t>w</w:t>
      </w:r>
      <w:r w:rsidR="00DB5631" w:rsidRPr="00CC10DC">
        <w:rPr>
          <w:rStyle w:val="response-text2"/>
          <w:szCs w:val="20"/>
        </w:rPr>
        <w:t xml:space="preserve">orking </w:t>
      </w:r>
      <w:r w:rsidR="001F1895">
        <w:rPr>
          <w:rStyle w:val="response-text2"/>
          <w:szCs w:val="20"/>
        </w:rPr>
        <w:t>g</w:t>
      </w:r>
      <w:r w:rsidR="00DB5631" w:rsidRPr="00CC10DC">
        <w:rPr>
          <w:rStyle w:val="response-text2"/>
          <w:szCs w:val="20"/>
        </w:rPr>
        <w:t xml:space="preserve">roup </w:t>
      </w:r>
      <w:r w:rsidRPr="00CC10DC">
        <w:rPr>
          <w:rStyle w:val="response-text2"/>
          <w:szCs w:val="20"/>
        </w:rPr>
        <w:t>value consumer perspectives and factor these into their deliberations and decisions?</w:t>
      </w:r>
    </w:p>
    <w:p w:rsidR="000A6F92" w:rsidRPr="00CC10DC" w:rsidRDefault="000A6F92" w:rsidP="000A6F92">
      <w:pPr>
        <w:shd w:val="clear" w:color="auto" w:fill="FFFFFF"/>
        <w:spacing w:before="0" w:after="0" w:line="240" w:lineRule="auto"/>
        <w:rPr>
          <w:rStyle w:val="response-text2"/>
          <w:szCs w:val="20"/>
        </w:rPr>
      </w:pPr>
    </w:p>
    <w:p w:rsidR="00FE6858" w:rsidRDefault="00FE6858" w:rsidP="000A6F92">
      <w:pPr>
        <w:shd w:val="clear" w:color="auto" w:fill="FFFFFF"/>
        <w:spacing w:before="0" w:after="0" w:line="240" w:lineRule="auto"/>
        <w:jc w:val="center"/>
        <w:rPr>
          <w:rStyle w:val="response-text2"/>
          <w:b/>
          <w:szCs w:val="20"/>
        </w:rPr>
      </w:pPr>
      <w:r>
        <w:rPr>
          <w:noProof/>
        </w:rPr>
        <w:lastRenderedPageBreak/>
        <w:drawing>
          <wp:inline distT="0" distB="0" distL="0" distR="0" wp14:anchorId="0821486F" wp14:editId="287A4C79">
            <wp:extent cx="4357315" cy="2449001"/>
            <wp:effectExtent l="0" t="0" r="5715" b="8890"/>
            <wp:docPr id="21" name="Chart 21" descr="Bar chart showing:&#10;X Axis showing percentage. Y axis showing responses.&#10;To a great extent  44%&#10;To a moderate extent   33%&#10;To some extent   17%&#10;To a small extent   3%&#10;Not at all   3%" title="Consumer survey feedback questi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6F92" w:rsidRDefault="000A6F92" w:rsidP="000A6F92">
      <w:pPr>
        <w:shd w:val="clear" w:color="auto" w:fill="FFFFFF"/>
        <w:spacing w:before="0" w:after="0" w:line="240" w:lineRule="auto"/>
        <w:jc w:val="center"/>
        <w:rPr>
          <w:rStyle w:val="response-text2"/>
          <w:b/>
          <w:szCs w:val="20"/>
        </w:rPr>
      </w:pPr>
    </w:p>
    <w:p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Throughout the surveys some areas of influence were cited: </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Aboriginal impacts.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Key principles underlining a new model of primary care.</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 xml:space="preserve">Inclusion of pathology items for consideration by </w:t>
      </w:r>
      <w:r w:rsidR="00DB5631">
        <w:rPr>
          <w:rFonts w:eastAsiaTheme="minorHAnsi"/>
          <w:color w:val="000000" w:themeColor="text1"/>
          <w:lang w:eastAsia="en-US"/>
        </w:rPr>
        <w:t>E</w:t>
      </w:r>
      <w:r w:rsidRPr="0082064A">
        <w:rPr>
          <w:rFonts w:eastAsiaTheme="minorHAnsi"/>
          <w:color w:val="000000" w:themeColor="text1"/>
          <w:lang w:eastAsia="en-US"/>
        </w:rPr>
        <w:t xml:space="preserve">ndocrinology </w:t>
      </w:r>
      <w:r w:rsidR="00DB5631">
        <w:rPr>
          <w:rFonts w:eastAsiaTheme="minorHAnsi"/>
          <w:color w:val="000000" w:themeColor="text1"/>
          <w:lang w:eastAsia="en-US"/>
        </w:rPr>
        <w:t>C</w:t>
      </w:r>
      <w:r w:rsidRPr="0082064A">
        <w:rPr>
          <w:rFonts w:eastAsiaTheme="minorHAnsi"/>
          <w:color w:val="000000" w:themeColor="text1"/>
          <w:lang w:eastAsia="en-US"/>
        </w:rPr>
        <w:t>ommittee.</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Inclusion of disease severity as well as number of conditions as a factor.</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Inclusion of patients with special needs.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Advocacy for rural and remote patients.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Quality of life outcomes as significant in surgical items.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Remote access to medical care.</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lastRenderedPageBreak/>
        <w:t>New services adopted: DEXA scans for women taking certain chemo drugs and new treatment option for colon surgery.</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Constantly adhering to principles, access, safety and consent.</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Putting joint injections back on the MBS.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Urology: prostate biopsy recommendations and informed consent.</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Diagnostic medicine: CDS with consumer information.</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Colorectal group: stomal therapy services.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Moderation of different interest/professional groups.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Use of plain language in final report.</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Item #319 and adverse descriptors removed.</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Access to best practice multidisciplinary pain management; specialist access to item numbers for pain management care plans ensuring GP included.</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Family impact awareness: eating disorders.</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End of life: new MBS item proposed.</w:t>
      </w:r>
    </w:p>
    <w:p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Perspective: GP levels of expertise.</w:t>
      </w:r>
    </w:p>
    <w:p w:rsidR="00FE6858" w:rsidRPr="000830F6" w:rsidRDefault="00FE6858" w:rsidP="000830F6">
      <w:pPr>
        <w:pStyle w:val="Heading2"/>
        <w:numPr>
          <w:ilvl w:val="0"/>
          <w:numId w:val="0"/>
        </w:numPr>
        <w:spacing w:before="240" w:after="120"/>
        <w:rPr>
          <w:sz w:val="32"/>
          <w:szCs w:val="32"/>
        </w:rPr>
      </w:pPr>
      <w:bookmarkStart w:id="45" w:name="_Toc33103197"/>
      <w:r w:rsidRPr="000830F6">
        <w:rPr>
          <w:sz w:val="32"/>
          <w:szCs w:val="32"/>
        </w:rPr>
        <w:t xml:space="preserve">Consumer suggestions re future engagement of consumers on </w:t>
      </w:r>
      <w:r w:rsidR="001F1895" w:rsidRPr="000830F6">
        <w:rPr>
          <w:sz w:val="32"/>
          <w:szCs w:val="32"/>
        </w:rPr>
        <w:t>c</w:t>
      </w:r>
      <w:r w:rsidR="00DB5631" w:rsidRPr="000830F6">
        <w:rPr>
          <w:sz w:val="32"/>
          <w:szCs w:val="32"/>
        </w:rPr>
        <w:t>ommittees</w:t>
      </w:r>
      <w:r w:rsidRPr="000830F6">
        <w:rPr>
          <w:sz w:val="32"/>
          <w:szCs w:val="32"/>
        </w:rPr>
        <w:t>:</w:t>
      </w:r>
      <w:bookmarkEnd w:id="45"/>
    </w:p>
    <w:p w:rsidR="00FE6858" w:rsidRPr="0082064A" w:rsidRDefault="00FE6858" w:rsidP="000830F6">
      <w:pPr>
        <w:pStyle w:val="ListParagraph"/>
        <w:numPr>
          <w:ilvl w:val="0"/>
          <w:numId w:val="42"/>
        </w:numPr>
        <w:spacing w:before="120" w:after="180" w:line="240" w:lineRule="auto"/>
        <w:ind w:left="357" w:hanging="357"/>
        <w:contextualSpacing w:val="0"/>
        <w:rPr>
          <w:rFonts w:eastAsiaTheme="minorHAnsi"/>
          <w:lang w:eastAsia="en-US"/>
        </w:rPr>
      </w:pPr>
      <w:r w:rsidRPr="0082064A">
        <w:rPr>
          <w:rFonts w:eastAsiaTheme="minorHAnsi"/>
          <w:lang w:eastAsia="en-US"/>
        </w:rPr>
        <w:t>Retain aspects that worked:</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lastRenderedPageBreak/>
        <w:t>Committee members offered help, explained terminology, and did not get irritated by my questioning.</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Secretarial support was excellent.</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 group I worked with were all extremely supportive and I don’t believe this could have been improved upon.</w:t>
      </w:r>
    </w:p>
    <w:p w:rsidR="00FE6858" w:rsidRPr="0082064A" w:rsidRDefault="00FE6858" w:rsidP="000830F6">
      <w:pPr>
        <w:pStyle w:val="ListParagraph"/>
        <w:numPr>
          <w:ilvl w:val="1"/>
          <w:numId w:val="27"/>
        </w:numPr>
        <w:spacing w:before="0" w:after="180" w:line="240" w:lineRule="auto"/>
        <w:ind w:hanging="357"/>
        <w:contextualSpacing w:val="0"/>
        <w:rPr>
          <w:rFonts w:eastAsiaTheme="minorHAnsi"/>
          <w:i/>
          <w:color w:val="000000" w:themeColor="text1"/>
          <w:lang w:eastAsia="en-US"/>
        </w:rPr>
      </w:pPr>
      <w:r w:rsidRPr="0082064A">
        <w:rPr>
          <w:rFonts w:eastAsiaTheme="minorHAnsi"/>
          <w:i/>
          <w:color w:val="000000" w:themeColor="text1"/>
          <w:lang w:eastAsia="en-US"/>
        </w:rPr>
        <w:t>The process was clear, well-directed…I could] participate as an equal…</w:t>
      </w:r>
    </w:p>
    <w:p w:rsidR="00FE6858" w:rsidRPr="0082064A" w:rsidRDefault="00FE6858" w:rsidP="000830F6">
      <w:pPr>
        <w:pStyle w:val="ListParagraph"/>
        <w:numPr>
          <w:ilvl w:val="0"/>
          <w:numId w:val="42"/>
        </w:numPr>
        <w:spacing w:before="0" w:after="180" w:line="240" w:lineRule="auto"/>
        <w:ind w:left="357" w:hanging="357"/>
        <w:contextualSpacing w:val="0"/>
        <w:rPr>
          <w:rFonts w:eastAsiaTheme="minorHAnsi"/>
          <w:lang w:eastAsia="en-US"/>
        </w:rPr>
      </w:pPr>
      <w:r w:rsidRPr="0082064A">
        <w:rPr>
          <w:rFonts w:eastAsiaTheme="minorHAnsi"/>
          <w:lang w:eastAsia="en-US"/>
        </w:rPr>
        <w:t>Stronger induction process: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More access to explanation of medical intricacy…</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More explanation …examples of previous [consumer] contributions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Glossary of abbreviations.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Mentorship or buddying for newer folk.</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Establishment of a relationship with the chair prior to meetings commencing:</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A better briefing of the process prior to starting.</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 xml:space="preserve">More comprehensive overview provided to the clinical </w:t>
      </w:r>
      <w:r w:rsidR="00DB5631">
        <w:rPr>
          <w:rFonts w:eastAsiaTheme="minorHAnsi"/>
          <w:lang w:eastAsia="en-US"/>
        </w:rPr>
        <w:t>C</w:t>
      </w:r>
      <w:r w:rsidR="00DB5631" w:rsidRPr="0082064A">
        <w:rPr>
          <w:rFonts w:eastAsiaTheme="minorHAnsi"/>
          <w:lang w:eastAsia="en-US"/>
        </w:rPr>
        <w:t xml:space="preserve">ommittee </w:t>
      </w:r>
      <w:r w:rsidRPr="0082064A">
        <w:rPr>
          <w:rFonts w:eastAsiaTheme="minorHAnsi"/>
          <w:lang w:eastAsia="en-US"/>
        </w:rPr>
        <w:t>on role of consumers and value of this contribution:</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Go through the consumer pack with every </w:t>
      </w:r>
      <w:r w:rsidR="001F1895">
        <w:rPr>
          <w:rFonts w:eastAsiaTheme="minorHAnsi"/>
          <w:i/>
          <w:color w:val="000000" w:themeColor="text1"/>
          <w:lang w:eastAsia="en-US"/>
        </w:rPr>
        <w:t>c</w:t>
      </w:r>
      <w:r w:rsidR="00DB5631" w:rsidRPr="0082064A">
        <w:rPr>
          <w:rFonts w:eastAsiaTheme="minorHAnsi"/>
          <w:i/>
          <w:color w:val="000000" w:themeColor="text1"/>
          <w:lang w:eastAsia="en-US"/>
        </w:rPr>
        <w:t xml:space="preserve">ommittee </w:t>
      </w:r>
      <w:r w:rsidRPr="0082064A">
        <w:rPr>
          <w:rFonts w:eastAsiaTheme="minorHAnsi"/>
          <w:i/>
          <w:color w:val="000000" w:themeColor="text1"/>
          <w:lang w:eastAsia="en-US"/>
        </w:rPr>
        <w:t>member.</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Would have been good for doctors …to be better informed about our value.</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At the first meeting have the consumer acknowledged by DOH/Chair and their role comprehensively explained to the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w:t>
      </w:r>
      <w:r w:rsidRPr="0082064A">
        <w:rPr>
          <w:rFonts w:eastAsiaTheme="minorHAnsi"/>
          <w:i/>
          <w:color w:val="000000" w:themeColor="text1"/>
          <w:lang w:eastAsia="en-US"/>
        </w:rPr>
        <w:t>.</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Provision of consistent, comparable data:</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lastRenderedPageBreak/>
        <w:t>There were different data sets provided. For example, there generally wasn’t data on out of pocket costs, waiting times or consumer preferences.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Reliance on service volume data doesn’t provide an indicator on quality.</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Technical nature of clinical procedures requires reliance on advice of the clinicians present, so decisions were made from a clinical perspective.</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Timely processes: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Provide consumer guide on appointment.</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Documents…should be provided at least a week prior to meetings.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Kept more informed of what was happening in subgroups.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Perhaps, an agenda item at the end – a consumer’s opinion. Sometimes it was difficult to get a word in.</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It would have been helpful to have independent (one on one) conversations …to discuss particular points of contention… but they are all busy clinicians…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It got better as there was greater collective experience – this should be an on-going process in concert with ACSQHC, MSAC and learned colleges with HTA consumer involvement.</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Face to face processes: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Teleconferences do have issues … a lot is gained by face to face meetings.</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Secretarial support:</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lastRenderedPageBreak/>
        <w:t>I found the Department to be good to work with despite the time pressure…The consultants are capable individuals and firms however we need to ensure that the brief is the same no matter what the medical area…</w:t>
      </w:r>
    </w:p>
    <w:p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Focus:</w:t>
      </w:r>
    </w:p>
    <w:p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To prepare the health system for the future, we need to do more than patch up and update. It has to be a whole of health system reform – states have to be included, as do hospitals, private health insurers, consumer groups and the medical fraternity. MBS alone will not make the difference everyone is looking for and it is a blunt instrument….a bold but necessary goal.</w:t>
      </w:r>
    </w:p>
    <w:p w:rsidR="00FE6858" w:rsidRPr="000830F6" w:rsidRDefault="00FE6858" w:rsidP="000830F6">
      <w:pPr>
        <w:pStyle w:val="Heading2"/>
        <w:numPr>
          <w:ilvl w:val="0"/>
          <w:numId w:val="0"/>
        </w:numPr>
        <w:spacing w:before="240" w:after="120"/>
        <w:rPr>
          <w:sz w:val="32"/>
          <w:szCs w:val="32"/>
        </w:rPr>
      </w:pPr>
      <w:bookmarkStart w:id="46" w:name="_Toc33103198"/>
      <w:r w:rsidRPr="000830F6">
        <w:rPr>
          <w:sz w:val="32"/>
          <w:szCs w:val="32"/>
        </w:rPr>
        <w:t>Consumer perception of impact</w:t>
      </w:r>
      <w:bookmarkEnd w:id="46"/>
    </w:p>
    <w:p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 xml:space="preserve">Most consumers felt their </w:t>
      </w:r>
      <w:r w:rsidR="001F1895">
        <w:rPr>
          <w:rFonts w:eastAsiaTheme="minorHAnsi"/>
          <w:lang w:eastAsia="en-US"/>
        </w:rPr>
        <w:t>c</w:t>
      </w:r>
      <w:r w:rsidR="00DB5631" w:rsidRPr="00B03BEA">
        <w:rPr>
          <w:rFonts w:eastAsiaTheme="minorHAnsi"/>
          <w:lang w:eastAsia="en-US"/>
        </w:rPr>
        <w:t xml:space="preserve">ommittee </w:t>
      </w:r>
      <w:r w:rsidRPr="00B03BEA">
        <w:rPr>
          <w:rFonts w:eastAsiaTheme="minorHAnsi"/>
          <w:lang w:eastAsia="en-US"/>
        </w:rPr>
        <w:t>had had some impact:</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Everyone identified valued changes to the MBS items to improve access</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Impactful recommendations…evidence-based, use of registries assists greatly</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Felt progress was made along the way</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Direction achieved – obsolete item removed, new ones introduced, existing ones refined. Fraudulent billing identified…</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Did away with double up procedures</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We already have a positive result and are thrilled</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 think the shifts were minimal in real impact</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Whether these are actually delivered will be up to government</w:t>
      </w:r>
    </w:p>
    <w:p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B03BEA">
        <w:rPr>
          <w:rFonts w:eastAsiaTheme="minorHAnsi"/>
          <w:lang w:eastAsia="en-US"/>
        </w:rPr>
        <w:lastRenderedPageBreak/>
        <w:t xml:space="preserve">The majority of consumers felt that they influenced recommendations to a moderate extent. Consumers noted that they often voiced minority opinions and assisted in keeping the </w:t>
      </w:r>
      <w:r w:rsidR="001F1895">
        <w:rPr>
          <w:rFonts w:eastAsiaTheme="minorHAnsi"/>
          <w:lang w:eastAsia="en-US"/>
        </w:rPr>
        <w:t>c</w:t>
      </w:r>
      <w:r w:rsidR="00DB5631" w:rsidRPr="00B03BEA">
        <w:rPr>
          <w:rFonts w:eastAsiaTheme="minorHAnsi"/>
          <w:lang w:eastAsia="en-US"/>
        </w:rPr>
        <w:t xml:space="preserve">ommittee </w:t>
      </w:r>
      <w:r w:rsidRPr="00B03BEA">
        <w:rPr>
          <w:rFonts w:eastAsiaTheme="minorHAnsi"/>
          <w:lang w:eastAsia="en-US"/>
        </w:rPr>
        <w:t>focussed on consumer-centred care:</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 xml:space="preserve">It varied. I felt I was there as a reminder to members that they have a responsibility to patients…most people on </w:t>
      </w:r>
      <w:r w:rsidR="00DB5631">
        <w:rPr>
          <w:rFonts w:eastAsiaTheme="minorHAnsi"/>
          <w:i/>
          <w:color w:val="000000" w:themeColor="text1"/>
          <w:lang w:eastAsia="en-US"/>
        </w:rPr>
        <w:t>C</w:t>
      </w:r>
      <w:r w:rsidR="00DB5631" w:rsidRPr="00B03BEA">
        <w:rPr>
          <w:rFonts w:eastAsiaTheme="minorHAnsi"/>
          <w:i/>
          <w:color w:val="000000" w:themeColor="text1"/>
          <w:lang w:eastAsia="en-US"/>
        </w:rPr>
        <w:t xml:space="preserve">ommittees </w:t>
      </w:r>
      <w:r w:rsidRPr="00B03BEA">
        <w:rPr>
          <w:rFonts w:eastAsiaTheme="minorHAnsi"/>
          <w:i/>
          <w:color w:val="000000" w:themeColor="text1"/>
          <w:lang w:eastAsia="en-US"/>
        </w:rPr>
        <w:t>were patient-centred.</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 xml:space="preserve">Other </w:t>
      </w:r>
      <w:r w:rsidR="00DB5631">
        <w:rPr>
          <w:rFonts w:eastAsiaTheme="minorHAnsi"/>
          <w:i/>
          <w:color w:val="000000" w:themeColor="text1"/>
          <w:lang w:eastAsia="en-US"/>
        </w:rPr>
        <w:t>C</w:t>
      </w:r>
      <w:r w:rsidR="00DB5631" w:rsidRPr="00B03BEA">
        <w:rPr>
          <w:rFonts w:eastAsiaTheme="minorHAnsi"/>
          <w:i/>
          <w:color w:val="000000" w:themeColor="text1"/>
          <w:lang w:eastAsia="en-US"/>
        </w:rPr>
        <w:t xml:space="preserve">ommittee </w:t>
      </w:r>
      <w:r w:rsidRPr="00B03BEA">
        <w:rPr>
          <w:rFonts w:eastAsiaTheme="minorHAnsi"/>
          <w:i/>
          <w:color w:val="000000" w:themeColor="text1"/>
          <w:lang w:eastAsia="en-US"/>
        </w:rPr>
        <w:t>members valued my experience.</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The representation of GPs and consumers was less dominant.</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[with] partisan behaviour on the part of professionals it was often the consumer voice that was ultimately accepted – a little like Switzerland.</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Renal dialysis in remote communities, CDS, Stomal therapy access, transitional care for paediatric to adult services.</w:t>
      </w:r>
    </w:p>
    <w:p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B03BEA">
        <w:rPr>
          <w:rFonts w:eastAsiaTheme="minorHAnsi"/>
          <w:lang w:eastAsia="en-US"/>
        </w:rPr>
        <w:t>Other comments:</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Thoroughly appreciated being part of the MBS review process. Was heartened by the clinicians involved and the attitude towards patient care whilst being mindful of the sustainability of the MBS.</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The Panel has been very useful and the Resource is excellent.</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It is so important to have consumers from a diverse background at the table – not just on the menu.</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 think it would be important for well experienced consumers to fulfil these roles into the future.</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We need a much greater focus on support for prevention and self-management which avoids the need to seek medical services.</w:t>
      </w:r>
    </w:p>
    <w:p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lastRenderedPageBreak/>
        <w:t>I would like the reviewing of the MBS to be a continuous review to keep the scheme up to date.</w:t>
      </w:r>
    </w:p>
    <w:p w:rsidR="00FE6858" w:rsidRDefault="00FE6858" w:rsidP="00FE6858">
      <w:pPr>
        <w:spacing w:before="0" w:after="180" w:line="240" w:lineRule="auto"/>
        <w:rPr>
          <w:rFonts w:eastAsiaTheme="minorHAnsi"/>
          <w:i/>
          <w:color w:val="006600"/>
          <w:lang w:eastAsia="en-US"/>
        </w:rPr>
      </w:pPr>
      <w:r>
        <w:rPr>
          <w:rFonts w:eastAsiaTheme="minorHAnsi"/>
          <w:i/>
          <w:color w:val="006600"/>
          <w:lang w:eastAsia="en-US"/>
        </w:rPr>
        <w:br w:type="page"/>
      </w:r>
    </w:p>
    <w:p w:rsidR="0048761C" w:rsidRPr="00F7165B" w:rsidRDefault="0048761C" w:rsidP="00D753B2">
      <w:pPr>
        <w:pStyle w:val="Heading1"/>
        <w:spacing w:before="0" w:after="180" w:line="240" w:lineRule="auto"/>
      </w:pPr>
      <w:bookmarkStart w:id="47" w:name="_Toc33103199"/>
      <w:r w:rsidRPr="00F7165B">
        <w:lastRenderedPageBreak/>
        <w:t>Recommendations</w:t>
      </w:r>
      <w:bookmarkEnd w:id="47"/>
      <w:r w:rsidRPr="00F7165B">
        <w:t xml:space="preserve"> </w:t>
      </w:r>
    </w:p>
    <w:p w:rsidR="00D61268" w:rsidRPr="003849BF" w:rsidRDefault="00D61268" w:rsidP="000830F6">
      <w:pPr>
        <w:spacing w:before="100" w:beforeAutospacing="1" w:after="120" w:line="240" w:lineRule="auto"/>
      </w:pPr>
      <w:bookmarkStart w:id="48" w:name="_Hlk521143990"/>
      <w:r w:rsidRPr="00C8060C">
        <w:t xml:space="preserve">The </w:t>
      </w:r>
      <w:r>
        <w:t>Consumer Panel has reflected on the experience of its members on</w:t>
      </w:r>
      <w:r w:rsidR="000A6F92">
        <w:t xml:space="preserve"> MBS</w:t>
      </w:r>
      <w:r>
        <w:t xml:space="preserve"> Review </w:t>
      </w:r>
      <w:r w:rsidR="001F1895">
        <w:t>c</w:t>
      </w:r>
      <w:r w:rsidR="00DB5631">
        <w:t>ommittees</w:t>
      </w:r>
      <w:r>
        <w:t xml:space="preserve">; feedback from the survey of </w:t>
      </w:r>
      <w:r w:rsidR="001F1895">
        <w:t>c</w:t>
      </w:r>
      <w:r w:rsidR="00DB5631">
        <w:t xml:space="preserve">ommittee </w:t>
      </w:r>
      <w:r w:rsidR="001F1895">
        <w:t>c</w:t>
      </w:r>
      <w:r w:rsidR="00DB5631">
        <w:t xml:space="preserve">hairs </w:t>
      </w:r>
      <w:r>
        <w:t xml:space="preserve">and </w:t>
      </w:r>
      <w:r w:rsidR="001F1895">
        <w:t>c</w:t>
      </w:r>
      <w:r w:rsidR="00DB5631">
        <w:t>onsumers</w:t>
      </w:r>
      <w:r>
        <w:t xml:space="preserve">; </w:t>
      </w:r>
      <w:r w:rsidR="00E23021">
        <w:t xml:space="preserve">public consultation feedback; </w:t>
      </w:r>
      <w:r>
        <w:t>and current literature and evidence regarding partnering with consumers effectively in health policy, research, services and care. The following recommendations are the outcome of the Panel workshopping these varied sources of information and persp</w:t>
      </w:r>
      <w:r w:rsidR="003849BF">
        <w:t>ectives on consumer engagement.</w:t>
      </w:r>
      <w:r>
        <w:rPr>
          <w:b/>
          <w:bCs/>
          <w:iCs/>
        </w:rPr>
        <w:t xml:space="preserve"> </w:t>
      </w:r>
    </w:p>
    <w:p w:rsidR="00DA7D34" w:rsidRPr="000830F6" w:rsidRDefault="00DA7D34" w:rsidP="000830F6">
      <w:pPr>
        <w:pStyle w:val="Heading2"/>
        <w:numPr>
          <w:ilvl w:val="0"/>
          <w:numId w:val="0"/>
        </w:numPr>
        <w:spacing w:before="240" w:after="120"/>
        <w:rPr>
          <w:rFonts w:cstheme="minorHAnsi"/>
          <w:bCs w:val="0"/>
          <w:iCs w:val="0"/>
          <w:sz w:val="32"/>
          <w:lang w:val="en-AU" w:eastAsia="en-AU"/>
        </w:rPr>
      </w:pPr>
      <w:bookmarkStart w:id="49" w:name="_Toc33103200"/>
      <w:r w:rsidRPr="000830F6">
        <w:rPr>
          <w:rFonts w:cstheme="minorHAnsi"/>
          <w:bCs w:val="0"/>
          <w:iCs w:val="0"/>
          <w:sz w:val="32"/>
          <w:lang w:val="en-AU" w:eastAsia="en-AU"/>
        </w:rPr>
        <w:t>RECOMMENDATION 1</w:t>
      </w:r>
      <w:r w:rsidR="00F746E4" w:rsidRPr="000830F6">
        <w:rPr>
          <w:rFonts w:cstheme="minorHAnsi"/>
          <w:bCs w:val="0"/>
          <w:iCs w:val="0"/>
          <w:sz w:val="32"/>
          <w:lang w:val="en-AU" w:eastAsia="en-AU"/>
        </w:rPr>
        <w:t>: PRINCIPLES</w:t>
      </w:r>
      <w:bookmarkEnd w:id="49"/>
    </w:p>
    <w:p w:rsidR="004C1A18" w:rsidRPr="00CF71F3" w:rsidRDefault="00DA7D34" w:rsidP="00791FE1">
      <w:pPr>
        <w:spacing w:before="0" w:after="180" w:line="240" w:lineRule="auto"/>
        <w:rPr>
          <w:b/>
          <w:color w:val="008000"/>
        </w:rPr>
      </w:pPr>
      <w:r w:rsidRPr="00CF71F3">
        <w:rPr>
          <w:b/>
          <w:color w:val="01653F"/>
        </w:rPr>
        <w:t>Apply principle-based decision-making to build a</w:t>
      </w:r>
      <w:r w:rsidR="004C1A18" w:rsidRPr="00CF71F3">
        <w:rPr>
          <w:b/>
          <w:color w:val="01653F"/>
        </w:rPr>
        <w:t xml:space="preserve"> consumer-centred MBS</w:t>
      </w:r>
      <w:r w:rsidR="0066119C">
        <w:rPr>
          <w:b/>
          <w:color w:val="01653F"/>
        </w:rPr>
        <w:t xml:space="preserve"> </w:t>
      </w:r>
    </w:p>
    <w:p w:rsidR="0066119C" w:rsidRDefault="004C1A18" w:rsidP="00791FE1">
      <w:pPr>
        <w:spacing w:before="0" w:after="180" w:line="240" w:lineRule="auto"/>
        <w:rPr>
          <w:lang w:val="en-US" w:eastAsia="en-US"/>
        </w:rPr>
      </w:pPr>
      <w:r w:rsidRPr="00C8060C">
        <w:rPr>
          <w:lang w:val="en-US" w:eastAsia="en-US"/>
        </w:rPr>
        <w:t xml:space="preserve">One of the first outputs of the Consumer Panel was </w:t>
      </w:r>
      <w:r w:rsidR="00DA7D34" w:rsidRPr="00C8060C">
        <w:rPr>
          <w:lang w:val="en-US" w:eastAsia="en-US"/>
        </w:rPr>
        <w:t xml:space="preserve">a </w:t>
      </w:r>
      <w:r w:rsidRPr="00C8060C">
        <w:rPr>
          <w:lang w:val="en-US" w:eastAsia="en-US"/>
        </w:rPr>
        <w:t xml:space="preserve">set of </w:t>
      </w:r>
      <w:r w:rsidR="00DA7D34" w:rsidRPr="00C8060C">
        <w:rPr>
          <w:lang w:val="en-US" w:eastAsia="en-US"/>
        </w:rPr>
        <w:t>principles to be applied</w:t>
      </w:r>
      <w:r w:rsidRPr="00C8060C">
        <w:rPr>
          <w:lang w:val="en-US" w:eastAsia="en-US"/>
        </w:rPr>
        <w:t xml:space="preserve"> in deliberations and decision-making to ensure a consumer-centred MBS. These Principles were endorsed by the Taskforce</w:t>
      </w:r>
      <w:r w:rsidR="00175FEB">
        <w:rPr>
          <w:lang w:val="en-US" w:eastAsia="en-US"/>
        </w:rPr>
        <w:t>.</w:t>
      </w:r>
    </w:p>
    <w:p w:rsidR="009D6802" w:rsidRDefault="00690743" w:rsidP="00791FE1">
      <w:pPr>
        <w:spacing w:before="0" w:after="180" w:line="240" w:lineRule="auto"/>
        <w:rPr>
          <w:lang w:val="en-US" w:eastAsia="en-US"/>
        </w:rPr>
      </w:pPr>
      <w:r>
        <w:rPr>
          <w:lang w:val="en-US" w:eastAsia="en-US"/>
        </w:rPr>
        <w:t>The Panel</w:t>
      </w:r>
      <w:r w:rsidR="009D6802" w:rsidRPr="00C8060C">
        <w:rPr>
          <w:lang w:val="en-US" w:eastAsia="en-US"/>
        </w:rPr>
        <w:t xml:space="preserve"> reiterates its recommendation (2016) th</w:t>
      </w:r>
      <w:r w:rsidR="00DA7D34" w:rsidRPr="00C8060C">
        <w:rPr>
          <w:lang w:val="en-US" w:eastAsia="en-US"/>
        </w:rPr>
        <w:t>at the following</w:t>
      </w:r>
      <w:r w:rsidR="009D6802" w:rsidRPr="00C8060C">
        <w:rPr>
          <w:lang w:val="en-US" w:eastAsia="en-US"/>
        </w:rPr>
        <w:t xml:space="preserve"> principles </w:t>
      </w:r>
      <w:r w:rsidR="00DA7D34" w:rsidRPr="00C8060C">
        <w:rPr>
          <w:lang w:val="en-US" w:eastAsia="en-US"/>
        </w:rPr>
        <w:t xml:space="preserve">are applied </w:t>
      </w:r>
      <w:r w:rsidR="00AE58F1">
        <w:rPr>
          <w:lang w:val="en-US" w:eastAsia="en-US"/>
        </w:rPr>
        <w:t xml:space="preserve">and further developed </w:t>
      </w:r>
      <w:r w:rsidR="00DA7D34" w:rsidRPr="00C8060C">
        <w:rPr>
          <w:lang w:val="en-US" w:eastAsia="en-US"/>
        </w:rPr>
        <w:t>in</w:t>
      </w:r>
      <w:r w:rsidR="009D6802" w:rsidRPr="00C8060C">
        <w:rPr>
          <w:lang w:val="en-US" w:eastAsia="en-US"/>
        </w:rPr>
        <w:t xml:space="preserve"> MBS Review deliberations and decision-making.</w:t>
      </w:r>
    </w:p>
    <w:p w:rsidR="001C7EB1" w:rsidRPr="005F1F13"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5F1F13">
        <w:rPr>
          <w:rFonts w:ascii="Calibri" w:hAnsi="Calibri"/>
          <w:b/>
        </w:rPr>
        <w:t xml:space="preserve">The MBS Review, and ongoing MBS management is co-designed.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Evidence-informed consumer engagement is integrated in the design, implementation, monitoring and evaluation of the MBS to ensure it meets the needs, values and preferences of consumers and the community*, not just clinicians, industry and policy makers.</w:t>
      </w:r>
    </w:p>
    <w:p w:rsidR="001C7EB1" w:rsidRPr="000C2A76" w:rsidRDefault="00906754" w:rsidP="000C2A76">
      <w:pPr>
        <w:pStyle w:val="ListParagraph"/>
        <w:spacing w:before="0" w:after="180" w:line="240" w:lineRule="auto"/>
        <w:ind w:left="851" w:right="-330"/>
        <w:contextualSpacing w:val="0"/>
        <w:rPr>
          <w:rFonts w:ascii="Calibri" w:hAnsi="Calibri"/>
          <w:szCs w:val="20"/>
        </w:rPr>
      </w:pPr>
      <w:r w:rsidRPr="000C2A76">
        <w:rPr>
          <w:rFonts w:ascii="Calibri" w:hAnsi="Calibri"/>
          <w:szCs w:val="20"/>
        </w:rPr>
        <w:t>*</w:t>
      </w:r>
      <w:r w:rsidR="001C7EB1" w:rsidRPr="000C2A76">
        <w:rPr>
          <w:rFonts w:ascii="Calibri" w:hAnsi="Calibri"/>
          <w:szCs w:val="20"/>
        </w:rPr>
        <w:t>As per the definition o</w:t>
      </w:r>
      <w:r w:rsidR="00D74503" w:rsidRPr="000C2A76">
        <w:rPr>
          <w:rFonts w:ascii="Calibri" w:hAnsi="Calibri"/>
          <w:szCs w:val="20"/>
        </w:rPr>
        <w:t xml:space="preserve">f consumer-centred care outlined in Patient-centred care: Improving quality and safety through partnerships with patients and consumers. </w:t>
      </w:r>
      <w:sdt>
        <w:sdtPr>
          <w:rPr>
            <w:rFonts w:ascii="Calibri" w:hAnsi="Calibri"/>
            <w:szCs w:val="20"/>
          </w:rPr>
          <w:id w:val="-1182818800"/>
          <w:citation/>
        </w:sdtPr>
        <w:sdtEndPr/>
        <w:sdtContent>
          <w:r w:rsidR="008B31A3">
            <w:rPr>
              <w:rFonts w:ascii="Calibri" w:hAnsi="Calibri"/>
              <w:szCs w:val="20"/>
            </w:rPr>
            <w:fldChar w:fldCharType="begin"/>
          </w:r>
          <w:r w:rsidR="008B31A3">
            <w:rPr>
              <w:rFonts w:ascii="Calibri" w:hAnsi="Calibri"/>
              <w:szCs w:val="20"/>
            </w:rPr>
            <w:instrText xml:space="preserve"> CITATION Aus12 \l 3081 </w:instrText>
          </w:r>
          <w:r w:rsidR="008B31A3">
            <w:rPr>
              <w:rFonts w:ascii="Calibri" w:hAnsi="Calibri"/>
              <w:szCs w:val="20"/>
            </w:rPr>
            <w:fldChar w:fldCharType="separate"/>
          </w:r>
          <w:r w:rsidR="008B31A3" w:rsidRPr="008B31A3">
            <w:rPr>
              <w:rFonts w:ascii="Calibri" w:hAnsi="Calibri"/>
              <w:noProof/>
              <w:szCs w:val="20"/>
            </w:rPr>
            <w:t>(6)</w:t>
          </w:r>
          <w:r w:rsidR="008B31A3">
            <w:rPr>
              <w:rFonts w:ascii="Calibri" w:hAnsi="Calibri"/>
              <w:szCs w:val="20"/>
            </w:rPr>
            <w:fldChar w:fldCharType="end"/>
          </w:r>
        </w:sdtContent>
      </w:sdt>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lastRenderedPageBreak/>
        <w:t xml:space="preserve">The MBS Review supports the development of an Australian health care system that is safe and high quality; provides equity of access and outcome for patients; delivers improvements in patient outcomes; supports the efficient and effective use of resources; and is sustainable. </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Design and use of MBS Items support safe, evidence-based, high quality consumer-centred care.</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MBS items with significant potential health impacts are linked to contemporary </w:t>
      </w:r>
      <w:r w:rsidR="00357F09" w:rsidRPr="000C2A76">
        <w:rPr>
          <w:rFonts w:ascii="Calibri" w:hAnsi="Calibri"/>
          <w:szCs w:val="20"/>
        </w:rPr>
        <w:t>evidence</w:t>
      </w:r>
      <w:r w:rsidR="003E7A10">
        <w:rPr>
          <w:rFonts w:ascii="Calibri" w:hAnsi="Calibri"/>
          <w:szCs w:val="20"/>
        </w:rPr>
        <w:t>.</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The MBS allows sufficient flexibility to tailor treatments and care to the specific needs of individual patients, which may not align directly with Guidelines, but where the variation is well considered and appropriate. </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Design and use of MBS Items support fair and equitable access and outcomes for all.</w:t>
      </w:r>
    </w:p>
    <w:p w:rsidR="001C7EB1" w:rsidRPr="000C2A76" w:rsidRDefault="001C7EB1" w:rsidP="00791FE1">
      <w:pPr>
        <w:pStyle w:val="ListParagraph"/>
        <w:spacing w:before="0" w:after="180" w:line="240" w:lineRule="auto"/>
        <w:ind w:right="-329" w:firstLine="131"/>
        <w:contextualSpacing w:val="0"/>
        <w:rPr>
          <w:rFonts w:ascii="Calibri" w:hAnsi="Calibri"/>
          <w:szCs w:val="20"/>
        </w:rPr>
      </w:pPr>
      <w:r w:rsidRPr="000C2A76">
        <w:rPr>
          <w:rFonts w:ascii="Calibri" w:hAnsi="Calibri"/>
          <w:szCs w:val="20"/>
        </w:rPr>
        <w:t>For example:</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Address geographic location as a barrier by proactively looking at scope of practice of more than one clinical group, and reimbursement for clinical services that reflects the cost of service provision in regional and remote settings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Ensure changes to the MBS do not drive an unreasonable increase in out-of-pocket expenses, particularly for vulnerable groups  such as people with, or at risk of, multiple chronic diseases </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The MBS ensures equity of access to medical services, regardless of whether it is provided in the public or private sector.</w:t>
      </w:r>
      <w:r w:rsidR="00215767">
        <w:rPr>
          <w:rFonts w:ascii="Calibri" w:hAnsi="Calibri"/>
          <w:b/>
        </w:rPr>
        <w:t xml:space="preserve"> </w:t>
      </w:r>
    </w:p>
    <w:p w:rsidR="001C7EB1" w:rsidRPr="000F5EF9" w:rsidRDefault="008B31A3" w:rsidP="000C2A76">
      <w:pPr>
        <w:pStyle w:val="ListParagraph"/>
        <w:numPr>
          <w:ilvl w:val="0"/>
          <w:numId w:val="30"/>
        </w:numPr>
        <w:spacing w:before="0" w:after="180" w:line="240" w:lineRule="auto"/>
        <w:ind w:left="426" w:right="-329" w:hanging="426"/>
        <w:contextualSpacing w:val="0"/>
        <w:rPr>
          <w:rFonts w:ascii="Calibri" w:hAnsi="Calibri"/>
          <w:b/>
        </w:rPr>
      </w:pPr>
      <w:r>
        <w:rPr>
          <w:rFonts w:ascii="Calibri" w:hAnsi="Calibri"/>
          <w:b/>
        </w:rPr>
        <w:t>MBS R</w:t>
      </w:r>
      <w:r w:rsidR="001C7EB1" w:rsidRPr="000F5EF9">
        <w:rPr>
          <w:rFonts w:ascii="Calibri" w:hAnsi="Calibri"/>
          <w:b/>
        </w:rPr>
        <w:t xml:space="preserve">eview processes encompass assessment of individual and systemic health quality and economic benefit.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lastRenderedPageBreak/>
        <w:t xml:space="preserve">Real out of pocket (OOP) expenses for consumers are calculated when determining (relative) Item costs; a total OOP is calculated where multiple services are associated with the condition being treated; and for long term conditions the OOP is calculated for a longer period and potentially for the entire patient journey.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Quality and economic benefit (or cost effectiveness) are two different things to be balanced one against the other, and not assessed as one parameter.</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The MBS is a dynamic and responsive system that only funds services that improve health outcomes.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This may require new systems of data collection and analysis and new ways of public reporting.</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Use of MBS data is maximised for public benefit, and with appropriate governance to ensure that public benefit does not cause harm to the individual.</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Ongoing monitoring /post-market surveillance/data availability for research purposes is integrated into the use of the MBS to support evaluation and review for quality assurance.</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Lack of evidence does not always mean that an item is not effective and </w:t>
      </w:r>
      <w:r w:rsidR="0081709E">
        <w:rPr>
          <w:rFonts w:ascii="Calibri" w:hAnsi="Calibri"/>
          <w:b/>
        </w:rPr>
        <w:t xml:space="preserve">should </w:t>
      </w:r>
      <w:r w:rsidR="00831067">
        <w:rPr>
          <w:rFonts w:ascii="Calibri" w:hAnsi="Calibri"/>
          <w:b/>
        </w:rPr>
        <w:t xml:space="preserve">be </w:t>
      </w:r>
      <w:r w:rsidRPr="000F5EF9">
        <w:rPr>
          <w:rFonts w:ascii="Calibri" w:hAnsi="Calibri"/>
          <w:b/>
        </w:rPr>
        <w:t xml:space="preserve">removed. It does confirm the imperative for data collection and post market surveillance that can meaningfully track the appropriate use of MBS items. </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The </w:t>
      </w:r>
      <w:r w:rsidR="008B31A3">
        <w:rPr>
          <w:rFonts w:ascii="Calibri" w:hAnsi="Calibri"/>
          <w:b/>
        </w:rPr>
        <w:t xml:space="preserve">MBS </w:t>
      </w:r>
      <w:r w:rsidRPr="000F5EF9">
        <w:rPr>
          <w:rFonts w:ascii="Calibri" w:hAnsi="Calibri"/>
          <w:b/>
        </w:rPr>
        <w:t xml:space="preserve">Review does not remove access to a service where it is appropriate for the care of a small, defined patient group.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If necessary, the descriptor can be amended to ensure Item use is targeted to the appropriate patients, and only accessed by the appropriately trained clinicians.  </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Patient Reported (Adverse) Outcomes Measures (PR[A]OMs), Patient Reported Experience Measures (PREMS) and other quality of life measures are considered along with </w:t>
      </w:r>
      <w:r w:rsidRPr="000F5EF9">
        <w:rPr>
          <w:rFonts w:ascii="Calibri" w:hAnsi="Calibri"/>
          <w:b/>
        </w:rPr>
        <w:lastRenderedPageBreak/>
        <w:t>clinical outcomes measures when determining safety, quality, efficiency, efficacy, access and currency of MBS Items.</w:t>
      </w:r>
    </w:p>
    <w:p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Implementation of the MBS</w:t>
      </w:r>
      <w:r w:rsidR="008B31A3">
        <w:rPr>
          <w:rFonts w:ascii="Calibri" w:hAnsi="Calibri"/>
          <w:b/>
        </w:rPr>
        <w:t xml:space="preserve"> Review</w:t>
      </w:r>
      <w:r w:rsidRPr="000F5EF9">
        <w:rPr>
          <w:rFonts w:ascii="Calibri" w:hAnsi="Calibri"/>
          <w:b/>
        </w:rPr>
        <w:t>:</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Supports business practices that enable consumers to </w:t>
      </w:r>
      <w:r w:rsidR="000C2A76">
        <w:rPr>
          <w:rFonts w:ascii="Calibri" w:hAnsi="Calibri"/>
          <w:szCs w:val="20"/>
        </w:rPr>
        <w:t xml:space="preserve">make fully informed decisions </w:t>
      </w:r>
      <w:r w:rsidRPr="000C2A76">
        <w:rPr>
          <w:rFonts w:ascii="Calibri" w:hAnsi="Calibri"/>
          <w:szCs w:val="20"/>
        </w:rPr>
        <w:t>including clinical information and cost comparisons across public and private options.</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Inhibits listing of multiple Items for single consultations/treatments.</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Addresses conflict of interest and full disclosure regarding any recommended device/service.</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Uses the MBS to fund universal access to safe health care, particularly for the most vulnerable – and not simply convenience of access.</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Is reported upon publicly in ways that ensure clinicians and corporate beneficiaries of Medicare are accountable to consumers as patients and taxpayers. </w:t>
      </w:r>
    </w:p>
    <w:p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Is quality assured and incentivised through professional practice measures such as training. </w:t>
      </w:r>
    </w:p>
    <w:p w:rsidR="009D6802" w:rsidRPr="00D61268" w:rsidRDefault="009D6802" w:rsidP="00791FE1">
      <w:pPr>
        <w:pStyle w:val="PlainText"/>
        <w:spacing w:after="180"/>
        <w:ind w:right="-187"/>
        <w:rPr>
          <w:rFonts w:cs="Consolas"/>
          <w:b/>
          <w:szCs w:val="22"/>
        </w:rPr>
      </w:pPr>
      <w:r w:rsidRPr="00D61268">
        <w:rPr>
          <w:rFonts w:cs="Consolas"/>
          <w:b/>
          <w:szCs w:val="22"/>
        </w:rPr>
        <w:t>Additional considerations</w:t>
      </w:r>
    </w:p>
    <w:p w:rsidR="005F1F13" w:rsidRDefault="00F746E4" w:rsidP="00791FE1">
      <w:pPr>
        <w:pStyle w:val="PlainText"/>
        <w:spacing w:after="180"/>
        <w:ind w:right="-188"/>
        <w:rPr>
          <w:szCs w:val="22"/>
        </w:rPr>
      </w:pPr>
      <w:r w:rsidRPr="00D61268">
        <w:rPr>
          <w:szCs w:val="22"/>
        </w:rPr>
        <w:t>The Panel also noted that:</w:t>
      </w:r>
    </w:p>
    <w:p w:rsidR="009D6802" w:rsidRPr="00C8060C" w:rsidRDefault="005F1F13" w:rsidP="000C2A76">
      <w:pPr>
        <w:pStyle w:val="PlainText"/>
        <w:numPr>
          <w:ilvl w:val="0"/>
          <w:numId w:val="43"/>
        </w:numPr>
        <w:spacing w:after="180"/>
        <w:ind w:right="-188"/>
        <w:rPr>
          <w:szCs w:val="22"/>
        </w:rPr>
      </w:pPr>
      <w:r>
        <w:rPr>
          <w:szCs w:val="22"/>
        </w:rPr>
        <w:t>F</w:t>
      </w:r>
      <w:r w:rsidR="009D6802" w:rsidRPr="00D61268">
        <w:rPr>
          <w:szCs w:val="22"/>
        </w:rPr>
        <w:t xml:space="preserve">urther development of consumer principles is likely to include principles related </w:t>
      </w:r>
      <w:r w:rsidR="00453788" w:rsidRPr="00D61268">
        <w:rPr>
          <w:szCs w:val="22"/>
        </w:rPr>
        <w:t>to reporting</w:t>
      </w:r>
      <w:r w:rsidR="009D6802" w:rsidRPr="00D61268">
        <w:rPr>
          <w:szCs w:val="22"/>
        </w:rPr>
        <w:t>, disclosure, transparency and regulatory oversight as well as communication and informed (financial) consent.</w:t>
      </w:r>
      <w:r w:rsidR="00F746E4" w:rsidRPr="00D61268">
        <w:rPr>
          <w:szCs w:val="22"/>
        </w:rPr>
        <w:t xml:space="preserve"> </w:t>
      </w:r>
      <w:r w:rsidR="009D6802" w:rsidRPr="00D61268">
        <w:rPr>
          <w:i/>
          <w:szCs w:val="22"/>
        </w:rPr>
        <w:t>For example:</w:t>
      </w:r>
    </w:p>
    <w:p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Not every health service has a consumer cost reimbursement via the MBS</w:t>
      </w:r>
    </w:p>
    <w:p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Practitioners that exploit the MBS are reported to the regulatory authority</w:t>
      </w:r>
    </w:p>
    <w:p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lastRenderedPageBreak/>
        <w:t>Simplicity where possible in the MBS supports professional conduct – and identification and management of alleged unprofessional conduct.</w:t>
      </w:r>
    </w:p>
    <w:p w:rsidR="00F746E4" w:rsidRPr="000C2A76" w:rsidRDefault="009D6802" w:rsidP="000C2A76">
      <w:pPr>
        <w:pStyle w:val="PlainText"/>
        <w:numPr>
          <w:ilvl w:val="0"/>
          <w:numId w:val="43"/>
        </w:numPr>
        <w:spacing w:after="180"/>
        <w:ind w:right="-188"/>
        <w:rPr>
          <w:szCs w:val="22"/>
        </w:rPr>
      </w:pPr>
      <w:r w:rsidRPr="000C2A76">
        <w:rPr>
          <w:szCs w:val="22"/>
        </w:rPr>
        <w:t xml:space="preserve">All </w:t>
      </w:r>
      <w:r w:rsidRPr="00D61268">
        <w:rPr>
          <w:szCs w:val="22"/>
        </w:rPr>
        <w:t>practitioners</w:t>
      </w:r>
      <w:r w:rsidRPr="000C2A76">
        <w:rPr>
          <w:szCs w:val="22"/>
        </w:rPr>
        <w:t xml:space="preserve"> in the </w:t>
      </w:r>
      <w:r w:rsidR="008B31A3">
        <w:rPr>
          <w:szCs w:val="22"/>
        </w:rPr>
        <w:t xml:space="preserve">MBS </w:t>
      </w:r>
      <w:r w:rsidRPr="000C2A76">
        <w:rPr>
          <w:szCs w:val="22"/>
        </w:rPr>
        <w:t>Review can be considered to have a C</w:t>
      </w:r>
      <w:r w:rsidR="00435B98" w:rsidRPr="000C2A76">
        <w:rPr>
          <w:szCs w:val="22"/>
        </w:rPr>
        <w:t xml:space="preserve">onflict </w:t>
      </w:r>
      <w:r w:rsidRPr="000C2A76">
        <w:rPr>
          <w:szCs w:val="22"/>
        </w:rPr>
        <w:t>O</w:t>
      </w:r>
      <w:r w:rsidR="00435B98" w:rsidRPr="000C2A76">
        <w:rPr>
          <w:szCs w:val="22"/>
        </w:rPr>
        <w:t xml:space="preserve">f </w:t>
      </w:r>
      <w:r w:rsidRPr="000C2A76">
        <w:rPr>
          <w:szCs w:val="22"/>
        </w:rPr>
        <w:t>I</w:t>
      </w:r>
      <w:r w:rsidR="00435B98" w:rsidRPr="000C2A76">
        <w:rPr>
          <w:szCs w:val="22"/>
        </w:rPr>
        <w:t>nterest</w:t>
      </w:r>
      <w:r w:rsidRPr="000C2A76">
        <w:rPr>
          <w:szCs w:val="22"/>
        </w:rPr>
        <w:t>: this is inevitable. Genuine, structured and supported consumer feedback in Review reports is required to ensure the conflicts have been successfully managed as well as to ensure the recommendations work in the best interests of the consumers to whom the reimbursements will be paid.</w:t>
      </w:r>
    </w:p>
    <w:p w:rsidR="004A5166" w:rsidRPr="000C2A76" w:rsidRDefault="004A5166" w:rsidP="000C2A76">
      <w:pPr>
        <w:pStyle w:val="PlainText"/>
        <w:numPr>
          <w:ilvl w:val="0"/>
          <w:numId w:val="43"/>
        </w:numPr>
        <w:spacing w:after="180"/>
        <w:ind w:right="-188"/>
        <w:rPr>
          <w:szCs w:val="22"/>
        </w:rPr>
      </w:pPr>
      <w:r w:rsidRPr="000C2A76">
        <w:rPr>
          <w:szCs w:val="22"/>
        </w:rPr>
        <w:t xml:space="preserve">Principles and learnings from the MBS Review should be applied more broadly to future reviews </w:t>
      </w:r>
      <w:r w:rsidR="003546C2" w:rsidRPr="000C2A76">
        <w:rPr>
          <w:szCs w:val="22"/>
        </w:rPr>
        <w:t xml:space="preserve">in the public space, other government agencies </w:t>
      </w:r>
      <w:r w:rsidRPr="000C2A76">
        <w:rPr>
          <w:szCs w:val="22"/>
        </w:rPr>
        <w:t>or health technology processes.</w:t>
      </w:r>
    </w:p>
    <w:p w:rsidR="000E07E1" w:rsidRPr="000830F6" w:rsidRDefault="000E07E1" w:rsidP="000830F6">
      <w:pPr>
        <w:pStyle w:val="Heading2"/>
        <w:numPr>
          <w:ilvl w:val="0"/>
          <w:numId w:val="0"/>
        </w:numPr>
        <w:spacing w:before="240" w:after="120"/>
        <w:rPr>
          <w:rFonts w:cstheme="minorHAnsi"/>
          <w:bCs w:val="0"/>
          <w:iCs w:val="0"/>
          <w:sz w:val="32"/>
          <w:lang w:val="en-AU" w:eastAsia="en-AU"/>
        </w:rPr>
      </w:pPr>
      <w:bookmarkStart w:id="50" w:name="_Toc33103201"/>
      <w:r w:rsidRPr="000830F6">
        <w:rPr>
          <w:rFonts w:cstheme="minorHAnsi"/>
          <w:bCs w:val="0"/>
          <w:iCs w:val="0"/>
          <w:sz w:val="32"/>
          <w:lang w:val="en-AU" w:eastAsia="en-AU"/>
        </w:rPr>
        <w:t>RECOMMENDATION 2: PRACTICE</w:t>
      </w:r>
      <w:bookmarkEnd w:id="50"/>
    </w:p>
    <w:p w:rsidR="000E07E1" w:rsidRPr="00CF71F3" w:rsidRDefault="000B5E53" w:rsidP="00791FE1">
      <w:pPr>
        <w:spacing w:before="0" w:after="180" w:line="240" w:lineRule="auto"/>
        <w:rPr>
          <w:b/>
          <w:color w:val="01653F"/>
        </w:rPr>
      </w:pPr>
      <w:r w:rsidRPr="00CF71F3">
        <w:rPr>
          <w:b/>
          <w:color w:val="01653F"/>
        </w:rPr>
        <w:t>The</w:t>
      </w:r>
      <w:r w:rsidR="00CC6591">
        <w:rPr>
          <w:b/>
          <w:color w:val="01653F"/>
        </w:rPr>
        <w:t xml:space="preserve"> Consumer</w:t>
      </w:r>
      <w:r w:rsidR="000C2A76">
        <w:rPr>
          <w:b/>
          <w:color w:val="01653F"/>
        </w:rPr>
        <w:t xml:space="preserve"> Panel Consumer Engagement R</w:t>
      </w:r>
      <w:r w:rsidRPr="00CF71F3">
        <w:rPr>
          <w:b/>
          <w:color w:val="01653F"/>
        </w:rPr>
        <w:t>esource is used as a reference in future planning for ongoing review of the MBS</w:t>
      </w:r>
      <w:r w:rsidR="003849BF">
        <w:rPr>
          <w:b/>
          <w:color w:val="01653F"/>
        </w:rPr>
        <w:t>.</w:t>
      </w:r>
    </w:p>
    <w:p w:rsidR="000B5E53" w:rsidRDefault="000C2A76" w:rsidP="00791FE1">
      <w:pPr>
        <w:spacing w:before="0" w:after="180" w:line="240" w:lineRule="auto"/>
      </w:pPr>
      <w:r>
        <w:rPr>
          <w:lang w:val="en-US" w:eastAsia="en-US"/>
        </w:rPr>
        <w:t>The Consumer Engagement R</w:t>
      </w:r>
      <w:r w:rsidR="000B5E53">
        <w:rPr>
          <w:lang w:val="en-US" w:eastAsia="en-US"/>
        </w:rPr>
        <w:t>esource has a number of tools that could be further developed by and for all partners in any ongoing review of the MBS – and other health technologies. They include:</w:t>
      </w:r>
    </w:p>
    <w:p w:rsidR="000B5E53" w:rsidRPr="000C2A76" w:rsidRDefault="000B5E53" w:rsidP="000C2A76">
      <w:pPr>
        <w:pStyle w:val="PlainText"/>
        <w:numPr>
          <w:ilvl w:val="0"/>
          <w:numId w:val="43"/>
        </w:numPr>
        <w:spacing w:after="180"/>
        <w:ind w:right="-188"/>
        <w:rPr>
          <w:szCs w:val="22"/>
        </w:rPr>
      </w:pPr>
      <w:r w:rsidRPr="000C2A76">
        <w:rPr>
          <w:szCs w:val="22"/>
        </w:rPr>
        <w:t>Consumer recruitment, role and expectations</w:t>
      </w:r>
    </w:p>
    <w:p w:rsidR="000B5E53" w:rsidRPr="000C2A76" w:rsidRDefault="000B5E53" w:rsidP="000C2A76">
      <w:pPr>
        <w:pStyle w:val="PlainText"/>
        <w:numPr>
          <w:ilvl w:val="0"/>
          <w:numId w:val="43"/>
        </w:numPr>
        <w:spacing w:after="180"/>
        <w:ind w:right="-188"/>
        <w:rPr>
          <w:szCs w:val="22"/>
        </w:rPr>
      </w:pPr>
      <w:r w:rsidRPr="000C2A76">
        <w:rPr>
          <w:szCs w:val="22"/>
        </w:rPr>
        <w:t>Consumer principles to guide Review deliberations and decisions</w:t>
      </w:r>
    </w:p>
    <w:p w:rsidR="000B5E53" w:rsidRPr="000C2A76" w:rsidRDefault="000B5E53" w:rsidP="000C2A76">
      <w:pPr>
        <w:pStyle w:val="PlainText"/>
        <w:numPr>
          <w:ilvl w:val="0"/>
          <w:numId w:val="43"/>
        </w:numPr>
        <w:spacing w:after="180"/>
        <w:ind w:right="-188"/>
        <w:rPr>
          <w:szCs w:val="22"/>
        </w:rPr>
      </w:pPr>
      <w:r w:rsidRPr="000C2A76">
        <w:rPr>
          <w:szCs w:val="22"/>
        </w:rPr>
        <w:t>Examples of questions to focus consumer perspectives in reports</w:t>
      </w:r>
    </w:p>
    <w:p w:rsidR="000B5E53" w:rsidRPr="000C2A76" w:rsidRDefault="000B5E53" w:rsidP="000C2A76">
      <w:pPr>
        <w:pStyle w:val="PlainText"/>
        <w:numPr>
          <w:ilvl w:val="0"/>
          <w:numId w:val="43"/>
        </w:numPr>
        <w:spacing w:after="180"/>
        <w:ind w:right="-188"/>
        <w:rPr>
          <w:szCs w:val="22"/>
        </w:rPr>
      </w:pPr>
      <w:r w:rsidRPr="000C2A76">
        <w:rPr>
          <w:szCs w:val="22"/>
        </w:rPr>
        <w:t xml:space="preserve">Critical checkpoints for consumer engagement in the work of </w:t>
      </w:r>
      <w:r w:rsidR="001F1895">
        <w:rPr>
          <w:szCs w:val="22"/>
        </w:rPr>
        <w:t>c</w:t>
      </w:r>
      <w:r w:rsidRPr="000C2A76">
        <w:rPr>
          <w:szCs w:val="22"/>
        </w:rPr>
        <w:t xml:space="preserve">linical </w:t>
      </w:r>
      <w:r w:rsidR="001F1895">
        <w:rPr>
          <w:szCs w:val="22"/>
        </w:rPr>
        <w:t>c</w:t>
      </w:r>
      <w:r w:rsidRPr="000C2A76">
        <w:rPr>
          <w:szCs w:val="22"/>
        </w:rPr>
        <w:t>ommittees</w:t>
      </w:r>
    </w:p>
    <w:p w:rsidR="000B5E53" w:rsidRPr="000C2A76" w:rsidRDefault="000B5E53" w:rsidP="000C2A76">
      <w:pPr>
        <w:pStyle w:val="PlainText"/>
        <w:numPr>
          <w:ilvl w:val="0"/>
          <w:numId w:val="43"/>
        </w:numPr>
        <w:spacing w:after="180"/>
        <w:ind w:right="-188"/>
        <w:rPr>
          <w:szCs w:val="22"/>
        </w:rPr>
      </w:pPr>
      <w:r w:rsidRPr="000C2A76">
        <w:rPr>
          <w:szCs w:val="22"/>
        </w:rPr>
        <w:t xml:space="preserve">Recommended approach to targeted public consultation </w:t>
      </w:r>
    </w:p>
    <w:p w:rsidR="000B5E53" w:rsidRPr="000C2A76" w:rsidRDefault="000B5E53" w:rsidP="000C2A76">
      <w:pPr>
        <w:pStyle w:val="PlainText"/>
        <w:numPr>
          <w:ilvl w:val="0"/>
          <w:numId w:val="43"/>
        </w:numPr>
        <w:spacing w:after="180"/>
        <w:ind w:right="-188"/>
        <w:rPr>
          <w:szCs w:val="22"/>
        </w:rPr>
      </w:pPr>
      <w:r w:rsidRPr="000C2A76">
        <w:rPr>
          <w:szCs w:val="22"/>
        </w:rPr>
        <w:t>Public communication checklist</w:t>
      </w:r>
    </w:p>
    <w:p w:rsidR="000B5E53" w:rsidRPr="000C2A76" w:rsidRDefault="000B5E53" w:rsidP="000C2A76">
      <w:pPr>
        <w:pStyle w:val="PlainText"/>
        <w:numPr>
          <w:ilvl w:val="0"/>
          <w:numId w:val="43"/>
        </w:numPr>
        <w:spacing w:after="180"/>
        <w:ind w:right="-188"/>
        <w:rPr>
          <w:szCs w:val="22"/>
        </w:rPr>
      </w:pPr>
      <w:r w:rsidRPr="000C2A76">
        <w:rPr>
          <w:szCs w:val="22"/>
        </w:rPr>
        <w:lastRenderedPageBreak/>
        <w:t>A consumer perspective on evidence</w:t>
      </w:r>
    </w:p>
    <w:p w:rsidR="000B5E53" w:rsidRPr="000C2A76" w:rsidRDefault="000B5E53" w:rsidP="000C2A76">
      <w:pPr>
        <w:pStyle w:val="PlainText"/>
        <w:numPr>
          <w:ilvl w:val="0"/>
          <w:numId w:val="43"/>
        </w:numPr>
        <w:spacing w:after="180"/>
        <w:ind w:right="-188"/>
        <w:rPr>
          <w:szCs w:val="22"/>
        </w:rPr>
      </w:pPr>
      <w:r w:rsidRPr="000C2A76">
        <w:rPr>
          <w:szCs w:val="22"/>
        </w:rPr>
        <w:t xml:space="preserve">Hints and tips for </w:t>
      </w:r>
      <w:r w:rsidR="001F1895">
        <w:rPr>
          <w:szCs w:val="22"/>
        </w:rPr>
        <w:t>c</w:t>
      </w:r>
      <w:r w:rsidR="00FA2A1B" w:rsidRPr="000C2A76">
        <w:rPr>
          <w:szCs w:val="22"/>
        </w:rPr>
        <w:t xml:space="preserve">onsumers </w:t>
      </w:r>
      <w:r w:rsidRPr="000C2A76">
        <w:rPr>
          <w:szCs w:val="22"/>
        </w:rPr>
        <w:t xml:space="preserve">on </w:t>
      </w:r>
      <w:r w:rsidR="001F1895">
        <w:rPr>
          <w:szCs w:val="22"/>
        </w:rPr>
        <w:t>c</w:t>
      </w:r>
      <w:r w:rsidR="00FA2A1B" w:rsidRPr="000C2A76">
        <w:rPr>
          <w:szCs w:val="22"/>
        </w:rPr>
        <w:t>ommittees</w:t>
      </w:r>
    </w:p>
    <w:p w:rsidR="000B5E53" w:rsidRPr="000C2A76" w:rsidRDefault="000B5E53" w:rsidP="000C2A76">
      <w:pPr>
        <w:pStyle w:val="PlainText"/>
        <w:numPr>
          <w:ilvl w:val="0"/>
          <w:numId w:val="43"/>
        </w:numPr>
        <w:spacing w:after="180"/>
        <w:ind w:right="-188"/>
        <w:rPr>
          <w:szCs w:val="22"/>
        </w:rPr>
      </w:pPr>
      <w:r w:rsidRPr="000C2A76">
        <w:rPr>
          <w:szCs w:val="22"/>
        </w:rPr>
        <w:t xml:space="preserve">Support available to </w:t>
      </w:r>
      <w:r w:rsidR="001F1895">
        <w:rPr>
          <w:szCs w:val="22"/>
        </w:rPr>
        <w:t>c</w:t>
      </w:r>
      <w:r w:rsidR="00FA2A1B" w:rsidRPr="000C2A76">
        <w:rPr>
          <w:szCs w:val="22"/>
        </w:rPr>
        <w:t xml:space="preserve">onsumers </w:t>
      </w:r>
      <w:r w:rsidRPr="000C2A76">
        <w:rPr>
          <w:szCs w:val="22"/>
        </w:rPr>
        <w:t xml:space="preserve">and others on </w:t>
      </w:r>
      <w:r w:rsidR="001F1895">
        <w:rPr>
          <w:szCs w:val="22"/>
        </w:rPr>
        <w:t>c</w:t>
      </w:r>
      <w:r w:rsidR="00FA2A1B" w:rsidRPr="000C2A76">
        <w:rPr>
          <w:szCs w:val="22"/>
        </w:rPr>
        <w:t>ommittees</w:t>
      </w:r>
    </w:p>
    <w:p w:rsidR="000B5E53" w:rsidRPr="000C2A76" w:rsidRDefault="000B5E53" w:rsidP="000C2A76">
      <w:pPr>
        <w:pStyle w:val="PlainText"/>
        <w:numPr>
          <w:ilvl w:val="0"/>
          <w:numId w:val="43"/>
        </w:numPr>
        <w:spacing w:after="180"/>
        <w:ind w:right="-188"/>
        <w:rPr>
          <w:szCs w:val="22"/>
        </w:rPr>
      </w:pPr>
      <w:r w:rsidRPr="000C2A76">
        <w:rPr>
          <w:szCs w:val="22"/>
        </w:rPr>
        <w:t>Consumer-related terminology</w:t>
      </w:r>
    </w:p>
    <w:p w:rsidR="0069036A" w:rsidRPr="000C2A76" w:rsidRDefault="0069036A" w:rsidP="000C2A76">
      <w:pPr>
        <w:pStyle w:val="PlainText"/>
        <w:numPr>
          <w:ilvl w:val="0"/>
          <w:numId w:val="43"/>
        </w:numPr>
        <w:spacing w:after="180"/>
        <w:ind w:right="-188"/>
        <w:rPr>
          <w:szCs w:val="22"/>
        </w:rPr>
      </w:pPr>
      <w:r w:rsidRPr="000C2A76">
        <w:rPr>
          <w:szCs w:val="22"/>
        </w:rPr>
        <w:t>Consumer engagement summary</w:t>
      </w:r>
    </w:p>
    <w:p w:rsidR="0069036A" w:rsidRPr="000C2A76" w:rsidRDefault="0069036A" w:rsidP="000C2A76">
      <w:pPr>
        <w:pStyle w:val="PlainText"/>
        <w:numPr>
          <w:ilvl w:val="0"/>
          <w:numId w:val="43"/>
        </w:numPr>
        <w:spacing w:after="180"/>
        <w:ind w:right="-188"/>
        <w:rPr>
          <w:szCs w:val="22"/>
        </w:rPr>
      </w:pPr>
      <w:r w:rsidRPr="000C2A76">
        <w:rPr>
          <w:szCs w:val="22"/>
        </w:rPr>
        <w:t>Consumer impact statement</w:t>
      </w:r>
    </w:p>
    <w:p w:rsidR="000B5E53" w:rsidRPr="000C2A76" w:rsidRDefault="0069036A" w:rsidP="000C2A76">
      <w:pPr>
        <w:pStyle w:val="PlainText"/>
        <w:numPr>
          <w:ilvl w:val="0"/>
          <w:numId w:val="43"/>
        </w:numPr>
        <w:spacing w:after="180"/>
        <w:ind w:right="-188"/>
        <w:rPr>
          <w:szCs w:val="22"/>
        </w:rPr>
      </w:pPr>
      <w:r w:rsidRPr="000C2A76">
        <w:rPr>
          <w:szCs w:val="22"/>
        </w:rPr>
        <w:t>Consumer report i</w:t>
      </w:r>
      <w:r w:rsidR="00D2461D" w:rsidRPr="000C2A76">
        <w:rPr>
          <w:szCs w:val="22"/>
        </w:rPr>
        <w:t>.</w:t>
      </w:r>
      <w:r w:rsidRPr="000C2A76">
        <w:rPr>
          <w:szCs w:val="22"/>
        </w:rPr>
        <w:t>e</w:t>
      </w:r>
      <w:r w:rsidR="00D2461D" w:rsidRPr="000C2A76">
        <w:rPr>
          <w:szCs w:val="22"/>
        </w:rPr>
        <w:t>.</w:t>
      </w:r>
      <w:r w:rsidRPr="000C2A76">
        <w:rPr>
          <w:szCs w:val="22"/>
        </w:rPr>
        <w:t xml:space="preserve"> summary table of recommendations and rationale.</w:t>
      </w:r>
    </w:p>
    <w:p w:rsidR="00F746E4" w:rsidRPr="000830F6" w:rsidRDefault="00F746E4" w:rsidP="00E84448">
      <w:pPr>
        <w:pStyle w:val="Heading2"/>
        <w:numPr>
          <w:ilvl w:val="0"/>
          <w:numId w:val="0"/>
        </w:numPr>
        <w:rPr>
          <w:rFonts w:cstheme="minorHAnsi"/>
          <w:bCs w:val="0"/>
          <w:iCs w:val="0"/>
          <w:sz w:val="32"/>
          <w:lang w:val="en-AU" w:eastAsia="en-AU"/>
        </w:rPr>
      </w:pPr>
      <w:bookmarkStart w:id="51" w:name="_Toc33103202"/>
      <w:r w:rsidRPr="000830F6">
        <w:rPr>
          <w:rFonts w:cstheme="minorHAnsi"/>
          <w:bCs w:val="0"/>
          <w:iCs w:val="0"/>
          <w:sz w:val="32"/>
          <w:lang w:val="en-AU" w:eastAsia="en-AU"/>
        </w:rPr>
        <w:t xml:space="preserve">RECOMMENDATION </w:t>
      </w:r>
      <w:r w:rsidR="0069036A" w:rsidRPr="000830F6">
        <w:rPr>
          <w:rFonts w:cstheme="minorHAnsi"/>
          <w:bCs w:val="0"/>
          <w:iCs w:val="0"/>
          <w:sz w:val="32"/>
          <w:lang w:val="en-AU" w:eastAsia="en-AU"/>
        </w:rPr>
        <w:t>3</w:t>
      </w:r>
      <w:r w:rsidRPr="000830F6">
        <w:rPr>
          <w:rFonts w:cstheme="minorHAnsi"/>
          <w:bCs w:val="0"/>
          <w:iCs w:val="0"/>
          <w:sz w:val="32"/>
          <w:lang w:val="en-AU" w:eastAsia="en-AU"/>
        </w:rPr>
        <w:t>: PRIORITIES</w:t>
      </w:r>
      <w:bookmarkEnd w:id="51"/>
      <w:r w:rsidRPr="000830F6">
        <w:rPr>
          <w:rFonts w:cstheme="minorHAnsi"/>
          <w:bCs w:val="0"/>
          <w:iCs w:val="0"/>
          <w:sz w:val="32"/>
          <w:lang w:val="en-AU" w:eastAsia="en-AU"/>
        </w:rPr>
        <w:t xml:space="preserve"> </w:t>
      </w:r>
    </w:p>
    <w:p w:rsidR="00F746E4" w:rsidRPr="00CF71F3" w:rsidRDefault="00F746E4" w:rsidP="00791FE1">
      <w:pPr>
        <w:spacing w:before="0" w:after="180" w:line="240" w:lineRule="auto"/>
        <w:rPr>
          <w:b/>
          <w:color w:val="01653F"/>
        </w:rPr>
      </w:pPr>
      <w:r w:rsidRPr="00CF71F3">
        <w:rPr>
          <w:b/>
          <w:color w:val="01653F"/>
        </w:rPr>
        <w:t>Consumer priorities and perspectives are key drivers of</w:t>
      </w:r>
      <w:r w:rsidR="003849BF">
        <w:rPr>
          <w:b/>
          <w:color w:val="01653F"/>
        </w:rPr>
        <w:t xml:space="preserve"> an ongoing MBS cycle of review.</w:t>
      </w:r>
    </w:p>
    <w:p w:rsidR="00F746E4" w:rsidRDefault="00F746E4" w:rsidP="00791FE1">
      <w:pPr>
        <w:spacing w:before="0" w:after="180" w:line="240" w:lineRule="auto"/>
      </w:pPr>
      <w:r>
        <w:t>Consumer priorities and persp</w:t>
      </w:r>
      <w:r w:rsidR="00D61268">
        <w:t>ectives articulated in the MBS R</w:t>
      </w:r>
      <w:r>
        <w:t>eview to date include:</w:t>
      </w:r>
    </w:p>
    <w:p w:rsidR="00F746E4" w:rsidRDefault="00F746E4" w:rsidP="000C2A76">
      <w:pPr>
        <w:pStyle w:val="ListParagraph"/>
        <w:numPr>
          <w:ilvl w:val="0"/>
          <w:numId w:val="44"/>
        </w:numPr>
        <w:spacing w:before="0" w:after="180" w:line="240" w:lineRule="auto"/>
        <w:ind w:right="-329"/>
        <w:contextualSpacing w:val="0"/>
      </w:pPr>
      <w:r>
        <w:rPr>
          <w:b/>
        </w:rPr>
        <w:t xml:space="preserve">Value: </w:t>
      </w:r>
      <w:r>
        <w:t>integrate person-centred determinants of value including:</w:t>
      </w:r>
    </w:p>
    <w:p w:rsidR="003849BF" w:rsidRDefault="003849BF" w:rsidP="000C2A76">
      <w:pPr>
        <w:pStyle w:val="ListParagraph"/>
        <w:numPr>
          <w:ilvl w:val="1"/>
          <w:numId w:val="23"/>
        </w:numPr>
        <w:spacing w:before="0" w:after="180" w:line="240" w:lineRule="auto"/>
        <w:ind w:left="993" w:hanging="426"/>
        <w:contextualSpacing w:val="0"/>
      </w:pPr>
      <w:r>
        <w:t>Equity of access and outcome</w:t>
      </w:r>
      <w:r w:rsidR="009C1775">
        <w:t>.</w:t>
      </w:r>
    </w:p>
    <w:p w:rsidR="003849BF" w:rsidRDefault="003849BF" w:rsidP="000C2A76">
      <w:pPr>
        <w:pStyle w:val="ListParagraph"/>
        <w:numPr>
          <w:ilvl w:val="1"/>
          <w:numId w:val="23"/>
        </w:numPr>
        <w:spacing w:before="0" w:after="180" w:line="240" w:lineRule="auto"/>
        <w:ind w:left="993" w:hanging="426"/>
        <w:contextualSpacing w:val="0"/>
      </w:pPr>
      <w:r>
        <w:t>Contribution to holistic, integrated, coordinated health (and social) care</w:t>
      </w:r>
      <w:r w:rsidR="009C1775">
        <w:t>.</w:t>
      </w:r>
    </w:p>
    <w:p w:rsidR="003849BF" w:rsidRDefault="003849BF" w:rsidP="000C2A76">
      <w:pPr>
        <w:pStyle w:val="ListParagraph"/>
        <w:numPr>
          <w:ilvl w:val="1"/>
          <w:numId w:val="23"/>
        </w:numPr>
        <w:spacing w:before="0" w:after="180" w:line="240" w:lineRule="auto"/>
        <w:ind w:left="993" w:hanging="426"/>
        <w:contextualSpacing w:val="0"/>
      </w:pPr>
      <w:r>
        <w:t>Contribution to the person’s health care goals</w:t>
      </w:r>
      <w:r w:rsidR="009C1775">
        <w:t>.</w:t>
      </w:r>
    </w:p>
    <w:p w:rsidR="003849BF" w:rsidRDefault="003849BF" w:rsidP="000C2A76">
      <w:pPr>
        <w:pStyle w:val="ListParagraph"/>
        <w:numPr>
          <w:ilvl w:val="1"/>
          <w:numId w:val="23"/>
        </w:numPr>
        <w:spacing w:before="0" w:after="180" w:line="240" w:lineRule="auto"/>
        <w:ind w:left="993" w:hanging="426"/>
        <w:contextualSpacing w:val="0"/>
      </w:pPr>
      <w:r>
        <w:t>Inclusive, acceptable, non-discriminatory practice</w:t>
      </w:r>
      <w:r w:rsidR="009C1775">
        <w:t>.</w:t>
      </w:r>
    </w:p>
    <w:p w:rsidR="003849BF" w:rsidRDefault="003849BF" w:rsidP="000C2A76">
      <w:pPr>
        <w:pStyle w:val="ListParagraph"/>
        <w:numPr>
          <w:ilvl w:val="1"/>
          <w:numId w:val="23"/>
        </w:numPr>
        <w:spacing w:before="0" w:after="180" w:line="240" w:lineRule="auto"/>
        <w:ind w:left="993" w:hanging="426"/>
        <w:contextualSpacing w:val="0"/>
      </w:pPr>
      <w:r>
        <w:t>Evidence to support the above</w:t>
      </w:r>
      <w:r w:rsidR="009C1775">
        <w:t>.</w:t>
      </w:r>
    </w:p>
    <w:p w:rsidR="003849BF" w:rsidRPr="001106EA" w:rsidRDefault="003849BF" w:rsidP="000C2A76">
      <w:pPr>
        <w:pStyle w:val="ListParagraph"/>
        <w:numPr>
          <w:ilvl w:val="0"/>
          <w:numId w:val="23"/>
        </w:numPr>
        <w:spacing w:before="0" w:after="180" w:line="240" w:lineRule="auto"/>
        <w:ind w:left="426" w:hanging="426"/>
        <w:contextualSpacing w:val="0"/>
        <w:rPr>
          <w:i/>
        </w:rPr>
      </w:pPr>
      <w:r w:rsidRPr="003849BF">
        <w:rPr>
          <w:b/>
        </w:rPr>
        <w:t>Appropriate Access</w:t>
      </w:r>
      <w:r>
        <w:rPr>
          <w:b/>
        </w:rPr>
        <w:t xml:space="preserve">: </w:t>
      </w:r>
      <w:r w:rsidR="001106EA" w:rsidRPr="001106EA">
        <w:t xml:space="preserve">‘Appropriate is defined as </w:t>
      </w:r>
      <w:r w:rsidR="001106EA" w:rsidRPr="001106EA">
        <w:rPr>
          <w:i/>
        </w:rPr>
        <w:t>‘contributes to an improved health outcome’</w:t>
      </w:r>
      <w:r w:rsidR="001106EA">
        <w:rPr>
          <w:i/>
        </w:rPr>
        <w:t>.</w:t>
      </w:r>
    </w:p>
    <w:p w:rsidR="00F746E4" w:rsidRPr="00102837" w:rsidRDefault="00F746E4" w:rsidP="000C2A76">
      <w:pPr>
        <w:pStyle w:val="ListParagraph"/>
        <w:numPr>
          <w:ilvl w:val="0"/>
          <w:numId w:val="23"/>
        </w:numPr>
        <w:spacing w:before="0" w:after="180" w:line="240" w:lineRule="auto"/>
        <w:ind w:left="426" w:hanging="426"/>
        <w:contextualSpacing w:val="0"/>
      </w:pPr>
      <w:r>
        <w:rPr>
          <w:b/>
        </w:rPr>
        <w:lastRenderedPageBreak/>
        <w:t xml:space="preserve">Principles and rules: </w:t>
      </w:r>
      <w:r>
        <w:t>undertake a comprehensive, person-centred care review of MBS principles and rules</w:t>
      </w:r>
      <w:r w:rsidR="009C1775">
        <w:t>.</w:t>
      </w:r>
    </w:p>
    <w:p w:rsidR="00F746E4" w:rsidRPr="00AB38D2" w:rsidRDefault="00F746E4" w:rsidP="000C2A76">
      <w:pPr>
        <w:pStyle w:val="ListParagraph"/>
        <w:numPr>
          <w:ilvl w:val="0"/>
          <w:numId w:val="23"/>
        </w:numPr>
        <w:spacing w:before="0" w:after="180" w:line="240" w:lineRule="auto"/>
        <w:ind w:left="426" w:hanging="426"/>
        <w:contextualSpacing w:val="0"/>
      </w:pPr>
      <w:r>
        <w:rPr>
          <w:b/>
        </w:rPr>
        <w:t xml:space="preserve">Informed consent and informed financial consent: </w:t>
      </w:r>
      <w:r>
        <w:t xml:space="preserve"> ensure these are explicitly described, required and audited for compliance</w:t>
      </w:r>
      <w:r w:rsidR="009C1775">
        <w:t>.</w:t>
      </w:r>
      <w:r>
        <w:rPr>
          <w:b/>
        </w:rPr>
        <w:t xml:space="preserve"> </w:t>
      </w:r>
    </w:p>
    <w:p w:rsidR="00F746E4" w:rsidRDefault="00F746E4" w:rsidP="000C2A76">
      <w:pPr>
        <w:pStyle w:val="ListParagraph"/>
        <w:numPr>
          <w:ilvl w:val="0"/>
          <w:numId w:val="23"/>
        </w:numPr>
        <w:spacing w:before="0" w:after="180" w:line="240" w:lineRule="auto"/>
        <w:ind w:left="426" w:hanging="426"/>
        <w:contextualSpacing w:val="0"/>
      </w:pPr>
      <w:r>
        <w:rPr>
          <w:b/>
        </w:rPr>
        <w:t>Patient reported outcomes measures (PROMs):</w:t>
      </w:r>
      <w:r w:rsidR="00D42896">
        <w:rPr>
          <w:b/>
        </w:rPr>
        <w:t xml:space="preserve"> </w:t>
      </w:r>
      <w:r>
        <w:t>actively seek and promote development and use of these in applications, assessments and reviews</w:t>
      </w:r>
      <w:r w:rsidR="009C1775">
        <w:t>.</w:t>
      </w:r>
    </w:p>
    <w:p w:rsidR="00F746E4" w:rsidRDefault="00F746E4" w:rsidP="000C2A76">
      <w:pPr>
        <w:pStyle w:val="ListParagraph"/>
        <w:numPr>
          <w:ilvl w:val="0"/>
          <w:numId w:val="23"/>
        </w:numPr>
        <w:spacing w:before="0" w:after="180" w:line="240" w:lineRule="auto"/>
        <w:ind w:left="426" w:hanging="426"/>
        <w:contextualSpacing w:val="0"/>
      </w:pPr>
      <w:r>
        <w:rPr>
          <w:b/>
        </w:rPr>
        <w:t xml:space="preserve">Health economics: </w:t>
      </w:r>
      <w:r>
        <w:t>include consumer costs,</w:t>
      </w:r>
      <w:r w:rsidR="00AE58F1">
        <w:t xml:space="preserve"> </w:t>
      </w:r>
      <w:r>
        <w:t>including out of pocket costs, in health economic assessments; assess health and economic benefit and cost at a system and individual level</w:t>
      </w:r>
      <w:r w:rsidR="00690743">
        <w:t xml:space="preserve">, and also longitudinally as well as episodically. </w:t>
      </w:r>
    </w:p>
    <w:p w:rsidR="00D42896" w:rsidRPr="00A21827" w:rsidRDefault="00D42896" w:rsidP="000C2A76">
      <w:pPr>
        <w:pStyle w:val="ListParagraph"/>
        <w:numPr>
          <w:ilvl w:val="0"/>
          <w:numId w:val="23"/>
        </w:numPr>
        <w:spacing w:before="0" w:after="180" w:line="240" w:lineRule="auto"/>
        <w:ind w:left="426" w:hanging="426"/>
        <w:contextualSpacing w:val="0"/>
      </w:pPr>
      <w:r>
        <w:rPr>
          <w:b/>
        </w:rPr>
        <w:t xml:space="preserve">Integrated, coordinated care: </w:t>
      </w:r>
      <w:r>
        <w:t>ensure items are not considered in isolation of the person’s holistic care and their overall use of the MBS – and the Pharmaceutical Benefits Schedule (PBS)</w:t>
      </w:r>
      <w:r w:rsidR="009C1775">
        <w:t>.</w:t>
      </w:r>
    </w:p>
    <w:p w:rsidR="001106EA" w:rsidRPr="001106EA" w:rsidRDefault="00D42896" w:rsidP="000C2A76">
      <w:pPr>
        <w:pStyle w:val="ListParagraph"/>
        <w:numPr>
          <w:ilvl w:val="0"/>
          <w:numId w:val="23"/>
        </w:numPr>
        <w:spacing w:before="0" w:after="180" w:line="240" w:lineRule="auto"/>
        <w:ind w:left="426" w:hanging="426"/>
        <w:contextualSpacing w:val="0"/>
      </w:pPr>
      <w:r>
        <w:rPr>
          <w:b/>
        </w:rPr>
        <w:t xml:space="preserve">Futures focus: </w:t>
      </w:r>
    </w:p>
    <w:p w:rsidR="00D42896" w:rsidRDefault="0011010B" w:rsidP="000C2A76">
      <w:pPr>
        <w:pStyle w:val="ListParagraph"/>
        <w:numPr>
          <w:ilvl w:val="1"/>
          <w:numId w:val="23"/>
        </w:numPr>
        <w:spacing w:before="0" w:after="180" w:line="240" w:lineRule="auto"/>
        <w:ind w:left="993" w:hanging="426"/>
        <w:contextualSpacing w:val="0"/>
      </w:pPr>
      <w:r>
        <w:t>Maintain</w:t>
      </w:r>
      <w:r w:rsidR="00D42896">
        <w:t xml:space="preserve"> a futures focus with ‘action items for the future’ a standard component of every review report</w:t>
      </w:r>
      <w:r w:rsidR="001106EA">
        <w:t>.</w:t>
      </w:r>
    </w:p>
    <w:p w:rsidR="001106EA" w:rsidRDefault="001106EA" w:rsidP="000C2A76">
      <w:pPr>
        <w:pStyle w:val="ListParagraph"/>
        <w:numPr>
          <w:ilvl w:val="1"/>
          <w:numId w:val="23"/>
        </w:numPr>
        <w:spacing w:before="0" w:after="180" w:line="240" w:lineRule="auto"/>
        <w:ind w:left="993" w:hanging="426"/>
        <w:contextualSpacing w:val="0"/>
      </w:pPr>
      <w:r>
        <w:t>Considers elements of out-of-scope (but relevant) items, unintended consequences, workforce issues, effective data collection.</w:t>
      </w:r>
    </w:p>
    <w:p w:rsidR="00D42896" w:rsidRDefault="00D42896" w:rsidP="000C2A76">
      <w:pPr>
        <w:pStyle w:val="ListParagraph"/>
        <w:numPr>
          <w:ilvl w:val="0"/>
          <w:numId w:val="23"/>
        </w:numPr>
        <w:spacing w:before="0" w:after="180" w:line="240" w:lineRule="auto"/>
        <w:ind w:left="426" w:hanging="426"/>
        <w:contextualSpacing w:val="0"/>
        <w:rPr>
          <w:b/>
        </w:rPr>
      </w:pPr>
      <w:r>
        <w:rPr>
          <w:b/>
        </w:rPr>
        <w:t xml:space="preserve">Data: </w:t>
      </w:r>
      <w:r>
        <w:t>address the consumer-related data gap through a data strategy that includes care pathways; patient reported outcome measures (PROMs); variations in access to care; people’s motivations to take action for their health; social determinants and supply and demand</w:t>
      </w:r>
      <w:r w:rsidR="00A56576">
        <w:t>.</w:t>
      </w:r>
    </w:p>
    <w:p w:rsidR="00D42896" w:rsidRPr="00102837" w:rsidRDefault="00D42896" w:rsidP="000C2A76">
      <w:pPr>
        <w:pStyle w:val="ListParagraph"/>
        <w:numPr>
          <w:ilvl w:val="0"/>
          <w:numId w:val="23"/>
        </w:numPr>
        <w:spacing w:before="0" w:after="180" w:line="240" w:lineRule="auto"/>
        <w:ind w:left="426" w:hanging="426"/>
        <w:contextualSpacing w:val="0"/>
      </w:pPr>
      <w:r w:rsidRPr="00102837">
        <w:rPr>
          <w:b/>
        </w:rPr>
        <w:t>Workforce</w:t>
      </w:r>
      <w:r>
        <w:t>: integrate considerations of, and proactive planning for, workforce issues related to MBS reform</w:t>
      </w:r>
      <w:r w:rsidR="00A56576">
        <w:t>.</w:t>
      </w:r>
    </w:p>
    <w:p w:rsidR="00D42896" w:rsidRDefault="00D42896" w:rsidP="000C2A76">
      <w:pPr>
        <w:pStyle w:val="ListParagraph"/>
        <w:numPr>
          <w:ilvl w:val="0"/>
          <w:numId w:val="23"/>
        </w:numPr>
        <w:spacing w:before="0" w:after="180" w:line="240" w:lineRule="auto"/>
        <w:ind w:left="426" w:hanging="426"/>
        <w:contextualSpacing w:val="0"/>
      </w:pPr>
      <w:r>
        <w:rPr>
          <w:b/>
        </w:rPr>
        <w:lastRenderedPageBreak/>
        <w:t>Equipment:</w:t>
      </w:r>
      <w:r w:rsidRPr="00AB38D2">
        <w:t xml:space="preserve"> </w:t>
      </w:r>
      <w:r>
        <w:t>incorporate considerations of equipment and other capital investment in the review process</w:t>
      </w:r>
      <w:r w:rsidR="00A56576">
        <w:t>.</w:t>
      </w:r>
    </w:p>
    <w:p w:rsidR="00314C32" w:rsidRDefault="00314C32" w:rsidP="000C2A76">
      <w:pPr>
        <w:pStyle w:val="ListParagraph"/>
        <w:numPr>
          <w:ilvl w:val="0"/>
          <w:numId w:val="23"/>
        </w:numPr>
        <w:spacing w:before="0" w:after="180" w:line="240" w:lineRule="auto"/>
        <w:ind w:left="426" w:hanging="426"/>
        <w:contextualSpacing w:val="0"/>
      </w:pPr>
      <w:r>
        <w:rPr>
          <w:b/>
        </w:rPr>
        <w:t>Agility:</w:t>
      </w:r>
      <w:r>
        <w:t xml:space="preserve"> </w:t>
      </w:r>
      <w:r w:rsidR="00520E3F">
        <w:t>able to adapt and adjust successfully in the face of on-going and rapid technological change in healthcare</w:t>
      </w:r>
      <w:r w:rsidR="00961DDD">
        <w:t xml:space="preserve"> ensuring inclusive consumer engagement</w:t>
      </w:r>
      <w:r w:rsidR="00567E6D">
        <w:t>.</w:t>
      </w:r>
      <w:sdt>
        <w:sdtPr>
          <w:id w:val="1135605139"/>
          <w:citation/>
        </w:sdtPr>
        <w:sdtEndPr/>
        <w:sdtContent>
          <w:r w:rsidR="00520E3F">
            <w:fldChar w:fldCharType="begin"/>
          </w:r>
          <w:r w:rsidR="008B31A3">
            <w:instrText xml:space="preserve">CITATION McK17 \l 3081 </w:instrText>
          </w:r>
          <w:r w:rsidR="00520E3F">
            <w:fldChar w:fldCharType="separate"/>
          </w:r>
          <w:r w:rsidR="008B31A3">
            <w:rPr>
              <w:noProof/>
            </w:rPr>
            <w:t xml:space="preserve"> (9)</w:t>
          </w:r>
          <w:r w:rsidR="00520E3F">
            <w:fldChar w:fldCharType="end"/>
          </w:r>
        </w:sdtContent>
      </w:sdt>
    </w:p>
    <w:p w:rsidR="001106EA" w:rsidRDefault="001106EA" w:rsidP="000C2A76">
      <w:pPr>
        <w:pStyle w:val="ListParagraph"/>
        <w:numPr>
          <w:ilvl w:val="0"/>
          <w:numId w:val="23"/>
        </w:numPr>
        <w:spacing w:before="0" w:after="180" w:line="240" w:lineRule="auto"/>
        <w:ind w:left="426" w:hanging="426"/>
        <w:contextualSpacing w:val="0"/>
      </w:pPr>
      <w:r>
        <w:rPr>
          <w:b/>
        </w:rPr>
        <w:t xml:space="preserve">Audit on recommendations: </w:t>
      </w:r>
      <w:r w:rsidRPr="001106EA">
        <w:t xml:space="preserve">including </w:t>
      </w:r>
      <w:r w:rsidR="00961DDD">
        <w:t xml:space="preserve">data, access, quality and </w:t>
      </w:r>
      <w:r w:rsidRPr="001106EA">
        <w:t>unintended consequences.</w:t>
      </w:r>
    </w:p>
    <w:p w:rsidR="00314C32" w:rsidRPr="0011010B" w:rsidRDefault="00314C32" w:rsidP="000C2A76">
      <w:pPr>
        <w:pStyle w:val="ListParagraph"/>
        <w:numPr>
          <w:ilvl w:val="0"/>
          <w:numId w:val="23"/>
        </w:numPr>
        <w:spacing w:before="0" w:after="180" w:line="240" w:lineRule="auto"/>
        <w:ind w:left="426" w:hanging="426"/>
        <w:contextualSpacing w:val="0"/>
      </w:pPr>
      <w:r>
        <w:rPr>
          <w:b/>
        </w:rPr>
        <w:t>Transparency:</w:t>
      </w:r>
      <w:r w:rsidR="00520E3F">
        <w:rPr>
          <w:b/>
        </w:rPr>
        <w:t xml:space="preserve"> </w:t>
      </w:r>
      <w:r w:rsidR="00B40FB1" w:rsidRPr="0011010B">
        <w:t>both organi</w:t>
      </w:r>
      <w:r w:rsidR="007850BE">
        <w:t>s</w:t>
      </w:r>
      <w:r w:rsidR="00B40FB1" w:rsidRPr="0011010B">
        <w:t xml:space="preserve">ational and consumer-centred transparency in </w:t>
      </w:r>
      <w:r w:rsidR="00B40FB1">
        <w:t>treatment options, out-of-pocket costs, potential risks and realistic outcomes</w:t>
      </w:r>
      <w:r w:rsidR="00567E6D">
        <w:t>.</w:t>
      </w:r>
      <w:sdt>
        <w:sdtPr>
          <w:id w:val="-812482736"/>
          <w:citation/>
        </w:sdtPr>
        <w:sdtEndPr/>
        <w:sdtContent>
          <w:r w:rsidR="00B40FB1">
            <w:fldChar w:fldCharType="begin"/>
          </w:r>
          <w:r w:rsidR="008B31A3">
            <w:instrText xml:space="preserve">CITATION Gar18 \l 3081 </w:instrText>
          </w:r>
          <w:r w:rsidR="00B40FB1">
            <w:fldChar w:fldCharType="separate"/>
          </w:r>
          <w:r w:rsidR="008B31A3">
            <w:rPr>
              <w:noProof/>
            </w:rPr>
            <w:t xml:space="preserve"> (10)</w:t>
          </w:r>
          <w:r w:rsidR="00B40FB1">
            <w:fldChar w:fldCharType="end"/>
          </w:r>
        </w:sdtContent>
      </w:sdt>
    </w:p>
    <w:p w:rsidR="00314C32" w:rsidRPr="00961DDD" w:rsidRDefault="00314C32" w:rsidP="000C2A76">
      <w:pPr>
        <w:pStyle w:val="ListParagraph"/>
        <w:numPr>
          <w:ilvl w:val="0"/>
          <w:numId w:val="23"/>
        </w:numPr>
        <w:spacing w:before="0" w:after="180" w:line="240" w:lineRule="auto"/>
        <w:ind w:left="426" w:hanging="426"/>
        <w:contextualSpacing w:val="0"/>
      </w:pPr>
      <w:r>
        <w:rPr>
          <w:b/>
        </w:rPr>
        <w:t xml:space="preserve">Structural Links between Health Systems: </w:t>
      </w:r>
      <w:r w:rsidR="00567E6D">
        <w:t>creation of public policy that reflects</w:t>
      </w:r>
      <w:r w:rsidR="00A56576">
        <w:t xml:space="preserve"> stronger and better relationships </w:t>
      </w:r>
      <w:r w:rsidR="00567E6D">
        <w:t>between the various health-care delivery systems.</w:t>
      </w:r>
    </w:p>
    <w:p w:rsidR="00F746E4" w:rsidRPr="000830F6" w:rsidRDefault="0069036A" w:rsidP="00E84448">
      <w:pPr>
        <w:pStyle w:val="Heading2"/>
        <w:numPr>
          <w:ilvl w:val="0"/>
          <w:numId w:val="0"/>
        </w:numPr>
        <w:rPr>
          <w:rFonts w:cstheme="minorHAnsi"/>
          <w:bCs w:val="0"/>
          <w:iCs w:val="0"/>
          <w:sz w:val="32"/>
          <w:lang w:val="en-AU" w:eastAsia="en-AU"/>
        </w:rPr>
      </w:pPr>
      <w:bookmarkStart w:id="52" w:name="_Toc33103203"/>
      <w:r w:rsidRPr="000830F6">
        <w:rPr>
          <w:rFonts w:cstheme="minorHAnsi"/>
          <w:bCs w:val="0"/>
          <w:iCs w:val="0"/>
          <w:sz w:val="32"/>
          <w:lang w:val="en-AU" w:eastAsia="en-AU"/>
        </w:rPr>
        <w:t>RECOMMENDATION 4</w:t>
      </w:r>
      <w:r w:rsidR="00F746E4" w:rsidRPr="000830F6">
        <w:rPr>
          <w:rFonts w:cstheme="minorHAnsi"/>
          <w:bCs w:val="0"/>
          <w:iCs w:val="0"/>
          <w:sz w:val="32"/>
          <w:lang w:val="en-AU" w:eastAsia="en-AU"/>
        </w:rPr>
        <w:t>: PARTNERSHIP</w:t>
      </w:r>
      <w:bookmarkEnd w:id="52"/>
    </w:p>
    <w:p w:rsidR="00F746E4" w:rsidRPr="00CF71F3" w:rsidRDefault="00F746E4" w:rsidP="00791FE1">
      <w:pPr>
        <w:spacing w:before="0" w:after="180" w:line="240" w:lineRule="auto"/>
        <w:rPr>
          <w:b/>
          <w:color w:val="01653F"/>
        </w:rPr>
      </w:pPr>
      <w:r w:rsidRPr="00CF71F3">
        <w:rPr>
          <w:b/>
          <w:color w:val="01653F"/>
        </w:rPr>
        <w:t>A genuine, evidence-informed partnership between consumers, clinicians, researchers and policy-makers drives an ongoing MBS cycle of review</w:t>
      </w:r>
      <w:r w:rsidR="003849BF">
        <w:rPr>
          <w:b/>
          <w:color w:val="01653F"/>
        </w:rPr>
        <w:t>.</w:t>
      </w:r>
    </w:p>
    <w:p w:rsidR="00F746E4" w:rsidRDefault="00F746E4" w:rsidP="00791FE1">
      <w:pPr>
        <w:spacing w:before="0" w:after="180" w:line="240" w:lineRule="auto"/>
      </w:pPr>
      <w:r>
        <w:t>Considerations to achieve this include:</w:t>
      </w:r>
    </w:p>
    <w:p w:rsidR="00F746E4" w:rsidRPr="00AB38D2" w:rsidRDefault="00F746E4" w:rsidP="000C2A76">
      <w:pPr>
        <w:pStyle w:val="ListParagraph"/>
        <w:numPr>
          <w:ilvl w:val="3"/>
          <w:numId w:val="28"/>
        </w:numPr>
        <w:spacing w:before="0" w:after="180" w:line="240" w:lineRule="auto"/>
        <w:ind w:left="426" w:hanging="426"/>
        <w:contextualSpacing w:val="0"/>
      </w:pPr>
      <w:r w:rsidRPr="00D61268">
        <w:rPr>
          <w:b/>
        </w:rPr>
        <w:t xml:space="preserve">Consumer </w:t>
      </w:r>
      <w:r w:rsidR="0087745C">
        <w:rPr>
          <w:b/>
        </w:rPr>
        <w:t>S</w:t>
      </w:r>
      <w:r w:rsidRPr="00D61268">
        <w:rPr>
          <w:b/>
        </w:rPr>
        <w:t xml:space="preserve">ecretariat: </w:t>
      </w:r>
      <w:r>
        <w:t xml:space="preserve"> establish and resource a </w:t>
      </w:r>
      <w:r w:rsidR="00F30BE8">
        <w:t>C</w:t>
      </w:r>
      <w:r>
        <w:t xml:space="preserve">onsumer </w:t>
      </w:r>
      <w:r w:rsidR="00F30BE8">
        <w:t>S</w:t>
      </w:r>
      <w:r>
        <w:t>ecretariat whose role is specifically to support consumer engagement in MBS reform</w:t>
      </w:r>
      <w:r w:rsidR="00567E6D">
        <w:t>.</w:t>
      </w:r>
    </w:p>
    <w:p w:rsidR="00D42896" w:rsidRDefault="00D42896" w:rsidP="000C2A76">
      <w:pPr>
        <w:pStyle w:val="ListParagraph"/>
        <w:numPr>
          <w:ilvl w:val="3"/>
          <w:numId w:val="28"/>
        </w:numPr>
        <w:spacing w:before="0" w:after="180" w:line="240" w:lineRule="auto"/>
        <w:ind w:left="426" w:hanging="426"/>
        <w:contextualSpacing w:val="0"/>
      </w:pPr>
      <w:r w:rsidRPr="008664F8">
        <w:rPr>
          <w:b/>
        </w:rPr>
        <w:t>Consumer engagement</w:t>
      </w:r>
      <w:r>
        <w:t>: work with the Health Technology Assessment Consumer Consultative Committee to develop a systemic model of consumer engagement that includes communication with and</w:t>
      </w:r>
      <w:r w:rsidR="0011010B">
        <w:t xml:space="preserve"> feedback from targeted patient</w:t>
      </w:r>
      <w:r>
        <w:t>, consumer and community groups and the general public</w:t>
      </w:r>
      <w:r w:rsidR="00567E6D">
        <w:t>.</w:t>
      </w:r>
    </w:p>
    <w:p w:rsidR="00D42896" w:rsidRDefault="00D42896" w:rsidP="000C2A76">
      <w:pPr>
        <w:pStyle w:val="ListParagraph"/>
        <w:numPr>
          <w:ilvl w:val="3"/>
          <w:numId w:val="28"/>
        </w:numPr>
        <w:spacing w:before="0" w:after="180" w:line="240" w:lineRule="auto"/>
        <w:ind w:left="426" w:hanging="426"/>
        <w:contextualSpacing w:val="0"/>
      </w:pPr>
      <w:r w:rsidRPr="008664F8">
        <w:rPr>
          <w:b/>
        </w:rPr>
        <w:t>Capacity building</w:t>
      </w:r>
      <w:r>
        <w:t xml:space="preserve">: work with the Health Technology Assessment Consumer Consultative Committee to develop sustainable systems for public communications (including </w:t>
      </w:r>
      <w:r>
        <w:lastRenderedPageBreak/>
        <w:t xml:space="preserve">plain language public summary documents) and education sessions and tools for patient, consumer and community groups who have an interest in the MBS. </w:t>
      </w:r>
    </w:p>
    <w:p w:rsidR="00D42896" w:rsidRPr="00F422F6" w:rsidRDefault="00D42896" w:rsidP="000C2A76">
      <w:pPr>
        <w:pStyle w:val="ListParagraph"/>
        <w:numPr>
          <w:ilvl w:val="3"/>
          <w:numId w:val="28"/>
        </w:numPr>
        <w:spacing w:before="0" w:after="180" w:line="240" w:lineRule="auto"/>
        <w:ind w:left="426" w:hanging="426"/>
        <w:contextualSpacing w:val="0"/>
      </w:pPr>
      <w:r>
        <w:rPr>
          <w:b/>
        </w:rPr>
        <w:t>Health literacy</w:t>
      </w:r>
      <w:r w:rsidRPr="00102837">
        <w:t>:</w:t>
      </w:r>
      <w:r>
        <w:rPr>
          <w:b/>
        </w:rPr>
        <w:t xml:space="preserve"> </w:t>
      </w:r>
      <w:r>
        <w:t xml:space="preserve">co-design tools for consumers and clinicians to support consumer health literacy in relation to consultations, tests and procedures. Include co-design shared decision-making/decision-support tools and processes and quality, accessible information, linking with </w:t>
      </w:r>
      <w:r w:rsidR="00AE58F1">
        <w:t>H</w:t>
      </w:r>
      <w:r>
        <w:t>ealthdirect as relevant</w:t>
      </w:r>
      <w:r w:rsidR="00567E6D">
        <w:t>.</w:t>
      </w:r>
    </w:p>
    <w:p w:rsidR="004859CE" w:rsidRPr="00D42896" w:rsidRDefault="004859CE" w:rsidP="000C2A76">
      <w:pPr>
        <w:pStyle w:val="ListParagraph"/>
        <w:numPr>
          <w:ilvl w:val="3"/>
          <w:numId w:val="28"/>
        </w:numPr>
        <w:spacing w:before="0" w:after="180" w:line="240" w:lineRule="auto"/>
        <w:ind w:left="426" w:hanging="426"/>
        <w:contextualSpacing w:val="0"/>
        <w:rPr>
          <w:b/>
          <w:sz w:val="28"/>
          <w:szCs w:val="28"/>
        </w:rPr>
      </w:pPr>
      <w:r w:rsidRPr="00D42896">
        <w:rPr>
          <w:b/>
        </w:rPr>
        <w:t>Practitioner audits:</w:t>
      </w:r>
      <w:r>
        <w:t xml:space="preserve"> co-design compliance priorities, processes and reporting and </w:t>
      </w:r>
      <w:r w:rsidR="00D42896">
        <w:t>‘peer’ supervision’ instruments</w:t>
      </w:r>
      <w:r w:rsidR="00567E6D">
        <w:t>.</w:t>
      </w:r>
    </w:p>
    <w:p w:rsidR="00D42896" w:rsidRPr="00AB38D2" w:rsidRDefault="00D42896" w:rsidP="000C2A76">
      <w:pPr>
        <w:pStyle w:val="ListParagraph"/>
        <w:numPr>
          <w:ilvl w:val="3"/>
          <w:numId w:val="28"/>
        </w:numPr>
        <w:spacing w:before="0" w:after="180" w:line="240" w:lineRule="auto"/>
        <w:ind w:left="426" w:hanging="426"/>
        <w:contextualSpacing w:val="0"/>
        <w:rPr>
          <w:b/>
        </w:rPr>
      </w:pPr>
      <w:r w:rsidRPr="00A21827">
        <w:rPr>
          <w:b/>
        </w:rPr>
        <w:t>Safety and quality</w:t>
      </w:r>
      <w:r w:rsidRPr="00A21827">
        <w:t xml:space="preserve">: coordinate schedules of work with the Australian Commission on Safety and Quality in Health Care, including development of clinical standards, </w:t>
      </w:r>
      <w:r w:rsidR="001F1895">
        <w:t>p</w:t>
      </w:r>
      <w:r w:rsidRPr="00A21827">
        <w:t xml:space="preserve">artnering with </w:t>
      </w:r>
      <w:r w:rsidR="001F1895">
        <w:t>c</w:t>
      </w:r>
      <w:r w:rsidRPr="00A21827">
        <w:t>onsumers</w:t>
      </w:r>
      <w:r>
        <w:t xml:space="preserve"> and patient reported outcomes (PROMs)</w:t>
      </w:r>
      <w:r w:rsidR="00567E6D">
        <w:t>.</w:t>
      </w:r>
      <w:r>
        <w:t xml:space="preserve"> </w:t>
      </w:r>
    </w:p>
    <w:p w:rsidR="00D42896" w:rsidRPr="00F422F6" w:rsidRDefault="00D42896" w:rsidP="000C2A76">
      <w:pPr>
        <w:pStyle w:val="ListParagraph"/>
        <w:numPr>
          <w:ilvl w:val="3"/>
          <w:numId w:val="28"/>
        </w:numPr>
        <w:spacing w:before="0" w:after="180" w:line="240" w:lineRule="auto"/>
        <w:ind w:left="426" w:hanging="426"/>
        <w:contextualSpacing w:val="0"/>
      </w:pPr>
      <w:r w:rsidRPr="00102837">
        <w:rPr>
          <w:b/>
        </w:rPr>
        <w:t>Clinical registries</w:t>
      </w:r>
      <w:r>
        <w:t>: develop a coordinated approach to the establishment, quality assurance and use of clinical registries including the use of patient reported outcomes</w:t>
      </w:r>
      <w:r w:rsidR="00567E6D">
        <w:t>.</w:t>
      </w:r>
    </w:p>
    <w:p w:rsidR="004859CE" w:rsidRDefault="004859CE" w:rsidP="000C2A76">
      <w:pPr>
        <w:pStyle w:val="ListParagraph"/>
        <w:numPr>
          <w:ilvl w:val="3"/>
          <w:numId w:val="28"/>
        </w:numPr>
        <w:spacing w:before="0" w:after="180" w:line="240" w:lineRule="auto"/>
        <w:ind w:left="426" w:hanging="426"/>
        <w:contextualSpacing w:val="0"/>
      </w:pPr>
      <w:r w:rsidRPr="00102837">
        <w:rPr>
          <w:b/>
        </w:rPr>
        <w:t>Quality assurance processes</w:t>
      </w:r>
      <w:r>
        <w:t xml:space="preserve"> - integrate these and include:</w:t>
      </w:r>
    </w:p>
    <w:p w:rsidR="004859CE" w:rsidRDefault="00987051" w:rsidP="000C2A76">
      <w:pPr>
        <w:pStyle w:val="ListParagraph"/>
        <w:numPr>
          <w:ilvl w:val="1"/>
          <w:numId w:val="23"/>
        </w:numPr>
        <w:spacing w:before="0" w:after="180" w:line="240" w:lineRule="auto"/>
        <w:ind w:left="1134" w:hanging="425"/>
        <w:contextualSpacing w:val="0"/>
      </w:pPr>
      <w:r>
        <w:t>C</w:t>
      </w:r>
      <w:r w:rsidR="004859CE">
        <w:t>o-designed standards, guidelines and professional and service accreditation</w:t>
      </w:r>
      <w:r w:rsidR="009C1775">
        <w:t>.</w:t>
      </w:r>
    </w:p>
    <w:p w:rsidR="004859CE" w:rsidRDefault="004859CE" w:rsidP="000C2A76">
      <w:pPr>
        <w:pStyle w:val="ListParagraph"/>
        <w:numPr>
          <w:ilvl w:val="1"/>
          <w:numId w:val="23"/>
        </w:numPr>
        <w:spacing w:before="0" w:after="180" w:line="240" w:lineRule="auto"/>
        <w:ind w:left="1134" w:hanging="425"/>
        <w:contextualSpacing w:val="0"/>
      </w:pPr>
      <w:r>
        <w:t>Review cycles including reports of predicted and actuals</w:t>
      </w:r>
      <w:r w:rsidR="009C1775">
        <w:t>.</w:t>
      </w:r>
      <w:r>
        <w:t xml:space="preserve"> </w:t>
      </w:r>
    </w:p>
    <w:p w:rsidR="00987051" w:rsidRDefault="004859CE" w:rsidP="000C2A76">
      <w:pPr>
        <w:pStyle w:val="ListParagraph"/>
        <w:numPr>
          <w:ilvl w:val="3"/>
          <w:numId w:val="28"/>
        </w:numPr>
        <w:spacing w:before="0" w:after="180" w:line="240" w:lineRule="auto"/>
        <w:ind w:left="426" w:hanging="426"/>
        <w:contextualSpacing w:val="0"/>
      </w:pPr>
      <w:r w:rsidRPr="00987051">
        <w:rPr>
          <w:b/>
        </w:rPr>
        <w:t>New and developing knowledge</w:t>
      </w:r>
      <w:r>
        <w:t>: build on the findings of the Taskforce</w:t>
      </w:r>
      <w:r w:rsidR="00567E6D">
        <w:t>.</w:t>
      </w:r>
      <w:r>
        <w:t xml:space="preserve"> </w:t>
      </w:r>
    </w:p>
    <w:p w:rsidR="000C2A76" w:rsidRDefault="004859CE" w:rsidP="0087745C">
      <w:pPr>
        <w:pStyle w:val="ListParagraph"/>
        <w:numPr>
          <w:ilvl w:val="3"/>
          <w:numId w:val="28"/>
        </w:numPr>
        <w:spacing w:before="0" w:after="180" w:line="240" w:lineRule="auto"/>
        <w:ind w:left="426" w:hanging="426"/>
        <w:contextualSpacing w:val="0"/>
      </w:pPr>
      <w:r w:rsidRPr="004C654B">
        <w:rPr>
          <w:b/>
        </w:rPr>
        <w:t xml:space="preserve">Research: </w:t>
      </w:r>
      <w:r w:rsidRPr="00AB38D2">
        <w:t>establish a research</w:t>
      </w:r>
      <w:r>
        <w:t xml:space="preserve"> agenda and partnerships with a focus on how person-centred care, including genuine informed consent, can drive individual and systemic value in </w:t>
      </w:r>
      <w:r w:rsidRPr="00A21827">
        <w:t>health care</w:t>
      </w:r>
      <w:r w:rsidR="00987051">
        <w:t>.</w:t>
      </w:r>
      <w:bookmarkEnd w:id="48"/>
    </w:p>
    <w:p w:rsidR="000C2A76" w:rsidRDefault="000C2A76">
      <w:pPr>
        <w:spacing w:before="0" w:after="0" w:line="240" w:lineRule="auto"/>
      </w:pPr>
      <w:r>
        <w:br w:type="page"/>
      </w:r>
    </w:p>
    <w:p w:rsidR="005D06EC" w:rsidRPr="000830F6" w:rsidRDefault="0071786E" w:rsidP="00D753B2">
      <w:pPr>
        <w:pStyle w:val="Heading1"/>
        <w:spacing w:before="0" w:after="180" w:line="240" w:lineRule="auto"/>
        <w:rPr>
          <w:rFonts w:eastAsiaTheme="minorHAnsi"/>
        </w:rPr>
      </w:pPr>
      <w:bookmarkStart w:id="53" w:name="_Toc33103204"/>
      <w:r w:rsidRPr="000830F6">
        <w:rPr>
          <w:rFonts w:eastAsiaTheme="minorHAnsi"/>
        </w:rPr>
        <w:lastRenderedPageBreak/>
        <w:t>Lessons Learnt</w:t>
      </w:r>
      <w:bookmarkEnd w:id="53"/>
    </w:p>
    <w:p w:rsidR="0071786E" w:rsidRDefault="0071786E" w:rsidP="000830F6">
      <w:pPr>
        <w:spacing w:before="120" w:after="120" w:line="240" w:lineRule="auto"/>
        <w:rPr>
          <w:rFonts w:eastAsiaTheme="minorHAnsi"/>
          <w:lang w:eastAsia="en-US"/>
        </w:rPr>
      </w:pPr>
      <w:r>
        <w:rPr>
          <w:rFonts w:eastAsiaTheme="minorHAnsi"/>
          <w:lang w:eastAsia="en-US"/>
        </w:rPr>
        <w:t>During the proces</w:t>
      </w:r>
      <w:r w:rsidR="00CC6591">
        <w:rPr>
          <w:rFonts w:eastAsiaTheme="minorHAnsi"/>
          <w:lang w:eastAsia="en-US"/>
        </w:rPr>
        <w:t>s of the MBS Review the</w:t>
      </w:r>
      <w:r>
        <w:rPr>
          <w:rFonts w:eastAsiaTheme="minorHAnsi"/>
          <w:lang w:eastAsia="en-US"/>
        </w:rPr>
        <w:t xml:space="preserve"> Panel has identified a number of lessons learnt which should be incorporated into an ongoing review mechanism or any future HTA processes. These are listed below:</w:t>
      </w:r>
    </w:p>
    <w:p w:rsidR="0071786E" w:rsidRPr="000C2A76" w:rsidRDefault="0071786E" w:rsidP="000C2A76">
      <w:pPr>
        <w:pStyle w:val="PlainText"/>
        <w:numPr>
          <w:ilvl w:val="0"/>
          <w:numId w:val="43"/>
        </w:numPr>
        <w:spacing w:after="180"/>
        <w:ind w:right="-188"/>
        <w:rPr>
          <w:szCs w:val="22"/>
        </w:rPr>
      </w:pPr>
      <w:r w:rsidRPr="000C2A76">
        <w:rPr>
          <w:szCs w:val="22"/>
        </w:rPr>
        <w:t>Consumer</w:t>
      </w:r>
      <w:r w:rsidR="00F545A0">
        <w:rPr>
          <w:szCs w:val="22"/>
        </w:rPr>
        <w:t>-</w:t>
      </w:r>
      <w:r w:rsidRPr="000C2A76">
        <w:rPr>
          <w:szCs w:val="22"/>
        </w:rPr>
        <w:t xml:space="preserve">related data should be provided as part of the standard data packs to </w:t>
      </w:r>
      <w:r w:rsidR="001F1895">
        <w:rPr>
          <w:szCs w:val="22"/>
        </w:rPr>
        <w:t>c</w:t>
      </w:r>
      <w:r w:rsidR="00FA2A1B" w:rsidRPr="000C2A76">
        <w:rPr>
          <w:szCs w:val="22"/>
        </w:rPr>
        <w:t xml:space="preserve">ommittees </w:t>
      </w:r>
      <w:r w:rsidRPr="000C2A76">
        <w:rPr>
          <w:szCs w:val="22"/>
        </w:rPr>
        <w:t xml:space="preserve">to address elements on the consumer principles. </w:t>
      </w:r>
    </w:p>
    <w:p w:rsidR="0071786E" w:rsidRPr="000C2A76" w:rsidRDefault="0071786E" w:rsidP="000C2A76">
      <w:pPr>
        <w:pStyle w:val="PlainText"/>
        <w:numPr>
          <w:ilvl w:val="0"/>
          <w:numId w:val="43"/>
        </w:numPr>
        <w:spacing w:after="180"/>
        <w:ind w:right="-188"/>
        <w:rPr>
          <w:szCs w:val="22"/>
        </w:rPr>
      </w:pPr>
      <w:r w:rsidRPr="000C2A76">
        <w:rPr>
          <w:szCs w:val="22"/>
        </w:rPr>
        <w:t xml:space="preserve">Consumers who are to work on culturally sensitive </w:t>
      </w:r>
      <w:r w:rsidR="00E74DE3">
        <w:rPr>
          <w:szCs w:val="22"/>
        </w:rPr>
        <w:t>c</w:t>
      </w:r>
      <w:r w:rsidR="00FA2A1B" w:rsidRPr="000C2A76">
        <w:rPr>
          <w:szCs w:val="22"/>
        </w:rPr>
        <w:t xml:space="preserve">ommittees </w:t>
      </w:r>
      <w:r w:rsidRPr="000C2A76">
        <w:rPr>
          <w:szCs w:val="22"/>
        </w:rPr>
        <w:t xml:space="preserve">should receive cultural competency training as a minimal to support them in their role. Other key training should be encouraged where the </w:t>
      </w:r>
      <w:r w:rsidR="00E74DE3">
        <w:rPr>
          <w:szCs w:val="22"/>
        </w:rPr>
        <w:t>c</w:t>
      </w:r>
      <w:r w:rsidR="00F545A0" w:rsidRPr="000C2A76">
        <w:rPr>
          <w:szCs w:val="22"/>
        </w:rPr>
        <w:t xml:space="preserve">onsumers </w:t>
      </w:r>
      <w:r w:rsidRPr="000C2A76">
        <w:rPr>
          <w:szCs w:val="22"/>
        </w:rPr>
        <w:t>feel they lack the expertise for the specific function</w:t>
      </w:r>
      <w:r w:rsidR="001A4AE7" w:rsidRPr="000C2A76">
        <w:rPr>
          <w:szCs w:val="22"/>
        </w:rPr>
        <w:t xml:space="preserve"> (especially if a </w:t>
      </w:r>
      <w:r w:rsidR="00E74DE3">
        <w:rPr>
          <w:szCs w:val="22"/>
        </w:rPr>
        <w:t>c</w:t>
      </w:r>
      <w:r w:rsidR="00F545A0" w:rsidRPr="000C2A76">
        <w:rPr>
          <w:szCs w:val="22"/>
        </w:rPr>
        <w:t xml:space="preserve">onsumer </w:t>
      </w:r>
      <w:r w:rsidR="001A4AE7" w:rsidRPr="000C2A76">
        <w:rPr>
          <w:szCs w:val="22"/>
        </w:rPr>
        <w:t>with subject matter expertise cannot be appointed)</w:t>
      </w:r>
      <w:r w:rsidRPr="000C2A76">
        <w:rPr>
          <w:szCs w:val="22"/>
        </w:rPr>
        <w:t>.</w:t>
      </w:r>
    </w:p>
    <w:p w:rsidR="00E76833" w:rsidRPr="000C2A76" w:rsidRDefault="00E76833" w:rsidP="000C2A76">
      <w:pPr>
        <w:pStyle w:val="PlainText"/>
        <w:numPr>
          <w:ilvl w:val="0"/>
          <w:numId w:val="43"/>
        </w:numPr>
        <w:spacing w:after="180"/>
        <w:ind w:right="-188"/>
        <w:rPr>
          <w:szCs w:val="22"/>
        </w:rPr>
      </w:pPr>
      <w:r w:rsidRPr="000C2A76">
        <w:rPr>
          <w:szCs w:val="22"/>
        </w:rPr>
        <w:t xml:space="preserve">Ensure </w:t>
      </w:r>
      <w:r w:rsidR="000D6EAC" w:rsidRPr="000C2A76">
        <w:rPr>
          <w:szCs w:val="22"/>
        </w:rPr>
        <w:t>there is “</w:t>
      </w:r>
      <w:r w:rsidRPr="000C2A76">
        <w:rPr>
          <w:szCs w:val="22"/>
        </w:rPr>
        <w:t>first-hand</w:t>
      </w:r>
      <w:r w:rsidR="000D6EAC" w:rsidRPr="000C2A76">
        <w:rPr>
          <w:szCs w:val="22"/>
        </w:rPr>
        <w:t>”</w:t>
      </w:r>
      <w:r w:rsidRPr="000C2A76">
        <w:rPr>
          <w:szCs w:val="22"/>
        </w:rPr>
        <w:t xml:space="preserve"> consumer representation from the rural and</w:t>
      </w:r>
      <w:r w:rsidR="0011010B" w:rsidRPr="000C2A76">
        <w:rPr>
          <w:szCs w:val="22"/>
        </w:rPr>
        <w:t xml:space="preserve"> remote and indigenous sectors.</w:t>
      </w:r>
    </w:p>
    <w:p w:rsidR="001A4AE7" w:rsidRPr="000C2A76" w:rsidRDefault="001A4AE7" w:rsidP="000C2A76">
      <w:pPr>
        <w:pStyle w:val="PlainText"/>
        <w:numPr>
          <w:ilvl w:val="0"/>
          <w:numId w:val="43"/>
        </w:numPr>
        <w:spacing w:after="180"/>
        <w:ind w:right="-188"/>
        <w:rPr>
          <w:szCs w:val="22"/>
        </w:rPr>
      </w:pPr>
      <w:r w:rsidRPr="000C2A76">
        <w:rPr>
          <w:szCs w:val="22"/>
        </w:rPr>
        <w:t xml:space="preserve">Consumers would benefit from a formal, specifically designed, training process prior to their appointments to Committees. </w:t>
      </w:r>
    </w:p>
    <w:p w:rsidR="00E76833" w:rsidRPr="000C2A76" w:rsidRDefault="00E76833" w:rsidP="000C2A76">
      <w:pPr>
        <w:pStyle w:val="PlainText"/>
        <w:numPr>
          <w:ilvl w:val="0"/>
          <w:numId w:val="43"/>
        </w:numPr>
        <w:spacing w:after="180"/>
        <w:ind w:right="-188"/>
        <w:rPr>
          <w:szCs w:val="22"/>
        </w:rPr>
      </w:pPr>
      <w:r w:rsidRPr="000C2A76">
        <w:rPr>
          <w:szCs w:val="22"/>
        </w:rPr>
        <w:t>A need to engage consumers (and clinicians) from all age demographics in future reviews to capture the whole “consumer experience”</w:t>
      </w:r>
      <w:r w:rsidR="009C1775" w:rsidRPr="000C2A76">
        <w:rPr>
          <w:szCs w:val="22"/>
        </w:rPr>
        <w:t>.</w:t>
      </w:r>
    </w:p>
    <w:p w:rsidR="00676B29" w:rsidRDefault="000D6EAC" w:rsidP="000C2A76">
      <w:pPr>
        <w:pStyle w:val="PlainText"/>
        <w:numPr>
          <w:ilvl w:val="0"/>
          <w:numId w:val="43"/>
        </w:numPr>
        <w:spacing w:after="180"/>
        <w:ind w:right="-188"/>
        <w:rPr>
          <w:szCs w:val="22"/>
        </w:rPr>
      </w:pPr>
      <w:r w:rsidRPr="000C2A76">
        <w:rPr>
          <w:szCs w:val="22"/>
        </w:rPr>
        <w:t>Engagement with stakeholder</w:t>
      </w:r>
      <w:r w:rsidR="0011010B" w:rsidRPr="000C2A76">
        <w:rPr>
          <w:szCs w:val="22"/>
        </w:rPr>
        <w:t>s at the onset of any</w:t>
      </w:r>
      <w:r w:rsidRPr="000C2A76">
        <w:rPr>
          <w:szCs w:val="22"/>
        </w:rPr>
        <w:t xml:space="preserve"> Review to ensure </w:t>
      </w:r>
      <w:r w:rsidR="00520B4F" w:rsidRPr="000C2A76">
        <w:rPr>
          <w:szCs w:val="22"/>
        </w:rPr>
        <w:t xml:space="preserve">a </w:t>
      </w:r>
      <w:r w:rsidR="0011010B" w:rsidRPr="000C2A76">
        <w:rPr>
          <w:szCs w:val="22"/>
        </w:rPr>
        <w:t>holistic</w:t>
      </w:r>
      <w:r w:rsidR="00520B4F" w:rsidRPr="000C2A76">
        <w:rPr>
          <w:szCs w:val="22"/>
        </w:rPr>
        <w:t xml:space="preserve"> approach to the consumer experience is considered</w:t>
      </w:r>
      <w:r w:rsidR="009C1775" w:rsidRPr="000C2A76">
        <w:rPr>
          <w:szCs w:val="22"/>
        </w:rPr>
        <w:t>.</w:t>
      </w:r>
    </w:p>
    <w:p w:rsidR="00676B29" w:rsidRDefault="00676B29">
      <w:pPr>
        <w:spacing w:before="0" w:after="0" w:line="240" w:lineRule="auto"/>
        <w:rPr>
          <w:rFonts w:ascii="Calibri" w:hAnsi="Calibri"/>
          <w:szCs w:val="22"/>
          <w:lang w:eastAsia="en-US"/>
        </w:rPr>
      </w:pPr>
      <w:r>
        <w:rPr>
          <w:szCs w:val="22"/>
        </w:rPr>
        <w:br w:type="page"/>
      </w:r>
    </w:p>
    <w:p w:rsidR="000B1F67" w:rsidRDefault="00F7165B" w:rsidP="000C2A76">
      <w:pPr>
        <w:pStyle w:val="Heading1"/>
        <w:spacing w:before="360" w:after="180" w:line="240" w:lineRule="auto"/>
        <w:ind w:left="431" w:hanging="431"/>
      </w:pPr>
      <w:bookmarkStart w:id="54" w:name="_Toc33103205"/>
      <w:r w:rsidRPr="00F7165B">
        <w:lastRenderedPageBreak/>
        <w:t>Summary</w:t>
      </w:r>
      <w:bookmarkEnd w:id="54"/>
    </w:p>
    <w:p w:rsidR="000B1F67" w:rsidRDefault="000B1F67" w:rsidP="00791FE1">
      <w:pPr>
        <w:spacing w:before="0" w:after="180" w:line="240" w:lineRule="auto"/>
        <w:rPr>
          <w:lang w:eastAsia="en-US"/>
        </w:rPr>
      </w:pPr>
      <w:r>
        <w:rPr>
          <w:lang w:eastAsia="en-US"/>
        </w:rPr>
        <w:t xml:space="preserve">Overall the Panel is of the opinion that there was genuine consumer involvement in the Review which was considered positive, effective, and influenced outcomes both on an individual </w:t>
      </w:r>
      <w:r w:rsidR="00E74DE3">
        <w:rPr>
          <w:lang w:eastAsia="en-US"/>
        </w:rPr>
        <w:t>c</w:t>
      </w:r>
      <w:r w:rsidR="00FA2A1B">
        <w:rPr>
          <w:lang w:eastAsia="en-US"/>
        </w:rPr>
        <w:t xml:space="preserve">linical </w:t>
      </w:r>
      <w:r w:rsidR="00E74DE3">
        <w:rPr>
          <w:lang w:eastAsia="en-US"/>
        </w:rPr>
        <w:t>c</w:t>
      </w:r>
      <w:r w:rsidR="00FA2A1B">
        <w:rPr>
          <w:lang w:eastAsia="en-US"/>
        </w:rPr>
        <w:t xml:space="preserve">ommittee </w:t>
      </w:r>
      <w:r>
        <w:rPr>
          <w:lang w:eastAsia="en-US"/>
        </w:rPr>
        <w:t xml:space="preserve">level, and for the Taskforce overall. </w:t>
      </w:r>
    </w:p>
    <w:p w:rsidR="000B1F67" w:rsidRDefault="000B1F67" w:rsidP="00791FE1">
      <w:pPr>
        <w:spacing w:before="0" w:after="180" w:line="240" w:lineRule="auto"/>
        <w:rPr>
          <w:lang w:eastAsia="en-US"/>
        </w:rPr>
      </w:pPr>
      <w:r>
        <w:rPr>
          <w:lang w:eastAsia="en-US"/>
        </w:rPr>
        <w:t xml:space="preserve">Consumer involvement was noted to have changed the tone of </w:t>
      </w:r>
      <w:r w:rsidR="00E74DE3">
        <w:rPr>
          <w:lang w:eastAsia="en-US"/>
        </w:rPr>
        <w:t>c</w:t>
      </w:r>
      <w:r w:rsidR="00FA2A1B">
        <w:rPr>
          <w:lang w:eastAsia="en-US"/>
        </w:rPr>
        <w:t xml:space="preserve">linical </w:t>
      </w:r>
      <w:r w:rsidR="00E74DE3">
        <w:rPr>
          <w:lang w:eastAsia="en-US"/>
        </w:rPr>
        <w:t>c</w:t>
      </w:r>
      <w:r w:rsidR="00FA2A1B">
        <w:rPr>
          <w:lang w:eastAsia="en-US"/>
        </w:rPr>
        <w:t xml:space="preserve">ommittee </w:t>
      </w:r>
      <w:r>
        <w:rPr>
          <w:lang w:eastAsia="en-US"/>
        </w:rPr>
        <w:t xml:space="preserve">discussions for the positive, changed the culture of how the task of reviewing clinical items was approached and improved the overall credibility of the </w:t>
      </w:r>
      <w:r w:rsidR="000C2A76">
        <w:rPr>
          <w:lang w:eastAsia="en-US"/>
        </w:rPr>
        <w:t xml:space="preserve">MBS </w:t>
      </w:r>
      <w:r>
        <w:rPr>
          <w:lang w:eastAsia="en-US"/>
        </w:rPr>
        <w:t xml:space="preserve">Review by ensuring that it was dual-led and </w:t>
      </w:r>
      <w:r w:rsidR="003E7A10">
        <w:rPr>
          <w:lang w:eastAsia="en-US"/>
        </w:rPr>
        <w:t>was not</w:t>
      </w:r>
      <w:r>
        <w:rPr>
          <w:lang w:eastAsia="en-US"/>
        </w:rPr>
        <w:t xml:space="preserve"> simply performed by clinicians, for clinicians. </w:t>
      </w:r>
    </w:p>
    <w:p w:rsidR="000B1F67" w:rsidRPr="000B1F67" w:rsidRDefault="000B1F67" w:rsidP="000830F6">
      <w:pPr>
        <w:spacing w:before="240" w:after="120" w:line="240" w:lineRule="auto"/>
        <w:rPr>
          <w:lang w:eastAsia="en-US"/>
        </w:rPr>
      </w:pPr>
      <w:r>
        <w:rPr>
          <w:lang w:eastAsia="en-US"/>
        </w:rPr>
        <w:t>Some of</w:t>
      </w:r>
      <w:r w:rsidR="00CC6591">
        <w:rPr>
          <w:lang w:eastAsia="en-US"/>
        </w:rPr>
        <w:t xml:space="preserve"> the key outputs of the</w:t>
      </w:r>
      <w:r>
        <w:rPr>
          <w:lang w:eastAsia="en-US"/>
        </w:rPr>
        <w:t xml:space="preserve"> </w:t>
      </w:r>
      <w:r w:rsidR="003E7A10">
        <w:rPr>
          <w:lang w:eastAsia="en-US"/>
        </w:rPr>
        <w:t>Panel, which ultimately contributed to the success of the Review,</w:t>
      </w:r>
      <w:r>
        <w:rPr>
          <w:lang w:eastAsia="en-US"/>
        </w:rPr>
        <w:t xml:space="preserve"> were the induction of </w:t>
      </w:r>
      <w:r w:rsidR="00E74DE3">
        <w:rPr>
          <w:lang w:eastAsia="en-US"/>
        </w:rPr>
        <w:t>c</w:t>
      </w:r>
      <w:r w:rsidR="00F545A0">
        <w:rPr>
          <w:lang w:eastAsia="en-US"/>
        </w:rPr>
        <w:t xml:space="preserve">onsumers </w:t>
      </w:r>
      <w:r>
        <w:rPr>
          <w:lang w:eastAsia="en-US"/>
        </w:rPr>
        <w:t xml:space="preserve">to </w:t>
      </w:r>
      <w:r w:rsidR="00E74DE3">
        <w:rPr>
          <w:lang w:eastAsia="en-US"/>
        </w:rPr>
        <w:t>c</w:t>
      </w:r>
      <w:r w:rsidR="00233567">
        <w:rPr>
          <w:lang w:eastAsia="en-US"/>
        </w:rPr>
        <w:t xml:space="preserve">linical </w:t>
      </w:r>
      <w:r w:rsidR="00E74DE3">
        <w:rPr>
          <w:lang w:eastAsia="en-US"/>
        </w:rPr>
        <w:t>c</w:t>
      </w:r>
      <w:r w:rsidR="00233567">
        <w:rPr>
          <w:lang w:eastAsia="en-US"/>
        </w:rPr>
        <w:t>ommittees</w:t>
      </w:r>
      <w:r>
        <w:rPr>
          <w:lang w:eastAsia="en-US"/>
        </w:rPr>
        <w:t xml:space="preserve">, the </w:t>
      </w:r>
      <w:r w:rsidR="00DB5631">
        <w:rPr>
          <w:lang w:eastAsia="en-US"/>
        </w:rPr>
        <w:t xml:space="preserve">Consumer Resource </w:t>
      </w:r>
      <w:r>
        <w:rPr>
          <w:lang w:eastAsia="en-US"/>
        </w:rPr>
        <w:t xml:space="preserve">and the consumer elements of the </w:t>
      </w:r>
      <w:r w:rsidR="000B3102">
        <w:rPr>
          <w:lang w:eastAsia="en-US"/>
        </w:rPr>
        <w:t xml:space="preserve">clinical </w:t>
      </w:r>
      <w:r>
        <w:rPr>
          <w:lang w:eastAsia="en-US"/>
        </w:rPr>
        <w:t>report</w:t>
      </w:r>
      <w:r w:rsidR="000B3102">
        <w:rPr>
          <w:lang w:eastAsia="en-US"/>
        </w:rPr>
        <w:t>s</w:t>
      </w:r>
      <w:r>
        <w:rPr>
          <w:lang w:eastAsia="en-US"/>
        </w:rPr>
        <w:t xml:space="preserve"> including the summary </w:t>
      </w:r>
      <w:r w:rsidR="003E7A10">
        <w:rPr>
          <w:lang w:eastAsia="en-US"/>
        </w:rPr>
        <w:t>tables, which</w:t>
      </w:r>
      <w:r>
        <w:rPr>
          <w:lang w:eastAsia="en-US"/>
        </w:rPr>
        <w:t xml:space="preserve"> explained the recommendations in plain English. </w:t>
      </w:r>
    </w:p>
    <w:p w:rsidR="0048761C" w:rsidRPr="000830F6" w:rsidRDefault="0048761C" w:rsidP="000830F6">
      <w:pPr>
        <w:pStyle w:val="Heading2"/>
        <w:spacing w:before="240" w:after="120"/>
        <w:ind w:left="-414" w:hanging="578"/>
        <w:rPr>
          <w:rFonts w:cstheme="minorHAnsi"/>
          <w:bCs w:val="0"/>
          <w:iCs w:val="0"/>
          <w:sz w:val="32"/>
          <w:lang w:val="en-AU" w:eastAsia="en-AU"/>
        </w:rPr>
      </w:pPr>
      <w:bookmarkStart w:id="55" w:name="_Toc33103206"/>
      <w:r w:rsidRPr="000830F6">
        <w:rPr>
          <w:rFonts w:cstheme="minorHAnsi"/>
          <w:bCs w:val="0"/>
          <w:iCs w:val="0"/>
          <w:sz w:val="32"/>
          <w:lang w:val="en-AU" w:eastAsia="en-AU"/>
        </w:rPr>
        <w:t>Future directions/opportunity/obligation</w:t>
      </w:r>
      <w:bookmarkEnd w:id="55"/>
    </w:p>
    <w:p w:rsidR="000B1F67" w:rsidRDefault="0069036A" w:rsidP="00791FE1">
      <w:pPr>
        <w:spacing w:before="0" w:after="180" w:line="240" w:lineRule="auto"/>
        <w:rPr>
          <w:lang w:eastAsia="en-US"/>
        </w:rPr>
      </w:pPr>
      <w:r>
        <w:rPr>
          <w:lang w:eastAsia="en-US"/>
        </w:rPr>
        <w:t>This report outlines four detailed recommendations in relation to principles, practice, priorities and partnerships to progress consumer-centred review of the MBS and other health technologies. These recommendations are informed by contemporary literature, policy and practice in health policy, research, services and care and as such must be integrated into business</w:t>
      </w:r>
      <w:r w:rsidR="00230474">
        <w:rPr>
          <w:lang w:eastAsia="en-US"/>
        </w:rPr>
        <w:t>-</w:t>
      </w:r>
      <w:r>
        <w:rPr>
          <w:lang w:eastAsia="en-US"/>
        </w:rPr>
        <w:t>as-usual if consumer engagement is to move from rhetoric to reality.</w:t>
      </w:r>
    </w:p>
    <w:p w:rsidR="00E92F20" w:rsidRDefault="00E92F20" w:rsidP="000830F6">
      <w:pPr>
        <w:spacing w:before="0" w:after="120" w:line="240" w:lineRule="auto"/>
        <w:rPr>
          <w:lang w:eastAsia="en-US"/>
        </w:rPr>
      </w:pPr>
      <w:r>
        <w:rPr>
          <w:rFonts w:ascii="Calibri" w:hAnsi="Calibri"/>
          <w:szCs w:val="21"/>
          <w:lang w:eastAsia="en-US"/>
        </w:rPr>
        <w:t>The Panel provided a valuable foundation for consumer engagement not only in relation to the MBS and the development of Australia’s health system.  It is also a model for other areas of public policy, where the key question is “How and what benefit does this deliver to consumers and the community.”</w:t>
      </w:r>
    </w:p>
    <w:p w:rsidR="000B1F67" w:rsidRPr="000830F6" w:rsidRDefault="000B1F67" w:rsidP="000830F6">
      <w:pPr>
        <w:pStyle w:val="Heading2"/>
        <w:spacing w:before="240" w:after="120"/>
        <w:ind w:left="-414" w:hanging="578"/>
        <w:rPr>
          <w:rFonts w:cstheme="minorHAnsi"/>
          <w:bCs w:val="0"/>
          <w:iCs w:val="0"/>
          <w:sz w:val="32"/>
          <w:lang w:val="en-AU" w:eastAsia="en-AU"/>
        </w:rPr>
      </w:pPr>
      <w:bookmarkStart w:id="56" w:name="_Toc33103207"/>
      <w:r w:rsidRPr="000830F6">
        <w:rPr>
          <w:rFonts w:cstheme="minorHAnsi"/>
          <w:bCs w:val="0"/>
          <w:iCs w:val="0"/>
          <w:sz w:val="32"/>
          <w:lang w:val="en-AU" w:eastAsia="en-AU"/>
        </w:rPr>
        <w:lastRenderedPageBreak/>
        <w:t>Lessons Learnt</w:t>
      </w:r>
      <w:bookmarkEnd w:id="56"/>
    </w:p>
    <w:p w:rsidR="00E92F20" w:rsidRDefault="000B1F67" w:rsidP="00791FE1">
      <w:pPr>
        <w:spacing w:before="0" w:after="180" w:line="240" w:lineRule="auto"/>
        <w:rPr>
          <w:rFonts w:eastAsiaTheme="minorHAnsi"/>
        </w:rPr>
      </w:pPr>
      <w:r>
        <w:rPr>
          <w:rFonts w:eastAsiaTheme="minorHAnsi"/>
        </w:rPr>
        <w:t>This report also contains a number of lessons learnt during the process of the MBS</w:t>
      </w:r>
      <w:r w:rsidR="00E92F20">
        <w:rPr>
          <w:rFonts w:eastAsiaTheme="minorHAnsi"/>
        </w:rPr>
        <w:t xml:space="preserve"> Review which relate to process. T</w:t>
      </w:r>
      <w:r>
        <w:rPr>
          <w:rFonts w:eastAsiaTheme="minorHAnsi"/>
        </w:rPr>
        <w:t xml:space="preserve">he Panel intends for these lessons learnt to be considered for an ongoing review mechanism, or any futures reviews held by the Department of Health in relation to Health Technologies. </w:t>
      </w:r>
    </w:p>
    <w:p w:rsidR="005D06EC" w:rsidRDefault="00E92F20" w:rsidP="00791FE1">
      <w:pPr>
        <w:spacing w:before="0" w:after="180" w:line="240" w:lineRule="auto"/>
        <w:rPr>
          <w:rFonts w:eastAsiaTheme="minorHAnsi"/>
        </w:rPr>
      </w:pPr>
      <w:r>
        <w:rPr>
          <w:rFonts w:eastAsiaTheme="minorHAnsi"/>
        </w:rPr>
        <w:br w:type="page"/>
      </w:r>
    </w:p>
    <w:p w:rsidR="000B3102" w:rsidRPr="000E545D" w:rsidRDefault="000B3102" w:rsidP="00D753B2">
      <w:pPr>
        <w:pStyle w:val="Heading1"/>
        <w:spacing w:before="0" w:after="180" w:line="240" w:lineRule="auto"/>
      </w:pPr>
      <w:bookmarkStart w:id="57" w:name="_Toc33103208"/>
      <w:bookmarkStart w:id="58" w:name="_Toc485295765"/>
      <w:r w:rsidRPr="000E545D">
        <w:lastRenderedPageBreak/>
        <w:t>Glossary of consumer-related terminology</w:t>
      </w:r>
      <w:bookmarkEnd w:id="57"/>
    </w:p>
    <w:p w:rsidR="000B3102" w:rsidRDefault="000B3102" w:rsidP="000830F6">
      <w:pPr>
        <w:spacing w:before="120" w:after="120" w:line="240" w:lineRule="auto"/>
        <w:rPr>
          <w:rFonts w:eastAsiaTheme="minorHAnsi" w:cstheme="minorBidi"/>
        </w:rPr>
      </w:pPr>
      <w:r w:rsidRPr="00722B1F">
        <w:rPr>
          <w:rFonts w:eastAsiaTheme="minorHAnsi" w:cstheme="minorBidi"/>
        </w:rPr>
        <w:t xml:space="preserve">The MBS Review uses a number of clinical terms that have a specific meaning in the MBS context: the Secretariat can explain these terms to </w:t>
      </w:r>
      <w:r w:rsidR="00233567">
        <w:rPr>
          <w:rFonts w:eastAsiaTheme="minorHAnsi" w:cstheme="minorBidi"/>
        </w:rPr>
        <w:t>C</w:t>
      </w:r>
      <w:r w:rsidR="00233567" w:rsidRPr="00722B1F">
        <w:rPr>
          <w:rFonts w:eastAsiaTheme="minorHAnsi" w:cstheme="minorBidi"/>
        </w:rPr>
        <w:t xml:space="preserve">ommittee </w:t>
      </w:r>
      <w:r w:rsidRPr="00722B1F">
        <w:rPr>
          <w:rFonts w:eastAsiaTheme="minorHAnsi" w:cstheme="minorBidi"/>
        </w:rPr>
        <w:t>members. The following terms and definitions relate specifically to patients, consumers and the community, as applied in the Review.</w:t>
      </w:r>
    </w:p>
    <w:tbl>
      <w:tblPr>
        <w:tblStyle w:val="TableGrid"/>
        <w:tblW w:w="8538" w:type="dxa"/>
        <w:tblLook w:val="04A0" w:firstRow="1" w:lastRow="0" w:firstColumn="1" w:lastColumn="0" w:noHBand="0" w:noVBand="1"/>
        <w:tblCaption w:val="Glossary of consumer-related terminology"/>
        <w:tblDescription w:val="A glossary table providing definitions of terminology used throughout the report."/>
      </w:tblPr>
      <w:tblGrid>
        <w:gridCol w:w="1559"/>
        <w:gridCol w:w="6979"/>
      </w:tblGrid>
      <w:tr w:rsidR="00DE21E9" w:rsidRPr="00DE21E9" w:rsidTr="00DE21E9">
        <w:trPr>
          <w:trHeight w:val="20"/>
          <w:tblHeader/>
        </w:trPr>
        <w:tc>
          <w:tcPr>
            <w:tcW w:w="1559" w:type="dxa"/>
            <w:shd w:val="clear" w:color="auto" w:fill="01653F"/>
            <w:vAlign w:val="center"/>
          </w:tcPr>
          <w:p w:rsidR="00E345DF" w:rsidRPr="00DE21E9" w:rsidRDefault="00E345DF" w:rsidP="00DE21E9">
            <w:pPr>
              <w:pStyle w:val="Pa1"/>
              <w:spacing w:before="60" w:after="60" w:line="240" w:lineRule="auto"/>
              <w:jc w:val="center"/>
              <w:rPr>
                <w:rFonts w:asciiTheme="minorHAnsi" w:hAnsiTheme="minorHAnsi" w:cs="Garamond"/>
                <w:b/>
                <w:bCs/>
                <w:color w:val="FFFFFF" w:themeColor="background1"/>
                <w:sz w:val="22"/>
                <w:szCs w:val="22"/>
              </w:rPr>
            </w:pPr>
            <w:r w:rsidRPr="00DE21E9">
              <w:rPr>
                <w:rFonts w:asciiTheme="minorHAnsi" w:hAnsiTheme="minorHAnsi" w:cs="Garamond"/>
                <w:b/>
                <w:bCs/>
                <w:color w:val="FFFFFF" w:themeColor="background1"/>
                <w:sz w:val="22"/>
                <w:szCs w:val="22"/>
              </w:rPr>
              <w:t>TERM</w:t>
            </w:r>
          </w:p>
        </w:tc>
        <w:tc>
          <w:tcPr>
            <w:tcW w:w="6979" w:type="dxa"/>
            <w:shd w:val="clear" w:color="auto" w:fill="01653F"/>
            <w:vAlign w:val="center"/>
          </w:tcPr>
          <w:p w:rsidR="00E345DF" w:rsidRPr="00DE21E9" w:rsidRDefault="00E345DF" w:rsidP="00DE21E9">
            <w:pPr>
              <w:pStyle w:val="Pa1"/>
              <w:spacing w:before="60" w:after="60" w:line="240" w:lineRule="auto"/>
              <w:jc w:val="center"/>
              <w:rPr>
                <w:rFonts w:asciiTheme="minorHAnsi" w:hAnsiTheme="minorHAnsi" w:cs="ITC Garamond Std Lt"/>
                <w:b/>
                <w:color w:val="FFFFFF" w:themeColor="background1"/>
                <w:sz w:val="22"/>
                <w:szCs w:val="22"/>
              </w:rPr>
            </w:pPr>
            <w:r w:rsidRPr="00DE21E9">
              <w:rPr>
                <w:rFonts w:asciiTheme="minorHAnsi" w:hAnsiTheme="minorHAnsi" w:cs="ITC Garamond Std Lt"/>
                <w:b/>
                <w:color w:val="FFFFFF" w:themeColor="background1"/>
                <w:sz w:val="22"/>
                <w:szCs w:val="22"/>
              </w:rPr>
              <w:t>DEFINITION OF TERM</w:t>
            </w:r>
          </w:p>
        </w:tc>
      </w:tr>
      <w:tr w:rsidR="000B3102" w:rsidTr="00580AEC">
        <w:tc>
          <w:tcPr>
            <w:tcW w:w="1559" w:type="dxa"/>
          </w:tcPr>
          <w:p w:rsidR="000B3102" w:rsidRPr="00610AD1" w:rsidRDefault="000B3102" w:rsidP="00DE21E9">
            <w:pPr>
              <w:pStyle w:val="Pa1"/>
              <w:spacing w:before="60" w:after="60" w:line="240" w:lineRule="auto"/>
              <w:rPr>
                <w:rFonts w:asciiTheme="minorHAnsi" w:hAnsiTheme="minorHAnsi" w:cs="Garamond"/>
                <w:b/>
                <w:bCs/>
                <w:color w:val="000000"/>
                <w:sz w:val="22"/>
                <w:szCs w:val="22"/>
              </w:rPr>
            </w:pPr>
            <w:r w:rsidRPr="00610AD1">
              <w:rPr>
                <w:rFonts w:asciiTheme="minorHAnsi" w:hAnsiTheme="minorHAnsi" w:cs="Garamond"/>
                <w:b/>
                <w:bCs/>
                <w:color w:val="000000"/>
                <w:sz w:val="22"/>
                <w:szCs w:val="22"/>
              </w:rPr>
              <w:t xml:space="preserve">Community </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pStyle w:val="Pa1"/>
              <w:spacing w:before="60" w:after="60" w:line="240" w:lineRule="auto"/>
              <w:rPr>
                <w:rFonts w:asciiTheme="minorHAnsi" w:hAnsiTheme="minorHAnsi" w:cstheme="minorHAnsi"/>
              </w:rPr>
            </w:pPr>
            <w:r w:rsidRPr="00BB149A">
              <w:rPr>
                <w:rFonts w:asciiTheme="minorHAnsi" w:hAnsiTheme="minorHAnsi" w:cstheme="minorHAnsi"/>
                <w:color w:val="000000"/>
                <w:sz w:val="22"/>
                <w:szCs w:val="22"/>
              </w:rPr>
              <w:t xml:space="preserve">A group of people sharing a common interest (e.g. cultural, social, political, health, economic interests) but not necessarily a particular geographic association. Different types of communities are likely to have different perspectives and approaches …. </w:t>
            </w:r>
            <w:sdt>
              <w:sdtPr>
                <w:rPr>
                  <w:rFonts w:asciiTheme="minorHAnsi" w:hAnsiTheme="minorHAnsi" w:cstheme="minorHAnsi"/>
                  <w:sz w:val="22"/>
                  <w:szCs w:val="22"/>
                </w:rPr>
                <w:id w:val="-2030170260"/>
                <w:citation/>
              </w:sdtPr>
              <w:sdtEndPr/>
              <w:sdtContent>
                <w:r w:rsidR="00CA2322" w:rsidRPr="00BB149A">
                  <w:rPr>
                    <w:rFonts w:asciiTheme="minorHAnsi" w:hAnsiTheme="minorHAnsi" w:cstheme="minorHAnsi"/>
                    <w:sz w:val="22"/>
                    <w:szCs w:val="22"/>
                  </w:rPr>
                  <w:fldChar w:fldCharType="begin"/>
                </w:r>
                <w:r w:rsidR="00CA2322" w:rsidRPr="00BB149A">
                  <w:rPr>
                    <w:rFonts w:asciiTheme="minorHAnsi" w:hAnsiTheme="minorHAnsi" w:cstheme="minorHAnsi"/>
                    <w:sz w:val="22"/>
                    <w:szCs w:val="22"/>
                  </w:rPr>
                  <w:instrText xml:space="preserve"> CITATION Nat16 \l 3081 </w:instrText>
                </w:r>
                <w:r w:rsidR="00CA2322" w:rsidRPr="00BB149A">
                  <w:rPr>
                    <w:rFonts w:asciiTheme="minorHAnsi" w:hAnsiTheme="minorHAnsi" w:cstheme="minorHAnsi"/>
                    <w:sz w:val="22"/>
                    <w:szCs w:val="22"/>
                  </w:rPr>
                  <w:fldChar w:fldCharType="separate"/>
                </w:r>
                <w:r w:rsidR="00797B8D" w:rsidRPr="00BB149A">
                  <w:rPr>
                    <w:rFonts w:asciiTheme="minorHAnsi" w:hAnsiTheme="minorHAnsi" w:cstheme="minorHAnsi"/>
                    <w:noProof/>
                    <w:sz w:val="22"/>
                    <w:szCs w:val="22"/>
                  </w:rPr>
                  <w:t>(11)</w:t>
                </w:r>
                <w:r w:rsidR="00CA2322" w:rsidRPr="00BB149A">
                  <w:rPr>
                    <w:rFonts w:asciiTheme="minorHAnsi" w:hAnsiTheme="minorHAnsi" w:cstheme="minorHAnsi"/>
                    <w:sz w:val="22"/>
                    <w:szCs w:val="22"/>
                  </w:rPr>
                  <w:fldChar w:fldCharType="end"/>
                </w:r>
              </w:sdtContent>
            </w:sdt>
          </w:p>
        </w:tc>
      </w:tr>
      <w:tr w:rsidR="000B3102" w:rsidTr="00580AEC">
        <w:tc>
          <w:tcPr>
            <w:tcW w:w="1559" w:type="dxa"/>
          </w:tcPr>
          <w:p w:rsidR="000B3102" w:rsidRPr="00610AD1" w:rsidRDefault="000B3102" w:rsidP="00DE21E9">
            <w:pPr>
              <w:pStyle w:val="Pa1"/>
              <w:spacing w:before="60" w:after="60" w:line="240" w:lineRule="auto"/>
              <w:rPr>
                <w:rFonts w:asciiTheme="minorHAnsi" w:hAnsiTheme="minorHAnsi" w:cs="ITC Garamond Std Lt"/>
                <w:color w:val="000000"/>
                <w:sz w:val="22"/>
                <w:szCs w:val="22"/>
              </w:rPr>
            </w:pPr>
            <w:r w:rsidRPr="00610AD1">
              <w:rPr>
                <w:rFonts w:asciiTheme="minorHAnsi" w:hAnsiTheme="minorHAnsi" w:cs="Garamond"/>
                <w:b/>
                <w:bCs/>
                <w:color w:val="000000"/>
                <w:sz w:val="22"/>
                <w:szCs w:val="22"/>
              </w:rPr>
              <w:t xml:space="preserve">Consumer </w:t>
            </w:r>
            <w:r w:rsidRPr="00610AD1">
              <w:rPr>
                <w:rFonts w:asciiTheme="minorHAnsi" w:hAnsiTheme="minorHAnsi" w:cs="ITC Garamond Std Lt"/>
                <w:color w:val="000000"/>
                <w:sz w:val="22"/>
                <w:szCs w:val="22"/>
              </w:rPr>
              <w:t xml:space="preserve"> </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pStyle w:val="Pa1"/>
              <w:spacing w:before="60" w:after="60" w:line="240" w:lineRule="auto"/>
              <w:rPr>
                <w:rFonts w:asciiTheme="minorHAnsi" w:hAnsiTheme="minorHAnsi" w:cstheme="minorHAnsi"/>
                <w:color w:val="000000"/>
                <w:sz w:val="22"/>
                <w:szCs w:val="22"/>
              </w:rPr>
            </w:pPr>
            <w:r w:rsidRPr="00BB149A">
              <w:rPr>
                <w:rFonts w:asciiTheme="minorHAnsi" w:hAnsiTheme="minorHAnsi" w:cstheme="minorHAnsi"/>
                <w:color w:val="000000"/>
                <w:sz w:val="22"/>
                <w:szCs w:val="22"/>
              </w:rPr>
              <w:t xml:space="preserve">Patients and potential patients, carers, and people who use health care services. </w:t>
            </w:r>
          </w:p>
          <w:p w:rsidR="000B3102" w:rsidRPr="00BB149A" w:rsidRDefault="000B3102" w:rsidP="00DE21E9">
            <w:pPr>
              <w:pStyle w:val="Pa1"/>
              <w:spacing w:before="60" w:after="60" w:line="240" w:lineRule="auto"/>
              <w:rPr>
                <w:rFonts w:asciiTheme="minorHAnsi" w:hAnsiTheme="minorHAnsi" w:cstheme="minorHAnsi"/>
                <w:sz w:val="22"/>
                <w:szCs w:val="22"/>
                <w:lang w:eastAsia="en-AU"/>
              </w:rPr>
            </w:pPr>
            <w:r w:rsidRPr="00BB149A">
              <w:rPr>
                <w:rFonts w:asciiTheme="minorHAnsi" w:hAnsiTheme="minorHAnsi" w:cstheme="minorHAnsi"/>
                <w:sz w:val="22"/>
                <w:szCs w:val="22"/>
                <w:lang w:eastAsia="en-AU"/>
              </w:rPr>
              <w:t xml:space="preserve">Collectively, ‘consumers’ and ‘community members’ may be referred to as ‘the public’. </w:t>
            </w:r>
          </w:p>
          <w:p w:rsidR="000B3102" w:rsidRPr="00BB149A" w:rsidRDefault="000B3102" w:rsidP="00DE21E9">
            <w:pPr>
              <w:pStyle w:val="Pa1"/>
              <w:spacing w:before="60" w:after="60" w:line="240" w:lineRule="auto"/>
              <w:rPr>
                <w:rFonts w:asciiTheme="minorHAnsi" w:hAnsiTheme="minorHAnsi" w:cstheme="minorHAnsi"/>
              </w:rPr>
            </w:pPr>
            <w:r w:rsidRPr="00BB149A">
              <w:rPr>
                <w:rFonts w:asciiTheme="minorHAnsi" w:hAnsiTheme="minorHAnsi" w:cstheme="minorHAnsi"/>
                <w:color w:val="000000"/>
                <w:sz w:val="22"/>
                <w:szCs w:val="22"/>
              </w:rPr>
              <w:t>The Australian Commission on Safety and Quality in Health Care definition: members of the public who use, or are potential users of health care services - patients, consumers, families, carers and other support people</w:t>
            </w:r>
            <w:r w:rsidR="00443DAE" w:rsidRPr="00BB149A">
              <w:rPr>
                <w:rFonts w:asciiTheme="minorHAnsi" w:hAnsiTheme="minorHAnsi" w:cstheme="minorHAnsi"/>
                <w:color w:val="000000"/>
                <w:sz w:val="22"/>
                <w:szCs w:val="22"/>
              </w:rPr>
              <w:t>.</w:t>
            </w:r>
            <w:r w:rsidR="00D56BB9" w:rsidRPr="00BB149A">
              <w:rPr>
                <w:rFonts w:asciiTheme="minorHAnsi" w:hAnsiTheme="minorHAnsi" w:cstheme="minorHAnsi"/>
                <w:color w:val="000000"/>
                <w:sz w:val="22"/>
                <w:szCs w:val="22"/>
              </w:rPr>
              <w:t xml:space="preserve"> </w:t>
            </w:r>
            <w:sdt>
              <w:sdtPr>
                <w:rPr>
                  <w:rFonts w:asciiTheme="minorHAnsi" w:hAnsiTheme="minorHAnsi" w:cstheme="minorHAnsi"/>
                  <w:sz w:val="22"/>
                  <w:szCs w:val="22"/>
                </w:rPr>
                <w:id w:val="455377519"/>
                <w:citation/>
              </w:sdtPr>
              <w:sdtEndPr/>
              <w:sdtContent>
                <w:r w:rsidR="00443DAE" w:rsidRPr="00BB149A">
                  <w:rPr>
                    <w:rFonts w:asciiTheme="minorHAnsi" w:hAnsiTheme="minorHAnsi" w:cstheme="minorHAnsi"/>
                    <w:sz w:val="22"/>
                    <w:szCs w:val="22"/>
                  </w:rPr>
                  <w:fldChar w:fldCharType="begin"/>
                </w:r>
                <w:r w:rsidR="00443DAE" w:rsidRPr="00BB149A">
                  <w:rPr>
                    <w:rFonts w:asciiTheme="minorHAnsi" w:hAnsiTheme="minorHAnsi" w:cstheme="minorHAnsi"/>
                    <w:sz w:val="22"/>
                    <w:szCs w:val="22"/>
                  </w:rPr>
                  <w:instrText xml:space="preserve"> CITATION NSQ17 \l 3081 </w:instrText>
                </w:r>
                <w:r w:rsidR="00443DAE" w:rsidRPr="00BB149A">
                  <w:rPr>
                    <w:rFonts w:asciiTheme="minorHAnsi" w:hAnsiTheme="minorHAnsi" w:cstheme="minorHAnsi"/>
                    <w:sz w:val="22"/>
                    <w:szCs w:val="22"/>
                  </w:rPr>
                  <w:fldChar w:fldCharType="separate"/>
                </w:r>
                <w:r w:rsidR="00797B8D" w:rsidRPr="00BB149A">
                  <w:rPr>
                    <w:rFonts w:asciiTheme="minorHAnsi" w:hAnsiTheme="minorHAnsi" w:cstheme="minorHAnsi"/>
                    <w:noProof/>
                    <w:sz w:val="22"/>
                    <w:szCs w:val="22"/>
                  </w:rPr>
                  <w:t>(2)</w:t>
                </w:r>
                <w:r w:rsidR="00443DAE" w:rsidRPr="00BB149A">
                  <w:rPr>
                    <w:rFonts w:asciiTheme="minorHAnsi" w:hAnsiTheme="minorHAnsi" w:cstheme="minorHAnsi"/>
                    <w:sz w:val="22"/>
                    <w:szCs w:val="22"/>
                  </w:rPr>
                  <w:fldChar w:fldCharType="end"/>
                </w:r>
              </w:sdtContent>
            </w:sdt>
            <w:r w:rsidR="00D56BB9" w:rsidRPr="00BB149A">
              <w:rPr>
                <w:rFonts w:asciiTheme="minorHAnsi" w:hAnsiTheme="minorHAnsi" w:cstheme="minorHAnsi"/>
                <w:sz w:val="22"/>
                <w:szCs w:val="22"/>
              </w:rPr>
              <w:t xml:space="preserve"> </w:t>
            </w:r>
            <w:sdt>
              <w:sdtPr>
                <w:rPr>
                  <w:rFonts w:asciiTheme="minorHAnsi" w:hAnsiTheme="minorHAnsi" w:cstheme="minorHAnsi"/>
                  <w:sz w:val="22"/>
                  <w:szCs w:val="22"/>
                </w:rPr>
                <w:id w:val="1517654414"/>
                <w:citation/>
              </w:sdtPr>
              <w:sdtEndPr/>
              <w:sdtContent>
                <w:r w:rsidR="00CA2322" w:rsidRPr="00BB149A">
                  <w:rPr>
                    <w:rFonts w:asciiTheme="minorHAnsi" w:hAnsiTheme="minorHAnsi" w:cstheme="minorHAnsi"/>
                    <w:sz w:val="22"/>
                    <w:szCs w:val="22"/>
                  </w:rPr>
                  <w:fldChar w:fldCharType="begin"/>
                </w:r>
                <w:r w:rsidR="00CA2322" w:rsidRPr="00BB149A">
                  <w:rPr>
                    <w:rFonts w:asciiTheme="minorHAnsi" w:hAnsiTheme="minorHAnsi" w:cstheme="minorHAnsi"/>
                    <w:sz w:val="22"/>
                    <w:szCs w:val="22"/>
                  </w:rPr>
                  <w:instrText xml:space="preserve"> CITATION Nat16 \l 3081 </w:instrText>
                </w:r>
                <w:r w:rsidR="00CA2322" w:rsidRPr="00BB149A">
                  <w:rPr>
                    <w:rFonts w:asciiTheme="minorHAnsi" w:hAnsiTheme="minorHAnsi" w:cstheme="minorHAnsi"/>
                    <w:sz w:val="22"/>
                    <w:szCs w:val="22"/>
                  </w:rPr>
                  <w:fldChar w:fldCharType="separate"/>
                </w:r>
                <w:r w:rsidR="00797B8D" w:rsidRPr="00BB149A">
                  <w:rPr>
                    <w:rFonts w:asciiTheme="minorHAnsi" w:hAnsiTheme="minorHAnsi" w:cstheme="minorHAnsi"/>
                    <w:noProof/>
                    <w:sz w:val="22"/>
                    <w:szCs w:val="22"/>
                  </w:rPr>
                  <w:t>(11)</w:t>
                </w:r>
                <w:r w:rsidR="00CA2322" w:rsidRPr="00BB149A">
                  <w:rPr>
                    <w:rFonts w:asciiTheme="minorHAnsi" w:hAnsiTheme="minorHAnsi" w:cstheme="minorHAnsi"/>
                    <w:sz w:val="22"/>
                    <w:szCs w:val="22"/>
                  </w:rPr>
                  <w:fldChar w:fldCharType="end"/>
                </w:r>
              </w:sdtContent>
            </w:sdt>
          </w:p>
        </w:tc>
      </w:tr>
      <w:tr w:rsidR="000B3102" w:rsidTr="00580AEC">
        <w:tc>
          <w:tcPr>
            <w:tcW w:w="1559" w:type="dxa"/>
          </w:tcPr>
          <w:p w:rsidR="000B3102" w:rsidRPr="00722B1F" w:rsidRDefault="000B3102" w:rsidP="00DE21E9">
            <w:pPr>
              <w:spacing w:before="60" w:line="240" w:lineRule="auto"/>
              <w:rPr>
                <w:rFonts w:eastAsiaTheme="minorHAnsi" w:cstheme="minorBidi"/>
                <w:b/>
              </w:rPr>
            </w:pPr>
            <w:r w:rsidRPr="00722B1F">
              <w:rPr>
                <w:rFonts w:eastAsiaTheme="minorHAnsi" w:cstheme="minorBidi"/>
                <w:b/>
              </w:rPr>
              <w:t>Patient</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spacing w:before="60" w:line="240" w:lineRule="auto"/>
              <w:rPr>
                <w:rFonts w:eastAsiaTheme="minorHAnsi" w:cstheme="minorHAnsi"/>
              </w:rPr>
            </w:pPr>
            <w:r w:rsidRPr="00BB149A">
              <w:rPr>
                <w:rFonts w:eastAsiaTheme="minorHAnsi" w:cstheme="minorHAnsi"/>
              </w:rPr>
              <w:t>A person receiving medical services because of a problem or a check-up.</w:t>
            </w:r>
            <w:r w:rsidR="00D56BB9" w:rsidRPr="00BB149A">
              <w:rPr>
                <w:rFonts w:eastAsiaTheme="minorHAnsi" w:cstheme="minorHAnsi"/>
              </w:rPr>
              <w:t xml:space="preserve"> </w:t>
            </w:r>
            <w:sdt>
              <w:sdtPr>
                <w:rPr>
                  <w:rFonts w:eastAsiaTheme="minorHAnsi" w:cstheme="minorHAnsi"/>
                </w:rPr>
                <w:id w:val="-701622690"/>
                <w:citation/>
              </w:sdtPr>
              <w:sdtEndPr/>
              <w:sdtContent>
                <w:r w:rsidR="00CA2322" w:rsidRPr="00BB149A">
                  <w:rPr>
                    <w:rFonts w:eastAsiaTheme="minorHAnsi" w:cstheme="minorHAnsi"/>
                  </w:rPr>
                  <w:fldChar w:fldCharType="begin"/>
                </w:r>
                <w:r w:rsidR="00D56BB9" w:rsidRPr="00BB149A">
                  <w:rPr>
                    <w:rFonts w:eastAsiaTheme="minorHAnsi" w:cstheme="minorHAnsi"/>
                  </w:rPr>
                  <w:instrText xml:space="preserve">CITATION Bro16 \l 3081 </w:instrText>
                </w:r>
                <w:r w:rsidR="00CA2322" w:rsidRPr="00BB149A">
                  <w:rPr>
                    <w:rFonts w:eastAsiaTheme="minorHAnsi" w:cstheme="minorHAnsi"/>
                  </w:rPr>
                  <w:fldChar w:fldCharType="separate"/>
                </w:r>
                <w:r w:rsidR="00D56BB9" w:rsidRPr="00BB149A">
                  <w:rPr>
                    <w:rFonts w:eastAsiaTheme="minorHAnsi" w:cstheme="minorHAnsi"/>
                    <w:noProof/>
                  </w:rPr>
                  <w:t>(12)</w:t>
                </w:r>
                <w:r w:rsidR="00CA2322" w:rsidRPr="00BB149A">
                  <w:rPr>
                    <w:rFonts w:eastAsiaTheme="minorHAnsi" w:cstheme="minorHAnsi"/>
                  </w:rPr>
                  <w:fldChar w:fldCharType="end"/>
                </w:r>
              </w:sdtContent>
            </w:sdt>
          </w:p>
        </w:tc>
      </w:tr>
      <w:tr w:rsidR="000B3102" w:rsidTr="00580AEC">
        <w:tc>
          <w:tcPr>
            <w:tcW w:w="1559" w:type="dxa"/>
          </w:tcPr>
          <w:p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Carers</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spacing w:before="60" w:line="240" w:lineRule="auto"/>
              <w:rPr>
                <w:rFonts w:eastAsiaTheme="minorHAnsi" w:cstheme="minorHAnsi"/>
              </w:rPr>
            </w:pPr>
            <w:r w:rsidRPr="00BB149A">
              <w:rPr>
                <w:rFonts w:eastAsiaTheme="minorHAnsi" w:cstheme="minorHAnsi"/>
              </w:rPr>
              <w:t xml:space="preserve">Carers provide unpaid care and support to family members and friends who have a disability, mental illness, chronic condition, terminal illness, an alcohol or other drug issue or who are frail aged. </w:t>
            </w:r>
            <w:sdt>
              <w:sdtPr>
                <w:rPr>
                  <w:rFonts w:eastAsiaTheme="minorHAnsi" w:cstheme="minorHAnsi"/>
                  <w:color w:val="FF0000"/>
                </w:rPr>
                <w:id w:val="1731423631"/>
                <w:citation/>
              </w:sdtPr>
              <w:sdtEndPr>
                <w:rPr>
                  <w:color w:val="auto"/>
                </w:rPr>
              </w:sdtEndPr>
              <w:sdtContent>
                <w:r w:rsidR="00CA2322" w:rsidRPr="00BB149A">
                  <w:rPr>
                    <w:rFonts w:eastAsiaTheme="minorHAnsi" w:cstheme="minorHAnsi"/>
                  </w:rPr>
                  <w:fldChar w:fldCharType="begin"/>
                </w:r>
                <w:r w:rsidR="00CA2322" w:rsidRPr="00BB149A">
                  <w:rPr>
                    <w:rFonts w:eastAsiaTheme="minorHAnsi" w:cstheme="minorHAnsi"/>
                  </w:rPr>
                  <w:instrText xml:space="preserve"> CITATION Car \l 3081 </w:instrText>
                </w:r>
                <w:r w:rsidR="00CA2322" w:rsidRPr="00BB149A">
                  <w:rPr>
                    <w:rFonts w:eastAsiaTheme="minorHAnsi" w:cstheme="minorHAnsi"/>
                  </w:rPr>
                  <w:fldChar w:fldCharType="separate"/>
                </w:r>
                <w:r w:rsidR="00797B8D" w:rsidRPr="00BB149A">
                  <w:rPr>
                    <w:rFonts w:eastAsiaTheme="minorHAnsi" w:cstheme="minorHAnsi"/>
                    <w:noProof/>
                  </w:rPr>
                  <w:t>(13)</w:t>
                </w:r>
                <w:r w:rsidR="00CA2322" w:rsidRPr="00BB149A">
                  <w:rPr>
                    <w:rFonts w:eastAsiaTheme="minorHAnsi" w:cstheme="minorHAnsi"/>
                  </w:rPr>
                  <w:fldChar w:fldCharType="end"/>
                </w:r>
              </w:sdtContent>
            </w:sdt>
          </w:p>
        </w:tc>
      </w:tr>
      <w:tr w:rsidR="000B3102" w:rsidTr="00580AEC">
        <w:tc>
          <w:tcPr>
            <w:tcW w:w="1559" w:type="dxa"/>
          </w:tcPr>
          <w:p w:rsidR="000B3102" w:rsidRDefault="000B3102" w:rsidP="00DE21E9">
            <w:pPr>
              <w:pStyle w:val="Pa1"/>
              <w:spacing w:before="60" w:after="60" w:line="240" w:lineRule="auto"/>
              <w:rPr>
                <w:rStyle w:val="A8"/>
                <w:rFonts w:asciiTheme="minorHAnsi" w:hAnsiTheme="minorHAnsi"/>
                <w:sz w:val="22"/>
                <w:szCs w:val="22"/>
              </w:rPr>
            </w:pPr>
            <w:r w:rsidRPr="00610AD1">
              <w:rPr>
                <w:rFonts w:asciiTheme="minorHAnsi" w:hAnsiTheme="minorHAnsi" w:cs="Garamond"/>
                <w:b/>
                <w:bCs/>
                <w:color w:val="000000"/>
                <w:sz w:val="22"/>
                <w:szCs w:val="22"/>
              </w:rPr>
              <w:t>Consumer representative</w:t>
            </w:r>
            <w:r w:rsidRPr="00610AD1">
              <w:rPr>
                <w:rStyle w:val="A8"/>
                <w:rFonts w:asciiTheme="minorHAnsi" w:hAnsiTheme="minorHAnsi"/>
                <w:sz w:val="22"/>
                <w:szCs w:val="22"/>
              </w:rPr>
              <w:t xml:space="preserve"> </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pStyle w:val="Pa1"/>
              <w:spacing w:before="60" w:after="60" w:line="240" w:lineRule="auto"/>
              <w:rPr>
                <w:rFonts w:asciiTheme="minorHAnsi" w:hAnsiTheme="minorHAnsi" w:cstheme="minorHAnsi"/>
              </w:rPr>
            </w:pPr>
            <w:r w:rsidRPr="00BB149A">
              <w:rPr>
                <w:rStyle w:val="A8"/>
                <w:rFonts w:asciiTheme="minorHAnsi" w:hAnsiTheme="minorHAnsi" w:cstheme="minorHAnsi"/>
                <w:sz w:val="22"/>
                <w:szCs w:val="22"/>
              </w:rPr>
              <w:t>S</w:t>
            </w:r>
            <w:r w:rsidRPr="00BB149A">
              <w:rPr>
                <w:rFonts w:asciiTheme="minorHAnsi" w:hAnsiTheme="minorHAnsi" w:cstheme="minorHAnsi"/>
                <w:color w:val="000000"/>
                <w:sz w:val="22"/>
                <w:szCs w:val="22"/>
              </w:rPr>
              <w:t xml:space="preserve">omeone who voices consumer perspectives and takes part in the decision-making process on behalf of consumers. This person may be nominated by, and may be accountable to, an organisation of consumers. This consumer representative however may have a narrower view as they are speaking on behalf of their organisation and not necessarily that of the wider community. A consumer representative may be appropriately trained or may undergo training and be supported to advocate for consumer-centred health care. </w:t>
            </w:r>
            <w:sdt>
              <w:sdtPr>
                <w:rPr>
                  <w:rFonts w:asciiTheme="minorHAnsi" w:hAnsiTheme="minorHAnsi" w:cstheme="minorHAnsi"/>
                  <w:sz w:val="22"/>
                  <w:szCs w:val="22"/>
                </w:rPr>
                <w:id w:val="-754510695"/>
                <w:citation/>
              </w:sdtPr>
              <w:sdtEndPr/>
              <w:sdtContent>
                <w:r w:rsidR="00D9340A" w:rsidRPr="00BB149A">
                  <w:rPr>
                    <w:rFonts w:asciiTheme="minorHAnsi" w:hAnsiTheme="minorHAnsi" w:cstheme="minorHAnsi"/>
                    <w:sz w:val="22"/>
                    <w:szCs w:val="22"/>
                  </w:rPr>
                  <w:fldChar w:fldCharType="begin"/>
                </w:r>
                <w:r w:rsidR="00D9340A" w:rsidRPr="00BB149A">
                  <w:rPr>
                    <w:rFonts w:asciiTheme="minorHAnsi" w:hAnsiTheme="minorHAnsi" w:cstheme="minorHAnsi"/>
                    <w:sz w:val="22"/>
                    <w:szCs w:val="22"/>
                  </w:rPr>
                  <w:instrText xml:space="preserve"> CITATION Nat16 \l 3081 </w:instrText>
                </w:r>
                <w:r w:rsidR="00D9340A" w:rsidRPr="00BB149A">
                  <w:rPr>
                    <w:rFonts w:asciiTheme="minorHAnsi" w:hAnsiTheme="minorHAnsi" w:cstheme="minorHAnsi"/>
                    <w:sz w:val="22"/>
                    <w:szCs w:val="22"/>
                  </w:rPr>
                  <w:fldChar w:fldCharType="separate"/>
                </w:r>
                <w:r w:rsidR="00797B8D" w:rsidRPr="00BB149A">
                  <w:rPr>
                    <w:rFonts w:asciiTheme="minorHAnsi" w:hAnsiTheme="minorHAnsi" w:cstheme="minorHAnsi"/>
                    <w:noProof/>
                    <w:sz w:val="22"/>
                    <w:szCs w:val="22"/>
                  </w:rPr>
                  <w:t>(11)</w:t>
                </w:r>
                <w:r w:rsidR="00D9340A" w:rsidRPr="00BB149A">
                  <w:rPr>
                    <w:rFonts w:asciiTheme="minorHAnsi" w:hAnsiTheme="minorHAnsi" w:cstheme="minorHAnsi"/>
                    <w:sz w:val="22"/>
                    <w:szCs w:val="22"/>
                  </w:rPr>
                  <w:fldChar w:fldCharType="end"/>
                </w:r>
              </w:sdtContent>
            </w:sdt>
          </w:p>
        </w:tc>
      </w:tr>
      <w:tr w:rsidR="000B3102" w:rsidTr="00580AEC">
        <w:tc>
          <w:tcPr>
            <w:tcW w:w="1559" w:type="dxa"/>
          </w:tcPr>
          <w:p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Consumer-or person- or patient- centred care</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744D03">
            <w:pPr>
              <w:spacing w:before="60" w:line="240" w:lineRule="auto"/>
              <w:rPr>
                <w:rFonts w:eastAsiaTheme="minorHAnsi" w:cstheme="minorHAnsi"/>
                <w:iCs/>
              </w:rPr>
            </w:pPr>
            <w:r w:rsidRPr="00BB149A">
              <w:rPr>
                <w:rFonts w:eastAsiaTheme="minorHAnsi" w:cstheme="minorHAnsi"/>
                <w:iCs/>
              </w:rPr>
              <w:t>Patient or consumer</w:t>
            </w:r>
            <w:r w:rsidR="00F545A0" w:rsidRPr="00BB149A">
              <w:rPr>
                <w:rFonts w:eastAsiaTheme="minorHAnsi" w:cstheme="minorHAnsi"/>
                <w:iCs/>
              </w:rPr>
              <w:t>-</w:t>
            </w:r>
            <w:r w:rsidRPr="00BB149A">
              <w:rPr>
                <w:rFonts w:eastAsiaTheme="minorHAnsi" w:cstheme="minorHAnsi"/>
                <w:iCs/>
              </w:rPr>
              <w:t xml:space="preserve">centred care is health care that is </w:t>
            </w:r>
            <w:r w:rsidRPr="00BB149A">
              <w:rPr>
                <w:rFonts w:eastAsiaTheme="minorHAnsi" w:cstheme="minorHAnsi"/>
                <w:bCs/>
                <w:iCs/>
              </w:rPr>
              <w:t xml:space="preserve">respectful of, and responsive to, the preferences, needs and values </w:t>
            </w:r>
            <w:r w:rsidRPr="00BB149A">
              <w:rPr>
                <w:rFonts w:eastAsiaTheme="minorHAnsi" w:cstheme="minorHAnsi"/>
                <w:iCs/>
              </w:rPr>
              <w:t>of patients and consumers</w:t>
            </w:r>
            <w:r w:rsidR="00744D03" w:rsidRPr="00BB149A">
              <w:rPr>
                <w:rFonts w:eastAsiaTheme="minorHAnsi" w:cstheme="minorHAnsi"/>
                <w:iCs/>
              </w:rPr>
              <w:t>.</w:t>
            </w:r>
            <w:r w:rsidRPr="00BB149A">
              <w:rPr>
                <w:rFonts w:eastAsiaTheme="minorHAnsi" w:cstheme="minorHAnsi"/>
                <w:iCs/>
              </w:rPr>
              <w:t xml:space="preserve"> </w:t>
            </w:r>
            <w:sdt>
              <w:sdtPr>
                <w:rPr>
                  <w:rFonts w:eastAsiaTheme="minorHAnsi" w:cstheme="minorHAnsi"/>
                  <w:bCs/>
                  <w:iCs/>
                </w:rPr>
                <w:id w:val="-302389093"/>
                <w:citation/>
              </w:sdtPr>
              <w:sdtEndPr/>
              <w:sdtContent>
                <w:r w:rsidR="00D56BB9" w:rsidRPr="00BB149A">
                  <w:rPr>
                    <w:rFonts w:eastAsiaTheme="minorHAnsi" w:cstheme="minorHAnsi"/>
                    <w:bCs/>
                    <w:iCs/>
                  </w:rPr>
                  <w:fldChar w:fldCharType="begin"/>
                </w:r>
                <w:r w:rsidR="00D56BB9" w:rsidRPr="00BB149A">
                  <w:rPr>
                    <w:rFonts w:eastAsiaTheme="minorHAnsi" w:cstheme="minorHAnsi"/>
                    <w:bCs/>
                    <w:iCs/>
                  </w:rPr>
                  <w:instrText xml:space="preserve"> CITATION Aus12 \l 3081 </w:instrText>
                </w:r>
                <w:r w:rsidR="00D56BB9" w:rsidRPr="00BB149A">
                  <w:rPr>
                    <w:rFonts w:eastAsiaTheme="minorHAnsi" w:cstheme="minorHAnsi"/>
                    <w:bCs/>
                    <w:iCs/>
                  </w:rPr>
                  <w:fldChar w:fldCharType="separate"/>
                </w:r>
                <w:r w:rsidR="00D56BB9" w:rsidRPr="00BB149A">
                  <w:rPr>
                    <w:rFonts w:eastAsiaTheme="minorHAnsi" w:cstheme="minorHAnsi"/>
                    <w:noProof/>
                  </w:rPr>
                  <w:t>(6)</w:t>
                </w:r>
                <w:r w:rsidR="00D56BB9" w:rsidRPr="00BB149A">
                  <w:rPr>
                    <w:rFonts w:eastAsiaTheme="minorHAnsi" w:cstheme="minorHAnsi"/>
                    <w:bCs/>
                    <w:iCs/>
                  </w:rPr>
                  <w:fldChar w:fldCharType="end"/>
                </w:r>
              </w:sdtContent>
            </w:sdt>
          </w:p>
        </w:tc>
      </w:tr>
      <w:tr w:rsidR="000B3102" w:rsidTr="00555E72">
        <w:trPr>
          <w:trHeight w:val="697"/>
        </w:trPr>
        <w:tc>
          <w:tcPr>
            <w:tcW w:w="1559" w:type="dxa"/>
          </w:tcPr>
          <w:p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Health literacy</w:t>
            </w:r>
          </w:p>
          <w:p w:rsidR="000B3102" w:rsidRDefault="000B3102" w:rsidP="00DE21E9">
            <w:pPr>
              <w:spacing w:before="60" w:line="240" w:lineRule="auto"/>
              <w:rPr>
                <w:rFonts w:eastAsiaTheme="minorHAnsi" w:cstheme="minorBidi"/>
              </w:rPr>
            </w:pPr>
          </w:p>
        </w:tc>
        <w:tc>
          <w:tcPr>
            <w:tcW w:w="6979" w:type="dxa"/>
          </w:tcPr>
          <w:p w:rsidR="000B3102" w:rsidRPr="00BB149A" w:rsidRDefault="000B3102" w:rsidP="00DE21E9">
            <w:pPr>
              <w:spacing w:before="60" w:line="240" w:lineRule="auto"/>
              <w:rPr>
                <w:rFonts w:eastAsiaTheme="minorHAnsi" w:cstheme="minorHAnsi"/>
              </w:rPr>
            </w:pPr>
            <w:r w:rsidRPr="00BB149A">
              <w:rPr>
                <w:rFonts w:eastAsiaTheme="minorHAnsi" w:cstheme="minorHAnsi"/>
              </w:rPr>
              <w:t xml:space="preserve">Individual health literacy is the knowledge, motivation, skills and capacity of a person to access, understand, appraise and apply information to make effective decisions about health and health care, and make appropriate decisions. </w:t>
            </w:r>
            <w:r w:rsidR="00555E72" w:rsidRPr="00BB149A">
              <w:rPr>
                <w:rFonts w:eastAsiaTheme="minorHAnsi" w:cstheme="minorHAnsi"/>
              </w:rPr>
              <w:br/>
            </w:r>
            <w:r w:rsidRPr="00BB149A">
              <w:rPr>
                <w:rFonts w:eastAsiaTheme="minorHAnsi" w:cstheme="minorHAnsi"/>
              </w:rPr>
              <w:t xml:space="preserve">The health literacy environment is the infrastructure, policies, processes, materials, people and </w:t>
            </w:r>
            <w:r w:rsidRPr="00BB149A">
              <w:rPr>
                <w:rFonts w:eastAsiaTheme="minorHAnsi" w:cstheme="minorHAnsi"/>
              </w:rPr>
              <w:lastRenderedPageBreak/>
              <w:t>relationships that have an impact on the way in which people access, understand, appraise and apply health-related information and service.</w:t>
            </w:r>
            <w:r w:rsidR="00D56BB9" w:rsidRPr="00BB149A">
              <w:rPr>
                <w:rFonts w:eastAsiaTheme="minorHAnsi" w:cstheme="minorHAnsi"/>
              </w:rPr>
              <w:t xml:space="preserve"> </w:t>
            </w:r>
            <w:sdt>
              <w:sdtPr>
                <w:rPr>
                  <w:rFonts w:eastAsiaTheme="minorHAnsi" w:cstheme="minorHAnsi"/>
                </w:rPr>
                <w:id w:val="1635451486"/>
                <w:citation/>
              </w:sdtPr>
              <w:sdtEndPr/>
              <w:sdtContent>
                <w:r w:rsidR="00415649" w:rsidRPr="00BB149A">
                  <w:rPr>
                    <w:rFonts w:eastAsiaTheme="minorHAnsi" w:cstheme="minorHAnsi"/>
                  </w:rPr>
                  <w:fldChar w:fldCharType="begin"/>
                </w:r>
                <w:r w:rsidR="00415649" w:rsidRPr="00BB149A">
                  <w:rPr>
                    <w:rFonts w:eastAsiaTheme="minorHAnsi" w:cstheme="minorHAnsi"/>
                  </w:rPr>
                  <w:instrText xml:space="preserve">CITATION Aus19 \l 3081 </w:instrText>
                </w:r>
                <w:r w:rsidR="00415649" w:rsidRPr="00BB149A">
                  <w:rPr>
                    <w:rFonts w:eastAsiaTheme="minorHAnsi" w:cstheme="minorHAnsi"/>
                  </w:rPr>
                  <w:fldChar w:fldCharType="separate"/>
                </w:r>
                <w:r w:rsidR="00797B8D" w:rsidRPr="00BB149A">
                  <w:rPr>
                    <w:rFonts w:eastAsiaTheme="minorHAnsi" w:cstheme="minorHAnsi"/>
                    <w:noProof/>
                  </w:rPr>
                  <w:t>(14)</w:t>
                </w:r>
                <w:r w:rsidR="00415649" w:rsidRPr="00BB149A">
                  <w:rPr>
                    <w:rFonts w:eastAsiaTheme="minorHAnsi" w:cstheme="minorHAnsi"/>
                  </w:rPr>
                  <w:fldChar w:fldCharType="end"/>
                </w:r>
              </w:sdtContent>
            </w:sdt>
          </w:p>
        </w:tc>
      </w:tr>
      <w:tr w:rsidR="000B3102" w:rsidTr="00580AEC">
        <w:tc>
          <w:tcPr>
            <w:tcW w:w="1559" w:type="dxa"/>
          </w:tcPr>
          <w:p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lastRenderedPageBreak/>
              <w:t>Public participation</w:t>
            </w:r>
          </w:p>
          <w:p w:rsidR="000B3102" w:rsidRDefault="000B3102" w:rsidP="00DE21E9">
            <w:pPr>
              <w:spacing w:before="60" w:line="240" w:lineRule="auto"/>
              <w:rPr>
                <w:rFonts w:eastAsiaTheme="minorHAnsi" w:cstheme="minorBidi"/>
              </w:rPr>
            </w:pPr>
          </w:p>
        </w:tc>
        <w:tc>
          <w:tcPr>
            <w:tcW w:w="6979" w:type="dxa"/>
          </w:tcPr>
          <w:p w:rsidR="003C5212" w:rsidRPr="003C4E48" w:rsidRDefault="000B3102" w:rsidP="00DE21E9">
            <w:pPr>
              <w:spacing w:before="60" w:line="240" w:lineRule="auto"/>
              <w:rPr>
                <w:rFonts w:ascii="Calibri" w:eastAsiaTheme="minorHAnsi" w:hAnsi="Calibri" w:cs="Calibri"/>
              </w:rPr>
            </w:pPr>
            <w:r w:rsidRPr="003C4E48">
              <w:rPr>
                <w:rFonts w:ascii="Calibri" w:eastAsiaTheme="minorHAnsi" w:hAnsi="Calibri" w:cs="Calibri"/>
              </w:rPr>
              <w:t>Any process that involves the public in problem-solving or decision-making and that uses public</w:t>
            </w:r>
            <w:r w:rsidR="0011010B">
              <w:rPr>
                <w:rFonts w:ascii="Calibri" w:eastAsiaTheme="minorHAnsi" w:hAnsi="Calibri" w:cs="Calibri"/>
              </w:rPr>
              <w:t xml:space="preserve"> input to make better decisions.</w:t>
            </w:r>
            <w:r w:rsidR="00D56BB9">
              <w:rPr>
                <w:rFonts w:ascii="Calibri" w:eastAsiaTheme="minorHAnsi" w:hAnsi="Calibri" w:cs="Calibri"/>
              </w:rPr>
              <w:t xml:space="preserve"> </w:t>
            </w:r>
            <w:sdt>
              <w:sdtPr>
                <w:rPr>
                  <w:rFonts w:ascii="Calibri" w:eastAsiaTheme="minorHAnsi" w:hAnsi="Calibri" w:cs="Calibri"/>
                </w:rPr>
                <w:id w:val="767820824"/>
                <w:citation/>
              </w:sdtPr>
              <w:sdtEndPr/>
              <w:sdtContent>
                <w:r w:rsidR="003C5212">
                  <w:rPr>
                    <w:rFonts w:ascii="Calibri" w:eastAsiaTheme="minorHAnsi" w:hAnsi="Calibri" w:cs="Calibri"/>
                  </w:rPr>
                  <w:fldChar w:fldCharType="begin"/>
                </w:r>
                <w:r w:rsidR="003C5212">
                  <w:rPr>
                    <w:rFonts w:ascii="Calibri" w:eastAsiaTheme="minorHAnsi" w:hAnsi="Calibri" w:cs="Calibri"/>
                  </w:rPr>
                  <w:instrText xml:space="preserve"> CITATION Int \l 3081 </w:instrText>
                </w:r>
                <w:r w:rsidR="003C5212">
                  <w:rPr>
                    <w:rFonts w:ascii="Calibri" w:eastAsiaTheme="minorHAnsi" w:hAnsi="Calibri" w:cs="Calibri"/>
                  </w:rPr>
                  <w:fldChar w:fldCharType="separate"/>
                </w:r>
                <w:r w:rsidR="00797B8D" w:rsidRPr="00797B8D">
                  <w:rPr>
                    <w:rFonts w:ascii="Calibri" w:eastAsiaTheme="minorHAnsi" w:hAnsi="Calibri" w:cs="Calibri"/>
                    <w:noProof/>
                  </w:rPr>
                  <w:t>(15)</w:t>
                </w:r>
                <w:r w:rsidR="003C5212">
                  <w:rPr>
                    <w:rFonts w:ascii="Calibri" w:eastAsiaTheme="minorHAnsi" w:hAnsi="Calibri" w:cs="Calibri"/>
                  </w:rPr>
                  <w:fldChar w:fldCharType="end"/>
                </w:r>
              </w:sdtContent>
            </w:sdt>
          </w:p>
          <w:p w:rsidR="000B3102" w:rsidRPr="001F7DC6" w:rsidRDefault="000B3102" w:rsidP="00DE21E9">
            <w:pPr>
              <w:spacing w:before="60" w:line="240" w:lineRule="auto"/>
              <w:rPr>
                <w:rFonts w:ascii="Calibri" w:eastAsiaTheme="minorHAnsi" w:hAnsi="Calibri" w:cs="Calibri"/>
                <w:color w:val="0070C0"/>
                <w:sz w:val="18"/>
                <w:szCs w:val="18"/>
                <w:u w:val="single"/>
              </w:rPr>
            </w:pPr>
            <w:r w:rsidRPr="00722B1F">
              <w:rPr>
                <w:rFonts w:ascii="Calibri" w:eastAsiaTheme="minorHAnsi" w:hAnsi="Calibri" w:cs="Calibri"/>
                <w:noProof/>
              </w:rPr>
              <w:drawing>
                <wp:inline distT="0" distB="0" distL="0" distR="0" wp14:anchorId="5278C8F4" wp14:editId="0DBF3C6E">
                  <wp:extent cx="4290755" cy="3743325"/>
                  <wp:effectExtent l="0" t="0" r="0" b="0"/>
                  <wp:docPr id="9" name="Picture 3" descr="Public participation - a table by the International Association for Public Participation Australasia detailing the Public Participation Spectrum. The table has 5 columns: &#10;1. Inform&#10;2. Consult&#10;3. Involve&#10;4. Collaborate&#10;5. Empower&#10;The table has 3 rows under each of these columns:&#10;1. Public Participation Goal with a definition detailing the goal&#10;2. Promise to the Public with a definition detailing what the promise is&#10;3. Example Tools " title="Glossary of consumer-related terminolog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7283"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652" cy="3823498"/>
                          </a:xfrm>
                          <a:prstGeom prst="rect">
                            <a:avLst/>
                          </a:prstGeom>
                          <a:noFill/>
                          <a:ln>
                            <a:noFill/>
                          </a:ln>
                        </pic:spPr>
                      </pic:pic>
                    </a:graphicData>
                  </a:graphic>
                </wp:inline>
              </w:drawing>
            </w:r>
          </w:p>
        </w:tc>
      </w:tr>
      <w:tr w:rsidR="000B3102" w:rsidTr="00580AEC">
        <w:tc>
          <w:tcPr>
            <w:tcW w:w="1559" w:type="dxa"/>
          </w:tcPr>
          <w:p w:rsidR="000B3102" w:rsidRPr="00722B1F" w:rsidRDefault="000B3102" w:rsidP="00DE21E9">
            <w:pPr>
              <w:spacing w:before="60" w:line="240" w:lineRule="auto"/>
              <w:rPr>
                <w:rFonts w:eastAsiaTheme="minorHAnsi" w:cstheme="minorBidi"/>
                <w:b/>
              </w:rPr>
            </w:pPr>
            <w:r w:rsidRPr="00722B1F">
              <w:rPr>
                <w:rFonts w:eastAsiaTheme="minorHAnsi" w:cstheme="minorBidi"/>
                <w:b/>
              </w:rPr>
              <w:t>Healthcare rights</w:t>
            </w:r>
          </w:p>
          <w:p w:rsidR="000B3102" w:rsidRPr="00722B1F" w:rsidRDefault="000B3102" w:rsidP="00DE21E9">
            <w:pPr>
              <w:spacing w:before="60" w:line="240" w:lineRule="auto"/>
              <w:rPr>
                <w:rFonts w:ascii="Calibri" w:eastAsiaTheme="minorHAnsi" w:hAnsi="Calibri" w:cs="Calibri"/>
                <w:b/>
              </w:rPr>
            </w:pPr>
          </w:p>
        </w:tc>
        <w:tc>
          <w:tcPr>
            <w:tcW w:w="6979" w:type="dxa"/>
          </w:tcPr>
          <w:p w:rsidR="00D74C4D" w:rsidRDefault="000B3102" w:rsidP="00DE21E9">
            <w:pPr>
              <w:autoSpaceDE w:val="0"/>
              <w:autoSpaceDN w:val="0"/>
              <w:adjustRightInd w:val="0"/>
              <w:spacing w:before="60" w:line="240" w:lineRule="auto"/>
              <w:rPr>
                <w:rFonts w:eastAsiaTheme="minorHAnsi"/>
              </w:rPr>
            </w:pPr>
            <w:r w:rsidRPr="00722B1F">
              <w:rPr>
                <w:rFonts w:eastAsiaTheme="minorHAnsi"/>
              </w:rPr>
              <w:t xml:space="preserve">Principles of client-centred care and health rights are enshrined in the </w:t>
            </w:r>
            <w:r w:rsidRPr="00BA0F95">
              <w:rPr>
                <w:rFonts w:eastAsiaTheme="minorHAnsi"/>
                <w:i/>
              </w:rPr>
              <w:t>Australian Charter of Healthcare</w:t>
            </w:r>
            <w:r w:rsidRPr="00722B1F">
              <w:rPr>
                <w:rFonts w:eastAsiaTheme="minorHAnsi"/>
              </w:rPr>
              <w:t xml:space="preserve"> </w:t>
            </w:r>
            <w:r w:rsidRPr="00BA0F95">
              <w:rPr>
                <w:rFonts w:eastAsiaTheme="minorHAnsi"/>
                <w:i/>
              </w:rPr>
              <w:t>Rights</w:t>
            </w:r>
            <w:r w:rsidRPr="00722B1F">
              <w:rPr>
                <w:rFonts w:eastAsiaTheme="minorHAnsi"/>
              </w:rPr>
              <w:t xml:space="preserve"> </w:t>
            </w:r>
            <w:r w:rsidR="00C270AF">
              <w:rPr>
                <w:rFonts w:eastAsiaTheme="minorHAnsi"/>
              </w:rPr>
              <w:t>The Charter outlines</w:t>
            </w:r>
            <w:r w:rsidR="00C270AF" w:rsidRPr="00722B1F">
              <w:rPr>
                <w:rFonts w:eastAsiaTheme="minorHAnsi"/>
              </w:rPr>
              <w:t xml:space="preserve"> </w:t>
            </w:r>
            <w:r w:rsidR="00C270AF">
              <w:rPr>
                <w:rFonts w:eastAsiaTheme="minorHAnsi"/>
              </w:rPr>
              <w:t xml:space="preserve">seven rights </w:t>
            </w:r>
            <w:r w:rsidR="00D56BB9">
              <w:rPr>
                <w:rFonts w:eastAsiaTheme="minorHAnsi"/>
              </w:rPr>
              <w:t>t</w:t>
            </w:r>
            <w:r w:rsidR="00C270AF">
              <w:rPr>
                <w:rFonts w:eastAsiaTheme="minorHAnsi"/>
              </w:rPr>
              <w:t>hat apply to all people in all places where health care is provided in Australia.</w:t>
            </w:r>
            <w:r w:rsidR="00D56BB9">
              <w:rPr>
                <w:rFonts w:eastAsiaTheme="minorHAnsi"/>
              </w:rPr>
              <w:t xml:space="preserve"> </w:t>
            </w:r>
            <w:sdt>
              <w:sdtPr>
                <w:rPr>
                  <w:rFonts w:eastAsiaTheme="minorHAnsi"/>
                </w:rPr>
                <w:id w:val="1285388741"/>
                <w:citation/>
              </w:sdtPr>
              <w:sdtEndPr/>
              <w:sdtContent>
                <w:r w:rsidR="00E9127A">
                  <w:rPr>
                    <w:rFonts w:eastAsiaTheme="minorHAnsi"/>
                  </w:rPr>
                  <w:fldChar w:fldCharType="begin"/>
                </w:r>
                <w:r w:rsidR="00046842">
                  <w:rPr>
                    <w:rFonts w:eastAsiaTheme="minorHAnsi"/>
                  </w:rPr>
                  <w:instrText xml:space="preserve">CITATION Aus \l 3081 </w:instrText>
                </w:r>
                <w:r w:rsidR="00E9127A">
                  <w:rPr>
                    <w:rFonts w:eastAsiaTheme="minorHAnsi"/>
                  </w:rPr>
                  <w:fldChar w:fldCharType="separate"/>
                </w:r>
                <w:r w:rsidR="00046842" w:rsidRPr="00046842">
                  <w:rPr>
                    <w:rFonts w:eastAsiaTheme="minorHAnsi"/>
                    <w:noProof/>
                  </w:rPr>
                  <w:t>(16)</w:t>
                </w:r>
                <w:r w:rsidR="00E9127A">
                  <w:rPr>
                    <w:rFonts w:eastAsiaTheme="minorHAnsi"/>
                  </w:rPr>
                  <w:fldChar w:fldCharType="end"/>
                </w:r>
              </w:sdtContent>
            </w:sdt>
          </w:p>
          <w:p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Access</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Healthcare services and treatment that meets my needs. </w:t>
            </w:r>
          </w:p>
          <w:p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Safety</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Receive safe and high quality health care that meets national standards</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Be cared for in an environment that is safe and makes me feel safe</w:t>
            </w:r>
          </w:p>
          <w:p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Respect</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Be treated as an individual, and with dignity and respect </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Have my culture, identity, beliefs and choices recognised and respected</w:t>
            </w:r>
          </w:p>
          <w:p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Partnership</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Ask questions and be involved in open and honest communication </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lastRenderedPageBreak/>
              <w:t xml:space="preserve">Make decisions with my healthcare provider, to the extent that I choose and am able to </w:t>
            </w:r>
          </w:p>
          <w:p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Include the people that I want in planning and decision-making</w:t>
            </w:r>
          </w:p>
          <w:p w:rsidR="00DE21E9" w:rsidRPr="00BB149A" w:rsidRDefault="00DE21E9" w:rsidP="00E74DE3">
            <w:pPr>
              <w:spacing w:before="60" w:line="240" w:lineRule="auto"/>
              <w:rPr>
                <w:rFonts w:eastAsiaTheme="minorHAnsi" w:cstheme="minorHAnsi"/>
                <w:iCs/>
              </w:rPr>
            </w:pPr>
            <w:r w:rsidRPr="00BB149A">
              <w:rPr>
                <w:rFonts w:eastAsiaTheme="minorHAnsi" w:cstheme="minorHAnsi"/>
                <w:b/>
              </w:rPr>
              <w:t>Information</w:t>
            </w:r>
            <w:r w:rsidR="00E74DE3" w:rsidRPr="00BB149A">
              <w:rPr>
                <w:rFonts w:eastAsiaTheme="minorHAnsi" w:cstheme="minorHAnsi"/>
                <w:b/>
              </w:rPr>
              <w:br/>
            </w:r>
            <w:r w:rsidRPr="00BB149A">
              <w:rPr>
                <w:rFonts w:eastAsiaTheme="minorHAnsi" w:cstheme="minorHAnsi"/>
                <w:iCs/>
              </w:rPr>
              <w:t xml:space="preserve">Clear information about my condition, the possible benefits and risks of different tests and treatments, so I can give my informed consent </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 xml:space="preserve">Receive information about services, waiting times and costs </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 xml:space="preserve">Be given assistance, when I need it, to help me to understand and use health information </w:t>
            </w:r>
          </w:p>
          <w:p w:rsidR="00DE21E9" w:rsidRPr="00BB149A" w:rsidRDefault="00DE21E9" w:rsidP="00DE21E9">
            <w:pPr>
              <w:numPr>
                <w:ilvl w:val="0"/>
                <w:numId w:val="24"/>
              </w:numPr>
              <w:spacing w:before="60" w:line="240" w:lineRule="auto"/>
              <w:rPr>
                <w:rFonts w:eastAsiaTheme="minorHAnsi" w:cstheme="minorHAnsi"/>
              </w:rPr>
            </w:pPr>
            <w:r w:rsidRPr="00BB149A">
              <w:rPr>
                <w:rFonts w:eastAsiaTheme="minorHAnsi" w:cstheme="minorHAnsi"/>
              </w:rPr>
              <w:t xml:space="preserve">Access my </w:t>
            </w:r>
            <w:r w:rsidRPr="00BB149A">
              <w:rPr>
                <w:rFonts w:eastAsiaTheme="minorHAnsi" w:cstheme="minorHAnsi"/>
                <w:iCs/>
              </w:rPr>
              <w:t>health</w:t>
            </w:r>
            <w:r w:rsidRPr="00BB149A">
              <w:rPr>
                <w:rFonts w:eastAsiaTheme="minorHAnsi" w:cstheme="minorHAnsi"/>
              </w:rPr>
              <w:t xml:space="preserve"> information </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Be told if something has gone wrong during my health care, how it happened, how it may affect me and what is being done to make care safe</w:t>
            </w:r>
          </w:p>
          <w:p w:rsidR="00DE21E9" w:rsidRPr="00BB149A" w:rsidRDefault="00DE21E9" w:rsidP="00DE21E9">
            <w:pPr>
              <w:spacing w:before="60" w:line="240" w:lineRule="auto"/>
              <w:rPr>
                <w:rFonts w:eastAsiaTheme="minorHAnsi" w:cstheme="minorHAnsi"/>
                <w:b/>
              </w:rPr>
            </w:pPr>
            <w:r w:rsidRPr="00BB149A">
              <w:rPr>
                <w:rFonts w:eastAsiaTheme="minorHAnsi" w:cstheme="minorHAnsi"/>
                <w:b/>
              </w:rPr>
              <w:t>Privacy</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Have my personal privacy respected</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Have information about me and my health kept secure and confidential</w:t>
            </w:r>
          </w:p>
          <w:p w:rsidR="00DE21E9" w:rsidRPr="00BB149A" w:rsidRDefault="00DE21E9" w:rsidP="00DE21E9">
            <w:pPr>
              <w:spacing w:before="60" w:line="240" w:lineRule="auto"/>
              <w:rPr>
                <w:rFonts w:eastAsiaTheme="minorHAnsi" w:cstheme="minorHAnsi"/>
                <w:b/>
              </w:rPr>
            </w:pPr>
            <w:r w:rsidRPr="00BB149A">
              <w:rPr>
                <w:rFonts w:eastAsiaTheme="minorHAnsi" w:cstheme="minorHAnsi"/>
                <w:b/>
              </w:rPr>
              <w:t>Give Feedback</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 xml:space="preserve">Provide feedback or make a complaint without it affecting the way that I am treated </w:t>
            </w:r>
          </w:p>
          <w:p w:rsidR="00DE21E9" w:rsidRPr="00BB149A" w:rsidRDefault="00DE21E9" w:rsidP="00DE21E9">
            <w:pPr>
              <w:numPr>
                <w:ilvl w:val="0"/>
                <w:numId w:val="24"/>
              </w:numPr>
              <w:spacing w:before="60" w:line="240" w:lineRule="auto"/>
              <w:rPr>
                <w:rFonts w:eastAsiaTheme="minorHAnsi" w:cstheme="minorHAnsi"/>
                <w:iCs/>
              </w:rPr>
            </w:pPr>
            <w:r w:rsidRPr="00BB149A">
              <w:rPr>
                <w:rFonts w:eastAsiaTheme="minorHAnsi" w:cstheme="minorHAnsi"/>
                <w:iCs/>
              </w:rPr>
              <w:t xml:space="preserve">Have my concerns addressed in a transparent and timely way </w:t>
            </w:r>
          </w:p>
          <w:p w:rsidR="000B3102" w:rsidRPr="003C4E48" w:rsidRDefault="00DE21E9" w:rsidP="00DE21E9">
            <w:pPr>
              <w:numPr>
                <w:ilvl w:val="0"/>
                <w:numId w:val="24"/>
              </w:numPr>
              <w:spacing w:before="60" w:line="240" w:lineRule="auto"/>
              <w:rPr>
                <w:rFonts w:ascii="Calibri" w:eastAsiaTheme="minorHAnsi" w:hAnsi="Calibri" w:cs="Calibri"/>
              </w:rPr>
            </w:pPr>
            <w:r w:rsidRPr="00BB149A">
              <w:rPr>
                <w:rFonts w:eastAsiaTheme="minorHAnsi" w:cstheme="minorHAnsi"/>
                <w:iCs/>
              </w:rPr>
              <w:t>Share my experience and participate to improve the quality of care and health services</w:t>
            </w:r>
          </w:p>
        </w:tc>
      </w:tr>
      <w:tr w:rsidR="000B3102" w:rsidTr="00E74DE3">
        <w:trPr>
          <w:trHeight w:val="6064"/>
        </w:trPr>
        <w:tc>
          <w:tcPr>
            <w:tcW w:w="1559" w:type="dxa"/>
          </w:tcPr>
          <w:p w:rsidR="000B3102" w:rsidRPr="00722B1F" w:rsidRDefault="000B3102" w:rsidP="00DE21E9">
            <w:pPr>
              <w:spacing w:before="60" w:line="240" w:lineRule="auto"/>
              <w:rPr>
                <w:rFonts w:eastAsiaTheme="minorHAnsi" w:cs="Minion Pro"/>
                <w:b/>
              </w:rPr>
            </w:pPr>
            <w:r w:rsidRPr="00722B1F">
              <w:rPr>
                <w:rFonts w:eastAsiaTheme="minorHAnsi" w:cs="Minion Pro"/>
                <w:b/>
              </w:rPr>
              <w:lastRenderedPageBreak/>
              <w:t>Clinical Practice Guidelines (CPGs)</w:t>
            </w:r>
          </w:p>
          <w:p w:rsidR="000B3102" w:rsidRPr="00722B1F" w:rsidRDefault="000B3102" w:rsidP="00DE21E9">
            <w:pPr>
              <w:spacing w:before="60" w:line="240" w:lineRule="auto"/>
              <w:rPr>
                <w:rFonts w:ascii="Calibri" w:eastAsiaTheme="minorHAnsi" w:hAnsi="Calibri" w:cs="Calibri"/>
                <w:b/>
              </w:rPr>
            </w:pPr>
          </w:p>
        </w:tc>
        <w:tc>
          <w:tcPr>
            <w:tcW w:w="6979" w:type="dxa"/>
          </w:tcPr>
          <w:p w:rsidR="000B3102" w:rsidRPr="00722B1F" w:rsidRDefault="000B3102" w:rsidP="00DE21E9">
            <w:pPr>
              <w:spacing w:before="60" w:line="240" w:lineRule="auto"/>
              <w:rPr>
                <w:rFonts w:eastAsiaTheme="minorHAnsi" w:cstheme="minorBidi"/>
              </w:rPr>
            </w:pPr>
            <w:r w:rsidRPr="00722B1F">
              <w:rPr>
                <w:rFonts w:eastAsiaTheme="minorHAnsi" w:cstheme="minorBidi"/>
              </w:rPr>
              <w:t xml:space="preserve">Clinical Practice Guidelines are statements that include recommendations intended to optimise patient care that are informed by a systematic review of evidence and an assessment of the benefits and harms of alternative care options. They are different from other sources of health information because they present recommendations about what should or should not be provided or done, something that other sources of information do not generally do. Since many of these recommendations will directly affect the care received by patients and the public, it seems natural that efforts should be made to produce guideline-derived materials that are meant to be used by patients and the public to support their health care decisions. </w:t>
            </w:r>
          </w:p>
          <w:p w:rsidR="00611A29" w:rsidRDefault="000B3102" w:rsidP="00DE21E9">
            <w:pPr>
              <w:spacing w:before="60" w:line="240" w:lineRule="auto"/>
              <w:rPr>
                <w:rFonts w:eastAsiaTheme="minorHAnsi" w:cstheme="minorBidi"/>
              </w:rPr>
            </w:pPr>
            <w:r w:rsidRPr="00722B1F">
              <w:rPr>
                <w:rFonts w:eastAsiaTheme="minorHAnsi" w:cstheme="minorBidi"/>
              </w:rPr>
              <w:t>The adequate application of a guideline does not only imply strict adherence to guideline recommendations but also reasonable non-adherence due to a patient’s individual preferences or circumstances. It is crucial that guidelines convey this idea to both physicians and patients and provide information to facilitate decision making the importance of presenting recommendations that relate to self-management was one of the strongest messages</w:t>
            </w:r>
            <w:r w:rsidR="0011010B">
              <w:rPr>
                <w:rFonts w:eastAsiaTheme="minorHAnsi" w:cstheme="minorBidi"/>
              </w:rPr>
              <w:t xml:space="preserve"> (from patients and the public) </w:t>
            </w:r>
            <w:r w:rsidRPr="00722B1F">
              <w:rPr>
                <w:rFonts w:eastAsiaTheme="minorHAnsi" w:cstheme="minorBidi"/>
              </w:rPr>
              <w:t>relatively few patient versions in the English language currently meet this need.</w:t>
            </w:r>
            <w:r w:rsidR="00046842">
              <w:rPr>
                <w:rFonts w:eastAsiaTheme="minorHAnsi" w:cstheme="minorBidi"/>
              </w:rPr>
              <w:t xml:space="preserve"> </w:t>
            </w:r>
            <w:sdt>
              <w:sdtPr>
                <w:rPr>
                  <w:rFonts w:eastAsiaTheme="minorHAnsi" w:cstheme="minorBidi"/>
                </w:rPr>
                <w:id w:val="509643265"/>
                <w:citation/>
              </w:sdtPr>
              <w:sdtEndPr/>
              <w:sdtContent>
                <w:r w:rsidR="00AD603B">
                  <w:rPr>
                    <w:rFonts w:eastAsiaTheme="minorHAnsi" w:cstheme="minorBidi"/>
                  </w:rPr>
                  <w:fldChar w:fldCharType="begin"/>
                </w:r>
                <w:r w:rsidR="00AD603B">
                  <w:rPr>
                    <w:rFonts w:eastAsiaTheme="minorHAnsi" w:cstheme="minorBidi"/>
                  </w:rPr>
                  <w:instrText xml:space="preserve"> CITATION Gui \l 3081 </w:instrText>
                </w:r>
                <w:r w:rsidR="00AD603B">
                  <w:rPr>
                    <w:rFonts w:eastAsiaTheme="minorHAnsi" w:cstheme="minorBidi"/>
                  </w:rPr>
                  <w:fldChar w:fldCharType="separate"/>
                </w:r>
                <w:r w:rsidR="00797B8D" w:rsidRPr="00797B8D">
                  <w:rPr>
                    <w:rFonts w:eastAsiaTheme="minorHAnsi" w:cstheme="minorBidi"/>
                    <w:noProof/>
                  </w:rPr>
                  <w:t>(17)</w:t>
                </w:r>
                <w:r w:rsidR="00AD603B">
                  <w:rPr>
                    <w:rFonts w:eastAsiaTheme="minorHAnsi" w:cstheme="minorBidi"/>
                  </w:rPr>
                  <w:fldChar w:fldCharType="end"/>
                </w:r>
              </w:sdtContent>
            </w:sdt>
          </w:p>
          <w:p w:rsidR="000B3102" w:rsidRPr="001F7DC6" w:rsidRDefault="000B3102" w:rsidP="00BB149A">
            <w:pPr>
              <w:spacing w:before="60" w:line="240" w:lineRule="auto"/>
              <w:rPr>
                <w:rFonts w:eastAsiaTheme="minorHAnsi" w:cstheme="minorBidi"/>
              </w:rPr>
            </w:pPr>
            <w:r w:rsidRPr="00722B1F">
              <w:rPr>
                <w:rFonts w:eastAsiaTheme="minorHAnsi" w:cstheme="minorBidi"/>
                <w:b/>
                <w:i/>
              </w:rPr>
              <w:t>Note:</w:t>
            </w:r>
            <w:r w:rsidRPr="00722B1F">
              <w:rPr>
                <w:rFonts w:eastAsiaTheme="minorHAnsi" w:cstheme="minorBidi"/>
              </w:rPr>
              <w:t xml:space="preserve"> Guidelines in some areas are difficult to access because of software incompatibility. It is important to ask for the Guidelines approp</w:t>
            </w:r>
            <w:r>
              <w:rPr>
                <w:rFonts w:eastAsiaTheme="minorHAnsi" w:cstheme="minorBidi"/>
              </w:rPr>
              <w:t>riate for your Committee.</w:t>
            </w:r>
          </w:p>
        </w:tc>
      </w:tr>
      <w:tr w:rsidR="000B3102" w:rsidTr="00E74DE3">
        <w:trPr>
          <w:trHeight w:val="694"/>
        </w:trPr>
        <w:tc>
          <w:tcPr>
            <w:tcW w:w="1559" w:type="dxa"/>
          </w:tcPr>
          <w:p w:rsidR="000B3102" w:rsidRDefault="000B3102" w:rsidP="00DE21E9">
            <w:pPr>
              <w:spacing w:before="60" w:line="240" w:lineRule="auto"/>
              <w:rPr>
                <w:rFonts w:eastAsiaTheme="minorHAnsi" w:cstheme="minorBidi"/>
                <w:b/>
              </w:rPr>
            </w:pPr>
            <w:r w:rsidRPr="00722B1F">
              <w:rPr>
                <w:rFonts w:eastAsiaTheme="minorHAnsi" w:cstheme="minorBidi"/>
                <w:b/>
              </w:rPr>
              <w:lastRenderedPageBreak/>
              <w:t>Transparency in healthca</w:t>
            </w:r>
            <w:r w:rsidR="00046842">
              <w:rPr>
                <w:rFonts w:eastAsiaTheme="minorHAnsi" w:cstheme="minorBidi"/>
                <w:b/>
              </w:rPr>
              <w:t>re</w:t>
            </w:r>
          </w:p>
          <w:p w:rsidR="00E74DE3" w:rsidRPr="00046842" w:rsidRDefault="00E74DE3" w:rsidP="00DE21E9">
            <w:pPr>
              <w:spacing w:before="60" w:line="240" w:lineRule="auto"/>
              <w:rPr>
                <w:rFonts w:eastAsiaTheme="minorHAnsi" w:cstheme="minorBidi"/>
                <w:b/>
              </w:rPr>
            </w:pPr>
          </w:p>
        </w:tc>
        <w:tc>
          <w:tcPr>
            <w:tcW w:w="6979" w:type="dxa"/>
          </w:tcPr>
          <w:p w:rsidR="000B3102" w:rsidRPr="0011010B" w:rsidRDefault="000B3102" w:rsidP="00DE21E9">
            <w:pPr>
              <w:spacing w:before="60" w:line="240" w:lineRule="auto"/>
              <w:rPr>
                <w:rFonts w:eastAsiaTheme="minorHAnsi" w:cstheme="minorBidi"/>
              </w:rPr>
            </w:pPr>
            <w:r w:rsidRPr="003C4E48">
              <w:rPr>
                <w:rFonts w:eastAsiaTheme="minorHAnsi" w:cstheme="minorBidi"/>
              </w:rPr>
              <w:t>The free, uninhibited flow of information that is open to the scrutiny of others</w:t>
            </w:r>
            <w:r>
              <w:rPr>
                <w:rFonts w:eastAsiaTheme="minorHAnsi" w:cstheme="minorBidi"/>
              </w:rPr>
              <w:t>.</w:t>
            </w:r>
            <w:r w:rsidR="00046842">
              <w:rPr>
                <w:rFonts w:eastAsiaTheme="minorHAnsi" w:cstheme="minorBidi"/>
              </w:rPr>
              <w:t xml:space="preserve"> </w:t>
            </w:r>
            <w:sdt>
              <w:sdtPr>
                <w:rPr>
                  <w:rFonts w:eastAsiaTheme="minorHAnsi" w:cstheme="minorBidi"/>
                </w:rPr>
                <w:id w:val="831804327"/>
                <w:citation/>
              </w:sdtPr>
              <w:sdtEndPr/>
              <w:sdtContent>
                <w:r w:rsidR="00AD5582">
                  <w:rPr>
                    <w:rFonts w:eastAsiaTheme="minorHAnsi" w:cstheme="minorBidi"/>
                  </w:rPr>
                  <w:fldChar w:fldCharType="begin"/>
                </w:r>
                <w:r w:rsidR="00AD5582">
                  <w:rPr>
                    <w:rFonts w:eastAsiaTheme="minorHAnsi" w:cstheme="minorBidi"/>
                  </w:rPr>
                  <w:instrText xml:space="preserve"> CITATION Nat15 \l 3081 </w:instrText>
                </w:r>
                <w:r w:rsidR="00AD5582">
                  <w:rPr>
                    <w:rFonts w:eastAsiaTheme="minorHAnsi" w:cstheme="minorBidi"/>
                  </w:rPr>
                  <w:fldChar w:fldCharType="separate"/>
                </w:r>
                <w:r w:rsidR="00797B8D" w:rsidRPr="00797B8D">
                  <w:rPr>
                    <w:rFonts w:eastAsiaTheme="minorHAnsi" w:cstheme="minorBidi"/>
                    <w:noProof/>
                  </w:rPr>
                  <w:t>(18)</w:t>
                </w:r>
                <w:r w:rsidR="00AD5582">
                  <w:rPr>
                    <w:rFonts w:eastAsiaTheme="minorHAnsi" w:cstheme="minorBidi"/>
                  </w:rPr>
                  <w:fldChar w:fldCharType="end"/>
                </w:r>
              </w:sdtContent>
            </w:sdt>
          </w:p>
        </w:tc>
      </w:tr>
      <w:tr w:rsidR="000B3102" w:rsidTr="00580AEC">
        <w:tc>
          <w:tcPr>
            <w:tcW w:w="1559" w:type="dxa"/>
          </w:tcPr>
          <w:p w:rsidR="000B3102" w:rsidRPr="00722B1F" w:rsidRDefault="000B3102" w:rsidP="00DE21E9">
            <w:pPr>
              <w:spacing w:before="60" w:line="240" w:lineRule="auto"/>
              <w:rPr>
                <w:rFonts w:eastAsiaTheme="minorHAnsi" w:cstheme="minorBidi"/>
                <w:b/>
              </w:rPr>
            </w:pPr>
            <w:r w:rsidRPr="00722B1F">
              <w:rPr>
                <w:rFonts w:eastAsiaTheme="minorHAnsi" w:cstheme="minorBidi"/>
                <w:b/>
              </w:rPr>
              <w:t>Value in healthcare</w:t>
            </w:r>
          </w:p>
          <w:p w:rsidR="000B3102" w:rsidRPr="00722B1F" w:rsidRDefault="000B3102" w:rsidP="00DE21E9">
            <w:pPr>
              <w:spacing w:before="60" w:line="240" w:lineRule="auto"/>
              <w:rPr>
                <w:rFonts w:ascii="Calibri" w:eastAsiaTheme="minorHAnsi" w:hAnsi="Calibri" w:cs="Calibri"/>
                <w:b/>
              </w:rPr>
            </w:pPr>
          </w:p>
        </w:tc>
        <w:tc>
          <w:tcPr>
            <w:tcW w:w="6979" w:type="dxa"/>
          </w:tcPr>
          <w:p w:rsidR="000B3102" w:rsidRPr="003C3652" w:rsidRDefault="000B3102" w:rsidP="00DE21E9">
            <w:pPr>
              <w:spacing w:before="60" w:line="240" w:lineRule="auto"/>
              <w:rPr>
                <w:rFonts w:eastAsiaTheme="minorHAnsi" w:cstheme="minorHAnsi"/>
                <w:bCs/>
                <w:szCs w:val="22"/>
              </w:rPr>
            </w:pPr>
            <w:r w:rsidRPr="003C3652">
              <w:rPr>
                <w:rFonts w:eastAsiaTheme="minorHAnsi" w:cstheme="minorHAnsi"/>
                <w:bCs/>
                <w:szCs w:val="22"/>
              </w:rPr>
              <w:t xml:space="preserve">Where would we start if care and support were person-centred? </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We would start by understanding what matters to the patient.</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Every encounter would be one which embraces the patient as person rather than object.</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 xml:space="preserve">We would explore their health beliefs, motivations, knowledge, skills, learning styles and familial and social context as well as according to their disease and demography. </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Interventions would be targeted and tailored based on these insights to support people to achieve their goals.</w:t>
            </w:r>
          </w:p>
          <w:p w:rsidR="000B3102" w:rsidRPr="00BB149A" w:rsidRDefault="000B3102" w:rsidP="00DE21E9">
            <w:pPr>
              <w:spacing w:before="60" w:line="240" w:lineRule="auto"/>
              <w:rPr>
                <w:rFonts w:eastAsiaTheme="minorHAnsi" w:cstheme="minorHAnsi"/>
                <w:szCs w:val="22"/>
              </w:rPr>
            </w:pPr>
            <w:r w:rsidRPr="00BB149A">
              <w:rPr>
                <w:rFonts w:eastAsiaTheme="minorHAnsi" w:cstheme="minorHAnsi"/>
                <w:szCs w:val="22"/>
              </w:rPr>
              <w:t>[We would] measure:</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How far people’s preferences are supported.</w:t>
            </w:r>
          </w:p>
          <w:p w:rsidR="000B3102" w:rsidRPr="003C3652" w:rsidRDefault="000B3102" w:rsidP="009E0569">
            <w:pPr>
              <w:numPr>
                <w:ilvl w:val="0"/>
                <w:numId w:val="24"/>
              </w:numPr>
              <w:spacing w:before="60" w:line="240" w:lineRule="auto"/>
              <w:rPr>
                <w:rFonts w:eastAsiaTheme="minorHAnsi" w:cstheme="minorHAnsi"/>
                <w:iCs/>
                <w:szCs w:val="22"/>
              </w:rPr>
            </w:pPr>
            <w:r w:rsidRPr="003C3652">
              <w:rPr>
                <w:rFonts w:eastAsiaTheme="minorHAnsi" w:cstheme="minorHAnsi"/>
                <w:iCs/>
                <w:szCs w:val="22"/>
              </w:rPr>
              <w:t>How confident and able people are to manage their long-term conditions better.</w:t>
            </w:r>
          </w:p>
          <w:p w:rsidR="000B3102" w:rsidRPr="0011010B" w:rsidRDefault="000B3102" w:rsidP="009E0569">
            <w:pPr>
              <w:numPr>
                <w:ilvl w:val="0"/>
                <w:numId w:val="24"/>
              </w:numPr>
              <w:spacing w:before="60" w:line="240" w:lineRule="auto"/>
              <w:rPr>
                <w:rFonts w:eastAsiaTheme="minorHAnsi" w:cs="Minion Pro"/>
              </w:rPr>
            </w:pPr>
            <w:r w:rsidRPr="003C3652">
              <w:rPr>
                <w:rFonts w:eastAsiaTheme="minorHAnsi" w:cstheme="minorHAnsi"/>
                <w:iCs/>
                <w:szCs w:val="22"/>
              </w:rPr>
              <w:t>The extent to which the NHS has been successful, working in partnership with others such as social care, housing and the voluntary sector, supporting people to achieve their outcomes</w:t>
            </w:r>
            <w:r w:rsidRPr="00BB149A">
              <w:rPr>
                <w:rFonts w:eastAsiaTheme="minorHAnsi" w:cstheme="minorHAnsi"/>
                <w:szCs w:val="22"/>
              </w:rPr>
              <w:t xml:space="preserve">. </w:t>
            </w:r>
            <w:sdt>
              <w:sdtPr>
                <w:rPr>
                  <w:rFonts w:eastAsiaTheme="minorHAnsi" w:cstheme="minorHAnsi"/>
                  <w:szCs w:val="22"/>
                </w:rPr>
                <w:id w:val="-363605284"/>
                <w:citation/>
              </w:sdtPr>
              <w:sdtEndPr/>
              <w:sdtContent>
                <w:r w:rsidR="001B0C8D" w:rsidRPr="00BB149A">
                  <w:rPr>
                    <w:rFonts w:eastAsiaTheme="minorHAnsi" w:cstheme="minorHAnsi"/>
                    <w:szCs w:val="22"/>
                  </w:rPr>
                  <w:fldChar w:fldCharType="begin"/>
                </w:r>
                <w:r w:rsidR="001B0C8D" w:rsidRPr="00BB149A">
                  <w:rPr>
                    <w:rFonts w:eastAsiaTheme="minorHAnsi" w:cstheme="minorHAnsi"/>
                    <w:szCs w:val="22"/>
                  </w:rPr>
                  <w:instrText xml:space="preserve"> CITATION The14 \l 3081 </w:instrText>
                </w:r>
                <w:r w:rsidR="001B0C8D" w:rsidRPr="00BB149A">
                  <w:rPr>
                    <w:rFonts w:eastAsiaTheme="minorHAnsi" w:cstheme="minorHAnsi"/>
                    <w:szCs w:val="22"/>
                  </w:rPr>
                  <w:fldChar w:fldCharType="separate"/>
                </w:r>
                <w:r w:rsidR="00797B8D" w:rsidRPr="00BB149A">
                  <w:rPr>
                    <w:rFonts w:eastAsiaTheme="minorHAnsi" w:cstheme="minorHAnsi"/>
                    <w:noProof/>
                    <w:szCs w:val="22"/>
                  </w:rPr>
                  <w:t>(19)</w:t>
                </w:r>
                <w:r w:rsidR="001B0C8D" w:rsidRPr="00BB149A">
                  <w:rPr>
                    <w:rFonts w:eastAsiaTheme="minorHAnsi" w:cstheme="minorHAnsi"/>
                    <w:szCs w:val="22"/>
                  </w:rPr>
                  <w:fldChar w:fldCharType="end"/>
                </w:r>
              </w:sdtContent>
            </w:sdt>
          </w:p>
        </w:tc>
      </w:tr>
    </w:tbl>
    <w:p w:rsidR="00676B29" w:rsidRDefault="00676B29">
      <w:r>
        <w:br w:type="page"/>
      </w:r>
    </w:p>
    <w:p w:rsidR="000B3102" w:rsidRPr="009E0569" w:rsidRDefault="00DE21E9" w:rsidP="000830F6">
      <w:pPr>
        <w:pStyle w:val="Heading1"/>
        <w:spacing w:before="240" w:after="120"/>
        <w:ind w:left="431" w:hanging="431"/>
        <w:rPr>
          <w:rFonts w:cs="Times New Roman"/>
          <w:bCs w:val="0"/>
          <w:szCs w:val="24"/>
          <w:lang w:val="en-AU" w:eastAsia="en-AU"/>
        </w:rPr>
      </w:pPr>
      <w:bookmarkStart w:id="59" w:name="_Toc33103209"/>
      <w:bookmarkStart w:id="60" w:name="_Hlk521149968"/>
      <w:r w:rsidRPr="009E0569">
        <w:rPr>
          <w:rFonts w:cs="Times New Roman"/>
          <w:bCs w:val="0"/>
          <w:szCs w:val="24"/>
          <w:lang w:val="en-AU" w:eastAsia="en-AU"/>
        </w:rPr>
        <w:lastRenderedPageBreak/>
        <w:t>A</w:t>
      </w:r>
      <w:r w:rsidR="000B3102" w:rsidRPr="009E0569">
        <w:rPr>
          <w:rFonts w:cs="Times New Roman"/>
          <w:bCs w:val="0"/>
          <w:szCs w:val="24"/>
          <w:lang w:val="en-AU" w:eastAsia="en-AU"/>
        </w:rPr>
        <w:t>ppendices</w:t>
      </w:r>
      <w:bookmarkEnd w:id="59"/>
    </w:p>
    <w:p w:rsidR="00937D2A" w:rsidRDefault="000B3102"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 xml:space="preserve">Consumer Panel Terms of Reference </w:t>
      </w:r>
      <w:bookmarkEnd w:id="60"/>
    </w:p>
    <w:p w:rsidR="00937D2A" w:rsidRDefault="00937D2A" w:rsidP="000C2A76">
      <w:pPr>
        <w:pStyle w:val="ListParagraph"/>
        <w:numPr>
          <w:ilvl w:val="0"/>
          <w:numId w:val="36"/>
        </w:numPr>
        <w:spacing w:before="0" w:after="180" w:line="240" w:lineRule="auto"/>
        <w:contextualSpacing w:val="0"/>
        <w:rPr>
          <w:rFonts w:eastAsiaTheme="minorHAnsi"/>
          <w:lang w:eastAsia="en-US"/>
        </w:rPr>
      </w:pPr>
      <w:r>
        <w:rPr>
          <w:rFonts w:eastAsiaTheme="minorHAnsi"/>
          <w:lang w:eastAsia="en-US"/>
        </w:rPr>
        <w:t>Consumer Engagement Resource</w:t>
      </w:r>
    </w:p>
    <w:p w:rsidR="00937D2A" w:rsidRDefault="00937D2A"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Consumer Engagement in the MBS Review - Frequently Asked Questions</w:t>
      </w:r>
    </w:p>
    <w:p w:rsidR="00937D2A" w:rsidRPr="00937D2A" w:rsidRDefault="00937D2A"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Guidance for Committee Chairp</w:t>
      </w:r>
      <w:r w:rsidR="00E74DE3">
        <w:rPr>
          <w:rFonts w:eastAsiaTheme="minorHAnsi"/>
          <w:lang w:eastAsia="en-US"/>
        </w:rPr>
        <w:t>ersons to S</w:t>
      </w:r>
      <w:r w:rsidRPr="00937D2A">
        <w:rPr>
          <w:rFonts w:eastAsiaTheme="minorHAnsi"/>
          <w:lang w:eastAsia="en-US"/>
        </w:rPr>
        <w:t xml:space="preserve">upport </w:t>
      </w:r>
      <w:r w:rsidR="00E74DE3">
        <w:rPr>
          <w:rFonts w:eastAsiaTheme="minorHAnsi"/>
          <w:lang w:eastAsia="en-US"/>
        </w:rPr>
        <w:t>E</w:t>
      </w:r>
      <w:r w:rsidRPr="00937D2A">
        <w:rPr>
          <w:rFonts w:eastAsiaTheme="minorHAnsi"/>
          <w:lang w:eastAsia="en-US"/>
        </w:rPr>
        <w:t xml:space="preserve">ffective </w:t>
      </w:r>
      <w:r w:rsidR="00E74DE3">
        <w:rPr>
          <w:rFonts w:eastAsiaTheme="minorHAnsi"/>
          <w:lang w:eastAsia="en-US"/>
        </w:rPr>
        <w:t>E</w:t>
      </w:r>
      <w:r w:rsidRPr="00937D2A">
        <w:rPr>
          <w:rFonts w:eastAsiaTheme="minorHAnsi"/>
          <w:lang w:eastAsia="en-US"/>
        </w:rPr>
        <w:t xml:space="preserve">ngagement of </w:t>
      </w:r>
      <w:r w:rsidR="00F545A0">
        <w:rPr>
          <w:rFonts w:eastAsiaTheme="minorHAnsi"/>
          <w:lang w:eastAsia="en-US"/>
        </w:rPr>
        <w:t>C</w:t>
      </w:r>
      <w:r w:rsidR="00F545A0" w:rsidRPr="00937D2A">
        <w:rPr>
          <w:rFonts w:eastAsiaTheme="minorHAnsi"/>
          <w:lang w:eastAsia="en-US"/>
        </w:rPr>
        <w:t xml:space="preserve">onsumer </w:t>
      </w:r>
      <w:r w:rsidR="00F545A0">
        <w:rPr>
          <w:rFonts w:eastAsiaTheme="minorHAnsi"/>
          <w:lang w:eastAsia="en-US"/>
        </w:rPr>
        <w:t>M</w:t>
      </w:r>
      <w:r w:rsidR="00F545A0" w:rsidRPr="00937D2A">
        <w:rPr>
          <w:rFonts w:eastAsiaTheme="minorHAnsi"/>
          <w:lang w:eastAsia="en-US"/>
        </w:rPr>
        <w:t>embers</w:t>
      </w:r>
    </w:p>
    <w:p w:rsidR="0011010B" w:rsidRPr="00937D2A" w:rsidRDefault="0011010B" w:rsidP="000C2A76">
      <w:pPr>
        <w:pStyle w:val="ListParagraph"/>
        <w:numPr>
          <w:ilvl w:val="0"/>
          <w:numId w:val="37"/>
        </w:numPr>
        <w:spacing w:before="0" w:after="180" w:line="240" w:lineRule="auto"/>
        <w:contextualSpacing w:val="0"/>
        <w:rPr>
          <w:rFonts w:eastAsiaTheme="minorHAnsi"/>
        </w:rPr>
      </w:pPr>
      <w:r w:rsidRPr="00937D2A">
        <w:rPr>
          <w:rFonts w:eastAsiaTheme="minorHAnsi"/>
        </w:rPr>
        <w:br w:type="page"/>
      </w:r>
      <w:bookmarkEnd w:id="58"/>
    </w:p>
    <w:bookmarkStart w:id="61" w:name="_Toc33103210" w:displacedByCustomXml="next"/>
    <w:sdt>
      <w:sdtPr>
        <w:rPr>
          <w:rFonts w:cs="Times New Roman"/>
          <w:b w:val="0"/>
          <w:bCs w:val="0"/>
          <w:color w:val="auto"/>
          <w:sz w:val="22"/>
          <w:szCs w:val="24"/>
          <w:lang w:val="en-AU" w:eastAsia="en-AU"/>
        </w:rPr>
        <w:id w:val="-1015454715"/>
        <w:docPartObj>
          <w:docPartGallery w:val="Bibliographies"/>
          <w:docPartUnique/>
        </w:docPartObj>
      </w:sdtPr>
      <w:sdtEndPr/>
      <w:sdtContent>
        <w:p w:rsidR="00260305" w:rsidRDefault="00260305" w:rsidP="000830F6">
          <w:pPr>
            <w:pStyle w:val="Heading1"/>
            <w:spacing w:before="240" w:after="120"/>
            <w:ind w:left="431" w:hanging="431"/>
          </w:pPr>
          <w:r>
            <w:t>References</w:t>
          </w:r>
          <w:bookmarkEnd w:id="61"/>
        </w:p>
        <w:sdt>
          <w:sdtPr>
            <w:id w:val="-573587230"/>
            <w:bibliography/>
          </w:sdtPr>
          <w:sdtEndPr/>
          <w:sdtContent>
            <w:p w:rsidR="00394CC5" w:rsidRDefault="00E641C2" w:rsidP="00394CC5">
              <w:pPr>
                <w:pStyle w:val="Bibliography"/>
                <w:rPr>
                  <w:noProof/>
                  <w:sz w:val="24"/>
                  <w:lang w:val="en-US"/>
                </w:rPr>
              </w:pPr>
              <w:r>
                <w:fldChar w:fldCharType="begin"/>
              </w:r>
              <w:r>
                <w:instrText xml:space="preserve"> BIBLIOGRAPHY </w:instrText>
              </w:r>
              <w:r>
                <w:fldChar w:fldCharType="separate"/>
              </w:r>
              <w:r w:rsidR="00394CC5">
                <w:rPr>
                  <w:noProof/>
                  <w:lang w:val="en-US"/>
                </w:rPr>
                <w:t xml:space="preserve">1. </w:t>
              </w:r>
              <w:r w:rsidR="00394CC5">
                <w:rPr>
                  <w:b/>
                  <w:bCs/>
                  <w:noProof/>
                  <w:lang w:val="en-US"/>
                </w:rPr>
                <w:t>Consumer Health Forum.</w:t>
              </w:r>
              <w:r w:rsidR="00394CC5">
                <w:rPr>
                  <w:noProof/>
                  <w:lang w:val="en-US"/>
                </w:rPr>
                <w:t xml:space="preserve"> Submission to MBS Review Taskforce. [Online] November 12, 2015. https://chf.org.au/publications/publication/submission-medicare-benefits-schedule-review.</w:t>
              </w:r>
            </w:p>
            <w:p w:rsidR="00394CC5" w:rsidRDefault="00394CC5" w:rsidP="00394CC5">
              <w:pPr>
                <w:pStyle w:val="Bibliography"/>
                <w:rPr>
                  <w:noProof/>
                  <w:lang w:val="en-US"/>
                </w:rPr>
              </w:pPr>
              <w:r>
                <w:rPr>
                  <w:noProof/>
                  <w:lang w:val="en-US"/>
                </w:rPr>
                <w:t xml:space="preserve">2. </w:t>
              </w:r>
              <w:r>
                <w:rPr>
                  <w:b/>
                  <w:bCs/>
                  <w:noProof/>
                  <w:lang w:val="en-US"/>
                </w:rPr>
                <w:t>NSQHS Standards.</w:t>
              </w:r>
              <w:r>
                <w:rPr>
                  <w:noProof/>
                  <w:lang w:val="en-US"/>
                </w:rPr>
                <w:t xml:space="preserve"> 2. Partnering with Consumers. </w:t>
              </w:r>
              <w:r>
                <w:rPr>
                  <w:i/>
                  <w:iCs/>
                  <w:noProof/>
                  <w:lang w:val="en-US"/>
                </w:rPr>
                <w:t xml:space="preserve">National Safety and Quality Health Service. </w:t>
              </w:r>
              <w:r>
                <w:rPr>
                  <w:noProof/>
                  <w:lang w:val="en-US"/>
                </w:rPr>
                <w:t>[Online] 2017. https://www.nationalstandards.safetyandquality.gov.au/2.-partnering-consumers.</w:t>
              </w:r>
            </w:p>
            <w:p w:rsidR="00394CC5" w:rsidRDefault="00394CC5" w:rsidP="00394CC5">
              <w:pPr>
                <w:pStyle w:val="Bibliography"/>
                <w:rPr>
                  <w:noProof/>
                  <w:lang w:val="en-US"/>
                </w:rPr>
              </w:pPr>
              <w:r>
                <w:rPr>
                  <w:noProof/>
                  <w:lang w:val="en-US"/>
                </w:rPr>
                <w:t xml:space="preserve">3. </w:t>
              </w:r>
              <w:r>
                <w:rPr>
                  <w:b/>
                  <w:bCs/>
                  <w:noProof/>
                  <w:lang w:val="en-US"/>
                </w:rPr>
                <w:t>Elshaug, Adam.</w:t>
              </w:r>
              <w:r>
                <w:rPr>
                  <w:noProof/>
                  <w:lang w:val="en-US"/>
                </w:rPr>
                <w:t xml:space="preserve"> </w:t>
              </w:r>
              <w:r>
                <w:rPr>
                  <w:i/>
                  <w:iCs/>
                  <w:noProof/>
                  <w:lang w:val="en-US"/>
                </w:rPr>
                <w:t xml:space="preserve">Appropriate Use Criteria. </w:t>
              </w:r>
              <w:r>
                <w:rPr>
                  <w:noProof/>
                  <w:lang w:val="en-US"/>
                </w:rPr>
                <w:t>2016.</w:t>
              </w:r>
            </w:p>
            <w:p w:rsidR="00394CC5" w:rsidRDefault="00394CC5" w:rsidP="00394CC5">
              <w:pPr>
                <w:pStyle w:val="Bibliography"/>
                <w:rPr>
                  <w:noProof/>
                  <w:lang w:val="en-US"/>
                </w:rPr>
              </w:pPr>
              <w:r>
                <w:rPr>
                  <w:noProof/>
                  <w:lang w:val="en-US"/>
                </w:rPr>
                <w:t xml:space="preserve">4. </w:t>
              </w:r>
              <w:r w:rsidR="00887C17">
                <w:rPr>
                  <w:b/>
                  <w:bCs/>
                  <w:noProof/>
                  <w:lang w:val="en-US"/>
                </w:rPr>
                <w:t>Elshaug, Adam ; Watt, Amber; Mundy, Linder; Willis , Cameron.</w:t>
              </w:r>
              <w:r w:rsidR="00887C17">
                <w:rPr>
                  <w:i/>
                  <w:iCs/>
                  <w:noProof/>
                  <w:lang w:val="en-US"/>
                </w:rPr>
                <w:t xml:space="preserve"> </w:t>
              </w:r>
              <w:r>
                <w:rPr>
                  <w:i/>
                  <w:iCs/>
                  <w:noProof/>
                  <w:lang w:val="en-US"/>
                </w:rPr>
                <w:t>Over 150 potentially low-value health care practices: an Australian study.</w:t>
              </w:r>
              <w:r>
                <w:rPr>
                  <w:b/>
                  <w:bCs/>
                  <w:noProof/>
                  <w:lang w:val="en-US"/>
                </w:rPr>
                <w:t>.</w:t>
              </w:r>
              <w:r>
                <w:rPr>
                  <w:noProof/>
                  <w:lang w:val="en-US"/>
                </w:rPr>
                <w:t xml:space="preserve"> 2012, The Medical Journal of Australia, pp. 556-560.</w:t>
              </w:r>
            </w:p>
            <w:p w:rsidR="00394CC5" w:rsidRDefault="00394CC5" w:rsidP="00394CC5">
              <w:pPr>
                <w:pStyle w:val="Bibliography"/>
                <w:rPr>
                  <w:noProof/>
                  <w:lang w:val="en-US"/>
                </w:rPr>
              </w:pPr>
              <w:r>
                <w:rPr>
                  <w:noProof/>
                  <w:lang w:val="en-US"/>
                </w:rPr>
                <w:t xml:space="preserve">5. </w:t>
              </w:r>
              <w:r>
                <w:rPr>
                  <w:b/>
                  <w:bCs/>
                  <w:noProof/>
                  <w:lang w:val="en-US"/>
                </w:rPr>
                <w:t>The Hon Sussan Ley MP.</w:t>
              </w:r>
              <w:r>
                <w:rPr>
                  <w:noProof/>
                  <w:lang w:val="en-US"/>
                </w:rPr>
                <w:t xml:space="preserve"> Abbott Government to deliver a healthier Medicare. [Online] April 22, 2015. http://www.health.gov.au/internet/ministers/publishing.nsf/content/health-mediarel-yr2015-ley045.htm.</w:t>
              </w:r>
            </w:p>
            <w:p w:rsidR="00394CC5" w:rsidRDefault="00394CC5" w:rsidP="00394CC5">
              <w:pPr>
                <w:pStyle w:val="Bibliography"/>
                <w:rPr>
                  <w:noProof/>
                  <w:lang w:val="en-US"/>
                </w:rPr>
              </w:pPr>
              <w:r>
                <w:rPr>
                  <w:noProof/>
                  <w:lang w:val="en-US"/>
                </w:rPr>
                <w:t xml:space="preserve">6. </w:t>
              </w:r>
              <w:r>
                <w:rPr>
                  <w:b/>
                  <w:bCs/>
                  <w:noProof/>
                  <w:lang w:val="en-US"/>
                </w:rPr>
                <w:t>Australian Commission on Safety &amp; Quality in Health Care.</w:t>
              </w:r>
              <w:r>
                <w:rPr>
                  <w:noProof/>
                  <w:lang w:val="en-US"/>
                </w:rPr>
                <w:t xml:space="preserve"> Patient-centred care: Improving quality and safety through partnerships with patients and consumers. </w:t>
              </w:r>
              <w:r>
                <w:rPr>
                  <w:i/>
                  <w:iCs/>
                  <w:noProof/>
                  <w:lang w:val="en-US"/>
                </w:rPr>
                <w:lastRenderedPageBreak/>
                <w:t xml:space="preserve">www.safetyandquality.gov.au. </w:t>
              </w:r>
              <w:r>
                <w:rPr>
                  <w:noProof/>
                  <w:lang w:val="en-US"/>
                </w:rPr>
                <w:t>[Online] March 2011. https://www.safetyandquality.gov.au/sites/default/files/migrated/PCC_Paper_August.pdf.</w:t>
              </w:r>
            </w:p>
            <w:p w:rsidR="00394CC5" w:rsidRDefault="00394CC5" w:rsidP="00394CC5">
              <w:pPr>
                <w:pStyle w:val="Bibliography"/>
                <w:rPr>
                  <w:noProof/>
                  <w:lang w:val="en-US"/>
                </w:rPr>
              </w:pPr>
              <w:r>
                <w:rPr>
                  <w:noProof/>
                  <w:lang w:val="en-US"/>
                </w:rPr>
                <w:t xml:space="preserve">7. </w:t>
              </w:r>
              <w:r>
                <w:rPr>
                  <w:b/>
                  <w:bCs/>
                  <w:noProof/>
                  <w:lang w:val="en-US"/>
                </w:rPr>
                <w:t>Medical Benefits Schedule Review Taskforce.</w:t>
              </w:r>
              <w:r>
                <w:rPr>
                  <w:noProof/>
                  <w:lang w:val="en-US"/>
                </w:rPr>
                <w:t xml:space="preserve"> Public Submissions September 2015 Consultation Paper. </w:t>
              </w:r>
              <w:r>
                <w:rPr>
                  <w:i/>
                  <w:iCs/>
                  <w:noProof/>
                  <w:lang w:val="en-US"/>
                </w:rPr>
                <w:t xml:space="preserve">www.health.gov.au. </w:t>
              </w:r>
              <w:r>
                <w:rPr>
                  <w:noProof/>
                  <w:lang w:val="en-US"/>
                </w:rPr>
                <w:t>[Online] September 2015. http://www.health.gov.au/internet/main/publishing.nsf/Content/EDD3D98E14376FC8CA257F5E00186D45/%24File/Consultation-paper-public-submissions_MBS-review-final.pdf.</w:t>
              </w:r>
            </w:p>
            <w:p w:rsidR="00394CC5" w:rsidRDefault="00394CC5" w:rsidP="00394CC5">
              <w:pPr>
                <w:pStyle w:val="Bibliography"/>
                <w:rPr>
                  <w:noProof/>
                  <w:lang w:val="en-US"/>
                </w:rPr>
              </w:pPr>
              <w:r>
                <w:rPr>
                  <w:noProof/>
                  <w:lang w:val="en-US"/>
                </w:rPr>
                <w:t xml:space="preserve">8. </w:t>
              </w:r>
              <w:r>
                <w:rPr>
                  <w:b/>
                  <w:bCs/>
                  <w:noProof/>
                  <w:lang w:val="en-US"/>
                </w:rPr>
                <w:t>The George Institute for Global Health.</w:t>
              </w:r>
              <w:r>
                <w:rPr>
                  <w:noProof/>
                  <w:lang w:val="en-US"/>
                </w:rPr>
                <w:t xml:space="preserve"> Putting the consumer first - creating a consumer-centred health system for a 21st century Australia. </w:t>
              </w:r>
              <w:r>
                <w:rPr>
                  <w:i/>
                  <w:iCs/>
                  <w:noProof/>
                  <w:lang w:val="en-US"/>
                </w:rPr>
                <w:t xml:space="preserve">www.georgeinstitute.org.au. </w:t>
              </w:r>
              <w:r>
                <w:rPr>
                  <w:noProof/>
                  <w:lang w:val="en-US"/>
                </w:rPr>
                <w:t>[Online] April 2016. https://www.georgeinstitute.org.au/sites/default/files/putting-the-consumer-first-apr16.pdf.</w:t>
              </w:r>
            </w:p>
            <w:p w:rsidR="00394CC5" w:rsidRDefault="00394CC5" w:rsidP="00394CC5">
              <w:pPr>
                <w:pStyle w:val="Bibliography"/>
                <w:rPr>
                  <w:noProof/>
                  <w:lang w:val="en-US"/>
                </w:rPr>
              </w:pPr>
              <w:r>
                <w:rPr>
                  <w:noProof/>
                  <w:lang w:val="en-US"/>
                </w:rPr>
                <w:t xml:space="preserve">9. </w:t>
              </w:r>
              <w:r>
                <w:rPr>
                  <w:b/>
                  <w:bCs/>
                  <w:noProof/>
                  <w:lang w:val="en-US"/>
                </w:rPr>
                <w:t>Berlin, Gretchen; De Smet, Aaron; Sodini, Maria.</w:t>
              </w:r>
              <w:r>
                <w:rPr>
                  <w:noProof/>
                  <w:lang w:val="en-US"/>
                </w:rPr>
                <w:t xml:space="preserve"> Why agility is imperative for healthcare organizations. </w:t>
              </w:r>
              <w:r>
                <w:rPr>
                  <w:i/>
                  <w:iCs/>
                  <w:noProof/>
                  <w:lang w:val="en-US"/>
                </w:rPr>
                <w:t xml:space="preserve">www.mckinsey.com. </w:t>
              </w:r>
              <w:r>
                <w:rPr>
                  <w:noProof/>
                  <w:lang w:val="en-US"/>
                </w:rPr>
                <w:t>[Online] May 2017. https://www.mckinsey.com/industries/healthcare-systems-and-services/our-insights/why-agility-is-imperative-for-healthcare-organizations?reload.</w:t>
              </w:r>
            </w:p>
            <w:p w:rsidR="00394CC5" w:rsidRDefault="00394CC5" w:rsidP="00394CC5">
              <w:pPr>
                <w:pStyle w:val="Bibliography"/>
                <w:rPr>
                  <w:noProof/>
                  <w:lang w:val="en-US"/>
                </w:rPr>
              </w:pPr>
              <w:r>
                <w:rPr>
                  <w:noProof/>
                  <w:lang w:val="en-US"/>
                </w:rPr>
                <w:t xml:space="preserve">10. </w:t>
              </w:r>
              <w:r>
                <w:rPr>
                  <w:b/>
                  <w:bCs/>
                  <w:noProof/>
                  <w:lang w:val="en-US"/>
                </w:rPr>
                <w:t>Kaplan, Gary.</w:t>
              </w:r>
              <w:r>
                <w:rPr>
                  <w:noProof/>
                  <w:lang w:val="en-US"/>
                </w:rPr>
                <w:t xml:space="preserve"> Building a Culture of Transparency in Health Care. </w:t>
              </w:r>
              <w:r>
                <w:rPr>
                  <w:i/>
                  <w:iCs/>
                  <w:noProof/>
                  <w:lang w:val="en-US"/>
                </w:rPr>
                <w:t xml:space="preserve">Harvard Business Review. </w:t>
              </w:r>
              <w:r>
                <w:rPr>
                  <w:noProof/>
                  <w:lang w:val="en-US"/>
                </w:rPr>
                <w:t>[Online] November 9, 2018. https://hbr.org/2018/11/building-a-culture-of-transparency-in-health-care.</w:t>
              </w:r>
            </w:p>
            <w:p w:rsidR="00394CC5" w:rsidRDefault="00394CC5" w:rsidP="00394CC5">
              <w:pPr>
                <w:pStyle w:val="Bibliography"/>
                <w:rPr>
                  <w:noProof/>
                  <w:lang w:val="en-US"/>
                </w:rPr>
              </w:pPr>
              <w:r>
                <w:rPr>
                  <w:noProof/>
                  <w:lang w:val="en-US"/>
                </w:rPr>
                <w:t xml:space="preserve">11. </w:t>
              </w:r>
              <w:r>
                <w:rPr>
                  <w:b/>
                  <w:bCs/>
                  <w:noProof/>
                  <w:lang w:val="en-US"/>
                </w:rPr>
                <w:t>National Health &amp; Medical Research Council.</w:t>
              </w:r>
              <w:r>
                <w:rPr>
                  <w:noProof/>
                  <w:lang w:val="en-US"/>
                </w:rPr>
                <w:t xml:space="preserve"> Statement on consumer and community involvement in health and medical research. [Online] 2016. </w:t>
              </w:r>
              <w:r>
                <w:rPr>
                  <w:noProof/>
                  <w:lang w:val="en-US"/>
                </w:rPr>
                <w:lastRenderedPageBreak/>
                <w:t>https://www.nhmrc.gov.au/about-us/publications/statement-consumer-and-community-involvement-health-and-medical-research. 9781925129717.</w:t>
              </w:r>
            </w:p>
            <w:p w:rsidR="00394CC5" w:rsidRDefault="00394CC5" w:rsidP="00394CC5">
              <w:pPr>
                <w:pStyle w:val="Bibliography"/>
                <w:rPr>
                  <w:noProof/>
                  <w:lang w:val="en-US"/>
                </w:rPr>
              </w:pPr>
              <w:r>
                <w:rPr>
                  <w:noProof/>
                  <w:lang w:val="en-US"/>
                </w:rPr>
                <w:t xml:space="preserve">12. </w:t>
              </w:r>
              <w:r>
                <w:rPr>
                  <w:b/>
                  <w:bCs/>
                  <w:noProof/>
                  <w:lang w:val="en-US"/>
                </w:rPr>
                <w:t>Bronkart, D De.</w:t>
              </w:r>
              <w:r>
                <w:rPr>
                  <w:noProof/>
                  <w:lang w:val="en-US"/>
                </w:rPr>
                <w:t xml:space="preserve"> "Let Patients Help": A patient engagement handbook. </w:t>
              </w:r>
              <w:r>
                <w:rPr>
                  <w:i/>
                  <w:iCs/>
                  <w:noProof/>
                  <w:lang w:val="en-US"/>
                </w:rPr>
                <w:t xml:space="preserve">e-Patient Dave. </w:t>
              </w:r>
              <w:r>
                <w:rPr>
                  <w:noProof/>
                  <w:lang w:val="en-US"/>
                </w:rPr>
                <w:t>[Online] 2016. https://www.epatientdave.com/let-patients-help/.</w:t>
              </w:r>
            </w:p>
            <w:p w:rsidR="00394CC5" w:rsidRDefault="00394CC5" w:rsidP="00394CC5">
              <w:pPr>
                <w:pStyle w:val="Bibliography"/>
                <w:rPr>
                  <w:noProof/>
                  <w:lang w:val="en-US"/>
                </w:rPr>
              </w:pPr>
              <w:r>
                <w:rPr>
                  <w:noProof/>
                  <w:lang w:val="en-US"/>
                </w:rPr>
                <w:t xml:space="preserve">13. </w:t>
              </w:r>
              <w:r>
                <w:rPr>
                  <w:b/>
                  <w:bCs/>
                  <w:noProof/>
                  <w:lang w:val="en-US"/>
                </w:rPr>
                <w:t>Carers Australia.</w:t>
              </w:r>
              <w:r>
                <w:rPr>
                  <w:noProof/>
                  <w:lang w:val="en-US"/>
                </w:rPr>
                <w:t xml:space="preserve"> About Carers. </w:t>
              </w:r>
              <w:r>
                <w:rPr>
                  <w:i/>
                  <w:iCs/>
                  <w:noProof/>
                  <w:lang w:val="en-US"/>
                </w:rPr>
                <w:t xml:space="preserve">Carers Australia. </w:t>
              </w:r>
              <w:r>
                <w:rPr>
                  <w:noProof/>
                  <w:lang w:val="en-US"/>
                </w:rPr>
                <w:t>[Online] https://www.carersaustralia.com.au/about-carers/.</w:t>
              </w:r>
            </w:p>
            <w:p w:rsidR="00394CC5" w:rsidRDefault="00394CC5" w:rsidP="00394CC5">
              <w:pPr>
                <w:pStyle w:val="Bibliography"/>
                <w:rPr>
                  <w:noProof/>
                  <w:lang w:val="en-US"/>
                </w:rPr>
              </w:pPr>
              <w:r>
                <w:rPr>
                  <w:noProof/>
                  <w:lang w:val="en-US"/>
                </w:rPr>
                <w:t xml:space="preserve">14. </w:t>
              </w:r>
              <w:r>
                <w:rPr>
                  <w:b/>
                  <w:bCs/>
                  <w:noProof/>
                  <w:lang w:val="en-US"/>
                </w:rPr>
                <w:t>Australian Commission on Safety and Quality in Health Care.</w:t>
              </w:r>
              <w:r>
                <w:rPr>
                  <w:noProof/>
                  <w:lang w:val="en-US"/>
                </w:rPr>
                <w:t xml:space="preserve"> Health Literacy. [Online] 2019. https://www.safetyandquality.gov.au/our-work/patient-and-consumer-centred-care/health-literacy.</w:t>
              </w:r>
            </w:p>
            <w:p w:rsidR="00394CC5" w:rsidRDefault="00394CC5" w:rsidP="00394CC5">
              <w:pPr>
                <w:pStyle w:val="Bibliography"/>
                <w:rPr>
                  <w:noProof/>
                  <w:lang w:val="en-US"/>
                </w:rPr>
              </w:pPr>
              <w:r>
                <w:rPr>
                  <w:noProof/>
                  <w:lang w:val="en-US"/>
                </w:rPr>
                <w:t xml:space="preserve">15. </w:t>
              </w:r>
              <w:r>
                <w:rPr>
                  <w:b/>
                  <w:bCs/>
                  <w:noProof/>
                  <w:lang w:val="en-US"/>
                </w:rPr>
                <w:t>International Association for Public Participation Australiasia.</w:t>
              </w:r>
              <w:r>
                <w:rPr>
                  <w:noProof/>
                  <w:lang w:val="en-US"/>
                </w:rPr>
                <w:t xml:space="preserve"> Spectrum. </w:t>
              </w:r>
              <w:r>
                <w:rPr>
                  <w:i/>
                  <w:iCs/>
                  <w:noProof/>
                  <w:lang w:val="en-US"/>
                </w:rPr>
                <w:t xml:space="preserve">iap2. </w:t>
              </w:r>
              <w:r>
                <w:rPr>
                  <w:noProof/>
                  <w:lang w:val="en-US"/>
                </w:rPr>
                <w:t>[Online] https://www.iap2.org.au/Tenant/C0000004/00000001/files/IAP2_Public_Participation_Spectrum.pdf.</w:t>
              </w:r>
            </w:p>
            <w:p w:rsidR="00394CC5" w:rsidRDefault="00394CC5" w:rsidP="00394CC5">
              <w:pPr>
                <w:pStyle w:val="Bibliography"/>
                <w:rPr>
                  <w:noProof/>
                  <w:lang w:val="en-US"/>
                </w:rPr>
              </w:pPr>
              <w:r>
                <w:rPr>
                  <w:noProof/>
                  <w:lang w:val="en-US"/>
                </w:rPr>
                <w:t xml:space="preserve">16. </w:t>
              </w:r>
              <w:r>
                <w:rPr>
                  <w:b/>
                  <w:bCs/>
                  <w:noProof/>
                  <w:lang w:val="en-US"/>
                </w:rPr>
                <w:t>Australian Commission on Safety and Quality in Health Care.</w:t>
              </w:r>
              <w:r>
                <w:rPr>
                  <w:noProof/>
                  <w:lang w:val="en-US"/>
                </w:rPr>
                <w:t xml:space="preserve"> Australian Charter of Healthcare Rights. </w:t>
              </w:r>
              <w:r>
                <w:rPr>
                  <w:i/>
                  <w:iCs/>
                  <w:noProof/>
                  <w:lang w:val="en-US"/>
                </w:rPr>
                <w:t xml:space="preserve">www.safetyandquality.gov.au. </w:t>
              </w:r>
              <w:r>
                <w:rPr>
                  <w:noProof/>
                  <w:lang w:val="en-US"/>
                </w:rPr>
                <w:t>[Online] https://www.safetyandquality.gov.au/australian-charter-healthcare-rights.</w:t>
              </w:r>
            </w:p>
            <w:p w:rsidR="00394CC5" w:rsidRDefault="00394CC5" w:rsidP="00394CC5">
              <w:pPr>
                <w:pStyle w:val="Bibliography"/>
                <w:rPr>
                  <w:noProof/>
                  <w:lang w:val="en-US"/>
                </w:rPr>
              </w:pPr>
              <w:r>
                <w:rPr>
                  <w:noProof/>
                  <w:lang w:val="en-US"/>
                </w:rPr>
                <w:t xml:space="preserve">17. </w:t>
              </w:r>
              <w:r>
                <w:rPr>
                  <w:b/>
                  <w:bCs/>
                  <w:noProof/>
                  <w:lang w:val="en-US"/>
                </w:rPr>
                <w:t>Guidelines International Network.</w:t>
              </w:r>
              <w:r>
                <w:rPr>
                  <w:noProof/>
                  <w:lang w:val="en-US"/>
                </w:rPr>
                <w:t xml:space="preserve"> About the G-I-N PUBLIC Toolkit: Patient and Public Involvement in Guidelines. </w:t>
              </w:r>
              <w:r>
                <w:rPr>
                  <w:i/>
                  <w:iCs/>
                  <w:noProof/>
                  <w:lang w:val="en-US"/>
                </w:rPr>
                <w:t xml:space="preserve">www.g-i-n.net/working-groups. </w:t>
              </w:r>
              <w:r>
                <w:rPr>
                  <w:noProof/>
                  <w:lang w:val="en-US"/>
                </w:rPr>
                <w:t>[Online] https://www.g-i-n.net/working-groups/gin-public/toolkit.</w:t>
              </w:r>
            </w:p>
            <w:p w:rsidR="00394CC5" w:rsidRDefault="00394CC5" w:rsidP="00394CC5">
              <w:pPr>
                <w:pStyle w:val="Bibliography"/>
                <w:rPr>
                  <w:noProof/>
                  <w:lang w:val="en-US"/>
                </w:rPr>
              </w:pPr>
              <w:r>
                <w:rPr>
                  <w:noProof/>
                  <w:lang w:val="en-US"/>
                </w:rPr>
                <w:lastRenderedPageBreak/>
                <w:t xml:space="preserve">18. </w:t>
              </w:r>
              <w:r>
                <w:rPr>
                  <w:b/>
                  <w:bCs/>
                  <w:noProof/>
                  <w:lang w:val="en-US"/>
                </w:rPr>
                <w:t>National Patient Safety Foundation Lucian Leape Institute.</w:t>
              </w:r>
              <w:r>
                <w:rPr>
                  <w:noProof/>
                  <w:lang w:val="en-US"/>
                </w:rPr>
                <w:t xml:space="preserve"> Shining A Light: Safer Health Care Through Transparency. </w:t>
              </w:r>
              <w:r>
                <w:rPr>
                  <w:i/>
                  <w:iCs/>
                  <w:noProof/>
                  <w:lang w:val="en-US"/>
                </w:rPr>
                <w:t xml:space="preserve">Institute for Healthcare Improvement. </w:t>
              </w:r>
              <w:r>
                <w:rPr>
                  <w:noProof/>
                  <w:lang w:val="en-US"/>
                </w:rPr>
                <w:t>[Online] 2015. http://www.ihi.org/resources/Pages/Publications/Shining-a-Light-Safer-Health-Care-Through-Transparency.aspx.</w:t>
              </w:r>
            </w:p>
            <w:p w:rsidR="00394CC5" w:rsidRDefault="00394CC5" w:rsidP="00394CC5">
              <w:pPr>
                <w:pStyle w:val="Bibliography"/>
                <w:rPr>
                  <w:noProof/>
                  <w:lang w:val="en-US"/>
                </w:rPr>
              </w:pPr>
              <w:r>
                <w:rPr>
                  <w:noProof/>
                  <w:lang w:val="en-US"/>
                </w:rPr>
                <w:t xml:space="preserve">19. </w:t>
              </w:r>
              <w:r>
                <w:rPr>
                  <w:b/>
                  <w:bCs/>
                  <w:noProof/>
                  <w:lang w:val="en-US"/>
                </w:rPr>
                <w:t>The Health Foundation.</w:t>
              </w:r>
              <w:r>
                <w:rPr>
                  <w:noProof/>
                  <w:lang w:val="en-US"/>
                </w:rPr>
                <w:t xml:space="preserve"> Person-centred care made simple. </w:t>
              </w:r>
              <w:r>
                <w:rPr>
                  <w:i/>
                  <w:iCs/>
                  <w:noProof/>
                  <w:lang w:val="en-US"/>
                </w:rPr>
                <w:t xml:space="preserve">www.health.org.uk. </w:t>
              </w:r>
              <w:r>
                <w:rPr>
                  <w:noProof/>
                  <w:lang w:val="en-US"/>
                </w:rPr>
                <w:t>[Online] October 2014. https://www.health.org.uk/sites/default/files/PersonCentredCareMadeSimple_0.pdf.</w:t>
              </w:r>
            </w:p>
            <w:p w:rsidR="00260305" w:rsidRDefault="00E641C2" w:rsidP="00394CC5">
              <w:pPr>
                <w:pStyle w:val="Bibliography"/>
              </w:pPr>
              <w:r>
                <w:fldChar w:fldCharType="end"/>
              </w:r>
            </w:p>
          </w:sdtContent>
        </w:sdt>
      </w:sdtContent>
    </w:sdt>
    <w:p w:rsidR="000B3102" w:rsidRDefault="000B3102" w:rsidP="00791FE1">
      <w:pPr>
        <w:spacing w:before="0" w:after="180" w:line="240" w:lineRule="auto"/>
        <w:rPr>
          <w:rFonts w:cstheme="minorHAnsi"/>
          <w:b/>
          <w:bCs/>
          <w:color w:val="01653F"/>
          <w:sz w:val="40"/>
          <w:szCs w:val="40"/>
          <w:lang w:eastAsia="en-US"/>
        </w:rPr>
      </w:pPr>
      <w:r>
        <w:br w:type="page"/>
      </w:r>
    </w:p>
    <w:p w:rsidR="005D5B99" w:rsidRPr="000830F6" w:rsidRDefault="0069036A" w:rsidP="00E83ED7">
      <w:pPr>
        <w:pStyle w:val="AppendixStyle1"/>
        <w:rPr>
          <w:sz w:val="40"/>
          <w:szCs w:val="40"/>
        </w:rPr>
      </w:pPr>
      <w:bookmarkStart w:id="62" w:name="_Toc33103211"/>
      <w:r w:rsidRPr="000830F6">
        <w:rPr>
          <w:sz w:val="40"/>
          <w:szCs w:val="40"/>
        </w:rPr>
        <w:lastRenderedPageBreak/>
        <w:t xml:space="preserve">Terms </w:t>
      </w:r>
      <w:r w:rsidR="00C62F3E" w:rsidRPr="000830F6">
        <w:rPr>
          <w:sz w:val="40"/>
          <w:szCs w:val="40"/>
        </w:rPr>
        <w:t>o</w:t>
      </w:r>
      <w:r w:rsidRPr="000830F6">
        <w:rPr>
          <w:sz w:val="40"/>
          <w:szCs w:val="40"/>
        </w:rPr>
        <w:t>f Reference of the Consumer Panel for the MBS Review Taskforce</w:t>
      </w:r>
      <w:bookmarkEnd w:id="62"/>
    </w:p>
    <w:p w:rsidR="000E545D" w:rsidRDefault="005D5B99" w:rsidP="00791FE1">
      <w:pPr>
        <w:spacing w:before="0" w:after="180" w:line="240" w:lineRule="auto"/>
      </w:pPr>
      <w:r w:rsidRPr="005D5B99">
        <w:t>This document sets out the terms of reference, composition and membership of the Consumer Panel and procedures for managing meetings.</w:t>
      </w:r>
    </w:p>
    <w:p w:rsidR="005D5B99" w:rsidRPr="005D5B99" w:rsidRDefault="00E74DE3" w:rsidP="00791FE1">
      <w:pPr>
        <w:spacing w:before="0" w:after="180" w:line="240" w:lineRule="auto"/>
      </w:pPr>
      <w:r>
        <w:t>Attached is the R</w:t>
      </w:r>
      <w:r w:rsidR="005D5B99" w:rsidRPr="005D5B99">
        <w:t xml:space="preserve">ole of </w:t>
      </w:r>
      <w:r>
        <w:t>C</w:t>
      </w:r>
      <w:r w:rsidR="00F545A0" w:rsidRPr="005D5B99">
        <w:t xml:space="preserve">onsumer </w:t>
      </w:r>
      <w:r>
        <w:t>Re</w:t>
      </w:r>
      <w:r w:rsidR="00F545A0" w:rsidRPr="005D5B99">
        <w:t xml:space="preserve">presentatives </w:t>
      </w:r>
      <w:r w:rsidR="005D5B99" w:rsidRPr="005D5B99">
        <w:t xml:space="preserve">on </w:t>
      </w:r>
      <w:r>
        <w:t>C</w:t>
      </w:r>
      <w:r w:rsidR="005D5B99" w:rsidRPr="005D5B99">
        <w:t xml:space="preserve">linical </w:t>
      </w:r>
      <w:r>
        <w:t>C</w:t>
      </w:r>
      <w:r w:rsidR="005D5B99" w:rsidRPr="005D5B99">
        <w:t>ommittees from the Guidance for Clinical Committees (Attachment A).</w:t>
      </w:r>
    </w:p>
    <w:p w:rsidR="005D5B99" w:rsidRPr="005D5B99" w:rsidRDefault="005D5B99" w:rsidP="00791FE1">
      <w:pPr>
        <w:spacing w:before="0" w:after="180" w:line="240" w:lineRule="auto"/>
        <w:rPr>
          <w:b/>
          <w:bCs/>
        </w:rPr>
      </w:pPr>
      <w:r w:rsidRPr="000F5EF9">
        <w:rPr>
          <w:b/>
          <w:sz w:val="28"/>
          <w:szCs w:val="28"/>
        </w:rPr>
        <w:t>1.</w:t>
      </w:r>
      <w:r w:rsidRPr="000F5EF9">
        <w:rPr>
          <w:b/>
          <w:sz w:val="28"/>
          <w:szCs w:val="28"/>
        </w:rPr>
        <w:tab/>
        <w:t>TERMS OF REFERENCE</w:t>
      </w:r>
    </w:p>
    <w:p w:rsidR="005D5B99" w:rsidRDefault="005D5B99" w:rsidP="00791FE1">
      <w:pPr>
        <w:spacing w:before="0" w:after="180" w:line="240" w:lineRule="auto"/>
      </w:pPr>
      <w:r w:rsidRPr="005D5B99">
        <w:rPr>
          <w:rFonts w:eastAsiaTheme="minorHAnsi" w:cstheme="minorBidi"/>
          <w:szCs w:val="22"/>
          <w:lang w:eastAsia="en-US"/>
        </w:rPr>
        <w:t xml:space="preserve">The Consumer Panel provides advice, and undertakes and commissions tasks, to enable </w:t>
      </w:r>
      <w:r w:rsidRPr="005D5B99">
        <w:t>evidence-informed consumer engagement in the Review and, as opportunities arise, to modernise all aspects of the MBS.</w:t>
      </w:r>
    </w:p>
    <w:p w:rsidR="005D5B99" w:rsidRPr="005D5B99" w:rsidRDefault="005D5B99" w:rsidP="00791FE1">
      <w:pPr>
        <w:spacing w:before="0" w:after="180" w:line="240" w:lineRule="auto"/>
      </w:pPr>
      <w:r w:rsidRPr="005D5B99">
        <w:t>Their scope includes:</w:t>
      </w:r>
    </w:p>
    <w:p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Administrative rules and mechanisms</w:t>
      </w:r>
    </w:p>
    <w:p w:rsidR="005D5B99" w:rsidRPr="000E545D"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Information access and use of plain English</w:t>
      </w:r>
    </w:p>
    <w:p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 xml:space="preserve">Communications and community engagement </w:t>
      </w:r>
    </w:p>
    <w:p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 xml:space="preserve">Induction, training and support of </w:t>
      </w:r>
      <w:r w:rsidR="00E74DE3">
        <w:rPr>
          <w:rFonts w:eastAsiaTheme="minorHAnsi" w:cstheme="minorBidi"/>
          <w:szCs w:val="22"/>
          <w:lang w:eastAsia="en-US"/>
        </w:rPr>
        <w:t>c</w:t>
      </w:r>
      <w:r w:rsidR="00F545A0" w:rsidRPr="005D5B99">
        <w:rPr>
          <w:rFonts w:eastAsiaTheme="minorHAnsi" w:cstheme="minorBidi"/>
          <w:szCs w:val="22"/>
          <w:lang w:eastAsia="en-US"/>
        </w:rPr>
        <w:t xml:space="preserve">onsumer </w:t>
      </w:r>
      <w:r w:rsidR="00E74DE3">
        <w:rPr>
          <w:rFonts w:eastAsiaTheme="minorHAnsi" w:cstheme="minorBidi"/>
          <w:szCs w:val="22"/>
          <w:lang w:eastAsia="en-US"/>
        </w:rPr>
        <w:t>r</w:t>
      </w:r>
      <w:r w:rsidR="00F545A0" w:rsidRPr="005D5B99">
        <w:rPr>
          <w:rFonts w:eastAsiaTheme="minorHAnsi" w:cstheme="minorBidi"/>
          <w:szCs w:val="22"/>
          <w:lang w:eastAsia="en-US"/>
        </w:rPr>
        <w:t xml:space="preserve">epresentatives </w:t>
      </w:r>
      <w:r w:rsidRPr="005D5B99">
        <w:rPr>
          <w:rFonts w:eastAsiaTheme="minorHAnsi" w:cstheme="minorBidi"/>
          <w:szCs w:val="22"/>
          <w:lang w:eastAsia="en-US"/>
        </w:rPr>
        <w:t xml:space="preserve">and their </w:t>
      </w:r>
      <w:r w:rsidR="00E74DE3">
        <w:rPr>
          <w:rFonts w:eastAsiaTheme="minorHAnsi" w:cstheme="minorBidi"/>
          <w:szCs w:val="22"/>
          <w:lang w:eastAsia="en-US"/>
        </w:rPr>
        <w:t>c</w:t>
      </w:r>
      <w:r w:rsidR="00233567" w:rsidRPr="005D5B99">
        <w:rPr>
          <w:rFonts w:eastAsiaTheme="minorHAnsi" w:cstheme="minorBidi"/>
          <w:szCs w:val="22"/>
          <w:lang w:eastAsia="en-US"/>
        </w:rPr>
        <w:t>ommittees</w:t>
      </w:r>
      <w:r w:rsidRPr="005D5B99">
        <w:rPr>
          <w:rFonts w:eastAsiaTheme="minorHAnsi" w:cstheme="minorBidi"/>
          <w:szCs w:val="22"/>
          <w:lang w:eastAsia="en-US"/>
        </w:rPr>
        <w:t>.</w:t>
      </w:r>
    </w:p>
    <w:p w:rsidR="005D5B99" w:rsidRPr="005D5B99" w:rsidRDefault="005D5B99" w:rsidP="00791FE1">
      <w:pPr>
        <w:spacing w:before="0" w:after="180" w:line="240" w:lineRule="auto"/>
      </w:pPr>
      <w:r w:rsidRPr="000F5EF9">
        <w:rPr>
          <w:rFonts w:cstheme="minorHAnsi"/>
          <w:b/>
        </w:rPr>
        <w:t>1.</w:t>
      </w:r>
      <w:r w:rsidR="00173928">
        <w:rPr>
          <w:rFonts w:cstheme="minorHAnsi"/>
          <w:b/>
        </w:rPr>
        <w:t>1</w:t>
      </w:r>
      <w:r w:rsidRPr="000F5EF9">
        <w:rPr>
          <w:rFonts w:cstheme="minorHAnsi"/>
          <w:b/>
        </w:rPr>
        <w:t xml:space="preserve"> </w:t>
      </w:r>
      <w:r w:rsidRPr="000F5EF9">
        <w:rPr>
          <w:rFonts w:cstheme="minorHAnsi"/>
          <w:b/>
        </w:rPr>
        <w:tab/>
        <w:t xml:space="preserve">Deliverables and Expectations </w:t>
      </w:r>
    </w:p>
    <w:p w:rsidR="005D5B99" w:rsidRDefault="005D5B99" w:rsidP="00791FE1">
      <w:pPr>
        <w:spacing w:before="0" w:after="180" w:line="240" w:lineRule="auto"/>
      </w:pPr>
      <w:r w:rsidRPr="005D5B99">
        <w:t xml:space="preserve">The Panel will develop a work plan to: </w:t>
      </w:r>
    </w:p>
    <w:p w:rsidR="005D5B99" w:rsidRPr="005D5B99" w:rsidRDefault="005D5B99" w:rsidP="000C2A76">
      <w:pPr>
        <w:numPr>
          <w:ilvl w:val="0"/>
          <w:numId w:val="17"/>
        </w:numPr>
        <w:spacing w:before="0" w:after="180" w:line="240" w:lineRule="auto"/>
        <w:ind w:left="714" w:hanging="357"/>
        <w:rPr>
          <w:b/>
        </w:rPr>
      </w:pPr>
      <w:r w:rsidRPr="005D5B99">
        <w:rPr>
          <w:b/>
        </w:rPr>
        <w:t xml:space="preserve">Support the work of Taskforce </w:t>
      </w:r>
      <w:r w:rsidR="00E74DE3">
        <w:rPr>
          <w:b/>
        </w:rPr>
        <w:t>c</w:t>
      </w:r>
      <w:r w:rsidRPr="005D5B99">
        <w:rPr>
          <w:b/>
        </w:rPr>
        <w:t>ommittees</w:t>
      </w:r>
    </w:p>
    <w:p w:rsidR="005D5B99" w:rsidRPr="005D5B99" w:rsidRDefault="005D5B99" w:rsidP="00791FE1">
      <w:pPr>
        <w:spacing w:before="0" w:after="180" w:line="240" w:lineRule="auto"/>
        <w:ind w:left="714"/>
        <w:rPr>
          <w:b/>
        </w:rPr>
      </w:pPr>
      <w:r w:rsidRPr="005D5B99">
        <w:t>This may include:</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lastRenderedPageBreak/>
        <w:t xml:space="preserve">Development and implementation of </w:t>
      </w:r>
      <w:r w:rsidR="000E545D">
        <w:rPr>
          <w:rFonts w:eastAsiaTheme="minorHAnsi" w:cstheme="minorBidi"/>
          <w:szCs w:val="22"/>
          <w:lang w:eastAsia="en-US"/>
        </w:rPr>
        <w:t>a consumer engagement strategy.</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Commissioning evaluation of the strategy.</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 xml:space="preserve">Development of measureable and observable checkpoints for consumer engagement across the work of the Taskforce (for example, in induction, the conduct of </w:t>
      </w:r>
      <w:r w:rsidR="00E74DE3">
        <w:rPr>
          <w:rFonts w:eastAsiaTheme="minorHAnsi" w:cstheme="minorBidi"/>
          <w:szCs w:val="22"/>
          <w:lang w:eastAsia="en-US"/>
        </w:rPr>
        <w:t>c</w:t>
      </w:r>
      <w:r w:rsidR="00233567" w:rsidRPr="005D5B99">
        <w:rPr>
          <w:rFonts w:eastAsiaTheme="minorHAnsi" w:cstheme="minorBidi"/>
          <w:szCs w:val="22"/>
          <w:lang w:eastAsia="en-US"/>
        </w:rPr>
        <w:t xml:space="preserve">linical </w:t>
      </w:r>
      <w:r w:rsidR="00E74DE3">
        <w:rPr>
          <w:rFonts w:eastAsiaTheme="minorHAnsi" w:cstheme="minorBidi"/>
          <w:szCs w:val="22"/>
          <w:lang w:eastAsia="en-US"/>
        </w:rPr>
        <w:t>c</w:t>
      </w:r>
      <w:r w:rsidR="00233567" w:rsidRPr="005D5B99">
        <w:rPr>
          <w:rFonts w:eastAsiaTheme="minorHAnsi" w:cstheme="minorBidi"/>
          <w:szCs w:val="22"/>
          <w:lang w:eastAsia="en-US"/>
        </w:rPr>
        <w:t xml:space="preserve">ommittees </w:t>
      </w:r>
      <w:r w:rsidRPr="005D5B99">
        <w:rPr>
          <w:rFonts w:eastAsiaTheme="minorHAnsi" w:cstheme="minorBidi"/>
          <w:szCs w:val="22"/>
          <w:lang w:eastAsia="en-US"/>
        </w:rPr>
        <w:t>and the preparation of reports).</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Involvement in the development, implementation and evaluation of consumer engagement training.</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 xml:space="preserve">Mentoring new </w:t>
      </w:r>
      <w:r w:rsidR="00E74DE3">
        <w:rPr>
          <w:rFonts w:eastAsiaTheme="minorHAnsi" w:cstheme="minorBidi"/>
          <w:szCs w:val="22"/>
          <w:lang w:eastAsia="en-US"/>
        </w:rPr>
        <w:t>c</w:t>
      </w:r>
      <w:r w:rsidR="00F545A0" w:rsidRPr="005D5B99">
        <w:rPr>
          <w:rFonts w:eastAsiaTheme="minorHAnsi" w:cstheme="minorBidi"/>
          <w:szCs w:val="22"/>
          <w:lang w:eastAsia="en-US"/>
        </w:rPr>
        <w:t xml:space="preserve">onsumer </w:t>
      </w:r>
      <w:r w:rsidR="00E74DE3">
        <w:rPr>
          <w:rFonts w:eastAsiaTheme="minorHAnsi" w:cstheme="minorBidi"/>
          <w:szCs w:val="22"/>
          <w:lang w:eastAsia="en-US"/>
        </w:rPr>
        <w:t>r</w:t>
      </w:r>
      <w:r w:rsidR="00F545A0" w:rsidRPr="005D5B99">
        <w:rPr>
          <w:rFonts w:eastAsiaTheme="minorHAnsi" w:cstheme="minorBidi"/>
          <w:szCs w:val="22"/>
          <w:lang w:eastAsia="en-US"/>
        </w:rPr>
        <w:t xml:space="preserve">epresentatives </w:t>
      </w:r>
      <w:r w:rsidRPr="005D5B99">
        <w:rPr>
          <w:rFonts w:eastAsiaTheme="minorHAnsi" w:cstheme="minorBidi"/>
          <w:szCs w:val="22"/>
          <w:lang w:eastAsia="en-US"/>
        </w:rPr>
        <w:t xml:space="preserve">and </w:t>
      </w:r>
      <w:r w:rsidR="00E74DE3">
        <w:rPr>
          <w:rFonts w:eastAsiaTheme="minorHAnsi" w:cstheme="minorBidi"/>
          <w:szCs w:val="22"/>
          <w:lang w:eastAsia="en-US"/>
        </w:rPr>
        <w:t>c</w:t>
      </w:r>
      <w:r w:rsidRPr="005D5B99">
        <w:rPr>
          <w:rFonts w:eastAsiaTheme="minorHAnsi" w:cstheme="minorBidi"/>
          <w:szCs w:val="22"/>
          <w:lang w:eastAsia="en-US"/>
        </w:rPr>
        <w:t xml:space="preserve">hairs of Taskforce </w:t>
      </w:r>
      <w:r w:rsidR="00E74DE3">
        <w:rPr>
          <w:rFonts w:eastAsiaTheme="minorHAnsi" w:cstheme="minorBidi"/>
          <w:szCs w:val="22"/>
          <w:lang w:eastAsia="en-US"/>
        </w:rPr>
        <w:t>c</w:t>
      </w:r>
      <w:r w:rsidRPr="005D5B99">
        <w:rPr>
          <w:rFonts w:eastAsiaTheme="minorHAnsi" w:cstheme="minorBidi"/>
          <w:szCs w:val="22"/>
          <w:lang w:eastAsia="en-US"/>
        </w:rPr>
        <w:t xml:space="preserve">linical </w:t>
      </w:r>
      <w:r w:rsidR="00E74DE3">
        <w:rPr>
          <w:rFonts w:eastAsiaTheme="minorHAnsi" w:cstheme="minorBidi"/>
          <w:szCs w:val="22"/>
          <w:lang w:eastAsia="en-US"/>
        </w:rPr>
        <w:t>c</w:t>
      </w:r>
      <w:r w:rsidRPr="005D5B99">
        <w:rPr>
          <w:rFonts w:eastAsiaTheme="minorHAnsi" w:cstheme="minorBidi"/>
          <w:szCs w:val="22"/>
          <w:lang w:eastAsia="en-US"/>
        </w:rPr>
        <w:t>ommittees.</w:t>
      </w:r>
    </w:p>
    <w:p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or adaptation of templates and guidelines to support and promote efficient and comparable reporting of consumer perspectives.</w:t>
      </w:r>
    </w:p>
    <w:p w:rsidR="005D5B99" w:rsidRPr="00173928" w:rsidRDefault="005D5B99" w:rsidP="000C2A76">
      <w:pPr>
        <w:numPr>
          <w:ilvl w:val="0"/>
          <w:numId w:val="19"/>
        </w:numPr>
        <w:spacing w:before="0" w:after="180" w:line="240" w:lineRule="auto"/>
        <w:ind w:left="1434" w:hanging="357"/>
        <w:rPr>
          <w:rFonts w:eastAsiaTheme="minorHAnsi" w:cstheme="minorBidi"/>
          <w:szCs w:val="22"/>
          <w:lang w:eastAsia="en-US"/>
        </w:rPr>
      </w:pPr>
      <w:r w:rsidRPr="00173928">
        <w:rPr>
          <w:rFonts w:eastAsiaTheme="minorHAnsi" w:cstheme="minorBidi"/>
          <w:szCs w:val="22"/>
          <w:lang w:eastAsia="en-US"/>
        </w:rPr>
        <w:t>Reviewing reports and providing advice to the Taskforce about how to make these accessible to consumers and communities.</w:t>
      </w:r>
    </w:p>
    <w:p w:rsidR="005D5B99" w:rsidRPr="005D5B99" w:rsidRDefault="005D5B99" w:rsidP="000C2A76">
      <w:pPr>
        <w:numPr>
          <w:ilvl w:val="0"/>
          <w:numId w:val="17"/>
        </w:numPr>
        <w:spacing w:before="0" w:after="180" w:line="240" w:lineRule="auto"/>
        <w:ind w:left="714" w:hanging="357"/>
        <w:rPr>
          <w:rFonts w:eastAsiaTheme="minorHAnsi" w:cstheme="minorBidi"/>
          <w:b/>
          <w:szCs w:val="22"/>
          <w:lang w:eastAsia="en-US"/>
        </w:rPr>
      </w:pPr>
      <w:r w:rsidRPr="005D5B99">
        <w:rPr>
          <w:rFonts w:eastAsiaTheme="minorHAnsi" w:cstheme="minorBidi"/>
          <w:b/>
          <w:szCs w:val="22"/>
          <w:lang w:eastAsia="en-US"/>
        </w:rPr>
        <w:t>Address systemic improvements to the MBS</w:t>
      </w:r>
    </w:p>
    <w:p w:rsidR="005D5B99" w:rsidRPr="005D5B99" w:rsidRDefault="005D5B99" w:rsidP="00791FE1">
      <w:pPr>
        <w:spacing w:before="0" w:after="180" w:line="240" w:lineRule="auto"/>
        <w:ind w:left="714"/>
        <w:rPr>
          <w:rFonts w:eastAsiaTheme="minorHAnsi" w:cstheme="minorBidi"/>
          <w:szCs w:val="22"/>
          <w:lang w:eastAsia="en-US"/>
        </w:rPr>
      </w:pPr>
      <w:r w:rsidRPr="005D5B99">
        <w:rPr>
          <w:rFonts w:eastAsiaTheme="minorHAnsi" w:cstheme="minorBidi"/>
          <w:szCs w:val="22"/>
          <w:lang w:eastAsia="en-US"/>
        </w:rPr>
        <w:t>This may include:</w:t>
      </w:r>
      <w:r w:rsidRPr="005D5B99">
        <w:rPr>
          <w:rFonts w:eastAsiaTheme="minorHAnsi" w:cstheme="minorBidi"/>
          <w:szCs w:val="22"/>
          <w:lang w:eastAsia="en-US"/>
        </w:rPr>
        <w:tab/>
      </w:r>
    </w:p>
    <w:p w:rsidR="005D5B99" w:rsidRPr="005D5B99" w:rsidRDefault="005D5B99" w:rsidP="000C2A76">
      <w:pPr>
        <w:numPr>
          <w:ilvl w:val="0"/>
          <w:numId w:val="33"/>
        </w:numPr>
        <w:spacing w:before="0" w:after="180" w:line="240" w:lineRule="auto"/>
        <w:rPr>
          <w:rFonts w:eastAsiaTheme="minorHAnsi" w:cstheme="minorBidi"/>
          <w:szCs w:val="22"/>
          <w:lang w:eastAsia="en-US"/>
        </w:rPr>
      </w:pPr>
      <w:r w:rsidRPr="005D5B99">
        <w:rPr>
          <w:rFonts w:eastAsiaTheme="minorHAnsi" w:cstheme="minorBidi"/>
          <w:szCs w:val="22"/>
          <w:lang w:eastAsia="en-US"/>
        </w:rPr>
        <w:t>Commissioning development of a plain English guide for the MBS.</w:t>
      </w:r>
    </w:p>
    <w:p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Scoping how to develop plain English descriptors and hyperlinks to clinical guidelines and plain English Clinical Guidelines.</w:t>
      </w:r>
    </w:p>
    <w:p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of a glossary of terms.</w:t>
      </w:r>
    </w:p>
    <w:p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of evidence-informed consumer engagement pri</w:t>
      </w:r>
      <w:r w:rsidR="000B3102">
        <w:rPr>
          <w:rFonts w:eastAsiaTheme="minorHAnsi" w:cstheme="minorBidi"/>
          <w:szCs w:val="22"/>
          <w:lang w:eastAsia="en-US"/>
        </w:rPr>
        <w:t>nciples, policy and procedures.</w:t>
      </w:r>
    </w:p>
    <w:p w:rsidR="005D5B99" w:rsidRPr="000E545D" w:rsidRDefault="005D5B99" w:rsidP="00791FE1">
      <w:pPr>
        <w:spacing w:before="0" w:after="180" w:line="240" w:lineRule="auto"/>
        <w:rPr>
          <w:rFonts w:cstheme="minorHAnsi"/>
          <w:b/>
        </w:rPr>
      </w:pPr>
      <w:r w:rsidRPr="000F5EF9">
        <w:rPr>
          <w:rFonts w:cstheme="minorHAnsi"/>
          <w:b/>
        </w:rPr>
        <w:lastRenderedPageBreak/>
        <w:t>1.</w:t>
      </w:r>
      <w:r w:rsidR="00173928">
        <w:rPr>
          <w:rFonts w:cstheme="minorHAnsi"/>
          <w:b/>
        </w:rPr>
        <w:t>2</w:t>
      </w:r>
      <w:r w:rsidRPr="000F5EF9">
        <w:rPr>
          <w:rFonts w:cstheme="minorHAnsi"/>
          <w:b/>
        </w:rPr>
        <w:tab/>
        <w:t xml:space="preserve">Timeframes </w:t>
      </w:r>
    </w:p>
    <w:p w:rsidR="005D5B99" w:rsidRPr="005D5B99" w:rsidRDefault="005D5B99" w:rsidP="00791FE1">
      <w:pPr>
        <w:tabs>
          <w:tab w:val="num" w:pos="0"/>
        </w:tabs>
        <w:spacing w:before="0" w:after="180" w:line="240" w:lineRule="auto"/>
      </w:pPr>
      <w:r w:rsidRPr="005D5B99">
        <w:t>Timeframes will be outlined in the Panel’s work plan, as approved by the Taskforce.</w:t>
      </w:r>
    </w:p>
    <w:p w:rsidR="005D5B99" w:rsidRPr="005D5B99" w:rsidRDefault="005D5B99" w:rsidP="00791FE1">
      <w:pPr>
        <w:spacing w:before="0" w:after="180" w:line="240" w:lineRule="auto"/>
      </w:pPr>
      <w:r w:rsidRPr="000F5EF9">
        <w:rPr>
          <w:b/>
          <w:sz w:val="28"/>
          <w:szCs w:val="28"/>
        </w:rPr>
        <w:t>2.</w:t>
      </w:r>
      <w:r w:rsidRPr="000F5EF9">
        <w:rPr>
          <w:b/>
          <w:sz w:val="28"/>
          <w:szCs w:val="28"/>
        </w:rPr>
        <w:tab/>
        <w:t>COMPOSITION AND MEMBERSHIP OF THE CONSUMER PANEL</w:t>
      </w:r>
    </w:p>
    <w:p w:rsidR="000E545D" w:rsidRPr="000E545D" w:rsidRDefault="005D5B99" w:rsidP="00791FE1">
      <w:pPr>
        <w:spacing w:before="0" w:after="180" w:line="240" w:lineRule="auto"/>
        <w:rPr>
          <w:rFonts w:eastAsiaTheme="minorHAnsi" w:cstheme="minorBidi"/>
          <w:szCs w:val="22"/>
          <w:lang w:eastAsia="en-US"/>
        </w:rPr>
      </w:pPr>
      <w:r w:rsidRPr="000E545D">
        <w:rPr>
          <w:rFonts w:eastAsiaTheme="minorHAnsi" w:cstheme="minorBidi"/>
          <w:szCs w:val="22"/>
          <w:lang w:eastAsia="en-US"/>
        </w:rPr>
        <w:t>The Consumer Panel will comprise an Executive and general members.</w:t>
      </w:r>
    </w:p>
    <w:p w:rsidR="005D5B99" w:rsidRPr="00E16BB9" w:rsidRDefault="005D5B99" w:rsidP="00791FE1">
      <w:p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The Executive will provide cross-representation over elements of various </w:t>
      </w:r>
      <w:r w:rsidR="00233567">
        <w:rPr>
          <w:rFonts w:eastAsiaTheme="minorHAnsi" w:cstheme="minorBidi"/>
          <w:szCs w:val="22"/>
          <w:lang w:eastAsia="en-US"/>
        </w:rPr>
        <w:t>C</w:t>
      </w:r>
      <w:r w:rsidR="00233567" w:rsidRPr="00E16BB9">
        <w:rPr>
          <w:rFonts w:eastAsiaTheme="minorHAnsi" w:cstheme="minorBidi"/>
          <w:szCs w:val="22"/>
          <w:lang w:eastAsia="en-US"/>
        </w:rPr>
        <w:t xml:space="preserve">ommittees </w:t>
      </w:r>
      <w:r w:rsidRPr="00E16BB9">
        <w:rPr>
          <w:rFonts w:eastAsiaTheme="minorHAnsi" w:cstheme="minorBidi"/>
          <w:szCs w:val="22"/>
          <w:lang w:eastAsia="en-US"/>
        </w:rPr>
        <w:t>to promote consistency across consumer involvement and foster strategic focus. It will also proactively communicate any outcomes that could inform the broader agenda to modernise the MBS.</w:t>
      </w:r>
    </w:p>
    <w:p w:rsidR="005D5B99" w:rsidRPr="005D5B99" w:rsidRDefault="005D5B99" w:rsidP="00791FE1">
      <w:pPr>
        <w:spacing w:before="0" w:after="180" w:line="240" w:lineRule="auto"/>
      </w:pPr>
      <w:r w:rsidRPr="005D5B99">
        <w:t>The Executive will comprise:</w:t>
      </w:r>
    </w:p>
    <w:p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The Chair;</w:t>
      </w:r>
    </w:p>
    <w:p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Taskforce </w:t>
      </w:r>
      <w:r w:rsidR="00F545A0">
        <w:rPr>
          <w:rFonts w:eastAsiaTheme="minorHAnsi" w:cstheme="minorBidi"/>
          <w:szCs w:val="22"/>
          <w:lang w:eastAsia="en-US"/>
        </w:rPr>
        <w:t>C</w:t>
      </w:r>
      <w:r w:rsidR="00F545A0" w:rsidRPr="00E16BB9">
        <w:rPr>
          <w:rFonts w:eastAsiaTheme="minorHAnsi" w:cstheme="minorBidi"/>
          <w:szCs w:val="22"/>
          <w:lang w:eastAsia="en-US"/>
        </w:rPr>
        <w:t xml:space="preserve">onsumer </w:t>
      </w:r>
      <w:r w:rsidR="00F545A0">
        <w:rPr>
          <w:rFonts w:eastAsiaTheme="minorHAnsi" w:cstheme="minorBidi"/>
          <w:szCs w:val="22"/>
          <w:lang w:eastAsia="en-US"/>
        </w:rPr>
        <w:t>R</w:t>
      </w:r>
      <w:r w:rsidR="00F545A0" w:rsidRPr="00E16BB9">
        <w:rPr>
          <w:rFonts w:eastAsiaTheme="minorHAnsi" w:cstheme="minorBidi"/>
          <w:szCs w:val="22"/>
          <w:lang w:eastAsia="en-US"/>
        </w:rPr>
        <w:t>epresentative</w:t>
      </w:r>
      <w:r w:rsidRPr="00E16BB9">
        <w:rPr>
          <w:rFonts w:eastAsiaTheme="minorHAnsi" w:cstheme="minorBidi"/>
          <w:szCs w:val="22"/>
          <w:lang w:eastAsia="en-US"/>
        </w:rPr>
        <w:t xml:space="preserve">; </w:t>
      </w:r>
    </w:p>
    <w:p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The Medical Services Advisory Committee (MSAC) representative; and </w:t>
      </w:r>
    </w:p>
    <w:p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MSAC Evaluation Subcommittee (ESC) consumer representatives.</w:t>
      </w:r>
    </w:p>
    <w:p w:rsidR="005D5B99" w:rsidRPr="005D5B99" w:rsidRDefault="005D5B99" w:rsidP="00791FE1">
      <w:pPr>
        <w:spacing w:before="0" w:after="180" w:line="240" w:lineRule="auto"/>
      </w:pPr>
      <w:r w:rsidRPr="005D5B99">
        <w:t xml:space="preserve">The general members of the Consumer Panel will be drawn from </w:t>
      </w:r>
      <w:r w:rsidR="00E74DE3">
        <w:t>c</w:t>
      </w:r>
      <w:r w:rsidR="00F545A0" w:rsidRPr="005D5B99">
        <w:t xml:space="preserve">onsumer </w:t>
      </w:r>
      <w:r w:rsidR="00E74DE3">
        <w:t>r</w:t>
      </w:r>
      <w:r w:rsidR="00F545A0" w:rsidRPr="005D5B99">
        <w:t xml:space="preserve">epresentatives </w:t>
      </w:r>
      <w:r w:rsidRPr="005D5B99">
        <w:t xml:space="preserve">on active </w:t>
      </w:r>
      <w:r w:rsidR="00E74DE3">
        <w:t>c</w:t>
      </w:r>
      <w:r w:rsidRPr="005D5B99">
        <w:t xml:space="preserve">linical </w:t>
      </w:r>
      <w:r w:rsidR="00E74DE3">
        <w:t>c</w:t>
      </w:r>
      <w:r w:rsidRPr="005D5B99">
        <w:t xml:space="preserve">ommittees via an </w:t>
      </w:r>
      <w:r w:rsidR="00E74DE3">
        <w:t>e</w:t>
      </w:r>
      <w:r w:rsidRPr="005D5B99">
        <w:t xml:space="preserve">xpression of </w:t>
      </w:r>
      <w:r w:rsidR="00E74DE3">
        <w:t>i</w:t>
      </w:r>
      <w:r w:rsidRPr="005D5B99">
        <w:t>nterest (EOI) process.</w:t>
      </w:r>
    </w:p>
    <w:p w:rsidR="005D5B99" w:rsidRPr="005D5B99" w:rsidRDefault="005D5B99" w:rsidP="00791FE1">
      <w:pPr>
        <w:spacing w:before="0" w:after="180" w:line="240" w:lineRule="auto"/>
      </w:pPr>
      <w:r w:rsidRPr="005D5B99">
        <w:t>Consumer Panel Members comprise:</w:t>
      </w:r>
    </w:p>
    <w:p w:rsidR="005D5B99" w:rsidRPr="00E16BB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members with qualifications and/or experience in sitting on </w:t>
      </w:r>
      <w:r w:rsidR="00E74DE3">
        <w:rPr>
          <w:rFonts w:eastAsiaTheme="minorHAnsi" w:cstheme="minorBidi"/>
          <w:szCs w:val="22"/>
          <w:lang w:eastAsia="en-US"/>
        </w:rPr>
        <w:t>c</w:t>
      </w:r>
      <w:r w:rsidR="00233567" w:rsidRPr="00E16BB9">
        <w:rPr>
          <w:rFonts w:eastAsiaTheme="minorHAnsi" w:cstheme="minorBidi"/>
          <w:szCs w:val="22"/>
          <w:lang w:eastAsia="en-US"/>
        </w:rPr>
        <w:t xml:space="preserve">onsumer </w:t>
      </w:r>
      <w:r w:rsidR="00E74DE3">
        <w:rPr>
          <w:rFonts w:eastAsiaTheme="minorHAnsi" w:cstheme="minorBidi"/>
          <w:szCs w:val="22"/>
          <w:lang w:eastAsia="en-US"/>
        </w:rPr>
        <w:t>c</w:t>
      </w:r>
      <w:r w:rsidR="00233567" w:rsidRPr="00E16BB9">
        <w:rPr>
          <w:rFonts w:eastAsiaTheme="minorHAnsi" w:cstheme="minorBidi"/>
          <w:szCs w:val="22"/>
          <w:lang w:eastAsia="en-US"/>
        </w:rPr>
        <w:t>ommittees</w:t>
      </w:r>
      <w:r w:rsidRPr="00E16BB9">
        <w:rPr>
          <w:rFonts w:eastAsiaTheme="minorHAnsi" w:cstheme="minorBidi"/>
          <w:szCs w:val="22"/>
          <w:lang w:eastAsia="en-US"/>
        </w:rPr>
        <w:t>,</w:t>
      </w:r>
    </w:p>
    <w:p w:rsidR="00E16BB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t>members who have experience participating in the development of national policy, planning and service decisions which affect the health of consumers; and</w:t>
      </w:r>
    </w:p>
    <w:p w:rsidR="00676B2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lastRenderedPageBreak/>
        <w:t>members who are willing to support and promote consumers who are to be involved in health policy, planning and service decisions.</w:t>
      </w:r>
    </w:p>
    <w:p w:rsidR="005D5B99" w:rsidRPr="00E16BB9" w:rsidRDefault="00676B29" w:rsidP="00676B29">
      <w:pPr>
        <w:spacing w:before="0" w:after="0" w:line="240" w:lineRule="auto"/>
        <w:rPr>
          <w:rFonts w:eastAsiaTheme="minorHAnsi" w:cstheme="minorBidi"/>
          <w:szCs w:val="22"/>
          <w:lang w:eastAsia="en-US"/>
        </w:rPr>
      </w:pPr>
      <w:r>
        <w:rPr>
          <w:rFonts w:eastAsiaTheme="minorHAnsi" w:cstheme="minorBidi"/>
          <w:szCs w:val="22"/>
          <w:lang w:eastAsia="en-US"/>
        </w:rPr>
        <w:br w:type="page"/>
      </w:r>
    </w:p>
    <w:bookmarkEnd w:id="7"/>
    <w:p w:rsidR="005774E9" w:rsidRPr="00606724" w:rsidRDefault="00CA30C1" w:rsidP="00791FE1">
      <w:pPr>
        <w:spacing w:before="0" w:after="180" w:line="240" w:lineRule="auto"/>
        <w:rPr>
          <w:rFonts w:eastAsiaTheme="minorHAnsi" w:cstheme="minorHAnsi"/>
          <w:b/>
          <w:color w:val="01653F"/>
          <w:sz w:val="32"/>
          <w:szCs w:val="32"/>
          <w:lang w:eastAsia="en-US"/>
        </w:rPr>
      </w:pPr>
      <w:r w:rsidRPr="00606724">
        <w:rPr>
          <w:rFonts w:eastAsiaTheme="minorHAnsi" w:cstheme="minorHAnsi"/>
          <w:b/>
          <w:color w:val="01653F"/>
          <w:sz w:val="32"/>
          <w:szCs w:val="32"/>
          <w:lang w:eastAsia="en-US"/>
        </w:rPr>
        <w:lastRenderedPageBreak/>
        <w:t>Attachment A</w:t>
      </w:r>
    </w:p>
    <w:p w:rsidR="005774E9" w:rsidRPr="00CA30C1" w:rsidRDefault="005774E9" w:rsidP="00791FE1">
      <w:pPr>
        <w:spacing w:before="0" w:after="180" w:line="240" w:lineRule="auto"/>
        <w:rPr>
          <w:b/>
          <w:szCs w:val="22"/>
        </w:rPr>
      </w:pPr>
      <w:r w:rsidRPr="00CA30C1">
        <w:rPr>
          <w:rFonts w:eastAsiaTheme="minorHAnsi" w:cstheme="minorHAnsi"/>
          <w:b/>
          <w:szCs w:val="22"/>
          <w:lang w:eastAsia="en-US"/>
        </w:rPr>
        <w:t xml:space="preserve">Role of the </w:t>
      </w:r>
      <w:r w:rsidR="00F545A0">
        <w:rPr>
          <w:rFonts w:eastAsiaTheme="minorHAnsi" w:cstheme="minorHAnsi"/>
          <w:b/>
          <w:szCs w:val="22"/>
          <w:lang w:eastAsia="en-US"/>
        </w:rPr>
        <w:t>C</w:t>
      </w:r>
      <w:r w:rsidR="00F545A0" w:rsidRPr="00CA30C1">
        <w:rPr>
          <w:rFonts w:eastAsiaTheme="minorHAnsi" w:cstheme="minorHAnsi"/>
          <w:b/>
          <w:szCs w:val="22"/>
          <w:lang w:eastAsia="en-US"/>
        </w:rPr>
        <w:t xml:space="preserve">onsumer </w:t>
      </w:r>
      <w:r w:rsidR="00F545A0">
        <w:rPr>
          <w:rFonts w:eastAsiaTheme="minorHAnsi" w:cstheme="minorHAnsi"/>
          <w:b/>
          <w:szCs w:val="22"/>
          <w:lang w:eastAsia="en-US"/>
        </w:rPr>
        <w:t>R</w:t>
      </w:r>
      <w:r w:rsidR="00F545A0" w:rsidRPr="00CA30C1">
        <w:rPr>
          <w:rFonts w:eastAsiaTheme="minorHAnsi" w:cstheme="minorHAnsi"/>
          <w:b/>
          <w:szCs w:val="22"/>
          <w:lang w:eastAsia="en-US"/>
        </w:rPr>
        <w:t xml:space="preserve">epresentative </w:t>
      </w:r>
      <w:r w:rsidRPr="00CA30C1">
        <w:rPr>
          <w:rFonts w:eastAsiaTheme="minorHAnsi" w:cstheme="minorHAnsi"/>
          <w:b/>
          <w:szCs w:val="22"/>
          <w:lang w:eastAsia="en-US"/>
        </w:rPr>
        <w:t xml:space="preserve">on </w:t>
      </w:r>
      <w:r w:rsidR="00233567">
        <w:rPr>
          <w:rFonts w:eastAsiaTheme="minorHAnsi" w:cstheme="minorHAnsi"/>
          <w:b/>
          <w:szCs w:val="22"/>
          <w:lang w:eastAsia="en-US"/>
        </w:rPr>
        <w:t>C</w:t>
      </w:r>
      <w:r w:rsidR="00233567" w:rsidRPr="00CA30C1">
        <w:rPr>
          <w:rFonts w:eastAsiaTheme="minorHAnsi" w:cstheme="minorHAnsi"/>
          <w:b/>
          <w:szCs w:val="22"/>
          <w:lang w:eastAsia="en-US"/>
        </w:rPr>
        <w:t xml:space="preserve">linical </w:t>
      </w:r>
      <w:r w:rsidR="00233567">
        <w:rPr>
          <w:rFonts w:eastAsiaTheme="minorHAnsi" w:cstheme="minorHAnsi"/>
          <w:b/>
          <w:szCs w:val="22"/>
          <w:lang w:eastAsia="en-US"/>
        </w:rPr>
        <w:t>C</w:t>
      </w:r>
      <w:r w:rsidR="00233567" w:rsidRPr="00CA30C1">
        <w:rPr>
          <w:rFonts w:eastAsiaTheme="minorHAnsi" w:cstheme="minorHAnsi"/>
          <w:b/>
          <w:szCs w:val="22"/>
          <w:lang w:eastAsia="en-US"/>
        </w:rPr>
        <w:t xml:space="preserve">ommittees </w:t>
      </w:r>
      <w:r w:rsidRPr="00CA30C1">
        <w:rPr>
          <w:rFonts w:eastAsiaTheme="minorHAnsi" w:cstheme="minorHAnsi"/>
          <w:b/>
          <w:szCs w:val="22"/>
          <w:lang w:eastAsia="en-US"/>
        </w:rPr>
        <w:t xml:space="preserve">(excerpt from </w:t>
      </w:r>
      <w:r w:rsidRPr="00CA30C1">
        <w:rPr>
          <w:b/>
          <w:szCs w:val="22"/>
        </w:rPr>
        <w:t>the Guidance for Clinical Committees).</w:t>
      </w:r>
    </w:p>
    <w:p w:rsidR="005774E9" w:rsidRPr="005774E9" w:rsidRDefault="005774E9" w:rsidP="00791FE1">
      <w:pPr>
        <w:spacing w:before="0" w:after="180" w:line="240" w:lineRule="auto"/>
        <w:rPr>
          <w:rFonts w:eastAsiaTheme="minorHAnsi" w:cstheme="minorHAnsi"/>
          <w:szCs w:val="22"/>
          <w:lang w:eastAsia="en-US"/>
        </w:rPr>
      </w:pPr>
      <w:r w:rsidRPr="005774E9">
        <w:rPr>
          <w:rFonts w:eastAsiaTheme="minorHAnsi" w:cstheme="minorHAnsi"/>
          <w:szCs w:val="22"/>
          <w:lang w:eastAsia="en-US"/>
        </w:rPr>
        <w:t>“Consumers may offer different and complimentary perspectives to those of professionals”</w:t>
      </w:r>
      <w:r w:rsidRPr="005774E9">
        <w:rPr>
          <w:rFonts w:eastAsiaTheme="minorHAnsi" w:cstheme="minorHAnsi"/>
          <w:szCs w:val="22"/>
          <w:vertAlign w:val="superscript"/>
          <w:lang w:eastAsia="en-US"/>
        </w:rPr>
        <w:footnoteReference w:id="3"/>
      </w:r>
      <w:r w:rsidRPr="005774E9">
        <w:rPr>
          <w:rFonts w:eastAsiaTheme="minorHAnsi" w:cstheme="minorHAnsi"/>
          <w:szCs w:val="22"/>
          <w:lang w:eastAsia="en-US"/>
        </w:rPr>
        <w:t xml:space="preserve">. </w:t>
      </w:r>
    </w:p>
    <w:p w:rsidR="005774E9" w:rsidRPr="005774E9" w:rsidRDefault="005774E9" w:rsidP="00791FE1">
      <w:pPr>
        <w:spacing w:before="0" w:after="180" w:line="240" w:lineRule="auto"/>
        <w:rPr>
          <w:rFonts w:eastAsiaTheme="minorHAnsi" w:cstheme="minorHAnsi"/>
          <w:szCs w:val="22"/>
          <w:lang w:eastAsia="en-US"/>
        </w:rPr>
      </w:pPr>
      <w:r w:rsidRPr="005774E9">
        <w:rPr>
          <w:rFonts w:eastAsiaTheme="minorHAnsi" w:cstheme="minorHAnsi"/>
          <w:szCs w:val="22"/>
          <w:lang w:eastAsia="en-US"/>
        </w:rPr>
        <w:t xml:space="preserve">The role of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onsumer </w:t>
      </w:r>
      <w:r w:rsidRPr="005774E9">
        <w:rPr>
          <w:rFonts w:eastAsiaTheme="minorHAnsi" w:cstheme="minorHAnsi"/>
          <w:szCs w:val="22"/>
          <w:lang w:eastAsia="en-US"/>
        </w:rPr>
        <w:t xml:space="preserve">on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ommittees </w:t>
      </w:r>
      <w:r w:rsidRPr="005774E9">
        <w:rPr>
          <w:rFonts w:eastAsiaTheme="minorHAnsi" w:cstheme="minorHAnsi"/>
          <w:szCs w:val="22"/>
          <w:lang w:eastAsia="en-US"/>
        </w:rPr>
        <w:t xml:space="preserve">is valued for providing relevant and different perspectives to the clinical experts. Being involved in the setting of agendas for </w:t>
      </w:r>
      <w:r w:rsidR="00E74DE3">
        <w:rPr>
          <w:rFonts w:eastAsiaTheme="minorHAnsi" w:cstheme="minorHAnsi"/>
          <w:szCs w:val="22"/>
          <w:lang w:eastAsia="en-US"/>
        </w:rPr>
        <w:t>c</w:t>
      </w:r>
      <w:r w:rsidR="00233567" w:rsidRPr="005774E9">
        <w:rPr>
          <w:rFonts w:eastAsiaTheme="minorHAnsi" w:cstheme="minorHAnsi"/>
          <w:szCs w:val="22"/>
          <w:lang w:eastAsia="en-US"/>
        </w:rPr>
        <w:t xml:space="preserve">linical </w:t>
      </w:r>
      <w:r w:rsidR="00E74DE3">
        <w:rPr>
          <w:rFonts w:eastAsiaTheme="minorHAnsi" w:cstheme="minorHAnsi"/>
          <w:szCs w:val="22"/>
          <w:lang w:eastAsia="en-US"/>
        </w:rPr>
        <w:t>c</w:t>
      </w:r>
      <w:r w:rsidR="00233567" w:rsidRPr="005774E9">
        <w:rPr>
          <w:rFonts w:eastAsiaTheme="minorHAnsi" w:cstheme="minorHAnsi"/>
          <w:szCs w:val="22"/>
          <w:lang w:eastAsia="en-US"/>
        </w:rPr>
        <w:t xml:space="preserve">ommittee </w:t>
      </w:r>
      <w:r w:rsidRPr="005774E9">
        <w:rPr>
          <w:rFonts w:eastAsiaTheme="minorHAnsi" w:cstheme="minorHAnsi"/>
          <w:szCs w:val="22"/>
          <w:lang w:eastAsia="en-US"/>
        </w:rPr>
        <w:t xml:space="preserve">meetings will ensure key messages have time to be heard — </w:t>
      </w:r>
      <w:r w:rsidR="00E74DE3">
        <w:rPr>
          <w:rFonts w:eastAsiaTheme="minorHAnsi" w:cstheme="minorHAnsi"/>
          <w:szCs w:val="22"/>
          <w:lang w:eastAsia="en-US"/>
        </w:rPr>
        <w:t>c</w:t>
      </w:r>
      <w:r w:rsidR="00F545A0" w:rsidRPr="005774E9">
        <w:rPr>
          <w:rFonts w:eastAsiaTheme="minorHAnsi" w:cstheme="minorHAnsi"/>
          <w:szCs w:val="22"/>
          <w:lang w:eastAsia="en-US"/>
        </w:rPr>
        <w:t xml:space="preserve">onsumer </w:t>
      </w:r>
      <w:r w:rsidR="00E74DE3">
        <w:rPr>
          <w:rFonts w:eastAsiaTheme="minorHAnsi" w:cstheme="minorHAnsi"/>
          <w:szCs w:val="22"/>
          <w:lang w:eastAsia="en-US"/>
        </w:rPr>
        <w:t>r</w:t>
      </w:r>
      <w:r w:rsidR="00F545A0" w:rsidRPr="005774E9">
        <w:rPr>
          <w:rFonts w:eastAsiaTheme="minorHAnsi" w:cstheme="minorHAnsi"/>
          <w:szCs w:val="22"/>
          <w:lang w:eastAsia="en-US"/>
        </w:rPr>
        <w:t xml:space="preserve">epresentatives </w:t>
      </w:r>
      <w:r w:rsidRPr="005774E9">
        <w:rPr>
          <w:rFonts w:eastAsiaTheme="minorHAnsi" w:cstheme="minorHAnsi"/>
          <w:szCs w:val="22"/>
          <w:lang w:eastAsia="en-US"/>
        </w:rPr>
        <w:t xml:space="preserve">should speak to the Chair to arrange time within the agenda to raise consumer issues. During the meeting, before an item is closed, consider whether there is anything additional that needs to be considered from a patient or carer perspective that may bolster the committee arguments or provide an alternative point of view for consideration. </w:t>
      </w:r>
    </w:p>
    <w:p w:rsidR="005774E9" w:rsidRPr="005774E9" w:rsidRDefault="005774E9" w:rsidP="00791FE1">
      <w:pPr>
        <w:spacing w:before="0" w:after="180" w:line="240" w:lineRule="auto"/>
        <w:rPr>
          <w:rFonts w:eastAsiaTheme="minorHAnsi" w:cstheme="minorHAnsi"/>
          <w:szCs w:val="22"/>
          <w:lang w:val="en-GB" w:eastAsia="en-US"/>
        </w:rPr>
      </w:pPr>
      <w:r w:rsidRPr="005774E9">
        <w:rPr>
          <w:rFonts w:eastAsiaTheme="minorHAnsi" w:cstheme="minorHAnsi"/>
          <w:szCs w:val="22"/>
          <w:lang w:eastAsia="en-US"/>
        </w:rPr>
        <w:t xml:space="preserve">Preparing for the meeting: articulate, as far as possible, the key messages from consumer submissions to the MBS Review as they relate to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linical </w:t>
      </w:r>
      <w:r w:rsidR="00E74DE3">
        <w:rPr>
          <w:rFonts w:eastAsiaTheme="minorHAnsi" w:cstheme="minorHAnsi"/>
          <w:szCs w:val="22"/>
          <w:lang w:eastAsia="en-US"/>
        </w:rPr>
        <w:t>c</w:t>
      </w:r>
      <w:r w:rsidR="00233567" w:rsidRPr="005774E9">
        <w:rPr>
          <w:rFonts w:eastAsiaTheme="minorHAnsi" w:cstheme="minorHAnsi"/>
          <w:szCs w:val="22"/>
          <w:lang w:eastAsia="en-US"/>
        </w:rPr>
        <w:t>ommittee</w:t>
      </w:r>
      <w:r w:rsidRPr="005774E9">
        <w:rPr>
          <w:rFonts w:eastAsiaTheme="minorHAnsi" w:cstheme="minorHAnsi"/>
          <w:szCs w:val="22"/>
          <w:lang w:eastAsia="en-US"/>
        </w:rPr>
        <w:t xml:space="preserve">. Consumer </w:t>
      </w:r>
      <w:r w:rsidR="00E74DE3">
        <w:rPr>
          <w:rFonts w:eastAsiaTheme="minorHAnsi" w:cstheme="minorHAnsi"/>
          <w:szCs w:val="22"/>
          <w:lang w:eastAsia="en-US"/>
        </w:rPr>
        <w:t>r</w:t>
      </w:r>
      <w:r w:rsidR="00F545A0" w:rsidRPr="005774E9">
        <w:rPr>
          <w:rFonts w:eastAsiaTheme="minorHAnsi" w:cstheme="minorHAnsi"/>
          <w:szCs w:val="22"/>
          <w:lang w:eastAsia="en-US"/>
        </w:rPr>
        <w:t xml:space="preserve">epresentatives </w:t>
      </w:r>
      <w:r w:rsidRPr="005774E9">
        <w:rPr>
          <w:rFonts w:eastAsiaTheme="minorHAnsi" w:cstheme="minorHAnsi"/>
          <w:szCs w:val="22"/>
          <w:lang w:eastAsia="en-US"/>
        </w:rPr>
        <w:t xml:space="preserve">may also </w:t>
      </w:r>
      <w:r w:rsidRPr="005774E9">
        <w:rPr>
          <w:rFonts w:eastAsiaTheme="minorHAnsi" w:cstheme="minorHAnsi"/>
          <w:szCs w:val="22"/>
          <w:lang w:val="en-GB" w:eastAsia="en-US"/>
        </w:rPr>
        <w:t xml:space="preserve">need to seek further input by going out into the public and researching </w:t>
      </w:r>
      <w:r w:rsidRPr="005774E9">
        <w:rPr>
          <w:rFonts w:eastAsiaTheme="minorHAnsi" w:cstheme="minorHAnsi"/>
          <w:szCs w:val="22"/>
          <w:lang w:val="en-GB" w:eastAsia="en-US"/>
        </w:rPr>
        <w:lastRenderedPageBreak/>
        <w:t>attitudes and beliefs in order to be able to represent the perspective of some members of the public. In particular this could involve:</w:t>
      </w:r>
    </w:p>
    <w:p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Talking to relevant organisations to gather perspectives</w:t>
      </w:r>
    </w:p>
    <w:p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 xml:space="preserve">Articulating any differences between specific groups of people (for example, patients, people affected by different conditions, or people with different genetic variations of known significance, may have different priorities) </w:t>
      </w:r>
    </w:p>
    <w:p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Collecting and synthesising relevant stories or case studies (similar to the ‘real people real data’ project that Consumers Health Forum did for MSAC)</w:t>
      </w:r>
      <w:r w:rsidRPr="005774E9">
        <w:rPr>
          <w:rFonts w:eastAsiaTheme="minorHAnsi" w:cstheme="minorHAnsi"/>
          <w:szCs w:val="22"/>
          <w:vertAlign w:val="superscript"/>
          <w:lang w:val="en-GB" w:eastAsia="en-US"/>
        </w:rPr>
        <w:footnoteReference w:id="4"/>
      </w:r>
      <w:r w:rsidRPr="005774E9">
        <w:rPr>
          <w:rFonts w:eastAsiaTheme="minorHAnsi" w:cstheme="minorHAnsi"/>
          <w:szCs w:val="22"/>
          <w:lang w:eastAsia="en-US"/>
        </w:rPr>
        <w:t xml:space="preserve"> </w:t>
      </w:r>
      <w:r w:rsidRPr="005774E9">
        <w:rPr>
          <w:rFonts w:eastAsiaTheme="minorHAnsi" w:cstheme="minorHAnsi"/>
          <w:szCs w:val="22"/>
          <w:lang w:val="en-GB" w:eastAsia="en-US"/>
        </w:rPr>
        <w:t>.</w:t>
      </w:r>
    </w:p>
    <w:p w:rsidR="00937D2A" w:rsidRDefault="00937D2A" w:rsidP="00791FE1">
      <w:pPr>
        <w:spacing w:before="0" w:after="180" w:line="240" w:lineRule="auto"/>
        <w:rPr>
          <w:szCs w:val="22"/>
        </w:rPr>
      </w:pPr>
      <w:r>
        <w:rPr>
          <w:szCs w:val="22"/>
        </w:rPr>
        <w:br w:type="page"/>
      </w:r>
    </w:p>
    <w:p w:rsidR="00937D2A" w:rsidRPr="00606724" w:rsidRDefault="00937D2A" w:rsidP="00E83ED7">
      <w:pPr>
        <w:pStyle w:val="AppendixStyle1"/>
        <w:rPr>
          <w:szCs w:val="32"/>
        </w:rPr>
      </w:pPr>
      <w:bookmarkStart w:id="63" w:name="_Toc33103212"/>
      <w:r w:rsidRPr="00606724">
        <w:rPr>
          <w:szCs w:val="32"/>
        </w:rPr>
        <w:lastRenderedPageBreak/>
        <w:t xml:space="preserve">Consumer Engagement </w:t>
      </w:r>
      <w:r w:rsidR="00C55F9A" w:rsidRPr="00606724">
        <w:rPr>
          <w:szCs w:val="32"/>
        </w:rPr>
        <w:t>Resource</w:t>
      </w:r>
      <w:bookmarkEnd w:id="63"/>
    </w:p>
    <w:p w:rsidR="00446E2E" w:rsidRDefault="00C55F9A" w:rsidP="00791FE1">
      <w:pPr>
        <w:spacing w:before="0" w:after="180" w:line="240" w:lineRule="auto"/>
        <w:rPr>
          <w:rFonts w:eastAsiaTheme="minorHAnsi" w:cstheme="minorBidi"/>
        </w:rPr>
      </w:pPr>
      <w:r>
        <w:rPr>
          <w:lang w:val="en-US" w:eastAsia="en-US"/>
        </w:rPr>
        <w:t xml:space="preserve">The Consumer Engagement Resource </w:t>
      </w:r>
      <w:r w:rsidR="00906C74">
        <w:rPr>
          <w:rFonts w:eastAsiaTheme="minorHAnsi" w:cstheme="minorBidi"/>
        </w:rPr>
        <w:t xml:space="preserve">is intended to be used as a </w:t>
      </w:r>
      <w:r w:rsidR="00446E2E" w:rsidRPr="00722B1F">
        <w:rPr>
          <w:rFonts w:eastAsiaTheme="minorHAnsi" w:cstheme="minorBidi"/>
        </w:rPr>
        <w:t xml:space="preserve">resource for </w:t>
      </w:r>
      <w:r w:rsidR="00E74DE3">
        <w:rPr>
          <w:rFonts w:eastAsiaTheme="minorHAnsi" w:cstheme="minorBidi"/>
        </w:rPr>
        <w:t>c</w:t>
      </w:r>
      <w:r w:rsidR="00446E2E" w:rsidRPr="00722B1F">
        <w:rPr>
          <w:rFonts w:eastAsiaTheme="minorHAnsi" w:cstheme="minorBidi"/>
        </w:rPr>
        <w:t xml:space="preserve">linical </w:t>
      </w:r>
      <w:r w:rsidR="00E74DE3">
        <w:rPr>
          <w:rFonts w:eastAsiaTheme="minorHAnsi" w:cstheme="minorBidi"/>
        </w:rPr>
        <w:t>c</w:t>
      </w:r>
      <w:r w:rsidR="00446E2E" w:rsidRPr="00722B1F">
        <w:rPr>
          <w:rFonts w:eastAsiaTheme="minorHAnsi" w:cstheme="minorBidi"/>
        </w:rPr>
        <w:t xml:space="preserve">ommittees </w:t>
      </w:r>
      <w:r w:rsidR="00446E2E">
        <w:rPr>
          <w:rFonts w:eastAsiaTheme="minorHAnsi" w:cstheme="minorBidi"/>
        </w:rPr>
        <w:t xml:space="preserve">and </w:t>
      </w:r>
      <w:r w:rsidR="00E74DE3">
        <w:rPr>
          <w:rFonts w:eastAsiaTheme="minorHAnsi" w:cstheme="minorBidi"/>
        </w:rPr>
        <w:t>s</w:t>
      </w:r>
      <w:r w:rsidR="00446E2E">
        <w:rPr>
          <w:rFonts w:eastAsiaTheme="minorHAnsi" w:cstheme="minorBidi"/>
        </w:rPr>
        <w:t xml:space="preserve">ecretariat personnel </w:t>
      </w:r>
      <w:r w:rsidR="00446E2E" w:rsidRPr="00722B1F">
        <w:rPr>
          <w:rFonts w:eastAsiaTheme="minorHAnsi" w:cstheme="minorBidi"/>
        </w:rPr>
        <w:t xml:space="preserve">during </w:t>
      </w:r>
      <w:r w:rsidR="00906C74">
        <w:rPr>
          <w:rFonts w:eastAsiaTheme="minorHAnsi" w:cstheme="minorBidi"/>
        </w:rPr>
        <w:t xml:space="preserve">an </w:t>
      </w:r>
      <w:r w:rsidR="00446E2E" w:rsidRPr="00722B1F">
        <w:rPr>
          <w:rFonts w:eastAsiaTheme="minorHAnsi" w:cstheme="minorBidi"/>
        </w:rPr>
        <w:t xml:space="preserve">MBS Review. </w:t>
      </w:r>
      <w:r w:rsidR="00906C74">
        <w:rPr>
          <w:rFonts w:eastAsiaTheme="minorHAnsi" w:cstheme="minorBidi"/>
        </w:rPr>
        <w:t xml:space="preserve">It is a living document that must be contextualised to the terms of reference of a </w:t>
      </w:r>
      <w:r w:rsidR="00E74DE3">
        <w:rPr>
          <w:rFonts w:eastAsiaTheme="minorHAnsi" w:cstheme="minorBidi"/>
        </w:rPr>
        <w:t>c</w:t>
      </w:r>
      <w:r w:rsidR="00233567">
        <w:rPr>
          <w:rFonts w:eastAsiaTheme="minorHAnsi" w:cstheme="minorBidi"/>
        </w:rPr>
        <w:t xml:space="preserve">linical </w:t>
      </w:r>
      <w:r w:rsidR="00E74DE3">
        <w:rPr>
          <w:rFonts w:eastAsiaTheme="minorHAnsi" w:cstheme="minorBidi"/>
        </w:rPr>
        <w:t>c</w:t>
      </w:r>
      <w:r w:rsidR="00233567">
        <w:rPr>
          <w:rFonts w:eastAsiaTheme="minorHAnsi" w:cstheme="minorBidi"/>
        </w:rPr>
        <w:t xml:space="preserve">ommittee </w:t>
      </w:r>
      <w:r w:rsidR="00906C74">
        <w:rPr>
          <w:rFonts w:eastAsiaTheme="minorHAnsi" w:cstheme="minorBidi"/>
        </w:rPr>
        <w:t xml:space="preserve">or working group. </w:t>
      </w:r>
    </w:p>
    <w:p w:rsidR="00C55F9A" w:rsidRDefault="00C55F9A" w:rsidP="00791FE1">
      <w:pPr>
        <w:spacing w:before="0" w:after="180" w:line="240" w:lineRule="auto"/>
      </w:pPr>
      <w:r>
        <w:br w:type="page"/>
      </w:r>
    </w:p>
    <w:p w:rsidR="00DC7BE6" w:rsidRPr="00606724" w:rsidRDefault="00DC7BE6" w:rsidP="00F13040">
      <w:pPr>
        <w:pStyle w:val="AppendixStyle1"/>
        <w:rPr>
          <w:szCs w:val="32"/>
        </w:rPr>
      </w:pPr>
      <w:bookmarkStart w:id="64" w:name="_Toc33103213"/>
      <w:r w:rsidRPr="00606724">
        <w:rPr>
          <w:szCs w:val="32"/>
        </w:rPr>
        <w:lastRenderedPageBreak/>
        <w:t>Consum</w:t>
      </w:r>
      <w:r w:rsidR="00F73090" w:rsidRPr="00606724">
        <w:rPr>
          <w:szCs w:val="32"/>
        </w:rPr>
        <w:t>er Engagement in the MBS Review</w:t>
      </w:r>
      <w:r w:rsidR="00606724" w:rsidRPr="00606724">
        <w:rPr>
          <w:szCs w:val="32"/>
        </w:rPr>
        <w:t xml:space="preserve"> </w:t>
      </w:r>
      <w:r w:rsidR="00F73090" w:rsidRPr="00606724">
        <w:rPr>
          <w:szCs w:val="32"/>
        </w:rPr>
        <w:t>Frequently Asked Questions</w:t>
      </w:r>
      <w:bookmarkEnd w:id="64"/>
    </w:p>
    <w:tbl>
      <w:tblPr>
        <w:tblStyle w:val="ListTable4-Accent61"/>
        <w:tblW w:w="0" w:type="auto"/>
        <w:jc w:val="center"/>
        <w:tblInd w:w="0"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Description w:val="How do clinical committees and working groups function in the Review?&#10;Clinical committees typically conduct a series of meetings, both face-to-face and via teleconference. Consumer representatives are sometimes required to respond to committee / working group business out-of-session via email.&#10;How are clinical committees structured?&#10;Each clinical committee reviews the current MBS items available to the relevant clinical field, in light of contemporary clinical evidence and practice. The clinicians on the committee are appointed in their individual capacity, not as a representative of their profession, and are drawn from the relevant medical field, related disciplines and health system experts. &#10;Most clinical committees have two consumer representatives to provide consumer perspectives on the MBS items being discussed. Some clinical committees have had one consumer representative.&#10;What are working groups?&#10;Occasionally a clinical committee determines that a sub-group is required to consider specific issue or item(s). This working group may undertake research and/or gather evidence before reporting back to the clinical committee on their findings and recommendations.&#10;Is there an induction process?&#10;All clinical committee members are supplied with an induction pack and invited by the secretariat to undertake an induction process. The chair of the clinical committee will usually make an introductory call to consumer representatives.&#10;A free online introduction to consumer representation is available at:&#10;eLearning Guidelines&#10;The Consumer Engagement Resource, prepared by the Consumer Panel, provides the necessary tools to effectively participate in the clinical committee discussions.&#10;How long am I expected to commit to the committee?&#10;The time required for a clinical committee to complete its work varies.&#10;First, a clinical committee reviews the relevant MBS items and develops recommendations in a draft report for the consideration of the Taskforce.&#10;If endorsed by the Taskforce for consultation, the draft report is then released for consultation. Following the closure of consultation period, the clinical committee reviews the feedback received and considers if any changes to the recommendations are required.&#10;A post consultation report is then provided to the Taskforce for consideration, concluding the work of the clinical committee.&#10;What is expected of me as a consumer representative on a clinical committee?&#10;Primarily, the role of the consumer representative is to provide an independent consumer perspective to the items being discussed and reviewed. Consumer representatives are not expected to have clinical expertise. Some points to keep in mind when considering the discussions and evidence being put forward by the clinicians could include:-&#10;• Safety, will any changes impact safety?&#10;• Quality, will any changes impact quality of services?&#10;• Access, will any changes impact accessibility for consumers?&#10;• Effectiveness, will any changes impact on delivery and effectiveness?&#10;• Cost effectiveness, will changes deliver value for money?&#10;How do I prepare for the meetings?&#10;All clinical committee members are required to read the agenda, meeting, and research papers. These will assist in understanding and contributing to the clinical committee’s discussions.&#10;Clinical committee members can expect to receive papers in the week prior to the meeting.&#10;How many clinical committee meetings will be held and am I expected to attend each one?&#10;A face-to-face induction meeting of the clinical committee will be held to familiarise members with the process of the review.&#10;Over the course of the clinical committee’s work there will usually be at least two face-to-face meetings (allow a full day for each).&#10;Up to five teleconferences are held over the life of the clinical committee, and once consultation has closed a further meeting (it may be face-to-face, but normally a teleconference) is typically held to discuss stakeholder feedback and any necessary changes to the final report arising from consultation, before it goes back to the Taskforce for consideration.&#10;Face to face meetings are held in a capital city (Sydney, Melbourne, Brisbane or Canberra).&#10;Whilst all clinical committee members are encouraged to attend all the meetings to enable maximum consumer input, the Department understands that this may not at times be feasible. Minutes are disseminated from the secretariat after each meeting to inform members of the discussion and decisions made.&#10;"/>
      </w:tblPr>
      <w:tblGrid>
        <w:gridCol w:w="8302"/>
      </w:tblGrid>
      <w:tr w:rsidR="004C7D8A" w:rsidRPr="00F73090" w:rsidTr="00321C36">
        <w:trPr>
          <w:cnfStyle w:val="100000000000" w:firstRow="1" w:lastRow="0" w:firstColumn="0" w:lastColumn="0" w:oddVBand="0" w:evenVBand="0" w:oddHBand="0" w:evenHBand="0" w:firstRowFirstColumn="0" w:firstRowLastColumn="0" w:lastRowFirstColumn="0" w:lastRowLastColumn="0"/>
          <w:trHeight w:val="558"/>
          <w:tblHeader/>
          <w:jc w:val="center"/>
        </w:trPr>
        <w:tc>
          <w:tcPr>
            <w:cnfStyle w:val="001000000000" w:firstRow="0" w:lastRow="0" w:firstColumn="1" w:lastColumn="0" w:oddVBand="0" w:evenVBand="0" w:oddHBand="0" w:evenHBand="0" w:firstRowFirstColumn="0" w:firstRowLastColumn="0" w:lastRowFirstColumn="0" w:lastRowLastColumn="0"/>
            <w:tcW w:w="8302" w:type="dxa"/>
            <w:tcBorders>
              <w:top w:val="none" w:sz="0" w:space="0" w:color="auto"/>
              <w:left w:val="none" w:sz="0" w:space="0" w:color="auto"/>
              <w:bottom w:val="none" w:sz="0" w:space="0" w:color="auto"/>
              <w:right w:val="none" w:sz="0" w:space="0" w:color="auto"/>
            </w:tcBorders>
            <w:shd w:val="clear" w:color="auto" w:fill="01653F"/>
            <w:vAlign w:val="center"/>
            <w:hideMark/>
          </w:tcPr>
          <w:p w:rsidR="00F73090" w:rsidRPr="00F73090" w:rsidRDefault="00F73090" w:rsidP="00E74DE3">
            <w:pPr>
              <w:spacing w:before="80" w:after="80" w:line="240" w:lineRule="auto"/>
              <w:rPr>
                <w:rFonts w:ascii="Calibri" w:hAnsi="Calibri"/>
                <w:i/>
                <w:szCs w:val="22"/>
              </w:rPr>
            </w:pPr>
            <w:r w:rsidRPr="00F73090">
              <w:rPr>
                <w:rFonts w:ascii="Calibri" w:hAnsi="Calibri"/>
                <w:i/>
                <w:szCs w:val="22"/>
              </w:rPr>
              <w:t xml:space="preserve">How do </w:t>
            </w:r>
            <w:r w:rsidR="00E74DE3">
              <w:rPr>
                <w:rFonts w:ascii="Calibri" w:hAnsi="Calibri"/>
                <w:i/>
                <w:szCs w:val="22"/>
              </w:rPr>
              <w:t>c</w:t>
            </w:r>
            <w:r w:rsidR="00233567">
              <w:rPr>
                <w:rFonts w:ascii="Calibri" w:hAnsi="Calibri"/>
                <w:i/>
                <w:szCs w:val="22"/>
              </w:rPr>
              <w:t>l</w:t>
            </w:r>
            <w:r w:rsidR="00233567" w:rsidRPr="00F73090">
              <w:rPr>
                <w:rFonts w:ascii="Calibri" w:hAnsi="Calibri"/>
                <w:i/>
                <w:szCs w:val="22"/>
              </w:rPr>
              <w:t xml:space="preserve">inical </w:t>
            </w:r>
            <w:r w:rsidR="00E74DE3">
              <w:rPr>
                <w:rFonts w:ascii="Calibri" w:hAnsi="Calibri"/>
                <w:i/>
                <w:szCs w:val="22"/>
              </w:rPr>
              <w:t>c</w:t>
            </w:r>
            <w:r w:rsidR="00233567" w:rsidRPr="00F73090">
              <w:rPr>
                <w:rFonts w:ascii="Calibri" w:hAnsi="Calibri"/>
                <w:i/>
                <w:szCs w:val="22"/>
              </w:rPr>
              <w:t xml:space="preserve">ommittees </w:t>
            </w:r>
            <w:r w:rsidRPr="00F73090">
              <w:rPr>
                <w:rFonts w:ascii="Calibri" w:hAnsi="Calibri"/>
                <w:i/>
                <w:szCs w:val="22"/>
              </w:rPr>
              <w:t>and working groups function in the Review?</w:t>
            </w:r>
          </w:p>
        </w:tc>
      </w:tr>
      <w:tr w:rsidR="00F73090" w:rsidRPr="00F73090" w:rsidTr="009C6077">
        <w:trPr>
          <w:cnfStyle w:val="000000100000" w:firstRow="0" w:lastRow="0" w:firstColumn="0" w:lastColumn="0" w:oddVBand="0" w:evenVBand="0" w:oddHBand="1" w:evenHBand="0" w:firstRowFirstColumn="0" w:firstRowLastColumn="0" w:lastRowFirstColumn="0" w:lastRowLastColumn="0"/>
          <w:trHeight w:val="103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auto"/>
            <w:vAlign w:val="center"/>
            <w:hideMark/>
          </w:tcPr>
          <w:p w:rsidR="00F73090" w:rsidRPr="00F73090" w:rsidRDefault="00F73090" w:rsidP="00E74DE3">
            <w:pPr>
              <w:spacing w:before="80" w:after="80" w:line="240" w:lineRule="auto"/>
              <w:rPr>
                <w:rFonts w:ascii="Calibri" w:hAnsi="Calibri"/>
                <w:b w:val="0"/>
                <w:szCs w:val="22"/>
              </w:rPr>
            </w:pPr>
            <w:r w:rsidRPr="00F73090">
              <w:rPr>
                <w:rFonts w:ascii="Calibri" w:hAnsi="Calibri"/>
                <w:b w:val="0"/>
                <w:szCs w:val="22"/>
              </w:rPr>
              <w:t xml:space="preserve">Clinical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typically conduct a series of meetings, both face-to-face and via teleconference. Consumer </w:t>
            </w:r>
            <w:r w:rsidR="00E74DE3">
              <w:rPr>
                <w:rFonts w:ascii="Calibri" w:hAnsi="Calibri"/>
                <w:b w:val="0"/>
                <w:szCs w:val="22"/>
              </w:rPr>
              <w:t>r</w:t>
            </w:r>
            <w:r w:rsidR="00F545A0" w:rsidRPr="00F73090">
              <w:rPr>
                <w:rFonts w:ascii="Calibri" w:hAnsi="Calibri"/>
                <w:b w:val="0"/>
                <w:szCs w:val="22"/>
              </w:rPr>
              <w:t xml:space="preserve">epresentatives </w:t>
            </w:r>
            <w:r w:rsidRPr="00F73090">
              <w:rPr>
                <w:rFonts w:ascii="Calibri" w:hAnsi="Calibri"/>
                <w:b w:val="0"/>
                <w:szCs w:val="22"/>
              </w:rPr>
              <w:t xml:space="preserve">are sometimes required to respond to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 </w:t>
            </w:r>
            <w:r w:rsidR="00E74DE3">
              <w:rPr>
                <w:rFonts w:ascii="Calibri" w:hAnsi="Calibri"/>
                <w:b w:val="0"/>
                <w:szCs w:val="22"/>
              </w:rPr>
              <w:t>w</w:t>
            </w:r>
            <w:r w:rsidR="00233567" w:rsidRPr="00F73090">
              <w:rPr>
                <w:rFonts w:ascii="Calibri" w:hAnsi="Calibri"/>
                <w:b w:val="0"/>
                <w:szCs w:val="22"/>
              </w:rPr>
              <w:t xml:space="preserve">orking </w:t>
            </w:r>
            <w:r w:rsidR="00E74DE3">
              <w:rPr>
                <w:rFonts w:ascii="Calibri" w:hAnsi="Calibri"/>
                <w:b w:val="0"/>
                <w:szCs w:val="22"/>
              </w:rPr>
              <w:t>g</w:t>
            </w:r>
            <w:r w:rsidR="00233567" w:rsidRPr="00F73090">
              <w:rPr>
                <w:rFonts w:ascii="Calibri" w:hAnsi="Calibri"/>
                <w:b w:val="0"/>
                <w:szCs w:val="22"/>
              </w:rPr>
              <w:t xml:space="preserve">roup </w:t>
            </w:r>
            <w:r w:rsidRPr="00F73090">
              <w:rPr>
                <w:rFonts w:ascii="Calibri" w:hAnsi="Calibri"/>
                <w:b w:val="0"/>
                <w:szCs w:val="22"/>
              </w:rPr>
              <w:t>business out-of-session via email.</w:t>
            </w:r>
          </w:p>
        </w:tc>
      </w:tr>
      <w:tr w:rsidR="004C7D8A" w:rsidRPr="00F73090" w:rsidTr="009C6077">
        <w:trPr>
          <w:trHeight w:val="554"/>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E74DE3">
            <w:pPr>
              <w:spacing w:before="80" w:after="80" w:line="240" w:lineRule="auto"/>
              <w:rPr>
                <w:rFonts w:ascii="Calibri" w:hAnsi="Calibri"/>
                <w:i/>
                <w:szCs w:val="22"/>
              </w:rPr>
            </w:pPr>
            <w:r w:rsidRPr="00F73090">
              <w:rPr>
                <w:rFonts w:ascii="Calibri" w:hAnsi="Calibri"/>
                <w:i/>
                <w:color w:val="FFFFFF"/>
                <w:szCs w:val="22"/>
              </w:rPr>
              <w:t xml:space="preserve">How are </w:t>
            </w:r>
            <w:r w:rsidR="00E74DE3">
              <w:rPr>
                <w:rFonts w:ascii="Calibri" w:hAnsi="Calibri"/>
                <w:i/>
                <w:color w:val="FFFFFF"/>
                <w:szCs w:val="22"/>
              </w:rPr>
              <w:t>c</w:t>
            </w:r>
            <w:r w:rsidR="00233567" w:rsidRPr="00F73090">
              <w:rPr>
                <w:rFonts w:ascii="Calibri" w:hAnsi="Calibri"/>
                <w:i/>
                <w:color w:val="FFFFFF"/>
                <w:szCs w:val="22"/>
              </w:rPr>
              <w:t xml:space="preserve">linical </w:t>
            </w:r>
            <w:r w:rsidR="00E74DE3">
              <w:rPr>
                <w:rFonts w:ascii="Calibri" w:hAnsi="Calibri"/>
                <w:i/>
                <w:color w:val="FFFFFF"/>
                <w:szCs w:val="22"/>
              </w:rPr>
              <w:t>c</w:t>
            </w:r>
            <w:r w:rsidR="00233567" w:rsidRPr="00F73090">
              <w:rPr>
                <w:rFonts w:ascii="Calibri" w:hAnsi="Calibri"/>
                <w:i/>
                <w:color w:val="FFFFFF"/>
                <w:szCs w:val="22"/>
              </w:rPr>
              <w:t xml:space="preserve">ommittees </w:t>
            </w:r>
            <w:r w:rsidRPr="00F73090">
              <w:rPr>
                <w:rFonts w:ascii="Calibri" w:hAnsi="Calibri"/>
                <w:i/>
                <w:color w:val="FFFFFF"/>
                <w:szCs w:val="22"/>
              </w:rPr>
              <w:t>structured?</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244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rsidR="001C7C6C" w:rsidRDefault="00F73090" w:rsidP="009C6077">
            <w:pPr>
              <w:spacing w:before="80" w:after="80" w:line="240" w:lineRule="auto"/>
              <w:rPr>
                <w:rFonts w:ascii="Calibri" w:hAnsi="Calibri"/>
                <w:b w:val="0"/>
                <w:szCs w:val="22"/>
              </w:rPr>
            </w:pPr>
            <w:r w:rsidRPr="00F73090">
              <w:rPr>
                <w:rFonts w:ascii="Calibri" w:hAnsi="Calibri"/>
                <w:b w:val="0"/>
                <w:szCs w:val="22"/>
              </w:rPr>
              <w:t xml:space="preserve">Each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reviews the current MBS items available to the relevant clinical field, in light of contemporary clinical evidence and practice. The clinicians on the committee are appointed in their individual capacity, not as a representative of their profession, and are drawn from the relevant medical field, related disciplines and health system experts. </w:t>
            </w:r>
          </w:p>
          <w:p w:rsidR="00F73090" w:rsidRPr="00F73090" w:rsidRDefault="00F73090" w:rsidP="00E74DE3">
            <w:pPr>
              <w:spacing w:before="80" w:after="80" w:line="240" w:lineRule="auto"/>
              <w:rPr>
                <w:rFonts w:ascii="Calibri" w:hAnsi="Calibri"/>
                <w:b w:val="0"/>
                <w:i/>
                <w:szCs w:val="22"/>
              </w:rPr>
            </w:pPr>
            <w:r w:rsidRPr="00F73090">
              <w:rPr>
                <w:rFonts w:ascii="Calibri" w:hAnsi="Calibri"/>
                <w:b w:val="0"/>
                <w:szCs w:val="22"/>
              </w:rPr>
              <w:t xml:space="preserve">Most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have two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 xml:space="preserve">epresentatives </w:t>
            </w:r>
            <w:r w:rsidRPr="00F73090">
              <w:rPr>
                <w:rFonts w:ascii="Calibri" w:hAnsi="Calibri"/>
                <w:b w:val="0"/>
                <w:szCs w:val="22"/>
              </w:rPr>
              <w:t xml:space="preserve">to provide consumer perspectives on the MBS items being discussed. Some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have had one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epresentative</w:t>
            </w:r>
            <w:r w:rsidRPr="00F73090">
              <w:rPr>
                <w:rFonts w:ascii="Calibri" w:hAnsi="Calibri"/>
                <w:b w:val="0"/>
                <w:szCs w:val="22"/>
              </w:rPr>
              <w:t>.</w:t>
            </w:r>
          </w:p>
        </w:tc>
      </w:tr>
      <w:tr w:rsidR="004C7D8A" w:rsidRPr="00F73090" w:rsidTr="009C6077">
        <w:trPr>
          <w:trHeight w:val="554"/>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E74DE3">
            <w:pPr>
              <w:spacing w:before="80" w:after="80" w:line="240" w:lineRule="auto"/>
              <w:rPr>
                <w:rFonts w:ascii="Calibri" w:hAnsi="Calibri"/>
                <w:szCs w:val="22"/>
              </w:rPr>
            </w:pPr>
            <w:r w:rsidRPr="00F73090">
              <w:rPr>
                <w:rFonts w:ascii="Calibri" w:hAnsi="Calibri"/>
                <w:i/>
                <w:color w:val="FFFFFF" w:themeColor="background1"/>
                <w:szCs w:val="22"/>
              </w:rPr>
              <w:t xml:space="preserve">What are </w:t>
            </w:r>
            <w:r w:rsidR="00E74DE3">
              <w:rPr>
                <w:rFonts w:ascii="Calibri" w:hAnsi="Calibri"/>
                <w:i/>
                <w:color w:val="FFFFFF" w:themeColor="background1"/>
                <w:szCs w:val="22"/>
              </w:rPr>
              <w:t>w</w:t>
            </w:r>
            <w:r w:rsidR="00233567" w:rsidRPr="00F73090">
              <w:rPr>
                <w:rFonts w:ascii="Calibri" w:hAnsi="Calibri"/>
                <w:i/>
                <w:color w:val="FFFFFF" w:themeColor="background1"/>
                <w:szCs w:val="22"/>
              </w:rPr>
              <w:t xml:space="preserve">orking </w:t>
            </w:r>
            <w:r w:rsidR="00E74DE3">
              <w:rPr>
                <w:rFonts w:ascii="Calibri" w:hAnsi="Calibri"/>
                <w:i/>
                <w:color w:val="FFFFFF" w:themeColor="background1"/>
                <w:szCs w:val="22"/>
              </w:rPr>
              <w:t>g</w:t>
            </w:r>
            <w:r w:rsidR="00233567" w:rsidRPr="00F73090">
              <w:rPr>
                <w:rFonts w:ascii="Calibri" w:hAnsi="Calibri"/>
                <w:i/>
                <w:color w:val="FFFFFF" w:themeColor="background1"/>
                <w:szCs w:val="22"/>
              </w:rPr>
              <w:t>roups</w:t>
            </w:r>
            <w:r w:rsidRPr="00F73090">
              <w:rPr>
                <w:rFonts w:ascii="Calibri" w:hAnsi="Calibri"/>
                <w:i/>
                <w:color w:val="FFFFFF" w:themeColor="background1"/>
                <w:szCs w:val="22"/>
              </w:rPr>
              <w:t>?</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125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rsidR="00F73090" w:rsidRPr="00F73090" w:rsidRDefault="00F73090" w:rsidP="00E74DE3">
            <w:pPr>
              <w:spacing w:before="80" w:after="80" w:line="240" w:lineRule="auto"/>
              <w:rPr>
                <w:rFonts w:ascii="Calibri" w:hAnsi="Calibri"/>
                <w:szCs w:val="22"/>
              </w:rPr>
            </w:pPr>
            <w:r w:rsidRPr="00F73090">
              <w:rPr>
                <w:rFonts w:ascii="Calibri" w:hAnsi="Calibri"/>
                <w:b w:val="0"/>
                <w:szCs w:val="22"/>
              </w:rPr>
              <w:t xml:space="preserve">Occasionally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determines that a sub-group is required to consider specific issue or item(s). This working group may undertake research and/or gather evidence before reporting back to the clinical committee on their findings and recommendations.</w:t>
            </w:r>
          </w:p>
        </w:tc>
      </w:tr>
      <w:tr w:rsidR="004C7D8A" w:rsidRPr="00F73090" w:rsidTr="009C6077">
        <w:trPr>
          <w:trHeight w:val="550"/>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Is there an induction process?</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244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tcPr>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All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supplied with an induction pack and invited by the </w:t>
            </w:r>
            <w:r w:rsidR="00E74DE3">
              <w:rPr>
                <w:rFonts w:ascii="Calibri" w:hAnsi="Calibri"/>
                <w:b w:val="0"/>
                <w:szCs w:val="22"/>
              </w:rPr>
              <w:t>s</w:t>
            </w:r>
            <w:r w:rsidRPr="00F73090">
              <w:rPr>
                <w:rFonts w:ascii="Calibri" w:hAnsi="Calibri"/>
                <w:b w:val="0"/>
                <w:szCs w:val="22"/>
              </w:rPr>
              <w:t xml:space="preserve">ecretariat to undertake an induction process. The </w:t>
            </w:r>
            <w:r w:rsidR="00E74DE3">
              <w:rPr>
                <w:rFonts w:ascii="Calibri" w:hAnsi="Calibri"/>
                <w:b w:val="0"/>
                <w:szCs w:val="22"/>
              </w:rPr>
              <w:t>c</w:t>
            </w:r>
            <w:r w:rsidRPr="00F73090">
              <w:rPr>
                <w:rFonts w:ascii="Calibri" w:hAnsi="Calibri"/>
                <w:b w:val="0"/>
                <w:szCs w:val="22"/>
              </w:rPr>
              <w:t xml:space="preserve">hair of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will usually make an introductory call to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epresentatives</w:t>
            </w:r>
            <w:r w:rsidRPr="00F73090">
              <w:rPr>
                <w:rFonts w:ascii="Calibri" w:hAnsi="Calibri"/>
                <w:b w:val="0"/>
                <w:szCs w:val="22"/>
              </w:rPr>
              <w:t>.</w:t>
            </w:r>
          </w:p>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A free online introduction to consumer representation is available at:</w:t>
            </w:r>
          </w:p>
          <w:p w:rsidR="00F73090" w:rsidRDefault="00C05F20" w:rsidP="009C6077">
            <w:pPr>
              <w:spacing w:before="80" w:after="80" w:line="240" w:lineRule="auto"/>
              <w:rPr>
                <w:rFonts w:ascii="Calibri" w:hAnsi="Calibri"/>
                <w:szCs w:val="22"/>
              </w:rPr>
            </w:pPr>
            <w:hyperlink r:id="rId20" w:history="1">
              <w:r w:rsidR="0029573E">
                <w:rPr>
                  <w:rFonts w:ascii="Calibri" w:hAnsi="Calibri"/>
                  <w:b w:val="0"/>
                  <w:szCs w:val="22"/>
                </w:rPr>
                <w:t>eLearning Guidelines</w:t>
              </w:r>
            </w:hyperlink>
          </w:p>
          <w:p w:rsidR="00F73090" w:rsidRPr="00F73090" w:rsidRDefault="00F73090" w:rsidP="00E74DE3">
            <w:pPr>
              <w:spacing w:before="80" w:after="80" w:line="240" w:lineRule="auto"/>
              <w:rPr>
                <w:rFonts w:ascii="Calibri" w:hAnsi="Calibri"/>
                <w:b w:val="0"/>
                <w:szCs w:val="22"/>
              </w:rPr>
            </w:pPr>
            <w:r w:rsidRPr="00F73090">
              <w:rPr>
                <w:rFonts w:ascii="Calibri" w:hAnsi="Calibri"/>
                <w:b w:val="0"/>
                <w:szCs w:val="22"/>
              </w:rPr>
              <w:t xml:space="preserve">The Consumer Engagement Resource, prepared by the Consumer Panel, provides the necessary tools to effectively participate in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discussions.</w:t>
            </w:r>
          </w:p>
        </w:tc>
      </w:tr>
      <w:tr w:rsidR="004C7D8A" w:rsidRPr="00F73090" w:rsidTr="009C6077">
        <w:trPr>
          <w:trHeight w:val="525"/>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How long am I expected to commit to the committee?</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tcPr>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The time required for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to complete its work varies.</w:t>
            </w:r>
          </w:p>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lastRenderedPageBreak/>
              <w:t xml:space="preserve">First,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reviews the relevant MBS items and develops recommendations in a draft report for the consideration of the Taskforce.</w:t>
            </w:r>
          </w:p>
          <w:p w:rsidR="00676B29" w:rsidRDefault="00F73090" w:rsidP="00233567">
            <w:pPr>
              <w:spacing w:before="80" w:after="80" w:line="240" w:lineRule="auto"/>
              <w:rPr>
                <w:rFonts w:ascii="Calibri" w:hAnsi="Calibri"/>
                <w:b w:val="0"/>
                <w:szCs w:val="22"/>
              </w:rPr>
            </w:pPr>
            <w:r w:rsidRPr="00F73090">
              <w:rPr>
                <w:rFonts w:ascii="Calibri" w:hAnsi="Calibri"/>
                <w:b w:val="0"/>
                <w:szCs w:val="22"/>
              </w:rPr>
              <w:t xml:space="preserve">If endorsed by the Taskforce for consultation, the draft report is then released for consultation. Following the closure of consultation period,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reviews the feedback received and considers if any changes to the recommendations are required.</w:t>
            </w:r>
          </w:p>
          <w:p w:rsidR="00F73090" w:rsidRPr="00F73090" w:rsidRDefault="00676B29" w:rsidP="00E74DE3">
            <w:pPr>
              <w:spacing w:before="80" w:after="80" w:line="240" w:lineRule="auto"/>
              <w:rPr>
                <w:rFonts w:ascii="Calibri" w:hAnsi="Calibri"/>
                <w:b w:val="0"/>
                <w:szCs w:val="22"/>
              </w:rPr>
            </w:pPr>
            <w:r w:rsidRPr="00F73090">
              <w:rPr>
                <w:rFonts w:ascii="Calibri" w:hAnsi="Calibri"/>
                <w:b w:val="0"/>
                <w:szCs w:val="22"/>
              </w:rPr>
              <w:t xml:space="preserve">A post consultation report is then provided to the Taskforce for consideration, concluding the work of the </w:t>
            </w:r>
            <w:r w:rsidR="00E74DE3">
              <w:rPr>
                <w:rFonts w:ascii="Calibri" w:hAnsi="Calibri"/>
                <w:b w:val="0"/>
                <w:szCs w:val="22"/>
              </w:rPr>
              <w:t>c</w:t>
            </w:r>
            <w:r w:rsidRPr="00F73090">
              <w:rPr>
                <w:rFonts w:ascii="Calibri" w:hAnsi="Calibri"/>
                <w:b w:val="0"/>
                <w:szCs w:val="22"/>
              </w:rPr>
              <w:t xml:space="preserve">linical </w:t>
            </w:r>
            <w:r w:rsidR="00E74DE3">
              <w:rPr>
                <w:rFonts w:ascii="Calibri" w:hAnsi="Calibri"/>
                <w:b w:val="0"/>
                <w:szCs w:val="22"/>
              </w:rPr>
              <w:t>c</w:t>
            </w:r>
            <w:r w:rsidRPr="00F73090">
              <w:rPr>
                <w:rFonts w:ascii="Calibri" w:hAnsi="Calibri"/>
                <w:b w:val="0"/>
                <w:szCs w:val="22"/>
              </w:rPr>
              <w:t>ommittee.</w:t>
            </w:r>
          </w:p>
        </w:tc>
      </w:tr>
      <w:tr w:rsidR="004C7D8A" w:rsidRPr="00F73090" w:rsidTr="009C6077">
        <w:trPr>
          <w:trHeight w:val="557"/>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C12D41">
            <w:pPr>
              <w:spacing w:before="80" w:after="80" w:line="240" w:lineRule="auto"/>
              <w:rPr>
                <w:rFonts w:ascii="Calibri" w:hAnsi="Calibri"/>
                <w:szCs w:val="22"/>
              </w:rPr>
            </w:pPr>
            <w:r w:rsidRPr="00F73090">
              <w:rPr>
                <w:rFonts w:ascii="Calibri" w:hAnsi="Calibri"/>
                <w:i/>
                <w:color w:val="FFFFFF" w:themeColor="background1"/>
                <w:szCs w:val="22"/>
              </w:rPr>
              <w:lastRenderedPageBreak/>
              <w:t xml:space="preserve">What is expected of me as a </w:t>
            </w:r>
            <w:r w:rsidR="00C12D41">
              <w:rPr>
                <w:rFonts w:ascii="Calibri" w:hAnsi="Calibri"/>
                <w:i/>
                <w:color w:val="FFFFFF" w:themeColor="background1"/>
                <w:szCs w:val="22"/>
              </w:rPr>
              <w:t>c</w:t>
            </w:r>
            <w:r w:rsidR="00F545A0" w:rsidRPr="00F73090">
              <w:rPr>
                <w:rFonts w:ascii="Calibri" w:hAnsi="Calibri"/>
                <w:i/>
                <w:color w:val="FFFFFF" w:themeColor="background1"/>
                <w:szCs w:val="22"/>
              </w:rPr>
              <w:t xml:space="preserve">onsumer </w:t>
            </w:r>
            <w:r w:rsidR="00C12D41">
              <w:rPr>
                <w:rFonts w:ascii="Calibri" w:hAnsi="Calibri"/>
                <w:i/>
                <w:color w:val="FFFFFF" w:themeColor="background1"/>
                <w:szCs w:val="22"/>
              </w:rPr>
              <w:t>r</w:t>
            </w:r>
            <w:r w:rsidR="00F545A0" w:rsidRPr="00F73090">
              <w:rPr>
                <w:rFonts w:ascii="Calibri" w:hAnsi="Calibri"/>
                <w:i/>
                <w:color w:val="FFFFFF" w:themeColor="background1"/>
                <w:szCs w:val="22"/>
              </w:rPr>
              <w:t xml:space="preserve">epresentative </w:t>
            </w:r>
            <w:r w:rsidRPr="00F73090">
              <w:rPr>
                <w:rFonts w:ascii="Calibri" w:hAnsi="Calibri"/>
                <w:i/>
                <w:color w:val="FFFFFF" w:themeColor="background1"/>
                <w:szCs w:val="22"/>
              </w:rPr>
              <w:t xml:space="preserve">on a </w:t>
            </w:r>
            <w:r w:rsidR="00C12D41">
              <w:rPr>
                <w:rFonts w:ascii="Calibri" w:hAnsi="Calibri"/>
                <w:i/>
                <w:color w:val="FFFFFF" w:themeColor="background1"/>
                <w:szCs w:val="22"/>
              </w:rPr>
              <w:t>c</w:t>
            </w:r>
            <w:r w:rsidR="00233567" w:rsidRPr="00F73090">
              <w:rPr>
                <w:rFonts w:ascii="Calibri" w:hAnsi="Calibri"/>
                <w:i/>
                <w:color w:val="FFFFFF" w:themeColor="background1"/>
                <w:szCs w:val="22"/>
              </w:rPr>
              <w:t xml:space="preserve">linical </w:t>
            </w:r>
            <w:r w:rsidR="00C12D41">
              <w:rPr>
                <w:rFonts w:ascii="Calibri" w:hAnsi="Calibri"/>
                <w:i/>
                <w:color w:val="FFFFFF" w:themeColor="background1"/>
                <w:szCs w:val="22"/>
              </w:rPr>
              <w:t>c</w:t>
            </w:r>
            <w:r w:rsidR="00233567" w:rsidRPr="00F73090">
              <w:rPr>
                <w:rFonts w:ascii="Calibri" w:hAnsi="Calibri"/>
                <w:i/>
                <w:color w:val="FFFFFF" w:themeColor="background1"/>
                <w:szCs w:val="22"/>
              </w:rPr>
              <w:t>ommittee</w:t>
            </w:r>
            <w:r w:rsidRPr="00F73090">
              <w:rPr>
                <w:rFonts w:ascii="Calibri" w:hAnsi="Calibri"/>
                <w:i/>
                <w:color w:val="FFFFFF" w:themeColor="background1"/>
                <w:szCs w:val="22"/>
              </w:rPr>
              <w:t>?</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351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Primarily, the role of the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 xml:space="preserve">epresentative </w:t>
            </w:r>
            <w:r w:rsidRPr="00F73090">
              <w:rPr>
                <w:rFonts w:ascii="Calibri" w:hAnsi="Calibri"/>
                <w:b w:val="0"/>
                <w:szCs w:val="22"/>
              </w:rPr>
              <w:t xml:space="preserve">is to provide an </w:t>
            </w:r>
            <w:r w:rsidRPr="00F73090">
              <w:rPr>
                <w:rFonts w:ascii="Calibri" w:hAnsi="Calibri"/>
                <w:szCs w:val="22"/>
              </w:rPr>
              <w:t xml:space="preserve">independent </w:t>
            </w:r>
            <w:r w:rsidRPr="00F73090">
              <w:rPr>
                <w:rFonts w:ascii="Calibri" w:hAnsi="Calibri"/>
                <w:b w:val="0"/>
                <w:szCs w:val="22"/>
              </w:rPr>
              <w:t xml:space="preserve">consumer perspective to the items being discussed and reviewed. Consumer </w:t>
            </w:r>
            <w:r w:rsidR="00C12D41">
              <w:rPr>
                <w:rFonts w:ascii="Calibri" w:hAnsi="Calibri"/>
                <w:b w:val="0"/>
                <w:szCs w:val="22"/>
              </w:rPr>
              <w:t>r</w:t>
            </w:r>
            <w:r w:rsidR="00257E03" w:rsidRPr="00F73090">
              <w:rPr>
                <w:rFonts w:ascii="Calibri" w:hAnsi="Calibri"/>
                <w:b w:val="0"/>
                <w:szCs w:val="22"/>
              </w:rPr>
              <w:t xml:space="preserve">epresentatives </w:t>
            </w:r>
            <w:r w:rsidRPr="00F73090">
              <w:rPr>
                <w:rFonts w:ascii="Calibri" w:hAnsi="Calibri"/>
                <w:b w:val="0"/>
                <w:szCs w:val="22"/>
              </w:rPr>
              <w:t>are not expected to have clinical expertise. Some points to keep in mind when considering the discussions and evidence being put forward by the clinicians could include:-</w:t>
            </w:r>
          </w:p>
          <w:p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Safety, will any changes impact safety?</w:t>
            </w:r>
          </w:p>
          <w:p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Quality, will any changes impact quality of services?</w:t>
            </w:r>
          </w:p>
          <w:p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Access, will any changes impact accessibility for consumers?</w:t>
            </w:r>
          </w:p>
          <w:p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Effectiveness, will any changes impact on delivery and effectiveness?</w:t>
            </w:r>
          </w:p>
          <w:p w:rsidR="00F73090" w:rsidRPr="001C7C6C" w:rsidRDefault="00F73090" w:rsidP="009C6077">
            <w:pPr>
              <w:pStyle w:val="ListParagraph"/>
              <w:numPr>
                <w:ilvl w:val="0"/>
                <w:numId w:val="39"/>
              </w:numPr>
              <w:spacing w:before="80" w:after="80" w:line="240" w:lineRule="auto"/>
              <w:contextualSpacing w:val="0"/>
              <w:rPr>
                <w:rFonts w:ascii="Calibri" w:hAnsi="Calibri"/>
                <w:szCs w:val="22"/>
              </w:rPr>
            </w:pPr>
            <w:r w:rsidRPr="001C7C6C">
              <w:rPr>
                <w:rFonts w:ascii="Calibri" w:hAnsi="Calibri"/>
                <w:b w:val="0"/>
                <w:szCs w:val="22"/>
              </w:rPr>
              <w:t>Cost effectiveness, will changes deliver value for money?</w:t>
            </w:r>
          </w:p>
        </w:tc>
      </w:tr>
      <w:tr w:rsidR="004C7D8A" w:rsidRPr="00F73090" w:rsidTr="009C6077">
        <w:trPr>
          <w:trHeight w:val="562"/>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szCs w:val="22"/>
              </w:rPr>
            </w:pPr>
            <w:r w:rsidRPr="00F73090">
              <w:rPr>
                <w:rFonts w:ascii="Calibri" w:hAnsi="Calibri"/>
                <w:i/>
                <w:color w:val="FFFFFF" w:themeColor="background1"/>
                <w:szCs w:val="22"/>
              </w:rPr>
              <w:t>How do I prepare for the meetings?</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1819"/>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All </w:t>
            </w:r>
            <w:r w:rsidR="00C12D41">
              <w:rPr>
                <w:rFonts w:ascii="Calibri" w:hAnsi="Calibri"/>
                <w:b w:val="0"/>
                <w:szCs w:val="22"/>
              </w:rPr>
              <w:t>clin</w:t>
            </w:r>
            <w:r w:rsidR="00233567" w:rsidRPr="00F73090">
              <w:rPr>
                <w:rFonts w:ascii="Calibri" w:hAnsi="Calibri"/>
                <w:b w:val="0"/>
                <w:szCs w:val="22"/>
              </w:rPr>
              <w:t xml:space="preserve">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required to read the </w:t>
            </w:r>
            <w:r w:rsidR="003E7A10" w:rsidRPr="00F73090">
              <w:rPr>
                <w:rFonts w:ascii="Calibri" w:hAnsi="Calibri"/>
                <w:b w:val="0"/>
                <w:szCs w:val="22"/>
              </w:rPr>
              <w:t>agenda, meeting,</w:t>
            </w:r>
            <w:r w:rsidRPr="00F73090">
              <w:rPr>
                <w:rFonts w:ascii="Calibri" w:hAnsi="Calibri"/>
                <w:b w:val="0"/>
                <w:szCs w:val="22"/>
              </w:rPr>
              <w:t xml:space="preserve"> and research papers. These will assist in understanding and contributing to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discussions.</w:t>
            </w:r>
          </w:p>
          <w:p w:rsidR="00F73090" w:rsidRPr="00F73090" w:rsidRDefault="00F73090" w:rsidP="00C12D41">
            <w:pPr>
              <w:spacing w:before="80" w:after="80" w:line="240" w:lineRule="auto"/>
              <w:rPr>
                <w:rFonts w:ascii="Calibri" w:hAnsi="Calibri"/>
                <w:i/>
                <w:szCs w:val="22"/>
              </w:rPr>
            </w:pPr>
            <w:r w:rsidRPr="00F73090">
              <w:rPr>
                <w:rFonts w:ascii="Calibri" w:hAnsi="Calibri"/>
                <w:b w:val="0"/>
                <w:szCs w:val="22"/>
              </w:rPr>
              <w:t xml:space="preserve">Clinical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members can expect to receive papers in the week prior to the meeting.</w:t>
            </w:r>
          </w:p>
        </w:tc>
      </w:tr>
      <w:tr w:rsidR="004C7D8A" w:rsidRPr="00F73090" w:rsidTr="009C6077">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850"/>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1C7C6C" w:rsidP="009C6077">
            <w:pPr>
              <w:spacing w:before="80" w:after="80" w:line="240" w:lineRule="auto"/>
              <w:rPr>
                <w:rFonts w:ascii="Calibri" w:hAnsi="Calibri"/>
                <w:szCs w:val="22"/>
              </w:rPr>
            </w:pPr>
            <w:r>
              <w:rPr>
                <w:b w:val="0"/>
                <w:bCs w:val="0"/>
              </w:rPr>
              <w:br w:type="page"/>
            </w:r>
            <w:r w:rsidR="00F73090" w:rsidRPr="00F73090">
              <w:rPr>
                <w:rFonts w:ascii="Calibri" w:hAnsi="Calibri"/>
                <w:i/>
                <w:color w:val="FFFFFF" w:themeColor="background1"/>
                <w:szCs w:val="22"/>
              </w:rPr>
              <w:t>How many clinical committee meetings will be held and am I expected to attend each one?</w:t>
            </w:r>
          </w:p>
        </w:tc>
      </w:tr>
      <w:tr w:rsidR="00F73090" w:rsidRPr="00F73090" w:rsidTr="00676B2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cnfStyle w:val="000000100000" w:firstRow="0" w:lastRow="0" w:firstColumn="0" w:lastColumn="0" w:oddVBand="0" w:evenVBand="0" w:oddHBand="1" w:evenHBand="0" w:firstRowFirstColumn="0" w:firstRowLastColumn="0" w:lastRowFirstColumn="0" w:lastRowLastColumn="0"/>
          <w:trHeight w:val="4801"/>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lastRenderedPageBreak/>
              <w:t xml:space="preserve">A face-to-face induction meeting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will be held to familiarise members with the process of the review.</w:t>
            </w:r>
          </w:p>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Over the course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work there will usually be at least two face-to-face meetings (allow a full day for each).</w:t>
            </w:r>
          </w:p>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Up to five teleconferences are held over the life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ommittee</w:t>
            </w:r>
            <w:r w:rsidRPr="00F73090">
              <w:rPr>
                <w:rFonts w:ascii="Calibri" w:hAnsi="Calibri"/>
                <w:b w:val="0"/>
                <w:szCs w:val="22"/>
              </w:rPr>
              <w:t>, and once consultation has closed a further meeting (it may be face-to-face, but normally a teleconference) is typically held to discuss stakeholder feedback and any necessary changes to the final report arising from consultation, before it goes back to the Taskforce for consideration.</w:t>
            </w:r>
          </w:p>
          <w:p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Face to face meetings are held in a capital city (Sydney, Melbourne</w:t>
            </w:r>
            <w:r w:rsidR="007D35DE">
              <w:rPr>
                <w:rFonts w:ascii="Calibri" w:hAnsi="Calibri"/>
                <w:b w:val="0"/>
                <w:szCs w:val="22"/>
              </w:rPr>
              <w:t>, Brisbane</w:t>
            </w:r>
            <w:r w:rsidRPr="00F73090">
              <w:rPr>
                <w:rFonts w:ascii="Calibri" w:hAnsi="Calibri"/>
                <w:b w:val="0"/>
                <w:szCs w:val="22"/>
              </w:rPr>
              <w:t xml:space="preserve"> or Canberra).</w:t>
            </w:r>
          </w:p>
          <w:p w:rsidR="00F73090" w:rsidRPr="00F73090" w:rsidRDefault="00F73090" w:rsidP="00C12D41">
            <w:pPr>
              <w:spacing w:before="80" w:after="80" w:line="240" w:lineRule="auto"/>
              <w:rPr>
                <w:rFonts w:ascii="Calibri" w:hAnsi="Calibri"/>
                <w:b w:val="0"/>
                <w:szCs w:val="22"/>
              </w:rPr>
            </w:pPr>
            <w:r w:rsidRPr="00F73090">
              <w:rPr>
                <w:rFonts w:ascii="Calibri" w:hAnsi="Calibri"/>
                <w:b w:val="0"/>
                <w:szCs w:val="22"/>
              </w:rPr>
              <w:t xml:space="preserve">Whilst all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encouraged to attend all the meetings to enable maximum consumer input, the Department understands that this may not at times be feasible. Minutes are disseminated from the </w:t>
            </w:r>
            <w:r w:rsidR="00C12D41">
              <w:rPr>
                <w:rFonts w:ascii="Calibri" w:hAnsi="Calibri"/>
                <w:b w:val="0"/>
                <w:szCs w:val="22"/>
              </w:rPr>
              <w:t>s</w:t>
            </w:r>
            <w:r w:rsidRPr="00F73090">
              <w:rPr>
                <w:rFonts w:ascii="Calibri" w:hAnsi="Calibri"/>
                <w:b w:val="0"/>
                <w:szCs w:val="22"/>
              </w:rPr>
              <w:t>ecretariat after each meeting to inform members of the discussion and decisions made.</w:t>
            </w:r>
          </w:p>
        </w:tc>
      </w:tr>
    </w:tbl>
    <w:p w:rsidR="00676B29" w:rsidRDefault="00676B29">
      <w:r>
        <w:rPr>
          <w:b/>
          <w:bCs/>
        </w:rPr>
        <w:br w:type="page"/>
      </w:r>
    </w:p>
    <w:tbl>
      <w:tblPr>
        <w:tblStyle w:val="ListTable4-Accent61"/>
        <w:tblW w:w="0" w:type="auto"/>
        <w:jc w:val="center"/>
        <w:tblInd w:w="0" w:type="dxa"/>
        <w:tblBorders>
          <w:insideV w:val="single" w:sz="4" w:space="0" w:color="A8D08D"/>
        </w:tblBorders>
        <w:tblLook w:val="04A0" w:firstRow="1" w:lastRow="0" w:firstColumn="1" w:lastColumn="0" w:noHBand="0" w:noVBand="1"/>
        <w:tblDescription w:val="Who arranges and pays for my accommodation and travel costs and any other expenses, when I attend a face-to-face meeting?&#10;Once a face-to-face meeting has been confirmed, the secretariat contacts clinical committee members to obtain their travel preferences. Air and/or train fares and accommodation, where required, are booked by the secretariat and itineraries emailed to members. &#10;Any additional costs such as taxi are reimbursed to members after the meeting. An expenses claim form is to be completed by members at the meeting and provided to the secretariat along with receipts for any costs incurred. &#10;Will I be paid for my time in meetings and out-of-session work?&#10;Sitting fees are paid for the time spent attending the clinical committee face-to-face and teleconference meetings. This payment encompasses covers preparation and follow-up work for each meeting.&#10;How do I request information and key data to assist me in my preparation?&#10;Requests for data can be directed to the secretariat.&#10;What is the methodology used for resolving different interpretations of the evidence presented?&#10;Clinical committees are comprised of experts who bring up to date practical and scientific expertise to the review process. The committee will consider best available, high quality scientific evidence, and where this is unavailable may request an evidence review to inform consideration of specific items.  &#10;Consumer-related evidence on quality and access should be made available to the committee prior to the first or second meeting.&#10;It may be difficult to predict the precise consumer or clinician response to a proposed item change.&#10;This highlights the importance of clear and concise explanatory notes, supported by a consultation process with consumers and clinicians, prior to the finalisation of recommendations by the committee.&#10;How are MBS items grouped as in-scope and out-of-scope?&#10;MBS items for a new medical procedure may require consideration by the Medical Services Advisory Committee. At the first meeting of the clinical committee the chair will outline those items and issues that are in-scope.&#10;Can I request a mentor if I feel I need additional support?&#10;Yes. The Consumer Panel can assist with referring an experienced MBS review consumer who will be able to offer additional support clinical committee members.&#10;"/>
      </w:tblPr>
      <w:tblGrid>
        <w:gridCol w:w="8302"/>
      </w:tblGrid>
      <w:tr w:rsidR="004C7D8A" w:rsidRPr="00F73090" w:rsidTr="00321C36">
        <w:trPr>
          <w:cnfStyle w:val="100000000000" w:firstRow="1" w:lastRow="0" w:firstColumn="0" w:lastColumn="0" w:oddVBand="0" w:evenVBand="0" w:oddHBand="0" w:evenHBand="0" w:firstRowFirstColumn="0" w:firstRowLastColumn="0" w:lastRowFirstColumn="0" w:lastRowLastColumn="0"/>
          <w:trHeight w:val="776"/>
          <w:tblHeader/>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szCs w:val="22"/>
              </w:rPr>
            </w:pPr>
            <w:r w:rsidRPr="00F73090">
              <w:rPr>
                <w:rFonts w:ascii="Calibri" w:hAnsi="Calibri"/>
                <w:i/>
                <w:color w:val="FFFFFF" w:themeColor="background1"/>
                <w:szCs w:val="22"/>
              </w:rPr>
              <w:lastRenderedPageBreak/>
              <w:t>Who arranges and pays for my accommodation and travel costs and any other expenses, when I attend a face-to-face meeting?</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2303"/>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hideMark/>
          </w:tcPr>
          <w:p w:rsidR="00676B29" w:rsidRDefault="00F73090" w:rsidP="00233567">
            <w:pPr>
              <w:spacing w:before="80" w:after="80" w:line="240" w:lineRule="auto"/>
              <w:rPr>
                <w:rFonts w:ascii="Calibri" w:hAnsi="Calibri"/>
                <w:b w:val="0"/>
                <w:szCs w:val="22"/>
              </w:rPr>
            </w:pPr>
            <w:r w:rsidRPr="00F73090">
              <w:rPr>
                <w:rFonts w:ascii="Calibri" w:hAnsi="Calibri"/>
                <w:b w:val="0"/>
                <w:szCs w:val="22"/>
              </w:rPr>
              <w:t xml:space="preserve">Once a face-to-face meeting has been confirmed, the </w:t>
            </w:r>
            <w:r w:rsidR="00C12D41">
              <w:rPr>
                <w:rFonts w:ascii="Calibri" w:hAnsi="Calibri"/>
                <w:b w:val="0"/>
                <w:szCs w:val="22"/>
              </w:rPr>
              <w:t>s</w:t>
            </w:r>
            <w:r w:rsidRPr="00F73090">
              <w:rPr>
                <w:rFonts w:ascii="Calibri" w:hAnsi="Calibri"/>
                <w:b w:val="0"/>
                <w:szCs w:val="22"/>
              </w:rPr>
              <w:t xml:space="preserve">ecretariat contacts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to obtain their travel preferences. Air and/or train fares and accommodation, where required, are booked by the </w:t>
            </w:r>
            <w:r w:rsidR="00C12D41">
              <w:rPr>
                <w:rFonts w:ascii="Calibri" w:hAnsi="Calibri"/>
                <w:b w:val="0"/>
                <w:szCs w:val="22"/>
              </w:rPr>
              <w:t>s</w:t>
            </w:r>
            <w:r w:rsidRPr="00F73090">
              <w:rPr>
                <w:rFonts w:ascii="Calibri" w:hAnsi="Calibri"/>
                <w:b w:val="0"/>
                <w:szCs w:val="22"/>
              </w:rPr>
              <w:t xml:space="preserve">ecretariat and itineraries emailed to members. </w:t>
            </w:r>
          </w:p>
          <w:p w:rsidR="00F73090" w:rsidRPr="00F73090" w:rsidRDefault="00F73090" w:rsidP="00C12D41">
            <w:pPr>
              <w:spacing w:before="80" w:after="80" w:line="240" w:lineRule="auto"/>
              <w:rPr>
                <w:rFonts w:ascii="Calibri" w:hAnsi="Calibri"/>
                <w:b w:val="0"/>
                <w:szCs w:val="22"/>
              </w:rPr>
            </w:pPr>
            <w:r w:rsidRPr="00F73090">
              <w:rPr>
                <w:rFonts w:ascii="Calibri" w:hAnsi="Calibri"/>
                <w:b w:val="0"/>
                <w:szCs w:val="22"/>
              </w:rPr>
              <w:t xml:space="preserve">Any additional costs such as taxi are reimbursed to members after the meeting. An expenses claim form is to be completed by members at the meeting and provided to the </w:t>
            </w:r>
            <w:r w:rsidR="00C12D41">
              <w:rPr>
                <w:rFonts w:ascii="Calibri" w:hAnsi="Calibri"/>
                <w:b w:val="0"/>
                <w:szCs w:val="22"/>
              </w:rPr>
              <w:t>s</w:t>
            </w:r>
            <w:r w:rsidRPr="00F73090">
              <w:rPr>
                <w:rFonts w:ascii="Calibri" w:hAnsi="Calibri"/>
                <w:b w:val="0"/>
                <w:szCs w:val="22"/>
              </w:rPr>
              <w:t xml:space="preserve">ecretariat along with receipts for any costs incurred. </w:t>
            </w:r>
          </w:p>
        </w:tc>
      </w:tr>
      <w:tr w:rsidR="004C7D8A" w:rsidRPr="00F73090" w:rsidTr="009C6077">
        <w:trPr>
          <w:trHeight w:val="557"/>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Will I be paid for my time in meetings and out-of-session work?</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hideMark/>
          </w:tcPr>
          <w:p w:rsidR="00F73090" w:rsidRPr="00F73090" w:rsidRDefault="00F73090" w:rsidP="00C12D41">
            <w:pPr>
              <w:spacing w:before="80" w:after="80" w:line="240" w:lineRule="auto"/>
              <w:rPr>
                <w:rFonts w:ascii="Calibri" w:hAnsi="Calibri"/>
                <w:b w:val="0"/>
                <w:i/>
                <w:szCs w:val="22"/>
              </w:rPr>
            </w:pPr>
            <w:r w:rsidRPr="00F73090">
              <w:rPr>
                <w:rFonts w:ascii="Calibri" w:hAnsi="Calibri"/>
                <w:b w:val="0"/>
                <w:szCs w:val="22"/>
              </w:rPr>
              <w:t xml:space="preserve">Sitting fees are paid for the time spent attending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face-to-face and teleconference meetings. This payment encompasses covers preparation and follow-up work for each meeting.</w:t>
            </w:r>
          </w:p>
        </w:tc>
      </w:tr>
      <w:tr w:rsidR="004C7D8A" w:rsidRPr="00F73090" w:rsidTr="009C6077">
        <w:trPr>
          <w:trHeight w:val="552"/>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tabs>
                <w:tab w:val="left" w:pos="7422"/>
              </w:tabs>
              <w:spacing w:before="80" w:after="80" w:line="240" w:lineRule="auto"/>
              <w:rPr>
                <w:rFonts w:ascii="Calibri" w:hAnsi="Calibri"/>
                <w:i/>
                <w:szCs w:val="22"/>
              </w:rPr>
            </w:pPr>
            <w:r w:rsidRPr="00F73090">
              <w:rPr>
                <w:rFonts w:ascii="Calibri" w:hAnsi="Calibri"/>
                <w:i/>
                <w:color w:val="FFFFFF" w:themeColor="background1"/>
                <w:szCs w:val="22"/>
              </w:rPr>
              <w:t>How do I request information and key data to assist me in my preparation?</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rsidR="00F73090" w:rsidRPr="001C7C6C" w:rsidRDefault="001C7C6C" w:rsidP="00C12D41">
            <w:pPr>
              <w:spacing w:before="80" w:after="80" w:line="240" w:lineRule="auto"/>
              <w:rPr>
                <w:rFonts w:ascii="Calibri" w:hAnsi="Calibri"/>
                <w:b w:val="0"/>
                <w:szCs w:val="22"/>
              </w:rPr>
            </w:pPr>
            <w:r w:rsidRPr="001C7C6C">
              <w:rPr>
                <w:rFonts w:ascii="Calibri" w:hAnsi="Calibri"/>
                <w:b w:val="0"/>
                <w:szCs w:val="22"/>
              </w:rPr>
              <w:t xml:space="preserve">Requests for data can be directed </w:t>
            </w:r>
            <w:r>
              <w:rPr>
                <w:rFonts w:ascii="Calibri" w:hAnsi="Calibri"/>
                <w:b w:val="0"/>
                <w:szCs w:val="22"/>
              </w:rPr>
              <w:t xml:space="preserve">to the </w:t>
            </w:r>
            <w:r w:rsidR="00C12D41">
              <w:rPr>
                <w:rFonts w:ascii="Calibri" w:hAnsi="Calibri"/>
                <w:b w:val="0"/>
                <w:szCs w:val="22"/>
              </w:rPr>
              <w:t>s</w:t>
            </w:r>
            <w:r>
              <w:rPr>
                <w:rFonts w:ascii="Calibri" w:hAnsi="Calibri"/>
                <w:b w:val="0"/>
                <w:szCs w:val="22"/>
              </w:rPr>
              <w:t>ecretariat.</w:t>
            </w:r>
          </w:p>
        </w:tc>
      </w:tr>
      <w:tr w:rsidR="004C7D8A" w:rsidRPr="00F73090" w:rsidTr="009C6077">
        <w:trPr>
          <w:trHeight w:val="802"/>
          <w:jc w:val="center"/>
        </w:trPr>
        <w:tc>
          <w:tcPr>
            <w:cnfStyle w:val="001000000000" w:firstRow="0" w:lastRow="0" w:firstColumn="1" w:lastColumn="0" w:oddVBand="0" w:evenVBand="0" w:oddHBand="0" w:evenHBand="0" w:firstRowFirstColumn="0" w:firstRowLastColumn="0" w:lastRowFirstColumn="0" w:lastRowLastColumn="0"/>
            <w:tcW w:w="8302" w:type="dxa"/>
            <w:tcBorders>
              <w:top w:val="single" w:sz="4" w:space="0" w:color="A8D08D"/>
              <w:left w:val="single" w:sz="4" w:space="0" w:color="A8D08D"/>
              <w:bottom w:val="single" w:sz="4" w:space="0" w:color="A8D08D"/>
              <w:right w:val="single" w:sz="4" w:space="0" w:color="A8D08D"/>
            </w:tcBorders>
            <w:shd w:val="clear" w:color="auto" w:fill="01653F"/>
            <w:vAlign w:val="center"/>
            <w:hideMark/>
          </w:tcPr>
          <w:p w:rsidR="00F73090" w:rsidRPr="00F73090" w:rsidRDefault="001C7C6C" w:rsidP="009C6077">
            <w:pPr>
              <w:spacing w:before="80" w:after="80" w:line="240" w:lineRule="auto"/>
              <w:rPr>
                <w:rFonts w:ascii="Calibri" w:hAnsi="Calibri"/>
                <w:szCs w:val="22"/>
              </w:rPr>
            </w:pPr>
            <w:r>
              <w:rPr>
                <w:b w:val="0"/>
                <w:bCs w:val="0"/>
              </w:rPr>
              <w:br w:type="page"/>
            </w:r>
            <w:r w:rsidR="00F73090" w:rsidRPr="00F73090">
              <w:rPr>
                <w:rFonts w:ascii="Calibri" w:hAnsi="Calibri"/>
                <w:i/>
                <w:color w:val="FFFFFF" w:themeColor="background1"/>
                <w:szCs w:val="22"/>
              </w:rPr>
              <w:t>What is the methodology used for resolving different interpretations of the evidence presented?</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3430"/>
          <w:jc w:val="center"/>
        </w:trPr>
        <w:tc>
          <w:tcPr>
            <w:cnfStyle w:val="001000000000" w:firstRow="0" w:lastRow="0" w:firstColumn="1" w:lastColumn="0" w:oddVBand="0" w:evenVBand="0" w:oddHBand="0" w:evenHBand="0" w:firstRowFirstColumn="0" w:firstRowLastColumn="0" w:lastRowFirstColumn="0" w:lastRowLastColumn="0"/>
            <w:tcW w:w="8302" w:type="dxa"/>
            <w:tcBorders>
              <w:top w:val="single" w:sz="4" w:space="0" w:color="A8D08D"/>
              <w:bottom w:val="single" w:sz="4" w:space="0" w:color="A8D08D"/>
            </w:tcBorders>
            <w:shd w:val="clear" w:color="auto" w:fill="FFFFFF" w:themeFill="background1"/>
            <w:vAlign w:val="center"/>
          </w:tcPr>
          <w:p w:rsidR="001C7C6C" w:rsidRPr="001C7C6C" w:rsidRDefault="001C7C6C" w:rsidP="009C6077">
            <w:pPr>
              <w:spacing w:before="80" w:after="80" w:line="240" w:lineRule="auto"/>
              <w:rPr>
                <w:rFonts w:ascii="Calibri" w:hAnsi="Calibri"/>
                <w:b w:val="0"/>
                <w:szCs w:val="22"/>
              </w:rPr>
            </w:pPr>
            <w:r w:rsidRPr="001C7C6C">
              <w:rPr>
                <w:rFonts w:ascii="Calibri" w:hAnsi="Calibri"/>
                <w:b w:val="0"/>
                <w:szCs w:val="22"/>
              </w:rPr>
              <w:t xml:space="preserve">Clinical </w:t>
            </w:r>
            <w:r w:rsidR="00C12D41">
              <w:rPr>
                <w:rFonts w:ascii="Calibri" w:hAnsi="Calibri"/>
                <w:b w:val="0"/>
                <w:szCs w:val="22"/>
              </w:rPr>
              <w:t>c</w:t>
            </w:r>
            <w:r w:rsidRPr="001C7C6C">
              <w:rPr>
                <w:rFonts w:ascii="Calibri" w:hAnsi="Calibri"/>
                <w:b w:val="0"/>
                <w:szCs w:val="22"/>
              </w:rPr>
              <w:t xml:space="preserve">ommittees are comprised of experts who bring up to date practical and scientific expertise to the review process. The </w:t>
            </w:r>
            <w:r w:rsidR="00C12D41">
              <w:rPr>
                <w:rFonts w:ascii="Calibri" w:hAnsi="Calibri"/>
                <w:b w:val="0"/>
                <w:szCs w:val="22"/>
              </w:rPr>
              <w:t>c</w:t>
            </w:r>
            <w:r w:rsidR="00233567" w:rsidRPr="001C7C6C">
              <w:rPr>
                <w:rFonts w:ascii="Calibri" w:hAnsi="Calibri"/>
                <w:b w:val="0"/>
                <w:szCs w:val="22"/>
              </w:rPr>
              <w:t xml:space="preserve">ommittee </w:t>
            </w:r>
            <w:r w:rsidRPr="001C7C6C">
              <w:rPr>
                <w:rFonts w:ascii="Calibri" w:hAnsi="Calibri"/>
                <w:b w:val="0"/>
                <w:szCs w:val="22"/>
              </w:rPr>
              <w:t xml:space="preserve">will consider best available, high quality scientific evidence, and where this is unavailable may request an evidence review to inform consideration of specific items.  </w:t>
            </w:r>
          </w:p>
          <w:p w:rsidR="001C7C6C" w:rsidRPr="001C7C6C" w:rsidRDefault="001C7C6C" w:rsidP="009C6077">
            <w:pPr>
              <w:spacing w:before="80" w:after="80" w:line="240" w:lineRule="auto"/>
              <w:rPr>
                <w:rFonts w:ascii="Calibri" w:hAnsi="Calibri"/>
                <w:b w:val="0"/>
                <w:szCs w:val="22"/>
              </w:rPr>
            </w:pPr>
            <w:r w:rsidRPr="001C7C6C">
              <w:rPr>
                <w:rFonts w:ascii="Calibri" w:hAnsi="Calibri"/>
                <w:b w:val="0"/>
                <w:szCs w:val="22"/>
              </w:rPr>
              <w:t>Consumer</w:t>
            </w:r>
            <w:r w:rsidR="00257E03">
              <w:rPr>
                <w:rFonts w:ascii="Calibri" w:hAnsi="Calibri"/>
                <w:b w:val="0"/>
                <w:szCs w:val="22"/>
              </w:rPr>
              <w:t>-</w:t>
            </w:r>
            <w:r w:rsidRPr="001C7C6C">
              <w:rPr>
                <w:rFonts w:ascii="Calibri" w:hAnsi="Calibri"/>
                <w:b w:val="0"/>
                <w:szCs w:val="22"/>
              </w:rPr>
              <w:t xml:space="preserve">related evidence on quality and access should be made available to the </w:t>
            </w:r>
            <w:r w:rsidR="00C12D41">
              <w:rPr>
                <w:rFonts w:ascii="Calibri" w:hAnsi="Calibri"/>
                <w:b w:val="0"/>
                <w:szCs w:val="22"/>
              </w:rPr>
              <w:t>c</w:t>
            </w:r>
            <w:r w:rsidR="00233567" w:rsidRPr="001C7C6C">
              <w:rPr>
                <w:rFonts w:ascii="Calibri" w:hAnsi="Calibri"/>
                <w:b w:val="0"/>
                <w:szCs w:val="22"/>
              </w:rPr>
              <w:t xml:space="preserve">ommittee </w:t>
            </w:r>
            <w:r w:rsidRPr="001C7C6C">
              <w:rPr>
                <w:rFonts w:ascii="Calibri" w:hAnsi="Calibri"/>
                <w:b w:val="0"/>
                <w:szCs w:val="22"/>
              </w:rPr>
              <w:t>prior to the first or second meeting.</w:t>
            </w:r>
          </w:p>
          <w:p w:rsidR="001C7C6C" w:rsidRDefault="001C7C6C" w:rsidP="009C6077">
            <w:pPr>
              <w:spacing w:before="80" w:after="80" w:line="240" w:lineRule="auto"/>
              <w:rPr>
                <w:rFonts w:ascii="Calibri" w:hAnsi="Calibri"/>
                <w:b w:val="0"/>
                <w:szCs w:val="22"/>
              </w:rPr>
            </w:pPr>
            <w:r w:rsidRPr="001C7C6C">
              <w:rPr>
                <w:rFonts w:ascii="Calibri" w:hAnsi="Calibri"/>
                <w:b w:val="0"/>
                <w:szCs w:val="22"/>
              </w:rPr>
              <w:t>It may be difficult to predict the precise consumer or clinician respo</w:t>
            </w:r>
            <w:r>
              <w:rPr>
                <w:rFonts w:ascii="Calibri" w:hAnsi="Calibri"/>
                <w:b w:val="0"/>
                <w:szCs w:val="22"/>
              </w:rPr>
              <w:t>nse to a proposed item change.</w:t>
            </w:r>
          </w:p>
          <w:p w:rsidR="001C7C6C" w:rsidRPr="007D35DE" w:rsidRDefault="001C7C6C" w:rsidP="00C12D41">
            <w:pPr>
              <w:spacing w:before="80" w:after="80" w:line="240" w:lineRule="auto"/>
              <w:rPr>
                <w:rFonts w:ascii="Calibri" w:hAnsi="Calibri"/>
                <w:b w:val="0"/>
                <w:szCs w:val="22"/>
              </w:rPr>
            </w:pPr>
            <w:r w:rsidRPr="001C7C6C">
              <w:rPr>
                <w:rFonts w:ascii="Calibri" w:hAnsi="Calibri"/>
                <w:b w:val="0"/>
                <w:szCs w:val="22"/>
              </w:rPr>
              <w:t xml:space="preserve">This highlights the importance of clear and concise explanatory notes, supported by a consultation process with consumers and clinicians, prior to the finalisation of recommendations by the </w:t>
            </w:r>
            <w:r w:rsidR="00C12D41">
              <w:rPr>
                <w:rFonts w:ascii="Calibri" w:hAnsi="Calibri"/>
                <w:b w:val="0"/>
                <w:szCs w:val="22"/>
              </w:rPr>
              <w:t>c</w:t>
            </w:r>
            <w:r w:rsidR="00233567" w:rsidRPr="001C7C6C">
              <w:rPr>
                <w:rFonts w:ascii="Calibri" w:hAnsi="Calibri"/>
                <w:b w:val="0"/>
                <w:szCs w:val="22"/>
              </w:rPr>
              <w:t>ommittee</w:t>
            </w:r>
            <w:r w:rsidRPr="001C7C6C">
              <w:rPr>
                <w:rFonts w:ascii="Calibri" w:hAnsi="Calibri"/>
                <w:b w:val="0"/>
                <w:szCs w:val="22"/>
              </w:rPr>
              <w:t>.</w:t>
            </w:r>
          </w:p>
        </w:tc>
      </w:tr>
      <w:tr w:rsidR="004C7D8A" w:rsidRPr="00F73090" w:rsidTr="009C6077">
        <w:trPr>
          <w:trHeight w:val="515"/>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color w:val="FFFFFF" w:themeColor="background1"/>
                <w:szCs w:val="22"/>
              </w:rPr>
            </w:pPr>
            <w:r w:rsidRPr="00F73090">
              <w:rPr>
                <w:rFonts w:ascii="Calibri" w:hAnsi="Calibri"/>
                <w:i/>
                <w:color w:val="FFFFFF" w:themeColor="background1"/>
                <w:szCs w:val="22"/>
              </w:rPr>
              <w:t>How are MBS items grouped as in-scope and out-of-scope?</w:t>
            </w:r>
          </w:p>
        </w:tc>
      </w:tr>
      <w:tr w:rsidR="00F73090" w:rsidRPr="00F73090" w:rsidTr="00676B29">
        <w:trPr>
          <w:cnfStyle w:val="000000100000" w:firstRow="0" w:lastRow="0" w:firstColumn="0" w:lastColumn="0" w:oddVBand="0" w:evenVBand="0" w:oddHBand="1" w:evenHBand="0" w:firstRowFirstColumn="0" w:firstRowLastColumn="0" w:lastRowFirstColumn="0" w:lastRowLastColumn="0"/>
          <w:trHeight w:val="1103"/>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tcPr>
          <w:p w:rsidR="00F73090" w:rsidRPr="00F73090" w:rsidRDefault="001C7C6C" w:rsidP="00C12D41">
            <w:pPr>
              <w:spacing w:before="80" w:after="80" w:line="240" w:lineRule="auto"/>
              <w:rPr>
                <w:rFonts w:ascii="Calibri" w:hAnsi="Calibri"/>
                <w:b w:val="0"/>
                <w:szCs w:val="22"/>
              </w:rPr>
            </w:pPr>
            <w:r w:rsidRPr="001C7C6C">
              <w:rPr>
                <w:rFonts w:ascii="Calibri" w:hAnsi="Calibri"/>
                <w:b w:val="0"/>
                <w:szCs w:val="22"/>
              </w:rPr>
              <w:t>MB</w:t>
            </w:r>
            <w:r>
              <w:rPr>
                <w:rFonts w:ascii="Calibri" w:hAnsi="Calibri"/>
                <w:b w:val="0"/>
                <w:szCs w:val="22"/>
              </w:rPr>
              <w:t>S</w:t>
            </w:r>
            <w:r w:rsidRPr="001C7C6C">
              <w:rPr>
                <w:rFonts w:ascii="Calibri" w:hAnsi="Calibri"/>
                <w:b w:val="0"/>
                <w:szCs w:val="22"/>
              </w:rPr>
              <w:t xml:space="preserve"> </w:t>
            </w:r>
            <w:r>
              <w:rPr>
                <w:rFonts w:ascii="Calibri" w:hAnsi="Calibri"/>
                <w:b w:val="0"/>
                <w:szCs w:val="22"/>
              </w:rPr>
              <w:t>i</w:t>
            </w:r>
            <w:r w:rsidRPr="001C7C6C">
              <w:rPr>
                <w:rFonts w:ascii="Calibri" w:hAnsi="Calibri"/>
                <w:b w:val="0"/>
                <w:szCs w:val="22"/>
              </w:rPr>
              <w:t xml:space="preserve">tems for a new medical procedure may require consideration by the Medical Services Advisory Committee. At the first meeting of the </w:t>
            </w:r>
            <w:r w:rsidR="00C12D41">
              <w:rPr>
                <w:rFonts w:ascii="Calibri" w:hAnsi="Calibri"/>
                <w:b w:val="0"/>
                <w:szCs w:val="22"/>
              </w:rPr>
              <w:t>c</w:t>
            </w:r>
            <w:r w:rsidRPr="001C7C6C">
              <w:rPr>
                <w:rFonts w:ascii="Calibri" w:hAnsi="Calibri"/>
                <w:b w:val="0"/>
                <w:szCs w:val="22"/>
              </w:rPr>
              <w:t xml:space="preserve">linical </w:t>
            </w:r>
            <w:r w:rsidR="00C12D41">
              <w:rPr>
                <w:rFonts w:ascii="Calibri" w:hAnsi="Calibri"/>
                <w:b w:val="0"/>
                <w:szCs w:val="22"/>
              </w:rPr>
              <w:t>c</w:t>
            </w:r>
            <w:r w:rsidRPr="001C7C6C">
              <w:rPr>
                <w:rFonts w:ascii="Calibri" w:hAnsi="Calibri"/>
                <w:b w:val="0"/>
                <w:szCs w:val="22"/>
              </w:rPr>
              <w:t xml:space="preserve">ommittee the </w:t>
            </w:r>
            <w:r w:rsidR="00C12D41">
              <w:rPr>
                <w:rFonts w:ascii="Calibri" w:hAnsi="Calibri"/>
                <w:b w:val="0"/>
                <w:szCs w:val="22"/>
              </w:rPr>
              <w:t>c</w:t>
            </w:r>
            <w:r w:rsidRPr="001C7C6C">
              <w:rPr>
                <w:rFonts w:ascii="Calibri" w:hAnsi="Calibri"/>
                <w:b w:val="0"/>
                <w:szCs w:val="22"/>
              </w:rPr>
              <w:t>hair will outline those items and issues that are in-scope.</w:t>
            </w:r>
          </w:p>
        </w:tc>
      </w:tr>
      <w:tr w:rsidR="004C7D8A" w:rsidRPr="00F73090" w:rsidTr="009C6077">
        <w:trPr>
          <w:trHeight w:val="51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rsidR="00F73090" w:rsidRPr="00F73090" w:rsidRDefault="00F73090" w:rsidP="009C6077">
            <w:pPr>
              <w:spacing w:before="80" w:after="80" w:line="240" w:lineRule="auto"/>
              <w:rPr>
                <w:rFonts w:ascii="Calibri" w:hAnsi="Calibri"/>
                <w:color w:val="FFFFFF" w:themeColor="background1"/>
                <w:szCs w:val="22"/>
              </w:rPr>
            </w:pPr>
            <w:r w:rsidRPr="00F73090">
              <w:rPr>
                <w:rFonts w:ascii="Calibri" w:hAnsi="Calibri"/>
                <w:i/>
                <w:color w:val="FFFFFF" w:themeColor="background1"/>
                <w:szCs w:val="22"/>
              </w:rPr>
              <w:lastRenderedPageBreak/>
              <w:t>Can I request a mentor if I feel I need additional support?</w:t>
            </w:r>
          </w:p>
        </w:tc>
      </w:tr>
      <w:tr w:rsidR="00F73090" w:rsidRPr="00F73090" w:rsidTr="001C7C6C">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rsidR="00F73090" w:rsidRPr="00F73090" w:rsidRDefault="00F73090" w:rsidP="00C12D41">
            <w:pPr>
              <w:spacing w:before="80" w:after="80" w:line="240" w:lineRule="auto"/>
              <w:rPr>
                <w:rFonts w:ascii="Calibri" w:hAnsi="Calibri"/>
                <w:b w:val="0"/>
                <w:i/>
                <w:szCs w:val="22"/>
              </w:rPr>
            </w:pPr>
            <w:r w:rsidRPr="00F73090">
              <w:rPr>
                <w:rFonts w:ascii="Calibri" w:hAnsi="Calibri"/>
                <w:b w:val="0"/>
                <w:szCs w:val="22"/>
              </w:rPr>
              <w:t xml:space="preserve">Yes. The Consumer Panel can assist with referring an experienced MBS review consumer who will be able to offer additional support </w:t>
            </w:r>
            <w:r w:rsidR="00C12D41">
              <w:rPr>
                <w:rFonts w:ascii="Calibri" w:hAnsi="Calibri"/>
                <w:b w:val="0"/>
                <w:szCs w:val="22"/>
              </w:rPr>
              <w:t>c</w:t>
            </w:r>
            <w:r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members.</w:t>
            </w:r>
          </w:p>
        </w:tc>
      </w:tr>
    </w:tbl>
    <w:p w:rsidR="00DC7BE6" w:rsidRDefault="00DC7BE6" w:rsidP="00791FE1">
      <w:pPr>
        <w:spacing w:before="0" w:after="180" w:line="240" w:lineRule="auto"/>
        <w:rPr>
          <w:szCs w:val="22"/>
        </w:rPr>
      </w:pPr>
      <w:r>
        <w:rPr>
          <w:szCs w:val="22"/>
        </w:rPr>
        <w:br w:type="page"/>
      </w:r>
    </w:p>
    <w:p w:rsidR="00DC7BE6" w:rsidRPr="00606724" w:rsidRDefault="00DC7BE6" w:rsidP="00606724">
      <w:pPr>
        <w:pStyle w:val="AppendixStyle1"/>
        <w:rPr>
          <w:szCs w:val="32"/>
        </w:rPr>
      </w:pPr>
      <w:bookmarkStart w:id="65" w:name="_Toc33103214"/>
      <w:r w:rsidRPr="00606724">
        <w:rPr>
          <w:szCs w:val="32"/>
        </w:rPr>
        <w:lastRenderedPageBreak/>
        <w:t xml:space="preserve">Guidance for Committee Chairpersons to </w:t>
      </w:r>
      <w:r w:rsidR="00C12D41" w:rsidRPr="00606724">
        <w:rPr>
          <w:szCs w:val="32"/>
        </w:rPr>
        <w:t>S</w:t>
      </w:r>
      <w:r w:rsidRPr="00606724">
        <w:rPr>
          <w:szCs w:val="32"/>
        </w:rPr>
        <w:t xml:space="preserve">upport </w:t>
      </w:r>
      <w:r w:rsidR="00C12D41" w:rsidRPr="00606724">
        <w:rPr>
          <w:szCs w:val="32"/>
        </w:rPr>
        <w:t>E</w:t>
      </w:r>
      <w:r w:rsidRPr="00606724">
        <w:rPr>
          <w:szCs w:val="32"/>
        </w:rPr>
        <w:t xml:space="preserve">ffective </w:t>
      </w:r>
      <w:r w:rsidR="00C12D41" w:rsidRPr="00606724">
        <w:rPr>
          <w:szCs w:val="32"/>
        </w:rPr>
        <w:t>E</w:t>
      </w:r>
      <w:r w:rsidRPr="00606724">
        <w:rPr>
          <w:szCs w:val="32"/>
        </w:rPr>
        <w:t xml:space="preserve">ngagement of </w:t>
      </w:r>
      <w:r w:rsidR="00C12D41" w:rsidRPr="00606724">
        <w:rPr>
          <w:szCs w:val="32"/>
        </w:rPr>
        <w:t>C</w:t>
      </w:r>
      <w:r w:rsidRPr="00606724">
        <w:rPr>
          <w:szCs w:val="32"/>
        </w:rPr>
        <w:t xml:space="preserve">onsumer </w:t>
      </w:r>
      <w:r w:rsidR="00C12D41" w:rsidRPr="00606724">
        <w:rPr>
          <w:szCs w:val="32"/>
        </w:rPr>
        <w:t>M</w:t>
      </w:r>
      <w:r w:rsidRPr="00606724">
        <w:rPr>
          <w:szCs w:val="32"/>
        </w:rPr>
        <w:t>embers</w:t>
      </w:r>
      <w:bookmarkEnd w:id="65"/>
    </w:p>
    <w:p w:rsidR="00DC7BE6" w:rsidRDefault="00DC7BE6" w:rsidP="00E869AA">
      <w:pPr>
        <w:spacing w:before="0" w:after="120" w:line="240" w:lineRule="auto"/>
      </w:pPr>
      <w:r>
        <w:t>This checklist is focu</w:t>
      </w:r>
      <w:r w:rsidR="00C12D41">
        <w:t>s</w:t>
      </w:r>
      <w:r>
        <w:t xml:space="preserve">sed on supporting </w:t>
      </w:r>
      <w:r w:rsidR="00C12D41">
        <w:t>c</w:t>
      </w:r>
      <w:r>
        <w:t xml:space="preserve">hairpersons to effectively engage consumer members on </w:t>
      </w:r>
      <w:r w:rsidR="00C12D41">
        <w:t>c</w:t>
      </w:r>
      <w:r w:rsidR="00233567">
        <w:t xml:space="preserve">linical </w:t>
      </w:r>
      <w:r w:rsidR="00C12D41">
        <w:t>c</w:t>
      </w:r>
      <w:r w:rsidR="00233567">
        <w:t>ommittees</w:t>
      </w:r>
      <w:r>
        <w:t xml:space="preserve">, and to engage all </w:t>
      </w:r>
      <w:r w:rsidR="00C12D41">
        <w:t>c</w:t>
      </w:r>
      <w:r w:rsidR="00233567">
        <w:t xml:space="preserve">ommittee </w:t>
      </w:r>
      <w:r>
        <w:t xml:space="preserve">members in ensuring consumer evidence and perspectives are valued and influential in </w:t>
      </w:r>
      <w:r w:rsidR="00C12D41">
        <w:t>c</w:t>
      </w:r>
      <w:r w:rsidR="00233567">
        <w:t xml:space="preserve">ommittee </w:t>
      </w:r>
      <w:r>
        <w:t xml:space="preserve">work. </w:t>
      </w:r>
    </w:p>
    <w:p w:rsidR="00DC7BE6" w:rsidRDefault="00DC7BE6" w:rsidP="00E869AA">
      <w:pPr>
        <w:pStyle w:val="ListParagraph"/>
        <w:numPr>
          <w:ilvl w:val="0"/>
          <w:numId w:val="38"/>
        </w:numPr>
        <w:spacing w:before="0" w:after="100" w:line="240" w:lineRule="auto"/>
        <w:ind w:left="357" w:hanging="357"/>
        <w:contextualSpacing w:val="0"/>
      </w:pPr>
      <w:r>
        <w:t xml:space="preserve">Make personal contact with consumer members when they are appointed to the </w:t>
      </w:r>
      <w:r w:rsidR="00C12D41">
        <w:t>c</w:t>
      </w:r>
      <w:r w:rsidR="00233567">
        <w:t>ommittee</w:t>
      </w:r>
      <w:r>
        <w:t xml:space="preserve">; outline your approach to chairing the group to ensure consumer evidence and perspectives are genuinely integrated; and remain open to questions from consumer members re </w:t>
      </w:r>
      <w:r w:rsidR="00C12D41">
        <w:t>c</w:t>
      </w:r>
      <w:r w:rsidR="00233567">
        <w:t xml:space="preserve">ommittee </w:t>
      </w:r>
      <w:r>
        <w:t>process, outputs and outcomes.</w:t>
      </w:r>
    </w:p>
    <w:p w:rsidR="00DC7BE6" w:rsidRDefault="00DC7BE6" w:rsidP="00E869AA">
      <w:pPr>
        <w:pStyle w:val="ListParagraph"/>
        <w:numPr>
          <w:ilvl w:val="0"/>
          <w:numId w:val="38"/>
        </w:numPr>
        <w:spacing w:before="0" w:after="100" w:line="240" w:lineRule="auto"/>
        <w:ind w:left="357" w:hanging="357"/>
        <w:contextualSpacing w:val="0"/>
      </w:pPr>
      <w:r>
        <w:t xml:space="preserve">Arrange and participate with the </w:t>
      </w:r>
      <w:r w:rsidR="00C12D41">
        <w:t>s</w:t>
      </w:r>
      <w:r>
        <w:t>ecretariat in effective induction of consumer members. Induction should include written documentation and an online (if not in-person) session that allows for questions to be answered and issues /opportunities to be addressed/taken on notice.</w:t>
      </w:r>
    </w:p>
    <w:p w:rsidR="00DC7BE6" w:rsidRDefault="00DC7BE6" w:rsidP="00E869AA">
      <w:pPr>
        <w:pStyle w:val="ListParagraph"/>
        <w:numPr>
          <w:ilvl w:val="0"/>
          <w:numId w:val="38"/>
        </w:numPr>
        <w:spacing w:before="0" w:after="100" w:line="240" w:lineRule="auto"/>
        <w:ind w:left="357" w:hanging="357"/>
        <w:contextualSpacing w:val="0"/>
      </w:pPr>
      <w:r>
        <w:t xml:space="preserve">Ensure all </w:t>
      </w:r>
      <w:r w:rsidR="00C12D41">
        <w:t>c</w:t>
      </w:r>
      <w:r w:rsidR="00233567">
        <w:t xml:space="preserve">ommittee </w:t>
      </w:r>
      <w:r>
        <w:t xml:space="preserve">members have access to information about the consumer members’ induction so that they understand the role of consumer members, and their own role in enabling consumer evidence and perspectives to be integrated into the </w:t>
      </w:r>
      <w:r w:rsidR="00C12D41">
        <w:t>c</w:t>
      </w:r>
      <w:r w:rsidR="00233567">
        <w:t xml:space="preserve">ommittee’s </w:t>
      </w:r>
      <w:r>
        <w:t xml:space="preserve">work, in accordance with the terms of reference. Offer additional information to any committee member who requests it, and arrange an education session for the </w:t>
      </w:r>
      <w:r w:rsidR="00233567">
        <w:t xml:space="preserve">Committee </w:t>
      </w:r>
      <w:r>
        <w:t>as required.</w:t>
      </w:r>
    </w:p>
    <w:p w:rsidR="00DC7BE6" w:rsidRDefault="00DC7BE6" w:rsidP="00E869AA">
      <w:pPr>
        <w:pStyle w:val="ListParagraph"/>
        <w:numPr>
          <w:ilvl w:val="0"/>
          <w:numId w:val="38"/>
        </w:numPr>
        <w:spacing w:before="0" w:after="100" w:line="240" w:lineRule="auto"/>
        <w:ind w:left="357" w:hanging="357"/>
        <w:contextualSpacing w:val="0"/>
      </w:pPr>
      <w:r>
        <w:t xml:space="preserve">Check on the availability of peers (other/experienced consumer members) and collaborators (other non-consumer </w:t>
      </w:r>
      <w:r w:rsidR="00C12D41">
        <w:t>c</w:t>
      </w:r>
      <w:r w:rsidR="00233567">
        <w:t xml:space="preserve">ommittee </w:t>
      </w:r>
      <w:r>
        <w:t xml:space="preserve">members) who can provide support/mentoring, as requested by consumer members, and within the confidentiality restraints of the </w:t>
      </w:r>
      <w:r w:rsidR="00233567">
        <w:t xml:space="preserve">Committee’s </w:t>
      </w:r>
      <w:r>
        <w:t>work.</w:t>
      </w:r>
    </w:p>
    <w:p w:rsidR="00DC7BE6" w:rsidRDefault="00DC7BE6" w:rsidP="00E869AA">
      <w:pPr>
        <w:pStyle w:val="ListParagraph"/>
        <w:numPr>
          <w:ilvl w:val="0"/>
          <w:numId w:val="38"/>
        </w:numPr>
        <w:spacing w:before="0" w:after="100" w:line="240" w:lineRule="auto"/>
        <w:ind w:left="357" w:hanging="357"/>
        <w:contextualSpacing w:val="0"/>
      </w:pPr>
      <w:r>
        <w:t xml:space="preserve">Ensure your </w:t>
      </w:r>
      <w:r w:rsidR="00C12D41">
        <w:t>c</w:t>
      </w:r>
      <w:r w:rsidR="00233567">
        <w:t xml:space="preserve">ommittee’s </w:t>
      </w:r>
      <w:r>
        <w:t xml:space="preserve">operational guidelines explicitly outline the role of members, individually and collectively, and how all voices will be heard and valued; how decisions </w:t>
      </w:r>
      <w:r>
        <w:lastRenderedPageBreak/>
        <w:t>are made; and how grievance is managed to ensure compliance with the group’s terms of reference – including the integration of consumer evidence and perspectives.</w:t>
      </w:r>
    </w:p>
    <w:p w:rsidR="00DC7BE6" w:rsidRDefault="00DC7BE6" w:rsidP="00E869AA">
      <w:pPr>
        <w:pStyle w:val="ListParagraph"/>
        <w:numPr>
          <w:ilvl w:val="0"/>
          <w:numId w:val="38"/>
        </w:numPr>
        <w:spacing w:before="0" w:after="100" w:line="240" w:lineRule="auto"/>
        <w:ind w:left="357" w:hanging="357"/>
        <w:contextualSpacing w:val="0"/>
      </w:pPr>
      <w:r>
        <w:t xml:space="preserve">Ensure agendas, minutes, reports, briefings and internal communications explicitly address consumer input and outcomes; are circulated in a timely manner; and can be understood by all </w:t>
      </w:r>
      <w:r w:rsidR="00C12D41">
        <w:t>c</w:t>
      </w:r>
      <w:r w:rsidR="00233567">
        <w:t xml:space="preserve">ommittee </w:t>
      </w:r>
      <w:r>
        <w:t>members. This may require the use of consumer summaries and glossaries.</w:t>
      </w:r>
    </w:p>
    <w:p w:rsidR="00DC7BE6" w:rsidRDefault="00DC7BE6" w:rsidP="00E869AA">
      <w:pPr>
        <w:pStyle w:val="ListParagraph"/>
        <w:numPr>
          <w:ilvl w:val="0"/>
          <w:numId w:val="38"/>
        </w:numPr>
        <w:spacing w:before="0" w:after="100" w:line="240" w:lineRule="auto"/>
        <w:ind w:left="357" w:hanging="357"/>
        <w:contextualSpacing w:val="0"/>
      </w:pPr>
      <w:r>
        <w:t xml:space="preserve">Ensure external communications about the </w:t>
      </w:r>
      <w:r w:rsidR="00C12D41">
        <w:t>c</w:t>
      </w:r>
      <w:r w:rsidR="00233567">
        <w:t xml:space="preserve">ommittee’s </w:t>
      </w:r>
      <w:r>
        <w:t>work is readily understood and accessed by consumer organisations and the general public</w:t>
      </w:r>
      <w:r w:rsidR="00E869AA">
        <w:t>.</w:t>
      </w:r>
    </w:p>
    <w:p w:rsidR="00DC7BE6" w:rsidRDefault="00DC7BE6" w:rsidP="00E869AA">
      <w:pPr>
        <w:pStyle w:val="ListParagraph"/>
        <w:numPr>
          <w:ilvl w:val="0"/>
          <w:numId w:val="38"/>
        </w:numPr>
        <w:spacing w:before="0" w:after="100" w:line="240" w:lineRule="auto"/>
        <w:ind w:left="357" w:hanging="357"/>
        <w:contextualSpacing w:val="0"/>
      </w:pPr>
      <w:r>
        <w:t xml:space="preserve">Ensure research and consultation processes enable the consumer members – and all </w:t>
      </w:r>
      <w:r w:rsidR="00C12D41">
        <w:t>c</w:t>
      </w:r>
      <w:r w:rsidR="00233567">
        <w:t xml:space="preserve">ommittee </w:t>
      </w:r>
      <w:r>
        <w:t>members – to consider the perspectives and priorities of community groups who have been – and continue to be - historically disadvantaged within health systems and services</w:t>
      </w:r>
      <w:r w:rsidR="00E869AA">
        <w:t>.</w:t>
      </w:r>
    </w:p>
    <w:p w:rsidR="00DC7BE6" w:rsidRDefault="00DC7BE6" w:rsidP="00E869AA">
      <w:pPr>
        <w:pStyle w:val="ListParagraph"/>
        <w:numPr>
          <w:ilvl w:val="0"/>
          <w:numId w:val="38"/>
        </w:numPr>
        <w:spacing w:before="0" w:after="100" w:line="240" w:lineRule="auto"/>
        <w:ind w:left="357" w:hanging="357"/>
        <w:contextualSpacing w:val="0"/>
      </w:pPr>
      <w:r>
        <w:t>Ensure you enable decisions to be made that include consumer evidence and perspectives; do not use your position to bias or reinterpret the consumer members’ input and advice.</w:t>
      </w:r>
    </w:p>
    <w:p w:rsidR="00DC7BE6" w:rsidRPr="00DC7BE6" w:rsidRDefault="00DC7BE6" w:rsidP="00E869AA">
      <w:pPr>
        <w:pStyle w:val="ListParagraph"/>
        <w:numPr>
          <w:ilvl w:val="0"/>
          <w:numId w:val="38"/>
        </w:numPr>
        <w:spacing w:before="0" w:after="120" w:line="240" w:lineRule="auto"/>
        <w:ind w:left="357" w:hanging="357"/>
        <w:contextualSpacing w:val="0"/>
        <w:rPr>
          <w:szCs w:val="22"/>
        </w:rPr>
      </w:pPr>
      <w:r>
        <w:t xml:space="preserve">At the beginning of the meeting (when you outline the purpose and anticipated outcomes of the meeting), and at the close of the meeting (when you summarise outcomes and next steps), check with consumer members, and all </w:t>
      </w:r>
      <w:r w:rsidR="00233567">
        <w:t xml:space="preserve">Committee </w:t>
      </w:r>
      <w:r>
        <w:t xml:space="preserve">members, that consumer priorities and perspectives have been explicitly considered and documented. </w:t>
      </w:r>
    </w:p>
    <w:sectPr w:rsidR="00DC7BE6" w:rsidRPr="00DC7BE6" w:rsidSect="00357F09">
      <w:headerReference w:type="default" r:id="rId21"/>
      <w:pgSz w:w="11906" w:h="16838"/>
      <w:pgMar w:top="1440" w:right="1797" w:bottom="1276"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39F" w:rsidRDefault="009A139F" w:rsidP="000D1CF6">
      <w:r>
        <w:separator/>
      </w:r>
    </w:p>
    <w:p w:rsidR="009A139F" w:rsidRDefault="009A139F" w:rsidP="000D1CF6"/>
    <w:p w:rsidR="009A139F" w:rsidRDefault="009A139F"/>
  </w:endnote>
  <w:endnote w:type="continuationSeparator" w:id="0">
    <w:p w:rsidR="009A139F" w:rsidRDefault="009A139F" w:rsidP="000D1CF6">
      <w:r>
        <w:continuationSeparator/>
      </w:r>
    </w:p>
    <w:p w:rsidR="009A139F" w:rsidRDefault="009A139F" w:rsidP="000D1CF6"/>
    <w:p w:rsidR="009A139F" w:rsidRDefault="009A1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C8D6F03F-A564-4EA8-BE7E-53F7141F4CAD}"/>
    <w:embedBold r:id="rId2" w:fontKey="{23E39E58-4D1C-4952-B45D-4E373B2A319C}"/>
    <w:embedItalic r:id="rId3" w:fontKey="{0AD8CF33-FEE2-4928-ADF6-80F792E2053C}"/>
    <w:embedBoldItalic r:id="rId4" w:fontKey="{E6AFB451-8D4B-4B34-8A17-46B28E11439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Calibri-Bold">
    <w:altName w:val="Calibri"/>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Proxima Nova Extrabold">
    <w:altName w:val="Proxima Nova Extra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508114"/>
      <w:docPartObj>
        <w:docPartGallery w:val="Page Numbers (Bottom of Page)"/>
        <w:docPartUnique/>
      </w:docPartObj>
    </w:sdtPr>
    <w:sdtEndPr/>
    <w:sdtContent>
      <w:sdt>
        <w:sdtPr>
          <w:id w:val="-1769616900"/>
          <w:docPartObj>
            <w:docPartGallery w:val="Page Numbers (Top of Page)"/>
            <w:docPartUnique/>
          </w:docPartObj>
        </w:sdtPr>
        <w:sdtEndPr/>
        <w:sdtContent>
          <w:p w:rsidR="00175EA4" w:rsidRPr="00602688" w:rsidRDefault="00175EA4" w:rsidP="002053C8">
            <w:pPr>
              <w:pStyle w:val="Footer"/>
              <w:tabs>
                <w:tab w:val="clear" w:pos="4513"/>
              </w:tabs>
            </w:pPr>
            <w:r>
              <w:t>Final Report from the Consumer Panel 2020</w:t>
            </w:r>
            <w:r>
              <w:tab/>
              <w:t xml:space="preserve">Page </w:t>
            </w:r>
            <w:r>
              <w:rPr>
                <w:b w:val="0"/>
                <w:bCs/>
                <w:sz w:val="24"/>
                <w:szCs w:val="24"/>
              </w:rPr>
              <w:fldChar w:fldCharType="begin"/>
            </w:r>
            <w:r>
              <w:rPr>
                <w:bCs/>
              </w:rPr>
              <w:instrText xml:space="preserve"> PAGE </w:instrText>
            </w:r>
            <w:r>
              <w:rPr>
                <w:b w:val="0"/>
                <w:bCs/>
                <w:sz w:val="24"/>
                <w:szCs w:val="24"/>
              </w:rPr>
              <w:fldChar w:fldCharType="separate"/>
            </w:r>
            <w:r w:rsidR="00C05F20">
              <w:rPr>
                <w:bCs/>
                <w:noProof/>
              </w:rPr>
              <w:t>20</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C05F20">
              <w:rPr>
                <w:bCs/>
                <w:noProof/>
              </w:rPr>
              <w:t>52</w:t>
            </w:r>
            <w:r>
              <w:rPr>
                <w:b w:val="0"/>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39F" w:rsidRDefault="009A139F" w:rsidP="000D1CF6">
      <w:r>
        <w:separator/>
      </w:r>
    </w:p>
    <w:p w:rsidR="009A139F" w:rsidRDefault="009A139F" w:rsidP="000D1CF6"/>
    <w:p w:rsidR="009A139F" w:rsidRDefault="009A139F"/>
  </w:footnote>
  <w:footnote w:type="continuationSeparator" w:id="0">
    <w:p w:rsidR="009A139F" w:rsidRDefault="009A139F" w:rsidP="000D1CF6">
      <w:r>
        <w:continuationSeparator/>
      </w:r>
    </w:p>
    <w:p w:rsidR="009A139F" w:rsidRDefault="009A139F" w:rsidP="000D1CF6"/>
    <w:p w:rsidR="009A139F" w:rsidRDefault="009A139F"/>
  </w:footnote>
  <w:footnote w:id="1">
    <w:p w:rsidR="00175EA4" w:rsidRPr="00D753B2" w:rsidRDefault="00175EA4" w:rsidP="00222B98">
      <w:pPr>
        <w:pStyle w:val="FootnoteText"/>
        <w:spacing w:after="120"/>
        <w:rPr>
          <w:sz w:val="18"/>
        </w:rPr>
      </w:pPr>
      <w:r w:rsidRPr="00D753B2">
        <w:rPr>
          <w:rStyle w:val="FootnoteReference"/>
          <w:sz w:val="18"/>
        </w:rPr>
        <w:footnoteRef/>
      </w:r>
      <w:r w:rsidRPr="00D753B2">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rsidR="00175EA4" w:rsidRPr="008817E9" w:rsidRDefault="00175EA4" w:rsidP="00222B98">
      <w:pPr>
        <w:pStyle w:val="FootnoteText"/>
        <w:spacing w:after="120"/>
        <w:rPr>
          <w:sz w:val="18"/>
        </w:rPr>
      </w:pPr>
      <w:r w:rsidRPr="00D753B2">
        <w:rPr>
          <w:rStyle w:val="FootnoteReference"/>
          <w:sz w:val="18"/>
        </w:rPr>
        <w:footnoteRef/>
      </w:r>
      <w:r w:rsidRPr="00D753B2">
        <w:rPr>
          <w:sz w:val="18"/>
        </w:rPr>
        <w:t xml:space="preserve"> The use of MBS services for purposes other than those intended. This includes a range of behaviours, from failing to adhere to particular item descriptors or rules through to deliberate fraud.</w:t>
      </w:r>
    </w:p>
  </w:footnote>
  <w:footnote w:id="3">
    <w:p w:rsidR="00175EA4" w:rsidRPr="005774E9" w:rsidRDefault="00175EA4" w:rsidP="005774E9">
      <w:pPr>
        <w:pStyle w:val="FootnoteText"/>
        <w:rPr>
          <w:sz w:val="18"/>
          <w:szCs w:val="18"/>
        </w:rPr>
      </w:pPr>
      <w:r w:rsidRPr="005774E9">
        <w:rPr>
          <w:rStyle w:val="FootnoteReference"/>
          <w:sz w:val="18"/>
          <w:szCs w:val="18"/>
        </w:rPr>
        <w:footnoteRef/>
      </w:r>
      <w:r w:rsidRPr="005774E9">
        <w:rPr>
          <w:sz w:val="18"/>
          <w:szCs w:val="18"/>
        </w:rPr>
        <w:t xml:space="preserve"> Nilsen, ES, Myrhaug HT, Johansen M, Oliver S &amp; Oxman AD (2006) “Methods of consumer involvement in developing healthcare policy and research, clinical practice guidelines and patient information material (review)” </w:t>
      </w:r>
      <w:r w:rsidRPr="005774E9">
        <w:rPr>
          <w:i/>
          <w:sz w:val="18"/>
          <w:szCs w:val="18"/>
        </w:rPr>
        <w:t>Cochrane Database of Systematic Reviews</w:t>
      </w:r>
      <w:r w:rsidRPr="005774E9">
        <w:rPr>
          <w:sz w:val="18"/>
          <w:szCs w:val="18"/>
        </w:rPr>
        <w:t>, Issue 3.</w:t>
      </w:r>
    </w:p>
  </w:footnote>
  <w:footnote w:id="4">
    <w:p w:rsidR="00175EA4" w:rsidRPr="005774E9" w:rsidRDefault="00175EA4" w:rsidP="005774E9">
      <w:pPr>
        <w:pStyle w:val="FootnoteText"/>
        <w:rPr>
          <w:sz w:val="18"/>
          <w:szCs w:val="18"/>
        </w:rPr>
      </w:pPr>
      <w:r w:rsidRPr="005774E9">
        <w:rPr>
          <w:rStyle w:val="FootnoteReference"/>
          <w:sz w:val="18"/>
          <w:szCs w:val="18"/>
        </w:rPr>
        <w:footnoteRef/>
      </w:r>
      <w:r w:rsidRPr="005774E9">
        <w:rPr>
          <w:sz w:val="18"/>
          <w:szCs w:val="18"/>
        </w:rPr>
        <w:t xml:space="preserve"> </w:t>
      </w:r>
      <w:hyperlink r:id="rId1" w:history="1">
        <w:r w:rsidR="0029573E">
          <w:rPr>
            <w:rStyle w:val="Hyperlink"/>
            <w:color w:val="auto"/>
            <w:sz w:val="18"/>
            <w:szCs w:val="18"/>
          </w:rPr>
          <w:t>CHF Real People, Real Data article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A4" w:rsidRDefault="00175EA4">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A4" w:rsidRDefault="00175EA4"/>
  <w:p w:rsidR="00175EA4" w:rsidRDefault="00175EA4">
    <w:r>
      <w:rPr>
        <w:noProof/>
      </w:rPr>
      <w:drawing>
        <wp:anchor distT="0" distB="0" distL="114300" distR="114300" simplePos="0" relativeHeight="251656192" behindDoc="0" locked="0" layoutInCell="1" allowOverlap="1" wp14:anchorId="3BF5E232" wp14:editId="734B56DB">
          <wp:simplePos x="0" y="0"/>
          <wp:positionH relativeFrom="page">
            <wp:align>left</wp:align>
          </wp:positionH>
          <wp:positionV relativeFrom="paragraph">
            <wp:posOffset>-360540</wp:posOffset>
          </wp:positionV>
          <wp:extent cx="7619117" cy="736979"/>
          <wp:effectExtent l="0" t="0" r="1270" b="6350"/>
          <wp:wrapSquare wrapText="bothSides"/>
          <wp:docPr id="33" name="Picture 33" descr="Header in document" title="Header - 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A4" w:rsidRDefault="00175EA4"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FB2DA36" wp14:editId="25F632F5">
          <wp:simplePos x="0" y="0"/>
          <wp:positionH relativeFrom="page">
            <wp:align>left</wp:align>
          </wp:positionH>
          <wp:positionV relativeFrom="paragraph">
            <wp:posOffset>-457200</wp:posOffset>
          </wp:positionV>
          <wp:extent cx="7562850" cy="10697357"/>
          <wp:effectExtent l="0" t="0" r="0" b="8890"/>
          <wp:wrapNone/>
          <wp:docPr id="34" name="Picture 34" descr="Section 1 - Title page" title="First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A4" w:rsidRDefault="00175EA4">
    <w:r>
      <w:rPr>
        <w:noProof/>
      </w:rPr>
      <w:drawing>
        <wp:anchor distT="0" distB="0" distL="114300" distR="114300" simplePos="0" relativeHeight="251657216" behindDoc="0" locked="0" layoutInCell="1" allowOverlap="1" wp14:anchorId="304123CD" wp14:editId="671074F8">
          <wp:simplePos x="0" y="0"/>
          <wp:positionH relativeFrom="page">
            <wp:align>right</wp:align>
          </wp:positionH>
          <wp:positionV relativeFrom="paragraph">
            <wp:posOffset>-459740</wp:posOffset>
          </wp:positionV>
          <wp:extent cx="7619117" cy="736979"/>
          <wp:effectExtent l="0" t="0" r="1270" b="6350"/>
          <wp:wrapSquare wrapText="bothSides"/>
          <wp:docPr id="30" name="Picture 30" descr="Header " title="Medical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0354"/>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D647E5"/>
    <w:multiLevelType w:val="hybridMultilevel"/>
    <w:tmpl w:val="966A08F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8D880E8A">
      <w:start w:val="1"/>
      <w:numFmt w:val="decimal"/>
      <w:lvlText w:val="%4."/>
      <w:lvlJc w:val="left"/>
      <w:pPr>
        <w:ind w:left="2520" w:hanging="360"/>
      </w:pPr>
      <w:rPr>
        <w:rFonts w:cs="Times New Roman"/>
        <w:b/>
        <w:sz w:val="22"/>
        <w:szCs w:val="22"/>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 w15:restartNumberingAfterBreak="0">
    <w:nsid w:val="08460D44"/>
    <w:multiLevelType w:val="hybridMultilevel"/>
    <w:tmpl w:val="43929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13CEE"/>
    <w:multiLevelType w:val="hybridMultilevel"/>
    <w:tmpl w:val="5AC6DD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890D66"/>
    <w:multiLevelType w:val="hybridMultilevel"/>
    <w:tmpl w:val="55EA6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3834"/>
    <w:multiLevelType w:val="hybridMultilevel"/>
    <w:tmpl w:val="8D64DF06"/>
    <w:lvl w:ilvl="0" w:tplc="9D7419E6">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1653F"/>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0" w15:restartNumberingAfterBreak="0">
    <w:nsid w:val="1AB675C0"/>
    <w:multiLevelType w:val="hybridMultilevel"/>
    <w:tmpl w:val="DBBC74FC"/>
    <w:lvl w:ilvl="0" w:tplc="72D8424A">
      <w:start w:val="1"/>
      <w:numFmt w:val="decimal"/>
      <w:lvlText w:val="%1."/>
      <w:lvlJc w:val="left"/>
      <w:pPr>
        <w:ind w:left="510" w:hanging="150"/>
      </w:pPr>
      <w:rPr>
        <w:rFonts w:hint="default"/>
        <w:b/>
        <w:color w:val="01653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AF1BF0"/>
    <w:multiLevelType w:val="hybridMultilevel"/>
    <w:tmpl w:val="E1D0A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537128"/>
    <w:multiLevelType w:val="hybridMultilevel"/>
    <w:tmpl w:val="1FAC4E92"/>
    <w:lvl w:ilvl="0" w:tplc="36EC42B4">
      <w:start w:val="1"/>
      <w:numFmt w:val="bullet"/>
      <w:lvlText w:val=""/>
      <w:lvlJc w:val="left"/>
      <w:pPr>
        <w:ind w:left="360" w:hanging="360"/>
      </w:pPr>
      <w:rPr>
        <w:rFonts w:ascii="Symbol" w:hAnsi="Symbol" w:hint="default"/>
        <w:color w:val="01653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4" w15:restartNumberingAfterBreak="0">
    <w:nsid w:val="23FC397B"/>
    <w:multiLevelType w:val="hybridMultilevel"/>
    <w:tmpl w:val="C01C7E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3259F3"/>
    <w:multiLevelType w:val="hybridMultilevel"/>
    <w:tmpl w:val="7E4A7B30"/>
    <w:lvl w:ilvl="0" w:tplc="36EC42B4">
      <w:start w:val="1"/>
      <w:numFmt w:val="bullet"/>
      <w:lvlText w:val=""/>
      <w:lvlJc w:val="left"/>
      <w:pPr>
        <w:ind w:left="1440" w:hanging="360"/>
      </w:pPr>
      <w:rPr>
        <w:rFonts w:ascii="Symbol" w:hAnsi="Symbol" w:hint="default"/>
        <w:color w:val="01653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750C08"/>
    <w:multiLevelType w:val="hybridMultilevel"/>
    <w:tmpl w:val="C150CC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422989"/>
    <w:multiLevelType w:val="hybridMultilevel"/>
    <w:tmpl w:val="A5CE5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AF744C"/>
    <w:multiLevelType w:val="hybridMultilevel"/>
    <w:tmpl w:val="6CA8CDF0"/>
    <w:lvl w:ilvl="0" w:tplc="1F5A0ED8">
      <w:start w:val="1"/>
      <w:numFmt w:val="decimal"/>
      <w:lvlText w:val="%1."/>
      <w:lvlJc w:val="left"/>
      <w:pPr>
        <w:ind w:left="720" w:hanging="360"/>
      </w:pPr>
      <w:rPr>
        <w:rFonts w:hint="default"/>
        <w:color w:val="0165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0"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805821"/>
    <w:multiLevelType w:val="hybridMultilevel"/>
    <w:tmpl w:val="58B823CA"/>
    <w:lvl w:ilvl="0" w:tplc="3FB42E16">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23" w15:restartNumberingAfterBreak="0">
    <w:nsid w:val="39151B20"/>
    <w:multiLevelType w:val="hybridMultilevel"/>
    <w:tmpl w:val="09D6C30C"/>
    <w:lvl w:ilvl="0" w:tplc="58F6544A">
      <w:start w:val="1"/>
      <w:numFmt w:val="decimal"/>
      <w:lvlText w:val="%1."/>
      <w:lvlJc w:val="left"/>
      <w:pPr>
        <w:ind w:left="150" w:hanging="15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CC9390E"/>
    <w:multiLevelType w:val="hybridMultilevel"/>
    <w:tmpl w:val="00E6F4D4"/>
    <w:lvl w:ilvl="0" w:tplc="0166EC3C">
      <w:start w:val="1"/>
      <w:numFmt w:val="decimal"/>
      <w:lvlText w:val="%1."/>
      <w:lvlJc w:val="left"/>
      <w:pPr>
        <w:ind w:left="720" w:hanging="360"/>
      </w:pPr>
      <w:rPr>
        <w:rFonts w:hint="default"/>
        <w:color w:val="01653F"/>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B024F2"/>
    <w:multiLevelType w:val="hybridMultilevel"/>
    <w:tmpl w:val="7DCA40E6"/>
    <w:lvl w:ilvl="0" w:tplc="46C424A6">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14323F"/>
    <w:multiLevelType w:val="hybridMultilevel"/>
    <w:tmpl w:val="D1509C9C"/>
    <w:lvl w:ilvl="0" w:tplc="36EC42B4">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7ED107C"/>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C8B2540"/>
    <w:multiLevelType w:val="hybridMultilevel"/>
    <w:tmpl w:val="80522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AB07AC"/>
    <w:multiLevelType w:val="hybridMultilevel"/>
    <w:tmpl w:val="637E77C2"/>
    <w:lvl w:ilvl="0" w:tplc="6EF2B9FE">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F2247"/>
    <w:multiLevelType w:val="hybridMultilevel"/>
    <w:tmpl w:val="E1D0A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715348"/>
    <w:multiLevelType w:val="hybridMultilevel"/>
    <w:tmpl w:val="58B823CA"/>
    <w:lvl w:ilvl="0" w:tplc="3FB42E16">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A75DBA"/>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305F20"/>
    <w:multiLevelType w:val="hybridMultilevel"/>
    <w:tmpl w:val="238E50B8"/>
    <w:lvl w:ilvl="0" w:tplc="3626CA90">
      <w:start w:val="1"/>
      <w:numFmt w:val="decimal"/>
      <w:lvlText w:val="%1."/>
      <w:lvlJc w:val="left"/>
      <w:pPr>
        <w:ind w:left="720" w:hanging="360"/>
      </w:pPr>
      <w:rPr>
        <w:rFonts w:hint="default"/>
        <w:b/>
        <w:i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D175E0"/>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0BD70F3"/>
    <w:multiLevelType w:val="hybridMultilevel"/>
    <w:tmpl w:val="6B90E4E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90C4CBF"/>
    <w:multiLevelType w:val="hybridMultilevel"/>
    <w:tmpl w:val="1EC00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442B6D"/>
    <w:multiLevelType w:val="hybridMultilevel"/>
    <w:tmpl w:val="5B64758A"/>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0"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921E44"/>
    <w:multiLevelType w:val="hybridMultilevel"/>
    <w:tmpl w:val="03B0DD6E"/>
    <w:lvl w:ilvl="0" w:tplc="5DF6086E">
      <w:start w:val="1"/>
      <w:numFmt w:val="bullet"/>
      <w:lvlText w:val="•"/>
      <w:lvlJc w:val="left"/>
      <w:pPr>
        <w:tabs>
          <w:tab w:val="num" w:pos="360"/>
        </w:tabs>
        <w:ind w:left="360" w:hanging="360"/>
      </w:pPr>
      <w:rPr>
        <w:rFonts w:asciiTheme="minorHAnsi" w:hAnsiTheme="minorHAnsi" w:cstheme="minorHAnsi" w:hint="default"/>
        <w:color w:val="01653F"/>
      </w:rPr>
    </w:lvl>
    <w:lvl w:ilvl="1" w:tplc="EF34293C">
      <w:start w:val="1"/>
      <w:numFmt w:val="bullet"/>
      <w:lvlText w:val="•"/>
      <w:lvlJc w:val="left"/>
      <w:pPr>
        <w:tabs>
          <w:tab w:val="num" w:pos="1080"/>
        </w:tabs>
        <w:ind w:left="1080" w:hanging="360"/>
      </w:pPr>
      <w:rPr>
        <w:rFonts w:ascii="Arial" w:hAnsi="Arial" w:hint="default"/>
      </w:rPr>
    </w:lvl>
    <w:lvl w:ilvl="2" w:tplc="63E24230" w:tentative="1">
      <w:start w:val="1"/>
      <w:numFmt w:val="bullet"/>
      <w:lvlText w:val="•"/>
      <w:lvlJc w:val="left"/>
      <w:pPr>
        <w:tabs>
          <w:tab w:val="num" w:pos="1800"/>
        </w:tabs>
        <w:ind w:left="1800" w:hanging="360"/>
      </w:pPr>
      <w:rPr>
        <w:rFonts w:ascii="Arial" w:hAnsi="Arial" w:hint="default"/>
      </w:rPr>
    </w:lvl>
    <w:lvl w:ilvl="3" w:tplc="76786CAA" w:tentative="1">
      <w:start w:val="1"/>
      <w:numFmt w:val="bullet"/>
      <w:lvlText w:val="•"/>
      <w:lvlJc w:val="left"/>
      <w:pPr>
        <w:tabs>
          <w:tab w:val="num" w:pos="2520"/>
        </w:tabs>
        <w:ind w:left="2520" w:hanging="360"/>
      </w:pPr>
      <w:rPr>
        <w:rFonts w:ascii="Arial" w:hAnsi="Arial" w:hint="default"/>
      </w:rPr>
    </w:lvl>
    <w:lvl w:ilvl="4" w:tplc="51E4E8A6" w:tentative="1">
      <w:start w:val="1"/>
      <w:numFmt w:val="bullet"/>
      <w:lvlText w:val="•"/>
      <w:lvlJc w:val="left"/>
      <w:pPr>
        <w:tabs>
          <w:tab w:val="num" w:pos="3240"/>
        </w:tabs>
        <w:ind w:left="3240" w:hanging="360"/>
      </w:pPr>
      <w:rPr>
        <w:rFonts w:ascii="Arial" w:hAnsi="Arial" w:hint="default"/>
      </w:rPr>
    </w:lvl>
    <w:lvl w:ilvl="5" w:tplc="AC1C3794" w:tentative="1">
      <w:start w:val="1"/>
      <w:numFmt w:val="bullet"/>
      <w:lvlText w:val="•"/>
      <w:lvlJc w:val="left"/>
      <w:pPr>
        <w:tabs>
          <w:tab w:val="num" w:pos="3960"/>
        </w:tabs>
        <w:ind w:left="3960" w:hanging="360"/>
      </w:pPr>
      <w:rPr>
        <w:rFonts w:ascii="Arial" w:hAnsi="Arial" w:hint="default"/>
      </w:rPr>
    </w:lvl>
    <w:lvl w:ilvl="6" w:tplc="714259CA" w:tentative="1">
      <w:start w:val="1"/>
      <w:numFmt w:val="bullet"/>
      <w:lvlText w:val="•"/>
      <w:lvlJc w:val="left"/>
      <w:pPr>
        <w:tabs>
          <w:tab w:val="num" w:pos="4680"/>
        </w:tabs>
        <w:ind w:left="4680" w:hanging="360"/>
      </w:pPr>
      <w:rPr>
        <w:rFonts w:ascii="Arial" w:hAnsi="Arial" w:hint="default"/>
      </w:rPr>
    </w:lvl>
    <w:lvl w:ilvl="7" w:tplc="12021C6C" w:tentative="1">
      <w:start w:val="1"/>
      <w:numFmt w:val="bullet"/>
      <w:lvlText w:val="•"/>
      <w:lvlJc w:val="left"/>
      <w:pPr>
        <w:tabs>
          <w:tab w:val="num" w:pos="5400"/>
        </w:tabs>
        <w:ind w:left="5400" w:hanging="360"/>
      </w:pPr>
      <w:rPr>
        <w:rFonts w:ascii="Arial" w:hAnsi="Arial" w:hint="default"/>
      </w:rPr>
    </w:lvl>
    <w:lvl w:ilvl="8" w:tplc="B4F4758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14B14"/>
    <w:multiLevelType w:val="hybridMultilevel"/>
    <w:tmpl w:val="3CC811BA"/>
    <w:lvl w:ilvl="0" w:tplc="90BC29BA">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D0575B2"/>
    <w:multiLevelType w:val="multilevel"/>
    <w:tmpl w:val="F92EFA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003"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45" w15:restartNumberingAfterBreak="0">
    <w:nsid w:val="7D2E2A22"/>
    <w:multiLevelType w:val="hybridMultilevel"/>
    <w:tmpl w:val="E1D0AE64"/>
    <w:lvl w:ilvl="0" w:tplc="0C090017">
      <w:start w:val="1"/>
      <w:numFmt w:val="lowerLetter"/>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6" w15:restartNumberingAfterBreak="0">
    <w:nsid w:val="7E991557"/>
    <w:multiLevelType w:val="hybridMultilevel"/>
    <w:tmpl w:val="AFDC11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9"/>
  </w:num>
  <w:num w:numId="2">
    <w:abstractNumId w:val="25"/>
  </w:num>
  <w:num w:numId="3">
    <w:abstractNumId w:val="44"/>
  </w:num>
  <w:num w:numId="4">
    <w:abstractNumId w:val="40"/>
  </w:num>
  <w:num w:numId="5">
    <w:abstractNumId w:val="7"/>
  </w:num>
  <w:num w:numId="6">
    <w:abstractNumId w:val="13"/>
  </w:num>
  <w:num w:numId="7">
    <w:abstractNumId w:val="30"/>
  </w:num>
  <w:num w:numId="8">
    <w:abstractNumId w:val="5"/>
  </w:num>
  <w:num w:numId="9">
    <w:abstractNumId w:val="19"/>
  </w:num>
  <w:num w:numId="10">
    <w:abstractNumId w:val="20"/>
  </w:num>
  <w:num w:numId="11">
    <w:abstractNumId w:val="34"/>
  </w:num>
  <w:num w:numId="12">
    <w:abstractNumId w:val="6"/>
  </w:num>
  <w:num w:numId="13">
    <w:abstractNumId w:val="42"/>
  </w:num>
  <w:num w:numId="14">
    <w:abstractNumId w:val="8"/>
  </w:num>
  <w:num w:numId="15">
    <w:abstractNumId w:val="3"/>
  </w:num>
  <w:num w:numId="16">
    <w:abstractNumId w:val="14"/>
  </w:num>
  <w:num w:numId="17">
    <w:abstractNumId w:val="17"/>
  </w:num>
  <w:num w:numId="18">
    <w:abstractNumId w:val="16"/>
  </w:num>
  <w:num w:numId="19">
    <w:abstractNumId w:val="0"/>
  </w:num>
  <w:num w:numId="20">
    <w:abstractNumId w:val="2"/>
  </w:num>
  <w:num w:numId="21">
    <w:abstractNumId w:val="11"/>
  </w:num>
  <w:num w:numId="22">
    <w:abstractNumId w:val="38"/>
  </w:num>
  <w:num w:numId="23">
    <w:abstractNumId w:val="35"/>
  </w:num>
  <w:num w:numId="24">
    <w:abstractNumId w:val="41"/>
  </w:num>
  <w:num w:numId="25">
    <w:abstractNumId w:val="4"/>
  </w:num>
  <w:num w:numId="26">
    <w:abstractNumId w:val="37"/>
  </w:num>
  <w:num w:numId="27">
    <w:abstractNumId w:val="39"/>
  </w:num>
  <w:num w:numId="28">
    <w:abstractNumId w:val="1"/>
  </w:num>
  <w:num w:numId="29">
    <w:abstractNumId w:val="24"/>
  </w:num>
  <w:num w:numId="30">
    <w:abstractNumId w:val="10"/>
  </w:num>
  <w:num w:numId="31">
    <w:abstractNumId w:val="15"/>
  </w:num>
  <w:num w:numId="32">
    <w:abstractNumId w:val="29"/>
  </w:num>
  <w:num w:numId="33">
    <w:abstractNumId w:val="33"/>
  </w:num>
  <w:num w:numId="34">
    <w:abstractNumId w:val="28"/>
  </w:num>
  <w:num w:numId="35">
    <w:abstractNumId w:val="36"/>
  </w:num>
  <w:num w:numId="36">
    <w:abstractNumId w:val="32"/>
  </w:num>
  <w:num w:numId="37">
    <w:abstractNumId w:val="21"/>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45"/>
  </w:num>
  <w:num w:numId="41">
    <w:abstractNumId w:val="31"/>
  </w:num>
  <w:num w:numId="42">
    <w:abstractNumId w:val="12"/>
  </w:num>
  <w:num w:numId="43">
    <w:abstractNumId w:val="27"/>
  </w:num>
  <w:num w:numId="44">
    <w:abstractNumId w:val="23"/>
  </w:num>
  <w:num w:numId="45">
    <w:abstractNumId w:val="44"/>
  </w:num>
  <w:num w:numId="46">
    <w:abstractNumId w:val="44"/>
  </w:num>
  <w:num w:numId="47">
    <w:abstractNumId w:val="44"/>
  </w:num>
  <w:num w:numId="48">
    <w:abstractNumId w:val="8"/>
    <w:lvlOverride w:ilvl="0">
      <w:startOverride w:val="1"/>
    </w:lvlOverride>
    <w:lvlOverride w:ilvl="1"/>
    <w:lvlOverride w:ilvl="2"/>
    <w:lvlOverride w:ilvl="3"/>
    <w:lvlOverride w:ilvl="4"/>
    <w:lvlOverride w:ilvl="5"/>
    <w:lvlOverride w:ilvl="6"/>
    <w:lvlOverride w:ilvl="7"/>
    <w:lvlOverride w:ilvl="8"/>
  </w:num>
  <w:num w:numId="49">
    <w:abstractNumId w:val="22"/>
  </w:num>
  <w:num w:numId="50">
    <w:abstractNumId w:val="26"/>
  </w:num>
  <w:num w:numId="51">
    <w:abstractNumId w:val="18"/>
  </w:num>
  <w:num w:numId="52">
    <w:abstractNumId w:val="44"/>
  </w:num>
  <w:num w:numId="53">
    <w:abstractNumId w:val="44"/>
  </w:num>
  <w:num w:numId="54">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D23"/>
    <w:rsid w:val="00001F7B"/>
    <w:rsid w:val="00002222"/>
    <w:rsid w:val="0000233B"/>
    <w:rsid w:val="00002477"/>
    <w:rsid w:val="00002678"/>
    <w:rsid w:val="00002A0C"/>
    <w:rsid w:val="00002BDE"/>
    <w:rsid w:val="000036E5"/>
    <w:rsid w:val="000037ED"/>
    <w:rsid w:val="0000395A"/>
    <w:rsid w:val="00004069"/>
    <w:rsid w:val="000043C7"/>
    <w:rsid w:val="000044E9"/>
    <w:rsid w:val="000048BE"/>
    <w:rsid w:val="00004920"/>
    <w:rsid w:val="00004C0F"/>
    <w:rsid w:val="00004CCA"/>
    <w:rsid w:val="00004FBC"/>
    <w:rsid w:val="00005441"/>
    <w:rsid w:val="000054D7"/>
    <w:rsid w:val="0000566B"/>
    <w:rsid w:val="00005E0B"/>
    <w:rsid w:val="00005FDD"/>
    <w:rsid w:val="00006915"/>
    <w:rsid w:val="0000693D"/>
    <w:rsid w:val="00006990"/>
    <w:rsid w:val="00006AE9"/>
    <w:rsid w:val="00006D99"/>
    <w:rsid w:val="00007A11"/>
    <w:rsid w:val="00007CFB"/>
    <w:rsid w:val="000102BB"/>
    <w:rsid w:val="000105F3"/>
    <w:rsid w:val="000107B2"/>
    <w:rsid w:val="000107B3"/>
    <w:rsid w:val="0001084A"/>
    <w:rsid w:val="00010981"/>
    <w:rsid w:val="00010E0E"/>
    <w:rsid w:val="000116E7"/>
    <w:rsid w:val="00011E9D"/>
    <w:rsid w:val="0001253D"/>
    <w:rsid w:val="00012A37"/>
    <w:rsid w:val="00012E74"/>
    <w:rsid w:val="0001359C"/>
    <w:rsid w:val="00013881"/>
    <w:rsid w:val="0001393A"/>
    <w:rsid w:val="00013B90"/>
    <w:rsid w:val="00013EE7"/>
    <w:rsid w:val="000140C8"/>
    <w:rsid w:val="00014190"/>
    <w:rsid w:val="000141FE"/>
    <w:rsid w:val="00014294"/>
    <w:rsid w:val="00014712"/>
    <w:rsid w:val="0001476B"/>
    <w:rsid w:val="00014B3B"/>
    <w:rsid w:val="00014E4E"/>
    <w:rsid w:val="0001545C"/>
    <w:rsid w:val="00015784"/>
    <w:rsid w:val="00015973"/>
    <w:rsid w:val="00015EB7"/>
    <w:rsid w:val="00016242"/>
    <w:rsid w:val="00016596"/>
    <w:rsid w:val="000165FA"/>
    <w:rsid w:val="00016A2E"/>
    <w:rsid w:val="00017563"/>
    <w:rsid w:val="00017909"/>
    <w:rsid w:val="00017F61"/>
    <w:rsid w:val="00020196"/>
    <w:rsid w:val="00020431"/>
    <w:rsid w:val="00020587"/>
    <w:rsid w:val="0002068A"/>
    <w:rsid w:val="000206BB"/>
    <w:rsid w:val="00020A2F"/>
    <w:rsid w:val="00020E0E"/>
    <w:rsid w:val="00020FC5"/>
    <w:rsid w:val="000211DB"/>
    <w:rsid w:val="00021658"/>
    <w:rsid w:val="00021A9A"/>
    <w:rsid w:val="00022033"/>
    <w:rsid w:val="00022383"/>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8CF"/>
    <w:rsid w:val="00027C07"/>
    <w:rsid w:val="00027EE8"/>
    <w:rsid w:val="00027FC8"/>
    <w:rsid w:val="0003055F"/>
    <w:rsid w:val="000305B6"/>
    <w:rsid w:val="00030908"/>
    <w:rsid w:val="00030925"/>
    <w:rsid w:val="000309B0"/>
    <w:rsid w:val="000309CE"/>
    <w:rsid w:val="00031095"/>
    <w:rsid w:val="00031497"/>
    <w:rsid w:val="000315C3"/>
    <w:rsid w:val="00031ADE"/>
    <w:rsid w:val="00031E6C"/>
    <w:rsid w:val="00031F0C"/>
    <w:rsid w:val="00031F39"/>
    <w:rsid w:val="00032108"/>
    <w:rsid w:val="00032EAF"/>
    <w:rsid w:val="00033734"/>
    <w:rsid w:val="000337EF"/>
    <w:rsid w:val="00033DA4"/>
    <w:rsid w:val="00034D05"/>
    <w:rsid w:val="0003505C"/>
    <w:rsid w:val="00035310"/>
    <w:rsid w:val="0003544F"/>
    <w:rsid w:val="000354EC"/>
    <w:rsid w:val="00035549"/>
    <w:rsid w:val="00035660"/>
    <w:rsid w:val="00035A74"/>
    <w:rsid w:val="00035D5D"/>
    <w:rsid w:val="00036386"/>
    <w:rsid w:val="00036580"/>
    <w:rsid w:val="00036592"/>
    <w:rsid w:val="00036C0E"/>
    <w:rsid w:val="000370E7"/>
    <w:rsid w:val="000375D3"/>
    <w:rsid w:val="000400AF"/>
    <w:rsid w:val="00040940"/>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4F41"/>
    <w:rsid w:val="00045130"/>
    <w:rsid w:val="00045495"/>
    <w:rsid w:val="000458B4"/>
    <w:rsid w:val="0004596B"/>
    <w:rsid w:val="000459AD"/>
    <w:rsid w:val="000459C1"/>
    <w:rsid w:val="00045F1B"/>
    <w:rsid w:val="00045F6B"/>
    <w:rsid w:val="00046238"/>
    <w:rsid w:val="00046842"/>
    <w:rsid w:val="00046AF0"/>
    <w:rsid w:val="00046C9C"/>
    <w:rsid w:val="00047145"/>
    <w:rsid w:val="00047D3E"/>
    <w:rsid w:val="00047FB5"/>
    <w:rsid w:val="0005001C"/>
    <w:rsid w:val="000501C9"/>
    <w:rsid w:val="00050AC2"/>
    <w:rsid w:val="00050CC6"/>
    <w:rsid w:val="00050ED2"/>
    <w:rsid w:val="00050EF0"/>
    <w:rsid w:val="00051058"/>
    <w:rsid w:val="00051639"/>
    <w:rsid w:val="000521D0"/>
    <w:rsid w:val="00052F80"/>
    <w:rsid w:val="000531AF"/>
    <w:rsid w:val="0005328B"/>
    <w:rsid w:val="000533C6"/>
    <w:rsid w:val="000537C0"/>
    <w:rsid w:val="00053C3C"/>
    <w:rsid w:val="00053DC3"/>
    <w:rsid w:val="00053E5F"/>
    <w:rsid w:val="00054036"/>
    <w:rsid w:val="000544D2"/>
    <w:rsid w:val="00054D62"/>
    <w:rsid w:val="00055158"/>
    <w:rsid w:val="0005522D"/>
    <w:rsid w:val="00055575"/>
    <w:rsid w:val="0005557F"/>
    <w:rsid w:val="000556FB"/>
    <w:rsid w:val="000558E5"/>
    <w:rsid w:val="00056103"/>
    <w:rsid w:val="00056CF7"/>
    <w:rsid w:val="00057385"/>
    <w:rsid w:val="000577E3"/>
    <w:rsid w:val="00057AB0"/>
    <w:rsid w:val="00057F0D"/>
    <w:rsid w:val="000600D9"/>
    <w:rsid w:val="0006063E"/>
    <w:rsid w:val="00060C76"/>
    <w:rsid w:val="00061127"/>
    <w:rsid w:val="000612DC"/>
    <w:rsid w:val="000612E4"/>
    <w:rsid w:val="0006140B"/>
    <w:rsid w:val="0006148F"/>
    <w:rsid w:val="000614F0"/>
    <w:rsid w:val="0006160C"/>
    <w:rsid w:val="0006177C"/>
    <w:rsid w:val="00061969"/>
    <w:rsid w:val="00061998"/>
    <w:rsid w:val="00061DD4"/>
    <w:rsid w:val="00061F2B"/>
    <w:rsid w:val="00062271"/>
    <w:rsid w:val="00062404"/>
    <w:rsid w:val="000624D0"/>
    <w:rsid w:val="000628D0"/>
    <w:rsid w:val="00062916"/>
    <w:rsid w:val="00062A51"/>
    <w:rsid w:val="00062B74"/>
    <w:rsid w:val="0006309D"/>
    <w:rsid w:val="000633C8"/>
    <w:rsid w:val="00063B36"/>
    <w:rsid w:val="00063D84"/>
    <w:rsid w:val="00064134"/>
    <w:rsid w:val="00064465"/>
    <w:rsid w:val="0006464C"/>
    <w:rsid w:val="00064A52"/>
    <w:rsid w:val="00064B03"/>
    <w:rsid w:val="0006504A"/>
    <w:rsid w:val="000653C1"/>
    <w:rsid w:val="000655C1"/>
    <w:rsid w:val="00065A7B"/>
    <w:rsid w:val="00065ADB"/>
    <w:rsid w:val="00066AF2"/>
    <w:rsid w:val="00067BEC"/>
    <w:rsid w:val="00067C58"/>
    <w:rsid w:val="00070038"/>
    <w:rsid w:val="00070239"/>
    <w:rsid w:val="00070347"/>
    <w:rsid w:val="000703EC"/>
    <w:rsid w:val="000707D3"/>
    <w:rsid w:val="00070850"/>
    <w:rsid w:val="00070988"/>
    <w:rsid w:val="00070A62"/>
    <w:rsid w:val="00070CD8"/>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4E88"/>
    <w:rsid w:val="0007506F"/>
    <w:rsid w:val="00075115"/>
    <w:rsid w:val="00075A63"/>
    <w:rsid w:val="00075EF1"/>
    <w:rsid w:val="0007623D"/>
    <w:rsid w:val="000763AD"/>
    <w:rsid w:val="000765ED"/>
    <w:rsid w:val="0007685F"/>
    <w:rsid w:val="00076A52"/>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EB"/>
    <w:rsid w:val="00082F3B"/>
    <w:rsid w:val="000830F6"/>
    <w:rsid w:val="000831DB"/>
    <w:rsid w:val="00083521"/>
    <w:rsid w:val="000838B7"/>
    <w:rsid w:val="00083AB6"/>
    <w:rsid w:val="00083CF7"/>
    <w:rsid w:val="00083E2A"/>
    <w:rsid w:val="000840E5"/>
    <w:rsid w:val="0008425B"/>
    <w:rsid w:val="00084476"/>
    <w:rsid w:val="0008448B"/>
    <w:rsid w:val="00084A07"/>
    <w:rsid w:val="00084AD8"/>
    <w:rsid w:val="00084B53"/>
    <w:rsid w:val="00084E5F"/>
    <w:rsid w:val="00084F7A"/>
    <w:rsid w:val="000853E6"/>
    <w:rsid w:val="00085DAD"/>
    <w:rsid w:val="00086415"/>
    <w:rsid w:val="0008648C"/>
    <w:rsid w:val="000869E6"/>
    <w:rsid w:val="00086AEC"/>
    <w:rsid w:val="00086AFF"/>
    <w:rsid w:val="00086C40"/>
    <w:rsid w:val="00086CCD"/>
    <w:rsid w:val="00086E10"/>
    <w:rsid w:val="00086FD0"/>
    <w:rsid w:val="000872C4"/>
    <w:rsid w:val="00087305"/>
    <w:rsid w:val="000873D2"/>
    <w:rsid w:val="0008778F"/>
    <w:rsid w:val="00087975"/>
    <w:rsid w:val="00087B64"/>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75A"/>
    <w:rsid w:val="00093D25"/>
    <w:rsid w:val="00093DA3"/>
    <w:rsid w:val="00094411"/>
    <w:rsid w:val="000955AF"/>
    <w:rsid w:val="00095683"/>
    <w:rsid w:val="000956E3"/>
    <w:rsid w:val="000959B5"/>
    <w:rsid w:val="00095CB0"/>
    <w:rsid w:val="0009613D"/>
    <w:rsid w:val="00096ADB"/>
    <w:rsid w:val="00097A82"/>
    <w:rsid w:val="00097B24"/>
    <w:rsid w:val="00097B6F"/>
    <w:rsid w:val="000A0567"/>
    <w:rsid w:val="000A057D"/>
    <w:rsid w:val="000A0939"/>
    <w:rsid w:val="000A0C01"/>
    <w:rsid w:val="000A10B2"/>
    <w:rsid w:val="000A126D"/>
    <w:rsid w:val="000A193E"/>
    <w:rsid w:val="000A234E"/>
    <w:rsid w:val="000A293F"/>
    <w:rsid w:val="000A2A54"/>
    <w:rsid w:val="000A2C3B"/>
    <w:rsid w:val="000A3106"/>
    <w:rsid w:val="000A35AE"/>
    <w:rsid w:val="000A37B0"/>
    <w:rsid w:val="000A38E3"/>
    <w:rsid w:val="000A3B15"/>
    <w:rsid w:val="000A3B94"/>
    <w:rsid w:val="000A3C55"/>
    <w:rsid w:val="000A3FBE"/>
    <w:rsid w:val="000A440F"/>
    <w:rsid w:val="000A4BBB"/>
    <w:rsid w:val="000A4EF9"/>
    <w:rsid w:val="000A4F1C"/>
    <w:rsid w:val="000A5376"/>
    <w:rsid w:val="000A5440"/>
    <w:rsid w:val="000A54C3"/>
    <w:rsid w:val="000A5BF4"/>
    <w:rsid w:val="000A6971"/>
    <w:rsid w:val="000A6D80"/>
    <w:rsid w:val="000A6F92"/>
    <w:rsid w:val="000A705B"/>
    <w:rsid w:val="000A736F"/>
    <w:rsid w:val="000A76C3"/>
    <w:rsid w:val="000A7FA7"/>
    <w:rsid w:val="000B004F"/>
    <w:rsid w:val="000B03FE"/>
    <w:rsid w:val="000B0646"/>
    <w:rsid w:val="000B0FB3"/>
    <w:rsid w:val="000B164C"/>
    <w:rsid w:val="000B167F"/>
    <w:rsid w:val="000B16EF"/>
    <w:rsid w:val="000B18FD"/>
    <w:rsid w:val="000B1935"/>
    <w:rsid w:val="000B197F"/>
    <w:rsid w:val="000B1F67"/>
    <w:rsid w:val="000B24D3"/>
    <w:rsid w:val="000B2534"/>
    <w:rsid w:val="000B2623"/>
    <w:rsid w:val="000B2AAD"/>
    <w:rsid w:val="000B30AF"/>
    <w:rsid w:val="000B3102"/>
    <w:rsid w:val="000B31F2"/>
    <w:rsid w:val="000B3DCA"/>
    <w:rsid w:val="000B4182"/>
    <w:rsid w:val="000B48DB"/>
    <w:rsid w:val="000B4B1F"/>
    <w:rsid w:val="000B4CE8"/>
    <w:rsid w:val="000B4D61"/>
    <w:rsid w:val="000B4EB8"/>
    <w:rsid w:val="000B5054"/>
    <w:rsid w:val="000B52C9"/>
    <w:rsid w:val="000B544F"/>
    <w:rsid w:val="000B5E53"/>
    <w:rsid w:val="000B6658"/>
    <w:rsid w:val="000B6688"/>
    <w:rsid w:val="000B6FB6"/>
    <w:rsid w:val="000B710A"/>
    <w:rsid w:val="000B7216"/>
    <w:rsid w:val="000B76F2"/>
    <w:rsid w:val="000B789A"/>
    <w:rsid w:val="000B7A4C"/>
    <w:rsid w:val="000B7DA3"/>
    <w:rsid w:val="000B7F3F"/>
    <w:rsid w:val="000C001D"/>
    <w:rsid w:val="000C00B9"/>
    <w:rsid w:val="000C01EB"/>
    <w:rsid w:val="000C0CE4"/>
    <w:rsid w:val="000C0FEF"/>
    <w:rsid w:val="000C10BE"/>
    <w:rsid w:val="000C1725"/>
    <w:rsid w:val="000C2086"/>
    <w:rsid w:val="000C2699"/>
    <w:rsid w:val="000C2768"/>
    <w:rsid w:val="000C2A76"/>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560"/>
    <w:rsid w:val="000C565E"/>
    <w:rsid w:val="000C5F18"/>
    <w:rsid w:val="000C6064"/>
    <w:rsid w:val="000C70F5"/>
    <w:rsid w:val="000C7388"/>
    <w:rsid w:val="000C77CA"/>
    <w:rsid w:val="000C7A0D"/>
    <w:rsid w:val="000C7A37"/>
    <w:rsid w:val="000C7ACF"/>
    <w:rsid w:val="000C7B86"/>
    <w:rsid w:val="000C7B8A"/>
    <w:rsid w:val="000D0A39"/>
    <w:rsid w:val="000D0F49"/>
    <w:rsid w:val="000D0F86"/>
    <w:rsid w:val="000D1176"/>
    <w:rsid w:val="000D14E3"/>
    <w:rsid w:val="000D1905"/>
    <w:rsid w:val="000D1CF6"/>
    <w:rsid w:val="000D25AD"/>
    <w:rsid w:val="000D2E96"/>
    <w:rsid w:val="000D3691"/>
    <w:rsid w:val="000D3BCD"/>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EAC"/>
    <w:rsid w:val="000D6F7C"/>
    <w:rsid w:val="000D73DF"/>
    <w:rsid w:val="000D7716"/>
    <w:rsid w:val="000D7CFA"/>
    <w:rsid w:val="000D7F4F"/>
    <w:rsid w:val="000E015A"/>
    <w:rsid w:val="000E03E7"/>
    <w:rsid w:val="000E0690"/>
    <w:rsid w:val="000E07AD"/>
    <w:rsid w:val="000E07D2"/>
    <w:rsid w:val="000E07E1"/>
    <w:rsid w:val="000E0950"/>
    <w:rsid w:val="000E13E8"/>
    <w:rsid w:val="000E1636"/>
    <w:rsid w:val="000E1934"/>
    <w:rsid w:val="000E19AC"/>
    <w:rsid w:val="000E1B03"/>
    <w:rsid w:val="000E1B82"/>
    <w:rsid w:val="000E1BE2"/>
    <w:rsid w:val="000E1E7F"/>
    <w:rsid w:val="000E1EDB"/>
    <w:rsid w:val="000E1F43"/>
    <w:rsid w:val="000E2672"/>
    <w:rsid w:val="000E2770"/>
    <w:rsid w:val="000E28DA"/>
    <w:rsid w:val="000E2A29"/>
    <w:rsid w:val="000E2C32"/>
    <w:rsid w:val="000E2F64"/>
    <w:rsid w:val="000E33A7"/>
    <w:rsid w:val="000E347D"/>
    <w:rsid w:val="000E39CD"/>
    <w:rsid w:val="000E3C71"/>
    <w:rsid w:val="000E4A79"/>
    <w:rsid w:val="000E521E"/>
    <w:rsid w:val="000E545D"/>
    <w:rsid w:val="000E5530"/>
    <w:rsid w:val="000E5677"/>
    <w:rsid w:val="000E5E69"/>
    <w:rsid w:val="000E6B0A"/>
    <w:rsid w:val="000E6C56"/>
    <w:rsid w:val="000E6D6B"/>
    <w:rsid w:val="000E6FF3"/>
    <w:rsid w:val="000E70E3"/>
    <w:rsid w:val="000E74F9"/>
    <w:rsid w:val="000E7691"/>
    <w:rsid w:val="000E7727"/>
    <w:rsid w:val="000E78E4"/>
    <w:rsid w:val="000E7A7D"/>
    <w:rsid w:val="000F0B7D"/>
    <w:rsid w:val="000F0D2A"/>
    <w:rsid w:val="000F0D35"/>
    <w:rsid w:val="000F0F68"/>
    <w:rsid w:val="000F0F7F"/>
    <w:rsid w:val="000F1264"/>
    <w:rsid w:val="000F16AE"/>
    <w:rsid w:val="000F16B7"/>
    <w:rsid w:val="000F1B31"/>
    <w:rsid w:val="000F217E"/>
    <w:rsid w:val="000F2302"/>
    <w:rsid w:val="000F2CDA"/>
    <w:rsid w:val="000F2E2B"/>
    <w:rsid w:val="000F2E9B"/>
    <w:rsid w:val="000F312F"/>
    <w:rsid w:val="000F326B"/>
    <w:rsid w:val="000F341D"/>
    <w:rsid w:val="000F3C1E"/>
    <w:rsid w:val="000F3F4F"/>
    <w:rsid w:val="000F4150"/>
    <w:rsid w:val="000F44BA"/>
    <w:rsid w:val="000F4646"/>
    <w:rsid w:val="000F4DB6"/>
    <w:rsid w:val="000F4DFA"/>
    <w:rsid w:val="000F5115"/>
    <w:rsid w:val="000F54AC"/>
    <w:rsid w:val="000F5EF9"/>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0A52"/>
    <w:rsid w:val="00101268"/>
    <w:rsid w:val="00101410"/>
    <w:rsid w:val="00101DCC"/>
    <w:rsid w:val="00101DE4"/>
    <w:rsid w:val="00101E86"/>
    <w:rsid w:val="00101FBC"/>
    <w:rsid w:val="001027A5"/>
    <w:rsid w:val="00102D40"/>
    <w:rsid w:val="00103DA5"/>
    <w:rsid w:val="001041E3"/>
    <w:rsid w:val="00104311"/>
    <w:rsid w:val="00104CE6"/>
    <w:rsid w:val="00105E6A"/>
    <w:rsid w:val="00105EB2"/>
    <w:rsid w:val="00106078"/>
    <w:rsid w:val="001062DE"/>
    <w:rsid w:val="0010664E"/>
    <w:rsid w:val="0010682C"/>
    <w:rsid w:val="00106987"/>
    <w:rsid w:val="00106F4B"/>
    <w:rsid w:val="0010733C"/>
    <w:rsid w:val="00107B15"/>
    <w:rsid w:val="00107B62"/>
    <w:rsid w:val="0011010B"/>
    <w:rsid w:val="0011022D"/>
    <w:rsid w:val="00110323"/>
    <w:rsid w:val="001104FA"/>
    <w:rsid w:val="001106EA"/>
    <w:rsid w:val="00110719"/>
    <w:rsid w:val="0011099B"/>
    <w:rsid w:val="00110E53"/>
    <w:rsid w:val="00110F51"/>
    <w:rsid w:val="001111A0"/>
    <w:rsid w:val="001114C1"/>
    <w:rsid w:val="0011158E"/>
    <w:rsid w:val="0011166D"/>
    <w:rsid w:val="0011178D"/>
    <w:rsid w:val="00111A0E"/>
    <w:rsid w:val="00111CDD"/>
    <w:rsid w:val="001121E7"/>
    <w:rsid w:val="001122B9"/>
    <w:rsid w:val="001129A7"/>
    <w:rsid w:val="00112C49"/>
    <w:rsid w:val="00113099"/>
    <w:rsid w:val="0011358C"/>
    <w:rsid w:val="00113907"/>
    <w:rsid w:val="00113B00"/>
    <w:rsid w:val="001141BB"/>
    <w:rsid w:val="001143E8"/>
    <w:rsid w:val="00114722"/>
    <w:rsid w:val="00114875"/>
    <w:rsid w:val="00114A33"/>
    <w:rsid w:val="00114AE4"/>
    <w:rsid w:val="00114E0F"/>
    <w:rsid w:val="001154C1"/>
    <w:rsid w:val="00115549"/>
    <w:rsid w:val="001156AF"/>
    <w:rsid w:val="00115C07"/>
    <w:rsid w:val="00115CD8"/>
    <w:rsid w:val="00115F6A"/>
    <w:rsid w:val="00116136"/>
    <w:rsid w:val="001164D5"/>
    <w:rsid w:val="00116BB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99B"/>
    <w:rsid w:val="00123C43"/>
    <w:rsid w:val="00123D3B"/>
    <w:rsid w:val="00124738"/>
    <w:rsid w:val="001247B3"/>
    <w:rsid w:val="00124A29"/>
    <w:rsid w:val="00124A31"/>
    <w:rsid w:val="00124B1B"/>
    <w:rsid w:val="00124D2A"/>
    <w:rsid w:val="001252A3"/>
    <w:rsid w:val="00125E65"/>
    <w:rsid w:val="00125F82"/>
    <w:rsid w:val="00126092"/>
    <w:rsid w:val="001262FB"/>
    <w:rsid w:val="00126745"/>
    <w:rsid w:val="00126CE0"/>
    <w:rsid w:val="00126E67"/>
    <w:rsid w:val="0012701C"/>
    <w:rsid w:val="001276BC"/>
    <w:rsid w:val="00127BD9"/>
    <w:rsid w:val="00130F21"/>
    <w:rsid w:val="001313F9"/>
    <w:rsid w:val="00131578"/>
    <w:rsid w:val="00132336"/>
    <w:rsid w:val="0013290F"/>
    <w:rsid w:val="001329BB"/>
    <w:rsid w:val="00132B0D"/>
    <w:rsid w:val="00132F58"/>
    <w:rsid w:val="00133A54"/>
    <w:rsid w:val="00133AAA"/>
    <w:rsid w:val="00133C1B"/>
    <w:rsid w:val="001349A1"/>
    <w:rsid w:val="0013501F"/>
    <w:rsid w:val="00135075"/>
    <w:rsid w:val="001351E3"/>
    <w:rsid w:val="00135880"/>
    <w:rsid w:val="00135D05"/>
    <w:rsid w:val="0013638A"/>
    <w:rsid w:val="001366FF"/>
    <w:rsid w:val="00136995"/>
    <w:rsid w:val="00136C3E"/>
    <w:rsid w:val="001371F4"/>
    <w:rsid w:val="0013778B"/>
    <w:rsid w:val="0013799B"/>
    <w:rsid w:val="00140C2E"/>
    <w:rsid w:val="001410E9"/>
    <w:rsid w:val="00141F65"/>
    <w:rsid w:val="001427F9"/>
    <w:rsid w:val="00142C57"/>
    <w:rsid w:val="0014315F"/>
    <w:rsid w:val="0014317B"/>
    <w:rsid w:val="0014366A"/>
    <w:rsid w:val="00143948"/>
    <w:rsid w:val="00143A60"/>
    <w:rsid w:val="00143D08"/>
    <w:rsid w:val="00144083"/>
    <w:rsid w:val="001446B6"/>
    <w:rsid w:val="001450CA"/>
    <w:rsid w:val="00145358"/>
    <w:rsid w:val="001453BB"/>
    <w:rsid w:val="00145A69"/>
    <w:rsid w:val="00146052"/>
    <w:rsid w:val="0014617F"/>
    <w:rsid w:val="001461F3"/>
    <w:rsid w:val="0014621D"/>
    <w:rsid w:val="0014694A"/>
    <w:rsid w:val="0014706A"/>
    <w:rsid w:val="001472FA"/>
    <w:rsid w:val="00147902"/>
    <w:rsid w:val="0014794C"/>
    <w:rsid w:val="00147E23"/>
    <w:rsid w:val="00150C38"/>
    <w:rsid w:val="001511A1"/>
    <w:rsid w:val="0015141E"/>
    <w:rsid w:val="001514D7"/>
    <w:rsid w:val="001518DA"/>
    <w:rsid w:val="00151AAE"/>
    <w:rsid w:val="00151F01"/>
    <w:rsid w:val="00152330"/>
    <w:rsid w:val="00152849"/>
    <w:rsid w:val="00152C99"/>
    <w:rsid w:val="001530FC"/>
    <w:rsid w:val="001534C2"/>
    <w:rsid w:val="00153816"/>
    <w:rsid w:val="001538F5"/>
    <w:rsid w:val="00153C6F"/>
    <w:rsid w:val="00154145"/>
    <w:rsid w:val="00154275"/>
    <w:rsid w:val="001545AB"/>
    <w:rsid w:val="001548FB"/>
    <w:rsid w:val="0015505E"/>
    <w:rsid w:val="001553A5"/>
    <w:rsid w:val="00155DC8"/>
    <w:rsid w:val="001560F9"/>
    <w:rsid w:val="0015667D"/>
    <w:rsid w:val="00156ED0"/>
    <w:rsid w:val="00157102"/>
    <w:rsid w:val="0015721A"/>
    <w:rsid w:val="00157337"/>
    <w:rsid w:val="0015789A"/>
    <w:rsid w:val="00157F85"/>
    <w:rsid w:val="001600E0"/>
    <w:rsid w:val="00160601"/>
    <w:rsid w:val="001606E6"/>
    <w:rsid w:val="00160CE7"/>
    <w:rsid w:val="001611A5"/>
    <w:rsid w:val="00161340"/>
    <w:rsid w:val="001614A0"/>
    <w:rsid w:val="00162019"/>
    <w:rsid w:val="00162661"/>
    <w:rsid w:val="001629A1"/>
    <w:rsid w:val="001629F3"/>
    <w:rsid w:val="00162C3A"/>
    <w:rsid w:val="00162C6B"/>
    <w:rsid w:val="00162D93"/>
    <w:rsid w:val="001631CB"/>
    <w:rsid w:val="00163874"/>
    <w:rsid w:val="00163AA0"/>
    <w:rsid w:val="00163AD0"/>
    <w:rsid w:val="00163DBF"/>
    <w:rsid w:val="001643F5"/>
    <w:rsid w:val="00164423"/>
    <w:rsid w:val="00164A3D"/>
    <w:rsid w:val="00164CFE"/>
    <w:rsid w:val="00164D27"/>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3928"/>
    <w:rsid w:val="00173AA0"/>
    <w:rsid w:val="00173DAE"/>
    <w:rsid w:val="00174822"/>
    <w:rsid w:val="00174940"/>
    <w:rsid w:val="00174BD7"/>
    <w:rsid w:val="00174EB4"/>
    <w:rsid w:val="0017542A"/>
    <w:rsid w:val="00175B69"/>
    <w:rsid w:val="00175BCE"/>
    <w:rsid w:val="00175EA4"/>
    <w:rsid w:val="00175FEB"/>
    <w:rsid w:val="00176080"/>
    <w:rsid w:val="001761D0"/>
    <w:rsid w:val="001766E3"/>
    <w:rsid w:val="00176F32"/>
    <w:rsid w:val="001771A7"/>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464"/>
    <w:rsid w:val="0018558C"/>
    <w:rsid w:val="0018607B"/>
    <w:rsid w:val="001860C2"/>
    <w:rsid w:val="0018643A"/>
    <w:rsid w:val="0018686D"/>
    <w:rsid w:val="00186CD0"/>
    <w:rsid w:val="00186D3B"/>
    <w:rsid w:val="00186E14"/>
    <w:rsid w:val="00187050"/>
    <w:rsid w:val="001871A8"/>
    <w:rsid w:val="00187333"/>
    <w:rsid w:val="00187647"/>
    <w:rsid w:val="00187F36"/>
    <w:rsid w:val="0019015E"/>
    <w:rsid w:val="00190347"/>
    <w:rsid w:val="001903B7"/>
    <w:rsid w:val="00190615"/>
    <w:rsid w:val="001906B0"/>
    <w:rsid w:val="0019092F"/>
    <w:rsid w:val="00190FAF"/>
    <w:rsid w:val="00191078"/>
    <w:rsid w:val="0019117E"/>
    <w:rsid w:val="00191471"/>
    <w:rsid w:val="00191A41"/>
    <w:rsid w:val="00191D01"/>
    <w:rsid w:val="00191F2B"/>
    <w:rsid w:val="0019211A"/>
    <w:rsid w:val="00192413"/>
    <w:rsid w:val="001925E8"/>
    <w:rsid w:val="001926A0"/>
    <w:rsid w:val="00192897"/>
    <w:rsid w:val="00192B0B"/>
    <w:rsid w:val="00192EAE"/>
    <w:rsid w:val="00192F97"/>
    <w:rsid w:val="00193024"/>
    <w:rsid w:val="00193506"/>
    <w:rsid w:val="001936DA"/>
    <w:rsid w:val="001937BB"/>
    <w:rsid w:val="001938F8"/>
    <w:rsid w:val="00193F37"/>
    <w:rsid w:val="00194EDE"/>
    <w:rsid w:val="001951F7"/>
    <w:rsid w:val="00195D92"/>
    <w:rsid w:val="00196348"/>
    <w:rsid w:val="001967B8"/>
    <w:rsid w:val="00196AA8"/>
    <w:rsid w:val="00196F67"/>
    <w:rsid w:val="00197283"/>
    <w:rsid w:val="0019747D"/>
    <w:rsid w:val="0019781D"/>
    <w:rsid w:val="00197E27"/>
    <w:rsid w:val="00197F7F"/>
    <w:rsid w:val="001A0075"/>
    <w:rsid w:val="001A01FA"/>
    <w:rsid w:val="001A0549"/>
    <w:rsid w:val="001A0E08"/>
    <w:rsid w:val="001A10D5"/>
    <w:rsid w:val="001A128A"/>
    <w:rsid w:val="001A1B51"/>
    <w:rsid w:val="001A1C70"/>
    <w:rsid w:val="001A2075"/>
    <w:rsid w:val="001A2077"/>
    <w:rsid w:val="001A2772"/>
    <w:rsid w:val="001A2821"/>
    <w:rsid w:val="001A2F4C"/>
    <w:rsid w:val="001A3164"/>
    <w:rsid w:val="001A3587"/>
    <w:rsid w:val="001A363F"/>
    <w:rsid w:val="001A3AF7"/>
    <w:rsid w:val="001A3B71"/>
    <w:rsid w:val="001A3D86"/>
    <w:rsid w:val="001A4AE7"/>
    <w:rsid w:val="001A4AEB"/>
    <w:rsid w:val="001A4DA5"/>
    <w:rsid w:val="001A5017"/>
    <w:rsid w:val="001A5461"/>
    <w:rsid w:val="001A56B3"/>
    <w:rsid w:val="001A589D"/>
    <w:rsid w:val="001A58F3"/>
    <w:rsid w:val="001A70F6"/>
    <w:rsid w:val="001A71AB"/>
    <w:rsid w:val="001A74EB"/>
    <w:rsid w:val="001A7629"/>
    <w:rsid w:val="001A7644"/>
    <w:rsid w:val="001A7B43"/>
    <w:rsid w:val="001B0192"/>
    <w:rsid w:val="001B0195"/>
    <w:rsid w:val="001B05C2"/>
    <w:rsid w:val="001B0723"/>
    <w:rsid w:val="001B0A03"/>
    <w:rsid w:val="001B0A88"/>
    <w:rsid w:val="001B0A97"/>
    <w:rsid w:val="001B0C8D"/>
    <w:rsid w:val="001B0EBB"/>
    <w:rsid w:val="001B0EFC"/>
    <w:rsid w:val="001B1134"/>
    <w:rsid w:val="001B1416"/>
    <w:rsid w:val="001B1EC2"/>
    <w:rsid w:val="001B21CA"/>
    <w:rsid w:val="001B237E"/>
    <w:rsid w:val="001B2726"/>
    <w:rsid w:val="001B3443"/>
    <w:rsid w:val="001B36A2"/>
    <w:rsid w:val="001B3954"/>
    <w:rsid w:val="001B3C14"/>
    <w:rsid w:val="001B44C3"/>
    <w:rsid w:val="001B4762"/>
    <w:rsid w:val="001B5B16"/>
    <w:rsid w:val="001B6198"/>
    <w:rsid w:val="001B6798"/>
    <w:rsid w:val="001B6A1A"/>
    <w:rsid w:val="001B6A4D"/>
    <w:rsid w:val="001B7A86"/>
    <w:rsid w:val="001B7BDB"/>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CAA"/>
    <w:rsid w:val="001C4F41"/>
    <w:rsid w:val="001C5234"/>
    <w:rsid w:val="001C5B1B"/>
    <w:rsid w:val="001C5E1D"/>
    <w:rsid w:val="001C5E2F"/>
    <w:rsid w:val="001C610D"/>
    <w:rsid w:val="001C67B6"/>
    <w:rsid w:val="001C6EAA"/>
    <w:rsid w:val="001C7120"/>
    <w:rsid w:val="001C7558"/>
    <w:rsid w:val="001C79A8"/>
    <w:rsid w:val="001C7C6C"/>
    <w:rsid w:val="001C7EB1"/>
    <w:rsid w:val="001D024B"/>
    <w:rsid w:val="001D02B5"/>
    <w:rsid w:val="001D09E7"/>
    <w:rsid w:val="001D0D1A"/>
    <w:rsid w:val="001D0F3F"/>
    <w:rsid w:val="001D1098"/>
    <w:rsid w:val="001D12DD"/>
    <w:rsid w:val="001D146C"/>
    <w:rsid w:val="001D226A"/>
    <w:rsid w:val="001D28B2"/>
    <w:rsid w:val="001D2AF1"/>
    <w:rsid w:val="001D3370"/>
    <w:rsid w:val="001D4552"/>
    <w:rsid w:val="001D4C7C"/>
    <w:rsid w:val="001D507E"/>
    <w:rsid w:val="001D5145"/>
    <w:rsid w:val="001D5407"/>
    <w:rsid w:val="001D5442"/>
    <w:rsid w:val="001D5B7D"/>
    <w:rsid w:val="001D5CFE"/>
    <w:rsid w:val="001D5E0A"/>
    <w:rsid w:val="001D61CF"/>
    <w:rsid w:val="001D62C2"/>
    <w:rsid w:val="001D658B"/>
    <w:rsid w:val="001D679C"/>
    <w:rsid w:val="001D6B04"/>
    <w:rsid w:val="001D6D2F"/>
    <w:rsid w:val="001D6ED2"/>
    <w:rsid w:val="001D7199"/>
    <w:rsid w:val="001D7273"/>
    <w:rsid w:val="001D73E5"/>
    <w:rsid w:val="001D79C0"/>
    <w:rsid w:val="001D7C3C"/>
    <w:rsid w:val="001D7C4E"/>
    <w:rsid w:val="001D7F48"/>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4C0"/>
    <w:rsid w:val="001E37CB"/>
    <w:rsid w:val="001E3BDA"/>
    <w:rsid w:val="001E3D05"/>
    <w:rsid w:val="001E3E01"/>
    <w:rsid w:val="001E3E7E"/>
    <w:rsid w:val="001E469E"/>
    <w:rsid w:val="001E4930"/>
    <w:rsid w:val="001E4C82"/>
    <w:rsid w:val="001E59A7"/>
    <w:rsid w:val="001E5CB4"/>
    <w:rsid w:val="001E66BA"/>
    <w:rsid w:val="001E68C9"/>
    <w:rsid w:val="001E6FA8"/>
    <w:rsid w:val="001E74FA"/>
    <w:rsid w:val="001E7854"/>
    <w:rsid w:val="001E7BD7"/>
    <w:rsid w:val="001E7DBA"/>
    <w:rsid w:val="001F012F"/>
    <w:rsid w:val="001F0226"/>
    <w:rsid w:val="001F04F5"/>
    <w:rsid w:val="001F051E"/>
    <w:rsid w:val="001F07D9"/>
    <w:rsid w:val="001F0EEE"/>
    <w:rsid w:val="001F0F85"/>
    <w:rsid w:val="001F1135"/>
    <w:rsid w:val="001F11CE"/>
    <w:rsid w:val="001F134F"/>
    <w:rsid w:val="001F1810"/>
    <w:rsid w:val="001F1895"/>
    <w:rsid w:val="001F1A9D"/>
    <w:rsid w:val="001F1D0A"/>
    <w:rsid w:val="001F2136"/>
    <w:rsid w:val="001F220E"/>
    <w:rsid w:val="001F24D8"/>
    <w:rsid w:val="001F27E6"/>
    <w:rsid w:val="001F297A"/>
    <w:rsid w:val="001F3463"/>
    <w:rsid w:val="001F37DF"/>
    <w:rsid w:val="001F3C65"/>
    <w:rsid w:val="001F3F05"/>
    <w:rsid w:val="001F4501"/>
    <w:rsid w:val="001F45A9"/>
    <w:rsid w:val="001F467B"/>
    <w:rsid w:val="001F4EFF"/>
    <w:rsid w:val="001F50C1"/>
    <w:rsid w:val="001F5A83"/>
    <w:rsid w:val="001F5AB3"/>
    <w:rsid w:val="001F6F85"/>
    <w:rsid w:val="001F7873"/>
    <w:rsid w:val="001F79E4"/>
    <w:rsid w:val="001F7BFF"/>
    <w:rsid w:val="001F7DC6"/>
    <w:rsid w:val="002000B9"/>
    <w:rsid w:val="002006BF"/>
    <w:rsid w:val="002009CD"/>
    <w:rsid w:val="00200B4F"/>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B5E"/>
    <w:rsid w:val="00204BEE"/>
    <w:rsid w:val="00204F38"/>
    <w:rsid w:val="002053C8"/>
    <w:rsid w:val="00205557"/>
    <w:rsid w:val="0020555B"/>
    <w:rsid w:val="00205BC3"/>
    <w:rsid w:val="00205C0F"/>
    <w:rsid w:val="00205C46"/>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2B7"/>
    <w:rsid w:val="00211460"/>
    <w:rsid w:val="0021149B"/>
    <w:rsid w:val="00211A73"/>
    <w:rsid w:val="00211B7F"/>
    <w:rsid w:val="00211FE6"/>
    <w:rsid w:val="00211FE7"/>
    <w:rsid w:val="00212805"/>
    <w:rsid w:val="002129AE"/>
    <w:rsid w:val="00212AF8"/>
    <w:rsid w:val="00212BB5"/>
    <w:rsid w:val="002132C5"/>
    <w:rsid w:val="00213592"/>
    <w:rsid w:val="002147B7"/>
    <w:rsid w:val="00214992"/>
    <w:rsid w:val="00214AF6"/>
    <w:rsid w:val="00215070"/>
    <w:rsid w:val="00215607"/>
    <w:rsid w:val="0021565E"/>
    <w:rsid w:val="00215767"/>
    <w:rsid w:val="0021595F"/>
    <w:rsid w:val="00215A2B"/>
    <w:rsid w:val="00215AD9"/>
    <w:rsid w:val="00215CDD"/>
    <w:rsid w:val="002161AE"/>
    <w:rsid w:val="00216340"/>
    <w:rsid w:val="00216901"/>
    <w:rsid w:val="00216BCA"/>
    <w:rsid w:val="00216D21"/>
    <w:rsid w:val="00216DD6"/>
    <w:rsid w:val="002173D9"/>
    <w:rsid w:val="002175F5"/>
    <w:rsid w:val="0021772A"/>
    <w:rsid w:val="002177D5"/>
    <w:rsid w:val="00217D4C"/>
    <w:rsid w:val="00220C72"/>
    <w:rsid w:val="00221664"/>
    <w:rsid w:val="002219B9"/>
    <w:rsid w:val="00221CE1"/>
    <w:rsid w:val="00221FB5"/>
    <w:rsid w:val="0022219C"/>
    <w:rsid w:val="002227B6"/>
    <w:rsid w:val="002229DB"/>
    <w:rsid w:val="00222B50"/>
    <w:rsid w:val="00222B98"/>
    <w:rsid w:val="00222D37"/>
    <w:rsid w:val="00222E2F"/>
    <w:rsid w:val="00222F31"/>
    <w:rsid w:val="0022331C"/>
    <w:rsid w:val="0022409E"/>
    <w:rsid w:val="00224135"/>
    <w:rsid w:val="00224415"/>
    <w:rsid w:val="00224694"/>
    <w:rsid w:val="00224AC8"/>
    <w:rsid w:val="00224CA2"/>
    <w:rsid w:val="00225887"/>
    <w:rsid w:val="00225BEE"/>
    <w:rsid w:val="00225D74"/>
    <w:rsid w:val="00225E41"/>
    <w:rsid w:val="00225E43"/>
    <w:rsid w:val="00225EC3"/>
    <w:rsid w:val="002261B4"/>
    <w:rsid w:val="002262DB"/>
    <w:rsid w:val="002266F4"/>
    <w:rsid w:val="002269B5"/>
    <w:rsid w:val="00226CA6"/>
    <w:rsid w:val="0022729C"/>
    <w:rsid w:val="00227512"/>
    <w:rsid w:val="00230474"/>
    <w:rsid w:val="00230619"/>
    <w:rsid w:val="00230B58"/>
    <w:rsid w:val="00230E37"/>
    <w:rsid w:val="002311B5"/>
    <w:rsid w:val="0023138C"/>
    <w:rsid w:val="0023150C"/>
    <w:rsid w:val="0023172C"/>
    <w:rsid w:val="00231DC6"/>
    <w:rsid w:val="0023252E"/>
    <w:rsid w:val="00232891"/>
    <w:rsid w:val="00232FC9"/>
    <w:rsid w:val="00233567"/>
    <w:rsid w:val="00233CC6"/>
    <w:rsid w:val="00234132"/>
    <w:rsid w:val="002345FA"/>
    <w:rsid w:val="0023491D"/>
    <w:rsid w:val="0023522D"/>
    <w:rsid w:val="002355B4"/>
    <w:rsid w:val="002355DC"/>
    <w:rsid w:val="0023570F"/>
    <w:rsid w:val="00235840"/>
    <w:rsid w:val="00235892"/>
    <w:rsid w:val="002358E5"/>
    <w:rsid w:val="00235BBB"/>
    <w:rsid w:val="00235DD0"/>
    <w:rsid w:val="00235FB7"/>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79A"/>
    <w:rsid w:val="002428F9"/>
    <w:rsid w:val="002429D9"/>
    <w:rsid w:val="0024332A"/>
    <w:rsid w:val="0024384B"/>
    <w:rsid w:val="00243A06"/>
    <w:rsid w:val="00243BE2"/>
    <w:rsid w:val="00244CFB"/>
    <w:rsid w:val="00245357"/>
    <w:rsid w:val="002454FD"/>
    <w:rsid w:val="00245BDE"/>
    <w:rsid w:val="00245CA0"/>
    <w:rsid w:val="00245E0A"/>
    <w:rsid w:val="00246E54"/>
    <w:rsid w:val="00247202"/>
    <w:rsid w:val="0024720B"/>
    <w:rsid w:val="00247448"/>
    <w:rsid w:val="002477A3"/>
    <w:rsid w:val="002478C9"/>
    <w:rsid w:val="00247E81"/>
    <w:rsid w:val="002506A4"/>
    <w:rsid w:val="00250831"/>
    <w:rsid w:val="002508D0"/>
    <w:rsid w:val="0025096F"/>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829"/>
    <w:rsid w:val="00254BE8"/>
    <w:rsid w:val="0025528E"/>
    <w:rsid w:val="002552B6"/>
    <w:rsid w:val="00255AD3"/>
    <w:rsid w:val="00255E89"/>
    <w:rsid w:val="00256482"/>
    <w:rsid w:val="00256894"/>
    <w:rsid w:val="00256D33"/>
    <w:rsid w:val="00256FEA"/>
    <w:rsid w:val="0025740C"/>
    <w:rsid w:val="002575B0"/>
    <w:rsid w:val="00257CB6"/>
    <w:rsid w:val="00257E03"/>
    <w:rsid w:val="00257F4A"/>
    <w:rsid w:val="00257F6B"/>
    <w:rsid w:val="00260065"/>
    <w:rsid w:val="0026010C"/>
    <w:rsid w:val="00260305"/>
    <w:rsid w:val="002613E9"/>
    <w:rsid w:val="0026140A"/>
    <w:rsid w:val="002615E5"/>
    <w:rsid w:val="002618F7"/>
    <w:rsid w:val="00262127"/>
    <w:rsid w:val="0026244C"/>
    <w:rsid w:val="00262D39"/>
    <w:rsid w:val="002633FB"/>
    <w:rsid w:val="002638B7"/>
    <w:rsid w:val="0026435E"/>
    <w:rsid w:val="00264364"/>
    <w:rsid w:val="0026451B"/>
    <w:rsid w:val="002647E1"/>
    <w:rsid w:val="00264A6B"/>
    <w:rsid w:val="00264B1F"/>
    <w:rsid w:val="00264F9E"/>
    <w:rsid w:val="00265446"/>
    <w:rsid w:val="0026586A"/>
    <w:rsid w:val="00265C5D"/>
    <w:rsid w:val="00265D75"/>
    <w:rsid w:val="00265DC7"/>
    <w:rsid w:val="00266013"/>
    <w:rsid w:val="00266262"/>
    <w:rsid w:val="00266498"/>
    <w:rsid w:val="00266516"/>
    <w:rsid w:val="00266547"/>
    <w:rsid w:val="0026678E"/>
    <w:rsid w:val="00266968"/>
    <w:rsid w:val="0026706A"/>
    <w:rsid w:val="00267CC1"/>
    <w:rsid w:val="00267E18"/>
    <w:rsid w:val="002700A1"/>
    <w:rsid w:val="0027084B"/>
    <w:rsid w:val="00270866"/>
    <w:rsid w:val="00270DA4"/>
    <w:rsid w:val="00270E8B"/>
    <w:rsid w:val="00270E97"/>
    <w:rsid w:val="00270F66"/>
    <w:rsid w:val="00271D70"/>
    <w:rsid w:val="00272695"/>
    <w:rsid w:val="00272F19"/>
    <w:rsid w:val="0027331F"/>
    <w:rsid w:val="002734F4"/>
    <w:rsid w:val="00273B42"/>
    <w:rsid w:val="002741EF"/>
    <w:rsid w:val="0027474C"/>
    <w:rsid w:val="00274876"/>
    <w:rsid w:val="00274A25"/>
    <w:rsid w:val="00275064"/>
    <w:rsid w:val="00275080"/>
    <w:rsid w:val="002755AF"/>
    <w:rsid w:val="002756D6"/>
    <w:rsid w:val="00275879"/>
    <w:rsid w:val="0027611C"/>
    <w:rsid w:val="002763B8"/>
    <w:rsid w:val="00276A36"/>
    <w:rsid w:val="00277043"/>
    <w:rsid w:val="00277052"/>
    <w:rsid w:val="00277BC0"/>
    <w:rsid w:val="002803FE"/>
    <w:rsid w:val="00280C32"/>
    <w:rsid w:val="0028172C"/>
    <w:rsid w:val="00281812"/>
    <w:rsid w:val="002819E3"/>
    <w:rsid w:val="00281A36"/>
    <w:rsid w:val="00282603"/>
    <w:rsid w:val="00283024"/>
    <w:rsid w:val="00283359"/>
    <w:rsid w:val="0028345C"/>
    <w:rsid w:val="002834EE"/>
    <w:rsid w:val="00283528"/>
    <w:rsid w:val="0028390C"/>
    <w:rsid w:val="00283A50"/>
    <w:rsid w:val="00283BC6"/>
    <w:rsid w:val="00283CD8"/>
    <w:rsid w:val="002843C6"/>
    <w:rsid w:val="002843DC"/>
    <w:rsid w:val="00284420"/>
    <w:rsid w:val="00284E84"/>
    <w:rsid w:val="002854D8"/>
    <w:rsid w:val="0028551A"/>
    <w:rsid w:val="00285E03"/>
    <w:rsid w:val="00285F0C"/>
    <w:rsid w:val="0028609C"/>
    <w:rsid w:val="002863D9"/>
    <w:rsid w:val="002866B6"/>
    <w:rsid w:val="002866D5"/>
    <w:rsid w:val="00286922"/>
    <w:rsid w:val="00286DBC"/>
    <w:rsid w:val="00286E7E"/>
    <w:rsid w:val="002874DC"/>
    <w:rsid w:val="00287FA4"/>
    <w:rsid w:val="002904DE"/>
    <w:rsid w:val="00290D04"/>
    <w:rsid w:val="0029112E"/>
    <w:rsid w:val="002915E3"/>
    <w:rsid w:val="00291754"/>
    <w:rsid w:val="00291A31"/>
    <w:rsid w:val="00291BF6"/>
    <w:rsid w:val="00291BF9"/>
    <w:rsid w:val="002926F0"/>
    <w:rsid w:val="00292B84"/>
    <w:rsid w:val="00292C7A"/>
    <w:rsid w:val="00292DE2"/>
    <w:rsid w:val="0029368F"/>
    <w:rsid w:val="00293AD6"/>
    <w:rsid w:val="00293C64"/>
    <w:rsid w:val="0029405A"/>
    <w:rsid w:val="002940CF"/>
    <w:rsid w:val="002945B4"/>
    <w:rsid w:val="002945D0"/>
    <w:rsid w:val="00294895"/>
    <w:rsid w:val="00294B2F"/>
    <w:rsid w:val="00294E5A"/>
    <w:rsid w:val="00294E8E"/>
    <w:rsid w:val="0029515A"/>
    <w:rsid w:val="00295167"/>
    <w:rsid w:val="00295346"/>
    <w:rsid w:val="002956B7"/>
    <w:rsid w:val="0029573E"/>
    <w:rsid w:val="00295954"/>
    <w:rsid w:val="00295AF0"/>
    <w:rsid w:val="00296439"/>
    <w:rsid w:val="00296615"/>
    <w:rsid w:val="00296636"/>
    <w:rsid w:val="00296C96"/>
    <w:rsid w:val="00296DB5"/>
    <w:rsid w:val="00296DE2"/>
    <w:rsid w:val="00297011"/>
    <w:rsid w:val="00297507"/>
    <w:rsid w:val="00297B85"/>
    <w:rsid w:val="00297CD3"/>
    <w:rsid w:val="002A01FE"/>
    <w:rsid w:val="002A0260"/>
    <w:rsid w:val="002A0471"/>
    <w:rsid w:val="002A0BF1"/>
    <w:rsid w:val="002A11A5"/>
    <w:rsid w:val="002A123A"/>
    <w:rsid w:val="002A1285"/>
    <w:rsid w:val="002A1546"/>
    <w:rsid w:val="002A1756"/>
    <w:rsid w:val="002A19A2"/>
    <w:rsid w:val="002A1A39"/>
    <w:rsid w:val="002A22C2"/>
    <w:rsid w:val="002A27AF"/>
    <w:rsid w:val="002A293E"/>
    <w:rsid w:val="002A2D68"/>
    <w:rsid w:val="002A3425"/>
    <w:rsid w:val="002A379A"/>
    <w:rsid w:val="002A3863"/>
    <w:rsid w:val="002A389E"/>
    <w:rsid w:val="002A3B21"/>
    <w:rsid w:val="002A3FDE"/>
    <w:rsid w:val="002A453B"/>
    <w:rsid w:val="002A45E7"/>
    <w:rsid w:val="002A4A98"/>
    <w:rsid w:val="002A53CD"/>
    <w:rsid w:val="002A5707"/>
    <w:rsid w:val="002A5C33"/>
    <w:rsid w:val="002A5C75"/>
    <w:rsid w:val="002A5D3A"/>
    <w:rsid w:val="002A5E16"/>
    <w:rsid w:val="002A603E"/>
    <w:rsid w:val="002A614A"/>
    <w:rsid w:val="002A62B0"/>
    <w:rsid w:val="002A6734"/>
    <w:rsid w:val="002A6FD2"/>
    <w:rsid w:val="002A7419"/>
    <w:rsid w:val="002A7A58"/>
    <w:rsid w:val="002A7BA5"/>
    <w:rsid w:val="002A7E86"/>
    <w:rsid w:val="002B03B0"/>
    <w:rsid w:val="002B0BC7"/>
    <w:rsid w:val="002B108E"/>
    <w:rsid w:val="002B10FF"/>
    <w:rsid w:val="002B11A3"/>
    <w:rsid w:val="002B137D"/>
    <w:rsid w:val="002B1D8A"/>
    <w:rsid w:val="002B1F64"/>
    <w:rsid w:val="002B26FB"/>
    <w:rsid w:val="002B2866"/>
    <w:rsid w:val="002B2D5B"/>
    <w:rsid w:val="002B2D9F"/>
    <w:rsid w:val="002B2E9C"/>
    <w:rsid w:val="002B37F6"/>
    <w:rsid w:val="002B4260"/>
    <w:rsid w:val="002B42C5"/>
    <w:rsid w:val="002B462B"/>
    <w:rsid w:val="002B47DE"/>
    <w:rsid w:val="002B51FB"/>
    <w:rsid w:val="002B5320"/>
    <w:rsid w:val="002B553A"/>
    <w:rsid w:val="002B59CE"/>
    <w:rsid w:val="002B6083"/>
    <w:rsid w:val="002B6204"/>
    <w:rsid w:val="002B65D4"/>
    <w:rsid w:val="002B77D4"/>
    <w:rsid w:val="002B78FC"/>
    <w:rsid w:val="002B7C6B"/>
    <w:rsid w:val="002B7CA3"/>
    <w:rsid w:val="002B7CFB"/>
    <w:rsid w:val="002C035B"/>
    <w:rsid w:val="002C074F"/>
    <w:rsid w:val="002C0E46"/>
    <w:rsid w:val="002C1086"/>
    <w:rsid w:val="002C15B9"/>
    <w:rsid w:val="002C1DBA"/>
    <w:rsid w:val="002C2156"/>
    <w:rsid w:val="002C23A8"/>
    <w:rsid w:val="002C253E"/>
    <w:rsid w:val="002C27D1"/>
    <w:rsid w:val="002C289D"/>
    <w:rsid w:val="002C2948"/>
    <w:rsid w:val="002C2A74"/>
    <w:rsid w:val="002C2D50"/>
    <w:rsid w:val="002C2E96"/>
    <w:rsid w:val="002C3AA9"/>
    <w:rsid w:val="002C3B7F"/>
    <w:rsid w:val="002C3CAE"/>
    <w:rsid w:val="002C3DD0"/>
    <w:rsid w:val="002C3DE9"/>
    <w:rsid w:val="002C3FEF"/>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3D9F"/>
    <w:rsid w:val="002D464D"/>
    <w:rsid w:val="002D4D47"/>
    <w:rsid w:val="002D53A4"/>
    <w:rsid w:val="002D5E04"/>
    <w:rsid w:val="002D60CE"/>
    <w:rsid w:val="002D62B2"/>
    <w:rsid w:val="002D63AE"/>
    <w:rsid w:val="002D6829"/>
    <w:rsid w:val="002D6FCA"/>
    <w:rsid w:val="002D72E1"/>
    <w:rsid w:val="002D74C5"/>
    <w:rsid w:val="002D75AB"/>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B62"/>
    <w:rsid w:val="002E5CDA"/>
    <w:rsid w:val="002E5FB0"/>
    <w:rsid w:val="002E5FDC"/>
    <w:rsid w:val="002E6D31"/>
    <w:rsid w:val="002E6DD3"/>
    <w:rsid w:val="002E727F"/>
    <w:rsid w:val="002E79EB"/>
    <w:rsid w:val="002E7B7D"/>
    <w:rsid w:val="002E7F34"/>
    <w:rsid w:val="002F03A4"/>
    <w:rsid w:val="002F0417"/>
    <w:rsid w:val="002F08F3"/>
    <w:rsid w:val="002F0CCD"/>
    <w:rsid w:val="002F17BA"/>
    <w:rsid w:val="002F1EFD"/>
    <w:rsid w:val="002F24B5"/>
    <w:rsid w:val="002F2937"/>
    <w:rsid w:val="002F2E4F"/>
    <w:rsid w:val="002F300D"/>
    <w:rsid w:val="002F34B6"/>
    <w:rsid w:val="002F3BB5"/>
    <w:rsid w:val="002F3C11"/>
    <w:rsid w:val="002F3EC6"/>
    <w:rsid w:val="002F3FEC"/>
    <w:rsid w:val="002F4265"/>
    <w:rsid w:val="002F474E"/>
    <w:rsid w:val="002F4E44"/>
    <w:rsid w:val="002F506D"/>
    <w:rsid w:val="002F5343"/>
    <w:rsid w:val="002F5367"/>
    <w:rsid w:val="002F5662"/>
    <w:rsid w:val="002F5667"/>
    <w:rsid w:val="002F5A7A"/>
    <w:rsid w:val="002F5AAF"/>
    <w:rsid w:val="002F5AF1"/>
    <w:rsid w:val="002F5F27"/>
    <w:rsid w:val="002F6F7E"/>
    <w:rsid w:val="002F71A0"/>
    <w:rsid w:val="002F74B2"/>
    <w:rsid w:val="00300067"/>
    <w:rsid w:val="003008E8"/>
    <w:rsid w:val="003010F7"/>
    <w:rsid w:val="0030111F"/>
    <w:rsid w:val="0030140E"/>
    <w:rsid w:val="00301524"/>
    <w:rsid w:val="00301CAE"/>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62C7"/>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C63"/>
    <w:rsid w:val="003126DB"/>
    <w:rsid w:val="0031317F"/>
    <w:rsid w:val="003136F2"/>
    <w:rsid w:val="003138CB"/>
    <w:rsid w:val="00314122"/>
    <w:rsid w:val="0031469E"/>
    <w:rsid w:val="003148FD"/>
    <w:rsid w:val="0031494E"/>
    <w:rsid w:val="00314C32"/>
    <w:rsid w:val="00314F51"/>
    <w:rsid w:val="00314F69"/>
    <w:rsid w:val="0031522A"/>
    <w:rsid w:val="0031595E"/>
    <w:rsid w:val="003159C3"/>
    <w:rsid w:val="00315EE0"/>
    <w:rsid w:val="003163FD"/>
    <w:rsid w:val="003165AB"/>
    <w:rsid w:val="00316C2C"/>
    <w:rsid w:val="00316D32"/>
    <w:rsid w:val="003174CF"/>
    <w:rsid w:val="00317627"/>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1C36"/>
    <w:rsid w:val="00322443"/>
    <w:rsid w:val="00322482"/>
    <w:rsid w:val="00322683"/>
    <w:rsid w:val="00322CAA"/>
    <w:rsid w:val="0032320C"/>
    <w:rsid w:val="00323267"/>
    <w:rsid w:val="003237FE"/>
    <w:rsid w:val="003239DF"/>
    <w:rsid w:val="00323A4E"/>
    <w:rsid w:val="00323AE8"/>
    <w:rsid w:val="00323B09"/>
    <w:rsid w:val="00323CCF"/>
    <w:rsid w:val="003242C8"/>
    <w:rsid w:val="00324415"/>
    <w:rsid w:val="003246CB"/>
    <w:rsid w:val="00324818"/>
    <w:rsid w:val="00324B7A"/>
    <w:rsid w:val="0032559C"/>
    <w:rsid w:val="003256BA"/>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814"/>
    <w:rsid w:val="00332979"/>
    <w:rsid w:val="00332A99"/>
    <w:rsid w:val="00332C4D"/>
    <w:rsid w:val="00332DC7"/>
    <w:rsid w:val="00332F12"/>
    <w:rsid w:val="003335F3"/>
    <w:rsid w:val="003339D7"/>
    <w:rsid w:val="00333B6A"/>
    <w:rsid w:val="0033414D"/>
    <w:rsid w:val="00334304"/>
    <w:rsid w:val="00334A38"/>
    <w:rsid w:val="00334DB3"/>
    <w:rsid w:val="00334FFC"/>
    <w:rsid w:val="00335030"/>
    <w:rsid w:val="003351B9"/>
    <w:rsid w:val="0033523F"/>
    <w:rsid w:val="00335BB5"/>
    <w:rsid w:val="003362F6"/>
    <w:rsid w:val="003367CA"/>
    <w:rsid w:val="00336908"/>
    <w:rsid w:val="00336BD9"/>
    <w:rsid w:val="00336FF5"/>
    <w:rsid w:val="0033730C"/>
    <w:rsid w:val="003373DB"/>
    <w:rsid w:val="00340883"/>
    <w:rsid w:val="00340E57"/>
    <w:rsid w:val="0034114A"/>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442E"/>
    <w:rsid w:val="003444D2"/>
    <w:rsid w:val="00344975"/>
    <w:rsid w:val="00344A70"/>
    <w:rsid w:val="00344ECE"/>
    <w:rsid w:val="00344FA4"/>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2B"/>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6C2"/>
    <w:rsid w:val="003549AB"/>
    <w:rsid w:val="00354AC7"/>
    <w:rsid w:val="00354D7A"/>
    <w:rsid w:val="003550B9"/>
    <w:rsid w:val="0035539D"/>
    <w:rsid w:val="00355A65"/>
    <w:rsid w:val="00355E4D"/>
    <w:rsid w:val="003561DD"/>
    <w:rsid w:val="003562BD"/>
    <w:rsid w:val="00356F34"/>
    <w:rsid w:val="003579A4"/>
    <w:rsid w:val="00357B1D"/>
    <w:rsid w:val="00357F09"/>
    <w:rsid w:val="0036052D"/>
    <w:rsid w:val="00360B7A"/>
    <w:rsid w:val="003610ED"/>
    <w:rsid w:val="0036113B"/>
    <w:rsid w:val="0036120F"/>
    <w:rsid w:val="00361445"/>
    <w:rsid w:val="00361580"/>
    <w:rsid w:val="0036159E"/>
    <w:rsid w:val="0036177A"/>
    <w:rsid w:val="00361E69"/>
    <w:rsid w:val="00361E6C"/>
    <w:rsid w:val="00361E85"/>
    <w:rsid w:val="00362003"/>
    <w:rsid w:val="003623EE"/>
    <w:rsid w:val="003624E7"/>
    <w:rsid w:val="00362544"/>
    <w:rsid w:val="003627A4"/>
    <w:rsid w:val="003628A6"/>
    <w:rsid w:val="00362D8A"/>
    <w:rsid w:val="00362E1F"/>
    <w:rsid w:val="003640A1"/>
    <w:rsid w:val="003641C1"/>
    <w:rsid w:val="00364309"/>
    <w:rsid w:val="003646AA"/>
    <w:rsid w:val="00364BB7"/>
    <w:rsid w:val="00365939"/>
    <w:rsid w:val="00366971"/>
    <w:rsid w:val="00366D0C"/>
    <w:rsid w:val="0036725A"/>
    <w:rsid w:val="003672D4"/>
    <w:rsid w:val="00367387"/>
    <w:rsid w:val="003675EC"/>
    <w:rsid w:val="003678F9"/>
    <w:rsid w:val="00367983"/>
    <w:rsid w:val="00367A0A"/>
    <w:rsid w:val="00367A41"/>
    <w:rsid w:val="00370AFF"/>
    <w:rsid w:val="00370DEF"/>
    <w:rsid w:val="00370E74"/>
    <w:rsid w:val="00370EFD"/>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CAF"/>
    <w:rsid w:val="00373D16"/>
    <w:rsid w:val="003743A3"/>
    <w:rsid w:val="003744BA"/>
    <w:rsid w:val="003744D6"/>
    <w:rsid w:val="00374681"/>
    <w:rsid w:val="003747E1"/>
    <w:rsid w:val="00374982"/>
    <w:rsid w:val="00374D9F"/>
    <w:rsid w:val="00374E0F"/>
    <w:rsid w:val="00375D0F"/>
    <w:rsid w:val="00375F0E"/>
    <w:rsid w:val="00375F56"/>
    <w:rsid w:val="003767F0"/>
    <w:rsid w:val="00377203"/>
    <w:rsid w:val="00377A8E"/>
    <w:rsid w:val="00377F34"/>
    <w:rsid w:val="003806E2"/>
    <w:rsid w:val="00380A8B"/>
    <w:rsid w:val="00380D5A"/>
    <w:rsid w:val="00381125"/>
    <w:rsid w:val="00381526"/>
    <w:rsid w:val="00381AB6"/>
    <w:rsid w:val="003824FF"/>
    <w:rsid w:val="00382C96"/>
    <w:rsid w:val="00382CC5"/>
    <w:rsid w:val="00383373"/>
    <w:rsid w:val="003836D3"/>
    <w:rsid w:val="003837AF"/>
    <w:rsid w:val="00383823"/>
    <w:rsid w:val="00383CB2"/>
    <w:rsid w:val="00384447"/>
    <w:rsid w:val="003849BF"/>
    <w:rsid w:val="00384A6E"/>
    <w:rsid w:val="00384F07"/>
    <w:rsid w:val="003853A8"/>
    <w:rsid w:val="0038548B"/>
    <w:rsid w:val="00385EAD"/>
    <w:rsid w:val="00385F70"/>
    <w:rsid w:val="00385FAE"/>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B78"/>
    <w:rsid w:val="00391B9B"/>
    <w:rsid w:val="00391D48"/>
    <w:rsid w:val="00391D87"/>
    <w:rsid w:val="003922A8"/>
    <w:rsid w:val="00392426"/>
    <w:rsid w:val="00392464"/>
    <w:rsid w:val="003928ED"/>
    <w:rsid w:val="00392A02"/>
    <w:rsid w:val="00392A4D"/>
    <w:rsid w:val="00392D54"/>
    <w:rsid w:val="00392DC7"/>
    <w:rsid w:val="00393A1C"/>
    <w:rsid w:val="00393B2F"/>
    <w:rsid w:val="00393E6B"/>
    <w:rsid w:val="0039413E"/>
    <w:rsid w:val="0039422A"/>
    <w:rsid w:val="003942C3"/>
    <w:rsid w:val="0039446B"/>
    <w:rsid w:val="00394CC5"/>
    <w:rsid w:val="00394CCB"/>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A0046"/>
    <w:rsid w:val="003A027D"/>
    <w:rsid w:val="003A0ABA"/>
    <w:rsid w:val="003A1050"/>
    <w:rsid w:val="003A1051"/>
    <w:rsid w:val="003A1AEE"/>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26D"/>
    <w:rsid w:val="003A6B42"/>
    <w:rsid w:val="003A6BA8"/>
    <w:rsid w:val="003A6D31"/>
    <w:rsid w:val="003A6D6C"/>
    <w:rsid w:val="003A70D3"/>
    <w:rsid w:val="003A7111"/>
    <w:rsid w:val="003A7289"/>
    <w:rsid w:val="003A75ED"/>
    <w:rsid w:val="003A77E4"/>
    <w:rsid w:val="003A7D22"/>
    <w:rsid w:val="003B00DA"/>
    <w:rsid w:val="003B00FD"/>
    <w:rsid w:val="003B04C3"/>
    <w:rsid w:val="003B04DB"/>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2F10"/>
    <w:rsid w:val="003B3001"/>
    <w:rsid w:val="003B3033"/>
    <w:rsid w:val="003B3753"/>
    <w:rsid w:val="003B3C7F"/>
    <w:rsid w:val="003B4344"/>
    <w:rsid w:val="003B44E3"/>
    <w:rsid w:val="003B483C"/>
    <w:rsid w:val="003B4AD3"/>
    <w:rsid w:val="003B4B2A"/>
    <w:rsid w:val="003B4C9E"/>
    <w:rsid w:val="003B5373"/>
    <w:rsid w:val="003B54BC"/>
    <w:rsid w:val="003B59C4"/>
    <w:rsid w:val="003B5AC1"/>
    <w:rsid w:val="003B6012"/>
    <w:rsid w:val="003B60A7"/>
    <w:rsid w:val="003B63E2"/>
    <w:rsid w:val="003B674A"/>
    <w:rsid w:val="003B6D9F"/>
    <w:rsid w:val="003B7250"/>
    <w:rsid w:val="003B7766"/>
    <w:rsid w:val="003B783C"/>
    <w:rsid w:val="003B797C"/>
    <w:rsid w:val="003B7C92"/>
    <w:rsid w:val="003B7CCD"/>
    <w:rsid w:val="003C019E"/>
    <w:rsid w:val="003C0856"/>
    <w:rsid w:val="003C0974"/>
    <w:rsid w:val="003C0B8A"/>
    <w:rsid w:val="003C0B94"/>
    <w:rsid w:val="003C0BA3"/>
    <w:rsid w:val="003C0BDC"/>
    <w:rsid w:val="003C0FC5"/>
    <w:rsid w:val="003C1380"/>
    <w:rsid w:val="003C175E"/>
    <w:rsid w:val="003C1AF1"/>
    <w:rsid w:val="003C1B6F"/>
    <w:rsid w:val="003C1CEB"/>
    <w:rsid w:val="003C1DD5"/>
    <w:rsid w:val="003C1F67"/>
    <w:rsid w:val="003C2922"/>
    <w:rsid w:val="003C2F8E"/>
    <w:rsid w:val="003C3652"/>
    <w:rsid w:val="003C36FF"/>
    <w:rsid w:val="003C3D3A"/>
    <w:rsid w:val="003C3E2A"/>
    <w:rsid w:val="003C3F93"/>
    <w:rsid w:val="003C410D"/>
    <w:rsid w:val="003C43AD"/>
    <w:rsid w:val="003C502B"/>
    <w:rsid w:val="003C51B9"/>
    <w:rsid w:val="003C5212"/>
    <w:rsid w:val="003C6180"/>
    <w:rsid w:val="003C6291"/>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E0F"/>
    <w:rsid w:val="003D2F8F"/>
    <w:rsid w:val="003D3218"/>
    <w:rsid w:val="003D3661"/>
    <w:rsid w:val="003D36CE"/>
    <w:rsid w:val="003D39AD"/>
    <w:rsid w:val="003D3E15"/>
    <w:rsid w:val="003D44A8"/>
    <w:rsid w:val="003D46E1"/>
    <w:rsid w:val="003D59E7"/>
    <w:rsid w:val="003D5BD8"/>
    <w:rsid w:val="003D5E45"/>
    <w:rsid w:val="003D62FF"/>
    <w:rsid w:val="003D64D2"/>
    <w:rsid w:val="003D6BC1"/>
    <w:rsid w:val="003D6F0F"/>
    <w:rsid w:val="003E019C"/>
    <w:rsid w:val="003E019D"/>
    <w:rsid w:val="003E04EB"/>
    <w:rsid w:val="003E058B"/>
    <w:rsid w:val="003E0814"/>
    <w:rsid w:val="003E0A77"/>
    <w:rsid w:val="003E0CBC"/>
    <w:rsid w:val="003E1403"/>
    <w:rsid w:val="003E21EB"/>
    <w:rsid w:val="003E2226"/>
    <w:rsid w:val="003E28F6"/>
    <w:rsid w:val="003E2A69"/>
    <w:rsid w:val="003E36C5"/>
    <w:rsid w:val="003E39C7"/>
    <w:rsid w:val="003E3BEF"/>
    <w:rsid w:val="003E3ECF"/>
    <w:rsid w:val="003E457E"/>
    <w:rsid w:val="003E4622"/>
    <w:rsid w:val="003E4678"/>
    <w:rsid w:val="003E486B"/>
    <w:rsid w:val="003E4A34"/>
    <w:rsid w:val="003E4EDB"/>
    <w:rsid w:val="003E5174"/>
    <w:rsid w:val="003E532D"/>
    <w:rsid w:val="003E577A"/>
    <w:rsid w:val="003E57E2"/>
    <w:rsid w:val="003E615E"/>
    <w:rsid w:val="003E63E6"/>
    <w:rsid w:val="003E6614"/>
    <w:rsid w:val="003E66C2"/>
    <w:rsid w:val="003E6B4C"/>
    <w:rsid w:val="003E6E58"/>
    <w:rsid w:val="003E731B"/>
    <w:rsid w:val="003E7A10"/>
    <w:rsid w:val="003E7AB4"/>
    <w:rsid w:val="003E7ADD"/>
    <w:rsid w:val="003F003A"/>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164D"/>
    <w:rsid w:val="0040170D"/>
    <w:rsid w:val="00401DCE"/>
    <w:rsid w:val="00401E59"/>
    <w:rsid w:val="004020B3"/>
    <w:rsid w:val="004020CA"/>
    <w:rsid w:val="00402ABB"/>
    <w:rsid w:val="00402D30"/>
    <w:rsid w:val="00402DEC"/>
    <w:rsid w:val="00402EED"/>
    <w:rsid w:val="00403218"/>
    <w:rsid w:val="00403262"/>
    <w:rsid w:val="00403E1A"/>
    <w:rsid w:val="00404475"/>
    <w:rsid w:val="00405171"/>
    <w:rsid w:val="00405245"/>
    <w:rsid w:val="0040597D"/>
    <w:rsid w:val="00405A27"/>
    <w:rsid w:val="00405C69"/>
    <w:rsid w:val="00405CC5"/>
    <w:rsid w:val="00405FDE"/>
    <w:rsid w:val="00406513"/>
    <w:rsid w:val="0040678A"/>
    <w:rsid w:val="00406C1E"/>
    <w:rsid w:val="00406CDF"/>
    <w:rsid w:val="00406ED1"/>
    <w:rsid w:val="004072A8"/>
    <w:rsid w:val="004074E1"/>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4687"/>
    <w:rsid w:val="00414721"/>
    <w:rsid w:val="00414954"/>
    <w:rsid w:val="00414B5D"/>
    <w:rsid w:val="00414B94"/>
    <w:rsid w:val="004155C4"/>
    <w:rsid w:val="00415649"/>
    <w:rsid w:val="00415C47"/>
    <w:rsid w:val="00415D4D"/>
    <w:rsid w:val="00416031"/>
    <w:rsid w:val="00416622"/>
    <w:rsid w:val="00416A11"/>
    <w:rsid w:val="00416DD3"/>
    <w:rsid w:val="00417CDE"/>
    <w:rsid w:val="00417E11"/>
    <w:rsid w:val="00417FDF"/>
    <w:rsid w:val="004200CD"/>
    <w:rsid w:val="0042033B"/>
    <w:rsid w:val="00420391"/>
    <w:rsid w:val="0042071B"/>
    <w:rsid w:val="0042090C"/>
    <w:rsid w:val="004209DB"/>
    <w:rsid w:val="00420A01"/>
    <w:rsid w:val="00420A6E"/>
    <w:rsid w:val="0042175D"/>
    <w:rsid w:val="0042201D"/>
    <w:rsid w:val="00422301"/>
    <w:rsid w:val="00422829"/>
    <w:rsid w:val="00423111"/>
    <w:rsid w:val="00423928"/>
    <w:rsid w:val="00423A1F"/>
    <w:rsid w:val="00423BEF"/>
    <w:rsid w:val="00423F37"/>
    <w:rsid w:val="00424563"/>
    <w:rsid w:val="00424DB2"/>
    <w:rsid w:val="0042558C"/>
    <w:rsid w:val="00425D06"/>
    <w:rsid w:val="0042614A"/>
    <w:rsid w:val="0042615E"/>
    <w:rsid w:val="00426194"/>
    <w:rsid w:val="00426405"/>
    <w:rsid w:val="0042696C"/>
    <w:rsid w:val="00426CB7"/>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55A"/>
    <w:rsid w:val="00432841"/>
    <w:rsid w:val="00432C2A"/>
    <w:rsid w:val="00432DC4"/>
    <w:rsid w:val="00432F51"/>
    <w:rsid w:val="0043303C"/>
    <w:rsid w:val="0043335F"/>
    <w:rsid w:val="0043359F"/>
    <w:rsid w:val="0043395C"/>
    <w:rsid w:val="0043427F"/>
    <w:rsid w:val="004344CC"/>
    <w:rsid w:val="00434940"/>
    <w:rsid w:val="00434BD5"/>
    <w:rsid w:val="00434D6D"/>
    <w:rsid w:val="00434D9D"/>
    <w:rsid w:val="00435379"/>
    <w:rsid w:val="00435645"/>
    <w:rsid w:val="00435810"/>
    <w:rsid w:val="00435919"/>
    <w:rsid w:val="00435A5F"/>
    <w:rsid w:val="00435B98"/>
    <w:rsid w:val="0043636D"/>
    <w:rsid w:val="00436B92"/>
    <w:rsid w:val="00436B99"/>
    <w:rsid w:val="00436C63"/>
    <w:rsid w:val="0043700F"/>
    <w:rsid w:val="00437620"/>
    <w:rsid w:val="004378E1"/>
    <w:rsid w:val="00437C40"/>
    <w:rsid w:val="00437DCC"/>
    <w:rsid w:val="00437F91"/>
    <w:rsid w:val="00440303"/>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3659"/>
    <w:rsid w:val="00443DAE"/>
    <w:rsid w:val="00444173"/>
    <w:rsid w:val="00445169"/>
    <w:rsid w:val="0044555A"/>
    <w:rsid w:val="00445614"/>
    <w:rsid w:val="00445792"/>
    <w:rsid w:val="00445CC7"/>
    <w:rsid w:val="00445D02"/>
    <w:rsid w:val="00446362"/>
    <w:rsid w:val="004465C8"/>
    <w:rsid w:val="0044681B"/>
    <w:rsid w:val="00446CE4"/>
    <w:rsid w:val="00446E2E"/>
    <w:rsid w:val="00446F4C"/>
    <w:rsid w:val="00446F67"/>
    <w:rsid w:val="004477BE"/>
    <w:rsid w:val="00447D17"/>
    <w:rsid w:val="00447D23"/>
    <w:rsid w:val="0045001F"/>
    <w:rsid w:val="004501DF"/>
    <w:rsid w:val="00450311"/>
    <w:rsid w:val="0045077F"/>
    <w:rsid w:val="00450989"/>
    <w:rsid w:val="00451065"/>
    <w:rsid w:val="00451A5E"/>
    <w:rsid w:val="00451B18"/>
    <w:rsid w:val="00451CA2"/>
    <w:rsid w:val="004520E6"/>
    <w:rsid w:val="00452C0A"/>
    <w:rsid w:val="00452C36"/>
    <w:rsid w:val="0045364F"/>
    <w:rsid w:val="00453788"/>
    <w:rsid w:val="004537ED"/>
    <w:rsid w:val="00453B35"/>
    <w:rsid w:val="00453C2D"/>
    <w:rsid w:val="00453D6C"/>
    <w:rsid w:val="00453DAD"/>
    <w:rsid w:val="0045415C"/>
    <w:rsid w:val="00454340"/>
    <w:rsid w:val="00454E04"/>
    <w:rsid w:val="00454FE1"/>
    <w:rsid w:val="004556A9"/>
    <w:rsid w:val="00455780"/>
    <w:rsid w:val="004559B9"/>
    <w:rsid w:val="00455BA5"/>
    <w:rsid w:val="0045623D"/>
    <w:rsid w:val="004567D0"/>
    <w:rsid w:val="00456EEC"/>
    <w:rsid w:val="00457099"/>
    <w:rsid w:val="00457661"/>
    <w:rsid w:val="00457693"/>
    <w:rsid w:val="00457A12"/>
    <w:rsid w:val="00460001"/>
    <w:rsid w:val="00460627"/>
    <w:rsid w:val="00460A32"/>
    <w:rsid w:val="00460C39"/>
    <w:rsid w:val="004610D5"/>
    <w:rsid w:val="00461335"/>
    <w:rsid w:val="00461B06"/>
    <w:rsid w:val="00461BE9"/>
    <w:rsid w:val="00462A04"/>
    <w:rsid w:val="00462BAA"/>
    <w:rsid w:val="00462C69"/>
    <w:rsid w:val="00462CB1"/>
    <w:rsid w:val="0046306D"/>
    <w:rsid w:val="0046311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C41"/>
    <w:rsid w:val="00464F51"/>
    <w:rsid w:val="0046512B"/>
    <w:rsid w:val="0046521E"/>
    <w:rsid w:val="004660CC"/>
    <w:rsid w:val="00466159"/>
    <w:rsid w:val="0046638C"/>
    <w:rsid w:val="00466953"/>
    <w:rsid w:val="00466A0E"/>
    <w:rsid w:val="00466ABC"/>
    <w:rsid w:val="00466D8B"/>
    <w:rsid w:val="0046737D"/>
    <w:rsid w:val="004676E9"/>
    <w:rsid w:val="00467750"/>
    <w:rsid w:val="00467912"/>
    <w:rsid w:val="00467B4C"/>
    <w:rsid w:val="004706C1"/>
    <w:rsid w:val="004708F4"/>
    <w:rsid w:val="00470B37"/>
    <w:rsid w:val="00470CDE"/>
    <w:rsid w:val="00470F32"/>
    <w:rsid w:val="00470F51"/>
    <w:rsid w:val="00471B83"/>
    <w:rsid w:val="00471F44"/>
    <w:rsid w:val="00471F7C"/>
    <w:rsid w:val="00472534"/>
    <w:rsid w:val="0047256D"/>
    <w:rsid w:val="00472706"/>
    <w:rsid w:val="00472743"/>
    <w:rsid w:val="0047283D"/>
    <w:rsid w:val="00472BEA"/>
    <w:rsid w:val="00472C91"/>
    <w:rsid w:val="00472D28"/>
    <w:rsid w:val="004733F9"/>
    <w:rsid w:val="00473E89"/>
    <w:rsid w:val="00473F6A"/>
    <w:rsid w:val="00473FA8"/>
    <w:rsid w:val="004741E2"/>
    <w:rsid w:val="00474634"/>
    <w:rsid w:val="00474686"/>
    <w:rsid w:val="00474780"/>
    <w:rsid w:val="004749E9"/>
    <w:rsid w:val="00474ADC"/>
    <w:rsid w:val="00474CF9"/>
    <w:rsid w:val="00474DAD"/>
    <w:rsid w:val="00475418"/>
    <w:rsid w:val="00475785"/>
    <w:rsid w:val="00475E69"/>
    <w:rsid w:val="00476027"/>
    <w:rsid w:val="0047654A"/>
    <w:rsid w:val="004769C2"/>
    <w:rsid w:val="00476C07"/>
    <w:rsid w:val="00476DB0"/>
    <w:rsid w:val="00477345"/>
    <w:rsid w:val="00477A9F"/>
    <w:rsid w:val="0048050B"/>
    <w:rsid w:val="004805DE"/>
    <w:rsid w:val="004808A8"/>
    <w:rsid w:val="00480EC9"/>
    <w:rsid w:val="00481183"/>
    <w:rsid w:val="004811C2"/>
    <w:rsid w:val="0048125A"/>
    <w:rsid w:val="0048144C"/>
    <w:rsid w:val="004815C0"/>
    <w:rsid w:val="004818F0"/>
    <w:rsid w:val="00481D79"/>
    <w:rsid w:val="00481E80"/>
    <w:rsid w:val="00481FDB"/>
    <w:rsid w:val="00482157"/>
    <w:rsid w:val="0048219D"/>
    <w:rsid w:val="0048239B"/>
    <w:rsid w:val="00482932"/>
    <w:rsid w:val="00482DE8"/>
    <w:rsid w:val="00482E95"/>
    <w:rsid w:val="00483605"/>
    <w:rsid w:val="0048368A"/>
    <w:rsid w:val="004836E7"/>
    <w:rsid w:val="0048386A"/>
    <w:rsid w:val="00483FB5"/>
    <w:rsid w:val="00484142"/>
    <w:rsid w:val="0048416D"/>
    <w:rsid w:val="00484218"/>
    <w:rsid w:val="00484C2C"/>
    <w:rsid w:val="00484E01"/>
    <w:rsid w:val="004859A5"/>
    <w:rsid w:val="004859CE"/>
    <w:rsid w:val="004859DF"/>
    <w:rsid w:val="00485D21"/>
    <w:rsid w:val="00486220"/>
    <w:rsid w:val="004862D3"/>
    <w:rsid w:val="0048635B"/>
    <w:rsid w:val="00486362"/>
    <w:rsid w:val="004867E2"/>
    <w:rsid w:val="00486A7D"/>
    <w:rsid w:val="00486D3C"/>
    <w:rsid w:val="00487394"/>
    <w:rsid w:val="0048761C"/>
    <w:rsid w:val="0048788C"/>
    <w:rsid w:val="00487B06"/>
    <w:rsid w:val="0049098C"/>
    <w:rsid w:val="00490C5B"/>
    <w:rsid w:val="00490F36"/>
    <w:rsid w:val="004911B3"/>
    <w:rsid w:val="00491F70"/>
    <w:rsid w:val="004920C5"/>
    <w:rsid w:val="00492288"/>
    <w:rsid w:val="0049247B"/>
    <w:rsid w:val="004929D1"/>
    <w:rsid w:val="004937CF"/>
    <w:rsid w:val="00493E48"/>
    <w:rsid w:val="004942CA"/>
    <w:rsid w:val="00494B98"/>
    <w:rsid w:val="004951EF"/>
    <w:rsid w:val="0049598A"/>
    <w:rsid w:val="00495FCA"/>
    <w:rsid w:val="004963B8"/>
    <w:rsid w:val="0049667D"/>
    <w:rsid w:val="00496826"/>
    <w:rsid w:val="00496CD3"/>
    <w:rsid w:val="004971FE"/>
    <w:rsid w:val="00497532"/>
    <w:rsid w:val="00497603"/>
    <w:rsid w:val="00497C6A"/>
    <w:rsid w:val="004A07AA"/>
    <w:rsid w:val="004A1520"/>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166"/>
    <w:rsid w:val="004A5562"/>
    <w:rsid w:val="004A5B06"/>
    <w:rsid w:val="004A61DB"/>
    <w:rsid w:val="004A638E"/>
    <w:rsid w:val="004A6E95"/>
    <w:rsid w:val="004A70FE"/>
    <w:rsid w:val="004A7307"/>
    <w:rsid w:val="004A7A8A"/>
    <w:rsid w:val="004A7C79"/>
    <w:rsid w:val="004A7E00"/>
    <w:rsid w:val="004B04A8"/>
    <w:rsid w:val="004B0544"/>
    <w:rsid w:val="004B0928"/>
    <w:rsid w:val="004B0A2F"/>
    <w:rsid w:val="004B2987"/>
    <w:rsid w:val="004B2ACA"/>
    <w:rsid w:val="004B2F46"/>
    <w:rsid w:val="004B3AAE"/>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0E9F"/>
    <w:rsid w:val="004C13B1"/>
    <w:rsid w:val="004C1A18"/>
    <w:rsid w:val="004C2303"/>
    <w:rsid w:val="004C23BA"/>
    <w:rsid w:val="004C27D1"/>
    <w:rsid w:val="004C2904"/>
    <w:rsid w:val="004C29CE"/>
    <w:rsid w:val="004C2DA1"/>
    <w:rsid w:val="004C355F"/>
    <w:rsid w:val="004C38B6"/>
    <w:rsid w:val="004C3AE0"/>
    <w:rsid w:val="004C3CA3"/>
    <w:rsid w:val="004C3DE2"/>
    <w:rsid w:val="004C47C1"/>
    <w:rsid w:val="004C4891"/>
    <w:rsid w:val="004C4951"/>
    <w:rsid w:val="004C4959"/>
    <w:rsid w:val="004C4CAD"/>
    <w:rsid w:val="004C5524"/>
    <w:rsid w:val="004C56F1"/>
    <w:rsid w:val="004C5D07"/>
    <w:rsid w:val="004C5E9C"/>
    <w:rsid w:val="004C5F4F"/>
    <w:rsid w:val="004C6174"/>
    <w:rsid w:val="004C62C5"/>
    <w:rsid w:val="004C64BC"/>
    <w:rsid w:val="004C654B"/>
    <w:rsid w:val="004C67DA"/>
    <w:rsid w:val="004C6985"/>
    <w:rsid w:val="004C6EFB"/>
    <w:rsid w:val="004C70A0"/>
    <w:rsid w:val="004C724D"/>
    <w:rsid w:val="004C7D8A"/>
    <w:rsid w:val="004D0A22"/>
    <w:rsid w:val="004D1547"/>
    <w:rsid w:val="004D160A"/>
    <w:rsid w:val="004D1843"/>
    <w:rsid w:val="004D1B38"/>
    <w:rsid w:val="004D2469"/>
    <w:rsid w:val="004D2602"/>
    <w:rsid w:val="004D2685"/>
    <w:rsid w:val="004D2BB1"/>
    <w:rsid w:val="004D2C42"/>
    <w:rsid w:val="004D3052"/>
    <w:rsid w:val="004D30A6"/>
    <w:rsid w:val="004D3872"/>
    <w:rsid w:val="004D38CB"/>
    <w:rsid w:val="004D39FD"/>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DD4"/>
    <w:rsid w:val="004D6453"/>
    <w:rsid w:val="004D65CA"/>
    <w:rsid w:val="004D66D0"/>
    <w:rsid w:val="004D67AF"/>
    <w:rsid w:val="004D6947"/>
    <w:rsid w:val="004D69BB"/>
    <w:rsid w:val="004D6B77"/>
    <w:rsid w:val="004D6F62"/>
    <w:rsid w:val="004D6FB9"/>
    <w:rsid w:val="004D72E6"/>
    <w:rsid w:val="004D7697"/>
    <w:rsid w:val="004D781D"/>
    <w:rsid w:val="004D7CBA"/>
    <w:rsid w:val="004D7E88"/>
    <w:rsid w:val="004E0161"/>
    <w:rsid w:val="004E047E"/>
    <w:rsid w:val="004E0938"/>
    <w:rsid w:val="004E09FC"/>
    <w:rsid w:val="004E0D09"/>
    <w:rsid w:val="004E0E66"/>
    <w:rsid w:val="004E14A4"/>
    <w:rsid w:val="004E15B9"/>
    <w:rsid w:val="004E15CB"/>
    <w:rsid w:val="004E18AE"/>
    <w:rsid w:val="004E1D66"/>
    <w:rsid w:val="004E1F3F"/>
    <w:rsid w:val="004E1F54"/>
    <w:rsid w:val="004E204E"/>
    <w:rsid w:val="004E21D0"/>
    <w:rsid w:val="004E21F8"/>
    <w:rsid w:val="004E3E37"/>
    <w:rsid w:val="004E4471"/>
    <w:rsid w:val="004E49EA"/>
    <w:rsid w:val="004E506E"/>
    <w:rsid w:val="004E5C08"/>
    <w:rsid w:val="004E610A"/>
    <w:rsid w:val="004E6AF5"/>
    <w:rsid w:val="004E6EB8"/>
    <w:rsid w:val="004E705F"/>
    <w:rsid w:val="004E72CB"/>
    <w:rsid w:val="004E72CC"/>
    <w:rsid w:val="004E734A"/>
    <w:rsid w:val="004E73A4"/>
    <w:rsid w:val="004E7452"/>
    <w:rsid w:val="004E7548"/>
    <w:rsid w:val="004E755D"/>
    <w:rsid w:val="004E7EC3"/>
    <w:rsid w:val="004E7EF8"/>
    <w:rsid w:val="004F01F1"/>
    <w:rsid w:val="004F0267"/>
    <w:rsid w:val="004F05CD"/>
    <w:rsid w:val="004F0CC7"/>
    <w:rsid w:val="004F12D4"/>
    <w:rsid w:val="004F19F5"/>
    <w:rsid w:val="004F2D47"/>
    <w:rsid w:val="004F2DF0"/>
    <w:rsid w:val="004F30C2"/>
    <w:rsid w:val="004F3775"/>
    <w:rsid w:val="004F416D"/>
    <w:rsid w:val="004F4306"/>
    <w:rsid w:val="004F4901"/>
    <w:rsid w:val="004F4A60"/>
    <w:rsid w:val="004F50BA"/>
    <w:rsid w:val="004F56EF"/>
    <w:rsid w:val="004F5BDE"/>
    <w:rsid w:val="004F69CB"/>
    <w:rsid w:val="004F6D63"/>
    <w:rsid w:val="004F7273"/>
    <w:rsid w:val="004F7428"/>
    <w:rsid w:val="004F773B"/>
    <w:rsid w:val="004F7C8E"/>
    <w:rsid w:val="004F7DCB"/>
    <w:rsid w:val="00500026"/>
    <w:rsid w:val="00500528"/>
    <w:rsid w:val="00500F5A"/>
    <w:rsid w:val="00501075"/>
    <w:rsid w:val="0050129C"/>
    <w:rsid w:val="0050198A"/>
    <w:rsid w:val="00501A46"/>
    <w:rsid w:val="00501A51"/>
    <w:rsid w:val="00502432"/>
    <w:rsid w:val="00502A2A"/>
    <w:rsid w:val="00503BC7"/>
    <w:rsid w:val="00503DF4"/>
    <w:rsid w:val="00503E1D"/>
    <w:rsid w:val="005040B7"/>
    <w:rsid w:val="005049DD"/>
    <w:rsid w:val="00504E17"/>
    <w:rsid w:val="00505071"/>
    <w:rsid w:val="005051FD"/>
    <w:rsid w:val="005057EB"/>
    <w:rsid w:val="00505D08"/>
    <w:rsid w:val="005063B2"/>
    <w:rsid w:val="0050644B"/>
    <w:rsid w:val="005072E5"/>
    <w:rsid w:val="005073A6"/>
    <w:rsid w:val="00507402"/>
    <w:rsid w:val="00507569"/>
    <w:rsid w:val="005075BC"/>
    <w:rsid w:val="00507AE3"/>
    <w:rsid w:val="00507F8F"/>
    <w:rsid w:val="00510000"/>
    <w:rsid w:val="00510445"/>
    <w:rsid w:val="0051059A"/>
    <w:rsid w:val="0051074E"/>
    <w:rsid w:val="00510D4D"/>
    <w:rsid w:val="00510DA3"/>
    <w:rsid w:val="00510F03"/>
    <w:rsid w:val="005110EE"/>
    <w:rsid w:val="00511214"/>
    <w:rsid w:val="005119A0"/>
    <w:rsid w:val="00511A29"/>
    <w:rsid w:val="00511A63"/>
    <w:rsid w:val="00511DF0"/>
    <w:rsid w:val="00512065"/>
    <w:rsid w:val="00512398"/>
    <w:rsid w:val="0051250F"/>
    <w:rsid w:val="00512DBA"/>
    <w:rsid w:val="00512DE7"/>
    <w:rsid w:val="005130A6"/>
    <w:rsid w:val="00513226"/>
    <w:rsid w:val="005142E8"/>
    <w:rsid w:val="005149E5"/>
    <w:rsid w:val="005150EA"/>
    <w:rsid w:val="00515360"/>
    <w:rsid w:val="00515646"/>
    <w:rsid w:val="00515986"/>
    <w:rsid w:val="00515C8C"/>
    <w:rsid w:val="00515FDE"/>
    <w:rsid w:val="00516298"/>
    <w:rsid w:val="0051650E"/>
    <w:rsid w:val="00516747"/>
    <w:rsid w:val="00516F16"/>
    <w:rsid w:val="00517383"/>
    <w:rsid w:val="005173EC"/>
    <w:rsid w:val="005177BF"/>
    <w:rsid w:val="00517D3C"/>
    <w:rsid w:val="00517D7F"/>
    <w:rsid w:val="00517E3E"/>
    <w:rsid w:val="00517E88"/>
    <w:rsid w:val="00517FF3"/>
    <w:rsid w:val="0052035C"/>
    <w:rsid w:val="00520AF0"/>
    <w:rsid w:val="00520B4F"/>
    <w:rsid w:val="00520E3F"/>
    <w:rsid w:val="00520FEC"/>
    <w:rsid w:val="005211BA"/>
    <w:rsid w:val="0052142D"/>
    <w:rsid w:val="0052217C"/>
    <w:rsid w:val="005225D8"/>
    <w:rsid w:val="0052270A"/>
    <w:rsid w:val="00522B50"/>
    <w:rsid w:val="00522B51"/>
    <w:rsid w:val="00522C7A"/>
    <w:rsid w:val="005232D5"/>
    <w:rsid w:val="00523307"/>
    <w:rsid w:val="00523499"/>
    <w:rsid w:val="005234EE"/>
    <w:rsid w:val="0052373D"/>
    <w:rsid w:val="0052388F"/>
    <w:rsid w:val="00523BE9"/>
    <w:rsid w:val="00523E60"/>
    <w:rsid w:val="005240CC"/>
    <w:rsid w:val="0052434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5E0"/>
    <w:rsid w:val="00530725"/>
    <w:rsid w:val="005307BB"/>
    <w:rsid w:val="00530ED3"/>
    <w:rsid w:val="005312F2"/>
    <w:rsid w:val="00531383"/>
    <w:rsid w:val="005314CE"/>
    <w:rsid w:val="00531A08"/>
    <w:rsid w:val="00531B31"/>
    <w:rsid w:val="00531BC2"/>
    <w:rsid w:val="00532271"/>
    <w:rsid w:val="0053227B"/>
    <w:rsid w:val="00532D77"/>
    <w:rsid w:val="00532D8C"/>
    <w:rsid w:val="00532E19"/>
    <w:rsid w:val="005331F1"/>
    <w:rsid w:val="005332A5"/>
    <w:rsid w:val="00533412"/>
    <w:rsid w:val="00533501"/>
    <w:rsid w:val="00533B66"/>
    <w:rsid w:val="00533CFE"/>
    <w:rsid w:val="00533E08"/>
    <w:rsid w:val="005341EA"/>
    <w:rsid w:val="0053478E"/>
    <w:rsid w:val="00534987"/>
    <w:rsid w:val="00534C4A"/>
    <w:rsid w:val="005353D0"/>
    <w:rsid w:val="005359FF"/>
    <w:rsid w:val="00535E22"/>
    <w:rsid w:val="005363A9"/>
    <w:rsid w:val="005364D9"/>
    <w:rsid w:val="005366A2"/>
    <w:rsid w:val="0053694B"/>
    <w:rsid w:val="00536C27"/>
    <w:rsid w:val="00536EB8"/>
    <w:rsid w:val="005373EF"/>
    <w:rsid w:val="0053791D"/>
    <w:rsid w:val="00537AAE"/>
    <w:rsid w:val="00537C25"/>
    <w:rsid w:val="00540534"/>
    <w:rsid w:val="00540B61"/>
    <w:rsid w:val="00540EDC"/>
    <w:rsid w:val="005419D0"/>
    <w:rsid w:val="00541E6E"/>
    <w:rsid w:val="005426C3"/>
    <w:rsid w:val="00542959"/>
    <w:rsid w:val="00542990"/>
    <w:rsid w:val="00542FE8"/>
    <w:rsid w:val="00543900"/>
    <w:rsid w:val="005439A6"/>
    <w:rsid w:val="0054443F"/>
    <w:rsid w:val="00544BFC"/>
    <w:rsid w:val="00544C04"/>
    <w:rsid w:val="0054501D"/>
    <w:rsid w:val="005453A2"/>
    <w:rsid w:val="0054559B"/>
    <w:rsid w:val="005457A5"/>
    <w:rsid w:val="0054627D"/>
    <w:rsid w:val="00546B91"/>
    <w:rsid w:val="00546C0D"/>
    <w:rsid w:val="00546C8D"/>
    <w:rsid w:val="00547427"/>
    <w:rsid w:val="0055001F"/>
    <w:rsid w:val="00550612"/>
    <w:rsid w:val="005508A4"/>
    <w:rsid w:val="00550D28"/>
    <w:rsid w:val="00550F39"/>
    <w:rsid w:val="00551DC2"/>
    <w:rsid w:val="00551E7B"/>
    <w:rsid w:val="0055207C"/>
    <w:rsid w:val="0055209E"/>
    <w:rsid w:val="005521F7"/>
    <w:rsid w:val="00552343"/>
    <w:rsid w:val="005526E2"/>
    <w:rsid w:val="00552838"/>
    <w:rsid w:val="0055285B"/>
    <w:rsid w:val="00552935"/>
    <w:rsid w:val="00552F9E"/>
    <w:rsid w:val="00553297"/>
    <w:rsid w:val="0055338F"/>
    <w:rsid w:val="005534A0"/>
    <w:rsid w:val="00553AF6"/>
    <w:rsid w:val="00553CFB"/>
    <w:rsid w:val="005540F1"/>
    <w:rsid w:val="005542A2"/>
    <w:rsid w:val="005542B8"/>
    <w:rsid w:val="0055458C"/>
    <w:rsid w:val="005557B7"/>
    <w:rsid w:val="00555BA9"/>
    <w:rsid w:val="00555E72"/>
    <w:rsid w:val="0055643B"/>
    <w:rsid w:val="00556A7C"/>
    <w:rsid w:val="00557169"/>
    <w:rsid w:val="0055771C"/>
    <w:rsid w:val="005577C4"/>
    <w:rsid w:val="00557E9F"/>
    <w:rsid w:val="005604DE"/>
    <w:rsid w:val="00560BCF"/>
    <w:rsid w:val="00561614"/>
    <w:rsid w:val="00561706"/>
    <w:rsid w:val="0056191C"/>
    <w:rsid w:val="005619D3"/>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5F17"/>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67E6D"/>
    <w:rsid w:val="005703A3"/>
    <w:rsid w:val="005706C6"/>
    <w:rsid w:val="00570845"/>
    <w:rsid w:val="00570A1E"/>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1F6"/>
    <w:rsid w:val="005766B0"/>
    <w:rsid w:val="00576BB5"/>
    <w:rsid w:val="00576D6E"/>
    <w:rsid w:val="005774E9"/>
    <w:rsid w:val="005801CC"/>
    <w:rsid w:val="00580207"/>
    <w:rsid w:val="00580263"/>
    <w:rsid w:val="00580470"/>
    <w:rsid w:val="005809A0"/>
    <w:rsid w:val="005809E2"/>
    <w:rsid w:val="00580AEC"/>
    <w:rsid w:val="00580F04"/>
    <w:rsid w:val="0058156B"/>
    <w:rsid w:val="005816D3"/>
    <w:rsid w:val="0058196D"/>
    <w:rsid w:val="00581B09"/>
    <w:rsid w:val="00581B88"/>
    <w:rsid w:val="00581CB6"/>
    <w:rsid w:val="005825D0"/>
    <w:rsid w:val="00582A78"/>
    <w:rsid w:val="00583609"/>
    <w:rsid w:val="00583ACA"/>
    <w:rsid w:val="00583C98"/>
    <w:rsid w:val="00583D3C"/>
    <w:rsid w:val="00584505"/>
    <w:rsid w:val="00584803"/>
    <w:rsid w:val="00584857"/>
    <w:rsid w:val="00584AFC"/>
    <w:rsid w:val="00584B8F"/>
    <w:rsid w:val="00584BFE"/>
    <w:rsid w:val="00584C97"/>
    <w:rsid w:val="00584FB0"/>
    <w:rsid w:val="00585229"/>
    <w:rsid w:val="00585A1A"/>
    <w:rsid w:val="00585AAB"/>
    <w:rsid w:val="00585C8E"/>
    <w:rsid w:val="00585C90"/>
    <w:rsid w:val="00585F54"/>
    <w:rsid w:val="005864B7"/>
    <w:rsid w:val="00586944"/>
    <w:rsid w:val="00586F55"/>
    <w:rsid w:val="00587227"/>
    <w:rsid w:val="005873E2"/>
    <w:rsid w:val="005901F2"/>
    <w:rsid w:val="00590D1E"/>
    <w:rsid w:val="00590FA9"/>
    <w:rsid w:val="005912AC"/>
    <w:rsid w:val="005913C5"/>
    <w:rsid w:val="00591AA1"/>
    <w:rsid w:val="00591EB8"/>
    <w:rsid w:val="00591EB9"/>
    <w:rsid w:val="005921B6"/>
    <w:rsid w:val="0059223F"/>
    <w:rsid w:val="005923B3"/>
    <w:rsid w:val="005923FE"/>
    <w:rsid w:val="005925E2"/>
    <w:rsid w:val="00592DCA"/>
    <w:rsid w:val="00593BB7"/>
    <w:rsid w:val="00593ED0"/>
    <w:rsid w:val="005943E5"/>
    <w:rsid w:val="0059489D"/>
    <w:rsid w:val="005952FB"/>
    <w:rsid w:val="005953AE"/>
    <w:rsid w:val="005955C5"/>
    <w:rsid w:val="00595811"/>
    <w:rsid w:val="00595B9E"/>
    <w:rsid w:val="00595CB6"/>
    <w:rsid w:val="00595F78"/>
    <w:rsid w:val="0059628F"/>
    <w:rsid w:val="005962BE"/>
    <w:rsid w:val="00596777"/>
    <w:rsid w:val="00596900"/>
    <w:rsid w:val="005975C1"/>
    <w:rsid w:val="00597C04"/>
    <w:rsid w:val="00597FF7"/>
    <w:rsid w:val="005A0CBD"/>
    <w:rsid w:val="005A1142"/>
    <w:rsid w:val="005A14E6"/>
    <w:rsid w:val="005A19E1"/>
    <w:rsid w:val="005A1A12"/>
    <w:rsid w:val="005A2141"/>
    <w:rsid w:val="005A25E8"/>
    <w:rsid w:val="005A2BAF"/>
    <w:rsid w:val="005A3ADD"/>
    <w:rsid w:val="005A418D"/>
    <w:rsid w:val="005A4485"/>
    <w:rsid w:val="005A45A3"/>
    <w:rsid w:val="005A462A"/>
    <w:rsid w:val="005A47E9"/>
    <w:rsid w:val="005A4A17"/>
    <w:rsid w:val="005A4B09"/>
    <w:rsid w:val="005A52F2"/>
    <w:rsid w:val="005A5416"/>
    <w:rsid w:val="005A5761"/>
    <w:rsid w:val="005A5809"/>
    <w:rsid w:val="005A5865"/>
    <w:rsid w:val="005A58DE"/>
    <w:rsid w:val="005A594A"/>
    <w:rsid w:val="005A6053"/>
    <w:rsid w:val="005A6179"/>
    <w:rsid w:val="005A623E"/>
    <w:rsid w:val="005A6275"/>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2F97"/>
    <w:rsid w:val="005B30E9"/>
    <w:rsid w:val="005B3495"/>
    <w:rsid w:val="005B353A"/>
    <w:rsid w:val="005B364C"/>
    <w:rsid w:val="005B36C0"/>
    <w:rsid w:val="005B3D3B"/>
    <w:rsid w:val="005B3F3F"/>
    <w:rsid w:val="005B4AEC"/>
    <w:rsid w:val="005B4EC7"/>
    <w:rsid w:val="005B4FEA"/>
    <w:rsid w:val="005B58FC"/>
    <w:rsid w:val="005B6BB3"/>
    <w:rsid w:val="005B7582"/>
    <w:rsid w:val="005B77D8"/>
    <w:rsid w:val="005B7CA8"/>
    <w:rsid w:val="005B7D55"/>
    <w:rsid w:val="005B7D85"/>
    <w:rsid w:val="005C0054"/>
    <w:rsid w:val="005C1005"/>
    <w:rsid w:val="005C10F6"/>
    <w:rsid w:val="005C11B4"/>
    <w:rsid w:val="005C1B6E"/>
    <w:rsid w:val="005C1B8E"/>
    <w:rsid w:val="005C1C2D"/>
    <w:rsid w:val="005C1F59"/>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7E0"/>
    <w:rsid w:val="005C7AD2"/>
    <w:rsid w:val="005C7D48"/>
    <w:rsid w:val="005C7D54"/>
    <w:rsid w:val="005C7D83"/>
    <w:rsid w:val="005C7E28"/>
    <w:rsid w:val="005C7FB0"/>
    <w:rsid w:val="005D0181"/>
    <w:rsid w:val="005D0441"/>
    <w:rsid w:val="005D06EC"/>
    <w:rsid w:val="005D0A1E"/>
    <w:rsid w:val="005D0C65"/>
    <w:rsid w:val="005D1190"/>
    <w:rsid w:val="005D1B05"/>
    <w:rsid w:val="005D24EC"/>
    <w:rsid w:val="005D255F"/>
    <w:rsid w:val="005D2C6E"/>
    <w:rsid w:val="005D2E12"/>
    <w:rsid w:val="005D3387"/>
    <w:rsid w:val="005D3787"/>
    <w:rsid w:val="005D3AFB"/>
    <w:rsid w:val="005D3B21"/>
    <w:rsid w:val="005D4BD1"/>
    <w:rsid w:val="005D4CF7"/>
    <w:rsid w:val="005D5507"/>
    <w:rsid w:val="005D5661"/>
    <w:rsid w:val="005D58A4"/>
    <w:rsid w:val="005D5AEF"/>
    <w:rsid w:val="005D5B99"/>
    <w:rsid w:val="005D5EC0"/>
    <w:rsid w:val="005D662A"/>
    <w:rsid w:val="005D719F"/>
    <w:rsid w:val="005D737F"/>
    <w:rsid w:val="005D7699"/>
    <w:rsid w:val="005D7712"/>
    <w:rsid w:val="005D7BE8"/>
    <w:rsid w:val="005E06D0"/>
    <w:rsid w:val="005E1643"/>
    <w:rsid w:val="005E1646"/>
    <w:rsid w:val="005E1695"/>
    <w:rsid w:val="005E18FB"/>
    <w:rsid w:val="005E1B17"/>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BEE"/>
    <w:rsid w:val="005E3E5B"/>
    <w:rsid w:val="005E4035"/>
    <w:rsid w:val="005E4AB1"/>
    <w:rsid w:val="005E4E94"/>
    <w:rsid w:val="005E5468"/>
    <w:rsid w:val="005E55C2"/>
    <w:rsid w:val="005E5CE4"/>
    <w:rsid w:val="005E6111"/>
    <w:rsid w:val="005E66B7"/>
    <w:rsid w:val="005E6AF3"/>
    <w:rsid w:val="005E6F21"/>
    <w:rsid w:val="005E7204"/>
    <w:rsid w:val="005E7567"/>
    <w:rsid w:val="005E78AE"/>
    <w:rsid w:val="005E7A69"/>
    <w:rsid w:val="005F0181"/>
    <w:rsid w:val="005F0244"/>
    <w:rsid w:val="005F0410"/>
    <w:rsid w:val="005F05E0"/>
    <w:rsid w:val="005F1029"/>
    <w:rsid w:val="005F10D9"/>
    <w:rsid w:val="005F16AA"/>
    <w:rsid w:val="005F1706"/>
    <w:rsid w:val="005F1760"/>
    <w:rsid w:val="005F1818"/>
    <w:rsid w:val="005F1AF7"/>
    <w:rsid w:val="005F1CA4"/>
    <w:rsid w:val="005F1F13"/>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510"/>
    <w:rsid w:val="005F6683"/>
    <w:rsid w:val="005F6A7C"/>
    <w:rsid w:val="005F6E16"/>
    <w:rsid w:val="005F6F3D"/>
    <w:rsid w:val="005F721F"/>
    <w:rsid w:val="005F72F1"/>
    <w:rsid w:val="005F7C4B"/>
    <w:rsid w:val="00600230"/>
    <w:rsid w:val="00600350"/>
    <w:rsid w:val="0060075E"/>
    <w:rsid w:val="006010BC"/>
    <w:rsid w:val="006010D5"/>
    <w:rsid w:val="006012FF"/>
    <w:rsid w:val="006013F1"/>
    <w:rsid w:val="00601415"/>
    <w:rsid w:val="006016D7"/>
    <w:rsid w:val="00601C45"/>
    <w:rsid w:val="00601DA4"/>
    <w:rsid w:val="0060242C"/>
    <w:rsid w:val="00602566"/>
    <w:rsid w:val="0060257B"/>
    <w:rsid w:val="00602688"/>
    <w:rsid w:val="00602753"/>
    <w:rsid w:val="006028BA"/>
    <w:rsid w:val="00602AC3"/>
    <w:rsid w:val="00602D00"/>
    <w:rsid w:val="00603058"/>
    <w:rsid w:val="00603267"/>
    <w:rsid w:val="00603713"/>
    <w:rsid w:val="0060488A"/>
    <w:rsid w:val="00604CBB"/>
    <w:rsid w:val="00605812"/>
    <w:rsid w:val="006059A7"/>
    <w:rsid w:val="006059CA"/>
    <w:rsid w:val="00605A06"/>
    <w:rsid w:val="00605A9B"/>
    <w:rsid w:val="00605B07"/>
    <w:rsid w:val="00605DF3"/>
    <w:rsid w:val="00605FA4"/>
    <w:rsid w:val="0060614E"/>
    <w:rsid w:val="00606724"/>
    <w:rsid w:val="0060697D"/>
    <w:rsid w:val="00606FE5"/>
    <w:rsid w:val="006071E2"/>
    <w:rsid w:val="0060789F"/>
    <w:rsid w:val="006101B0"/>
    <w:rsid w:val="006101D7"/>
    <w:rsid w:val="0061043D"/>
    <w:rsid w:val="0061065D"/>
    <w:rsid w:val="00610B92"/>
    <w:rsid w:val="00611128"/>
    <w:rsid w:val="006111F0"/>
    <w:rsid w:val="00611A29"/>
    <w:rsid w:val="00611B79"/>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6071"/>
    <w:rsid w:val="00616176"/>
    <w:rsid w:val="006161C7"/>
    <w:rsid w:val="006163D8"/>
    <w:rsid w:val="006163EE"/>
    <w:rsid w:val="0061643A"/>
    <w:rsid w:val="00616510"/>
    <w:rsid w:val="0061697D"/>
    <w:rsid w:val="00616D3D"/>
    <w:rsid w:val="00616F26"/>
    <w:rsid w:val="00617AA8"/>
    <w:rsid w:val="0062076C"/>
    <w:rsid w:val="00620F13"/>
    <w:rsid w:val="00620F24"/>
    <w:rsid w:val="006210EF"/>
    <w:rsid w:val="006218E2"/>
    <w:rsid w:val="00621F54"/>
    <w:rsid w:val="00622642"/>
    <w:rsid w:val="006232D1"/>
    <w:rsid w:val="0062346A"/>
    <w:rsid w:val="006234D9"/>
    <w:rsid w:val="006237E2"/>
    <w:rsid w:val="0062392B"/>
    <w:rsid w:val="00623C5D"/>
    <w:rsid w:val="0062429B"/>
    <w:rsid w:val="00624452"/>
    <w:rsid w:val="00625801"/>
    <w:rsid w:val="00625E68"/>
    <w:rsid w:val="00625EB2"/>
    <w:rsid w:val="00626033"/>
    <w:rsid w:val="006260A6"/>
    <w:rsid w:val="006261F6"/>
    <w:rsid w:val="00626435"/>
    <w:rsid w:val="0062643F"/>
    <w:rsid w:val="006265D6"/>
    <w:rsid w:val="00626680"/>
    <w:rsid w:val="00626F91"/>
    <w:rsid w:val="006277DA"/>
    <w:rsid w:val="00627A56"/>
    <w:rsid w:val="00627CAE"/>
    <w:rsid w:val="00630112"/>
    <w:rsid w:val="00630391"/>
    <w:rsid w:val="00630579"/>
    <w:rsid w:val="006308CD"/>
    <w:rsid w:val="00631230"/>
    <w:rsid w:val="00631306"/>
    <w:rsid w:val="006322ED"/>
    <w:rsid w:val="006325B6"/>
    <w:rsid w:val="0063279E"/>
    <w:rsid w:val="00632F23"/>
    <w:rsid w:val="006332D9"/>
    <w:rsid w:val="006333E0"/>
    <w:rsid w:val="00633420"/>
    <w:rsid w:val="00633424"/>
    <w:rsid w:val="00634051"/>
    <w:rsid w:val="0063478C"/>
    <w:rsid w:val="006348FE"/>
    <w:rsid w:val="006349B3"/>
    <w:rsid w:val="00634B44"/>
    <w:rsid w:val="00634E32"/>
    <w:rsid w:val="00634FA3"/>
    <w:rsid w:val="00635037"/>
    <w:rsid w:val="006351E8"/>
    <w:rsid w:val="00635B53"/>
    <w:rsid w:val="006361A4"/>
    <w:rsid w:val="00636BA9"/>
    <w:rsid w:val="00636BB1"/>
    <w:rsid w:val="00636C93"/>
    <w:rsid w:val="00636DBA"/>
    <w:rsid w:val="00636EE9"/>
    <w:rsid w:val="00637A27"/>
    <w:rsid w:val="00637FDE"/>
    <w:rsid w:val="00640015"/>
    <w:rsid w:val="00640207"/>
    <w:rsid w:val="00640794"/>
    <w:rsid w:val="006407A6"/>
    <w:rsid w:val="006408F4"/>
    <w:rsid w:val="00640EF8"/>
    <w:rsid w:val="006413DE"/>
    <w:rsid w:val="00641651"/>
    <w:rsid w:val="0064176F"/>
    <w:rsid w:val="00641F73"/>
    <w:rsid w:val="006426DD"/>
    <w:rsid w:val="0064278C"/>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74"/>
    <w:rsid w:val="00646BCE"/>
    <w:rsid w:val="00646F70"/>
    <w:rsid w:val="00647567"/>
    <w:rsid w:val="00647973"/>
    <w:rsid w:val="0065067D"/>
    <w:rsid w:val="00650725"/>
    <w:rsid w:val="00650915"/>
    <w:rsid w:val="00650974"/>
    <w:rsid w:val="00650E25"/>
    <w:rsid w:val="00650F2C"/>
    <w:rsid w:val="006514AB"/>
    <w:rsid w:val="00651739"/>
    <w:rsid w:val="006519CA"/>
    <w:rsid w:val="00652496"/>
    <w:rsid w:val="0065281F"/>
    <w:rsid w:val="00652EB4"/>
    <w:rsid w:val="0065351B"/>
    <w:rsid w:val="006536B7"/>
    <w:rsid w:val="00653733"/>
    <w:rsid w:val="00653785"/>
    <w:rsid w:val="00653D03"/>
    <w:rsid w:val="00653E6E"/>
    <w:rsid w:val="00653FE7"/>
    <w:rsid w:val="00654070"/>
    <w:rsid w:val="00654127"/>
    <w:rsid w:val="006543DD"/>
    <w:rsid w:val="006544AC"/>
    <w:rsid w:val="00655054"/>
    <w:rsid w:val="0065557C"/>
    <w:rsid w:val="00655586"/>
    <w:rsid w:val="00655CFB"/>
    <w:rsid w:val="00655D12"/>
    <w:rsid w:val="00655F38"/>
    <w:rsid w:val="00655FAB"/>
    <w:rsid w:val="00656B3D"/>
    <w:rsid w:val="006573D8"/>
    <w:rsid w:val="00657413"/>
    <w:rsid w:val="00657AFD"/>
    <w:rsid w:val="00657B5D"/>
    <w:rsid w:val="00657C74"/>
    <w:rsid w:val="00657F67"/>
    <w:rsid w:val="00657FDD"/>
    <w:rsid w:val="006600AC"/>
    <w:rsid w:val="00660142"/>
    <w:rsid w:val="006602A2"/>
    <w:rsid w:val="0066119C"/>
    <w:rsid w:val="0066120E"/>
    <w:rsid w:val="006621C0"/>
    <w:rsid w:val="00662A65"/>
    <w:rsid w:val="00662AF3"/>
    <w:rsid w:val="00662D4A"/>
    <w:rsid w:val="00662DAF"/>
    <w:rsid w:val="006637C7"/>
    <w:rsid w:val="006639AC"/>
    <w:rsid w:val="00663AAA"/>
    <w:rsid w:val="00663BD7"/>
    <w:rsid w:val="00663E08"/>
    <w:rsid w:val="0066409B"/>
    <w:rsid w:val="006646CB"/>
    <w:rsid w:val="00664922"/>
    <w:rsid w:val="00664A0A"/>
    <w:rsid w:val="00664AC2"/>
    <w:rsid w:val="006655DE"/>
    <w:rsid w:val="00666241"/>
    <w:rsid w:val="006668C6"/>
    <w:rsid w:val="00666C15"/>
    <w:rsid w:val="00667098"/>
    <w:rsid w:val="006673E0"/>
    <w:rsid w:val="006674A5"/>
    <w:rsid w:val="00667983"/>
    <w:rsid w:val="00667C1E"/>
    <w:rsid w:val="00667F92"/>
    <w:rsid w:val="00670175"/>
    <w:rsid w:val="00670376"/>
    <w:rsid w:val="0067069F"/>
    <w:rsid w:val="00670C77"/>
    <w:rsid w:val="0067127D"/>
    <w:rsid w:val="0067136D"/>
    <w:rsid w:val="00671E1E"/>
    <w:rsid w:val="0067213C"/>
    <w:rsid w:val="00672333"/>
    <w:rsid w:val="00672699"/>
    <w:rsid w:val="00672938"/>
    <w:rsid w:val="0067299F"/>
    <w:rsid w:val="00672B88"/>
    <w:rsid w:val="00672B9B"/>
    <w:rsid w:val="00672C04"/>
    <w:rsid w:val="00673025"/>
    <w:rsid w:val="006734A7"/>
    <w:rsid w:val="0067380A"/>
    <w:rsid w:val="006738CE"/>
    <w:rsid w:val="006738D8"/>
    <w:rsid w:val="00673DA2"/>
    <w:rsid w:val="006748B5"/>
    <w:rsid w:val="00674926"/>
    <w:rsid w:val="006749AA"/>
    <w:rsid w:val="00674C16"/>
    <w:rsid w:val="006750FD"/>
    <w:rsid w:val="00675304"/>
    <w:rsid w:val="006754C5"/>
    <w:rsid w:val="00675AFA"/>
    <w:rsid w:val="00675CCF"/>
    <w:rsid w:val="00675F01"/>
    <w:rsid w:val="0067622E"/>
    <w:rsid w:val="006764A8"/>
    <w:rsid w:val="006766FF"/>
    <w:rsid w:val="0067694C"/>
    <w:rsid w:val="00676B29"/>
    <w:rsid w:val="0067703E"/>
    <w:rsid w:val="006771AD"/>
    <w:rsid w:val="0067762D"/>
    <w:rsid w:val="00677695"/>
    <w:rsid w:val="006776FE"/>
    <w:rsid w:val="00677E98"/>
    <w:rsid w:val="00677EBB"/>
    <w:rsid w:val="0068000E"/>
    <w:rsid w:val="006800F2"/>
    <w:rsid w:val="0068014D"/>
    <w:rsid w:val="00680176"/>
    <w:rsid w:val="006801A1"/>
    <w:rsid w:val="00680260"/>
    <w:rsid w:val="006807B9"/>
    <w:rsid w:val="00680862"/>
    <w:rsid w:val="00680ADC"/>
    <w:rsid w:val="00680CCA"/>
    <w:rsid w:val="0068111F"/>
    <w:rsid w:val="006813CC"/>
    <w:rsid w:val="00681433"/>
    <w:rsid w:val="00681471"/>
    <w:rsid w:val="006816D3"/>
    <w:rsid w:val="0068218A"/>
    <w:rsid w:val="00682816"/>
    <w:rsid w:val="006828BC"/>
    <w:rsid w:val="00682AD7"/>
    <w:rsid w:val="00682B2C"/>
    <w:rsid w:val="00682C10"/>
    <w:rsid w:val="00682EF0"/>
    <w:rsid w:val="006835EE"/>
    <w:rsid w:val="0068365F"/>
    <w:rsid w:val="006836AE"/>
    <w:rsid w:val="0068387C"/>
    <w:rsid w:val="00683966"/>
    <w:rsid w:val="00683A42"/>
    <w:rsid w:val="00683B78"/>
    <w:rsid w:val="00684563"/>
    <w:rsid w:val="00684AA4"/>
    <w:rsid w:val="00684AF1"/>
    <w:rsid w:val="00685595"/>
    <w:rsid w:val="0068582D"/>
    <w:rsid w:val="00685CE3"/>
    <w:rsid w:val="00685E41"/>
    <w:rsid w:val="00686517"/>
    <w:rsid w:val="006866D5"/>
    <w:rsid w:val="00686778"/>
    <w:rsid w:val="0068689A"/>
    <w:rsid w:val="00686AAF"/>
    <w:rsid w:val="00686E33"/>
    <w:rsid w:val="00686FA0"/>
    <w:rsid w:val="006877D3"/>
    <w:rsid w:val="00687DAD"/>
    <w:rsid w:val="0069036A"/>
    <w:rsid w:val="00690743"/>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364"/>
    <w:rsid w:val="00694487"/>
    <w:rsid w:val="006944A3"/>
    <w:rsid w:val="00694819"/>
    <w:rsid w:val="006949D8"/>
    <w:rsid w:val="00695B70"/>
    <w:rsid w:val="00695D1D"/>
    <w:rsid w:val="00696295"/>
    <w:rsid w:val="006966F6"/>
    <w:rsid w:val="00696AEF"/>
    <w:rsid w:val="00696C76"/>
    <w:rsid w:val="00696D67"/>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EEC"/>
    <w:rsid w:val="006A2F00"/>
    <w:rsid w:val="006A35DE"/>
    <w:rsid w:val="006A3A98"/>
    <w:rsid w:val="006A3BF1"/>
    <w:rsid w:val="006A41DB"/>
    <w:rsid w:val="006A47BE"/>
    <w:rsid w:val="006A48FC"/>
    <w:rsid w:val="006A4BB7"/>
    <w:rsid w:val="006A4CCE"/>
    <w:rsid w:val="006A4E36"/>
    <w:rsid w:val="006A5170"/>
    <w:rsid w:val="006A546E"/>
    <w:rsid w:val="006A5796"/>
    <w:rsid w:val="006A5C9B"/>
    <w:rsid w:val="006A5DC4"/>
    <w:rsid w:val="006A5DE0"/>
    <w:rsid w:val="006A5E0F"/>
    <w:rsid w:val="006A6382"/>
    <w:rsid w:val="006A6C34"/>
    <w:rsid w:val="006A7102"/>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25BC"/>
    <w:rsid w:val="006B26F5"/>
    <w:rsid w:val="006B280C"/>
    <w:rsid w:val="006B2E99"/>
    <w:rsid w:val="006B2EB4"/>
    <w:rsid w:val="006B31A8"/>
    <w:rsid w:val="006B3527"/>
    <w:rsid w:val="006B36FE"/>
    <w:rsid w:val="006B3757"/>
    <w:rsid w:val="006B383C"/>
    <w:rsid w:val="006B3C13"/>
    <w:rsid w:val="006B3E22"/>
    <w:rsid w:val="006B41DC"/>
    <w:rsid w:val="006B4430"/>
    <w:rsid w:val="006B4916"/>
    <w:rsid w:val="006B5552"/>
    <w:rsid w:val="006B58BF"/>
    <w:rsid w:val="006B6787"/>
    <w:rsid w:val="006B68E2"/>
    <w:rsid w:val="006B6D4F"/>
    <w:rsid w:val="006B6DBF"/>
    <w:rsid w:val="006B737C"/>
    <w:rsid w:val="006B785E"/>
    <w:rsid w:val="006C0049"/>
    <w:rsid w:val="006C0283"/>
    <w:rsid w:val="006C02B8"/>
    <w:rsid w:val="006C07D1"/>
    <w:rsid w:val="006C0A7E"/>
    <w:rsid w:val="006C1022"/>
    <w:rsid w:val="006C1197"/>
    <w:rsid w:val="006C15D1"/>
    <w:rsid w:val="006C175C"/>
    <w:rsid w:val="006C1CFD"/>
    <w:rsid w:val="006C1D85"/>
    <w:rsid w:val="006C1FA2"/>
    <w:rsid w:val="006C2949"/>
    <w:rsid w:val="006C2C37"/>
    <w:rsid w:val="006C3338"/>
    <w:rsid w:val="006C3F52"/>
    <w:rsid w:val="006C436B"/>
    <w:rsid w:val="006C463D"/>
    <w:rsid w:val="006C4743"/>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FE8"/>
    <w:rsid w:val="006D0012"/>
    <w:rsid w:val="006D05AD"/>
    <w:rsid w:val="006D0BEA"/>
    <w:rsid w:val="006D0C7D"/>
    <w:rsid w:val="006D0DAE"/>
    <w:rsid w:val="006D16F5"/>
    <w:rsid w:val="006D1D8A"/>
    <w:rsid w:val="006D1EEA"/>
    <w:rsid w:val="006D218D"/>
    <w:rsid w:val="006D23C7"/>
    <w:rsid w:val="006D29BC"/>
    <w:rsid w:val="006D3040"/>
    <w:rsid w:val="006D306A"/>
    <w:rsid w:val="006D385D"/>
    <w:rsid w:val="006D39E1"/>
    <w:rsid w:val="006D3D1E"/>
    <w:rsid w:val="006D4747"/>
    <w:rsid w:val="006D4902"/>
    <w:rsid w:val="006D4C49"/>
    <w:rsid w:val="006D4EEF"/>
    <w:rsid w:val="006D4FA4"/>
    <w:rsid w:val="006D550D"/>
    <w:rsid w:val="006D57E4"/>
    <w:rsid w:val="006D5847"/>
    <w:rsid w:val="006D5B9D"/>
    <w:rsid w:val="006D5F6A"/>
    <w:rsid w:val="006D5F76"/>
    <w:rsid w:val="006D624B"/>
    <w:rsid w:val="006D65A1"/>
    <w:rsid w:val="006D6A5D"/>
    <w:rsid w:val="006D6BD1"/>
    <w:rsid w:val="006D73D5"/>
    <w:rsid w:val="006D7C35"/>
    <w:rsid w:val="006D7C4B"/>
    <w:rsid w:val="006D7C75"/>
    <w:rsid w:val="006E00D8"/>
    <w:rsid w:val="006E043E"/>
    <w:rsid w:val="006E0536"/>
    <w:rsid w:val="006E08C4"/>
    <w:rsid w:val="006E0D20"/>
    <w:rsid w:val="006E0D39"/>
    <w:rsid w:val="006E15D4"/>
    <w:rsid w:val="006E1744"/>
    <w:rsid w:val="006E182E"/>
    <w:rsid w:val="006E1CA6"/>
    <w:rsid w:val="006E23D6"/>
    <w:rsid w:val="006E2919"/>
    <w:rsid w:val="006E2B84"/>
    <w:rsid w:val="006E2C4B"/>
    <w:rsid w:val="006E312A"/>
    <w:rsid w:val="006E391E"/>
    <w:rsid w:val="006E3A5B"/>
    <w:rsid w:val="006E47CC"/>
    <w:rsid w:val="006E4A8A"/>
    <w:rsid w:val="006E4BDB"/>
    <w:rsid w:val="006E4D06"/>
    <w:rsid w:val="006E5247"/>
    <w:rsid w:val="006E525C"/>
    <w:rsid w:val="006E69A6"/>
    <w:rsid w:val="006E6C19"/>
    <w:rsid w:val="006E6C58"/>
    <w:rsid w:val="006E720B"/>
    <w:rsid w:val="006E74B1"/>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D3F"/>
    <w:rsid w:val="00700E31"/>
    <w:rsid w:val="007016C3"/>
    <w:rsid w:val="00701C77"/>
    <w:rsid w:val="00701F36"/>
    <w:rsid w:val="00702283"/>
    <w:rsid w:val="00702E8E"/>
    <w:rsid w:val="00703729"/>
    <w:rsid w:val="00703CDD"/>
    <w:rsid w:val="00703DC7"/>
    <w:rsid w:val="0070436A"/>
    <w:rsid w:val="00704E29"/>
    <w:rsid w:val="007058EE"/>
    <w:rsid w:val="00705C1C"/>
    <w:rsid w:val="007060DA"/>
    <w:rsid w:val="0070687A"/>
    <w:rsid w:val="0070730E"/>
    <w:rsid w:val="0070748E"/>
    <w:rsid w:val="0070765C"/>
    <w:rsid w:val="0070767C"/>
    <w:rsid w:val="00707DDB"/>
    <w:rsid w:val="00710394"/>
    <w:rsid w:val="00710D99"/>
    <w:rsid w:val="00710E4D"/>
    <w:rsid w:val="00710E65"/>
    <w:rsid w:val="00710ED1"/>
    <w:rsid w:val="00711063"/>
    <w:rsid w:val="00711182"/>
    <w:rsid w:val="00711910"/>
    <w:rsid w:val="00711ACD"/>
    <w:rsid w:val="0071256F"/>
    <w:rsid w:val="00712AFF"/>
    <w:rsid w:val="00712BC4"/>
    <w:rsid w:val="00712E3A"/>
    <w:rsid w:val="00712F50"/>
    <w:rsid w:val="007131DD"/>
    <w:rsid w:val="00713423"/>
    <w:rsid w:val="00713594"/>
    <w:rsid w:val="00713662"/>
    <w:rsid w:val="00713701"/>
    <w:rsid w:val="00713875"/>
    <w:rsid w:val="00713E66"/>
    <w:rsid w:val="0071414D"/>
    <w:rsid w:val="007141FD"/>
    <w:rsid w:val="00714671"/>
    <w:rsid w:val="0071481F"/>
    <w:rsid w:val="00714C17"/>
    <w:rsid w:val="00714C81"/>
    <w:rsid w:val="00714DBD"/>
    <w:rsid w:val="00714DCE"/>
    <w:rsid w:val="00714FF1"/>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86E"/>
    <w:rsid w:val="00717CFD"/>
    <w:rsid w:val="0072009C"/>
    <w:rsid w:val="0072016D"/>
    <w:rsid w:val="007203D1"/>
    <w:rsid w:val="007205DF"/>
    <w:rsid w:val="00720C1E"/>
    <w:rsid w:val="00720F2C"/>
    <w:rsid w:val="00721109"/>
    <w:rsid w:val="00721164"/>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545"/>
    <w:rsid w:val="007307B2"/>
    <w:rsid w:val="00730C7B"/>
    <w:rsid w:val="00731F2C"/>
    <w:rsid w:val="0073218B"/>
    <w:rsid w:val="00732C0C"/>
    <w:rsid w:val="00732EDC"/>
    <w:rsid w:val="00733070"/>
    <w:rsid w:val="0073374D"/>
    <w:rsid w:val="007342BE"/>
    <w:rsid w:val="007348CF"/>
    <w:rsid w:val="00734FA5"/>
    <w:rsid w:val="00735437"/>
    <w:rsid w:val="00735594"/>
    <w:rsid w:val="00735828"/>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473"/>
    <w:rsid w:val="007427F3"/>
    <w:rsid w:val="00742EA7"/>
    <w:rsid w:val="00742EAD"/>
    <w:rsid w:val="00742FAC"/>
    <w:rsid w:val="00743B78"/>
    <w:rsid w:val="00743D9C"/>
    <w:rsid w:val="00743F5B"/>
    <w:rsid w:val="00744504"/>
    <w:rsid w:val="00744725"/>
    <w:rsid w:val="00744949"/>
    <w:rsid w:val="00744971"/>
    <w:rsid w:val="00744D03"/>
    <w:rsid w:val="00744FBE"/>
    <w:rsid w:val="0074538E"/>
    <w:rsid w:val="007457F2"/>
    <w:rsid w:val="00745806"/>
    <w:rsid w:val="00745A97"/>
    <w:rsid w:val="00745ABC"/>
    <w:rsid w:val="00745B1A"/>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06E"/>
    <w:rsid w:val="007524C0"/>
    <w:rsid w:val="007525AF"/>
    <w:rsid w:val="007530B7"/>
    <w:rsid w:val="007531AD"/>
    <w:rsid w:val="00753466"/>
    <w:rsid w:val="00753B3C"/>
    <w:rsid w:val="00754383"/>
    <w:rsid w:val="00754784"/>
    <w:rsid w:val="00754CE4"/>
    <w:rsid w:val="00754E93"/>
    <w:rsid w:val="00755971"/>
    <w:rsid w:val="00755EA0"/>
    <w:rsid w:val="00755FE9"/>
    <w:rsid w:val="00756090"/>
    <w:rsid w:val="007561FB"/>
    <w:rsid w:val="007568D4"/>
    <w:rsid w:val="00756A5C"/>
    <w:rsid w:val="00756CA7"/>
    <w:rsid w:val="00756D7B"/>
    <w:rsid w:val="00757389"/>
    <w:rsid w:val="00757C05"/>
    <w:rsid w:val="00760B7A"/>
    <w:rsid w:val="00760F5D"/>
    <w:rsid w:val="0076116E"/>
    <w:rsid w:val="00761276"/>
    <w:rsid w:val="00761843"/>
    <w:rsid w:val="00761CDD"/>
    <w:rsid w:val="007623ED"/>
    <w:rsid w:val="00762692"/>
    <w:rsid w:val="0076275C"/>
    <w:rsid w:val="007627E0"/>
    <w:rsid w:val="00762B83"/>
    <w:rsid w:val="00762D5B"/>
    <w:rsid w:val="00762FA1"/>
    <w:rsid w:val="007630B3"/>
    <w:rsid w:val="00763104"/>
    <w:rsid w:val="0076332F"/>
    <w:rsid w:val="007633DF"/>
    <w:rsid w:val="0076349B"/>
    <w:rsid w:val="00763CD7"/>
    <w:rsid w:val="007642BF"/>
    <w:rsid w:val="00764543"/>
    <w:rsid w:val="00764938"/>
    <w:rsid w:val="00764AC0"/>
    <w:rsid w:val="00764D6C"/>
    <w:rsid w:val="0076511E"/>
    <w:rsid w:val="0076546A"/>
    <w:rsid w:val="00765536"/>
    <w:rsid w:val="007655EC"/>
    <w:rsid w:val="00765E19"/>
    <w:rsid w:val="00765EA9"/>
    <w:rsid w:val="007660C1"/>
    <w:rsid w:val="0076619C"/>
    <w:rsid w:val="00766760"/>
    <w:rsid w:val="00766762"/>
    <w:rsid w:val="007668FB"/>
    <w:rsid w:val="007669AA"/>
    <w:rsid w:val="0076706F"/>
    <w:rsid w:val="00767222"/>
    <w:rsid w:val="00767868"/>
    <w:rsid w:val="00767C3E"/>
    <w:rsid w:val="00767DBC"/>
    <w:rsid w:val="0077025D"/>
    <w:rsid w:val="007703B3"/>
    <w:rsid w:val="00770854"/>
    <w:rsid w:val="007712D0"/>
    <w:rsid w:val="0077174E"/>
    <w:rsid w:val="007717A5"/>
    <w:rsid w:val="0077198A"/>
    <w:rsid w:val="00771FCC"/>
    <w:rsid w:val="0077228B"/>
    <w:rsid w:val="00772403"/>
    <w:rsid w:val="0077269E"/>
    <w:rsid w:val="007728EB"/>
    <w:rsid w:val="00772B44"/>
    <w:rsid w:val="00772CB1"/>
    <w:rsid w:val="00772D1C"/>
    <w:rsid w:val="007730B3"/>
    <w:rsid w:val="00773AB8"/>
    <w:rsid w:val="00773E07"/>
    <w:rsid w:val="00774B99"/>
    <w:rsid w:val="00774D10"/>
    <w:rsid w:val="0077532D"/>
    <w:rsid w:val="0077565E"/>
    <w:rsid w:val="00775BF0"/>
    <w:rsid w:val="00775F44"/>
    <w:rsid w:val="007760A3"/>
    <w:rsid w:val="007767E1"/>
    <w:rsid w:val="007769D9"/>
    <w:rsid w:val="00776ADA"/>
    <w:rsid w:val="007775E6"/>
    <w:rsid w:val="00777701"/>
    <w:rsid w:val="007777EE"/>
    <w:rsid w:val="00777932"/>
    <w:rsid w:val="0077793C"/>
    <w:rsid w:val="00777AC9"/>
    <w:rsid w:val="00777D66"/>
    <w:rsid w:val="00777DB4"/>
    <w:rsid w:val="00777FB1"/>
    <w:rsid w:val="007810EE"/>
    <w:rsid w:val="00781BA3"/>
    <w:rsid w:val="00782D2A"/>
    <w:rsid w:val="00783285"/>
    <w:rsid w:val="00783727"/>
    <w:rsid w:val="00783809"/>
    <w:rsid w:val="00783F83"/>
    <w:rsid w:val="00783F8C"/>
    <w:rsid w:val="00784232"/>
    <w:rsid w:val="00784A40"/>
    <w:rsid w:val="00784B22"/>
    <w:rsid w:val="00784BBB"/>
    <w:rsid w:val="00784C47"/>
    <w:rsid w:val="00784EAE"/>
    <w:rsid w:val="007850BE"/>
    <w:rsid w:val="007851E8"/>
    <w:rsid w:val="00785236"/>
    <w:rsid w:val="0078548A"/>
    <w:rsid w:val="00785C6E"/>
    <w:rsid w:val="00785FF2"/>
    <w:rsid w:val="0078623C"/>
    <w:rsid w:val="007867B5"/>
    <w:rsid w:val="007869A5"/>
    <w:rsid w:val="007869FA"/>
    <w:rsid w:val="00786D1C"/>
    <w:rsid w:val="00786DCA"/>
    <w:rsid w:val="00786FDF"/>
    <w:rsid w:val="007871CD"/>
    <w:rsid w:val="0078786B"/>
    <w:rsid w:val="00787AEE"/>
    <w:rsid w:val="00787E6F"/>
    <w:rsid w:val="00787FC1"/>
    <w:rsid w:val="00790C75"/>
    <w:rsid w:val="00790CE0"/>
    <w:rsid w:val="00790E38"/>
    <w:rsid w:val="00790F59"/>
    <w:rsid w:val="00791154"/>
    <w:rsid w:val="00791B88"/>
    <w:rsid w:val="00791CA7"/>
    <w:rsid w:val="00791ECC"/>
    <w:rsid w:val="00791F54"/>
    <w:rsid w:val="00791FE1"/>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7A5"/>
    <w:rsid w:val="00795937"/>
    <w:rsid w:val="0079667A"/>
    <w:rsid w:val="00796C12"/>
    <w:rsid w:val="00796DD5"/>
    <w:rsid w:val="0079724D"/>
    <w:rsid w:val="0079763C"/>
    <w:rsid w:val="00797801"/>
    <w:rsid w:val="00797B8D"/>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41A7"/>
    <w:rsid w:val="007A44DB"/>
    <w:rsid w:val="007A4DAC"/>
    <w:rsid w:val="007A52F9"/>
    <w:rsid w:val="007A53C8"/>
    <w:rsid w:val="007A53F2"/>
    <w:rsid w:val="007A60FA"/>
    <w:rsid w:val="007A6437"/>
    <w:rsid w:val="007A64FB"/>
    <w:rsid w:val="007A650D"/>
    <w:rsid w:val="007A673E"/>
    <w:rsid w:val="007A6806"/>
    <w:rsid w:val="007A684B"/>
    <w:rsid w:val="007A6B19"/>
    <w:rsid w:val="007A6F60"/>
    <w:rsid w:val="007A73C5"/>
    <w:rsid w:val="007A78DA"/>
    <w:rsid w:val="007A7A34"/>
    <w:rsid w:val="007A7BCB"/>
    <w:rsid w:val="007A7CA5"/>
    <w:rsid w:val="007B0C34"/>
    <w:rsid w:val="007B0DEF"/>
    <w:rsid w:val="007B18B4"/>
    <w:rsid w:val="007B1A9D"/>
    <w:rsid w:val="007B1CE4"/>
    <w:rsid w:val="007B1FE7"/>
    <w:rsid w:val="007B2052"/>
    <w:rsid w:val="007B23E4"/>
    <w:rsid w:val="007B24FA"/>
    <w:rsid w:val="007B29A0"/>
    <w:rsid w:val="007B2FD8"/>
    <w:rsid w:val="007B31A4"/>
    <w:rsid w:val="007B3382"/>
    <w:rsid w:val="007B357D"/>
    <w:rsid w:val="007B3CDC"/>
    <w:rsid w:val="007B4064"/>
    <w:rsid w:val="007B411B"/>
    <w:rsid w:val="007B444C"/>
    <w:rsid w:val="007B4508"/>
    <w:rsid w:val="007B46FC"/>
    <w:rsid w:val="007B49F1"/>
    <w:rsid w:val="007B4B67"/>
    <w:rsid w:val="007B4F58"/>
    <w:rsid w:val="007B4FA2"/>
    <w:rsid w:val="007B57A1"/>
    <w:rsid w:val="007B5919"/>
    <w:rsid w:val="007B5EF6"/>
    <w:rsid w:val="007B62E8"/>
    <w:rsid w:val="007B64C3"/>
    <w:rsid w:val="007B65A2"/>
    <w:rsid w:val="007B6B9F"/>
    <w:rsid w:val="007B71FF"/>
    <w:rsid w:val="007B78D5"/>
    <w:rsid w:val="007B7CB8"/>
    <w:rsid w:val="007B7F33"/>
    <w:rsid w:val="007C00E1"/>
    <w:rsid w:val="007C072E"/>
    <w:rsid w:val="007C09FC"/>
    <w:rsid w:val="007C0A8D"/>
    <w:rsid w:val="007C0B33"/>
    <w:rsid w:val="007C15EF"/>
    <w:rsid w:val="007C1C32"/>
    <w:rsid w:val="007C2345"/>
    <w:rsid w:val="007C27DE"/>
    <w:rsid w:val="007C300B"/>
    <w:rsid w:val="007C3066"/>
    <w:rsid w:val="007C3E1C"/>
    <w:rsid w:val="007C3F89"/>
    <w:rsid w:val="007C3FB3"/>
    <w:rsid w:val="007C49F1"/>
    <w:rsid w:val="007C5009"/>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1AEB"/>
    <w:rsid w:val="007D20D8"/>
    <w:rsid w:val="007D23FE"/>
    <w:rsid w:val="007D274C"/>
    <w:rsid w:val="007D2992"/>
    <w:rsid w:val="007D2B7B"/>
    <w:rsid w:val="007D2BAC"/>
    <w:rsid w:val="007D2DF4"/>
    <w:rsid w:val="007D2E5B"/>
    <w:rsid w:val="007D2F6A"/>
    <w:rsid w:val="007D3156"/>
    <w:rsid w:val="007D3492"/>
    <w:rsid w:val="007D35DE"/>
    <w:rsid w:val="007D36B9"/>
    <w:rsid w:val="007D4032"/>
    <w:rsid w:val="007D4373"/>
    <w:rsid w:val="007D49F1"/>
    <w:rsid w:val="007D5BB4"/>
    <w:rsid w:val="007D5D99"/>
    <w:rsid w:val="007D642B"/>
    <w:rsid w:val="007D643C"/>
    <w:rsid w:val="007D669C"/>
    <w:rsid w:val="007D6B35"/>
    <w:rsid w:val="007D6D8C"/>
    <w:rsid w:val="007D7387"/>
    <w:rsid w:val="007D797C"/>
    <w:rsid w:val="007D7D57"/>
    <w:rsid w:val="007D7E91"/>
    <w:rsid w:val="007E02E9"/>
    <w:rsid w:val="007E1027"/>
    <w:rsid w:val="007E107B"/>
    <w:rsid w:val="007E1388"/>
    <w:rsid w:val="007E1461"/>
    <w:rsid w:val="007E17B8"/>
    <w:rsid w:val="007E1B79"/>
    <w:rsid w:val="007E1DB2"/>
    <w:rsid w:val="007E25A1"/>
    <w:rsid w:val="007E26A4"/>
    <w:rsid w:val="007E28EF"/>
    <w:rsid w:val="007E2953"/>
    <w:rsid w:val="007E2B6C"/>
    <w:rsid w:val="007E2BD5"/>
    <w:rsid w:val="007E2F00"/>
    <w:rsid w:val="007E3383"/>
    <w:rsid w:val="007E356A"/>
    <w:rsid w:val="007E3990"/>
    <w:rsid w:val="007E3C1F"/>
    <w:rsid w:val="007E4081"/>
    <w:rsid w:val="007E4154"/>
    <w:rsid w:val="007E44E0"/>
    <w:rsid w:val="007E47EF"/>
    <w:rsid w:val="007E4B68"/>
    <w:rsid w:val="007E4D20"/>
    <w:rsid w:val="007E50D3"/>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0F5A"/>
    <w:rsid w:val="007F1243"/>
    <w:rsid w:val="007F136B"/>
    <w:rsid w:val="007F1641"/>
    <w:rsid w:val="007F178F"/>
    <w:rsid w:val="007F1998"/>
    <w:rsid w:val="007F1D11"/>
    <w:rsid w:val="007F2051"/>
    <w:rsid w:val="007F24AA"/>
    <w:rsid w:val="007F29F9"/>
    <w:rsid w:val="007F2B8C"/>
    <w:rsid w:val="007F345C"/>
    <w:rsid w:val="007F42F4"/>
    <w:rsid w:val="007F439C"/>
    <w:rsid w:val="007F43E9"/>
    <w:rsid w:val="007F4543"/>
    <w:rsid w:val="007F4B13"/>
    <w:rsid w:val="007F59A2"/>
    <w:rsid w:val="007F5F13"/>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1FD7"/>
    <w:rsid w:val="008020EA"/>
    <w:rsid w:val="00802221"/>
    <w:rsid w:val="00802C45"/>
    <w:rsid w:val="0080302E"/>
    <w:rsid w:val="008034AA"/>
    <w:rsid w:val="008037F6"/>
    <w:rsid w:val="00803C78"/>
    <w:rsid w:val="00803CBB"/>
    <w:rsid w:val="00803DA5"/>
    <w:rsid w:val="00804372"/>
    <w:rsid w:val="00804630"/>
    <w:rsid w:val="00804B3F"/>
    <w:rsid w:val="00804BC5"/>
    <w:rsid w:val="00805234"/>
    <w:rsid w:val="008057FD"/>
    <w:rsid w:val="00805802"/>
    <w:rsid w:val="008059EE"/>
    <w:rsid w:val="008063BF"/>
    <w:rsid w:val="008064C0"/>
    <w:rsid w:val="008066EC"/>
    <w:rsid w:val="008066FB"/>
    <w:rsid w:val="008069D5"/>
    <w:rsid w:val="00806AD1"/>
    <w:rsid w:val="00806C64"/>
    <w:rsid w:val="00806D33"/>
    <w:rsid w:val="00806D9A"/>
    <w:rsid w:val="00806F6D"/>
    <w:rsid w:val="0080700E"/>
    <w:rsid w:val="008071F5"/>
    <w:rsid w:val="0080747F"/>
    <w:rsid w:val="0080798B"/>
    <w:rsid w:val="00807AE5"/>
    <w:rsid w:val="00807BA3"/>
    <w:rsid w:val="00807E7B"/>
    <w:rsid w:val="00807F97"/>
    <w:rsid w:val="0081000A"/>
    <w:rsid w:val="00810098"/>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7AE"/>
    <w:rsid w:val="008129F3"/>
    <w:rsid w:val="00812C15"/>
    <w:rsid w:val="00812DD2"/>
    <w:rsid w:val="00813111"/>
    <w:rsid w:val="008133E9"/>
    <w:rsid w:val="0081394D"/>
    <w:rsid w:val="00813EF1"/>
    <w:rsid w:val="008143D8"/>
    <w:rsid w:val="008149FF"/>
    <w:rsid w:val="00814E17"/>
    <w:rsid w:val="00814F3A"/>
    <w:rsid w:val="00815E70"/>
    <w:rsid w:val="008160F0"/>
    <w:rsid w:val="008162AC"/>
    <w:rsid w:val="00816781"/>
    <w:rsid w:val="00816B6F"/>
    <w:rsid w:val="00816DB3"/>
    <w:rsid w:val="00817015"/>
    <w:rsid w:val="0081709E"/>
    <w:rsid w:val="00817154"/>
    <w:rsid w:val="008172B8"/>
    <w:rsid w:val="0081765B"/>
    <w:rsid w:val="00817A04"/>
    <w:rsid w:val="00817E9E"/>
    <w:rsid w:val="00820140"/>
    <w:rsid w:val="008204EF"/>
    <w:rsid w:val="0082066D"/>
    <w:rsid w:val="008207D4"/>
    <w:rsid w:val="00820DFA"/>
    <w:rsid w:val="00821F3D"/>
    <w:rsid w:val="00822626"/>
    <w:rsid w:val="00822C57"/>
    <w:rsid w:val="008230C9"/>
    <w:rsid w:val="00823299"/>
    <w:rsid w:val="00823673"/>
    <w:rsid w:val="008236A0"/>
    <w:rsid w:val="008236A1"/>
    <w:rsid w:val="00823A9D"/>
    <w:rsid w:val="00823FB8"/>
    <w:rsid w:val="0082450C"/>
    <w:rsid w:val="0082490C"/>
    <w:rsid w:val="00824939"/>
    <w:rsid w:val="00824A04"/>
    <w:rsid w:val="00824A06"/>
    <w:rsid w:val="00824C50"/>
    <w:rsid w:val="00824D9D"/>
    <w:rsid w:val="008256E0"/>
    <w:rsid w:val="00825704"/>
    <w:rsid w:val="00825743"/>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AA2"/>
    <w:rsid w:val="00830B41"/>
    <w:rsid w:val="00830C05"/>
    <w:rsid w:val="00831067"/>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3E3"/>
    <w:rsid w:val="00835456"/>
    <w:rsid w:val="00835764"/>
    <w:rsid w:val="00835B1A"/>
    <w:rsid w:val="00835C3B"/>
    <w:rsid w:val="00835D9F"/>
    <w:rsid w:val="00836120"/>
    <w:rsid w:val="00836388"/>
    <w:rsid w:val="00837097"/>
    <w:rsid w:val="00837815"/>
    <w:rsid w:val="00837924"/>
    <w:rsid w:val="00837D41"/>
    <w:rsid w:val="0084061A"/>
    <w:rsid w:val="00840B1E"/>
    <w:rsid w:val="00840B66"/>
    <w:rsid w:val="00840C6F"/>
    <w:rsid w:val="008410EF"/>
    <w:rsid w:val="00841921"/>
    <w:rsid w:val="00841991"/>
    <w:rsid w:val="00841D33"/>
    <w:rsid w:val="00841E8C"/>
    <w:rsid w:val="008420C0"/>
    <w:rsid w:val="008423CD"/>
    <w:rsid w:val="00842463"/>
    <w:rsid w:val="00842862"/>
    <w:rsid w:val="00842A4F"/>
    <w:rsid w:val="008435C9"/>
    <w:rsid w:val="008435F7"/>
    <w:rsid w:val="0084368A"/>
    <w:rsid w:val="008437B3"/>
    <w:rsid w:val="00843A5D"/>
    <w:rsid w:val="00843D1C"/>
    <w:rsid w:val="00844033"/>
    <w:rsid w:val="008452AC"/>
    <w:rsid w:val="008456F9"/>
    <w:rsid w:val="00845796"/>
    <w:rsid w:val="008459AA"/>
    <w:rsid w:val="008460CD"/>
    <w:rsid w:val="00846294"/>
    <w:rsid w:val="00846C5A"/>
    <w:rsid w:val="00846E56"/>
    <w:rsid w:val="00846EBF"/>
    <w:rsid w:val="00847488"/>
    <w:rsid w:val="00847675"/>
    <w:rsid w:val="0084793A"/>
    <w:rsid w:val="00850734"/>
    <w:rsid w:val="00850AF2"/>
    <w:rsid w:val="00850E21"/>
    <w:rsid w:val="00851353"/>
    <w:rsid w:val="008515B6"/>
    <w:rsid w:val="008516C0"/>
    <w:rsid w:val="0085177D"/>
    <w:rsid w:val="008521D9"/>
    <w:rsid w:val="0085231C"/>
    <w:rsid w:val="00852470"/>
    <w:rsid w:val="0085248A"/>
    <w:rsid w:val="008526E3"/>
    <w:rsid w:val="00852A26"/>
    <w:rsid w:val="0085357E"/>
    <w:rsid w:val="0085379D"/>
    <w:rsid w:val="008538FD"/>
    <w:rsid w:val="008539BA"/>
    <w:rsid w:val="00853D82"/>
    <w:rsid w:val="00853F89"/>
    <w:rsid w:val="00854257"/>
    <w:rsid w:val="008545F9"/>
    <w:rsid w:val="00854834"/>
    <w:rsid w:val="00854A50"/>
    <w:rsid w:val="008552C6"/>
    <w:rsid w:val="0085559A"/>
    <w:rsid w:val="0085593C"/>
    <w:rsid w:val="00855EAE"/>
    <w:rsid w:val="00855FE5"/>
    <w:rsid w:val="0085616E"/>
    <w:rsid w:val="008561B0"/>
    <w:rsid w:val="0085679F"/>
    <w:rsid w:val="008568E7"/>
    <w:rsid w:val="00856D0E"/>
    <w:rsid w:val="00856FC4"/>
    <w:rsid w:val="00857234"/>
    <w:rsid w:val="008572E4"/>
    <w:rsid w:val="00857754"/>
    <w:rsid w:val="00857893"/>
    <w:rsid w:val="00857A32"/>
    <w:rsid w:val="00857BDF"/>
    <w:rsid w:val="00857DFE"/>
    <w:rsid w:val="0086028B"/>
    <w:rsid w:val="0086029E"/>
    <w:rsid w:val="008606E8"/>
    <w:rsid w:val="00860967"/>
    <w:rsid w:val="00860ACA"/>
    <w:rsid w:val="00861063"/>
    <w:rsid w:val="008611E1"/>
    <w:rsid w:val="008614C3"/>
    <w:rsid w:val="0086173B"/>
    <w:rsid w:val="00861DAE"/>
    <w:rsid w:val="0086240A"/>
    <w:rsid w:val="00862652"/>
    <w:rsid w:val="00862DC2"/>
    <w:rsid w:val="00862EC7"/>
    <w:rsid w:val="00863EB5"/>
    <w:rsid w:val="0086422A"/>
    <w:rsid w:val="00864233"/>
    <w:rsid w:val="008646FE"/>
    <w:rsid w:val="008647FF"/>
    <w:rsid w:val="00865232"/>
    <w:rsid w:val="008652D6"/>
    <w:rsid w:val="008653C3"/>
    <w:rsid w:val="008655F9"/>
    <w:rsid w:val="00865620"/>
    <w:rsid w:val="0086562E"/>
    <w:rsid w:val="00866167"/>
    <w:rsid w:val="00866994"/>
    <w:rsid w:val="00866BB3"/>
    <w:rsid w:val="00866C96"/>
    <w:rsid w:val="008670E5"/>
    <w:rsid w:val="008671B4"/>
    <w:rsid w:val="0086743C"/>
    <w:rsid w:val="00867B48"/>
    <w:rsid w:val="00867CC4"/>
    <w:rsid w:val="00867E41"/>
    <w:rsid w:val="00870A5E"/>
    <w:rsid w:val="00870C31"/>
    <w:rsid w:val="00871411"/>
    <w:rsid w:val="008718AC"/>
    <w:rsid w:val="00871CA2"/>
    <w:rsid w:val="00871FAB"/>
    <w:rsid w:val="008720A4"/>
    <w:rsid w:val="00872175"/>
    <w:rsid w:val="00872540"/>
    <w:rsid w:val="00872BBD"/>
    <w:rsid w:val="00873101"/>
    <w:rsid w:val="00873835"/>
    <w:rsid w:val="00873966"/>
    <w:rsid w:val="00873E30"/>
    <w:rsid w:val="00874222"/>
    <w:rsid w:val="008745D9"/>
    <w:rsid w:val="0087473B"/>
    <w:rsid w:val="008750D4"/>
    <w:rsid w:val="00875B90"/>
    <w:rsid w:val="00875D98"/>
    <w:rsid w:val="00875E48"/>
    <w:rsid w:val="008761EF"/>
    <w:rsid w:val="0087668E"/>
    <w:rsid w:val="00876927"/>
    <w:rsid w:val="00876D06"/>
    <w:rsid w:val="00876D31"/>
    <w:rsid w:val="008770DF"/>
    <w:rsid w:val="0087745C"/>
    <w:rsid w:val="008775F2"/>
    <w:rsid w:val="0087765D"/>
    <w:rsid w:val="00877A8D"/>
    <w:rsid w:val="00877C64"/>
    <w:rsid w:val="00877F5F"/>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6A8"/>
    <w:rsid w:val="00883DE8"/>
    <w:rsid w:val="00884392"/>
    <w:rsid w:val="00884522"/>
    <w:rsid w:val="00884AF6"/>
    <w:rsid w:val="00884CCE"/>
    <w:rsid w:val="00885022"/>
    <w:rsid w:val="00885208"/>
    <w:rsid w:val="00885AEE"/>
    <w:rsid w:val="00885B35"/>
    <w:rsid w:val="00885DB4"/>
    <w:rsid w:val="00885E8E"/>
    <w:rsid w:val="00886659"/>
    <w:rsid w:val="00886E5D"/>
    <w:rsid w:val="00887406"/>
    <w:rsid w:val="008876DA"/>
    <w:rsid w:val="00887848"/>
    <w:rsid w:val="00887C17"/>
    <w:rsid w:val="00887DB8"/>
    <w:rsid w:val="00887E80"/>
    <w:rsid w:val="00890014"/>
    <w:rsid w:val="00890048"/>
    <w:rsid w:val="008902BF"/>
    <w:rsid w:val="00890920"/>
    <w:rsid w:val="00890C8B"/>
    <w:rsid w:val="0089125D"/>
    <w:rsid w:val="008912C3"/>
    <w:rsid w:val="008912CD"/>
    <w:rsid w:val="008913C0"/>
    <w:rsid w:val="00891863"/>
    <w:rsid w:val="008919BC"/>
    <w:rsid w:val="00891C92"/>
    <w:rsid w:val="00891EC0"/>
    <w:rsid w:val="00892135"/>
    <w:rsid w:val="008922C7"/>
    <w:rsid w:val="00892319"/>
    <w:rsid w:val="00892556"/>
    <w:rsid w:val="00892950"/>
    <w:rsid w:val="00893074"/>
    <w:rsid w:val="0089315C"/>
    <w:rsid w:val="00893242"/>
    <w:rsid w:val="008932A6"/>
    <w:rsid w:val="0089331C"/>
    <w:rsid w:val="0089395A"/>
    <w:rsid w:val="00893D3E"/>
    <w:rsid w:val="00893D9A"/>
    <w:rsid w:val="00893FA5"/>
    <w:rsid w:val="00894208"/>
    <w:rsid w:val="008944D3"/>
    <w:rsid w:val="008948B6"/>
    <w:rsid w:val="00894AB0"/>
    <w:rsid w:val="00894C15"/>
    <w:rsid w:val="00894C69"/>
    <w:rsid w:val="00894EDF"/>
    <w:rsid w:val="00895243"/>
    <w:rsid w:val="008952EE"/>
    <w:rsid w:val="008958D6"/>
    <w:rsid w:val="00895CE3"/>
    <w:rsid w:val="00895F67"/>
    <w:rsid w:val="008963FA"/>
    <w:rsid w:val="00896BCD"/>
    <w:rsid w:val="008970B9"/>
    <w:rsid w:val="00897111"/>
    <w:rsid w:val="0089728A"/>
    <w:rsid w:val="008975A9"/>
    <w:rsid w:val="0089791F"/>
    <w:rsid w:val="00897962"/>
    <w:rsid w:val="00897A09"/>
    <w:rsid w:val="00897CF9"/>
    <w:rsid w:val="00897EBD"/>
    <w:rsid w:val="00897F3D"/>
    <w:rsid w:val="008A00F0"/>
    <w:rsid w:val="008A028A"/>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44F"/>
    <w:rsid w:val="008A2C6F"/>
    <w:rsid w:val="008A34CC"/>
    <w:rsid w:val="008A34DC"/>
    <w:rsid w:val="008A36A4"/>
    <w:rsid w:val="008A375C"/>
    <w:rsid w:val="008A3781"/>
    <w:rsid w:val="008A38B0"/>
    <w:rsid w:val="008A38D6"/>
    <w:rsid w:val="008A3E3C"/>
    <w:rsid w:val="008A405A"/>
    <w:rsid w:val="008A40DC"/>
    <w:rsid w:val="008A44F4"/>
    <w:rsid w:val="008A44FF"/>
    <w:rsid w:val="008A483F"/>
    <w:rsid w:val="008A49F1"/>
    <w:rsid w:val="008A4B64"/>
    <w:rsid w:val="008A52D0"/>
    <w:rsid w:val="008A5A9D"/>
    <w:rsid w:val="008A5B18"/>
    <w:rsid w:val="008A5B2F"/>
    <w:rsid w:val="008A632E"/>
    <w:rsid w:val="008A64FC"/>
    <w:rsid w:val="008A6F0F"/>
    <w:rsid w:val="008A6FE6"/>
    <w:rsid w:val="008A7491"/>
    <w:rsid w:val="008A7861"/>
    <w:rsid w:val="008A786B"/>
    <w:rsid w:val="008A7A38"/>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2FCB"/>
    <w:rsid w:val="008B31A3"/>
    <w:rsid w:val="008B3608"/>
    <w:rsid w:val="008B3E5E"/>
    <w:rsid w:val="008B3F3E"/>
    <w:rsid w:val="008B42C2"/>
    <w:rsid w:val="008B45AD"/>
    <w:rsid w:val="008B4C7C"/>
    <w:rsid w:val="008B4CF1"/>
    <w:rsid w:val="008B4CF9"/>
    <w:rsid w:val="008B4F42"/>
    <w:rsid w:val="008B536D"/>
    <w:rsid w:val="008B551F"/>
    <w:rsid w:val="008B5A18"/>
    <w:rsid w:val="008B5D2F"/>
    <w:rsid w:val="008B6081"/>
    <w:rsid w:val="008B6122"/>
    <w:rsid w:val="008B6240"/>
    <w:rsid w:val="008B65C3"/>
    <w:rsid w:val="008B6662"/>
    <w:rsid w:val="008B6699"/>
    <w:rsid w:val="008B669A"/>
    <w:rsid w:val="008B688D"/>
    <w:rsid w:val="008B6DDB"/>
    <w:rsid w:val="008B6E11"/>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98B"/>
    <w:rsid w:val="008C2B5C"/>
    <w:rsid w:val="008C2D18"/>
    <w:rsid w:val="008C326E"/>
    <w:rsid w:val="008C33FB"/>
    <w:rsid w:val="008C36EA"/>
    <w:rsid w:val="008C3743"/>
    <w:rsid w:val="008C3BF2"/>
    <w:rsid w:val="008C4098"/>
    <w:rsid w:val="008C455F"/>
    <w:rsid w:val="008C4FD0"/>
    <w:rsid w:val="008C51CF"/>
    <w:rsid w:val="008C5AC7"/>
    <w:rsid w:val="008C5B1A"/>
    <w:rsid w:val="008C5D2C"/>
    <w:rsid w:val="008C6042"/>
    <w:rsid w:val="008C7145"/>
    <w:rsid w:val="008C787F"/>
    <w:rsid w:val="008C7A6C"/>
    <w:rsid w:val="008D017F"/>
    <w:rsid w:val="008D02FF"/>
    <w:rsid w:val="008D0497"/>
    <w:rsid w:val="008D0600"/>
    <w:rsid w:val="008D0840"/>
    <w:rsid w:val="008D0B7C"/>
    <w:rsid w:val="008D0F0A"/>
    <w:rsid w:val="008D1C6A"/>
    <w:rsid w:val="008D2338"/>
    <w:rsid w:val="008D2A6E"/>
    <w:rsid w:val="008D34BE"/>
    <w:rsid w:val="008D34CC"/>
    <w:rsid w:val="008D3574"/>
    <w:rsid w:val="008D35CA"/>
    <w:rsid w:val="008D3CEE"/>
    <w:rsid w:val="008D3EAF"/>
    <w:rsid w:val="008D46CB"/>
    <w:rsid w:val="008D4952"/>
    <w:rsid w:val="008D5138"/>
    <w:rsid w:val="008D58AE"/>
    <w:rsid w:val="008D5E8C"/>
    <w:rsid w:val="008D61D2"/>
    <w:rsid w:val="008D6292"/>
    <w:rsid w:val="008D62E8"/>
    <w:rsid w:val="008D66F8"/>
    <w:rsid w:val="008D6D51"/>
    <w:rsid w:val="008D6EB1"/>
    <w:rsid w:val="008D7053"/>
    <w:rsid w:val="008D7291"/>
    <w:rsid w:val="008D72D9"/>
    <w:rsid w:val="008D72E1"/>
    <w:rsid w:val="008D7374"/>
    <w:rsid w:val="008D76D5"/>
    <w:rsid w:val="008D7DD0"/>
    <w:rsid w:val="008D7FEC"/>
    <w:rsid w:val="008E001E"/>
    <w:rsid w:val="008E03EF"/>
    <w:rsid w:val="008E07B0"/>
    <w:rsid w:val="008E0DBE"/>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2B2"/>
    <w:rsid w:val="008E45AF"/>
    <w:rsid w:val="008E4F53"/>
    <w:rsid w:val="008E5662"/>
    <w:rsid w:val="008E5BB3"/>
    <w:rsid w:val="008E5CD4"/>
    <w:rsid w:val="008E5F3E"/>
    <w:rsid w:val="008E6265"/>
    <w:rsid w:val="008E6267"/>
    <w:rsid w:val="008E68CF"/>
    <w:rsid w:val="008E6A0A"/>
    <w:rsid w:val="008E6D19"/>
    <w:rsid w:val="008E7191"/>
    <w:rsid w:val="008E7991"/>
    <w:rsid w:val="008E7B76"/>
    <w:rsid w:val="008E7D56"/>
    <w:rsid w:val="008E7F61"/>
    <w:rsid w:val="008F0798"/>
    <w:rsid w:val="008F08FD"/>
    <w:rsid w:val="008F0A08"/>
    <w:rsid w:val="008F0C06"/>
    <w:rsid w:val="008F11F6"/>
    <w:rsid w:val="008F1496"/>
    <w:rsid w:val="008F1566"/>
    <w:rsid w:val="008F16FA"/>
    <w:rsid w:val="008F1943"/>
    <w:rsid w:val="008F1E71"/>
    <w:rsid w:val="008F20B2"/>
    <w:rsid w:val="008F22C9"/>
    <w:rsid w:val="008F2607"/>
    <w:rsid w:val="008F265B"/>
    <w:rsid w:val="008F2B47"/>
    <w:rsid w:val="008F2D32"/>
    <w:rsid w:val="008F2EA0"/>
    <w:rsid w:val="008F30B2"/>
    <w:rsid w:val="008F30CB"/>
    <w:rsid w:val="008F3899"/>
    <w:rsid w:val="008F38FF"/>
    <w:rsid w:val="008F39AA"/>
    <w:rsid w:val="008F3E9A"/>
    <w:rsid w:val="008F3EBA"/>
    <w:rsid w:val="008F42DA"/>
    <w:rsid w:val="008F4324"/>
    <w:rsid w:val="008F433B"/>
    <w:rsid w:val="008F4513"/>
    <w:rsid w:val="008F4922"/>
    <w:rsid w:val="008F4ADC"/>
    <w:rsid w:val="008F4BB8"/>
    <w:rsid w:val="008F4E2C"/>
    <w:rsid w:val="008F4ED8"/>
    <w:rsid w:val="008F5442"/>
    <w:rsid w:val="008F549A"/>
    <w:rsid w:val="008F54ED"/>
    <w:rsid w:val="008F5933"/>
    <w:rsid w:val="008F5DE8"/>
    <w:rsid w:val="008F6338"/>
    <w:rsid w:val="008F6371"/>
    <w:rsid w:val="008F6552"/>
    <w:rsid w:val="008F65C2"/>
    <w:rsid w:val="008F6710"/>
    <w:rsid w:val="008F6C85"/>
    <w:rsid w:val="008F6D16"/>
    <w:rsid w:val="008F6D68"/>
    <w:rsid w:val="008F6FD0"/>
    <w:rsid w:val="008F7332"/>
    <w:rsid w:val="008F761E"/>
    <w:rsid w:val="008F7722"/>
    <w:rsid w:val="008F7766"/>
    <w:rsid w:val="008F7C32"/>
    <w:rsid w:val="008F7F39"/>
    <w:rsid w:val="009005A3"/>
    <w:rsid w:val="009009D6"/>
    <w:rsid w:val="00900C3D"/>
    <w:rsid w:val="00900CAA"/>
    <w:rsid w:val="00900FA2"/>
    <w:rsid w:val="00900FFF"/>
    <w:rsid w:val="00901200"/>
    <w:rsid w:val="009014BD"/>
    <w:rsid w:val="00901615"/>
    <w:rsid w:val="00901834"/>
    <w:rsid w:val="00901C58"/>
    <w:rsid w:val="00902294"/>
    <w:rsid w:val="009025BC"/>
    <w:rsid w:val="00902F56"/>
    <w:rsid w:val="00903244"/>
    <w:rsid w:val="00903596"/>
    <w:rsid w:val="009035E7"/>
    <w:rsid w:val="00903645"/>
    <w:rsid w:val="009038F8"/>
    <w:rsid w:val="00903DAF"/>
    <w:rsid w:val="009046EA"/>
    <w:rsid w:val="00904CF1"/>
    <w:rsid w:val="00904F41"/>
    <w:rsid w:val="009051BC"/>
    <w:rsid w:val="00905497"/>
    <w:rsid w:val="0090552A"/>
    <w:rsid w:val="00905636"/>
    <w:rsid w:val="00905727"/>
    <w:rsid w:val="0090592F"/>
    <w:rsid w:val="00905988"/>
    <w:rsid w:val="00905EE9"/>
    <w:rsid w:val="0090625F"/>
    <w:rsid w:val="00906754"/>
    <w:rsid w:val="00906C74"/>
    <w:rsid w:val="00906D23"/>
    <w:rsid w:val="00907051"/>
    <w:rsid w:val="00907132"/>
    <w:rsid w:val="00907139"/>
    <w:rsid w:val="009071D7"/>
    <w:rsid w:val="00907852"/>
    <w:rsid w:val="00907A8F"/>
    <w:rsid w:val="00907E3E"/>
    <w:rsid w:val="00907E8A"/>
    <w:rsid w:val="00910101"/>
    <w:rsid w:val="009105CD"/>
    <w:rsid w:val="0091086B"/>
    <w:rsid w:val="00910D5A"/>
    <w:rsid w:val="00910E7D"/>
    <w:rsid w:val="00911118"/>
    <w:rsid w:val="00911182"/>
    <w:rsid w:val="0091122E"/>
    <w:rsid w:val="009118B8"/>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8AD"/>
    <w:rsid w:val="009161FF"/>
    <w:rsid w:val="009164D5"/>
    <w:rsid w:val="009164DA"/>
    <w:rsid w:val="0091654B"/>
    <w:rsid w:val="00916B35"/>
    <w:rsid w:val="00916C7C"/>
    <w:rsid w:val="00916D6A"/>
    <w:rsid w:val="00916D77"/>
    <w:rsid w:val="00916FCF"/>
    <w:rsid w:val="009175F7"/>
    <w:rsid w:val="00917DC1"/>
    <w:rsid w:val="009200D8"/>
    <w:rsid w:val="009205CE"/>
    <w:rsid w:val="00920985"/>
    <w:rsid w:val="00921343"/>
    <w:rsid w:val="009217B9"/>
    <w:rsid w:val="00921824"/>
    <w:rsid w:val="00921F88"/>
    <w:rsid w:val="009220D3"/>
    <w:rsid w:val="00922202"/>
    <w:rsid w:val="00922235"/>
    <w:rsid w:val="009222EB"/>
    <w:rsid w:val="00922481"/>
    <w:rsid w:val="00922850"/>
    <w:rsid w:val="009233CD"/>
    <w:rsid w:val="00923829"/>
    <w:rsid w:val="009238AF"/>
    <w:rsid w:val="00923912"/>
    <w:rsid w:val="009242F5"/>
    <w:rsid w:val="0092472A"/>
    <w:rsid w:val="00924DFC"/>
    <w:rsid w:val="00924EDD"/>
    <w:rsid w:val="00924FD8"/>
    <w:rsid w:val="00925406"/>
    <w:rsid w:val="009255F9"/>
    <w:rsid w:val="00925674"/>
    <w:rsid w:val="009257E1"/>
    <w:rsid w:val="00925FBD"/>
    <w:rsid w:val="009269B5"/>
    <w:rsid w:val="00926B4D"/>
    <w:rsid w:val="009272A7"/>
    <w:rsid w:val="00927503"/>
    <w:rsid w:val="00927C34"/>
    <w:rsid w:val="0093052A"/>
    <w:rsid w:val="009305F8"/>
    <w:rsid w:val="009308F6"/>
    <w:rsid w:val="00930DE8"/>
    <w:rsid w:val="00931038"/>
    <w:rsid w:val="009310C2"/>
    <w:rsid w:val="0093192A"/>
    <w:rsid w:val="00931BC4"/>
    <w:rsid w:val="00931C7B"/>
    <w:rsid w:val="00931D84"/>
    <w:rsid w:val="009321E7"/>
    <w:rsid w:val="009322D4"/>
    <w:rsid w:val="009326A2"/>
    <w:rsid w:val="00932A5A"/>
    <w:rsid w:val="00933472"/>
    <w:rsid w:val="0093355A"/>
    <w:rsid w:val="009335F1"/>
    <w:rsid w:val="00934174"/>
    <w:rsid w:val="009341EF"/>
    <w:rsid w:val="00934653"/>
    <w:rsid w:val="009347B1"/>
    <w:rsid w:val="00934DB0"/>
    <w:rsid w:val="00935612"/>
    <w:rsid w:val="0093605E"/>
    <w:rsid w:val="009360B8"/>
    <w:rsid w:val="00936307"/>
    <w:rsid w:val="0093644A"/>
    <w:rsid w:val="00937252"/>
    <w:rsid w:val="0093743E"/>
    <w:rsid w:val="0093778C"/>
    <w:rsid w:val="00937B33"/>
    <w:rsid w:val="00937D2A"/>
    <w:rsid w:val="00937FB9"/>
    <w:rsid w:val="00940015"/>
    <w:rsid w:val="00940839"/>
    <w:rsid w:val="00940ABC"/>
    <w:rsid w:val="00940EF6"/>
    <w:rsid w:val="009413D0"/>
    <w:rsid w:val="00941426"/>
    <w:rsid w:val="00941675"/>
    <w:rsid w:val="009417E3"/>
    <w:rsid w:val="00942053"/>
    <w:rsid w:val="009429BF"/>
    <w:rsid w:val="00942A79"/>
    <w:rsid w:val="00942C60"/>
    <w:rsid w:val="009435BC"/>
    <w:rsid w:val="00943C17"/>
    <w:rsid w:val="00943C8C"/>
    <w:rsid w:val="00943E9E"/>
    <w:rsid w:val="00944088"/>
    <w:rsid w:val="00944751"/>
    <w:rsid w:val="00944887"/>
    <w:rsid w:val="00944A96"/>
    <w:rsid w:val="0094552C"/>
    <w:rsid w:val="0094572E"/>
    <w:rsid w:val="00945779"/>
    <w:rsid w:val="0094685C"/>
    <w:rsid w:val="00947730"/>
    <w:rsid w:val="009479F0"/>
    <w:rsid w:val="00947AC7"/>
    <w:rsid w:val="00950498"/>
    <w:rsid w:val="009504A6"/>
    <w:rsid w:val="009506A4"/>
    <w:rsid w:val="009506CB"/>
    <w:rsid w:val="00950BC2"/>
    <w:rsid w:val="00950CB3"/>
    <w:rsid w:val="00950F46"/>
    <w:rsid w:val="00951795"/>
    <w:rsid w:val="00952FAE"/>
    <w:rsid w:val="00953116"/>
    <w:rsid w:val="00953368"/>
    <w:rsid w:val="009534EE"/>
    <w:rsid w:val="00953E54"/>
    <w:rsid w:val="009540AA"/>
    <w:rsid w:val="0095439D"/>
    <w:rsid w:val="00954743"/>
    <w:rsid w:val="00955AB2"/>
    <w:rsid w:val="00955EEC"/>
    <w:rsid w:val="009574FF"/>
    <w:rsid w:val="0095761B"/>
    <w:rsid w:val="0095796D"/>
    <w:rsid w:val="00957A61"/>
    <w:rsid w:val="00957F67"/>
    <w:rsid w:val="0096034E"/>
    <w:rsid w:val="00960863"/>
    <w:rsid w:val="00960B01"/>
    <w:rsid w:val="00960B35"/>
    <w:rsid w:val="00960BFE"/>
    <w:rsid w:val="009612C7"/>
    <w:rsid w:val="009614F2"/>
    <w:rsid w:val="00961902"/>
    <w:rsid w:val="00961932"/>
    <w:rsid w:val="00961DDD"/>
    <w:rsid w:val="00961F92"/>
    <w:rsid w:val="00962023"/>
    <w:rsid w:val="009620AE"/>
    <w:rsid w:val="00962257"/>
    <w:rsid w:val="00962721"/>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933"/>
    <w:rsid w:val="00966D11"/>
    <w:rsid w:val="00966E90"/>
    <w:rsid w:val="0096700A"/>
    <w:rsid w:val="009670C6"/>
    <w:rsid w:val="00967631"/>
    <w:rsid w:val="00967721"/>
    <w:rsid w:val="00967B0F"/>
    <w:rsid w:val="00967D1B"/>
    <w:rsid w:val="00967D88"/>
    <w:rsid w:val="0097029A"/>
    <w:rsid w:val="009703D4"/>
    <w:rsid w:val="009703DB"/>
    <w:rsid w:val="00970E93"/>
    <w:rsid w:val="00970F72"/>
    <w:rsid w:val="009715FD"/>
    <w:rsid w:val="00971680"/>
    <w:rsid w:val="009716BE"/>
    <w:rsid w:val="00971AB4"/>
    <w:rsid w:val="00971E13"/>
    <w:rsid w:val="00971E41"/>
    <w:rsid w:val="00971ED5"/>
    <w:rsid w:val="00971F96"/>
    <w:rsid w:val="009721EC"/>
    <w:rsid w:val="0097248F"/>
    <w:rsid w:val="009724E3"/>
    <w:rsid w:val="009726BB"/>
    <w:rsid w:val="00972772"/>
    <w:rsid w:val="0097339E"/>
    <w:rsid w:val="009734E5"/>
    <w:rsid w:val="00973664"/>
    <w:rsid w:val="00973740"/>
    <w:rsid w:val="00974038"/>
    <w:rsid w:val="009740C5"/>
    <w:rsid w:val="00974127"/>
    <w:rsid w:val="009742DE"/>
    <w:rsid w:val="00974531"/>
    <w:rsid w:val="009760D6"/>
    <w:rsid w:val="009764CB"/>
    <w:rsid w:val="009764F3"/>
    <w:rsid w:val="0097658B"/>
    <w:rsid w:val="00976627"/>
    <w:rsid w:val="00977136"/>
    <w:rsid w:val="0097771D"/>
    <w:rsid w:val="009778EA"/>
    <w:rsid w:val="00977D13"/>
    <w:rsid w:val="00977EF3"/>
    <w:rsid w:val="00980110"/>
    <w:rsid w:val="0098021F"/>
    <w:rsid w:val="009802D7"/>
    <w:rsid w:val="00981051"/>
    <w:rsid w:val="0098198A"/>
    <w:rsid w:val="009820C0"/>
    <w:rsid w:val="00982F39"/>
    <w:rsid w:val="0098301E"/>
    <w:rsid w:val="0098307F"/>
    <w:rsid w:val="00983360"/>
    <w:rsid w:val="009834B1"/>
    <w:rsid w:val="00983653"/>
    <w:rsid w:val="009837DB"/>
    <w:rsid w:val="00983D4B"/>
    <w:rsid w:val="00983ED8"/>
    <w:rsid w:val="00984488"/>
    <w:rsid w:val="00984BB2"/>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51"/>
    <w:rsid w:val="00987088"/>
    <w:rsid w:val="00987161"/>
    <w:rsid w:val="0098724E"/>
    <w:rsid w:val="009901D8"/>
    <w:rsid w:val="009904A3"/>
    <w:rsid w:val="009905BE"/>
    <w:rsid w:val="00990889"/>
    <w:rsid w:val="00990C93"/>
    <w:rsid w:val="009910C7"/>
    <w:rsid w:val="00991408"/>
    <w:rsid w:val="00991750"/>
    <w:rsid w:val="009919D3"/>
    <w:rsid w:val="00991A47"/>
    <w:rsid w:val="00991A6C"/>
    <w:rsid w:val="009922D4"/>
    <w:rsid w:val="00992909"/>
    <w:rsid w:val="00992E2B"/>
    <w:rsid w:val="0099326B"/>
    <w:rsid w:val="00993709"/>
    <w:rsid w:val="00993E97"/>
    <w:rsid w:val="00994373"/>
    <w:rsid w:val="00994589"/>
    <w:rsid w:val="009946FA"/>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39F"/>
    <w:rsid w:val="009A168E"/>
    <w:rsid w:val="009A1784"/>
    <w:rsid w:val="009A1898"/>
    <w:rsid w:val="009A19F6"/>
    <w:rsid w:val="009A1BED"/>
    <w:rsid w:val="009A1F17"/>
    <w:rsid w:val="009A211B"/>
    <w:rsid w:val="009A23CD"/>
    <w:rsid w:val="009A2569"/>
    <w:rsid w:val="009A29A8"/>
    <w:rsid w:val="009A2A53"/>
    <w:rsid w:val="009A2B2C"/>
    <w:rsid w:val="009A2F01"/>
    <w:rsid w:val="009A3684"/>
    <w:rsid w:val="009A3B68"/>
    <w:rsid w:val="009A3DFA"/>
    <w:rsid w:val="009A44BC"/>
    <w:rsid w:val="009A462B"/>
    <w:rsid w:val="009A5143"/>
    <w:rsid w:val="009A551C"/>
    <w:rsid w:val="009A5A94"/>
    <w:rsid w:val="009A5E50"/>
    <w:rsid w:val="009A5FC9"/>
    <w:rsid w:val="009A622D"/>
    <w:rsid w:val="009A6492"/>
    <w:rsid w:val="009A652A"/>
    <w:rsid w:val="009A6F7A"/>
    <w:rsid w:val="009A721A"/>
    <w:rsid w:val="009A73B2"/>
    <w:rsid w:val="009A7BA2"/>
    <w:rsid w:val="009A7ED6"/>
    <w:rsid w:val="009B00B6"/>
    <w:rsid w:val="009B04B4"/>
    <w:rsid w:val="009B08ED"/>
    <w:rsid w:val="009B0EBB"/>
    <w:rsid w:val="009B156A"/>
    <w:rsid w:val="009B187F"/>
    <w:rsid w:val="009B2151"/>
    <w:rsid w:val="009B23CC"/>
    <w:rsid w:val="009B2978"/>
    <w:rsid w:val="009B2C53"/>
    <w:rsid w:val="009B2EDA"/>
    <w:rsid w:val="009B3221"/>
    <w:rsid w:val="009B34F1"/>
    <w:rsid w:val="009B3678"/>
    <w:rsid w:val="009B3C70"/>
    <w:rsid w:val="009B4155"/>
    <w:rsid w:val="009B4240"/>
    <w:rsid w:val="009B454A"/>
    <w:rsid w:val="009B4B96"/>
    <w:rsid w:val="009B4F6A"/>
    <w:rsid w:val="009B5010"/>
    <w:rsid w:val="009B5397"/>
    <w:rsid w:val="009B54FC"/>
    <w:rsid w:val="009B5597"/>
    <w:rsid w:val="009B5671"/>
    <w:rsid w:val="009B5C97"/>
    <w:rsid w:val="009B5FAD"/>
    <w:rsid w:val="009B61F0"/>
    <w:rsid w:val="009B624A"/>
    <w:rsid w:val="009B63F5"/>
    <w:rsid w:val="009B67AF"/>
    <w:rsid w:val="009B68E5"/>
    <w:rsid w:val="009B6D5B"/>
    <w:rsid w:val="009B73FD"/>
    <w:rsid w:val="009B7443"/>
    <w:rsid w:val="009B7570"/>
    <w:rsid w:val="009B75CF"/>
    <w:rsid w:val="009B75E7"/>
    <w:rsid w:val="009B7EC9"/>
    <w:rsid w:val="009B7FA7"/>
    <w:rsid w:val="009C000E"/>
    <w:rsid w:val="009C02D2"/>
    <w:rsid w:val="009C061F"/>
    <w:rsid w:val="009C0DA6"/>
    <w:rsid w:val="009C10DF"/>
    <w:rsid w:val="009C12A1"/>
    <w:rsid w:val="009C12BB"/>
    <w:rsid w:val="009C153E"/>
    <w:rsid w:val="009C162C"/>
    <w:rsid w:val="009C1775"/>
    <w:rsid w:val="009C18A5"/>
    <w:rsid w:val="009C18D2"/>
    <w:rsid w:val="009C1E32"/>
    <w:rsid w:val="009C3008"/>
    <w:rsid w:val="009C3086"/>
    <w:rsid w:val="009C3327"/>
    <w:rsid w:val="009C345D"/>
    <w:rsid w:val="009C34E7"/>
    <w:rsid w:val="009C3542"/>
    <w:rsid w:val="009C3593"/>
    <w:rsid w:val="009C3C7C"/>
    <w:rsid w:val="009C4001"/>
    <w:rsid w:val="009C470E"/>
    <w:rsid w:val="009C496B"/>
    <w:rsid w:val="009C5253"/>
    <w:rsid w:val="009C5391"/>
    <w:rsid w:val="009C5628"/>
    <w:rsid w:val="009C5B4E"/>
    <w:rsid w:val="009C5BC5"/>
    <w:rsid w:val="009C5D84"/>
    <w:rsid w:val="009C5E3E"/>
    <w:rsid w:val="009C5E85"/>
    <w:rsid w:val="009C5F63"/>
    <w:rsid w:val="009C6077"/>
    <w:rsid w:val="009C60B4"/>
    <w:rsid w:val="009C62F9"/>
    <w:rsid w:val="009C649A"/>
    <w:rsid w:val="009C656C"/>
    <w:rsid w:val="009C6A4E"/>
    <w:rsid w:val="009C6D04"/>
    <w:rsid w:val="009C6E7F"/>
    <w:rsid w:val="009C78B5"/>
    <w:rsid w:val="009D0083"/>
    <w:rsid w:val="009D0746"/>
    <w:rsid w:val="009D0EED"/>
    <w:rsid w:val="009D1068"/>
    <w:rsid w:val="009D10FE"/>
    <w:rsid w:val="009D11A6"/>
    <w:rsid w:val="009D1218"/>
    <w:rsid w:val="009D12E4"/>
    <w:rsid w:val="009D1361"/>
    <w:rsid w:val="009D15C6"/>
    <w:rsid w:val="009D183C"/>
    <w:rsid w:val="009D1954"/>
    <w:rsid w:val="009D1B6B"/>
    <w:rsid w:val="009D1C5E"/>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6802"/>
    <w:rsid w:val="009D71C4"/>
    <w:rsid w:val="009D7323"/>
    <w:rsid w:val="009D743C"/>
    <w:rsid w:val="009D74AB"/>
    <w:rsid w:val="009D792C"/>
    <w:rsid w:val="009E03CB"/>
    <w:rsid w:val="009E0569"/>
    <w:rsid w:val="009E0823"/>
    <w:rsid w:val="009E089D"/>
    <w:rsid w:val="009E0C1B"/>
    <w:rsid w:val="009E104E"/>
    <w:rsid w:val="009E1181"/>
    <w:rsid w:val="009E133F"/>
    <w:rsid w:val="009E14B4"/>
    <w:rsid w:val="009E196E"/>
    <w:rsid w:val="009E19E3"/>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AF3"/>
    <w:rsid w:val="009E6D9B"/>
    <w:rsid w:val="009E6EBD"/>
    <w:rsid w:val="009E76CF"/>
    <w:rsid w:val="009E7880"/>
    <w:rsid w:val="009E7D8A"/>
    <w:rsid w:val="009E7F9C"/>
    <w:rsid w:val="009F0534"/>
    <w:rsid w:val="009F095A"/>
    <w:rsid w:val="009F0EAD"/>
    <w:rsid w:val="009F148B"/>
    <w:rsid w:val="009F1655"/>
    <w:rsid w:val="009F1CB0"/>
    <w:rsid w:val="009F1DE3"/>
    <w:rsid w:val="009F1FF2"/>
    <w:rsid w:val="009F2185"/>
    <w:rsid w:val="009F2271"/>
    <w:rsid w:val="009F2552"/>
    <w:rsid w:val="009F29CF"/>
    <w:rsid w:val="009F2CE1"/>
    <w:rsid w:val="009F2F6E"/>
    <w:rsid w:val="009F3AE9"/>
    <w:rsid w:val="009F3B4B"/>
    <w:rsid w:val="009F3C66"/>
    <w:rsid w:val="009F3E42"/>
    <w:rsid w:val="009F3E64"/>
    <w:rsid w:val="009F405F"/>
    <w:rsid w:val="009F40E4"/>
    <w:rsid w:val="009F4433"/>
    <w:rsid w:val="009F47A9"/>
    <w:rsid w:val="009F4B18"/>
    <w:rsid w:val="009F50FB"/>
    <w:rsid w:val="009F58AC"/>
    <w:rsid w:val="009F590D"/>
    <w:rsid w:val="009F5973"/>
    <w:rsid w:val="009F5C9B"/>
    <w:rsid w:val="009F6512"/>
    <w:rsid w:val="009F6A4E"/>
    <w:rsid w:val="009F6AD3"/>
    <w:rsid w:val="009F6BCE"/>
    <w:rsid w:val="009F6C00"/>
    <w:rsid w:val="009F6DBF"/>
    <w:rsid w:val="009F6F48"/>
    <w:rsid w:val="009F6FE8"/>
    <w:rsid w:val="009F7827"/>
    <w:rsid w:val="009F7F00"/>
    <w:rsid w:val="00A00387"/>
    <w:rsid w:val="00A00EED"/>
    <w:rsid w:val="00A01753"/>
    <w:rsid w:val="00A01E8E"/>
    <w:rsid w:val="00A02134"/>
    <w:rsid w:val="00A02737"/>
    <w:rsid w:val="00A0282E"/>
    <w:rsid w:val="00A02D0F"/>
    <w:rsid w:val="00A03039"/>
    <w:rsid w:val="00A036E6"/>
    <w:rsid w:val="00A03CFE"/>
    <w:rsid w:val="00A04635"/>
    <w:rsid w:val="00A04ABC"/>
    <w:rsid w:val="00A04DC0"/>
    <w:rsid w:val="00A054C8"/>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71F"/>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17"/>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76D"/>
    <w:rsid w:val="00A1699B"/>
    <w:rsid w:val="00A16A2D"/>
    <w:rsid w:val="00A16ACF"/>
    <w:rsid w:val="00A16AF9"/>
    <w:rsid w:val="00A170ED"/>
    <w:rsid w:val="00A17352"/>
    <w:rsid w:val="00A1798B"/>
    <w:rsid w:val="00A17B04"/>
    <w:rsid w:val="00A201DA"/>
    <w:rsid w:val="00A210D1"/>
    <w:rsid w:val="00A213EE"/>
    <w:rsid w:val="00A21475"/>
    <w:rsid w:val="00A220E4"/>
    <w:rsid w:val="00A22251"/>
    <w:rsid w:val="00A22961"/>
    <w:rsid w:val="00A229A3"/>
    <w:rsid w:val="00A22A23"/>
    <w:rsid w:val="00A23173"/>
    <w:rsid w:val="00A23571"/>
    <w:rsid w:val="00A2361A"/>
    <w:rsid w:val="00A23854"/>
    <w:rsid w:val="00A238C4"/>
    <w:rsid w:val="00A23DA1"/>
    <w:rsid w:val="00A24122"/>
    <w:rsid w:val="00A2436B"/>
    <w:rsid w:val="00A246AF"/>
    <w:rsid w:val="00A24BDF"/>
    <w:rsid w:val="00A252A7"/>
    <w:rsid w:val="00A25374"/>
    <w:rsid w:val="00A258E2"/>
    <w:rsid w:val="00A2602A"/>
    <w:rsid w:val="00A261AF"/>
    <w:rsid w:val="00A264A4"/>
    <w:rsid w:val="00A265C9"/>
    <w:rsid w:val="00A2708F"/>
    <w:rsid w:val="00A2718C"/>
    <w:rsid w:val="00A27D6A"/>
    <w:rsid w:val="00A27ECA"/>
    <w:rsid w:val="00A300E8"/>
    <w:rsid w:val="00A30A1E"/>
    <w:rsid w:val="00A3141C"/>
    <w:rsid w:val="00A31DC8"/>
    <w:rsid w:val="00A32363"/>
    <w:rsid w:val="00A3257B"/>
    <w:rsid w:val="00A32C72"/>
    <w:rsid w:val="00A33C45"/>
    <w:rsid w:val="00A3408F"/>
    <w:rsid w:val="00A345FB"/>
    <w:rsid w:val="00A34829"/>
    <w:rsid w:val="00A3483B"/>
    <w:rsid w:val="00A3492E"/>
    <w:rsid w:val="00A34BC5"/>
    <w:rsid w:val="00A3532E"/>
    <w:rsid w:val="00A359D7"/>
    <w:rsid w:val="00A35E28"/>
    <w:rsid w:val="00A3613D"/>
    <w:rsid w:val="00A3648B"/>
    <w:rsid w:val="00A36B21"/>
    <w:rsid w:val="00A36C58"/>
    <w:rsid w:val="00A36E34"/>
    <w:rsid w:val="00A36FBB"/>
    <w:rsid w:val="00A37238"/>
    <w:rsid w:val="00A373EB"/>
    <w:rsid w:val="00A3750A"/>
    <w:rsid w:val="00A37612"/>
    <w:rsid w:val="00A37B50"/>
    <w:rsid w:val="00A37B88"/>
    <w:rsid w:val="00A402A7"/>
    <w:rsid w:val="00A40548"/>
    <w:rsid w:val="00A407A9"/>
    <w:rsid w:val="00A40942"/>
    <w:rsid w:val="00A40990"/>
    <w:rsid w:val="00A411A0"/>
    <w:rsid w:val="00A411F8"/>
    <w:rsid w:val="00A41A93"/>
    <w:rsid w:val="00A421A7"/>
    <w:rsid w:val="00A424A5"/>
    <w:rsid w:val="00A4252F"/>
    <w:rsid w:val="00A4292D"/>
    <w:rsid w:val="00A42DD2"/>
    <w:rsid w:val="00A431A9"/>
    <w:rsid w:val="00A434BE"/>
    <w:rsid w:val="00A436A7"/>
    <w:rsid w:val="00A439C3"/>
    <w:rsid w:val="00A43B0C"/>
    <w:rsid w:val="00A43CFF"/>
    <w:rsid w:val="00A44241"/>
    <w:rsid w:val="00A44957"/>
    <w:rsid w:val="00A44B84"/>
    <w:rsid w:val="00A44DD3"/>
    <w:rsid w:val="00A45078"/>
    <w:rsid w:val="00A45089"/>
    <w:rsid w:val="00A458A5"/>
    <w:rsid w:val="00A458F0"/>
    <w:rsid w:val="00A460F3"/>
    <w:rsid w:val="00A4616A"/>
    <w:rsid w:val="00A46223"/>
    <w:rsid w:val="00A469CA"/>
    <w:rsid w:val="00A46F59"/>
    <w:rsid w:val="00A47239"/>
    <w:rsid w:val="00A4731E"/>
    <w:rsid w:val="00A473A6"/>
    <w:rsid w:val="00A47426"/>
    <w:rsid w:val="00A474A3"/>
    <w:rsid w:val="00A477B2"/>
    <w:rsid w:val="00A47AB5"/>
    <w:rsid w:val="00A47FC1"/>
    <w:rsid w:val="00A502F9"/>
    <w:rsid w:val="00A504F3"/>
    <w:rsid w:val="00A50A7D"/>
    <w:rsid w:val="00A50D60"/>
    <w:rsid w:val="00A50E42"/>
    <w:rsid w:val="00A514DF"/>
    <w:rsid w:val="00A5186F"/>
    <w:rsid w:val="00A51F30"/>
    <w:rsid w:val="00A52929"/>
    <w:rsid w:val="00A533B8"/>
    <w:rsid w:val="00A533DD"/>
    <w:rsid w:val="00A535EF"/>
    <w:rsid w:val="00A53A1A"/>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576"/>
    <w:rsid w:val="00A56B1B"/>
    <w:rsid w:val="00A56BA1"/>
    <w:rsid w:val="00A56FB4"/>
    <w:rsid w:val="00A571DC"/>
    <w:rsid w:val="00A571E5"/>
    <w:rsid w:val="00A5798B"/>
    <w:rsid w:val="00A57B65"/>
    <w:rsid w:val="00A57ECE"/>
    <w:rsid w:val="00A57FDB"/>
    <w:rsid w:val="00A6019D"/>
    <w:rsid w:val="00A60319"/>
    <w:rsid w:val="00A60492"/>
    <w:rsid w:val="00A60598"/>
    <w:rsid w:val="00A6080D"/>
    <w:rsid w:val="00A60C06"/>
    <w:rsid w:val="00A60FDA"/>
    <w:rsid w:val="00A61061"/>
    <w:rsid w:val="00A61508"/>
    <w:rsid w:val="00A6236F"/>
    <w:rsid w:val="00A6242B"/>
    <w:rsid w:val="00A62C01"/>
    <w:rsid w:val="00A633F1"/>
    <w:rsid w:val="00A63510"/>
    <w:rsid w:val="00A6382D"/>
    <w:rsid w:val="00A63C7F"/>
    <w:rsid w:val="00A63C83"/>
    <w:rsid w:val="00A63CC5"/>
    <w:rsid w:val="00A63CFB"/>
    <w:rsid w:val="00A63D3F"/>
    <w:rsid w:val="00A63F22"/>
    <w:rsid w:val="00A643AA"/>
    <w:rsid w:val="00A643CD"/>
    <w:rsid w:val="00A64DA4"/>
    <w:rsid w:val="00A6503D"/>
    <w:rsid w:val="00A65A53"/>
    <w:rsid w:val="00A65BA8"/>
    <w:rsid w:val="00A65C18"/>
    <w:rsid w:val="00A65E61"/>
    <w:rsid w:val="00A66595"/>
    <w:rsid w:val="00A665B0"/>
    <w:rsid w:val="00A666C1"/>
    <w:rsid w:val="00A6692E"/>
    <w:rsid w:val="00A66B73"/>
    <w:rsid w:val="00A66F52"/>
    <w:rsid w:val="00A66F54"/>
    <w:rsid w:val="00A67400"/>
    <w:rsid w:val="00A67A34"/>
    <w:rsid w:val="00A70407"/>
    <w:rsid w:val="00A705CE"/>
    <w:rsid w:val="00A70995"/>
    <w:rsid w:val="00A7120B"/>
    <w:rsid w:val="00A71227"/>
    <w:rsid w:val="00A71298"/>
    <w:rsid w:val="00A7131A"/>
    <w:rsid w:val="00A7169A"/>
    <w:rsid w:val="00A7216F"/>
    <w:rsid w:val="00A721D5"/>
    <w:rsid w:val="00A72601"/>
    <w:rsid w:val="00A7295B"/>
    <w:rsid w:val="00A72F51"/>
    <w:rsid w:val="00A732A9"/>
    <w:rsid w:val="00A732B3"/>
    <w:rsid w:val="00A73BED"/>
    <w:rsid w:val="00A73E82"/>
    <w:rsid w:val="00A73F8C"/>
    <w:rsid w:val="00A741E2"/>
    <w:rsid w:val="00A744B1"/>
    <w:rsid w:val="00A746F8"/>
    <w:rsid w:val="00A74C6B"/>
    <w:rsid w:val="00A74C7D"/>
    <w:rsid w:val="00A74CA8"/>
    <w:rsid w:val="00A751AB"/>
    <w:rsid w:val="00A756C9"/>
    <w:rsid w:val="00A764EE"/>
    <w:rsid w:val="00A7651E"/>
    <w:rsid w:val="00A7663E"/>
    <w:rsid w:val="00A7671B"/>
    <w:rsid w:val="00A76A8C"/>
    <w:rsid w:val="00A76B43"/>
    <w:rsid w:val="00A76C6E"/>
    <w:rsid w:val="00A76E97"/>
    <w:rsid w:val="00A772C7"/>
    <w:rsid w:val="00A77637"/>
    <w:rsid w:val="00A776BC"/>
    <w:rsid w:val="00A77A65"/>
    <w:rsid w:val="00A77B0E"/>
    <w:rsid w:val="00A803BA"/>
    <w:rsid w:val="00A80493"/>
    <w:rsid w:val="00A80CC7"/>
    <w:rsid w:val="00A80D97"/>
    <w:rsid w:val="00A8103F"/>
    <w:rsid w:val="00A81547"/>
    <w:rsid w:val="00A81753"/>
    <w:rsid w:val="00A81878"/>
    <w:rsid w:val="00A81C1A"/>
    <w:rsid w:val="00A81F14"/>
    <w:rsid w:val="00A81FA9"/>
    <w:rsid w:val="00A82855"/>
    <w:rsid w:val="00A829DE"/>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4DA"/>
    <w:rsid w:val="00A8574C"/>
    <w:rsid w:val="00A85B7F"/>
    <w:rsid w:val="00A85EFF"/>
    <w:rsid w:val="00A86373"/>
    <w:rsid w:val="00A86633"/>
    <w:rsid w:val="00A86746"/>
    <w:rsid w:val="00A86B37"/>
    <w:rsid w:val="00A874C4"/>
    <w:rsid w:val="00A87A21"/>
    <w:rsid w:val="00A87B5D"/>
    <w:rsid w:val="00A90302"/>
    <w:rsid w:val="00A903EB"/>
    <w:rsid w:val="00A908EE"/>
    <w:rsid w:val="00A910A9"/>
    <w:rsid w:val="00A910F1"/>
    <w:rsid w:val="00A91510"/>
    <w:rsid w:val="00A9161C"/>
    <w:rsid w:val="00A918C6"/>
    <w:rsid w:val="00A9287A"/>
    <w:rsid w:val="00A9291A"/>
    <w:rsid w:val="00A92CA0"/>
    <w:rsid w:val="00A92F73"/>
    <w:rsid w:val="00A930E0"/>
    <w:rsid w:val="00A932C0"/>
    <w:rsid w:val="00A934EF"/>
    <w:rsid w:val="00A93E8C"/>
    <w:rsid w:val="00A94B31"/>
    <w:rsid w:val="00A94BF6"/>
    <w:rsid w:val="00A94CA2"/>
    <w:rsid w:val="00A94D08"/>
    <w:rsid w:val="00A94D82"/>
    <w:rsid w:val="00A94E60"/>
    <w:rsid w:val="00A9543E"/>
    <w:rsid w:val="00A95B21"/>
    <w:rsid w:val="00A95BB9"/>
    <w:rsid w:val="00A95CFB"/>
    <w:rsid w:val="00A95EB8"/>
    <w:rsid w:val="00A962D1"/>
    <w:rsid w:val="00A965C7"/>
    <w:rsid w:val="00A9668A"/>
    <w:rsid w:val="00A9671A"/>
    <w:rsid w:val="00A968C7"/>
    <w:rsid w:val="00A96A02"/>
    <w:rsid w:val="00A96A28"/>
    <w:rsid w:val="00A96B91"/>
    <w:rsid w:val="00A96BC1"/>
    <w:rsid w:val="00A9711F"/>
    <w:rsid w:val="00A973E8"/>
    <w:rsid w:val="00A97439"/>
    <w:rsid w:val="00A9745D"/>
    <w:rsid w:val="00A97632"/>
    <w:rsid w:val="00AA0C1C"/>
    <w:rsid w:val="00AA0C37"/>
    <w:rsid w:val="00AA0E5C"/>
    <w:rsid w:val="00AA1555"/>
    <w:rsid w:val="00AA1805"/>
    <w:rsid w:val="00AA1BDB"/>
    <w:rsid w:val="00AA1EAB"/>
    <w:rsid w:val="00AA209F"/>
    <w:rsid w:val="00AA2141"/>
    <w:rsid w:val="00AA22FA"/>
    <w:rsid w:val="00AA238A"/>
    <w:rsid w:val="00AA25AA"/>
    <w:rsid w:val="00AA2CA4"/>
    <w:rsid w:val="00AA33B9"/>
    <w:rsid w:val="00AA34E5"/>
    <w:rsid w:val="00AA37FF"/>
    <w:rsid w:val="00AA448A"/>
    <w:rsid w:val="00AA464B"/>
    <w:rsid w:val="00AA47FF"/>
    <w:rsid w:val="00AA488B"/>
    <w:rsid w:val="00AA4CCC"/>
    <w:rsid w:val="00AA57AC"/>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62E"/>
    <w:rsid w:val="00AB78DB"/>
    <w:rsid w:val="00AB7971"/>
    <w:rsid w:val="00AB7A11"/>
    <w:rsid w:val="00AB7C9B"/>
    <w:rsid w:val="00AB7E68"/>
    <w:rsid w:val="00AC01F0"/>
    <w:rsid w:val="00AC02A4"/>
    <w:rsid w:val="00AC0B6E"/>
    <w:rsid w:val="00AC0D67"/>
    <w:rsid w:val="00AC1913"/>
    <w:rsid w:val="00AC2210"/>
    <w:rsid w:val="00AC221D"/>
    <w:rsid w:val="00AC262C"/>
    <w:rsid w:val="00AC2DAE"/>
    <w:rsid w:val="00AC320A"/>
    <w:rsid w:val="00AC34EA"/>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245"/>
    <w:rsid w:val="00AC78FF"/>
    <w:rsid w:val="00AC7B3F"/>
    <w:rsid w:val="00AC7CE1"/>
    <w:rsid w:val="00AD08E4"/>
    <w:rsid w:val="00AD110B"/>
    <w:rsid w:val="00AD11E1"/>
    <w:rsid w:val="00AD135B"/>
    <w:rsid w:val="00AD1474"/>
    <w:rsid w:val="00AD14F6"/>
    <w:rsid w:val="00AD1524"/>
    <w:rsid w:val="00AD1C6E"/>
    <w:rsid w:val="00AD231E"/>
    <w:rsid w:val="00AD2639"/>
    <w:rsid w:val="00AD26EC"/>
    <w:rsid w:val="00AD4854"/>
    <w:rsid w:val="00AD4AFB"/>
    <w:rsid w:val="00AD4C96"/>
    <w:rsid w:val="00AD4F19"/>
    <w:rsid w:val="00AD5464"/>
    <w:rsid w:val="00AD5582"/>
    <w:rsid w:val="00AD597F"/>
    <w:rsid w:val="00AD5A19"/>
    <w:rsid w:val="00AD5AD7"/>
    <w:rsid w:val="00AD603B"/>
    <w:rsid w:val="00AD607C"/>
    <w:rsid w:val="00AD61F4"/>
    <w:rsid w:val="00AD64D3"/>
    <w:rsid w:val="00AD6C1A"/>
    <w:rsid w:val="00AD6D4B"/>
    <w:rsid w:val="00AD77BB"/>
    <w:rsid w:val="00AD79FC"/>
    <w:rsid w:val="00AD7C68"/>
    <w:rsid w:val="00AD7F39"/>
    <w:rsid w:val="00AE03BD"/>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27F"/>
    <w:rsid w:val="00AE34AD"/>
    <w:rsid w:val="00AE385C"/>
    <w:rsid w:val="00AE3B75"/>
    <w:rsid w:val="00AE3E09"/>
    <w:rsid w:val="00AE3E7C"/>
    <w:rsid w:val="00AE3ED8"/>
    <w:rsid w:val="00AE5197"/>
    <w:rsid w:val="00AE51BC"/>
    <w:rsid w:val="00AE58F1"/>
    <w:rsid w:val="00AE5BA9"/>
    <w:rsid w:val="00AE5BF6"/>
    <w:rsid w:val="00AE5CB3"/>
    <w:rsid w:val="00AE5D2D"/>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7DB"/>
    <w:rsid w:val="00AF1AD0"/>
    <w:rsid w:val="00AF1CB0"/>
    <w:rsid w:val="00AF1DBF"/>
    <w:rsid w:val="00AF23ED"/>
    <w:rsid w:val="00AF29DF"/>
    <w:rsid w:val="00AF2E6B"/>
    <w:rsid w:val="00AF2FF7"/>
    <w:rsid w:val="00AF306D"/>
    <w:rsid w:val="00AF34FC"/>
    <w:rsid w:val="00AF3732"/>
    <w:rsid w:val="00AF38C6"/>
    <w:rsid w:val="00AF3B5D"/>
    <w:rsid w:val="00AF3EFB"/>
    <w:rsid w:val="00AF4007"/>
    <w:rsid w:val="00AF40D9"/>
    <w:rsid w:val="00AF41BB"/>
    <w:rsid w:val="00AF4746"/>
    <w:rsid w:val="00AF4A98"/>
    <w:rsid w:val="00AF5414"/>
    <w:rsid w:val="00AF590C"/>
    <w:rsid w:val="00AF5A7C"/>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03"/>
    <w:rsid w:val="00B01949"/>
    <w:rsid w:val="00B02160"/>
    <w:rsid w:val="00B02405"/>
    <w:rsid w:val="00B025B7"/>
    <w:rsid w:val="00B0275C"/>
    <w:rsid w:val="00B0276C"/>
    <w:rsid w:val="00B029DB"/>
    <w:rsid w:val="00B02A29"/>
    <w:rsid w:val="00B02B1E"/>
    <w:rsid w:val="00B02B97"/>
    <w:rsid w:val="00B02BAF"/>
    <w:rsid w:val="00B033D2"/>
    <w:rsid w:val="00B03730"/>
    <w:rsid w:val="00B03886"/>
    <w:rsid w:val="00B03BEA"/>
    <w:rsid w:val="00B04A5D"/>
    <w:rsid w:val="00B04DBB"/>
    <w:rsid w:val="00B051EE"/>
    <w:rsid w:val="00B05579"/>
    <w:rsid w:val="00B05583"/>
    <w:rsid w:val="00B056C0"/>
    <w:rsid w:val="00B0582D"/>
    <w:rsid w:val="00B05CDF"/>
    <w:rsid w:val="00B05DD1"/>
    <w:rsid w:val="00B05E6E"/>
    <w:rsid w:val="00B05FC9"/>
    <w:rsid w:val="00B06127"/>
    <w:rsid w:val="00B06138"/>
    <w:rsid w:val="00B0620C"/>
    <w:rsid w:val="00B062D5"/>
    <w:rsid w:val="00B063DE"/>
    <w:rsid w:val="00B06965"/>
    <w:rsid w:val="00B06970"/>
    <w:rsid w:val="00B06B06"/>
    <w:rsid w:val="00B06F3E"/>
    <w:rsid w:val="00B06F73"/>
    <w:rsid w:val="00B07025"/>
    <w:rsid w:val="00B07880"/>
    <w:rsid w:val="00B079FF"/>
    <w:rsid w:val="00B107AA"/>
    <w:rsid w:val="00B108AE"/>
    <w:rsid w:val="00B10941"/>
    <w:rsid w:val="00B10F6B"/>
    <w:rsid w:val="00B11243"/>
    <w:rsid w:val="00B11A01"/>
    <w:rsid w:val="00B11A84"/>
    <w:rsid w:val="00B11BF7"/>
    <w:rsid w:val="00B11C53"/>
    <w:rsid w:val="00B11F25"/>
    <w:rsid w:val="00B12081"/>
    <w:rsid w:val="00B12310"/>
    <w:rsid w:val="00B12978"/>
    <w:rsid w:val="00B12A44"/>
    <w:rsid w:val="00B12BF3"/>
    <w:rsid w:val="00B12EC5"/>
    <w:rsid w:val="00B1375B"/>
    <w:rsid w:val="00B13922"/>
    <w:rsid w:val="00B14380"/>
    <w:rsid w:val="00B14528"/>
    <w:rsid w:val="00B145B0"/>
    <w:rsid w:val="00B147CC"/>
    <w:rsid w:val="00B148DB"/>
    <w:rsid w:val="00B14D95"/>
    <w:rsid w:val="00B1520C"/>
    <w:rsid w:val="00B158C8"/>
    <w:rsid w:val="00B15962"/>
    <w:rsid w:val="00B15A00"/>
    <w:rsid w:val="00B15C98"/>
    <w:rsid w:val="00B15D92"/>
    <w:rsid w:val="00B15F35"/>
    <w:rsid w:val="00B16069"/>
    <w:rsid w:val="00B1670D"/>
    <w:rsid w:val="00B16CF2"/>
    <w:rsid w:val="00B16E98"/>
    <w:rsid w:val="00B16FA4"/>
    <w:rsid w:val="00B1752F"/>
    <w:rsid w:val="00B209C8"/>
    <w:rsid w:val="00B20A72"/>
    <w:rsid w:val="00B20B99"/>
    <w:rsid w:val="00B20DC9"/>
    <w:rsid w:val="00B214E2"/>
    <w:rsid w:val="00B214FF"/>
    <w:rsid w:val="00B2187A"/>
    <w:rsid w:val="00B219CC"/>
    <w:rsid w:val="00B2231E"/>
    <w:rsid w:val="00B22823"/>
    <w:rsid w:val="00B22A98"/>
    <w:rsid w:val="00B22CEC"/>
    <w:rsid w:val="00B23133"/>
    <w:rsid w:val="00B23317"/>
    <w:rsid w:val="00B23369"/>
    <w:rsid w:val="00B23641"/>
    <w:rsid w:val="00B2370F"/>
    <w:rsid w:val="00B23740"/>
    <w:rsid w:val="00B239E0"/>
    <w:rsid w:val="00B23F69"/>
    <w:rsid w:val="00B2433E"/>
    <w:rsid w:val="00B24748"/>
    <w:rsid w:val="00B26719"/>
    <w:rsid w:val="00B26B27"/>
    <w:rsid w:val="00B26D00"/>
    <w:rsid w:val="00B26D6B"/>
    <w:rsid w:val="00B270E2"/>
    <w:rsid w:val="00B2737F"/>
    <w:rsid w:val="00B30B43"/>
    <w:rsid w:val="00B30CD4"/>
    <w:rsid w:val="00B318E5"/>
    <w:rsid w:val="00B31AF5"/>
    <w:rsid w:val="00B31BED"/>
    <w:rsid w:val="00B31C04"/>
    <w:rsid w:val="00B31EDC"/>
    <w:rsid w:val="00B31FD6"/>
    <w:rsid w:val="00B32323"/>
    <w:rsid w:val="00B33615"/>
    <w:rsid w:val="00B33918"/>
    <w:rsid w:val="00B3392D"/>
    <w:rsid w:val="00B33E5C"/>
    <w:rsid w:val="00B34008"/>
    <w:rsid w:val="00B343AA"/>
    <w:rsid w:val="00B347F2"/>
    <w:rsid w:val="00B349CC"/>
    <w:rsid w:val="00B34C66"/>
    <w:rsid w:val="00B35A1C"/>
    <w:rsid w:val="00B35A36"/>
    <w:rsid w:val="00B35C0A"/>
    <w:rsid w:val="00B35C48"/>
    <w:rsid w:val="00B36538"/>
    <w:rsid w:val="00B365F6"/>
    <w:rsid w:val="00B36652"/>
    <w:rsid w:val="00B36A29"/>
    <w:rsid w:val="00B36B94"/>
    <w:rsid w:val="00B37107"/>
    <w:rsid w:val="00B37571"/>
    <w:rsid w:val="00B376C7"/>
    <w:rsid w:val="00B378D5"/>
    <w:rsid w:val="00B37957"/>
    <w:rsid w:val="00B37BBE"/>
    <w:rsid w:val="00B37E1B"/>
    <w:rsid w:val="00B37E9D"/>
    <w:rsid w:val="00B406BE"/>
    <w:rsid w:val="00B4084E"/>
    <w:rsid w:val="00B40B0F"/>
    <w:rsid w:val="00B40B41"/>
    <w:rsid w:val="00B40C0D"/>
    <w:rsid w:val="00B40DDA"/>
    <w:rsid w:val="00B40FB1"/>
    <w:rsid w:val="00B414C0"/>
    <w:rsid w:val="00B41592"/>
    <w:rsid w:val="00B41605"/>
    <w:rsid w:val="00B416C2"/>
    <w:rsid w:val="00B4171E"/>
    <w:rsid w:val="00B41781"/>
    <w:rsid w:val="00B42272"/>
    <w:rsid w:val="00B42851"/>
    <w:rsid w:val="00B43352"/>
    <w:rsid w:val="00B435E3"/>
    <w:rsid w:val="00B439B6"/>
    <w:rsid w:val="00B441CB"/>
    <w:rsid w:val="00B44B2F"/>
    <w:rsid w:val="00B44DA9"/>
    <w:rsid w:val="00B45329"/>
    <w:rsid w:val="00B4564D"/>
    <w:rsid w:val="00B4585C"/>
    <w:rsid w:val="00B458E3"/>
    <w:rsid w:val="00B45B8D"/>
    <w:rsid w:val="00B45DCB"/>
    <w:rsid w:val="00B45DFF"/>
    <w:rsid w:val="00B46467"/>
    <w:rsid w:val="00B469BE"/>
    <w:rsid w:val="00B46BCD"/>
    <w:rsid w:val="00B471BA"/>
    <w:rsid w:val="00B47AB7"/>
    <w:rsid w:val="00B504B8"/>
    <w:rsid w:val="00B50543"/>
    <w:rsid w:val="00B50863"/>
    <w:rsid w:val="00B51979"/>
    <w:rsid w:val="00B51BE0"/>
    <w:rsid w:val="00B52542"/>
    <w:rsid w:val="00B5270F"/>
    <w:rsid w:val="00B52AC5"/>
    <w:rsid w:val="00B52FD3"/>
    <w:rsid w:val="00B532A0"/>
    <w:rsid w:val="00B54163"/>
    <w:rsid w:val="00B54506"/>
    <w:rsid w:val="00B55000"/>
    <w:rsid w:val="00B55544"/>
    <w:rsid w:val="00B55689"/>
    <w:rsid w:val="00B5588F"/>
    <w:rsid w:val="00B55D36"/>
    <w:rsid w:val="00B56411"/>
    <w:rsid w:val="00B564B6"/>
    <w:rsid w:val="00B56612"/>
    <w:rsid w:val="00B56697"/>
    <w:rsid w:val="00B56A4A"/>
    <w:rsid w:val="00B5767E"/>
    <w:rsid w:val="00B57699"/>
    <w:rsid w:val="00B5790E"/>
    <w:rsid w:val="00B57914"/>
    <w:rsid w:val="00B57D3E"/>
    <w:rsid w:val="00B57FBD"/>
    <w:rsid w:val="00B60059"/>
    <w:rsid w:val="00B6036B"/>
    <w:rsid w:val="00B605FC"/>
    <w:rsid w:val="00B60658"/>
    <w:rsid w:val="00B60EEA"/>
    <w:rsid w:val="00B60F38"/>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5F38"/>
    <w:rsid w:val="00B66245"/>
    <w:rsid w:val="00B66730"/>
    <w:rsid w:val="00B66DAB"/>
    <w:rsid w:val="00B66EB2"/>
    <w:rsid w:val="00B677D8"/>
    <w:rsid w:val="00B67B0E"/>
    <w:rsid w:val="00B67B47"/>
    <w:rsid w:val="00B67C79"/>
    <w:rsid w:val="00B70A38"/>
    <w:rsid w:val="00B71B69"/>
    <w:rsid w:val="00B7207C"/>
    <w:rsid w:val="00B72150"/>
    <w:rsid w:val="00B721EF"/>
    <w:rsid w:val="00B725EA"/>
    <w:rsid w:val="00B736E3"/>
    <w:rsid w:val="00B7395F"/>
    <w:rsid w:val="00B73D14"/>
    <w:rsid w:val="00B7485C"/>
    <w:rsid w:val="00B7489E"/>
    <w:rsid w:val="00B74DB4"/>
    <w:rsid w:val="00B74DF5"/>
    <w:rsid w:val="00B7558C"/>
    <w:rsid w:val="00B755E1"/>
    <w:rsid w:val="00B75853"/>
    <w:rsid w:val="00B7597E"/>
    <w:rsid w:val="00B75A04"/>
    <w:rsid w:val="00B75BA3"/>
    <w:rsid w:val="00B75BF2"/>
    <w:rsid w:val="00B75CFB"/>
    <w:rsid w:val="00B76141"/>
    <w:rsid w:val="00B766C6"/>
    <w:rsid w:val="00B76E8C"/>
    <w:rsid w:val="00B76F43"/>
    <w:rsid w:val="00B76F53"/>
    <w:rsid w:val="00B77015"/>
    <w:rsid w:val="00B774DD"/>
    <w:rsid w:val="00B775B7"/>
    <w:rsid w:val="00B775FF"/>
    <w:rsid w:val="00B77743"/>
    <w:rsid w:val="00B77B17"/>
    <w:rsid w:val="00B800D5"/>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691"/>
    <w:rsid w:val="00B867D7"/>
    <w:rsid w:val="00B86BDF"/>
    <w:rsid w:val="00B86CF8"/>
    <w:rsid w:val="00B86E92"/>
    <w:rsid w:val="00B86FB9"/>
    <w:rsid w:val="00B871A1"/>
    <w:rsid w:val="00B871A5"/>
    <w:rsid w:val="00B87D80"/>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077"/>
    <w:rsid w:val="00B9311B"/>
    <w:rsid w:val="00B93419"/>
    <w:rsid w:val="00B93BAF"/>
    <w:rsid w:val="00B94179"/>
    <w:rsid w:val="00B9425B"/>
    <w:rsid w:val="00B9445F"/>
    <w:rsid w:val="00B94A0A"/>
    <w:rsid w:val="00B94D05"/>
    <w:rsid w:val="00B94F94"/>
    <w:rsid w:val="00B9558A"/>
    <w:rsid w:val="00B9562C"/>
    <w:rsid w:val="00B9570C"/>
    <w:rsid w:val="00B95F30"/>
    <w:rsid w:val="00B96084"/>
    <w:rsid w:val="00B9619A"/>
    <w:rsid w:val="00B962EC"/>
    <w:rsid w:val="00B96558"/>
    <w:rsid w:val="00B96592"/>
    <w:rsid w:val="00B9770B"/>
    <w:rsid w:val="00B97B76"/>
    <w:rsid w:val="00B97CC9"/>
    <w:rsid w:val="00B97ECB"/>
    <w:rsid w:val="00BA03BC"/>
    <w:rsid w:val="00BA075B"/>
    <w:rsid w:val="00BA0B9A"/>
    <w:rsid w:val="00BA0EF0"/>
    <w:rsid w:val="00BA127B"/>
    <w:rsid w:val="00BA155D"/>
    <w:rsid w:val="00BA1621"/>
    <w:rsid w:val="00BA189B"/>
    <w:rsid w:val="00BA23FB"/>
    <w:rsid w:val="00BA25DD"/>
    <w:rsid w:val="00BA2755"/>
    <w:rsid w:val="00BA2F72"/>
    <w:rsid w:val="00BA361F"/>
    <w:rsid w:val="00BA375E"/>
    <w:rsid w:val="00BA3E8E"/>
    <w:rsid w:val="00BA3F0C"/>
    <w:rsid w:val="00BA471A"/>
    <w:rsid w:val="00BA4A55"/>
    <w:rsid w:val="00BA4D9B"/>
    <w:rsid w:val="00BA4E11"/>
    <w:rsid w:val="00BA56BC"/>
    <w:rsid w:val="00BA5837"/>
    <w:rsid w:val="00BA67C4"/>
    <w:rsid w:val="00BA6B22"/>
    <w:rsid w:val="00BA7415"/>
    <w:rsid w:val="00BA7E18"/>
    <w:rsid w:val="00BA7F8C"/>
    <w:rsid w:val="00BB01CC"/>
    <w:rsid w:val="00BB050D"/>
    <w:rsid w:val="00BB0CD7"/>
    <w:rsid w:val="00BB0D6D"/>
    <w:rsid w:val="00BB0EB9"/>
    <w:rsid w:val="00BB13C7"/>
    <w:rsid w:val="00BB149A"/>
    <w:rsid w:val="00BB1A6A"/>
    <w:rsid w:val="00BB1EBE"/>
    <w:rsid w:val="00BB20FC"/>
    <w:rsid w:val="00BB2271"/>
    <w:rsid w:val="00BB22D8"/>
    <w:rsid w:val="00BB2E8D"/>
    <w:rsid w:val="00BB2ED3"/>
    <w:rsid w:val="00BB3464"/>
    <w:rsid w:val="00BB359F"/>
    <w:rsid w:val="00BB3616"/>
    <w:rsid w:val="00BB3C7D"/>
    <w:rsid w:val="00BB4298"/>
    <w:rsid w:val="00BB4900"/>
    <w:rsid w:val="00BB4EFA"/>
    <w:rsid w:val="00BB514E"/>
    <w:rsid w:val="00BB53DB"/>
    <w:rsid w:val="00BB5ECA"/>
    <w:rsid w:val="00BB620F"/>
    <w:rsid w:val="00BB69EC"/>
    <w:rsid w:val="00BB6D1A"/>
    <w:rsid w:val="00BB6E00"/>
    <w:rsid w:val="00BB6E50"/>
    <w:rsid w:val="00BB6FDC"/>
    <w:rsid w:val="00BB70AE"/>
    <w:rsid w:val="00BB721F"/>
    <w:rsid w:val="00BB76F3"/>
    <w:rsid w:val="00BC0437"/>
    <w:rsid w:val="00BC08C8"/>
    <w:rsid w:val="00BC11FB"/>
    <w:rsid w:val="00BC1241"/>
    <w:rsid w:val="00BC1374"/>
    <w:rsid w:val="00BC14DA"/>
    <w:rsid w:val="00BC171C"/>
    <w:rsid w:val="00BC1747"/>
    <w:rsid w:val="00BC22C8"/>
    <w:rsid w:val="00BC2415"/>
    <w:rsid w:val="00BC2570"/>
    <w:rsid w:val="00BC2920"/>
    <w:rsid w:val="00BC324B"/>
    <w:rsid w:val="00BC339C"/>
    <w:rsid w:val="00BC35FC"/>
    <w:rsid w:val="00BC36E1"/>
    <w:rsid w:val="00BC391B"/>
    <w:rsid w:val="00BC3CF6"/>
    <w:rsid w:val="00BC4426"/>
    <w:rsid w:val="00BC4978"/>
    <w:rsid w:val="00BC4FD0"/>
    <w:rsid w:val="00BC5482"/>
    <w:rsid w:val="00BC549A"/>
    <w:rsid w:val="00BC5AE0"/>
    <w:rsid w:val="00BC5FFA"/>
    <w:rsid w:val="00BC6466"/>
    <w:rsid w:val="00BC6531"/>
    <w:rsid w:val="00BC661D"/>
    <w:rsid w:val="00BC669B"/>
    <w:rsid w:val="00BC6F62"/>
    <w:rsid w:val="00BC7152"/>
    <w:rsid w:val="00BC715C"/>
    <w:rsid w:val="00BC71BA"/>
    <w:rsid w:val="00BC75EF"/>
    <w:rsid w:val="00BC7A86"/>
    <w:rsid w:val="00BC7F4F"/>
    <w:rsid w:val="00BD0241"/>
    <w:rsid w:val="00BD09D5"/>
    <w:rsid w:val="00BD0A73"/>
    <w:rsid w:val="00BD0ABB"/>
    <w:rsid w:val="00BD0C32"/>
    <w:rsid w:val="00BD0EFE"/>
    <w:rsid w:val="00BD1175"/>
    <w:rsid w:val="00BD13D9"/>
    <w:rsid w:val="00BD1440"/>
    <w:rsid w:val="00BD172F"/>
    <w:rsid w:val="00BD1898"/>
    <w:rsid w:val="00BD1BF7"/>
    <w:rsid w:val="00BD270F"/>
    <w:rsid w:val="00BD334C"/>
    <w:rsid w:val="00BD3366"/>
    <w:rsid w:val="00BD3380"/>
    <w:rsid w:val="00BD3A09"/>
    <w:rsid w:val="00BD3B2E"/>
    <w:rsid w:val="00BD3C3A"/>
    <w:rsid w:val="00BD3C93"/>
    <w:rsid w:val="00BD4FEC"/>
    <w:rsid w:val="00BD5456"/>
    <w:rsid w:val="00BD555B"/>
    <w:rsid w:val="00BD5B35"/>
    <w:rsid w:val="00BD5C8D"/>
    <w:rsid w:val="00BD6486"/>
    <w:rsid w:val="00BD6651"/>
    <w:rsid w:val="00BD721F"/>
    <w:rsid w:val="00BD7762"/>
    <w:rsid w:val="00BD7AB1"/>
    <w:rsid w:val="00BD7AF2"/>
    <w:rsid w:val="00BD7EE7"/>
    <w:rsid w:val="00BE0D46"/>
    <w:rsid w:val="00BE1018"/>
    <w:rsid w:val="00BE10FF"/>
    <w:rsid w:val="00BE118A"/>
    <w:rsid w:val="00BE1434"/>
    <w:rsid w:val="00BE144D"/>
    <w:rsid w:val="00BE14CF"/>
    <w:rsid w:val="00BE151A"/>
    <w:rsid w:val="00BE1658"/>
    <w:rsid w:val="00BE2640"/>
    <w:rsid w:val="00BE3064"/>
    <w:rsid w:val="00BE36A9"/>
    <w:rsid w:val="00BE3771"/>
    <w:rsid w:val="00BE404B"/>
    <w:rsid w:val="00BE40F1"/>
    <w:rsid w:val="00BE4A40"/>
    <w:rsid w:val="00BE530A"/>
    <w:rsid w:val="00BE5FCF"/>
    <w:rsid w:val="00BE62DE"/>
    <w:rsid w:val="00BE63C7"/>
    <w:rsid w:val="00BE6DAC"/>
    <w:rsid w:val="00BE6F03"/>
    <w:rsid w:val="00BE6FEF"/>
    <w:rsid w:val="00BE7056"/>
    <w:rsid w:val="00BE742A"/>
    <w:rsid w:val="00BE787E"/>
    <w:rsid w:val="00BE7F67"/>
    <w:rsid w:val="00BF079F"/>
    <w:rsid w:val="00BF0952"/>
    <w:rsid w:val="00BF0C97"/>
    <w:rsid w:val="00BF0E4D"/>
    <w:rsid w:val="00BF0F88"/>
    <w:rsid w:val="00BF1449"/>
    <w:rsid w:val="00BF1744"/>
    <w:rsid w:val="00BF1765"/>
    <w:rsid w:val="00BF1E68"/>
    <w:rsid w:val="00BF23AD"/>
    <w:rsid w:val="00BF3C5A"/>
    <w:rsid w:val="00BF3CB8"/>
    <w:rsid w:val="00BF3D48"/>
    <w:rsid w:val="00BF49E7"/>
    <w:rsid w:val="00BF58D5"/>
    <w:rsid w:val="00BF5A57"/>
    <w:rsid w:val="00BF5C78"/>
    <w:rsid w:val="00BF64C2"/>
    <w:rsid w:val="00BF652A"/>
    <w:rsid w:val="00BF682D"/>
    <w:rsid w:val="00BF6935"/>
    <w:rsid w:val="00BF7113"/>
    <w:rsid w:val="00BF73C7"/>
    <w:rsid w:val="00BF746B"/>
    <w:rsid w:val="00C000FA"/>
    <w:rsid w:val="00C00C65"/>
    <w:rsid w:val="00C01B17"/>
    <w:rsid w:val="00C01C8B"/>
    <w:rsid w:val="00C026B8"/>
    <w:rsid w:val="00C029CF"/>
    <w:rsid w:val="00C02DC8"/>
    <w:rsid w:val="00C02FFA"/>
    <w:rsid w:val="00C03E71"/>
    <w:rsid w:val="00C03FEE"/>
    <w:rsid w:val="00C0415F"/>
    <w:rsid w:val="00C043ED"/>
    <w:rsid w:val="00C04D55"/>
    <w:rsid w:val="00C0506F"/>
    <w:rsid w:val="00C052A6"/>
    <w:rsid w:val="00C05302"/>
    <w:rsid w:val="00C05352"/>
    <w:rsid w:val="00C0550A"/>
    <w:rsid w:val="00C05A7E"/>
    <w:rsid w:val="00C05F20"/>
    <w:rsid w:val="00C06069"/>
    <w:rsid w:val="00C06758"/>
    <w:rsid w:val="00C069D4"/>
    <w:rsid w:val="00C070C3"/>
    <w:rsid w:val="00C072A9"/>
    <w:rsid w:val="00C072AB"/>
    <w:rsid w:val="00C076CA"/>
    <w:rsid w:val="00C07B75"/>
    <w:rsid w:val="00C07F96"/>
    <w:rsid w:val="00C100FB"/>
    <w:rsid w:val="00C1011A"/>
    <w:rsid w:val="00C108DD"/>
    <w:rsid w:val="00C10CDD"/>
    <w:rsid w:val="00C10FDE"/>
    <w:rsid w:val="00C11938"/>
    <w:rsid w:val="00C11F5A"/>
    <w:rsid w:val="00C123B2"/>
    <w:rsid w:val="00C127DA"/>
    <w:rsid w:val="00C12862"/>
    <w:rsid w:val="00C12CE5"/>
    <w:rsid w:val="00C12D41"/>
    <w:rsid w:val="00C12F43"/>
    <w:rsid w:val="00C133C2"/>
    <w:rsid w:val="00C14049"/>
    <w:rsid w:val="00C140EF"/>
    <w:rsid w:val="00C14752"/>
    <w:rsid w:val="00C14D13"/>
    <w:rsid w:val="00C1576A"/>
    <w:rsid w:val="00C1610A"/>
    <w:rsid w:val="00C163FA"/>
    <w:rsid w:val="00C16D03"/>
    <w:rsid w:val="00C172DC"/>
    <w:rsid w:val="00C177E1"/>
    <w:rsid w:val="00C17978"/>
    <w:rsid w:val="00C17B3E"/>
    <w:rsid w:val="00C203DD"/>
    <w:rsid w:val="00C20ADF"/>
    <w:rsid w:val="00C20D58"/>
    <w:rsid w:val="00C21485"/>
    <w:rsid w:val="00C21908"/>
    <w:rsid w:val="00C2210F"/>
    <w:rsid w:val="00C221B9"/>
    <w:rsid w:val="00C222A1"/>
    <w:rsid w:val="00C225D2"/>
    <w:rsid w:val="00C2260C"/>
    <w:rsid w:val="00C22709"/>
    <w:rsid w:val="00C22904"/>
    <w:rsid w:val="00C2300C"/>
    <w:rsid w:val="00C233FF"/>
    <w:rsid w:val="00C23597"/>
    <w:rsid w:val="00C23B69"/>
    <w:rsid w:val="00C23C1D"/>
    <w:rsid w:val="00C23E4E"/>
    <w:rsid w:val="00C24060"/>
    <w:rsid w:val="00C24897"/>
    <w:rsid w:val="00C24C86"/>
    <w:rsid w:val="00C25432"/>
    <w:rsid w:val="00C254E8"/>
    <w:rsid w:val="00C25556"/>
    <w:rsid w:val="00C256B4"/>
    <w:rsid w:val="00C25AB3"/>
    <w:rsid w:val="00C25BD7"/>
    <w:rsid w:val="00C260E5"/>
    <w:rsid w:val="00C26237"/>
    <w:rsid w:val="00C26A2D"/>
    <w:rsid w:val="00C270AF"/>
    <w:rsid w:val="00C27782"/>
    <w:rsid w:val="00C27918"/>
    <w:rsid w:val="00C27A94"/>
    <w:rsid w:val="00C30340"/>
    <w:rsid w:val="00C30D83"/>
    <w:rsid w:val="00C30DB9"/>
    <w:rsid w:val="00C31232"/>
    <w:rsid w:val="00C313DD"/>
    <w:rsid w:val="00C313F8"/>
    <w:rsid w:val="00C31763"/>
    <w:rsid w:val="00C31AF4"/>
    <w:rsid w:val="00C31C74"/>
    <w:rsid w:val="00C32780"/>
    <w:rsid w:val="00C327B6"/>
    <w:rsid w:val="00C32C46"/>
    <w:rsid w:val="00C32C5F"/>
    <w:rsid w:val="00C32CFC"/>
    <w:rsid w:val="00C330B7"/>
    <w:rsid w:val="00C33357"/>
    <w:rsid w:val="00C3352B"/>
    <w:rsid w:val="00C33694"/>
    <w:rsid w:val="00C339F5"/>
    <w:rsid w:val="00C33A00"/>
    <w:rsid w:val="00C33B73"/>
    <w:rsid w:val="00C344C9"/>
    <w:rsid w:val="00C34536"/>
    <w:rsid w:val="00C3499D"/>
    <w:rsid w:val="00C35BB3"/>
    <w:rsid w:val="00C35D19"/>
    <w:rsid w:val="00C35FCE"/>
    <w:rsid w:val="00C36065"/>
    <w:rsid w:val="00C365BC"/>
    <w:rsid w:val="00C36771"/>
    <w:rsid w:val="00C370AC"/>
    <w:rsid w:val="00C37227"/>
    <w:rsid w:val="00C3739D"/>
    <w:rsid w:val="00C374DB"/>
    <w:rsid w:val="00C37544"/>
    <w:rsid w:val="00C3776E"/>
    <w:rsid w:val="00C37CC0"/>
    <w:rsid w:val="00C37DE8"/>
    <w:rsid w:val="00C40520"/>
    <w:rsid w:val="00C40A4A"/>
    <w:rsid w:val="00C40BE7"/>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4474"/>
    <w:rsid w:val="00C4554C"/>
    <w:rsid w:val="00C45B1D"/>
    <w:rsid w:val="00C45F7D"/>
    <w:rsid w:val="00C462EF"/>
    <w:rsid w:val="00C465DE"/>
    <w:rsid w:val="00C46721"/>
    <w:rsid w:val="00C468A9"/>
    <w:rsid w:val="00C47078"/>
    <w:rsid w:val="00C47132"/>
    <w:rsid w:val="00C476ED"/>
    <w:rsid w:val="00C476FA"/>
    <w:rsid w:val="00C47B07"/>
    <w:rsid w:val="00C47C90"/>
    <w:rsid w:val="00C47D6C"/>
    <w:rsid w:val="00C501AF"/>
    <w:rsid w:val="00C50866"/>
    <w:rsid w:val="00C50AAC"/>
    <w:rsid w:val="00C50AC0"/>
    <w:rsid w:val="00C50B0E"/>
    <w:rsid w:val="00C50CD3"/>
    <w:rsid w:val="00C50FA9"/>
    <w:rsid w:val="00C51065"/>
    <w:rsid w:val="00C510EF"/>
    <w:rsid w:val="00C516B5"/>
    <w:rsid w:val="00C51E67"/>
    <w:rsid w:val="00C52025"/>
    <w:rsid w:val="00C52368"/>
    <w:rsid w:val="00C52786"/>
    <w:rsid w:val="00C52AED"/>
    <w:rsid w:val="00C52B2A"/>
    <w:rsid w:val="00C533F3"/>
    <w:rsid w:val="00C5372D"/>
    <w:rsid w:val="00C5394A"/>
    <w:rsid w:val="00C53A92"/>
    <w:rsid w:val="00C53E01"/>
    <w:rsid w:val="00C53F26"/>
    <w:rsid w:val="00C54520"/>
    <w:rsid w:val="00C548D0"/>
    <w:rsid w:val="00C54A35"/>
    <w:rsid w:val="00C55442"/>
    <w:rsid w:val="00C558D6"/>
    <w:rsid w:val="00C55AFE"/>
    <w:rsid w:val="00C55B18"/>
    <w:rsid w:val="00C55B70"/>
    <w:rsid w:val="00C55BBF"/>
    <w:rsid w:val="00C55F9A"/>
    <w:rsid w:val="00C5611F"/>
    <w:rsid w:val="00C5675E"/>
    <w:rsid w:val="00C569E2"/>
    <w:rsid w:val="00C56D96"/>
    <w:rsid w:val="00C56DF9"/>
    <w:rsid w:val="00C56EAB"/>
    <w:rsid w:val="00C57077"/>
    <w:rsid w:val="00C57EB7"/>
    <w:rsid w:val="00C57F0D"/>
    <w:rsid w:val="00C600AB"/>
    <w:rsid w:val="00C6028E"/>
    <w:rsid w:val="00C602F8"/>
    <w:rsid w:val="00C60857"/>
    <w:rsid w:val="00C60A3A"/>
    <w:rsid w:val="00C60D93"/>
    <w:rsid w:val="00C61149"/>
    <w:rsid w:val="00C61A7D"/>
    <w:rsid w:val="00C61AE4"/>
    <w:rsid w:val="00C62DC2"/>
    <w:rsid w:val="00C62E46"/>
    <w:rsid w:val="00C62F3E"/>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6C28"/>
    <w:rsid w:val="00C67153"/>
    <w:rsid w:val="00C679E5"/>
    <w:rsid w:val="00C67B6F"/>
    <w:rsid w:val="00C702C8"/>
    <w:rsid w:val="00C70845"/>
    <w:rsid w:val="00C7094C"/>
    <w:rsid w:val="00C70B9E"/>
    <w:rsid w:val="00C70BF2"/>
    <w:rsid w:val="00C70E55"/>
    <w:rsid w:val="00C71194"/>
    <w:rsid w:val="00C712BC"/>
    <w:rsid w:val="00C7191E"/>
    <w:rsid w:val="00C719DA"/>
    <w:rsid w:val="00C71B13"/>
    <w:rsid w:val="00C71C59"/>
    <w:rsid w:val="00C71CFD"/>
    <w:rsid w:val="00C71DCD"/>
    <w:rsid w:val="00C71E5D"/>
    <w:rsid w:val="00C727A8"/>
    <w:rsid w:val="00C72869"/>
    <w:rsid w:val="00C730F7"/>
    <w:rsid w:val="00C7335E"/>
    <w:rsid w:val="00C733C8"/>
    <w:rsid w:val="00C73804"/>
    <w:rsid w:val="00C73ABD"/>
    <w:rsid w:val="00C73F1E"/>
    <w:rsid w:val="00C7433D"/>
    <w:rsid w:val="00C74CDD"/>
    <w:rsid w:val="00C75A40"/>
    <w:rsid w:val="00C75E4C"/>
    <w:rsid w:val="00C75FBD"/>
    <w:rsid w:val="00C7629E"/>
    <w:rsid w:val="00C766DD"/>
    <w:rsid w:val="00C7683D"/>
    <w:rsid w:val="00C76A58"/>
    <w:rsid w:val="00C7715C"/>
    <w:rsid w:val="00C775AB"/>
    <w:rsid w:val="00C77BE0"/>
    <w:rsid w:val="00C77F17"/>
    <w:rsid w:val="00C80524"/>
    <w:rsid w:val="00C80539"/>
    <w:rsid w:val="00C8060C"/>
    <w:rsid w:val="00C806A1"/>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411E"/>
    <w:rsid w:val="00C8414C"/>
    <w:rsid w:val="00C8454D"/>
    <w:rsid w:val="00C84632"/>
    <w:rsid w:val="00C84738"/>
    <w:rsid w:val="00C848B4"/>
    <w:rsid w:val="00C84C2E"/>
    <w:rsid w:val="00C84EDF"/>
    <w:rsid w:val="00C8560D"/>
    <w:rsid w:val="00C856AE"/>
    <w:rsid w:val="00C85F2F"/>
    <w:rsid w:val="00C86010"/>
    <w:rsid w:val="00C86495"/>
    <w:rsid w:val="00C8713F"/>
    <w:rsid w:val="00C87E83"/>
    <w:rsid w:val="00C87F79"/>
    <w:rsid w:val="00C908B5"/>
    <w:rsid w:val="00C90A06"/>
    <w:rsid w:val="00C90E8E"/>
    <w:rsid w:val="00C911DA"/>
    <w:rsid w:val="00C91536"/>
    <w:rsid w:val="00C9194B"/>
    <w:rsid w:val="00C91AB0"/>
    <w:rsid w:val="00C92003"/>
    <w:rsid w:val="00C92147"/>
    <w:rsid w:val="00C92234"/>
    <w:rsid w:val="00C92418"/>
    <w:rsid w:val="00C925B7"/>
    <w:rsid w:val="00C927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DE5"/>
    <w:rsid w:val="00CA00EC"/>
    <w:rsid w:val="00CA0275"/>
    <w:rsid w:val="00CA027C"/>
    <w:rsid w:val="00CA0C38"/>
    <w:rsid w:val="00CA16A1"/>
    <w:rsid w:val="00CA17FD"/>
    <w:rsid w:val="00CA1CFC"/>
    <w:rsid w:val="00CA1E0E"/>
    <w:rsid w:val="00CA2072"/>
    <w:rsid w:val="00CA2227"/>
    <w:rsid w:val="00CA2322"/>
    <w:rsid w:val="00CA2375"/>
    <w:rsid w:val="00CA2A23"/>
    <w:rsid w:val="00CA2A25"/>
    <w:rsid w:val="00CA2AC0"/>
    <w:rsid w:val="00CA2ACB"/>
    <w:rsid w:val="00CA2C99"/>
    <w:rsid w:val="00CA2D15"/>
    <w:rsid w:val="00CA30C1"/>
    <w:rsid w:val="00CA30DC"/>
    <w:rsid w:val="00CA3169"/>
    <w:rsid w:val="00CA31AF"/>
    <w:rsid w:val="00CA31E3"/>
    <w:rsid w:val="00CA32FB"/>
    <w:rsid w:val="00CA3500"/>
    <w:rsid w:val="00CA3B5F"/>
    <w:rsid w:val="00CA47CB"/>
    <w:rsid w:val="00CA48CA"/>
    <w:rsid w:val="00CA4A41"/>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ADC"/>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D2"/>
    <w:rsid w:val="00CB60F8"/>
    <w:rsid w:val="00CB656B"/>
    <w:rsid w:val="00CB6B68"/>
    <w:rsid w:val="00CB6CD3"/>
    <w:rsid w:val="00CB74C3"/>
    <w:rsid w:val="00CB7689"/>
    <w:rsid w:val="00CC0A1F"/>
    <w:rsid w:val="00CC0FBE"/>
    <w:rsid w:val="00CC10DC"/>
    <w:rsid w:val="00CC12BC"/>
    <w:rsid w:val="00CC1C86"/>
    <w:rsid w:val="00CC234B"/>
    <w:rsid w:val="00CC2596"/>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EB2"/>
    <w:rsid w:val="00CC5F0D"/>
    <w:rsid w:val="00CC63B7"/>
    <w:rsid w:val="00CC64E0"/>
    <w:rsid w:val="00CC6591"/>
    <w:rsid w:val="00CC6A8E"/>
    <w:rsid w:val="00CC6B4F"/>
    <w:rsid w:val="00CC6BC9"/>
    <w:rsid w:val="00CC73BE"/>
    <w:rsid w:val="00CC7927"/>
    <w:rsid w:val="00CD049D"/>
    <w:rsid w:val="00CD0C6D"/>
    <w:rsid w:val="00CD0F28"/>
    <w:rsid w:val="00CD1177"/>
    <w:rsid w:val="00CD14E1"/>
    <w:rsid w:val="00CD1B21"/>
    <w:rsid w:val="00CD200C"/>
    <w:rsid w:val="00CD2948"/>
    <w:rsid w:val="00CD2964"/>
    <w:rsid w:val="00CD2BB5"/>
    <w:rsid w:val="00CD2BF4"/>
    <w:rsid w:val="00CD2D88"/>
    <w:rsid w:val="00CD3208"/>
    <w:rsid w:val="00CD40A2"/>
    <w:rsid w:val="00CD412F"/>
    <w:rsid w:val="00CD4146"/>
    <w:rsid w:val="00CD4983"/>
    <w:rsid w:val="00CD4A53"/>
    <w:rsid w:val="00CD4E9A"/>
    <w:rsid w:val="00CD5036"/>
    <w:rsid w:val="00CD5628"/>
    <w:rsid w:val="00CD58EB"/>
    <w:rsid w:val="00CD5E63"/>
    <w:rsid w:val="00CD5F84"/>
    <w:rsid w:val="00CD65BA"/>
    <w:rsid w:val="00CD6C01"/>
    <w:rsid w:val="00CD6F63"/>
    <w:rsid w:val="00CD75F2"/>
    <w:rsid w:val="00CD75FB"/>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F1"/>
    <w:rsid w:val="00CE31E1"/>
    <w:rsid w:val="00CE347E"/>
    <w:rsid w:val="00CE38A0"/>
    <w:rsid w:val="00CE3A07"/>
    <w:rsid w:val="00CE4429"/>
    <w:rsid w:val="00CE4491"/>
    <w:rsid w:val="00CE4891"/>
    <w:rsid w:val="00CE4B31"/>
    <w:rsid w:val="00CE4CEE"/>
    <w:rsid w:val="00CE4D00"/>
    <w:rsid w:val="00CE4E0D"/>
    <w:rsid w:val="00CE4E66"/>
    <w:rsid w:val="00CE52E9"/>
    <w:rsid w:val="00CE5572"/>
    <w:rsid w:val="00CE55D5"/>
    <w:rsid w:val="00CE5614"/>
    <w:rsid w:val="00CE5634"/>
    <w:rsid w:val="00CE59AE"/>
    <w:rsid w:val="00CE5A1E"/>
    <w:rsid w:val="00CE5DBC"/>
    <w:rsid w:val="00CE62A9"/>
    <w:rsid w:val="00CE66AD"/>
    <w:rsid w:val="00CE72C4"/>
    <w:rsid w:val="00CE7468"/>
    <w:rsid w:val="00CE7970"/>
    <w:rsid w:val="00CE7A79"/>
    <w:rsid w:val="00CE7AA4"/>
    <w:rsid w:val="00CE7CED"/>
    <w:rsid w:val="00CF0343"/>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14A"/>
    <w:rsid w:val="00CF522D"/>
    <w:rsid w:val="00CF5525"/>
    <w:rsid w:val="00CF56D7"/>
    <w:rsid w:val="00CF5929"/>
    <w:rsid w:val="00CF5A08"/>
    <w:rsid w:val="00CF65A1"/>
    <w:rsid w:val="00CF6942"/>
    <w:rsid w:val="00CF71F3"/>
    <w:rsid w:val="00CF7668"/>
    <w:rsid w:val="00CF7699"/>
    <w:rsid w:val="00CF7803"/>
    <w:rsid w:val="00CF7B73"/>
    <w:rsid w:val="00CF7CBD"/>
    <w:rsid w:val="00CF7FFB"/>
    <w:rsid w:val="00D000CB"/>
    <w:rsid w:val="00D00C94"/>
    <w:rsid w:val="00D01108"/>
    <w:rsid w:val="00D01169"/>
    <w:rsid w:val="00D01180"/>
    <w:rsid w:val="00D014E4"/>
    <w:rsid w:val="00D01B58"/>
    <w:rsid w:val="00D01C6A"/>
    <w:rsid w:val="00D0249C"/>
    <w:rsid w:val="00D02796"/>
    <w:rsid w:val="00D02C14"/>
    <w:rsid w:val="00D036C7"/>
    <w:rsid w:val="00D0377A"/>
    <w:rsid w:val="00D039B6"/>
    <w:rsid w:val="00D03A1A"/>
    <w:rsid w:val="00D03C56"/>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75E"/>
    <w:rsid w:val="00D068F6"/>
    <w:rsid w:val="00D06CCE"/>
    <w:rsid w:val="00D07134"/>
    <w:rsid w:val="00D0780B"/>
    <w:rsid w:val="00D07A3B"/>
    <w:rsid w:val="00D07CF7"/>
    <w:rsid w:val="00D07D55"/>
    <w:rsid w:val="00D07D5D"/>
    <w:rsid w:val="00D07D5F"/>
    <w:rsid w:val="00D1056D"/>
    <w:rsid w:val="00D1078A"/>
    <w:rsid w:val="00D115BA"/>
    <w:rsid w:val="00D11ABF"/>
    <w:rsid w:val="00D11D80"/>
    <w:rsid w:val="00D12007"/>
    <w:rsid w:val="00D12771"/>
    <w:rsid w:val="00D134D3"/>
    <w:rsid w:val="00D14062"/>
    <w:rsid w:val="00D14122"/>
    <w:rsid w:val="00D141DE"/>
    <w:rsid w:val="00D145E2"/>
    <w:rsid w:val="00D14876"/>
    <w:rsid w:val="00D14986"/>
    <w:rsid w:val="00D14BA8"/>
    <w:rsid w:val="00D14CD2"/>
    <w:rsid w:val="00D15327"/>
    <w:rsid w:val="00D15A00"/>
    <w:rsid w:val="00D15A55"/>
    <w:rsid w:val="00D160BB"/>
    <w:rsid w:val="00D160F0"/>
    <w:rsid w:val="00D16710"/>
    <w:rsid w:val="00D168B6"/>
    <w:rsid w:val="00D169E5"/>
    <w:rsid w:val="00D16CB1"/>
    <w:rsid w:val="00D16F18"/>
    <w:rsid w:val="00D17A1E"/>
    <w:rsid w:val="00D2036F"/>
    <w:rsid w:val="00D204FE"/>
    <w:rsid w:val="00D2055A"/>
    <w:rsid w:val="00D20585"/>
    <w:rsid w:val="00D20CB3"/>
    <w:rsid w:val="00D21154"/>
    <w:rsid w:val="00D211D5"/>
    <w:rsid w:val="00D21E79"/>
    <w:rsid w:val="00D2205D"/>
    <w:rsid w:val="00D220EA"/>
    <w:rsid w:val="00D229E0"/>
    <w:rsid w:val="00D22F3D"/>
    <w:rsid w:val="00D2361F"/>
    <w:rsid w:val="00D236BD"/>
    <w:rsid w:val="00D237B1"/>
    <w:rsid w:val="00D23BB1"/>
    <w:rsid w:val="00D2461D"/>
    <w:rsid w:val="00D2490E"/>
    <w:rsid w:val="00D24D5E"/>
    <w:rsid w:val="00D24E11"/>
    <w:rsid w:val="00D25630"/>
    <w:rsid w:val="00D2577E"/>
    <w:rsid w:val="00D2599A"/>
    <w:rsid w:val="00D25ECB"/>
    <w:rsid w:val="00D2650E"/>
    <w:rsid w:val="00D2658D"/>
    <w:rsid w:val="00D266B5"/>
    <w:rsid w:val="00D26C6F"/>
    <w:rsid w:val="00D26DAD"/>
    <w:rsid w:val="00D26F50"/>
    <w:rsid w:val="00D274D9"/>
    <w:rsid w:val="00D275A7"/>
    <w:rsid w:val="00D27978"/>
    <w:rsid w:val="00D30018"/>
    <w:rsid w:val="00D304F1"/>
    <w:rsid w:val="00D30B74"/>
    <w:rsid w:val="00D31740"/>
    <w:rsid w:val="00D31932"/>
    <w:rsid w:val="00D31AAB"/>
    <w:rsid w:val="00D31B6B"/>
    <w:rsid w:val="00D324B4"/>
    <w:rsid w:val="00D3252A"/>
    <w:rsid w:val="00D32784"/>
    <w:rsid w:val="00D327B2"/>
    <w:rsid w:val="00D328FA"/>
    <w:rsid w:val="00D32A6B"/>
    <w:rsid w:val="00D32E99"/>
    <w:rsid w:val="00D331D9"/>
    <w:rsid w:val="00D337A1"/>
    <w:rsid w:val="00D33839"/>
    <w:rsid w:val="00D33D53"/>
    <w:rsid w:val="00D33DD1"/>
    <w:rsid w:val="00D33E45"/>
    <w:rsid w:val="00D341CD"/>
    <w:rsid w:val="00D3422A"/>
    <w:rsid w:val="00D342B6"/>
    <w:rsid w:val="00D34A10"/>
    <w:rsid w:val="00D34BDE"/>
    <w:rsid w:val="00D3504C"/>
    <w:rsid w:val="00D3527C"/>
    <w:rsid w:val="00D353F9"/>
    <w:rsid w:val="00D355A5"/>
    <w:rsid w:val="00D35754"/>
    <w:rsid w:val="00D35C45"/>
    <w:rsid w:val="00D36427"/>
    <w:rsid w:val="00D36A95"/>
    <w:rsid w:val="00D36AAB"/>
    <w:rsid w:val="00D36B27"/>
    <w:rsid w:val="00D36E39"/>
    <w:rsid w:val="00D36EA6"/>
    <w:rsid w:val="00D3736E"/>
    <w:rsid w:val="00D377EC"/>
    <w:rsid w:val="00D400FA"/>
    <w:rsid w:val="00D401AE"/>
    <w:rsid w:val="00D406EC"/>
    <w:rsid w:val="00D407A6"/>
    <w:rsid w:val="00D407E7"/>
    <w:rsid w:val="00D40B6B"/>
    <w:rsid w:val="00D40C9E"/>
    <w:rsid w:val="00D40F17"/>
    <w:rsid w:val="00D416A0"/>
    <w:rsid w:val="00D41F10"/>
    <w:rsid w:val="00D42896"/>
    <w:rsid w:val="00D42FB0"/>
    <w:rsid w:val="00D43403"/>
    <w:rsid w:val="00D4365D"/>
    <w:rsid w:val="00D43993"/>
    <w:rsid w:val="00D43E88"/>
    <w:rsid w:val="00D43ECE"/>
    <w:rsid w:val="00D44089"/>
    <w:rsid w:val="00D447C6"/>
    <w:rsid w:val="00D44C07"/>
    <w:rsid w:val="00D44DEF"/>
    <w:rsid w:val="00D44EEC"/>
    <w:rsid w:val="00D451FF"/>
    <w:rsid w:val="00D45636"/>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272"/>
    <w:rsid w:val="00D525B6"/>
    <w:rsid w:val="00D528EC"/>
    <w:rsid w:val="00D52C2F"/>
    <w:rsid w:val="00D52C31"/>
    <w:rsid w:val="00D52C50"/>
    <w:rsid w:val="00D530E7"/>
    <w:rsid w:val="00D530FE"/>
    <w:rsid w:val="00D53AB0"/>
    <w:rsid w:val="00D53AF2"/>
    <w:rsid w:val="00D53D42"/>
    <w:rsid w:val="00D54196"/>
    <w:rsid w:val="00D54593"/>
    <w:rsid w:val="00D551D9"/>
    <w:rsid w:val="00D5559E"/>
    <w:rsid w:val="00D55DF9"/>
    <w:rsid w:val="00D55E7F"/>
    <w:rsid w:val="00D562E4"/>
    <w:rsid w:val="00D5694F"/>
    <w:rsid w:val="00D56A62"/>
    <w:rsid w:val="00D56BB9"/>
    <w:rsid w:val="00D56BBF"/>
    <w:rsid w:val="00D5724D"/>
    <w:rsid w:val="00D5751F"/>
    <w:rsid w:val="00D575A9"/>
    <w:rsid w:val="00D57793"/>
    <w:rsid w:val="00D5799B"/>
    <w:rsid w:val="00D57DBC"/>
    <w:rsid w:val="00D57E9C"/>
    <w:rsid w:val="00D60211"/>
    <w:rsid w:val="00D60521"/>
    <w:rsid w:val="00D6052F"/>
    <w:rsid w:val="00D6080E"/>
    <w:rsid w:val="00D60C70"/>
    <w:rsid w:val="00D61068"/>
    <w:rsid w:val="00D61268"/>
    <w:rsid w:val="00D622EB"/>
    <w:rsid w:val="00D62C57"/>
    <w:rsid w:val="00D62C6F"/>
    <w:rsid w:val="00D62CC5"/>
    <w:rsid w:val="00D63461"/>
    <w:rsid w:val="00D63477"/>
    <w:rsid w:val="00D6352D"/>
    <w:rsid w:val="00D63537"/>
    <w:rsid w:val="00D63760"/>
    <w:rsid w:val="00D63CE8"/>
    <w:rsid w:val="00D63EA0"/>
    <w:rsid w:val="00D64073"/>
    <w:rsid w:val="00D641B6"/>
    <w:rsid w:val="00D645DF"/>
    <w:rsid w:val="00D64CF1"/>
    <w:rsid w:val="00D64DF6"/>
    <w:rsid w:val="00D64ED3"/>
    <w:rsid w:val="00D65206"/>
    <w:rsid w:val="00D6526B"/>
    <w:rsid w:val="00D65506"/>
    <w:rsid w:val="00D65CC9"/>
    <w:rsid w:val="00D65CEA"/>
    <w:rsid w:val="00D65EA9"/>
    <w:rsid w:val="00D65EFF"/>
    <w:rsid w:val="00D66FEC"/>
    <w:rsid w:val="00D67260"/>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DDF"/>
    <w:rsid w:val="00D71E2C"/>
    <w:rsid w:val="00D71EE3"/>
    <w:rsid w:val="00D7333E"/>
    <w:rsid w:val="00D7342A"/>
    <w:rsid w:val="00D739EB"/>
    <w:rsid w:val="00D73FC2"/>
    <w:rsid w:val="00D74397"/>
    <w:rsid w:val="00D743B8"/>
    <w:rsid w:val="00D74415"/>
    <w:rsid w:val="00D74503"/>
    <w:rsid w:val="00D74580"/>
    <w:rsid w:val="00D74667"/>
    <w:rsid w:val="00D74C4D"/>
    <w:rsid w:val="00D74E6F"/>
    <w:rsid w:val="00D7505C"/>
    <w:rsid w:val="00D752BB"/>
    <w:rsid w:val="00D752D4"/>
    <w:rsid w:val="00D753B2"/>
    <w:rsid w:val="00D755D6"/>
    <w:rsid w:val="00D75FB1"/>
    <w:rsid w:val="00D7653E"/>
    <w:rsid w:val="00D765A7"/>
    <w:rsid w:val="00D7700F"/>
    <w:rsid w:val="00D7711C"/>
    <w:rsid w:val="00D77149"/>
    <w:rsid w:val="00D77495"/>
    <w:rsid w:val="00D77789"/>
    <w:rsid w:val="00D77A28"/>
    <w:rsid w:val="00D77DD4"/>
    <w:rsid w:val="00D77E3E"/>
    <w:rsid w:val="00D800A9"/>
    <w:rsid w:val="00D80710"/>
    <w:rsid w:val="00D80739"/>
    <w:rsid w:val="00D807C5"/>
    <w:rsid w:val="00D80BC6"/>
    <w:rsid w:val="00D80E78"/>
    <w:rsid w:val="00D80F12"/>
    <w:rsid w:val="00D8120A"/>
    <w:rsid w:val="00D81B43"/>
    <w:rsid w:val="00D81CC9"/>
    <w:rsid w:val="00D81DC6"/>
    <w:rsid w:val="00D81FCA"/>
    <w:rsid w:val="00D82162"/>
    <w:rsid w:val="00D82232"/>
    <w:rsid w:val="00D823E8"/>
    <w:rsid w:val="00D8261A"/>
    <w:rsid w:val="00D82A73"/>
    <w:rsid w:val="00D82D2D"/>
    <w:rsid w:val="00D83327"/>
    <w:rsid w:val="00D8332E"/>
    <w:rsid w:val="00D835DB"/>
    <w:rsid w:val="00D836F5"/>
    <w:rsid w:val="00D8386B"/>
    <w:rsid w:val="00D839F3"/>
    <w:rsid w:val="00D83D36"/>
    <w:rsid w:val="00D84272"/>
    <w:rsid w:val="00D84612"/>
    <w:rsid w:val="00D85783"/>
    <w:rsid w:val="00D85BC0"/>
    <w:rsid w:val="00D861C5"/>
    <w:rsid w:val="00D8622A"/>
    <w:rsid w:val="00D86941"/>
    <w:rsid w:val="00D8706D"/>
    <w:rsid w:val="00D871F1"/>
    <w:rsid w:val="00D874EC"/>
    <w:rsid w:val="00D87514"/>
    <w:rsid w:val="00D87B34"/>
    <w:rsid w:val="00D87B61"/>
    <w:rsid w:val="00D87C84"/>
    <w:rsid w:val="00D87CA3"/>
    <w:rsid w:val="00D87D11"/>
    <w:rsid w:val="00D900A6"/>
    <w:rsid w:val="00D9050A"/>
    <w:rsid w:val="00D90A5E"/>
    <w:rsid w:val="00D92050"/>
    <w:rsid w:val="00D92AFE"/>
    <w:rsid w:val="00D92B97"/>
    <w:rsid w:val="00D92E5E"/>
    <w:rsid w:val="00D9327B"/>
    <w:rsid w:val="00D9340A"/>
    <w:rsid w:val="00D93774"/>
    <w:rsid w:val="00D937FC"/>
    <w:rsid w:val="00D93824"/>
    <w:rsid w:val="00D93A69"/>
    <w:rsid w:val="00D93CB7"/>
    <w:rsid w:val="00D94465"/>
    <w:rsid w:val="00D94841"/>
    <w:rsid w:val="00D949AC"/>
    <w:rsid w:val="00D95278"/>
    <w:rsid w:val="00D9570C"/>
    <w:rsid w:val="00D95A04"/>
    <w:rsid w:val="00D95B8C"/>
    <w:rsid w:val="00D95C0D"/>
    <w:rsid w:val="00D96782"/>
    <w:rsid w:val="00D96E9C"/>
    <w:rsid w:val="00D9719B"/>
    <w:rsid w:val="00D972CF"/>
    <w:rsid w:val="00D97389"/>
    <w:rsid w:val="00D977FA"/>
    <w:rsid w:val="00D97CA0"/>
    <w:rsid w:val="00D97F1C"/>
    <w:rsid w:val="00DA0037"/>
    <w:rsid w:val="00DA02B4"/>
    <w:rsid w:val="00DA0337"/>
    <w:rsid w:val="00DA043C"/>
    <w:rsid w:val="00DA07F9"/>
    <w:rsid w:val="00DA09BA"/>
    <w:rsid w:val="00DA0E52"/>
    <w:rsid w:val="00DA11AD"/>
    <w:rsid w:val="00DA1C8D"/>
    <w:rsid w:val="00DA2146"/>
    <w:rsid w:val="00DA244D"/>
    <w:rsid w:val="00DA2615"/>
    <w:rsid w:val="00DA2C54"/>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A7D34"/>
    <w:rsid w:val="00DB0096"/>
    <w:rsid w:val="00DB06A5"/>
    <w:rsid w:val="00DB090A"/>
    <w:rsid w:val="00DB15CD"/>
    <w:rsid w:val="00DB1688"/>
    <w:rsid w:val="00DB16A5"/>
    <w:rsid w:val="00DB16EE"/>
    <w:rsid w:val="00DB1CCA"/>
    <w:rsid w:val="00DB1F3E"/>
    <w:rsid w:val="00DB1FA8"/>
    <w:rsid w:val="00DB2B6F"/>
    <w:rsid w:val="00DB2DF5"/>
    <w:rsid w:val="00DB3145"/>
    <w:rsid w:val="00DB32BD"/>
    <w:rsid w:val="00DB33BB"/>
    <w:rsid w:val="00DB35C4"/>
    <w:rsid w:val="00DB36E8"/>
    <w:rsid w:val="00DB371A"/>
    <w:rsid w:val="00DB4569"/>
    <w:rsid w:val="00DB46CB"/>
    <w:rsid w:val="00DB4977"/>
    <w:rsid w:val="00DB4B6C"/>
    <w:rsid w:val="00DB4DFB"/>
    <w:rsid w:val="00DB5406"/>
    <w:rsid w:val="00DB5631"/>
    <w:rsid w:val="00DB5710"/>
    <w:rsid w:val="00DB5896"/>
    <w:rsid w:val="00DB5E33"/>
    <w:rsid w:val="00DB6172"/>
    <w:rsid w:val="00DB6523"/>
    <w:rsid w:val="00DB6677"/>
    <w:rsid w:val="00DB7A2E"/>
    <w:rsid w:val="00DB7B9F"/>
    <w:rsid w:val="00DC083F"/>
    <w:rsid w:val="00DC09DC"/>
    <w:rsid w:val="00DC0A13"/>
    <w:rsid w:val="00DC0CA4"/>
    <w:rsid w:val="00DC0FA6"/>
    <w:rsid w:val="00DC11F3"/>
    <w:rsid w:val="00DC130C"/>
    <w:rsid w:val="00DC16C4"/>
    <w:rsid w:val="00DC1BCD"/>
    <w:rsid w:val="00DC205B"/>
    <w:rsid w:val="00DC2292"/>
    <w:rsid w:val="00DC2428"/>
    <w:rsid w:val="00DC2F90"/>
    <w:rsid w:val="00DC301F"/>
    <w:rsid w:val="00DC30BE"/>
    <w:rsid w:val="00DC3227"/>
    <w:rsid w:val="00DC35D9"/>
    <w:rsid w:val="00DC3700"/>
    <w:rsid w:val="00DC3940"/>
    <w:rsid w:val="00DC39DC"/>
    <w:rsid w:val="00DC3C27"/>
    <w:rsid w:val="00DC43E4"/>
    <w:rsid w:val="00DC459C"/>
    <w:rsid w:val="00DC4992"/>
    <w:rsid w:val="00DC4BB8"/>
    <w:rsid w:val="00DC500E"/>
    <w:rsid w:val="00DC508E"/>
    <w:rsid w:val="00DC5487"/>
    <w:rsid w:val="00DC5569"/>
    <w:rsid w:val="00DC5A66"/>
    <w:rsid w:val="00DC5DC9"/>
    <w:rsid w:val="00DC677E"/>
    <w:rsid w:val="00DC6B2C"/>
    <w:rsid w:val="00DC6E54"/>
    <w:rsid w:val="00DC714C"/>
    <w:rsid w:val="00DC71EB"/>
    <w:rsid w:val="00DC755E"/>
    <w:rsid w:val="00DC7651"/>
    <w:rsid w:val="00DC79ED"/>
    <w:rsid w:val="00DC79EF"/>
    <w:rsid w:val="00DC7BE6"/>
    <w:rsid w:val="00DC7C30"/>
    <w:rsid w:val="00DC7CC1"/>
    <w:rsid w:val="00DC7F60"/>
    <w:rsid w:val="00DC7F96"/>
    <w:rsid w:val="00DD0342"/>
    <w:rsid w:val="00DD0450"/>
    <w:rsid w:val="00DD0B5A"/>
    <w:rsid w:val="00DD119F"/>
    <w:rsid w:val="00DD20DC"/>
    <w:rsid w:val="00DD2C51"/>
    <w:rsid w:val="00DD2F7B"/>
    <w:rsid w:val="00DD31E2"/>
    <w:rsid w:val="00DD40DF"/>
    <w:rsid w:val="00DD4317"/>
    <w:rsid w:val="00DD48F4"/>
    <w:rsid w:val="00DD4A2C"/>
    <w:rsid w:val="00DD4C42"/>
    <w:rsid w:val="00DD4E3B"/>
    <w:rsid w:val="00DD4FC7"/>
    <w:rsid w:val="00DD5E24"/>
    <w:rsid w:val="00DD691A"/>
    <w:rsid w:val="00DD6A4B"/>
    <w:rsid w:val="00DD6A4D"/>
    <w:rsid w:val="00DD6A85"/>
    <w:rsid w:val="00DD6E24"/>
    <w:rsid w:val="00DE0367"/>
    <w:rsid w:val="00DE0468"/>
    <w:rsid w:val="00DE04B2"/>
    <w:rsid w:val="00DE04FA"/>
    <w:rsid w:val="00DE0C23"/>
    <w:rsid w:val="00DE0D2A"/>
    <w:rsid w:val="00DE14A2"/>
    <w:rsid w:val="00DE1671"/>
    <w:rsid w:val="00DE1ED5"/>
    <w:rsid w:val="00DE21E9"/>
    <w:rsid w:val="00DE23C8"/>
    <w:rsid w:val="00DE25AF"/>
    <w:rsid w:val="00DE29BA"/>
    <w:rsid w:val="00DE2E79"/>
    <w:rsid w:val="00DE2F0B"/>
    <w:rsid w:val="00DE30B4"/>
    <w:rsid w:val="00DE31BD"/>
    <w:rsid w:val="00DE342F"/>
    <w:rsid w:val="00DE34B7"/>
    <w:rsid w:val="00DE38F1"/>
    <w:rsid w:val="00DE3939"/>
    <w:rsid w:val="00DE3C78"/>
    <w:rsid w:val="00DE4077"/>
    <w:rsid w:val="00DE418C"/>
    <w:rsid w:val="00DE4CF9"/>
    <w:rsid w:val="00DE5060"/>
    <w:rsid w:val="00DE52B0"/>
    <w:rsid w:val="00DE538D"/>
    <w:rsid w:val="00DE588D"/>
    <w:rsid w:val="00DE5A96"/>
    <w:rsid w:val="00DE62FD"/>
    <w:rsid w:val="00DE6522"/>
    <w:rsid w:val="00DE7160"/>
    <w:rsid w:val="00DE73EA"/>
    <w:rsid w:val="00DE74B8"/>
    <w:rsid w:val="00DE77B5"/>
    <w:rsid w:val="00DE7BE0"/>
    <w:rsid w:val="00DE7F23"/>
    <w:rsid w:val="00DF013B"/>
    <w:rsid w:val="00DF0879"/>
    <w:rsid w:val="00DF08D5"/>
    <w:rsid w:val="00DF114D"/>
    <w:rsid w:val="00DF12AD"/>
    <w:rsid w:val="00DF12DD"/>
    <w:rsid w:val="00DF1623"/>
    <w:rsid w:val="00DF16CC"/>
    <w:rsid w:val="00DF2485"/>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5D17"/>
    <w:rsid w:val="00DF61F1"/>
    <w:rsid w:val="00DF66A6"/>
    <w:rsid w:val="00DF67C0"/>
    <w:rsid w:val="00DF6A92"/>
    <w:rsid w:val="00DF79B9"/>
    <w:rsid w:val="00E004CC"/>
    <w:rsid w:val="00E00E4A"/>
    <w:rsid w:val="00E0122C"/>
    <w:rsid w:val="00E01BB5"/>
    <w:rsid w:val="00E01BB6"/>
    <w:rsid w:val="00E0246E"/>
    <w:rsid w:val="00E025F8"/>
    <w:rsid w:val="00E027FF"/>
    <w:rsid w:val="00E032BA"/>
    <w:rsid w:val="00E038C5"/>
    <w:rsid w:val="00E03C0C"/>
    <w:rsid w:val="00E03E3B"/>
    <w:rsid w:val="00E03EE8"/>
    <w:rsid w:val="00E04589"/>
    <w:rsid w:val="00E04D05"/>
    <w:rsid w:val="00E04FC1"/>
    <w:rsid w:val="00E0500A"/>
    <w:rsid w:val="00E05239"/>
    <w:rsid w:val="00E05480"/>
    <w:rsid w:val="00E0572B"/>
    <w:rsid w:val="00E05AD0"/>
    <w:rsid w:val="00E05B93"/>
    <w:rsid w:val="00E05EB9"/>
    <w:rsid w:val="00E05EEF"/>
    <w:rsid w:val="00E0604E"/>
    <w:rsid w:val="00E065FF"/>
    <w:rsid w:val="00E06B38"/>
    <w:rsid w:val="00E06BE5"/>
    <w:rsid w:val="00E06D9E"/>
    <w:rsid w:val="00E07340"/>
    <w:rsid w:val="00E0747D"/>
    <w:rsid w:val="00E078BB"/>
    <w:rsid w:val="00E102DF"/>
    <w:rsid w:val="00E105E6"/>
    <w:rsid w:val="00E10B52"/>
    <w:rsid w:val="00E11B2D"/>
    <w:rsid w:val="00E11D5A"/>
    <w:rsid w:val="00E128D8"/>
    <w:rsid w:val="00E12C41"/>
    <w:rsid w:val="00E12C42"/>
    <w:rsid w:val="00E130F6"/>
    <w:rsid w:val="00E132D9"/>
    <w:rsid w:val="00E13827"/>
    <w:rsid w:val="00E13CD4"/>
    <w:rsid w:val="00E13CEC"/>
    <w:rsid w:val="00E13D5C"/>
    <w:rsid w:val="00E14106"/>
    <w:rsid w:val="00E147D9"/>
    <w:rsid w:val="00E155A9"/>
    <w:rsid w:val="00E158A0"/>
    <w:rsid w:val="00E15E54"/>
    <w:rsid w:val="00E165B5"/>
    <w:rsid w:val="00E1688A"/>
    <w:rsid w:val="00E16A5A"/>
    <w:rsid w:val="00E16BB9"/>
    <w:rsid w:val="00E170B3"/>
    <w:rsid w:val="00E1728C"/>
    <w:rsid w:val="00E17A0A"/>
    <w:rsid w:val="00E17ED6"/>
    <w:rsid w:val="00E2059A"/>
    <w:rsid w:val="00E2062E"/>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021"/>
    <w:rsid w:val="00E232AF"/>
    <w:rsid w:val="00E232B1"/>
    <w:rsid w:val="00E232BB"/>
    <w:rsid w:val="00E2333B"/>
    <w:rsid w:val="00E23573"/>
    <w:rsid w:val="00E23EA3"/>
    <w:rsid w:val="00E23FA8"/>
    <w:rsid w:val="00E24145"/>
    <w:rsid w:val="00E2429B"/>
    <w:rsid w:val="00E24353"/>
    <w:rsid w:val="00E2435E"/>
    <w:rsid w:val="00E245CE"/>
    <w:rsid w:val="00E248AC"/>
    <w:rsid w:val="00E24C05"/>
    <w:rsid w:val="00E2506A"/>
    <w:rsid w:val="00E25107"/>
    <w:rsid w:val="00E251ED"/>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695"/>
    <w:rsid w:val="00E30B10"/>
    <w:rsid w:val="00E30BC0"/>
    <w:rsid w:val="00E30D9B"/>
    <w:rsid w:val="00E30F4B"/>
    <w:rsid w:val="00E31085"/>
    <w:rsid w:val="00E3128A"/>
    <w:rsid w:val="00E31452"/>
    <w:rsid w:val="00E319D5"/>
    <w:rsid w:val="00E31E56"/>
    <w:rsid w:val="00E3203A"/>
    <w:rsid w:val="00E324C1"/>
    <w:rsid w:val="00E3262D"/>
    <w:rsid w:val="00E327BE"/>
    <w:rsid w:val="00E32846"/>
    <w:rsid w:val="00E328DF"/>
    <w:rsid w:val="00E32AD7"/>
    <w:rsid w:val="00E32D75"/>
    <w:rsid w:val="00E3320F"/>
    <w:rsid w:val="00E33D3B"/>
    <w:rsid w:val="00E34006"/>
    <w:rsid w:val="00E344C7"/>
    <w:rsid w:val="00E345DF"/>
    <w:rsid w:val="00E3498E"/>
    <w:rsid w:val="00E3560E"/>
    <w:rsid w:val="00E35E8C"/>
    <w:rsid w:val="00E3614F"/>
    <w:rsid w:val="00E37140"/>
    <w:rsid w:val="00E37193"/>
    <w:rsid w:val="00E373BA"/>
    <w:rsid w:val="00E37427"/>
    <w:rsid w:val="00E379E7"/>
    <w:rsid w:val="00E37AF0"/>
    <w:rsid w:val="00E37CBC"/>
    <w:rsid w:val="00E37CC1"/>
    <w:rsid w:val="00E406E1"/>
    <w:rsid w:val="00E409C1"/>
    <w:rsid w:val="00E40C13"/>
    <w:rsid w:val="00E40EF0"/>
    <w:rsid w:val="00E40F5E"/>
    <w:rsid w:val="00E415E8"/>
    <w:rsid w:val="00E415F8"/>
    <w:rsid w:val="00E416FC"/>
    <w:rsid w:val="00E42214"/>
    <w:rsid w:val="00E422FF"/>
    <w:rsid w:val="00E42848"/>
    <w:rsid w:val="00E42CF8"/>
    <w:rsid w:val="00E42E23"/>
    <w:rsid w:val="00E431D5"/>
    <w:rsid w:val="00E432AF"/>
    <w:rsid w:val="00E43E85"/>
    <w:rsid w:val="00E44072"/>
    <w:rsid w:val="00E44494"/>
    <w:rsid w:val="00E44920"/>
    <w:rsid w:val="00E44BF8"/>
    <w:rsid w:val="00E44F5C"/>
    <w:rsid w:val="00E454FC"/>
    <w:rsid w:val="00E457D9"/>
    <w:rsid w:val="00E457DB"/>
    <w:rsid w:val="00E45900"/>
    <w:rsid w:val="00E45AAF"/>
    <w:rsid w:val="00E45B37"/>
    <w:rsid w:val="00E45C89"/>
    <w:rsid w:val="00E45E54"/>
    <w:rsid w:val="00E45EB6"/>
    <w:rsid w:val="00E4669C"/>
    <w:rsid w:val="00E469C6"/>
    <w:rsid w:val="00E46FDA"/>
    <w:rsid w:val="00E47078"/>
    <w:rsid w:val="00E47A1E"/>
    <w:rsid w:val="00E47EFE"/>
    <w:rsid w:val="00E5009A"/>
    <w:rsid w:val="00E50262"/>
    <w:rsid w:val="00E50464"/>
    <w:rsid w:val="00E505DF"/>
    <w:rsid w:val="00E50712"/>
    <w:rsid w:val="00E50D5F"/>
    <w:rsid w:val="00E51858"/>
    <w:rsid w:val="00E51F1C"/>
    <w:rsid w:val="00E525AB"/>
    <w:rsid w:val="00E5261F"/>
    <w:rsid w:val="00E526CF"/>
    <w:rsid w:val="00E52888"/>
    <w:rsid w:val="00E52A9F"/>
    <w:rsid w:val="00E52B09"/>
    <w:rsid w:val="00E52B1B"/>
    <w:rsid w:val="00E52FA6"/>
    <w:rsid w:val="00E53564"/>
    <w:rsid w:val="00E53773"/>
    <w:rsid w:val="00E5445B"/>
    <w:rsid w:val="00E544F8"/>
    <w:rsid w:val="00E54CA5"/>
    <w:rsid w:val="00E553A5"/>
    <w:rsid w:val="00E55543"/>
    <w:rsid w:val="00E55613"/>
    <w:rsid w:val="00E558A5"/>
    <w:rsid w:val="00E55B76"/>
    <w:rsid w:val="00E55D00"/>
    <w:rsid w:val="00E5655B"/>
    <w:rsid w:val="00E56673"/>
    <w:rsid w:val="00E57003"/>
    <w:rsid w:val="00E570AC"/>
    <w:rsid w:val="00E5743A"/>
    <w:rsid w:val="00E57444"/>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C7B"/>
    <w:rsid w:val="00E63F64"/>
    <w:rsid w:val="00E64099"/>
    <w:rsid w:val="00E64120"/>
    <w:rsid w:val="00E641C2"/>
    <w:rsid w:val="00E64D22"/>
    <w:rsid w:val="00E64ED5"/>
    <w:rsid w:val="00E656CD"/>
    <w:rsid w:val="00E658CA"/>
    <w:rsid w:val="00E659B3"/>
    <w:rsid w:val="00E65C68"/>
    <w:rsid w:val="00E65F02"/>
    <w:rsid w:val="00E66106"/>
    <w:rsid w:val="00E6644D"/>
    <w:rsid w:val="00E66BEB"/>
    <w:rsid w:val="00E66CAD"/>
    <w:rsid w:val="00E67591"/>
    <w:rsid w:val="00E67746"/>
    <w:rsid w:val="00E67BFA"/>
    <w:rsid w:val="00E67CC8"/>
    <w:rsid w:val="00E7006B"/>
    <w:rsid w:val="00E700D9"/>
    <w:rsid w:val="00E70359"/>
    <w:rsid w:val="00E7097D"/>
    <w:rsid w:val="00E70C63"/>
    <w:rsid w:val="00E70F62"/>
    <w:rsid w:val="00E7152A"/>
    <w:rsid w:val="00E71DF5"/>
    <w:rsid w:val="00E71F8C"/>
    <w:rsid w:val="00E72592"/>
    <w:rsid w:val="00E72680"/>
    <w:rsid w:val="00E72B34"/>
    <w:rsid w:val="00E736CD"/>
    <w:rsid w:val="00E7391A"/>
    <w:rsid w:val="00E73D1E"/>
    <w:rsid w:val="00E7409E"/>
    <w:rsid w:val="00E745B7"/>
    <w:rsid w:val="00E7471C"/>
    <w:rsid w:val="00E74DE3"/>
    <w:rsid w:val="00E74EAE"/>
    <w:rsid w:val="00E750EC"/>
    <w:rsid w:val="00E75291"/>
    <w:rsid w:val="00E75A44"/>
    <w:rsid w:val="00E76018"/>
    <w:rsid w:val="00E76088"/>
    <w:rsid w:val="00E76791"/>
    <w:rsid w:val="00E76833"/>
    <w:rsid w:val="00E768C2"/>
    <w:rsid w:val="00E77470"/>
    <w:rsid w:val="00E77E7A"/>
    <w:rsid w:val="00E801D0"/>
    <w:rsid w:val="00E805F3"/>
    <w:rsid w:val="00E80864"/>
    <w:rsid w:val="00E81990"/>
    <w:rsid w:val="00E81C2D"/>
    <w:rsid w:val="00E81D8F"/>
    <w:rsid w:val="00E823BE"/>
    <w:rsid w:val="00E82938"/>
    <w:rsid w:val="00E82F2F"/>
    <w:rsid w:val="00E836D1"/>
    <w:rsid w:val="00E83A56"/>
    <w:rsid w:val="00E83ED7"/>
    <w:rsid w:val="00E84448"/>
    <w:rsid w:val="00E844D0"/>
    <w:rsid w:val="00E8485B"/>
    <w:rsid w:val="00E848C1"/>
    <w:rsid w:val="00E84937"/>
    <w:rsid w:val="00E84D27"/>
    <w:rsid w:val="00E84DA3"/>
    <w:rsid w:val="00E84F1B"/>
    <w:rsid w:val="00E8518A"/>
    <w:rsid w:val="00E85CE7"/>
    <w:rsid w:val="00E85D81"/>
    <w:rsid w:val="00E85EF5"/>
    <w:rsid w:val="00E85F04"/>
    <w:rsid w:val="00E85FA8"/>
    <w:rsid w:val="00E8617B"/>
    <w:rsid w:val="00E862D0"/>
    <w:rsid w:val="00E869AA"/>
    <w:rsid w:val="00E86C0D"/>
    <w:rsid w:val="00E86DC1"/>
    <w:rsid w:val="00E86EE6"/>
    <w:rsid w:val="00E87173"/>
    <w:rsid w:val="00E871B1"/>
    <w:rsid w:val="00E871F7"/>
    <w:rsid w:val="00E874B3"/>
    <w:rsid w:val="00E875E3"/>
    <w:rsid w:val="00E876DE"/>
    <w:rsid w:val="00E877F8"/>
    <w:rsid w:val="00E8795E"/>
    <w:rsid w:val="00E87965"/>
    <w:rsid w:val="00E87967"/>
    <w:rsid w:val="00E879F2"/>
    <w:rsid w:val="00E87DE1"/>
    <w:rsid w:val="00E90059"/>
    <w:rsid w:val="00E901B1"/>
    <w:rsid w:val="00E90F34"/>
    <w:rsid w:val="00E91175"/>
    <w:rsid w:val="00E9127A"/>
    <w:rsid w:val="00E913DF"/>
    <w:rsid w:val="00E9147D"/>
    <w:rsid w:val="00E91699"/>
    <w:rsid w:val="00E918DD"/>
    <w:rsid w:val="00E91A62"/>
    <w:rsid w:val="00E91A9A"/>
    <w:rsid w:val="00E91DF2"/>
    <w:rsid w:val="00E9258F"/>
    <w:rsid w:val="00E92C87"/>
    <w:rsid w:val="00E92F20"/>
    <w:rsid w:val="00E931FA"/>
    <w:rsid w:val="00E93243"/>
    <w:rsid w:val="00E93878"/>
    <w:rsid w:val="00E9398C"/>
    <w:rsid w:val="00E93BA0"/>
    <w:rsid w:val="00E93EDF"/>
    <w:rsid w:val="00E940DF"/>
    <w:rsid w:val="00E9426D"/>
    <w:rsid w:val="00E94778"/>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9A6"/>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5DA"/>
    <w:rsid w:val="00EA5FC2"/>
    <w:rsid w:val="00EA61DA"/>
    <w:rsid w:val="00EA62E2"/>
    <w:rsid w:val="00EA6C49"/>
    <w:rsid w:val="00EA778C"/>
    <w:rsid w:val="00EA7863"/>
    <w:rsid w:val="00EA7928"/>
    <w:rsid w:val="00EA7C92"/>
    <w:rsid w:val="00EA7CA9"/>
    <w:rsid w:val="00EB01FC"/>
    <w:rsid w:val="00EB09A2"/>
    <w:rsid w:val="00EB0A94"/>
    <w:rsid w:val="00EB0B1F"/>
    <w:rsid w:val="00EB0CD0"/>
    <w:rsid w:val="00EB161A"/>
    <w:rsid w:val="00EB1CA9"/>
    <w:rsid w:val="00EB1FCD"/>
    <w:rsid w:val="00EB2648"/>
    <w:rsid w:val="00EB2703"/>
    <w:rsid w:val="00EB2A94"/>
    <w:rsid w:val="00EB2D0C"/>
    <w:rsid w:val="00EB32CA"/>
    <w:rsid w:val="00EB3673"/>
    <w:rsid w:val="00EB3AD2"/>
    <w:rsid w:val="00EB3EBC"/>
    <w:rsid w:val="00EB4FF2"/>
    <w:rsid w:val="00EB505D"/>
    <w:rsid w:val="00EB51C6"/>
    <w:rsid w:val="00EB5266"/>
    <w:rsid w:val="00EB5466"/>
    <w:rsid w:val="00EB5520"/>
    <w:rsid w:val="00EB59EC"/>
    <w:rsid w:val="00EB5FB8"/>
    <w:rsid w:val="00EB6655"/>
    <w:rsid w:val="00EB6931"/>
    <w:rsid w:val="00EB6BBA"/>
    <w:rsid w:val="00EB6D38"/>
    <w:rsid w:val="00EB71B2"/>
    <w:rsid w:val="00EB71F8"/>
    <w:rsid w:val="00EB733C"/>
    <w:rsid w:val="00EB7342"/>
    <w:rsid w:val="00EC05EC"/>
    <w:rsid w:val="00EC0693"/>
    <w:rsid w:val="00EC07C1"/>
    <w:rsid w:val="00EC0AC9"/>
    <w:rsid w:val="00EC0B83"/>
    <w:rsid w:val="00EC0B94"/>
    <w:rsid w:val="00EC0D96"/>
    <w:rsid w:val="00EC0EEC"/>
    <w:rsid w:val="00EC10D4"/>
    <w:rsid w:val="00EC121D"/>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4A0"/>
    <w:rsid w:val="00ED0B2F"/>
    <w:rsid w:val="00ED0B96"/>
    <w:rsid w:val="00ED0D10"/>
    <w:rsid w:val="00ED0D89"/>
    <w:rsid w:val="00ED0EAC"/>
    <w:rsid w:val="00ED13CE"/>
    <w:rsid w:val="00ED17A6"/>
    <w:rsid w:val="00ED1A48"/>
    <w:rsid w:val="00ED1AC3"/>
    <w:rsid w:val="00ED1B35"/>
    <w:rsid w:val="00ED1E89"/>
    <w:rsid w:val="00ED20DD"/>
    <w:rsid w:val="00ED2CF3"/>
    <w:rsid w:val="00ED3204"/>
    <w:rsid w:val="00ED323D"/>
    <w:rsid w:val="00ED3441"/>
    <w:rsid w:val="00ED3C5A"/>
    <w:rsid w:val="00ED3FBC"/>
    <w:rsid w:val="00ED4631"/>
    <w:rsid w:val="00ED4761"/>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D4E"/>
    <w:rsid w:val="00EE1D9B"/>
    <w:rsid w:val="00EE2830"/>
    <w:rsid w:val="00EE2F90"/>
    <w:rsid w:val="00EE3070"/>
    <w:rsid w:val="00EE322B"/>
    <w:rsid w:val="00EE3245"/>
    <w:rsid w:val="00EE3563"/>
    <w:rsid w:val="00EE3B33"/>
    <w:rsid w:val="00EE3CA8"/>
    <w:rsid w:val="00EE3CDA"/>
    <w:rsid w:val="00EE41EA"/>
    <w:rsid w:val="00EE4A00"/>
    <w:rsid w:val="00EE4C02"/>
    <w:rsid w:val="00EE4EDB"/>
    <w:rsid w:val="00EE55AC"/>
    <w:rsid w:val="00EE68CF"/>
    <w:rsid w:val="00EE6AC7"/>
    <w:rsid w:val="00EE6C4F"/>
    <w:rsid w:val="00EE6E66"/>
    <w:rsid w:val="00EE6F77"/>
    <w:rsid w:val="00EE6FA6"/>
    <w:rsid w:val="00EE704A"/>
    <w:rsid w:val="00EE723F"/>
    <w:rsid w:val="00EE75CB"/>
    <w:rsid w:val="00EE7AF8"/>
    <w:rsid w:val="00EF1063"/>
    <w:rsid w:val="00EF164F"/>
    <w:rsid w:val="00EF1F81"/>
    <w:rsid w:val="00EF2424"/>
    <w:rsid w:val="00EF248E"/>
    <w:rsid w:val="00EF2BF3"/>
    <w:rsid w:val="00EF2C31"/>
    <w:rsid w:val="00EF327C"/>
    <w:rsid w:val="00EF37C6"/>
    <w:rsid w:val="00EF3ADB"/>
    <w:rsid w:val="00EF493A"/>
    <w:rsid w:val="00EF4A69"/>
    <w:rsid w:val="00EF4F1E"/>
    <w:rsid w:val="00EF4F85"/>
    <w:rsid w:val="00EF53E0"/>
    <w:rsid w:val="00EF56F5"/>
    <w:rsid w:val="00EF57B6"/>
    <w:rsid w:val="00EF59A1"/>
    <w:rsid w:val="00EF5A5C"/>
    <w:rsid w:val="00EF5FF3"/>
    <w:rsid w:val="00EF616C"/>
    <w:rsid w:val="00EF65EE"/>
    <w:rsid w:val="00EF6622"/>
    <w:rsid w:val="00EF6A66"/>
    <w:rsid w:val="00EF6B52"/>
    <w:rsid w:val="00EF718F"/>
    <w:rsid w:val="00EF71D1"/>
    <w:rsid w:val="00EF723F"/>
    <w:rsid w:val="00EF7283"/>
    <w:rsid w:val="00EF7738"/>
    <w:rsid w:val="00EF78A5"/>
    <w:rsid w:val="00EF7FE0"/>
    <w:rsid w:val="00F00159"/>
    <w:rsid w:val="00F008DA"/>
    <w:rsid w:val="00F00DF6"/>
    <w:rsid w:val="00F00DFD"/>
    <w:rsid w:val="00F01073"/>
    <w:rsid w:val="00F01453"/>
    <w:rsid w:val="00F02149"/>
    <w:rsid w:val="00F026FA"/>
    <w:rsid w:val="00F03092"/>
    <w:rsid w:val="00F030F3"/>
    <w:rsid w:val="00F03530"/>
    <w:rsid w:val="00F03533"/>
    <w:rsid w:val="00F03782"/>
    <w:rsid w:val="00F03AB0"/>
    <w:rsid w:val="00F03C31"/>
    <w:rsid w:val="00F04359"/>
    <w:rsid w:val="00F04924"/>
    <w:rsid w:val="00F04A71"/>
    <w:rsid w:val="00F04BC5"/>
    <w:rsid w:val="00F04DD3"/>
    <w:rsid w:val="00F059C9"/>
    <w:rsid w:val="00F05B9C"/>
    <w:rsid w:val="00F05E05"/>
    <w:rsid w:val="00F05FAA"/>
    <w:rsid w:val="00F061EB"/>
    <w:rsid w:val="00F06CE3"/>
    <w:rsid w:val="00F071B9"/>
    <w:rsid w:val="00F07F1F"/>
    <w:rsid w:val="00F10984"/>
    <w:rsid w:val="00F109AE"/>
    <w:rsid w:val="00F1103E"/>
    <w:rsid w:val="00F110B3"/>
    <w:rsid w:val="00F113FB"/>
    <w:rsid w:val="00F11BEC"/>
    <w:rsid w:val="00F11EEA"/>
    <w:rsid w:val="00F11F0B"/>
    <w:rsid w:val="00F12049"/>
    <w:rsid w:val="00F1231D"/>
    <w:rsid w:val="00F126D9"/>
    <w:rsid w:val="00F12760"/>
    <w:rsid w:val="00F129ED"/>
    <w:rsid w:val="00F12EA2"/>
    <w:rsid w:val="00F12FA8"/>
    <w:rsid w:val="00F13040"/>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5FB"/>
    <w:rsid w:val="00F17636"/>
    <w:rsid w:val="00F17755"/>
    <w:rsid w:val="00F17C13"/>
    <w:rsid w:val="00F17F66"/>
    <w:rsid w:val="00F17F69"/>
    <w:rsid w:val="00F209DE"/>
    <w:rsid w:val="00F20C51"/>
    <w:rsid w:val="00F20C9E"/>
    <w:rsid w:val="00F20EC6"/>
    <w:rsid w:val="00F21AD6"/>
    <w:rsid w:val="00F22484"/>
    <w:rsid w:val="00F224CD"/>
    <w:rsid w:val="00F22529"/>
    <w:rsid w:val="00F227B3"/>
    <w:rsid w:val="00F22B98"/>
    <w:rsid w:val="00F232E9"/>
    <w:rsid w:val="00F23534"/>
    <w:rsid w:val="00F23C3D"/>
    <w:rsid w:val="00F23ECB"/>
    <w:rsid w:val="00F240FE"/>
    <w:rsid w:val="00F2426F"/>
    <w:rsid w:val="00F249F7"/>
    <w:rsid w:val="00F24A60"/>
    <w:rsid w:val="00F24EDE"/>
    <w:rsid w:val="00F24F0D"/>
    <w:rsid w:val="00F24F18"/>
    <w:rsid w:val="00F2524B"/>
    <w:rsid w:val="00F25337"/>
    <w:rsid w:val="00F257D9"/>
    <w:rsid w:val="00F26056"/>
    <w:rsid w:val="00F2657C"/>
    <w:rsid w:val="00F26807"/>
    <w:rsid w:val="00F26C10"/>
    <w:rsid w:val="00F26F67"/>
    <w:rsid w:val="00F26FCB"/>
    <w:rsid w:val="00F26FCD"/>
    <w:rsid w:val="00F27028"/>
    <w:rsid w:val="00F279EE"/>
    <w:rsid w:val="00F27C65"/>
    <w:rsid w:val="00F304A5"/>
    <w:rsid w:val="00F304D2"/>
    <w:rsid w:val="00F3055B"/>
    <w:rsid w:val="00F3082C"/>
    <w:rsid w:val="00F30888"/>
    <w:rsid w:val="00F30ABD"/>
    <w:rsid w:val="00F30BE8"/>
    <w:rsid w:val="00F30CE0"/>
    <w:rsid w:val="00F30D6A"/>
    <w:rsid w:val="00F30FAB"/>
    <w:rsid w:val="00F310F7"/>
    <w:rsid w:val="00F311C3"/>
    <w:rsid w:val="00F3120B"/>
    <w:rsid w:val="00F31FF4"/>
    <w:rsid w:val="00F322C3"/>
    <w:rsid w:val="00F3239E"/>
    <w:rsid w:val="00F32875"/>
    <w:rsid w:val="00F32AA8"/>
    <w:rsid w:val="00F32BD9"/>
    <w:rsid w:val="00F332AF"/>
    <w:rsid w:val="00F333CE"/>
    <w:rsid w:val="00F334B7"/>
    <w:rsid w:val="00F3353A"/>
    <w:rsid w:val="00F3356D"/>
    <w:rsid w:val="00F33EA9"/>
    <w:rsid w:val="00F33F2F"/>
    <w:rsid w:val="00F33FCE"/>
    <w:rsid w:val="00F341F6"/>
    <w:rsid w:val="00F34483"/>
    <w:rsid w:val="00F34722"/>
    <w:rsid w:val="00F34780"/>
    <w:rsid w:val="00F347A4"/>
    <w:rsid w:val="00F3485F"/>
    <w:rsid w:val="00F35627"/>
    <w:rsid w:val="00F359B3"/>
    <w:rsid w:val="00F36645"/>
    <w:rsid w:val="00F3675B"/>
    <w:rsid w:val="00F36777"/>
    <w:rsid w:val="00F369A0"/>
    <w:rsid w:val="00F36B02"/>
    <w:rsid w:val="00F36E8C"/>
    <w:rsid w:val="00F36E93"/>
    <w:rsid w:val="00F37139"/>
    <w:rsid w:val="00F37832"/>
    <w:rsid w:val="00F401D5"/>
    <w:rsid w:val="00F40873"/>
    <w:rsid w:val="00F40B75"/>
    <w:rsid w:val="00F40C62"/>
    <w:rsid w:val="00F40CD8"/>
    <w:rsid w:val="00F40D9F"/>
    <w:rsid w:val="00F40FA8"/>
    <w:rsid w:val="00F4119B"/>
    <w:rsid w:val="00F417F4"/>
    <w:rsid w:val="00F41879"/>
    <w:rsid w:val="00F41AA3"/>
    <w:rsid w:val="00F41AB2"/>
    <w:rsid w:val="00F41ADB"/>
    <w:rsid w:val="00F42173"/>
    <w:rsid w:val="00F42728"/>
    <w:rsid w:val="00F42A00"/>
    <w:rsid w:val="00F42F6A"/>
    <w:rsid w:val="00F42F9F"/>
    <w:rsid w:val="00F42FEE"/>
    <w:rsid w:val="00F438FE"/>
    <w:rsid w:val="00F43DE6"/>
    <w:rsid w:val="00F43E18"/>
    <w:rsid w:val="00F440C9"/>
    <w:rsid w:val="00F4414E"/>
    <w:rsid w:val="00F44356"/>
    <w:rsid w:val="00F4473E"/>
    <w:rsid w:val="00F44B43"/>
    <w:rsid w:val="00F45065"/>
    <w:rsid w:val="00F45B79"/>
    <w:rsid w:val="00F4711C"/>
    <w:rsid w:val="00F47ABF"/>
    <w:rsid w:val="00F5086A"/>
    <w:rsid w:val="00F51121"/>
    <w:rsid w:val="00F513BB"/>
    <w:rsid w:val="00F51405"/>
    <w:rsid w:val="00F51658"/>
    <w:rsid w:val="00F517D3"/>
    <w:rsid w:val="00F51C74"/>
    <w:rsid w:val="00F521A4"/>
    <w:rsid w:val="00F5229C"/>
    <w:rsid w:val="00F526AF"/>
    <w:rsid w:val="00F52997"/>
    <w:rsid w:val="00F52EE1"/>
    <w:rsid w:val="00F52F18"/>
    <w:rsid w:val="00F52F9F"/>
    <w:rsid w:val="00F52FB1"/>
    <w:rsid w:val="00F5342F"/>
    <w:rsid w:val="00F536BE"/>
    <w:rsid w:val="00F53CEE"/>
    <w:rsid w:val="00F542F8"/>
    <w:rsid w:val="00F5447B"/>
    <w:rsid w:val="00F54549"/>
    <w:rsid w:val="00F545A0"/>
    <w:rsid w:val="00F545DE"/>
    <w:rsid w:val="00F55B5C"/>
    <w:rsid w:val="00F5626C"/>
    <w:rsid w:val="00F5628B"/>
    <w:rsid w:val="00F5635A"/>
    <w:rsid w:val="00F56A78"/>
    <w:rsid w:val="00F56D5F"/>
    <w:rsid w:val="00F56D8B"/>
    <w:rsid w:val="00F56E91"/>
    <w:rsid w:val="00F5742F"/>
    <w:rsid w:val="00F6010B"/>
    <w:rsid w:val="00F6025D"/>
    <w:rsid w:val="00F6068B"/>
    <w:rsid w:val="00F60BAF"/>
    <w:rsid w:val="00F60D2E"/>
    <w:rsid w:val="00F610F9"/>
    <w:rsid w:val="00F61588"/>
    <w:rsid w:val="00F61591"/>
    <w:rsid w:val="00F61657"/>
    <w:rsid w:val="00F61939"/>
    <w:rsid w:val="00F619E2"/>
    <w:rsid w:val="00F61AB3"/>
    <w:rsid w:val="00F61AC5"/>
    <w:rsid w:val="00F6203A"/>
    <w:rsid w:val="00F623CB"/>
    <w:rsid w:val="00F6268B"/>
    <w:rsid w:val="00F62C32"/>
    <w:rsid w:val="00F630C5"/>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F75"/>
    <w:rsid w:val="00F65FF2"/>
    <w:rsid w:val="00F668EF"/>
    <w:rsid w:val="00F6710C"/>
    <w:rsid w:val="00F6715E"/>
    <w:rsid w:val="00F6736B"/>
    <w:rsid w:val="00F676C3"/>
    <w:rsid w:val="00F678A7"/>
    <w:rsid w:val="00F678B6"/>
    <w:rsid w:val="00F679BF"/>
    <w:rsid w:val="00F67B9B"/>
    <w:rsid w:val="00F67F82"/>
    <w:rsid w:val="00F7058B"/>
    <w:rsid w:val="00F70B4C"/>
    <w:rsid w:val="00F7165B"/>
    <w:rsid w:val="00F71753"/>
    <w:rsid w:val="00F72273"/>
    <w:rsid w:val="00F7262E"/>
    <w:rsid w:val="00F72789"/>
    <w:rsid w:val="00F72872"/>
    <w:rsid w:val="00F7292D"/>
    <w:rsid w:val="00F72B5B"/>
    <w:rsid w:val="00F72CD9"/>
    <w:rsid w:val="00F72D67"/>
    <w:rsid w:val="00F7303D"/>
    <w:rsid w:val="00F73090"/>
    <w:rsid w:val="00F73773"/>
    <w:rsid w:val="00F741CD"/>
    <w:rsid w:val="00F74610"/>
    <w:rsid w:val="00F746E4"/>
    <w:rsid w:val="00F74D2E"/>
    <w:rsid w:val="00F751E0"/>
    <w:rsid w:val="00F7536B"/>
    <w:rsid w:val="00F753C7"/>
    <w:rsid w:val="00F753F8"/>
    <w:rsid w:val="00F75546"/>
    <w:rsid w:val="00F7571A"/>
    <w:rsid w:val="00F7598D"/>
    <w:rsid w:val="00F76364"/>
    <w:rsid w:val="00F76994"/>
    <w:rsid w:val="00F77066"/>
    <w:rsid w:val="00F77537"/>
    <w:rsid w:val="00F7755E"/>
    <w:rsid w:val="00F77B94"/>
    <w:rsid w:val="00F77DB4"/>
    <w:rsid w:val="00F806D0"/>
    <w:rsid w:val="00F80DC6"/>
    <w:rsid w:val="00F818FE"/>
    <w:rsid w:val="00F81958"/>
    <w:rsid w:val="00F81EFC"/>
    <w:rsid w:val="00F8237E"/>
    <w:rsid w:val="00F8284F"/>
    <w:rsid w:val="00F82ACF"/>
    <w:rsid w:val="00F82F0B"/>
    <w:rsid w:val="00F83821"/>
    <w:rsid w:val="00F83854"/>
    <w:rsid w:val="00F838F8"/>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C58"/>
    <w:rsid w:val="00F87278"/>
    <w:rsid w:val="00F8789B"/>
    <w:rsid w:val="00F904BB"/>
    <w:rsid w:val="00F90567"/>
    <w:rsid w:val="00F90583"/>
    <w:rsid w:val="00F90645"/>
    <w:rsid w:val="00F907F6"/>
    <w:rsid w:val="00F909A4"/>
    <w:rsid w:val="00F90EA1"/>
    <w:rsid w:val="00F912CC"/>
    <w:rsid w:val="00F917EF"/>
    <w:rsid w:val="00F91893"/>
    <w:rsid w:val="00F918DC"/>
    <w:rsid w:val="00F91A8F"/>
    <w:rsid w:val="00F91DF3"/>
    <w:rsid w:val="00F91E13"/>
    <w:rsid w:val="00F9213E"/>
    <w:rsid w:val="00F92E88"/>
    <w:rsid w:val="00F933C8"/>
    <w:rsid w:val="00F93B67"/>
    <w:rsid w:val="00F93D47"/>
    <w:rsid w:val="00F93D9D"/>
    <w:rsid w:val="00F94015"/>
    <w:rsid w:val="00F94293"/>
    <w:rsid w:val="00F9429C"/>
    <w:rsid w:val="00F946E8"/>
    <w:rsid w:val="00F949D0"/>
    <w:rsid w:val="00F94DA3"/>
    <w:rsid w:val="00F971B5"/>
    <w:rsid w:val="00F971D5"/>
    <w:rsid w:val="00F9779A"/>
    <w:rsid w:val="00F979A2"/>
    <w:rsid w:val="00FA0018"/>
    <w:rsid w:val="00FA0146"/>
    <w:rsid w:val="00FA0B99"/>
    <w:rsid w:val="00FA14D8"/>
    <w:rsid w:val="00FA1975"/>
    <w:rsid w:val="00FA198F"/>
    <w:rsid w:val="00FA1CB9"/>
    <w:rsid w:val="00FA1E20"/>
    <w:rsid w:val="00FA1E55"/>
    <w:rsid w:val="00FA250B"/>
    <w:rsid w:val="00FA2A1B"/>
    <w:rsid w:val="00FA2B97"/>
    <w:rsid w:val="00FA2C42"/>
    <w:rsid w:val="00FA2D3A"/>
    <w:rsid w:val="00FA34A8"/>
    <w:rsid w:val="00FA3592"/>
    <w:rsid w:val="00FA3786"/>
    <w:rsid w:val="00FA3794"/>
    <w:rsid w:val="00FA3AC2"/>
    <w:rsid w:val="00FA3CF8"/>
    <w:rsid w:val="00FA3DB2"/>
    <w:rsid w:val="00FA3E39"/>
    <w:rsid w:val="00FA4189"/>
    <w:rsid w:val="00FA42FC"/>
    <w:rsid w:val="00FA4670"/>
    <w:rsid w:val="00FA467E"/>
    <w:rsid w:val="00FA48FD"/>
    <w:rsid w:val="00FA4BD8"/>
    <w:rsid w:val="00FA4FE7"/>
    <w:rsid w:val="00FA4FE8"/>
    <w:rsid w:val="00FA5155"/>
    <w:rsid w:val="00FA57C3"/>
    <w:rsid w:val="00FA58FA"/>
    <w:rsid w:val="00FA6357"/>
    <w:rsid w:val="00FA67F4"/>
    <w:rsid w:val="00FA68E4"/>
    <w:rsid w:val="00FA6E45"/>
    <w:rsid w:val="00FA72AA"/>
    <w:rsid w:val="00FA7736"/>
    <w:rsid w:val="00FA7A8B"/>
    <w:rsid w:val="00FA7CE6"/>
    <w:rsid w:val="00FA7EC2"/>
    <w:rsid w:val="00FB01A5"/>
    <w:rsid w:val="00FB05D1"/>
    <w:rsid w:val="00FB0DBD"/>
    <w:rsid w:val="00FB11A7"/>
    <w:rsid w:val="00FB20EE"/>
    <w:rsid w:val="00FB21EE"/>
    <w:rsid w:val="00FB2D84"/>
    <w:rsid w:val="00FB3310"/>
    <w:rsid w:val="00FB3345"/>
    <w:rsid w:val="00FB34AE"/>
    <w:rsid w:val="00FB3604"/>
    <w:rsid w:val="00FB379F"/>
    <w:rsid w:val="00FB3EE7"/>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2F2"/>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AB2"/>
    <w:rsid w:val="00FC4B99"/>
    <w:rsid w:val="00FC4BB6"/>
    <w:rsid w:val="00FC5104"/>
    <w:rsid w:val="00FC5119"/>
    <w:rsid w:val="00FC53C1"/>
    <w:rsid w:val="00FC54D0"/>
    <w:rsid w:val="00FC54E6"/>
    <w:rsid w:val="00FC55CC"/>
    <w:rsid w:val="00FC59C3"/>
    <w:rsid w:val="00FC5AC5"/>
    <w:rsid w:val="00FC62EB"/>
    <w:rsid w:val="00FC6ADB"/>
    <w:rsid w:val="00FC6F2B"/>
    <w:rsid w:val="00FC6F36"/>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3A4"/>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C45"/>
    <w:rsid w:val="00FD7CB5"/>
    <w:rsid w:val="00FD7DA7"/>
    <w:rsid w:val="00FD7DC6"/>
    <w:rsid w:val="00FE0180"/>
    <w:rsid w:val="00FE02B8"/>
    <w:rsid w:val="00FE0350"/>
    <w:rsid w:val="00FE06B2"/>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50FC"/>
    <w:rsid w:val="00FE5321"/>
    <w:rsid w:val="00FE5642"/>
    <w:rsid w:val="00FE5B59"/>
    <w:rsid w:val="00FE5DAE"/>
    <w:rsid w:val="00FE60B9"/>
    <w:rsid w:val="00FE60E9"/>
    <w:rsid w:val="00FE6274"/>
    <w:rsid w:val="00FE6404"/>
    <w:rsid w:val="00FE6651"/>
    <w:rsid w:val="00FE66A8"/>
    <w:rsid w:val="00FE6858"/>
    <w:rsid w:val="00FE6F32"/>
    <w:rsid w:val="00FE7163"/>
    <w:rsid w:val="00FE71EF"/>
    <w:rsid w:val="00FE76BD"/>
    <w:rsid w:val="00FE77C6"/>
    <w:rsid w:val="00FF0018"/>
    <w:rsid w:val="00FF03CA"/>
    <w:rsid w:val="00FF0528"/>
    <w:rsid w:val="00FF05C8"/>
    <w:rsid w:val="00FF05EF"/>
    <w:rsid w:val="00FF0DE2"/>
    <w:rsid w:val="00FF11DB"/>
    <w:rsid w:val="00FF170D"/>
    <w:rsid w:val="00FF1919"/>
    <w:rsid w:val="00FF1CF1"/>
    <w:rsid w:val="00FF1D73"/>
    <w:rsid w:val="00FF1F95"/>
    <w:rsid w:val="00FF212B"/>
    <w:rsid w:val="00FF2899"/>
    <w:rsid w:val="00FF2C90"/>
    <w:rsid w:val="00FF2EDE"/>
    <w:rsid w:val="00FF356A"/>
    <w:rsid w:val="00FF3E2C"/>
    <w:rsid w:val="00FF3EDD"/>
    <w:rsid w:val="00FF3F3E"/>
    <w:rsid w:val="00FF46CB"/>
    <w:rsid w:val="00FF494C"/>
    <w:rsid w:val="00FF4A69"/>
    <w:rsid w:val="00FF4A81"/>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6250C23-FF31-4FFC-BA8A-8329753C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94778"/>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E84448"/>
    <w:pPr>
      <w:keepNext/>
      <w:widowControl w:val="0"/>
      <w:numPr>
        <w:numId w:val="3"/>
      </w:numPr>
      <w:pBdr>
        <w:bottom w:val="single" w:sz="16" w:space="11" w:color="BFBFBF"/>
      </w:pBdr>
      <w:autoSpaceDE w:val="0"/>
      <w:autoSpaceDN w:val="0"/>
      <w:adjustRightInd w:val="0"/>
      <w:spacing w:before="720" w:after="24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E84448"/>
    <w:pPr>
      <w:keepNext/>
      <w:numPr>
        <w:ilvl w:val="1"/>
        <w:numId w:val="3"/>
      </w:numPr>
      <w:spacing w:before="360" w:after="180" w:line="240" w:lineRule="auto"/>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BF079F"/>
    <w:pPr>
      <w:tabs>
        <w:tab w:val="left" w:pos="440"/>
        <w:tab w:val="left" w:pos="567"/>
        <w:tab w:val="left" w:pos="1276"/>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E84448"/>
    <w:pPr>
      <w:pBdr>
        <w:top w:val="single" w:sz="12" w:space="4" w:color="01653F"/>
        <w:left w:val="single" w:sz="12" w:space="4" w:color="01653F"/>
        <w:bottom w:val="single" w:sz="12" w:space="4" w:color="01653F"/>
        <w:right w:val="single" w:sz="12" w:space="4" w:color="01653F"/>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E84448"/>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A502F9"/>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Default">
    <w:name w:val="Default"/>
    <w:rsid w:val="00393B2F"/>
    <w:pPr>
      <w:autoSpaceDE w:val="0"/>
      <w:autoSpaceDN w:val="0"/>
      <w:adjustRightInd w:val="0"/>
    </w:pPr>
    <w:rPr>
      <w:color w:val="000000"/>
      <w:sz w:val="24"/>
      <w:szCs w:val="24"/>
    </w:rPr>
  </w:style>
  <w:style w:type="paragraph" w:customStyle="1" w:styleId="Body">
    <w:name w:val="Body"/>
    <w:rsid w:val="00A1221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None">
    <w:name w:val="None"/>
    <w:rsid w:val="00A12217"/>
  </w:style>
  <w:style w:type="character" w:customStyle="1" w:styleId="Link">
    <w:name w:val="Link"/>
    <w:rsid w:val="00A12217"/>
    <w:rPr>
      <w:color w:val="0000FF"/>
      <w:u w:val="single" w:color="0000FF"/>
      <w:lang w:val="en-US"/>
    </w:rPr>
  </w:style>
  <w:style w:type="character" w:styleId="FollowedHyperlink">
    <w:name w:val="FollowedHyperlink"/>
    <w:basedOn w:val="DefaultParagraphFont"/>
    <w:uiPriority w:val="99"/>
    <w:semiHidden/>
    <w:unhideWhenUsed/>
    <w:locked/>
    <w:rsid w:val="00EF5FF3"/>
    <w:rPr>
      <w:color w:val="800080"/>
      <w:u w:val="single"/>
    </w:rPr>
  </w:style>
  <w:style w:type="paragraph" w:customStyle="1" w:styleId="Pa1">
    <w:name w:val="Pa1"/>
    <w:basedOn w:val="Normal"/>
    <w:next w:val="Normal"/>
    <w:uiPriority w:val="99"/>
    <w:rsid w:val="004859CE"/>
    <w:pPr>
      <w:autoSpaceDE w:val="0"/>
      <w:autoSpaceDN w:val="0"/>
      <w:adjustRightInd w:val="0"/>
      <w:spacing w:before="0" w:after="0" w:line="211" w:lineRule="atLeast"/>
    </w:pPr>
    <w:rPr>
      <w:rFonts w:ascii="Garamond" w:eastAsiaTheme="minorHAnsi" w:hAnsi="Garamond" w:cstheme="minorBidi"/>
      <w:sz w:val="24"/>
      <w:lang w:eastAsia="en-US"/>
    </w:rPr>
  </w:style>
  <w:style w:type="character" w:customStyle="1" w:styleId="A8">
    <w:name w:val="A8"/>
    <w:uiPriority w:val="99"/>
    <w:rsid w:val="004859CE"/>
    <w:rPr>
      <w:rFonts w:ascii="ITC Garamond Std Lt" w:hAnsi="ITC Garamond Std Lt" w:cs="ITC Garamond Std Lt"/>
      <w:color w:val="000000"/>
      <w:sz w:val="12"/>
      <w:szCs w:val="12"/>
    </w:rPr>
  </w:style>
  <w:style w:type="paragraph" w:styleId="PlainText">
    <w:name w:val="Plain Text"/>
    <w:basedOn w:val="Normal"/>
    <w:link w:val="PlainTextChar"/>
    <w:uiPriority w:val="99"/>
    <w:unhideWhenUsed/>
    <w:locked/>
    <w:rsid w:val="009D6802"/>
    <w:pPr>
      <w:spacing w:before="0" w:after="0" w:line="240" w:lineRule="auto"/>
    </w:pPr>
    <w:rPr>
      <w:rFonts w:ascii="Calibri" w:hAnsi="Calibri"/>
      <w:szCs w:val="21"/>
      <w:lang w:eastAsia="en-US"/>
    </w:rPr>
  </w:style>
  <w:style w:type="character" w:customStyle="1" w:styleId="PlainTextChar">
    <w:name w:val="Plain Text Char"/>
    <w:basedOn w:val="DefaultParagraphFont"/>
    <w:link w:val="PlainText"/>
    <w:uiPriority w:val="99"/>
    <w:rsid w:val="009D6802"/>
    <w:rPr>
      <w:rFonts w:ascii="Calibri" w:hAnsi="Calibri"/>
      <w:sz w:val="22"/>
      <w:szCs w:val="21"/>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A502F9"/>
    <w:rPr>
      <w:rFonts w:asciiTheme="minorHAnsi" w:hAnsiTheme="minorHAnsi"/>
      <w:sz w:val="22"/>
      <w:szCs w:val="24"/>
    </w:rPr>
  </w:style>
  <w:style w:type="character" w:customStyle="1" w:styleId="response-text2">
    <w:name w:val="response-text2"/>
    <w:basedOn w:val="DefaultParagraphFont"/>
    <w:rsid w:val="0066119C"/>
  </w:style>
  <w:style w:type="paragraph" w:customStyle="1" w:styleId="Pa5">
    <w:name w:val="Pa5"/>
    <w:basedOn w:val="Default"/>
    <w:next w:val="Default"/>
    <w:uiPriority w:val="99"/>
    <w:rsid w:val="002C3FEF"/>
    <w:pPr>
      <w:spacing w:line="201" w:lineRule="atLeast"/>
    </w:pPr>
    <w:rPr>
      <w:rFonts w:ascii="Open Sans Semibold" w:hAnsi="Open Sans Semibold"/>
      <w:color w:val="auto"/>
    </w:rPr>
  </w:style>
  <w:style w:type="paragraph" w:customStyle="1" w:styleId="Pa4">
    <w:name w:val="Pa4"/>
    <w:basedOn w:val="Default"/>
    <w:next w:val="Default"/>
    <w:uiPriority w:val="99"/>
    <w:rsid w:val="002C3FEF"/>
    <w:pPr>
      <w:spacing w:line="461" w:lineRule="atLeast"/>
    </w:pPr>
    <w:rPr>
      <w:rFonts w:ascii="Proxima Nova Extrabold" w:hAnsi="Proxima Nova Extrabold"/>
      <w:color w:val="auto"/>
    </w:rPr>
  </w:style>
  <w:style w:type="table" w:customStyle="1" w:styleId="ListTable4-Accent61">
    <w:name w:val="List Table 4 - Accent 61"/>
    <w:basedOn w:val="TableNormal"/>
    <w:next w:val="ListTable4-Accent6"/>
    <w:uiPriority w:val="49"/>
    <w:rsid w:val="00F73090"/>
    <w:rPr>
      <w:rFonts w:eastAsia="Calibri"/>
      <w:sz w:val="24"/>
      <w:szCs w:val="24"/>
      <w:lang w:eastAsia="en-US"/>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F7309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oxNormal">
    <w:name w:val="Box Normal"/>
    <w:basedOn w:val="Normal"/>
    <w:qFormat/>
    <w:rsid w:val="00175EA4"/>
    <w:pPr>
      <w:spacing w:before="0" w:after="180" w:line="240" w:lineRule="auto"/>
      <w:ind w:left="57" w:right="57"/>
    </w:pPr>
    <w:rPr>
      <w:rFonts w:eastAsiaTheme="minorHAnsi"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459161">
      <w:bodyDiv w:val="1"/>
      <w:marLeft w:val="0"/>
      <w:marRight w:val="0"/>
      <w:marTop w:val="0"/>
      <w:marBottom w:val="0"/>
      <w:divBdr>
        <w:top w:val="none" w:sz="0" w:space="0" w:color="auto"/>
        <w:left w:val="none" w:sz="0" w:space="0" w:color="auto"/>
        <w:bottom w:val="none" w:sz="0" w:space="0" w:color="auto"/>
        <w:right w:val="none" w:sz="0" w:space="0" w:color="auto"/>
      </w:divBdr>
    </w:div>
    <w:div w:id="28069042">
      <w:bodyDiv w:val="1"/>
      <w:marLeft w:val="0"/>
      <w:marRight w:val="0"/>
      <w:marTop w:val="0"/>
      <w:marBottom w:val="0"/>
      <w:divBdr>
        <w:top w:val="none" w:sz="0" w:space="0" w:color="auto"/>
        <w:left w:val="none" w:sz="0" w:space="0" w:color="auto"/>
        <w:bottom w:val="none" w:sz="0" w:space="0" w:color="auto"/>
        <w:right w:val="none" w:sz="0" w:space="0" w:color="auto"/>
      </w:divBdr>
    </w:div>
    <w:div w:id="2838152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921776">
      <w:bodyDiv w:val="1"/>
      <w:marLeft w:val="0"/>
      <w:marRight w:val="0"/>
      <w:marTop w:val="0"/>
      <w:marBottom w:val="0"/>
      <w:divBdr>
        <w:top w:val="none" w:sz="0" w:space="0" w:color="auto"/>
        <w:left w:val="none" w:sz="0" w:space="0" w:color="auto"/>
        <w:bottom w:val="none" w:sz="0" w:space="0" w:color="auto"/>
        <w:right w:val="none" w:sz="0" w:space="0" w:color="auto"/>
      </w:divBdr>
    </w:div>
    <w:div w:id="46148148">
      <w:bodyDiv w:val="1"/>
      <w:marLeft w:val="0"/>
      <w:marRight w:val="0"/>
      <w:marTop w:val="0"/>
      <w:marBottom w:val="0"/>
      <w:divBdr>
        <w:top w:val="none" w:sz="0" w:space="0" w:color="auto"/>
        <w:left w:val="none" w:sz="0" w:space="0" w:color="auto"/>
        <w:bottom w:val="none" w:sz="0" w:space="0" w:color="auto"/>
        <w:right w:val="none" w:sz="0" w:space="0" w:color="auto"/>
      </w:divBdr>
    </w:div>
    <w:div w:id="46609118">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0734058">
      <w:bodyDiv w:val="1"/>
      <w:marLeft w:val="0"/>
      <w:marRight w:val="0"/>
      <w:marTop w:val="0"/>
      <w:marBottom w:val="0"/>
      <w:divBdr>
        <w:top w:val="none" w:sz="0" w:space="0" w:color="auto"/>
        <w:left w:val="none" w:sz="0" w:space="0" w:color="auto"/>
        <w:bottom w:val="none" w:sz="0" w:space="0" w:color="auto"/>
        <w:right w:val="none" w:sz="0" w:space="0" w:color="auto"/>
      </w:divBdr>
    </w:div>
    <w:div w:id="52774594">
      <w:bodyDiv w:val="1"/>
      <w:marLeft w:val="0"/>
      <w:marRight w:val="0"/>
      <w:marTop w:val="0"/>
      <w:marBottom w:val="0"/>
      <w:divBdr>
        <w:top w:val="none" w:sz="0" w:space="0" w:color="auto"/>
        <w:left w:val="none" w:sz="0" w:space="0" w:color="auto"/>
        <w:bottom w:val="none" w:sz="0" w:space="0" w:color="auto"/>
        <w:right w:val="none" w:sz="0" w:space="0" w:color="auto"/>
      </w:divBdr>
    </w:div>
    <w:div w:id="60757897">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2022619">
      <w:bodyDiv w:val="1"/>
      <w:marLeft w:val="0"/>
      <w:marRight w:val="0"/>
      <w:marTop w:val="0"/>
      <w:marBottom w:val="0"/>
      <w:divBdr>
        <w:top w:val="none" w:sz="0" w:space="0" w:color="auto"/>
        <w:left w:val="none" w:sz="0" w:space="0" w:color="auto"/>
        <w:bottom w:val="none" w:sz="0" w:space="0" w:color="auto"/>
        <w:right w:val="none" w:sz="0" w:space="0" w:color="auto"/>
      </w:divBdr>
    </w:div>
    <w:div w:id="63912817">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762559">
      <w:bodyDiv w:val="1"/>
      <w:marLeft w:val="0"/>
      <w:marRight w:val="0"/>
      <w:marTop w:val="0"/>
      <w:marBottom w:val="0"/>
      <w:divBdr>
        <w:top w:val="none" w:sz="0" w:space="0" w:color="auto"/>
        <w:left w:val="none" w:sz="0" w:space="0" w:color="auto"/>
        <w:bottom w:val="none" w:sz="0" w:space="0" w:color="auto"/>
        <w:right w:val="none" w:sz="0" w:space="0" w:color="auto"/>
      </w:divBdr>
    </w:div>
    <w:div w:id="65996644">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69665640">
      <w:bodyDiv w:val="1"/>
      <w:marLeft w:val="0"/>
      <w:marRight w:val="0"/>
      <w:marTop w:val="0"/>
      <w:marBottom w:val="0"/>
      <w:divBdr>
        <w:top w:val="none" w:sz="0" w:space="0" w:color="auto"/>
        <w:left w:val="none" w:sz="0" w:space="0" w:color="auto"/>
        <w:bottom w:val="none" w:sz="0" w:space="0" w:color="auto"/>
        <w:right w:val="none" w:sz="0" w:space="0" w:color="auto"/>
      </w:divBdr>
    </w:div>
    <w:div w:id="69811259">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3745555">
      <w:bodyDiv w:val="1"/>
      <w:marLeft w:val="0"/>
      <w:marRight w:val="0"/>
      <w:marTop w:val="0"/>
      <w:marBottom w:val="0"/>
      <w:divBdr>
        <w:top w:val="none" w:sz="0" w:space="0" w:color="auto"/>
        <w:left w:val="none" w:sz="0" w:space="0" w:color="auto"/>
        <w:bottom w:val="none" w:sz="0" w:space="0" w:color="auto"/>
        <w:right w:val="none" w:sz="0" w:space="0" w:color="auto"/>
      </w:divBdr>
    </w:div>
    <w:div w:id="77557249">
      <w:bodyDiv w:val="1"/>
      <w:marLeft w:val="0"/>
      <w:marRight w:val="0"/>
      <w:marTop w:val="0"/>
      <w:marBottom w:val="0"/>
      <w:divBdr>
        <w:top w:val="none" w:sz="0" w:space="0" w:color="auto"/>
        <w:left w:val="none" w:sz="0" w:space="0" w:color="auto"/>
        <w:bottom w:val="none" w:sz="0" w:space="0" w:color="auto"/>
        <w:right w:val="none" w:sz="0" w:space="0" w:color="auto"/>
      </w:divBdr>
    </w:div>
    <w:div w:id="80181614">
      <w:bodyDiv w:val="1"/>
      <w:marLeft w:val="0"/>
      <w:marRight w:val="0"/>
      <w:marTop w:val="0"/>
      <w:marBottom w:val="0"/>
      <w:divBdr>
        <w:top w:val="none" w:sz="0" w:space="0" w:color="auto"/>
        <w:left w:val="none" w:sz="0" w:space="0" w:color="auto"/>
        <w:bottom w:val="none" w:sz="0" w:space="0" w:color="auto"/>
        <w:right w:val="none" w:sz="0" w:space="0" w:color="auto"/>
      </w:divBdr>
    </w:div>
    <w:div w:id="80295625">
      <w:bodyDiv w:val="1"/>
      <w:marLeft w:val="0"/>
      <w:marRight w:val="0"/>
      <w:marTop w:val="0"/>
      <w:marBottom w:val="0"/>
      <w:divBdr>
        <w:top w:val="none" w:sz="0" w:space="0" w:color="auto"/>
        <w:left w:val="none" w:sz="0" w:space="0" w:color="auto"/>
        <w:bottom w:val="none" w:sz="0" w:space="0" w:color="auto"/>
        <w:right w:val="none" w:sz="0" w:space="0" w:color="auto"/>
      </w:divBdr>
    </w:div>
    <w:div w:id="82142635">
      <w:bodyDiv w:val="1"/>
      <w:marLeft w:val="0"/>
      <w:marRight w:val="0"/>
      <w:marTop w:val="0"/>
      <w:marBottom w:val="0"/>
      <w:divBdr>
        <w:top w:val="none" w:sz="0" w:space="0" w:color="auto"/>
        <w:left w:val="none" w:sz="0" w:space="0" w:color="auto"/>
        <w:bottom w:val="none" w:sz="0" w:space="0" w:color="auto"/>
        <w:right w:val="none" w:sz="0" w:space="0" w:color="auto"/>
      </w:divBdr>
    </w:div>
    <w:div w:id="84152017">
      <w:bodyDiv w:val="1"/>
      <w:marLeft w:val="0"/>
      <w:marRight w:val="0"/>
      <w:marTop w:val="0"/>
      <w:marBottom w:val="0"/>
      <w:divBdr>
        <w:top w:val="none" w:sz="0" w:space="0" w:color="auto"/>
        <w:left w:val="none" w:sz="0" w:space="0" w:color="auto"/>
        <w:bottom w:val="none" w:sz="0" w:space="0" w:color="auto"/>
        <w:right w:val="none" w:sz="0" w:space="0" w:color="auto"/>
      </w:divBdr>
    </w:div>
    <w:div w:id="85269177">
      <w:bodyDiv w:val="1"/>
      <w:marLeft w:val="0"/>
      <w:marRight w:val="0"/>
      <w:marTop w:val="0"/>
      <w:marBottom w:val="0"/>
      <w:divBdr>
        <w:top w:val="none" w:sz="0" w:space="0" w:color="auto"/>
        <w:left w:val="none" w:sz="0" w:space="0" w:color="auto"/>
        <w:bottom w:val="none" w:sz="0" w:space="0" w:color="auto"/>
        <w:right w:val="none" w:sz="0" w:space="0" w:color="auto"/>
      </w:divBdr>
    </w:div>
    <w:div w:id="86195671">
      <w:bodyDiv w:val="1"/>
      <w:marLeft w:val="0"/>
      <w:marRight w:val="0"/>
      <w:marTop w:val="0"/>
      <w:marBottom w:val="0"/>
      <w:divBdr>
        <w:top w:val="none" w:sz="0" w:space="0" w:color="auto"/>
        <w:left w:val="none" w:sz="0" w:space="0" w:color="auto"/>
        <w:bottom w:val="none" w:sz="0" w:space="0" w:color="auto"/>
        <w:right w:val="none" w:sz="0" w:space="0" w:color="auto"/>
      </w:divBdr>
    </w:div>
    <w:div w:id="87773589">
      <w:bodyDiv w:val="1"/>
      <w:marLeft w:val="0"/>
      <w:marRight w:val="0"/>
      <w:marTop w:val="0"/>
      <w:marBottom w:val="0"/>
      <w:divBdr>
        <w:top w:val="none" w:sz="0" w:space="0" w:color="auto"/>
        <w:left w:val="none" w:sz="0" w:space="0" w:color="auto"/>
        <w:bottom w:val="none" w:sz="0" w:space="0" w:color="auto"/>
        <w:right w:val="none" w:sz="0" w:space="0" w:color="auto"/>
      </w:divBdr>
    </w:div>
    <w:div w:id="8835645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015752">
      <w:bodyDiv w:val="1"/>
      <w:marLeft w:val="0"/>
      <w:marRight w:val="0"/>
      <w:marTop w:val="0"/>
      <w:marBottom w:val="0"/>
      <w:divBdr>
        <w:top w:val="none" w:sz="0" w:space="0" w:color="auto"/>
        <w:left w:val="none" w:sz="0" w:space="0" w:color="auto"/>
        <w:bottom w:val="none" w:sz="0" w:space="0" w:color="auto"/>
        <w:right w:val="none" w:sz="0" w:space="0" w:color="auto"/>
      </w:divBdr>
    </w:div>
    <w:div w:id="9660792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483013">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1076061">
      <w:bodyDiv w:val="1"/>
      <w:marLeft w:val="0"/>
      <w:marRight w:val="0"/>
      <w:marTop w:val="0"/>
      <w:marBottom w:val="0"/>
      <w:divBdr>
        <w:top w:val="none" w:sz="0" w:space="0" w:color="auto"/>
        <w:left w:val="none" w:sz="0" w:space="0" w:color="auto"/>
        <w:bottom w:val="none" w:sz="0" w:space="0" w:color="auto"/>
        <w:right w:val="none" w:sz="0" w:space="0" w:color="auto"/>
      </w:divBdr>
    </w:div>
    <w:div w:id="105194455">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6608461">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92067">
      <w:bodyDiv w:val="1"/>
      <w:marLeft w:val="0"/>
      <w:marRight w:val="0"/>
      <w:marTop w:val="0"/>
      <w:marBottom w:val="0"/>
      <w:divBdr>
        <w:top w:val="none" w:sz="0" w:space="0" w:color="auto"/>
        <w:left w:val="none" w:sz="0" w:space="0" w:color="auto"/>
        <w:bottom w:val="none" w:sz="0" w:space="0" w:color="auto"/>
        <w:right w:val="none" w:sz="0" w:space="0" w:color="auto"/>
      </w:divBdr>
    </w:div>
    <w:div w:id="127935707">
      <w:bodyDiv w:val="1"/>
      <w:marLeft w:val="0"/>
      <w:marRight w:val="0"/>
      <w:marTop w:val="0"/>
      <w:marBottom w:val="0"/>
      <w:divBdr>
        <w:top w:val="none" w:sz="0" w:space="0" w:color="auto"/>
        <w:left w:val="none" w:sz="0" w:space="0" w:color="auto"/>
        <w:bottom w:val="none" w:sz="0" w:space="0" w:color="auto"/>
        <w:right w:val="none" w:sz="0" w:space="0" w:color="auto"/>
      </w:divBdr>
    </w:div>
    <w:div w:id="128062760">
      <w:bodyDiv w:val="1"/>
      <w:marLeft w:val="0"/>
      <w:marRight w:val="0"/>
      <w:marTop w:val="0"/>
      <w:marBottom w:val="0"/>
      <w:divBdr>
        <w:top w:val="none" w:sz="0" w:space="0" w:color="auto"/>
        <w:left w:val="none" w:sz="0" w:space="0" w:color="auto"/>
        <w:bottom w:val="none" w:sz="0" w:space="0" w:color="auto"/>
        <w:right w:val="none" w:sz="0" w:space="0" w:color="auto"/>
      </w:divBdr>
    </w:div>
    <w:div w:id="128983053">
      <w:bodyDiv w:val="1"/>
      <w:marLeft w:val="0"/>
      <w:marRight w:val="0"/>
      <w:marTop w:val="0"/>
      <w:marBottom w:val="0"/>
      <w:divBdr>
        <w:top w:val="none" w:sz="0" w:space="0" w:color="auto"/>
        <w:left w:val="none" w:sz="0" w:space="0" w:color="auto"/>
        <w:bottom w:val="none" w:sz="0" w:space="0" w:color="auto"/>
        <w:right w:val="none" w:sz="0" w:space="0" w:color="auto"/>
      </w:divBdr>
    </w:div>
    <w:div w:id="135874699">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5166831">
      <w:bodyDiv w:val="1"/>
      <w:marLeft w:val="0"/>
      <w:marRight w:val="0"/>
      <w:marTop w:val="0"/>
      <w:marBottom w:val="0"/>
      <w:divBdr>
        <w:top w:val="none" w:sz="0" w:space="0" w:color="auto"/>
        <w:left w:val="none" w:sz="0" w:space="0" w:color="auto"/>
        <w:bottom w:val="none" w:sz="0" w:space="0" w:color="auto"/>
        <w:right w:val="none" w:sz="0" w:space="0" w:color="auto"/>
      </w:divBdr>
    </w:div>
    <w:div w:id="147675497">
      <w:bodyDiv w:val="1"/>
      <w:marLeft w:val="0"/>
      <w:marRight w:val="0"/>
      <w:marTop w:val="0"/>
      <w:marBottom w:val="0"/>
      <w:divBdr>
        <w:top w:val="none" w:sz="0" w:space="0" w:color="auto"/>
        <w:left w:val="none" w:sz="0" w:space="0" w:color="auto"/>
        <w:bottom w:val="none" w:sz="0" w:space="0" w:color="auto"/>
        <w:right w:val="none" w:sz="0" w:space="0" w:color="auto"/>
      </w:divBdr>
    </w:div>
    <w:div w:id="148912717">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8234538">
      <w:bodyDiv w:val="1"/>
      <w:marLeft w:val="0"/>
      <w:marRight w:val="0"/>
      <w:marTop w:val="0"/>
      <w:marBottom w:val="0"/>
      <w:divBdr>
        <w:top w:val="none" w:sz="0" w:space="0" w:color="auto"/>
        <w:left w:val="none" w:sz="0" w:space="0" w:color="auto"/>
        <w:bottom w:val="none" w:sz="0" w:space="0" w:color="auto"/>
        <w:right w:val="none" w:sz="0" w:space="0" w:color="auto"/>
      </w:divBdr>
    </w:div>
    <w:div w:id="159122567">
      <w:bodyDiv w:val="1"/>
      <w:marLeft w:val="0"/>
      <w:marRight w:val="0"/>
      <w:marTop w:val="0"/>
      <w:marBottom w:val="0"/>
      <w:divBdr>
        <w:top w:val="none" w:sz="0" w:space="0" w:color="auto"/>
        <w:left w:val="none" w:sz="0" w:space="0" w:color="auto"/>
        <w:bottom w:val="none" w:sz="0" w:space="0" w:color="auto"/>
        <w:right w:val="none" w:sz="0" w:space="0" w:color="auto"/>
      </w:divBdr>
    </w:div>
    <w:div w:id="159977524">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935327">
      <w:bodyDiv w:val="1"/>
      <w:marLeft w:val="0"/>
      <w:marRight w:val="0"/>
      <w:marTop w:val="0"/>
      <w:marBottom w:val="0"/>
      <w:divBdr>
        <w:top w:val="none" w:sz="0" w:space="0" w:color="auto"/>
        <w:left w:val="none" w:sz="0" w:space="0" w:color="auto"/>
        <w:bottom w:val="none" w:sz="0" w:space="0" w:color="auto"/>
        <w:right w:val="none" w:sz="0" w:space="0" w:color="auto"/>
      </w:divBdr>
    </w:div>
    <w:div w:id="163400478">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706411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3233018">
      <w:bodyDiv w:val="1"/>
      <w:marLeft w:val="0"/>
      <w:marRight w:val="0"/>
      <w:marTop w:val="0"/>
      <w:marBottom w:val="0"/>
      <w:divBdr>
        <w:top w:val="none" w:sz="0" w:space="0" w:color="auto"/>
        <w:left w:val="none" w:sz="0" w:space="0" w:color="auto"/>
        <w:bottom w:val="none" w:sz="0" w:space="0" w:color="auto"/>
        <w:right w:val="none" w:sz="0" w:space="0" w:color="auto"/>
      </w:divBdr>
    </w:div>
    <w:div w:id="186605558">
      <w:bodyDiv w:val="1"/>
      <w:marLeft w:val="0"/>
      <w:marRight w:val="0"/>
      <w:marTop w:val="0"/>
      <w:marBottom w:val="0"/>
      <w:divBdr>
        <w:top w:val="none" w:sz="0" w:space="0" w:color="auto"/>
        <w:left w:val="none" w:sz="0" w:space="0" w:color="auto"/>
        <w:bottom w:val="none" w:sz="0" w:space="0" w:color="auto"/>
        <w:right w:val="none" w:sz="0" w:space="0" w:color="auto"/>
      </w:divBdr>
    </w:div>
    <w:div w:id="188379282">
      <w:bodyDiv w:val="1"/>
      <w:marLeft w:val="0"/>
      <w:marRight w:val="0"/>
      <w:marTop w:val="0"/>
      <w:marBottom w:val="0"/>
      <w:divBdr>
        <w:top w:val="none" w:sz="0" w:space="0" w:color="auto"/>
        <w:left w:val="none" w:sz="0" w:space="0" w:color="auto"/>
        <w:bottom w:val="none" w:sz="0" w:space="0" w:color="auto"/>
        <w:right w:val="none" w:sz="0" w:space="0" w:color="auto"/>
      </w:divBdr>
    </w:div>
    <w:div w:id="189926188">
      <w:bodyDiv w:val="1"/>
      <w:marLeft w:val="0"/>
      <w:marRight w:val="0"/>
      <w:marTop w:val="0"/>
      <w:marBottom w:val="0"/>
      <w:divBdr>
        <w:top w:val="none" w:sz="0" w:space="0" w:color="auto"/>
        <w:left w:val="none" w:sz="0" w:space="0" w:color="auto"/>
        <w:bottom w:val="none" w:sz="0" w:space="0" w:color="auto"/>
        <w:right w:val="none" w:sz="0" w:space="0" w:color="auto"/>
      </w:divBdr>
    </w:div>
    <w:div w:id="197203281">
      <w:bodyDiv w:val="1"/>
      <w:marLeft w:val="0"/>
      <w:marRight w:val="0"/>
      <w:marTop w:val="0"/>
      <w:marBottom w:val="0"/>
      <w:divBdr>
        <w:top w:val="none" w:sz="0" w:space="0" w:color="auto"/>
        <w:left w:val="none" w:sz="0" w:space="0" w:color="auto"/>
        <w:bottom w:val="none" w:sz="0" w:space="0" w:color="auto"/>
        <w:right w:val="none" w:sz="0" w:space="0" w:color="auto"/>
      </w:divBdr>
    </w:div>
    <w:div w:id="197622333">
      <w:bodyDiv w:val="1"/>
      <w:marLeft w:val="0"/>
      <w:marRight w:val="0"/>
      <w:marTop w:val="0"/>
      <w:marBottom w:val="0"/>
      <w:divBdr>
        <w:top w:val="none" w:sz="0" w:space="0" w:color="auto"/>
        <w:left w:val="none" w:sz="0" w:space="0" w:color="auto"/>
        <w:bottom w:val="none" w:sz="0" w:space="0" w:color="auto"/>
        <w:right w:val="none" w:sz="0" w:space="0" w:color="auto"/>
      </w:divBdr>
    </w:div>
    <w:div w:id="199246887">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3366929">
      <w:bodyDiv w:val="1"/>
      <w:marLeft w:val="0"/>
      <w:marRight w:val="0"/>
      <w:marTop w:val="0"/>
      <w:marBottom w:val="0"/>
      <w:divBdr>
        <w:top w:val="none" w:sz="0" w:space="0" w:color="auto"/>
        <w:left w:val="none" w:sz="0" w:space="0" w:color="auto"/>
        <w:bottom w:val="none" w:sz="0" w:space="0" w:color="auto"/>
        <w:right w:val="none" w:sz="0" w:space="0" w:color="auto"/>
      </w:divBdr>
    </w:div>
    <w:div w:id="204030100">
      <w:bodyDiv w:val="1"/>
      <w:marLeft w:val="0"/>
      <w:marRight w:val="0"/>
      <w:marTop w:val="0"/>
      <w:marBottom w:val="0"/>
      <w:divBdr>
        <w:top w:val="none" w:sz="0" w:space="0" w:color="auto"/>
        <w:left w:val="none" w:sz="0" w:space="0" w:color="auto"/>
        <w:bottom w:val="none" w:sz="0" w:space="0" w:color="auto"/>
        <w:right w:val="none" w:sz="0" w:space="0" w:color="auto"/>
      </w:divBdr>
    </w:div>
    <w:div w:id="204492685">
      <w:bodyDiv w:val="1"/>
      <w:marLeft w:val="0"/>
      <w:marRight w:val="0"/>
      <w:marTop w:val="0"/>
      <w:marBottom w:val="0"/>
      <w:divBdr>
        <w:top w:val="none" w:sz="0" w:space="0" w:color="auto"/>
        <w:left w:val="none" w:sz="0" w:space="0" w:color="auto"/>
        <w:bottom w:val="none" w:sz="0" w:space="0" w:color="auto"/>
        <w:right w:val="none" w:sz="0" w:space="0" w:color="auto"/>
      </w:divBdr>
    </w:div>
    <w:div w:id="205142909">
      <w:bodyDiv w:val="1"/>
      <w:marLeft w:val="0"/>
      <w:marRight w:val="0"/>
      <w:marTop w:val="0"/>
      <w:marBottom w:val="0"/>
      <w:divBdr>
        <w:top w:val="none" w:sz="0" w:space="0" w:color="auto"/>
        <w:left w:val="none" w:sz="0" w:space="0" w:color="auto"/>
        <w:bottom w:val="none" w:sz="0" w:space="0" w:color="auto"/>
        <w:right w:val="none" w:sz="0" w:space="0" w:color="auto"/>
      </w:divBdr>
    </w:div>
    <w:div w:id="20684383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651423">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625872">
      <w:bodyDiv w:val="1"/>
      <w:marLeft w:val="0"/>
      <w:marRight w:val="0"/>
      <w:marTop w:val="0"/>
      <w:marBottom w:val="0"/>
      <w:divBdr>
        <w:top w:val="none" w:sz="0" w:space="0" w:color="auto"/>
        <w:left w:val="none" w:sz="0" w:space="0" w:color="auto"/>
        <w:bottom w:val="none" w:sz="0" w:space="0" w:color="auto"/>
        <w:right w:val="none" w:sz="0" w:space="0" w:color="auto"/>
      </w:divBdr>
    </w:div>
    <w:div w:id="218247979">
      <w:bodyDiv w:val="1"/>
      <w:marLeft w:val="0"/>
      <w:marRight w:val="0"/>
      <w:marTop w:val="0"/>
      <w:marBottom w:val="0"/>
      <w:divBdr>
        <w:top w:val="none" w:sz="0" w:space="0" w:color="auto"/>
        <w:left w:val="none" w:sz="0" w:space="0" w:color="auto"/>
        <w:bottom w:val="none" w:sz="0" w:space="0" w:color="auto"/>
        <w:right w:val="none" w:sz="0" w:space="0" w:color="auto"/>
      </w:divBdr>
    </w:div>
    <w:div w:id="231232530">
      <w:bodyDiv w:val="1"/>
      <w:marLeft w:val="0"/>
      <w:marRight w:val="0"/>
      <w:marTop w:val="0"/>
      <w:marBottom w:val="0"/>
      <w:divBdr>
        <w:top w:val="none" w:sz="0" w:space="0" w:color="auto"/>
        <w:left w:val="none" w:sz="0" w:space="0" w:color="auto"/>
        <w:bottom w:val="none" w:sz="0" w:space="0" w:color="auto"/>
        <w:right w:val="none" w:sz="0" w:space="0" w:color="auto"/>
      </w:divBdr>
    </w:div>
    <w:div w:id="232473063">
      <w:bodyDiv w:val="1"/>
      <w:marLeft w:val="0"/>
      <w:marRight w:val="0"/>
      <w:marTop w:val="0"/>
      <w:marBottom w:val="0"/>
      <w:divBdr>
        <w:top w:val="none" w:sz="0" w:space="0" w:color="auto"/>
        <w:left w:val="none" w:sz="0" w:space="0" w:color="auto"/>
        <w:bottom w:val="none" w:sz="0" w:space="0" w:color="auto"/>
        <w:right w:val="none" w:sz="0" w:space="0" w:color="auto"/>
      </w:divBdr>
    </w:div>
    <w:div w:id="234439720">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38561788">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492444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54944795">
      <w:bodyDiv w:val="1"/>
      <w:marLeft w:val="0"/>
      <w:marRight w:val="0"/>
      <w:marTop w:val="0"/>
      <w:marBottom w:val="0"/>
      <w:divBdr>
        <w:top w:val="none" w:sz="0" w:space="0" w:color="auto"/>
        <w:left w:val="none" w:sz="0" w:space="0" w:color="auto"/>
        <w:bottom w:val="none" w:sz="0" w:space="0" w:color="auto"/>
        <w:right w:val="none" w:sz="0" w:space="0" w:color="auto"/>
      </w:divBdr>
    </w:div>
    <w:div w:id="25613748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2415998">
      <w:bodyDiv w:val="1"/>
      <w:marLeft w:val="0"/>
      <w:marRight w:val="0"/>
      <w:marTop w:val="0"/>
      <w:marBottom w:val="0"/>
      <w:divBdr>
        <w:top w:val="none" w:sz="0" w:space="0" w:color="auto"/>
        <w:left w:val="none" w:sz="0" w:space="0" w:color="auto"/>
        <w:bottom w:val="none" w:sz="0" w:space="0" w:color="auto"/>
        <w:right w:val="none" w:sz="0" w:space="0" w:color="auto"/>
      </w:divBdr>
    </w:div>
    <w:div w:id="267278891">
      <w:bodyDiv w:val="1"/>
      <w:marLeft w:val="0"/>
      <w:marRight w:val="0"/>
      <w:marTop w:val="0"/>
      <w:marBottom w:val="0"/>
      <w:divBdr>
        <w:top w:val="none" w:sz="0" w:space="0" w:color="auto"/>
        <w:left w:val="none" w:sz="0" w:space="0" w:color="auto"/>
        <w:bottom w:val="none" w:sz="0" w:space="0" w:color="auto"/>
        <w:right w:val="none" w:sz="0" w:space="0" w:color="auto"/>
      </w:divBdr>
    </w:div>
    <w:div w:id="268046268">
      <w:bodyDiv w:val="1"/>
      <w:marLeft w:val="0"/>
      <w:marRight w:val="0"/>
      <w:marTop w:val="0"/>
      <w:marBottom w:val="0"/>
      <w:divBdr>
        <w:top w:val="none" w:sz="0" w:space="0" w:color="auto"/>
        <w:left w:val="none" w:sz="0" w:space="0" w:color="auto"/>
        <w:bottom w:val="none" w:sz="0" w:space="0" w:color="auto"/>
        <w:right w:val="none" w:sz="0" w:space="0" w:color="auto"/>
      </w:divBdr>
    </w:div>
    <w:div w:id="27009262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439718">
      <w:bodyDiv w:val="1"/>
      <w:marLeft w:val="0"/>
      <w:marRight w:val="0"/>
      <w:marTop w:val="0"/>
      <w:marBottom w:val="0"/>
      <w:divBdr>
        <w:top w:val="none" w:sz="0" w:space="0" w:color="auto"/>
        <w:left w:val="none" w:sz="0" w:space="0" w:color="auto"/>
        <w:bottom w:val="none" w:sz="0" w:space="0" w:color="auto"/>
        <w:right w:val="none" w:sz="0" w:space="0" w:color="auto"/>
      </w:divBdr>
    </w:div>
    <w:div w:id="274138657">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454664">
      <w:bodyDiv w:val="1"/>
      <w:marLeft w:val="0"/>
      <w:marRight w:val="0"/>
      <w:marTop w:val="0"/>
      <w:marBottom w:val="0"/>
      <w:divBdr>
        <w:top w:val="none" w:sz="0" w:space="0" w:color="auto"/>
        <w:left w:val="none" w:sz="0" w:space="0" w:color="auto"/>
        <w:bottom w:val="none" w:sz="0" w:space="0" w:color="auto"/>
        <w:right w:val="none" w:sz="0" w:space="0" w:color="auto"/>
      </w:divBdr>
    </w:div>
    <w:div w:id="284193263">
      <w:bodyDiv w:val="1"/>
      <w:marLeft w:val="0"/>
      <w:marRight w:val="0"/>
      <w:marTop w:val="0"/>
      <w:marBottom w:val="0"/>
      <w:divBdr>
        <w:top w:val="none" w:sz="0" w:space="0" w:color="auto"/>
        <w:left w:val="none" w:sz="0" w:space="0" w:color="auto"/>
        <w:bottom w:val="none" w:sz="0" w:space="0" w:color="auto"/>
        <w:right w:val="none" w:sz="0" w:space="0" w:color="auto"/>
      </w:divBdr>
    </w:div>
    <w:div w:id="285427415">
      <w:bodyDiv w:val="1"/>
      <w:marLeft w:val="0"/>
      <w:marRight w:val="0"/>
      <w:marTop w:val="0"/>
      <w:marBottom w:val="0"/>
      <w:divBdr>
        <w:top w:val="none" w:sz="0" w:space="0" w:color="auto"/>
        <w:left w:val="none" w:sz="0" w:space="0" w:color="auto"/>
        <w:bottom w:val="none" w:sz="0" w:space="0" w:color="auto"/>
        <w:right w:val="none" w:sz="0" w:space="0" w:color="auto"/>
      </w:divBdr>
    </w:div>
    <w:div w:id="286668607">
      <w:bodyDiv w:val="1"/>
      <w:marLeft w:val="0"/>
      <w:marRight w:val="0"/>
      <w:marTop w:val="0"/>
      <w:marBottom w:val="0"/>
      <w:divBdr>
        <w:top w:val="none" w:sz="0" w:space="0" w:color="auto"/>
        <w:left w:val="none" w:sz="0" w:space="0" w:color="auto"/>
        <w:bottom w:val="none" w:sz="0" w:space="0" w:color="auto"/>
        <w:right w:val="none" w:sz="0" w:space="0" w:color="auto"/>
      </w:divBdr>
    </w:div>
    <w:div w:id="286670200">
      <w:bodyDiv w:val="1"/>
      <w:marLeft w:val="0"/>
      <w:marRight w:val="0"/>
      <w:marTop w:val="0"/>
      <w:marBottom w:val="0"/>
      <w:divBdr>
        <w:top w:val="none" w:sz="0" w:space="0" w:color="auto"/>
        <w:left w:val="none" w:sz="0" w:space="0" w:color="auto"/>
        <w:bottom w:val="none" w:sz="0" w:space="0" w:color="auto"/>
        <w:right w:val="none" w:sz="0" w:space="0" w:color="auto"/>
      </w:divBdr>
    </w:div>
    <w:div w:id="292566278">
      <w:bodyDiv w:val="1"/>
      <w:marLeft w:val="0"/>
      <w:marRight w:val="0"/>
      <w:marTop w:val="0"/>
      <w:marBottom w:val="0"/>
      <w:divBdr>
        <w:top w:val="none" w:sz="0" w:space="0" w:color="auto"/>
        <w:left w:val="none" w:sz="0" w:space="0" w:color="auto"/>
        <w:bottom w:val="none" w:sz="0" w:space="0" w:color="auto"/>
        <w:right w:val="none" w:sz="0" w:space="0" w:color="auto"/>
      </w:divBdr>
    </w:div>
    <w:div w:id="292946645">
      <w:bodyDiv w:val="1"/>
      <w:marLeft w:val="0"/>
      <w:marRight w:val="0"/>
      <w:marTop w:val="0"/>
      <w:marBottom w:val="0"/>
      <w:divBdr>
        <w:top w:val="none" w:sz="0" w:space="0" w:color="auto"/>
        <w:left w:val="none" w:sz="0" w:space="0" w:color="auto"/>
        <w:bottom w:val="none" w:sz="0" w:space="0" w:color="auto"/>
        <w:right w:val="none" w:sz="0" w:space="0" w:color="auto"/>
      </w:divBdr>
    </w:div>
    <w:div w:id="294068762">
      <w:bodyDiv w:val="1"/>
      <w:marLeft w:val="0"/>
      <w:marRight w:val="0"/>
      <w:marTop w:val="0"/>
      <w:marBottom w:val="0"/>
      <w:divBdr>
        <w:top w:val="none" w:sz="0" w:space="0" w:color="auto"/>
        <w:left w:val="none" w:sz="0" w:space="0" w:color="auto"/>
        <w:bottom w:val="none" w:sz="0" w:space="0" w:color="auto"/>
        <w:right w:val="none" w:sz="0" w:space="0" w:color="auto"/>
      </w:divBdr>
    </w:div>
    <w:div w:id="29413909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252605">
      <w:bodyDiv w:val="1"/>
      <w:marLeft w:val="0"/>
      <w:marRight w:val="0"/>
      <w:marTop w:val="0"/>
      <w:marBottom w:val="0"/>
      <w:divBdr>
        <w:top w:val="none" w:sz="0" w:space="0" w:color="auto"/>
        <w:left w:val="none" w:sz="0" w:space="0" w:color="auto"/>
        <w:bottom w:val="none" w:sz="0" w:space="0" w:color="auto"/>
        <w:right w:val="none" w:sz="0" w:space="0" w:color="auto"/>
      </w:divBdr>
    </w:div>
    <w:div w:id="308020930">
      <w:bodyDiv w:val="1"/>
      <w:marLeft w:val="0"/>
      <w:marRight w:val="0"/>
      <w:marTop w:val="0"/>
      <w:marBottom w:val="0"/>
      <w:divBdr>
        <w:top w:val="none" w:sz="0" w:space="0" w:color="auto"/>
        <w:left w:val="none" w:sz="0" w:space="0" w:color="auto"/>
        <w:bottom w:val="none" w:sz="0" w:space="0" w:color="auto"/>
        <w:right w:val="none" w:sz="0" w:space="0" w:color="auto"/>
      </w:divBdr>
    </w:div>
    <w:div w:id="308486048">
      <w:bodyDiv w:val="1"/>
      <w:marLeft w:val="0"/>
      <w:marRight w:val="0"/>
      <w:marTop w:val="0"/>
      <w:marBottom w:val="0"/>
      <w:divBdr>
        <w:top w:val="none" w:sz="0" w:space="0" w:color="auto"/>
        <w:left w:val="none" w:sz="0" w:space="0" w:color="auto"/>
        <w:bottom w:val="none" w:sz="0" w:space="0" w:color="auto"/>
        <w:right w:val="none" w:sz="0" w:space="0" w:color="auto"/>
      </w:divBdr>
    </w:div>
    <w:div w:id="312418434">
      <w:bodyDiv w:val="1"/>
      <w:marLeft w:val="0"/>
      <w:marRight w:val="0"/>
      <w:marTop w:val="0"/>
      <w:marBottom w:val="0"/>
      <w:divBdr>
        <w:top w:val="none" w:sz="0" w:space="0" w:color="auto"/>
        <w:left w:val="none" w:sz="0" w:space="0" w:color="auto"/>
        <w:bottom w:val="none" w:sz="0" w:space="0" w:color="auto"/>
        <w:right w:val="none" w:sz="0" w:space="0" w:color="auto"/>
      </w:divBdr>
    </w:div>
    <w:div w:id="314072234">
      <w:bodyDiv w:val="1"/>
      <w:marLeft w:val="0"/>
      <w:marRight w:val="0"/>
      <w:marTop w:val="0"/>
      <w:marBottom w:val="0"/>
      <w:divBdr>
        <w:top w:val="none" w:sz="0" w:space="0" w:color="auto"/>
        <w:left w:val="none" w:sz="0" w:space="0" w:color="auto"/>
        <w:bottom w:val="none" w:sz="0" w:space="0" w:color="auto"/>
        <w:right w:val="none" w:sz="0" w:space="0" w:color="auto"/>
      </w:divBdr>
    </w:div>
    <w:div w:id="315037597">
      <w:bodyDiv w:val="1"/>
      <w:marLeft w:val="0"/>
      <w:marRight w:val="0"/>
      <w:marTop w:val="0"/>
      <w:marBottom w:val="0"/>
      <w:divBdr>
        <w:top w:val="none" w:sz="0" w:space="0" w:color="auto"/>
        <w:left w:val="none" w:sz="0" w:space="0" w:color="auto"/>
        <w:bottom w:val="none" w:sz="0" w:space="0" w:color="auto"/>
        <w:right w:val="none" w:sz="0" w:space="0" w:color="auto"/>
      </w:divBdr>
    </w:div>
    <w:div w:id="317080969">
      <w:bodyDiv w:val="1"/>
      <w:marLeft w:val="0"/>
      <w:marRight w:val="0"/>
      <w:marTop w:val="0"/>
      <w:marBottom w:val="0"/>
      <w:divBdr>
        <w:top w:val="none" w:sz="0" w:space="0" w:color="auto"/>
        <w:left w:val="none" w:sz="0" w:space="0" w:color="auto"/>
        <w:bottom w:val="none" w:sz="0" w:space="0" w:color="auto"/>
        <w:right w:val="none" w:sz="0" w:space="0" w:color="auto"/>
      </w:divBdr>
    </w:div>
    <w:div w:id="318270700">
      <w:bodyDiv w:val="1"/>
      <w:marLeft w:val="0"/>
      <w:marRight w:val="0"/>
      <w:marTop w:val="0"/>
      <w:marBottom w:val="0"/>
      <w:divBdr>
        <w:top w:val="none" w:sz="0" w:space="0" w:color="auto"/>
        <w:left w:val="none" w:sz="0" w:space="0" w:color="auto"/>
        <w:bottom w:val="none" w:sz="0" w:space="0" w:color="auto"/>
        <w:right w:val="none" w:sz="0" w:space="0" w:color="auto"/>
      </w:divBdr>
    </w:div>
    <w:div w:id="32278537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3899726">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982576">
      <w:bodyDiv w:val="1"/>
      <w:marLeft w:val="0"/>
      <w:marRight w:val="0"/>
      <w:marTop w:val="0"/>
      <w:marBottom w:val="0"/>
      <w:divBdr>
        <w:top w:val="none" w:sz="0" w:space="0" w:color="auto"/>
        <w:left w:val="none" w:sz="0" w:space="0" w:color="auto"/>
        <w:bottom w:val="none" w:sz="0" w:space="0" w:color="auto"/>
        <w:right w:val="none" w:sz="0" w:space="0" w:color="auto"/>
      </w:divBdr>
    </w:div>
    <w:div w:id="327440880">
      <w:bodyDiv w:val="1"/>
      <w:marLeft w:val="0"/>
      <w:marRight w:val="0"/>
      <w:marTop w:val="0"/>
      <w:marBottom w:val="0"/>
      <w:divBdr>
        <w:top w:val="none" w:sz="0" w:space="0" w:color="auto"/>
        <w:left w:val="none" w:sz="0" w:space="0" w:color="auto"/>
        <w:bottom w:val="none" w:sz="0" w:space="0" w:color="auto"/>
        <w:right w:val="none" w:sz="0" w:space="0" w:color="auto"/>
      </w:divBdr>
    </w:div>
    <w:div w:id="332221469">
      <w:bodyDiv w:val="1"/>
      <w:marLeft w:val="0"/>
      <w:marRight w:val="0"/>
      <w:marTop w:val="0"/>
      <w:marBottom w:val="0"/>
      <w:divBdr>
        <w:top w:val="none" w:sz="0" w:space="0" w:color="auto"/>
        <w:left w:val="none" w:sz="0" w:space="0" w:color="auto"/>
        <w:bottom w:val="none" w:sz="0" w:space="0" w:color="auto"/>
        <w:right w:val="none" w:sz="0" w:space="0" w:color="auto"/>
      </w:divBdr>
    </w:div>
    <w:div w:id="339895953">
      <w:bodyDiv w:val="1"/>
      <w:marLeft w:val="0"/>
      <w:marRight w:val="0"/>
      <w:marTop w:val="0"/>
      <w:marBottom w:val="0"/>
      <w:divBdr>
        <w:top w:val="none" w:sz="0" w:space="0" w:color="auto"/>
        <w:left w:val="none" w:sz="0" w:space="0" w:color="auto"/>
        <w:bottom w:val="none" w:sz="0" w:space="0" w:color="auto"/>
        <w:right w:val="none" w:sz="0" w:space="0" w:color="auto"/>
      </w:divBdr>
    </w:div>
    <w:div w:id="340742290">
      <w:bodyDiv w:val="1"/>
      <w:marLeft w:val="0"/>
      <w:marRight w:val="0"/>
      <w:marTop w:val="0"/>
      <w:marBottom w:val="0"/>
      <w:divBdr>
        <w:top w:val="none" w:sz="0" w:space="0" w:color="auto"/>
        <w:left w:val="none" w:sz="0" w:space="0" w:color="auto"/>
        <w:bottom w:val="none" w:sz="0" w:space="0" w:color="auto"/>
        <w:right w:val="none" w:sz="0" w:space="0" w:color="auto"/>
      </w:divBdr>
    </w:div>
    <w:div w:id="343018549">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6392199">
      <w:bodyDiv w:val="1"/>
      <w:marLeft w:val="0"/>
      <w:marRight w:val="0"/>
      <w:marTop w:val="0"/>
      <w:marBottom w:val="0"/>
      <w:divBdr>
        <w:top w:val="none" w:sz="0" w:space="0" w:color="auto"/>
        <w:left w:val="none" w:sz="0" w:space="0" w:color="auto"/>
        <w:bottom w:val="none" w:sz="0" w:space="0" w:color="auto"/>
        <w:right w:val="none" w:sz="0" w:space="0" w:color="auto"/>
      </w:divBdr>
    </w:div>
    <w:div w:id="365257600">
      <w:bodyDiv w:val="1"/>
      <w:marLeft w:val="0"/>
      <w:marRight w:val="0"/>
      <w:marTop w:val="0"/>
      <w:marBottom w:val="0"/>
      <w:divBdr>
        <w:top w:val="none" w:sz="0" w:space="0" w:color="auto"/>
        <w:left w:val="none" w:sz="0" w:space="0" w:color="auto"/>
        <w:bottom w:val="none" w:sz="0" w:space="0" w:color="auto"/>
        <w:right w:val="none" w:sz="0" w:space="0" w:color="auto"/>
      </w:divBdr>
    </w:div>
    <w:div w:id="365915658">
      <w:bodyDiv w:val="1"/>
      <w:marLeft w:val="0"/>
      <w:marRight w:val="0"/>
      <w:marTop w:val="0"/>
      <w:marBottom w:val="0"/>
      <w:divBdr>
        <w:top w:val="none" w:sz="0" w:space="0" w:color="auto"/>
        <w:left w:val="none" w:sz="0" w:space="0" w:color="auto"/>
        <w:bottom w:val="none" w:sz="0" w:space="0" w:color="auto"/>
        <w:right w:val="none" w:sz="0" w:space="0" w:color="auto"/>
      </w:divBdr>
    </w:div>
    <w:div w:id="366611264">
      <w:bodyDiv w:val="1"/>
      <w:marLeft w:val="0"/>
      <w:marRight w:val="0"/>
      <w:marTop w:val="0"/>
      <w:marBottom w:val="0"/>
      <w:divBdr>
        <w:top w:val="none" w:sz="0" w:space="0" w:color="auto"/>
        <w:left w:val="none" w:sz="0" w:space="0" w:color="auto"/>
        <w:bottom w:val="none" w:sz="0" w:space="0" w:color="auto"/>
        <w:right w:val="none" w:sz="0" w:space="0" w:color="auto"/>
      </w:divBdr>
    </w:div>
    <w:div w:id="368534263">
      <w:bodyDiv w:val="1"/>
      <w:marLeft w:val="0"/>
      <w:marRight w:val="0"/>
      <w:marTop w:val="0"/>
      <w:marBottom w:val="0"/>
      <w:divBdr>
        <w:top w:val="none" w:sz="0" w:space="0" w:color="auto"/>
        <w:left w:val="none" w:sz="0" w:space="0" w:color="auto"/>
        <w:bottom w:val="none" w:sz="0" w:space="0" w:color="auto"/>
        <w:right w:val="none" w:sz="0" w:space="0" w:color="auto"/>
      </w:divBdr>
    </w:div>
    <w:div w:id="372578689">
      <w:bodyDiv w:val="1"/>
      <w:marLeft w:val="0"/>
      <w:marRight w:val="0"/>
      <w:marTop w:val="0"/>
      <w:marBottom w:val="0"/>
      <w:divBdr>
        <w:top w:val="none" w:sz="0" w:space="0" w:color="auto"/>
        <w:left w:val="none" w:sz="0" w:space="0" w:color="auto"/>
        <w:bottom w:val="none" w:sz="0" w:space="0" w:color="auto"/>
        <w:right w:val="none" w:sz="0" w:space="0" w:color="auto"/>
      </w:divBdr>
    </w:div>
    <w:div w:id="372852652">
      <w:bodyDiv w:val="1"/>
      <w:marLeft w:val="0"/>
      <w:marRight w:val="0"/>
      <w:marTop w:val="0"/>
      <w:marBottom w:val="0"/>
      <w:divBdr>
        <w:top w:val="none" w:sz="0" w:space="0" w:color="auto"/>
        <w:left w:val="none" w:sz="0" w:space="0" w:color="auto"/>
        <w:bottom w:val="none" w:sz="0" w:space="0" w:color="auto"/>
        <w:right w:val="none" w:sz="0" w:space="0" w:color="auto"/>
      </w:divBdr>
    </w:div>
    <w:div w:id="373046301">
      <w:bodyDiv w:val="1"/>
      <w:marLeft w:val="0"/>
      <w:marRight w:val="0"/>
      <w:marTop w:val="0"/>
      <w:marBottom w:val="0"/>
      <w:divBdr>
        <w:top w:val="none" w:sz="0" w:space="0" w:color="auto"/>
        <w:left w:val="none" w:sz="0" w:space="0" w:color="auto"/>
        <w:bottom w:val="none" w:sz="0" w:space="0" w:color="auto"/>
        <w:right w:val="none" w:sz="0" w:space="0" w:color="auto"/>
      </w:divBdr>
    </w:div>
    <w:div w:id="375741602">
      <w:bodyDiv w:val="1"/>
      <w:marLeft w:val="0"/>
      <w:marRight w:val="0"/>
      <w:marTop w:val="0"/>
      <w:marBottom w:val="0"/>
      <w:divBdr>
        <w:top w:val="none" w:sz="0" w:space="0" w:color="auto"/>
        <w:left w:val="none" w:sz="0" w:space="0" w:color="auto"/>
        <w:bottom w:val="none" w:sz="0" w:space="0" w:color="auto"/>
        <w:right w:val="none" w:sz="0" w:space="0" w:color="auto"/>
      </w:divBdr>
    </w:div>
    <w:div w:id="37932832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4593514">
      <w:bodyDiv w:val="1"/>
      <w:marLeft w:val="0"/>
      <w:marRight w:val="0"/>
      <w:marTop w:val="0"/>
      <w:marBottom w:val="0"/>
      <w:divBdr>
        <w:top w:val="none" w:sz="0" w:space="0" w:color="auto"/>
        <w:left w:val="none" w:sz="0" w:space="0" w:color="auto"/>
        <w:bottom w:val="none" w:sz="0" w:space="0" w:color="auto"/>
        <w:right w:val="none" w:sz="0" w:space="0" w:color="auto"/>
      </w:divBdr>
    </w:div>
    <w:div w:id="402991717">
      <w:bodyDiv w:val="1"/>
      <w:marLeft w:val="0"/>
      <w:marRight w:val="0"/>
      <w:marTop w:val="0"/>
      <w:marBottom w:val="0"/>
      <w:divBdr>
        <w:top w:val="none" w:sz="0" w:space="0" w:color="auto"/>
        <w:left w:val="none" w:sz="0" w:space="0" w:color="auto"/>
        <w:bottom w:val="none" w:sz="0" w:space="0" w:color="auto"/>
        <w:right w:val="none" w:sz="0" w:space="0" w:color="auto"/>
      </w:divBdr>
    </w:div>
    <w:div w:id="403071772">
      <w:bodyDiv w:val="1"/>
      <w:marLeft w:val="0"/>
      <w:marRight w:val="0"/>
      <w:marTop w:val="0"/>
      <w:marBottom w:val="0"/>
      <w:divBdr>
        <w:top w:val="none" w:sz="0" w:space="0" w:color="auto"/>
        <w:left w:val="none" w:sz="0" w:space="0" w:color="auto"/>
        <w:bottom w:val="none" w:sz="0" w:space="0" w:color="auto"/>
        <w:right w:val="none" w:sz="0" w:space="0" w:color="auto"/>
      </w:divBdr>
    </w:div>
    <w:div w:id="406806072">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0930522">
      <w:bodyDiv w:val="1"/>
      <w:marLeft w:val="0"/>
      <w:marRight w:val="0"/>
      <w:marTop w:val="0"/>
      <w:marBottom w:val="0"/>
      <w:divBdr>
        <w:top w:val="none" w:sz="0" w:space="0" w:color="auto"/>
        <w:left w:val="none" w:sz="0" w:space="0" w:color="auto"/>
        <w:bottom w:val="none" w:sz="0" w:space="0" w:color="auto"/>
        <w:right w:val="none" w:sz="0" w:space="0" w:color="auto"/>
      </w:divBdr>
    </w:div>
    <w:div w:id="411435309">
      <w:bodyDiv w:val="1"/>
      <w:marLeft w:val="0"/>
      <w:marRight w:val="0"/>
      <w:marTop w:val="0"/>
      <w:marBottom w:val="0"/>
      <w:divBdr>
        <w:top w:val="none" w:sz="0" w:space="0" w:color="auto"/>
        <w:left w:val="none" w:sz="0" w:space="0" w:color="auto"/>
        <w:bottom w:val="none" w:sz="0" w:space="0" w:color="auto"/>
        <w:right w:val="none" w:sz="0" w:space="0" w:color="auto"/>
      </w:divBdr>
    </w:div>
    <w:div w:id="416561542">
      <w:bodyDiv w:val="1"/>
      <w:marLeft w:val="0"/>
      <w:marRight w:val="0"/>
      <w:marTop w:val="0"/>
      <w:marBottom w:val="0"/>
      <w:divBdr>
        <w:top w:val="none" w:sz="0" w:space="0" w:color="auto"/>
        <w:left w:val="none" w:sz="0" w:space="0" w:color="auto"/>
        <w:bottom w:val="none" w:sz="0" w:space="0" w:color="auto"/>
        <w:right w:val="none" w:sz="0" w:space="0" w:color="auto"/>
      </w:divBdr>
    </w:div>
    <w:div w:id="419252885">
      <w:bodyDiv w:val="1"/>
      <w:marLeft w:val="0"/>
      <w:marRight w:val="0"/>
      <w:marTop w:val="0"/>
      <w:marBottom w:val="0"/>
      <w:divBdr>
        <w:top w:val="none" w:sz="0" w:space="0" w:color="auto"/>
        <w:left w:val="none" w:sz="0" w:space="0" w:color="auto"/>
        <w:bottom w:val="none" w:sz="0" w:space="0" w:color="auto"/>
        <w:right w:val="none" w:sz="0" w:space="0" w:color="auto"/>
      </w:divBdr>
    </w:div>
    <w:div w:id="421685105">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228308">
      <w:bodyDiv w:val="1"/>
      <w:marLeft w:val="0"/>
      <w:marRight w:val="0"/>
      <w:marTop w:val="0"/>
      <w:marBottom w:val="0"/>
      <w:divBdr>
        <w:top w:val="none" w:sz="0" w:space="0" w:color="auto"/>
        <w:left w:val="none" w:sz="0" w:space="0" w:color="auto"/>
        <w:bottom w:val="none" w:sz="0" w:space="0" w:color="auto"/>
        <w:right w:val="none" w:sz="0" w:space="0" w:color="auto"/>
      </w:divBdr>
    </w:div>
    <w:div w:id="425922045">
      <w:bodyDiv w:val="1"/>
      <w:marLeft w:val="0"/>
      <w:marRight w:val="0"/>
      <w:marTop w:val="0"/>
      <w:marBottom w:val="0"/>
      <w:divBdr>
        <w:top w:val="none" w:sz="0" w:space="0" w:color="auto"/>
        <w:left w:val="none" w:sz="0" w:space="0" w:color="auto"/>
        <w:bottom w:val="none" w:sz="0" w:space="0" w:color="auto"/>
        <w:right w:val="none" w:sz="0" w:space="0" w:color="auto"/>
      </w:divBdr>
    </w:div>
    <w:div w:id="426460941">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1895291">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40346663">
      <w:bodyDiv w:val="1"/>
      <w:marLeft w:val="0"/>
      <w:marRight w:val="0"/>
      <w:marTop w:val="0"/>
      <w:marBottom w:val="0"/>
      <w:divBdr>
        <w:top w:val="none" w:sz="0" w:space="0" w:color="auto"/>
        <w:left w:val="none" w:sz="0" w:space="0" w:color="auto"/>
        <w:bottom w:val="none" w:sz="0" w:space="0" w:color="auto"/>
        <w:right w:val="none" w:sz="0" w:space="0" w:color="auto"/>
      </w:divBdr>
    </w:div>
    <w:div w:id="44434739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819955">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829332">
      <w:bodyDiv w:val="1"/>
      <w:marLeft w:val="0"/>
      <w:marRight w:val="0"/>
      <w:marTop w:val="0"/>
      <w:marBottom w:val="0"/>
      <w:divBdr>
        <w:top w:val="none" w:sz="0" w:space="0" w:color="auto"/>
        <w:left w:val="none" w:sz="0" w:space="0" w:color="auto"/>
        <w:bottom w:val="none" w:sz="0" w:space="0" w:color="auto"/>
        <w:right w:val="none" w:sz="0" w:space="0" w:color="auto"/>
      </w:divBdr>
    </w:div>
    <w:div w:id="453212601">
      <w:bodyDiv w:val="1"/>
      <w:marLeft w:val="0"/>
      <w:marRight w:val="0"/>
      <w:marTop w:val="0"/>
      <w:marBottom w:val="0"/>
      <w:divBdr>
        <w:top w:val="none" w:sz="0" w:space="0" w:color="auto"/>
        <w:left w:val="none" w:sz="0" w:space="0" w:color="auto"/>
        <w:bottom w:val="none" w:sz="0" w:space="0" w:color="auto"/>
        <w:right w:val="none" w:sz="0" w:space="0" w:color="auto"/>
      </w:divBdr>
    </w:div>
    <w:div w:id="45444484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245679">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971854">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85975319">
      <w:bodyDiv w:val="1"/>
      <w:marLeft w:val="0"/>
      <w:marRight w:val="0"/>
      <w:marTop w:val="0"/>
      <w:marBottom w:val="0"/>
      <w:divBdr>
        <w:top w:val="none" w:sz="0" w:space="0" w:color="auto"/>
        <w:left w:val="none" w:sz="0" w:space="0" w:color="auto"/>
        <w:bottom w:val="none" w:sz="0" w:space="0" w:color="auto"/>
        <w:right w:val="none" w:sz="0" w:space="0" w:color="auto"/>
      </w:divBdr>
    </w:div>
    <w:div w:id="49179767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467552">
      <w:bodyDiv w:val="1"/>
      <w:marLeft w:val="0"/>
      <w:marRight w:val="0"/>
      <w:marTop w:val="0"/>
      <w:marBottom w:val="0"/>
      <w:divBdr>
        <w:top w:val="none" w:sz="0" w:space="0" w:color="auto"/>
        <w:left w:val="none" w:sz="0" w:space="0" w:color="auto"/>
        <w:bottom w:val="none" w:sz="0" w:space="0" w:color="auto"/>
        <w:right w:val="none" w:sz="0" w:space="0" w:color="auto"/>
      </w:divBdr>
    </w:div>
    <w:div w:id="503251249">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6679874">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7908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4103468">
      <w:bodyDiv w:val="1"/>
      <w:marLeft w:val="0"/>
      <w:marRight w:val="0"/>
      <w:marTop w:val="0"/>
      <w:marBottom w:val="0"/>
      <w:divBdr>
        <w:top w:val="none" w:sz="0" w:space="0" w:color="auto"/>
        <w:left w:val="none" w:sz="0" w:space="0" w:color="auto"/>
        <w:bottom w:val="none" w:sz="0" w:space="0" w:color="auto"/>
        <w:right w:val="none" w:sz="0" w:space="0" w:color="auto"/>
      </w:divBdr>
    </w:div>
    <w:div w:id="52463405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0338593">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42909462">
      <w:bodyDiv w:val="1"/>
      <w:marLeft w:val="0"/>
      <w:marRight w:val="0"/>
      <w:marTop w:val="0"/>
      <w:marBottom w:val="0"/>
      <w:divBdr>
        <w:top w:val="none" w:sz="0" w:space="0" w:color="auto"/>
        <w:left w:val="none" w:sz="0" w:space="0" w:color="auto"/>
        <w:bottom w:val="none" w:sz="0" w:space="0" w:color="auto"/>
        <w:right w:val="none" w:sz="0" w:space="0" w:color="auto"/>
      </w:divBdr>
    </w:div>
    <w:div w:id="553270903">
      <w:bodyDiv w:val="1"/>
      <w:marLeft w:val="0"/>
      <w:marRight w:val="0"/>
      <w:marTop w:val="0"/>
      <w:marBottom w:val="0"/>
      <w:divBdr>
        <w:top w:val="none" w:sz="0" w:space="0" w:color="auto"/>
        <w:left w:val="none" w:sz="0" w:space="0" w:color="auto"/>
        <w:bottom w:val="none" w:sz="0" w:space="0" w:color="auto"/>
        <w:right w:val="none" w:sz="0" w:space="0" w:color="auto"/>
      </w:divBdr>
    </w:div>
    <w:div w:id="553273551">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250936">
      <w:bodyDiv w:val="1"/>
      <w:marLeft w:val="0"/>
      <w:marRight w:val="0"/>
      <w:marTop w:val="0"/>
      <w:marBottom w:val="0"/>
      <w:divBdr>
        <w:top w:val="none" w:sz="0" w:space="0" w:color="auto"/>
        <w:left w:val="none" w:sz="0" w:space="0" w:color="auto"/>
        <w:bottom w:val="none" w:sz="0" w:space="0" w:color="auto"/>
        <w:right w:val="none" w:sz="0" w:space="0" w:color="auto"/>
      </w:divBdr>
    </w:div>
    <w:div w:id="558978083">
      <w:bodyDiv w:val="1"/>
      <w:marLeft w:val="0"/>
      <w:marRight w:val="0"/>
      <w:marTop w:val="0"/>
      <w:marBottom w:val="0"/>
      <w:divBdr>
        <w:top w:val="none" w:sz="0" w:space="0" w:color="auto"/>
        <w:left w:val="none" w:sz="0" w:space="0" w:color="auto"/>
        <w:bottom w:val="none" w:sz="0" w:space="0" w:color="auto"/>
        <w:right w:val="none" w:sz="0" w:space="0" w:color="auto"/>
      </w:divBdr>
    </w:div>
    <w:div w:id="559293798">
      <w:bodyDiv w:val="1"/>
      <w:marLeft w:val="0"/>
      <w:marRight w:val="0"/>
      <w:marTop w:val="0"/>
      <w:marBottom w:val="0"/>
      <w:divBdr>
        <w:top w:val="none" w:sz="0" w:space="0" w:color="auto"/>
        <w:left w:val="none" w:sz="0" w:space="0" w:color="auto"/>
        <w:bottom w:val="none" w:sz="0" w:space="0" w:color="auto"/>
        <w:right w:val="none" w:sz="0" w:space="0" w:color="auto"/>
      </w:divBdr>
    </w:div>
    <w:div w:id="563414326">
      <w:bodyDiv w:val="1"/>
      <w:marLeft w:val="0"/>
      <w:marRight w:val="0"/>
      <w:marTop w:val="0"/>
      <w:marBottom w:val="0"/>
      <w:divBdr>
        <w:top w:val="none" w:sz="0" w:space="0" w:color="auto"/>
        <w:left w:val="none" w:sz="0" w:space="0" w:color="auto"/>
        <w:bottom w:val="none" w:sz="0" w:space="0" w:color="auto"/>
        <w:right w:val="none" w:sz="0" w:space="0" w:color="auto"/>
      </w:divBdr>
    </w:div>
    <w:div w:id="564728878">
      <w:bodyDiv w:val="1"/>
      <w:marLeft w:val="0"/>
      <w:marRight w:val="0"/>
      <w:marTop w:val="0"/>
      <w:marBottom w:val="0"/>
      <w:divBdr>
        <w:top w:val="none" w:sz="0" w:space="0" w:color="auto"/>
        <w:left w:val="none" w:sz="0" w:space="0" w:color="auto"/>
        <w:bottom w:val="none" w:sz="0" w:space="0" w:color="auto"/>
        <w:right w:val="none" w:sz="0" w:space="0" w:color="auto"/>
      </w:divBdr>
    </w:div>
    <w:div w:id="569655315">
      <w:bodyDiv w:val="1"/>
      <w:marLeft w:val="0"/>
      <w:marRight w:val="0"/>
      <w:marTop w:val="0"/>
      <w:marBottom w:val="0"/>
      <w:divBdr>
        <w:top w:val="none" w:sz="0" w:space="0" w:color="auto"/>
        <w:left w:val="none" w:sz="0" w:space="0" w:color="auto"/>
        <w:bottom w:val="none" w:sz="0" w:space="0" w:color="auto"/>
        <w:right w:val="none" w:sz="0" w:space="0" w:color="auto"/>
      </w:divBdr>
    </w:div>
    <w:div w:id="570195549">
      <w:bodyDiv w:val="1"/>
      <w:marLeft w:val="0"/>
      <w:marRight w:val="0"/>
      <w:marTop w:val="0"/>
      <w:marBottom w:val="0"/>
      <w:divBdr>
        <w:top w:val="none" w:sz="0" w:space="0" w:color="auto"/>
        <w:left w:val="none" w:sz="0" w:space="0" w:color="auto"/>
        <w:bottom w:val="none" w:sz="0" w:space="0" w:color="auto"/>
        <w:right w:val="none" w:sz="0" w:space="0" w:color="auto"/>
      </w:divBdr>
    </w:div>
    <w:div w:id="57490016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663938">
      <w:bodyDiv w:val="1"/>
      <w:marLeft w:val="0"/>
      <w:marRight w:val="0"/>
      <w:marTop w:val="0"/>
      <w:marBottom w:val="0"/>
      <w:divBdr>
        <w:top w:val="none" w:sz="0" w:space="0" w:color="auto"/>
        <w:left w:val="none" w:sz="0" w:space="0" w:color="auto"/>
        <w:bottom w:val="none" w:sz="0" w:space="0" w:color="auto"/>
        <w:right w:val="none" w:sz="0" w:space="0" w:color="auto"/>
      </w:divBdr>
    </w:div>
    <w:div w:id="591162515">
      <w:bodyDiv w:val="1"/>
      <w:marLeft w:val="0"/>
      <w:marRight w:val="0"/>
      <w:marTop w:val="0"/>
      <w:marBottom w:val="0"/>
      <w:divBdr>
        <w:top w:val="none" w:sz="0" w:space="0" w:color="auto"/>
        <w:left w:val="none" w:sz="0" w:space="0" w:color="auto"/>
        <w:bottom w:val="none" w:sz="0" w:space="0" w:color="auto"/>
        <w:right w:val="none" w:sz="0" w:space="0" w:color="auto"/>
      </w:divBdr>
    </w:div>
    <w:div w:id="594746069">
      <w:bodyDiv w:val="1"/>
      <w:marLeft w:val="0"/>
      <w:marRight w:val="0"/>
      <w:marTop w:val="0"/>
      <w:marBottom w:val="0"/>
      <w:divBdr>
        <w:top w:val="none" w:sz="0" w:space="0" w:color="auto"/>
        <w:left w:val="none" w:sz="0" w:space="0" w:color="auto"/>
        <w:bottom w:val="none" w:sz="0" w:space="0" w:color="auto"/>
        <w:right w:val="none" w:sz="0" w:space="0" w:color="auto"/>
      </w:divBdr>
    </w:div>
    <w:div w:id="597443645">
      <w:bodyDiv w:val="1"/>
      <w:marLeft w:val="0"/>
      <w:marRight w:val="0"/>
      <w:marTop w:val="0"/>
      <w:marBottom w:val="0"/>
      <w:divBdr>
        <w:top w:val="none" w:sz="0" w:space="0" w:color="auto"/>
        <w:left w:val="none" w:sz="0" w:space="0" w:color="auto"/>
        <w:bottom w:val="none" w:sz="0" w:space="0" w:color="auto"/>
        <w:right w:val="none" w:sz="0" w:space="0" w:color="auto"/>
      </w:divBdr>
    </w:div>
    <w:div w:id="600338429">
      <w:bodyDiv w:val="1"/>
      <w:marLeft w:val="0"/>
      <w:marRight w:val="0"/>
      <w:marTop w:val="0"/>
      <w:marBottom w:val="0"/>
      <w:divBdr>
        <w:top w:val="none" w:sz="0" w:space="0" w:color="auto"/>
        <w:left w:val="none" w:sz="0" w:space="0" w:color="auto"/>
        <w:bottom w:val="none" w:sz="0" w:space="0" w:color="auto"/>
        <w:right w:val="none" w:sz="0" w:space="0" w:color="auto"/>
      </w:divBdr>
    </w:div>
    <w:div w:id="60288557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234555">
      <w:bodyDiv w:val="1"/>
      <w:marLeft w:val="0"/>
      <w:marRight w:val="0"/>
      <w:marTop w:val="0"/>
      <w:marBottom w:val="0"/>
      <w:divBdr>
        <w:top w:val="none" w:sz="0" w:space="0" w:color="auto"/>
        <w:left w:val="none" w:sz="0" w:space="0" w:color="auto"/>
        <w:bottom w:val="none" w:sz="0" w:space="0" w:color="auto"/>
        <w:right w:val="none" w:sz="0" w:space="0" w:color="auto"/>
      </w:divBdr>
    </w:div>
    <w:div w:id="605235663">
      <w:bodyDiv w:val="1"/>
      <w:marLeft w:val="0"/>
      <w:marRight w:val="0"/>
      <w:marTop w:val="0"/>
      <w:marBottom w:val="0"/>
      <w:divBdr>
        <w:top w:val="none" w:sz="0" w:space="0" w:color="auto"/>
        <w:left w:val="none" w:sz="0" w:space="0" w:color="auto"/>
        <w:bottom w:val="none" w:sz="0" w:space="0" w:color="auto"/>
        <w:right w:val="none" w:sz="0" w:space="0" w:color="auto"/>
      </w:divBdr>
    </w:div>
    <w:div w:id="605847535">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544430">
      <w:bodyDiv w:val="1"/>
      <w:marLeft w:val="0"/>
      <w:marRight w:val="0"/>
      <w:marTop w:val="0"/>
      <w:marBottom w:val="0"/>
      <w:divBdr>
        <w:top w:val="none" w:sz="0" w:space="0" w:color="auto"/>
        <w:left w:val="none" w:sz="0" w:space="0" w:color="auto"/>
        <w:bottom w:val="none" w:sz="0" w:space="0" w:color="auto"/>
        <w:right w:val="none" w:sz="0" w:space="0" w:color="auto"/>
      </w:divBdr>
    </w:div>
    <w:div w:id="609825006">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4487940">
      <w:bodyDiv w:val="1"/>
      <w:marLeft w:val="0"/>
      <w:marRight w:val="0"/>
      <w:marTop w:val="0"/>
      <w:marBottom w:val="0"/>
      <w:divBdr>
        <w:top w:val="none" w:sz="0" w:space="0" w:color="auto"/>
        <w:left w:val="none" w:sz="0" w:space="0" w:color="auto"/>
        <w:bottom w:val="none" w:sz="0" w:space="0" w:color="auto"/>
        <w:right w:val="none" w:sz="0" w:space="0" w:color="auto"/>
      </w:divBdr>
    </w:div>
    <w:div w:id="615521346">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2807823">
      <w:bodyDiv w:val="1"/>
      <w:marLeft w:val="0"/>
      <w:marRight w:val="0"/>
      <w:marTop w:val="0"/>
      <w:marBottom w:val="0"/>
      <w:divBdr>
        <w:top w:val="none" w:sz="0" w:space="0" w:color="auto"/>
        <w:left w:val="none" w:sz="0" w:space="0" w:color="auto"/>
        <w:bottom w:val="none" w:sz="0" w:space="0" w:color="auto"/>
        <w:right w:val="none" w:sz="0" w:space="0" w:color="auto"/>
      </w:divBdr>
    </w:div>
    <w:div w:id="627859377">
      <w:bodyDiv w:val="1"/>
      <w:marLeft w:val="0"/>
      <w:marRight w:val="0"/>
      <w:marTop w:val="0"/>
      <w:marBottom w:val="0"/>
      <w:divBdr>
        <w:top w:val="none" w:sz="0" w:space="0" w:color="auto"/>
        <w:left w:val="none" w:sz="0" w:space="0" w:color="auto"/>
        <w:bottom w:val="none" w:sz="0" w:space="0" w:color="auto"/>
        <w:right w:val="none" w:sz="0" w:space="0" w:color="auto"/>
      </w:divBdr>
    </w:div>
    <w:div w:id="631447876">
      <w:bodyDiv w:val="1"/>
      <w:marLeft w:val="0"/>
      <w:marRight w:val="0"/>
      <w:marTop w:val="0"/>
      <w:marBottom w:val="0"/>
      <w:divBdr>
        <w:top w:val="none" w:sz="0" w:space="0" w:color="auto"/>
        <w:left w:val="none" w:sz="0" w:space="0" w:color="auto"/>
        <w:bottom w:val="none" w:sz="0" w:space="0" w:color="auto"/>
        <w:right w:val="none" w:sz="0" w:space="0" w:color="auto"/>
      </w:divBdr>
    </w:div>
    <w:div w:id="632029481">
      <w:bodyDiv w:val="1"/>
      <w:marLeft w:val="0"/>
      <w:marRight w:val="0"/>
      <w:marTop w:val="0"/>
      <w:marBottom w:val="0"/>
      <w:divBdr>
        <w:top w:val="none" w:sz="0" w:space="0" w:color="auto"/>
        <w:left w:val="none" w:sz="0" w:space="0" w:color="auto"/>
        <w:bottom w:val="none" w:sz="0" w:space="0" w:color="auto"/>
        <w:right w:val="none" w:sz="0" w:space="0" w:color="auto"/>
      </w:divBdr>
    </w:div>
    <w:div w:id="632835022">
      <w:bodyDiv w:val="1"/>
      <w:marLeft w:val="0"/>
      <w:marRight w:val="0"/>
      <w:marTop w:val="0"/>
      <w:marBottom w:val="0"/>
      <w:divBdr>
        <w:top w:val="none" w:sz="0" w:space="0" w:color="auto"/>
        <w:left w:val="none" w:sz="0" w:space="0" w:color="auto"/>
        <w:bottom w:val="none" w:sz="0" w:space="0" w:color="auto"/>
        <w:right w:val="none" w:sz="0" w:space="0" w:color="auto"/>
      </w:divBdr>
    </w:div>
    <w:div w:id="634867853">
      <w:bodyDiv w:val="1"/>
      <w:marLeft w:val="0"/>
      <w:marRight w:val="0"/>
      <w:marTop w:val="0"/>
      <w:marBottom w:val="0"/>
      <w:divBdr>
        <w:top w:val="none" w:sz="0" w:space="0" w:color="auto"/>
        <w:left w:val="none" w:sz="0" w:space="0" w:color="auto"/>
        <w:bottom w:val="none" w:sz="0" w:space="0" w:color="auto"/>
        <w:right w:val="none" w:sz="0" w:space="0" w:color="auto"/>
      </w:divBdr>
    </w:div>
    <w:div w:id="634994611">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6209780">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997627">
      <w:bodyDiv w:val="1"/>
      <w:marLeft w:val="0"/>
      <w:marRight w:val="0"/>
      <w:marTop w:val="0"/>
      <w:marBottom w:val="0"/>
      <w:divBdr>
        <w:top w:val="none" w:sz="0" w:space="0" w:color="auto"/>
        <w:left w:val="none" w:sz="0" w:space="0" w:color="auto"/>
        <w:bottom w:val="none" w:sz="0" w:space="0" w:color="auto"/>
        <w:right w:val="none" w:sz="0" w:space="0" w:color="auto"/>
      </w:divBdr>
    </w:div>
    <w:div w:id="659188636">
      <w:bodyDiv w:val="1"/>
      <w:marLeft w:val="0"/>
      <w:marRight w:val="0"/>
      <w:marTop w:val="0"/>
      <w:marBottom w:val="0"/>
      <w:divBdr>
        <w:top w:val="none" w:sz="0" w:space="0" w:color="auto"/>
        <w:left w:val="none" w:sz="0" w:space="0" w:color="auto"/>
        <w:bottom w:val="none" w:sz="0" w:space="0" w:color="auto"/>
        <w:right w:val="none" w:sz="0" w:space="0" w:color="auto"/>
      </w:divBdr>
    </w:div>
    <w:div w:id="661928330">
      <w:bodyDiv w:val="1"/>
      <w:marLeft w:val="0"/>
      <w:marRight w:val="0"/>
      <w:marTop w:val="0"/>
      <w:marBottom w:val="0"/>
      <w:divBdr>
        <w:top w:val="none" w:sz="0" w:space="0" w:color="auto"/>
        <w:left w:val="none" w:sz="0" w:space="0" w:color="auto"/>
        <w:bottom w:val="none" w:sz="0" w:space="0" w:color="auto"/>
        <w:right w:val="none" w:sz="0" w:space="0" w:color="auto"/>
      </w:divBdr>
    </w:div>
    <w:div w:id="662438739">
      <w:bodyDiv w:val="1"/>
      <w:marLeft w:val="0"/>
      <w:marRight w:val="0"/>
      <w:marTop w:val="0"/>
      <w:marBottom w:val="0"/>
      <w:divBdr>
        <w:top w:val="none" w:sz="0" w:space="0" w:color="auto"/>
        <w:left w:val="none" w:sz="0" w:space="0" w:color="auto"/>
        <w:bottom w:val="none" w:sz="0" w:space="0" w:color="auto"/>
        <w:right w:val="none" w:sz="0" w:space="0" w:color="auto"/>
      </w:divBdr>
    </w:div>
    <w:div w:id="663245092">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65133177">
      <w:bodyDiv w:val="1"/>
      <w:marLeft w:val="0"/>
      <w:marRight w:val="0"/>
      <w:marTop w:val="0"/>
      <w:marBottom w:val="0"/>
      <w:divBdr>
        <w:top w:val="none" w:sz="0" w:space="0" w:color="auto"/>
        <w:left w:val="none" w:sz="0" w:space="0" w:color="auto"/>
        <w:bottom w:val="none" w:sz="0" w:space="0" w:color="auto"/>
        <w:right w:val="none" w:sz="0" w:space="0" w:color="auto"/>
      </w:divBdr>
    </w:div>
    <w:div w:id="667244971">
      <w:bodyDiv w:val="1"/>
      <w:marLeft w:val="0"/>
      <w:marRight w:val="0"/>
      <w:marTop w:val="0"/>
      <w:marBottom w:val="0"/>
      <w:divBdr>
        <w:top w:val="none" w:sz="0" w:space="0" w:color="auto"/>
        <w:left w:val="none" w:sz="0" w:space="0" w:color="auto"/>
        <w:bottom w:val="none" w:sz="0" w:space="0" w:color="auto"/>
        <w:right w:val="none" w:sz="0" w:space="0" w:color="auto"/>
      </w:divBdr>
    </w:div>
    <w:div w:id="668145051">
      <w:bodyDiv w:val="1"/>
      <w:marLeft w:val="0"/>
      <w:marRight w:val="0"/>
      <w:marTop w:val="0"/>
      <w:marBottom w:val="0"/>
      <w:divBdr>
        <w:top w:val="none" w:sz="0" w:space="0" w:color="auto"/>
        <w:left w:val="none" w:sz="0" w:space="0" w:color="auto"/>
        <w:bottom w:val="none" w:sz="0" w:space="0" w:color="auto"/>
        <w:right w:val="none" w:sz="0" w:space="0" w:color="auto"/>
      </w:divBdr>
    </w:div>
    <w:div w:id="674067296">
      <w:bodyDiv w:val="1"/>
      <w:marLeft w:val="0"/>
      <w:marRight w:val="0"/>
      <w:marTop w:val="0"/>
      <w:marBottom w:val="0"/>
      <w:divBdr>
        <w:top w:val="none" w:sz="0" w:space="0" w:color="auto"/>
        <w:left w:val="none" w:sz="0" w:space="0" w:color="auto"/>
        <w:bottom w:val="none" w:sz="0" w:space="0" w:color="auto"/>
        <w:right w:val="none" w:sz="0" w:space="0" w:color="auto"/>
      </w:divBdr>
    </w:div>
    <w:div w:id="677006996">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0668585">
      <w:bodyDiv w:val="1"/>
      <w:marLeft w:val="0"/>
      <w:marRight w:val="0"/>
      <w:marTop w:val="0"/>
      <w:marBottom w:val="0"/>
      <w:divBdr>
        <w:top w:val="none" w:sz="0" w:space="0" w:color="auto"/>
        <w:left w:val="none" w:sz="0" w:space="0" w:color="auto"/>
        <w:bottom w:val="none" w:sz="0" w:space="0" w:color="auto"/>
        <w:right w:val="none" w:sz="0" w:space="0" w:color="auto"/>
      </w:divBdr>
    </w:div>
    <w:div w:id="680740976">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6640414">
      <w:bodyDiv w:val="1"/>
      <w:marLeft w:val="0"/>
      <w:marRight w:val="0"/>
      <w:marTop w:val="0"/>
      <w:marBottom w:val="0"/>
      <w:divBdr>
        <w:top w:val="none" w:sz="0" w:space="0" w:color="auto"/>
        <w:left w:val="none" w:sz="0" w:space="0" w:color="auto"/>
        <w:bottom w:val="none" w:sz="0" w:space="0" w:color="auto"/>
        <w:right w:val="none" w:sz="0" w:space="0" w:color="auto"/>
      </w:divBdr>
    </w:div>
    <w:div w:id="693531690">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2246741">
      <w:bodyDiv w:val="1"/>
      <w:marLeft w:val="0"/>
      <w:marRight w:val="0"/>
      <w:marTop w:val="0"/>
      <w:marBottom w:val="0"/>
      <w:divBdr>
        <w:top w:val="none" w:sz="0" w:space="0" w:color="auto"/>
        <w:left w:val="none" w:sz="0" w:space="0" w:color="auto"/>
        <w:bottom w:val="none" w:sz="0" w:space="0" w:color="auto"/>
        <w:right w:val="none" w:sz="0" w:space="0" w:color="auto"/>
      </w:divBdr>
    </w:div>
    <w:div w:id="702369589">
      <w:bodyDiv w:val="1"/>
      <w:marLeft w:val="0"/>
      <w:marRight w:val="0"/>
      <w:marTop w:val="0"/>
      <w:marBottom w:val="0"/>
      <w:divBdr>
        <w:top w:val="none" w:sz="0" w:space="0" w:color="auto"/>
        <w:left w:val="none" w:sz="0" w:space="0" w:color="auto"/>
        <w:bottom w:val="none" w:sz="0" w:space="0" w:color="auto"/>
        <w:right w:val="none" w:sz="0" w:space="0" w:color="auto"/>
      </w:divBdr>
    </w:div>
    <w:div w:id="703332959">
      <w:bodyDiv w:val="1"/>
      <w:marLeft w:val="0"/>
      <w:marRight w:val="0"/>
      <w:marTop w:val="0"/>
      <w:marBottom w:val="0"/>
      <w:divBdr>
        <w:top w:val="none" w:sz="0" w:space="0" w:color="auto"/>
        <w:left w:val="none" w:sz="0" w:space="0" w:color="auto"/>
        <w:bottom w:val="none" w:sz="0" w:space="0" w:color="auto"/>
        <w:right w:val="none" w:sz="0" w:space="0" w:color="auto"/>
      </w:divBdr>
    </w:div>
    <w:div w:id="703409323">
      <w:bodyDiv w:val="1"/>
      <w:marLeft w:val="0"/>
      <w:marRight w:val="0"/>
      <w:marTop w:val="0"/>
      <w:marBottom w:val="0"/>
      <w:divBdr>
        <w:top w:val="none" w:sz="0" w:space="0" w:color="auto"/>
        <w:left w:val="none" w:sz="0" w:space="0" w:color="auto"/>
        <w:bottom w:val="none" w:sz="0" w:space="0" w:color="auto"/>
        <w:right w:val="none" w:sz="0" w:space="0" w:color="auto"/>
      </w:divBdr>
    </w:div>
    <w:div w:id="705520336">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531425">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5203873">
      <w:bodyDiv w:val="1"/>
      <w:marLeft w:val="0"/>
      <w:marRight w:val="0"/>
      <w:marTop w:val="0"/>
      <w:marBottom w:val="0"/>
      <w:divBdr>
        <w:top w:val="none" w:sz="0" w:space="0" w:color="auto"/>
        <w:left w:val="none" w:sz="0" w:space="0" w:color="auto"/>
        <w:bottom w:val="none" w:sz="0" w:space="0" w:color="auto"/>
        <w:right w:val="none" w:sz="0" w:space="0" w:color="auto"/>
      </w:divBdr>
    </w:div>
    <w:div w:id="715856047">
      <w:bodyDiv w:val="1"/>
      <w:marLeft w:val="0"/>
      <w:marRight w:val="0"/>
      <w:marTop w:val="0"/>
      <w:marBottom w:val="0"/>
      <w:divBdr>
        <w:top w:val="none" w:sz="0" w:space="0" w:color="auto"/>
        <w:left w:val="none" w:sz="0" w:space="0" w:color="auto"/>
        <w:bottom w:val="none" w:sz="0" w:space="0" w:color="auto"/>
        <w:right w:val="none" w:sz="0" w:space="0" w:color="auto"/>
      </w:divBdr>
    </w:div>
    <w:div w:id="718867014">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19868109">
      <w:bodyDiv w:val="1"/>
      <w:marLeft w:val="0"/>
      <w:marRight w:val="0"/>
      <w:marTop w:val="0"/>
      <w:marBottom w:val="0"/>
      <w:divBdr>
        <w:top w:val="none" w:sz="0" w:space="0" w:color="auto"/>
        <w:left w:val="none" w:sz="0" w:space="0" w:color="auto"/>
        <w:bottom w:val="none" w:sz="0" w:space="0" w:color="auto"/>
        <w:right w:val="none" w:sz="0" w:space="0" w:color="auto"/>
      </w:divBdr>
    </w:div>
    <w:div w:id="720134484">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833317">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1007811">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062750">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879097">
      <w:bodyDiv w:val="1"/>
      <w:marLeft w:val="0"/>
      <w:marRight w:val="0"/>
      <w:marTop w:val="0"/>
      <w:marBottom w:val="0"/>
      <w:divBdr>
        <w:top w:val="none" w:sz="0" w:space="0" w:color="auto"/>
        <w:left w:val="none" w:sz="0" w:space="0" w:color="auto"/>
        <w:bottom w:val="none" w:sz="0" w:space="0" w:color="auto"/>
        <w:right w:val="none" w:sz="0" w:space="0" w:color="auto"/>
      </w:divBdr>
    </w:div>
    <w:div w:id="744374063">
      <w:bodyDiv w:val="1"/>
      <w:marLeft w:val="0"/>
      <w:marRight w:val="0"/>
      <w:marTop w:val="0"/>
      <w:marBottom w:val="0"/>
      <w:divBdr>
        <w:top w:val="none" w:sz="0" w:space="0" w:color="auto"/>
        <w:left w:val="none" w:sz="0" w:space="0" w:color="auto"/>
        <w:bottom w:val="none" w:sz="0" w:space="0" w:color="auto"/>
        <w:right w:val="none" w:sz="0" w:space="0" w:color="auto"/>
      </w:divBdr>
    </w:div>
    <w:div w:id="745342826">
      <w:bodyDiv w:val="1"/>
      <w:marLeft w:val="0"/>
      <w:marRight w:val="0"/>
      <w:marTop w:val="0"/>
      <w:marBottom w:val="0"/>
      <w:divBdr>
        <w:top w:val="none" w:sz="0" w:space="0" w:color="auto"/>
        <w:left w:val="none" w:sz="0" w:space="0" w:color="auto"/>
        <w:bottom w:val="none" w:sz="0" w:space="0" w:color="auto"/>
        <w:right w:val="none" w:sz="0" w:space="0" w:color="auto"/>
      </w:divBdr>
    </w:div>
    <w:div w:id="749620156">
      <w:bodyDiv w:val="1"/>
      <w:marLeft w:val="0"/>
      <w:marRight w:val="0"/>
      <w:marTop w:val="0"/>
      <w:marBottom w:val="0"/>
      <w:divBdr>
        <w:top w:val="none" w:sz="0" w:space="0" w:color="auto"/>
        <w:left w:val="none" w:sz="0" w:space="0" w:color="auto"/>
        <w:bottom w:val="none" w:sz="0" w:space="0" w:color="auto"/>
        <w:right w:val="none" w:sz="0" w:space="0" w:color="auto"/>
      </w:divBdr>
    </w:div>
    <w:div w:id="75027876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5900386">
      <w:bodyDiv w:val="1"/>
      <w:marLeft w:val="0"/>
      <w:marRight w:val="0"/>
      <w:marTop w:val="0"/>
      <w:marBottom w:val="0"/>
      <w:divBdr>
        <w:top w:val="none" w:sz="0" w:space="0" w:color="auto"/>
        <w:left w:val="none" w:sz="0" w:space="0" w:color="auto"/>
        <w:bottom w:val="none" w:sz="0" w:space="0" w:color="auto"/>
        <w:right w:val="none" w:sz="0" w:space="0" w:color="auto"/>
      </w:divBdr>
    </w:div>
    <w:div w:id="756631004">
      <w:bodyDiv w:val="1"/>
      <w:marLeft w:val="0"/>
      <w:marRight w:val="0"/>
      <w:marTop w:val="0"/>
      <w:marBottom w:val="0"/>
      <w:divBdr>
        <w:top w:val="none" w:sz="0" w:space="0" w:color="auto"/>
        <w:left w:val="none" w:sz="0" w:space="0" w:color="auto"/>
        <w:bottom w:val="none" w:sz="0" w:space="0" w:color="auto"/>
        <w:right w:val="none" w:sz="0" w:space="0" w:color="auto"/>
      </w:divBdr>
    </w:div>
    <w:div w:id="756898942">
      <w:bodyDiv w:val="1"/>
      <w:marLeft w:val="0"/>
      <w:marRight w:val="0"/>
      <w:marTop w:val="0"/>
      <w:marBottom w:val="0"/>
      <w:divBdr>
        <w:top w:val="none" w:sz="0" w:space="0" w:color="auto"/>
        <w:left w:val="none" w:sz="0" w:space="0" w:color="auto"/>
        <w:bottom w:val="none" w:sz="0" w:space="0" w:color="auto"/>
        <w:right w:val="none" w:sz="0" w:space="0" w:color="auto"/>
      </w:divBdr>
    </w:div>
    <w:div w:id="756943332">
      <w:bodyDiv w:val="1"/>
      <w:marLeft w:val="0"/>
      <w:marRight w:val="0"/>
      <w:marTop w:val="0"/>
      <w:marBottom w:val="0"/>
      <w:divBdr>
        <w:top w:val="none" w:sz="0" w:space="0" w:color="auto"/>
        <w:left w:val="none" w:sz="0" w:space="0" w:color="auto"/>
        <w:bottom w:val="none" w:sz="0" w:space="0" w:color="auto"/>
        <w:right w:val="none" w:sz="0" w:space="0" w:color="auto"/>
      </w:divBdr>
    </w:div>
    <w:div w:id="757751136">
      <w:bodyDiv w:val="1"/>
      <w:marLeft w:val="0"/>
      <w:marRight w:val="0"/>
      <w:marTop w:val="0"/>
      <w:marBottom w:val="0"/>
      <w:divBdr>
        <w:top w:val="none" w:sz="0" w:space="0" w:color="auto"/>
        <w:left w:val="none" w:sz="0" w:space="0" w:color="auto"/>
        <w:bottom w:val="none" w:sz="0" w:space="0" w:color="auto"/>
        <w:right w:val="none" w:sz="0" w:space="0" w:color="auto"/>
      </w:divBdr>
    </w:div>
    <w:div w:id="757793101">
      <w:bodyDiv w:val="1"/>
      <w:marLeft w:val="0"/>
      <w:marRight w:val="0"/>
      <w:marTop w:val="0"/>
      <w:marBottom w:val="0"/>
      <w:divBdr>
        <w:top w:val="none" w:sz="0" w:space="0" w:color="auto"/>
        <w:left w:val="none" w:sz="0" w:space="0" w:color="auto"/>
        <w:bottom w:val="none" w:sz="0" w:space="0" w:color="auto"/>
        <w:right w:val="none" w:sz="0" w:space="0" w:color="auto"/>
      </w:divBdr>
    </w:div>
    <w:div w:id="758795970">
      <w:bodyDiv w:val="1"/>
      <w:marLeft w:val="0"/>
      <w:marRight w:val="0"/>
      <w:marTop w:val="0"/>
      <w:marBottom w:val="0"/>
      <w:divBdr>
        <w:top w:val="none" w:sz="0" w:space="0" w:color="auto"/>
        <w:left w:val="none" w:sz="0" w:space="0" w:color="auto"/>
        <w:bottom w:val="none" w:sz="0" w:space="0" w:color="auto"/>
        <w:right w:val="none" w:sz="0" w:space="0" w:color="auto"/>
      </w:divBdr>
    </w:div>
    <w:div w:id="759721029">
      <w:bodyDiv w:val="1"/>
      <w:marLeft w:val="0"/>
      <w:marRight w:val="0"/>
      <w:marTop w:val="0"/>
      <w:marBottom w:val="0"/>
      <w:divBdr>
        <w:top w:val="none" w:sz="0" w:space="0" w:color="auto"/>
        <w:left w:val="none" w:sz="0" w:space="0" w:color="auto"/>
        <w:bottom w:val="none" w:sz="0" w:space="0" w:color="auto"/>
        <w:right w:val="none" w:sz="0" w:space="0" w:color="auto"/>
      </w:divBdr>
    </w:div>
    <w:div w:id="760375645">
      <w:bodyDiv w:val="1"/>
      <w:marLeft w:val="0"/>
      <w:marRight w:val="0"/>
      <w:marTop w:val="0"/>
      <w:marBottom w:val="0"/>
      <w:divBdr>
        <w:top w:val="none" w:sz="0" w:space="0" w:color="auto"/>
        <w:left w:val="none" w:sz="0" w:space="0" w:color="auto"/>
        <w:bottom w:val="none" w:sz="0" w:space="0" w:color="auto"/>
        <w:right w:val="none" w:sz="0" w:space="0" w:color="auto"/>
      </w:divBdr>
    </w:div>
    <w:div w:id="762070291">
      <w:bodyDiv w:val="1"/>
      <w:marLeft w:val="0"/>
      <w:marRight w:val="0"/>
      <w:marTop w:val="0"/>
      <w:marBottom w:val="0"/>
      <w:divBdr>
        <w:top w:val="none" w:sz="0" w:space="0" w:color="auto"/>
        <w:left w:val="none" w:sz="0" w:space="0" w:color="auto"/>
        <w:bottom w:val="none" w:sz="0" w:space="0" w:color="auto"/>
        <w:right w:val="none" w:sz="0" w:space="0" w:color="auto"/>
      </w:divBdr>
    </w:div>
    <w:div w:id="765346692">
      <w:bodyDiv w:val="1"/>
      <w:marLeft w:val="0"/>
      <w:marRight w:val="0"/>
      <w:marTop w:val="0"/>
      <w:marBottom w:val="0"/>
      <w:divBdr>
        <w:top w:val="none" w:sz="0" w:space="0" w:color="auto"/>
        <w:left w:val="none" w:sz="0" w:space="0" w:color="auto"/>
        <w:bottom w:val="none" w:sz="0" w:space="0" w:color="auto"/>
        <w:right w:val="none" w:sz="0" w:space="0" w:color="auto"/>
      </w:divBdr>
    </w:div>
    <w:div w:id="768893995">
      <w:bodyDiv w:val="1"/>
      <w:marLeft w:val="0"/>
      <w:marRight w:val="0"/>
      <w:marTop w:val="0"/>
      <w:marBottom w:val="0"/>
      <w:divBdr>
        <w:top w:val="none" w:sz="0" w:space="0" w:color="auto"/>
        <w:left w:val="none" w:sz="0" w:space="0" w:color="auto"/>
        <w:bottom w:val="none" w:sz="0" w:space="0" w:color="auto"/>
        <w:right w:val="none" w:sz="0" w:space="0" w:color="auto"/>
      </w:divBdr>
    </w:div>
    <w:div w:id="770006624">
      <w:bodyDiv w:val="1"/>
      <w:marLeft w:val="0"/>
      <w:marRight w:val="0"/>
      <w:marTop w:val="0"/>
      <w:marBottom w:val="0"/>
      <w:divBdr>
        <w:top w:val="none" w:sz="0" w:space="0" w:color="auto"/>
        <w:left w:val="none" w:sz="0" w:space="0" w:color="auto"/>
        <w:bottom w:val="none" w:sz="0" w:space="0" w:color="auto"/>
        <w:right w:val="none" w:sz="0" w:space="0" w:color="auto"/>
      </w:divBdr>
    </w:div>
    <w:div w:id="772939177">
      <w:bodyDiv w:val="1"/>
      <w:marLeft w:val="0"/>
      <w:marRight w:val="0"/>
      <w:marTop w:val="0"/>
      <w:marBottom w:val="0"/>
      <w:divBdr>
        <w:top w:val="none" w:sz="0" w:space="0" w:color="auto"/>
        <w:left w:val="none" w:sz="0" w:space="0" w:color="auto"/>
        <w:bottom w:val="none" w:sz="0" w:space="0" w:color="auto"/>
        <w:right w:val="none" w:sz="0" w:space="0" w:color="auto"/>
      </w:divBdr>
    </w:div>
    <w:div w:id="776677133">
      <w:bodyDiv w:val="1"/>
      <w:marLeft w:val="0"/>
      <w:marRight w:val="0"/>
      <w:marTop w:val="0"/>
      <w:marBottom w:val="0"/>
      <w:divBdr>
        <w:top w:val="none" w:sz="0" w:space="0" w:color="auto"/>
        <w:left w:val="none" w:sz="0" w:space="0" w:color="auto"/>
        <w:bottom w:val="none" w:sz="0" w:space="0" w:color="auto"/>
        <w:right w:val="none" w:sz="0" w:space="0" w:color="auto"/>
      </w:divBdr>
    </w:div>
    <w:div w:id="777529424">
      <w:bodyDiv w:val="1"/>
      <w:marLeft w:val="0"/>
      <w:marRight w:val="0"/>
      <w:marTop w:val="0"/>
      <w:marBottom w:val="0"/>
      <w:divBdr>
        <w:top w:val="none" w:sz="0" w:space="0" w:color="auto"/>
        <w:left w:val="none" w:sz="0" w:space="0" w:color="auto"/>
        <w:bottom w:val="none" w:sz="0" w:space="0" w:color="auto"/>
        <w:right w:val="none" w:sz="0" w:space="0" w:color="auto"/>
      </w:divBdr>
    </w:div>
    <w:div w:id="778530684">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88663446">
      <w:bodyDiv w:val="1"/>
      <w:marLeft w:val="0"/>
      <w:marRight w:val="0"/>
      <w:marTop w:val="0"/>
      <w:marBottom w:val="0"/>
      <w:divBdr>
        <w:top w:val="none" w:sz="0" w:space="0" w:color="auto"/>
        <w:left w:val="none" w:sz="0" w:space="0" w:color="auto"/>
        <w:bottom w:val="none" w:sz="0" w:space="0" w:color="auto"/>
        <w:right w:val="none" w:sz="0" w:space="0" w:color="auto"/>
      </w:divBdr>
    </w:div>
    <w:div w:id="792552029">
      <w:bodyDiv w:val="1"/>
      <w:marLeft w:val="0"/>
      <w:marRight w:val="0"/>
      <w:marTop w:val="0"/>
      <w:marBottom w:val="0"/>
      <w:divBdr>
        <w:top w:val="none" w:sz="0" w:space="0" w:color="auto"/>
        <w:left w:val="none" w:sz="0" w:space="0" w:color="auto"/>
        <w:bottom w:val="none" w:sz="0" w:space="0" w:color="auto"/>
        <w:right w:val="none" w:sz="0" w:space="0" w:color="auto"/>
      </w:divBdr>
    </w:div>
    <w:div w:id="797795659">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4306">
      <w:bodyDiv w:val="1"/>
      <w:marLeft w:val="0"/>
      <w:marRight w:val="0"/>
      <w:marTop w:val="0"/>
      <w:marBottom w:val="0"/>
      <w:divBdr>
        <w:top w:val="none" w:sz="0" w:space="0" w:color="auto"/>
        <w:left w:val="none" w:sz="0" w:space="0" w:color="auto"/>
        <w:bottom w:val="none" w:sz="0" w:space="0" w:color="auto"/>
        <w:right w:val="none" w:sz="0" w:space="0" w:color="auto"/>
      </w:divBdr>
    </w:div>
    <w:div w:id="802114958">
      <w:bodyDiv w:val="1"/>
      <w:marLeft w:val="0"/>
      <w:marRight w:val="0"/>
      <w:marTop w:val="0"/>
      <w:marBottom w:val="0"/>
      <w:divBdr>
        <w:top w:val="none" w:sz="0" w:space="0" w:color="auto"/>
        <w:left w:val="none" w:sz="0" w:space="0" w:color="auto"/>
        <w:bottom w:val="none" w:sz="0" w:space="0" w:color="auto"/>
        <w:right w:val="none" w:sz="0" w:space="0" w:color="auto"/>
      </w:divBdr>
    </w:div>
    <w:div w:id="803280723">
      <w:bodyDiv w:val="1"/>
      <w:marLeft w:val="0"/>
      <w:marRight w:val="0"/>
      <w:marTop w:val="0"/>
      <w:marBottom w:val="0"/>
      <w:divBdr>
        <w:top w:val="none" w:sz="0" w:space="0" w:color="auto"/>
        <w:left w:val="none" w:sz="0" w:space="0" w:color="auto"/>
        <w:bottom w:val="none" w:sz="0" w:space="0" w:color="auto"/>
        <w:right w:val="none" w:sz="0" w:space="0" w:color="auto"/>
      </w:divBdr>
    </w:div>
    <w:div w:id="80369272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4874982">
      <w:bodyDiv w:val="1"/>
      <w:marLeft w:val="0"/>
      <w:marRight w:val="0"/>
      <w:marTop w:val="0"/>
      <w:marBottom w:val="0"/>
      <w:divBdr>
        <w:top w:val="none" w:sz="0" w:space="0" w:color="auto"/>
        <w:left w:val="none" w:sz="0" w:space="0" w:color="auto"/>
        <w:bottom w:val="none" w:sz="0" w:space="0" w:color="auto"/>
        <w:right w:val="none" w:sz="0" w:space="0" w:color="auto"/>
      </w:divBdr>
    </w:div>
    <w:div w:id="816267159">
      <w:bodyDiv w:val="1"/>
      <w:marLeft w:val="0"/>
      <w:marRight w:val="0"/>
      <w:marTop w:val="0"/>
      <w:marBottom w:val="0"/>
      <w:divBdr>
        <w:top w:val="none" w:sz="0" w:space="0" w:color="auto"/>
        <w:left w:val="none" w:sz="0" w:space="0" w:color="auto"/>
        <w:bottom w:val="none" w:sz="0" w:space="0" w:color="auto"/>
        <w:right w:val="none" w:sz="0" w:space="0" w:color="auto"/>
      </w:divBdr>
    </w:div>
    <w:div w:id="818234381">
      <w:bodyDiv w:val="1"/>
      <w:marLeft w:val="0"/>
      <w:marRight w:val="0"/>
      <w:marTop w:val="0"/>
      <w:marBottom w:val="0"/>
      <w:divBdr>
        <w:top w:val="none" w:sz="0" w:space="0" w:color="auto"/>
        <w:left w:val="none" w:sz="0" w:space="0" w:color="auto"/>
        <w:bottom w:val="none" w:sz="0" w:space="0" w:color="auto"/>
        <w:right w:val="none" w:sz="0" w:space="0" w:color="auto"/>
      </w:divBdr>
    </w:div>
    <w:div w:id="824320872">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2645576">
      <w:bodyDiv w:val="1"/>
      <w:marLeft w:val="0"/>
      <w:marRight w:val="0"/>
      <w:marTop w:val="0"/>
      <w:marBottom w:val="0"/>
      <w:divBdr>
        <w:top w:val="none" w:sz="0" w:space="0" w:color="auto"/>
        <w:left w:val="none" w:sz="0" w:space="0" w:color="auto"/>
        <w:bottom w:val="none" w:sz="0" w:space="0" w:color="auto"/>
        <w:right w:val="none" w:sz="0" w:space="0" w:color="auto"/>
      </w:divBdr>
    </w:div>
    <w:div w:id="840315451">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977661">
      <w:bodyDiv w:val="1"/>
      <w:marLeft w:val="0"/>
      <w:marRight w:val="0"/>
      <w:marTop w:val="0"/>
      <w:marBottom w:val="0"/>
      <w:divBdr>
        <w:top w:val="none" w:sz="0" w:space="0" w:color="auto"/>
        <w:left w:val="none" w:sz="0" w:space="0" w:color="auto"/>
        <w:bottom w:val="none" w:sz="0" w:space="0" w:color="auto"/>
        <w:right w:val="none" w:sz="0" w:space="0" w:color="auto"/>
      </w:divBdr>
    </w:div>
    <w:div w:id="856968447">
      <w:bodyDiv w:val="1"/>
      <w:marLeft w:val="0"/>
      <w:marRight w:val="0"/>
      <w:marTop w:val="0"/>
      <w:marBottom w:val="0"/>
      <w:divBdr>
        <w:top w:val="none" w:sz="0" w:space="0" w:color="auto"/>
        <w:left w:val="none" w:sz="0" w:space="0" w:color="auto"/>
        <w:bottom w:val="none" w:sz="0" w:space="0" w:color="auto"/>
        <w:right w:val="none" w:sz="0" w:space="0" w:color="auto"/>
      </w:divBdr>
    </w:div>
    <w:div w:id="859928871">
      <w:bodyDiv w:val="1"/>
      <w:marLeft w:val="0"/>
      <w:marRight w:val="0"/>
      <w:marTop w:val="0"/>
      <w:marBottom w:val="0"/>
      <w:divBdr>
        <w:top w:val="none" w:sz="0" w:space="0" w:color="auto"/>
        <w:left w:val="none" w:sz="0" w:space="0" w:color="auto"/>
        <w:bottom w:val="none" w:sz="0" w:space="0" w:color="auto"/>
        <w:right w:val="none" w:sz="0" w:space="0" w:color="auto"/>
      </w:divBdr>
    </w:div>
    <w:div w:id="861892930">
      <w:bodyDiv w:val="1"/>
      <w:marLeft w:val="0"/>
      <w:marRight w:val="0"/>
      <w:marTop w:val="0"/>
      <w:marBottom w:val="0"/>
      <w:divBdr>
        <w:top w:val="none" w:sz="0" w:space="0" w:color="auto"/>
        <w:left w:val="none" w:sz="0" w:space="0" w:color="auto"/>
        <w:bottom w:val="none" w:sz="0" w:space="0" w:color="auto"/>
        <w:right w:val="none" w:sz="0" w:space="0" w:color="auto"/>
      </w:divBdr>
    </w:div>
    <w:div w:id="865367528">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1460139">
      <w:bodyDiv w:val="1"/>
      <w:marLeft w:val="0"/>
      <w:marRight w:val="0"/>
      <w:marTop w:val="0"/>
      <w:marBottom w:val="0"/>
      <w:divBdr>
        <w:top w:val="none" w:sz="0" w:space="0" w:color="auto"/>
        <w:left w:val="none" w:sz="0" w:space="0" w:color="auto"/>
        <w:bottom w:val="none" w:sz="0" w:space="0" w:color="auto"/>
        <w:right w:val="none" w:sz="0" w:space="0" w:color="auto"/>
      </w:divBdr>
    </w:div>
    <w:div w:id="871528620">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3567358">
      <w:bodyDiv w:val="1"/>
      <w:marLeft w:val="0"/>
      <w:marRight w:val="0"/>
      <w:marTop w:val="0"/>
      <w:marBottom w:val="0"/>
      <w:divBdr>
        <w:top w:val="none" w:sz="0" w:space="0" w:color="auto"/>
        <w:left w:val="none" w:sz="0" w:space="0" w:color="auto"/>
        <w:bottom w:val="none" w:sz="0" w:space="0" w:color="auto"/>
        <w:right w:val="none" w:sz="0" w:space="0" w:color="auto"/>
      </w:divBdr>
    </w:div>
    <w:div w:id="890069363">
      <w:bodyDiv w:val="1"/>
      <w:marLeft w:val="0"/>
      <w:marRight w:val="0"/>
      <w:marTop w:val="0"/>
      <w:marBottom w:val="0"/>
      <w:divBdr>
        <w:top w:val="none" w:sz="0" w:space="0" w:color="auto"/>
        <w:left w:val="none" w:sz="0" w:space="0" w:color="auto"/>
        <w:bottom w:val="none" w:sz="0" w:space="0" w:color="auto"/>
        <w:right w:val="none" w:sz="0" w:space="0" w:color="auto"/>
      </w:divBdr>
    </w:div>
    <w:div w:id="891622631">
      <w:bodyDiv w:val="1"/>
      <w:marLeft w:val="0"/>
      <w:marRight w:val="0"/>
      <w:marTop w:val="0"/>
      <w:marBottom w:val="0"/>
      <w:divBdr>
        <w:top w:val="none" w:sz="0" w:space="0" w:color="auto"/>
        <w:left w:val="none" w:sz="0" w:space="0" w:color="auto"/>
        <w:bottom w:val="none" w:sz="0" w:space="0" w:color="auto"/>
        <w:right w:val="none" w:sz="0" w:space="0" w:color="auto"/>
      </w:divBdr>
    </w:div>
    <w:div w:id="892615533">
      <w:bodyDiv w:val="1"/>
      <w:marLeft w:val="0"/>
      <w:marRight w:val="0"/>
      <w:marTop w:val="0"/>
      <w:marBottom w:val="0"/>
      <w:divBdr>
        <w:top w:val="none" w:sz="0" w:space="0" w:color="auto"/>
        <w:left w:val="none" w:sz="0" w:space="0" w:color="auto"/>
        <w:bottom w:val="none" w:sz="0" w:space="0" w:color="auto"/>
        <w:right w:val="none" w:sz="0" w:space="0" w:color="auto"/>
      </w:divBdr>
    </w:div>
    <w:div w:id="898056159">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898635223">
      <w:bodyDiv w:val="1"/>
      <w:marLeft w:val="0"/>
      <w:marRight w:val="0"/>
      <w:marTop w:val="0"/>
      <w:marBottom w:val="0"/>
      <w:divBdr>
        <w:top w:val="none" w:sz="0" w:space="0" w:color="auto"/>
        <w:left w:val="none" w:sz="0" w:space="0" w:color="auto"/>
        <w:bottom w:val="none" w:sz="0" w:space="0" w:color="auto"/>
        <w:right w:val="none" w:sz="0" w:space="0" w:color="auto"/>
      </w:divBdr>
    </w:div>
    <w:div w:id="89970889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643320">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4293354">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225090">
      <w:bodyDiv w:val="1"/>
      <w:marLeft w:val="0"/>
      <w:marRight w:val="0"/>
      <w:marTop w:val="0"/>
      <w:marBottom w:val="0"/>
      <w:divBdr>
        <w:top w:val="none" w:sz="0" w:space="0" w:color="auto"/>
        <w:left w:val="none" w:sz="0" w:space="0" w:color="auto"/>
        <w:bottom w:val="none" w:sz="0" w:space="0" w:color="auto"/>
        <w:right w:val="none" w:sz="0" w:space="0" w:color="auto"/>
      </w:divBdr>
    </w:div>
    <w:div w:id="909316524">
      <w:bodyDiv w:val="1"/>
      <w:marLeft w:val="0"/>
      <w:marRight w:val="0"/>
      <w:marTop w:val="0"/>
      <w:marBottom w:val="0"/>
      <w:divBdr>
        <w:top w:val="none" w:sz="0" w:space="0" w:color="auto"/>
        <w:left w:val="none" w:sz="0" w:space="0" w:color="auto"/>
        <w:bottom w:val="none" w:sz="0" w:space="0" w:color="auto"/>
        <w:right w:val="none" w:sz="0" w:space="0" w:color="auto"/>
      </w:divBdr>
    </w:div>
    <w:div w:id="910232201">
      <w:bodyDiv w:val="1"/>
      <w:marLeft w:val="0"/>
      <w:marRight w:val="0"/>
      <w:marTop w:val="0"/>
      <w:marBottom w:val="0"/>
      <w:divBdr>
        <w:top w:val="none" w:sz="0" w:space="0" w:color="auto"/>
        <w:left w:val="none" w:sz="0" w:space="0" w:color="auto"/>
        <w:bottom w:val="none" w:sz="0" w:space="0" w:color="auto"/>
        <w:right w:val="none" w:sz="0" w:space="0" w:color="auto"/>
      </w:divBdr>
    </w:div>
    <w:div w:id="914826720">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16282834">
      <w:bodyDiv w:val="1"/>
      <w:marLeft w:val="0"/>
      <w:marRight w:val="0"/>
      <w:marTop w:val="0"/>
      <w:marBottom w:val="0"/>
      <w:divBdr>
        <w:top w:val="none" w:sz="0" w:space="0" w:color="auto"/>
        <w:left w:val="none" w:sz="0" w:space="0" w:color="auto"/>
        <w:bottom w:val="none" w:sz="0" w:space="0" w:color="auto"/>
        <w:right w:val="none" w:sz="0" w:space="0" w:color="auto"/>
      </w:divBdr>
    </w:div>
    <w:div w:id="917324568">
      <w:bodyDiv w:val="1"/>
      <w:marLeft w:val="0"/>
      <w:marRight w:val="0"/>
      <w:marTop w:val="0"/>
      <w:marBottom w:val="0"/>
      <w:divBdr>
        <w:top w:val="none" w:sz="0" w:space="0" w:color="auto"/>
        <w:left w:val="none" w:sz="0" w:space="0" w:color="auto"/>
        <w:bottom w:val="none" w:sz="0" w:space="0" w:color="auto"/>
        <w:right w:val="none" w:sz="0" w:space="0" w:color="auto"/>
      </w:divBdr>
    </w:div>
    <w:div w:id="921988307">
      <w:bodyDiv w:val="1"/>
      <w:marLeft w:val="0"/>
      <w:marRight w:val="0"/>
      <w:marTop w:val="0"/>
      <w:marBottom w:val="0"/>
      <w:divBdr>
        <w:top w:val="none" w:sz="0" w:space="0" w:color="auto"/>
        <w:left w:val="none" w:sz="0" w:space="0" w:color="auto"/>
        <w:bottom w:val="none" w:sz="0" w:space="0" w:color="auto"/>
        <w:right w:val="none" w:sz="0" w:space="0" w:color="auto"/>
      </w:divBdr>
    </w:div>
    <w:div w:id="923757850">
      <w:bodyDiv w:val="1"/>
      <w:marLeft w:val="0"/>
      <w:marRight w:val="0"/>
      <w:marTop w:val="0"/>
      <w:marBottom w:val="0"/>
      <w:divBdr>
        <w:top w:val="none" w:sz="0" w:space="0" w:color="auto"/>
        <w:left w:val="none" w:sz="0" w:space="0" w:color="auto"/>
        <w:bottom w:val="none" w:sz="0" w:space="0" w:color="auto"/>
        <w:right w:val="none" w:sz="0" w:space="0" w:color="auto"/>
      </w:divBdr>
    </w:div>
    <w:div w:id="925386864">
      <w:bodyDiv w:val="1"/>
      <w:marLeft w:val="0"/>
      <w:marRight w:val="0"/>
      <w:marTop w:val="0"/>
      <w:marBottom w:val="0"/>
      <w:divBdr>
        <w:top w:val="none" w:sz="0" w:space="0" w:color="auto"/>
        <w:left w:val="none" w:sz="0" w:space="0" w:color="auto"/>
        <w:bottom w:val="none" w:sz="0" w:space="0" w:color="auto"/>
        <w:right w:val="none" w:sz="0" w:space="0" w:color="auto"/>
      </w:divBdr>
    </w:div>
    <w:div w:id="928149780">
      <w:bodyDiv w:val="1"/>
      <w:marLeft w:val="0"/>
      <w:marRight w:val="0"/>
      <w:marTop w:val="0"/>
      <w:marBottom w:val="0"/>
      <w:divBdr>
        <w:top w:val="none" w:sz="0" w:space="0" w:color="auto"/>
        <w:left w:val="none" w:sz="0" w:space="0" w:color="auto"/>
        <w:bottom w:val="none" w:sz="0" w:space="0" w:color="auto"/>
        <w:right w:val="none" w:sz="0" w:space="0" w:color="auto"/>
      </w:divBdr>
    </w:div>
    <w:div w:id="928344029">
      <w:bodyDiv w:val="1"/>
      <w:marLeft w:val="0"/>
      <w:marRight w:val="0"/>
      <w:marTop w:val="0"/>
      <w:marBottom w:val="0"/>
      <w:divBdr>
        <w:top w:val="none" w:sz="0" w:space="0" w:color="auto"/>
        <w:left w:val="none" w:sz="0" w:space="0" w:color="auto"/>
        <w:bottom w:val="none" w:sz="0" w:space="0" w:color="auto"/>
        <w:right w:val="none" w:sz="0" w:space="0" w:color="auto"/>
      </w:divBdr>
    </w:div>
    <w:div w:id="928461084">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396078">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25958">
      <w:bodyDiv w:val="1"/>
      <w:marLeft w:val="0"/>
      <w:marRight w:val="0"/>
      <w:marTop w:val="0"/>
      <w:marBottom w:val="0"/>
      <w:divBdr>
        <w:top w:val="none" w:sz="0" w:space="0" w:color="auto"/>
        <w:left w:val="none" w:sz="0" w:space="0" w:color="auto"/>
        <w:bottom w:val="none" w:sz="0" w:space="0" w:color="auto"/>
        <w:right w:val="none" w:sz="0" w:space="0" w:color="auto"/>
      </w:divBdr>
    </w:div>
    <w:div w:id="93529200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2344325">
      <w:bodyDiv w:val="1"/>
      <w:marLeft w:val="0"/>
      <w:marRight w:val="0"/>
      <w:marTop w:val="0"/>
      <w:marBottom w:val="0"/>
      <w:divBdr>
        <w:top w:val="none" w:sz="0" w:space="0" w:color="auto"/>
        <w:left w:val="none" w:sz="0" w:space="0" w:color="auto"/>
        <w:bottom w:val="none" w:sz="0" w:space="0" w:color="auto"/>
        <w:right w:val="none" w:sz="0" w:space="0" w:color="auto"/>
      </w:divBdr>
    </w:div>
    <w:div w:id="943460594">
      <w:bodyDiv w:val="1"/>
      <w:marLeft w:val="0"/>
      <w:marRight w:val="0"/>
      <w:marTop w:val="0"/>
      <w:marBottom w:val="0"/>
      <w:divBdr>
        <w:top w:val="none" w:sz="0" w:space="0" w:color="auto"/>
        <w:left w:val="none" w:sz="0" w:space="0" w:color="auto"/>
        <w:bottom w:val="none" w:sz="0" w:space="0" w:color="auto"/>
        <w:right w:val="none" w:sz="0" w:space="0" w:color="auto"/>
      </w:divBdr>
    </w:div>
    <w:div w:id="945312660">
      <w:bodyDiv w:val="1"/>
      <w:marLeft w:val="0"/>
      <w:marRight w:val="0"/>
      <w:marTop w:val="0"/>
      <w:marBottom w:val="0"/>
      <w:divBdr>
        <w:top w:val="none" w:sz="0" w:space="0" w:color="auto"/>
        <w:left w:val="none" w:sz="0" w:space="0" w:color="auto"/>
        <w:bottom w:val="none" w:sz="0" w:space="0" w:color="auto"/>
        <w:right w:val="none" w:sz="0" w:space="0" w:color="auto"/>
      </w:divBdr>
    </w:div>
    <w:div w:id="947008518">
      <w:bodyDiv w:val="1"/>
      <w:marLeft w:val="0"/>
      <w:marRight w:val="0"/>
      <w:marTop w:val="0"/>
      <w:marBottom w:val="0"/>
      <w:divBdr>
        <w:top w:val="none" w:sz="0" w:space="0" w:color="auto"/>
        <w:left w:val="none" w:sz="0" w:space="0" w:color="auto"/>
        <w:bottom w:val="none" w:sz="0" w:space="0" w:color="auto"/>
        <w:right w:val="none" w:sz="0" w:space="0" w:color="auto"/>
      </w:divBdr>
    </w:div>
    <w:div w:id="951549187">
      <w:bodyDiv w:val="1"/>
      <w:marLeft w:val="0"/>
      <w:marRight w:val="0"/>
      <w:marTop w:val="0"/>
      <w:marBottom w:val="0"/>
      <w:divBdr>
        <w:top w:val="none" w:sz="0" w:space="0" w:color="auto"/>
        <w:left w:val="none" w:sz="0" w:space="0" w:color="auto"/>
        <w:bottom w:val="none" w:sz="0" w:space="0" w:color="auto"/>
        <w:right w:val="none" w:sz="0" w:space="0" w:color="auto"/>
      </w:divBdr>
    </w:div>
    <w:div w:id="955411248">
      <w:bodyDiv w:val="1"/>
      <w:marLeft w:val="0"/>
      <w:marRight w:val="0"/>
      <w:marTop w:val="0"/>
      <w:marBottom w:val="0"/>
      <w:divBdr>
        <w:top w:val="none" w:sz="0" w:space="0" w:color="auto"/>
        <w:left w:val="none" w:sz="0" w:space="0" w:color="auto"/>
        <w:bottom w:val="none" w:sz="0" w:space="0" w:color="auto"/>
        <w:right w:val="none" w:sz="0" w:space="0" w:color="auto"/>
      </w:divBdr>
    </w:div>
    <w:div w:id="960460538">
      <w:bodyDiv w:val="1"/>
      <w:marLeft w:val="0"/>
      <w:marRight w:val="0"/>
      <w:marTop w:val="0"/>
      <w:marBottom w:val="0"/>
      <w:divBdr>
        <w:top w:val="none" w:sz="0" w:space="0" w:color="auto"/>
        <w:left w:val="none" w:sz="0" w:space="0" w:color="auto"/>
        <w:bottom w:val="none" w:sz="0" w:space="0" w:color="auto"/>
        <w:right w:val="none" w:sz="0" w:space="0" w:color="auto"/>
      </w:divBdr>
    </w:div>
    <w:div w:id="961228169">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6011420">
      <w:bodyDiv w:val="1"/>
      <w:marLeft w:val="0"/>
      <w:marRight w:val="0"/>
      <w:marTop w:val="0"/>
      <w:marBottom w:val="0"/>
      <w:divBdr>
        <w:top w:val="none" w:sz="0" w:space="0" w:color="auto"/>
        <w:left w:val="none" w:sz="0" w:space="0" w:color="auto"/>
        <w:bottom w:val="none" w:sz="0" w:space="0" w:color="auto"/>
        <w:right w:val="none" w:sz="0" w:space="0" w:color="auto"/>
      </w:divBdr>
    </w:div>
    <w:div w:id="966282031">
      <w:bodyDiv w:val="1"/>
      <w:marLeft w:val="0"/>
      <w:marRight w:val="0"/>
      <w:marTop w:val="0"/>
      <w:marBottom w:val="0"/>
      <w:divBdr>
        <w:top w:val="none" w:sz="0" w:space="0" w:color="auto"/>
        <w:left w:val="none" w:sz="0" w:space="0" w:color="auto"/>
        <w:bottom w:val="none" w:sz="0" w:space="0" w:color="auto"/>
        <w:right w:val="none" w:sz="0" w:space="0" w:color="auto"/>
      </w:divBdr>
    </w:div>
    <w:div w:id="974603879">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8801353">
      <w:bodyDiv w:val="1"/>
      <w:marLeft w:val="0"/>
      <w:marRight w:val="0"/>
      <w:marTop w:val="0"/>
      <w:marBottom w:val="0"/>
      <w:divBdr>
        <w:top w:val="none" w:sz="0" w:space="0" w:color="auto"/>
        <w:left w:val="none" w:sz="0" w:space="0" w:color="auto"/>
        <w:bottom w:val="none" w:sz="0" w:space="0" w:color="auto"/>
        <w:right w:val="none" w:sz="0" w:space="0" w:color="auto"/>
      </w:divBdr>
    </w:div>
    <w:div w:id="983391502">
      <w:bodyDiv w:val="1"/>
      <w:marLeft w:val="0"/>
      <w:marRight w:val="0"/>
      <w:marTop w:val="0"/>
      <w:marBottom w:val="0"/>
      <w:divBdr>
        <w:top w:val="none" w:sz="0" w:space="0" w:color="auto"/>
        <w:left w:val="none" w:sz="0" w:space="0" w:color="auto"/>
        <w:bottom w:val="none" w:sz="0" w:space="0" w:color="auto"/>
        <w:right w:val="none" w:sz="0" w:space="0" w:color="auto"/>
      </w:divBdr>
    </w:div>
    <w:div w:id="984238798">
      <w:bodyDiv w:val="1"/>
      <w:marLeft w:val="0"/>
      <w:marRight w:val="0"/>
      <w:marTop w:val="0"/>
      <w:marBottom w:val="0"/>
      <w:divBdr>
        <w:top w:val="none" w:sz="0" w:space="0" w:color="auto"/>
        <w:left w:val="none" w:sz="0" w:space="0" w:color="auto"/>
        <w:bottom w:val="none" w:sz="0" w:space="0" w:color="auto"/>
        <w:right w:val="none" w:sz="0" w:space="0" w:color="auto"/>
      </w:divBdr>
    </w:div>
    <w:div w:id="999500259">
      <w:bodyDiv w:val="1"/>
      <w:marLeft w:val="0"/>
      <w:marRight w:val="0"/>
      <w:marTop w:val="0"/>
      <w:marBottom w:val="0"/>
      <w:divBdr>
        <w:top w:val="none" w:sz="0" w:space="0" w:color="auto"/>
        <w:left w:val="none" w:sz="0" w:space="0" w:color="auto"/>
        <w:bottom w:val="none" w:sz="0" w:space="0" w:color="auto"/>
        <w:right w:val="none" w:sz="0" w:space="0" w:color="auto"/>
      </w:divBdr>
    </w:div>
    <w:div w:id="1006664555">
      <w:bodyDiv w:val="1"/>
      <w:marLeft w:val="0"/>
      <w:marRight w:val="0"/>
      <w:marTop w:val="0"/>
      <w:marBottom w:val="0"/>
      <w:divBdr>
        <w:top w:val="none" w:sz="0" w:space="0" w:color="auto"/>
        <w:left w:val="none" w:sz="0" w:space="0" w:color="auto"/>
        <w:bottom w:val="none" w:sz="0" w:space="0" w:color="auto"/>
        <w:right w:val="none" w:sz="0" w:space="0" w:color="auto"/>
      </w:divBdr>
    </w:div>
    <w:div w:id="1007054334">
      <w:bodyDiv w:val="1"/>
      <w:marLeft w:val="0"/>
      <w:marRight w:val="0"/>
      <w:marTop w:val="0"/>
      <w:marBottom w:val="0"/>
      <w:divBdr>
        <w:top w:val="none" w:sz="0" w:space="0" w:color="auto"/>
        <w:left w:val="none" w:sz="0" w:space="0" w:color="auto"/>
        <w:bottom w:val="none" w:sz="0" w:space="0" w:color="auto"/>
        <w:right w:val="none" w:sz="0" w:space="0" w:color="auto"/>
      </w:divBdr>
    </w:div>
    <w:div w:id="1009212367">
      <w:bodyDiv w:val="1"/>
      <w:marLeft w:val="0"/>
      <w:marRight w:val="0"/>
      <w:marTop w:val="0"/>
      <w:marBottom w:val="0"/>
      <w:divBdr>
        <w:top w:val="none" w:sz="0" w:space="0" w:color="auto"/>
        <w:left w:val="none" w:sz="0" w:space="0" w:color="auto"/>
        <w:bottom w:val="none" w:sz="0" w:space="0" w:color="auto"/>
        <w:right w:val="none" w:sz="0" w:space="0" w:color="auto"/>
      </w:divBdr>
    </w:div>
    <w:div w:id="101399888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61245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1860740">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67711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727249">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738658">
      <w:bodyDiv w:val="1"/>
      <w:marLeft w:val="0"/>
      <w:marRight w:val="0"/>
      <w:marTop w:val="0"/>
      <w:marBottom w:val="0"/>
      <w:divBdr>
        <w:top w:val="none" w:sz="0" w:space="0" w:color="auto"/>
        <w:left w:val="none" w:sz="0" w:space="0" w:color="auto"/>
        <w:bottom w:val="none" w:sz="0" w:space="0" w:color="auto"/>
        <w:right w:val="none" w:sz="0" w:space="0" w:color="auto"/>
      </w:divBdr>
    </w:div>
    <w:div w:id="1041396597">
      <w:bodyDiv w:val="1"/>
      <w:marLeft w:val="0"/>
      <w:marRight w:val="0"/>
      <w:marTop w:val="0"/>
      <w:marBottom w:val="0"/>
      <w:divBdr>
        <w:top w:val="none" w:sz="0" w:space="0" w:color="auto"/>
        <w:left w:val="none" w:sz="0" w:space="0" w:color="auto"/>
        <w:bottom w:val="none" w:sz="0" w:space="0" w:color="auto"/>
        <w:right w:val="none" w:sz="0" w:space="0" w:color="auto"/>
      </w:divBdr>
    </w:div>
    <w:div w:id="1041592291">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9857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990372">
      <w:bodyDiv w:val="1"/>
      <w:marLeft w:val="0"/>
      <w:marRight w:val="0"/>
      <w:marTop w:val="0"/>
      <w:marBottom w:val="0"/>
      <w:divBdr>
        <w:top w:val="none" w:sz="0" w:space="0" w:color="auto"/>
        <w:left w:val="none" w:sz="0" w:space="0" w:color="auto"/>
        <w:bottom w:val="none" w:sz="0" w:space="0" w:color="auto"/>
        <w:right w:val="none" w:sz="0" w:space="0" w:color="auto"/>
      </w:divBdr>
    </w:div>
    <w:div w:id="1048838347">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796898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5108992">
      <w:bodyDiv w:val="1"/>
      <w:marLeft w:val="0"/>
      <w:marRight w:val="0"/>
      <w:marTop w:val="0"/>
      <w:marBottom w:val="0"/>
      <w:divBdr>
        <w:top w:val="none" w:sz="0" w:space="0" w:color="auto"/>
        <w:left w:val="none" w:sz="0" w:space="0" w:color="auto"/>
        <w:bottom w:val="none" w:sz="0" w:space="0" w:color="auto"/>
        <w:right w:val="none" w:sz="0" w:space="0" w:color="auto"/>
      </w:divBdr>
    </w:div>
    <w:div w:id="1065227078">
      <w:bodyDiv w:val="1"/>
      <w:marLeft w:val="0"/>
      <w:marRight w:val="0"/>
      <w:marTop w:val="0"/>
      <w:marBottom w:val="0"/>
      <w:divBdr>
        <w:top w:val="none" w:sz="0" w:space="0" w:color="auto"/>
        <w:left w:val="none" w:sz="0" w:space="0" w:color="auto"/>
        <w:bottom w:val="none" w:sz="0" w:space="0" w:color="auto"/>
        <w:right w:val="none" w:sz="0" w:space="0" w:color="auto"/>
      </w:divBdr>
    </w:div>
    <w:div w:id="106549641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628570">
      <w:bodyDiv w:val="1"/>
      <w:marLeft w:val="0"/>
      <w:marRight w:val="0"/>
      <w:marTop w:val="0"/>
      <w:marBottom w:val="0"/>
      <w:divBdr>
        <w:top w:val="none" w:sz="0" w:space="0" w:color="auto"/>
        <w:left w:val="none" w:sz="0" w:space="0" w:color="auto"/>
        <w:bottom w:val="none" w:sz="0" w:space="0" w:color="auto"/>
        <w:right w:val="none" w:sz="0" w:space="0" w:color="auto"/>
      </w:divBdr>
    </w:div>
    <w:div w:id="1085611674">
      <w:bodyDiv w:val="1"/>
      <w:marLeft w:val="0"/>
      <w:marRight w:val="0"/>
      <w:marTop w:val="0"/>
      <w:marBottom w:val="0"/>
      <w:divBdr>
        <w:top w:val="none" w:sz="0" w:space="0" w:color="auto"/>
        <w:left w:val="none" w:sz="0" w:space="0" w:color="auto"/>
        <w:bottom w:val="none" w:sz="0" w:space="0" w:color="auto"/>
        <w:right w:val="none" w:sz="0" w:space="0" w:color="auto"/>
      </w:divBdr>
    </w:div>
    <w:div w:id="1089160598">
      <w:bodyDiv w:val="1"/>
      <w:marLeft w:val="0"/>
      <w:marRight w:val="0"/>
      <w:marTop w:val="0"/>
      <w:marBottom w:val="0"/>
      <w:divBdr>
        <w:top w:val="none" w:sz="0" w:space="0" w:color="auto"/>
        <w:left w:val="none" w:sz="0" w:space="0" w:color="auto"/>
        <w:bottom w:val="none" w:sz="0" w:space="0" w:color="auto"/>
        <w:right w:val="none" w:sz="0" w:space="0" w:color="auto"/>
      </w:divBdr>
      <w:divsChild>
        <w:div w:id="984359153">
          <w:marLeft w:val="360"/>
          <w:marRight w:val="0"/>
          <w:marTop w:val="200"/>
          <w:marBottom w:val="0"/>
          <w:divBdr>
            <w:top w:val="none" w:sz="0" w:space="0" w:color="auto"/>
            <w:left w:val="none" w:sz="0" w:space="0" w:color="auto"/>
            <w:bottom w:val="none" w:sz="0" w:space="0" w:color="auto"/>
            <w:right w:val="none" w:sz="0" w:space="0" w:color="auto"/>
          </w:divBdr>
        </w:div>
      </w:divsChild>
    </w:div>
    <w:div w:id="1095248079">
      <w:bodyDiv w:val="1"/>
      <w:marLeft w:val="0"/>
      <w:marRight w:val="0"/>
      <w:marTop w:val="0"/>
      <w:marBottom w:val="0"/>
      <w:divBdr>
        <w:top w:val="none" w:sz="0" w:space="0" w:color="auto"/>
        <w:left w:val="none" w:sz="0" w:space="0" w:color="auto"/>
        <w:bottom w:val="none" w:sz="0" w:space="0" w:color="auto"/>
        <w:right w:val="none" w:sz="0" w:space="0" w:color="auto"/>
      </w:divBdr>
    </w:div>
    <w:div w:id="1095251673">
      <w:bodyDiv w:val="1"/>
      <w:marLeft w:val="0"/>
      <w:marRight w:val="0"/>
      <w:marTop w:val="0"/>
      <w:marBottom w:val="0"/>
      <w:divBdr>
        <w:top w:val="none" w:sz="0" w:space="0" w:color="auto"/>
        <w:left w:val="none" w:sz="0" w:space="0" w:color="auto"/>
        <w:bottom w:val="none" w:sz="0" w:space="0" w:color="auto"/>
        <w:right w:val="none" w:sz="0" w:space="0" w:color="auto"/>
      </w:divBdr>
    </w:div>
    <w:div w:id="1103307143">
      <w:bodyDiv w:val="1"/>
      <w:marLeft w:val="0"/>
      <w:marRight w:val="0"/>
      <w:marTop w:val="0"/>
      <w:marBottom w:val="0"/>
      <w:divBdr>
        <w:top w:val="none" w:sz="0" w:space="0" w:color="auto"/>
        <w:left w:val="none" w:sz="0" w:space="0" w:color="auto"/>
        <w:bottom w:val="none" w:sz="0" w:space="0" w:color="auto"/>
        <w:right w:val="none" w:sz="0" w:space="0" w:color="auto"/>
      </w:divBdr>
    </w:div>
    <w:div w:id="1103450569">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5072999">
      <w:bodyDiv w:val="1"/>
      <w:marLeft w:val="0"/>
      <w:marRight w:val="0"/>
      <w:marTop w:val="0"/>
      <w:marBottom w:val="0"/>
      <w:divBdr>
        <w:top w:val="none" w:sz="0" w:space="0" w:color="auto"/>
        <w:left w:val="none" w:sz="0" w:space="0" w:color="auto"/>
        <w:bottom w:val="none" w:sz="0" w:space="0" w:color="auto"/>
        <w:right w:val="none" w:sz="0" w:space="0" w:color="auto"/>
      </w:divBdr>
    </w:div>
    <w:div w:id="11052273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6727702">
      <w:bodyDiv w:val="1"/>
      <w:marLeft w:val="0"/>
      <w:marRight w:val="0"/>
      <w:marTop w:val="0"/>
      <w:marBottom w:val="0"/>
      <w:divBdr>
        <w:top w:val="none" w:sz="0" w:space="0" w:color="auto"/>
        <w:left w:val="none" w:sz="0" w:space="0" w:color="auto"/>
        <w:bottom w:val="none" w:sz="0" w:space="0" w:color="auto"/>
        <w:right w:val="none" w:sz="0" w:space="0" w:color="auto"/>
      </w:divBdr>
    </w:div>
    <w:div w:id="1107239430">
      <w:bodyDiv w:val="1"/>
      <w:marLeft w:val="0"/>
      <w:marRight w:val="0"/>
      <w:marTop w:val="0"/>
      <w:marBottom w:val="0"/>
      <w:divBdr>
        <w:top w:val="none" w:sz="0" w:space="0" w:color="auto"/>
        <w:left w:val="none" w:sz="0" w:space="0" w:color="auto"/>
        <w:bottom w:val="none" w:sz="0" w:space="0" w:color="auto"/>
        <w:right w:val="none" w:sz="0" w:space="0" w:color="auto"/>
      </w:divBdr>
    </w:div>
    <w:div w:id="1107500370">
      <w:bodyDiv w:val="1"/>
      <w:marLeft w:val="0"/>
      <w:marRight w:val="0"/>
      <w:marTop w:val="0"/>
      <w:marBottom w:val="0"/>
      <w:divBdr>
        <w:top w:val="none" w:sz="0" w:space="0" w:color="auto"/>
        <w:left w:val="none" w:sz="0" w:space="0" w:color="auto"/>
        <w:bottom w:val="none" w:sz="0" w:space="0" w:color="auto"/>
        <w:right w:val="none" w:sz="0" w:space="0" w:color="auto"/>
      </w:divBdr>
    </w:div>
    <w:div w:id="1109617181">
      <w:bodyDiv w:val="1"/>
      <w:marLeft w:val="0"/>
      <w:marRight w:val="0"/>
      <w:marTop w:val="0"/>
      <w:marBottom w:val="0"/>
      <w:divBdr>
        <w:top w:val="none" w:sz="0" w:space="0" w:color="auto"/>
        <w:left w:val="none" w:sz="0" w:space="0" w:color="auto"/>
        <w:bottom w:val="none" w:sz="0" w:space="0" w:color="auto"/>
        <w:right w:val="none" w:sz="0" w:space="0" w:color="auto"/>
      </w:divBdr>
    </w:div>
    <w:div w:id="1109668286">
      <w:bodyDiv w:val="1"/>
      <w:marLeft w:val="0"/>
      <w:marRight w:val="0"/>
      <w:marTop w:val="0"/>
      <w:marBottom w:val="0"/>
      <w:divBdr>
        <w:top w:val="none" w:sz="0" w:space="0" w:color="auto"/>
        <w:left w:val="none" w:sz="0" w:space="0" w:color="auto"/>
        <w:bottom w:val="none" w:sz="0" w:space="0" w:color="auto"/>
        <w:right w:val="none" w:sz="0" w:space="0" w:color="auto"/>
      </w:divBdr>
    </w:div>
    <w:div w:id="1110933345">
      <w:bodyDiv w:val="1"/>
      <w:marLeft w:val="0"/>
      <w:marRight w:val="0"/>
      <w:marTop w:val="0"/>
      <w:marBottom w:val="0"/>
      <w:divBdr>
        <w:top w:val="none" w:sz="0" w:space="0" w:color="auto"/>
        <w:left w:val="none" w:sz="0" w:space="0" w:color="auto"/>
        <w:bottom w:val="none" w:sz="0" w:space="0" w:color="auto"/>
        <w:right w:val="none" w:sz="0" w:space="0" w:color="auto"/>
      </w:divBdr>
    </w:div>
    <w:div w:id="1111777050">
      <w:bodyDiv w:val="1"/>
      <w:marLeft w:val="0"/>
      <w:marRight w:val="0"/>
      <w:marTop w:val="0"/>
      <w:marBottom w:val="0"/>
      <w:divBdr>
        <w:top w:val="none" w:sz="0" w:space="0" w:color="auto"/>
        <w:left w:val="none" w:sz="0" w:space="0" w:color="auto"/>
        <w:bottom w:val="none" w:sz="0" w:space="0" w:color="auto"/>
        <w:right w:val="none" w:sz="0" w:space="0" w:color="auto"/>
      </w:divBdr>
    </w:div>
    <w:div w:id="1115948096">
      <w:bodyDiv w:val="1"/>
      <w:marLeft w:val="0"/>
      <w:marRight w:val="0"/>
      <w:marTop w:val="0"/>
      <w:marBottom w:val="0"/>
      <w:divBdr>
        <w:top w:val="none" w:sz="0" w:space="0" w:color="auto"/>
        <w:left w:val="none" w:sz="0" w:space="0" w:color="auto"/>
        <w:bottom w:val="none" w:sz="0" w:space="0" w:color="auto"/>
        <w:right w:val="none" w:sz="0" w:space="0" w:color="auto"/>
      </w:divBdr>
    </w:div>
    <w:div w:id="1116371137">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53833">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1312602">
      <w:bodyDiv w:val="1"/>
      <w:marLeft w:val="0"/>
      <w:marRight w:val="0"/>
      <w:marTop w:val="0"/>
      <w:marBottom w:val="0"/>
      <w:divBdr>
        <w:top w:val="none" w:sz="0" w:space="0" w:color="auto"/>
        <w:left w:val="none" w:sz="0" w:space="0" w:color="auto"/>
        <w:bottom w:val="none" w:sz="0" w:space="0" w:color="auto"/>
        <w:right w:val="none" w:sz="0" w:space="0" w:color="auto"/>
      </w:divBdr>
    </w:div>
    <w:div w:id="1144153409">
      <w:bodyDiv w:val="1"/>
      <w:marLeft w:val="0"/>
      <w:marRight w:val="0"/>
      <w:marTop w:val="0"/>
      <w:marBottom w:val="0"/>
      <w:divBdr>
        <w:top w:val="none" w:sz="0" w:space="0" w:color="auto"/>
        <w:left w:val="none" w:sz="0" w:space="0" w:color="auto"/>
        <w:bottom w:val="none" w:sz="0" w:space="0" w:color="auto"/>
        <w:right w:val="none" w:sz="0" w:space="0" w:color="auto"/>
      </w:divBdr>
    </w:div>
    <w:div w:id="1145005186">
      <w:bodyDiv w:val="1"/>
      <w:marLeft w:val="0"/>
      <w:marRight w:val="0"/>
      <w:marTop w:val="0"/>
      <w:marBottom w:val="0"/>
      <w:divBdr>
        <w:top w:val="none" w:sz="0" w:space="0" w:color="auto"/>
        <w:left w:val="none" w:sz="0" w:space="0" w:color="auto"/>
        <w:bottom w:val="none" w:sz="0" w:space="0" w:color="auto"/>
        <w:right w:val="none" w:sz="0" w:space="0" w:color="auto"/>
      </w:divBdr>
    </w:div>
    <w:div w:id="1145586054">
      <w:bodyDiv w:val="1"/>
      <w:marLeft w:val="0"/>
      <w:marRight w:val="0"/>
      <w:marTop w:val="0"/>
      <w:marBottom w:val="0"/>
      <w:divBdr>
        <w:top w:val="none" w:sz="0" w:space="0" w:color="auto"/>
        <w:left w:val="none" w:sz="0" w:space="0" w:color="auto"/>
        <w:bottom w:val="none" w:sz="0" w:space="0" w:color="auto"/>
        <w:right w:val="none" w:sz="0" w:space="0" w:color="auto"/>
      </w:divBdr>
    </w:div>
    <w:div w:id="1146244623">
      <w:bodyDiv w:val="1"/>
      <w:marLeft w:val="0"/>
      <w:marRight w:val="0"/>
      <w:marTop w:val="0"/>
      <w:marBottom w:val="0"/>
      <w:divBdr>
        <w:top w:val="none" w:sz="0" w:space="0" w:color="auto"/>
        <w:left w:val="none" w:sz="0" w:space="0" w:color="auto"/>
        <w:bottom w:val="none" w:sz="0" w:space="0" w:color="auto"/>
        <w:right w:val="none" w:sz="0" w:space="0" w:color="auto"/>
      </w:divBdr>
    </w:div>
    <w:div w:id="1151216012">
      <w:bodyDiv w:val="1"/>
      <w:marLeft w:val="0"/>
      <w:marRight w:val="0"/>
      <w:marTop w:val="0"/>
      <w:marBottom w:val="0"/>
      <w:divBdr>
        <w:top w:val="none" w:sz="0" w:space="0" w:color="auto"/>
        <w:left w:val="none" w:sz="0" w:space="0" w:color="auto"/>
        <w:bottom w:val="none" w:sz="0" w:space="0" w:color="auto"/>
        <w:right w:val="none" w:sz="0" w:space="0" w:color="auto"/>
      </w:divBdr>
    </w:div>
    <w:div w:id="1151991966">
      <w:bodyDiv w:val="1"/>
      <w:marLeft w:val="0"/>
      <w:marRight w:val="0"/>
      <w:marTop w:val="0"/>
      <w:marBottom w:val="0"/>
      <w:divBdr>
        <w:top w:val="none" w:sz="0" w:space="0" w:color="auto"/>
        <w:left w:val="none" w:sz="0" w:space="0" w:color="auto"/>
        <w:bottom w:val="none" w:sz="0" w:space="0" w:color="auto"/>
        <w:right w:val="none" w:sz="0" w:space="0" w:color="auto"/>
      </w:divBdr>
    </w:div>
    <w:div w:id="1155754616">
      <w:bodyDiv w:val="1"/>
      <w:marLeft w:val="0"/>
      <w:marRight w:val="0"/>
      <w:marTop w:val="0"/>
      <w:marBottom w:val="0"/>
      <w:divBdr>
        <w:top w:val="none" w:sz="0" w:space="0" w:color="auto"/>
        <w:left w:val="none" w:sz="0" w:space="0" w:color="auto"/>
        <w:bottom w:val="none" w:sz="0" w:space="0" w:color="auto"/>
        <w:right w:val="none" w:sz="0" w:space="0" w:color="auto"/>
      </w:divBdr>
    </w:div>
    <w:div w:id="1158810824">
      <w:bodyDiv w:val="1"/>
      <w:marLeft w:val="0"/>
      <w:marRight w:val="0"/>
      <w:marTop w:val="0"/>
      <w:marBottom w:val="0"/>
      <w:divBdr>
        <w:top w:val="none" w:sz="0" w:space="0" w:color="auto"/>
        <w:left w:val="none" w:sz="0" w:space="0" w:color="auto"/>
        <w:bottom w:val="none" w:sz="0" w:space="0" w:color="auto"/>
        <w:right w:val="none" w:sz="0" w:space="0" w:color="auto"/>
      </w:divBdr>
    </w:div>
    <w:div w:id="1161852532">
      <w:bodyDiv w:val="1"/>
      <w:marLeft w:val="0"/>
      <w:marRight w:val="0"/>
      <w:marTop w:val="0"/>
      <w:marBottom w:val="0"/>
      <w:divBdr>
        <w:top w:val="none" w:sz="0" w:space="0" w:color="auto"/>
        <w:left w:val="none" w:sz="0" w:space="0" w:color="auto"/>
        <w:bottom w:val="none" w:sz="0" w:space="0" w:color="auto"/>
        <w:right w:val="none" w:sz="0" w:space="0" w:color="auto"/>
      </w:divBdr>
    </w:div>
    <w:div w:id="1162502486">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69448520">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220394">
      <w:bodyDiv w:val="1"/>
      <w:marLeft w:val="0"/>
      <w:marRight w:val="0"/>
      <w:marTop w:val="0"/>
      <w:marBottom w:val="0"/>
      <w:divBdr>
        <w:top w:val="none" w:sz="0" w:space="0" w:color="auto"/>
        <w:left w:val="none" w:sz="0" w:space="0" w:color="auto"/>
        <w:bottom w:val="none" w:sz="0" w:space="0" w:color="auto"/>
        <w:right w:val="none" w:sz="0" w:space="0" w:color="auto"/>
      </w:divBdr>
    </w:div>
    <w:div w:id="1175150211">
      <w:bodyDiv w:val="1"/>
      <w:marLeft w:val="0"/>
      <w:marRight w:val="0"/>
      <w:marTop w:val="0"/>
      <w:marBottom w:val="0"/>
      <w:divBdr>
        <w:top w:val="none" w:sz="0" w:space="0" w:color="auto"/>
        <w:left w:val="none" w:sz="0" w:space="0" w:color="auto"/>
        <w:bottom w:val="none" w:sz="0" w:space="0" w:color="auto"/>
        <w:right w:val="none" w:sz="0" w:space="0" w:color="auto"/>
      </w:divBdr>
    </w:div>
    <w:div w:id="1178426650">
      <w:bodyDiv w:val="1"/>
      <w:marLeft w:val="0"/>
      <w:marRight w:val="0"/>
      <w:marTop w:val="0"/>
      <w:marBottom w:val="0"/>
      <w:divBdr>
        <w:top w:val="none" w:sz="0" w:space="0" w:color="auto"/>
        <w:left w:val="none" w:sz="0" w:space="0" w:color="auto"/>
        <w:bottom w:val="none" w:sz="0" w:space="0" w:color="auto"/>
        <w:right w:val="none" w:sz="0" w:space="0" w:color="auto"/>
      </w:divBdr>
    </w:div>
    <w:div w:id="1179076691">
      <w:bodyDiv w:val="1"/>
      <w:marLeft w:val="0"/>
      <w:marRight w:val="0"/>
      <w:marTop w:val="0"/>
      <w:marBottom w:val="0"/>
      <w:divBdr>
        <w:top w:val="none" w:sz="0" w:space="0" w:color="auto"/>
        <w:left w:val="none" w:sz="0" w:space="0" w:color="auto"/>
        <w:bottom w:val="none" w:sz="0" w:space="0" w:color="auto"/>
        <w:right w:val="none" w:sz="0" w:space="0" w:color="auto"/>
      </w:divBdr>
    </w:div>
    <w:div w:id="1179387590">
      <w:bodyDiv w:val="1"/>
      <w:marLeft w:val="0"/>
      <w:marRight w:val="0"/>
      <w:marTop w:val="0"/>
      <w:marBottom w:val="0"/>
      <w:divBdr>
        <w:top w:val="none" w:sz="0" w:space="0" w:color="auto"/>
        <w:left w:val="none" w:sz="0" w:space="0" w:color="auto"/>
        <w:bottom w:val="none" w:sz="0" w:space="0" w:color="auto"/>
        <w:right w:val="none" w:sz="0" w:space="0" w:color="auto"/>
      </w:divBdr>
    </w:div>
    <w:div w:id="1180579327">
      <w:bodyDiv w:val="1"/>
      <w:marLeft w:val="0"/>
      <w:marRight w:val="0"/>
      <w:marTop w:val="0"/>
      <w:marBottom w:val="0"/>
      <w:divBdr>
        <w:top w:val="none" w:sz="0" w:space="0" w:color="auto"/>
        <w:left w:val="none" w:sz="0" w:space="0" w:color="auto"/>
        <w:bottom w:val="none" w:sz="0" w:space="0" w:color="auto"/>
        <w:right w:val="none" w:sz="0" w:space="0" w:color="auto"/>
      </w:divBdr>
    </w:div>
    <w:div w:id="1187451733">
      <w:bodyDiv w:val="1"/>
      <w:marLeft w:val="0"/>
      <w:marRight w:val="0"/>
      <w:marTop w:val="0"/>
      <w:marBottom w:val="0"/>
      <w:divBdr>
        <w:top w:val="none" w:sz="0" w:space="0" w:color="auto"/>
        <w:left w:val="none" w:sz="0" w:space="0" w:color="auto"/>
        <w:bottom w:val="none" w:sz="0" w:space="0" w:color="auto"/>
        <w:right w:val="none" w:sz="0" w:space="0" w:color="auto"/>
      </w:divBdr>
    </w:div>
    <w:div w:id="1188060236">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194079107">
      <w:bodyDiv w:val="1"/>
      <w:marLeft w:val="0"/>
      <w:marRight w:val="0"/>
      <w:marTop w:val="0"/>
      <w:marBottom w:val="0"/>
      <w:divBdr>
        <w:top w:val="none" w:sz="0" w:space="0" w:color="auto"/>
        <w:left w:val="none" w:sz="0" w:space="0" w:color="auto"/>
        <w:bottom w:val="none" w:sz="0" w:space="0" w:color="auto"/>
        <w:right w:val="none" w:sz="0" w:space="0" w:color="auto"/>
      </w:divBdr>
    </w:div>
    <w:div w:id="1198398668">
      <w:bodyDiv w:val="1"/>
      <w:marLeft w:val="0"/>
      <w:marRight w:val="0"/>
      <w:marTop w:val="0"/>
      <w:marBottom w:val="0"/>
      <w:divBdr>
        <w:top w:val="none" w:sz="0" w:space="0" w:color="auto"/>
        <w:left w:val="none" w:sz="0" w:space="0" w:color="auto"/>
        <w:bottom w:val="none" w:sz="0" w:space="0" w:color="auto"/>
        <w:right w:val="none" w:sz="0" w:space="0" w:color="auto"/>
      </w:divBdr>
    </w:div>
    <w:div w:id="1199127532">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8758158">
      <w:bodyDiv w:val="1"/>
      <w:marLeft w:val="0"/>
      <w:marRight w:val="0"/>
      <w:marTop w:val="0"/>
      <w:marBottom w:val="0"/>
      <w:divBdr>
        <w:top w:val="none" w:sz="0" w:space="0" w:color="auto"/>
        <w:left w:val="none" w:sz="0" w:space="0" w:color="auto"/>
        <w:bottom w:val="none" w:sz="0" w:space="0" w:color="auto"/>
        <w:right w:val="none" w:sz="0" w:space="0" w:color="auto"/>
      </w:divBdr>
    </w:div>
    <w:div w:id="1209797621">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958229">
      <w:bodyDiv w:val="1"/>
      <w:marLeft w:val="0"/>
      <w:marRight w:val="0"/>
      <w:marTop w:val="0"/>
      <w:marBottom w:val="0"/>
      <w:divBdr>
        <w:top w:val="none" w:sz="0" w:space="0" w:color="auto"/>
        <w:left w:val="none" w:sz="0" w:space="0" w:color="auto"/>
        <w:bottom w:val="none" w:sz="0" w:space="0" w:color="auto"/>
        <w:right w:val="none" w:sz="0" w:space="0" w:color="auto"/>
      </w:divBdr>
    </w:div>
    <w:div w:id="1213350256">
      <w:bodyDiv w:val="1"/>
      <w:marLeft w:val="0"/>
      <w:marRight w:val="0"/>
      <w:marTop w:val="0"/>
      <w:marBottom w:val="0"/>
      <w:divBdr>
        <w:top w:val="none" w:sz="0" w:space="0" w:color="auto"/>
        <w:left w:val="none" w:sz="0" w:space="0" w:color="auto"/>
        <w:bottom w:val="none" w:sz="0" w:space="0" w:color="auto"/>
        <w:right w:val="none" w:sz="0" w:space="0" w:color="auto"/>
      </w:divBdr>
    </w:div>
    <w:div w:id="1220435320">
      <w:bodyDiv w:val="1"/>
      <w:marLeft w:val="0"/>
      <w:marRight w:val="0"/>
      <w:marTop w:val="0"/>
      <w:marBottom w:val="0"/>
      <w:divBdr>
        <w:top w:val="none" w:sz="0" w:space="0" w:color="auto"/>
        <w:left w:val="none" w:sz="0" w:space="0" w:color="auto"/>
        <w:bottom w:val="none" w:sz="0" w:space="0" w:color="auto"/>
        <w:right w:val="none" w:sz="0" w:space="0" w:color="auto"/>
      </w:divBdr>
    </w:div>
    <w:div w:id="1226186795">
      <w:bodyDiv w:val="1"/>
      <w:marLeft w:val="0"/>
      <w:marRight w:val="0"/>
      <w:marTop w:val="0"/>
      <w:marBottom w:val="0"/>
      <w:divBdr>
        <w:top w:val="none" w:sz="0" w:space="0" w:color="auto"/>
        <w:left w:val="none" w:sz="0" w:space="0" w:color="auto"/>
        <w:bottom w:val="none" w:sz="0" w:space="0" w:color="auto"/>
        <w:right w:val="none" w:sz="0" w:space="0" w:color="auto"/>
      </w:divBdr>
    </w:div>
    <w:div w:id="122625953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6428594">
      <w:bodyDiv w:val="1"/>
      <w:marLeft w:val="0"/>
      <w:marRight w:val="0"/>
      <w:marTop w:val="0"/>
      <w:marBottom w:val="0"/>
      <w:divBdr>
        <w:top w:val="none" w:sz="0" w:space="0" w:color="auto"/>
        <w:left w:val="none" w:sz="0" w:space="0" w:color="auto"/>
        <w:bottom w:val="none" w:sz="0" w:space="0" w:color="auto"/>
        <w:right w:val="none" w:sz="0" w:space="0" w:color="auto"/>
      </w:divBdr>
    </w:div>
    <w:div w:id="1239705350">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00395">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9268478">
      <w:bodyDiv w:val="1"/>
      <w:marLeft w:val="0"/>
      <w:marRight w:val="0"/>
      <w:marTop w:val="0"/>
      <w:marBottom w:val="0"/>
      <w:divBdr>
        <w:top w:val="none" w:sz="0" w:space="0" w:color="auto"/>
        <w:left w:val="none" w:sz="0" w:space="0" w:color="auto"/>
        <w:bottom w:val="none" w:sz="0" w:space="0" w:color="auto"/>
        <w:right w:val="none" w:sz="0" w:space="0" w:color="auto"/>
      </w:divBdr>
    </w:div>
    <w:div w:id="1252008204">
      <w:bodyDiv w:val="1"/>
      <w:marLeft w:val="0"/>
      <w:marRight w:val="0"/>
      <w:marTop w:val="0"/>
      <w:marBottom w:val="0"/>
      <w:divBdr>
        <w:top w:val="none" w:sz="0" w:space="0" w:color="auto"/>
        <w:left w:val="none" w:sz="0" w:space="0" w:color="auto"/>
        <w:bottom w:val="none" w:sz="0" w:space="0" w:color="auto"/>
        <w:right w:val="none" w:sz="0" w:space="0" w:color="auto"/>
      </w:divBdr>
    </w:div>
    <w:div w:id="1253319789">
      <w:bodyDiv w:val="1"/>
      <w:marLeft w:val="0"/>
      <w:marRight w:val="0"/>
      <w:marTop w:val="0"/>
      <w:marBottom w:val="0"/>
      <w:divBdr>
        <w:top w:val="none" w:sz="0" w:space="0" w:color="auto"/>
        <w:left w:val="none" w:sz="0" w:space="0" w:color="auto"/>
        <w:bottom w:val="none" w:sz="0" w:space="0" w:color="auto"/>
        <w:right w:val="none" w:sz="0" w:space="0" w:color="auto"/>
      </w:divBdr>
    </w:div>
    <w:div w:id="1256012921">
      <w:bodyDiv w:val="1"/>
      <w:marLeft w:val="0"/>
      <w:marRight w:val="0"/>
      <w:marTop w:val="0"/>
      <w:marBottom w:val="0"/>
      <w:divBdr>
        <w:top w:val="none" w:sz="0" w:space="0" w:color="auto"/>
        <w:left w:val="none" w:sz="0" w:space="0" w:color="auto"/>
        <w:bottom w:val="none" w:sz="0" w:space="0" w:color="auto"/>
        <w:right w:val="none" w:sz="0" w:space="0" w:color="auto"/>
      </w:divBdr>
    </w:div>
    <w:div w:id="1256328730">
      <w:bodyDiv w:val="1"/>
      <w:marLeft w:val="0"/>
      <w:marRight w:val="0"/>
      <w:marTop w:val="0"/>
      <w:marBottom w:val="0"/>
      <w:divBdr>
        <w:top w:val="none" w:sz="0" w:space="0" w:color="auto"/>
        <w:left w:val="none" w:sz="0" w:space="0" w:color="auto"/>
        <w:bottom w:val="none" w:sz="0" w:space="0" w:color="auto"/>
        <w:right w:val="none" w:sz="0" w:space="0" w:color="auto"/>
      </w:divBdr>
    </w:div>
    <w:div w:id="1259756038">
      <w:bodyDiv w:val="1"/>
      <w:marLeft w:val="0"/>
      <w:marRight w:val="0"/>
      <w:marTop w:val="0"/>
      <w:marBottom w:val="0"/>
      <w:divBdr>
        <w:top w:val="none" w:sz="0" w:space="0" w:color="auto"/>
        <w:left w:val="none" w:sz="0" w:space="0" w:color="auto"/>
        <w:bottom w:val="none" w:sz="0" w:space="0" w:color="auto"/>
        <w:right w:val="none" w:sz="0" w:space="0" w:color="auto"/>
      </w:divBdr>
    </w:div>
    <w:div w:id="1269006237">
      <w:bodyDiv w:val="1"/>
      <w:marLeft w:val="0"/>
      <w:marRight w:val="0"/>
      <w:marTop w:val="0"/>
      <w:marBottom w:val="0"/>
      <w:divBdr>
        <w:top w:val="none" w:sz="0" w:space="0" w:color="auto"/>
        <w:left w:val="none" w:sz="0" w:space="0" w:color="auto"/>
        <w:bottom w:val="none" w:sz="0" w:space="0" w:color="auto"/>
        <w:right w:val="none" w:sz="0" w:space="0" w:color="auto"/>
      </w:divBdr>
    </w:div>
    <w:div w:id="1273323321">
      <w:bodyDiv w:val="1"/>
      <w:marLeft w:val="0"/>
      <w:marRight w:val="0"/>
      <w:marTop w:val="0"/>
      <w:marBottom w:val="0"/>
      <w:divBdr>
        <w:top w:val="none" w:sz="0" w:space="0" w:color="auto"/>
        <w:left w:val="none" w:sz="0" w:space="0" w:color="auto"/>
        <w:bottom w:val="none" w:sz="0" w:space="0" w:color="auto"/>
        <w:right w:val="none" w:sz="0" w:space="0" w:color="auto"/>
      </w:divBdr>
    </w:div>
    <w:div w:id="1274677611">
      <w:bodyDiv w:val="1"/>
      <w:marLeft w:val="0"/>
      <w:marRight w:val="0"/>
      <w:marTop w:val="0"/>
      <w:marBottom w:val="0"/>
      <w:divBdr>
        <w:top w:val="none" w:sz="0" w:space="0" w:color="auto"/>
        <w:left w:val="none" w:sz="0" w:space="0" w:color="auto"/>
        <w:bottom w:val="none" w:sz="0" w:space="0" w:color="auto"/>
        <w:right w:val="none" w:sz="0" w:space="0" w:color="auto"/>
      </w:divBdr>
    </w:div>
    <w:div w:id="1275408088">
      <w:bodyDiv w:val="1"/>
      <w:marLeft w:val="0"/>
      <w:marRight w:val="0"/>
      <w:marTop w:val="0"/>
      <w:marBottom w:val="0"/>
      <w:divBdr>
        <w:top w:val="none" w:sz="0" w:space="0" w:color="auto"/>
        <w:left w:val="none" w:sz="0" w:space="0" w:color="auto"/>
        <w:bottom w:val="none" w:sz="0" w:space="0" w:color="auto"/>
        <w:right w:val="none" w:sz="0" w:space="0" w:color="auto"/>
      </w:divBdr>
    </w:div>
    <w:div w:id="1276326686">
      <w:bodyDiv w:val="1"/>
      <w:marLeft w:val="0"/>
      <w:marRight w:val="0"/>
      <w:marTop w:val="0"/>
      <w:marBottom w:val="0"/>
      <w:divBdr>
        <w:top w:val="none" w:sz="0" w:space="0" w:color="auto"/>
        <w:left w:val="none" w:sz="0" w:space="0" w:color="auto"/>
        <w:bottom w:val="none" w:sz="0" w:space="0" w:color="auto"/>
        <w:right w:val="none" w:sz="0" w:space="0" w:color="auto"/>
      </w:divBdr>
    </w:div>
    <w:div w:id="1277253854">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497783">
      <w:bodyDiv w:val="1"/>
      <w:marLeft w:val="0"/>
      <w:marRight w:val="0"/>
      <w:marTop w:val="0"/>
      <w:marBottom w:val="0"/>
      <w:divBdr>
        <w:top w:val="none" w:sz="0" w:space="0" w:color="auto"/>
        <w:left w:val="none" w:sz="0" w:space="0" w:color="auto"/>
        <w:bottom w:val="none" w:sz="0" w:space="0" w:color="auto"/>
        <w:right w:val="none" w:sz="0" w:space="0" w:color="auto"/>
      </w:divBdr>
    </w:div>
    <w:div w:id="1287127938">
      <w:bodyDiv w:val="1"/>
      <w:marLeft w:val="0"/>
      <w:marRight w:val="0"/>
      <w:marTop w:val="0"/>
      <w:marBottom w:val="0"/>
      <w:divBdr>
        <w:top w:val="none" w:sz="0" w:space="0" w:color="auto"/>
        <w:left w:val="none" w:sz="0" w:space="0" w:color="auto"/>
        <w:bottom w:val="none" w:sz="0" w:space="0" w:color="auto"/>
        <w:right w:val="none" w:sz="0" w:space="0" w:color="auto"/>
      </w:divBdr>
    </w:div>
    <w:div w:id="1297833705">
      <w:bodyDiv w:val="1"/>
      <w:marLeft w:val="0"/>
      <w:marRight w:val="0"/>
      <w:marTop w:val="0"/>
      <w:marBottom w:val="0"/>
      <w:divBdr>
        <w:top w:val="none" w:sz="0" w:space="0" w:color="auto"/>
        <w:left w:val="none" w:sz="0" w:space="0" w:color="auto"/>
        <w:bottom w:val="none" w:sz="0" w:space="0" w:color="auto"/>
        <w:right w:val="none" w:sz="0" w:space="0" w:color="auto"/>
      </w:divBdr>
    </w:div>
    <w:div w:id="1298679664">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8045147">
      <w:bodyDiv w:val="1"/>
      <w:marLeft w:val="0"/>
      <w:marRight w:val="0"/>
      <w:marTop w:val="0"/>
      <w:marBottom w:val="0"/>
      <w:divBdr>
        <w:top w:val="none" w:sz="0" w:space="0" w:color="auto"/>
        <w:left w:val="none" w:sz="0" w:space="0" w:color="auto"/>
        <w:bottom w:val="none" w:sz="0" w:space="0" w:color="auto"/>
        <w:right w:val="none" w:sz="0" w:space="0" w:color="auto"/>
      </w:divBdr>
    </w:div>
    <w:div w:id="1309507503">
      <w:bodyDiv w:val="1"/>
      <w:marLeft w:val="0"/>
      <w:marRight w:val="0"/>
      <w:marTop w:val="0"/>
      <w:marBottom w:val="0"/>
      <w:divBdr>
        <w:top w:val="none" w:sz="0" w:space="0" w:color="auto"/>
        <w:left w:val="none" w:sz="0" w:space="0" w:color="auto"/>
        <w:bottom w:val="none" w:sz="0" w:space="0" w:color="auto"/>
        <w:right w:val="none" w:sz="0" w:space="0" w:color="auto"/>
      </w:divBdr>
    </w:div>
    <w:div w:id="1310555969">
      <w:bodyDiv w:val="1"/>
      <w:marLeft w:val="0"/>
      <w:marRight w:val="0"/>
      <w:marTop w:val="0"/>
      <w:marBottom w:val="0"/>
      <w:divBdr>
        <w:top w:val="none" w:sz="0" w:space="0" w:color="auto"/>
        <w:left w:val="none" w:sz="0" w:space="0" w:color="auto"/>
        <w:bottom w:val="none" w:sz="0" w:space="0" w:color="auto"/>
        <w:right w:val="none" w:sz="0" w:space="0" w:color="auto"/>
      </w:divBdr>
    </w:div>
    <w:div w:id="131263900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869557">
      <w:bodyDiv w:val="1"/>
      <w:marLeft w:val="0"/>
      <w:marRight w:val="0"/>
      <w:marTop w:val="0"/>
      <w:marBottom w:val="0"/>
      <w:divBdr>
        <w:top w:val="none" w:sz="0" w:space="0" w:color="auto"/>
        <w:left w:val="none" w:sz="0" w:space="0" w:color="auto"/>
        <w:bottom w:val="none" w:sz="0" w:space="0" w:color="auto"/>
        <w:right w:val="none" w:sz="0" w:space="0" w:color="auto"/>
      </w:divBdr>
    </w:div>
    <w:div w:id="1313876585">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8723530">
      <w:bodyDiv w:val="1"/>
      <w:marLeft w:val="0"/>
      <w:marRight w:val="0"/>
      <w:marTop w:val="0"/>
      <w:marBottom w:val="0"/>
      <w:divBdr>
        <w:top w:val="none" w:sz="0" w:space="0" w:color="auto"/>
        <w:left w:val="none" w:sz="0" w:space="0" w:color="auto"/>
        <w:bottom w:val="none" w:sz="0" w:space="0" w:color="auto"/>
        <w:right w:val="none" w:sz="0" w:space="0" w:color="auto"/>
      </w:divBdr>
    </w:div>
    <w:div w:id="1319071685">
      <w:bodyDiv w:val="1"/>
      <w:marLeft w:val="0"/>
      <w:marRight w:val="0"/>
      <w:marTop w:val="0"/>
      <w:marBottom w:val="0"/>
      <w:divBdr>
        <w:top w:val="none" w:sz="0" w:space="0" w:color="auto"/>
        <w:left w:val="none" w:sz="0" w:space="0" w:color="auto"/>
        <w:bottom w:val="none" w:sz="0" w:space="0" w:color="auto"/>
        <w:right w:val="none" w:sz="0" w:space="0" w:color="auto"/>
      </w:divBdr>
    </w:div>
    <w:div w:id="1325205435">
      <w:bodyDiv w:val="1"/>
      <w:marLeft w:val="0"/>
      <w:marRight w:val="0"/>
      <w:marTop w:val="0"/>
      <w:marBottom w:val="0"/>
      <w:divBdr>
        <w:top w:val="none" w:sz="0" w:space="0" w:color="auto"/>
        <w:left w:val="none" w:sz="0" w:space="0" w:color="auto"/>
        <w:bottom w:val="none" w:sz="0" w:space="0" w:color="auto"/>
        <w:right w:val="none" w:sz="0" w:space="0" w:color="auto"/>
      </w:divBdr>
    </w:div>
    <w:div w:id="1327513334">
      <w:bodyDiv w:val="1"/>
      <w:marLeft w:val="0"/>
      <w:marRight w:val="0"/>
      <w:marTop w:val="0"/>
      <w:marBottom w:val="0"/>
      <w:divBdr>
        <w:top w:val="none" w:sz="0" w:space="0" w:color="auto"/>
        <w:left w:val="none" w:sz="0" w:space="0" w:color="auto"/>
        <w:bottom w:val="none" w:sz="0" w:space="0" w:color="auto"/>
        <w:right w:val="none" w:sz="0" w:space="0" w:color="auto"/>
      </w:divBdr>
    </w:div>
    <w:div w:id="1329283750">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177750">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340331">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20973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8408775">
      <w:bodyDiv w:val="1"/>
      <w:marLeft w:val="0"/>
      <w:marRight w:val="0"/>
      <w:marTop w:val="0"/>
      <w:marBottom w:val="0"/>
      <w:divBdr>
        <w:top w:val="none" w:sz="0" w:space="0" w:color="auto"/>
        <w:left w:val="none" w:sz="0" w:space="0" w:color="auto"/>
        <w:bottom w:val="none" w:sz="0" w:space="0" w:color="auto"/>
        <w:right w:val="none" w:sz="0" w:space="0" w:color="auto"/>
      </w:divBdr>
    </w:div>
    <w:div w:id="1349915007">
      <w:bodyDiv w:val="1"/>
      <w:marLeft w:val="0"/>
      <w:marRight w:val="0"/>
      <w:marTop w:val="0"/>
      <w:marBottom w:val="0"/>
      <w:divBdr>
        <w:top w:val="none" w:sz="0" w:space="0" w:color="auto"/>
        <w:left w:val="none" w:sz="0" w:space="0" w:color="auto"/>
        <w:bottom w:val="none" w:sz="0" w:space="0" w:color="auto"/>
        <w:right w:val="none" w:sz="0" w:space="0" w:color="auto"/>
      </w:divBdr>
    </w:div>
    <w:div w:id="1352993272">
      <w:bodyDiv w:val="1"/>
      <w:marLeft w:val="0"/>
      <w:marRight w:val="0"/>
      <w:marTop w:val="0"/>
      <w:marBottom w:val="0"/>
      <w:divBdr>
        <w:top w:val="none" w:sz="0" w:space="0" w:color="auto"/>
        <w:left w:val="none" w:sz="0" w:space="0" w:color="auto"/>
        <w:bottom w:val="none" w:sz="0" w:space="0" w:color="auto"/>
        <w:right w:val="none" w:sz="0" w:space="0" w:color="auto"/>
      </w:divBdr>
    </w:div>
    <w:div w:id="1355114890">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420578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864595">
      <w:bodyDiv w:val="1"/>
      <w:marLeft w:val="0"/>
      <w:marRight w:val="0"/>
      <w:marTop w:val="0"/>
      <w:marBottom w:val="0"/>
      <w:divBdr>
        <w:top w:val="none" w:sz="0" w:space="0" w:color="auto"/>
        <w:left w:val="none" w:sz="0" w:space="0" w:color="auto"/>
        <w:bottom w:val="none" w:sz="0" w:space="0" w:color="auto"/>
        <w:right w:val="none" w:sz="0" w:space="0" w:color="auto"/>
      </w:divBdr>
    </w:div>
    <w:div w:id="1366633339">
      <w:bodyDiv w:val="1"/>
      <w:marLeft w:val="0"/>
      <w:marRight w:val="0"/>
      <w:marTop w:val="0"/>
      <w:marBottom w:val="0"/>
      <w:divBdr>
        <w:top w:val="none" w:sz="0" w:space="0" w:color="auto"/>
        <w:left w:val="none" w:sz="0" w:space="0" w:color="auto"/>
        <w:bottom w:val="none" w:sz="0" w:space="0" w:color="auto"/>
        <w:right w:val="none" w:sz="0" w:space="0" w:color="auto"/>
      </w:divBdr>
    </w:div>
    <w:div w:id="1367677814">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23385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897303">
      <w:bodyDiv w:val="1"/>
      <w:marLeft w:val="0"/>
      <w:marRight w:val="0"/>
      <w:marTop w:val="0"/>
      <w:marBottom w:val="0"/>
      <w:divBdr>
        <w:top w:val="none" w:sz="0" w:space="0" w:color="auto"/>
        <w:left w:val="none" w:sz="0" w:space="0" w:color="auto"/>
        <w:bottom w:val="none" w:sz="0" w:space="0" w:color="auto"/>
        <w:right w:val="none" w:sz="0" w:space="0" w:color="auto"/>
      </w:divBdr>
    </w:div>
    <w:div w:id="1383867010">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52425">
      <w:bodyDiv w:val="1"/>
      <w:marLeft w:val="0"/>
      <w:marRight w:val="0"/>
      <w:marTop w:val="0"/>
      <w:marBottom w:val="0"/>
      <w:divBdr>
        <w:top w:val="none" w:sz="0" w:space="0" w:color="auto"/>
        <w:left w:val="none" w:sz="0" w:space="0" w:color="auto"/>
        <w:bottom w:val="none" w:sz="0" w:space="0" w:color="auto"/>
        <w:right w:val="none" w:sz="0" w:space="0" w:color="auto"/>
      </w:divBdr>
    </w:div>
    <w:div w:id="139357444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4621567">
      <w:bodyDiv w:val="1"/>
      <w:marLeft w:val="0"/>
      <w:marRight w:val="0"/>
      <w:marTop w:val="0"/>
      <w:marBottom w:val="0"/>
      <w:divBdr>
        <w:top w:val="none" w:sz="0" w:space="0" w:color="auto"/>
        <w:left w:val="none" w:sz="0" w:space="0" w:color="auto"/>
        <w:bottom w:val="none" w:sz="0" w:space="0" w:color="auto"/>
        <w:right w:val="none" w:sz="0" w:space="0" w:color="auto"/>
      </w:divBdr>
    </w:div>
    <w:div w:id="1395935643">
      <w:bodyDiv w:val="1"/>
      <w:marLeft w:val="0"/>
      <w:marRight w:val="0"/>
      <w:marTop w:val="0"/>
      <w:marBottom w:val="0"/>
      <w:divBdr>
        <w:top w:val="none" w:sz="0" w:space="0" w:color="auto"/>
        <w:left w:val="none" w:sz="0" w:space="0" w:color="auto"/>
        <w:bottom w:val="none" w:sz="0" w:space="0" w:color="auto"/>
        <w:right w:val="none" w:sz="0" w:space="0" w:color="auto"/>
      </w:divBdr>
    </w:div>
    <w:div w:id="1397975650">
      <w:bodyDiv w:val="1"/>
      <w:marLeft w:val="0"/>
      <w:marRight w:val="0"/>
      <w:marTop w:val="0"/>
      <w:marBottom w:val="0"/>
      <w:divBdr>
        <w:top w:val="none" w:sz="0" w:space="0" w:color="auto"/>
        <w:left w:val="none" w:sz="0" w:space="0" w:color="auto"/>
        <w:bottom w:val="none" w:sz="0" w:space="0" w:color="auto"/>
        <w:right w:val="none" w:sz="0" w:space="0" w:color="auto"/>
      </w:divBdr>
    </w:div>
    <w:div w:id="1398238787">
      <w:bodyDiv w:val="1"/>
      <w:marLeft w:val="0"/>
      <w:marRight w:val="0"/>
      <w:marTop w:val="0"/>
      <w:marBottom w:val="0"/>
      <w:divBdr>
        <w:top w:val="none" w:sz="0" w:space="0" w:color="auto"/>
        <w:left w:val="none" w:sz="0" w:space="0" w:color="auto"/>
        <w:bottom w:val="none" w:sz="0" w:space="0" w:color="auto"/>
        <w:right w:val="none" w:sz="0" w:space="0" w:color="auto"/>
      </w:divBdr>
    </w:div>
    <w:div w:id="1406339833">
      <w:bodyDiv w:val="1"/>
      <w:marLeft w:val="0"/>
      <w:marRight w:val="0"/>
      <w:marTop w:val="0"/>
      <w:marBottom w:val="0"/>
      <w:divBdr>
        <w:top w:val="none" w:sz="0" w:space="0" w:color="auto"/>
        <w:left w:val="none" w:sz="0" w:space="0" w:color="auto"/>
        <w:bottom w:val="none" w:sz="0" w:space="0" w:color="auto"/>
        <w:right w:val="none" w:sz="0" w:space="0" w:color="auto"/>
      </w:divBdr>
    </w:div>
    <w:div w:id="1409965045">
      <w:bodyDiv w:val="1"/>
      <w:marLeft w:val="0"/>
      <w:marRight w:val="0"/>
      <w:marTop w:val="0"/>
      <w:marBottom w:val="0"/>
      <w:divBdr>
        <w:top w:val="none" w:sz="0" w:space="0" w:color="auto"/>
        <w:left w:val="none" w:sz="0" w:space="0" w:color="auto"/>
        <w:bottom w:val="none" w:sz="0" w:space="0" w:color="auto"/>
        <w:right w:val="none" w:sz="0" w:space="0" w:color="auto"/>
      </w:divBdr>
    </w:div>
    <w:div w:id="1414550501">
      <w:bodyDiv w:val="1"/>
      <w:marLeft w:val="0"/>
      <w:marRight w:val="0"/>
      <w:marTop w:val="0"/>
      <w:marBottom w:val="0"/>
      <w:divBdr>
        <w:top w:val="none" w:sz="0" w:space="0" w:color="auto"/>
        <w:left w:val="none" w:sz="0" w:space="0" w:color="auto"/>
        <w:bottom w:val="none" w:sz="0" w:space="0" w:color="auto"/>
        <w:right w:val="none" w:sz="0" w:space="0" w:color="auto"/>
      </w:divBdr>
    </w:div>
    <w:div w:id="1414623041">
      <w:bodyDiv w:val="1"/>
      <w:marLeft w:val="0"/>
      <w:marRight w:val="0"/>
      <w:marTop w:val="0"/>
      <w:marBottom w:val="0"/>
      <w:divBdr>
        <w:top w:val="none" w:sz="0" w:space="0" w:color="auto"/>
        <w:left w:val="none" w:sz="0" w:space="0" w:color="auto"/>
        <w:bottom w:val="none" w:sz="0" w:space="0" w:color="auto"/>
        <w:right w:val="none" w:sz="0" w:space="0" w:color="auto"/>
      </w:divBdr>
    </w:div>
    <w:div w:id="1414858123">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19524233">
      <w:bodyDiv w:val="1"/>
      <w:marLeft w:val="0"/>
      <w:marRight w:val="0"/>
      <w:marTop w:val="0"/>
      <w:marBottom w:val="0"/>
      <w:divBdr>
        <w:top w:val="none" w:sz="0" w:space="0" w:color="auto"/>
        <w:left w:val="none" w:sz="0" w:space="0" w:color="auto"/>
        <w:bottom w:val="none" w:sz="0" w:space="0" w:color="auto"/>
        <w:right w:val="none" w:sz="0" w:space="0" w:color="auto"/>
      </w:divBdr>
    </w:div>
    <w:div w:id="1421760097">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8699543">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31535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47195284">
      <w:bodyDiv w:val="1"/>
      <w:marLeft w:val="0"/>
      <w:marRight w:val="0"/>
      <w:marTop w:val="0"/>
      <w:marBottom w:val="0"/>
      <w:divBdr>
        <w:top w:val="none" w:sz="0" w:space="0" w:color="auto"/>
        <w:left w:val="none" w:sz="0" w:space="0" w:color="auto"/>
        <w:bottom w:val="none" w:sz="0" w:space="0" w:color="auto"/>
        <w:right w:val="none" w:sz="0" w:space="0" w:color="auto"/>
      </w:divBdr>
    </w:div>
    <w:div w:id="1451584240">
      <w:bodyDiv w:val="1"/>
      <w:marLeft w:val="0"/>
      <w:marRight w:val="0"/>
      <w:marTop w:val="0"/>
      <w:marBottom w:val="0"/>
      <w:divBdr>
        <w:top w:val="none" w:sz="0" w:space="0" w:color="auto"/>
        <w:left w:val="none" w:sz="0" w:space="0" w:color="auto"/>
        <w:bottom w:val="none" w:sz="0" w:space="0" w:color="auto"/>
        <w:right w:val="none" w:sz="0" w:space="0" w:color="auto"/>
      </w:divBdr>
    </w:div>
    <w:div w:id="1451585848">
      <w:bodyDiv w:val="1"/>
      <w:marLeft w:val="0"/>
      <w:marRight w:val="0"/>
      <w:marTop w:val="0"/>
      <w:marBottom w:val="0"/>
      <w:divBdr>
        <w:top w:val="none" w:sz="0" w:space="0" w:color="auto"/>
        <w:left w:val="none" w:sz="0" w:space="0" w:color="auto"/>
        <w:bottom w:val="none" w:sz="0" w:space="0" w:color="auto"/>
        <w:right w:val="none" w:sz="0" w:space="0" w:color="auto"/>
      </w:divBdr>
    </w:div>
    <w:div w:id="1455367778">
      <w:bodyDiv w:val="1"/>
      <w:marLeft w:val="0"/>
      <w:marRight w:val="0"/>
      <w:marTop w:val="0"/>
      <w:marBottom w:val="0"/>
      <w:divBdr>
        <w:top w:val="none" w:sz="0" w:space="0" w:color="auto"/>
        <w:left w:val="none" w:sz="0" w:space="0" w:color="auto"/>
        <w:bottom w:val="none" w:sz="0" w:space="0" w:color="auto"/>
        <w:right w:val="none" w:sz="0" w:space="0" w:color="auto"/>
      </w:divBdr>
    </w:div>
    <w:div w:id="1457529904">
      <w:bodyDiv w:val="1"/>
      <w:marLeft w:val="0"/>
      <w:marRight w:val="0"/>
      <w:marTop w:val="0"/>
      <w:marBottom w:val="0"/>
      <w:divBdr>
        <w:top w:val="none" w:sz="0" w:space="0" w:color="auto"/>
        <w:left w:val="none" w:sz="0" w:space="0" w:color="auto"/>
        <w:bottom w:val="none" w:sz="0" w:space="0" w:color="auto"/>
        <w:right w:val="none" w:sz="0" w:space="0" w:color="auto"/>
      </w:divBdr>
    </w:div>
    <w:div w:id="1459958291">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3377229">
      <w:bodyDiv w:val="1"/>
      <w:marLeft w:val="0"/>
      <w:marRight w:val="0"/>
      <w:marTop w:val="0"/>
      <w:marBottom w:val="0"/>
      <w:divBdr>
        <w:top w:val="none" w:sz="0" w:space="0" w:color="auto"/>
        <w:left w:val="none" w:sz="0" w:space="0" w:color="auto"/>
        <w:bottom w:val="none" w:sz="0" w:space="0" w:color="auto"/>
        <w:right w:val="none" w:sz="0" w:space="0" w:color="auto"/>
      </w:divBdr>
    </w:div>
    <w:div w:id="1463617449">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7234833">
      <w:bodyDiv w:val="1"/>
      <w:marLeft w:val="0"/>
      <w:marRight w:val="0"/>
      <w:marTop w:val="0"/>
      <w:marBottom w:val="0"/>
      <w:divBdr>
        <w:top w:val="none" w:sz="0" w:space="0" w:color="auto"/>
        <w:left w:val="none" w:sz="0" w:space="0" w:color="auto"/>
        <w:bottom w:val="none" w:sz="0" w:space="0" w:color="auto"/>
        <w:right w:val="none" w:sz="0" w:space="0" w:color="auto"/>
      </w:divBdr>
    </w:div>
    <w:div w:id="1469083793">
      <w:bodyDiv w:val="1"/>
      <w:marLeft w:val="0"/>
      <w:marRight w:val="0"/>
      <w:marTop w:val="0"/>
      <w:marBottom w:val="0"/>
      <w:divBdr>
        <w:top w:val="none" w:sz="0" w:space="0" w:color="auto"/>
        <w:left w:val="none" w:sz="0" w:space="0" w:color="auto"/>
        <w:bottom w:val="none" w:sz="0" w:space="0" w:color="auto"/>
        <w:right w:val="none" w:sz="0" w:space="0" w:color="auto"/>
      </w:divBdr>
    </w:div>
    <w:div w:id="1469206162">
      <w:bodyDiv w:val="1"/>
      <w:marLeft w:val="0"/>
      <w:marRight w:val="0"/>
      <w:marTop w:val="0"/>
      <w:marBottom w:val="0"/>
      <w:divBdr>
        <w:top w:val="none" w:sz="0" w:space="0" w:color="auto"/>
        <w:left w:val="none" w:sz="0" w:space="0" w:color="auto"/>
        <w:bottom w:val="none" w:sz="0" w:space="0" w:color="auto"/>
        <w:right w:val="none" w:sz="0" w:space="0" w:color="auto"/>
      </w:divBdr>
    </w:div>
    <w:div w:id="1469933578">
      <w:bodyDiv w:val="1"/>
      <w:marLeft w:val="0"/>
      <w:marRight w:val="0"/>
      <w:marTop w:val="0"/>
      <w:marBottom w:val="0"/>
      <w:divBdr>
        <w:top w:val="none" w:sz="0" w:space="0" w:color="auto"/>
        <w:left w:val="none" w:sz="0" w:space="0" w:color="auto"/>
        <w:bottom w:val="none" w:sz="0" w:space="0" w:color="auto"/>
        <w:right w:val="none" w:sz="0" w:space="0" w:color="auto"/>
      </w:divBdr>
    </w:div>
    <w:div w:id="1471898571">
      <w:bodyDiv w:val="1"/>
      <w:marLeft w:val="0"/>
      <w:marRight w:val="0"/>
      <w:marTop w:val="0"/>
      <w:marBottom w:val="0"/>
      <w:divBdr>
        <w:top w:val="none" w:sz="0" w:space="0" w:color="auto"/>
        <w:left w:val="none" w:sz="0" w:space="0" w:color="auto"/>
        <w:bottom w:val="none" w:sz="0" w:space="0" w:color="auto"/>
        <w:right w:val="none" w:sz="0" w:space="0" w:color="auto"/>
      </w:divBdr>
    </w:div>
    <w:div w:id="1473324310">
      <w:bodyDiv w:val="1"/>
      <w:marLeft w:val="0"/>
      <w:marRight w:val="0"/>
      <w:marTop w:val="0"/>
      <w:marBottom w:val="0"/>
      <w:divBdr>
        <w:top w:val="none" w:sz="0" w:space="0" w:color="auto"/>
        <w:left w:val="none" w:sz="0" w:space="0" w:color="auto"/>
        <w:bottom w:val="none" w:sz="0" w:space="0" w:color="auto"/>
        <w:right w:val="none" w:sz="0" w:space="0" w:color="auto"/>
      </w:divBdr>
    </w:div>
    <w:div w:id="1475832655">
      <w:bodyDiv w:val="1"/>
      <w:marLeft w:val="0"/>
      <w:marRight w:val="0"/>
      <w:marTop w:val="0"/>
      <w:marBottom w:val="0"/>
      <w:divBdr>
        <w:top w:val="none" w:sz="0" w:space="0" w:color="auto"/>
        <w:left w:val="none" w:sz="0" w:space="0" w:color="auto"/>
        <w:bottom w:val="none" w:sz="0" w:space="0" w:color="auto"/>
        <w:right w:val="none" w:sz="0" w:space="0" w:color="auto"/>
      </w:divBdr>
    </w:div>
    <w:div w:id="147745751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725151">
      <w:bodyDiv w:val="1"/>
      <w:marLeft w:val="0"/>
      <w:marRight w:val="0"/>
      <w:marTop w:val="0"/>
      <w:marBottom w:val="0"/>
      <w:divBdr>
        <w:top w:val="none" w:sz="0" w:space="0" w:color="auto"/>
        <w:left w:val="none" w:sz="0" w:space="0" w:color="auto"/>
        <w:bottom w:val="none" w:sz="0" w:space="0" w:color="auto"/>
        <w:right w:val="none" w:sz="0" w:space="0" w:color="auto"/>
      </w:divBdr>
    </w:div>
    <w:div w:id="1480881018">
      <w:bodyDiv w:val="1"/>
      <w:marLeft w:val="0"/>
      <w:marRight w:val="0"/>
      <w:marTop w:val="0"/>
      <w:marBottom w:val="0"/>
      <w:divBdr>
        <w:top w:val="none" w:sz="0" w:space="0" w:color="auto"/>
        <w:left w:val="none" w:sz="0" w:space="0" w:color="auto"/>
        <w:bottom w:val="none" w:sz="0" w:space="0" w:color="auto"/>
        <w:right w:val="none" w:sz="0" w:space="0" w:color="auto"/>
      </w:divBdr>
    </w:div>
    <w:div w:id="1481772670">
      <w:bodyDiv w:val="1"/>
      <w:marLeft w:val="0"/>
      <w:marRight w:val="0"/>
      <w:marTop w:val="0"/>
      <w:marBottom w:val="0"/>
      <w:divBdr>
        <w:top w:val="none" w:sz="0" w:space="0" w:color="auto"/>
        <w:left w:val="none" w:sz="0" w:space="0" w:color="auto"/>
        <w:bottom w:val="none" w:sz="0" w:space="0" w:color="auto"/>
        <w:right w:val="none" w:sz="0" w:space="0" w:color="auto"/>
      </w:divBdr>
    </w:div>
    <w:div w:id="1485313166">
      <w:bodyDiv w:val="1"/>
      <w:marLeft w:val="0"/>
      <w:marRight w:val="0"/>
      <w:marTop w:val="0"/>
      <w:marBottom w:val="0"/>
      <w:divBdr>
        <w:top w:val="none" w:sz="0" w:space="0" w:color="auto"/>
        <w:left w:val="none" w:sz="0" w:space="0" w:color="auto"/>
        <w:bottom w:val="none" w:sz="0" w:space="0" w:color="auto"/>
        <w:right w:val="none" w:sz="0" w:space="0" w:color="auto"/>
      </w:divBdr>
    </w:div>
    <w:div w:id="1486237265">
      <w:bodyDiv w:val="1"/>
      <w:marLeft w:val="0"/>
      <w:marRight w:val="0"/>
      <w:marTop w:val="0"/>
      <w:marBottom w:val="0"/>
      <w:divBdr>
        <w:top w:val="none" w:sz="0" w:space="0" w:color="auto"/>
        <w:left w:val="none" w:sz="0" w:space="0" w:color="auto"/>
        <w:bottom w:val="none" w:sz="0" w:space="0" w:color="auto"/>
        <w:right w:val="none" w:sz="0" w:space="0" w:color="auto"/>
      </w:divBdr>
    </w:div>
    <w:div w:id="1488397244">
      <w:bodyDiv w:val="1"/>
      <w:marLeft w:val="0"/>
      <w:marRight w:val="0"/>
      <w:marTop w:val="0"/>
      <w:marBottom w:val="0"/>
      <w:divBdr>
        <w:top w:val="none" w:sz="0" w:space="0" w:color="auto"/>
        <w:left w:val="none" w:sz="0" w:space="0" w:color="auto"/>
        <w:bottom w:val="none" w:sz="0" w:space="0" w:color="auto"/>
        <w:right w:val="none" w:sz="0" w:space="0" w:color="auto"/>
      </w:divBdr>
    </w:div>
    <w:div w:id="1491364649">
      <w:bodyDiv w:val="1"/>
      <w:marLeft w:val="0"/>
      <w:marRight w:val="0"/>
      <w:marTop w:val="0"/>
      <w:marBottom w:val="0"/>
      <w:divBdr>
        <w:top w:val="none" w:sz="0" w:space="0" w:color="auto"/>
        <w:left w:val="none" w:sz="0" w:space="0" w:color="auto"/>
        <w:bottom w:val="none" w:sz="0" w:space="0" w:color="auto"/>
        <w:right w:val="none" w:sz="0" w:space="0" w:color="auto"/>
      </w:divBdr>
    </w:div>
    <w:div w:id="1492527851">
      <w:bodyDiv w:val="1"/>
      <w:marLeft w:val="0"/>
      <w:marRight w:val="0"/>
      <w:marTop w:val="0"/>
      <w:marBottom w:val="0"/>
      <w:divBdr>
        <w:top w:val="none" w:sz="0" w:space="0" w:color="auto"/>
        <w:left w:val="none" w:sz="0" w:space="0" w:color="auto"/>
        <w:bottom w:val="none" w:sz="0" w:space="0" w:color="auto"/>
        <w:right w:val="none" w:sz="0" w:space="0" w:color="auto"/>
      </w:divBdr>
    </w:div>
    <w:div w:id="1504659889">
      <w:bodyDiv w:val="1"/>
      <w:marLeft w:val="0"/>
      <w:marRight w:val="0"/>
      <w:marTop w:val="0"/>
      <w:marBottom w:val="0"/>
      <w:divBdr>
        <w:top w:val="none" w:sz="0" w:space="0" w:color="auto"/>
        <w:left w:val="none" w:sz="0" w:space="0" w:color="auto"/>
        <w:bottom w:val="none" w:sz="0" w:space="0" w:color="auto"/>
        <w:right w:val="none" w:sz="0" w:space="0" w:color="auto"/>
      </w:divBdr>
    </w:div>
    <w:div w:id="1505241793">
      <w:bodyDiv w:val="1"/>
      <w:marLeft w:val="0"/>
      <w:marRight w:val="0"/>
      <w:marTop w:val="0"/>
      <w:marBottom w:val="0"/>
      <w:divBdr>
        <w:top w:val="none" w:sz="0" w:space="0" w:color="auto"/>
        <w:left w:val="none" w:sz="0" w:space="0" w:color="auto"/>
        <w:bottom w:val="none" w:sz="0" w:space="0" w:color="auto"/>
        <w:right w:val="none" w:sz="0" w:space="0" w:color="auto"/>
      </w:divBdr>
    </w:div>
    <w:div w:id="1507133914">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7617449">
      <w:bodyDiv w:val="1"/>
      <w:marLeft w:val="0"/>
      <w:marRight w:val="0"/>
      <w:marTop w:val="0"/>
      <w:marBottom w:val="0"/>
      <w:divBdr>
        <w:top w:val="none" w:sz="0" w:space="0" w:color="auto"/>
        <w:left w:val="none" w:sz="0" w:space="0" w:color="auto"/>
        <w:bottom w:val="none" w:sz="0" w:space="0" w:color="auto"/>
        <w:right w:val="none" w:sz="0" w:space="0" w:color="auto"/>
      </w:divBdr>
    </w:div>
    <w:div w:id="1518543753">
      <w:bodyDiv w:val="1"/>
      <w:marLeft w:val="0"/>
      <w:marRight w:val="0"/>
      <w:marTop w:val="0"/>
      <w:marBottom w:val="0"/>
      <w:divBdr>
        <w:top w:val="none" w:sz="0" w:space="0" w:color="auto"/>
        <w:left w:val="none" w:sz="0" w:space="0" w:color="auto"/>
        <w:bottom w:val="none" w:sz="0" w:space="0" w:color="auto"/>
        <w:right w:val="none" w:sz="0" w:space="0" w:color="auto"/>
      </w:divBdr>
    </w:div>
    <w:div w:id="1522354841">
      <w:bodyDiv w:val="1"/>
      <w:marLeft w:val="0"/>
      <w:marRight w:val="0"/>
      <w:marTop w:val="0"/>
      <w:marBottom w:val="0"/>
      <w:divBdr>
        <w:top w:val="none" w:sz="0" w:space="0" w:color="auto"/>
        <w:left w:val="none" w:sz="0" w:space="0" w:color="auto"/>
        <w:bottom w:val="none" w:sz="0" w:space="0" w:color="auto"/>
        <w:right w:val="none" w:sz="0" w:space="0" w:color="auto"/>
      </w:divBdr>
    </w:div>
    <w:div w:id="1526141064">
      <w:bodyDiv w:val="1"/>
      <w:marLeft w:val="0"/>
      <w:marRight w:val="0"/>
      <w:marTop w:val="0"/>
      <w:marBottom w:val="0"/>
      <w:divBdr>
        <w:top w:val="none" w:sz="0" w:space="0" w:color="auto"/>
        <w:left w:val="none" w:sz="0" w:space="0" w:color="auto"/>
        <w:bottom w:val="none" w:sz="0" w:space="0" w:color="auto"/>
        <w:right w:val="none" w:sz="0" w:space="0" w:color="auto"/>
      </w:divBdr>
    </w:div>
    <w:div w:id="1530148097">
      <w:bodyDiv w:val="1"/>
      <w:marLeft w:val="0"/>
      <w:marRight w:val="0"/>
      <w:marTop w:val="0"/>
      <w:marBottom w:val="0"/>
      <w:divBdr>
        <w:top w:val="none" w:sz="0" w:space="0" w:color="auto"/>
        <w:left w:val="none" w:sz="0" w:space="0" w:color="auto"/>
        <w:bottom w:val="none" w:sz="0" w:space="0" w:color="auto"/>
        <w:right w:val="none" w:sz="0" w:space="0" w:color="auto"/>
      </w:divBdr>
    </w:div>
    <w:div w:id="1531141887">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415746">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1212632">
      <w:bodyDiv w:val="1"/>
      <w:marLeft w:val="0"/>
      <w:marRight w:val="0"/>
      <w:marTop w:val="0"/>
      <w:marBottom w:val="0"/>
      <w:divBdr>
        <w:top w:val="none" w:sz="0" w:space="0" w:color="auto"/>
        <w:left w:val="none" w:sz="0" w:space="0" w:color="auto"/>
        <w:bottom w:val="none" w:sz="0" w:space="0" w:color="auto"/>
        <w:right w:val="none" w:sz="0" w:space="0" w:color="auto"/>
      </w:divBdr>
    </w:div>
    <w:div w:id="154339654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987867">
      <w:bodyDiv w:val="1"/>
      <w:marLeft w:val="0"/>
      <w:marRight w:val="0"/>
      <w:marTop w:val="0"/>
      <w:marBottom w:val="0"/>
      <w:divBdr>
        <w:top w:val="none" w:sz="0" w:space="0" w:color="auto"/>
        <w:left w:val="none" w:sz="0" w:space="0" w:color="auto"/>
        <w:bottom w:val="none" w:sz="0" w:space="0" w:color="auto"/>
        <w:right w:val="none" w:sz="0" w:space="0" w:color="auto"/>
      </w:divBdr>
    </w:div>
    <w:div w:id="1550455513">
      <w:bodyDiv w:val="1"/>
      <w:marLeft w:val="0"/>
      <w:marRight w:val="0"/>
      <w:marTop w:val="0"/>
      <w:marBottom w:val="0"/>
      <w:divBdr>
        <w:top w:val="none" w:sz="0" w:space="0" w:color="auto"/>
        <w:left w:val="none" w:sz="0" w:space="0" w:color="auto"/>
        <w:bottom w:val="none" w:sz="0" w:space="0" w:color="auto"/>
        <w:right w:val="none" w:sz="0" w:space="0" w:color="auto"/>
      </w:divBdr>
    </w:div>
    <w:div w:id="1551726779">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883437">
      <w:bodyDiv w:val="1"/>
      <w:marLeft w:val="0"/>
      <w:marRight w:val="0"/>
      <w:marTop w:val="0"/>
      <w:marBottom w:val="0"/>
      <w:divBdr>
        <w:top w:val="none" w:sz="0" w:space="0" w:color="auto"/>
        <w:left w:val="none" w:sz="0" w:space="0" w:color="auto"/>
        <w:bottom w:val="none" w:sz="0" w:space="0" w:color="auto"/>
        <w:right w:val="none" w:sz="0" w:space="0" w:color="auto"/>
      </w:divBdr>
    </w:div>
    <w:div w:id="1556769697">
      <w:bodyDiv w:val="1"/>
      <w:marLeft w:val="0"/>
      <w:marRight w:val="0"/>
      <w:marTop w:val="0"/>
      <w:marBottom w:val="0"/>
      <w:divBdr>
        <w:top w:val="none" w:sz="0" w:space="0" w:color="auto"/>
        <w:left w:val="none" w:sz="0" w:space="0" w:color="auto"/>
        <w:bottom w:val="none" w:sz="0" w:space="0" w:color="auto"/>
        <w:right w:val="none" w:sz="0" w:space="0" w:color="auto"/>
      </w:divBdr>
    </w:div>
    <w:div w:id="1561286396">
      <w:bodyDiv w:val="1"/>
      <w:marLeft w:val="0"/>
      <w:marRight w:val="0"/>
      <w:marTop w:val="0"/>
      <w:marBottom w:val="0"/>
      <w:divBdr>
        <w:top w:val="none" w:sz="0" w:space="0" w:color="auto"/>
        <w:left w:val="none" w:sz="0" w:space="0" w:color="auto"/>
        <w:bottom w:val="none" w:sz="0" w:space="0" w:color="auto"/>
        <w:right w:val="none" w:sz="0" w:space="0" w:color="auto"/>
      </w:divBdr>
    </w:div>
    <w:div w:id="1561556199">
      <w:bodyDiv w:val="1"/>
      <w:marLeft w:val="0"/>
      <w:marRight w:val="0"/>
      <w:marTop w:val="0"/>
      <w:marBottom w:val="0"/>
      <w:divBdr>
        <w:top w:val="none" w:sz="0" w:space="0" w:color="auto"/>
        <w:left w:val="none" w:sz="0" w:space="0" w:color="auto"/>
        <w:bottom w:val="none" w:sz="0" w:space="0" w:color="auto"/>
        <w:right w:val="none" w:sz="0" w:space="0" w:color="auto"/>
      </w:divBdr>
    </w:div>
    <w:div w:id="1562520968">
      <w:bodyDiv w:val="1"/>
      <w:marLeft w:val="0"/>
      <w:marRight w:val="0"/>
      <w:marTop w:val="0"/>
      <w:marBottom w:val="0"/>
      <w:divBdr>
        <w:top w:val="none" w:sz="0" w:space="0" w:color="auto"/>
        <w:left w:val="none" w:sz="0" w:space="0" w:color="auto"/>
        <w:bottom w:val="none" w:sz="0" w:space="0" w:color="auto"/>
        <w:right w:val="none" w:sz="0" w:space="0" w:color="auto"/>
      </w:divBdr>
    </w:div>
    <w:div w:id="1565139232">
      <w:bodyDiv w:val="1"/>
      <w:marLeft w:val="0"/>
      <w:marRight w:val="0"/>
      <w:marTop w:val="0"/>
      <w:marBottom w:val="0"/>
      <w:divBdr>
        <w:top w:val="none" w:sz="0" w:space="0" w:color="auto"/>
        <w:left w:val="none" w:sz="0" w:space="0" w:color="auto"/>
        <w:bottom w:val="none" w:sz="0" w:space="0" w:color="auto"/>
        <w:right w:val="none" w:sz="0" w:space="0" w:color="auto"/>
      </w:divBdr>
    </w:div>
    <w:div w:id="1565868723">
      <w:bodyDiv w:val="1"/>
      <w:marLeft w:val="0"/>
      <w:marRight w:val="0"/>
      <w:marTop w:val="0"/>
      <w:marBottom w:val="0"/>
      <w:divBdr>
        <w:top w:val="none" w:sz="0" w:space="0" w:color="auto"/>
        <w:left w:val="none" w:sz="0" w:space="0" w:color="auto"/>
        <w:bottom w:val="none" w:sz="0" w:space="0" w:color="auto"/>
        <w:right w:val="none" w:sz="0" w:space="0" w:color="auto"/>
      </w:divBdr>
    </w:div>
    <w:div w:id="1567761434">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1034182">
      <w:bodyDiv w:val="1"/>
      <w:marLeft w:val="0"/>
      <w:marRight w:val="0"/>
      <w:marTop w:val="0"/>
      <w:marBottom w:val="0"/>
      <w:divBdr>
        <w:top w:val="none" w:sz="0" w:space="0" w:color="auto"/>
        <w:left w:val="none" w:sz="0" w:space="0" w:color="auto"/>
        <w:bottom w:val="none" w:sz="0" w:space="0" w:color="auto"/>
        <w:right w:val="none" w:sz="0" w:space="0" w:color="auto"/>
      </w:divBdr>
    </w:div>
    <w:div w:id="1572884351">
      <w:bodyDiv w:val="1"/>
      <w:marLeft w:val="0"/>
      <w:marRight w:val="0"/>
      <w:marTop w:val="0"/>
      <w:marBottom w:val="0"/>
      <w:divBdr>
        <w:top w:val="none" w:sz="0" w:space="0" w:color="auto"/>
        <w:left w:val="none" w:sz="0" w:space="0" w:color="auto"/>
        <w:bottom w:val="none" w:sz="0" w:space="0" w:color="auto"/>
        <w:right w:val="none" w:sz="0" w:space="0" w:color="auto"/>
      </w:divBdr>
    </w:div>
    <w:div w:id="1573127600">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627540">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285098">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723125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5701303">
      <w:bodyDiv w:val="1"/>
      <w:marLeft w:val="0"/>
      <w:marRight w:val="0"/>
      <w:marTop w:val="0"/>
      <w:marBottom w:val="0"/>
      <w:divBdr>
        <w:top w:val="none" w:sz="0" w:space="0" w:color="auto"/>
        <w:left w:val="none" w:sz="0" w:space="0" w:color="auto"/>
        <w:bottom w:val="none" w:sz="0" w:space="0" w:color="auto"/>
        <w:right w:val="none" w:sz="0" w:space="0" w:color="auto"/>
      </w:divBdr>
    </w:div>
    <w:div w:id="159628229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6976">
      <w:bodyDiv w:val="1"/>
      <w:marLeft w:val="0"/>
      <w:marRight w:val="0"/>
      <w:marTop w:val="0"/>
      <w:marBottom w:val="0"/>
      <w:divBdr>
        <w:top w:val="none" w:sz="0" w:space="0" w:color="auto"/>
        <w:left w:val="none" w:sz="0" w:space="0" w:color="auto"/>
        <w:bottom w:val="none" w:sz="0" w:space="0" w:color="auto"/>
        <w:right w:val="none" w:sz="0" w:space="0" w:color="auto"/>
      </w:divBdr>
    </w:div>
    <w:div w:id="1613004394">
      <w:bodyDiv w:val="1"/>
      <w:marLeft w:val="0"/>
      <w:marRight w:val="0"/>
      <w:marTop w:val="0"/>
      <w:marBottom w:val="0"/>
      <w:divBdr>
        <w:top w:val="none" w:sz="0" w:space="0" w:color="auto"/>
        <w:left w:val="none" w:sz="0" w:space="0" w:color="auto"/>
        <w:bottom w:val="none" w:sz="0" w:space="0" w:color="auto"/>
        <w:right w:val="none" w:sz="0" w:space="0" w:color="auto"/>
      </w:divBdr>
    </w:div>
    <w:div w:id="1614748316">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6569356">
      <w:bodyDiv w:val="1"/>
      <w:marLeft w:val="0"/>
      <w:marRight w:val="0"/>
      <w:marTop w:val="0"/>
      <w:marBottom w:val="0"/>
      <w:divBdr>
        <w:top w:val="none" w:sz="0" w:space="0" w:color="auto"/>
        <w:left w:val="none" w:sz="0" w:space="0" w:color="auto"/>
        <w:bottom w:val="none" w:sz="0" w:space="0" w:color="auto"/>
        <w:right w:val="none" w:sz="0" w:space="0" w:color="auto"/>
      </w:divBdr>
    </w:div>
    <w:div w:id="1646663138">
      <w:bodyDiv w:val="1"/>
      <w:marLeft w:val="0"/>
      <w:marRight w:val="0"/>
      <w:marTop w:val="0"/>
      <w:marBottom w:val="0"/>
      <w:divBdr>
        <w:top w:val="none" w:sz="0" w:space="0" w:color="auto"/>
        <w:left w:val="none" w:sz="0" w:space="0" w:color="auto"/>
        <w:bottom w:val="none" w:sz="0" w:space="0" w:color="auto"/>
        <w:right w:val="none" w:sz="0" w:space="0" w:color="auto"/>
      </w:divBdr>
    </w:div>
    <w:div w:id="1648588200">
      <w:bodyDiv w:val="1"/>
      <w:marLeft w:val="0"/>
      <w:marRight w:val="0"/>
      <w:marTop w:val="0"/>
      <w:marBottom w:val="0"/>
      <w:divBdr>
        <w:top w:val="none" w:sz="0" w:space="0" w:color="auto"/>
        <w:left w:val="none" w:sz="0" w:space="0" w:color="auto"/>
        <w:bottom w:val="none" w:sz="0" w:space="0" w:color="auto"/>
        <w:right w:val="none" w:sz="0" w:space="0" w:color="auto"/>
      </w:divBdr>
    </w:div>
    <w:div w:id="1653408136">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6303280">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3700446">
      <w:bodyDiv w:val="1"/>
      <w:marLeft w:val="0"/>
      <w:marRight w:val="0"/>
      <w:marTop w:val="0"/>
      <w:marBottom w:val="0"/>
      <w:divBdr>
        <w:top w:val="none" w:sz="0" w:space="0" w:color="auto"/>
        <w:left w:val="none" w:sz="0" w:space="0" w:color="auto"/>
        <w:bottom w:val="none" w:sz="0" w:space="0" w:color="auto"/>
        <w:right w:val="none" w:sz="0" w:space="0" w:color="auto"/>
      </w:divBdr>
    </w:div>
    <w:div w:id="1664696430">
      <w:bodyDiv w:val="1"/>
      <w:marLeft w:val="0"/>
      <w:marRight w:val="0"/>
      <w:marTop w:val="0"/>
      <w:marBottom w:val="0"/>
      <w:divBdr>
        <w:top w:val="none" w:sz="0" w:space="0" w:color="auto"/>
        <w:left w:val="none" w:sz="0" w:space="0" w:color="auto"/>
        <w:bottom w:val="none" w:sz="0" w:space="0" w:color="auto"/>
        <w:right w:val="none" w:sz="0" w:space="0" w:color="auto"/>
      </w:divBdr>
    </w:div>
    <w:div w:id="1665163368">
      <w:bodyDiv w:val="1"/>
      <w:marLeft w:val="0"/>
      <w:marRight w:val="0"/>
      <w:marTop w:val="0"/>
      <w:marBottom w:val="0"/>
      <w:divBdr>
        <w:top w:val="none" w:sz="0" w:space="0" w:color="auto"/>
        <w:left w:val="none" w:sz="0" w:space="0" w:color="auto"/>
        <w:bottom w:val="none" w:sz="0" w:space="0" w:color="auto"/>
        <w:right w:val="none" w:sz="0" w:space="0" w:color="auto"/>
      </w:divBdr>
      <w:divsChild>
        <w:div w:id="215551443">
          <w:marLeft w:val="0"/>
          <w:marRight w:val="0"/>
          <w:marTop w:val="0"/>
          <w:marBottom w:val="0"/>
          <w:divBdr>
            <w:top w:val="none" w:sz="0" w:space="0" w:color="auto"/>
            <w:left w:val="none" w:sz="0" w:space="0" w:color="auto"/>
            <w:bottom w:val="none" w:sz="0" w:space="0" w:color="auto"/>
            <w:right w:val="none" w:sz="0" w:space="0" w:color="auto"/>
          </w:divBdr>
          <w:divsChild>
            <w:div w:id="1265380469">
              <w:marLeft w:val="0"/>
              <w:marRight w:val="0"/>
              <w:marTop w:val="0"/>
              <w:marBottom w:val="0"/>
              <w:divBdr>
                <w:top w:val="none" w:sz="0" w:space="0" w:color="auto"/>
                <w:left w:val="none" w:sz="0" w:space="0" w:color="auto"/>
                <w:bottom w:val="none" w:sz="0" w:space="0" w:color="auto"/>
                <w:right w:val="none" w:sz="0" w:space="0" w:color="auto"/>
              </w:divBdr>
              <w:divsChild>
                <w:div w:id="1367295026">
                  <w:marLeft w:val="0"/>
                  <w:marRight w:val="0"/>
                  <w:marTop w:val="0"/>
                  <w:marBottom w:val="0"/>
                  <w:divBdr>
                    <w:top w:val="none" w:sz="0" w:space="0" w:color="auto"/>
                    <w:left w:val="none" w:sz="0" w:space="0" w:color="auto"/>
                    <w:bottom w:val="none" w:sz="0" w:space="0" w:color="auto"/>
                    <w:right w:val="none" w:sz="0" w:space="0" w:color="auto"/>
                  </w:divBdr>
                  <w:divsChild>
                    <w:div w:id="759646459">
                      <w:marLeft w:val="0"/>
                      <w:marRight w:val="0"/>
                      <w:marTop w:val="0"/>
                      <w:marBottom w:val="0"/>
                      <w:divBdr>
                        <w:top w:val="none" w:sz="0" w:space="0" w:color="auto"/>
                        <w:left w:val="none" w:sz="0" w:space="0" w:color="auto"/>
                        <w:bottom w:val="none" w:sz="0" w:space="0" w:color="auto"/>
                        <w:right w:val="none" w:sz="0" w:space="0" w:color="auto"/>
                      </w:divBdr>
                      <w:divsChild>
                        <w:div w:id="1499925476">
                          <w:marLeft w:val="0"/>
                          <w:marRight w:val="0"/>
                          <w:marTop w:val="0"/>
                          <w:marBottom w:val="0"/>
                          <w:divBdr>
                            <w:top w:val="none" w:sz="0" w:space="0" w:color="auto"/>
                            <w:left w:val="none" w:sz="0" w:space="0" w:color="auto"/>
                            <w:bottom w:val="none" w:sz="0" w:space="0" w:color="auto"/>
                            <w:right w:val="none" w:sz="0" w:space="0" w:color="auto"/>
                          </w:divBdr>
                          <w:divsChild>
                            <w:div w:id="2133396556">
                              <w:marLeft w:val="0"/>
                              <w:marRight w:val="0"/>
                              <w:marTop w:val="450"/>
                              <w:marBottom w:val="750"/>
                              <w:divBdr>
                                <w:top w:val="none" w:sz="0" w:space="0" w:color="auto"/>
                                <w:left w:val="none" w:sz="0" w:space="0" w:color="auto"/>
                                <w:bottom w:val="none" w:sz="0" w:space="0" w:color="auto"/>
                                <w:right w:val="none" w:sz="0" w:space="0" w:color="auto"/>
                              </w:divBdr>
                              <w:divsChild>
                                <w:div w:id="805195021">
                                  <w:marLeft w:val="0"/>
                                  <w:marRight w:val="0"/>
                                  <w:marTop w:val="0"/>
                                  <w:marBottom w:val="0"/>
                                  <w:divBdr>
                                    <w:top w:val="none" w:sz="0" w:space="0" w:color="auto"/>
                                    <w:left w:val="none" w:sz="0" w:space="0" w:color="auto"/>
                                    <w:bottom w:val="none" w:sz="0" w:space="0" w:color="auto"/>
                                    <w:right w:val="none" w:sz="0" w:space="0" w:color="auto"/>
                                  </w:divBdr>
                                  <w:divsChild>
                                    <w:div w:id="1927961484">
                                      <w:marLeft w:val="0"/>
                                      <w:marRight w:val="0"/>
                                      <w:marTop w:val="0"/>
                                      <w:marBottom w:val="0"/>
                                      <w:divBdr>
                                        <w:top w:val="none" w:sz="0" w:space="0" w:color="auto"/>
                                        <w:left w:val="none" w:sz="0" w:space="0" w:color="auto"/>
                                        <w:bottom w:val="none" w:sz="0" w:space="0" w:color="auto"/>
                                        <w:right w:val="none" w:sz="0" w:space="0" w:color="auto"/>
                                      </w:divBdr>
                                      <w:divsChild>
                                        <w:div w:id="720598484">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225"/>
                                              <w:marRight w:val="-225"/>
                                              <w:marTop w:val="0"/>
                                              <w:marBottom w:val="0"/>
                                              <w:divBdr>
                                                <w:top w:val="none" w:sz="0" w:space="0" w:color="auto"/>
                                                <w:left w:val="none" w:sz="0" w:space="0" w:color="auto"/>
                                                <w:bottom w:val="none" w:sz="0" w:space="0" w:color="auto"/>
                                                <w:right w:val="none" w:sz="0" w:space="0" w:color="auto"/>
                                              </w:divBdr>
                                              <w:divsChild>
                                                <w:div w:id="346490953">
                                                  <w:marLeft w:val="0"/>
                                                  <w:marRight w:val="0"/>
                                                  <w:marTop w:val="0"/>
                                                  <w:marBottom w:val="0"/>
                                                  <w:divBdr>
                                                    <w:top w:val="none" w:sz="0" w:space="0" w:color="auto"/>
                                                    <w:left w:val="none" w:sz="0" w:space="0" w:color="auto"/>
                                                    <w:bottom w:val="none" w:sz="0" w:space="0" w:color="auto"/>
                                                    <w:right w:val="none" w:sz="0" w:space="0" w:color="auto"/>
                                                  </w:divBdr>
                                                  <w:divsChild>
                                                    <w:div w:id="1246920376">
                                                      <w:marLeft w:val="0"/>
                                                      <w:marRight w:val="0"/>
                                                      <w:marTop w:val="0"/>
                                                      <w:marBottom w:val="0"/>
                                                      <w:divBdr>
                                                        <w:top w:val="none" w:sz="0" w:space="0" w:color="auto"/>
                                                        <w:left w:val="none" w:sz="0" w:space="0" w:color="auto"/>
                                                        <w:bottom w:val="none" w:sz="0" w:space="0" w:color="auto"/>
                                                        <w:right w:val="none" w:sz="0" w:space="0" w:color="auto"/>
                                                      </w:divBdr>
                                                      <w:divsChild>
                                                        <w:div w:id="11095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854540">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876489">
      <w:bodyDiv w:val="1"/>
      <w:marLeft w:val="0"/>
      <w:marRight w:val="0"/>
      <w:marTop w:val="0"/>
      <w:marBottom w:val="0"/>
      <w:divBdr>
        <w:top w:val="none" w:sz="0" w:space="0" w:color="auto"/>
        <w:left w:val="none" w:sz="0" w:space="0" w:color="auto"/>
        <w:bottom w:val="none" w:sz="0" w:space="0" w:color="auto"/>
        <w:right w:val="none" w:sz="0" w:space="0" w:color="auto"/>
      </w:divBdr>
    </w:div>
    <w:div w:id="1672947313">
      <w:bodyDiv w:val="1"/>
      <w:marLeft w:val="0"/>
      <w:marRight w:val="0"/>
      <w:marTop w:val="0"/>
      <w:marBottom w:val="0"/>
      <w:divBdr>
        <w:top w:val="none" w:sz="0" w:space="0" w:color="auto"/>
        <w:left w:val="none" w:sz="0" w:space="0" w:color="auto"/>
        <w:bottom w:val="none" w:sz="0" w:space="0" w:color="auto"/>
        <w:right w:val="none" w:sz="0" w:space="0" w:color="auto"/>
      </w:divBdr>
    </w:div>
    <w:div w:id="1673988988">
      <w:bodyDiv w:val="1"/>
      <w:marLeft w:val="0"/>
      <w:marRight w:val="0"/>
      <w:marTop w:val="0"/>
      <w:marBottom w:val="0"/>
      <w:divBdr>
        <w:top w:val="none" w:sz="0" w:space="0" w:color="auto"/>
        <w:left w:val="none" w:sz="0" w:space="0" w:color="auto"/>
        <w:bottom w:val="none" w:sz="0" w:space="0" w:color="auto"/>
        <w:right w:val="none" w:sz="0" w:space="0" w:color="auto"/>
      </w:divBdr>
    </w:div>
    <w:div w:id="1677154168">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846657">
      <w:bodyDiv w:val="1"/>
      <w:marLeft w:val="0"/>
      <w:marRight w:val="0"/>
      <w:marTop w:val="0"/>
      <w:marBottom w:val="0"/>
      <w:divBdr>
        <w:top w:val="none" w:sz="0" w:space="0" w:color="auto"/>
        <w:left w:val="none" w:sz="0" w:space="0" w:color="auto"/>
        <w:bottom w:val="none" w:sz="0" w:space="0" w:color="auto"/>
        <w:right w:val="none" w:sz="0" w:space="0" w:color="auto"/>
      </w:divBdr>
    </w:div>
    <w:div w:id="1681816942">
      <w:bodyDiv w:val="1"/>
      <w:marLeft w:val="0"/>
      <w:marRight w:val="0"/>
      <w:marTop w:val="0"/>
      <w:marBottom w:val="0"/>
      <w:divBdr>
        <w:top w:val="none" w:sz="0" w:space="0" w:color="auto"/>
        <w:left w:val="none" w:sz="0" w:space="0" w:color="auto"/>
        <w:bottom w:val="none" w:sz="0" w:space="0" w:color="auto"/>
        <w:right w:val="none" w:sz="0" w:space="0" w:color="auto"/>
      </w:divBdr>
    </w:div>
    <w:div w:id="1684434105">
      <w:bodyDiv w:val="1"/>
      <w:marLeft w:val="0"/>
      <w:marRight w:val="0"/>
      <w:marTop w:val="0"/>
      <w:marBottom w:val="0"/>
      <w:divBdr>
        <w:top w:val="none" w:sz="0" w:space="0" w:color="auto"/>
        <w:left w:val="none" w:sz="0" w:space="0" w:color="auto"/>
        <w:bottom w:val="none" w:sz="0" w:space="0" w:color="auto"/>
        <w:right w:val="none" w:sz="0" w:space="0" w:color="auto"/>
      </w:divBdr>
    </w:div>
    <w:div w:id="1684891846">
      <w:bodyDiv w:val="1"/>
      <w:marLeft w:val="0"/>
      <w:marRight w:val="0"/>
      <w:marTop w:val="0"/>
      <w:marBottom w:val="0"/>
      <w:divBdr>
        <w:top w:val="none" w:sz="0" w:space="0" w:color="auto"/>
        <w:left w:val="none" w:sz="0" w:space="0" w:color="auto"/>
        <w:bottom w:val="none" w:sz="0" w:space="0" w:color="auto"/>
        <w:right w:val="none" w:sz="0" w:space="0" w:color="auto"/>
      </w:divBdr>
    </w:div>
    <w:div w:id="1686248336">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3140663">
      <w:bodyDiv w:val="1"/>
      <w:marLeft w:val="0"/>
      <w:marRight w:val="0"/>
      <w:marTop w:val="0"/>
      <w:marBottom w:val="0"/>
      <w:divBdr>
        <w:top w:val="none" w:sz="0" w:space="0" w:color="auto"/>
        <w:left w:val="none" w:sz="0" w:space="0" w:color="auto"/>
        <w:bottom w:val="none" w:sz="0" w:space="0" w:color="auto"/>
        <w:right w:val="none" w:sz="0" w:space="0" w:color="auto"/>
      </w:divBdr>
    </w:div>
    <w:div w:id="1694652433">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0469868">
      <w:bodyDiv w:val="1"/>
      <w:marLeft w:val="0"/>
      <w:marRight w:val="0"/>
      <w:marTop w:val="0"/>
      <w:marBottom w:val="0"/>
      <w:divBdr>
        <w:top w:val="none" w:sz="0" w:space="0" w:color="auto"/>
        <w:left w:val="none" w:sz="0" w:space="0" w:color="auto"/>
        <w:bottom w:val="none" w:sz="0" w:space="0" w:color="auto"/>
        <w:right w:val="none" w:sz="0" w:space="0" w:color="auto"/>
      </w:divBdr>
    </w:div>
    <w:div w:id="1700617199">
      <w:bodyDiv w:val="1"/>
      <w:marLeft w:val="0"/>
      <w:marRight w:val="0"/>
      <w:marTop w:val="0"/>
      <w:marBottom w:val="0"/>
      <w:divBdr>
        <w:top w:val="none" w:sz="0" w:space="0" w:color="auto"/>
        <w:left w:val="none" w:sz="0" w:space="0" w:color="auto"/>
        <w:bottom w:val="none" w:sz="0" w:space="0" w:color="auto"/>
        <w:right w:val="none" w:sz="0" w:space="0" w:color="auto"/>
      </w:divBdr>
    </w:div>
    <w:div w:id="1700856432">
      <w:bodyDiv w:val="1"/>
      <w:marLeft w:val="0"/>
      <w:marRight w:val="0"/>
      <w:marTop w:val="0"/>
      <w:marBottom w:val="0"/>
      <w:divBdr>
        <w:top w:val="none" w:sz="0" w:space="0" w:color="auto"/>
        <w:left w:val="none" w:sz="0" w:space="0" w:color="auto"/>
        <w:bottom w:val="none" w:sz="0" w:space="0" w:color="auto"/>
        <w:right w:val="none" w:sz="0" w:space="0" w:color="auto"/>
      </w:divBdr>
    </w:div>
    <w:div w:id="1701006172">
      <w:bodyDiv w:val="1"/>
      <w:marLeft w:val="0"/>
      <w:marRight w:val="0"/>
      <w:marTop w:val="0"/>
      <w:marBottom w:val="0"/>
      <w:divBdr>
        <w:top w:val="none" w:sz="0" w:space="0" w:color="auto"/>
        <w:left w:val="none" w:sz="0" w:space="0" w:color="auto"/>
        <w:bottom w:val="none" w:sz="0" w:space="0" w:color="auto"/>
        <w:right w:val="none" w:sz="0" w:space="0" w:color="auto"/>
      </w:divBdr>
    </w:div>
    <w:div w:id="1703940751">
      <w:bodyDiv w:val="1"/>
      <w:marLeft w:val="0"/>
      <w:marRight w:val="0"/>
      <w:marTop w:val="0"/>
      <w:marBottom w:val="0"/>
      <w:divBdr>
        <w:top w:val="none" w:sz="0" w:space="0" w:color="auto"/>
        <w:left w:val="none" w:sz="0" w:space="0" w:color="auto"/>
        <w:bottom w:val="none" w:sz="0" w:space="0" w:color="auto"/>
        <w:right w:val="none" w:sz="0" w:space="0" w:color="auto"/>
      </w:divBdr>
    </w:div>
    <w:div w:id="1703945163">
      <w:bodyDiv w:val="1"/>
      <w:marLeft w:val="0"/>
      <w:marRight w:val="0"/>
      <w:marTop w:val="0"/>
      <w:marBottom w:val="0"/>
      <w:divBdr>
        <w:top w:val="none" w:sz="0" w:space="0" w:color="auto"/>
        <w:left w:val="none" w:sz="0" w:space="0" w:color="auto"/>
        <w:bottom w:val="none" w:sz="0" w:space="0" w:color="auto"/>
        <w:right w:val="none" w:sz="0" w:space="0" w:color="auto"/>
      </w:divBdr>
    </w:div>
    <w:div w:id="1705523814">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104280">
      <w:bodyDiv w:val="1"/>
      <w:marLeft w:val="0"/>
      <w:marRight w:val="0"/>
      <w:marTop w:val="0"/>
      <w:marBottom w:val="0"/>
      <w:divBdr>
        <w:top w:val="none" w:sz="0" w:space="0" w:color="auto"/>
        <w:left w:val="none" w:sz="0" w:space="0" w:color="auto"/>
        <w:bottom w:val="none" w:sz="0" w:space="0" w:color="auto"/>
        <w:right w:val="none" w:sz="0" w:space="0" w:color="auto"/>
      </w:divBdr>
    </w:div>
    <w:div w:id="170984215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84304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7146922">
      <w:bodyDiv w:val="1"/>
      <w:marLeft w:val="0"/>
      <w:marRight w:val="0"/>
      <w:marTop w:val="0"/>
      <w:marBottom w:val="0"/>
      <w:divBdr>
        <w:top w:val="none" w:sz="0" w:space="0" w:color="auto"/>
        <w:left w:val="none" w:sz="0" w:space="0" w:color="auto"/>
        <w:bottom w:val="none" w:sz="0" w:space="0" w:color="auto"/>
        <w:right w:val="none" w:sz="0" w:space="0" w:color="auto"/>
      </w:divBdr>
    </w:div>
    <w:div w:id="1733847522">
      <w:bodyDiv w:val="1"/>
      <w:marLeft w:val="0"/>
      <w:marRight w:val="0"/>
      <w:marTop w:val="0"/>
      <w:marBottom w:val="0"/>
      <w:divBdr>
        <w:top w:val="none" w:sz="0" w:space="0" w:color="auto"/>
        <w:left w:val="none" w:sz="0" w:space="0" w:color="auto"/>
        <w:bottom w:val="none" w:sz="0" w:space="0" w:color="auto"/>
        <w:right w:val="none" w:sz="0" w:space="0" w:color="auto"/>
      </w:divBdr>
    </w:div>
    <w:div w:id="1738015478">
      <w:bodyDiv w:val="1"/>
      <w:marLeft w:val="0"/>
      <w:marRight w:val="0"/>
      <w:marTop w:val="0"/>
      <w:marBottom w:val="0"/>
      <w:divBdr>
        <w:top w:val="none" w:sz="0" w:space="0" w:color="auto"/>
        <w:left w:val="none" w:sz="0" w:space="0" w:color="auto"/>
        <w:bottom w:val="none" w:sz="0" w:space="0" w:color="auto"/>
        <w:right w:val="none" w:sz="0" w:space="0" w:color="auto"/>
      </w:divBdr>
    </w:div>
    <w:div w:id="1738047123">
      <w:bodyDiv w:val="1"/>
      <w:marLeft w:val="0"/>
      <w:marRight w:val="0"/>
      <w:marTop w:val="0"/>
      <w:marBottom w:val="0"/>
      <w:divBdr>
        <w:top w:val="none" w:sz="0" w:space="0" w:color="auto"/>
        <w:left w:val="none" w:sz="0" w:space="0" w:color="auto"/>
        <w:bottom w:val="none" w:sz="0" w:space="0" w:color="auto"/>
        <w:right w:val="none" w:sz="0" w:space="0" w:color="auto"/>
      </w:divBdr>
    </w:div>
    <w:div w:id="1744641374">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3382615">
      <w:bodyDiv w:val="1"/>
      <w:marLeft w:val="0"/>
      <w:marRight w:val="0"/>
      <w:marTop w:val="0"/>
      <w:marBottom w:val="0"/>
      <w:divBdr>
        <w:top w:val="none" w:sz="0" w:space="0" w:color="auto"/>
        <w:left w:val="none" w:sz="0" w:space="0" w:color="auto"/>
        <w:bottom w:val="none" w:sz="0" w:space="0" w:color="auto"/>
        <w:right w:val="none" w:sz="0" w:space="0" w:color="auto"/>
      </w:divBdr>
    </w:div>
    <w:div w:id="1756241628">
      <w:bodyDiv w:val="1"/>
      <w:marLeft w:val="0"/>
      <w:marRight w:val="0"/>
      <w:marTop w:val="0"/>
      <w:marBottom w:val="0"/>
      <w:divBdr>
        <w:top w:val="none" w:sz="0" w:space="0" w:color="auto"/>
        <w:left w:val="none" w:sz="0" w:space="0" w:color="auto"/>
        <w:bottom w:val="none" w:sz="0" w:space="0" w:color="auto"/>
        <w:right w:val="none" w:sz="0" w:space="0" w:color="auto"/>
      </w:divBdr>
    </w:div>
    <w:div w:id="1766538076">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9550">
      <w:bodyDiv w:val="1"/>
      <w:marLeft w:val="0"/>
      <w:marRight w:val="0"/>
      <w:marTop w:val="0"/>
      <w:marBottom w:val="0"/>
      <w:divBdr>
        <w:top w:val="none" w:sz="0" w:space="0" w:color="auto"/>
        <w:left w:val="none" w:sz="0" w:space="0" w:color="auto"/>
        <w:bottom w:val="none" w:sz="0" w:space="0" w:color="auto"/>
        <w:right w:val="none" w:sz="0" w:space="0" w:color="auto"/>
      </w:divBdr>
    </w:div>
    <w:div w:id="1773278961">
      <w:bodyDiv w:val="1"/>
      <w:marLeft w:val="0"/>
      <w:marRight w:val="0"/>
      <w:marTop w:val="0"/>
      <w:marBottom w:val="0"/>
      <w:divBdr>
        <w:top w:val="none" w:sz="0" w:space="0" w:color="auto"/>
        <w:left w:val="none" w:sz="0" w:space="0" w:color="auto"/>
        <w:bottom w:val="none" w:sz="0" w:space="0" w:color="auto"/>
        <w:right w:val="none" w:sz="0" w:space="0" w:color="auto"/>
      </w:divBdr>
    </w:div>
    <w:div w:id="1773285021">
      <w:bodyDiv w:val="1"/>
      <w:marLeft w:val="0"/>
      <w:marRight w:val="0"/>
      <w:marTop w:val="0"/>
      <w:marBottom w:val="0"/>
      <w:divBdr>
        <w:top w:val="none" w:sz="0" w:space="0" w:color="auto"/>
        <w:left w:val="none" w:sz="0" w:space="0" w:color="auto"/>
        <w:bottom w:val="none" w:sz="0" w:space="0" w:color="auto"/>
        <w:right w:val="none" w:sz="0" w:space="0" w:color="auto"/>
      </w:divBdr>
    </w:div>
    <w:div w:id="1780294758">
      <w:bodyDiv w:val="1"/>
      <w:marLeft w:val="0"/>
      <w:marRight w:val="0"/>
      <w:marTop w:val="0"/>
      <w:marBottom w:val="0"/>
      <w:divBdr>
        <w:top w:val="none" w:sz="0" w:space="0" w:color="auto"/>
        <w:left w:val="none" w:sz="0" w:space="0" w:color="auto"/>
        <w:bottom w:val="none" w:sz="0" w:space="0" w:color="auto"/>
        <w:right w:val="none" w:sz="0" w:space="0" w:color="auto"/>
      </w:divBdr>
    </w:div>
    <w:div w:id="1784306525">
      <w:bodyDiv w:val="1"/>
      <w:marLeft w:val="0"/>
      <w:marRight w:val="0"/>
      <w:marTop w:val="0"/>
      <w:marBottom w:val="0"/>
      <w:divBdr>
        <w:top w:val="none" w:sz="0" w:space="0" w:color="auto"/>
        <w:left w:val="none" w:sz="0" w:space="0" w:color="auto"/>
        <w:bottom w:val="none" w:sz="0" w:space="0" w:color="auto"/>
        <w:right w:val="none" w:sz="0" w:space="0" w:color="auto"/>
      </w:divBdr>
    </w:div>
    <w:div w:id="1787263208">
      <w:bodyDiv w:val="1"/>
      <w:marLeft w:val="0"/>
      <w:marRight w:val="0"/>
      <w:marTop w:val="0"/>
      <w:marBottom w:val="0"/>
      <w:divBdr>
        <w:top w:val="none" w:sz="0" w:space="0" w:color="auto"/>
        <w:left w:val="none" w:sz="0" w:space="0" w:color="auto"/>
        <w:bottom w:val="none" w:sz="0" w:space="0" w:color="auto"/>
        <w:right w:val="none" w:sz="0" w:space="0" w:color="auto"/>
      </w:divBdr>
    </w:div>
    <w:div w:id="179124411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798644488">
      <w:bodyDiv w:val="1"/>
      <w:marLeft w:val="0"/>
      <w:marRight w:val="0"/>
      <w:marTop w:val="0"/>
      <w:marBottom w:val="0"/>
      <w:divBdr>
        <w:top w:val="none" w:sz="0" w:space="0" w:color="auto"/>
        <w:left w:val="none" w:sz="0" w:space="0" w:color="auto"/>
        <w:bottom w:val="none" w:sz="0" w:space="0" w:color="auto"/>
        <w:right w:val="none" w:sz="0" w:space="0" w:color="auto"/>
      </w:divBdr>
    </w:div>
    <w:div w:id="1799951490">
      <w:bodyDiv w:val="1"/>
      <w:marLeft w:val="0"/>
      <w:marRight w:val="0"/>
      <w:marTop w:val="0"/>
      <w:marBottom w:val="0"/>
      <w:divBdr>
        <w:top w:val="none" w:sz="0" w:space="0" w:color="auto"/>
        <w:left w:val="none" w:sz="0" w:space="0" w:color="auto"/>
        <w:bottom w:val="none" w:sz="0" w:space="0" w:color="auto"/>
        <w:right w:val="none" w:sz="0" w:space="0" w:color="auto"/>
      </w:divBdr>
    </w:div>
    <w:div w:id="1807119445">
      <w:bodyDiv w:val="1"/>
      <w:marLeft w:val="0"/>
      <w:marRight w:val="0"/>
      <w:marTop w:val="0"/>
      <w:marBottom w:val="0"/>
      <w:divBdr>
        <w:top w:val="none" w:sz="0" w:space="0" w:color="auto"/>
        <w:left w:val="none" w:sz="0" w:space="0" w:color="auto"/>
        <w:bottom w:val="none" w:sz="0" w:space="0" w:color="auto"/>
        <w:right w:val="none" w:sz="0" w:space="0" w:color="auto"/>
      </w:divBdr>
    </w:div>
    <w:div w:id="1811511215">
      <w:bodyDiv w:val="1"/>
      <w:marLeft w:val="0"/>
      <w:marRight w:val="0"/>
      <w:marTop w:val="0"/>
      <w:marBottom w:val="0"/>
      <w:divBdr>
        <w:top w:val="none" w:sz="0" w:space="0" w:color="auto"/>
        <w:left w:val="none" w:sz="0" w:space="0" w:color="auto"/>
        <w:bottom w:val="none" w:sz="0" w:space="0" w:color="auto"/>
        <w:right w:val="none" w:sz="0" w:space="0" w:color="auto"/>
      </w:divBdr>
    </w:div>
    <w:div w:id="1814524932">
      <w:bodyDiv w:val="1"/>
      <w:marLeft w:val="0"/>
      <w:marRight w:val="0"/>
      <w:marTop w:val="0"/>
      <w:marBottom w:val="0"/>
      <w:divBdr>
        <w:top w:val="none" w:sz="0" w:space="0" w:color="auto"/>
        <w:left w:val="none" w:sz="0" w:space="0" w:color="auto"/>
        <w:bottom w:val="none" w:sz="0" w:space="0" w:color="auto"/>
        <w:right w:val="none" w:sz="0" w:space="0" w:color="auto"/>
      </w:divBdr>
    </w:div>
    <w:div w:id="1817068741">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57558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5661665">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9666052">
      <w:bodyDiv w:val="1"/>
      <w:marLeft w:val="0"/>
      <w:marRight w:val="0"/>
      <w:marTop w:val="0"/>
      <w:marBottom w:val="0"/>
      <w:divBdr>
        <w:top w:val="none" w:sz="0" w:space="0" w:color="auto"/>
        <w:left w:val="none" w:sz="0" w:space="0" w:color="auto"/>
        <w:bottom w:val="none" w:sz="0" w:space="0" w:color="auto"/>
        <w:right w:val="none" w:sz="0" w:space="0" w:color="auto"/>
      </w:divBdr>
    </w:div>
    <w:div w:id="1831872284">
      <w:bodyDiv w:val="1"/>
      <w:marLeft w:val="0"/>
      <w:marRight w:val="0"/>
      <w:marTop w:val="0"/>
      <w:marBottom w:val="0"/>
      <w:divBdr>
        <w:top w:val="none" w:sz="0" w:space="0" w:color="auto"/>
        <w:left w:val="none" w:sz="0" w:space="0" w:color="auto"/>
        <w:bottom w:val="none" w:sz="0" w:space="0" w:color="auto"/>
        <w:right w:val="none" w:sz="0" w:space="0" w:color="auto"/>
      </w:divBdr>
    </w:div>
    <w:div w:id="1832984962">
      <w:bodyDiv w:val="1"/>
      <w:marLeft w:val="0"/>
      <w:marRight w:val="0"/>
      <w:marTop w:val="0"/>
      <w:marBottom w:val="0"/>
      <w:divBdr>
        <w:top w:val="none" w:sz="0" w:space="0" w:color="auto"/>
        <w:left w:val="none" w:sz="0" w:space="0" w:color="auto"/>
        <w:bottom w:val="none" w:sz="0" w:space="0" w:color="auto"/>
        <w:right w:val="none" w:sz="0" w:space="0" w:color="auto"/>
      </w:divBdr>
    </w:div>
    <w:div w:id="1838231111">
      <w:bodyDiv w:val="1"/>
      <w:marLeft w:val="0"/>
      <w:marRight w:val="0"/>
      <w:marTop w:val="0"/>
      <w:marBottom w:val="0"/>
      <w:divBdr>
        <w:top w:val="none" w:sz="0" w:space="0" w:color="auto"/>
        <w:left w:val="none" w:sz="0" w:space="0" w:color="auto"/>
        <w:bottom w:val="none" w:sz="0" w:space="0" w:color="auto"/>
        <w:right w:val="none" w:sz="0" w:space="0" w:color="auto"/>
      </w:divBdr>
    </w:div>
    <w:div w:id="184085266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6094510">
      <w:bodyDiv w:val="1"/>
      <w:marLeft w:val="0"/>
      <w:marRight w:val="0"/>
      <w:marTop w:val="0"/>
      <w:marBottom w:val="0"/>
      <w:divBdr>
        <w:top w:val="none" w:sz="0" w:space="0" w:color="auto"/>
        <w:left w:val="none" w:sz="0" w:space="0" w:color="auto"/>
        <w:bottom w:val="none" w:sz="0" w:space="0" w:color="auto"/>
        <w:right w:val="none" w:sz="0" w:space="0" w:color="auto"/>
      </w:divBdr>
    </w:div>
    <w:div w:id="1847013128">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51017601">
      <w:bodyDiv w:val="1"/>
      <w:marLeft w:val="0"/>
      <w:marRight w:val="0"/>
      <w:marTop w:val="0"/>
      <w:marBottom w:val="0"/>
      <w:divBdr>
        <w:top w:val="none" w:sz="0" w:space="0" w:color="auto"/>
        <w:left w:val="none" w:sz="0" w:space="0" w:color="auto"/>
        <w:bottom w:val="none" w:sz="0" w:space="0" w:color="auto"/>
        <w:right w:val="none" w:sz="0" w:space="0" w:color="auto"/>
      </w:divBdr>
    </w:div>
    <w:div w:id="1860702774">
      <w:bodyDiv w:val="1"/>
      <w:marLeft w:val="0"/>
      <w:marRight w:val="0"/>
      <w:marTop w:val="0"/>
      <w:marBottom w:val="0"/>
      <w:divBdr>
        <w:top w:val="none" w:sz="0" w:space="0" w:color="auto"/>
        <w:left w:val="none" w:sz="0" w:space="0" w:color="auto"/>
        <w:bottom w:val="none" w:sz="0" w:space="0" w:color="auto"/>
        <w:right w:val="none" w:sz="0" w:space="0" w:color="auto"/>
      </w:divBdr>
    </w:div>
    <w:div w:id="1863320669">
      <w:bodyDiv w:val="1"/>
      <w:marLeft w:val="0"/>
      <w:marRight w:val="0"/>
      <w:marTop w:val="0"/>
      <w:marBottom w:val="0"/>
      <w:divBdr>
        <w:top w:val="none" w:sz="0" w:space="0" w:color="auto"/>
        <w:left w:val="none" w:sz="0" w:space="0" w:color="auto"/>
        <w:bottom w:val="none" w:sz="0" w:space="0" w:color="auto"/>
        <w:right w:val="none" w:sz="0" w:space="0" w:color="auto"/>
      </w:divBdr>
    </w:div>
    <w:div w:id="186509441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715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5003340">
      <w:bodyDiv w:val="1"/>
      <w:marLeft w:val="0"/>
      <w:marRight w:val="0"/>
      <w:marTop w:val="0"/>
      <w:marBottom w:val="0"/>
      <w:divBdr>
        <w:top w:val="none" w:sz="0" w:space="0" w:color="auto"/>
        <w:left w:val="none" w:sz="0" w:space="0" w:color="auto"/>
        <w:bottom w:val="none" w:sz="0" w:space="0" w:color="auto"/>
        <w:right w:val="none" w:sz="0" w:space="0" w:color="auto"/>
      </w:divBdr>
    </w:div>
    <w:div w:id="1875725745">
      <w:bodyDiv w:val="1"/>
      <w:marLeft w:val="0"/>
      <w:marRight w:val="0"/>
      <w:marTop w:val="0"/>
      <w:marBottom w:val="0"/>
      <w:divBdr>
        <w:top w:val="none" w:sz="0" w:space="0" w:color="auto"/>
        <w:left w:val="none" w:sz="0" w:space="0" w:color="auto"/>
        <w:bottom w:val="none" w:sz="0" w:space="0" w:color="auto"/>
        <w:right w:val="none" w:sz="0" w:space="0" w:color="auto"/>
      </w:divBdr>
    </w:div>
    <w:div w:id="1876773066">
      <w:bodyDiv w:val="1"/>
      <w:marLeft w:val="0"/>
      <w:marRight w:val="0"/>
      <w:marTop w:val="0"/>
      <w:marBottom w:val="0"/>
      <w:divBdr>
        <w:top w:val="none" w:sz="0" w:space="0" w:color="auto"/>
        <w:left w:val="none" w:sz="0" w:space="0" w:color="auto"/>
        <w:bottom w:val="none" w:sz="0" w:space="0" w:color="auto"/>
        <w:right w:val="none" w:sz="0" w:space="0" w:color="auto"/>
      </w:divBdr>
    </w:div>
    <w:div w:id="1878085170">
      <w:bodyDiv w:val="1"/>
      <w:marLeft w:val="0"/>
      <w:marRight w:val="0"/>
      <w:marTop w:val="0"/>
      <w:marBottom w:val="0"/>
      <w:divBdr>
        <w:top w:val="none" w:sz="0" w:space="0" w:color="auto"/>
        <w:left w:val="none" w:sz="0" w:space="0" w:color="auto"/>
        <w:bottom w:val="none" w:sz="0" w:space="0" w:color="auto"/>
        <w:right w:val="none" w:sz="0" w:space="0" w:color="auto"/>
      </w:divBdr>
    </w:div>
    <w:div w:id="1885630370">
      <w:bodyDiv w:val="1"/>
      <w:marLeft w:val="0"/>
      <w:marRight w:val="0"/>
      <w:marTop w:val="0"/>
      <w:marBottom w:val="0"/>
      <w:divBdr>
        <w:top w:val="none" w:sz="0" w:space="0" w:color="auto"/>
        <w:left w:val="none" w:sz="0" w:space="0" w:color="auto"/>
        <w:bottom w:val="none" w:sz="0" w:space="0" w:color="auto"/>
        <w:right w:val="none" w:sz="0" w:space="0" w:color="auto"/>
      </w:divBdr>
    </w:div>
    <w:div w:id="1889562884">
      <w:bodyDiv w:val="1"/>
      <w:marLeft w:val="0"/>
      <w:marRight w:val="0"/>
      <w:marTop w:val="0"/>
      <w:marBottom w:val="0"/>
      <w:divBdr>
        <w:top w:val="none" w:sz="0" w:space="0" w:color="auto"/>
        <w:left w:val="none" w:sz="0" w:space="0" w:color="auto"/>
        <w:bottom w:val="none" w:sz="0" w:space="0" w:color="auto"/>
        <w:right w:val="none" w:sz="0" w:space="0" w:color="auto"/>
      </w:divBdr>
    </w:div>
    <w:div w:id="1891721826">
      <w:bodyDiv w:val="1"/>
      <w:marLeft w:val="0"/>
      <w:marRight w:val="0"/>
      <w:marTop w:val="0"/>
      <w:marBottom w:val="0"/>
      <w:divBdr>
        <w:top w:val="none" w:sz="0" w:space="0" w:color="auto"/>
        <w:left w:val="none" w:sz="0" w:space="0" w:color="auto"/>
        <w:bottom w:val="none" w:sz="0" w:space="0" w:color="auto"/>
        <w:right w:val="none" w:sz="0" w:space="0" w:color="auto"/>
      </w:divBdr>
    </w:div>
    <w:div w:id="1894654535">
      <w:bodyDiv w:val="1"/>
      <w:marLeft w:val="0"/>
      <w:marRight w:val="0"/>
      <w:marTop w:val="0"/>
      <w:marBottom w:val="0"/>
      <w:divBdr>
        <w:top w:val="none" w:sz="0" w:space="0" w:color="auto"/>
        <w:left w:val="none" w:sz="0" w:space="0" w:color="auto"/>
        <w:bottom w:val="none" w:sz="0" w:space="0" w:color="auto"/>
        <w:right w:val="none" w:sz="0" w:space="0" w:color="auto"/>
      </w:divBdr>
    </w:div>
    <w:div w:id="1901793567">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007487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9246001">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6132">
      <w:bodyDiv w:val="1"/>
      <w:marLeft w:val="0"/>
      <w:marRight w:val="0"/>
      <w:marTop w:val="0"/>
      <w:marBottom w:val="0"/>
      <w:divBdr>
        <w:top w:val="none" w:sz="0" w:space="0" w:color="auto"/>
        <w:left w:val="none" w:sz="0" w:space="0" w:color="auto"/>
        <w:bottom w:val="none" w:sz="0" w:space="0" w:color="auto"/>
        <w:right w:val="none" w:sz="0" w:space="0" w:color="auto"/>
      </w:divBdr>
    </w:div>
    <w:div w:id="1936743846">
      <w:bodyDiv w:val="1"/>
      <w:marLeft w:val="0"/>
      <w:marRight w:val="0"/>
      <w:marTop w:val="0"/>
      <w:marBottom w:val="0"/>
      <w:divBdr>
        <w:top w:val="none" w:sz="0" w:space="0" w:color="auto"/>
        <w:left w:val="none" w:sz="0" w:space="0" w:color="auto"/>
        <w:bottom w:val="none" w:sz="0" w:space="0" w:color="auto"/>
        <w:right w:val="none" w:sz="0" w:space="0" w:color="auto"/>
      </w:divBdr>
    </w:div>
    <w:div w:id="1944460908">
      <w:bodyDiv w:val="1"/>
      <w:marLeft w:val="0"/>
      <w:marRight w:val="0"/>
      <w:marTop w:val="0"/>
      <w:marBottom w:val="0"/>
      <w:divBdr>
        <w:top w:val="none" w:sz="0" w:space="0" w:color="auto"/>
        <w:left w:val="none" w:sz="0" w:space="0" w:color="auto"/>
        <w:bottom w:val="none" w:sz="0" w:space="0" w:color="auto"/>
        <w:right w:val="none" w:sz="0" w:space="0" w:color="auto"/>
      </w:divBdr>
    </w:div>
    <w:div w:id="1949652316">
      <w:bodyDiv w:val="1"/>
      <w:marLeft w:val="0"/>
      <w:marRight w:val="0"/>
      <w:marTop w:val="0"/>
      <w:marBottom w:val="0"/>
      <w:divBdr>
        <w:top w:val="none" w:sz="0" w:space="0" w:color="auto"/>
        <w:left w:val="none" w:sz="0" w:space="0" w:color="auto"/>
        <w:bottom w:val="none" w:sz="0" w:space="0" w:color="auto"/>
        <w:right w:val="none" w:sz="0" w:space="0" w:color="auto"/>
      </w:divBdr>
    </w:div>
    <w:div w:id="1951429633">
      <w:bodyDiv w:val="1"/>
      <w:marLeft w:val="0"/>
      <w:marRight w:val="0"/>
      <w:marTop w:val="0"/>
      <w:marBottom w:val="0"/>
      <w:divBdr>
        <w:top w:val="none" w:sz="0" w:space="0" w:color="auto"/>
        <w:left w:val="none" w:sz="0" w:space="0" w:color="auto"/>
        <w:bottom w:val="none" w:sz="0" w:space="0" w:color="auto"/>
        <w:right w:val="none" w:sz="0" w:space="0" w:color="auto"/>
      </w:divBdr>
    </w:div>
    <w:div w:id="1953196790">
      <w:bodyDiv w:val="1"/>
      <w:marLeft w:val="0"/>
      <w:marRight w:val="0"/>
      <w:marTop w:val="0"/>
      <w:marBottom w:val="0"/>
      <w:divBdr>
        <w:top w:val="none" w:sz="0" w:space="0" w:color="auto"/>
        <w:left w:val="none" w:sz="0" w:space="0" w:color="auto"/>
        <w:bottom w:val="none" w:sz="0" w:space="0" w:color="auto"/>
        <w:right w:val="none" w:sz="0" w:space="0" w:color="auto"/>
      </w:divBdr>
    </w:div>
    <w:div w:id="1954049254">
      <w:bodyDiv w:val="1"/>
      <w:marLeft w:val="0"/>
      <w:marRight w:val="0"/>
      <w:marTop w:val="0"/>
      <w:marBottom w:val="0"/>
      <w:divBdr>
        <w:top w:val="none" w:sz="0" w:space="0" w:color="auto"/>
        <w:left w:val="none" w:sz="0" w:space="0" w:color="auto"/>
        <w:bottom w:val="none" w:sz="0" w:space="0" w:color="auto"/>
        <w:right w:val="none" w:sz="0" w:space="0" w:color="auto"/>
      </w:divBdr>
    </w:div>
    <w:div w:id="195659129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7476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812373">
      <w:bodyDiv w:val="1"/>
      <w:marLeft w:val="0"/>
      <w:marRight w:val="0"/>
      <w:marTop w:val="0"/>
      <w:marBottom w:val="0"/>
      <w:divBdr>
        <w:top w:val="none" w:sz="0" w:space="0" w:color="auto"/>
        <w:left w:val="none" w:sz="0" w:space="0" w:color="auto"/>
        <w:bottom w:val="none" w:sz="0" w:space="0" w:color="auto"/>
        <w:right w:val="none" w:sz="0" w:space="0" w:color="auto"/>
      </w:divBdr>
    </w:div>
    <w:div w:id="1989161844">
      <w:bodyDiv w:val="1"/>
      <w:marLeft w:val="0"/>
      <w:marRight w:val="0"/>
      <w:marTop w:val="0"/>
      <w:marBottom w:val="0"/>
      <w:divBdr>
        <w:top w:val="none" w:sz="0" w:space="0" w:color="auto"/>
        <w:left w:val="none" w:sz="0" w:space="0" w:color="auto"/>
        <w:bottom w:val="none" w:sz="0" w:space="0" w:color="auto"/>
        <w:right w:val="none" w:sz="0" w:space="0" w:color="auto"/>
      </w:divBdr>
    </w:div>
    <w:div w:id="1989280303">
      <w:bodyDiv w:val="1"/>
      <w:marLeft w:val="0"/>
      <w:marRight w:val="0"/>
      <w:marTop w:val="0"/>
      <w:marBottom w:val="0"/>
      <w:divBdr>
        <w:top w:val="none" w:sz="0" w:space="0" w:color="auto"/>
        <w:left w:val="none" w:sz="0" w:space="0" w:color="auto"/>
        <w:bottom w:val="none" w:sz="0" w:space="0" w:color="auto"/>
        <w:right w:val="none" w:sz="0" w:space="0" w:color="auto"/>
      </w:divBdr>
    </w:div>
    <w:div w:id="1991012875">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3483762">
      <w:bodyDiv w:val="1"/>
      <w:marLeft w:val="0"/>
      <w:marRight w:val="0"/>
      <w:marTop w:val="0"/>
      <w:marBottom w:val="0"/>
      <w:divBdr>
        <w:top w:val="none" w:sz="0" w:space="0" w:color="auto"/>
        <w:left w:val="none" w:sz="0" w:space="0" w:color="auto"/>
        <w:bottom w:val="none" w:sz="0" w:space="0" w:color="auto"/>
        <w:right w:val="none" w:sz="0" w:space="0" w:color="auto"/>
      </w:divBdr>
    </w:div>
    <w:div w:id="1994797152">
      <w:bodyDiv w:val="1"/>
      <w:marLeft w:val="0"/>
      <w:marRight w:val="0"/>
      <w:marTop w:val="0"/>
      <w:marBottom w:val="0"/>
      <w:divBdr>
        <w:top w:val="none" w:sz="0" w:space="0" w:color="auto"/>
        <w:left w:val="none" w:sz="0" w:space="0" w:color="auto"/>
        <w:bottom w:val="none" w:sz="0" w:space="0" w:color="auto"/>
        <w:right w:val="none" w:sz="0" w:space="0" w:color="auto"/>
      </w:divBdr>
    </w:div>
    <w:div w:id="1997417601">
      <w:bodyDiv w:val="1"/>
      <w:marLeft w:val="0"/>
      <w:marRight w:val="0"/>
      <w:marTop w:val="0"/>
      <w:marBottom w:val="0"/>
      <w:divBdr>
        <w:top w:val="none" w:sz="0" w:space="0" w:color="auto"/>
        <w:left w:val="none" w:sz="0" w:space="0" w:color="auto"/>
        <w:bottom w:val="none" w:sz="0" w:space="0" w:color="auto"/>
        <w:right w:val="none" w:sz="0" w:space="0" w:color="auto"/>
      </w:divBdr>
    </w:div>
    <w:div w:id="1997757206">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67964">
      <w:bodyDiv w:val="1"/>
      <w:marLeft w:val="0"/>
      <w:marRight w:val="0"/>
      <w:marTop w:val="0"/>
      <w:marBottom w:val="0"/>
      <w:divBdr>
        <w:top w:val="none" w:sz="0" w:space="0" w:color="auto"/>
        <w:left w:val="none" w:sz="0" w:space="0" w:color="auto"/>
        <w:bottom w:val="none" w:sz="0" w:space="0" w:color="auto"/>
        <w:right w:val="none" w:sz="0" w:space="0" w:color="auto"/>
      </w:divBdr>
    </w:div>
    <w:div w:id="1999264148">
      <w:bodyDiv w:val="1"/>
      <w:marLeft w:val="0"/>
      <w:marRight w:val="0"/>
      <w:marTop w:val="0"/>
      <w:marBottom w:val="0"/>
      <w:divBdr>
        <w:top w:val="none" w:sz="0" w:space="0" w:color="auto"/>
        <w:left w:val="none" w:sz="0" w:space="0" w:color="auto"/>
        <w:bottom w:val="none" w:sz="0" w:space="0" w:color="auto"/>
        <w:right w:val="none" w:sz="0" w:space="0" w:color="auto"/>
      </w:divBdr>
    </w:div>
    <w:div w:id="2000226862">
      <w:bodyDiv w:val="1"/>
      <w:marLeft w:val="0"/>
      <w:marRight w:val="0"/>
      <w:marTop w:val="0"/>
      <w:marBottom w:val="0"/>
      <w:divBdr>
        <w:top w:val="none" w:sz="0" w:space="0" w:color="auto"/>
        <w:left w:val="none" w:sz="0" w:space="0" w:color="auto"/>
        <w:bottom w:val="none" w:sz="0" w:space="0" w:color="auto"/>
        <w:right w:val="none" w:sz="0" w:space="0" w:color="auto"/>
      </w:divBdr>
    </w:div>
    <w:div w:id="20003075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4509627">
      <w:bodyDiv w:val="1"/>
      <w:marLeft w:val="0"/>
      <w:marRight w:val="0"/>
      <w:marTop w:val="0"/>
      <w:marBottom w:val="0"/>
      <w:divBdr>
        <w:top w:val="none" w:sz="0" w:space="0" w:color="auto"/>
        <w:left w:val="none" w:sz="0" w:space="0" w:color="auto"/>
        <w:bottom w:val="none" w:sz="0" w:space="0" w:color="auto"/>
        <w:right w:val="none" w:sz="0" w:space="0" w:color="auto"/>
      </w:divBdr>
    </w:div>
    <w:div w:id="2005476596">
      <w:bodyDiv w:val="1"/>
      <w:marLeft w:val="0"/>
      <w:marRight w:val="0"/>
      <w:marTop w:val="0"/>
      <w:marBottom w:val="0"/>
      <w:divBdr>
        <w:top w:val="none" w:sz="0" w:space="0" w:color="auto"/>
        <w:left w:val="none" w:sz="0" w:space="0" w:color="auto"/>
        <w:bottom w:val="none" w:sz="0" w:space="0" w:color="auto"/>
        <w:right w:val="none" w:sz="0" w:space="0" w:color="auto"/>
      </w:divBdr>
    </w:div>
    <w:div w:id="2007122725">
      <w:bodyDiv w:val="1"/>
      <w:marLeft w:val="0"/>
      <w:marRight w:val="0"/>
      <w:marTop w:val="0"/>
      <w:marBottom w:val="0"/>
      <w:divBdr>
        <w:top w:val="none" w:sz="0" w:space="0" w:color="auto"/>
        <w:left w:val="none" w:sz="0" w:space="0" w:color="auto"/>
        <w:bottom w:val="none" w:sz="0" w:space="0" w:color="auto"/>
        <w:right w:val="none" w:sz="0" w:space="0" w:color="auto"/>
      </w:divBdr>
    </w:div>
    <w:div w:id="2012441733">
      <w:bodyDiv w:val="1"/>
      <w:marLeft w:val="0"/>
      <w:marRight w:val="0"/>
      <w:marTop w:val="0"/>
      <w:marBottom w:val="0"/>
      <w:divBdr>
        <w:top w:val="none" w:sz="0" w:space="0" w:color="auto"/>
        <w:left w:val="none" w:sz="0" w:space="0" w:color="auto"/>
        <w:bottom w:val="none" w:sz="0" w:space="0" w:color="auto"/>
        <w:right w:val="none" w:sz="0" w:space="0" w:color="auto"/>
      </w:divBdr>
    </w:div>
    <w:div w:id="2014842350">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28483507">
      <w:bodyDiv w:val="1"/>
      <w:marLeft w:val="0"/>
      <w:marRight w:val="0"/>
      <w:marTop w:val="0"/>
      <w:marBottom w:val="0"/>
      <w:divBdr>
        <w:top w:val="none" w:sz="0" w:space="0" w:color="auto"/>
        <w:left w:val="none" w:sz="0" w:space="0" w:color="auto"/>
        <w:bottom w:val="none" w:sz="0" w:space="0" w:color="auto"/>
        <w:right w:val="none" w:sz="0" w:space="0" w:color="auto"/>
      </w:divBdr>
    </w:div>
    <w:div w:id="2031758183">
      <w:bodyDiv w:val="1"/>
      <w:marLeft w:val="0"/>
      <w:marRight w:val="0"/>
      <w:marTop w:val="0"/>
      <w:marBottom w:val="0"/>
      <w:divBdr>
        <w:top w:val="none" w:sz="0" w:space="0" w:color="auto"/>
        <w:left w:val="none" w:sz="0" w:space="0" w:color="auto"/>
        <w:bottom w:val="none" w:sz="0" w:space="0" w:color="auto"/>
        <w:right w:val="none" w:sz="0" w:space="0" w:color="auto"/>
      </w:divBdr>
    </w:div>
    <w:div w:id="2032341706">
      <w:bodyDiv w:val="1"/>
      <w:marLeft w:val="0"/>
      <w:marRight w:val="0"/>
      <w:marTop w:val="0"/>
      <w:marBottom w:val="0"/>
      <w:divBdr>
        <w:top w:val="none" w:sz="0" w:space="0" w:color="auto"/>
        <w:left w:val="none" w:sz="0" w:space="0" w:color="auto"/>
        <w:bottom w:val="none" w:sz="0" w:space="0" w:color="auto"/>
        <w:right w:val="none" w:sz="0" w:space="0" w:color="auto"/>
      </w:divBdr>
    </w:div>
    <w:div w:id="2032878657">
      <w:bodyDiv w:val="1"/>
      <w:marLeft w:val="0"/>
      <w:marRight w:val="0"/>
      <w:marTop w:val="0"/>
      <w:marBottom w:val="0"/>
      <w:divBdr>
        <w:top w:val="none" w:sz="0" w:space="0" w:color="auto"/>
        <w:left w:val="none" w:sz="0" w:space="0" w:color="auto"/>
        <w:bottom w:val="none" w:sz="0" w:space="0" w:color="auto"/>
        <w:right w:val="none" w:sz="0" w:space="0" w:color="auto"/>
      </w:divBdr>
    </w:div>
    <w:div w:id="2035112616">
      <w:bodyDiv w:val="1"/>
      <w:marLeft w:val="0"/>
      <w:marRight w:val="0"/>
      <w:marTop w:val="0"/>
      <w:marBottom w:val="0"/>
      <w:divBdr>
        <w:top w:val="none" w:sz="0" w:space="0" w:color="auto"/>
        <w:left w:val="none" w:sz="0" w:space="0" w:color="auto"/>
        <w:bottom w:val="none" w:sz="0" w:space="0" w:color="auto"/>
        <w:right w:val="none" w:sz="0" w:space="0" w:color="auto"/>
      </w:divBdr>
    </w:div>
    <w:div w:id="203804188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3898388">
      <w:bodyDiv w:val="1"/>
      <w:marLeft w:val="0"/>
      <w:marRight w:val="0"/>
      <w:marTop w:val="0"/>
      <w:marBottom w:val="0"/>
      <w:divBdr>
        <w:top w:val="none" w:sz="0" w:space="0" w:color="auto"/>
        <w:left w:val="none" w:sz="0" w:space="0" w:color="auto"/>
        <w:bottom w:val="none" w:sz="0" w:space="0" w:color="auto"/>
        <w:right w:val="none" w:sz="0" w:space="0" w:color="auto"/>
      </w:divBdr>
    </w:div>
    <w:div w:id="2045060173">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6365870">
      <w:bodyDiv w:val="1"/>
      <w:marLeft w:val="0"/>
      <w:marRight w:val="0"/>
      <w:marTop w:val="0"/>
      <w:marBottom w:val="0"/>
      <w:divBdr>
        <w:top w:val="none" w:sz="0" w:space="0" w:color="auto"/>
        <w:left w:val="none" w:sz="0" w:space="0" w:color="auto"/>
        <w:bottom w:val="none" w:sz="0" w:space="0" w:color="auto"/>
        <w:right w:val="none" w:sz="0" w:space="0" w:color="auto"/>
      </w:divBdr>
    </w:div>
    <w:div w:id="204775523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449459">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067696">
      <w:bodyDiv w:val="1"/>
      <w:marLeft w:val="0"/>
      <w:marRight w:val="0"/>
      <w:marTop w:val="0"/>
      <w:marBottom w:val="0"/>
      <w:divBdr>
        <w:top w:val="none" w:sz="0" w:space="0" w:color="auto"/>
        <w:left w:val="none" w:sz="0" w:space="0" w:color="auto"/>
        <w:bottom w:val="none" w:sz="0" w:space="0" w:color="auto"/>
        <w:right w:val="none" w:sz="0" w:space="0" w:color="auto"/>
      </w:divBdr>
    </w:div>
    <w:div w:id="2052488979">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2729249">
      <w:bodyDiv w:val="1"/>
      <w:marLeft w:val="0"/>
      <w:marRight w:val="0"/>
      <w:marTop w:val="0"/>
      <w:marBottom w:val="0"/>
      <w:divBdr>
        <w:top w:val="none" w:sz="0" w:space="0" w:color="auto"/>
        <w:left w:val="none" w:sz="0" w:space="0" w:color="auto"/>
        <w:bottom w:val="none" w:sz="0" w:space="0" w:color="auto"/>
        <w:right w:val="none" w:sz="0" w:space="0" w:color="auto"/>
      </w:divBdr>
    </w:div>
    <w:div w:id="205488803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0976544">
      <w:bodyDiv w:val="1"/>
      <w:marLeft w:val="0"/>
      <w:marRight w:val="0"/>
      <w:marTop w:val="0"/>
      <w:marBottom w:val="0"/>
      <w:divBdr>
        <w:top w:val="none" w:sz="0" w:space="0" w:color="auto"/>
        <w:left w:val="none" w:sz="0" w:space="0" w:color="auto"/>
        <w:bottom w:val="none" w:sz="0" w:space="0" w:color="auto"/>
        <w:right w:val="none" w:sz="0" w:space="0" w:color="auto"/>
      </w:divBdr>
    </w:div>
    <w:div w:id="20640204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68526506">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78823872">
      <w:bodyDiv w:val="1"/>
      <w:marLeft w:val="0"/>
      <w:marRight w:val="0"/>
      <w:marTop w:val="0"/>
      <w:marBottom w:val="0"/>
      <w:divBdr>
        <w:top w:val="none" w:sz="0" w:space="0" w:color="auto"/>
        <w:left w:val="none" w:sz="0" w:space="0" w:color="auto"/>
        <w:bottom w:val="none" w:sz="0" w:space="0" w:color="auto"/>
        <w:right w:val="none" w:sz="0" w:space="0" w:color="auto"/>
      </w:divBdr>
    </w:div>
    <w:div w:id="2081511817">
      <w:bodyDiv w:val="1"/>
      <w:marLeft w:val="0"/>
      <w:marRight w:val="0"/>
      <w:marTop w:val="0"/>
      <w:marBottom w:val="0"/>
      <w:divBdr>
        <w:top w:val="none" w:sz="0" w:space="0" w:color="auto"/>
        <w:left w:val="none" w:sz="0" w:space="0" w:color="auto"/>
        <w:bottom w:val="none" w:sz="0" w:space="0" w:color="auto"/>
        <w:right w:val="none" w:sz="0" w:space="0" w:color="auto"/>
      </w:divBdr>
    </w:div>
    <w:div w:id="2088572674">
      <w:bodyDiv w:val="1"/>
      <w:marLeft w:val="0"/>
      <w:marRight w:val="0"/>
      <w:marTop w:val="0"/>
      <w:marBottom w:val="0"/>
      <w:divBdr>
        <w:top w:val="none" w:sz="0" w:space="0" w:color="auto"/>
        <w:left w:val="none" w:sz="0" w:space="0" w:color="auto"/>
        <w:bottom w:val="none" w:sz="0" w:space="0" w:color="auto"/>
        <w:right w:val="none" w:sz="0" w:space="0" w:color="auto"/>
      </w:divBdr>
    </w:div>
    <w:div w:id="209377351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859043">
      <w:bodyDiv w:val="1"/>
      <w:marLeft w:val="0"/>
      <w:marRight w:val="0"/>
      <w:marTop w:val="0"/>
      <w:marBottom w:val="0"/>
      <w:divBdr>
        <w:top w:val="none" w:sz="0" w:space="0" w:color="auto"/>
        <w:left w:val="none" w:sz="0" w:space="0" w:color="auto"/>
        <w:bottom w:val="none" w:sz="0" w:space="0" w:color="auto"/>
        <w:right w:val="none" w:sz="0" w:space="0" w:color="auto"/>
      </w:divBdr>
    </w:div>
    <w:div w:id="2096784938">
      <w:bodyDiv w:val="1"/>
      <w:marLeft w:val="0"/>
      <w:marRight w:val="0"/>
      <w:marTop w:val="0"/>
      <w:marBottom w:val="0"/>
      <w:divBdr>
        <w:top w:val="none" w:sz="0" w:space="0" w:color="auto"/>
        <w:left w:val="none" w:sz="0" w:space="0" w:color="auto"/>
        <w:bottom w:val="none" w:sz="0" w:space="0" w:color="auto"/>
        <w:right w:val="none" w:sz="0" w:space="0" w:color="auto"/>
      </w:divBdr>
    </w:div>
    <w:div w:id="2105834976">
      <w:bodyDiv w:val="1"/>
      <w:marLeft w:val="0"/>
      <w:marRight w:val="0"/>
      <w:marTop w:val="0"/>
      <w:marBottom w:val="0"/>
      <w:divBdr>
        <w:top w:val="none" w:sz="0" w:space="0" w:color="auto"/>
        <w:left w:val="none" w:sz="0" w:space="0" w:color="auto"/>
        <w:bottom w:val="none" w:sz="0" w:space="0" w:color="auto"/>
        <w:right w:val="none" w:sz="0" w:space="0" w:color="auto"/>
      </w:divBdr>
    </w:div>
    <w:div w:id="2111243355">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4277718">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5663421">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23719360">
      <w:bodyDiv w:val="1"/>
      <w:marLeft w:val="0"/>
      <w:marRight w:val="0"/>
      <w:marTop w:val="0"/>
      <w:marBottom w:val="0"/>
      <w:divBdr>
        <w:top w:val="none" w:sz="0" w:space="0" w:color="auto"/>
        <w:left w:val="none" w:sz="0" w:space="0" w:color="auto"/>
        <w:bottom w:val="none" w:sz="0" w:space="0" w:color="auto"/>
        <w:right w:val="none" w:sz="0" w:space="0" w:color="auto"/>
      </w:divBdr>
    </w:div>
    <w:div w:id="2124615386">
      <w:bodyDiv w:val="1"/>
      <w:marLeft w:val="0"/>
      <w:marRight w:val="0"/>
      <w:marTop w:val="0"/>
      <w:marBottom w:val="0"/>
      <w:divBdr>
        <w:top w:val="none" w:sz="0" w:space="0" w:color="auto"/>
        <w:left w:val="none" w:sz="0" w:space="0" w:color="auto"/>
        <w:bottom w:val="none" w:sz="0" w:space="0" w:color="auto"/>
        <w:right w:val="none" w:sz="0" w:space="0" w:color="auto"/>
      </w:divBdr>
    </w:div>
    <w:div w:id="2127846606">
      <w:bodyDiv w:val="1"/>
      <w:marLeft w:val="0"/>
      <w:marRight w:val="0"/>
      <w:marTop w:val="0"/>
      <w:marBottom w:val="0"/>
      <w:divBdr>
        <w:top w:val="none" w:sz="0" w:space="0" w:color="auto"/>
        <w:left w:val="none" w:sz="0" w:space="0" w:color="auto"/>
        <w:bottom w:val="none" w:sz="0" w:space="0" w:color="auto"/>
        <w:right w:val="none" w:sz="0" w:space="0" w:color="auto"/>
      </w:divBdr>
    </w:div>
    <w:div w:id="2129160277">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263160">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1874961">
      <w:bodyDiv w:val="1"/>
      <w:marLeft w:val="0"/>
      <w:marRight w:val="0"/>
      <w:marTop w:val="0"/>
      <w:marBottom w:val="0"/>
      <w:divBdr>
        <w:top w:val="none" w:sz="0" w:space="0" w:color="auto"/>
        <w:left w:val="none" w:sz="0" w:space="0" w:color="auto"/>
        <w:bottom w:val="none" w:sz="0" w:space="0" w:color="auto"/>
        <w:right w:val="none" w:sz="0" w:space="0" w:color="auto"/>
      </w:divBdr>
    </w:div>
    <w:div w:id="2142453703">
      <w:bodyDiv w:val="1"/>
      <w:marLeft w:val="0"/>
      <w:marRight w:val="0"/>
      <w:marTop w:val="0"/>
      <w:marBottom w:val="0"/>
      <w:divBdr>
        <w:top w:val="none" w:sz="0" w:space="0" w:color="auto"/>
        <w:left w:val="none" w:sz="0" w:space="0" w:color="auto"/>
        <w:bottom w:val="none" w:sz="0" w:space="0" w:color="auto"/>
        <w:right w:val="none" w:sz="0" w:space="0" w:color="auto"/>
      </w:divBdr>
    </w:div>
    <w:div w:id="2143451442">
      <w:bodyDiv w:val="1"/>
      <w:marLeft w:val="0"/>
      <w:marRight w:val="0"/>
      <w:marTop w:val="0"/>
      <w:marBottom w:val="0"/>
      <w:divBdr>
        <w:top w:val="none" w:sz="0" w:space="0" w:color="auto"/>
        <w:left w:val="none" w:sz="0" w:space="0" w:color="auto"/>
        <w:bottom w:val="none" w:sz="0" w:space="0" w:color="auto"/>
        <w:right w:val="none" w:sz="0" w:space="0" w:color="auto"/>
      </w:divBdr>
    </w:div>
    <w:div w:id="2146000199">
      <w:bodyDiv w:val="1"/>
      <w:marLeft w:val="0"/>
      <w:marRight w:val="0"/>
      <w:marTop w:val="0"/>
      <w:marBottom w:val="0"/>
      <w:divBdr>
        <w:top w:val="none" w:sz="0" w:space="0" w:color="auto"/>
        <w:left w:val="none" w:sz="0" w:space="0" w:color="auto"/>
        <w:bottom w:val="none" w:sz="0" w:space="0" w:color="auto"/>
        <w:right w:val="none" w:sz="0" w:space="0" w:color="auto"/>
      </w:divBdr>
    </w:div>
    <w:div w:id="214624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elearning.ourhealth.org.au/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chf.org.au/real-people-real-data-project.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1">
                <a:solidFill>
                  <a:sysClr val="windowText" lastClr="000000"/>
                </a:solidFill>
              </a:rPr>
              <a:t>Question 2</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Sheet1!$A$10:$A$14</c:f>
              <c:strCache>
                <c:ptCount val="5"/>
                <c:pt idx="0">
                  <c:v>To a great extent</c:v>
                </c:pt>
                <c:pt idx="1">
                  <c:v>To a moderate extent</c:v>
                </c:pt>
                <c:pt idx="2">
                  <c:v>To some extent</c:v>
                </c:pt>
                <c:pt idx="3">
                  <c:v>To a small extent</c:v>
                </c:pt>
                <c:pt idx="4">
                  <c:v>Not at all</c:v>
                </c:pt>
              </c:strCache>
            </c:strRef>
          </c:cat>
          <c:val>
            <c:numRef>
              <c:f>Sheet1!$B$10:$B$14</c:f>
              <c:numCache>
                <c:formatCode>General</c:formatCode>
                <c:ptCount val="5"/>
                <c:pt idx="0">
                  <c:v>28.6</c:v>
                </c:pt>
                <c:pt idx="1">
                  <c:v>28.6</c:v>
                </c:pt>
                <c:pt idx="2">
                  <c:v>20</c:v>
                </c:pt>
                <c:pt idx="3">
                  <c:v>20</c:v>
                </c:pt>
                <c:pt idx="4">
                  <c:v>2.9</c:v>
                </c:pt>
              </c:numCache>
            </c:numRef>
          </c:val>
          <c:extLst>
            <c:ext xmlns:c16="http://schemas.microsoft.com/office/drawing/2014/chart" uri="{C3380CC4-5D6E-409C-BE32-E72D297353CC}">
              <c16:uniqueId val="{00000000-8C85-4C4D-9ED1-353706397290}"/>
            </c:ext>
          </c:extLst>
        </c:ser>
        <c:dLbls>
          <c:showLegendKey val="0"/>
          <c:showVal val="0"/>
          <c:showCatName val="0"/>
          <c:showSerName val="0"/>
          <c:showPercent val="0"/>
          <c:showBubbleSize val="0"/>
        </c:dLbls>
        <c:gapWidth val="219"/>
        <c:overlap val="-27"/>
        <c:axId val="572066896"/>
        <c:axId val="572066240"/>
      </c:barChart>
      <c:catAx>
        <c:axId val="5720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066240"/>
        <c:crosses val="autoZero"/>
        <c:auto val="1"/>
        <c:lblAlgn val="ctr"/>
        <c:lblOffset val="100"/>
        <c:noMultiLvlLbl val="0"/>
      </c:catAx>
      <c:valAx>
        <c:axId val="57206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0668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 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Sheet1!$A$17:$A$22</c:f>
              <c:strCache>
                <c:ptCount val="5"/>
                <c:pt idx="0">
                  <c:v>Very effective</c:v>
                </c:pt>
                <c:pt idx="1">
                  <c:v>Somewhat effective</c:v>
                </c:pt>
                <c:pt idx="2">
                  <c:v>Not so effective</c:v>
                </c:pt>
                <c:pt idx="3">
                  <c:v>Not at all effective</c:v>
                </c:pt>
                <c:pt idx="4">
                  <c:v>I wasn't aware there was a Consumer Panel</c:v>
                </c:pt>
              </c:strCache>
              <c:extLst/>
            </c:strRef>
          </c:cat>
          <c:val>
            <c:numRef>
              <c:f>Sheet1!$B$17:$B$22</c:f>
              <c:numCache>
                <c:formatCode>General</c:formatCode>
                <c:ptCount val="5"/>
                <c:pt idx="0">
                  <c:v>17.7</c:v>
                </c:pt>
                <c:pt idx="1">
                  <c:v>35.299999999999997</c:v>
                </c:pt>
                <c:pt idx="2">
                  <c:v>5.88</c:v>
                </c:pt>
                <c:pt idx="3">
                  <c:v>0</c:v>
                </c:pt>
                <c:pt idx="4">
                  <c:v>41.2</c:v>
                </c:pt>
              </c:numCache>
              <c:extLst/>
            </c:numRef>
          </c:val>
          <c:extLst>
            <c:ext xmlns:c16="http://schemas.microsoft.com/office/drawing/2014/chart" uri="{C3380CC4-5D6E-409C-BE32-E72D297353CC}">
              <c16:uniqueId val="{00000000-23A6-4BA5-9B76-2D483A00C3D0}"/>
            </c:ext>
          </c:extLst>
        </c:ser>
        <c:dLbls>
          <c:dLblPos val="outEnd"/>
          <c:showLegendKey val="0"/>
          <c:showVal val="1"/>
          <c:showCatName val="0"/>
          <c:showSerName val="0"/>
          <c:showPercent val="0"/>
          <c:showBubbleSize val="0"/>
        </c:dLbls>
        <c:gapWidth val="219"/>
        <c:overlap val="-27"/>
        <c:axId val="569650424"/>
        <c:axId val="569652720"/>
      </c:barChart>
      <c:catAx>
        <c:axId val="56965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9652720"/>
        <c:crosses val="autoZero"/>
        <c:auto val="1"/>
        <c:lblAlgn val="ctr"/>
        <c:lblOffset val="100"/>
        <c:noMultiLvlLbl val="0"/>
      </c:catAx>
      <c:valAx>
        <c:axId val="56965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9650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Question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Sheet2!$A$2:$A$6</c:f>
              <c:strCache>
                <c:ptCount val="5"/>
                <c:pt idx="0">
                  <c:v>Very high quality</c:v>
                </c:pt>
                <c:pt idx="1">
                  <c:v>High quality</c:v>
                </c:pt>
                <c:pt idx="2">
                  <c:v>Neither high nor low quality</c:v>
                </c:pt>
                <c:pt idx="3">
                  <c:v>Low quality</c:v>
                </c:pt>
                <c:pt idx="4">
                  <c:v>Very low quality or no briefing was provided</c:v>
                </c:pt>
              </c:strCache>
            </c:strRef>
          </c:cat>
          <c:val>
            <c:numRef>
              <c:f>Sheet2!$B$2:$B$6</c:f>
              <c:numCache>
                <c:formatCode>General</c:formatCode>
                <c:ptCount val="5"/>
                <c:pt idx="0">
                  <c:v>40</c:v>
                </c:pt>
                <c:pt idx="1">
                  <c:v>45.7</c:v>
                </c:pt>
                <c:pt idx="2">
                  <c:v>14.3</c:v>
                </c:pt>
                <c:pt idx="3">
                  <c:v>0</c:v>
                </c:pt>
                <c:pt idx="4">
                  <c:v>0</c:v>
                </c:pt>
              </c:numCache>
            </c:numRef>
          </c:val>
          <c:extLst>
            <c:ext xmlns:c16="http://schemas.microsoft.com/office/drawing/2014/chart" uri="{C3380CC4-5D6E-409C-BE32-E72D297353CC}">
              <c16:uniqueId val="{00000000-6859-4EA7-AFA6-3560A7437370}"/>
            </c:ext>
          </c:extLst>
        </c:ser>
        <c:dLbls>
          <c:showLegendKey val="0"/>
          <c:showVal val="0"/>
          <c:showCatName val="0"/>
          <c:showSerName val="0"/>
          <c:showPercent val="0"/>
          <c:showBubbleSize val="0"/>
        </c:dLbls>
        <c:gapWidth val="219"/>
        <c:overlap val="-27"/>
        <c:axId val="633512768"/>
        <c:axId val="633514736"/>
      </c:barChart>
      <c:catAx>
        <c:axId val="6335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14736"/>
        <c:crosses val="autoZero"/>
        <c:auto val="1"/>
        <c:lblAlgn val="ctr"/>
        <c:lblOffset val="100"/>
        <c:noMultiLvlLbl val="0"/>
      </c:catAx>
      <c:valAx>
        <c:axId val="63351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1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 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Sheet2!$A$10:$A$14</c:f>
              <c:strCache>
                <c:ptCount val="5"/>
                <c:pt idx="0">
                  <c:v>My role was explained to the clinical committee/working group when we commenced our work.</c:v>
                </c:pt>
                <c:pt idx="1">
                  <c:v>Everyone on the clinical committee/working group was made aware of the consumer resource.</c:v>
                </c:pt>
                <c:pt idx="2">
                  <c:v>The clinical committee/working group secretariat articulated each of the required consumer checkpoints contained in the consumer resource.</c:v>
                </c:pt>
                <c:pt idx="3">
                  <c:v>We negotiated my role in preparing the consumer impact statement and summary.</c:v>
                </c:pt>
                <c:pt idx="4">
                  <c:v>I don't know/unsure.</c:v>
                </c:pt>
              </c:strCache>
            </c:strRef>
          </c:cat>
          <c:val>
            <c:numRef>
              <c:f>Sheet2!$B$10:$B$14</c:f>
              <c:numCache>
                <c:formatCode>General</c:formatCode>
                <c:ptCount val="5"/>
                <c:pt idx="0">
                  <c:v>51.4</c:v>
                </c:pt>
                <c:pt idx="1">
                  <c:v>31.4</c:v>
                </c:pt>
                <c:pt idx="2">
                  <c:v>5.7</c:v>
                </c:pt>
                <c:pt idx="3">
                  <c:v>11.4</c:v>
                </c:pt>
                <c:pt idx="4">
                  <c:v>8.6</c:v>
                </c:pt>
              </c:numCache>
            </c:numRef>
          </c:val>
          <c:extLst>
            <c:ext xmlns:c16="http://schemas.microsoft.com/office/drawing/2014/chart" uri="{C3380CC4-5D6E-409C-BE32-E72D297353CC}">
              <c16:uniqueId val="{00000000-4343-4E46-8FE4-EF037BD8BA60}"/>
            </c:ext>
          </c:extLst>
        </c:ser>
        <c:dLbls>
          <c:showLegendKey val="0"/>
          <c:showVal val="0"/>
          <c:showCatName val="0"/>
          <c:showSerName val="0"/>
          <c:showPercent val="0"/>
          <c:showBubbleSize val="0"/>
        </c:dLbls>
        <c:gapWidth val="219"/>
        <c:overlap val="-27"/>
        <c:axId val="633522608"/>
        <c:axId val="457587976"/>
      </c:barChart>
      <c:catAx>
        <c:axId val="63352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5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457587976"/>
        <c:crosses val="autoZero"/>
        <c:auto val="1"/>
        <c:lblAlgn val="ctr"/>
        <c:lblOffset val="100"/>
        <c:noMultiLvlLbl val="0"/>
      </c:catAx>
      <c:valAx>
        <c:axId val="457587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aseline="0">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2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Question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Sheet2!$A$18:$A$22</c:f>
              <c:strCache>
                <c:ptCount val="5"/>
                <c:pt idx="0">
                  <c:v>Extremely well</c:v>
                </c:pt>
                <c:pt idx="1">
                  <c:v>Very well</c:v>
                </c:pt>
                <c:pt idx="2">
                  <c:v>Somewhat well</c:v>
                </c:pt>
                <c:pt idx="3">
                  <c:v>Not so well</c:v>
                </c:pt>
                <c:pt idx="4">
                  <c:v>Not at all well</c:v>
                </c:pt>
              </c:strCache>
            </c:strRef>
          </c:cat>
          <c:val>
            <c:numRef>
              <c:f>Sheet2!$B$18:$B$22</c:f>
              <c:numCache>
                <c:formatCode>General</c:formatCode>
                <c:ptCount val="5"/>
                <c:pt idx="0">
                  <c:v>25.7</c:v>
                </c:pt>
                <c:pt idx="1">
                  <c:v>37.1</c:v>
                </c:pt>
                <c:pt idx="2">
                  <c:v>22.9</c:v>
                </c:pt>
                <c:pt idx="3">
                  <c:v>8.6</c:v>
                </c:pt>
                <c:pt idx="4">
                  <c:v>5.7</c:v>
                </c:pt>
              </c:numCache>
            </c:numRef>
          </c:val>
          <c:extLst>
            <c:ext xmlns:c16="http://schemas.microsoft.com/office/drawing/2014/chart" uri="{C3380CC4-5D6E-409C-BE32-E72D297353CC}">
              <c16:uniqueId val="{00000000-B4AF-4A65-AD54-358651B1E7A0}"/>
            </c:ext>
          </c:extLst>
        </c:ser>
        <c:dLbls>
          <c:showLegendKey val="0"/>
          <c:showVal val="0"/>
          <c:showCatName val="0"/>
          <c:showSerName val="0"/>
          <c:showPercent val="0"/>
          <c:showBubbleSize val="0"/>
        </c:dLbls>
        <c:gapWidth val="219"/>
        <c:overlap val="-27"/>
        <c:axId val="638569656"/>
        <c:axId val="638574248"/>
      </c:barChart>
      <c:catAx>
        <c:axId val="63856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74248"/>
        <c:crosses val="autoZero"/>
        <c:auto val="1"/>
        <c:lblAlgn val="ctr"/>
        <c:lblOffset val="100"/>
        <c:noMultiLvlLbl val="0"/>
      </c:catAx>
      <c:valAx>
        <c:axId val="63857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69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a:t>
            </a:r>
            <a:r>
              <a:rPr lang="en-AU" baseline="0">
                <a:solidFill>
                  <a:sysClr val="windowText" lastClr="000000"/>
                </a:solidFill>
              </a:rPr>
              <a:t> 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Sheet2!$A$27:$A$31</c:f>
              <c:strCache>
                <c:ptCount val="5"/>
                <c:pt idx="0">
                  <c:v>To a great extent</c:v>
                </c:pt>
                <c:pt idx="1">
                  <c:v>To a moderate extent</c:v>
                </c:pt>
                <c:pt idx="2">
                  <c:v>To some extent</c:v>
                </c:pt>
                <c:pt idx="3">
                  <c:v>To a small extent</c:v>
                </c:pt>
                <c:pt idx="4">
                  <c:v>Not at all</c:v>
                </c:pt>
              </c:strCache>
            </c:strRef>
          </c:cat>
          <c:val>
            <c:numRef>
              <c:f>Sheet2!$B$27:$B$31</c:f>
              <c:numCache>
                <c:formatCode>General</c:formatCode>
                <c:ptCount val="5"/>
                <c:pt idx="0">
                  <c:v>44.1</c:v>
                </c:pt>
                <c:pt idx="1">
                  <c:v>32.4</c:v>
                </c:pt>
                <c:pt idx="2">
                  <c:v>17.7</c:v>
                </c:pt>
                <c:pt idx="3">
                  <c:v>2.9</c:v>
                </c:pt>
                <c:pt idx="4">
                  <c:v>2.9</c:v>
                </c:pt>
              </c:numCache>
            </c:numRef>
          </c:val>
          <c:extLst>
            <c:ext xmlns:c16="http://schemas.microsoft.com/office/drawing/2014/chart" uri="{C3380CC4-5D6E-409C-BE32-E72D297353CC}">
              <c16:uniqueId val="{00000000-27F4-48A0-A746-48B1C486B15F}"/>
            </c:ext>
          </c:extLst>
        </c:ser>
        <c:dLbls>
          <c:showLegendKey val="0"/>
          <c:showVal val="0"/>
          <c:showCatName val="0"/>
          <c:showSerName val="0"/>
          <c:showPercent val="0"/>
          <c:showBubbleSize val="0"/>
        </c:dLbls>
        <c:gapWidth val="219"/>
        <c:overlap val="-27"/>
        <c:axId val="638001088"/>
        <c:axId val="637999120"/>
      </c:barChart>
      <c:catAx>
        <c:axId val="6380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7999120"/>
        <c:crosses val="autoZero"/>
        <c:auto val="1"/>
        <c:lblAlgn val="ctr"/>
        <c:lblOffset val="100"/>
        <c:noMultiLvlLbl val="0"/>
      </c:catAx>
      <c:valAx>
        <c:axId val="63799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001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Els16</b:Tag>
    <b:SourceType>Report</b:SourceType>
    <b:Guid>{81D86285-FC6D-40FD-8FA6-33C6CBEC22FA}</b:Guid>
    <b:Title>Appropriate Use Criteria</b:Title>
    <b:Year>2016</b:Year>
    <b:Author>
      <b:Author>
        <b:NameList>
          <b:Person>
            <b:Last>Elshaug</b:Last>
            <b:First>Adam</b:First>
          </b:Person>
        </b:NameList>
      </b:Author>
    </b:Author>
    <b:Medium>Print</b:Medium>
    <b:RefOrder>3</b:RefOrder>
  </b:Source>
  <b:Source>
    <b:Tag>Con15</b:Tag>
    <b:SourceType>DocumentFromInternetSite</b:SourceType>
    <b:Guid>{61D3190B-F62C-4B6C-A8DE-8EC0C8E83E98}</b:Guid>
    <b:Author>
      <b:Author>
        <b:Corporate>Consumer Health Forum</b:Corporate>
      </b:Author>
    </b:Author>
    <b:Title>Submission to MBS Review Taskforce</b:Title>
    <b:Year>2015</b:Year>
    <b:URL>https://chf.org.au/publications/publication/submission-medicare-benefits-schedule-review</b:URL>
    <b:Month>November</b:Month>
    <b:Day>12</b:Day>
    <b:RefOrder>1</b:RefOrder>
  </b:Source>
  <b:Source>
    <b:Tag>The15</b:Tag>
    <b:SourceType>DocumentFromInternetSite</b:SourceType>
    <b:Guid>{F19D87BE-1C30-4748-A6BF-2A1A71ADB245}</b:Guid>
    <b:Author>
      <b:Author>
        <b:Corporate>The Hon Sussan Ley MP</b:Corporate>
      </b:Author>
    </b:Author>
    <b:Title>Abbott Government to deliver a healthier Medicare</b:Title>
    <b:Year>2015</b:Year>
    <b:Month>April</b:Month>
    <b:Day>22</b:Day>
    <b:URL>http://www.health.gov.au/internet/ministers/publishing.nsf/content/health-mediarel-yr2015-ley045.htm</b:URL>
    <b:RefOrder>5</b:RefOrder>
  </b:Source>
  <b:Source>
    <b:Tag>The16</b:Tag>
    <b:SourceType>DocumentFromInternetSite</b:SourceType>
    <b:Guid>{6A1263E9-9817-47B9-BA8C-9FCD9CC6088B}</b:Guid>
    <b:Title>Putting the consumer first - creating a consumer-centred health system for a 21st century Australia</b:Title>
    <b:Year>2016</b:Year>
    <b:Month>April</b:Month>
    <b:URL>https://www.georgeinstitute.org.au/sites/default/files/putting-the-consumer-first-apr16.pdf</b:URL>
    <b:Author>
      <b:Author>
        <b:Corporate>The George Institute for Global Health</b:Corporate>
      </b:Author>
      <b:Editor>
        <b:NameList>
          <b:Person>
            <b:Last>Wells</b:Last>
            <b:First>Vlado</b:First>
            <b:Middle>Perkovic and Leanne</b:Middle>
          </b:Person>
        </b:NameList>
      </b:Editor>
    </b:Author>
    <b:InternetSiteTitle>www.georgeinstitute.org.au</b:InternetSiteTitle>
    <b:RefOrder>8</b:RefOrder>
  </b:Source>
  <b:Source>
    <b:Tag>Med15</b:Tag>
    <b:SourceType>DocumentFromInternetSite</b:SourceType>
    <b:Guid>{FCD55BB7-98EC-468C-B387-AF9182A6161D}</b:Guid>
    <b:Title>Public Submissions September 2015 Consultation Paper</b:Title>
    <b:Year>2015</b:Year>
    <b:URL>http://www.health.gov.au/internet/main/publishing.nsf/Content/EDD3D98E14376FC8CA257F5E00186D45/%24File/Consultation-paper-public-submissions_MBS-review-final.pdf</b:URL>
    <b:Author>
      <b:Author>
        <b:Corporate>Medical Benefits Schedule Review Taskforce</b:Corporate>
      </b:Author>
    </b:Author>
    <b:Month>September</b:Month>
    <b:InternetSiteTitle>www.health.gov.au</b:InternetSiteTitle>
    <b:RefOrder>7</b:RefOrder>
  </b:Source>
  <b:Source>
    <b:Tag>Nat16</b:Tag>
    <b:SourceType>DocumentFromInternetSite</b:SourceType>
    <b:Guid>{5FFF75B9-3EB9-463A-B305-7E7BD3076B53}</b:Guid>
    <b:Title>Statement on consumer and community involvement in health and medical research</b:Title>
    <b:Year>2016</b:Year>
    <b:URL>https://www.nhmrc.gov.au/about-us/publications/statement-consumer-and-community-involvement-health-and-medical-research</b:URL>
    <b:Author>
      <b:Author>
        <b:Corporate>National Health &amp; Medical Research Council</b:Corporate>
      </b:Author>
    </b:Author>
    <b:StandardNumber>9781925129717</b:StandardNumber>
    <b:RefOrder>11</b:RefOrder>
  </b:Source>
  <b:Source>
    <b:Tag>Car</b:Tag>
    <b:SourceType>InternetSite</b:SourceType>
    <b:Guid>{A1D224DC-507F-4323-9F00-0EC593D9741E}</b:Guid>
    <b:Author>
      <b:Author>
        <b:Corporate>Carers Australia</b:Corporate>
      </b:Author>
    </b:Author>
    <b:Title>About Carers</b:Title>
    <b:URL>https://www.carersaustralia.com.au/about-carers/</b:URL>
    <b:InternetSiteTitle>Carers Australia</b:InternetSiteTitle>
    <b:RefOrder>13</b:RefOrder>
  </b:Source>
  <b:Source>
    <b:Tag>Int</b:Tag>
    <b:SourceType>DocumentFromInternetSite</b:SourceType>
    <b:Guid>{6A468835-4473-4A25-A49A-19DF60F9198B}</b:Guid>
    <b:Title>Spectrum</b:Title>
    <b:URL>https://www.iap2.org.au/Tenant/C0000004/00000001/files/IAP2_Public_Participation_Spectrum.pdf</b:URL>
    <b:Author>
      <b:Author>
        <b:Corporate>International Association for Public Participation Australiasia</b:Corporate>
      </b:Author>
    </b:Author>
    <b:InternetSiteTitle>iap2</b:InternetSiteTitle>
    <b:RefOrder>15</b:RefOrder>
  </b:Source>
  <b:Source>
    <b:Tag>Gui</b:Tag>
    <b:SourceType>InternetSite</b:SourceType>
    <b:Guid>{814094BD-0A6E-4AA8-883B-254BD41273BB}</b:Guid>
    <b:Title>About the G-I-N PUBLIC Toolkit: Patient and Public Involvement in Guidelines</b:Title>
    <b:URL>https://www.g-i-n.net/working-groups/gin-public/toolkit</b:URL>
    <b:Author>
      <b:Author>
        <b:Corporate>Guidelines International Network</b:Corporate>
      </b:Author>
    </b:Author>
    <b:InternetSiteTitle>www.g-i-n.net/working-groups</b:InternetSiteTitle>
    <b:RefOrder>17</b:RefOrder>
  </b:Source>
  <b:Source>
    <b:Tag>Nat15</b:Tag>
    <b:SourceType>InternetSite</b:SourceType>
    <b:Guid>{87C23345-E25A-4743-AAD1-CE7DE7977541}</b:Guid>
    <b:Author>
      <b:Author>
        <b:Corporate>National Patient Safety Foundation Lucian Leape Institute</b:Corporate>
      </b:Author>
    </b:Author>
    <b:Title>Shining A Light: Safer Health Care Through Transparency</b:Title>
    <b:Year>2015</b:Year>
    <b:URL>http://www.ihi.org/resources/Pages/Publications/Shining-a-Light-Safer-Health-Care-Through-Transparency.aspx</b:URL>
    <b:InternetSiteTitle>Institute for Healthcare Improvement</b:InternetSiteTitle>
    <b:RefOrder>18</b:RefOrder>
  </b:Source>
  <b:Source>
    <b:Tag>The14</b:Tag>
    <b:SourceType>DocumentFromInternetSite</b:SourceType>
    <b:Guid>{F8839A7E-04C2-4FFA-AB71-89092528EEAE}</b:Guid>
    <b:Title>Person-centred care made simple</b:Title>
    <b:Year>2014</b:Year>
    <b:URL>https://www.health.org.uk/sites/default/files/PersonCentredCareMadeSimple_0.pdf</b:URL>
    <b:Author>
      <b:Author>
        <b:Corporate>The Health Foundation</b:Corporate>
      </b:Author>
    </b:Author>
    <b:Month>October</b:Month>
    <b:InternetSiteTitle>www.health.org.uk</b:InternetSiteTitle>
    <b:RefOrder>19</b:RefOrder>
  </b:Source>
  <b:Source>
    <b:Tag>NSQ17</b:Tag>
    <b:SourceType>InternetSite</b:SourceType>
    <b:Guid>{2E22C402-9AC4-4BF9-9B49-4B9DA81DA783}</b:Guid>
    <b:Title>2. Partnering with Consumers</b:Title>
    <b:Year>2017</b:Year>
    <b:URL>https://www.nationalstandards.safetyandquality.gov.au/2.-partnering-consumers</b:URL>
    <b:Author>
      <b:Author>
        <b:Corporate>NSQHS Standards</b:Corporate>
      </b:Author>
    </b:Author>
    <b:InternetSiteTitle>National Safety and Quality Health Service</b:InternetSiteTitle>
    <b:RefOrder>2</b:RefOrder>
  </b:Source>
  <b:Source>
    <b:Tag>Aus19</b:Tag>
    <b:SourceType>DocumentFromInternetSite</b:SourceType>
    <b:Guid>{A59F1426-6162-4D1E-8957-9D1D2224C868}</b:Guid>
    <b:Title>Health Literacy</b:Title>
    <b:Year>2019</b:Year>
    <b:URL>https://www.safetyandquality.gov.au/our-work/patient-and-consumer-centred-care/health-literacy</b:URL>
    <b:Author>
      <b:Author>
        <b:Corporate>Australian Commission on Safety and Quality in Health Care</b:Corporate>
      </b:Author>
    </b:Author>
    <b:RefOrder>14</b:RefOrder>
  </b:Source>
  <b:Source>
    <b:Tag>Aus12</b:Tag>
    <b:SourceType>DocumentFromInternetSite</b:SourceType>
    <b:Guid>{3A0C2618-4C81-4B5F-8BCC-48783FD10CBB}</b:Guid>
    <b:Author>
      <b:Author>
        <b:Corporate>Australian Commission on Safety &amp; Quality in Health Care</b:Corporate>
      </b:Author>
    </b:Author>
    <b:Title>Patient-centred care: Improving quality and safety through partnerships with patients and consumers</b:Title>
    <b:Year>2011</b:Year>
    <b:Month>March</b:Month>
    <b:URL>https://www.safetyandquality.gov.au/sites/default/files/migrated/PCC_Paper_August.pdf</b:URL>
    <b:InternetSiteTitle>www.safetyandquality.gov.au</b:InternetSiteTitle>
    <b:RefOrder>6</b:RefOrder>
  </b:Source>
  <b:Source>
    <b:Tag>Els12</b:Tag>
    <b:SourceType>JournalArticle</b:SourceType>
    <b:Guid>{C640A11F-F10E-4B5D-B308-39FB211799D8}</b:Guid>
    <b:Title>Over 150 potentially low-value health care practices: an Australian study</b:Title>
    <b:Year>2012</b:Year>
    <b:Author>
      <b:Author>
        <b:Corporate>Elshaug, Adam ; Watt, Amber; Mundy, Linder; Willis , Cameron</b:Corporate>
      </b:Author>
    </b:Author>
    <b:JournalName>The Medical Journal of Australia</b:JournalName>
    <b:Pages>556-560</b:Pages>
    <b:RefOrder>4</b:RefOrder>
  </b:Source>
  <b:Source>
    <b:Tag>McK17</b:Tag>
    <b:SourceType>InternetSite</b:SourceType>
    <b:Guid>{B2ADC483-EE69-4B51-938F-AD59544EEDED}</b:Guid>
    <b:Title>Why agility is imperative for healthcare organizations</b:Title>
    <b:Year>2017</b:Year>
    <b:Month>May</b:Month>
    <b:URL>https://www.mckinsey.com/industries/healthcare-systems-and-services/our-insights/why-agility-is-imperative-for-healthcare-organizations?reload</b:URL>
    <b:Author>
      <b:Author>
        <b:Corporate>Berlin, Gretchen; De Smet, Aaron; Sodini, Maria</b:Corporate>
      </b:Author>
    </b:Author>
    <b:InternetSiteTitle>www.mckinsey.com</b:InternetSiteTitle>
    <b:RefOrder>9</b:RefOrder>
  </b:Source>
  <b:Source>
    <b:Tag>Gar18</b:Tag>
    <b:SourceType>InternetSite</b:SourceType>
    <b:Guid>{A6C04C8E-01C1-4A65-9A86-6D9CC80D1AB3}</b:Guid>
    <b:Title>Building a Culture of Transparency in Health Care</b:Title>
    <b:Year>2018</b:Year>
    <b:URL>https://hbr.org/2018/11/building-a-culture-of-transparency-in-health-care</b:URL>
    <b:Author>
      <b:Author>
        <b:Corporate>Kaplan, Gary</b:Corporate>
      </b:Author>
    </b:Author>
    <b:InternetSiteTitle>Harvard Business Review</b:InternetSiteTitle>
    <b:Month>November</b:Month>
    <b:Day>9</b:Day>
    <b:RefOrder>10</b:RefOrder>
  </b:Source>
  <b:Source>
    <b:Tag>Bro16</b:Tag>
    <b:SourceType>InternetSite</b:SourceType>
    <b:Guid>{6A82F418-495B-49F9-B359-5C77431B94F7}</b:Guid>
    <b:Author>
      <b:Author>
        <b:Corporate>Bronkart, D De</b:Corporate>
      </b:Author>
    </b:Author>
    <b:Title>"Let Patients Help": A patient engagement handbook</b:Title>
    <b:Year>2016</b:Year>
    <b:URL>https://www.epatientdave.com/let-patients-help/</b:URL>
    <b:InternetSiteTitle>e-Patient Dave</b:InternetSiteTitle>
    <b:RefOrder>12</b:RefOrder>
  </b:Source>
  <b:Source>
    <b:Tag>Aus</b:Tag>
    <b:SourceType>DocumentFromInternetSite</b:SourceType>
    <b:Guid>{F06FDD9B-388D-4C08-9FB0-57C1E261D4E3}</b:Guid>
    <b:Author>
      <b:Author>
        <b:Corporate>Australian Commission on Safety and Quality in Health Care</b:Corporate>
      </b:Author>
    </b:Author>
    <b:Title>Australian Charter of Healthcare Rights</b:Title>
    <b:URL>https://www.safetyandquality.gov.au/australian-charter-healthcare-rights</b:URL>
    <b:InternetSiteTitle>www.safetyandquality.gov.au</b:InternetSiteTitle>
    <b:RefOrder>16</b:RefOrder>
  </b:Source>
</b:Sources>
</file>

<file path=customXml/itemProps1.xml><?xml version="1.0" encoding="utf-8"?>
<ds:datastoreItem xmlns:ds="http://schemas.openxmlformats.org/officeDocument/2006/customXml" ds:itemID="{E0C0A9C6-E331-48E7-8117-985BFE73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13961</Words>
  <Characters>79584</Characters>
  <Application>Microsoft Office Word</Application>
  <DocSecurity>4</DocSecurity>
  <Lines>663</Lines>
  <Paragraphs>186</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93359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final report – Consumer Panel</dc:title>
  <dc:subject/>
  <dc:creator>MBS Review Taskforce</dc:creator>
  <cp:keywords>MBS Review, Medicare</cp:keywords>
  <dc:description/>
  <cp:lastModifiedBy>ROBERTSON, Jen</cp:lastModifiedBy>
  <cp:revision>2</cp:revision>
  <cp:lastPrinted>2020-02-19T23:24:00Z</cp:lastPrinted>
  <dcterms:created xsi:type="dcterms:W3CDTF">2021-05-28T09:16:00Z</dcterms:created>
  <dcterms:modified xsi:type="dcterms:W3CDTF">2021-05-28T09:16:00Z</dcterms:modified>
  <cp:category>Medicare Benefits Schedule Review Taskforce</cp:category>
  <cp:contentStatus>Final</cp:contentStatus>
</cp:coreProperties>
</file>