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6DE3D" w14:textId="77777777" w:rsidR="000D0E4E" w:rsidRPr="00AE5A70" w:rsidRDefault="000D0E4E" w:rsidP="000D0E4E">
      <w:pPr>
        <w:pStyle w:val="CoverH1White"/>
        <w:tabs>
          <w:tab w:val="right" w:pos="8312"/>
        </w:tabs>
        <w:rPr>
          <w:color w:val="auto"/>
          <w:sz w:val="18"/>
          <w:szCs w:val="18"/>
        </w:rPr>
      </w:pPr>
      <w:bookmarkStart w:id="0" w:name="_Toc448369494"/>
      <w:bookmarkStart w:id="1" w:name="_Toc427153112"/>
    </w:p>
    <w:bookmarkStart w:id="2" w:name="_Hlk503433997"/>
    <w:bookmarkEnd w:id="2"/>
    <w:p w14:paraId="12188F3F" w14:textId="77777777" w:rsidR="000D0E4E" w:rsidRPr="00AE5A70" w:rsidRDefault="000D0E4E" w:rsidP="000D0E4E">
      <w:pPr>
        <w:rPr>
          <w:rStyle w:val="IntenseEmphasis"/>
          <w:color w:val="auto"/>
          <w:sz w:val="18"/>
          <w:szCs w:val="18"/>
        </w:rPr>
      </w:pPr>
      <w:r w:rsidRPr="00AE5A70">
        <w:rPr>
          <w:b/>
          <w:i/>
          <w:noProof/>
          <w:sz w:val="18"/>
          <w:szCs w:val="18"/>
        </w:rPr>
        <mc:AlternateContent>
          <mc:Choice Requires="wps">
            <w:drawing>
              <wp:anchor distT="0" distB="0" distL="114300" distR="114300" simplePos="0" relativeHeight="251659776" behindDoc="0" locked="0" layoutInCell="1" allowOverlap="1" wp14:anchorId="0B60843C" wp14:editId="10BD9F35">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D74651" w14:textId="77777777" w:rsidR="005006C9" w:rsidRPr="005C7FB0" w:rsidRDefault="005006C9" w:rsidP="000D0E4E">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11B171C9" w14:textId="77777777" w:rsidR="005006C9" w:rsidRPr="005C7FB0" w:rsidRDefault="005006C9" w:rsidP="000D0E4E">
                            <w:pPr>
                              <w:pStyle w:val="CoverH1Green"/>
                            </w:pPr>
                            <w:r>
                              <w:t>Report from the Eating Disorders Working Group</w:t>
                            </w:r>
                          </w:p>
                          <w:p w14:paraId="5F66F61F" w14:textId="77777777" w:rsidR="005006C9" w:rsidRPr="005C7FB0" w:rsidRDefault="005006C9" w:rsidP="000D0E4E">
                            <w:pPr>
                              <w:pStyle w:val="Coverdate"/>
                              <w:tabs>
                                <w:tab w:val="center" w:pos="4156"/>
                              </w:tabs>
                            </w:pPr>
                            <w:r w:rsidRPr="005C7FB0">
                              <w:t>2018</w:t>
                            </w:r>
                            <w:r w:rsidRPr="005C7FB0">
                              <w:tab/>
                            </w:r>
                          </w:p>
                          <w:p w14:paraId="0BFCF5C1" w14:textId="77777777" w:rsidR="005006C9" w:rsidRDefault="005006C9" w:rsidP="000D0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EA3D9"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rsidR="005006C9" w:rsidRPr="005C7FB0" w:rsidRDefault="005006C9" w:rsidP="000D0E4E">
                      <w:pPr>
                        <w:pStyle w:val="CoverH1White"/>
                        <w:rPr>
                          <w:rFonts w:asciiTheme="minorHAnsi" w:hAnsiTheme="minorHAnsi" w:cstheme="minorHAnsi"/>
                        </w:rPr>
                      </w:pPr>
                      <w:r w:rsidRPr="005C7FB0">
                        <w:rPr>
                          <w:rFonts w:asciiTheme="minorHAnsi" w:hAnsiTheme="minorHAnsi" w:cstheme="minorHAnsi"/>
                        </w:rPr>
                        <w:t>Medicare Benefits Schedule Review Taskforce</w:t>
                      </w:r>
                    </w:p>
                    <w:p w:rsidR="005006C9" w:rsidRPr="005C7FB0" w:rsidRDefault="005006C9" w:rsidP="000D0E4E">
                      <w:pPr>
                        <w:pStyle w:val="CoverH1Green"/>
                      </w:pPr>
                      <w:r>
                        <w:t>Report from the Eating Disorders Working Group</w:t>
                      </w:r>
                    </w:p>
                    <w:p w:rsidR="005006C9" w:rsidRPr="005C7FB0" w:rsidRDefault="005006C9" w:rsidP="000D0E4E">
                      <w:pPr>
                        <w:pStyle w:val="Coverdate"/>
                        <w:tabs>
                          <w:tab w:val="center" w:pos="4156"/>
                        </w:tabs>
                      </w:pPr>
                      <w:r w:rsidRPr="005C7FB0">
                        <w:t>2018</w:t>
                      </w:r>
                      <w:r w:rsidRPr="005C7FB0">
                        <w:tab/>
                      </w:r>
                    </w:p>
                    <w:p w:rsidR="005006C9" w:rsidRDefault="005006C9" w:rsidP="000D0E4E"/>
                  </w:txbxContent>
                </v:textbox>
                <w10:wrap type="square" anchorx="margin" anchory="page"/>
              </v:shape>
            </w:pict>
          </mc:Fallback>
        </mc:AlternateContent>
      </w:r>
      <w:r w:rsidRPr="00AE5A70">
        <w:rPr>
          <w:rStyle w:val="IntenseEmphasis"/>
          <w:color w:val="auto"/>
          <w:sz w:val="18"/>
          <w:szCs w:val="18"/>
        </w:rPr>
        <w:br w:type="page"/>
      </w:r>
    </w:p>
    <w:p w14:paraId="533C297F" w14:textId="77777777" w:rsidR="000D0E4E" w:rsidRPr="00AE5A70" w:rsidRDefault="000D0E4E" w:rsidP="000D0E4E">
      <w:pPr>
        <w:pStyle w:val="Footer"/>
        <w:rPr>
          <w:color w:val="auto"/>
          <w:sz w:val="18"/>
          <w:szCs w:val="18"/>
          <w:lang w:val="en-GB"/>
        </w:rPr>
        <w:sectPr w:rsidR="000D0E4E" w:rsidRPr="00AE5A70" w:rsidSect="008E11F7">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tbl>
      <w:tblPr>
        <w:tblStyle w:val="TableGrid"/>
        <w:tblW w:w="5000" w:type="pct"/>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top w:w="28" w:type="dxa"/>
          <w:left w:w="28" w:type="dxa"/>
          <w:bottom w:w="28" w:type="dxa"/>
          <w:right w:w="28" w:type="dxa"/>
        </w:tblCellMar>
        <w:tblLook w:val="04A0" w:firstRow="1" w:lastRow="0" w:firstColumn="1" w:lastColumn="0" w:noHBand="0" w:noVBand="1"/>
        <w:tblDescription w:val="Important Note - The views and recommendations in this report have been endorsed by the MBS Review Taskforce following consultation with stakeholders. &#10;This report has now been forwarded to the Government for consideration.&#10;The Taskforce welcomes ongoing feedback on this or any MBS Review report via: mbsreviews@health.gov.au&#10;"/>
      </w:tblPr>
      <w:tblGrid>
        <w:gridCol w:w="8368"/>
      </w:tblGrid>
      <w:tr w:rsidR="001C570D" w:rsidRPr="00637752" w14:paraId="389B85B5" w14:textId="77777777" w:rsidTr="00B10BE1">
        <w:trPr>
          <w:tblHeader/>
        </w:trPr>
        <w:tc>
          <w:tcPr>
            <w:tcW w:w="9016" w:type="dxa"/>
            <w:shd w:val="clear" w:color="auto" w:fill="auto"/>
          </w:tcPr>
          <w:p w14:paraId="4610BD29" w14:textId="77777777" w:rsidR="001C570D" w:rsidRPr="008356B8" w:rsidRDefault="001C570D" w:rsidP="00B10BE1">
            <w:pPr>
              <w:rPr>
                <w:rFonts w:cstheme="minorHAnsi"/>
                <w:b/>
                <w:color w:val="01653F"/>
                <w:sz w:val="32"/>
                <w:szCs w:val="32"/>
              </w:rPr>
            </w:pPr>
            <w:r w:rsidRPr="008356B8">
              <w:rPr>
                <w:rFonts w:cstheme="minorHAnsi"/>
                <w:b/>
                <w:color w:val="01653F"/>
                <w:sz w:val="32"/>
                <w:szCs w:val="32"/>
              </w:rPr>
              <w:lastRenderedPageBreak/>
              <w:t>Important note</w:t>
            </w:r>
          </w:p>
          <w:p w14:paraId="0B35A770" w14:textId="77777777" w:rsidR="001C570D" w:rsidRPr="00637752" w:rsidRDefault="001C570D" w:rsidP="00B10BE1">
            <w:pPr>
              <w:rPr>
                <w:lang w:val="en-GB"/>
              </w:rPr>
            </w:pPr>
            <w:r w:rsidRPr="00637752">
              <w:rPr>
                <w:lang w:val="en-GB"/>
              </w:rPr>
              <w:t xml:space="preserve">The views and recommendations in this report have been </w:t>
            </w:r>
            <w:r>
              <w:rPr>
                <w:lang w:val="en-GB"/>
              </w:rPr>
              <w:t>endorsed by the MBS Review Taskforce</w:t>
            </w:r>
            <w:r w:rsidRPr="00637752">
              <w:rPr>
                <w:lang w:val="en-GB"/>
              </w:rPr>
              <w:t xml:space="preserve"> </w:t>
            </w:r>
            <w:r>
              <w:rPr>
                <w:lang w:val="en-GB"/>
              </w:rPr>
              <w:t>following consultation with stakeholders</w:t>
            </w:r>
            <w:r w:rsidRPr="00637752">
              <w:rPr>
                <w:lang w:val="en-GB"/>
              </w:rPr>
              <w:t xml:space="preserve">. </w:t>
            </w:r>
          </w:p>
          <w:p w14:paraId="2465297D" w14:textId="77777777" w:rsidR="001C570D" w:rsidRPr="00637752" w:rsidRDefault="001C570D" w:rsidP="00B10BE1">
            <w:pPr>
              <w:rPr>
                <w:lang w:val="en-GB"/>
              </w:rPr>
            </w:pPr>
            <w:r w:rsidRPr="00637752">
              <w:rPr>
                <w:lang w:val="en-GB"/>
              </w:rPr>
              <w:t xml:space="preserve">This report </w:t>
            </w:r>
            <w:r>
              <w:rPr>
                <w:lang w:val="en-GB"/>
              </w:rPr>
              <w:t>has now been forwarded to the Government for consideration.</w:t>
            </w:r>
          </w:p>
          <w:p w14:paraId="57F563EB" w14:textId="77777777" w:rsidR="001C570D" w:rsidRPr="00637752" w:rsidRDefault="001C570D" w:rsidP="00B10BE1">
            <w:pPr>
              <w:rPr>
                <w:u w:val="single"/>
                <w:lang w:val="en-GB"/>
              </w:rPr>
            </w:pPr>
            <w:r>
              <w:rPr>
                <w:lang w:val="en-GB"/>
              </w:rPr>
              <w:t xml:space="preserve">The Taskforce welcomes ongoing feedback on this or any MBS </w:t>
            </w:r>
            <w:r w:rsidR="00397457">
              <w:rPr>
                <w:lang w:val="en-GB"/>
              </w:rPr>
              <w:t xml:space="preserve">Review </w:t>
            </w:r>
            <w:r>
              <w:rPr>
                <w:lang w:val="en-GB"/>
              </w:rPr>
              <w:t xml:space="preserve">report via: </w:t>
            </w:r>
            <w:hyperlink r:id="rId12" w:history="1">
              <w:r w:rsidRPr="000C6F19">
                <w:rPr>
                  <w:rStyle w:val="Hyperlink"/>
                  <w:lang w:val="en-GB"/>
                </w:rPr>
                <w:t>mbsreviews@health.gov.au</w:t>
              </w:r>
            </w:hyperlink>
          </w:p>
          <w:p w14:paraId="7C072175" w14:textId="77777777" w:rsidR="001C570D" w:rsidRPr="00637752" w:rsidRDefault="001C570D" w:rsidP="00B10BE1"/>
        </w:tc>
      </w:tr>
    </w:tbl>
    <w:p w14:paraId="41654280" w14:textId="77777777" w:rsidR="000D0E4E" w:rsidRPr="00AE5A70" w:rsidRDefault="000D0E4E" w:rsidP="000D0E4E">
      <w:pPr>
        <w:spacing w:before="120" w:after="120"/>
        <w:rPr>
          <w:rFonts w:cs="Arial"/>
          <w:sz w:val="18"/>
          <w:szCs w:val="18"/>
        </w:rPr>
      </w:pPr>
    </w:p>
    <w:p w14:paraId="64B508DB" w14:textId="77777777" w:rsidR="000D0E4E" w:rsidRPr="00AE5A70" w:rsidRDefault="000D0E4E" w:rsidP="000D0E4E">
      <w:pPr>
        <w:spacing w:before="120" w:after="120"/>
        <w:rPr>
          <w:rFonts w:cs="Arial"/>
          <w:sz w:val="18"/>
          <w:szCs w:val="18"/>
        </w:rPr>
      </w:pPr>
    </w:p>
    <w:p w14:paraId="1021AA07" w14:textId="77777777" w:rsidR="000D0E4E" w:rsidRPr="00AE5A70" w:rsidRDefault="000D0E4E" w:rsidP="000D0E4E">
      <w:pPr>
        <w:spacing w:before="120" w:after="120"/>
        <w:rPr>
          <w:rFonts w:cs="Arial"/>
          <w:sz w:val="18"/>
          <w:szCs w:val="18"/>
        </w:rPr>
      </w:pPr>
    </w:p>
    <w:p w14:paraId="76849AAB" w14:textId="77777777" w:rsidR="000D0E4E" w:rsidRPr="00AE5A70" w:rsidRDefault="000D0E4E" w:rsidP="000D0E4E">
      <w:pPr>
        <w:spacing w:before="120" w:after="120"/>
        <w:rPr>
          <w:rFonts w:cs="Arial"/>
          <w:sz w:val="18"/>
          <w:szCs w:val="18"/>
        </w:rPr>
        <w:sectPr w:rsidR="000D0E4E" w:rsidRPr="00AE5A70" w:rsidSect="008E11F7">
          <w:pgSz w:w="11906" w:h="16838" w:code="9"/>
          <w:pgMar w:top="1440" w:right="1797" w:bottom="1440" w:left="1797" w:header="720" w:footer="720" w:gutter="0"/>
          <w:cols w:space="720"/>
          <w:docGrid w:linePitch="326"/>
        </w:sectPr>
      </w:pPr>
    </w:p>
    <w:p w14:paraId="582E80F0" w14:textId="77777777" w:rsidR="000D0E4E" w:rsidRPr="00AE5A70" w:rsidRDefault="000D0E4E" w:rsidP="00E40606">
      <w:pPr>
        <w:pStyle w:val="TOCHeading"/>
        <w:spacing w:before="0" w:after="360"/>
        <w:rPr>
          <w:color w:val="auto"/>
          <w:sz w:val="24"/>
          <w:szCs w:val="24"/>
        </w:rPr>
      </w:pPr>
      <w:r w:rsidRPr="00AE5A70">
        <w:rPr>
          <w:color w:val="auto"/>
          <w:sz w:val="24"/>
          <w:szCs w:val="24"/>
        </w:rPr>
        <w:lastRenderedPageBreak/>
        <w:t>Table of contents</w:t>
      </w:r>
      <w:bookmarkEnd w:id="0"/>
    </w:p>
    <w:p w14:paraId="0B1569E8" w14:textId="77777777" w:rsidR="00C213D2" w:rsidRDefault="000D0E4E">
      <w:pPr>
        <w:pStyle w:val="TOC1"/>
        <w:rPr>
          <w:rFonts w:eastAsiaTheme="minorEastAsia" w:cstheme="minorBidi"/>
          <w:b w:val="0"/>
        </w:rPr>
      </w:pPr>
      <w:r w:rsidRPr="00AE5A70">
        <w:rPr>
          <w:sz w:val="18"/>
          <w:szCs w:val="18"/>
        </w:rPr>
        <w:fldChar w:fldCharType="begin"/>
      </w:r>
      <w:r w:rsidRPr="00AE5A70">
        <w:rPr>
          <w:sz w:val="18"/>
          <w:szCs w:val="18"/>
        </w:rPr>
        <w:instrText xml:space="preserve"> TOC \o "1-3" \h \z \u </w:instrText>
      </w:r>
      <w:r w:rsidRPr="00AE5A70">
        <w:rPr>
          <w:sz w:val="18"/>
          <w:szCs w:val="18"/>
        </w:rPr>
        <w:fldChar w:fldCharType="separate"/>
      </w:r>
      <w:hyperlink w:anchor="_Toc531941911" w:history="1">
        <w:r w:rsidR="00C213D2" w:rsidRPr="00AE3FC5">
          <w:rPr>
            <w:rStyle w:val="Hyperlink"/>
          </w:rPr>
          <w:t>1.</w:t>
        </w:r>
        <w:r w:rsidR="00C213D2">
          <w:rPr>
            <w:rFonts w:eastAsiaTheme="minorEastAsia" w:cstheme="minorBidi"/>
            <w:b w:val="0"/>
          </w:rPr>
          <w:tab/>
        </w:r>
        <w:r w:rsidR="00C213D2" w:rsidRPr="00AE3FC5">
          <w:rPr>
            <w:rStyle w:val="Hyperlink"/>
          </w:rPr>
          <w:t>Executive summary</w:t>
        </w:r>
        <w:r w:rsidR="00C213D2">
          <w:rPr>
            <w:webHidden/>
          </w:rPr>
          <w:tab/>
        </w:r>
        <w:r w:rsidR="00C213D2">
          <w:rPr>
            <w:webHidden/>
          </w:rPr>
          <w:fldChar w:fldCharType="begin"/>
        </w:r>
        <w:r w:rsidR="00C213D2">
          <w:rPr>
            <w:webHidden/>
          </w:rPr>
          <w:instrText xml:space="preserve"> PAGEREF _Toc531941911 \h </w:instrText>
        </w:r>
        <w:r w:rsidR="00C213D2">
          <w:rPr>
            <w:webHidden/>
          </w:rPr>
        </w:r>
        <w:r w:rsidR="00C213D2">
          <w:rPr>
            <w:webHidden/>
          </w:rPr>
          <w:fldChar w:fldCharType="separate"/>
        </w:r>
        <w:r w:rsidR="00C213D2">
          <w:rPr>
            <w:webHidden/>
          </w:rPr>
          <w:t>6</w:t>
        </w:r>
        <w:r w:rsidR="00C213D2">
          <w:rPr>
            <w:webHidden/>
          </w:rPr>
          <w:fldChar w:fldCharType="end"/>
        </w:r>
      </w:hyperlink>
    </w:p>
    <w:p w14:paraId="4F8CA047" w14:textId="77777777" w:rsidR="00C213D2" w:rsidRDefault="00F62B55">
      <w:pPr>
        <w:pStyle w:val="TOC2"/>
        <w:tabs>
          <w:tab w:val="left" w:pos="1474"/>
          <w:tab w:val="right" w:leader="dot" w:pos="8302"/>
        </w:tabs>
        <w:rPr>
          <w:rFonts w:eastAsiaTheme="minorEastAsia" w:cstheme="minorBidi"/>
        </w:rPr>
      </w:pPr>
      <w:hyperlink w:anchor="_Toc531941912" w:history="1">
        <w:r w:rsidR="00C213D2" w:rsidRPr="00AE3FC5">
          <w:rPr>
            <w:rStyle w:val="Hyperlink"/>
          </w:rPr>
          <w:t>1.1</w:t>
        </w:r>
        <w:r w:rsidR="00C213D2">
          <w:rPr>
            <w:rFonts w:eastAsiaTheme="minorEastAsia" w:cstheme="minorBidi"/>
          </w:rPr>
          <w:tab/>
        </w:r>
        <w:r w:rsidR="00C213D2" w:rsidRPr="00AE3FC5">
          <w:rPr>
            <w:rStyle w:val="Hyperlink"/>
          </w:rPr>
          <w:t>Key recommendations</w:t>
        </w:r>
        <w:r w:rsidR="00C213D2">
          <w:rPr>
            <w:webHidden/>
          </w:rPr>
          <w:tab/>
        </w:r>
        <w:r w:rsidR="00C213D2">
          <w:rPr>
            <w:webHidden/>
          </w:rPr>
          <w:fldChar w:fldCharType="begin"/>
        </w:r>
        <w:r w:rsidR="00C213D2">
          <w:rPr>
            <w:webHidden/>
          </w:rPr>
          <w:instrText xml:space="preserve"> PAGEREF _Toc531941912 \h </w:instrText>
        </w:r>
        <w:r w:rsidR="00C213D2">
          <w:rPr>
            <w:webHidden/>
          </w:rPr>
        </w:r>
        <w:r w:rsidR="00C213D2">
          <w:rPr>
            <w:webHidden/>
          </w:rPr>
          <w:fldChar w:fldCharType="separate"/>
        </w:r>
        <w:r w:rsidR="00C213D2">
          <w:rPr>
            <w:webHidden/>
          </w:rPr>
          <w:t>9</w:t>
        </w:r>
        <w:r w:rsidR="00C213D2">
          <w:rPr>
            <w:webHidden/>
          </w:rPr>
          <w:fldChar w:fldCharType="end"/>
        </w:r>
      </w:hyperlink>
    </w:p>
    <w:p w14:paraId="60EDAA12" w14:textId="77777777" w:rsidR="00C213D2" w:rsidRDefault="00F62B55">
      <w:pPr>
        <w:pStyle w:val="TOC2"/>
        <w:tabs>
          <w:tab w:val="left" w:pos="1474"/>
          <w:tab w:val="right" w:leader="dot" w:pos="8302"/>
        </w:tabs>
        <w:rPr>
          <w:rFonts w:eastAsiaTheme="minorEastAsia" w:cstheme="minorBidi"/>
        </w:rPr>
      </w:pPr>
      <w:hyperlink w:anchor="_Toc531941913" w:history="1">
        <w:r w:rsidR="00C213D2" w:rsidRPr="00AE3FC5">
          <w:rPr>
            <w:rStyle w:val="Hyperlink"/>
          </w:rPr>
          <w:t>1.2</w:t>
        </w:r>
        <w:r w:rsidR="00C213D2">
          <w:rPr>
            <w:rFonts w:eastAsiaTheme="minorEastAsia" w:cstheme="minorBidi"/>
          </w:rPr>
          <w:tab/>
        </w:r>
        <w:r w:rsidR="00C213D2" w:rsidRPr="00AE3FC5">
          <w:rPr>
            <w:rStyle w:val="Hyperlink"/>
          </w:rPr>
          <w:t>Consumer impact</w:t>
        </w:r>
        <w:r w:rsidR="00C213D2">
          <w:rPr>
            <w:webHidden/>
          </w:rPr>
          <w:tab/>
        </w:r>
        <w:r w:rsidR="00C213D2">
          <w:rPr>
            <w:webHidden/>
          </w:rPr>
          <w:fldChar w:fldCharType="begin"/>
        </w:r>
        <w:r w:rsidR="00C213D2">
          <w:rPr>
            <w:webHidden/>
          </w:rPr>
          <w:instrText xml:space="preserve"> PAGEREF _Toc531941913 \h </w:instrText>
        </w:r>
        <w:r w:rsidR="00C213D2">
          <w:rPr>
            <w:webHidden/>
          </w:rPr>
        </w:r>
        <w:r w:rsidR="00C213D2">
          <w:rPr>
            <w:webHidden/>
          </w:rPr>
          <w:fldChar w:fldCharType="separate"/>
        </w:r>
        <w:r w:rsidR="00C213D2">
          <w:rPr>
            <w:webHidden/>
          </w:rPr>
          <w:t>13</w:t>
        </w:r>
        <w:r w:rsidR="00C213D2">
          <w:rPr>
            <w:webHidden/>
          </w:rPr>
          <w:fldChar w:fldCharType="end"/>
        </w:r>
      </w:hyperlink>
    </w:p>
    <w:p w14:paraId="18A24C0F" w14:textId="77777777" w:rsidR="00C213D2" w:rsidRDefault="00F62B55">
      <w:pPr>
        <w:pStyle w:val="TOC1"/>
        <w:rPr>
          <w:rFonts w:eastAsiaTheme="minorEastAsia" w:cstheme="minorBidi"/>
          <w:b w:val="0"/>
        </w:rPr>
      </w:pPr>
      <w:hyperlink w:anchor="_Toc531941914" w:history="1">
        <w:r w:rsidR="00C213D2" w:rsidRPr="00AE3FC5">
          <w:rPr>
            <w:rStyle w:val="Hyperlink"/>
          </w:rPr>
          <w:t>2.</w:t>
        </w:r>
        <w:r w:rsidR="00C213D2">
          <w:rPr>
            <w:rFonts w:eastAsiaTheme="minorEastAsia" w:cstheme="minorBidi"/>
            <w:b w:val="0"/>
          </w:rPr>
          <w:tab/>
        </w:r>
        <w:r w:rsidR="00C213D2" w:rsidRPr="00AE3FC5">
          <w:rPr>
            <w:rStyle w:val="Hyperlink"/>
          </w:rPr>
          <w:t>About the Medicare Benefits Schedule (MBS) Review</w:t>
        </w:r>
        <w:r w:rsidR="00C213D2">
          <w:rPr>
            <w:webHidden/>
          </w:rPr>
          <w:tab/>
        </w:r>
        <w:r w:rsidR="00C213D2">
          <w:rPr>
            <w:webHidden/>
          </w:rPr>
          <w:fldChar w:fldCharType="begin"/>
        </w:r>
        <w:r w:rsidR="00C213D2">
          <w:rPr>
            <w:webHidden/>
          </w:rPr>
          <w:instrText xml:space="preserve"> PAGEREF _Toc531941914 \h </w:instrText>
        </w:r>
        <w:r w:rsidR="00C213D2">
          <w:rPr>
            <w:webHidden/>
          </w:rPr>
        </w:r>
        <w:r w:rsidR="00C213D2">
          <w:rPr>
            <w:webHidden/>
          </w:rPr>
          <w:fldChar w:fldCharType="separate"/>
        </w:r>
        <w:r w:rsidR="00C213D2">
          <w:rPr>
            <w:webHidden/>
          </w:rPr>
          <w:t>15</w:t>
        </w:r>
        <w:r w:rsidR="00C213D2">
          <w:rPr>
            <w:webHidden/>
          </w:rPr>
          <w:fldChar w:fldCharType="end"/>
        </w:r>
      </w:hyperlink>
    </w:p>
    <w:p w14:paraId="254C94EC" w14:textId="77777777" w:rsidR="00C213D2" w:rsidRDefault="00F62B55">
      <w:pPr>
        <w:pStyle w:val="TOC2"/>
        <w:tabs>
          <w:tab w:val="left" w:pos="1474"/>
          <w:tab w:val="right" w:leader="dot" w:pos="8302"/>
        </w:tabs>
        <w:rPr>
          <w:rFonts w:eastAsiaTheme="minorEastAsia" w:cstheme="minorBidi"/>
        </w:rPr>
      </w:pPr>
      <w:hyperlink w:anchor="_Toc531941915" w:history="1">
        <w:r w:rsidR="00C213D2" w:rsidRPr="00AE3FC5">
          <w:rPr>
            <w:rStyle w:val="Hyperlink"/>
          </w:rPr>
          <w:t>2.1</w:t>
        </w:r>
        <w:r w:rsidR="00C213D2">
          <w:rPr>
            <w:rFonts w:eastAsiaTheme="minorEastAsia" w:cstheme="minorBidi"/>
          </w:rPr>
          <w:tab/>
        </w:r>
        <w:r w:rsidR="00C213D2" w:rsidRPr="00AE3FC5">
          <w:rPr>
            <w:rStyle w:val="Hyperlink"/>
          </w:rPr>
          <w:t>Medicare and the MBS</w:t>
        </w:r>
        <w:r w:rsidR="00C213D2">
          <w:rPr>
            <w:webHidden/>
          </w:rPr>
          <w:tab/>
        </w:r>
        <w:r w:rsidR="00C213D2">
          <w:rPr>
            <w:webHidden/>
          </w:rPr>
          <w:fldChar w:fldCharType="begin"/>
        </w:r>
        <w:r w:rsidR="00C213D2">
          <w:rPr>
            <w:webHidden/>
          </w:rPr>
          <w:instrText xml:space="preserve"> PAGEREF _Toc531941915 \h </w:instrText>
        </w:r>
        <w:r w:rsidR="00C213D2">
          <w:rPr>
            <w:webHidden/>
          </w:rPr>
        </w:r>
        <w:r w:rsidR="00C213D2">
          <w:rPr>
            <w:webHidden/>
          </w:rPr>
          <w:fldChar w:fldCharType="separate"/>
        </w:r>
        <w:r w:rsidR="00C213D2">
          <w:rPr>
            <w:webHidden/>
          </w:rPr>
          <w:t>15</w:t>
        </w:r>
        <w:r w:rsidR="00C213D2">
          <w:rPr>
            <w:webHidden/>
          </w:rPr>
          <w:fldChar w:fldCharType="end"/>
        </w:r>
      </w:hyperlink>
    </w:p>
    <w:p w14:paraId="05F9E16D" w14:textId="77777777" w:rsidR="00C213D2" w:rsidRDefault="00F62B55">
      <w:pPr>
        <w:pStyle w:val="TOC3"/>
        <w:tabs>
          <w:tab w:val="left" w:pos="1474"/>
          <w:tab w:val="right" w:leader="dot" w:pos="8302"/>
        </w:tabs>
        <w:rPr>
          <w:rFonts w:eastAsiaTheme="minorEastAsia" w:cstheme="minorBidi"/>
        </w:rPr>
      </w:pPr>
      <w:hyperlink w:anchor="_Toc531941916" w:history="1">
        <w:r w:rsidR="00C213D2" w:rsidRPr="00AE3FC5">
          <w:rPr>
            <w:rStyle w:val="Hyperlink"/>
          </w:rPr>
          <w:t>2.1.1</w:t>
        </w:r>
        <w:r w:rsidR="00C213D2">
          <w:rPr>
            <w:rFonts w:eastAsiaTheme="minorEastAsia" w:cstheme="minorBidi"/>
          </w:rPr>
          <w:tab/>
        </w:r>
        <w:r w:rsidR="00C213D2" w:rsidRPr="00AE3FC5">
          <w:rPr>
            <w:rStyle w:val="Hyperlink"/>
          </w:rPr>
          <w:t>What is Medicare?</w:t>
        </w:r>
        <w:r w:rsidR="00C213D2">
          <w:rPr>
            <w:webHidden/>
          </w:rPr>
          <w:tab/>
        </w:r>
        <w:r w:rsidR="00C213D2">
          <w:rPr>
            <w:webHidden/>
          </w:rPr>
          <w:fldChar w:fldCharType="begin"/>
        </w:r>
        <w:r w:rsidR="00C213D2">
          <w:rPr>
            <w:webHidden/>
          </w:rPr>
          <w:instrText xml:space="preserve"> PAGEREF _Toc531941916 \h </w:instrText>
        </w:r>
        <w:r w:rsidR="00C213D2">
          <w:rPr>
            <w:webHidden/>
          </w:rPr>
        </w:r>
        <w:r w:rsidR="00C213D2">
          <w:rPr>
            <w:webHidden/>
          </w:rPr>
          <w:fldChar w:fldCharType="separate"/>
        </w:r>
        <w:r w:rsidR="00C213D2">
          <w:rPr>
            <w:webHidden/>
          </w:rPr>
          <w:t>15</w:t>
        </w:r>
        <w:r w:rsidR="00C213D2">
          <w:rPr>
            <w:webHidden/>
          </w:rPr>
          <w:fldChar w:fldCharType="end"/>
        </w:r>
      </w:hyperlink>
    </w:p>
    <w:p w14:paraId="5E49D535" w14:textId="77777777" w:rsidR="00C213D2" w:rsidRDefault="00F62B55">
      <w:pPr>
        <w:pStyle w:val="TOC3"/>
        <w:tabs>
          <w:tab w:val="left" w:pos="1474"/>
          <w:tab w:val="right" w:leader="dot" w:pos="8302"/>
        </w:tabs>
        <w:rPr>
          <w:rFonts w:eastAsiaTheme="minorEastAsia" w:cstheme="minorBidi"/>
        </w:rPr>
      </w:pPr>
      <w:hyperlink w:anchor="_Toc531941917" w:history="1">
        <w:r w:rsidR="00C213D2" w:rsidRPr="00AE3FC5">
          <w:rPr>
            <w:rStyle w:val="Hyperlink"/>
          </w:rPr>
          <w:t>2.1.2</w:t>
        </w:r>
        <w:r w:rsidR="00C213D2">
          <w:rPr>
            <w:rFonts w:eastAsiaTheme="minorEastAsia" w:cstheme="minorBidi"/>
          </w:rPr>
          <w:tab/>
        </w:r>
        <w:r w:rsidR="00C213D2" w:rsidRPr="00AE3FC5">
          <w:rPr>
            <w:rStyle w:val="Hyperlink"/>
          </w:rPr>
          <w:t>What is the MBS?</w:t>
        </w:r>
        <w:r w:rsidR="00C213D2">
          <w:rPr>
            <w:webHidden/>
          </w:rPr>
          <w:tab/>
        </w:r>
        <w:r w:rsidR="00C213D2">
          <w:rPr>
            <w:webHidden/>
          </w:rPr>
          <w:fldChar w:fldCharType="begin"/>
        </w:r>
        <w:r w:rsidR="00C213D2">
          <w:rPr>
            <w:webHidden/>
          </w:rPr>
          <w:instrText xml:space="preserve"> PAGEREF _Toc531941917 \h </w:instrText>
        </w:r>
        <w:r w:rsidR="00C213D2">
          <w:rPr>
            <w:webHidden/>
          </w:rPr>
        </w:r>
        <w:r w:rsidR="00C213D2">
          <w:rPr>
            <w:webHidden/>
          </w:rPr>
          <w:fldChar w:fldCharType="separate"/>
        </w:r>
        <w:r w:rsidR="00C213D2">
          <w:rPr>
            <w:webHidden/>
          </w:rPr>
          <w:t>15</w:t>
        </w:r>
        <w:r w:rsidR="00C213D2">
          <w:rPr>
            <w:webHidden/>
          </w:rPr>
          <w:fldChar w:fldCharType="end"/>
        </w:r>
      </w:hyperlink>
    </w:p>
    <w:p w14:paraId="51853E73" w14:textId="77777777" w:rsidR="00C213D2" w:rsidRDefault="00F62B55">
      <w:pPr>
        <w:pStyle w:val="TOC2"/>
        <w:tabs>
          <w:tab w:val="left" w:pos="1474"/>
          <w:tab w:val="right" w:leader="dot" w:pos="8302"/>
        </w:tabs>
        <w:rPr>
          <w:rFonts w:eastAsiaTheme="minorEastAsia" w:cstheme="minorBidi"/>
        </w:rPr>
      </w:pPr>
      <w:hyperlink w:anchor="_Toc531941918" w:history="1">
        <w:r w:rsidR="00C213D2" w:rsidRPr="00AE3FC5">
          <w:rPr>
            <w:rStyle w:val="Hyperlink"/>
          </w:rPr>
          <w:t>2.2</w:t>
        </w:r>
        <w:r w:rsidR="00C213D2">
          <w:rPr>
            <w:rFonts w:eastAsiaTheme="minorEastAsia" w:cstheme="minorBidi"/>
          </w:rPr>
          <w:tab/>
        </w:r>
        <w:r w:rsidR="00C213D2" w:rsidRPr="00AE3FC5">
          <w:rPr>
            <w:rStyle w:val="Hyperlink"/>
          </w:rPr>
          <w:t>What is the MBS Review Taskforce?</w:t>
        </w:r>
        <w:r w:rsidR="00C213D2">
          <w:rPr>
            <w:webHidden/>
          </w:rPr>
          <w:tab/>
        </w:r>
        <w:r w:rsidR="00C213D2">
          <w:rPr>
            <w:webHidden/>
          </w:rPr>
          <w:fldChar w:fldCharType="begin"/>
        </w:r>
        <w:r w:rsidR="00C213D2">
          <w:rPr>
            <w:webHidden/>
          </w:rPr>
          <w:instrText xml:space="preserve"> PAGEREF _Toc531941918 \h </w:instrText>
        </w:r>
        <w:r w:rsidR="00C213D2">
          <w:rPr>
            <w:webHidden/>
          </w:rPr>
        </w:r>
        <w:r w:rsidR="00C213D2">
          <w:rPr>
            <w:webHidden/>
          </w:rPr>
          <w:fldChar w:fldCharType="separate"/>
        </w:r>
        <w:r w:rsidR="00C213D2">
          <w:rPr>
            <w:webHidden/>
          </w:rPr>
          <w:t>15</w:t>
        </w:r>
        <w:r w:rsidR="00C213D2">
          <w:rPr>
            <w:webHidden/>
          </w:rPr>
          <w:fldChar w:fldCharType="end"/>
        </w:r>
      </w:hyperlink>
    </w:p>
    <w:p w14:paraId="7FB9A6B4" w14:textId="77777777" w:rsidR="00C213D2" w:rsidRDefault="00F62B55">
      <w:pPr>
        <w:pStyle w:val="TOC3"/>
        <w:tabs>
          <w:tab w:val="left" w:pos="1474"/>
          <w:tab w:val="right" w:leader="dot" w:pos="8302"/>
        </w:tabs>
        <w:rPr>
          <w:rFonts w:eastAsiaTheme="minorEastAsia" w:cstheme="minorBidi"/>
        </w:rPr>
      </w:pPr>
      <w:hyperlink w:anchor="_Toc531941919" w:history="1">
        <w:r w:rsidR="00C213D2" w:rsidRPr="00AE3FC5">
          <w:rPr>
            <w:rStyle w:val="Hyperlink"/>
          </w:rPr>
          <w:t>2.2.1</w:t>
        </w:r>
        <w:r w:rsidR="00C213D2">
          <w:rPr>
            <w:rFonts w:eastAsiaTheme="minorEastAsia" w:cstheme="minorBidi"/>
          </w:rPr>
          <w:tab/>
        </w:r>
        <w:r w:rsidR="00C213D2" w:rsidRPr="00AE3FC5">
          <w:rPr>
            <w:rStyle w:val="Hyperlink"/>
          </w:rPr>
          <w:t>What are the goals of the Taskforce?</w:t>
        </w:r>
        <w:r w:rsidR="00C213D2">
          <w:rPr>
            <w:webHidden/>
          </w:rPr>
          <w:tab/>
        </w:r>
        <w:r w:rsidR="00C213D2">
          <w:rPr>
            <w:webHidden/>
          </w:rPr>
          <w:fldChar w:fldCharType="begin"/>
        </w:r>
        <w:r w:rsidR="00C213D2">
          <w:rPr>
            <w:webHidden/>
          </w:rPr>
          <w:instrText xml:space="preserve"> PAGEREF _Toc531941919 \h </w:instrText>
        </w:r>
        <w:r w:rsidR="00C213D2">
          <w:rPr>
            <w:webHidden/>
          </w:rPr>
        </w:r>
        <w:r w:rsidR="00C213D2">
          <w:rPr>
            <w:webHidden/>
          </w:rPr>
          <w:fldChar w:fldCharType="separate"/>
        </w:r>
        <w:r w:rsidR="00C213D2">
          <w:rPr>
            <w:webHidden/>
          </w:rPr>
          <w:t>15</w:t>
        </w:r>
        <w:r w:rsidR="00C213D2">
          <w:rPr>
            <w:webHidden/>
          </w:rPr>
          <w:fldChar w:fldCharType="end"/>
        </w:r>
      </w:hyperlink>
    </w:p>
    <w:p w14:paraId="103D3AEF" w14:textId="77777777" w:rsidR="00C213D2" w:rsidRDefault="00F62B55">
      <w:pPr>
        <w:pStyle w:val="TOC1"/>
        <w:rPr>
          <w:rFonts w:eastAsiaTheme="minorEastAsia" w:cstheme="minorBidi"/>
          <w:b w:val="0"/>
        </w:rPr>
      </w:pPr>
      <w:hyperlink w:anchor="_Toc531941920" w:history="1">
        <w:r w:rsidR="00C213D2" w:rsidRPr="00AE3FC5">
          <w:rPr>
            <w:rStyle w:val="Hyperlink"/>
          </w:rPr>
          <w:t>3.</w:t>
        </w:r>
        <w:r w:rsidR="00C213D2">
          <w:rPr>
            <w:rFonts w:eastAsiaTheme="minorEastAsia" w:cstheme="minorBidi"/>
            <w:b w:val="0"/>
          </w:rPr>
          <w:tab/>
        </w:r>
        <w:r w:rsidR="00C213D2" w:rsidRPr="00AE3FC5">
          <w:rPr>
            <w:rStyle w:val="Hyperlink"/>
          </w:rPr>
          <w:t>About the Eating Disorders Working Group</w:t>
        </w:r>
        <w:r w:rsidR="00C213D2">
          <w:rPr>
            <w:webHidden/>
          </w:rPr>
          <w:tab/>
        </w:r>
        <w:r w:rsidR="00C213D2">
          <w:rPr>
            <w:webHidden/>
          </w:rPr>
          <w:fldChar w:fldCharType="begin"/>
        </w:r>
        <w:r w:rsidR="00C213D2">
          <w:rPr>
            <w:webHidden/>
          </w:rPr>
          <w:instrText xml:space="preserve"> PAGEREF _Toc531941920 \h </w:instrText>
        </w:r>
        <w:r w:rsidR="00C213D2">
          <w:rPr>
            <w:webHidden/>
          </w:rPr>
        </w:r>
        <w:r w:rsidR="00C213D2">
          <w:rPr>
            <w:webHidden/>
          </w:rPr>
          <w:fldChar w:fldCharType="separate"/>
        </w:r>
        <w:r w:rsidR="00C213D2">
          <w:rPr>
            <w:webHidden/>
          </w:rPr>
          <w:t>17</w:t>
        </w:r>
        <w:r w:rsidR="00C213D2">
          <w:rPr>
            <w:webHidden/>
          </w:rPr>
          <w:fldChar w:fldCharType="end"/>
        </w:r>
      </w:hyperlink>
    </w:p>
    <w:p w14:paraId="180A99E6" w14:textId="77777777" w:rsidR="00C213D2" w:rsidRDefault="00F62B55">
      <w:pPr>
        <w:pStyle w:val="TOC2"/>
        <w:tabs>
          <w:tab w:val="left" w:pos="1474"/>
          <w:tab w:val="right" w:leader="dot" w:pos="8302"/>
        </w:tabs>
        <w:rPr>
          <w:rFonts w:eastAsiaTheme="minorEastAsia" w:cstheme="minorBidi"/>
        </w:rPr>
      </w:pPr>
      <w:hyperlink w:anchor="_Toc531941921" w:history="1">
        <w:r w:rsidR="00C213D2" w:rsidRPr="00AE3FC5">
          <w:rPr>
            <w:rStyle w:val="Hyperlink"/>
          </w:rPr>
          <w:t>3.1</w:t>
        </w:r>
        <w:r w:rsidR="00C213D2">
          <w:rPr>
            <w:rFonts w:eastAsiaTheme="minorEastAsia" w:cstheme="minorBidi"/>
          </w:rPr>
          <w:tab/>
        </w:r>
        <w:r w:rsidR="00C213D2" w:rsidRPr="00AE3FC5">
          <w:rPr>
            <w:rStyle w:val="Hyperlink"/>
          </w:rPr>
          <w:t>Eating Disorders Working Group members</w:t>
        </w:r>
        <w:r w:rsidR="00C213D2">
          <w:rPr>
            <w:webHidden/>
          </w:rPr>
          <w:tab/>
        </w:r>
        <w:r w:rsidR="00C213D2">
          <w:rPr>
            <w:webHidden/>
          </w:rPr>
          <w:fldChar w:fldCharType="begin"/>
        </w:r>
        <w:r w:rsidR="00C213D2">
          <w:rPr>
            <w:webHidden/>
          </w:rPr>
          <w:instrText xml:space="preserve"> PAGEREF _Toc531941921 \h </w:instrText>
        </w:r>
        <w:r w:rsidR="00C213D2">
          <w:rPr>
            <w:webHidden/>
          </w:rPr>
        </w:r>
        <w:r w:rsidR="00C213D2">
          <w:rPr>
            <w:webHidden/>
          </w:rPr>
          <w:fldChar w:fldCharType="separate"/>
        </w:r>
        <w:r w:rsidR="00C213D2">
          <w:rPr>
            <w:webHidden/>
          </w:rPr>
          <w:t>17</w:t>
        </w:r>
        <w:r w:rsidR="00C213D2">
          <w:rPr>
            <w:webHidden/>
          </w:rPr>
          <w:fldChar w:fldCharType="end"/>
        </w:r>
      </w:hyperlink>
    </w:p>
    <w:p w14:paraId="69BED36F" w14:textId="77777777" w:rsidR="00C213D2" w:rsidRDefault="00F62B55">
      <w:pPr>
        <w:pStyle w:val="TOC2"/>
        <w:tabs>
          <w:tab w:val="left" w:pos="1474"/>
          <w:tab w:val="right" w:leader="dot" w:pos="8302"/>
        </w:tabs>
        <w:rPr>
          <w:rFonts w:eastAsiaTheme="minorEastAsia" w:cstheme="minorBidi"/>
        </w:rPr>
      </w:pPr>
      <w:hyperlink w:anchor="_Toc531941922" w:history="1">
        <w:r w:rsidR="00C213D2" w:rsidRPr="00AE3FC5">
          <w:rPr>
            <w:rStyle w:val="Hyperlink"/>
          </w:rPr>
          <w:t>3.2</w:t>
        </w:r>
        <w:r w:rsidR="00C213D2">
          <w:rPr>
            <w:rFonts w:eastAsiaTheme="minorEastAsia" w:cstheme="minorBidi"/>
          </w:rPr>
          <w:tab/>
        </w:r>
        <w:r w:rsidR="00C213D2" w:rsidRPr="00AE3FC5">
          <w:rPr>
            <w:rStyle w:val="Hyperlink"/>
          </w:rPr>
          <w:t>Conflicts of interest</w:t>
        </w:r>
        <w:r w:rsidR="00C213D2">
          <w:rPr>
            <w:webHidden/>
          </w:rPr>
          <w:tab/>
        </w:r>
        <w:r w:rsidR="00C213D2">
          <w:rPr>
            <w:webHidden/>
          </w:rPr>
          <w:fldChar w:fldCharType="begin"/>
        </w:r>
        <w:r w:rsidR="00C213D2">
          <w:rPr>
            <w:webHidden/>
          </w:rPr>
          <w:instrText xml:space="preserve"> PAGEREF _Toc531941922 \h </w:instrText>
        </w:r>
        <w:r w:rsidR="00C213D2">
          <w:rPr>
            <w:webHidden/>
          </w:rPr>
        </w:r>
        <w:r w:rsidR="00C213D2">
          <w:rPr>
            <w:webHidden/>
          </w:rPr>
          <w:fldChar w:fldCharType="separate"/>
        </w:r>
        <w:r w:rsidR="00C213D2">
          <w:rPr>
            <w:webHidden/>
          </w:rPr>
          <w:t>19</w:t>
        </w:r>
        <w:r w:rsidR="00C213D2">
          <w:rPr>
            <w:webHidden/>
          </w:rPr>
          <w:fldChar w:fldCharType="end"/>
        </w:r>
      </w:hyperlink>
    </w:p>
    <w:p w14:paraId="58C24315" w14:textId="77777777" w:rsidR="00C213D2" w:rsidRDefault="00F62B55">
      <w:pPr>
        <w:pStyle w:val="TOC2"/>
        <w:tabs>
          <w:tab w:val="left" w:pos="1474"/>
          <w:tab w:val="right" w:leader="dot" w:pos="8302"/>
        </w:tabs>
        <w:rPr>
          <w:rFonts w:eastAsiaTheme="minorEastAsia" w:cstheme="minorBidi"/>
        </w:rPr>
      </w:pPr>
      <w:hyperlink w:anchor="_Toc531941923" w:history="1">
        <w:r w:rsidR="00C213D2" w:rsidRPr="00AE3FC5">
          <w:rPr>
            <w:rStyle w:val="Hyperlink"/>
          </w:rPr>
          <w:t>3.3</w:t>
        </w:r>
        <w:r w:rsidR="00C213D2">
          <w:rPr>
            <w:rFonts w:eastAsiaTheme="minorEastAsia" w:cstheme="minorBidi"/>
          </w:rPr>
          <w:tab/>
        </w:r>
        <w:r w:rsidR="00C213D2" w:rsidRPr="00AE3FC5">
          <w:rPr>
            <w:rStyle w:val="Hyperlink"/>
          </w:rPr>
          <w:t>Areas of responsibility of the Eating Disorders Working Group</w:t>
        </w:r>
        <w:r w:rsidR="00C213D2">
          <w:rPr>
            <w:webHidden/>
          </w:rPr>
          <w:tab/>
        </w:r>
        <w:r w:rsidR="00C213D2">
          <w:rPr>
            <w:webHidden/>
          </w:rPr>
          <w:fldChar w:fldCharType="begin"/>
        </w:r>
        <w:r w:rsidR="00C213D2">
          <w:rPr>
            <w:webHidden/>
          </w:rPr>
          <w:instrText xml:space="preserve"> PAGEREF _Toc531941923 \h </w:instrText>
        </w:r>
        <w:r w:rsidR="00C213D2">
          <w:rPr>
            <w:webHidden/>
          </w:rPr>
        </w:r>
        <w:r w:rsidR="00C213D2">
          <w:rPr>
            <w:webHidden/>
          </w:rPr>
          <w:fldChar w:fldCharType="separate"/>
        </w:r>
        <w:r w:rsidR="00C213D2">
          <w:rPr>
            <w:webHidden/>
          </w:rPr>
          <w:t>19</w:t>
        </w:r>
        <w:r w:rsidR="00C213D2">
          <w:rPr>
            <w:webHidden/>
          </w:rPr>
          <w:fldChar w:fldCharType="end"/>
        </w:r>
      </w:hyperlink>
    </w:p>
    <w:p w14:paraId="2F945CD7" w14:textId="77777777" w:rsidR="00C213D2" w:rsidRDefault="00F62B55">
      <w:pPr>
        <w:pStyle w:val="TOC2"/>
        <w:tabs>
          <w:tab w:val="left" w:pos="1474"/>
          <w:tab w:val="right" w:leader="dot" w:pos="8302"/>
        </w:tabs>
        <w:rPr>
          <w:rFonts w:eastAsiaTheme="minorEastAsia" w:cstheme="minorBidi"/>
        </w:rPr>
      </w:pPr>
      <w:hyperlink w:anchor="_Toc531941924" w:history="1">
        <w:r w:rsidR="00C213D2" w:rsidRPr="00AE3FC5">
          <w:rPr>
            <w:rStyle w:val="Hyperlink"/>
          </w:rPr>
          <w:t>3.4</w:t>
        </w:r>
        <w:r w:rsidR="00C213D2">
          <w:rPr>
            <w:rFonts w:eastAsiaTheme="minorEastAsia" w:cstheme="minorBidi"/>
          </w:rPr>
          <w:tab/>
        </w:r>
        <w:r w:rsidR="00C213D2" w:rsidRPr="00AE3FC5">
          <w:rPr>
            <w:rStyle w:val="Hyperlink"/>
          </w:rPr>
          <w:t>Summary of the Working Group’s review approach</w:t>
        </w:r>
        <w:r w:rsidR="00C213D2">
          <w:rPr>
            <w:webHidden/>
          </w:rPr>
          <w:tab/>
        </w:r>
        <w:r w:rsidR="00C213D2">
          <w:rPr>
            <w:webHidden/>
          </w:rPr>
          <w:fldChar w:fldCharType="begin"/>
        </w:r>
        <w:r w:rsidR="00C213D2">
          <w:rPr>
            <w:webHidden/>
          </w:rPr>
          <w:instrText xml:space="preserve"> PAGEREF _Toc531941924 \h </w:instrText>
        </w:r>
        <w:r w:rsidR="00C213D2">
          <w:rPr>
            <w:webHidden/>
          </w:rPr>
        </w:r>
        <w:r w:rsidR="00C213D2">
          <w:rPr>
            <w:webHidden/>
          </w:rPr>
          <w:fldChar w:fldCharType="separate"/>
        </w:r>
        <w:r w:rsidR="00C213D2">
          <w:rPr>
            <w:webHidden/>
          </w:rPr>
          <w:t>21</w:t>
        </w:r>
        <w:r w:rsidR="00C213D2">
          <w:rPr>
            <w:webHidden/>
          </w:rPr>
          <w:fldChar w:fldCharType="end"/>
        </w:r>
      </w:hyperlink>
    </w:p>
    <w:p w14:paraId="69BA6045" w14:textId="77777777" w:rsidR="00C213D2" w:rsidRDefault="00F62B55">
      <w:pPr>
        <w:pStyle w:val="TOC1"/>
        <w:rPr>
          <w:rFonts w:eastAsiaTheme="minorEastAsia" w:cstheme="minorBidi"/>
          <w:b w:val="0"/>
        </w:rPr>
      </w:pPr>
      <w:hyperlink w:anchor="_Toc531941925" w:history="1">
        <w:r w:rsidR="00C213D2" w:rsidRPr="00AE3FC5">
          <w:rPr>
            <w:rStyle w:val="Hyperlink"/>
          </w:rPr>
          <w:t>4.</w:t>
        </w:r>
        <w:r w:rsidR="00C213D2">
          <w:rPr>
            <w:rFonts w:eastAsiaTheme="minorEastAsia" w:cstheme="minorBidi"/>
            <w:b w:val="0"/>
          </w:rPr>
          <w:tab/>
        </w:r>
        <w:r w:rsidR="00C213D2" w:rsidRPr="00AE3FC5">
          <w:rPr>
            <w:rStyle w:val="Hyperlink"/>
          </w:rPr>
          <w:t>Eating Disorders in Australia</w:t>
        </w:r>
        <w:r w:rsidR="00C213D2">
          <w:rPr>
            <w:webHidden/>
          </w:rPr>
          <w:tab/>
        </w:r>
        <w:r w:rsidR="00C213D2">
          <w:rPr>
            <w:webHidden/>
          </w:rPr>
          <w:fldChar w:fldCharType="begin"/>
        </w:r>
        <w:r w:rsidR="00C213D2">
          <w:rPr>
            <w:webHidden/>
          </w:rPr>
          <w:instrText xml:space="preserve"> PAGEREF _Toc531941925 \h </w:instrText>
        </w:r>
        <w:r w:rsidR="00C213D2">
          <w:rPr>
            <w:webHidden/>
          </w:rPr>
        </w:r>
        <w:r w:rsidR="00C213D2">
          <w:rPr>
            <w:webHidden/>
          </w:rPr>
          <w:fldChar w:fldCharType="separate"/>
        </w:r>
        <w:r w:rsidR="00C213D2">
          <w:rPr>
            <w:webHidden/>
          </w:rPr>
          <w:t>23</w:t>
        </w:r>
        <w:r w:rsidR="00C213D2">
          <w:rPr>
            <w:webHidden/>
          </w:rPr>
          <w:fldChar w:fldCharType="end"/>
        </w:r>
      </w:hyperlink>
    </w:p>
    <w:p w14:paraId="2E0C31CD" w14:textId="77777777" w:rsidR="00C213D2" w:rsidRDefault="00F62B55">
      <w:pPr>
        <w:pStyle w:val="TOC1"/>
        <w:rPr>
          <w:rFonts w:eastAsiaTheme="minorEastAsia" w:cstheme="minorBidi"/>
          <w:b w:val="0"/>
        </w:rPr>
      </w:pPr>
      <w:hyperlink w:anchor="_Toc531941926" w:history="1">
        <w:r w:rsidR="00C213D2" w:rsidRPr="00AE3FC5">
          <w:rPr>
            <w:rStyle w:val="Hyperlink"/>
          </w:rPr>
          <w:t>5.</w:t>
        </w:r>
        <w:r w:rsidR="00C213D2">
          <w:rPr>
            <w:rFonts w:eastAsiaTheme="minorEastAsia" w:cstheme="minorBidi"/>
            <w:b w:val="0"/>
          </w:rPr>
          <w:tab/>
        </w:r>
        <w:r w:rsidR="00C213D2" w:rsidRPr="00AE3FC5">
          <w:rPr>
            <w:rStyle w:val="Hyperlink"/>
          </w:rPr>
          <w:t>Recommendations</w:t>
        </w:r>
        <w:r w:rsidR="00C213D2">
          <w:rPr>
            <w:webHidden/>
          </w:rPr>
          <w:tab/>
        </w:r>
        <w:r w:rsidR="00C213D2">
          <w:rPr>
            <w:webHidden/>
          </w:rPr>
          <w:fldChar w:fldCharType="begin"/>
        </w:r>
        <w:r w:rsidR="00C213D2">
          <w:rPr>
            <w:webHidden/>
          </w:rPr>
          <w:instrText xml:space="preserve"> PAGEREF _Toc531941926 \h </w:instrText>
        </w:r>
        <w:r w:rsidR="00C213D2">
          <w:rPr>
            <w:webHidden/>
          </w:rPr>
        </w:r>
        <w:r w:rsidR="00C213D2">
          <w:rPr>
            <w:webHidden/>
          </w:rPr>
          <w:fldChar w:fldCharType="separate"/>
        </w:r>
        <w:r w:rsidR="00C213D2">
          <w:rPr>
            <w:webHidden/>
          </w:rPr>
          <w:t>26</w:t>
        </w:r>
        <w:r w:rsidR="00C213D2">
          <w:rPr>
            <w:webHidden/>
          </w:rPr>
          <w:fldChar w:fldCharType="end"/>
        </w:r>
      </w:hyperlink>
    </w:p>
    <w:p w14:paraId="24DF4D2E" w14:textId="77777777" w:rsidR="00C213D2" w:rsidRDefault="00F62B55">
      <w:pPr>
        <w:pStyle w:val="TOC2"/>
        <w:tabs>
          <w:tab w:val="left" w:pos="1474"/>
          <w:tab w:val="right" w:leader="dot" w:pos="8302"/>
        </w:tabs>
        <w:rPr>
          <w:rFonts w:eastAsiaTheme="minorEastAsia" w:cstheme="minorBidi"/>
        </w:rPr>
      </w:pPr>
      <w:hyperlink w:anchor="_Toc531941927" w:history="1">
        <w:r w:rsidR="00C213D2" w:rsidRPr="00AE3FC5">
          <w:rPr>
            <w:rStyle w:val="Hyperlink"/>
          </w:rPr>
          <w:t>5.1</w:t>
        </w:r>
        <w:r w:rsidR="00C213D2">
          <w:rPr>
            <w:rFonts w:eastAsiaTheme="minorEastAsia" w:cstheme="minorBidi"/>
          </w:rPr>
          <w:tab/>
        </w:r>
        <w:r w:rsidR="00C213D2" w:rsidRPr="00AE3FC5">
          <w:rPr>
            <w:rStyle w:val="Hyperlink"/>
          </w:rPr>
          <w:t>Finding 1: Current Medicare-funded services and the MBS infrastructure do not support the clinical guidelines of best practice care, as delivered by an experienced practitioner</w:t>
        </w:r>
        <w:r w:rsidR="00C213D2">
          <w:rPr>
            <w:webHidden/>
          </w:rPr>
          <w:tab/>
        </w:r>
        <w:r w:rsidR="00C213D2">
          <w:rPr>
            <w:webHidden/>
          </w:rPr>
          <w:fldChar w:fldCharType="begin"/>
        </w:r>
        <w:r w:rsidR="00C213D2">
          <w:rPr>
            <w:webHidden/>
          </w:rPr>
          <w:instrText xml:space="preserve"> PAGEREF _Toc531941927 \h </w:instrText>
        </w:r>
        <w:r w:rsidR="00C213D2">
          <w:rPr>
            <w:webHidden/>
          </w:rPr>
        </w:r>
        <w:r w:rsidR="00C213D2">
          <w:rPr>
            <w:webHidden/>
          </w:rPr>
          <w:fldChar w:fldCharType="separate"/>
        </w:r>
        <w:r w:rsidR="00C213D2">
          <w:rPr>
            <w:webHidden/>
          </w:rPr>
          <w:t>30</w:t>
        </w:r>
        <w:r w:rsidR="00C213D2">
          <w:rPr>
            <w:webHidden/>
          </w:rPr>
          <w:fldChar w:fldCharType="end"/>
        </w:r>
      </w:hyperlink>
    </w:p>
    <w:p w14:paraId="25A0B108" w14:textId="77777777" w:rsidR="00C213D2" w:rsidRDefault="00F62B55">
      <w:pPr>
        <w:pStyle w:val="TOC3"/>
        <w:tabs>
          <w:tab w:val="left" w:pos="1474"/>
          <w:tab w:val="right" w:leader="dot" w:pos="8302"/>
        </w:tabs>
        <w:rPr>
          <w:rFonts w:eastAsiaTheme="minorEastAsia" w:cstheme="minorBidi"/>
        </w:rPr>
      </w:pPr>
      <w:hyperlink w:anchor="_Toc531941928" w:history="1">
        <w:r w:rsidR="00C213D2" w:rsidRPr="00AE3FC5">
          <w:rPr>
            <w:rStyle w:val="Hyperlink"/>
          </w:rPr>
          <w:t>5.1.1</w:t>
        </w:r>
        <w:r w:rsidR="00C213D2">
          <w:rPr>
            <w:rFonts w:eastAsiaTheme="minorEastAsia" w:cstheme="minorBidi"/>
          </w:rPr>
          <w:tab/>
        </w:r>
        <w:r w:rsidR="00C213D2" w:rsidRPr="00AE3FC5">
          <w:rPr>
            <w:rStyle w:val="Hyperlink"/>
          </w:rPr>
          <w:t>Background</w:t>
        </w:r>
        <w:r w:rsidR="00C213D2">
          <w:rPr>
            <w:webHidden/>
          </w:rPr>
          <w:tab/>
        </w:r>
        <w:r w:rsidR="00C213D2">
          <w:rPr>
            <w:webHidden/>
          </w:rPr>
          <w:fldChar w:fldCharType="begin"/>
        </w:r>
        <w:r w:rsidR="00C213D2">
          <w:rPr>
            <w:webHidden/>
          </w:rPr>
          <w:instrText xml:space="preserve"> PAGEREF _Toc531941928 \h </w:instrText>
        </w:r>
        <w:r w:rsidR="00C213D2">
          <w:rPr>
            <w:webHidden/>
          </w:rPr>
        </w:r>
        <w:r w:rsidR="00C213D2">
          <w:rPr>
            <w:webHidden/>
          </w:rPr>
          <w:fldChar w:fldCharType="separate"/>
        </w:r>
        <w:r w:rsidR="00C213D2">
          <w:rPr>
            <w:webHidden/>
          </w:rPr>
          <w:t>30</w:t>
        </w:r>
        <w:r w:rsidR="00C213D2">
          <w:rPr>
            <w:webHidden/>
          </w:rPr>
          <w:fldChar w:fldCharType="end"/>
        </w:r>
      </w:hyperlink>
    </w:p>
    <w:p w14:paraId="20B45926" w14:textId="77777777" w:rsidR="00C213D2" w:rsidRDefault="00F62B55">
      <w:pPr>
        <w:pStyle w:val="TOC3"/>
        <w:tabs>
          <w:tab w:val="left" w:pos="1474"/>
          <w:tab w:val="right" w:leader="dot" w:pos="8302"/>
        </w:tabs>
        <w:rPr>
          <w:rFonts w:eastAsiaTheme="minorEastAsia" w:cstheme="minorBidi"/>
        </w:rPr>
      </w:pPr>
      <w:hyperlink w:anchor="_Toc531941929" w:history="1">
        <w:r w:rsidR="00C213D2" w:rsidRPr="00AE3FC5">
          <w:rPr>
            <w:rStyle w:val="Hyperlink"/>
            <w:rFonts w:eastAsiaTheme="minorBidi"/>
          </w:rPr>
          <w:t>5.1.2</w:t>
        </w:r>
        <w:r w:rsidR="00C213D2">
          <w:rPr>
            <w:rFonts w:eastAsiaTheme="minorEastAsia" w:cstheme="minorBidi"/>
          </w:rPr>
          <w:tab/>
        </w:r>
        <w:r w:rsidR="00C213D2" w:rsidRPr="00AE3FC5">
          <w:rPr>
            <w:rStyle w:val="Hyperlink"/>
          </w:rPr>
          <w:t>Supporting</w:t>
        </w:r>
        <w:r w:rsidR="00C213D2" w:rsidRPr="00AE3FC5">
          <w:rPr>
            <w:rStyle w:val="Hyperlink"/>
            <w:rFonts w:eastAsiaTheme="minorBidi"/>
          </w:rPr>
          <w:t xml:space="preserve"> general practitioners as the main primary healthcare provider</w:t>
        </w:r>
        <w:r w:rsidR="00C213D2">
          <w:rPr>
            <w:webHidden/>
          </w:rPr>
          <w:tab/>
        </w:r>
        <w:r w:rsidR="00C213D2">
          <w:rPr>
            <w:webHidden/>
          </w:rPr>
          <w:fldChar w:fldCharType="begin"/>
        </w:r>
        <w:r w:rsidR="00C213D2">
          <w:rPr>
            <w:webHidden/>
          </w:rPr>
          <w:instrText xml:space="preserve"> PAGEREF _Toc531941929 \h </w:instrText>
        </w:r>
        <w:r w:rsidR="00C213D2">
          <w:rPr>
            <w:webHidden/>
          </w:rPr>
        </w:r>
        <w:r w:rsidR="00C213D2">
          <w:rPr>
            <w:webHidden/>
          </w:rPr>
          <w:fldChar w:fldCharType="separate"/>
        </w:r>
        <w:r w:rsidR="00C213D2">
          <w:rPr>
            <w:webHidden/>
          </w:rPr>
          <w:t>31</w:t>
        </w:r>
        <w:r w:rsidR="00C213D2">
          <w:rPr>
            <w:webHidden/>
          </w:rPr>
          <w:fldChar w:fldCharType="end"/>
        </w:r>
      </w:hyperlink>
    </w:p>
    <w:p w14:paraId="41CCC718" w14:textId="77777777" w:rsidR="00C213D2" w:rsidRDefault="00F62B55">
      <w:pPr>
        <w:pStyle w:val="TOC3"/>
        <w:tabs>
          <w:tab w:val="left" w:pos="1474"/>
          <w:tab w:val="right" w:leader="dot" w:pos="8302"/>
        </w:tabs>
        <w:rPr>
          <w:rFonts w:eastAsiaTheme="minorEastAsia" w:cstheme="minorBidi"/>
        </w:rPr>
      </w:pPr>
      <w:hyperlink w:anchor="_Toc531941930" w:history="1">
        <w:r w:rsidR="00C213D2" w:rsidRPr="00AE3FC5">
          <w:rPr>
            <w:rStyle w:val="Hyperlink"/>
          </w:rPr>
          <w:t>5.1.3</w:t>
        </w:r>
        <w:r w:rsidR="00C213D2">
          <w:rPr>
            <w:rFonts w:eastAsiaTheme="minorEastAsia" w:cstheme="minorBidi"/>
          </w:rPr>
          <w:tab/>
        </w:r>
        <w:r w:rsidR="00C213D2" w:rsidRPr="00AE3FC5">
          <w:rPr>
            <w:rStyle w:val="Hyperlink"/>
          </w:rPr>
          <w:t>Access to the evidence-care for people with eating disorders through the MBS</w:t>
        </w:r>
        <w:r w:rsidR="00C213D2">
          <w:rPr>
            <w:webHidden/>
          </w:rPr>
          <w:tab/>
        </w:r>
        <w:r w:rsidR="00C213D2">
          <w:rPr>
            <w:webHidden/>
          </w:rPr>
          <w:fldChar w:fldCharType="begin"/>
        </w:r>
        <w:r w:rsidR="00C213D2">
          <w:rPr>
            <w:webHidden/>
          </w:rPr>
          <w:instrText xml:space="preserve"> PAGEREF _Toc531941930 \h </w:instrText>
        </w:r>
        <w:r w:rsidR="00C213D2">
          <w:rPr>
            <w:webHidden/>
          </w:rPr>
        </w:r>
        <w:r w:rsidR="00C213D2">
          <w:rPr>
            <w:webHidden/>
          </w:rPr>
          <w:fldChar w:fldCharType="separate"/>
        </w:r>
        <w:r w:rsidR="00C213D2">
          <w:rPr>
            <w:webHidden/>
          </w:rPr>
          <w:t>31</w:t>
        </w:r>
        <w:r w:rsidR="00C213D2">
          <w:rPr>
            <w:webHidden/>
          </w:rPr>
          <w:fldChar w:fldCharType="end"/>
        </w:r>
      </w:hyperlink>
    </w:p>
    <w:p w14:paraId="67FEB7B6" w14:textId="77777777" w:rsidR="00C213D2" w:rsidRDefault="00F62B55">
      <w:pPr>
        <w:pStyle w:val="TOC3"/>
        <w:tabs>
          <w:tab w:val="left" w:pos="1474"/>
          <w:tab w:val="right" w:leader="dot" w:pos="8302"/>
        </w:tabs>
        <w:rPr>
          <w:rFonts w:eastAsiaTheme="minorEastAsia" w:cstheme="minorBidi"/>
        </w:rPr>
      </w:pPr>
      <w:hyperlink w:anchor="_Toc531941931" w:history="1">
        <w:r w:rsidR="00C213D2" w:rsidRPr="00AE3FC5">
          <w:rPr>
            <w:rStyle w:val="Hyperlink"/>
          </w:rPr>
          <w:t>5.1.4</w:t>
        </w:r>
        <w:r w:rsidR="00C213D2">
          <w:rPr>
            <w:rFonts w:eastAsiaTheme="minorEastAsia" w:cstheme="minorBidi"/>
          </w:rPr>
          <w:tab/>
        </w:r>
        <w:r w:rsidR="00C213D2" w:rsidRPr="00AE3FC5">
          <w:rPr>
            <w:rStyle w:val="Hyperlink"/>
          </w:rPr>
          <w:t>Encouraging a comprehensive stepped model of care for the treatment for patients with eating disorders</w:t>
        </w:r>
        <w:r w:rsidR="00C213D2">
          <w:rPr>
            <w:webHidden/>
          </w:rPr>
          <w:tab/>
        </w:r>
        <w:r w:rsidR="00C213D2">
          <w:rPr>
            <w:webHidden/>
          </w:rPr>
          <w:fldChar w:fldCharType="begin"/>
        </w:r>
        <w:r w:rsidR="00C213D2">
          <w:rPr>
            <w:webHidden/>
          </w:rPr>
          <w:instrText xml:space="preserve"> PAGEREF _Toc531941931 \h </w:instrText>
        </w:r>
        <w:r w:rsidR="00C213D2">
          <w:rPr>
            <w:webHidden/>
          </w:rPr>
        </w:r>
        <w:r w:rsidR="00C213D2">
          <w:rPr>
            <w:webHidden/>
          </w:rPr>
          <w:fldChar w:fldCharType="separate"/>
        </w:r>
        <w:r w:rsidR="00C213D2">
          <w:rPr>
            <w:webHidden/>
          </w:rPr>
          <w:t>33</w:t>
        </w:r>
        <w:r w:rsidR="00C213D2">
          <w:rPr>
            <w:webHidden/>
          </w:rPr>
          <w:fldChar w:fldCharType="end"/>
        </w:r>
      </w:hyperlink>
    </w:p>
    <w:p w14:paraId="31DAB2B6" w14:textId="77777777" w:rsidR="00C213D2" w:rsidRDefault="00F62B55">
      <w:pPr>
        <w:pStyle w:val="TOC3"/>
        <w:tabs>
          <w:tab w:val="left" w:pos="1474"/>
          <w:tab w:val="right" w:leader="dot" w:pos="8302"/>
        </w:tabs>
        <w:rPr>
          <w:rFonts w:eastAsiaTheme="minorEastAsia" w:cstheme="minorBidi"/>
        </w:rPr>
      </w:pPr>
      <w:hyperlink w:anchor="_Toc531941932" w:history="1">
        <w:r w:rsidR="00C213D2" w:rsidRPr="00AE3FC5">
          <w:rPr>
            <w:rStyle w:val="Hyperlink"/>
          </w:rPr>
          <w:t>5.1.5</w:t>
        </w:r>
        <w:r w:rsidR="00C213D2">
          <w:rPr>
            <w:rFonts w:eastAsiaTheme="minorEastAsia" w:cstheme="minorBidi"/>
          </w:rPr>
          <w:tab/>
        </w:r>
        <w:r w:rsidR="00C213D2" w:rsidRPr="00AE3FC5">
          <w:rPr>
            <w:rStyle w:val="Hyperlink"/>
          </w:rPr>
          <w:t>Comprehensive stepped care is patient centric care</w:t>
        </w:r>
        <w:r w:rsidR="00C213D2">
          <w:rPr>
            <w:webHidden/>
          </w:rPr>
          <w:tab/>
        </w:r>
        <w:r w:rsidR="00C213D2">
          <w:rPr>
            <w:webHidden/>
          </w:rPr>
          <w:fldChar w:fldCharType="begin"/>
        </w:r>
        <w:r w:rsidR="00C213D2">
          <w:rPr>
            <w:webHidden/>
          </w:rPr>
          <w:instrText xml:space="preserve"> PAGEREF _Toc531941932 \h </w:instrText>
        </w:r>
        <w:r w:rsidR="00C213D2">
          <w:rPr>
            <w:webHidden/>
          </w:rPr>
        </w:r>
        <w:r w:rsidR="00C213D2">
          <w:rPr>
            <w:webHidden/>
          </w:rPr>
          <w:fldChar w:fldCharType="separate"/>
        </w:r>
        <w:r w:rsidR="00C213D2">
          <w:rPr>
            <w:webHidden/>
          </w:rPr>
          <w:t>35</w:t>
        </w:r>
        <w:r w:rsidR="00C213D2">
          <w:rPr>
            <w:webHidden/>
          </w:rPr>
          <w:fldChar w:fldCharType="end"/>
        </w:r>
      </w:hyperlink>
    </w:p>
    <w:p w14:paraId="2E06B1AE" w14:textId="77777777" w:rsidR="00C213D2" w:rsidRDefault="00F62B55">
      <w:pPr>
        <w:pStyle w:val="TOC3"/>
        <w:tabs>
          <w:tab w:val="left" w:pos="1474"/>
          <w:tab w:val="right" w:leader="dot" w:pos="8302"/>
        </w:tabs>
        <w:rPr>
          <w:rFonts w:eastAsiaTheme="minorEastAsia" w:cstheme="minorBidi"/>
        </w:rPr>
      </w:pPr>
      <w:hyperlink w:anchor="_Toc531941933" w:history="1">
        <w:r w:rsidR="00C213D2" w:rsidRPr="00AE3FC5">
          <w:rPr>
            <w:rStyle w:val="Hyperlink"/>
            <w:rFonts w:eastAsiaTheme="minorBidi"/>
          </w:rPr>
          <w:t>5.1.6</w:t>
        </w:r>
        <w:r w:rsidR="00C213D2">
          <w:rPr>
            <w:rFonts w:eastAsiaTheme="minorEastAsia" w:cstheme="minorBidi"/>
          </w:rPr>
          <w:tab/>
        </w:r>
        <w:r w:rsidR="00C213D2" w:rsidRPr="00AE3FC5">
          <w:rPr>
            <w:rStyle w:val="Hyperlink"/>
          </w:rPr>
          <w:t>Psychological therapy as part of a comprehensive stepped model of care</w:t>
        </w:r>
        <w:r w:rsidR="00C213D2">
          <w:rPr>
            <w:webHidden/>
          </w:rPr>
          <w:tab/>
        </w:r>
        <w:r w:rsidR="00C213D2">
          <w:rPr>
            <w:webHidden/>
          </w:rPr>
          <w:fldChar w:fldCharType="begin"/>
        </w:r>
        <w:r w:rsidR="00C213D2">
          <w:rPr>
            <w:webHidden/>
          </w:rPr>
          <w:instrText xml:space="preserve"> PAGEREF _Toc531941933 \h </w:instrText>
        </w:r>
        <w:r w:rsidR="00C213D2">
          <w:rPr>
            <w:webHidden/>
          </w:rPr>
        </w:r>
        <w:r w:rsidR="00C213D2">
          <w:rPr>
            <w:webHidden/>
          </w:rPr>
          <w:fldChar w:fldCharType="separate"/>
        </w:r>
        <w:r w:rsidR="00C213D2">
          <w:rPr>
            <w:webHidden/>
          </w:rPr>
          <w:t>35</w:t>
        </w:r>
        <w:r w:rsidR="00C213D2">
          <w:rPr>
            <w:webHidden/>
          </w:rPr>
          <w:fldChar w:fldCharType="end"/>
        </w:r>
      </w:hyperlink>
    </w:p>
    <w:p w14:paraId="51DB3794" w14:textId="77777777" w:rsidR="00C213D2" w:rsidRDefault="00F62B55">
      <w:pPr>
        <w:pStyle w:val="TOC3"/>
        <w:tabs>
          <w:tab w:val="left" w:pos="1474"/>
          <w:tab w:val="right" w:leader="dot" w:pos="8302"/>
        </w:tabs>
        <w:rPr>
          <w:rFonts w:eastAsiaTheme="minorEastAsia" w:cstheme="minorBidi"/>
        </w:rPr>
      </w:pPr>
      <w:hyperlink w:anchor="_Toc531941934" w:history="1">
        <w:r w:rsidR="00C213D2" w:rsidRPr="00AE3FC5">
          <w:rPr>
            <w:rStyle w:val="Hyperlink"/>
          </w:rPr>
          <w:t>5.1.7</w:t>
        </w:r>
        <w:r w:rsidR="00C213D2">
          <w:rPr>
            <w:rFonts w:eastAsiaTheme="minorEastAsia" w:cstheme="minorBidi"/>
          </w:rPr>
          <w:tab/>
        </w:r>
        <w:r w:rsidR="00C213D2" w:rsidRPr="00AE3FC5">
          <w:rPr>
            <w:rStyle w:val="Hyperlink"/>
          </w:rPr>
          <w:t>Nutritional intervention as part of a comprehensive stepped model of care</w:t>
        </w:r>
        <w:r w:rsidR="00C213D2">
          <w:rPr>
            <w:webHidden/>
          </w:rPr>
          <w:tab/>
        </w:r>
        <w:r w:rsidR="00C213D2">
          <w:rPr>
            <w:webHidden/>
          </w:rPr>
          <w:fldChar w:fldCharType="begin"/>
        </w:r>
        <w:r w:rsidR="00C213D2">
          <w:rPr>
            <w:webHidden/>
          </w:rPr>
          <w:instrText xml:space="preserve"> PAGEREF _Toc531941934 \h </w:instrText>
        </w:r>
        <w:r w:rsidR="00C213D2">
          <w:rPr>
            <w:webHidden/>
          </w:rPr>
        </w:r>
        <w:r w:rsidR="00C213D2">
          <w:rPr>
            <w:webHidden/>
          </w:rPr>
          <w:fldChar w:fldCharType="separate"/>
        </w:r>
        <w:r w:rsidR="00C213D2">
          <w:rPr>
            <w:webHidden/>
          </w:rPr>
          <w:t>38</w:t>
        </w:r>
        <w:r w:rsidR="00C213D2">
          <w:rPr>
            <w:webHidden/>
          </w:rPr>
          <w:fldChar w:fldCharType="end"/>
        </w:r>
      </w:hyperlink>
    </w:p>
    <w:p w14:paraId="61EFFAA9" w14:textId="77777777" w:rsidR="00C213D2" w:rsidRDefault="00F62B55">
      <w:pPr>
        <w:pStyle w:val="TOC3"/>
        <w:tabs>
          <w:tab w:val="left" w:pos="1474"/>
          <w:tab w:val="right" w:leader="dot" w:pos="8302"/>
        </w:tabs>
        <w:rPr>
          <w:rFonts w:eastAsiaTheme="minorEastAsia" w:cstheme="minorBidi"/>
        </w:rPr>
      </w:pPr>
      <w:hyperlink w:anchor="_Toc531941935" w:history="1">
        <w:r w:rsidR="00C213D2" w:rsidRPr="00AE3FC5">
          <w:rPr>
            <w:rStyle w:val="Hyperlink"/>
          </w:rPr>
          <w:t>5.1.8</w:t>
        </w:r>
        <w:r w:rsidR="00C213D2">
          <w:rPr>
            <w:rFonts w:eastAsiaTheme="minorEastAsia" w:cstheme="minorBidi"/>
          </w:rPr>
          <w:tab/>
        </w:r>
        <w:r w:rsidR="00C213D2" w:rsidRPr="00AE3FC5">
          <w:rPr>
            <w:rStyle w:val="Hyperlink"/>
          </w:rPr>
          <w:t>Access to services to support patients through  relapse</w:t>
        </w:r>
        <w:r w:rsidR="00C213D2">
          <w:rPr>
            <w:webHidden/>
          </w:rPr>
          <w:tab/>
        </w:r>
        <w:r w:rsidR="00C213D2">
          <w:rPr>
            <w:webHidden/>
          </w:rPr>
          <w:fldChar w:fldCharType="begin"/>
        </w:r>
        <w:r w:rsidR="00C213D2">
          <w:rPr>
            <w:webHidden/>
          </w:rPr>
          <w:instrText xml:space="preserve"> PAGEREF _Toc531941935 \h </w:instrText>
        </w:r>
        <w:r w:rsidR="00C213D2">
          <w:rPr>
            <w:webHidden/>
          </w:rPr>
        </w:r>
        <w:r w:rsidR="00C213D2">
          <w:rPr>
            <w:webHidden/>
          </w:rPr>
          <w:fldChar w:fldCharType="separate"/>
        </w:r>
        <w:r w:rsidR="00C213D2">
          <w:rPr>
            <w:webHidden/>
          </w:rPr>
          <w:t>38</w:t>
        </w:r>
        <w:r w:rsidR="00C213D2">
          <w:rPr>
            <w:webHidden/>
          </w:rPr>
          <w:fldChar w:fldCharType="end"/>
        </w:r>
      </w:hyperlink>
    </w:p>
    <w:p w14:paraId="4E7013B0" w14:textId="77777777" w:rsidR="00C213D2" w:rsidRDefault="00F62B55">
      <w:pPr>
        <w:pStyle w:val="TOC3"/>
        <w:tabs>
          <w:tab w:val="left" w:pos="1474"/>
          <w:tab w:val="right" w:leader="dot" w:pos="8302"/>
        </w:tabs>
        <w:rPr>
          <w:rFonts w:eastAsiaTheme="minorEastAsia" w:cstheme="minorBidi"/>
        </w:rPr>
      </w:pPr>
      <w:hyperlink w:anchor="_Toc531941936" w:history="1">
        <w:r w:rsidR="00C213D2" w:rsidRPr="00AE3FC5">
          <w:rPr>
            <w:rStyle w:val="Hyperlink"/>
          </w:rPr>
          <w:t>5.1.9</w:t>
        </w:r>
        <w:r w:rsidR="00C213D2">
          <w:rPr>
            <w:rFonts w:eastAsiaTheme="minorEastAsia" w:cstheme="minorBidi"/>
          </w:rPr>
          <w:tab/>
        </w:r>
        <w:r w:rsidR="00C213D2" w:rsidRPr="00AE3FC5">
          <w:rPr>
            <w:rStyle w:val="Hyperlink"/>
          </w:rPr>
          <w:t>Action required to align the MBS arrangements with evidence based care</w:t>
        </w:r>
        <w:r w:rsidR="00C213D2">
          <w:rPr>
            <w:webHidden/>
          </w:rPr>
          <w:tab/>
        </w:r>
        <w:r w:rsidR="00C213D2">
          <w:rPr>
            <w:webHidden/>
          </w:rPr>
          <w:fldChar w:fldCharType="begin"/>
        </w:r>
        <w:r w:rsidR="00C213D2">
          <w:rPr>
            <w:webHidden/>
          </w:rPr>
          <w:instrText xml:space="preserve"> PAGEREF _Toc531941936 \h </w:instrText>
        </w:r>
        <w:r w:rsidR="00C213D2">
          <w:rPr>
            <w:webHidden/>
          </w:rPr>
        </w:r>
        <w:r w:rsidR="00C213D2">
          <w:rPr>
            <w:webHidden/>
          </w:rPr>
          <w:fldChar w:fldCharType="separate"/>
        </w:r>
        <w:r w:rsidR="00C213D2">
          <w:rPr>
            <w:webHidden/>
          </w:rPr>
          <w:t>39</w:t>
        </w:r>
        <w:r w:rsidR="00C213D2">
          <w:rPr>
            <w:webHidden/>
          </w:rPr>
          <w:fldChar w:fldCharType="end"/>
        </w:r>
      </w:hyperlink>
    </w:p>
    <w:p w14:paraId="3CB02F2A" w14:textId="77777777" w:rsidR="00C213D2" w:rsidRDefault="00F62B55">
      <w:pPr>
        <w:pStyle w:val="TOC3"/>
        <w:tabs>
          <w:tab w:val="right" w:leader="dot" w:pos="8302"/>
        </w:tabs>
        <w:rPr>
          <w:rFonts w:eastAsiaTheme="minorEastAsia" w:cstheme="minorBidi"/>
        </w:rPr>
      </w:pPr>
      <w:hyperlink w:anchor="_Toc531941937" w:history="1">
        <w:r w:rsidR="00C213D2" w:rsidRPr="00AE3FC5">
          <w:rPr>
            <w:rStyle w:val="Hyperlink"/>
          </w:rPr>
          <w:t>Recommendation 1.1</w:t>
        </w:r>
        <w:r w:rsidR="00C213D2">
          <w:rPr>
            <w:webHidden/>
          </w:rPr>
          <w:tab/>
        </w:r>
        <w:r w:rsidR="00C213D2">
          <w:rPr>
            <w:webHidden/>
          </w:rPr>
          <w:fldChar w:fldCharType="begin"/>
        </w:r>
        <w:r w:rsidR="00C213D2">
          <w:rPr>
            <w:webHidden/>
          </w:rPr>
          <w:instrText xml:space="preserve"> PAGEREF _Toc531941937 \h </w:instrText>
        </w:r>
        <w:r w:rsidR="00C213D2">
          <w:rPr>
            <w:webHidden/>
          </w:rPr>
        </w:r>
        <w:r w:rsidR="00C213D2">
          <w:rPr>
            <w:webHidden/>
          </w:rPr>
          <w:fldChar w:fldCharType="separate"/>
        </w:r>
        <w:r w:rsidR="00C213D2">
          <w:rPr>
            <w:webHidden/>
          </w:rPr>
          <w:t>41</w:t>
        </w:r>
        <w:r w:rsidR="00C213D2">
          <w:rPr>
            <w:webHidden/>
          </w:rPr>
          <w:fldChar w:fldCharType="end"/>
        </w:r>
      </w:hyperlink>
    </w:p>
    <w:p w14:paraId="4E0E2B22" w14:textId="77777777" w:rsidR="00C213D2" w:rsidRDefault="00F62B55">
      <w:pPr>
        <w:pStyle w:val="TOC3"/>
        <w:tabs>
          <w:tab w:val="right" w:leader="dot" w:pos="8302"/>
        </w:tabs>
        <w:rPr>
          <w:rFonts w:eastAsiaTheme="minorEastAsia" w:cstheme="minorBidi"/>
        </w:rPr>
      </w:pPr>
      <w:hyperlink w:anchor="_Toc531941938" w:history="1">
        <w:r w:rsidR="00C213D2" w:rsidRPr="00AE3FC5">
          <w:rPr>
            <w:rStyle w:val="Hyperlink"/>
          </w:rPr>
          <w:t>Recommendation 1.2</w:t>
        </w:r>
        <w:r w:rsidR="00C213D2">
          <w:rPr>
            <w:webHidden/>
          </w:rPr>
          <w:tab/>
        </w:r>
        <w:r w:rsidR="00C213D2">
          <w:rPr>
            <w:webHidden/>
          </w:rPr>
          <w:fldChar w:fldCharType="begin"/>
        </w:r>
        <w:r w:rsidR="00C213D2">
          <w:rPr>
            <w:webHidden/>
          </w:rPr>
          <w:instrText xml:space="preserve"> PAGEREF _Toc531941938 \h </w:instrText>
        </w:r>
        <w:r w:rsidR="00C213D2">
          <w:rPr>
            <w:webHidden/>
          </w:rPr>
        </w:r>
        <w:r w:rsidR="00C213D2">
          <w:rPr>
            <w:webHidden/>
          </w:rPr>
          <w:fldChar w:fldCharType="separate"/>
        </w:r>
        <w:r w:rsidR="00C213D2">
          <w:rPr>
            <w:webHidden/>
          </w:rPr>
          <w:t>41</w:t>
        </w:r>
        <w:r w:rsidR="00C213D2">
          <w:rPr>
            <w:webHidden/>
          </w:rPr>
          <w:fldChar w:fldCharType="end"/>
        </w:r>
      </w:hyperlink>
    </w:p>
    <w:p w14:paraId="10999F21" w14:textId="77777777" w:rsidR="00C213D2" w:rsidRDefault="00F62B55">
      <w:pPr>
        <w:pStyle w:val="TOC3"/>
        <w:tabs>
          <w:tab w:val="right" w:leader="dot" w:pos="8302"/>
        </w:tabs>
        <w:rPr>
          <w:rFonts w:eastAsiaTheme="minorEastAsia" w:cstheme="minorBidi"/>
        </w:rPr>
      </w:pPr>
      <w:hyperlink w:anchor="_Toc531941939" w:history="1">
        <w:r w:rsidR="00C213D2" w:rsidRPr="00AE3FC5">
          <w:rPr>
            <w:rStyle w:val="Hyperlink"/>
          </w:rPr>
          <w:t>Recommendation 1.3</w:t>
        </w:r>
        <w:r w:rsidR="00C213D2">
          <w:rPr>
            <w:webHidden/>
          </w:rPr>
          <w:tab/>
        </w:r>
        <w:r w:rsidR="00C213D2">
          <w:rPr>
            <w:webHidden/>
          </w:rPr>
          <w:fldChar w:fldCharType="begin"/>
        </w:r>
        <w:r w:rsidR="00C213D2">
          <w:rPr>
            <w:webHidden/>
          </w:rPr>
          <w:instrText xml:space="preserve"> PAGEREF _Toc531941939 \h </w:instrText>
        </w:r>
        <w:r w:rsidR="00C213D2">
          <w:rPr>
            <w:webHidden/>
          </w:rPr>
        </w:r>
        <w:r w:rsidR="00C213D2">
          <w:rPr>
            <w:webHidden/>
          </w:rPr>
          <w:fldChar w:fldCharType="separate"/>
        </w:r>
        <w:r w:rsidR="00C213D2">
          <w:rPr>
            <w:webHidden/>
          </w:rPr>
          <w:t>44</w:t>
        </w:r>
        <w:r w:rsidR="00C213D2">
          <w:rPr>
            <w:webHidden/>
          </w:rPr>
          <w:fldChar w:fldCharType="end"/>
        </w:r>
      </w:hyperlink>
    </w:p>
    <w:p w14:paraId="707A7E6A" w14:textId="77777777" w:rsidR="00C213D2" w:rsidRDefault="00F62B55">
      <w:pPr>
        <w:pStyle w:val="TOC3"/>
        <w:tabs>
          <w:tab w:val="right" w:leader="dot" w:pos="8302"/>
        </w:tabs>
        <w:rPr>
          <w:rFonts w:eastAsiaTheme="minorEastAsia" w:cstheme="minorBidi"/>
        </w:rPr>
      </w:pPr>
      <w:hyperlink w:anchor="_Toc531941940" w:history="1">
        <w:r w:rsidR="00C213D2" w:rsidRPr="00AE3FC5">
          <w:rPr>
            <w:rStyle w:val="Hyperlink"/>
          </w:rPr>
          <w:t>Recommendation 1.4</w:t>
        </w:r>
        <w:r w:rsidR="00C213D2">
          <w:rPr>
            <w:webHidden/>
          </w:rPr>
          <w:tab/>
        </w:r>
        <w:r w:rsidR="00C213D2">
          <w:rPr>
            <w:webHidden/>
          </w:rPr>
          <w:fldChar w:fldCharType="begin"/>
        </w:r>
        <w:r w:rsidR="00C213D2">
          <w:rPr>
            <w:webHidden/>
          </w:rPr>
          <w:instrText xml:space="preserve"> PAGEREF _Toc531941940 \h </w:instrText>
        </w:r>
        <w:r w:rsidR="00C213D2">
          <w:rPr>
            <w:webHidden/>
          </w:rPr>
        </w:r>
        <w:r w:rsidR="00C213D2">
          <w:rPr>
            <w:webHidden/>
          </w:rPr>
          <w:fldChar w:fldCharType="separate"/>
        </w:r>
        <w:r w:rsidR="00C213D2">
          <w:rPr>
            <w:webHidden/>
          </w:rPr>
          <w:t>44</w:t>
        </w:r>
        <w:r w:rsidR="00C213D2">
          <w:rPr>
            <w:webHidden/>
          </w:rPr>
          <w:fldChar w:fldCharType="end"/>
        </w:r>
      </w:hyperlink>
    </w:p>
    <w:p w14:paraId="2650A903" w14:textId="77777777" w:rsidR="00C213D2" w:rsidRDefault="00F62B55">
      <w:pPr>
        <w:pStyle w:val="TOC2"/>
        <w:tabs>
          <w:tab w:val="left" w:pos="1474"/>
          <w:tab w:val="right" w:leader="dot" w:pos="8302"/>
        </w:tabs>
        <w:rPr>
          <w:rFonts w:eastAsiaTheme="minorEastAsia" w:cstheme="minorBidi"/>
        </w:rPr>
      </w:pPr>
      <w:hyperlink w:anchor="_Toc531941941" w:history="1">
        <w:r w:rsidR="00C213D2" w:rsidRPr="00AE3FC5">
          <w:rPr>
            <w:rStyle w:val="Hyperlink"/>
          </w:rPr>
          <w:t>5.2</w:t>
        </w:r>
        <w:r w:rsidR="00C213D2">
          <w:rPr>
            <w:rFonts w:eastAsiaTheme="minorEastAsia" w:cstheme="minorBidi"/>
          </w:rPr>
          <w:tab/>
        </w:r>
        <w:r w:rsidR="00C213D2" w:rsidRPr="00AE3FC5">
          <w:rPr>
            <w:rStyle w:val="Hyperlink"/>
          </w:rPr>
          <w:t>Finding 2: There is a lack of service integration between primary, secondary and tertiary health care in developing care plans and effectively communicating with patients and their families</w:t>
        </w:r>
        <w:r w:rsidR="00C213D2">
          <w:rPr>
            <w:webHidden/>
          </w:rPr>
          <w:tab/>
        </w:r>
        <w:r w:rsidR="00C213D2">
          <w:rPr>
            <w:webHidden/>
          </w:rPr>
          <w:fldChar w:fldCharType="begin"/>
        </w:r>
        <w:r w:rsidR="00C213D2">
          <w:rPr>
            <w:webHidden/>
          </w:rPr>
          <w:instrText xml:space="preserve"> PAGEREF _Toc531941941 \h </w:instrText>
        </w:r>
        <w:r w:rsidR="00C213D2">
          <w:rPr>
            <w:webHidden/>
          </w:rPr>
        </w:r>
        <w:r w:rsidR="00C213D2">
          <w:rPr>
            <w:webHidden/>
          </w:rPr>
          <w:fldChar w:fldCharType="separate"/>
        </w:r>
        <w:r w:rsidR="00C213D2">
          <w:rPr>
            <w:webHidden/>
          </w:rPr>
          <w:t>45</w:t>
        </w:r>
        <w:r w:rsidR="00C213D2">
          <w:rPr>
            <w:webHidden/>
          </w:rPr>
          <w:fldChar w:fldCharType="end"/>
        </w:r>
      </w:hyperlink>
    </w:p>
    <w:p w14:paraId="7F709F58" w14:textId="77777777" w:rsidR="00C213D2" w:rsidRDefault="00F62B55">
      <w:pPr>
        <w:pStyle w:val="TOC3"/>
        <w:tabs>
          <w:tab w:val="left" w:pos="1760"/>
          <w:tab w:val="right" w:leader="dot" w:pos="8302"/>
        </w:tabs>
        <w:rPr>
          <w:rFonts w:eastAsiaTheme="minorEastAsia" w:cstheme="minorBidi"/>
        </w:rPr>
      </w:pPr>
      <w:hyperlink w:anchor="_Toc531941942" w:history="1">
        <w:r w:rsidR="00C213D2" w:rsidRPr="00AE3FC5">
          <w:rPr>
            <w:rStyle w:val="Hyperlink"/>
          </w:rPr>
          <w:t>5.1.10</w:t>
        </w:r>
        <w:r w:rsidR="00C213D2">
          <w:rPr>
            <w:rFonts w:eastAsiaTheme="minorEastAsia" w:cstheme="minorBidi"/>
          </w:rPr>
          <w:tab/>
        </w:r>
        <w:r w:rsidR="00C213D2" w:rsidRPr="00AE3FC5">
          <w:rPr>
            <w:rStyle w:val="Hyperlink"/>
          </w:rPr>
          <w:t>Background</w:t>
        </w:r>
        <w:r w:rsidR="00C213D2">
          <w:rPr>
            <w:webHidden/>
          </w:rPr>
          <w:tab/>
        </w:r>
        <w:r w:rsidR="00C213D2">
          <w:rPr>
            <w:webHidden/>
          </w:rPr>
          <w:fldChar w:fldCharType="begin"/>
        </w:r>
        <w:r w:rsidR="00C213D2">
          <w:rPr>
            <w:webHidden/>
          </w:rPr>
          <w:instrText xml:space="preserve"> PAGEREF _Toc531941942 \h </w:instrText>
        </w:r>
        <w:r w:rsidR="00C213D2">
          <w:rPr>
            <w:webHidden/>
          </w:rPr>
        </w:r>
        <w:r w:rsidR="00C213D2">
          <w:rPr>
            <w:webHidden/>
          </w:rPr>
          <w:fldChar w:fldCharType="separate"/>
        </w:r>
        <w:r w:rsidR="00C213D2">
          <w:rPr>
            <w:webHidden/>
          </w:rPr>
          <w:t>45</w:t>
        </w:r>
        <w:r w:rsidR="00C213D2">
          <w:rPr>
            <w:webHidden/>
          </w:rPr>
          <w:fldChar w:fldCharType="end"/>
        </w:r>
      </w:hyperlink>
    </w:p>
    <w:p w14:paraId="1E9DE935" w14:textId="77777777" w:rsidR="00C213D2" w:rsidRDefault="00F62B55">
      <w:pPr>
        <w:pStyle w:val="TOC3"/>
        <w:tabs>
          <w:tab w:val="left" w:pos="1760"/>
          <w:tab w:val="right" w:leader="dot" w:pos="8302"/>
        </w:tabs>
        <w:rPr>
          <w:rFonts w:eastAsiaTheme="minorEastAsia" w:cstheme="minorBidi"/>
        </w:rPr>
      </w:pPr>
      <w:hyperlink w:anchor="_Toc531941943" w:history="1">
        <w:r w:rsidR="00C213D2" w:rsidRPr="00AE3FC5">
          <w:rPr>
            <w:rStyle w:val="Hyperlink"/>
          </w:rPr>
          <w:t>5.1.11</w:t>
        </w:r>
        <w:r w:rsidR="00C213D2">
          <w:rPr>
            <w:rFonts w:eastAsiaTheme="minorEastAsia" w:cstheme="minorBidi"/>
          </w:rPr>
          <w:tab/>
        </w:r>
        <w:r w:rsidR="00C213D2" w:rsidRPr="00AE3FC5">
          <w:rPr>
            <w:rStyle w:val="Hyperlink"/>
          </w:rPr>
          <w:t>Delivery through a multidisciplinary team</w:t>
        </w:r>
        <w:r w:rsidR="00C213D2">
          <w:rPr>
            <w:webHidden/>
          </w:rPr>
          <w:tab/>
        </w:r>
        <w:r w:rsidR="00C213D2">
          <w:rPr>
            <w:webHidden/>
          </w:rPr>
          <w:fldChar w:fldCharType="begin"/>
        </w:r>
        <w:r w:rsidR="00C213D2">
          <w:rPr>
            <w:webHidden/>
          </w:rPr>
          <w:instrText xml:space="preserve"> PAGEREF _Toc531941943 \h </w:instrText>
        </w:r>
        <w:r w:rsidR="00C213D2">
          <w:rPr>
            <w:webHidden/>
          </w:rPr>
        </w:r>
        <w:r w:rsidR="00C213D2">
          <w:rPr>
            <w:webHidden/>
          </w:rPr>
          <w:fldChar w:fldCharType="separate"/>
        </w:r>
        <w:r w:rsidR="00C213D2">
          <w:rPr>
            <w:webHidden/>
          </w:rPr>
          <w:t>45</w:t>
        </w:r>
        <w:r w:rsidR="00C213D2">
          <w:rPr>
            <w:webHidden/>
          </w:rPr>
          <w:fldChar w:fldCharType="end"/>
        </w:r>
      </w:hyperlink>
    </w:p>
    <w:p w14:paraId="2B086202" w14:textId="77777777" w:rsidR="00C213D2" w:rsidRDefault="00F62B55">
      <w:pPr>
        <w:pStyle w:val="TOC3"/>
        <w:tabs>
          <w:tab w:val="left" w:pos="1760"/>
          <w:tab w:val="right" w:leader="dot" w:pos="8302"/>
        </w:tabs>
        <w:rPr>
          <w:rFonts w:eastAsiaTheme="minorEastAsia" w:cstheme="minorBidi"/>
        </w:rPr>
      </w:pPr>
      <w:hyperlink w:anchor="_Toc531941944" w:history="1">
        <w:r w:rsidR="00C213D2" w:rsidRPr="00AE3FC5">
          <w:rPr>
            <w:rStyle w:val="Hyperlink"/>
          </w:rPr>
          <w:t>5.1.12</w:t>
        </w:r>
        <w:r w:rsidR="00C213D2">
          <w:rPr>
            <w:rFonts w:eastAsiaTheme="minorEastAsia" w:cstheme="minorBidi"/>
          </w:rPr>
          <w:tab/>
        </w:r>
        <w:r w:rsidR="00C213D2" w:rsidRPr="00AE3FC5">
          <w:rPr>
            <w:rStyle w:val="Hyperlink"/>
          </w:rPr>
          <w:t>MDT’s delivering stepped care and MDT care plans</w:t>
        </w:r>
        <w:r w:rsidR="00C213D2">
          <w:rPr>
            <w:webHidden/>
          </w:rPr>
          <w:tab/>
        </w:r>
        <w:r w:rsidR="00C213D2">
          <w:rPr>
            <w:webHidden/>
          </w:rPr>
          <w:fldChar w:fldCharType="begin"/>
        </w:r>
        <w:r w:rsidR="00C213D2">
          <w:rPr>
            <w:webHidden/>
          </w:rPr>
          <w:instrText xml:space="preserve"> PAGEREF _Toc531941944 \h </w:instrText>
        </w:r>
        <w:r w:rsidR="00C213D2">
          <w:rPr>
            <w:webHidden/>
          </w:rPr>
        </w:r>
        <w:r w:rsidR="00C213D2">
          <w:rPr>
            <w:webHidden/>
          </w:rPr>
          <w:fldChar w:fldCharType="separate"/>
        </w:r>
        <w:r w:rsidR="00C213D2">
          <w:rPr>
            <w:webHidden/>
          </w:rPr>
          <w:t>47</w:t>
        </w:r>
        <w:r w:rsidR="00C213D2">
          <w:rPr>
            <w:webHidden/>
          </w:rPr>
          <w:fldChar w:fldCharType="end"/>
        </w:r>
      </w:hyperlink>
    </w:p>
    <w:p w14:paraId="7BA4B2B3" w14:textId="77777777" w:rsidR="00C213D2" w:rsidRDefault="00F62B55">
      <w:pPr>
        <w:pStyle w:val="TOC3"/>
        <w:tabs>
          <w:tab w:val="left" w:pos="1760"/>
          <w:tab w:val="right" w:leader="dot" w:pos="8302"/>
        </w:tabs>
        <w:rPr>
          <w:rFonts w:eastAsiaTheme="minorEastAsia" w:cstheme="minorBidi"/>
        </w:rPr>
      </w:pPr>
      <w:hyperlink w:anchor="_Toc531941945" w:history="1">
        <w:r w:rsidR="00C213D2" w:rsidRPr="00AE3FC5">
          <w:rPr>
            <w:rStyle w:val="Hyperlink"/>
          </w:rPr>
          <w:t>5.1.13</w:t>
        </w:r>
        <w:r w:rsidR="00C213D2">
          <w:rPr>
            <w:rFonts w:eastAsiaTheme="minorEastAsia" w:cstheme="minorBidi"/>
          </w:rPr>
          <w:tab/>
        </w:r>
        <w:r w:rsidR="00C213D2" w:rsidRPr="00AE3FC5">
          <w:rPr>
            <w:rStyle w:val="Hyperlink"/>
          </w:rPr>
          <w:t>Case conferencing</w:t>
        </w:r>
        <w:r w:rsidR="00C213D2">
          <w:rPr>
            <w:webHidden/>
          </w:rPr>
          <w:tab/>
        </w:r>
        <w:r w:rsidR="00C213D2">
          <w:rPr>
            <w:webHidden/>
          </w:rPr>
          <w:fldChar w:fldCharType="begin"/>
        </w:r>
        <w:r w:rsidR="00C213D2">
          <w:rPr>
            <w:webHidden/>
          </w:rPr>
          <w:instrText xml:space="preserve"> PAGEREF _Toc531941945 \h </w:instrText>
        </w:r>
        <w:r w:rsidR="00C213D2">
          <w:rPr>
            <w:webHidden/>
          </w:rPr>
        </w:r>
        <w:r w:rsidR="00C213D2">
          <w:rPr>
            <w:webHidden/>
          </w:rPr>
          <w:fldChar w:fldCharType="separate"/>
        </w:r>
        <w:r w:rsidR="00C213D2">
          <w:rPr>
            <w:webHidden/>
          </w:rPr>
          <w:t>47</w:t>
        </w:r>
        <w:r w:rsidR="00C213D2">
          <w:rPr>
            <w:webHidden/>
          </w:rPr>
          <w:fldChar w:fldCharType="end"/>
        </w:r>
      </w:hyperlink>
    </w:p>
    <w:p w14:paraId="78688445" w14:textId="77777777" w:rsidR="00C213D2" w:rsidRDefault="00F62B55">
      <w:pPr>
        <w:pStyle w:val="TOC3"/>
        <w:tabs>
          <w:tab w:val="right" w:leader="dot" w:pos="8302"/>
        </w:tabs>
        <w:rPr>
          <w:rFonts w:eastAsiaTheme="minorEastAsia" w:cstheme="minorBidi"/>
        </w:rPr>
      </w:pPr>
      <w:hyperlink w:anchor="_Toc531941946" w:history="1">
        <w:r w:rsidR="00C213D2" w:rsidRPr="00AE3FC5">
          <w:rPr>
            <w:rStyle w:val="Hyperlink"/>
          </w:rPr>
          <w:t>Recommendation 2.1</w:t>
        </w:r>
        <w:r w:rsidR="00C213D2">
          <w:rPr>
            <w:webHidden/>
          </w:rPr>
          <w:tab/>
        </w:r>
        <w:r w:rsidR="00C213D2">
          <w:rPr>
            <w:webHidden/>
          </w:rPr>
          <w:fldChar w:fldCharType="begin"/>
        </w:r>
        <w:r w:rsidR="00C213D2">
          <w:rPr>
            <w:webHidden/>
          </w:rPr>
          <w:instrText xml:space="preserve"> PAGEREF _Toc531941946 \h </w:instrText>
        </w:r>
        <w:r w:rsidR="00C213D2">
          <w:rPr>
            <w:webHidden/>
          </w:rPr>
        </w:r>
        <w:r w:rsidR="00C213D2">
          <w:rPr>
            <w:webHidden/>
          </w:rPr>
          <w:fldChar w:fldCharType="separate"/>
        </w:r>
        <w:r w:rsidR="00C213D2">
          <w:rPr>
            <w:webHidden/>
          </w:rPr>
          <w:t>48</w:t>
        </w:r>
        <w:r w:rsidR="00C213D2">
          <w:rPr>
            <w:webHidden/>
          </w:rPr>
          <w:fldChar w:fldCharType="end"/>
        </w:r>
      </w:hyperlink>
    </w:p>
    <w:p w14:paraId="5CA74606" w14:textId="77777777" w:rsidR="00C213D2" w:rsidRDefault="00F62B55">
      <w:pPr>
        <w:pStyle w:val="TOC3"/>
        <w:tabs>
          <w:tab w:val="left" w:pos="1474"/>
          <w:tab w:val="right" w:leader="dot" w:pos="8302"/>
        </w:tabs>
        <w:rPr>
          <w:rFonts w:eastAsiaTheme="minorEastAsia" w:cstheme="minorBidi"/>
        </w:rPr>
      </w:pPr>
      <w:hyperlink w:anchor="_Toc531941947" w:history="1">
        <w:r w:rsidR="00C213D2" w:rsidRPr="00AE3FC5">
          <w:rPr>
            <w:rStyle w:val="Hyperlink"/>
          </w:rPr>
          <w:t>5.2.6</w:t>
        </w:r>
        <w:r w:rsidR="00C213D2">
          <w:rPr>
            <w:rFonts w:eastAsiaTheme="minorEastAsia" w:cstheme="minorBidi"/>
          </w:rPr>
          <w:tab/>
        </w:r>
        <w:r w:rsidR="00C213D2" w:rsidRPr="00AE3FC5">
          <w:rPr>
            <w:rStyle w:val="Hyperlink"/>
          </w:rPr>
          <w:t>Family integration</w:t>
        </w:r>
        <w:r w:rsidR="00C213D2">
          <w:rPr>
            <w:webHidden/>
          </w:rPr>
          <w:tab/>
        </w:r>
        <w:r w:rsidR="00C213D2">
          <w:rPr>
            <w:webHidden/>
          </w:rPr>
          <w:fldChar w:fldCharType="begin"/>
        </w:r>
        <w:r w:rsidR="00C213D2">
          <w:rPr>
            <w:webHidden/>
          </w:rPr>
          <w:instrText xml:space="preserve"> PAGEREF _Toc531941947 \h </w:instrText>
        </w:r>
        <w:r w:rsidR="00C213D2">
          <w:rPr>
            <w:webHidden/>
          </w:rPr>
        </w:r>
        <w:r w:rsidR="00C213D2">
          <w:rPr>
            <w:webHidden/>
          </w:rPr>
          <w:fldChar w:fldCharType="separate"/>
        </w:r>
        <w:r w:rsidR="00C213D2">
          <w:rPr>
            <w:webHidden/>
          </w:rPr>
          <w:t>48</w:t>
        </w:r>
        <w:r w:rsidR="00C213D2">
          <w:rPr>
            <w:webHidden/>
          </w:rPr>
          <w:fldChar w:fldCharType="end"/>
        </w:r>
      </w:hyperlink>
    </w:p>
    <w:p w14:paraId="183630DE" w14:textId="77777777" w:rsidR="00C213D2" w:rsidRDefault="00F62B55">
      <w:pPr>
        <w:pStyle w:val="TOC3"/>
        <w:tabs>
          <w:tab w:val="right" w:leader="dot" w:pos="8302"/>
        </w:tabs>
        <w:rPr>
          <w:rFonts w:eastAsiaTheme="minorEastAsia" w:cstheme="minorBidi"/>
        </w:rPr>
      </w:pPr>
      <w:hyperlink w:anchor="_Toc531941948" w:history="1">
        <w:r w:rsidR="00C213D2" w:rsidRPr="00AE3FC5">
          <w:rPr>
            <w:rStyle w:val="Hyperlink"/>
          </w:rPr>
          <w:t>Recommendation 2.2</w:t>
        </w:r>
        <w:r w:rsidR="00C213D2">
          <w:rPr>
            <w:webHidden/>
          </w:rPr>
          <w:tab/>
        </w:r>
        <w:r w:rsidR="00C213D2">
          <w:rPr>
            <w:webHidden/>
          </w:rPr>
          <w:fldChar w:fldCharType="begin"/>
        </w:r>
        <w:r w:rsidR="00C213D2">
          <w:rPr>
            <w:webHidden/>
          </w:rPr>
          <w:instrText xml:space="preserve"> PAGEREF _Toc531941948 \h </w:instrText>
        </w:r>
        <w:r w:rsidR="00C213D2">
          <w:rPr>
            <w:webHidden/>
          </w:rPr>
        </w:r>
        <w:r w:rsidR="00C213D2">
          <w:rPr>
            <w:webHidden/>
          </w:rPr>
          <w:fldChar w:fldCharType="separate"/>
        </w:r>
        <w:r w:rsidR="00C213D2">
          <w:rPr>
            <w:webHidden/>
          </w:rPr>
          <w:t>50</w:t>
        </w:r>
        <w:r w:rsidR="00C213D2">
          <w:rPr>
            <w:webHidden/>
          </w:rPr>
          <w:fldChar w:fldCharType="end"/>
        </w:r>
      </w:hyperlink>
    </w:p>
    <w:p w14:paraId="71FD8292" w14:textId="77777777" w:rsidR="00C213D2" w:rsidRDefault="00F62B55">
      <w:pPr>
        <w:pStyle w:val="TOC3"/>
        <w:tabs>
          <w:tab w:val="left" w:pos="1474"/>
          <w:tab w:val="right" w:leader="dot" w:pos="8302"/>
        </w:tabs>
        <w:rPr>
          <w:rFonts w:eastAsiaTheme="minorEastAsia" w:cstheme="minorBidi"/>
        </w:rPr>
      </w:pPr>
      <w:hyperlink w:anchor="_Toc531941949" w:history="1">
        <w:r w:rsidR="00C213D2" w:rsidRPr="00AE3FC5">
          <w:rPr>
            <w:rStyle w:val="Hyperlink"/>
          </w:rPr>
          <w:t>5.2.7</w:t>
        </w:r>
        <w:r w:rsidR="00C213D2">
          <w:rPr>
            <w:rFonts w:eastAsiaTheme="minorEastAsia" w:cstheme="minorBidi"/>
          </w:rPr>
          <w:tab/>
        </w:r>
        <w:r w:rsidR="00C213D2" w:rsidRPr="00AE3FC5">
          <w:rPr>
            <w:rStyle w:val="Hyperlink"/>
          </w:rPr>
          <w:t>Further support for families and carers</w:t>
        </w:r>
        <w:r w:rsidR="00C213D2">
          <w:rPr>
            <w:webHidden/>
          </w:rPr>
          <w:tab/>
        </w:r>
        <w:r w:rsidR="00C213D2">
          <w:rPr>
            <w:webHidden/>
          </w:rPr>
          <w:fldChar w:fldCharType="begin"/>
        </w:r>
        <w:r w:rsidR="00C213D2">
          <w:rPr>
            <w:webHidden/>
          </w:rPr>
          <w:instrText xml:space="preserve"> PAGEREF _Toc531941949 \h </w:instrText>
        </w:r>
        <w:r w:rsidR="00C213D2">
          <w:rPr>
            <w:webHidden/>
          </w:rPr>
        </w:r>
        <w:r w:rsidR="00C213D2">
          <w:rPr>
            <w:webHidden/>
          </w:rPr>
          <w:fldChar w:fldCharType="separate"/>
        </w:r>
        <w:r w:rsidR="00C213D2">
          <w:rPr>
            <w:webHidden/>
          </w:rPr>
          <w:t>50</w:t>
        </w:r>
        <w:r w:rsidR="00C213D2">
          <w:rPr>
            <w:webHidden/>
          </w:rPr>
          <w:fldChar w:fldCharType="end"/>
        </w:r>
      </w:hyperlink>
    </w:p>
    <w:p w14:paraId="258717A6" w14:textId="77777777" w:rsidR="00C213D2" w:rsidRDefault="00F62B55">
      <w:pPr>
        <w:pStyle w:val="TOC3"/>
        <w:tabs>
          <w:tab w:val="left" w:pos="1474"/>
          <w:tab w:val="right" w:leader="dot" w:pos="8302"/>
        </w:tabs>
        <w:rPr>
          <w:rFonts w:eastAsiaTheme="minorEastAsia" w:cstheme="minorBidi"/>
        </w:rPr>
      </w:pPr>
      <w:hyperlink w:anchor="_Toc531941950" w:history="1">
        <w:r w:rsidR="00C213D2" w:rsidRPr="00AE3FC5">
          <w:rPr>
            <w:rStyle w:val="Hyperlink"/>
          </w:rPr>
          <w:t>5.2.8</w:t>
        </w:r>
        <w:r w:rsidR="00C213D2">
          <w:rPr>
            <w:rFonts w:eastAsiaTheme="minorEastAsia" w:cstheme="minorBidi"/>
          </w:rPr>
          <w:tab/>
        </w:r>
        <w:r w:rsidR="00C213D2" w:rsidRPr="00AE3FC5">
          <w:rPr>
            <w:rStyle w:val="Hyperlink"/>
          </w:rPr>
          <w:t>Other changes to strengthen the MBS arrangements for the treatment and management of patients with eating disorders</w:t>
        </w:r>
        <w:r w:rsidR="00C213D2">
          <w:rPr>
            <w:webHidden/>
          </w:rPr>
          <w:tab/>
        </w:r>
        <w:r w:rsidR="00C213D2">
          <w:rPr>
            <w:webHidden/>
          </w:rPr>
          <w:fldChar w:fldCharType="begin"/>
        </w:r>
        <w:r w:rsidR="00C213D2">
          <w:rPr>
            <w:webHidden/>
          </w:rPr>
          <w:instrText xml:space="preserve"> PAGEREF _Toc531941950 \h </w:instrText>
        </w:r>
        <w:r w:rsidR="00C213D2">
          <w:rPr>
            <w:webHidden/>
          </w:rPr>
        </w:r>
        <w:r w:rsidR="00C213D2">
          <w:rPr>
            <w:webHidden/>
          </w:rPr>
          <w:fldChar w:fldCharType="separate"/>
        </w:r>
        <w:r w:rsidR="00C213D2">
          <w:rPr>
            <w:webHidden/>
          </w:rPr>
          <w:t>51</w:t>
        </w:r>
        <w:r w:rsidR="00C213D2">
          <w:rPr>
            <w:webHidden/>
          </w:rPr>
          <w:fldChar w:fldCharType="end"/>
        </w:r>
      </w:hyperlink>
    </w:p>
    <w:p w14:paraId="4AA2F17A" w14:textId="77777777" w:rsidR="00C213D2" w:rsidRDefault="00F62B55">
      <w:pPr>
        <w:pStyle w:val="TOC3"/>
        <w:tabs>
          <w:tab w:val="right" w:leader="dot" w:pos="8302"/>
        </w:tabs>
        <w:rPr>
          <w:rFonts w:eastAsiaTheme="minorEastAsia" w:cstheme="minorBidi"/>
        </w:rPr>
      </w:pPr>
      <w:hyperlink w:anchor="_Toc531941951" w:history="1">
        <w:r w:rsidR="00C213D2" w:rsidRPr="00AE3FC5">
          <w:rPr>
            <w:rStyle w:val="Hyperlink"/>
          </w:rPr>
          <w:t>Recommendation 2.3</w:t>
        </w:r>
        <w:r w:rsidR="00C213D2">
          <w:rPr>
            <w:webHidden/>
          </w:rPr>
          <w:tab/>
        </w:r>
        <w:r w:rsidR="00C213D2">
          <w:rPr>
            <w:webHidden/>
          </w:rPr>
          <w:fldChar w:fldCharType="begin"/>
        </w:r>
        <w:r w:rsidR="00C213D2">
          <w:rPr>
            <w:webHidden/>
          </w:rPr>
          <w:instrText xml:space="preserve"> PAGEREF _Toc531941951 \h </w:instrText>
        </w:r>
        <w:r w:rsidR="00C213D2">
          <w:rPr>
            <w:webHidden/>
          </w:rPr>
        </w:r>
        <w:r w:rsidR="00C213D2">
          <w:rPr>
            <w:webHidden/>
          </w:rPr>
          <w:fldChar w:fldCharType="separate"/>
        </w:r>
        <w:r w:rsidR="00C213D2">
          <w:rPr>
            <w:webHidden/>
          </w:rPr>
          <w:t>52</w:t>
        </w:r>
        <w:r w:rsidR="00C213D2">
          <w:rPr>
            <w:webHidden/>
          </w:rPr>
          <w:fldChar w:fldCharType="end"/>
        </w:r>
      </w:hyperlink>
    </w:p>
    <w:p w14:paraId="6816BBAC" w14:textId="77777777" w:rsidR="00C213D2" w:rsidRDefault="00F62B55">
      <w:pPr>
        <w:pStyle w:val="TOC2"/>
        <w:tabs>
          <w:tab w:val="left" w:pos="1474"/>
          <w:tab w:val="right" w:leader="dot" w:pos="8302"/>
        </w:tabs>
        <w:rPr>
          <w:rFonts w:eastAsiaTheme="minorEastAsia" w:cstheme="minorBidi"/>
        </w:rPr>
      </w:pPr>
      <w:hyperlink w:anchor="_Toc531941952" w:history="1">
        <w:r w:rsidR="00C213D2" w:rsidRPr="00AE3FC5">
          <w:rPr>
            <w:rStyle w:val="Hyperlink"/>
          </w:rPr>
          <w:t>5.3</w:t>
        </w:r>
        <w:r w:rsidR="00C213D2">
          <w:rPr>
            <w:rFonts w:eastAsiaTheme="minorEastAsia" w:cstheme="minorBidi"/>
          </w:rPr>
          <w:tab/>
        </w:r>
        <w:r w:rsidR="00C213D2" w:rsidRPr="00AE3FC5">
          <w:rPr>
            <w:rStyle w:val="Hyperlink"/>
          </w:rPr>
          <w:t>Finding 3: Limited access to clinicians who are experts in eating disorders is an impediment to supporting timely diagnosis, intervention and the treatment of eating disorders</w:t>
        </w:r>
        <w:r w:rsidR="00C213D2">
          <w:rPr>
            <w:webHidden/>
          </w:rPr>
          <w:tab/>
        </w:r>
        <w:r w:rsidR="00C213D2">
          <w:rPr>
            <w:webHidden/>
          </w:rPr>
          <w:fldChar w:fldCharType="begin"/>
        </w:r>
        <w:r w:rsidR="00C213D2">
          <w:rPr>
            <w:webHidden/>
          </w:rPr>
          <w:instrText xml:space="preserve"> PAGEREF _Toc531941952 \h </w:instrText>
        </w:r>
        <w:r w:rsidR="00C213D2">
          <w:rPr>
            <w:webHidden/>
          </w:rPr>
        </w:r>
        <w:r w:rsidR="00C213D2">
          <w:rPr>
            <w:webHidden/>
          </w:rPr>
          <w:fldChar w:fldCharType="separate"/>
        </w:r>
        <w:r w:rsidR="00C213D2">
          <w:rPr>
            <w:webHidden/>
          </w:rPr>
          <w:t>53</w:t>
        </w:r>
        <w:r w:rsidR="00C213D2">
          <w:rPr>
            <w:webHidden/>
          </w:rPr>
          <w:fldChar w:fldCharType="end"/>
        </w:r>
      </w:hyperlink>
    </w:p>
    <w:p w14:paraId="4B2A93F8" w14:textId="77777777" w:rsidR="00C213D2" w:rsidRDefault="00F62B55">
      <w:pPr>
        <w:pStyle w:val="TOC3"/>
        <w:tabs>
          <w:tab w:val="left" w:pos="1474"/>
          <w:tab w:val="right" w:leader="dot" w:pos="8302"/>
        </w:tabs>
        <w:rPr>
          <w:rFonts w:eastAsiaTheme="minorEastAsia" w:cstheme="minorBidi"/>
        </w:rPr>
      </w:pPr>
      <w:hyperlink w:anchor="_Toc531941953" w:history="1">
        <w:r w:rsidR="00C213D2" w:rsidRPr="00AE3FC5">
          <w:rPr>
            <w:rStyle w:val="Hyperlink"/>
          </w:rPr>
          <w:t>5.3.1</w:t>
        </w:r>
        <w:r w:rsidR="00C213D2">
          <w:rPr>
            <w:rFonts w:eastAsiaTheme="minorEastAsia" w:cstheme="minorBidi"/>
          </w:rPr>
          <w:tab/>
        </w:r>
        <w:r w:rsidR="00C213D2" w:rsidRPr="00AE3FC5">
          <w:rPr>
            <w:rStyle w:val="Hyperlink"/>
          </w:rPr>
          <w:t>Background</w:t>
        </w:r>
        <w:r w:rsidR="00C213D2">
          <w:rPr>
            <w:webHidden/>
          </w:rPr>
          <w:tab/>
        </w:r>
        <w:r w:rsidR="00C213D2">
          <w:rPr>
            <w:webHidden/>
          </w:rPr>
          <w:fldChar w:fldCharType="begin"/>
        </w:r>
        <w:r w:rsidR="00C213D2">
          <w:rPr>
            <w:webHidden/>
          </w:rPr>
          <w:instrText xml:space="preserve"> PAGEREF _Toc531941953 \h </w:instrText>
        </w:r>
        <w:r w:rsidR="00C213D2">
          <w:rPr>
            <w:webHidden/>
          </w:rPr>
        </w:r>
        <w:r w:rsidR="00C213D2">
          <w:rPr>
            <w:webHidden/>
          </w:rPr>
          <w:fldChar w:fldCharType="separate"/>
        </w:r>
        <w:r w:rsidR="00C213D2">
          <w:rPr>
            <w:webHidden/>
          </w:rPr>
          <w:t>53</w:t>
        </w:r>
        <w:r w:rsidR="00C213D2">
          <w:rPr>
            <w:webHidden/>
          </w:rPr>
          <w:fldChar w:fldCharType="end"/>
        </w:r>
      </w:hyperlink>
    </w:p>
    <w:p w14:paraId="3B7B6CCE" w14:textId="77777777" w:rsidR="00C213D2" w:rsidRDefault="00F62B55">
      <w:pPr>
        <w:pStyle w:val="TOC3"/>
        <w:tabs>
          <w:tab w:val="left" w:pos="1474"/>
          <w:tab w:val="right" w:leader="dot" w:pos="8302"/>
        </w:tabs>
        <w:rPr>
          <w:rFonts w:eastAsiaTheme="minorEastAsia" w:cstheme="minorBidi"/>
        </w:rPr>
      </w:pPr>
      <w:hyperlink w:anchor="_Toc531941954" w:history="1">
        <w:r w:rsidR="00C213D2" w:rsidRPr="00AE3FC5">
          <w:rPr>
            <w:rStyle w:val="Hyperlink"/>
          </w:rPr>
          <w:t>5.3.2</w:t>
        </w:r>
        <w:r w:rsidR="00C213D2">
          <w:rPr>
            <w:rFonts w:eastAsiaTheme="minorEastAsia" w:cstheme="minorBidi"/>
          </w:rPr>
          <w:tab/>
        </w:r>
        <w:r w:rsidR="00C213D2" w:rsidRPr="00AE3FC5">
          <w:rPr>
            <w:rStyle w:val="Hyperlink"/>
          </w:rPr>
          <w:t>Supporting the timely identification and intervention of eating disorders</w:t>
        </w:r>
        <w:r w:rsidR="00C213D2">
          <w:rPr>
            <w:webHidden/>
          </w:rPr>
          <w:tab/>
        </w:r>
        <w:r w:rsidR="00C213D2">
          <w:rPr>
            <w:webHidden/>
          </w:rPr>
          <w:fldChar w:fldCharType="begin"/>
        </w:r>
        <w:r w:rsidR="00C213D2">
          <w:rPr>
            <w:webHidden/>
          </w:rPr>
          <w:instrText xml:space="preserve"> PAGEREF _Toc531941954 \h </w:instrText>
        </w:r>
        <w:r w:rsidR="00C213D2">
          <w:rPr>
            <w:webHidden/>
          </w:rPr>
        </w:r>
        <w:r w:rsidR="00C213D2">
          <w:rPr>
            <w:webHidden/>
          </w:rPr>
          <w:fldChar w:fldCharType="separate"/>
        </w:r>
        <w:r w:rsidR="00C213D2">
          <w:rPr>
            <w:webHidden/>
          </w:rPr>
          <w:t>54</w:t>
        </w:r>
        <w:r w:rsidR="00C213D2">
          <w:rPr>
            <w:webHidden/>
          </w:rPr>
          <w:fldChar w:fldCharType="end"/>
        </w:r>
      </w:hyperlink>
    </w:p>
    <w:p w14:paraId="090A0144" w14:textId="77777777" w:rsidR="00C213D2" w:rsidRDefault="00F62B55">
      <w:pPr>
        <w:pStyle w:val="TOC3"/>
        <w:tabs>
          <w:tab w:val="left" w:pos="1474"/>
          <w:tab w:val="right" w:leader="dot" w:pos="8302"/>
        </w:tabs>
        <w:rPr>
          <w:rFonts w:eastAsiaTheme="minorEastAsia" w:cstheme="minorBidi"/>
        </w:rPr>
      </w:pPr>
      <w:hyperlink w:anchor="_Toc531941955" w:history="1">
        <w:r w:rsidR="00C213D2" w:rsidRPr="00AE3FC5">
          <w:rPr>
            <w:rStyle w:val="Hyperlink"/>
          </w:rPr>
          <w:t>5.3.3</w:t>
        </w:r>
        <w:r w:rsidR="00C213D2">
          <w:rPr>
            <w:rFonts w:eastAsiaTheme="minorEastAsia" w:cstheme="minorBidi"/>
          </w:rPr>
          <w:tab/>
        </w:r>
        <w:r w:rsidR="00C213D2" w:rsidRPr="00AE3FC5">
          <w:rPr>
            <w:rStyle w:val="Hyperlink"/>
          </w:rPr>
          <w:t>Enabling a skilled workforce to identify eating disorders</w:t>
        </w:r>
        <w:r w:rsidR="00C213D2">
          <w:rPr>
            <w:webHidden/>
          </w:rPr>
          <w:tab/>
        </w:r>
        <w:r w:rsidR="00C213D2">
          <w:rPr>
            <w:webHidden/>
          </w:rPr>
          <w:fldChar w:fldCharType="begin"/>
        </w:r>
        <w:r w:rsidR="00C213D2">
          <w:rPr>
            <w:webHidden/>
          </w:rPr>
          <w:instrText xml:space="preserve"> PAGEREF _Toc531941955 \h </w:instrText>
        </w:r>
        <w:r w:rsidR="00C213D2">
          <w:rPr>
            <w:webHidden/>
          </w:rPr>
        </w:r>
        <w:r w:rsidR="00C213D2">
          <w:rPr>
            <w:webHidden/>
          </w:rPr>
          <w:fldChar w:fldCharType="separate"/>
        </w:r>
        <w:r w:rsidR="00C213D2">
          <w:rPr>
            <w:webHidden/>
          </w:rPr>
          <w:t>54</w:t>
        </w:r>
        <w:r w:rsidR="00C213D2">
          <w:rPr>
            <w:webHidden/>
          </w:rPr>
          <w:fldChar w:fldCharType="end"/>
        </w:r>
      </w:hyperlink>
    </w:p>
    <w:p w14:paraId="5FDF4CCB" w14:textId="77777777" w:rsidR="00C213D2" w:rsidRDefault="00F62B55">
      <w:pPr>
        <w:pStyle w:val="TOC3"/>
        <w:tabs>
          <w:tab w:val="right" w:leader="dot" w:pos="8302"/>
        </w:tabs>
        <w:rPr>
          <w:rFonts w:eastAsiaTheme="minorEastAsia" w:cstheme="minorBidi"/>
        </w:rPr>
      </w:pPr>
      <w:hyperlink w:anchor="_Toc531941956" w:history="1">
        <w:r w:rsidR="00C213D2" w:rsidRPr="00AE3FC5">
          <w:rPr>
            <w:rStyle w:val="Hyperlink"/>
          </w:rPr>
          <w:t>Recommendation 3.1</w:t>
        </w:r>
        <w:r w:rsidR="00C213D2">
          <w:rPr>
            <w:webHidden/>
          </w:rPr>
          <w:tab/>
        </w:r>
        <w:r w:rsidR="00C213D2">
          <w:rPr>
            <w:webHidden/>
          </w:rPr>
          <w:fldChar w:fldCharType="begin"/>
        </w:r>
        <w:r w:rsidR="00C213D2">
          <w:rPr>
            <w:webHidden/>
          </w:rPr>
          <w:instrText xml:space="preserve"> PAGEREF _Toc531941956 \h </w:instrText>
        </w:r>
        <w:r w:rsidR="00C213D2">
          <w:rPr>
            <w:webHidden/>
          </w:rPr>
        </w:r>
        <w:r w:rsidR="00C213D2">
          <w:rPr>
            <w:webHidden/>
          </w:rPr>
          <w:fldChar w:fldCharType="separate"/>
        </w:r>
        <w:r w:rsidR="00C213D2">
          <w:rPr>
            <w:webHidden/>
          </w:rPr>
          <w:t>55</w:t>
        </w:r>
        <w:r w:rsidR="00C213D2">
          <w:rPr>
            <w:webHidden/>
          </w:rPr>
          <w:fldChar w:fldCharType="end"/>
        </w:r>
      </w:hyperlink>
    </w:p>
    <w:p w14:paraId="1491DF57" w14:textId="77777777" w:rsidR="00C213D2" w:rsidRDefault="00F62B55">
      <w:pPr>
        <w:pStyle w:val="TOC3"/>
        <w:tabs>
          <w:tab w:val="left" w:pos="1474"/>
          <w:tab w:val="right" w:leader="dot" w:pos="8302"/>
        </w:tabs>
        <w:rPr>
          <w:rFonts w:eastAsiaTheme="minorEastAsia" w:cstheme="minorBidi"/>
        </w:rPr>
      </w:pPr>
      <w:hyperlink w:anchor="_Toc531941957" w:history="1">
        <w:r w:rsidR="00C213D2" w:rsidRPr="00AE3FC5">
          <w:rPr>
            <w:rStyle w:val="Hyperlink"/>
          </w:rPr>
          <w:t>5.3.4</w:t>
        </w:r>
        <w:r w:rsidR="00C213D2">
          <w:rPr>
            <w:rFonts w:eastAsiaTheme="minorEastAsia" w:cstheme="minorBidi"/>
          </w:rPr>
          <w:tab/>
        </w:r>
        <w:r w:rsidR="00C213D2" w:rsidRPr="00AE3FC5">
          <w:rPr>
            <w:rStyle w:val="Hyperlink"/>
          </w:rPr>
          <w:t>Training to support clinicians in the treatment of eating disorders</w:t>
        </w:r>
        <w:r w:rsidR="00C213D2">
          <w:rPr>
            <w:webHidden/>
          </w:rPr>
          <w:tab/>
        </w:r>
        <w:r w:rsidR="00C213D2">
          <w:rPr>
            <w:webHidden/>
          </w:rPr>
          <w:fldChar w:fldCharType="begin"/>
        </w:r>
        <w:r w:rsidR="00C213D2">
          <w:rPr>
            <w:webHidden/>
          </w:rPr>
          <w:instrText xml:space="preserve"> PAGEREF _Toc531941957 \h </w:instrText>
        </w:r>
        <w:r w:rsidR="00C213D2">
          <w:rPr>
            <w:webHidden/>
          </w:rPr>
        </w:r>
        <w:r w:rsidR="00C213D2">
          <w:rPr>
            <w:webHidden/>
          </w:rPr>
          <w:fldChar w:fldCharType="separate"/>
        </w:r>
        <w:r w:rsidR="00C213D2">
          <w:rPr>
            <w:webHidden/>
          </w:rPr>
          <w:t>56</w:t>
        </w:r>
        <w:r w:rsidR="00C213D2">
          <w:rPr>
            <w:webHidden/>
          </w:rPr>
          <w:fldChar w:fldCharType="end"/>
        </w:r>
      </w:hyperlink>
    </w:p>
    <w:p w14:paraId="3B31CD0B" w14:textId="77777777" w:rsidR="00C213D2" w:rsidRDefault="00F62B55">
      <w:pPr>
        <w:pStyle w:val="TOC3"/>
        <w:tabs>
          <w:tab w:val="right" w:leader="dot" w:pos="8302"/>
        </w:tabs>
        <w:rPr>
          <w:rFonts w:eastAsiaTheme="minorEastAsia" w:cstheme="minorBidi"/>
        </w:rPr>
      </w:pPr>
      <w:hyperlink w:anchor="_Toc531941958" w:history="1">
        <w:r w:rsidR="00C213D2" w:rsidRPr="00AE3FC5">
          <w:rPr>
            <w:rStyle w:val="Hyperlink"/>
          </w:rPr>
          <w:t>Recommendation 3.2</w:t>
        </w:r>
        <w:r w:rsidR="00C213D2">
          <w:rPr>
            <w:webHidden/>
          </w:rPr>
          <w:tab/>
        </w:r>
        <w:r w:rsidR="00C213D2">
          <w:rPr>
            <w:webHidden/>
          </w:rPr>
          <w:fldChar w:fldCharType="begin"/>
        </w:r>
        <w:r w:rsidR="00C213D2">
          <w:rPr>
            <w:webHidden/>
          </w:rPr>
          <w:instrText xml:space="preserve"> PAGEREF _Toc531941958 \h </w:instrText>
        </w:r>
        <w:r w:rsidR="00C213D2">
          <w:rPr>
            <w:webHidden/>
          </w:rPr>
        </w:r>
        <w:r w:rsidR="00C213D2">
          <w:rPr>
            <w:webHidden/>
          </w:rPr>
          <w:fldChar w:fldCharType="separate"/>
        </w:r>
        <w:r w:rsidR="00C213D2">
          <w:rPr>
            <w:webHidden/>
          </w:rPr>
          <w:t>57</w:t>
        </w:r>
        <w:r w:rsidR="00C213D2">
          <w:rPr>
            <w:webHidden/>
          </w:rPr>
          <w:fldChar w:fldCharType="end"/>
        </w:r>
      </w:hyperlink>
    </w:p>
    <w:p w14:paraId="009400EE" w14:textId="77777777" w:rsidR="00C213D2" w:rsidRDefault="00F62B55">
      <w:pPr>
        <w:pStyle w:val="TOC3"/>
        <w:tabs>
          <w:tab w:val="left" w:pos="1474"/>
          <w:tab w:val="right" w:leader="dot" w:pos="8302"/>
        </w:tabs>
        <w:rPr>
          <w:rFonts w:eastAsiaTheme="minorEastAsia" w:cstheme="minorBidi"/>
        </w:rPr>
      </w:pPr>
      <w:hyperlink w:anchor="_Toc531941959" w:history="1">
        <w:r w:rsidR="00C213D2" w:rsidRPr="00AE3FC5">
          <w:rPr>
            <w:rStyle w:val="Hyperlink"/>
          </w:rPr>
          <w:t>5.3.7</w:t>
        </w:r>
        <w:r w:rsidR="00C213D2">
          <w:rPr>
            <w:rFonts w:eastAsiaTheme="minorEastAsia" w:cstheme="minorBidi"/>
          </w:rPr>
          <w:tab/>
        </w:r>
        <w:r w:rsidR="00C213D2" w:rsidRPr="00AE3FC5">
          <w:rPr>
            <w:rStyle w:val="Hyperlink"/>
          </w:rPr>
          <w:t>The need for credentialing of appropriately trained clinicians</w:t>
        </w:r>
        <w:r w:rsidR="00C213D2">
          <w:rPr>
            <w:webHidden/>
          </w:rPr>
          <w:tab/>
        </w:r>
        <w:r w:rsidR="00C213D2">
          <w:rPr>
            <w:webHidden/>
          </w:rPr>
          <w:fldChar w:fldCharType="begin"/>
        </w:r>
        <w:r w:rsidR="00C213D2">
          <w:rPr>
            <w:webHidden/>
          </w:rPr>
          <w:instrText xml:space="preserve"> PAGEREF _Toc531941959 \h </w:instrText>
        </w:r>
        <w:r w:rsidR="00C213D2">
          <w:rPr>
            <w:webHidden/>
          </w:rPr>
        </w:r>
        <w:r w:rsidR="00C213D2">
          <w:rPr>
            <w:webHidden/>
          </w:rPr>
          <w:fldChar w:fldCharType="separate"/>
        </w:r>
        <w:r w:rsidR="00C213D2">
          <w:rPr>
            <w:webHidden/>
          </w:rPr>
          <w:t>57</w:t>
        </w:r>
        <w:r w:rsidR="00C213D2">
          <w:rPr>
            <w:webHidden/>
          </w:rPr>
          <w:fldChar w:fldCharType="end"/>
        </w:r>
      </w:hyperlink>
    </w:p>
    <w:p w14:paraId="48F46D72" w14:textId="77777777" w:rsidR="00C213D2" w:rsidRDefault="00F62B55">
      <w:pPr>
        <w:pStyle w:val="TOC3"/>
        <w:tabs>
          <w:tab w:val="right" w:leader="dot" w:pos="8302"/>
        </w:tabs>
        <w:rPr>
          <w:rFonts w:eastAsiaTheme="minorEastAsia" w:cstheme="minorBidi"/>
        </w:rPr>
      </w:pPr>
      <w:hyperlink w:anchor="_Toc531941960" w:history="1">
        <w:r w:rsidR="00C213D2" w:rsidRPr="00AE3FC5">
          <w:rPr>
            <w:rStyle w:val="Hyperlink"/>
          </w:rPr>
          <w:t>Recommendation 3.3</w:t>
        </w:r>
        <w:r w:rsidR="00C213D2">
          <w:rPr>
            <w:webHidden/>
          </w:rPr>
          <w:tab/>
        </w:r>
        <w:r w:rsidR="00C213D2">
          <w:rPr>
            <w:webHidden/>
          </w:rPr>
          <w:fldChar w:fldCharType="begin"/>
        </w:r>
        <w:r w:rsidR="00C213D2">
          <w:rPr>
            <w:webHidden/>
          </w:rPr>
          <w:instrText xml:space="preserve"> PAGEREF _Toc531941960 \h </w:instrText>
        </w:r>
        <w:r w:rsidR="00C213D2">
          <w:rPr>
            <w:webHidden/>
          </w:rPr>
        </w:r>
        <w:r w:rsidR="00C213D2">
          <w:rPr>
            <w:webHidden/>
          </w:rPr>
          <w:fldChar w:fldCharType="separate"/>
        </w:r>
        <w:r w:rsidR="00C213D2">
          <w:rPr>
            <w:webHidden/>
          </w:rPr>
          <w:t>58</w:t>
        </w:r>
        <w:r w:rsidR="00C213D2">
          <w:rPr>
            <w:webHidden/>
          </w:rPr>
          <w:fldChar w:fldCharType="end"/>
        </w:r>
      </w:hyperlink>
    </w:p>
    <w:p w14:paraId="64179717" w14:textId="77777777" w:rsidR="00C213D2" w:rsidRDefault="00F62B55">
      <w:pPr>
        <w:pStyle w:val="TOC3"/>
        <w:tabs>
          <w:tab w:val="left" w:pos="1474"/>
          <w:tab w:val="right" w:leader="dot" w:pos="8302"/>
        </w:tabs>
        <w:rPr>
          <w:rFonts w:eastAsiaTheme="minorEastAsia" w:cstheme="minorBidi"/>
        </w:rPr>
      </w:pPr>
      <w:hyperlink w:anchor="_Toc531941961" w:history="1">
        <w:r w:rsidR="00C213D2" w:rsidRPr="00AE3FC5">
          <w:rPr>
            <w:rStyle w:val="Hyperlink"/>
          </w:rPr>
          <w:t>5.3.8</w:t>
        </w:r>
        <w:r w:rsidR="00C213D2">
          <w:rPr>
            <w:rFonts w:eastAsiaTheme="minorEastAsia" w:cstheme="minorBidi"/>
          </w:rPr>
          <w:tab/>
        </w:r>
        <w:r w:rsidR="00C213D2" w:rsidRPr="00AE3FC5">
          <w:rPr>
            <w:rStyle w:val="Hyperlink"/>
          </w:rPr>
          <w:t>Utilising the PHN Network to deliver educational programs</w:t>
        </w:r>
        <w:r w:rsidR="00C213D2">
          <w:rPr>
            <w:webHidden/>
          </w:rPr>
          <w:tab/>
        </w:r>
        <w:r w:rsidR="00C213D2">
          <w:rPr>
            <w:webHidden/>
          </w:rPr>
          <w:fldChar w:fldCharType="begin"/>
        </w:r>
        <w:r w:rsidR="00C213D2">
          <w:rPr>
            <w:webHidden/>
          </w:rPr>
          <w:instrText xml:space="preserve"> PAGEREF _Toc531941961 \h </w:instrText>
        </w:r>
        <w:r w:rsidR="00C213D2">
          <w:rPr>
            <w:webHidden/>
          </w:rPr>
        </w:r>
        <w:r w:rsidR="00C213D2">
          <w:rPr>
            <w:webHidden/>
          </w:rPr>
          <w:fldChar w:fldCharType="separate"/>
        </w:r>
        <w:r w:rsidR="00C213D2">
          <w:rPr>
            <w:webHidden/>
          </w:rPr>
          <w:t>58</w:t>
        </w:r>
        <w:r w:rsidR="00C213D2">
          <w:rPr>
            <w:webHidden/>
          </w:rPr>
          <w:fldChar w:fldCharType="end"/>
        </w:r>
      </w:hyperlink>
    </w:p>
    <w:p w14:paraId="780C2924" w14:textId="77777777" w:rsidR="00C213D2" w:rsidRDefault="00F62B55">
      <w:pPr>
        <w:pStyle w:val="TOC3"/>
        <w:tabs>
          <w:tab w:val="right" w:leader="dot" w:pos="8302"/>
        </w:tabs>
        <w:rPr>
          <w:rFonts w:eastAsiaTheme="minorEastAsia" w:cstheme="minorBidi"/>
        </w:rPr>
      </w:pPr>
      <w:hyperlink w:anchor="_Toc531941962" w:history="1">
        <w:r w:rsidR="00C213D2" w:rsidRPr="00AE3FC5">
          <w:rPr>
            <w:rStyle w:val="Hyperlink"/>
          </w:rPr>
          <w:t>Recommendation 3.4</w:t>
        </w:r>
        <w:r w:rsidR="00C213D2">
          <w:rPr>
            <w:webHidden/>
          </w:rPr>
          <w:tab/>
        </w:r>
        <w:r w:rsidR="00C213D2">
          <w:rPr>
            <w:webHidden/>
          </w:rPr>
          <w:fldChar w:fldCharType="begin"/>
        </w:r>
        <w:r w:rsidR="00C213D2">
          <w:rPr>
            <w:webHidden/>
          </w:rPr>
          <w:instrText xml:space="preserve"> PAGEREF _Toc531941962 \h </w:instrText>
        </w:r>
        <w:r w:rsidR="00C213D2">
          <w:rPr>
            <w:webHidden/>
          </w:rPr>
        </w:r>
        <w:r w:rsidR="00C213D2">
          <w:rPr>
            <w:webHidden/>
          </w:rPr>
          <w:fldChar w:fldCharType="separate"/>
        </w:r>
        <w:r w:rsidR="00C213D2">
          <w:rPr>
            <w:webHidden/>
          </w:rPr>
          <w:t>59</w:t>
        </w:r>
        <w:r w:rsidR="00C213D2">
          <w:rPr>
            <w:webHidden/>
          </w:rPr>
          <w:fldChar w:fldCharType="end"/>
        </w:r>
      </w:hyperlink>
    </w:p>
    <w:p w14:paraId="0593377A" w14:textId="77777777" w:rsidR="00C213D2" w:rsidRDefault="00F62B55">
      <w:pPr>
        <w:pStyle w:val="TOC1"/>
        <w:rPr>
          <w:rFonts w:eastAsiaTheme="minorEastAsia" w:cstheme="minorBidi"/>
          <w:b w:val="0"/>
        </w:rPr>
      </w:pPr>
      <w:hyperlink w:anchor="_Toc531941963" w:history="1">
        <w:r w:rsidR="00C213D2" w:rsidRPr="00AE3FC5">
          <w:rPr>
            <w:rStyle w:val="Hyperlink"/>
          </w:rPr>
          <w:t>Glossary</w:t>
        </w:r>
        <w:r w:rsidR="00C213D2">
          <w:rPr>
            <w:webHidden/>
          </w:rPr>
          <w:tab/>
        </w:r>
        <w:r w:rsidR="00C213D2">
          <w:rPr>
            <w:webHidden/>
          </w:rPr>
          <w:fldChar w:fldCharType="begin"/>
        </w:r>
        <w:r w:rsidR="00C213D2">
          <w:rPr>
            <w:webHidden/>
          </w:rPr>
          <w:instrText xml:space="preserve"> PAGEREF _Toc531941963 \h </w:instrText>
        </w:r>
        <w:r w:rsidR="00C213D2">
          <w:rPr>
            <w:webHidden/>
          </w:rPr>
        </w:r>
        <w:r w:rsidR="00C213D2">
          <w:rPr>
            <w:webHidden/>
          </w:rPr>
          <w:fldChar w:fldCharType="separate"/>
        </w:r>
        <w:r w:rsidR="00C213D2">
          <w:rPr>
            <w:webHidden/>
          </w:rPr>
          <w:t>60</w:t>
        </w:r>
        <w:r w:rsidR="00C213D2">
          <w:rPr>
            <w:webHidden/>
          </w:rPr>
          <w:fldChar w:fldCharType="end"/>
        </w:r>
      </w:hyperlink>
    </w:p>
    <w:p w14:paraId="7BC3FE49" w14:textId="77777777" w:rsidR="00C213D2" w:rsidRDefault="00F62B55">
      <w:pPr>
        <w:pStyle w:val="TOC1"/>
        <w:rPr>
          <w:rFonts w:eastAsiaTheme="minorEastAsia" w:cstheme="minorBidi"/>
          <w:b w:val="0"/>
        </w:rPr>
      </w:pPr>
      <w:hyperlink w:anchor="_Toc531941964" w:history="1">
        <w:r w:rsidR="00C213D2" w:rsidRPr="00AE3FC5">
          <w:rPr>
            <w:rStyle w:val="Hyperlink"/>
          </w:rPr>
          <w:t>References</w:t>
        </w:r>
        <w:r w:rsidR="00C213D2">
          <w:rPr>
            <w:webHidden/>
          </w:rPr>
          <w:tab/>
        </w:r>
        <w:r w:rsidR="00C213D2">
          <w:rPr>
            <w:webHidden/>
          </w:rPr>
          <w:fldChar w:fldCharType="begin"/>
        </w:r>
        <w:r w:rsidR="00C213D2">
          <w:rPr>
            <w:webHidden/>
          </w:rPr>
          <w:instrText xml:space="preserve"> PAGEREF _Toc531941964 \h </w:instrText>
        </w:r>
        <w:r w:rsidR="00C213D2">
          <w:rPr>
            <w:webHidden/>
          </w:rPr>
        </w:r>
        <w:r w:rsidR="00C213D2">
          <w:rPr>
            <w:webHidden/>
          </w:rPr>
          <w:fldChar w:fldCharType="separate"/>
        </w:r>
        <w:r w:rsidR="00C213D2">
          <w:rPr>
            <w:webHidden/>
          </w:rPr>
          <w:t>64</w:t>
        </w:r>
        <w:r w:rsidR="00C213D2">
          <w:rPr>
            <w:webHidden/>
          </w:rPr>
          <w:fldChar w:fldCharType="end"/>
        </w:r>
      </w:hyperlink>
    </w:p>
    <w:p w14:paraId="28FF34DA" w14:textId="77777777" w:rsidR="00C213D2" w:rsidRDefault="00F62B55">
      <w:pPr>
        <w:pStyle w:val="TOC1"/>
        <w:rPr>
          <w:rFonts w:eastAsiaTheme="minorEastAsia" w:cstheme="minorBidi"/>
          <w:b w:val="0"/>
        </w:rPr>
      </w:pPr>
      <w:hyperlink w:anchor="_Toc531941965" w:history="1">
        <w:r w:rsidR="00C213D2" w:rsidRPr="00AE3FC5">
          <w:rPr>
            <w:rStyle w:val="Hyperlink"/>
          </w:rPr>
          <w:t>Appendix A: Further information on the Taskforce’s approach to the MBS Review</w:t>
        </w:r>
        <w:r w:rsidR="00C213D2">
          <w:rPr>
            <w:webHidden/>
          </w:rPr>
          <w:tab/>
        </w:r>
        <w:r w:rsidR="00C213D2">
          <w:rPr>
            <w:webHidden/>
          </w:rPr>
          <w:fldChar w:fldCharType="begin"/>
        </w:r>
        <w:r w:rsidR="00C213D2">
          <w:rPr>
            <w:webHidden/>
          </w:rPr>
          <w:instrText xml:space="preserve"> PAGEREF _Toc531941965 \h </w:instrText>
        </w:r>
        <w:r w:rsidR="00C213D2">
          <w:rPr>
            <w:webHidden/>
          </w:rPr>
        </w:r>
        <w:r w:rsidR="00C213D2">
          <w:rPr>
            <w:webHidden/>
          </w:rPr>
          <w:fldChar w:fldCharType="separate"/>
        </w:r>
        <w:r w:rsidR="00C213D2">
          <w:rPr>
            <w:webHidden/>
          </w:rPr>
          <w:t>68</w:t>
        </w:r>
        <w:r w:rsidR="00C213D2">
          <w:rPr>
            <w:webHidden/>
          </w:rPr>
          <w:fldChar w:fldCharType="end"/>
        </w:r>
      </w:hyperlink>
    </w:p>
    <w:p w14:paraId="619B4C43" w14:textId="77777777" w:rsidR="00C213D2" w:rsidRDefault="00F62B55">
      <w:pPr>
        <w:pStyle w:val="TOC1"/>
        <w:rPr>
          <w:rFonts w:eastAsiaTheme="minorEastAsia" w:cstheme="minorBidi"/>
          <w:b w:val="0"/>
        </w:rPr>
      </w:pPr>
      <w:hyperlink w:anchor="_Toc531941966" w:history="1">
        <w:r w:rsidR="00C213D2" w:rsidRPr="00AE3FC5">
          <w:rPr>
            <w:rStyle w:val="Hyperlink"/>
          </w:rPr>
          <w:t>Appendix B: MBS items that relate to the treatment of patients with eating disorders</w:t>
        </w:r>
        <w:r w:rsidR="00C213D2">
          <w:rPr>
            <w:webHidden/>
          </w:rPr>
          <w:tab/>
        </w:r>
        <w:r w:rsidR="00C213D2">
          <w:rPr>
            <w:webHidden/>
          </w:rPr>
          <w:fldChar w:fldCharType="begin"/>
        </w:r>
        <w:r w:rsidR="00C213D2">
          <w:rPr>
            <w:webHidden/>
          </w:rPr>
          <w:instrText xml:space="preserve"> PAGEREF _Toc531941966 \h </w:instrText>
        </w:r>
        <w:r w:rsidR="00C213D2">
          <w:rPr>
            <w:webHidden/>
          </w:rPr>
        </w:r>
        <w:r w:rsidR="00C213D2">
          <w:rPr>
            <w:webHidden/>
          </w:rPr>
          <w:fldChar w:fldCharType="separate"/>
        </w:r>
        <w:r w:rsidR="00C213D2">
          <w:rPr>
            <w:webHidden/>
          </w:rPr>
          <w:t>71</w:t>
        </w:r>
        <w:r w:rsidR="00C213D2">
          <w:rPr>
            <w:webHidden/>
          </w:rPr>
          <w:fldChar w:fldCharType="end"/>
        </w:r>
      </w:hyperlink>
    </w:p>
    <w:p w14:paraId="1DC9819B" w14:textId="77777777" w:rsidR="00C213D2" w:rsidRDefault="00F62B55">
      <w:pPr>
        <w:pStyle w:val="TOC1"/>
        <w:rPr>
          <w:rFonts w:eastAsiaTheme="minorEastAsia" w:cstheme="minorBidi"/>
          <w:b w:val="0"/>
        </w:rPr>
      </w:pPr>
      <w:hyperlink w:anchor="_Toc531941967" w:history="1">
        <w:r w:rsidR="00C213D2" w:rsidRPr="00AE3FC5">
          <w:rPr>
            <w:rStyle w:val="Hyperlink"/>
            <w:rFonts w:eastAsiaTheme="minorBidi"/>
          </w:rPr>
          <w:t>Appendix C: Appropriately trained health practitioners able to provide eating disorders specific treatment</w:t>
        </w:r>
        <w:r w:rsidR="00C213D2">
          <w:rPr>
            <w:webHidden/>
          </w:rPr>
          <w:tab/>
        </w:r>
        <w:r w:rsidR="00C213D2">
          <w:rPr>
            <w:webHidden/>
          </w:rPr>
          <w:fldChar w:fldCharType="begin"/>
        </w:r>
        <w:r w:rsidR="00C213D2">
          <w:rPr>
            <w:webHidden/>
          </w:rPr>
          <w:instrText xml:space="preserve"> PAGEREF _Toc531941967 \h </w:instrText>
        </w:r>
        <w:r w:rsidR="00C213D2">
          <w:rPr>
            <w:webHidden/>
          </w:rPr>
        </w:r>
        <w:r w:rsidR="00C213D2">
          <w:rPr>
            <w:webHidden/>
          </w:rPr>
          <w:fldChar w:fldCharType="separate"/>
        </w:r>
        <w:r w:rsidR="00C213D2">
          <w:rPr>
            <w:webHidden/>
          </w:rPr>
          <w:t>73</w:t>
        </w:r>
        <w:r w:rsidR="00C213D2">
          <w:rPr>
            <w:webHidden/>
          </w:rPr>
          <w:fldChar w:fldCharType="end"/>
        </w:r>
      </w:hyperlink>
    </w:p>
    <w:p w14:paraId="567DD3ED" w14:textId="77777777" w:rsidR="00C213D2" w:rsidRDefault="00F62B55">
      <w:pPr>
        <w:pStyle w:val="TOC1"/>
        <w:rPr>
          <w:rFonts w:eastAsiaTheme="minorEastAsia" w:cstheme="minorBidi"/>
          <w:b w:val="0"/>
        </w:rPr>
      </w:pPr>
      <w:hyperlink w:anchor="_Toc531941968" w:history="1">
        <w:r w:rsidR="00C213D2" w:rsidRPr="00AE3FC5">
          <w:rPr>
            <w:rStyle w:val="Hyperlink"/>
            <w:rFonts w:eastAsiaTheme="minorBidi"/>
          </w:rPr>
          <w:t>Appendix D: Referrals to other Clinical Committees</w:t>
        </w:r>
        <w:r w:rsidR="00C213D2">
          <w:rPr>
            <w:webHidden/>
          </w:rPr>
          <w:tab/>
        </w:r>
        <w:r w:rsidR="00C213D2">
          <w:rPr>
            <w:webHidden/>
          </w:rPr>
          <w:fldChar w:fldCharType="begin"/>
        </w:r>
        <w:r w:rsidR="00C213D2">
          <w:rPr>
            <w:webHidden/>
          </w:rPr>
          <w:instrText xml:space="preserve"> PAGEREF _Toc531941968 \h </w:instrText>
        </w:r>
        <w:r w:rsidR="00C213D2">
          <w:rPr>
            <w:webHidden/>
          </w:rPr>
        </w:r>
        <w:r w:rsidR="00C213D2">
          <w:rPr>
            <w:webHidden/>
          </w:rPr>
          <w:fldChar w:fldCharType="separate"/>
        </w:r>
        <w:r w:rsidR="00C213D2">
          <w:rPr>
            <w:webHidden/>
          </w:rPr>
          <w:t>74</w:t>
        </w:r>
        <w:r w:rsidR="00C213D2">
          <w:rPr>
            <w:webHidden/>
          </w:rPr>
          <w:fldChar w:fldCharType="end"/>
        </w:r>
      </w:hyperlink>
    </w:p>
    <w:p w14:paraId="343802EA" w14:textId="77777777" w:rsidR="00C213D2" w:rsidRDefault="00F62B55">
      <w:pPr>
        <w:pStyle w:val="TOC2"/>
        <w:tabs>
          <w:tab w:val="right" w:leader="dot" w:pos="8302"/>
        </w:tabs>
        <w:rPr>
          <w:rFonts w:eastAsiaTheme="minorEastAsia" w:cstheme="minorBidi"/>
        </w:rPr>
      </w:pPr>
      <w:hyperlink w:anchor="_Toc531941969" w:history="1">
        <w:r w:rsidR="00C213D2" w:rsidRPr="00AE3FC5">
          <w:rPr>
            <w:rStyle w:val="Hyperlink"/>
            <w:rFonts w:eastAsiaTheme="minorBidi"/>
          </w:rPr>
          <w:t>Memorandum to the Allied Health Reference Group</w:t>
        </w:r>
        <w:r w:rsidR="00C213D2">
          <w:rPr>
            <w:webHidden/>
          </w:rPr>
          <w:tab/>
        </w:r>
        <w:r w:rsidR="00C213D2">
          <w:rPr>
            <w:webHidden/>
          </w:rPr>
          <w:fldChar w:fldCharType="begin"/>
        </w:r>
        <w:r w:rsidR="00C213D2">
          <w:rPr>
            <w:webHidden/>
          </w:rPr>
          <w:instrText xml:space="preserve"> PAGEREF _Toc531941969 \h </w:instrText>
        </w:r>
        <w:r w:rsidR="00C213D2">
          <w:rPr>
            <w:webHidden/>
          </w:rPr>
        </w:r>
        <w:r w:rsidR="00C213D2">
          <w:rPr>
            <w:webHidden/>
          </w:rPr>
          <w:fldChar w:fldCharType="separate"/>
        </w:r>
        <w:r w:rsidR="00C213D2">
          <w:rPr>
            <w:webHidden/>
          </w:rPr>
          <w:t>74</w:t>
        </w:r>
        <w:r w:rsidR="00C213D2">
          <w:rPr>
            <w:webHidden/>
          </w:rPr>
          <w:fldChar w:fldCharType="end"/>
        </w:r>
      </w:hyperlink>
    </w:p>
    <w:p w14:paraId="63D4A059" w14:textId="77777777" w:rsidR="00C213D2" w:rsidRDefault="00F62B55">
      <w:pPr>
        <w:pStyle w:val="TOC2"/>
        <w:tabs>
          <w:tab w:val="right" w:leader="dot" w:pos="8302"/>
        </w:tabs>
        <w:rPr>
          <w:rFonts w:eastAsiaTheme="minorEastAsia" w:cstheme="minorBidi"/>
        </w:rPr>
      </w:pPr>
      <w:hyperlink w:anchor="_Toc531941970" w:history="1">
        <w:r w:rsidR="00C213D2" w:rsidRPr="00AE3FC5">
          <w:rPr>
            <w:rStyle w:val="Hyperlink"/>
            <w:rFonts w:eastAsiaTheme="minorBidi"/>
          </w:rPr>
          <w:t>Memorandum to the General Practice and Primary Care Clinical Committee</w:t>
        </w:r>
        <w:r w:rsidR="00C213D2">
          <w:rPr>
            <w:webHidden/>
          </w:rPr>
          <w:tab/>
        </w:r>
        <w:r w:rsidR="00C213D2">
          <w:rPr>
            <w:webHidden/>
          </w:rPr>
          <w:fldChar w:fldCharType="begin"/>
        </w:r>
        <w:r w:rsidR="00C213D2">
          <w:rPr>
            <w:webHidden/>
          </w:rPr>
          <w:instrText xml:space="preserve"> PAGEREF _Toc531941970 \h </w:instrText>
        </w:r>
        <w:r w:rsidR="00C213D2">
          <w:rPr>
            <w:webHidden/>
          </w:rPr>
        </w:r>
        <w:r w:rsidR="00C213D2">
          <w:rPr>
            <w:webHidden/>
          </w:rPr>
          <w:fldChar w:fldCharType="separate"/>
        </w:r>
        <w:r w:rsidR="00C213D2">
          <w:rPr>
            <w:webHidden/>
          </w:rPr>
          <w:t>77</w:t>
        </w:r>
        <w:r w:rsidR="00C213D2">
          <w:rPr>
            <w:webHidden/>
          </w:rPr>
          <w:fldChar w:fldCharType="end"/>
        </w:r>
      </w:hyperlink>
    </w:p>
    <w:p w14:paraId="6F187243" w14:textId="77777777" w:rsidR="00C213D2" w:rsidRDefault="00F62B55">
      <w:pPr>
        <w:pStyle w:val="TOC2"/>
        <w:tabs>
          <w:tab w:val="right" w:leader="dot" w:pos="8302"/>
        </w:tabs>
        <w:rPr>
          <w:rFonts w:eastAsiaTheme="minorEastAsia" w:cstheme="minorBidi"/>
        </w:rPr>
      </w:pPr>
      <w:hyperlink w:anchor="_Toc531941971" w:history="1">
        <w:r w:rsidR="00C213D2" w:rsidRPr="00AE3FC5">
          <w:rPr>
            <w:rStyle w:val="Hyperlink"/>
            <w:rFonts w:eastAsiaTheme="minorBidi"/>
          </w:rPr>
          <w:t>Memorandum to the Mental Health Reference Group</w:t>
        </w:r>
        <w:r w:rsidR="00C213D2">
          <w:rPr>
            <w:webHidden/>
          </w:rPr>
          <w:tab/>
        </w:r>
        <w:r w:rsidR="00C213D2">
          <w:rPr>
            <w:webHidden/>
          </w:rPr>
          <w:fldChar w:fldCharType="begin"/>
        </w:r>
        <w:r w:rsidR="00C213D2">
          <w:rPr>
            <w:webHidden/>
          </w:rPr>
          <w:instrText xml:space="preserve"> PAGEREF _Toc531941971 \h </w:instrText>
        </w:r>
        <w:r w:rsidR="00C213D2">
          <w:rPr>
            <w:webHidden/>
          </w:rPr>
        </w:r>
        <w:r w:rsidR="00C213D2">
          <w:rPr>
            <w:webHidden/>
          </w:rPr>
          <w:fldChar w:fldCharType="separate"/>
        </w:r>
        <w:r w:rsidR="00C213D2">
          <w:rPr>
            <w:webHidden/>
          </w:rPr>
          <w:t>79</w:t>
        </w:r>
        <w:r w:rsidR="00C213D2">
          <w:rPr>
            <w:webHidden/>
          </w:rPr>
          <w:fldChar w:fldCharType="end"/>
        </w:r>
      </w:hyperlink>
    </w:p>
    <w:p w14:paraId="17E45ED1" w14:textId="77777777" w:rsidR="00C213D2" w:rsidRDefault="00F62B55">
      <w:pPr>
        <w:pStyle w:val="TOC2"/>
        <w:tabs>
          <w:tab w:val="right" w:leader="dot" w:pos="8302"/>
        </w:tabs>
        <w:rPr>
          <w:rFonts w:eastAsiaTheme="minorEastAsia" w:cstheme="minorBidi"/>
        </w:rPr>
      </w:pPr>
      <w:hyperlink w:anchor="_Toc531941972" w:history="1">
        <w:r w:rsidR="00C213D2" w:rsidRPr="00AE3FC5">
          <w:rPr>
            <w:rStyle w:val="Hyperlink"/>
            <w:rFonts w:eastAsiaTheme="minorBidi"/>
          </w:rPr>
          <w:t>Memorandum to the Principles and Rules Committee</w:t>
        </w:r>
        <w:r w:rsidR="00C213D2">
          <w:rPr>
            <w:webHidden/>
          </w:rPr>
          <w:tab/>
        </w:r>
        <w:r w:rsidR="00C213D2">
          <w:rPr>
            <w:webHidden/>
          </w:rPr>
          <w:fldChar w:fldCharType="begin"/>
        </w:r>
        <w:r w:rsidR="00C213D2">
          <w:rPr>
            <w:webHidden/>
          </w:rPr>
          <w:instrText xml:space="preserve"> PAGEREF _Toc531941972 \h </w:instrText>
        </w:r>
        <w:r w:rsidR="00C213D2">
          <w:rPr>
            <w:webHidden/>
          </w:rPr>
        </w:r>
        <w:r w:rsidR="00C213D2">
          <w:rPr>
            <w:webHidden/>
          </w:rPr>
          <w:fldChar w:fldCharType="separate"/>
        </w:r>
        <w:r w:rsidR="00C213D2">
          <w:rPr>
            <w:webHidden/>
          </w:rPr>
          <w:t>82</w:t>
        </w:r>
        <w:r w:rsidR="00C213D2">
          <w:rPr>
            <w:webHidden/>
          </w:rPr>
          <w:fldChar w:fldCharType="end"/>
        </w:r>
      </w:hyperlink>
    </w:p>
    <w:p w14:paraId="2F162FC0" w14:textId="77777777" w:rsidR="00C213D2" w:rsidRDefault="00F62B55">
      <w:pPr>
        <w:pStyle w:val="TOC1"/>
        <w:rPr>
          <w:rFonts w:eastAsiaTheme="minorEastAsia" w:cstheme="minorBidi"/>
          <w:b w:val="0"/>
        </w:rPr>
      </w:pPr>
      <w:hyperlink w:anchor="_Toc531941973" w:history="1">
        <w:r w:rsidR="00C213D2" w:rsidRPr="00AE3FC5">
          <w:rPr>
            <w:rStyle w:val="Hyperlink"/>
            <w:rFonts w:eastAsiaTheme="minorBidi"/>
          </w:rPr>
          <w:t>Appendix</w:t>
        </w:r>
        <w:r w:rsidR="00C213D2" w:rsidRPr="00AE3FC5">
          <w:rPr>
            <w:rStyle w:val="Hyperlink"/>
          </w:rPr>
          <w:t xml:space="preserve"> E: Summary for consumers</w:t>
        </w:r>
        <w:r w:rsidR="00C213D2">
          <w:rPr>
            <w:webHidden/>
          </w:rPr>
          <w:tab/>
        </w:r>
        <w:r w:rsidR="00C213D2">
          <w:rPr>
            <w:webHidden/>
          </w:rPr>
          <w:fldChar w:fldCharType="begin"/>
        </w:r>
        <w:r w:rsidR="00C213D2">
          <w:rPr>
            <w:webHidden/>
          </w:rPr>
          <w:instrText xml:space="preserve"> PAGEREF _Toc531941973 \h </w:instrText>
        </w:r>
        <w:r w:rsidR="00C213D2">
          <w:rPr>
            <w:webHidden/>
          </w:rPr>
        </w:r>
        <w:r w:rsidR="00C213D2">
          <w:rPr>
            <w:webHidden/>
          </w:rPr>
          <w:fldChar w:fldCharType="separate"/>
        </w:r>
        <w:r w:rsidR="00C213D2">
          <w:rPr>
            <w:webHidden/>
          </w:rPr>
          <w:t>84</w:t>
        </w:r>
        <w:r w:rsidR="00C213D2">
          <w:rPr>
            <w:webHidden/>
          </w:rPr>
          <w:fldChar w:fldCharType="end"/>
        </w:r>
      </w:hyperlink>
    </w:p>
    <w:p w14:paraId="01329898" w14:textId="77777777" w:rsidR="002600AD" w:rsidRPr="00AE5A70" w:rsidRDefault="000D0E4E" w:rsidP="000D0E4E">
      <w:pPr>
        <w:pStyle w:val="TableofFigures"/>
        <w:tabs>
          <w:tab w:val="left" w:pos="1100"/>
          <w:tab w:val="right" w:leader="dot" w:pos="9016"/>
        </w:tabs>
        <w:ind w:left="0" w:hanging="14"/>
        <w:rPr>
          <w:noProof/>
          <w:sz w:val="18"/>
          <w:szCs w:val="18"/>
        </w:rPr>
      </w:pPr>
      <w:r w:rsidRPr="00AE5A70">
        <w:rPr>
          <w:noProof/>
          <w:sz w:val="18"/>
          <w:szCs w:val="18"/>
        </w:rPr>
        <w:fldChar w:fldCharType="end"/>
      </w:r>
    </w:p>
    <w:p w14:paraId="0D14A968" w14:textId="77777777" w:rsidR="00140BB6" w:rsidRPr="009341EF" w:rsidRDefault="002600AD">
      <w:pPr>
        <w:pStyle w:val="TableofFigures"/>
        <w:tabs>
          <w:tab w:val="right" w:leader="dot" w:pos="8302"/>
        </w:tabs>
        <w:rPr>
          <w:rStyle w:val="Hyperlink"/>
          <w:rFonts w:eastAsiaTheme="minorBidi"/>
          <w:b/>
          <w:noProof/>
          <w:color w:val="auto"/>
          <w:sz w:val="22"/>
          <w:szCs w:val="22"/>
          <w:u w:val="none"/>
        </w:rPr>
      </w:pPr>
      <w:r w:rsidRPr="009341EF">
        <w:rPr>
          <w:rStyle w:val="Hyperlink"/>
          <w:rFonts w:eastAsiaTheme="minorBidi"/>
          <w:b/>
          <w:noProof/>
          <w:color w:val="auto"/>
          <w:sz w:val="22"/>
          <w:szCs w:val="22"/>
          <w:u w:val="none"/>
        </w:rPr>
        <w:t>Li</w:t>
      </w:r>
      <w:r w:rsidR="000D0E4E" w:rsidRPr="009341EF">
        <w:rPr>
          <w:rStyle w:val="Hyperlink"/>
          <w:rFonts w:eastAsiaTheme="minorBidi"/>
          <w:b/>
          <w:noProof/>
          <w:color w:val="auto"/>
          <w:sz w:val="22"/>
          <w:szCs w:val="22"/>
          <w:u w:val="none"/>
        </w:rPr>
        <w:t>st of tables</w:t>
      </w:r>
    </w:p>
    <w:p w14:paraId="6CB3B85F" w14:textId="77777777" w:rsidR="00140BB6" w:rsidRPr="00140BB6" w:rsidRDefault="000D0E4E">
      <w:pPr>
        <w:pStyle w:val="TableofFigures"/>
        <w:tabs>
          <w:tab w:val="right" w:leader="dot" w:pos="8302"/>
        </w:tabs>
        <w:rPr>
          <w:rFonts w:eastAsiaTheme="minorEastAsia" w:cstheme="minorBidi"/>
          <w:noProof/>
          <w:sz w:val="22"/>
          <w:szCs w:val="22"/>
        </w:rPr>
      </w:pPr>
      <w:r w:rsidRPr="009341EF">
        <w:rPr>
          <w:rStyle w:val="Hyperlink"/>
          <w:rFonts w:eastAsiaTheme="minorBidi"/>
          <w:b/>
          <w:noProof/>
          <w:sz w:val="22"/>
          <w:szCs w:val="22"/>
        </w:rPr>
        <w:fldChar w:fldCharType="begin"/>
      </w:r>
      <w:r w:rsidRPr="00140BB6">
        <w:rPr>
          <w:rStyle w:val="Hyperlink"/>
          <w:rFonts w:eastAsiaTheme="minorBidi"/>
          <w:b/>
          <w:noProof/>
          <w:sz w:val="22"/>
          <w:szCs w:val="22"/>
        </w:rPr>
        <w:instrText xml:space="preserve"> TOC \h \z \c "Table" </w:instrText>
      </w:r>
      <w:r w:rsidRPr="009341EF">
        <w:rPr>
          <w:rStyle w:val="Hyperlink"/>
          <w:rFonts w:eastAsiaTheme="minorBidi"/>
          <w:b/>
          <w:noProof/>
          <w:sz w:val="22"/>
          <w:szCs w:val="22"/>
        </w:rPr>
        <w:fldChar w:fldCharType="separate"/>
      </w:r>
      <w:hyperlink w:anchor="_Toc530408347" w:history="1">
        <w:r w:rsidR="00140BB6" w:rsidRPr="009341EF">
          <w:rPr>
            <w:rStyle w:val="Hyperlink"/>
            <w:noProof/>
            <w:sz w:val="22"/>
            <w:szCs w:val="22"/>
          </w:rPr>
          <w:t>Table 1: Eating Disorders Working Group members</w:t>
        </w:r>
        <w:r w:rsidR="00140BB6" w:rsidRPr="009341EF">
          <w:rPr>
            <w:noProof/>
            <w:webHidden/>
            <w:sz w:val="22"/>
            <w:szCs w:val="22"/>
          </w:rPr>
          <w:tab/>
        </w:r>
        <w:r w:rsidR="00140BB6" w:rsidRPr="009341EF">
          <w:rPr>
            <w:noProof/>
            <w:webHidden/>
            <w:sz w:val="22"/>
            <w:szCs w:val="22"/>
          </w:rPr>
          <w:fldChar w:fldCharType="begin"/>
        </w:r>
        <w:r w:rsidR="00140BB6" w:rsidRPr="009341EF">
          <w:rPr>
            <w:noProof/>
            <w:webHidden/>
            <w:sz w:val="22"/>
            <w:szCs w:val="22"/>
          </w:rPr>
          <w:instrText xml:space="preserve"> PAGEREF _Toc530408347 \h </w:instrText>
        </w:r>
        <w:r w:rsidR="00140BB6" w:rsidRPr="009341EF">
          <w:rPr>
            <w:noProof/>
            <w:webHidden/>
            <w:sz w:val="22"/>
            <w:szCs w:val="22"/>
          </w:rPr>
        </w:r>
        <w:r w:rsidR="00140BB6" w:rsidRPr="009341EF">
          <w:rPr>
            <w:noProof/>
            <w:webHidden/>
            <w:sz w:val="22"/>
            <w:szCs w:val="22"/>
          </w:rPr>
          <w:fldChar w:fldCharType="separate"/>
        </w:r>
        <w:r w:rsidR="00C213D2">
          <w:rPr>
            <w:noProof/>
            <w:webHidden/>
            <w:sz w:val="22"/>
            <w:szCs w:val="22"/>
          </w:rPr>
          <w:t>2</w:t>
        </w:r>
        <w:r w:rsidR="00140BB6" w:rsidRPr="009341EF">
          <w:rPr>
            <w:noProof/>
            <w:webHidden/>
            <w:sz w:val="22"/>
            <w:szCs w:val="22"/>
          </w:rPr>
          <w:fldChar w:fldCharType="end"/>
        </w:r>
      </w:hyperlink>
    </w:p>
    <w:p w14:paraId="45B505B1" w14:textId="77777777" w:rsidR="00140BB6" w:rsidRDefault="000D0E4E" w:rsidP="002600AD">
      <w:pPr>
        <w:pStyle w:val="TableofFigures"/>
        <w:tabs>
          <w:tab w:val="left" w:pos="1100"/>
          <w:tab w:val="right" w:leader="dot" w:pos="9016"/>
        </w:tabs>
        <w:ind w:left="0" w:firstLine="0"/>
        <w:rPr>
          <w:rStyle w:val="Hyperlink"/>
          <w:rFonts w:eastAsiaTheme="minorBidi"/>
          <w:b/>
          <w:noProof/>
          <w:sz w:val="22"/>
          <w:szCs w:val="22"/>
        </w:rPr>
      </w:pPr>
      <w:r w:rsidRPr="009341EF">
        <w:rPr>
          <w:rStyle w:val="Hyperlink"/>
          <w:rFonts w:eastAsiaTheme="minorBidi"/>
          <w:b/>
          <w:noProof/>
          <w:sz w:val="22"/>
          <w:szCs w:val="22"/>
        </w:rPr>
        <w:fldChar w:fldCharType="end"/>
      </w:r>
    </w:p>
    <w:p w14:paraId="4CA82C32" w14:textId="77777777" w:rsidR="00140BB6" w:rsidRDefault="00140BB6">
      <w:pPr>
        <w:spacing w:before="0" w:after="0" w:line="240" w:lineRule="auto"/>
        <w:rPr>
          <w:rStyle w:val="Hyperlink"/>
          <w:rFonts w:eastAsiaTheme="minorBidi"/>
          <w:b/>
          <w:noProof/>
          <w:szCs w:val="22"/>
        </w:rPr>
      </w:pPr>
      <w:r>
        <w:rPr>
          <w:rStyle w:val="Hyperlink"/>
          <w:rFonts w:eastAsiaTheme="minorBidi"/>
          <w:b/>
          <w:noProof/>
          <w:szCs w:val="22"/>
        </w:rPr>
        <w:br w:type="page"/>
      </w:r>
    </w:p>
    <w:p w14:paraId="6AB44C48" w14:textId="77777777" w:rsidR="000D0E4E" w:rsidRPr="00AE5A70" w:rsidRDefault="000D0E4E" w:rsidP="00E40606">
      <w:pPr>
        <w:pStyle w:val="Heading1"/>
        <w:widowControl w:val="0"/>
        <w:numPr>
          <w:ilvl w:val="0"/>
          <w:numId w:val="5"/>
        </w:numPr>
        <w:pBdr>
          <w:bottom w:val="single" w:sz="16" w:space="11" w:color="BFBFBF"/>
        </w:pBdr>
        <w:autoSpaceDE w:val="0"/>
        <w:autoSpaceDN w:val="0"/>
        <w:adjustRightInd w:val="0"/>
        <w:spacing w:before="0" w:after="0"/>
        <w:ind w:left="567" w:hanging="567"/>
        <w:textAlignment w:val="center"/>
        <w:rPr>
          <w:sz w:val="24"/>
          <w:szCs w:val="24"/>
        </w:rPr>
      </w:pPr>
      <w:bookmarkStart w:id="3" w:name="_Toc530408471"/>
      <w:bookmarkStart w:id="4" w:name="_Toc530408695"/>
      <w:bookmarkStart w:id="5" w:name="_Toc530408472"/>
      <w:bookmarkStart w:id="6" w:name="_Toc530408696"/>
      <w:bookmarkStart w:id="7" w:name="_Toc485295711"/>
      <w:bookmarkStart w:id="8" w:name="_Toc531941911"/>
      <w:bookmarkEnd w:id="1"/>
      <w:bookmarkEnd w:id="3"/>
      <w:bookmarkEnd w:id="4"/>
      <w:bookmarkEnd w:id="5"/>
      <w:bookmarkEnd w:id="6"/>
      <w:r w:rsidRPr="00AE5A70">
        <w:rPr>
          <w:sz w:val="24"/>
          <w:szCs w:val="24"/>
        </w:rPr>
        <w:lastRenderedPageBreak/>
        <w:t>Executive summary</w:t>
      </w:r>
      <w:bookmarkEnd w:id="7"/>
      <w:bookmarkEnd w:id="8"/>
    </w:p>
    <w:p w14:paraId="21DF695C" w14:textId="77777777" w:rsidR="000D0E4E" w:rsidRPr="00AE5A70" w:rsidRDefault="000D0E4E" w:rsidP="00E40606">
      <w:pPr>
        <w:spacing w:before="360" w:after="0" w:line="276" w:lineRule="auto"/>
        <w:rPr>
          <w:rStyle w:val="IntenseEmphasis"/>
          <w:b w:val="0"/>
          <w:i w:val="0"/>
          <w:color w:val="auto"/>
          <w:sz w:val="23"/>
          <w:szCs w:val="23"/>
        </w:rPr>
      </w:pPr>
      <w:r w:rsidRPr="00AE5A70">
        <w:rPr>
          <w:rStyle w:val="IntenseEmphasis"/>
          <w:b w:val="0"/>
          <w:bCs w:val="0"/>
          <w:i w:val="0"/>
          <w:iCs w:val="0"/>
          <w:color w:val="auto"/>
          <w:sz w:val="23"/>
          <w:szCs w:val="23"/>
        </w:rPr>
        <w:t xml:space="preserve">The Medicare Benefits Schedule (MBS) Review Taskforce (the Taskforce) is undertaking a program of work that considers how more than 5,700 items on the MBS can be aligned with contemporary clinical evidence and practice </w:t>
      </w:r>
      <w:r w:rsidR="00927EF1" w:rsidRPr="00AE5A70">
        <w:rPr>
          <w:rStyle w:val="IntenseEmphasis"/>
          <w:b w:val="0"/>
          <w:bCs w:val="0"/>
          <w:i w:val="0"/>
          <w:iCs w:val="0"/>
          <w:color w:val="auto"/>
          <w:sz w:val="23"/>
          <w:szCs w:val="23"/>
        </w:rPr>
        <w:t xml:space="preserve">to </w:t>
      </w:r>
      <w:r w:rsidRPr="00AE5A70">
        <w:rPr>
          <w:rStyle w:val="IntenseEmphasis"/>
          <w:b w:val="0"/>
          <w:bCs w:val="0"/>
          <w:i w:val="0"/>
          <w:iCs w:val="0"/>
          <w:color w:val="auto"/>
          <w:sz w:val="23"/>
          <w:szCs w:val="23"/>
        </w:rPr>
        <w:t>improve health outcomes for patients. The Taskforce will also seek to identify any services that may be unnecessary, outdated or potentially unsafe.</w:t>
      </w:r>
    </w:p>
    <w:p w14:paraId="12D9A3EC" w14:textId="77777777" w:rsidR="000D0E4E" w:rsidRPr="00AE5A70" w:rsidRDefault="000D0E4E" w:rsidP="00E40606">
      <w:pPr>
        <w:spacing w:line="276" w:lineRule="auto"/>
        <w:rPr>
          <w:sz w:val="23"/>
          <w:szCs w:val="23"/>
        </w:rPr>
      </w:pPr>
      <w:r w:rsidRPr="00AE5A70">
        <w:rPr>
          <w:sz w:val="23"/>
          <w:szCs w:val="23"/>
        </w:rPr>
        <w:t>The Taskforce is committed to providing recommendations to the Minister for Health (the Minister) that will allow the MBS to deliver on each of these four key goals:</w:t>
      </w:r>
    </w:p>
    <w:p w14:paraId="427262BC" w14:textId="77777777" w:rsidR="000D0E4E" w:rsidRPr="00AE5A70" w:rsidRDefault="000D0E4E" w:rsidP="00E40606">
      <w:pPr>
        <w:pStyle w:val="ListParagraph"/>
        <w:numPr>
          <w:ilvl w:val="0"/>
          <w:numId w:val="18"/>
        </w:numPr>
        <w:spacing w:line="276" w:lineRule="auto"/>
        <w:rPr>
          <w:sz w:val="23"/>
          <w:szCs w:val="23"/>
        </w:rPr>
      </w:pPr>
      <w:r w:rsidRPr="00AE5A70">
        <w:rPr>
          <w:sz w:val="23"/>
          <w:szCs w:val="23"/>
        </w:rPr>
        <w:t>Affordable and universal access</w:t>
      </w:r>
    </w:p>
    <w:p w14:paraId="3942A382" w14:textId="77777777" w:rsidR="000D0E4E" w:rsidRPr="00AE5A70" w:rsidRDefault="000D0E4E" w:rsidP="00E40606">
      <w:pPr>
        <w:pStyle w:val="ListParagraph"/>
        <w:numPr>
          <w:ilvl w:val="0"/>
          <w:numId w:val="18"/>
        </w:numPr>
        <w:spacing w:line="276" w:lineRule="auto"/>
        <w:rPr>
          <w:sz w:val="23"/>
          <w:szCs w:val="23"/>
        </w:rPr>
      </w:pPr>
      <w:r w:rsidRPr="00AE5A70">
        <w:rPr>
          <w:sz w:val="23"/>
          <w:szCs w:val="23"/>
        </w:rPr>
        <w:t>Best practice health services</w:t>
      </w:r>
    </w:p>
    <w:p w14:paraId="4C878A91" w14:textId="77777777" w:rsidR="000D0E4E" w:rsidRPr="00AE5A70" w:rsidRDefault="000D0E4E" w:rsidP="00E40606">
      <w:pPr>
        <w:pStyle w:val="ListParagraph"/>
        <w:numPr>
          <w:ilvl w:val="0"/>
          <w:numId w:val="18"/>
        </w:numPr>
        <w:spacing w:line="276" w:lineRule="auto"/>
        <w:rPr>
          <w:sz w:val="23"/>
          <w:szCs w:val="23"/>
        </w:rPr>
      </w:pPr>
      <w:r w:rsidRPr="00AE5A70">
        <w:rPr>
          <w:sz w:val="23"/>
          <w:szCs w:val="23"/>
        </w:rPr>
        <w:t>Value for the individual patient</w:t>
      </w:r>
    </w:p>
    <w:p w14:paraId="06DBBC70" w14:textId="77777777" w:rsidR="000D0E4E" w:rsidRPr="00AE5A70" w:rsidRDefault="000D0E4E" w:rsidP="00E40606">
      <w:pPr>
        <w:pStyle w:val="ListParagraph"/>
        <w:numPr>
          <w:ilvl w:val="0"/>
          <w:numId w:val="18"/>
        </w:numPr>
        <w:spacing w:line="276" w:lineRule="auto"/>
        <w:rPr>
          <w:sz w:val="23"/>
          <w:szCs w:val="23"/>
        </w:rPr>
      </w:pPr>
      <w:r w:rsidRPr="00AE5A70">
        <w:rPr>
          <w:sz w:val="23"/>
          <w:szCs w:val="23"/>
        </w:rPr>
        <w:t>Value for the health system.</w:t>
      </w:r>
    </w:p>
    <w:p w14:paraId="36D8CD69" w14:textId="77777777" w:rsidR="000D0E4E" w:rsidRPr="00AE5A70" w:rsidRDefault="000D0E4E" w:rsidP="00E40606">
      <w:pPr>
        <w:spacing w:line="276" w:lineRule="auto"/>
        <w:rPr>
          <w:sz w:val="23"/>
          <w:szCs w:val="23"/>
        </w:rPr>
      </w:pPr>
      <w:r w:rsidRPr="00AE5A70">
        <w:rPr>
          <w:sz w:val="23"/>
          <w:szCs w:val="23"/>
        </w:rPr>
        <w:t>The Taskforce has endorsed a methodology whereby the necessary clinical review of MBS items is undertaken by clinical committees and working groups.</w:t>
      </w:r>
    </w:p>
    <w:p w14:paraId="364CFBE1" w14:textId="77777777" w:rsidR="00407368" w:rsidRPr="00AE5A70" w:rsidRDefault="000D0E4E" w:rsidP="00E40606">
      <w:pPr>
        <w:spacing w:line="276" w:lineRule="auto"/>
        <w:rPr>
          <w:sz w:val="23"/>
          <w:szCs w:val="23"/>
        </w:rPr>
      </w:pPr>
      <w:r w:rsidRPr="00AE5A70">
        <w:rPr>
          <w:sz w:val="23"/>
          <w:szCs w:val="23"/>
        </w:rPr>
        <w:t>The Eating Disorders Working Group (</w:t>
      </w:r>
      <w:r w:rsidR="00324309" w:rsidRPr="00AE5A70">
        <w:rPr>
          <w:sz w:val="23"/>
          <w:szCs w:val="23"/>
        </w:rPr>
        <w:t xml:space="preserve">the </w:t>
      </w:r>
      <w:r w:rsidRPr="00AE5A70">
        <w:rPr>
          <w:sz w:val="23"/>
          <w:szCs w:val="23"/>
        </w:rPr>
        <w:t xml:space="preserve">Working Group) was established in </w:t>
      </w:r>
      <w:r w:rsidR="00580569">
        <w:rPr>
          <w:sz w:val="23"/>
          <w:szCs w:val="23"/>
        </w:rPr>
        <w:t>late 2017</w:t>
      </w:r>
      <w:r w:rsidR="00580569" w:rsidRPr="00AE5A70">
        <w:rPr>
          <w:sz w:val="23"/>
          <w:szCs w:val="23"/>
        </w:rPr>
        <w:t xml:space="preserve"> </w:t>
      </w:r>
      <w:r w:rsidR="7D3D3A8D" w:rsidRPr="00AE5A70">
        <w:rPr>
          <w:sz w:val="23"/>
          <w:szCs w:val="23"/>
        </w:rPr>
        <w:t xml:space="preserve">in response to a request </w:t>
      </w:r>
      <w:r w:rsidR="2D7E9BDC" w:rsidRPr="00AE5A70">
        <w:rPr>
          <w:sz w:val="23"/>
          <w:szCs w:val="23"/>
        </w:rPr>
        <w:t xml:space="preserve">from </w:t>
      </w:r>
      <w:r w:rsidR="00541D0D" w:rsidRPr="00AE5A70">
        <w:rPr>
          <w:sz w:val="23"/>
          <w:szCs w:val="23"/>
        </w:rPr>
        <w:t xml:space="preserve">the </w:t>
      </w:r>
      <w:r w:rsidR="2D7E9BDC" w:rsidRPr="00AE5A70">
        <w:rPr>
          <w:sz w:val="23"/>
          <w:szCs w:val="23"/>
        </w:rPr>
        <w:t>Minister</w:t>
      </w:r>
      <w:r w:rsidR="00541D0D" w:rsidRPr="00AE5A70">
        <w:rPr>
          <w:sz w:val="23"/>
          <w:szCs w:val="23"/>
        </w:rPr>
        <w:t xml:space="preserve"> for Health </w:t>
      </w:r>
      <w:r w:rsidR="35724BCC" w:rsidRPr="00AE5A70">
        <w:rPr>
          <w:sz w:val="23"/>
          <w:szCs w:val="23"/>
        </w:rPr>
        <w:t xml:space="preserve">for the Taskforce to investigate Medicare funding for the treatment needs of </w:t>
      </w:r>
      <w:r w:rsidR="621C8B82" w:rsidRPr="00AE5A70">
        <w:rPr>
          <w:sz w:val="23"/>
          <w:szCs w:val="23"/>
        </w:rPr>
        <w:t xml:space="preserve">Australians with eating disorders. </w:t>
      </w:r>
      <w:r w:rsidR="51DC2E20" w:rsidRPr="00AE5A70">
        <w:rPr>
          <w:sz w:val="23"/>
          <w:szCs w:val="23"/>
        </w:rPr>
        <w:t>T</w:t>
      </w:r>
      <w:r w:rsidR="6683B222" w:rsidRPr="00AE5A70">
        <w:rPr>
          <w:sz w:val="23"/>
          <w:szCs w:val="23"/>
        </w:rPr>
        <w:t>he Working Group was asked to:</w:t>
      </w:r>
    </w:p>
    <w:p w14:paraId="4267AC32" w14:textId="77777777" w:rsidR="6683B222" w:rsidRPr="00AE5A70" w:rsidRDefault="6683B222" w:rsidP="00E40606">
      <w:pPr>
        <w:pStyle w:val="ListParagraph"/>
        <w:numPr>
          <w:ilvl w:val="0"/>
          <w:numId w:val="18"/>
        </w:numPr>
        <w:spacing w:line="276" w:lineRule="auto"/>
        <w:rPr>
          <w:sz w:val="23"/>
          <w:szCs w:val="23"/>
        </w:rPr>
      </w:pPr>
      <w:r w:rsidRPr="00AE5A70">
        <w:rPr>
          <w:sz w:val="23"/>
          <w:szCs w:val="23"/>
        </w:rPr>
        <w:t>Assess whether the current MBS</w:t>
      </w:r>
      <w:r w:rsidR="0570C61E" w:rsidRPr="00AE5A70">
        <w:rPr>
          <w:sz w:val="23"/>
          <w:szCs w:val="23"/>
        </w:rPr>
        <w:t xml:space="preserve"> approaches adequately assist with the treatment needs of people with eating disorders;</w:t>
      </w:r>
    </w:p>
    <w:p w14:paraId="1E45E29E" w14:textId="77777777" w:rsidR="0570C61E" w:rsidRPr="00AE5A70" w:rsidRDefault="0570C61E" w:rsidP="00E40606">
      <w:pPr>
        <w:pStyle w:val="ListParagraph"/>
        <w:numPr>
          <w:ilvl w:val="0"/>
          <w:numId w:val="18"/>
        </w:numPr>
        <w:spacing w:line="276" w:lineRule="auto"/>
        <w:rPr>
          <w:sz w:val="23"/>
          <w:szCs w:val="23"/>
        </w:rPr>
      </w:pPr>
      <w:r w:rsidRPr="00AE5A70">
        <w:rPr>
          <w:sz w:val="23"/>
          <w:szCs w:val="23"/>
        </w:rPr>
        <w:t xml:space="preserve">Consider whether new approaches </w:t>
      </w:r>
      <w:r w:rsidR="65DF0FC6" w:rsidRPr="00AE5A70">
        <w:rPr>
          <w:sz w:val="23"/>
          <w:szCs w:val="23"/>
        </w:rPr>
        <w:t>to th</w:t>
      </w:r>
      <w:r w:rsidR="000D11DF" w:rsidRPr="00AE5A70">
        <w:rPr>
          <w:sz w:val="23"/>
          <w:szCs w:val="23"/>
        </w:rPr>
        <w:t>ese</w:t>
      </w:r>
      <w:r w:rsidR="65DF0FC6" w:rsidRPr="00AE5A70">
        <w:rPr>
          <w:sz w:val="23"/>
          <w:szCs w:val="23"/>
        </w:rPr>
        <w:t xml:space="preserve"> illness</w:t>
      </w:r>
      <w:r w:rsidR="000D11DF" w:rsidRPr="00AE5A70">
        <w:rPr>
          <w:sz w:val="23"/>
          <w:szCs w:val="23"/>
        </w:rPr>
        <w:t>es</w:t>
      </w:r>
      <w:r w:rsidR="65DF0FC6" w:rsidRPr="00AE5A70">
        <w:rPr>
          <w:sz w:val="23"/>
          <w:szCs w:val="23"/>
        </w:rPr>
        <w:t xml:space="preserve"> would be appropriate; and</w:t>
      </w:r>
    </w:p>
    <w:p w14:paraId="7A1382D0" w14:textId="77777777" w:rsidR="65DF0FC6" w:rsidRPr="00AE5A70" w:rsidRDefault="65DF0FC6" w:rsidP="00E40606">
      <w:pPr>
        <w:pStyle w:val="ListParagraph"/>
        <w:numPr>
          <w:ilvl w:val="0"/>
          <w:numId w:val="18"/>
        </w:numPr>
        <w:spacing w:line="276" w:lineRule="auto"/>
        <w:rPr>
          <w:sz w:val="23"/>
          <w:szCs w:val="23"/>
        </w:rPr>
      </w:pPr>
      <w:r w:rsidRPr="00AE5A70">
        <w:rPr>
          <w:sz w:val="23"/>
          <w:szCs w:val="23"/>
        </w:rPr>
        <w:t>Advise on</w:t>
      </w:r>
      <w:r w:rsidR="7E8568DE" w:rsidRPr="00AE5A70">
        <w:rPr>
          <w:sz w:val="23"/>
          <w:szCs w:val="23"/>
        </w:rPr>
        <w:t xml:space="preserve"> how</w:t>
      </w:r>
      <w:r w:rsidRPr="00AE5A70">
        <w:rPr>
          <w:sz w:val="23"/>
          <w:szCs w:val="23"/>
        </w:rPr>
        <w:t xml:space="preserve"> </w:t>
      </w:r>
      <w:r w:rsidR="7E8568DE" w:rsidRPr="00AE5A70">
        <w:rPr>
          <w:sz w:val="23"/>
          <w:szCs w:val="23"/>
        </w:rPr>
        <w:t xml:space="preserve">MBS funded treatment options can be </w:t>
      </w:r>
      <w:r w:rsidRPr="00AE5A70">
        <w:rPr>
          <w:sz w:val="23"/>
          <w:szCs w:val="23"/>
        </w:rPr>
        <w:t>better align</w:t>
      </w:r>
      <w:r w:rsidR="6FDF5C13" w:rsidRPr="00AE5A70">
        <w:rPr>
          <w:sz w:val="23"/>
          <w:szCs w:val="23"/>
        </w:rPr>
        <w:t>ed</w:t>
      </w:r>
      <w:r w:rsidRPr="00AE5A70">
        <w:rPr>
          <w:sz w:val="23"/>
          <w:szCs w:val="23"/>
        </w:rPr>
        <w:t xml:space="preserve"> with natio</w:t>
      </w:r>
      <w:r w:rsidR="33DB7F2C" w:rsidRPr="00AE5A70">
        <w:rPr>
          <w:sz w:val="23"/>
          <w:szCs w:val="23"/>
        </w:rPr>
        <w:t xml:space="preserve">nal standards for </w:t>
      </w:r>
      <w:r w:rsidR="6FDF5C13" w:rsidRPr="00AE5A70">
        <w:rPr>
          <w:sz w:val="23"/>
          <w:szCs w:val="23"/>
        </w:rPr>
        <w:t xml:space="preserve">the </w:t>
      </w:r>
      <w:r w:rsidR="33DB7F2C" w:rsidRPr="00AE5A70">
        <w:rPr>
          <w:sz w:val="23"/>
          <w:szCs w:val="23"/>
        </w:rPr>
        <w:t xml:space="preserve">safe </w:t>
      </w:r>
      <w:r w:rsidR="6B29B3CA" w:rsidRPr="00AE5A70">
        <w:rPr>
          <w:sz w:val="23"/>
          <w:szCs w:val="23"/>
        </w:rPr>
        <w:t xml:space="preserve">and </w:t>
      </w:r>
      <w:r w:rsidR="33DB7F2C" w:rsidRPr="00AE5A70">
        <w:rPr>
          <w:sz w:val="23"/>
          <w:szCs w:val="23"/>
        </w:rPr>
        <w:t xml:space="preserve">integrated treatment of </w:t>
      </w:r>
      <w:r w:rsidR="000D11DF" w:rsidRPr="00AE5A70">
        <w:rPr>
          <w:sz w:val="23"/>
          <w:szCs w:val="23"/>
        </w:rPr>
        <w:t xml:space="preserve">people with </w:t>
      </w:r>
      <w:r w:rsidR="33DB7F2C" w:rsidRPr="00AE5A70">
        <w:rPr>
          <w:sz w:val="23"/>
          <w:szCs w:val="23"/>
        </w:rPr>
        <w:t>eating disorders</w:t>
      </w:r>
      <w:r w:rsidR="00DA2B6F" w:rsidRPr="00AE5A70">
        <w:rPr>
          <w:sz w:val="23"/>
          <w:szCs w:val="23"/>
        </w:rPr>
        <w:t xml:space="preserve"> and meeting best practice standards</w:t>
      </w:r>
      <w:r w:rsidR="33DB7F2C" w:rsidRPr="00AE5A70">
        <w:rPr>
          <w:sz w:val="23"/>
          <w:szCs w:val="23"/>
        </w:rPr>
        <w:t>.</w:t>
      </w:r>
    </w:p>
    <w:p w14:paraId="598E6756" w14:textId="77777777" w:rsidR="00720F07" w:rsidRPr="00AE5A70" w:rsidRDefault="00407368" w:rsidP="00E40606">
      <w:pPr>
        <w:spacing w:line="276" w:lineRule="auto"/>
        <w:rPr>
          <w:sz w:val="23"/>
          <w:szCs w:val="23"/>
        </w:rPr>
      </w:pPr>
      <w:r w:rsidRPr="00AE5A70">
        <w:rPr>
          <w:sz w:val="23"/>
          <w:szCs w:val="23"/>
        </w:rPr>
        <w:t>The Working Group reviewed all aspects of treatment, including the physical, psychological, behavioural, nutritional, occupational and</w:t>
      </w:r>
      <w:r w:rsidR="00AA63B5" w:rsidRPr="00AE5A70">
        <w:rPr>
          <w:sz w:val="23"/>
          <w:szCs w:val="23"/>
        </w:rPr>
        <w:t xml:space="preserve"> </w:t>
      </w:r>
      <w:r w:rsidRPr="00AE5A70">
        <w:rPr>
          <w:sz w:val="23"/>
          <w:szCs w:val="23"/>
        </w:rPr>
        <w:t>social needs of the patient</w:t>
      </w:r>
      <w:r w:rsidR="00541D0D" w:rsidRPr="00AE5A70">
        <w:rPr>
          <w:sz w:val="23"/>
          <w:szCs w:val="23"/>
        </w:rPr>
        <w:t xml:space="preserve">. </w:t>
      </w:r>
      <w:r w:rsidR="00035D52" w:rsidRPr="00AE5A70">
        <w:rPr>
          <w:sz w:val="23"/>
          <w:szCs w:val="23"/>
        </w:rPr>
        <w:t xml:space="preserve">The Working Group </w:t>
      </w:r>
      <w:r w:rsidR="006B0B1F" w:rsidRPr="00AE5A70">
        <w:rPr>
          <w:sz w:val="23"/>
          <w:szCs w:val="23"/>
        </w:rPr>
        <w:t>determined that the recommendations</w:t>
      </w:r>
      <w:r w:rsidR="007F75D5">
        <w:rPr>
          <w:sz w:val="23"/>
          <w:szCs w:val="23"/>
        </w:rPr>
        <w:t xml:space="preserve"> </w:t>
      </w:r>
      <w:r w:rsidR="006B0B1F" w:rsidRPr="00AE5A70">
        <w:rPr>
          <w:sz w:val="23"/>
          <w:szCs w:val="23"/>
        </w:rPr>
        <w:t xml:space="preserve">should be guided by the </w:t>
      </w:r>
      <w:r w:rsidR="00541D0D" w:rsidRPr="00AE5A70">
        <w:rPr>
          <w:sz w:val="23"/>
          <w:szCs w:val="23"/>
        </w:rPr>
        <w:t xml:space="preserve">following </w:t>
      </w:r>
      <w:r w:rsidR="00720F07" w:rsidRPr="00AE5A70">
        <w:rPr>
          <w:sz w:val="23"/>
          <w:szCs w:val="23"/>
        </w:rPr>
        <w:t xml:space="preserve">five core principles: </w:t>
      </w:r>
    </w:p>
    <w:p w14:paraId="471F3F29" w14:textId="77777777" w:rsidR="00720F07" w:rsidRPr="00AE5A70" w:rsidRDefault="007F75D5" w:rsidP="00E40606">
      <w:pPr>
        <w:pStyle w:val="ListParagraph"/>
        <w:numPr>
          <w:ilvl w:val="0"/>
          <w:numId w:val="18"/>
        </w:numPr>
        <w:spacing w:line="276" w:lineRule="auto"/>
        <w:rPr>
          <w:sz w:val="23"/>
          <w:szCs w:val="23"/>
        </w:rPr>
      </w:pPr>
      <w:r>
        <w:rPr>
          <w:sz w:val="23"/>
          <w:szCs w:val="23"/>
        </w:rPr>
        <w:t>The need to fund e</w:t>
      </w:r>
      <w:r w:rsidR="00720F07" w:rsidRPr="00AE5A70">
        <w:rPr>
          <w:sz w:val="23"/>
          <w:szCs w:val="23"/>
        </w:rPr>
        <w:t>ffective services that are inf</w:t>
      </w:r>
      <w:r>
        <w:rPr>
          <w:sz w:val="23"/>
          <w:szCs w:val="23"/>
        </w:rPr>
        <w:t xml:space="preserve">ormed by evidence from research, </w:t>
      </w:r>
      <w:r w:rsidR="00720F07" w:rsidRPr="00AE5A70">
        <w:rPr>
          <w:sz w:val="23"/>
          <w:szCs w:val="23"/>
        </w:rPr>
        <w:t>consensus expert opinion and the</w:t>
      </w:r>
      <w:r w:rsidR="00927EF1" w:rsidRPr="00AE5A70">
        <w:rPr>
          <w:sz w:val="23"/>
          <w:szCs w:val="23"/>
        </w:rPr>
        <w:t xml:space="preserve"> </w:t>
      </w:r>
      <w:r w:rsidR="00720F07" w:rsidRPr="00AE5A70">
        <w:rPr>
          <w:sz w:val="23"/>
          <w:szCs w:val="23"/>
        </w:rPr>
        <w:t>experience of the Working Group;</w:t>
      </w:r>
    </w:p>
    <w:p w14:paraId="14C6D779" w14:textId="77777777" w:rsidR="00720F07" w:rsidRPr="00AE5A70" w:rsidRDefault="007F75D5" w:rsidP="00E40606">
      <w:pPr>
        <w:pStyle w:val="ListParagraph"/>
        <w:numPr>
          <w:ilvl w:val="0"/>
          <w:numId w:val="18"/>
        </w:numPr>
        <w:spacing w:line="276" w:lineRule="auto"/>
        <w:rPr>
          <w:sz w:val="23"/>
          <w:szCs w:val="23"/>
        </w:rPr>
      </w:pPr>
      <w:r>
        <w:rPr>
          <w:sz w:val="23"/>
          <w:szCs w:val="23"/>
        </w:rPr>
        <w:t>Services should be delivered</w:t>
      </w:r>
      <w:r w:rsidR="00720F07" w:rsidRPr="00AE5A70">
        <w:rPr>
          <w:sz w:val="23"/>
          <w:szCs w:val="23"/>
        </w:rPr>
        <w:t xml:space="preserve"> by a skilled health workforce with the requisite knowledge and experience to identify, assess and contribute to the treatment of eating disorders;</w:t>
      </w:r>
    </w:p>
    <w:p w14:paraId="2B44ECB0" w14:textId="77777777" w:rsidR="00720F07" w:rsidRPr="00AE5A70" w:rsidRDefault="00720F07" w:rsidP="00E40606">
      <w:pPr>
        <w:pStyle w:val="ListParagraph"/>
        <w:numPr>
          <w:ilvl w:val="0"/>
          <w:numId w:val="18"/>
        </w:numPr>
        <w:spacing w:line="276" w:lineRule="auto"/>
        <w:rPr>
          <w:sz w:val="23"/>
          <w:szCs w:val="23"/>
        </w:rPr>
      </w:pPr>
      <w:r w:rsidRPr="00AE5A70">
        <w:rPr>
          <w:sz w:val="23"/>
          <w:szCs w:val="23"/>
        </w:rPr>
        <w:t xml:space="preserve">Services </w:t>
      </w:r>
      <w:r w:rsidR="007F75D5">
        <w:rPr>
          <w:sz w:val="23"/>
          <w:szCs w:val="23"/>
        </w:rPr>
        <w:t>should be</w:t>
      </w:r>
      <w:r w:rsidRPr="00AE5A70">
        <w:rPr>
          <w:sz w:val="23"/>
          <w:szCs w:val="23"/>
        </w:rPr>
        <w:t xml:space="preserve"> accessible when and where they are needed</w:t>
      </w:r>
      <w:r w:rsidR="000D11DF" w:rsidRPr="00AE5A70">
        <w:rPr>
          <w:sz w:val="23"/>
          <w:szCs w:val="23"/>
        </w:rPr>
        <w:t>,</w:t>
      </w:r>
      <w:r w:rsidR="007F75D5">
        <w:rPr>
          <w:sz w:val="23"/>
          <w:szCs w:val="23"/>
        </w:rPr>
        <w:t xml:space="preserve"> and should</w:t>
      </w:r>
      <w:r w:rsidR="00541D0D" w:rsidRPr="00AE5A70">
        <w:rPr>
          <w:sz w:val="23"/>
          <w:szCs w:val="23"/>
        </w:rPr>
        <w:t xml:space="preserve"> also support</w:t>
      </w:r>
      <w:r w:rsidR="00236484" w:rsidRPr="00AE5A70">
        <w:rPr>
          <w:sz w:val="23"/>
          <w:szCs w:val="23"/>
        </w:rPr>
        <w:t xml:space="preserve"> the</w:t>
      </w:r>
      <w:r w:rsidR="00541D0D" w:rsidRPr="00AE5A70">
        <w:rPr>
          <w:sz w:val="23"/>
          <w:szCs w:val="23"/>
        </w:rPr>
        <w:t xml:space="preserve"> </w:t>
      </w:r>
      <w:r w:rsidRPr="00AE5A70">
        <w:rPr>
          <w:sz w:val="23"/>
          <w:szCs w:val="23"/>
        </w:rPr>
        <w:t>prevention</w:t>
      </w:r>
      <w:r w:rsidR="00541D0D" w:rsidRPr="00AE5A70">
        <w:rPr>
          <w:sz w:val="23"/>
          <w:szCs w:val="23"/>
        </w:rPr>
        <w:t>,</w:t>
      </w:r>
      <w:r w:rsidRPr="00AE5A70">
        <w:rPr>
          <w:sz w:val="23"/>
          <w:szCs w:val="23"/>
        </w:rPr>
        <w:t xml:space="preserve"> identification, </w:t>
      </w:r>
      <w:r w:rsidR="009400B8">
        <w:rPr>
          <w:sz w:val="23"/>
          <w:szCs w:val="23"/>
        </w:rPr>
        <w:t>timely</w:t>
      </w:r>
      <w:r w:rsidRPr="00AE5A70">
        <w:rPr>
          <w:sz w:val="23"/>
          <w:szCs w:val="23"/>
        </w:rPr>
        <w:t xml:space="preserve"> intervention </w:t>
      </w:r>
      <w:r w:rsidR="00541D0D" w:rsidRPr="00AE5A70">
        <w:rPr>
          <w:sz w:val="23"/>
          <w:szCs w:val="23"/>
        </w:rPr>
        <w:t xml:space="preserve">as well as </w:t>
      </w:r>
      <w:r w:rsidRPr="00AE5A70">
        <w:rPr>
          <w:sz w:val="23"/>
          <w:szCs w:val="23"/>
        </w:rPr>
        <w:t>treatment</w:t>
      </w:r>
      <w:r w:rsidR="00236484" w:rsidRPr="00AE5A70">
        <w:rPr>
          <w:sz w:val="23"/>
          <w:szCs w:val="23"/>
        </w:rPr>
        <w:t xml:space="preserve"> of eating disorders</w:t>
      </w:r>
      <w:r w:rsidRPr="00AE5A70">
        <w:rPr>
          <w:sz w:val="23"/>
          <w:szCs w:val="23"/>
        </w:rPr>
        <w:t>;</w:t>
      </w:r>
    </w:p>
    <w:p w14:paraId="0E38EA77" w14:textId="77777777" w:rsidR="00720F07" w:rsidRPr="00AE5A70" w:rsidRDefault="007F75D5" w:rsidP="00E40606">
      <w:pPr>
        <w:pStyle w:val="ListParagraph"/>
        <w:numPr>
          <w:ilvl w:val="0"/>
          <w:numId w:val="18"/>
        </w:numPr>
        <w:spacing w:line="276" w:lineRule="auto"/>
        <w:rPr>
          <w:sz w:val="23"/>
          <w:szCs w:val="23"/>
        </w:rPr>
      </w:pPr>
      <w:r>
        <w:rPr>
          <w:sz w:val="23"/>
          <w:szCs w:val="23"/>
        </w:rPr>
        <w:lastRenderedPageBreak/>
        <w:t>There is a need to support c</w:t>
      </w:r>
      <w:r w:rsidR="00720F07" w:rsidRPr="00AE5A70">
        <w:rPr>
          <w:sz w:val="23"/>
          <w:szCs w:val="23"/>
        </w:rPr>
        <w:t>ollaborative systems that enable integrated team care between medical</w:t>
      </w:r>
      <w:r w:rsidR="004C21C8" w:rsidRPr="00AE5A70">
        <w:rPr>
          <w:sz w:val="23"/>
          <w:szCs w:val="23"/>
        </w:rPr>
        <w:t>,</w:t>
      </w:r>
      <w:r w:rsidR="00720F07" w:rsidRPr="00AE5A70">
        <w:rPr>
          <w:sz w:val="23"/>
          <w:szCs w:val="23"/>
        </w:rPr>
        <w:t xml:space="preserve"> nursing, allied health and mental health professionals</w:t>
      </w:r>
      <w:r w:rsidR="00541D0D" w:rsidRPr="00AE5A70">
        <w:rPr>
          <w:sz w:val="23"/>
          <w:szCs w:val="23"/>
        </w:rPr>
        <w:t>,</w:t>
      </w:r>
      <w:r w:rsidR="00720F07" w:rsidRPr="00AE5A70">
        <w:rPr>
          <w:sz w:val="23"/>
          <w:szCs w:val="23"/>
        </w:rPr>
        <w:t xml:space="preserve"> and integration across primary, secondary and tertiary treatment; and</w:t>
      </w:r>
    </w:p>
    <w:p w14:paraId="3887987E" w14:textId="77777777" w:rsidR="009E1DC3" w:rsidRPr="00AE5A70" w:rsidRDefault="007F75D5" w:rsidP="009E1DC3">
      <w:pPr>
        <w:pStyle w:val="ListParagraph"/>
        <w:numPr>
          <w:ilvl w:val="0"/>
          <w:numId w:val="18"/>
        </w:numPr>
        <w:rPr>
          <w:rFonts w:asciiTheme="minorBidi" w:eastAsiaTheme="minorBidi" w:hAnsiTheme="minorBidi" w:cstheme="minorBidi"/>
          <w:sz w:val="23"/>
          <w:szCs w:val="23"/>
        </w:rPr>
      </w:pPr>
      <w:r>
        <w:rPr>
          <w:rFonts w:ascii="Calibri" w:eastAsia="Calibri" w:hAnsi="Calibri" w:cs="Calibri"/>
          <w:sz w:val="23"/>
          <w:szCs w:val="23"/>
        </w:rPr>
        <w:t>There is a need to s</w:t>
      </w:r>
      <w:r w:rsidR="009E1DC3" w:rsidRPr="00AE5A70">
        <w:rPr>
          <w:rFonts w:ascii="Calibri" w:eastAsia="Calibri" w:hAnsi="Calibri" w:cs="Calibri"/>
          <w:sz w:val="23"/>
          <w:szCs w:val="23"/>
        </w:rPr>
        <w:t>upport families and carers as they are integral members of the treatment team.</w:t>
      </w:r>
      <w:r w:rsidR="007A79BD">
        <w:rPr>
          <w:rFonts w:ascii="Calibri" w:eastAsia="Calibri" w:hAnsi="Calibri" w:cs="Calibri"/>
          <w:sz w:val="23"/>
          <w:szCs w:val="23"/>
        </w:rPr>
        <w:t xml:space="preserve"> </w:t>
      </w:r>
    </w:p>
    <w:p w14:paraId="44F1FBA1" w14:textId="77777777" w:rsidR="7142A484" w:rsidRPr="00AE5A70" w:rsidRDefault="0002286A" w:rsidP="00E40606">
      <w:pPr>
        <w:spacing w:line="276" w:lineRule="auto"/>
        <w:rPr>
          <w:sz w:val="23"/>
          <w:szCs w:val="23"/>
        </w:rPr>
      </w:pPr>
      <w:r w:rsidRPr="00AE5A70">
        <w:rPr>
          <w:sz w:val="23"/>
          <w:szCs w:val="23"/>
        </w:rPr>
        <w:t>These principle</w:t>
      </w:r>
      <w:r w:rsidR="00407368" w:rsidRPr="00AE5A70">
        <w:rPr>
          <w:sz w:val="23"/>
          <w:szCs w:val="23"/>
        </w:rPr>
        <w:t>s were based upon</w:t>
      </w:r>
      <w:r w:rsidR="00207C83" w:rsidRPr="00AE5A70">
        <w:rPr>
          <w:sz w:val="23"/>
          <w:szCs w:val="23"/>
        </w:rPr>
        <w:t xml:space="preserve"> a</w:t>
      </w:r>
      <w:r w:rsidR="3E0B5236" w:rsidRPr="00AE5A70">
        <w:rPr>
          <w:sz w:val="23"/>
          <w:szCs w:val="23"/>
        </w:rPr>
        <w:t xml:space="preserve">n </w:t>
      </w:r>
      <w:r w:rsidR="00407368" w:rsidRPr="00AE5A70">
        <w:rPr>
          <w:sz w:val="23"/>
          <w:szCs w:val="23"/>
        </w:rPr>
        <w:t xml:space="preserve">evidence review </w:t>
      </w:r>
      <w:r w:rsidRPr="00AE5A70">
        <w:rPr>
          <w:sz w:val="23"/>
          <w:szCs w:val="23"/>
        </w:rPr>
        <w:t>conducted by the Working Group</w:t>
      </w:r>
      <w:r w:rsidR="008403DD">
        <w:rPr>
          <w:sz w:val="23"/>
          <w:szCs w:val="23"/>
        </w:rPr>
        <w:t xml:space="preserve">, </w:t>
      </w:r>
      <w:r w:rsidR="00207C83" w:rsidRPr="00AE5A70">
        <w:rPr>
          <w:sz w:val="23"/>
          <w:szCs w:val="23"/>
        </w:rPr>
        <w:t xml:space="preserve">their </w:t>
      </w:r>
      <w:r w:rsidR="00407368" w:rsidRPr="00AE5A70">
        <w:rPr>
          <w:sz w:val="23"/>
          <w:szCs w:val="23"/>
        </w:rPr>
        <w:t>clinical expertise</w:t>
      </w:r>
      <w:r w:rsidR="008403DD">
        <w:rPr>
          <w:sz w:val="23"/>
          <w:szCs w:val="23"/>
        </w:rPr>
        <w:t xml:space="preserve"> and lived experience</w:t>
      </w:r>
      <w:r w:rsidR="00B777AE" w:rsidRPr="00AE5A70">
        <w:rPr>
          <w:sz w:val="23"/>
          <w:szCs w:val="23"/>
        </w:rPr>
        <w:t xml:space="preserve">. </w:t>
      </w:r>
      <w:r w:rsidR="7142A484" w:rsidRPr="00AE5A70">
        <w:rPr>
          <w:sz w:val="23"/>
          <w:szCs w:val="23"/>
        </w:rPr>
        <w:t>In addressing the five principles the Working Group believe the recommendations and rationale</w:t>
      </w:r>
      <w:r w:rsidR="00B76F5B" w:rsidRPr="00AE5A70">
        <w:rPr>
          <w:sz w:val="23"/>
          <w:szCs w:val="23"/>
        </w:rPr>
        <w:t xml:space="preserve"> in this report</w:t>
      </w:r>
      <w:r w:rsidR="7142A484" w:rsidRPr="00AE5A70">
        <w:rPr>
          <w:sz w:val="23"/>
          <w:szCs w:val="23"/>
        </w:rPr>
        <w:t xml:space="preserve"> effectively address the concerns</w:t>
      </w:r>
      <w:r w:rsidR="0057211F" w:rsidRPr="00AE5A70">
        <w:rPr>
          <w:sz w:val="23"/>
          <w:szCs w:val="23"/>
        </w:rPr>
        <w:t xml:space="preserve"> of the Minister</w:t>
      </w:r>
      <w:r w:rsidR="7142A484" w:rsidRPr="00AE5A70">
        <w:rPr>
          <w:sz w:val="23"/>
          <w:szCs w:val="23"/>
        </w:rPr>
        <w:t>, whilst also putting forward a comprehensive, coordinated approach for the treatment of Australians with eating disorders</w:t>
      </w:r>
      <w:r w:rsidR="0057211F" w:rsidRPr="00AE5A70">
        <w:rPr>
          <w:sz w:val="23"/>
          <w:szCs w:val="23"/>
        </w:rPr>
        <w:t>,</w:t>
      </w:r>
      <w:r w:rsidR="7142A484" w:rsidRPr="00AE5A70">
        <w:rPr>
          <w:sz w:val="23"/>
          <w:szCs w:val="23"/>
        </w:rPr>
        <w:t xml:space="preserve"> delivered through the MBS</w:t>
      </w:r>
      <w:r w:rsidR="00541D0D" w:rsidRPr="00AE5A70">
        <w:rPr>
          <w:sz w:val="23"/>
          <w:szCs w:val="23"/>
        </w:rPr>
        <w:t>.</w:t>
      </w:r>
    </w:p>
    <w:p w14:paraId="124F31DF" w14:textId="77777777" w:rsidR="001D33CB" w:rsidRPr="00AE5A70" w:rsidRDefault="001D33CB" w:rsidP="001D33CB">
      <w:pPr>
        <w:rPr>
          <w:sz w:val="23"/>
          <w:szCs w:val="23"/>
        </w:rPr>
      </w:pPr>
      <w:r w:rsidRPr="008A19D9">
        <w:rPr>
          <w:sz w:val="23"/>
          <w:szCs w:val="23"/>
        </w:rPr>
        <w:t xml:space="preserve">The Working Group acknowledges that </w:t>
      </w:r>
      <w:r>
        <w:rPr>
          <w:sz w:val="23"/>
          <w:szCs w:val="23"/>
        </w:rPr>
        <w:t xml:space="preserve">the </w:t>
      </w:r>
      <w:r w:rsidRPr="008A19D9">
        <w:rPr>
          <w:sz w:val="23"/>
          <w:szCs w:val="23"/>
        </w:rPr>
        <w:t xml:space="preserve">current MBS items and infrastructure adequately meet the treatment needs of most patients with </w:t>
      </w:r>
      <w:r>
        <w:rPr>
          <w:sz w:val="23"/>
          <w:szCs w:val="23"/>
        </w:rPr>
        <w:t>subclinical presentations of disordered eating and some patien</w:t>
      </w:r>
      <w:r w:rsidR="008403DD">
        <w:rPr>
          <w:sz w:val="23"/>
          <w:szCs w:val="23"/>
        </w:rPr>
        <w:t>ts whose condition was detected</w:t>
      </w:r>
      <w:r w:rsidR="009400B8">
        <w:rPr>
          <w:sz w:val="23"/>
          <w:szCs w:val="23"/>
        </w:rPr>
        <w:t xml:space="preserve"> in the initial stages of the disorder</w:t>
      </w:r>
      <w:r>
        <w:rPr>
          <w:sz w:val="23"/>
          <w:szCs w:val="23"/>
        </w:rPr>
        <w:t>. For these patients, the Better Access initiative provides a good foundation for treatment.</w:t>
      </w:r>
    </w:p>
    <w:p w14:paraId="0338FE73" w14:textId="77777777" w:rsidR="00AF2104" w:rsidRDefault="001D33CB" w:rsidP="001D33CB">
      <w:pPr>
        <w:rPr>
          <w:sz w:val="23"/>
          <w:szCs w:val="23"/>
        </w:rPr>
      </w:pPr>
      <w:r w:rsidRPr="00AE5A70">
        <w:rPr>
          <w:sz w:val="23"/>
          <w:szCs w:val="23"/>
        </w:rPr>
        <w:t>The Working Group were of the opinion that the needs of</w:t>
      </w:r>
      <w:r>
        <w:rPr>
          <w:sz w:val="23"/>
          <w:szCs w:val="23"/>
        </w:rPr>
        <w:t xml:space="preserve"> </w:t>
      </w:r>
      <w:r w:rsidRPr="009341EF">
        <w:rPr>
          <w:sz w:val="23"/>
          <w:szCs w:val="23"/>
        </w:rPr>
        <w:t>all patients</w:t>
      </w:r>
      <w:r>
        <w:rPr>
          <w:sz w:val="23"/>
          <w:szCs w:val="23"/>
        </w:rPr>
        <w:t xml:space="preserve"> with</w:t>
      </w:r>
      <w:r w:rsidRPr="00AE5A70">
        <w:rPr>
          <w:sz w:val="23"/>
          <w:szCs w:val="23"/>
        </w:rPr>
        <w:t xml:space="preserve"> </w:t>
      </w:r>
      <w:r>
        <w:rPr>
          <w:sz w:val="23"/>
          <w:szCs w:val="23"/>
        </w:rPr>
        <w:t>ea</w:t>
      </w:r>
      <w:r w:rsidRPr="00AE5A70">
        <w:rPr>
          <w:sz w:val="23"/>
          <w:szCs w:val="23"/>
        </w:rPr>
        <w:t xml:space="preserve">ting disorders </w:t>
      </w:r>
      <w:r>
        <w:rPr>
          <w:sz w:val="23"/>
          <w:szCs w:val="23"/>
        </w:rPr>
        <w:t>would</w:t>
      </w:r>
      <w:r w:rsidRPr="00AE5A70">
        <w:rPr>
          <w:sz w:val="23"/>
          <w:szCs w:val="23"/>
        </w:rPr>
        <w:t xml:space="preserve"> be better served through the MBS by facilitating greater access to psychological and dietetic services</w:t>
      </w:r>
      <w:r>
        <w:rPr>
          <w:sz w:val="23"/>
          <w:szCs w:val="23"/>
        </w:rPr>
        <w:t xml:space="preserve">. The evidence </w:t>
      </w:r>
      <w:r w:rsidR="003704C8">
        <w:rPr>
          <w:sz w:val="23"/>
          <w:szCs w:val="23"/>
        </w:rPr>
        <w:t>supports a</w:t>
      </w:r>
      <w:r>
        <w:rPr>
          <w:sz w:val="23"/>
          <w:szCs w:val="23"/>
        </w:rPr>
        <w:t xml:space="preserve">n expansion of the MBS arrangements to provide for </w:t>
      </w:r>
      <w:r w:rsidR="00AF2104">
        <w:rPr>
          <w:sz w:val="23"/>
          <w:szCs w:val="23"/>
        </w:rPr>
        <w:t>a comprehensive</w:t>
      </w:r>
      <w:r>
        <w:rPr>
          <w:sz w:val="23"/>
          <w:szCs w:val="23"/>
        </w:rPr>
        <w:t xml:space="preserve"> </w:t>
      </w:r>
      <w:r w:rsidR="00AF2104">
        <w:rPr>
          <w:sz w:val="23"/>
          <w:szCs w:val="23"/>
        </w:rPr>
        <w:t>stepped model of care.  A comprehensive stepped model would provide care</w:t>
      </w:r>
      <w:r>
        <w:rPr>
          <w:sz w:val="23"/>
          <w:szCs w:val="23"/>
        </w:rPr>
        <w:t xml:space="preserve"> </w:t>
      </w:r>
      <w:r w:rsidR="00AF2104">
        <w:rPr>
          <w:sz w:val="23"/>
          <w:szCs w:val="23"/>
        </w:rPr>
        <w:t>tailored to the patients’ needs different levels of intensity</w:t>
      </w:r>
      <w:r>
        <w:rPr>
          <w:sz w:val="23"/>
          <w:szCs w:val="23"/>
        </w:rPr>
        <w:t xml:space="preserve">, </w:t>
      </w:r>
      <w:r w:rsidR="003704C8">
        <w:rPr>
          <w:sz w:val="23"/>
          <w:szCs w:val="23"/>
        </w:rPr>
        <w:t>starting</w:t>
      </w:r>
      <w:r>
        <w:rPr>
          <w:sz w:val="23"/>
          <w:szCs w:val="23"/>
        </w:rPr>
        <w:t xml:space="preserve"> at 10 </w:t>
      </w:r>
      <w:r w:rsidR="003704C8">
        <w:rPr>
          <w:sz w:val="23"/>
          <w:szCs w:val="23"/>
        </w:rPr>
        <w:t xml:space="preserve">psychological </w:t>
      </w:r>
      <w:r>
        <w:rPr>
          <w:sz w:val="23"/>
          <w:szCs w:val="23"/>
        </w:rPr>
        <w:t>s</w:t>
      </w:r>
      <w:r w:rsidR="003704C8">
        <w:rPr>
          <w:sz w:val="23"/>
          <w:szCs w:val="23"/>
        </w:rPr>
        <w:t>ervices and 5 dietetic services</w:t>
      </w:r>
      <w:r w:rsidR="00AF2104">
        <w:rPr>
          <w:sz w:val="23"/>
          <w:szCs w:val="23"/>
        </w:rPr>
        <w:t xml:space="preserve"> which would incrementally ‘step</w:t>
      </w:r>
      <w:r>
        <w:rPr>
          <w:sz w:val="23"/>
          <w:szCs w:val="23"/>
        </w:rPr>
        <w:t xml:space="preserve"> up’ to </w:t>
      </w:r>
      <w:r w:rsidR="003704C8">
        <w:rPr>
          <w:sz w:val="23"/>
          <w:szCs w:val="23"/>
        </w:rPr>
        <w:t xml:space="preserve">maximum of </w:t>
      </w:r>
      <w:r>
        <w:rPr>
          <w:sz w:val="23"/>
          <w:szCs w:val="23"/>
        </w:rPr>
        <w:t xml:space="preserve">40 psychological services and 20 dietetic services </w:t>
      </w:r>
      <w:r w:rsidR="003704C8">
        <w:rPr>
          <w:sz w:val="23"/>
          <w:szCs w:val="23"/>
        </w:rPr>
        <w:t>if required.</w:t>
      </w:r>
      <w:r>
        <w:rPr>
          <w:sz w:val="23"/>
          <w:szCs w:val="23"/>
        </w:rPr>
        <w:t xml:space="preserve"> The Working Group acknowledges that this is a very significant refor</w:t>
      </w:r>
      <w:r w:rsidR="003704C8">
        <w:rPr>
          <w:sz w:val="23"/>
          <w:szCs w:val="23"/>
        </w:rPr>
        <w:t>m to the MBS arrangements, which may not be able to be implemented at this time</w:t>
      </w:r>
      <w:r w:rsidR="00AF2104">
        <w:rPr>
          <w:sz w:val="23"/>
          <w:szCs w:val="23"/>
        </w:rPr>
        <w:t>.</w:t>
      </w:r>
    </w:p>
    <w:p w14:paraId="3C862B5D" w14:textId="77777777" w:rsidR="001D33CB" w:rsidRDefault="00AF2104" w:rsidP="001D33CB">
      <w:pPr>
        <w:rPr>
          <w:sz w:val="23"/>
          <w:szCs w:val="23"/>
        </w:rPr>
      </w:pPr>
      <w:r>
        <w:rPr>
          <w:sz w:val="23"/>
          <w:szCs w:val="23"/>
        </w:rPr>
        <w:t xml:space="preserve">It is recognised </w:t>
      </w:r>
      <w:r w:rsidR="003704C8">
        <w:rPr>
          <w:sz w:val="23"/>
          <w:szCs w:val="23"/>
        </w:rPr>
        <w:t xml:space="preserve">there is a need to take a pragmatic approach to such an expansion </w:t>
      </w:r>
      <w:r>
        <w:rPr>
          <w:sz w:val="23"/>
          <w:szCs w:val="23"/>
        </w:rPr>
        <w:t>of the MBS arrangements and a phased approach may be appropriate.</w:t>
      </w:r>
      <w:r w:rsidR="003704C8">
        <w:rPr>
          <w:sz w:val="23"/>
          <w:szCs w:val="23"/>
        </w:rPr>
        <w:t xml:space="preserve"> </w:t>
      </w:r>
      <w:r w:rsidR="001D33CB">
        <w:rPr>
          <w:sz w:val="23"/>
          <w:szCs w:val="23"/>
        </w:rPr>
        <w:t xml:space="preserve"> </w:t>
      </w:r>
      <w:r>
        <w:rPr>
          <w:sz w:val="23"/>
          <w:szCs w:val="23"/>
        </w:rPr>
        <w:t>As such</w:t>
      </w:r>
      <w:r w:rsidR="001D33CB" w:rsidRPr="008A19D9">
        <w:rPr>
          <w:sz w:val="23"/>
          <w:szCs w:val="23"/>
        </w:rPr>
        <w:t xml:space="preserve">, the Working Group recommends that a comprehensive </w:t>
      </w:r>
      <w:r w:rsidR="003704C8">
        <w:rPr>
          <w:sz w:val="23"/>
          <w:szCs w:val="23"/>
        </w:rPr>
        <w:t xml:space="preserve">stepped </w:t>
      </w:r>
      <w:r w:rsidR="001D33CB" w:rsidRPr="008A19D9">
        <w:rPr>
          <w:sz w:val="23"/>
          <w:szCs w:val="23"/>
        </w:rPr>
        <w:t>model of care be trialled within the MBS for those patients for whom the service deficit under</w:t>
      </w:r>
      <w:r w:rsidR="00856174">
        <w:rPr>
          <w:sz w:val="23"/>
          <w:szCs w:val="23"/>
        </w:rPr>
        <w:t xml:space="preserve"> the current MBS arrangements is</w:t>
      </w:r>
      <w:r w:rsidR="001D33CB" w:rsidRPr="008A19D9">
        <w:rPr>
          <w:sz w:val="23"/>
          <w:szCs w:val="23"/>
        </w:rPr>
        <w:t xml:space="preserve"> the greatest – that is those patients with anorexia nervosa and those patients with</w:t>
      </w:r>
      <w:r>
        <w:rPr>
          <w:sz w:val="23"/>
          <w:szCs w:val="23"/>
        </w:rPr>
        <w:t xml:space="preserve"> bulimia nervosa</w:t>
      </w:r>
      <w:r w:rsidR="001D33CB" w:rsidRPr="008A19D9">
        <w:rPr>
          <w:sz w:val="23"/>
          <w:szCs w:val="23"/>
        </w:rPr>
        <w:t>,</w:t>
      </w:r>
      <w:r>
        <w:rPr>
          <w:sz w:val="23"/>
          <w:szCs w:val="23"/>
        </w:rPr>
        <w:t xml:space="preserve"> binge-eating disorder and other specified feeding and eating disorders </w:t>
      </w:r>
      <w:r w:rsidR="001D33CB" w:rsidRPr="008A19D9">
        <w:rPr>
          <w:sz w:val="23"/>
          <w:szCs w:val="23"/>
        </w:rPr>
        <w:t xml:space="preserve"> who have not responded to treatmen</w:t>
      </w:r>
      <w:r>
        <w:rPr>
          <w:sz w:val="23"/>
          <w:szCs w:val="23"/>
        </w:rPr>
        <w:t xml:space="preserve">t at a lower level of intensity, </w:t>
      </w:r>
      <w:r w:rsidRPr="008A19D9">
        <w:rPr>
          <w:sz w:val="23"/>
          <w:szCs w:val="23"/>
        </w:rPr>
        <w:t xml:space="preserve">who have complex needs </w:t>
      </w:r>
      <w:r w:rsidR="001D33CB" w:rsidRPr="008A19D9">
        <w:rPr>
          <w:sz w:val="23"/>
          <w:szCs w:val="23"/>
        </w:rPr>
        <w:t xml:space="preserve">and are assessed as ‘high-risk’ of serious medical and psychological complications. </w:t>
      </w:r>
      <w:r w:rsidR="001D33CB" w:rsidRPr="00AE5A70">
        <w:rPr>
          <w:sz w:val="23"/>
          <w:szCs w:val="23"/>
        </w:rPr>
        <w:t xml:space="preserve">This cohort has been identified as a </w:t>
      </w:r>
      <w:r w:rsidR="001D33CB">
        <w:rPr>
          <w:sz w:val="23"/>
          <w:szCs w:val="23"/>
        </w:rPr>
        <w:t>g</w:t>
      </w:r>
      <w:r w:rsidR="001D33CB" w:rsidRPr="00AE5A70">
        <w:rPr>
          <w:sz w:val="23"/>
          <w:szCs w:val="23"/>
        </w:rPr>
        <w:t xml:space="preserve">roup considered as most at-risk due to the likelihood of repeat hospitalisation, disease chronicity and potential mortality. </w:t>
      </w:r>
      <w:r w:rsidR="001D33CB">
        <w:rPr>
          <w:sz w:val="23"/>
          <w:szCs w:val="23"/>
        </w:rPr>
        <w:t>This would allow the delivery of evidence based care for these patients and provide a platform to demonstrate that such a model of care can operate within the MBS.</w:t>
      </w:r>
    </w:p>
    <w:p w14:paraId="023A615D" w14:textId="77777777" w:rsidR="005E0611" w:rsidRDefault="005E0611" w:rsidP="001D33CB">
      <w:pPr>
        <w:rPr>
          <w:sz w:val="23"/>
          <w:szCs w:val="23"/>
        </w:rPr>
      </w:pPr>
      <w:r>
        <w:rPr>
          <w:sz w:val="23"/>
          <w:szCs w:val="23"/>
        </w:rPr>
        <w:t xml:space="preserve">The Working Group </w:t>
      </w:r>
      <w:r w:rsidR="00AF2104">
        <w:rPr>
          <w:sz w:val="23"/>
          <w:szCs w:val="23"/>
        </w:rPr>
        <w:t xml:space="preserve">also concluded that </w:t>
      </w:r>
      <w:r>
        <w:rPr>
          <w:sz w:val="23"/>
          <w:szCs w:val="23"/>
        </w:rPr>
        <w:t>there are other</w:t>
      </w:r>
      <w:r w:rsidRPr="005E0611">
        <w:rPr>
          <w:sz w:val="23"/>
          <w:szCs w:val="23"/>
        </w:rPr>
        <w:t xml:space="preserve"> </w:t>
      </w:r>
      <w:r w:rsidRPr="00AE5A70">
        <w:rPr>
          <w:sz w:val="23"/>
          <w:szCs w:val="23"/>
        </w:rPr>
        <w:t xml:space="preserve">non-MBS related changes that need to be made to </w:t>
      </w:r>
      <w:r w:rsidR="00AF2104">
        <w:rPr>
          <w:sz w:val="23"/>
          <w:szCs w:val="23"/>
        </w:rPr>
        <w:t>improve</w:t>
      </w:r>
      <w:r w:rsidRPr="00AE5A70">
        <w:rPr>
          <w:sz w:val="23"/>
          <w:szCs w:val="23"/>
        </w:rPr>
        <w:t xml:space="preserve"> the </w:t>
      </w:r>
      <w:r w:rsidR="009400B8">
        <w:rPr>
          <w:sz w:val="23"/>
          <w:szCs w:val="23"/>
        </w:rPr>
        <w:t>timely</w:t>
      </w:r>
      <w:r w:rsidRPr="00AE5A70">
        <w:rPr>
          <w:sz w:val="23"/>
          <w:szCs w:val="23"/>
        </w:rPr>
        <w:t xml:space="preserve"> identification of eating disorders</w:t>
      </w:r>
      <w:r>
        <w:rPr>
          <w:sz w:val="23"/>
          <w:szCs w:val="23"/>
        </w:rPr>
        <w:t xml:space="preserve"> and </w:t>
      </w:r>
      <w:r w:rsidR="00AF2104">
        <w:rPr>
          <w:sz w:val="23"/>
          <w:szCs w:val="23"/>
        </w:rPr>
        <w:t xml:space="preserve">support </w:t>
      </w:r>
      <w:r>
        <w:rPr>
          <w:sz w:val="23"/>
          <w:szCs w:val="23"/>
        </w:rPr>
        <w:t>the delivery of high quality care</w:t>
      </w:r>
      <w:r w:rsidRPr="00AE5A70">
        <w:rPr>
          <w:sz w:val="23"/>
          <w:szCs w:val="23"/>
        </w:rPr>
        <w:t xml:space="preserve">. </w:t>
      </w:r>
      <w:r>
        <w:rPr>
          <w:sz w:val="23"/>
          <w:szCs w:val="23"/>
        </w:rPr>
        <w:t xml:space="preserve"> These include the provision of further information and education for GP</w:t>
      </w:r>
      <w:r w:rsidR="00AF2104">
        <w:rPr>
          <w:sz w:val="23"/>
          <w:szCs w:val="23"/>
        </w:rPr>
        <w:t>s</w:t>
      </w:r>
      <w:r>
        <w:rPr>
          <w:sz w:val="23"/>
          <w:szCs w:val="23"/>
        </w:rPr>
        <w:t>, dissemination of evidenced based information and clinical pathways for eating disorders, the establishment of a credentialing system</w:t>
      </w:r>
      <w:r w:rsidR="00AF2104">
        <w:rPr>
          <w:sz w:val="23"/>
          <w:szCs w:val="23"/>
        </w:rPr>
        <w:t xml:space="preserve"> specific to practitioner</w:t>
      </w:r>
      <w:r w:rsidR="0022245C">
        <w:rPr>
          <w:sz w:val="23"/>
          <w:szCs w:val="23"/>
        </w:rPr>
        <w:t>s</w:t>
      </w:r>
      <w:r w:rsidR="00AF2104">
        <w:rPr>
          <w:sz w:val="23"/>
          <w:szCs w:val="23"/>
        </w:rPr>
        <w:t xml:space="preserve"> providing care in the field of eating disorders</w:t>
      </w:r>
      <w:r>
        <w:rPr>
          <w:sz w:val="23"/>
          <w:szCs w:val="23"/>
        </w:rPr>
        <w:t xml:space="preserve"> and encouraging the development and/or expansion of eating disorder specific training by professional organisations and relevant training bodies.  </w:t>
      </w:r>
    </w:p>
    <w:p w14:paraId="14B5D759" w14:textId="77777777" w:rsidR="005E0611" w:rsidRDefault="005E0611" w:rsidP="005E0611">
      <w:pPr>
        <w:rPr>
          <w:sz w:val="23"/>
          <w:szCs w:val="23"/>
        </w:rPr>
      </w:pPr>
      <w:r>
        <w:rPr>
          <w:sz w:val="23"/>
          <w:szCs w:val="23"/>
        </w:rPr>
        <w:t>It is acknowledged that addressing the burden of eating disorders on individuals, families and carers of patients with eating disorders and</w:t>
      </w:r>
      <w:r w:rsidR="0022245C">
        <w:rPr>
          <w:sz w:val="23"/>
          <w:szCs w:val="23"/>
        </w:rPr>
        <w:t xml:space="preserve"> on the</w:t>
      </w:r>
      <w:r>
        <w:rPr>
          <w:sz w:val="23"/>
          <w:szCs w:val="23"/>
        </w:rPr>
        <w:t xml:space="preserve"> health system will require a comprehensive multifaceted approach and that the MBS may not provide all the </w:t>
      </w:r>
      <w:r w:rsidR="001E4BF4">
        <w:rPr>
          <w:sz w:val="23"/>
          <w:szCs w:val="23"/>
        </w:rPr>
        <w:t>solutions</w:t>
      </w:r>
      <w:r>
        <w:rPr>
          <w:sz w:val="23"/>
          <w:szCs w:val="23"/>
        </w:rPr>
        <w:t>, but</w:t>
      </w:r>
      <w:r w:rsidR="001E4BF4">
        <w:rPr>
          <w:sz w:val="23"/>
          <w:szCs w:val="23"/>
        </w:rPr>
        <w:t xml:space="preserve"> the MBS i</w:t>
      </w:r>
      <w:r>
        <w:rPr>
          <w:sz w:val="23"/>
          <w:szCs w:val="23"/>
        </w:rPr>
        <w:t xml:space="preserve">s part of the solution. </w:t>
      </w:r>
    </w:p>
    <w:p w14:paraId="1F132B68" w14:textId="77777777" w:rsidR="00E24490" w:rsidRPr="00AE5A70" w:rsidRDefault="005E0611">
      <w:pPr>
        <w:spacing w:before="0" w:after="0" w:line="240" w:lineRule="auto"/>
        <w:rPr>
          <w:sz w:val="18"/>
          <w:szCs w:val="18"/>
        </w:rPr>
      </w:pPr>
      <w:r>
        <w:rPr>
          <w:sz w:val="18"/>
          <w:szCs w:val="18"/>
        </w:rPr>
        <w:br w:type="page"/>
      </w:r>
    </w:p>
    <w:p w14:paraId="3D74F67E" w14:textId="77777777" w:rsidR="000D0E4E" w:rsidRDefault="000D0E4E" w:rsidP="00044469">
      <w:pPr>
        <w:pStyle w:val="Heading2"/>
        <w:numPr>
          <w:ilvl w:val="1"/>
          <w:numId w:val="5"/>
        </w:numPr>
        <w:spacing w:before="120" w:after="120"/>
        <w:ind w:left="578" w:hanging="578"/>
        <w:rPr>
          <w:sz w:val="23"/>
          <w:szCs w:val="23"/>
        </w:rPr>
      </w:pPr>
      <w:bookmarkStart w:id="9" w:name="_Toc531941912"/>
      <w:r w:rsidRPr="00AE5A70">
        <w:rPr>
          <w:sz w:val="23"/>
          <w:szCs w:val="23"/>
        </w:rPr>
        <w:t>Key</w:t>
      </w:r>
      <w:r w:rsidRPr="00AE5A70">
        <w:rPr>
          <w:sz w:val="18"/>
          <w:szCs w:val="18"/>
        </w:rPr>
        <w:t xml:space="preserve"> </w:t>
      </w:r>
      <w:r w:rsidRPr="00AE5A70">
        <w:rPr>
          <w:sz w:val="23"/>
          <w:szCs w:val="23"/>
        </w:rPr>
        <w:t>recommendations</w:t>
      </w:r>
      <w:bookmarkEnd w:id="9"/>
    </w:p>
    <w:p w14:paraId="4B212513" w14:textId="77777777" w:rsidR="00770058" w:rsidRDefault="00770058" w:rsidP="00770058">
      <w:pPr>
        <w:spacing w:before="0" w:after="0"/>
        <w:rPr>
          <w:sz w:val="23"/>
          <w:szCs w:val="23"/>
        </w:rPr>
      </w:pPr>
      <w:r w:rsidRPr="00AE5A70">
        <w:rPr>
          <w:b/>
          <w:bCs/>
          <w:sz w:val="23"/>
          <w:szCs w:val="23"/>
        </w:rPr>
        <w:t>Recommendation 1.1:</w:t>
      </w:r>
      <w:r>
        <w:rPr>
          <w:b/>
          <w:bCs/>
          <w:sz w:val="23"/>
          <w:szCs w:val="23"/>
        </w:rPr>
        <w:tab/>
      </w:r>
      <w:r w:rsidRPr="00C110A8">
        <w:rPr>
          <w:sz w:val="23"/>
          <w:szCs w:val="23"/>
        </w:rPr>
        <w:t xml:space="preserve">The Working Group </w:t>
      </w:r>
      <w:r>
        <w:rPr>
          <w:sz w:val="23"/>
          <w:szCs w:val="23"/>
        </w:rPr>
        <w:t>is of the view that there is an</w:t>
      </w:r>
      <w:r w:rsidRPr="00C110A8">
        <w:rPr>
          <w:sz w:val="23"/>
          <w:szCs w:val="23"/>
        </w:rPr>
        <w:t xml:space="preserve"> evidence base that supports </w:t>
      </w:r>
      <w:r>
        <w:rPr>
          <w:sz w:val="23"/>
          <w:szCs w:val="23"/>
        </w:rPr>
        <w:t>stepped care, including comprehensive care for appropriate patients,</w:t>
      </w:r>
      <w:r w:rsidRPr="00C110A8">
        <w:rPr>
          <w:sz w:val="23"/>
          <w:szCs w:val="23"/>
        </w:rPr>
        <w:t xml:space="preserve"> for </w:t>
      </w:r>
      <w:r w:rsidRPr="009341EF">
        <w:rPr>
          <w:i/>
          <w:sz w:val="23"/>
          <w:szCs w:val="23"/>
        </w:rPr>
        <w:t>all patients with eating disorders</w:t>
      </w:r>
      <w:r w:rsidRPr="00C110A8">
        <w:rPr>
          <w:sz w:val="23"/>
          <w:szCs w:val="23"/>
        </w:rPr>
        <w:t>.</w:t>
      </w:r>
    </w:p>
    <w:p w14:paraId="519839EB" w14:textId="77777777" w:rsidR="00770058" w:rsidRPr="00C110A8" w:rsidRDefault="00770058" w:rsidP="00770058">
      <w:pPr>
        <w:spacing w:before="0" w:after="0"/>
        <w:rPr>
          <w:sz w:val="23"/>
          <w:szCs w:val="23"/>
        </w:rPr>
      </w:pPr>
    </w:p>
    <w:p w14:paraId="57F2DB6A" w14:textId="77777777" w:rsidR="00770058" w:rsidRDefault="00770058" w:rsidP="00770058">
      <w:pPr>
        <w:spacing w:before="0" w:after="0"/>
        <w:rPr>
          <w:sz w:val="23"/>
          <w:szCs w:val="23"/>
        </w:rPr>
      </w:pPr>
      <w:r w:rsidRPr="00C110A8">
        <w:rPr>
          <w:sz w:val="23"/>
          <w:szCs w:val="23"/>
        </w:rPr>
        <w:t xml:space="preserve">Under a comprehensive </w:t>
      </w:r>
      <w:r>
        <w:rPr>
          <w:sz w:val="23"/>
          <w:szCs w:val="23"/>
        </w:rPr>
        <w:t xml:space="preserve">stepped </w:t>
      </w:r>
      <w:r w:rsidRPr="00C110A8">
        <w:rPr>
          <w:sz w:val="23"/>
          <w:szCs w:val="23"/>
        </w:rPr>
        <w:t>model, the evidence shows that all patients with a diagnosed eating disorder should get access to up to 20 psychological sessions in total per year and 10 dietetic sessions in total per year</w:t>
      </w:r>
      <w:r>
        <w:rPr>
          <w:sz w:val="23"/>
          <w:szCs w:val="23"/>
        </w:rPr>
        <w:t>, depending on their needs</w:t>
      </w:r>
      <w:r w:rsidRPr="00C110A8">
        <w:rPr>
          <w:sz w:val="23"/>
          <w:szCs w:val="23"/>
        </w:rPr>
        <w:t>. Under this model, patients requiring more intensive treatment would be eligible to receive up to 40 psychological sessions in total and 20 dietetic sessions in total</w:t>
      </w:r>
      <w:r>
        <w:rPr>
          <w:sz w:val="23"/>
          <w:szCs w:val="23"/>
        </w:rPr>
        <w:t xml:space="preserve"> per year, depending on their needs</w:t>
      </w:r>
      <w:r w:rsidRPr="00C110A8">
        <w:rPr>
          <w:sz w:val="23"/>
          <w:szCs w:val="23"/>
        </w:rPr>
        <w:t xml:space="preserve">. </w:t>
      </w:r>
    </w:p>
    <w:p w14:paraId="1AD852B1" w14:textId="77777777" w:rsidR="00770058" w:rsidRPr="00C110A8" w:rsidRDefault="00770058" w:rsidP="00770058">
      <w:pPr>
        <w:spacing w:before="0" w:after="0"/>
        <w:rPr>
          <w:sz w:val="23"/>
          <w:szCs w:val="23"/>
        </w:rPr>
      </w:pPr>
    </w:p>
    <w:p w14:paraId="77E91A54" w14:textId="77777777" w:rsidR="00770058" w:rsidRDefault="00770058" w:rsidP="00770058">
      <w:pPr>
        <w:rPr>
          <w:sz w:val="23"/>
          <w:szCs w:val="23"/>
        </w:rPr>
      </w:pPr>
      <w:r w:rsidRPr="00C110A8">
        <w:rPr>
          <w:sz w:val="23"/>
          <w:szCs w:val="23"/>
        </w:rPr>
        <w:t>The Working Group views that the expansion of MBS arrangements for all patients with eating disorders is necessary and should be implemented as soon as practical after the implementation of the new items outlined in recommendation 1.2.</w:t>
      </w:r>
    </w:p>
    <w:p w14:paraId="44A3F40A" w14:textId="77777777" w:rsidR="00770058" w:rsidRDefault="00770058" w:rsidP="00770058">
      <w:pPr>
        <w:spacing w:before="60" w:after="0"/>
        <w:rPr>
          <w:b/>
          <w:bCs/>
          <w:sz w:val="23"/>
          <w:szCs w:val="23"/>
        </w:rPr>
      </w:pPr>
    </w:p>
    <w:p w14:paraId="60D5F048" w14:textId="77777777" w:rsidR="00770058" w:rsidRPr="00895B75" w:rsidRDefault="00770058" w:rsidP="00770058">
      <w:pPr>
        <w:spacing w:before="60" w:after="0"/>
        <w:rPr>
          <w:sz w:val="23"/>
          <w:szCs w:val="23"/>
        </w:rPr>
      </w:pPr>
      <w:r w:rsidRPr="00AE5A70">
        <w:rPr>
          <w:b/>
          <w:bCs/>
          <w:sz w:val="23"/>
          <w:szCs w:val="23"/>
        </w:rPr>
        <w:t>Recommendation 1.2:</w:t>
      </w:r>
      <w:r>
        <w:rPr>
          <w:b/>
          <w:bCs/>
          <w:sz w:val="23"/>
          <w:szCs w:val="23"/>
        </w:rPr>
        <w:t xml:space="preserve"> </w:t>
      </w:r>
      <w:r w:rsidRPr="00396865">
        <w:rPr>
          <w:sz w:val="23"/>
          <w:szCs w:val="23"/>
        </w:rPr>
        <w:t>The Working Group recommends the introduction</w:t>
      </w:r>
      <w:r w:rsidRPr="00D71527">
        <w:rPr>
          <w:sz w:val="23"/>
          <w:szCs w:val="23"/>
        </w:rPr>
        <w:t xml:space="preserve"> of</w:t>
      </w:r>
      <w:r w:rsidRPr="00895B75">
        <w:rPr>
          <w:sz w:val="23"/>
          <w:szCs w:val="23"/>
        </w:rPr>
        <w:t xml:space="preserve"> a new suite of items to provide a comprehensive stepped model of care for:</w:t>
      </w:r>
    </w:p>
    <w:p w14:paraId="0A6FF365" w14:textId="77777777" w:rsidR="00770058" w:rsidRPr="008A19D9" w:rsidRDefault="00770058" w:rsidP="00770058">
      <w:pPr>
        <w:pStyle w:val="ListParagraph"/>
        <w:numPr>
          <w:ilvl w:val="1"/>
          <w:numId w:val="82"/>
        </w:numPr>
        <w:spacing w:before="60" w:after="0"/>
        <w:ind w:left="743" w:hanging="425"/>
        <w:rPr>
          <w:sz w:val="23"/>
          <w:szCs w:val="23"/>
        </w:rPr>
      </w:pPr>
      <w:r w:rsidRPr="008A19D9">
        <w:rPr>
          <w:sz w:val="23"/>
          <w:szCs w:val="23"/>
        </w:rPr>
        <w:t>all patients with anorexia nervosa; and</w:t>
      </w:r>
    </w:p>
    <w:p w14:paraId="03D91920" w14:textId="77777777" w:rsidR="00770058" w:rsidRPr="00895B75" w:rsidRDefault="00770058" w:rsidP="00770058">
      <w:pPr>
        <w:pStyle w:val="ListParagraph"/>
        <w:numPr>
          <w:ilvl w:val="0"/>
          <w:numId w:val="82"/>
        </w:numPr>
        <w:spacing w:before="60" w:afterLines="60" w:after="144"/>
        <w:ind w:left="743" w:hanging="425"/>
        <w:rPr>
          <w:sz w:val="23"/>
          <w:szCs w:val="23"/>
        </w:rPr>
      </w:pPr>
      <w:r w:rsidRPr="008A19D9">
        <w:rPr>
          <w:sz w:val="23"/>
          <w:szCs w:val="23"/>
        </w:rPr>
        <w:t>patients with bulimia nervosa, binge-eating disorder and other</w:t>
      </w:r>
      <w:r>
        <w:rPr>
          <w:sz w:val="23"/>
          <w:szCs w:val="23"/>
        </w:rPr>
        <w:t xml:space="preserve"> </w:t>
      </w:r>
      <w:r w:rsidRPr="00D71527">
        <w:rPr>
          <w:sz w:val="23"/>
          <w:szCs w:val="23"/>
        </w:rPr>
        <w:t>specified</w:t>
      </w:r>
      <w:r>
        <w:rPr>
          <w:sz w:val="23"/>
          <w:szCs w:val="23"/>
        </w:rPr>
        <w:t xml:space="preserve"> </w:t>
      </w:r>
      <w:r w:rsidRPr="00D71527">
        <w:rPr>
          <w:sz w:val="23"/>
          <w:szCs w:val="23"/>
        </w:rPr>
        <w:t>feeding</w:t>
      </w:r>
      <w:r>
        <w:rPr>
          <w:sz w:val="23"/>
          <w:szCs w:val="23"/>
        </w:rPr>
        <w:t xml:space="preserve"> </w:t>
      </w:r>
      <w:r w:rsidRPr="00D71527">
        <w:rPr>
          <w:sz w:val="23"/>
          <w:szCs w:val="23"/>
        </w:rPr>
        <w:t>or</w:t>
      </w:r>
      <w:r>
        <w:rPr>
          <w:sz w:val="23"/>
          <w:szCs w:val="23"/>
        </w:rPr>
        <w:t xml:space="preserve"> </w:t>
      </w:r>
      <w:r w:rsidRPr="00D71527">
        <w:rPr>
          <w:sz w:val="23"/>
          <w:szCs w:val="23"/>
        </w:rPr>
        <w:t>eating</w:t>
      </w:r>
      <w:r>
        <w:rPr>
          <w:sz w:val="23"/>
          <w:szCs w:val="23"/>
        </w:rPr>
        <w:t xml:space="preserve"> </w:t>
      </w:r>
      <w:r w:rsidRPr="00D71527">
        <w:rPr>
          <w:sz w:val="23"/>
          <w:szCs w:val="23"/>
        </w:rPr>
        <w:t>disorder</w:t>
      </w:r>
      <w:r>
        <w:rPr>
          <w:sz w:val="23"/>
          <w:szCs w:val="23"/>
        </w:rPr>
        <w:t xml:space="preserve">s </w:t>
      </w:r>
      <w:r w:rsidRPr="00D71527">
        <w:rPr>
          <w:sz w:val="23"/>
          <w:szCs w:val="23"/>
        </w:rPr>
        <w:t>who</w:t>
      </w:r>
      <w:r>
        <w:rPr>
          <w:sz w:val="23"/>
          <w:szCs w:val="23"/>
        </w:rPr>
        <w:t xml:space="preserve"> have complex needs, </w:t>
      </w:r>
      <w:r w:rsidRPr="00895B75">
        <w:rPr>
          <w:sz w:val="23"/>
          <w:szCs w:val="23"/>
        </w:rPr>
        <w:t xml:space="preserve">have not responded to treatment at a lower level of intensity and are assessed as ‘high-risk’ of serious medical and psychological complications. </w:t>
      </w:r>
    </w:p>
    <w:p w14:paraId="3AA59347" w14:textId="77777777" w:rsidR="00770058" w:rsidRPr="008A19D9" w:rsidRDefault="00770058" w:rsidP="00770058">
      <w:pPr>
        <w:spacing w:before="60" w:after="0"/>
        <w:rPr>
          <w:sz w:val="23"/>
          <w:szCs w:val="23"/>
        </w:rPr>
      </w:pPr>
      <w:r w:rsidRPr="008A19D9">
        <w:rPr>
          <w:sz w:val="23"/>
          <w:szCs w:val="23"/>
        </w:rPr>
        <w:t>The new items would provide for:</w:t>
      </w:r>
    </w:p>
    <w:p w14:paraId="7D0FDC89" w14:textId="77777777" w:rsidR="00770058" w:rsidRPr="00895B75" w:rsidRDefault="00770058" w:rsidP="00770058">
      <w:pPr>
        <w:pStyle w:val="ListParagraph"/>
        <w:numPr>
          <w:ilvl w:val="1"/>
          <w:numId w:val="82"/>
        </w:numPr>
        <w:spacing w:before="60" w:after="0"/>
        <w:ind w:left="743" w:hanging="425"/>
        <w:rPr>
          <w:sz w:val="23"/>
          <w:szCs w:val="23"/>
        </w:rPr>
      </w:pPr>
      <w:r w:rsidRPr="008A19D9">
        <w:rPr>
          <w:sz w:val="23"/>
          <w:szCs w:val="23"/>
        </w:rPr>
        <w:t xml:space="preserve">the development </w:t>
      </w:r>
      <w:r>
        <w:rPr>
          <w:sz w:val="23"/>
          <w:szCs w:val="23"/>
        </w:rPr>
        <w:t xml:space="preserve">and review </w:t>
      </w:r>
      <w:r w:rsidRPr="00D71527">
        <w:rPr>
          <w:sz w:val="23"/>
          <w:szCs w:val="23"/>
        </w:rPr>
        <w:t>of a</w:t>
      </w:r>
      <w:r w:rsidRPr="00895B75">
        <w:rPr>
          <w:sz w:val="23"/>
          <w:szCs w:val="23"/>
        </w:rPr>
        <w:t xml:space="preserve"> treatment and management plan by a medical practitioner (such as a GP).  </w:t>
      </w:r>
    </w:p>
    <w:p w14:paraId="648C7A7D" w14:textId="77777777" w:rsidR="00770058" w:rsidRPr="00895B75" w:rsidRDefault="00770058" w:rsidP="00770058">
      <w:pPr>
        <w:pStyle w:val="ListParagraph"/>
        <w:numPr>
          <w:ilvl w:val="1"/>
          <w:numId w:val="82"/>
        </w:numPr>
        <w:spacing w:before="60" w:afterLines="60" w:after="144"/>
        <w:ind w:left="743" w:hanging="425"/>
        <w:rPr>
          <w:sz w:val="23"/>
          <w:szCs w:val="23"/>
        </w:rPr>
      </w:pPr>
      <w:r w:rsidRPr="008A19D9">
        <w:rPr>
          <w:sz w:val="23"/>
          <w:szCs w:val="23"/>
        </w:rPr>
        <w:t>This item would trigger eligibility for a comprehensive model of care, consisting of an initial and more intensive course of psychological and dietetic treatment</w:t>
      </w:r>
      <w:r>
        <w:rPr>
          <w:sz w:val="23"/>
          <w:szCs w:val="23"/>
        </w:rPr>
        <w:t xml:space="preserve"> depending of the patient’s needs</w:t>
      </w:r>
      <w:r w:rsidRPr="00D71527">
        <w:rPr>
          <w:sz w:val="23"/>
          <w:szCs w:val="23"/>
        </w:rPr>
        <w:t>.</w:t>
      </w:r>
      <w:r w:rsidRPr="00895B75">
        <w:rPr>
          <w:sz w:val="23"/>
          <w:szCs w:val="23"/>
        </w:rPr>
        <w:t xml:space="preserve"> </w:t>
      </w:r>
    </w:p>
    <w:p w14:paraId="7C43FE06" w14:textId="77777777" w:rsidR="00770058" w:rsidRPr="008A19D9" w:rsidRDefault="00770058" w:rsidP="00770058">
      <w:pPr>
        <w:spacing w:before="60" w:afterLines="60" w:after="144"/>
        <w:rPr>
          <w:sz w:val="23"/>
          <w:szCs w:val="23"/>
          <w:u w:val="single"/>
        </w:rPr>
      </w:pPr>
      <w:r w:rsidRPr="008A19D9">
        <w:rPr>
          <w:sz w:val="23"/>
          <w:szCs w:val="23"/>
          <w:u w:val="single"/>
        </w:rPr>
        <w:t xml:space="preserve">Initial course of treatment </w:t>
      </w:r>
    </w:p>
    <w:p w14:paraId="57752C9B" w14:textId="77777777" w:rsidR="00770058" w:rsidRPr="00895B75" w:rsidRDefault="00770058" w:rsidP="00770058">
      <w:pPr>
        <w:pStyle w:val="ListParagraph"/>
        <w:numPr>
          <w:ilvl w:val="1"/>
          <w:numId w:val="82"/>
        </w:numPr>
        <w:spacing w:before="60" w:afterLines="60" w:after="144"/>
        <w:ind w:left="318" w:hanging="284"/>
        <w:rPr>
          <w:sz w:val="23"/>
          <w:szCs w:val="23"/>
        </w:rPr>
      </w:pPr>
      <w:r w:rsidRPr="008A19D9">
        <w:rPr>
          <w:sz w:val="23"/>
          <w:szCs w:val="23"/>
        </w:rPr>
        <w:t xml:space="preserve">Triggered by the </w:t>
      </w:r>
      <w:r>
        <w:rPr>
          <w:sz w:val="23"/>
          <w:szCs w:val="23"/>
        </w:rPr>
        <w:t>development of a</w:t>
      </w:r>
      <w:r w:rsidRPr="00D71527">
        <w:rPr>
          <w:sz w:val="23"/>
          <w:szCs w:val="23"/>
        </w:rPr>
        <w:t xml:space="preserve"> treatment and management plan</w:t>
      </w:r>
      <w:r>
        <w:rPr>
          <w:sz w:val="23"/>
          <w:szCs w:val="23"/>
        </w:rPr>
        <w:t xml:space="preserve"> by a medical practitioner (GP):</w:t>
      </w:r>
      <w:r w:rsidRPr="00D71527">
        <w:rPr>
          <w:sz w:val="23"/>
          <w:szCs w:val="23"/>
        </w:rPr>
        <w:t xml:space="preserve"> </w:t>
      </w:r>
    </w:p>
    <w:p w14:paraId="453D1D09" w14:textId="77777777" w:rsidR="00770058" w:rsidRPr="008A19D9" w:rsidRDefault="00770058" w:rsidP="00770058">
      <w:pPr>
        <w:pStyle w:val="ListParagraph"/>
        <w:numPr>
          <w:ilvl w:val="1"/>
          <w:numId w:val="90"/>
        </w:numPr>
        <w:spacing w:before="60" w:afterLines="60" w:after="144"/>
        <w:ind w:left="743" w:hanging="425"/>
        <w:rPr>
          <w:sz w:val="23"/>
          <w:szCs w:val="23"/>
        </w:rPr>
      </w:pPr>
      <w:r w:rsidRPr="008A19D9">
        <w:rPr>
          <w:sz w:val="23"/>
          <w:szCs w:val="23"/>
        </w:rPr>
        <w:t xml:space="preserve">an initial course of up to 20 psychological sessions; and </w:t>
      </w:r>
    </w:p>
    <w:p w14:paraId="548FBD3B" w14:textId="77777777" w:rsidR="00770058" w:rsidRDefault="00770058" w:rsidP="00770058">
      <w:pPr>
        <w:pStyle w:val="ListParagraph"/>
        <w:numPr>
          <w:ilvl w:val="1"/>
          <w:numId w:val="90"/>
        </w:numPr>
        <w:spacing w:before="60" w:afterLines="60" w:after="144"/>
        <w:ind w:left="743" w:hanging="425"/>
        <w:rPr>
          <w:sz w:val="23"/>
          <w:szCs w:val="23"/>
        </w:rPr>
      </w:pPr>
      <w:r w:rsidRPr="008A19D9">
        <w:rPr>
          <w:sz w:val="23"/>
          <w:szCs w:val="23"/>
        </w:rPr>
        <w:t>an initial course of up to 10 dietetic sessions.</w:t>
      </w:r>
    </w:p>
    <w:p w14:paraId="295B6DE8" w14:textId="77777777" w:rsidR="00770058" w:rsidRPr="008D1F10" w:rsidRDefault="00770058" w:rsidP="00770058">
      <w:pPr>
        <w:pStyle w:val="ListParagraph"/>
        <w:spacing w:before="60" w:afterLines="60" w:after="144"/>
        <w:ind w:left="743"/>
        <w:rPr>
          <w:sz w:val="23"/>
          <w:szCs w:val="23"/>
        </w:rPr>
      </w:pPr>
    </w:p>
    <w:p w14:paraId="33941F38" w14:textId="77777777" w:rsidR="00770058" w:rsidRDefault="00770058" w:rsidP="00770058">
      <w:pPr>
        <w:pStyle w:val="ListParagraph"/>
        <w:numPr>
          <w:ilvl w:val="0"/>
          <w:numId w:val="83"/>
        </w:numPr>
        <w:spacing w:before="60" w:afterLines="60" w:after="144"/>
        <w:ind w:left="318" w:hanging="284"/>
        <w:rPr>
          <w:sz w:val="23"/>
          <w:szCs w:val="23"/>
        </w:rPr>
      </w:pPr>
      <w:r>
        <w:rPr>
          <w:sz w:val="23"/>
          <w:szCs w:val="23"/>
        </w:rPr>
        <w:t>The GP will assess the patient</w:t>
      </w:r>
      <w:r w:rsidRPr="008A19D9">
        <w:rPr>
          <w:sz w:val="23"/>
          <w:szCs w:val="23"/>
        </w:rPr>
        <w:t xml:space="preserve"> through</w:t>
      </w:r>
      <w:r>
        <w:rPr>
          <w:sz w:val="23"/>
          <w:szCs w:val="23"/>
        </w:rPr>
        <w:t>out</w:t>
      </w:r>
      <w:r w:rsidRPr="008A19D9">
        <w:rPr>
          <w:sz w:val="23"/>
          <w:szCs w:val="23"/>
        </w:rPr>
        <w:t xml:space="preserve"> the treatment process, but should assess whether the patient should progress beyond 10 psychological sessions and 5 dietetic sessions</w:t>
      </w:r>
      <w:r>
        <w:rPr>
          <w:sz w:val="23"/>
          <w:szCs w:val="23"/>
        </w:rPr>
        <w:t xml:space="preserve"> </w:t>
      </w:r>
      <w:r w:rsidRPr="009341EF">
        <w:rPr>
          <w:sz w:val="23"/>
          <w:szCs w:val="23"/>
        </w:rPr>
        <w:t xml:space="preserve">by conducting a review consultation (with a New Item Number) </w:t>
      </w:r>
      <w:r>
        <w:rPr>
          <w:sz w:val="23"/>
          <w:szCs w:val="23"/>
        </w:rPr>
        <w:t>before or around</w:t>
      </w:r>
      <w:r w:rsidRPr="009341EF">
        <w:rPr>
          <w:sz w:val="23"/>
          <w:szCs w:val="23"/>
        </w:rPr>
        <w:t xml:space="preserve"> 9 or 10</w:t>
      </w:r>
      <w:r>
        <w:rPr>
          <w:sz w:val="23"/>
          <w:szCs w:val="23"/>
        </w:rPr>
        <w:t xml:space="preserve"> sessions completion</w:t>
      </w:r>
      <w:r w:rsidRPr="009341EF">
        <w:rPr>
          <w:sz w:val="23"/>
          <w:szCs w:val="23"/>
        </w:rPr>
        <w:t xml:space="preserve"> mark, to approve and trigger another course of 10 </w:t>
      </w:r>
      <w:r>
        <w:rPr>
          <w:sz w:val="23"/>
          <w:szCs w:val="23"/>
        </w:rPr>
        <w:t xml:space="preserve">psychological </w:t>
      </w:r>
      <w:r w:rsidRPr="009341EF">
        <w:rPr>
          <w:sz w:val="23"/>
          <w:szCs w:val="23"/>
        </w:rPr>
        <w:t>sessions</w:t>
      </w:r>
      <w:r>
        <w:rPr>
          <w:sz w:val="23"/>
          <w:szCs w:val="23"/>
        </w:rPr>
        <w:t xml:space="preserve"> and 5 dietetic services</w:t>
      </w:r>
      <w:r w:rsidRPr="008A19D9">
        <w:rPr>
          <w:sz w:val="23"/>
          <w:szCs w:val="23"/>
        </w:rPr>
        <w:t xml:space="preserve"> (up to 20 psychological sessions and up to 10 dietetic sessions).</w:t>
      </w:r>
      <w:r>
        <w:rPr>
          <w:sz w:val="23"/>
          <w:szCs w:val="23"/>
        </w:rPr>
        <w:t xml:space="preserve"> This review item will involve a </w:t>
      </w:r>
      <w:r w:rsidRPr="00462110">
        <w:rPr>
          <w:sz w:val="23"/>
          <w:szCs w:val="23"/>
        </w:rPr>
        <w:t>full medical and psychological history, a full physical examination and ordering and re</w:t>
      </w:r>
      <w:r>
        <w:rPr>
          <w:sz w:val="23"/>
          <w:szCs w:val="23"/>
        </w:rPr>
        <w:t>viewing relevant investigations.</w:t>
      </w:r>
    </w:p>
    <w:p w14:paraId="547E7B30" w14:textId="77777777" w:rsidR="00770058" w:rsidRDefault="00770058" w:rsidP="00770058">
      <w:pPr>
        <w:pStyle w:val="ListParagraph"/>
        <w:spacing w:before="60" w:afterLines="60" w:after="144"/>
        <w:ind w:left="318"/>
        <w:rPr>
          <w:sz w:val="23"/>
          <w:szCs w:val="23"/>
        </w:rPr>
      </w:pPr>
    </w:p>
    <w:p w14:paraId="1348C418" w14:textId="77777777" w:rsidR="00770058" w:rsidRPr="008A19D9" w:rsidRDefault="00770058" w:rsidP="00770058">
      <w:pPr>
        <w:pStyle w:val="ListParagraph"/>
        <w:numPr>
          <w:ilvl w:val="0"/>
          <w:numId w:val="83"/>
        </w:numPr>
        <w:spacing w:before="60" w:afterLines="60" w:after="144"/>
        <w:ind w:left="318" w:hanging="284"/>
        <w:rPr>
          <w:sz w:val="23"/>
          <w:szCs w:val="23"/>
        </w:rPr>
      </w:pPr>
      <w:r>
        <w:rPr>
          <w:sz w:val="23"/>
          <w:szCs w:val="23"/>
        </w:rPr>
        <w:t>The mental health professional involved in the patients treatment will be required to formally report back to the practitioner before or around the 9 to 10 services completion mark to certify the patient’s diagnosis and confirm that the patient requires a further course (an additional 10 psychological sessions) of treatment.</w:t>
      </w:r>
    </w:p>
    <w:p w14:paraId="69979685" w14:textId="77777777" w:rsidR="00770058" w:rsidRPr="008A19D9" w:rsidRDefault="00770058" w:rsidP="00770058">
      <w:pPr>
        <w:spacing w:before="60"/>
        <w:rPr>
          <w:sz w:val="23"/>
          <w:szCs w:val="23"/>
          <w:u w:val="single"/>
        </w:rPr>
      </w:pPr>
      <w:r w:rsidRPr="008A19D9">
        <w:rPr>
          <w:sz w:val="23"/>
          <w:szCs w:val="23"/>
          <w:u w:val="single"/>
        </w:rPr>
        <w:t xml:space="preserve">More intensive treatment </w:t>
      </w:r>
    </w:p>
    <w:p w14:paraId="7776694B" w14:textId="77777777" w:rsidR="00770058" w:rsidRPr="008A44A0" w:rsidRDefault="00770058" w:rsidP="00770058">
      <w:pPr>
        <w:spacing w:before="60"/>
        <w:rPr>
          <w:sz w:val="23"/>
          <w:szCs w:val="23"/>
        </w:rPr>
      </w:pPr>
      <w:r>
        <w:rPr>
          <w:sz w:val="23"/>
          <w:szCs w:val="23"/>
        </w:rPr>
        <w:t>If the patient has not responded to treatment at a lower intensity, u</w:t>
      </w:r>
      <w:r w:rsidRPr="00F325C0">
        <w:rPr>
          <w:sz w:val="23"/>
          <w:szCs w:val="23"/>
        </w:rPr>
        <w:t>pon formal review an</w:t>
      </w:r>
      <w:r w:rsidRPr="001F603E">
        <w:rPr>
          <w:sz w:val="23"/>
          <w:szCs w:val="23"/>
        </w:rPr>
        <w:t xml:space="preserve">d assessment of the patient by a </w:t>
      </w:r>
      <w:r w:rsidRPr="0000021B">
        <w:rPr>
          <w:sz w:val="23"/>
          <w:szCs w:val="23"/>
          <w:u w:val="single"/>
        </w:rPr>
        <w:t>psychiatrist or paediatrician</w:t>
      </w:r>
      <w:r w:rsidRPr="008A19D9">
        <w:rPr>
          <w:sz w:val="23"/>
          <w:szCs w:val="23"/>
        </w:rPr>
        <w:t>, the patient would be eligible</w:t>
      </w:r>
      <w:r>
        <w:rPr>
          <w:sz w:val="23"/>
          <w:szCs w:val="23"/>
        </w:rPr>
        <w:t xml:space="preserve"> </w:t>
      </w:r>
      <w:r w:rsidRPr="00F325C0">
        <w:rPr>
          <w:sz w:val="23"/>
          <w:szCs w:val="23"/>
        </w:rPr>
        <w:t>for:</w:t>
      </w:r>
    </w:p>
    <w:p w14:paraId="14B2618D" w14:textId="77777777" w:rsidR="00770058" w:rsidRPr="008A19D9" w:rsidRDefault="00770058" w:rsidP="00770058">
      <w:pPr>
        <w:pStyle w:val="ListParagraph"/>
        <w:numPr>
          <w:ilvl w:val="1"/>
          <w:numId w:val="83"/>
        </w:numPr>
        <w:spacing w:before="60"/>
        <w:ind w:left="743" w:hanging="567"/>
        <w:rPr>
          <w:sz w:val="23"/>
          <w:szCs w:val="23"/>
        </w:rPr>
      </w:pPr>
      <w:r w:rsidRPr="001F603E">
        <w:rPr>
          <w:sz w:val="23"/>
          <w:szCs w:val="23"/>
        </w:rPr>
        <w:t>an additional course of up to 20 psychological sessions</w:t>
      </w:r>
      <w:r w:rsidRPr="008A19D9">
        <w:rPr>
          <w:sz w:val="23"/>
          <w:szCs w:val="23"/>
        </w:rPr>
        <w:t xml:space="preserve"> (40 sessions in total per year) ; and </w:t>
      </w:r>
    </w:p>
    <w:p w14:paraId="1A552914" w14:textId="77777777" w:rsidR="00770058" w:rsidRDefault="00770058" w:rsidP="00770058">
      <w:pPr>
        <w:pStyle w:val="ListParagraph"/>
        <w:numPr>
          <w:ilvl w:val="1"/>
          <w:numId w:val="83"/>
        </w:numPr>
        <w:spacing w:before="60"/>
        <w:ind w:left="743" w:hanging="567"/>
        <w:rPr>
          <w:sz w:val="23"/>
          <w:szCs w:val="23"/>
        </w:rPr>
      </w:pPr>
      <w:r w:rsidRPr="009341EF">
        <w:rPr>
          <w:sz w:val="23"/>
          <w:szCs w:val="23"/>
        </w:rPr>
        <w:t>an additional course of up to 10 dietetic sessions (20 sessions in total per year).</w:t>
      </w:r>
    </w:p>
    <w:p w14:paraId="5015A959" w14:textId="77777777" w:rsidR="00770058" w:rsidRPr="009341EF" w:rsidRDefault="00770058" w:rsidP="00770058">
      <w:pPr>
        <w:spacing w:before="60"/>
        <w:rPr>
          <w:sz w:val="23"/>
          <w:szCs w:val="23"/>
          <w:u w:val="single"/>
        </w:rPr>
      </w:pPr>
      <w:r w:rsidRPr="009341EF">
        <w:rPr>
          <w:sz w:val="23"/>
          <w:szCs w:val="23"/>
          <w:u w:val="single"/>
        </w:rPr>
        <w:t>GP reviews</w:t>
      </w:r>
    </w:p>
    <w:p w14:paraId="6A0EA74D" w14:textId="77777777" w:rsidR="00770058" w:rsidRDefault="00770058" w:rsidP="00770058">
      <w:pPr>
        <w:spacing w:before="60"/>
        <w:rPr>
          <w:sz w:val="23"/>
          <w:szCs w:val="23"/>
        </w:rPr>
      </w:pPr>
      <w:r w:rsidRPr="00F325C0">
        <w:rPr>
          <w:sz w:val="23"/>
          <w:szCs w:val="23"/>
        </w:rPr>
        <w:t>It is expected</w:t>
      </w:r>
      <w:r>
        <w:rPr>
          <w:sz w:val="23"/>
          <w:szCs w:val="23"/>
        </w:rPr>
        <w:t xml:space="preserve"> that as the central care provider, the GP will review the patient throughout the treatment process, performing the necessary medical assessments, including ordering and reviewing the required tests, and assessing the patient’s response to treatment.</w:t>
      </w:r>
    </w:p>
    <w:p w14:paraId="4F352B5C" w14:textId="77777777" w:rsidR="00770058" w:rsidRDefault="00770058" w:rsidP="00770058">
      <w:pPr>
        <w:spacing w:before="60"/>
        <w:rPr>
          <w:sz w:val="23"/>
          <w:szCs w:val="23"/>
          <w:u w:val="single"/>
        </w:rPr>
      </w:pPr>
      <w:r w:rsidRPr="009341EF">
        <w:rPr>
          <w:sz w:val="23"/>
          <w:szCs w:val="23"/>
          <w:u w:val="single"/>
        </w:rPr>
        <w:t>Reports back to the GP</w:t>
      </w:r>
      <w:r>
        <w:rPr>
          <w:sz w:val="23"/>
          <w:szCs w:val="23"/>
          <w:u w:val="single"/>
        </w:rPr>
        <w:t xml:space="preserve"> from the mental health professional and dietitian</w:t>
      </w:r>
    </w:p>
    <w:p w14:paraId="45CD41F6" w14:textId="77777777" w:rsidR="00770058" w:rsidRDefault="00770058" w:rsidP="00770058">
      <w:pPr>
        <w:rPr>
          <w:sz w:val="23"/>
          <w:szCs w:val="23"/>
        </w:rPr>
      </w:pPr>
      <w:r>
        <w:rPr>
          <w:sz w:val="23"/>
          <w:szCs w:val="23"/>
        </w:rPr>
        <w:t>It will be a requirement that the mental health professional and dietitian delivering care to the patient provide written reports back to the managing GP after each set of services (that is, after each set of 10 psychological services and 5 dietetic services).</w:t>
      </w:r>
    </w:p>
    <w:p w14:paraId="6E685687" w14:textId="77777777" w:rsidR="00770058" w:rsidRPr="00AE5A70" w:rsidDel="00167C44" w:rsidRDefault="00770058" w:rsidP="00770058">
      <w:pPr>
        <w:rPr>
          <w:sz w:val="23"/>
          <w:szCs w:val="23"/>
        </w:rPr>
      </w:pPr>
      <w:r>
        <w:rPr>
          <w:b/>
          <w:bCs/>
          <w:sz w:val="23"/>
          <w:szCs w:val="23"/>
        </w:rPr>
        <w:t>Recommendation 1.3</w:t>
      </w:r>
      <w:r w:rsidRPr="00AE5A70">
        <w:rPr>
          <w:b/>
          <w:bCs/>
          <w:sz w:val="23"/>
          <w:szCs w:val="23"/>
        </w:rPr>
        <w:t>:</w:t>
      </w:r>
      <w:r>
        <w:rPr>
          <w:b/>
          <w:bCs/>
          <w:sz w:val="23"/>
          <w:szCs w:val="23"/>
        </w:rPr>
        <w:t xml:space="preserve"> </w:t>
      </w:r>
      <w:r w:rsidRPr="00C6115B">
        <w:rPr>
          <w:sz w:val="23"/>
          <w:szCs w:val="23"/>
        </w:rPr>
        <w:t>The Working Group recommends that the impact and operation of the new items should be reviewed as soon as practical (within three years) after introduction of the new items. The Review should assess whether the items are operating as intended for all parties (the Government, practitioners and patients) and should assess the viability of expanding the MBS arrangements to provide for a comprehensive stepped care models to all patients with a diagnosed eating disorder.</w:t>
      </w:r>
    </w:p>
    <w:p w14:paraId="33CC62EB" w14:textId="77777777" w:rsidR="00770058" w:rsidRDefault="00770058" w:rsidP="00770058">
      <w:pPr>
        <w:rPr>
          <w:sz w:val="23"/>
          <w:szCs w:val="23"/>
        </w:rPr>
      </w:pPr>
      <w:r>
        <w:rPr>
          <w:b/>
          <w:bCs/>
          <w:sz w:val="23"/>
          <w:szCs w:val="23"/>
        </w:rPr>
        <w:t>Recommendation 1.4</w:t>
      </w:r>
      <w:r w:rsidRPr="00AE5A70">
        <w:rPr>
          <w:b/>
          <w:bCs/>
          <w:sz w:val="23"/>
          <w:szCs w:val="23"/>
        </w:rPr>
        <w:t>:</w:t>
      </w:r>
      <w:r>
        <w:rPr>
          <w:b/>
          <w:bCs/>
          <w:sz w:val="23"/>
          <w:szCs w:val="23"/>
        </w:rPr>
        <w:t xml:space="preserve"> </w:t>
      </w:r>
      <w:r>
        <w:rPr>
          <w:sz w:val="23"/>
          <w:szCs w:val="23"/>
        </w:rPr>
        <w:t>The Working Group recommends the services referred to in recommendation 1.2 be allowed to be provided via telehealth (under the same eligibility requirements that exist for other MBS services) in order to increase access to services for patients in rural and remote areas.</w:t>
      </w:r>
    </w:p>
    <w:p w14:paraId="42FB9E2C" w14:textId="77777777" w:rsidR="00770058" w:rsidRPr="00AE5A70" w:rsidRDefault="00770058" w:rsidP="00770058">
      <w:pPr>
        <w:rPr>
          <w:sz w:val="23"/>
          <w:szCs w:val="23"/>
        </w:rPr>
      </w:pPr>
      <w:r w:rsidRPr="00AE5A70">
        <w:rPr>
          <w:b/>
          <w:bCs/>
          <w:sz w:val="23"/>
          <w:szCs w:val="23"/>
        </w:rPr>
        <w:t>Recommendation 2.1:</w:t>
      </w:r>
      <w:r>
        <w:rPr>
          <w:b/>
          <w:bCs/>
          <w:sz w:val="23"/>
          <w:szCs w:val="23"/>
        </w:rPr>
        <w:t xml:space="preserve"> </w:t>
      </w:r>
      <w:r w:rsidRPr="00AE5A70">
        <w:rPr>
          <w:rFonts w:ascii="Calibri" w:eastAsia="Calibri" w:hAnsi="Calibri" w:cs="Calibri"/>
          <w:sz w:val="23"/>
          <w:szCs w:val="23"/>
        </w:rPr>
        <w:t>The Working Group requests that the Allied Health Reference Group investigate and consider expanding access to provide multidisciplinary team (MDT) case conference MBS items 735, 739, 743 and to item 729 (contribution to a MDT care plan prepared by another practitioner) to allied health professionals who are trained in the treatment of eating disorders.</w:t>
      </w:r>
      <w:r w:rsidRPr="00AE5A70">
        <w:rPr>
          <w:rStyle w:val="FootnoteReference"/>
          <w:rFonts w:ascii="SimSun" w:eastAsia="SimSun" w:hAnsi="SimSun" w:cs="Calibri"/>
          <w:sz w:val="23"/>
          <w:szCs w:val="23"/>
        </w:rPr>
        <w:footnoteReference w:id="2"/>
      </w:r>
      <w:r w:rsidRPr="00AE5A70">
        <w:rPr>
          <w:rFonts w:ascii="Calibri" w:eastAsia="Calibri" w:hAnsi="Calibri" w:cs="Calibri"/>
          <w:sz w:val="23"/>
          <w:szCs w:val="23"/>
        </w:rPr>
        <w:t xml:space="preserve"> This would enable these practitioners to be remunerated for their involvement in MDT care plan development and case conferences.</w:t>
      </w:r>
    </w:p>
    <w:p w14:paraId="49EFDECB" w14:textId="77777777" w:rsidR="00770058" w:rsidRDefault="00770058" w:rsidP="00770058">
      <w:pPr>
        <w:rPr>
          <w:sz w:val="23"/>
          <w:szCs w:val="23"/>
        </w:rPr>
      </w:pPr>
      <w:r w:rsidRPr="00AE5A70">
        <w:rPr>
          <w:b/>
          <w:bCs/>
          <w:sz w:val="23"/>
          <w:szCs w:val="23"/>
        </w:rPr>
        <w:t>Recommendation 2.2:</w:t>
      </w:r>
      <w:r>
        <w:rPr>
          <w:b/>
          <w:bCs/>
          <w:sz w:val="23"/>
          <w:szCs w:val="23"/>
        </w:rPr>
        <w:t xml:space="preserve"> </w:t>
      </w:r>
      <w:r w:rsidRPr="00AE5A70">
        <w:rPr>
          <w:sz w:val="23"/>
          <w:szCs w:val="23"/>
        </w:rPr>
        <w:t>Allow appropriately trained practitioners</w:t>
      </w:r>
      <w:r>
        <w:rPr>
          <w:sz w:val="23"/>
          <w:szCs w:val="23"/>
        </w:rPr>
        <w:t xml:space="preserve"> </w:t>
      </w:r>
      <w:r w:rsidRPr="00AE5A70">
        <w:rPr>
          <w:sz w:val="23"/>
          <w:szCs w:val="23"/>
        </w:rPr>
        <w:t>to provide family-based therapy (FBT) under the items for focussed psychological strategy services</w:t>
      </w:r>
      <w:r>
        <w:rPr>
          <w:sz w:val="23"/>
          <w:szCs w:val="23"/>
        </w:rPr>
        <w:t xml:space="preserve"> and any new psychological services provided under the new MBS items (to which recommendation 1.2 refers). FBT should be delivered in line with the evidence base in this area. FBT</w:t>
      </w:r>
      <w:r w:rsidRPr="00AE5A70">
        <w:rPr>
          <w:sz w:val="23"/>
          <w:szCs w:val="23"/>
        </w:rPr>
        <w:t xml:space="preserve"> services will count towards the patient’s allocation of psychological services provided through the new MBS items.</w:t>
      </w:r>
    </w:p>
    <w:p w14:paraId="1242DF4D" w14:textId="77777777" w:rsidR="00770058" w:rsidRDefault="00770058" w:rsidP="00770058">
      <w:pPr>
        <w:rPr>
          <w:sz w:val="23"/>
          <w:szCs w:val="23"/>
        </w:rPr>
      </w:pPr>
      <w:r w:rsidRPr="00AE5A70">
        <w:rPr>
          <w:b/>
          <w:bCs/>
          <w:sz w:val="23"/>
          <w:szCs w:val="23"/>
        </w:rPr>
        <w:t>Recommendation 2.3</w:t>
      </w:r>
      <w:r>
        <w:rPr>
          <w:b/>
          <w:bCs/>
          <w:sz w:val="23"/>
          <w:szCs w:val="23"/>
        </w:rPr>
        <w:t xml:space="preserve">: </w:t>
      </w:r>
      <w:r w:rsidRPr="00AE5A70">
        <w:rPr>
          <w:sz w:val="23"/>
          <w:szCs w:val="23"/>
        </w:rPr>
        <w:t xml:space="preserve">The Working Group identified a number of other changes that could be made to MBS items to support the delivery of care for patients with eating disorders. The Working Group requests that the Clinical Committees responsible for these items consider the identified issues in the course of the Committees’ work.  </w:t>
      </w:r>
      <w:r>
        <w:rPr>
          <w:sz w:val="23"/>
          <w:szCs w:val="23"/>
        </w:rPr>
        <w:t xml:space="preserve">Appendix D: Referral to other Clinical Committees </w:t>
      </w:r>
      <w:r w:rsidRPr="00AE5A70">
        <w:rPr>
          <w:sz w:val="23"/>
          <w:szCs w:val="23"/>
        </w:rPr>
        <w:t>provides the full referrals made to these Committees.</w:t>
      </w:r>
    </w:p>
    <w:p w14:paraId="2A7D4060" w14:textId="77777777" w:rsidR="00770058" w:rsidRDefault="00770058" w:rsidP="00770058">
      <w:pPr>
        <w:rPr>
          <w:sz w:val="23"/>
          <w:szCs w:val="23"/>
        </w:rPr>
      </w:pPr>
      <w:r w:rsidRPr="00AE5A70">
        <w:rPr>
          <w:b/>
          <w:bCs/>
          <w:sz w:val="23"/>
          <w:szCs w:val="23"/>
        </w:rPr>
        <w:t>Recommendation 3.1</w:t>
      </w:r>
      <w:r>
        <w:rPr>
          <w:b/>
          <w:bCs/>
          <w:sz w:val="23"/>
          <w:szCs w:val="23"/>
        </w:rPr>
        <w:t xml:space="preserve">: </w:t>
      </w:r>
      <w:r w:rsidRPr="00AE5A70">
        <w:rPr>
          <w:sz w:val="23"/>
          <w:szCs w:val="23"/>
        </w:rPr>
        <w:t>Further support and education should be provided to GPs about locally available specialist services for patients with eating disorders, and their families.</w:t>
      </w:r>
    </w:p>
    <w:p w14:paraId="221B6D95" w14:textId="77777777" w:rsidR="00770058" w:rsidRPr="00AE5A70" w:rsidRDefault="00770058" w:rsidP="00770058">
      <w:pPr>
        <w:rPr>
          <w:sz w:val="23"/>
          <w:szCs w:val="23"/>
        </w:rPr>
      </w:pPr>
      <w:r w:rsidRPr="00AE5A70">
        <w:rPr>
          <w:b/>
          <w:bCs/>
          <w:sz w:val="23"/>
          <w:szCs w:val="23"/>
        </w:rPr>
        <w:t>Recommendation 3.2:</w:t>
      </w:r>
      <w:r>
        <w:rPr>
          <w:b/>
          <w:bCs/>
          <w:sz w:val="23"/>
          <w:szCs w:val="23"/>
        </w:rPr>
        <w:t xml:space="preserve"> </w:t>
      </w:r>
      <w:r w:rsidRPr="00AE5A70">
        <w:rPr>
          <w:sz w:val="23"/>
          <w:szCs w:val="23"/>
        </w:rPr>
        <w:t>Professional associations and other relevant training organisations should develop</w:t>
      </w:r>
      <w:r>
        <w:rPr>
          <w:sz w:val="23"/>
          <w:szCs w:val="23"/>
        </w:rPr>
        <w:t xml:space="preserve"> and/or extend</w:t>
      </w:r>
      <w:r w:rsidRPr="00AE5A70">
        <w:rPr>
          <w:sz w:val="23"/>
          <w:szCs w:val="23"/>
        </w:rPr>
        <w:t xml:space="preserve"> specific training, education and clinical guidance for working with people who have eating disorders. This training should be included in</w:t>
      </w:r>
      <w:r>
        <w:rPr>
          <w:sz w:val="23"/>
          <w:szCs w:val="23"/>
        </w:rPr>
        <w:t xml:space="preserve"> undergraduate and post graduate university health programs,</w:t>
      </w:r>
      <w:r w:rsidRPr="00AE5A70">
        <w:rPr>
          <w:sz w:val="23"/>
          <w:szCs w:val="23"/>
        </w:rPr>
        <w:t xml:space="preserve"> continuing professional development programs for disciplines involved in the</w:t>
      </w:r>
      <w:r>
        <w:rPr>
          <w:sz w:val="23"/>
          <w:szCs w:val="23"/>
        </w:rPr>
        <w:t xml:space="preserve"> diagnosis,</w:t>
      </w:r>
      <w:r w:rsidRPr="00AE5A70">
        <w:rPr>
          <w:sz w:val="23"/>
          <w:szCs w:val="23"/>
        </w:rPr>
        <w:t xml:space="preserve"> treatment and management of patients with eating disorders, and in particular, any health professionals providing services under the new MBS items.</w:t>
      </w:r>
    </w:p>
    <w:p w14:paraId="1147A448" w14:textId="77777777" w:rsidR="00770058" w:rsidRDefault="00770058" w:rsidP="00770058">
      <w:pPr>
        <w:rPr>
          <w:sz w:val="23"/>
          <w:szCs w:val="23"/>
        </w:rPr>
      </w:pPr>
      <w:r w:rsidRPr="00AE5A70">
        <w:rPr>
          <w:b/>
          <w:bCs/>
          <w:sz w:val="23"/>
          <w:szCs w:val="23"/>
        </w:rPr>
        <w:t>Recommendation 3.3</w:t>
      </w:r>
      <w:r>
        <w:rPr>
          <w:b/>
          <w:bCs/>
          <w:sz w:val="23"/>
          <w:szCs w:val="23"/>
        </w:rPr>
        <w:t xml:space="preserve">: </w:t>
      </w:r>
      <w:r w:rsidRPr="00AE5A70">
        <w:rPr>
          <w:sz w:val="23"/>
          <w:szCs w:val="23"/>
        </w:rPr>
        <w:t xml:space="preserve">A credentialing process should be established, specific to practitioners </w:t>
      </w:r>
      <w:r>
        <w:rPr>
          <w:sz w:val="23"/>
          <w:szCs w:val="23"/>
        </w:rPr>
        <w:t xml:space="preserve">who diagnose and provide specialist </w:t>
      </w:r>
      <w:r w:rsidRPr="00AE5A70">
        <w:rPr>
          <w:sz w:val="23"/>
          <w:szCs w:val="23"/>
        </w:rPr>
        <w:t xml:space="preserve">treatment </w:t>
      </w:r>
      <w:r>
        <w:rPr>
          <w:sz w:val="23"/>
          <w:szCs w:val="23"/>
        </w:rPr>
        <w:t xml:space="preserve">to </w:t>
      </w:r>
      <w:r w:rsidRPr="00AE5A70">
        <w:rPr>
          <w:sz w:val="23"/>
          <w:szCs w:val="23"/>
        </w:rPr>
        <w:t>patients with eating disorders. Once established, these credentials should be used to determine practitioner eligibility to provide eating disorder services under the new MBS item</w:t>
      </w:r>
      <w:r>
        <w:rPr>
          <w:sz w:val="23"/>
          <w:szCs w:val="23"/>
        </w:rPr>
        <w:t>s</w:t>
      </w:r>
      <w:r w:rsidRPr="00AE5A70">
        <w:rPr>
          <w:sz w:val="23"/>
          <w:szCs w:val="23"/>
        </w:rPr>
        <w:t xml:space="preserve"> that </w:t>
      </w:r>
      <w:r>
        <w:rPr>
          <w:sz w:val="23"/>
          <w:szCs w:val="23"/>
        </w:rPr>
        <w:t>are</w:t>
      </w:r>
      <w:r w:rsidRPr="00AE5A70">
        <w:rPr>
          <w:sz w:val="23"/>
          <w:szCs w:val="23"/>
        </w:rPr>
        <w:t xml:space="preserve"> recommended within this report</w:t>
      </w:r>
      <w:r>
        <w:rPr>
          <w:sz w:val="23"/>
          <w:szCs w:val="23"/>
        </w:rPr>
        <w:t>.</w:t>
      </w:r>
    </w:p>
    <w:p w14:paraId="047605A6" w14:textId="77777777" w:rsidR="00770058" w:rsidRPr="00770058" w:rsidRDefault="00770058" w:rsidP="00770058">
      <w:pPr>
        <w:rPr>
          <w:b/>
          <w:bCs/>
          <w:sz w:val="23"/>
          <w:szCs w:val="23"/>
        </w:rPr>
      </w:pPr>
      <w:r w:rsidRPr="00AE5A70">
        <w:rPr>
          <w:b/>
          <w:bCs/>
          <w:sz w:val="23"/>
          <w:szCs w:val="23"/>
        </w:rPr>
        <w:t>Recommendation 3.4</w:t>
      </w:r>
      <w:r>
        <w:rPr>
          <w:b/>
          <w:bCs/>
          <w:sz w:val="23"/>
          <w:szCs w:val="23"/>
        </w:rPr>
        <w:t xml:space="preserve">: </w:t>
      </w:r>
      <w:r w:rsidRPr="009341EF">
        <w:rPr>
          <w:sz w:val="23"/>
          <w:szCs w:val="23"/>
        </w:rPr>
        <w:t>The Department of Health to write to the 31 Primary Health Networks (PHNs) on behalf of the Working Group to increase awareness about evidence-based clinical pathways for the treatment of people with eating disorders, and to provide an example clinical pathway which could be adapted and implemented for use in their local area.</w:t>
      </w:r>
    </w:p>
    <w:p w14:paraId="3EC35A37" w14:textId="77777777" w:rsidR="00072EF3" w:rsidRPr="00AE5A70" w:rsidRDefault="000D0E4E" w:rsidP="001272C0">
      <w:pPr>
        <w:pStyle w:val="Heading2"/>
        <w:numPr>
          <w:ilvl w:val="1"/>
          <w:numId w:val="5"/>
        </w:numPr>
        <w:spacing w:before="120" w:after="120"/>
        <w:ind w:left="578" w:hanging="578"/>
        <w:rPr>
          <w:sz w:val="23"/>
          <w:szCs w:val="23"/>
        </w:rPr>
      </w:pPr>
      <w:bookmarkStart w:id="10" w:name="_Toc485295713"/>
      <w:bookmarkStart w:id="11" w:name="_Toc531941913"/>
      <w:r w:rsidRPr="00AE5A70">
        <w:rPr>
          <w:sz w:val="23"/>
          <w:szCs w:val="23"/>
        </w:rPr>
        <w:t>Consumer impact</w:t>
      </w:r>
      <w:bookmarkEnd w:id="10"/>
      <w:bookmarkEnd w:id="11"/>
    </w:p>
    <w:p w14:paraId="6768D090" w14:textId="77777777" w:rsidR="00EE1448" w:rsidRPr="00D71527" w:rsidRDefault="00EC31E8" w:rsidP="00EE1448">
      <w:pPr>
        <w:rPr>
          <w:rFonts w:ascii="Calibri" w:eastAsia="Calibri" w:hAnsi="Calibri" w:cs="Calibri"/>
          <w:sz w:val="23"/>
          <w:szCs w:val="23"/>
        </w:rPr>
      </w:pPr>
      <w:r w:rsidRPr="00AF2104">
        <w:rPr>
          <w:rFonts w:ascii="Calibri" w:eastAsia="Calibri" w:hAnsi="Calibri" w:cs="Calibri"/>
          <w:sz w:val="23"/>
          <w:szCs w:val="23"/>
        </w:rPr>
        <w:t>Th</w:t>
      </w:r>
      <w:r w:rsidRPr="00D71527">
        <w:rPr>
          <w:rFonts w:ascii="Calibri" w:eastAsia="Calibri" w:hAnsi="Calibri" w:cs="Calibri"/>
          <w:sz w:val="23"/>
          <w:szCs w:val="23"/>
        </w:rPr>
        <w:t>e new MBS item</w:t>
      </w:r>
      <w:r w:rsidR="0022245C">
        <w:rPr>
          <w:rFonts w:ascii="Calibri" w:eastAsia="Calibri" w:hAnsi="Calibri" w:cs="Calibri"/>
          <w:sz w:val="23"/>
          <w:szCs w:val="23"/>
        </w:rPr>
        <w:t>s</w:t>
      </w:r>
      <w:r w:rsidR="00EE1448" w:rsidRPr="00895B75">
        <w:rPr>
          <w:rFonts w:ascii="Calibri" w:eastAsia="Calibri" w:hAnsi="Calibri" w:cs="Calibri"/>
          <w:sz w:val="23"/>
          <w:szCs w:val="23"/>
        </w:rPr>
        <w:t xml:space="preserve"> recommended by the Working Group will enable patients</w:t>
      </w:r>
      <w:r w:rsidRPr="00396865">
        <w:rPr>
          <w:rFonts w:ascii="Calibri" w:eastAsia="Calibri" w:hAnsi="Calibri" w:cs="Calibri"/>
          <w:sz w:val="23"/>
          <w:szCs w:val="23"/>
        </w:rPr>
        <w:t xml:space="preserve"> with anorexia</w:t>
      </w:r>
      <w:r w:rsidR="00731C6B" w:rsidRPr="00396865">
        <w:rPr>
          <w:rFonts w:ascii="Calibri" w:eastAsia="Calibri" w:hAnsi="Calibri" w:cs="Calibri"/>
          <w:sz w:val="23"/>
          <w:szCs w:val="23"/>
        </w:rPr>
        <w:t xml:space="preserve"> nervosa and patients with other eating disorder</w:t>
      </w:r>
      <w:r w:rsidR="001E4BF4">
        <w:rPr>
          <w:rFonts w:ascii="Calibri" w:eastAsia="Calibri" w:hAnsi="Calibri" w:cs="Calibri"/>
          <w:sz w:val="23"/>
          <w:szCs w:val="23"/>
        </w:rPr>
        <w:t xml:space="preserve">s who have complex care needs </w:t>
      </w:r>
      <w:r w:rsidR="00DB6D16">
        <w:rPr>
          <w:rFonts w:ascii="Calibri" w:eastAsia="Calibri" w:hAnsi="Calibri" w:cs="Calibri"/>
          <w:sz w:val="23"/>
          <w:szCs w:val="23"/>
        </w:rPr>
        <w:t xml:space="preserve">to </w:t>
      </w:r>
      <w:r w:rsidR="00EE1448" w:rsidRPr="00396865">
        <w:rPr>
          <w:rFonts w:ascii="Calibri" w:eastAsia="Calibri" w:hAnsi="Calibri" w:cs="Calibri"/>
          <w:sz w:val="23"/>
          <w:szCs w:val="23"/>
        </w:rPr>
        <w:t>access evidence</w:t>
      </w:r>
      <w:r w:rsidR="00F527F1" w:rsidRPr="00396865">
        <w:rPr>
          <w:rFonts w:ascii="Calibri" w:eastAsia="Calibri" w:hAnsi="Calibri" w:cs="Calibri"/>
          <w:sz w:val="23"/>
          <w:szCs w:val="23"/>
        </w:rPr>
        <w:t>-</w:t>
      </w:r>
      <w:r w:rsidR="00EE1448" w:rsidRPr="00396865">
        <w:rPr>
          <w:rFonts w:ascii="Calibri" w:eastAsia="Calibri" w:hAnsi="Calibri" w:cs="Calibri"/>
          <w:sz w:val="23"/>
          <w:szCs w:val="23"/>
        </w:rPr>
        <w:t>based care</w:t>
      </w:r>
      <w:r w:rsidRPr="00396865">
        <w:rPr>
          <w:rFonts w:ascii="Calibri" w:eastAsia="Calibri" w:hAnsi="Calibri" w:cs="Calibri"/>
          <w:sz w:val="23"/>
          <w:szCs w:val="23"/>
        </w:rPr>
        <w:t xml:space="preserve"> through the MBS</w:t>
      </w:r>
      <w:r w:rsidR="00EE1448" w:rsidRPr="00396865">
        <w:rPr>
          <w:rFonts w:ascii="Calibri" w:eastAsia="Calibri" w:hAnsi="Calibri" w:cs="Calibri"/>
          <w:sz w:val="23"/>
          <w:szCs w:val="23"/>
        </w:rPr>
        <w:t>. The new item</w:t>
      </w:r>
      <w:r w:rsidR="001E4BF4">
        <w:rPr>
          <w:rFonts w:ascii="Calibri" w:eastAsia="Calibri" w:hAnsi="Calibri" w:cs="Calibri"/>
          <w:sz w:val="23"/>
          <w:szCs w:val="23"/>
        </w:rPr>
        <w:t>s</w:t>
      </w:r>
      <w:r w:rsidR="00EE1448" w:rsidRPr="00D71527">
        <w:rPr>
          <w:rFonts w:ascii="Calibri" w:eastAsia="Calibri" w:hAnsi="Calibri" w:cs="Calibri"/>
          <w:sz w:val="23"/>
          <w:szCs w:val="23"/>
        </w:rPr>
        <w:t xml:space="preserve"> will fu</w:t>
      </w:r>
      <w:r w:rsidR="00EE1448" w:rsidRPr="00895B75">
        <w:rPr>
          <w:rFonts w:ascii="Calibri" w:eastAsia="Calibri" w:hAnsi="Calibri" w:cs="Calibri"/>
          <w:sz w:val="23"/>
          <w:szCs w:val="23"/>
        </w:rPr>
        <w:t>nd the development</w:t>
      </w:r>
      <w:r w:rsidR="00DB6D16">
        <w:rPr>
          <w:rFonts w:ascii="Calibri" w:eastAsia="Calibri" w:hAnsi="Calibri" w:cs="Calibri"/>
          <w:sz w:val="23"/>
          <w:szCs w:val="23"/>
        </w:rPr>
        <w:t xml:space="preserve"> and review</w:t>
      </w:r>
      <w:r w:rsidR="00EE1448" w:rsidRPr="00895B75">
        <w:rPr>
          <w:rFonts w:ascii="Calibri" w:eastAsia="Calibri" w:hAnsi="Calibri" w:cs="Calibri"/>
          <w:sz w:val="23"/>
          <w:szCs w:val="23"/>
        </w:rPr>
        <w:t xml:space="preserve"> of a treatment and management plan for</w:t>
      </w:r>
      <w:r w:rsidR="00731C6B" w:rsidRPr="00396865">
        <w:rPr>
          <w:rFonts w:ascii="Calibri" w:eastAsia="Calibri" w:hAnsi="Calibri" w:cs="Calibri"/>
          <w:sz w:val="23"/>
          <w:szCs w:val="23"/>
        </w:rPr>
        <w:t xml:space="preserve"> these</w:t>
      </w:r>
      <w:r w:rsidR="00EE1448" w:rsidRPr="00396865">
        <w:rPr>
          <w:rFonts w:ascii="Calibri" w:eastAsia="Calibri" w:hAnsi="Calibri" w:cs="Calibri"/>
          <w:sz w:val="23"/>
          <w:szCs w:val="23"/>
        </w:rPr>
        <w:t xml:space="preserve"> patients</w:t>
      </w:r>
      <w:r w:rsidR="00731C6B" w:rsidRPr="00396865">
        <w:rPr>
          <w:rFonts w:ascii="Calibri" w:eastAsia="Calibri" w:hAnsi="Calibri" w:cs="Calibri"/>
          <w:sz w:val="23"/>
          <w:szCs w:val="23"/>
        </w:rPr>
        <w:t xml:space="preserve"> who</w:t>
      </w:r>
      <w:r w:rsidRPr="00396865">
        <w:rPr>
          <w:rFonts w:ascii="Calibri" w:eastAsia="Calibri" w:hAnsi="Calibri" w:cs="Calibri"/>
          <w:sz w:val="23"/>
          <w:szCs w:val="23"/>
        </w:rPr>
        <w:t xml:space="preserve"> will then be</w:t>
      </w:r>
      <w:r w:rsidR="00EE1448" w:rsidRPr="00396865">
        <w:rPr>
          <w:rFonts w:ascii="Calibri" w:eastAsia="Calibri" w:hAnsi="Calibri" w:cs="Calibri"/>
          <w:sz w:val="23"/>
          <w:szCs w:val="23"/>
        </w:rPr>
        <w:t xml:space="preserve"> eligible </w:t>
      </w:r>
      <w:r w:rsidR="00396865">
        <w:rPr>
          <w:rFonts w:ascii="Calibri" w:eastAsia="Calibri" w:hAnsi="Calibri" w:cs="Calibri"/>
          <w:sz w:val="23"/>
          <w:szCs w:val="23"/>
        </w:rPr>
        <w:t>to access an increased number of psychological and dietetic services than currently available</w:t>
      </w:r>
      <w:r w:rsidR="00EE1448" w:rsidRPr="00AF2104">
        <w:rPr>
          <w:rFonts w:ascii="Calibri" w:eastAsia="Calibri" w:hAnsi="Calibri" w:cs="Calibri"/>
          <w:sz w:val="23"/>
          <w:szCs w:val="23"/>
        </w:rPr>
        <w:t>. This will align MBS funding with current best pr</w:t>
      </w:r>
      <w:r w:rsidR="0022245C">
        <w:rPr>
          <w:rFonts w:ascii="Calibri" w:eastAsia="Calibri" w:hAnsi="Calibri" w:cs="Calibri"/>
          <w:sz w:val="23"/>
          <w:szCs w:val="23"/>
        </w:rPr>
        <w:t>actice care and allow these patients</w:t>
      </w:r>
      <w:r w:rsidR="00EE1448" w:rsidRPr="00D71527">
        <w:rPr>
          <w:rFonts w:ascii="Calibri" w:eastAsia="Calibri" w:hAnsi="Calibri" w:cs="Calibri"/>
          <w:sz w:val="23"/>
          <w:szCs w:val="23"/>
        </w:rPr>
        <w:t xml:space="preserve"> to access a greater number of Medicare funded psychological and dietetic sessions at a subsided cost. Evidence indicates that this higher level of treatment services is correlated with a reduced rate of repeat h</w:t>
      </w:r>
      <w:r w:rsidR="00EE1448" w:rsidRPr="00895B75">
        <w:rPr>
          <w:rFonts w:ascii="Calibri" w:eastAsia="Calibri" w:hAnsi="Calibri" w:cs="Calibri"/>
          <w:sz w:val="23"/>
          <w:szCs w:val="23"/>
        </w:rPr>
        <w:t xml:space="preserve">ospitalisation and improved health outcomes. </w:t>
      </w:r>
      <w:r w:rsidR="001E4BF4">
        <w:rPr>
          <w:rFonts w:ascii="Calibri" w:eastAsia="Calibri" w:hAnsi="Calibri" w:cs="Calibri"/>
          <w:sz w:val="23"/>
          <w:szCs w:val="23"/>
        </w:rPr>
        <w:t>Allowing the proposed new services to be provided via telehealth will increase patient access to services, particularly for patients in rural and remote areas where the number of practitioners with experience in providing treatment to patients with eating disorders is limited.</w:t>
      </w:r>
    </w:p>
    <w:p w14:paraId="3B160352" w14:textId="77777777" w:rsidR="00D71527" w:rsidRDefault="00EE1448" w:rsidP="00EE1448">
      <w:pPr>
        <w:rPr>
          <w:rFonts w:ascii="Calibri" w:eastAsia="Calibri" w:hAnsi="Calibri" w:cs="Calibri"/>
          <w:sz w:val="23"/>
          <w:szCs w:val="23"/>
        </w:rPr>
      </w:pPr>
      <w:r w:rsidRPr="00895B75">
        <w:rPr>
          <w:rFonts w:ascii="Calibri" w:eastAsia="Calibri" w:hAnsi="Calibri" w:cs="Calibri"/>
          <w:sz w:val="23"/>
          <w:szCs w:val="23"/>
        </w:rPr>
        <w:t>The promotion and dissemination of guidance and educational material on best</w:t>
      </w:r>
      <w:r w:rsidRPr="00396865">
        <w:rPr>
          <w:rFonts w:ascii="Calibri" w:eastAsia="Calibri" w:hAnsi="Calibri" w:cs="Calibri"/>
          <w:sz w:val="23"/>
          <w:szCs w:val="23"/>
        </w:rPr>
        <w:t>-practice clinical care for patients with eating disorders will assist to upskill the health workforce and</w:t>
      </w:r>
      <w:r w:rsidR="00D71527">
        <w:rPr>
          <w:rFonts w:ascii="Calibri" w:eastAsia="Calibri" w:hAnsi="Calibri" w:cs="Calibri"/>
          <w:sz w:val="23"/>
          <w:szCs w:val="23"/>
        </w:rPr>
        <w:t xml:space="preserve"> support the</w:t>
      </w:r>
      <w:r w:rsidRPr="00895B75">
        <w:rPr>
          <w:rFonts w:ascii="Calibri" w:eastAsia="Calibri" w:hAnsi="Calibri" w:cs="Calibri"/>
          <w:sz w:val="23"/>
          <w:szCs w:val="23"/>
        </w:rPr>
        <w:t xml:space="preserve"> </w:t>
      </w:r>
      <w:r w:rsidR="009400B8">
        <w:rPr>
          <w:rFonts w:ascii="Calibri" w:eastAsia="Calibri" w:hAnsi="Calibri" w:cs="Calibri"/>
          <w:sz w:val="23"/>
          <w:szCs w:val="23"/>
        </w:rPr>
        <w:t xml:space="preserve">timely </w:t>
      </w:r>
      <w:r w:rsidRPr="00895B75">
        <w:rPr>
          <w:rFonts w:ascii="Calibri" w:eastAsia="Calibri" w:hAnsi="Calibri" w:cs="Calibri"/>
          <w:sz w:val="23"/>
          <w:szCs w:val="23"/>
        </w:rPr>
        <w:t xml:space="preserve">identification and treatment of patients with eating disorders. This will </w:t>
      </w:r>
      <w:r w:rsidR="00D71527">
        <w:rPr>
          <w:rFonts w:ascii="Calibri" w:eastAsia="Calibri" w:hAnsi="Calibri" w:cs="Calibri"/>
          <w:sz w:val="23"/>
          <w:szCs w:val="23"/>
        </w:rPr>
        <w:t xml:space="preserve">also </w:t>
      </w:r>
      <w:r w:rsidRPr="00D71527">
        <w:rPr>
          <w:rFonts w:ascii="Calibri" w:eastAsia="Calibri" w:hAnsi="Calibri" w:cs="Calibri"/>
          <w:sz w:val="23"/>
          <w:szCs w:val="23"/>
        </w:rPr>
        <w:t>improve practitioner confidence when providing care to this patient group</w:t>
      </w:r>
      <w:r w:rsidR="00D71527">
        <w:rPr>
          <w:rFonts w:ascii="Calibri" w:eastAsia="Calibri" w:hAnsi="Calibri" w:cs="Calibri"/>
          <w:sz w:val="23"/>
          <w:szCs w:val="23"/>
        </w:rPr>
        <w:t>. Evidence shows that intervening</w:t>
      </w:r>
      <w:r w:rsidR="009400B8">
        <w:rPr>
          <w:rFonts w:ascii="Calibri" w:eastAsia="Calibri" w:hAnsi="Calibri" w:cs="Calibri"/>
          <w:sz w:val="23"/>
          <w:szCs w:val="23"/>
        </w:rPr>
        <w:t xml:space="preserve"> in the initial stages of </w:t>
      </w:r>
      <w:r w:rsidR="00D71527">
        <w:rPr>
          <w:rFonts w:ascii="Calibri" w:eastAsia="Calibri" w:hAnsi="Calibri" w:cs="Calibri"/>
          <w:sz w:val="23"/>
          <w:szCs w:val="23"/>
        </w:rPr>
        <w:t>the development of eating disorder provides the best chance of treatment success</w:t>
      </w:r>
      <w:r w:rsidRPr="00396865">
        <w:rPr>
          <w:rFonts w:ascii="Calibri" w:eastAsia="Calibri" w:hAnsi="Calibri" w:cs="Calibri"/>
          <w:sz w:val="23"/>
          <w:szCs w:val="23"/>
        </w:rPr>
        <w:t>, leading to improvements in patient outcomes</w:t>
      </w:r>
      <w:r w:rsidR="00D71527">
        <w:rPr>
          <w:rFonts w:ascii="Calibri" w:eastAsia="Calibri" w:hAnsi="Calibri" w:cs="Calibri"/>
          <w:sz w:val="23"/>
          <w:szCs w:val="23"/>
        </w:rPr>
        <w:t xml:space="preserve"> and efficiencies for the health system if patients are treated before deteriorating to a point where they require tertiary level care.  </w:t>
      </w:r>
    </w:p>
    <w:p w14:paraId="568A46EA" w14:textId="77777777" w:rsidR="00EE1448" w:rsidRPr="00396865" w:rsidRDefault="00EC31E8" w:rsidP="00EE1448">
      <w:pPr>
        <w:rPr>
          <w:rFonts w:ascii="Calibri" w:eastAsia="Calibri" w:hAnsi="Calibri" w:cs="Calibri"/>
          <w:sz w:val="23"/>
          <w:szCs w:val="23"/>
        </w:rPr>
      </w:pPr>
      <w:r w:rsidRPr="00D71527">
        <w:rPr>
          <w:rFonts w:ascii="Calibri" w:eastAsia="Calibri" w:hAnsi="Calibri" w:cs="Calibri"/>
          <w:sz w:val="23"/>
          <w:szCs w:val="23"/>
        </w:rPr>
        <w:t>The establishment of</w:t>
      </w:r>
      <w:r w:rsidRPr="00895B75">
        <w:rPr>
          <w:rFonts w:ascii="Calibri" w:eastAsia="Calibri" w:hAnsi="Calibri" w:cs="Calibri"/>
          <w:sz w:val="23"/>
          <w:szCs w:val="23"/>
        </w:rPr>
        <w:t xml:space="preserve"> training and educational materials, and with time</w:t>
      </w:r>
      <w:r w:rsidR="00D71527">
        <w:rPr>
          <w:rFonts w:ascii="Calibri" w:eastAsia="Calibri" w:hAnsi="Calibri" w:cs="Calibri"/>
          <w:sz w:val="23"/>
          <w:szCs w:val="23"/>
        </w:rPr>
        <w:t>,</w:t>
      </w:r>
      <w:r w:rsidRPr="00D71527">
        <w:rPr>
          <w:rFonts w:ascii="Calibri" w:eastAsia="Calibri" w:hAnsi="Calibri" w:cs="Calibri"/>
          <w:sz w:val="23"/>
          <w:szCs w:val="23"/>
        </w:rPr>
        <w:t xml:space="preserve"> a credentialing process</w:t>
      </w:r>
      <w:r w:rsidRPr="00396865">
        <w:rPr>
          <w:rFonts w:ascii="Calibri" w:eastAsia="Calibri" w:hAnsi="Calibri" w:cs="Calibri"/>
          <w:sz w:val="23"/>
          <w:szCs w:val="23"/>
        </w:rPr>
        <w:t xml:space="preserve"> specific to eating disorders</w:t>
      </w:r>
      <w:r w:rsidR="00D71527">
        <w:rPr>
          <w:rFonts w:ascii="Calibri" w:eastAsia="Calibri" w:hAnsi="Calibri" w:cs="Calibri"/>
          <w:sz w:val="23"/>
          <w:szCs w:val="23"/>
        </w:rPr>
        <w:t>,</w:t>
      </w:r>
      <w:r w:rsidRPr="00D71527">
        <w:rPr>
          <w:rFonts w:ascii="Calibri" w:eastAsia="Calibri" w:hAnsi="Calibri" w:cs="Calibri"/>
          <w:sz w:val="23"/>
          <w:szCs w:val="23"/>
        </w:rPr>
        <w:t xml:space="preserve"> will assist to ensure that there is a skilled workforce to provide care for patients with eating disorders. This will ensure that patients are</w:t>
      </w:r>
      <w:r w:rsidRPr="00895B75">
        <w:rPr>
          <w:rFonts w:ascii="Calibri" w:eastAsia="Calibri" w:hAnsi="Calibri" w:cs="Calibri"/>
          <w:sz w:val="23"/>
          <w:szCs w:val="23"/>
        </w:rPr>
        <w:t xml:space="preserve"> provided with high quality care delivered by experienced practitioners and will assist in increas</w:t>
      </w:r>
      <w:r w:rsidRPr="00396865">
        <w:rPr>
          <w:rFonts w:ascii="Calibri" w:eastAsia="Calibri" w:hAnsi="Calibri" w:cs="Calibri"/>
          <w:sz w:val="23"/>
          <w:szCs w:val="23"/>
        </w:rPr>
        <w:t xml:space="preserve">ing the critical mass of practitioners who are able to </w:t>
      </w:r>
      <w:r w:rsidR="00DC0840">
        <w:rPr>
          <w:rFonts w:ascii="Calibri" w:eastAsia="Calibri" w:hAnsi="Calibri" w:cs="Calibri"/>
          <w:sz w:val="23"/>
          <w:szCs w:val="23"/>
        </w:rPr>
        <w:t xml:space="preserve">correctly diagnose and </w:t>
      </w:r>
      <w:r w:rsidRPr="00396865">
        <w:rPr>
          <w:rFonts w:ascii="Calibri" w:eastAsia="Calibri" w:hAnsi="Calibri" w:cs="Calibri"/>
          <w:sz w:val="23"/>
          <w:szCs w:val="23"/>
        </w:rPr>
        <w:t xml:space="preserve">meet the treatment needs of this patient group. It has been identified that availability of practitioners skilled </w:t>
      </w:r>
      <w:r w:rsidR="00DC0840">
        <w:rPr>
          <w:rFonts w:ascii="Calibri" w:eastAsia="Calibri" w:hAnsi="Calibri" w:cs="Calibri"/>
          <w:sz w:val="23"/>
          <w:szCs w:val="23"/>
        </w:rPr>
        <w:t xml:space="preserve">diagnosing and </w:t>
      </w:r>
      <w:r w:rsidRPr="00396865">
        <w:rPr>
          <w:rFonts w:ascii="Calibri" w:eastAsia="Calibri" w:hAnsi="Calibri" w:cs="Calibri"/>
          <w:sz w:val="23"/>
          <w:szCs w:val="23"/>
        </w:rPr>
        <w:t xml:space="preserve">in providing care to patients with eating disorders can impact on patient access to care. </w:t>
      </w:r>
    </w:p>
    <w:p w14:paraId="11CF6EF4" w14:textId="77777777" w:rsidR="00EE1448" w:rsidRPr="00AE5A70" w:rsidRDefault="00EE1448" w:rsidP="00EE1448">
      <w:pPr>
        <w:rPr>
          <w:sz w:val="23"/>
          <w:szCs w:val="23"/>
        </w:rPr>
      </w:pPr>
      <w:r w:rsidRPr="00396865">
        <w:rPr>
          <w:rFonts w:ascii="Calibri" w:eastAsia="Calibri" w:hAnsi="Calibri" w:cs="Calibri"/>
          <w:sz w:val="23"/>
          <w:szCs w:val="23"/>
        </w:rPr>
        <w:t xml:space="preserve">The proposed changes to improve MBS funding for patients with eating disorders will have profound positive health and social impacts, as well as positive economic outcomes for patients, state governments and the Federal Government. Increased MBS funding will </w:t>
      </w:r>
      <w:r w:rsidR="0022245C">
        <w:rPr>
          <w:rFonts w:ascii="Calibri" w:eastAsia="Calibri" w:hAnsi="Calibri" w:cs="Calibri"/>
          <w:sz w:val="23"/>
          <w:szCs w:val="23"/>
        </w:rPr>
        <w:t>support</w:t>
      </w:r>
      <w:r w:rsidRPr="00396865">
        <w:rPr>
          <w:rFonts w:ascii="Calibri" w:eastAsia="Calibri" w:hAnsi="Calibri" w:cs="Calibri"/>
          <w:sz w:val="23"/>
          <w:szCs w:val="23"/>
        </w:rPr>
        <w:t xml:space="preserve"> improved health outcomes for patients and potentially reduce the frequency and duration of hospitalisations for these patients.</w:t>
      </w:r>
      <w:r w:rsidRPr="00AE5A70">
        <w:rPr>
          <w:rFonts w:ascii="Calibri" w:eastAsia="Calibri" w:hAnsi="Calibri" w:cs="Calibri"/>
          <w:sz w:val="23"/>
          <w:szCs w:val="23"/>
        </w:rPr>
        <w:t xml:space="preserve"> </w:t>
      </w:r>
    </w:p>
    <w:p w14:paraId="5DE0485A" w14:textId="77777777" w:rsidR="6ED93054" w:rsidRPr="00AE5A70" w:rsidRDefault="000D0E4E">
      <w:pPr>
        <w:rPr>
          <w:sz w:val="18"/>
          <w:szCs w:val="18"/>
        </w:rPr>
      </w:pPr>
      <w:r w:rsidRPr="00AE5A70">
        <w:rPr>
          <w:sz w:val="18"/>
          <w:szCs w:val="18"/>
        </w:rPr>
        <w:br w:type="page"/>
      </w:r>
    </w:p>
    <w:p w14:paraId="00448A01" w14:textId="77777777" w:rsidR="000D0E4E" w:rsidRPr="00AE5A70" w:rsidRDefault="000D0E4E" w:rsidP="00E40606">
      <w:pPr>
        <w:pStyle w:val="Heading1"/>
        <w:widowControl w:val="0"/>
        <w:numPr>
          <w:ilvl w:val="0"/>
          <w:numId w:val="5"/>
        </w:numPr>
        <w:pBdr>
          <w:bottom w:val="single" w:sz="16" w:space="11" w:color="BFBFBF"/>
        </w:pBdr>
        <w:autoSpaceDE w:val="0"/>
        <w:autoSpaceDN w:val="0"/>
        <w:adjustRightInd w:val="0"/>
        <w:spacing w:before="0" w:after="0"/>
        <w:ind w:left="567" w:hanging="567"/>
        <w:textAlignment w:val="center"/>
        <w:rPr>
          <w:sz w:val="24"/>
          <w:szCs w:val="24"/>
        </w:rPr>
      </w:pPr>
      <w:bookmarkStart w:id="12" w:name="_Toc485295714"/>
      <w:bookmarkStart w:id="13" w:name="_Toc531941914"/>
      <w:r w:rsidRPr="00AE5A70">
        <w:rPr>
          <w:sz w:val="24"/>
          <w:szCs w:val="24"/>
        </w:rPr>
        <w:t>About the Medicare Benefits Schedule (MBS) Review</w:t>
      </w:r>
      <w:bookmarkEnd w:id="12"/>
      <w:bookmarkEnd w:id="13"/>
    </w:p>
    <w:p w14:paraId="606EEBA7" w14:textId="77777777" w:rsidR="000D0E4E" w:rsidRPr="00AE5A70" w:rsidRDefault="000D0E4E" w:rsidP="00E40606">
      <w:pPr>
        <w:pStyle w:val="Heading2"/>
        <w:numPr>
          <w:ilvl w:val="1"/>
          <w:numId w:val="5"/>
        </w:numPr>
        <w:spacing w:before="360" w:after="120"/>
        <w:ind w:left="578" w:hanging="578"/>
        <w:rPr>
          <w:sz w:val="23"/>
          <w:szCs w:val="23"/>
        </w:rPr>
      </w:pPr>
      <w:bookmarkStart w:id="14" w:name="_Toc485295715"/>
      <w:bookmarkStart w:id="15" w:name="_Toc531941915"/>
      <w:r w:rsidRPr="00AE5A70">
        <w:rPr>
          <w:sz w:val="23"/>
          <w:szCs w:val="23"/>
        </w:rPr>
        <w:t>Medicare and the MBS</w:t>
      </w:r>
      <w:bookmarkEnd w:id="14"/>
      <w:bookmarkEnd w:id="15"/>
    </w:p>
    <w:p w14:paraId="1A5354B7" w14:textId="77777777" w:rsidR="000D0E4E" w:rsidRPr="00AE5A70" w:rsidRDefault="000D0E4E" w:rsidP="00044469">
      <w:pPr>
        <w:pStyle w:val="Heading3Numbered"/>
        <w:numPr>
          <w:ilvl w:val="2"/>
          <w:numId w:val="5"/>
        </w:numPr>
        <w:rPr>
          <w:sz w:val="23"/>
          <w:szCs w:val="23"/>
        </w:rPr>
      </w:pPr>
      <w:bookmarkStart w:id="16" w:name="_Toc531941916"/>
      <w:r w:rsidRPr="00AE5A70">
        <w:rPr>
          <w:sz w:val="23"/>
          <w:szCs w:val="23"/>
        </w:rPr>
        <w:t>What is Medicare?</w:t>
      </w:r>
      <w:bookmarkEnd w:id="16"/>
    </w:p>
    <w:p w14:paraId="09E5B9B0" w14:textId="77777777" w:rsidR="000D0E4E" w:rsidRPr="00AE5A70" w:rsidRDefault="000D0E4E">
      <w:pPr>
        <w:spacing w:before="120" w:after="120"/>
        <w:ind w:right="-330"/>
        <w:rPr>
          <w:rFonts w:ascii="Arial" w:eastAsia="Arial" w:hAnsi="Arial" w:cs="Arial"/>
          <w:sz w:val="23"/>
          <w:szCs w:val="23"/>
          <w:lang w:val="en-US" w:eastAsia="en-US"/>
        </w:rPr>
      </w:pPr>
      <w:r w:rsidRPr="00AE5A70">
        <w:rPr>
          <w:sz w:val="23"/>
          <w:szCs w:val="23"/>
          <w:lang w:val="en-US" w:eastAsia="en-US"/>
        </w:rPr>
        <w:t>Medicare is Australia’s universal health scheme</w:t>
      </w:r>
      <w:r w:rsidRPr="00AE5A70">
        <w:rPr>
          <w:rFonts w:ascii="Arial" w:eastAsia="Arial" w:hAnsi="Arial" w:cs="Arial"/>
          <w:sz w:val="23"/>
          <w:szCs w:val="23"/>
          <w:lang w:val="en-US" w:eastAsia="en-US"/>
        </w:rPr>
        <w:t xml:space="preserve"> </w:t>
      </w:r>
      <w:r w:rsidRPr="00AE5A70">
        <w:rPr>
          <w:sz w:val="23"/>
          <w:szCs w:val="23"/>
          <w:lang w:val="en-US" w:eastAsia="en-US"/>
        </w:rPr>
        <w:t xml:space="preserve">that enables all Australian residents (and some overseas visitors) to have access to a wide range of health services and medicines at little or no cost. </w:t>
      </w:r>
    </w:p>
    <w:p w14:paraId="4D115A2C" w14:textId="77777777" w:rsidR="000D0E4E" w:rsidRPr="00AE5A70" w:rsidRDefault="000D0E4E">
      <w:pPr>
        <w:spacing w:before="120"/>
        <w:ind w:right="-329"/>
        <w:rPr>
          <w:rFonts w:ascii="Arial" w:eastAsia="Arial" w:hAnsi="Arial" w:cs="Arial"/>
          <w:sz w:val="23"/>
          <w:szCs w:val="23"/>
        </w:rPr>
      </w:pPr>
      <w:r w:rsidRPr="00AE5A70">
        <w:rPr>
          <w:sz w:val="23"/>
          <w:szCs w:val="23"/>
        </w:rPr>
        <w:t>Introduced in 1984,</w:t>
      </w:r>
      <w:r w:rsidRPr="00AE5A70">
        <w:rPr>
          <w:rFonts w:ascii="Arial" w:eastAsia="Arial" w:hAnsi="Arial" w:cs="Arial"/>
          <w:sz w:val="23"/>
          <w:szCs w:val="23"/>
        </w:rPr>
        <w:t xml:space="preserve"> </w:t>
      </w:r>
      <w:r w:rsidRPr="00AE5A70">
        <w:rPr>
          <w:sz w:val="23"/>
          <w:szCs w:val="23"/>
        </w:rPr>
        <w:t>Medicare has three components</w:t>
      </w:r>
      <w:r w:rsidRPr="00AE5A70">
        <w:rPr>
          <w:rFonts w:ascii="Arial" w:eastAsia="Arial" w:hAnsi="Arial" w:cs="Arial"/>
          <w:sz w:val="23"/>
          <w:szCs w:val="23"/>
        </w:rPr>
        <w:t xml:space="preserve">: </w:t>
      </w:r>
    </w:p>
    <w:p w14:paraId="2DBD1D88" w14:textId="77777777" w:rsidR="000D0E4E" w:rsidRPr="00AE5A70" w:rsidRDefault="000D0E4E" w:rsidP="00E40606">
      <w:pPr>
        <w:pStyle w:val="Bullet-green"/>
        <w:numPr>
          <w:ilvl w:val="0"/>
          <w:numId w:val="77"/>
        </w:numPr>
        <w:rPr>
          <w:sz w:val="23"/>
          <w:szCs w:val="23"/>
        </w:rPr>
      </w:pPr>
      <w:r w:rsidRPr="00AE5A70">
        <w:rPr>
          <w:sz w:val="23"/>
          <w:szCs w:val="23"/>
        </w:rPr>
        <w:t>free public hospital services for public patients</w:t>
      </w:r>
      <w:r w:rsidR="008B5CFB" w:rsidRPr="00AE5A70">
        <w:rPr>
          <w:sz w:val="23"/>
          <w:szCs w:val="23"/>
        </w:rPr>
        <w:t>;</w:t>
      </w:r>
    </w:p>
    <w:p w14:paraId="4B22B230" w14:textId="77777777" w:rsidR="000D0E4E" w:rsidRPr="00AE5A70" w:rsidRDefault="000D0E4E" w:rsidP="00E40606">
      <w:pPr>
        <w:pStyle w:val="Bullet-green"/>
        <w:numPr>
          <w:ilvl w:val="0"/>
          <w:numId w:val="77"/>
        </w:numPr>
        <w:rPr>
          <w:sz w:val="23"/>
          <w:szCs w:val="23"/>
        </w:rPr>
      </w:pPr>
      <w:r w:rsidRPr="00AE5A70">
        <w:rPr>
          <w:sz w:val="23"/>
          <w:szCs w:val="23"/>
        </w:rPr>
        <w:t>subsidised drugs covered by the Pharmaceutical Benefits Scheme (PBS)</w:t>
      </w:r>
      <w:r w:rsidR="008B5CFB" w:rsidRPr="00AE5A70">
        <w:rPr>
          <w:sz w:val="23"/>
          <w:szCs w:val="23"/>
        </w:rPr>
        <w:t>; and</w:t>
      </w:r>
    </w:p>
    <w:p w14:paraId="0D1AB5BB" w14:textId="77777777" w:rsidR="000D0E4E" w:rsidRPr="00AE5A70" w:rsidRDefault="000D0E4E" w:rsidP="00E40606">
      <w:pPr>
        <w:pStyle w:val="Bullet-green"/>
        <w:numPr>
          <w:ilvl w:val="0"/>
          <w:numId w:val="77"/>
        </w:numPr>
        <w:rPr>
          <w:sz w:val="23"/>
          <w:szCs w:val="23"/>
        </w:rPr>
      </w:pPr>
      <w:r w:rsidRPr="00AE5A70">
        <w:rPr>
          <w:sz w:val="23"/>
          <w:szCs w:val="23"/>
        </w:rPr>
        <w:t>subsidised health professional services listed on the MBS.</w:t>
      </w:r>
    </w:p>
    <w:p w14:paraId="54BA75B0" w14:textId="77777777" w:rsidR="000D0E4E" w:rsidRPr="00AE5A70" w:rsidRDefault="000D0E4E" w:rsidP="00E40606">
      <w:pPr>
        <w:pStyle w:val="Heading3Numbered"/>
        <w:numPr>
          <w:ilvl w:val="2"/>
          <w:numId w:val="5"/>
        </w:numPr>
        <w:rPr>
          <w:sz w:val="23"/>
          <w:szCs w:val="23"/>
        </w:rPr>
      </w:pPr>
      <w:bookmarkStart w:id="17" w:name="_Toc531941917"/>
      <w:r w:rsidRPr="00AE5A70">
        <w:rPr>
          <w:sz w:val="23"/>
          <w:szCs w:val="23"/>
        </w:rPr>
        <w:t>What is the MBS?</w:t>
      </w:r>
      <w:bookmarkEnd w:id="17"/>
    </w:p>
    <w:p w14:paraId="1041C7F8" w14:textId="77777777" w:rsidR="000D0E4E" w:rsidRPr="00AE5A70" w:rsidRDefault="000D0E4E" w:rsidP="000D0E4E">
      <w:pPr>
        <w:rPr>
          <w:sz w:val="23"/>
          <w:szCs w:val="23"/>
          <w:lang w:val="en-US" w:eastAsia="en-US"/>
        </w:rPr>
      </w:pPr>
      <w:r w:rsidRPr="00AE5A70">
        <w:rPr>
          <w:sz w:val="23"/>
          <w:szCs w:val="23"/>
          <w:lang w:val="en-US"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46A11F34" w14:textId="77777777" w:rsidR="000D0E4E" w:rsidRPr="00AE5A70" w:rsidRDefault="000D0E4E" w:rsidP="00044469">
      <w:pPr>
        <w:pStyle w:val="Heading2"/>
        <w:numPr>
          <w:ilvl w:val="1"/>
          <w:numId w:val="5"/>
        </w:numPr>
        <w:spacing w:before="120" w:after="120"/>
        <w:ind w:left="578" w:hanging="578"/>
        <w:rPr>
          <w:sz w:val="23"/>
          <w:szCs w:val="23"/>
        </w:rPr>
      </w:pPr>
      <w:bookmarkStart w:id="18" w:name="_Toc485295716"/>
      <w:bookmarkStart w:id="19" w:name="_Toc531941918"/>
      <w:r w:rsidRPr="00AE5A70">
        <w:rPr>
          <w:sz w:val="23"/>
          <w:szCs w:val="23"/>
        </w:rPr>
        <w:t>What is the MBS Review Taskforce?</w:t>
      </w:r>
      <w:bookmarkEnd w:id="18"/>
      <w:bookmarkEnd w:id="19"/>
    </w:p>
    <w:p w14:paraId="2E36EAE1" w14:textId="77777777" w:rsidR="000D0E4E" w:rsidRPr="00AE5A70" w:rsidRDefault="000D0E4E" w:rsidP="000D0E4E">
      <w:pPr>
        <w:rPr>
          <w:sz w:val="23"/>
          <w:szCs w:val="23"/>
        </w:rPr>
      </w:pPr>
      <w:r w:rsidRPr="00AE5A70">
        <w:rPr>
          <w:sz w:val="23"/>
          <w:szCs w:val="23"/>
        </w:rPr>
        <w:t xml:space="preserve">The </w:t>
      </w:r>
      <w:r w:rsidR="008B5CFB" w:rsidRPr="00AE5A70">
        <w:rPr>
          <w:sz w:val="23"/>
          <w:szCs w:val="23"/>
        </w:rPr>
        <w:t xml:space="preserve">government </w:t>
      </w:r>
      <w:r w:rsidRPr="00AE5A70">
        <w:rPr>
          <w:sz w:val="23"/>
          <w:szCs w:val="23"/>
        </w:rPr>
        <w:t xml:space="preserve">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0BDD7D2D" w14:textId="77777777" w:rsidR="000D0E4E" w:rsidRPr="00AE5A70" w:rsidRDefault="000D0E4E" w:rsidP="00044469">
      <w:pPr>
        <w:pStyle w:val="Heading3Numbered"/>
        <w:numPr>
          <w:ilvl w:val="2"/>
          <w:numId w:val="5"/>
        </w:numPr>
        <w:rPr>
          <w:sz w:val="23"/>
          <w:szCs w:val="23"/>
        </w:rPr>
      </w:pPr>
      <w:bookmarkStart w:id="20" w:name="_Toc531941919"/>
      <w:r w:rsidRPr="00AE5A70">
        <w:rPr>
          <w:sz w:val="23"/>
          <w:szCs w:val="23"/>
        </w:rPr>
        <w:t>What are the goals of the Taskforce?</w:t>
      </w:r>
      <w:bookmarkEnd w:id="20"/>
    </w:p>
    <w:p w14:paraId="4B17ED1B" w14:textId="77777777" w:rsidR="000D0E4E" w:rsidRPr="00AE5A70" w:rsidRDefault="000D0E4E">
      <w:pPr>
        <w:spacing w:before="120" w:after="120"/>
        <w:rPr>
          <w:rFonts w:ascii="Arial" w:eastAsia="Arial" w:hAnsi="Arial" w:cs="Arial"/>
          <w:sz w:val="23"/>
          <w:szCs w:val="23"/>
        </w:rPr>
      </w:pPr>
      <w:r w:rsidRPr="00AE5A70">
        <w:rPr>
          <w:sz w:val="23"/>
          <w:szCs w:val="23"/>
        </w:rPr>
        <w:t>The Taskforce is committed to providing recommendations to the Minister that will allow the MBS to deliver on each of these four key goals:</w:t>
      </w:r>
    </w:p>
    <w:p w14:paraId="6FF002C4" w14:textId="77777777" w:rsidR="000D0E4E" w:rsidRPr="00AE5A70" w:rsidRDefault="000D0E4E" w:rsidP="00E40606">
      <w:pPr>
        <w:pStyle w:val="Bullet-green"/>
        <w:numPr>
          <w:ilvl w:val="0"/>
          <w:numId w:val="77"/>
        </w:numPr>
        <w:rPr>
          <w:sz w:val="23"/>
          <w:szCs w:val="23"/>
        </w:rPr>
      </w:pPr>
      <w:r w:rsidRPr="00AE5A70">
        <w:rPr>
          <w:b/>
          <w:sz w:val="23"/>
          <w:szCs w:val="23"/>
        </w:rPr>
        <w:t>Affordable and universal access</w:t>
      </w:r>
      <w:r w:rsidRPr="00AE5A70">
        <w:rPr>
          <w:sz w:val="23"/>
          <w:szCs w:val="23"/>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65A710DD" w14:textId="77777777" w:rsidR="000D0E4E" w:rsidRPr="00AE5A70" w:rsidRDefault="000D0E4E" w:rsidP="00E40606">
      <w:pPr>
        <w:pStyle w:val="Bullet-green"/>
        <w:numPr>
          <w:ilvl w:val="0"/>
          <w:numId w:val="77"/>
        </w:numPr>
        <w:rPr>
          <w:sz w:val="23"/>
          <w:szCs w:val="23"/>
        </w:rPr>
      </w:pPr>
      <w:r w:rsidRPr="00AE5A70">
        <w:rPr>
          <w:b/>
          <w:sz w:val="23"/>
          <w:szCs w:val="23"/>
        </w:rPr>
        <w:t>Best practice health servic</w:t>
      </w:r>
      <w:r w:rsidR="008B5CFB" w:rsidRPr="00AE5A70">
        <w:rPr>
          <w:b/>
          <w:bCs/>
          <w:sz w:val="23"/>
          <w:szCs w:val="23"/>
        </w:rPr>
        <w:t>es</w:t>
      </w:r>
      <w:r w:rsidRPr="00AE5A70">
        <w:rPr>
          <w:sz w:val="23"/>
          <w:szCs w:val="23"/>
        </w:rPr>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553ECB45" w14:textId="77777777" w:rsidR="000D0E4E" w:rsidRPr="00AE5A70" w:rsidRDefault="000D0E4E" w:rsidP="00E40606">
      <w:pPr>
        <w:pStyle w:val="Bullet-green"/>
        <w:numPr>
          <w:ilvl w:val="0"/>
          <w:numId w:val="77"/>
        </w:numPr>
        <w:rPr>
          <w:sz w:val="23"/>
          <w:szCs w:val="23"/>
        </w:rPr>
      </w:pPr>
      <w:r w:rsidRPr="00AE5A70">
        <w:rPr>
          <w:b/>
          <w:sz w:val="23"/>
          <w:szCs w:val="23"/>
        </w:rPr>
        <w:t>Value for the individual patient</w:t>
      </w:r>
      <w:r w:rsidRPr="00AE5A70">
        <w:rPr>
          <w:sz w:val="23"/>
          <w:szCs w:val="23"/>
        </w:rPr>
        <w:t>—another core objective of the Review is to have an MBS that supports the delivery of services that are appropriate to the patient’s needs, provide real clinical value and do not expose the patient to unnecessary risk or expense.</w:t>
      </w:r>
    </w:p>
    <w:p w14:paraId="6508FFDD" w14:textId="77777777" w:rsidR="000D0E4E" w:rsidRPr="00AE5A70" w:rsidRDefault="000D0E4E" w:rsidP="00E40606">
      <w:pPr>
        <w:pStyle w:val="Bullet-green"/>
        <w:numPr>
          <w:ilvl w:val="0"/>
          <w:numId w:val="77"/>
        </w:numPr>
        <w:rPr>
          <w:sz w:val="23"/>
          <w:szCs w:val="23"/>
        </w:rPr>
      </w:pPr>
      <w:r w:rsidRPr="00AE5A70">
        <w:rPr>
          <w:b/>
          <w:sz w:val="23"/>
          <w:szCs w:val="23"/>
        </w:rPr>
        <w:t>Value for the health system</w:t>
      </w:r>
      <w:r w:rsidRPr="00AE5A70">
        <w:rPr>
          <w:sz w:val="23"/>
          <w:szCs w:val="23"/>
        </w:rPr>
        <w:t>—achieving the above elements of the vision will go a long way to achieving improved value for the</w:t>
      </w:r>
      <w:r w:rsidR="008B5CFB" w:rsidRPr="00AE5A70">
        <w:rPr>
          <w:sz w:val="23"/>
          <w:szCs w:val="23"/>
        </w:rPr>
        <w:t xml:space="preserve"> overall</w:t>
      </w:r>
      <w:r w:rsidRPr="00AE5A70">
        <w:rPr>
          <w:sz w:val="23"/>
          <w:szCs w:val="23"/>
        </w:rPr>
        <w:t xml:space="preserve"> health. Reducing the volume of services that provide little or no clinical benefit will enable resources to be redirected to new and existing services that have proven benefit</w:t>
      </w:r>
      <w:r w:rsidR="008B5CFB" w:rsidRPr="00AE5A70">
        <w:rPr>
          <w:sz w:val="23"/>
          <w:szCs w:val="23"/>
        </w:rPr>
        <w:t>s</w:t>
      </w:r>
      <w:r w:rsidRPr="00AE5A70">
        <w:rPr>
          <w:sz w:val="23"/>
          <w:szCs w:val="23"/>
        </w:rPr>
        <w:t xml:space="preserve"> and are underused, particularly for patients who cannot readily </w:t>
      </w:r>
      <w:r w:rsidR="008B5CFB" w:rsidRPr="00AE5A70">
        <w:rPr>
          <w:sz w:val="23"/>
          <w:szCs w:val="23"/>
        </w:rPr>
        <w:t xml:space="preserve">or currently </w:t>
      </w:r>
      <w:r w:rsidRPr="00AE5A70">
        <w:rPr>
          <w:sz w:val="23"/>
          <w:szCs w:val="23"/>
        </w:rPr>
        <w:t>access those services.</w:t>
      </w:r>
    </w:p>
    <w:p w14:paraId="254CAD69" w14:textId="77777777" w:rsidR="009E41C7" w:rsidRPr="00AE5A70" w:rsidRDefault="007B11E6" w:rsidP="1F1F0DAD">
      <w:pPr>
        <w:spacing w:before="0" w:after="0" w:line="240" w:lineRule="auto"/>
        <w:rPr>
          <w:sz w:val="23"/>
          <w:szCs w:val="23"/>
        </w:rPr>
      </w:pPr>
      <w:r w:rsidRPr="00AE5A70">
        <w:rPr>
          <w:sz w:val="23"/>
          <w:szCs w:val="23"/>
        </w:rPr>
        <w:t>Further information about the Taskforce’s approach to the MBS Review is detailed at Appendix A.</w:t>
      </w:r>
    </w:p>
    <w:p w14:paraId="09A54CBF" w14:textId="77777777" w:rsidR="009E41C7" w:rsidRPr="00AE5A70" w:rsidRDefault="009E41C7">
      <w:pPr>
        <w:spacing w:before="0" w:after="0" w:line="240" w:lineRule="auto"/>
        <w:rPr>
          <w:sz w:val="23"/>
          <w:szCs w:val="23"/>
        </w:rPr>
      </w:pPr>
      <w:r w:rsidRPr="00AE5A70">
        <w:rPr>
          <w:sz w:val="23"/>
          <w:szCs w:val="23"/>
        </w:rPr>
        <w:br w:type="page"/>
      </w:r>
    </w:p>
    <w:p w14:paraId="257DE653" w14:textId="77777777" w:rsidR="000D0E4E" w:rsidRPr="00AE5A70" w:rsidRDefault="000D0E4E" w:rsidP="00E40606">
      <w:pPr>
        <w:pStyle w:val="Heading1"/>
        <w:widowControl w:val="0"/>
        <w:numPr>
          <w:ilvl w:val="0"/>
          <w:numId w:val="5"/>
        </w:numPr>
        <w:pBdr>
          <w:bottom w:val="single" w:sz="16" w:space="11" w:color="BFBFBF"/>
        </w:pBdr>
        <w:autoSpaceDE w:val="0"/>
        <w:autoSpaceDN w:val="0"/>
        <w:adjustRightInd w:val="0"/>
        <w:spacing w:before="0" w:after="0"/>
        <w:ind w:left="567" w:hanging="567"/>
        <w:textAlignment w:val="center"/>
        <w:rPr>
          <w:sz w:val="24"/>
          <w:szCs w:val="24"/>
        </w:rPr>
      </w:pPr>
      <w:bookmarkStart w:id="21" w:name="_Toc485295719"/>
      <w:bookmarkStart w:id="22" w:name="_Toc531941920"/>
      <w:r w:rsidRPr="00AE5A70">
        <w:rPr>
          <w:sz w:val="24"/>
          <w:szCs w:val="24"/>
        </w:rPr>
        <w:t>About th</w:t>
      </w:r>
      <w:bookmarkEnd w:id="21"/>
      <w:r w:rsidRPr="00AE5A70">
        <w:rPr>
          <w:sz w:val="24"/>
          <w:szCs w:val="24"/>
        </w:rPr>
        <w:t>e Eating Disorders Working Group</w:t>
      </w:r>
      <w:bookmarkEnd w:id="22"/>
    </w:p>
    <w:p w14:paraId="69F9B4B3" w14:textId="77777777" w:rsidR="000D0E4E" w:rsidRPr="00AE5A70" w:rsidRDefault="000D0E4E" w:rsidP="000D0E4E">
      <w:pPr>
        <w:rPr>
          <w:sz w:val="23"/>
          <w:szCs w:val="23"/>
          <w:lang w:val="en-US" w:eastAsia="en-US"/>
        </w:rPr>
      </w:pPr>
      <w:bookmarkStart w:id="23" w:name="_Toc455669872"/>
      <w:r w:rsidRPr="00AE5A70">
        <w:rPr>
          <w:sz w:val="23"/>
          <w:szCs w:val="23"/>
          <w:lang w:val="en-US" w:eastAsia="en-US"/>
        </w:rPr>
        <w:t xml:space="preserve">The </w:t>
      </w:r>
      <w:r w:rsidRPr="00AE5A70">
        <w:rPr>
          <w:sz w:val="23"/>
          <w:szCs w:val="23"/>
        </w:rPr>
        <w:t>Working Group</w:t>
      </w:r>
      <w:r w:rsidRPr="00AE5A70">
        <w:rPr>
          <w:sz w:val="23"/>
          <w:szCs w:val="23"/>
          <w:lang w:val="en-US" w:eastAsia="en-US"/>
        </w:rPr>
        <w:t xml:space="preserve"> was established in</w:t>
      </w:r>
      <w:r w:rsidRPr="00AE5A70">
        <w:rPr>
          <w:sz w:val="23"/>
          <w:szCs w:val="23"/>
        </w:rPr>
        <w:t xml:space="preserve"> </w:t>
      </w:r>
      <w:r w:rsidR="00DB6D16">
        <w:rPr>
          <w:sz w:val="23"/>
          <w:szCs w:val="23"/>
        </w:rPr>
        <w:t>late 2017</w:t>
      </w:r>
      <w:r w:rsidRPr="00AE5A70">
        <w:rPr>
          <w:sz w:val="23"/>
          <w:szCs w:val="23"/>
        </w:rPr>
        <w:t xml:space="preserve"> </w:t>
      </w:r>
      <w:r w:rsidRPr="00AE5A70">
        <w:rPr>
          <w:sz w:val="23"/>
          <w:szCs w:val="23"/>
          <w:lang w:val="en-US" w:eastAsia="en-US"/>
        </w:rPr>
        <w:t>to make recommendations to the Taskforce on the review of MBS items</w:t>
      </w:r>
      <w:r w:rsidR="00833D10" w:rsidRPr="00AE5A70">
        <w:rPr>
          <w:sz w:val="23"/>
          <w:szCs w:val="23"/>
          <w:lang w:val="en-US" w:eastAsia="en-US"/>
        </w:rPr>
        <w:t xml:space="preserve"> </w:t>
      </w:r>
      <w:r w:rsidR="008D3D04" w:rsidRPr="00AE5A70">
        <w:rPr>
          <w:sz w:val="23"/>
          <w:szCs w:val="23"/>
          <w:lang w:val="en-US" w:eastAsia="en-US"/>
        </w:rPr>
        <w:t>which relate to the treatment of patients with eating disorders</w:t>
      </w:r>
      <w:r w:rsidRPr="00AE5A70">
        <w:rPr>
          <w:sz w:val="23"/>
          <w:szCs w:val="23"/>
          <w:lang w:val="en-US" w:eastAsia="en-US"/>
        </w:rPr>
        <w:t xml:space="preserve"> based on rapid evidence review and clinical expertise. </w:t>
      </w:r>
    </w:p>
    <w:p w14:paraId="2B9619DC" w14:textId="77777777" w:rsidR="000D0E4E" w:rsidRPr="00AE5A70" w:rsidRDefault="000D0E4E" w:rsidP="00044469">
      <w:pPr>
        <w:pStyle w:val="Heading2"/>
        <w:numPr>
          <w:ilvl w:val="1"/>
          <w:numId w:val="5"/>
        </w:numPr>
        <w:spacing w:before="120" w:after="120"/>
        <w:ind w:left="578" w:hanging="578"/>
        <w:rPr>
          <w:sz w:val="23"/>
          <w:szCs w:val="23"/>
        </w:rPr>
      </w:pPr>
      <w:bookmarkStart w:id="24" w:name="_Toc485295720"/>
      <w:bookmarkStart w:id="25" w:name="_Toc531941921"/>
      <w:r w:rsidRPr="00AE5A70">
        <w:rPr>
          <w:sz w:val="23"/>
          <w:szCs w:val="23"/>
        </w:rPr>
        <w:t>Eating Disorders Working Group members</w:t>
      </w:r>
      <w:bookmarkEnd w:id="23"/>
      <w:bookmarkEnd w:id="24"/>
      <w:bookmarkEnd w:id="25"/>
    </w:p>
    <w:p w14:paraId="386AD6CD" w14:textId="77777777" w:rsidR="000D0E4E" w:rsidRPr="00AE5A70" w:rsidRDefault="000D0E4E" w:rsidP="000D0E4E">
      <w:pPr>
        <w:rPr>
          <w:sz w:val="23"/>
          <w:szCs w:val="23"/>
          <w:lang w:val="en-US" w:eastAsia="en-US"/>
        </w:rPr>
      </w:pPr>
      <w:r w:rsidRPr="00AE5A70">
        <w:rPr>
          <w:sz w:val="23"/>
          <w:szCs w:val="23"/>
        </w:rPr>
        <w:t xml:space="preserve">The Working Group consists of 14 members, whose names, positions/organisations and declared conflicts of interest are listed in </w:t>
      </w:r>
      <w:r w:rsidRPr="00AE5A70">
        <w:rPr>
          <w:sz w:val="23"/>
          <w:szCs w:val="23"/>
        </w:rPr>
        <w:fldChar w:fldCharType="begin"/>
      </w:r>
      <w:r w:rsidRPr="00AE5A70">
        <w:rPr>
          <w:sz w:val="23"/>
          <w:szCs w:val="23"/>
        </w:rPr>
        <w:instrText xml:space="preserve"> REF _Ref503780353 \h </w:instrText>
      </w:r>
      <w:r w:rsidR="00BD095A" w:rsidRPr="00AE5A70">
        <w:rPr>
          <w:sz w:val="23"/>
          <w:szCs w:val="23"/>
        </w:rPr>
        <w:instrText xml:space="preserve"> \* MERGEFORMAT </w:instrText>
      </w:r>
      <w:r w:rsidRPr="00AE5A70">
        <w:rPr>
          <w:sz w:val="23"/>
          <w:szCs w:val="23"/>
        </w:rPr>
      </w:r>
      <w:r w:rsidRPr="00AE5A70">
        <w:rPr>
          <w:sz w:val="23"/>
          <w:szCs w:val="23"/>
        </w:rPr>
        <w:fldChar w:fldCharType="separate"/>
      </w:r>
      <w:r w:rsidR="00C213D2" w:rsidRPr="00AE5A70">
        <w:rPr>
          <w:sz w:val="23"/>
          <w:szCs w:val="23"/>
        </w:rPr>
        <w:t xml:space="preserve">Table </w:t>
      </w:r>
      <w:r w:rsidR="00C213D2">
        <w:rPr>
          <w:noProof/>
          <w:sz w:val="23"/>
          <w:szCs w:val="23"/>
        </w:rPr>
        <w:t>1</w:t>
      </w:r>
      <w:r w:rsidRPr="00AE5A70">
        <w:rPr>
          <w:sz w:val="23"/>
          <w:szCs w:val="23"/>
        </w:rPr>
        <w:fldChar w:fldCharType="end"/>
      </w:r>
      <w:r w:rsidRPr="00AE5A70">
        <w:rPr>
          <w:sz w:val="23"/>
          <w:szCs w:val="23"/>
        </w:rPr>
        <w:t xml:space="preserve">. </w:t>
      </w:r>
    </w:p>
    <w:p w14:paraId="75BF540E" w14:textId="77777777" w:rsidR="000D0E4E" w:rsidRPr="00AE5A70" w:rsidRDefault="000D0E4E" w:rsidP="000D0E4E">
      <w:pPr>
        <w:pStyle w:val="TableCaption"/>
        <w:rPr>
          <w:color w:val="auto"/>
          <w:sz w:val="23"/>
          <w:szCs w:val="23"/>
        </w:rPr>
      </w:pPr>
      <w:bookmarkStart w:id="26" w:name="_Ref503780353"/>
      <w:bookmarkStart w:id="27" w:name="_Toc503779132"/>
      <w:bookmarkStart w:id="28" w:name="_Ref503780241"/>
      <w:bookmarkStart w:id="29" w:name="_Toc530408347"/>
      <w:r w:rsidRPr="00AE5A70">
        <w:rPr>
          <w:color w:val="auto"/>
          <w:sz w:val="23"/>
          <w:szCs w:val="23"/>
        </w:rPr>
        <w:t xml:space="preserve">Table </w:t>
      </w:r>
      <w:r w:rsidRPr="00AE5A70">
        <w:rPr>
          <w:color w:val="auto"/>
          <w:sz w:val="23"/>
          <w:szCs w:val="23"/>
        </w:rPr>
        <w:fldChar w:fldCharType="begin"/>
      </w:r>
      <w:r w:rsidRPr="00AE5A70">
        <w:rPr>
          <w:noProof/>
          <w:color w:val="auto"/>
          <w:sz w:val="23"/>
          <w:szCs w:val="23"/>
        </w:rPr>
        <w:instrText xml:space="preserve"> SEQ Table \* ARABIC </w:instrText>
      </w:r>
      <w:r w:rsidRPr="00AE5A70">
        <w:rPr>
          <w:noProof/>
          <w:color w:val="auto"/>
          <w:sz w:val="23"/>
          <w:szCs w:val="23"/>
        </w:rPr>
        <w:fldChar w:fldCharType="separate"/>
      </w:r>
      <w:r w:rsidR="00C213D2">
        <w:rPr>
          <w:noProof/>
          <w:color w:val="auto"/>
          <w:sz w:val="23"/>
          <w:szCs w:val="23"/>
        </w:rPr>
        <w:t>1</w:t>
      </w:r>
      <w:r w:rsidRPr="00AE5A70">
        <w:rPr>
          <w:color w:val="auto"/>
          <w:sz w:val="23"/>
          <w:szCs w:val="23"/>
        </w:rPr>
        <w:fldChar w:fldCharType="end"/>
      </w:r>
      <w:bookmarkEnd w:id="26"/>
      <w:r w:rsidRPr="00AE5A70">
        <w:rPr>
          <w:color w:val="auto"/>
          <w:sz w:val="23"/>
          <w:szCs w:val="23"/>
        </w:rPr>
        <w:t xml:space="preserve">: </w:t>
      </w:r>
      <w:bookmarkStart w:id="30" w:name="_Ref503780252"/>
      <w:r w:rsidRPr="00AE5A70">
        <w:rPr>
          <w:color w:val="auto"/>
          <w:sz w:val="23"/>
          <w:szCs w:val="23"/>
        </w:rPr>
        <w:t>Eating Disorders Working Group members</w:t>
      </w:r>
      <w:bookmarkEnd w:id="27"/>
      <w:bookmarkEnd w:id="28"/>
      <w:bookmarkEnd w:id="29"/>
      <w:bookmarkEnd w:id="30"/>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Eating Disorders Working Group members"/>
        <w:tblDescription w:val="Table 1 is a 3 column table.  Column 1 is the name of the member, Column 2 is their position and organisation and Column 3 is their declared conflict of interest."/>
      </w:tblPr>
      <w:tblGrid>
        <w:gridCol w:w="2224"/>
        <w:gridCol w:w="3763"/>
        <w:gridCol w:w="2541"/>
      </w:tblGrid>
      <w:tr w:rsidR="00AE5A70" w:rsidRPr="00AE5A70" w14:paraId="383F2076" w14:textId="77777777" w:rsidTr="009341EF">
        <w:trPr>
          <w:cantSplit/>
          <w:tblHeader/>
        </w:trPr>
        <w:tc>
          <w:tcPr>
            <w:tcW w:w="1304" w:type="pct"/>
            <w:tcBorders>
              <w:bottom w:val="single" w:sz="4" w:space="0" w:color="01653F"/>
            </w:tcBorders>
            <w:shd w:val="clear" w:color="auto" w:fill="01653F"/>
          </w:tcPr>
          <w:p w14:paraId="48089845" w14:textId="77777777" w:rsidR="000D0E4E" w:rsidRPr="00AE5A70" w:rsidRDefault="000D0E4E" w:rsidP="008E11F7">
            <w:pPr>
              <w:pStyle w:val="Tableheading"/>
              <w:rPr>
                <w:sz w:val="20"/>
                <w:szCs w:val="20"/>
              </w:rPr>
            </w:pPr>
            <w:r w:rsidRPr="00AE5A70">
              <w:rPr>
                <w:sz w:val="20"/>
                <w:szCs w:val="20"/>
              </w:rPr>
              <w:t>Name</w:t>
            </w:r>
          </w:p>
        </w:tc>
        <w:tc>
          <w:tcPr>
            <w:tcW w:w="2206" w:type="pct"/>
            <w:tcBorders>
              <w:bottom w:val="single" w:sz="4" w:space="0" w:color="01653F"/>
            </w:tcBorders>
            <w:shd w:val="clear" w:color="auto" w:fill="01653F"/>
          </w:tcPr>
          <w:p w14:paraId="0CC65A39" w14:textId="77777777" w:rsidR="000D0E4E" w:rsidRPr="00AE5A70" w:rsidRDefault="000D0E4E" w:rsidP="008E11F7">
            <w:pPr>
              <w:pStyle w:val="Tableheading"/>
              <w:rPr>
                <w:sz w:val="20"/>
                <w:szCs w:val="20"/>
              </w:rPr>
            </w:pPr>
            <w:r w:rsidRPr="00AE5A70">
              <w:rPr>
                <w:sz w:val="20"/>
                <w:szCs w:val="20"/>
              </w:rPr>
              <w:t>Position/organisation</w:t>
            </w:r>
          </w:p>
        </w:tc>
        <w:tc>
          <w:tcPr>
            <w:tcW w:w="1490" w:type="pct"/>
            <w:tcBorders>
              <w:bottom w:val="single" w:sz="4" w:space="0" w:color="01653F"/>
            </w:tcBorders>
            <w:shd w:val="clear" w:color="auto" w:fill="01653F"/>
          </w:tcPr>
          <w:p w14:paraId="307FF74D" w14:textId="77777777" w:rsidR="000D0E4E" w:rsidRPr="00AE5A70" w:rsidRDefault="000D0E4E" w:rsidP="008E11F7">
            <w:pPr>
              <w:pStyle w:val="Tableheading"/>
              <w:rPr>
                <w:sz w:val="20"/>
                <w:szCs w:val="20"/>
              </w:rPr>
            </w:pPr>
            <w:r w:rsidRPr="00AE5A70">
              <w:rPr>
                <w:sz w:val="20"/>
                <w:szCs w:val="20"/>
              </w:rPr>
              <w:t>Declared conflict of interest</w:t>
            </w:r>
          </w:p>
        </w:tc>
      </w:tr>
      <w:tr w:rsidR="00AE5A70" w:rsidRPr="00AE5A70" w14:paraId="4514A8A1" w14:textId="77777777" w:rsidTr="009341EF">
        <w:trPr>
          <w:cantSplit/>
          <w:trHeight w:val="549"/>
        </w:trPr>
        <w:tc>
          <w:tcPr>
            <w:tcW w:w="1304" w:type="pct"/>
            <w:tcBorders>
              <w:left w:val="nil"/>
              <w:right w:val="nil"/>
            </w:tcBorders>
          </w:tcPr>
          <w:p w14:paraId="68CD2063" w14:textId="77777777" w:rsidR="000D0E4E" w:rsidRPr="00AE5A70" w:rsidRDefault="000D0E4E" w:rsidP="009341EF">
            <w:pPr>
              <w:pStyle w:val="Tabletext"/>
              <w:spacing w:before="0" w:after="0"/>
              <w:rPr>
                <w:sz w:val="23"/>
                <w:szCs w:val="23"/>
                <w:highlight w:val="yellow"/>
              </w:rPr>
            </w:pPr>
            <w:r w:rsidRPr="00AE5A70">
              <w:rPr>
                <w:sz w:val="23"/>
                <w:szCs w:val="23"/>
              </w:rPr>
              <w:t xml:space="preserve">Dr Lee Gruner </w:t>
            </w:r>
          </w:p>
        </w:tc>
        <w:tc>
          <w:tcPr>
            <w:tcW w:w="2206" w:type="pct"/>
            <w:tcBorders>
              <w:left w:val="nil"/>
              <w:right w:val="nil"/>
            </w:tcBorders>
          </w:tcPr>
          <w:p w14:paraId="206067C8" w14:textId="77777777" w:rsidR="000D0E4E" w:rsidRPr="00AE5A70" w:rsidRDefault="000D0E4E" w:rsidP="009341EF">
            <w:pPr>
              <w:pStyle w:val="Tabletext"/>
              <w:spacing w:before="0" w:after="0"/>
              <w:rPr>
                <w:sz w:val="23"/>
                <w:szCs w:val="23"/>
              </w:rPr>
            </w:pPr>
            <w:r w:rsidRPr="00AE5A70">
              <w:rPr>
                <w:sz w:val="23"/>
                <w:szCs w:val="23"/>
              </w:rPr>
              <w:t>Chair; MBS Review Taskforce</w:t>
            </w:r>
          </w:p>
        </w:tc>
        <w:tc>
          <w:tcPr>
            <w:tcW w:w="1490" w:type="pct"/>
            <w:tcBorders>
              <w:left w:val="nil"/>
              <w:right w:val="nil"/>
            </w:tcBorders>
            <w:shd w:val="clear" w:color="auto" w:fill="auto"/>
          </w:tcPr>
          <w:p w14:paraId="2D7A3A20" w14:textId="77777777" w:rsidR="000D0E4E" w:rsidRPr="00AE5A70" w:rsidRDefault="000D0E4E" w:rsidP="009341EF">
            <w:pPr>
              <w:pStyle w:val="Tabletext"/>
              <w:spacing w:before="0" w:after="0"/>
              <w:rPr>
                <w:sz w:val="23"/>
                <w:szCs w:val="23"/>
                <w:highlight w:val="yellow"/>
              </w:rPr>
            </w:pPr>
            <w:r w:rsidRPr="00AE5A70">
              <w:rPr>
                <w:sz w:val="23"/>
                <w:szCs w:val="23"/>
              </w:rPr>
              <w:t>None to declare</w:t>
            </w:r>
          </w:p>
        </w:tc>
      </w:tr>
      <w:tr w:rsidR="00AE5A70" w:rsidRPr="00AE5A70" w14:paraId="0E0864CB" w14:textId="77777777" w:rsidTr="009341EF">
        <w:trPr>
          <w:cantSplit/>
          <w:trHeight w:val="549"/>
        </w:trPr>
        <w:tc>
          <w:tcPr>
            <w:tcW w:w="1304" w:type="pct"/>
            <w:tcBorders>
              <w:left w:val="nil"/>
              <w:right w:val="nil"/>
            </w:tcBorders>
          </w:tcPr>
          <w:p w14:paraId="4495FB82" w14:textId="77777777" w:rsidR="000D0E4E" w:rsidRPr="00AE5A70" w:rsidRDefault="000D0E4E" w:rsidP="009341EF">
            <w:pPr>
              <w:pStyle w:val="Tabletext"/>
              <w:spacing w:before="0" w:after="0"/>
              <w:rPr>
                <w:sz w:val="23"/>
                <w:szCs w:val="23"/>
                <w:highlight w:val="yellow"/>
              </w:rPr>
            </w:pPr>
            <w:r w:rsidRPr="00AE5A70">
              <w:rPr>
                <w:sz w:val="23"/>
                <w:szCs w:val="23"/>
              </w:rPr>
              <w:t>Dr Richard Newton</w:t>
            </w:r>
          </w:p>
        </w:tc>
        <w:tc>
          <w:tcPr>
            <w:tcW w:w="2206" w:type="pct"/>
            <w:tcBorders>
              <w:left w:val="nil"/>
              <w:right w:val="nil"/>
            </w:tcBorders>
          </w:tcPr>
          <w:p w14:paraId="48DE8DF5" w14:textId="77777777" w:rsidR="000D0E4E" w:rsidRPr="00AE5A70" w:rsidRDefault="6751408F" w:rsidP="009341EF">
            <w:pPr>
              <w:pStyle w:val="Tabletext"/>
              <w:spacing w:before="0" w:after="0"/>
              <w:rPr>
                <w:sz w:val="23"/>
                <w:szCs w:val="23"/>
              </w:rPr>
            </w:pPr>
            <w:r w:rsidRPr="00AE5A70">
              <w:rPr>
                <w:sz w:val="23"/>
                <w:szCs w:val="23"/>
              </w:rPr>
              <w:t>Psychiatrist; Medical Director, and Clinical Directo</w:t>
            </w:r>
            <w:r w:rsidR="005006C9">
              <w:rPr>
                <w:sz w:val="23"/>
                <w:szCs w:val="23"/>
              </w:rPr>
              <w:t>r for Body Imaging Eating Disord</w:t>
            </w:r>
            <w:r w:rsidRPr="00AE5A70">
              <w:rPr>
                <w:sz w:val="23"/>
                <w:szCs w:val="23"/>
              </w:rPr>
              <w:t>ers Treatment and Recovery (BERRS), Butterfly Foundation Expert Advisory Group, Austin Medical Service, Melbourne; Clinical A/Prof of Psychiatry, University of Melbourne</w:t>
            </w:r>
          </w:p>
        </w:tc>
        <w:tc>
          <w:tcPr>
            <w:tcW w:w="1490" w:type="pct"/>
            <w:tcBorders>
              <w:left w:val="nil"/>
              <w:right w:val="nil"/>
            </w:tcBorders>
            <w:shd w:val="clear" w:color="auto" w:fill="auto"/>
          </w:tcPr>
          <w:p w14:paraId="1CF8C0C7" w14:textId="77777777" w:rsidR="000D0E4E" w:rsidRPr="00AE5A70" w:rsidRDefault="000D0E4E" w:rsidP="009341EF">
            <w:pPr>
              <w:pStyle w:val="Tabletext"/>
              <w:spacing w:before="0" w:after="0"/>
              <w:rPr>
                <w:sz w:val="23"/>
                <w:szCs w:val="23"/>
                <w:highlight w:val="yellow"/>
              </w:rPr>
            </w:pPr>
            <w:r w:rsidRPr="00AE5A70">
              <w:rPr>
                <w:sz w:val="23"/>
                <w:szCs w:val="23"/>
              </w:rPr>
              <w:t>None to declare</w:t>
            </w:r>
          </w:p>
        </w:tc>
      </w:tr>
      <w:tr w:rsidR="00AE5A70" w:rsidRPr="00AE5A70" w14:paraId="3466B22A" w14:textId="77777777" w:rsidTr="009341EF">
        <w:trPr>
          <w:cantSplit/>
          <w:trHeight w:val="549"/>
        </w:trPr>
        <w:tc>
          <w:tcPr>
            <w:tcW w:w="1304" w:type="pct"/>
            <w:tcBorders>
              <w:left w:val="nil"/>
              <w:right w:val="nil"/>
            </w:tcBorders>
          </w:tcPr>
          <w:p w14:paraId="730F72B2" w14:textId="77777777" w:rsidR="000D0E4E" w:rsidRPr="00AE5A70" w:rsidRDefault="000D0E4E" w:rsidP="009341EF">
            <w:pPr>
              <w:pStyle w:val="Tabletext"/>
              <w:spacing w:before="0" w:after="0"/>
              <w:rPr>
                <w:sz w:val="23"/>
                <w:szCs w:val="23"/>
              </w:rPr>
            </w:pPr>
            <w:r w:rsidRPr="00AE5A70">
              <w:rPr>
                <w:sz w:val="23"/>
                <w:szCs w:val="23"/>
              </w:rPr>
              <w:t>Prof Phillipa Hay</w:t>
            </w:r>
          </w:p>
        </w:tc>
        <w:tc>
          <w:tcPr>
            <w:tcW w:w="2206" w:type="pct"/>
            <w:tcBorders>
              <w:left w:val="nil"/>
              <w:right w:val="nil"/>
            </w:tcBorders>
          </w:tcPr>
          <w:p w14:paraId="32B00449" w14:textId="77777777" w:rsidR="000D0E4E" w:rsidRPr="00AE5A70" w:rsidRDefault="6751408F" w:rsidP="009341EF">
            <w:pPr>
              <w:pStyle w:val="Tabletext"/>
              <w:spacing w:before="0" w:after="0"/>
              <w:rPr>
                <w:sz w:val="23"/>
                <w:szCs w:val="23"/>
              </w:rPr>
            </w:pPr>
            <w:r w:rsidRPr="00AE5A70">
              <w:rPr>
                <w:sz w:val="23"/>
                <w:szCs w:val="23"/>
              </w:rPr>
              <w:t>Psychiatrist; Chair of Mental Health, Western Sydney</w:t>
            </w:r>
            <w:r w:rsidR="001B6DA0" w:rsidRPr="00AE5A70">
              <w:rPr>
                <w:sz w:val="23"/>
                <w:szCs w:val="23"/>
              </w:rPr>
              <w:t xml:space="preserve"> University</w:t>
            </w:r>
            <w:r w:rsidRPr="00AE5A70">
              <w:rPr>
                <w:sz w:val="23"/>
                <w:szCs w:val="23"/>
              </w:rPr>
              <w:t>,</w:t>
            </w:r>
            <w:r w:rsidR="00595F70" w:rsidRPr="00AE5A70">
              <w:rPr>
                <w:sz w:val="23"/>
                <w:szCs w:val="23"/>
              </w:rPr>
              <w:t xml:space="preserve"> Director Eating Disorder Unit Wesley Hospital Ashfield</w:t>
            </w:r>
            <w:r w:rsidR="005D5E36" w:rsidRPr="00AE5A70">
              <w:rPr>
                <w:sz w:val="23"/>
                <w:szCs w:val="23"/>
              </w:rPr>
              <w:t>, Consultant Psychiatrist Campbelltown Hospital SWSLDH,</w:t>
            </w:r>
            <w:r w:rsidRPr="00AE5A70">
              <w:rPr>
                <w:sz w:val="23"/>
                <w:szCs w:val="23"/>
              </w:rPr>
              <w:t xml:space="preserve"> past-President of the Australian Academy for Eating Disorders;</w:t>
            </w:r>
            <w:r w:rsidR="00AC39F5" w:rsidRPr="00AE5A70">
              <w:rPr>
                <w:sz w:val="23"/>
                <w:szCs w:val="23"/>
              </w:rPr>
              <w:t xml:space="preserve"> Past</w:t>
            </w:r>
            <w:r w:rsidRPr="00AE5A70">
              <w:rPr>
                <w:sz w:val="23"/>
                <w:szCs w:val="23"/>
              </w:rPr>
              <w:t xml:space="preserve"> Member of the Scientific Committee of the International Academy for Eating Disorders</w:t>
            </w:r>
          </w:p>
        </w:tc>
        <w:tc>
          <w:tcPr>
            <w:tcW w:w="1490" w:type="pct"/>
            <w:tcBorders>
              <w:left w:val="nil"/>
              <w:right w:val="nil"/>
            </w:tcBorders>
            <w:shd w:val="clear" w:color="auto" w:fill="auto"/>
          </w:tcPr>
          <w:p w14:paraId="25A13478" w14:textId="77777777" w:rsidR="000D0E4E" w:rsidRPr="00AE5A70" w:rsidRDefault="6751408F" w:rsidP="009341EF">
            <w:pPr>
              <w:pStyle w:val="Tabletext"/>
              <w:spacing w:before="0" w:after="0"/>
              <w:rPr>
                <w:sz w:val="23"/>
                <w:szCs w:val="23"/>
              </w:rPr>
            </w:pPr>
            <w:r w:rsidRPr="00AE5A70">
              <w:rPr>
                <w:sz w:val="23"/>
                <w:szCs w:val="23"/>
              </w:rPr>
              <w:t>Deputy Chair, National Eating Disorders Collaboration; Expert Advisor, Butterfly Foundation</w:t>
            </w:r>
            <w:r w:rsidR="0007063C" w:rsidRPr="00AE5A70">
              <w:rPr>
                <w:sz w:val="23"/>
                <w:szCs w:val="23"/>
              </w:rPr>
              <w:t>, Advisor Shire Pharmaceuticals</w:t>
            </w:r>
          </w:p>
        </w:tc>
      </w:tr>
      <w:tr w:rsidR="00AE5A70" w:rsidRPr="00AE5A70" w14:paraId="073BC088" w14:textId="77777777" w:rsidTr="009341EF">
        <w:trPr>
          <w:cantSplit/>
          <w:trHeight w:val="549"/>
        </w:trPr>
        <w:tc>
          <w:tcPr>
            <w:tcW w:w="1304" w:type="pct"/>
            <w:tcBorders>
              <w:left w:val="nil"/>
              <w:right w:val="nil"/>
            </w:tcBorders>
          </w:tcPr>
          <w:p w14:paraId="62CDD58A" w14:textId="77777777" w:rsidR="000D0E4E" w:rsidRPr="00AE5A70" w:rsidRDefault="000D0E4E" w:rsidP="009341EF">
            <w:pPr>
              <w:pStyle w:val="Tabletext"/>
              <w:spacing w:before="0" w:after="0"/>
              <w:rPr>
                <w:sz w:val="23"/>
                <w:szCs w:val="23"/>
              </w:rPr>
            </w:pPr>
            <w:r w:rsidRPr="00AE5A70">
              <w:rPr>
                <w:sz w:val="23"/>
                <w:szCs w:val="23"/>
              </w:rPr>
              <w:t>Dr Sloane Madden</w:t>
            </w:r>
          </w:p>
        </w:tc>
        <w:tc>
          <w:tcPr>
            <w:tcW w:w="2206" w:type="pct"/>
            <w:tcBorders>
              <w:left w:val="nil"/>
              <w:right w:val="nil"/>
            </w:tcBorders>
          </w:tcPr>
          <w:p w14:paraId="0D85F8A3" w14:textId="77777777" w:rsidR="000D0E4E" w:rsidRPr="00AE5A70" w:rsidRDefault="6751408F" w:rsidP="009341EF">
            <w:pPr>
              <w:pStyle w:val="Tabletext"/>
              <w:spacing w:before="0" w:after="0"/>
              <w:rPr>
                <w:sz w:val="23"/>
                <w:szCs w:val="23"/>
              </w:rPr>
            </w:pPr>
            <w:r w:rsidRPr="00AE5A70">
              <w:rPr>
                <w:sz w:val="23"/>
                <w:szCs w:val="23"/>
              </w:rPr>
              <w:t>Psychiatrist; Coordinator and Director for Eating Disorder Service, Sydney Children's Hospital Network; past President of the Australian and NZ Academy of Eating Disorder</w:t>
            </w:r>
          </w:p>
        </w:tc>
        <w:tc>
          <w:tcPr>
            <w:tcW w:w="1490" w:type="pct"/>
            <w:tcBorders>
              <w:left w:val="nil"/>
              <w:right w:val="nil"/>
            </w:tcBorders>
            <w:shd w:val="clear" w:color="auto" w:fill="auto"/>
          </w:tcPr>
          <w:p w14:paraId="67A02F19" w14:textId="77777777" w:rsidR="000D0E4E" w:rsidRPr="00AE5A70" w:rsidRDefault="000D0E4E" w:rsidP="009341EF">
            <w:pPr>
              <w:pStyle w:val="Tabletext"/>
              <w:spacing w:before="0" w:after="0"/>
              <w:rPr>
                <w:sz w:val="23"/>
                <w:szCs w:val="23"/>
              </w:rPr>
            </w:pPr>
            <w:r w:rsidRPr="00AE5A70">
              <w:rPr>
                <w:sz w:val="23"/>
                <w:szCs w:val="23"/>
              </w:rPr>
              <w:t xml:space="preserve">Expert Advisor, </w:t>
            </w:r>
            <w:r w:rsidR="002E33F7" w:rsidRPr="00AE5A70">
              <w:rPr>
                <w:sz w:val="23"/>
                <w:szCs w:val="23"/>
              </w:rPr>
              <w:t xml:space="preserve">Butterfly </w:t>
            </w:r>
            <w:r w:rsidRPr="00AE5A70">
              <w:rPr>
                <w:sz w:val="23"/>
                <w:szCs w:val="23"/>
              </w:rPr>
              <w:t>Foundation</w:t>
            </w:r>
          </w:p>
        </w:tc>
      </w:tr>
      <w:tr w:rsidR="00AE5A70" w:rsidRPr="00AE5A70" w14:paraId="3C7EF8D8" w14:textId="77777777" w:rsidTr="009341EF">
        <w:trPr>
          <w:cantSplit/>
          <w:trHeight w:val="549"/>
        </w:trPr>
        <w:tc>
          <w:tcPr>
            <w:tcW w:w="1304" w:type="pct"/>
            <w:tcBorders>
              <w:left w:val="nil"/>
              <w:right w:val="nil"/>
            </w:tcBorders>
          </w:tcPr>
          <w:p w14:paraId="1A55CAD8" w14:textId="77777777" w:rsidR="000D0E4E" w:rsidRPr="00AE5A70" w:rsidRDefault="000D0E4E" w:rsidP="009341EF">
            <w:pPr>
              <w:pStyle w:val="Tabletext"/>
              <w:spacing w:before="0" w:after="0"/>
              <w:rPr>
                <w:sz w:val="23"/>
                <w:szCs w:val="23"/>
              </w:rPr>
            </w:pPr>
            <w:r w:rsidRPr="00AE5A70">
              <w:rPr>
                <w:sz w:val="23"/>
                <w:szCs w:val="23"/>
              </w:rPr>
              <w:t>Prof Lyn Littlefield</w:t>
            </w:r>
          </w:p>
        </w:tc>
        <w:tc>
          <w:tcPr>
            <w:tcW w:w="2206" w:type="pct"/>
            <w:tcBorders>
              <w:left w:val="nil"/>
              <w:right w:val="nil"/>
            </w:tcBorders>
          </w:tcPr>
          <w:p w14:paraId="6853851A" w14:textId="77777777" w:rsidR="000D0E4E" w:rsidRPr="00AE5A70" w:rsidRDefault="6751408F" w:rsidP="009341EF">
            <w:pPr>
              <w:pStyle w:val="Tabletext"/>
              <w:spacing w:before="0" w:after="0"/>
              <w:rPr>
                <w:sz w:val="23"/>
                <w:szCs w:val="23"/>
              </w:rPr>
            </w:pPr>
            <w:r w:rsidRPr="00AE5A70">
              <w:rPr>
                <w:sz w:val="23"/>
                <w:szCs w:val="23"/>
              </w:rPr>
              <w:t>Psychologist; Member of General Practice and Primary Care Clinical Committee</w:t>
            </w:r>
          </w:p>
        </w:tc>
        <w:tc>
          <w:tcPr>
            <w:tcW w:w="1490" w:type="pct"/>
            <w:tcBorders>
              <w:left w:val="nil"/>
              <w:right w:val="nil"/>
            </w:tcBorders>
            <w:shd w:val="clear" w:color="auto" w:fill="auto"/>
          </w:tcPr>
          <w:p w14:paraId="67261EF8" w14:textId="77777777" w:rsidR="000D0E4E" w:rsidRPr="00AE5A70" w:rsidRDefault="000D0E4E" w:rsidP="009341EF">
            <w:pPr>
              <w:pStyle w:val="Tabletext"/>
              <w:spacing w:before="0" w:after="0"/>
              <w:rPr>
                <w:sz w:val="23"/>
                <w:szCs w:val="23"/>
              </w:rPr>
            </w:pPr>
            <w:r w:rsidRPr="00AE5A70">
              <w:rPr>
                <w:sz w:val="23"/>
                <w:szCs w:val="23"/>
              </w:rPr>
              <w:t>Executive Director, Australian Psychological Society</w:t>
            </w:r>
          </w:p>
        </w:tc>
      </w:tr>
      <w:tr w:rsidR="00AE5A70" w:rsidRPr="00AE5A70" w14:paraId="5877DE53" w14:textId="77777777" w:rsidTr="009341EF">
        <w:trPr>
          <w:cantSplit/>
          <w:trHeight w:val="549"/>
        </w:trPr>
        <w:tc>
          <w:tcPr>
            <w:tcW w:w="1304" w:type="pct"/>
            <w:tcBorders>
              <w:left w:val="nil"/>
              <w:right w:val="nil"/>
            </w:tcBorders>
          </w:tcPr>
          <w:p w14:paraId="6E1D4DC2" w14:textId="77777777" w:rsidR="000D0E4E" w:rsidRPr="00AE5A70" w:rsidRDefault="000D0E4E" w:rsidP="009341EF">
            <w:pPr>
              <w:pStyle w:val="Tabletext"/>
              <w:spacing w:before="0" w:after="0"/>
              <w:rPr>
                <w:sz w:val="23"/>
                <w:szCs w:val="23"/>
              </w:rPr>
            </w:pPr>
            <w:r w:rsidRPr="00AE5A70">
              <w:rPr>
                <w:sz w:val="23"/>
                <w:szCs w:val="23"/>
              </w:rPr>
              <w:t>Dr Sarah Maguire</w:t>
            </w:r>
          </w:p>
        </w:tc>
        <w:tc>
          <w:tcPr>
            <w:tcW w:w="2206" w:type="pct"/>
            <w:tcBorders>
              <w:left w:val="nil"/>
              <w:right w:val="nil"/>
            </w:tcBorders>
          </w:tcPr>
          <w:p w14:paraId="753CFCC4" w14:textId="77777777" w:rsidR="000D0E4E" w:rsidRPr="00AE5A70" w:rsidRDefault="6751408F" w:rsidP="009341EF">
            <w:pPr>
              <w:pStyle w:val="Tabletext"/>
              <w:spacing w:before="0" w:after="0"/>
              <w:rPr>
                <w:sz w:val="23"/>
                <w:szCs w:val="23"/>
              </w:rPr>
            </w:pPr>
            <w:r w:rsidRPr="00AE5A70">
              <w:rPr>
                <w:sz w:val="23"/>
                <w:szCs w:val="23"/>
              </w:rPr>
              <w:t xml:space="preserve">Psychologist; Director &amp; NSW Statewide Eating Disorders Coordinator, </w:t>
            </w:r>
            <w:r w:rsidR="0045091B" w:rsidRPr="00AE5A70">
              <w:rPr>
                <w:sz w:val="23"/>
                <w:szCs w:val="23"/>
              </w:rPr>
              <w:t>InsideOut Institute for Eating Disorders</w:t>
            </w:r>
          </w:p>
        </w:tc>
        <w:tc>
          <w:tcPr>
            <w:tcW w:w="1490" w:type="pct"/>
            <w:tcBorders>
              <w:left w:val="nil"/>
              <w:right w:val="nil"/>
            </w:tcBorders>
            <w:shd w:val="clear" w:color="auto" w:fill="auto"/>
          </w:tcPr>
          <w:p w14:paraId="3FB9DD9E" w14:textId="77777777" w:rsidR="000D0E4E" w:rsidRPr="00AE5A70" w:rsidRDefault="00890968" w:rsidP="009341EF">
            <w:pPr>
              <w:pStyle w:val="Tabletext"/>
              <w:spacing w:before="0" w:after="0"/>
              <w:rPr>
                <w:sz w:val="23"/>
                <w:szCs w:val="23"/>
              </w:rPr>
            </w:pPr>
            <w:r w:rsidRPr="00AE5A70">
              <w:rPr>
                <w:sz w:val="23"/>
                <w:szCs w:val="23"/>
              </w:rPr>
              <w:t>None to declare</w:t>
            </w:r>
          </w:p>
        </w:tc>
      </w:tr>
      <w:tr w:rsidR="00AE5A70" w:rsidRPr="00AE5A70" w14:paraId="4B2C04DF" w14:textId="77777777" w:rsidTr="009341EF">
        <w:trPr>
          <w:cantSplit/>
          <w:trHeight w:val="549"/>
        </w:trPr>
        <w:tc>
          <w:tcPr>
            <w:tcW w:w="1304" w:type="pct"/>
            <w:tcBorders>
              <w:left w:val="nil"/>
              <w:right w:val="nil"/>
            </w:tcBorders>
          </w:tcPr>
          <w:p w14:paraId="0998ED86" w14:textId="77777777" w:rsidR="000D0E4E" w:rsidRPr="00AE5A70" w:rsidRDefault="000D0E4E" w:rsidP="009341EF">
            <w:pPr>
              <w:pStyle w:val="Tabletext"/>
              <w:spacing w:before="0" w:after="0"/>
              <w:rPr>
                <w:sz w:val="23"/>
                <w:szCs w:val="23"/>
              </w:rPr>
            </w:pPr>
            <w:r w:rsidRPr="00AE5A70">
              <w:rPr>
                <w:sz w:val="23"/>
                <w:szCs w:val="23"/>
              </w:rPr>
              <w:t>Dr Catherine Andronis</w:t>
            </w:r>
          </w:p>
        </w:tc>
        <w:tc>
          <w:tcPr>
            <w:tcW w:w="2206" w:type="pct"/>
            <w:tcBorders>
              <w:left w:val="nil"/>
              <w:right w:val="nil"/>
            </w:tcBorders>
          </w:tcPr>
          <w:p w14:paraId="4ADCD936" w14:textId="77777777" w:rsidR="000D0E4E" w:rsidRPr="00AE5A70" w:rsidRDefault="6751408F" w:rsidP="009341EF">
            <w:pPr>
              <w:pStyle w:val="Tabletext"/>
              <w:spacing w:before="0" w:after="0"/>
              <w:rPr>
                <w:sz w:val="23"/>
                <w:szCs w:val="23"/>
              </w:rPr>
            </w:pPr>
            <w:r w:rsidRPr="00AE5A70">
              <w:rPr>
                <w:sz w:val="23"/>
                <w:szCs w:val="23"/>
              </w:rPr>
              <w:t>General Practitioner; Private Practice, Access Health and Community, Victoria; medical psychotherapist, private practice</w:t>
            </w:r>
          </w:p>
        </w:tc>
        <w:tc>
          <w:tcPr>
            <w:tcW w:w="1490" w:type="pct"/>
            <w:tcBorders>
              <w:left w:val="nil"/>
              <w:right w:val="nil"/>
            </w:tcBorders>
            <w:shd w:val="clear" w:color="auto" w:fill="auto"/>
          </w:tcPr>
          <w:p w14:paraId="1585DAEA" w14:textId="77777777" w:rsidR="000D0E4E" w:rsidRPr="00AE5A70" w:rsidRDefault="000D0E4E" w:rsidP="009341EF">
            <w:pPr>
              <w:pStyle w:val="Tabletext"/>
              <w:spacing w:before="0" w:after="0"/>
              <w:rPr>
                <w:sz w:val="23"/>
                <w:szCs w:val="23"/>
              </w:rPr>
            </w:pPr>
            <w:r w:rsidRPr="00AE5A70">
              <w:rPr>
                <w:sz w:val="23"/>
                <w:szCs w:val="23"/>
              </w:rPr>
              <w:t>None to declare</w:t>
            </w:r>
          </w:p>
        </w:tc>
      </w:tr>
      <w:tr w:rsidR="00AE5A70" w:rsidRPr="00AE5A70" w14:paraId="5588D4A6" w14:textId="77777777" w:rsidTr="009341EF">
        <w:trPr>
          <w:cantSplit/>
          <w:trHeight w:val="549"/>
        </w:trPr>
        <w:tc>
          <w:tcPr>
            <w:tcW w:w="1304" w:type="pct"/>
            <w:tcBorders>
              <w:left w:val="nil"/>
              <w:right w:val="nil"/>
            </w:tcBorders>
          </w:tcPr>
          <w:p w14:paraId="72C3ABE3" w14:textId="77777777" w:rsidR="000D0E4E" w:rsidRPr="00AE5A70" w:rsidRDefault="000D0E4E" w:rsidP="009341EF">
            <w:pPr>
              <w:pStyle w:val="Tabletext"/>
              <w:spacing w:before="0" w:after="0"/>
              <w:rPr>
                <w:sz w:val="23"/>
                <w:szCs w:val="23"/>
              </w:rPr>
            </w:pPr>
            <w:r w:rsidRPr="00AE5A70">
              <w:rPr>
                <w:sz w:val="23"/>
                <w:szCs w:val="23"/>
              </w:rPr>
              <w:t>Dr Leanne Barr</w:t>
            </w:r>
            <w:r w:rsidR="00951F2F" w:rsidRPr="00AE5A70">
              <w:rPr>
                <w:sz w:val="23"/>
                <w:szCs w:val="23"/>
              </w:rPr>
              <w:t>o</w:t>
            </w:r>
            <w:r w:rsidRPr="00AE5A70">
              <w:rPr>
                <w:sz w:val="23"/>
                <w:szCs w:val="23"/>
              </w:rPr>
              <w:t>n</w:t>
            </w:r>
          </w:p>
        </w:tc>
        <w:tc>
          <w:tcPr>
            <w:tcW w:w="2206" w:type="pct"/>
            <w:tcBorders>
              <w:left w:val="nil"/>
              <w:right w:val="nil"/>
            </w:tcBorders>
          </w:tcPr>
          <w:p w14:paraId="57A60B3D" w14:textId="77777777" w:rsidR="000D0E4E" w:rsidRPr="00AE5A70" w:rsidRDefault="6751408F" w:rsidP="009341EF">
            <w:pPr>
              <w:pStyle w:val="Tabletext"/>
              <w:spacing w:before="0" w:after="0"/>
              <w:rPr>
                <w:sz w:val="23"/>
                <w:szCs w:val="23"/>
              </w:rPr>
            </w:pPr>
            <w:r w:rsidRPr="00AE5A70">
              <w:rPr>
                <w:sz w:val="23"/>
                <w:szCs w:val="23"/>
              </w:rPr>
              <w:t>General Practitioner; General Practice, Queensland University of Technology Eating Disorder Clinic, Brisbane</w:t>
            </w:r>
          </w:p>
        </w:tc>
        <w:tc>
          <w:tcPr>
            <w:tcW w:w="1490" w:type="pct"/>
            <w:tcBorders>
              <w:left w:val="nil"/>
              <w:right w:val="nil"/>
            </w:tcBorders>
            <w:shd w:val="clear" w:color="auto" w:fill="auto"/>
          </w:tcPr>
          <w:p w14:paraId="180A1308" w14:textId="77777777" w:rsidR="000D0E4E" w:rsidRPr="00AE5A70" w:rsidRDefault="000D0E4E" w:rsidP="009341EF">
            <w:pPr>
              <w:pStyle w:val="Tabletext"/>
              <w:spacing w:before="0" w:after="0"/>
              <w:rPr>
                <w:sz w:val="23"/>
                <w:szCs w:val="23"/>
              </w:rPr>
            </w:pPr>
            <w:r w:rsidRPr="00AE5A70">
              <w:rPr>
                <w:sz w:val="23"/>
                <w:szCs w:val="23"/>
              </w:rPr>
              <w:t>None to declare</w:t>
            </w:r>
          </w:p>
        </w:tc>
      </w:tr>
      <w:tr w:rsidR="00AE5A70" w:rsidRPr="00AE5A70" w14:paraId="0FDDC451" w14:textId="77777777" w:rsidTr="009341EF">
        <w:trPr>
          <w:cantSplit/>
          <w:trHeight w:val="549"/>
        </w:trPr>
        <w:tc>
          <w:tcPr>
            <w:tcW w:w="1304" w:type="pct"/>
            <w:tcBorders>
              <w:left w:val="nil"/>
              <w:right w:val="nil"/>
            </w:tcBorders>
          </w:tcPr>
          <w:p w14:paraId="7D52CDBA" w14:textId="77777777" w:rsidR="000D0E4E" w:rsidRPr="00AE5A70" w:rsidRDefault="000D0E4E" w:rsidP="009341EF">
            <w:pPr>
              <w:pStyle w:val="Tabletext"/>
              <w:spacing w:before="0" w:after="0"/>
              <w:rPr>
                <w:sz w:val="23"/>
                <w:szCs w:val="23"/>
              </w:rPr>
            </w:pPr>
            <w:r w:rsidRPr="00AE5A70">
              <w:rPr>
                <w:sz w:val="23"/>
                <w:szCs w:val="23"/>
              </w:rPr>
              <w:t>Ms Peta Marks</w:t>
            </w:r>
          </w:p>
        </w:tc>
        <w:tc>
          <w:tcPr>
            <w:tcW w:w="2206" w:type="pct"/>
            <w:tcBorders>
              <w:left w:val="nil"/>
              <w:right w:val="nil"/>
            </w:tcBorders>
          </w:tcPr>
          <w:p w14:paraId="6CAB4836" w14:textId="77777777" w:rsidR="000D0E4E" w:rsidRPr="00AE5A70" w:rsidRDefault="001A3B21" w:rsidP="009341EF">
            <w:pPr>
              <w:pStyle w:val="Tabletext"/>
              <w:spacing w:before="0" w:after="0"/>
              <w:rPr>
                <w:sz w:val="23"/>
                <w:szCs w:val="23"/>
              </w:rPr>
            </w:pPr>
            <w:r w:rsidRPr="00AE5A70">
              <w:rPr>
                <w:sz w:val="23"/>
                <w:szCs w:val="23"/>
              </w:rPr>
              <w:t xml:space="preserve">Credentialed </w:t>
            </w:r>
            <w:r w:rsidR="6751408F" w:rsidRPr="00AE5A70">
              <w:rPr>
                <w:sz w:val="23"/>
                <w:szCs w:val="23"/>
              </w:rPr>
              <w:t>Mental Health Nurse; Professional Development and</w:t>
            </w:r>
            <w:r w:rsidRPr="00AE5A70">
              <w:rPr>
                <w:sz w:val="23"/>
                <w:szCs w:val="23"/>
              </w:rPr>
              <w:t xml:space="preserve"> National</w:t>
            </w:r>
            <w:r w:rsidR="6751408F" w:rsidRPr="00AE5A70">
              <w:rPr>
                <w:sz w:val="23"/>
                <w:szCs w:val="23"/>
              </w:rPr>
              <w:t xml:space="preserve"> Project Manager, the Australian College of Mental Health Nurses</w:t>
            </w:r>
          </w:p>
        </w:tc>
        <w:tc>
          <w:tcPr>
            <w:tcW w:w="1490" w:type="pct"/>
            <w:tcBorders>
              <w:left w:val="nil"/>
              <w:right w:val="nil"/>
            </w:tcBorders>
            <w:shd w:val="clear" w:color="auto" w:fill="auto"/>
          </w:tcPr>
          <w:p w14:paraId="01FE3256" w14:textId="77777777" w:rsidR="000D0E4E" w:rsidRPr="00AE5A70" w:rsidRDefault="000D0E4E" w:rsidP="009341EF">
            <w:pPr>
              <w:pStyle w:val="Tabletext"/>
              <w:spacing w:before="0" w:after="0"/>
              <w:rPr>
                <w:sz w:val="23"/>
                <w:szCs w:val="23"/>
              </w:rPr>
            </w:pPr>
            <w:r w:rsidRPr="00AE5A70">
              <w:rPr>
                <w:sz w:val="23"/>
                <w:szCs w:val="23"/>
              </w:rPr>
              <w:t>Professional Development and Project Manager, the Australian College of Mental Health Nurses</w:t>
            </w:r>
          </w:p>
        </w:tc>
      </w:tr>
      <w:tr w:rsidR="00AE5A70" w:rsidRPr="00AE5A70" w14:paraId="7C820B0F" w14:textId="77777777" w:rsidTr="009341EF">
        <w:trPr>
          <w:cantSplit/>
          <w:trHeight w:val="549"/>
        </w:trPr>
        <w:tc>
          <w:tcPr>
            <w:tcW w:w="1304" w:type="pct"/>
            <w:tcBorders>
              <w:left w:val="nil"/>
              <w:right w:val="nil"/>
            </w:tcBorders>
          </w:tcPr>
          <w:p w14:paraId="49C11E4F" w14:textId="77777777" w:rsidR="000D0E4E" w:rsidRPr="00AE5A70" w:rsidRDefault="000D0E4E" w:rsidP="009341EF">
            <w:pPr>
              <w:pStyle w:val="Tabletext"/>
              <w:spacing w:before="0" w:after="0"/>
              <w:rPr>
                <w:sz w:val="23"/>
                <w:szCs w:val="23"/>
              </w:rPr>
            </w:pPr>
            <w:r w:rsidRPr="00AE5A70">
              <w:rPr>
                <w:sz w:val="23"/>
                <w:szCs w:val="23"/>
              </w:rPr>
              <w:t>Dr Di Stow</w:t>
            </w:r>
          </w:p>
        </w:tc>
        <w:tc>
          <w:tcPr>
            <w:tcW w:w="2206" w:type="pct"/>
            <w:tcBorders>
              <w:left w:val="nil"/>
              <w:right w:val="nil"/>
            </w:tcBorders>
          </w:tcPr>
          <w:p w14:paraId="10B4A71A" w14:textId="77777777" w:rsidR="000D0E4E" w:rsidRPr="00AE5A70" w:rsidRDefault="000D0E4E" w:rsidP="009341EF">
            <w:pPr>
              <w:pStyle w:val="Tabletext"/>
              <w:spacing w:before="0" w:after="0"/>
              <w:rPr>
                <w:sz w:val="23"/>
                <w:szCs w:val="23"/>
              </w:rPr>
            </w:pPr>
            <w:r w:rsidRPr="00AE5A70">
              <w:rPr>
                <w:sz w:val="23"/>
                <w:szCs w:val="23"/>
              </w:rPr>
              <w:t>Counsellor</w:t>
            </w:r>
          </w:p>
        </w:tc>
        <w:tc>
          <w:tcPr>
            <w:tcW w:w="1490" w:type="pct"/>
            <w:tcBorders>
              <w:left w:val="nil"/>
              <w:right w:val="nil"/>
            </w:tcBorders>
            <w:shd w:val="clear" w:color="auto" w:fill="auto"/>
          </w:tcPr>
          <w:p w14:paraId="7D7B4138" w14:textId="77777777" w:rsidR="000D0E4E" w:rsidRPr="00AE5A70" w:rsidRDefault="000D0E4E" w:rsidP="009341EF">
            <w:pPr>
              <w:pStyle w:val="Tabletext"/>
              <w:spacing w:before="0" w:after="0"/>
              <w:rPr>
                <w:sz w:val="23"/>
                <w:szCs w:val="23"/>
              </w:rPr>
            </w:pPr>
            <w:r w:rsidRPr="00AE5A70">
              <w:rPr>
                <w:sz w:val="23"/>
                <w:szCs w:val="23"/>
              </w:rPr>
              <w:t>None to declare</w:t>
            </w:r>
          </w:p>
        </w:tc>
      </w:tr>
      <w:tr w:rsidR="00AE5A70" w:rsidRPr="00AE5A70" w14:paraId="6B40C827" w14:textId="77777777" w:rsidTr="009341EF">
        <w:trPr>
          <w:cantSplit/>
          <w:trHeight w:val="549"/>
        </w:trPr>
        <w:tc>
          <w:tcPr>
            <w:tcW w:w="1304" w:type="pct"/>
            <w:tcBorders>
              <w:left w:val="nil"/>
              <w:right w:val="nil"/>
            </w:tcBorders>
          </w:tcPr>
          <w:p w14:paraId="23EF3942" w14:textId="77777777" w:rsidR="000D0E4E" w:rsidRPr="00AE5A70" w:rsidRDefault="000D0E4E" w:rsidP="009341EF">
            <w:pPr>
              <w:pStyle w:val="Tabletext"/>
              <w:spacing w:before="0" w:after="0"/>
              <w:rPr>
                <w:sz w:val="23"/>
                <w:szCs w:val="23"/>
              </w:rPr>
            </w:pPr>
            <w:r w:rsidRPr="00AE5A70">
              <w:rPr>
                <w:sz w:val="23"/>
                <w:szCs w:val="23"/>
              </w:rPr>
              <w:t>Ms Bronny Carroll</w:t>
            </w:r>
          </w:p>
        </w:tc>
        <w:tc>
          <w:tcPr>
            <w:tcW w:w="2206" w:type="pct"/>
            <w:tcBorders>
              <w:left w:val="nil"/>
              <w:right w:val="nil"/>
            </w:tcBorders>
          </w:tcPr>
          <w:p w14:paraId="2B7467BA" w14:textId="77777777" w:rsidR="000D0E4E" w:rsidRPr="00AE5A70" w:rsidRDefault="000D0E4E" w:rsidP="009341EF">
            <w:pPr>
              <w:pStyle w:val="Tabletext"/>
              <w:spacing w:before="0" w:after="0"/>
              <w:rPr>
                <w:sz w:val="23"/>
                <w:szCs w:val="23"/>
              </w:rPr>
            </w:pPr>
            <w:r w:rsidRPr="00AE5A70">
              <w:rPr>
                <w:sz w:val="23"/>
                <w:szCs w:val="23"/>
              </w:rPr>
              <w:t>Consumer representative</w:t>
            </w:r>
          </w:p>
        </w:tc>
        <w:tc>
          <w:tcPr>
            <w:tcW w:w="1490" w:type="pct"/>
            <w:tcBorders>
              <w:left w:val="nil"/>
              <w:right w:val="nil"/>
            </w:tcBorders>
            <w:shd w:val="clear" w:color="auto" w:fill="auto"/>
          </w:tcPr>
          <w:p w14:paraId="2BBC20BD" w14:textId="77777777" w:rsidR="000D0E4E" w:rsidRPr="00AE5A70" w:rsidRDefault="000D0E4E" w:rsidP="009341EF">
            <w:pPr>
              <w:pStyle w:val="Tabletext"/>
              <w:spacing w:before="0" w:after="0"/>
              <w:rPr>
                <w:sz w:val="23"/>
                <w:szCs w:val="23"/>
              </w:rPr>
            </w:pPr>
            <w:r w:rsidRPr="00AE5A70">
              <w:rPr>
                <w:sz w:val="23"/>
                <w:szCs w:val="23"/>
              </w:rPr>
              <w:t xml:space="preserve">Consumer consultant, </w:t>
            </w:r>
            <w:r w:rsidR="002A154A" w:rsidRPr="00AE5A70">
              <w:rPr>
                <w:sz w:val="23"/>
                <w:szCs w:val="23"/>
              </w:rPr>
              <w:t>I</w:t>
            </w:r>
            <w:r w:rsidR="0045091B" w:rsidRPr="00AE5A70">
              <w:rPr>
                <w:sz w:val="23"/>
                <w:szCs w:val="23"/>
              </w:rPr>
              <w:t>nsideOut Institute for Eating Disorders</w:t>
            </w:r>
          </w:p>
        </w:tc>
      </w:tr>
      <w:tr w:rsidR="00AE5A70" w:rsidRPr="00AE5A70" w14:paraId="1211F7F3" w14:textId="77777777" w:rsidTr="009341EF">
        <w:trPr>
          <w:cantSplit/>
          <w:trHeight w:val="549"/>
        </w:trPr>
        <w:tc>
          <w:tcPr>
            <w:tcW w:w="1304" w:type="pct"/>
            <w:tcBorders>
              <w:left w:val="nil"/>
              <w:right w:val="nil"/>
            </w:tcBorders>
          </w:tcPr>
          <w:p w14:paraId="2F4B63AD" w14:textId="77777777" w:rsidR="000D0E4E" w:rsidRPr="00AE5A70" w:rsidRDefault="000D0E4E" w:rsidP="009341EF">
            <w:pPr>
              <w:pStyle w:val="Tabletext"/>
              <w:spacing w:before="0" w:after="0"/>
              <w:rPr>
                <w:sz w:val="23"/>
                <w:szCs w:val="23"/>
              </w:rPr>
            </w:pPr>
            <w:r w:rsidRPr="00AE5A70">
              <w:rPr>
                <w:sz w:val="23"/>
                <w:szCs w:val="23"/>
              </w:rPr>
              <w:t>Ms Helen Maxwell-Wright</w:t>
            </w:r>
          </w:p>
        </w:tc>
        <w:tc>
          <w:tcPr>
            <w:tcW w:w="2206" w:type="pct"/>
            <w:tcBorders>
              <w:left w:val="nil"/>
              <w:right w:val="nil"/>
            </w:tcBorders>
          </w:tcPr>
          <w:p w14:paraId="7A3B9FB6" w14:textId="77777777" w:rsidR="000D0E4E" w:rsidRPr="00AE5A70" w:rsidRDefault="6751408F" w:rsidP="009341EF">
            <w:pPr>
              <w:pStyle w:val="Tabletext"/>
              <w:spacing w:before="0" w:after="0"/>
              <w:rPr>
                <w:sz w:val="23"/>
                <w:szCs w:val="23"/>
              </w:rPr>
            </w:pPr>
            <w:r w:rsidRPr="00AE5A70">
              <w:rPr>
                <w:sz w:val="23"/>
                <w:szCs w:val="23"/>
              </w:rPr>
              <w:t>Consumer representative; Consumer Panel</w:t>
            </w:r>
          </w:p>
        </w:tc>
        <w:tc>
          <w:tcPr>
            <w:tcW w:w="1490" w:type="pct"/>
            <w:tcBorders>
              <w:left w:val="nil"/>
              <w:right w:val="nil"/>
            </w:tcBorders>
            <w:shd w:val="clear" w:color="auto" w:fill="auto"/>
          </w:tcPr>
          <w:p w14:paraId="5C6B0E57" w14:textId="77777777" w:rsidR="000D0E4E" w:rsidRPr="00AE5A70" w:rsidRDefault="000D0E4E" w:rsidP="009341EF">
            <w:pPr>
              <w:pStyle w:val="Tabletext"/>
              <w:spacing w:before="0" w:after="0"/>
              <w:rPr>
                <w:sz w:val="23"/>
                <w:szCs w:val="23"/>
              </w:rPr>
            </w:pPr>
            <w:r w:rsidRPr="00AE5A70">
              <w:rPr>
                <w:sz w:val="23"/>
                <w:szCs w:val="23"/>
              </w:rPr>
              <w:t>None to declare</w:t>
            </w:r>
          </w:p>
        </w:tc>
      </w:tr>
      <w:tr w:rsidR="00AE5A70" w:rsidRPr="00AE5A70" w14:paraId="2F0CFF64" w14:textId="77777777" w:rsidTr="009341EF">
        <w:trPr>
          <w:cantSplit/>
          <w:trHeight w:val="549"/>
        </w:trPr>
        <w:tc>
          <w:tcPr>
            <w:tcW w:w="1304" w:type="pct"/>
            <w:tcBorders>
              <w:left w:val="nil"/>
              <w:right w:val="nil"/>
            </w:tcBorders>
          </w:tcPr>
          <w:p w14:paraId="5661DEAC" w14:textId="77777777" w:rsidR="000D0E4E" w:rsidRPr="00AE5A70" w:rsidRDefault="000D0E4E" w:rsidP="009341EF">
            <w:pPr>
              <w:pStyle w:val="Tabletext"/>
              <w:spacing w:before="0" w:after="0"/>
              <w:rPr>
                <w:sz w:val="23"/>
                <w:szCs w:val="23"/>
              </w:rPr>
            </w:pPr>
            <w:r w:rsidRPr="00AE5A70">
              <w:rPr>
                <w:sz w:val="23"/>
                <w:szCs w:val="23"/>
              </w:rPr>
              <w:t>Mr Shane Jeffrey</w:t>
            </w:r>
          </w:p>
        </w:tc>
        <w:tc>
          <w:tcPr>
            <w:tcW w:w="2206" w:type="pct"/>
            <w:tcBorders>
              <w:left w:val="nil"/>
              <w:right w:val="nil"/>
            </w:tcBorders>
          </w:tcPr>
          <w:p w14:paraId="03A84B93" w14:textId="77777777" w:rsidR="000D0E4E" w:rsidRPr="00AE5A70" w:rsidRDefault="000D21D2" w:rsidP="009341EF">
            <w:pPr>
              <w:pStyle w:val="Tabletext"/>
              <w:spacing w:before="0" w:after="0"/>
              <w:rPr>
                <w:sz w:val="23"/>
                <w:szCs w:val="23"/>
              </w:rPr>
            </w:pPr>
            <w:r w:rsidRPr="00AE5A70">
              <w:rPr>
                <w:sz w:val="23"/>
                <w:szCs w:val="23"/>
              </w:rPr>
              <w:t>Accredited Practising Dietitian Private Practice, Treasurer Australian and New Zealand Academy for Eating Disorders, Associate Lecturer School of Human Movement and Nutrition Sciences University of Queensland</w:t>
            </w:r>
          </w:p>
        </w:tc>
        <w:tc>
          <w:tcPr>
            <w:tcW w:w="1490" w:type="pct"/>
            <w:tcBorders>
              <w:left w:val="nil"/>
              <w:right w:val="nil"/>
            </w:tcBorders>
            <w:shd w:val="clear" w:color="auto" w:fill="auto"/>
          </w:tcPr>
          <w:p w14:paraId="6A67E6C5" w14:textId="77777777" w:rsidR="000D0E4E" w:rsidRPr="00AE5A70" w:rsidRDefault="00890968" w:rsidP="009341EF">
            <w:pPr>
              <w:pStyle w:val="Tabletext"/>
              <w:spacing w:before="0" w:after="0"/>
              <w:rPr>
                <w:sz w:val="23"/>
                <w:szCs w:val="23"/>
              </w:rPr>
            </w:pPr>
            <w:r w:rsidRPr="00AE5A70">
              <w:rPr>
                <w:sz w:val="23"/>
                <w:szCs w:val="23"/>
              </w:rPr>
              <w:t>None to declare</w:t>
            </w:r>
          </w:p>
        </w:tc>
      </w:tr>
      <w:tr w:rsidR="00AE5A70" w:rsidRPr="00AE5A70" w14:paraId="1530E12A" w14:textId="77777777" w:rsidTr="009341EF">
        <w:trPr>
          <w:cantSplit/>
          <w:trHeight w:val="549"/>
        </w:trPr>
        <w:tc>
          <w:tcPr>
            <w:tcW w:w="1304" w:type="pct"/>
            <w:tcBorders>
              <w:left w:val="nil"/>
              <w:right w:val="nil"/>
            </w:tcBorders>
          </w:tcPr>
          <w:p w14:paraId="20AE616B" w14:textId="77777777" w:rsidR="000D0E4E" w:rsidRPr="00AE5A70" w:rsidRDefault="000D0E4E" w:rsidP="009341EF">
            <w:pPr>
              <w:pStyle w:val="Tabletext"/>
              <w:spacing w:before="0" w:after="0"/>
              <w:rPr>
                <w:sz w:val="23"/>
                <w:szCs w:val="23"/>
              </w:rPr>
            </w:pPr>
            <w:r w:rsidRPr="00AE5A70">
              <w:rPr>
                <w:sz w:val="23"/>
                <w:szCs w:val="23"/>
              </w:rPr>
              <w:t>A/Prof Genevieve Pepin</w:t>
            </w:r>
          </w:p>
        </w:tc>
        <w:tc>
          <w:tcPr>
            <w:tcW w:w="2206" w:type="pct"/>
            <w:tcBorders>
              <w:left w:val="nil"/>
              <w:right w:val="nil"/>
            </w:tcBorders>
          </w:tcPr>
          <w:p w14:paraId="5CDC014A" w14:textId="77777777" w:rsidR="000D0E4E" w:rsidRPr="00AE5A70" w:rsidRDefault="6751408F" w:rsidP="009341EF">
            <w:pPr>
              <w:pStyle w:val="Tabletext"/>
              <w:spacing w:before="0" w:after="0"/>
              <w:rPr>
                <w:sz w:val="23"/>
                <w:szCs w:val="23"/>
              </w:rPr>
            </w:pPr>
            <w:r w:rsidRPr="00AE5A70">
              <w:rPr>
                <w:sz w:val="23"/>
                <w:szCs w:val="23"/>
              </w:rPr>
              <w:t xml:space="preserve">Occupational Therapist; Associate Professor and </w:t>
            </w:r>
            <w:r w:rsidR="00E647B4" w:rsidRPr="00AE5A70">
              <w:rPr>
                <w:sz w:val="23"/>
                <w:szCs w:val="23"/>
              </w:rPr>
              <w:t>discipline lead</w:t>
            </w:r>
            <w:r w:rsidRPr="00AE5A70">
              <w:rPr>
                <w:sz w:val="23"/>
                <w:szCs w:val="23"/>
              </w:rPr>
              <w:t>, Faculty of Health, Deakin University</w:t>
            </w:r>
          </w:p>
        </w:tc>
        <w:tc>
          <w:tcPr>
            <w:tcW w:w="1490" w:type="pct"/>
            <w:tcBorders>
              <w:left w:val="nil"/>
              <w:right w:val="nil"/>
            </w:tcBorders>
            <w:shd w:val="clear" w:color="auto" w:fill="auto"/>
          </w:tcPr>
          <w:p w14:paraId="7F2A4F4B" w14:textId="77777777" w:rsidR="000D0E4E" w:rsidRPr="00AE5A70" w:rsidRDefault="000D0E4E" w:rsidP="009341EF">
            <w:pPr>
              <w:pStyle w:val="Tabletext"/>
              <w:spacing w:before="0" w:after="0"/>
              <w:rPr>
                <w:sz w:val="23"/>
                <w:szCs w:val="23"/>
              </w:rPr>
            </w:pPr>
            <w:r w:rsidRPr="00AE5A70">
              <w:rPr>
                <w:sz w:val="23"/>
                <w:szCs w:val="23"/>
              </w:rPr>
              <w:t>None to declare</w:t>
            </w:r>
          </w:p>
        </w:tc>
      </w:tr>
    </w:tbl>
    <w:p w14:paraId="0F3AD7E9" w14:textId="77777777" w:rsidR="000D0E4E" w:rsidRPr="00AE5A70" w:rsidRDefault="000D0E4E" w:rsidP="00E40606">
      <w:pPr>
        <w:pStyle w:val="Heading2"/>
        <w:numPr>
          <w:ilvl w:val="1"/>
          <w:numId w:val="5"/>
        </w:numPr>
        <w:spacing w:after="120"/>
        <w:ind w:left="578" w:hanging="578"/>
        <w:rPr>
          <w:sz w:val="23"/>
          <w:szCs w:val="23"/>
        </w:rPr>
      </w:pPr>
      <w:bookmarkStart w:id="31" w:name="_Toc531941922"/>
      <w:r w:rsidRPr="00AE5A70">
        <w:rPr>
          <w:sz w:val="23"/>
          <w:szCs w:val="23"/>
        </w:rPr>
        <w:t>Conflicts of interest</w:t>
      </w:r>
      <w:bookmarkEnd w:id="31"/>
    </w:p>
    <w:p w14:paraId="5F79BC57" w14:textId="77777777" w:rsidR="000D0E4E" w:rsidRPr="00AE5A70" w:rsidRDefault="000D0E4E" w:rsidP="000D0E4E">
      <w:pPr>
        <w:rPr>
          <w:sz w:val="23"/>
          <w:szCs w:val="23"/>
        </w:rPr>
      </w:pPr>
      <w:r w:rsidRPr="00AE5A70">
        <w:rPr>
          <w:sz w:val="23"/>
          <w:szCs w:val="23"/>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Pr="00AE5A70">
        <w:rPr>
          <w:sz w:val="23"/>
          <w:szCs w:val="23"/>
        </w:rPr>
        <w:fldChar w:fldCharType="begin"/>
      </w:r>
      <w:r w:rsidRPr="00AE5A70">
        <w:rPr>
          <w:sz w:val="23"/>
          <w:szCs w:val="23"/>
        </w:rPr>
        <w:instrText xml:space="preserve"> REF _Ref503780353 \h  \* MERGEFORMAT </w:instrText>
      </w:r>
      <w:r w:rsidRPr="00AE5A70">
        <w:rPr>
          <w:sz w:val="23"/>
          <w:szCs w:val="23"/>
        </w:rPr>
      </w:r>
      <w:r w:rsidRPr="00AE5A70">
        <w:rPr>
          <w:sz w:val="23"/>
          <w:szCs w:val="23"/>
        </w:rPr>
        <w:fldChar w:fldCharType="separate"/>
      </w:r>
      <w:r w:rsidR="00C213D2" w:rsidRPr="00AE5A70">
        <w:rPr>
          <w:sz w:val="23"/>
          <w:szCs w:val="23"/>
        </w:rPr>
        <w:t xml:space="preserve">Table </w:t>
      </w:r>
      <w:r w:rsidR="00C213D2">
        <w:rPr>
          <w:sz w:val="23"/>
          <w:szCs w:val="23"/>
        </w:rPr>
        <w:t>1</w:t>
      </w:r>
      <w:r w:rsidRPr="00AE5A70">
        <w:rPr>
          <w:sz w:val="23"/>
          <w:szCs w:val="23"/>
        </w:rPr>
        <w:fldChar w:fldCharType="end"/>
      </w:r>
      <w:r w:rsidRPr="00AE5A70">
        <w:rPr>
          <w:sz w:val="23"/>
          <w:szCs w:val="23"/>
        </w:rPr>
        <w:t xml:space="preserve"> above. </w:t>
      </w:r>
    </w:p>
    <w:p w14:paraId="5C3B465F" w14:textId="77777777" w:rsidR="000D0E4E" w:rsidRPr="00AE5A70" w:rsidRDefault="000D0E4E" w:rsidP="000D0E4E">
      <w:pPr>
        <w:rPr>
          <w:sz w:val="23"/>
          <w:szCs w:val="23"/>
        </w:rPr>
      </w:pPr>
      <w:r w:rsidRPr="00AE5A70">
        <w:rPr>
          <w:sz w:val="23"/>
          <w:szCs w:val="23"/>
        </w:rPr>
        <w:t xml:space="preserve">It is noted that the majority of the </w:t>
      </w:r>
      <w:r w:rsidR="00384011" w:rsidRPr="00AE5A70">
        <w:rPr>
          <w:sz w:val="23"/>
          <w:szCs w:val="23"/>
        </w:rPr>
        <w:t>c</w:t>
      </w:r>
      <w:r w:rsidRPr="00AE5A70">
        <w:rPr>
          <w:sz w:val="23"/>
          <w:szCs w:val="23"/>
        </w:rPr>
        <w:t xml:space="preserve">ommittee members share a common conflict of interest in reviewing items that are a source of revenue for them (i.e. </w:t>
      </w:r>
      <w:r w:rsidR="00384011" w:rsidRPr="00AE5A70">
        <w:rPr>
          <w:sz w:val="23"/>
          <w:szCs w:val="23"/>
        </w:rPr>
        <w:t>c</w:t>
      </w:r>
      <w:r w:rsidRPr="00AE5A70">
        <w:rPr>
          <w:sz w:val="23"/>
          <w:szCs w:val="23"/>
        </w:rPr>
        <w:t xml:space="preserve">ommittee members claim the items under review). This conflict is inherent in a clinician-led process, and having been acknowledged by the </w:t>
      </w:r>
      <w:r w:rsidR="00384011" w:rsidRPr="00AE5A70">
        <w:rPr>
          <w:sz w:val="23"/>
          <w:szCs w:val="23"/>
        </w:rPr>
        <w:t>c</w:t>
      </w:r>
      <w:r w:rsidRPr="00AE5A70">
        <w:rPr>
          <w:sz w:val="23"/>
          <w:szCs w:val="23"/>
        </w:rPr>
        <w:t>ommittee and the Taskforce, it was agreed that this should not prevent a clinician from participating in the review.</w:t>
      </w:r>
    </w:p>
    <w:p w14:paraId="69079283" w14:textId="77777777" w:rsidR="000D0E4E" w:rsidRPr="00AE5A70" w:rsidRDefault="000D0E4E" w:rsidP="00044469">
      <w:pPr>
        <w:pStyle w:val="Heading2"/>
        <w:numPr>
          <w:ilvl w:val="1"/>
          <w:numId w:val="5"/>
        </w:numPr>
        <w:spacing w:before="120" w:after="120"/>
        <w:ind w:left="578" w:hanging="578"/>
        <w:rPr>
          <w:sz w:val="23"/>
          <w:szCs w:val="23"/>
        </w:rPr>
      </w:pPr>
      <w:bookmarkStart w:id="32" w:name="_Toc485295723"/>
      <w:bookmarkStart w:id="33" w:name="_Toc531941923"/>
      <w:r w:rsidRPr="00AE5A70">
        <w:rPr>
          <w:sz w:val="23"/>
          <w:szCs w:val="23"/>
        </w:rPr>
        <w:t xml:space="preserve">Areas of responsibility of the </w:t>
      </w:r>
      <w:r w:rsidR="00D717B8" w:rsidRPr="00AE5A70">
        <w:rPr>
          <w:sz w:val="23"/>
          <w:szCs w:val="23"/>
        </w:rPr>
        <w:t>Eating Disorders</w:t>
      </w:r>
      <w:r w:rsidRPr="00AE5A70">
        <w:rPr>
          <w:sz w:val="23"/>
          <w:szCs w:val="23"/>
        </w:rPr>
        <w:t xml:space="preserve"> </w:t>
      </w:r>
      <w:bookmarkEnd w:id="32"/>
      <w:r w:rsidRPr="00AE5A70">
        <w:rPr>
          <w:sz w:val="23"/>
          <w:szCs w:val="23"/>
        </w:rPr>
        <w:t>Working Group</w:t>
      </w:r>
      <w:bookmarkEnd w:id="33"/>
    </w:p>
    <w:p w14:paraId="628C89EC" w14:textId="77777777" w:rsidR="05E4A835" w:rsidRPr="00AE5A70" w:rsidRDefault="00AE579D" w:rsidP="001B55C6">
      <w:pPr>
        <w:rPr>
          <w:rFonts w:ascii="Calibri" w:eastAsia="Calibri" w:hAnsi="Calibri" w:cs="Calibri"/>
          <w:sz w:val="23"/>
          <w:szCs w:val="23"/>
        </w:rPr>
      </w:pPr>
      <w:r w:rsidRPr="00AE5A70">
        <w:rPr>
          <w:rFonts w:ascii="Calibri" w:eastAsia="Calibri" w:hAnsi="Calibri" w:cs="Calibri"/>
          <w:sz w:val="23"/>
          <w:szCs w:val="23"/>
          <w:lang w:val="en-US"/>
        </w:rPr>
        <w:t xml:space="preserve">The Working Group </w:t>
      </w:r>
      <w:r w:rsidRPr="00AE5A70">
        <w:rPr>
          <w:rFonts w:ascii="Calibri" w:eastAsia="Calibri" w:hAnsi="Calibri" w:cs="Calibri"/>
          <w:sz w:val="23"/>
          <w:szCs w:val="23"/>
        </w:rPr>
        <w:t xml:space="preserve">differs from other clinical committees established under the auspices of the MBS Review Taskforce in that the Working Group was not assigned responsibility over specific MBS items. </w:t>
      </w:r>
      <w:r w:rsidRPr="00AE5A70">
        <w:rPr>
          <w:rFonts w:ascii="Calibri" w:eastAsia="Calibri" w:hAnsi="Calibri" w:cs="Calibri"/>
          <w:sz w:val="23"/>
          <w:szCs w:val="23"/>
          <w:lang w:val="en-US"/>
        </w:rPr>
        <w:t xml:space="preserve">The Working Group was tasked with assessing the overall </w:t>
      </w:r>
      <w:r w:rsidRPr="00AE5A70">
        <w:rPr>
          <w:rFonts w:ascii="Calibri" w:eastAsia="Calibri" w:hAnsi="Calibri" w:cs="Calibri"/>
          <w:sz w:val="23"/>
          <w:szCs w:val="23"/>
        </w:rPr>
        <w:t xml:space="preserve">existing MBS infrastructure and services as they relate to the treatment needs of patients with eating disorders. In making its recommendations, the Working Group considered 101 MBS items that are currently available to patients diagnosed with eating disorders. These items are presented in Appendix B. </w:t>
      </w:r>
    </w:p>
    <w:p w14:paraId="449416E0" w14:textId="77777777" w:rsidR="322CA96F" w:rsidRPr="00AE5A70" w:rsidRDefault="00271F8B" w:rsidP="6AEA6D44">
      <w:pPr>
        <w:rPr>
          <w:rFonts w:ascii="Calibri" w:eastAsia="Calibri" w:hAnsi="Calibri" w:cs="Calibri"/>
          <w:sz w:val="23"/>
          <w:szCs w:val="23"/>
        </w:rPr>
      </w:pPr>
      <w:r w:rsidRPr="00AE5A70">
        <w:rPr>
          <w:rFonts w:ascii="Calibri" w:eastAsia="Calibri" w:hAnsi="Calibri" w:cs="Calibri"/>
          <w:sz w:val="23"/>
          <w:szCs w:val="23"/>
        </w:rPr>
        <w:t>T</w:t>
      </w:r>
      <w:r w:rsidR="348FD1A1" w:rsidRPr="00AE5A70">
        <w:rPr>
          <w:rFonts w:ascii="Calibri" w:eastAsia="Calibri" w:hAnsi="Calibri" w:cs="Calibri"/>
          <w:sz w:val="23"/>
          <w:szCs w:val="23"/>
        </w:rPr>
        <w:t xml:space="preserve">here are no items that are exclusively used for the treatment of patients with </w:t>
      </w:r>
      <w:r w:rsidR="00071C3F" w:rsidRPr="00AE5A70">
        <w:rPr>
          <w:rFonts w:ascii="Calibri" w:eastAsia="Calibri" w:hAnsi="Calibri" w:cs="Calibri"/>
          <w:sz w:val="23"/>
          <w:szCs w:val="23"/>
        </w:rPr>
        <w:t>eating disorders</w:t>
      </w:r>
      <w:r w:rsidR="00071C3F" w:rsidRPr="00AE5A70">
        <w:rPr>
          <w:rStyle w:val="FootnoteReference"/>
          <w:rFonts w:ascii="Calibri" w:eastAsia="Calibri" w:hAnsi="Calibri" w:cs="Calibri"/>
          <w:sz w:val="23"/>
          <w:szCs w:val="23"/>
        </w:rPr>
        <w:footnoteReference w:id="3"/>
      </w:r>
      <w:r w:rsidR="00071C3F" w:rsidRPr="00AE5A70">
        <w:rPr>
          <w:rFonts w:ascii="Calibri" w:eastAsia="Calibri" w:hAnsi="Calibri" w:cs="Calibri"/>
          <w:sz w:val="23"/>
          <w:szCs w:val="23"/>
        </w:rPr>
        <w:t xml:space="preserve">. </w:t>
      </w:r>
      <w:r w:rsidR="00384011" w:rsidRPr="00AE5A70">
        <w:rPr>
          <w:rFonts w:ascii="Calibri" w:eastAsia="Calibri" w:hAnsi="Calibri" w:cs="Calibri"/>
          <w:sz w:val="23"/>
          <w:szCs w:val="23"/>
        </w:rPr>
        <w:t xml:space="preserve">It is therefore not possible to use </w:t>
      </w:r>
      <w:r w:rsidR="348FD1A1" w:rsidRPr="00AE5A70">
        <w:rPr>
          <w:rFonts w:ascii="Calibri" w:eastAsia="Calibri" w:hAnsi="Calibri" w:cs="Calibri"/>
          <w:sz w:val="23"/>
          <w:szCs w:val="23"/>
        </w:rPr>
        <w:t xml:space="preserve">Medicare data to isolate the number of services or the </w:t>
      </w:r>
      <w:r w:rsidR="00384011" w:rsidRPr="00AE5A70">
        <w:rPr>
          <w:rFonts w:ascii="Calibri" w:eastAsia="Calibri" w:hAnsi="Calibri" w:cs="Calibri"/>
          <w:sz w:val="23"/>
          <w:szCs w:val="23"/>
        </w:rPr>
        <w:t xml:space="preserve">number of </w:t>
      </w:r>
      <w:r w:rsidR="348FD1A1" w:rsidRPr="00AE5A70">
        <w:rPr>
          <w:rFonts w:ascii="Calibri" w:eastAsia="Calibri" w:hAnsi="Calibri" w:cs="Calibri"/>
          <w:sz w:val="23"/>
          <w:szCs w:val="23"/>
        </w:rPr>
        <w:t>treatment</w:t>
      </w:r>
      <w:r w:rsidR="00384011" w:rsidRPr="00AE5A70">
        <w:rPr>
          <w:rFonts w:ascii="Calibri" w:eastAsia="Calibri" w:hAnsi="Calibri" w:cs="Calibri"/>
          <w:sz w:val="23"/>
          <w:szCs w:val="23"/>
        </w:rPr>
        <w:t>s</w:t>
      </w:r>
      <w:r w:rsidR="348FD1A1" w:rsidRPr="00AE5A70">
        <w:rPr>
          <w:rFonts w:ascii="Calibri" w:eastAsia="Calibri" w:hAnsi="Calibri" w:cs="Calibri"/>
          <w:sz w:val="23"/>
          <w:szCs w:val="23"/>
        </w:rPr>
        <w:t xml:space="preserve"> </w:t>
      </w:r>
      <w:r w:rsidR="00384011" w:rsidRPr="00AE5A70">
        <w:rPr>
          <w:rFonts w:ascii="Calibri" w:eastAsia="Calibri" w:hAnsi="Calibri" w:cs="Calibri"/>
          <w:sz w:val="23"/>
          <w:szCs w:val="23"/>
        </w:rPr>
        <w:t xml:space="preserve">used by </w:t>
      </w:r>
      <w:r w:rsidR="348FD1A1" w:rsidRPr="00AE5A70">
        <w:rPr>
          <w:rFonts w:ascii="Calibri" w:eastAsia="Calibri" w:hAnsi="Calibri" w:cs="Calibri"/>
          <w:sz w:val="23"/>
          <w:szCs w:val="23"/>
        </w:rPr>
        <w:t xml:space="preserve">patients with </w:t>
      </w:r>
      <w:r w:rsidR="00384011" w:rsidRPr="00AE5A70">
        <w:rPr>
          <w:rFonts w:ascii="Calibri" w:eastAsia="Calibri" w:hAnsi="Calibri" w:cs="Calibri"/>
          <w:sz w:val="23"/>
          <w:szCs w:val="23"/>
        </w:rPr>
        <w:t>eating disorders</w:t>
      </w:r>
      <w:r w:rsidR="348FD1A1" w:rsidRPr="00AE5A70">
        <w:rPr>
          <w:rFonts w:ascii="Calibri" w:eastAsia="Calibri" w:hAnsi="Calibri" w:cs="Calibri"/>
          <w:sz w:val="23"/>
          <w:szCs w:val="23"/>
        </w:rPr>
        <w:t xml:space="preserve">.  </w:t>
      </w:r>
    </w:p>
    <w:p w14:paraId="003E57AF" w14:textId="77777777" w:rsidR="007C7DEB" w:rsidRPr="00AE5A70" w:rsidRDefault="007C7DEB">
      <w:pPr>
        <w:rPr>
          <w:b/>
          <w:sz w:val="23"/>
          <w:szCs w:val="23"/>
        </w:rPr>
      </w:pPr>
      <w:r w:rsidRPr="00AE5A70">
        <w:rPr>
          <w:rFonts w:ascii="Calibri" w:eastAsia="Calibri" w:hAnsi="Calibri" w:cs="Calibri"/>
          <w:b/>
          <w:sz w:val="23"/>
          <w:szCs w:val="23"/>
        </w:rPr>
        <w:t>Brief overview of items currently used for</w:t>
      </w:r>
      <w:r w:rsidR="006C28DC" w:rsidRPr="00AE5A70">
        <w:rPr>
          <w:rFonts w:ascii="Calibri" w:eastAsia="Calibri" w:hAnsi="Calibri" w:cs="Calibri"/>
          <w:b/>
          <w:bCs/>
          <w:sz w:val="23"/>
          <w:szCs w:val="23"/>
        </w:rPr>
        <w:t xml:space="preserve"> the</w:t>
      </w:r>
      <w:r w:rsidRPr="00AE5A70">
        <w:rPr>
          <w:rFonts w:ascii="Calibri" w:eastAsia="Calibri" w:hAnsi="Calibri" w:cs="Calibri"/>
          <w:b/>
          <w:sz w:val="23"/>
          <w:szCs w:val="23"/>
        </w:rPr>
        <w:t xml:space="preserve"> treatment of patients with eating disorders </w:t>
      </w:r>
    </w:p>
    <w:p w14:paraId="72B692E9" w14:textId="77777777" w:rsidR="14A215FA" w:rsidRPr="00AE5A70" w:rsidRDefault="14A215FA" w:rsidP="6B29B3CA">
      <w:pPr>
        <w:rPr>
          <w:sz w:val="23"/>
          <w:szCs w:val="23"/>
        </w:rPr>
      </w:pPr>
      <w:r w:rsidRPr="00AE5A70">
        <w:rPr>
          <w:rFonts w:ascii="Calibri" w:eastAsia="Calibri" w:hAnsi="Calibri" w:cs="Calibri"/>
          <w:sz w:val="23"/>
          <w:szCs w:val="23"/>
        </w:rPr>
        <w:t xml:space="preserve">The </w:t>
      </w:r>
      <w:r w:rsidRPr="00AE5A70">
        <w:rPr>
          <w:rFonts w:ascii="Calibri" w:eastAsia="Calibri" w:hAnsi="Calibri" w:cs="Calibri"/>
          <w:i/>
          <w:iCs/>
          <w:sz w:val="23"/>
          <w:szCs w:val="23"/>
        </w:rPr>
        <w:t xml:space="preserve">Better Access to Psychiatrists, Psychologists and </w:t>
      </w:r>
      <w:r w:rsidR="00384011" w:rsidRPr="00AE5A70">
        <w:rPr>
          <w:rFonts w:ascii="Calibri" w:eastAsia="Calibri" w:hAnsi="Calibri" w:cs="Calibri"/>
          <w:i/>
          <w:iCs/>
          <w:sz w:val="23"/>
          <w:szCs w:val="23"/>
        </w:rPr>
        <w:t>GPs</w:t>
      </w:r>
      <w:r w:rsidRPr="00AE5A70">
        <w:rPr>
          <w:rFonts w:ascii="Calibri" w:eastAsia="Calibri" w:hAnsi="Calibri" w:cs="Calibri"/>
          <w:i/>
          <w:iCs/>
          <w:sz w:val="23"/>
          <w:szCs w:val="23"/>
        </w:rPr>
        <w:t xml:space="preserve"> through the MBS</w:t>
      </w:r>
      <w:r w:rsidRPr="00AE5A70">
        <w:rPr>
          <w:rFonts w:ascii="Calibri" w:eastAsia="Calibri" w:hAnsi="Calibri" w:cs="Calibri"/>
          <w:sz w:val="23"/>
          <w:szCs w:val="23"/>
        </w:rPr>
        <w:t xml:space="preserve"> </w:t>
      </w:r>
      <w:r w:rsidR="0022669E" w:rsidRPr="00AE5A70">
        <w:rPr>
          <w:rFonts w:ascii="Calibri" w:eastAsia="Calibri" w:hAnsi="Calibri" w:cs="Calibri"/>
          <w:i/>
          <w:iCs/>
          <w:sz w:val="23"/>
          <w:szCs w:val="23"/>
        </w:rPr>
        <w:t>Initiative</w:t>
      </w:r>
      <w:r w:rsidR="0022669E" w:rsidRPr="00AE5A70">
        <w:rPr>
          <w:rFonts w:ascii="Calibri" w:eastAsia="Calibri" w:hAnsi="Calibri" w:cs="Calibri"/>
          <w:sz w:val="23"/>
          <w:szCs w:val="23"/>
        </w:rPr>
        <w:t xml:space="preserve"> (Better Access Initiative) </w:t>
      </w:r>
      <w:r w:rsidRPr="00AE5A70">
        <w:rPr>
          <w:rFonts w:ascii="Calibri" w:eastAsia="Calibri" w:hAnsi="Calibri" w:cs="Calibri"/>
          <w:sz w:val="23"/>
          <w:szCs w:val="23"/>
        </w:rPr>
        <w:t>is available to patients with a</w:t>
      </w:r>
      <w:r w:rsidR="49A652FD" w:rsidRPr="00AE5A70">
        <w:rPr>
          <w:rFonts w:ascii="Calibri" w:eastAsia="Calibri" w:hAnsi="Calibri" w:cs="Calibri"/>
          <w:sz w:val="23"/>
          <w:szCs w:val="23"/>
        </w:rPr>
        <w:t xml:space="preserve"> diagno</w:t>
      </w:r>
      <w:r w:rsidR="536F7403" w:rsidRPr="00AE5A70">
        <w:rPr>
          <w:rFonts w:ascii="Calibri" w:eastAsia="Calibri" w:hAnsi="Calibri" w:cs="Calibri"/>
          <w:sz w:val="23"/>
          <w:szCs w:val="23"/>
        </w:rPr>
        <w:t xml:space="preserve">sed mental </w:t>
      </w:r>
      <w:r w:rsidR="381DDB17" w:rsidRPr="00AE5A70">
        <w:rPr>
          <w:rFonts w:ascii="Calibri" w:eastAsia="Calibri" w:hAnsi="Calibri" w:cs="Calibri"/>
          <w:sz w:val="23"/>
          <w:szCs w:val="23"/>
        </w:rPr>
        <w:t>illness</w:t>
      </w:r>
      <w:r w:rsidRPr="00AE5A70">
        <w:rPr>
          <w:rFonts w:ascii="Calibri" w:eastAsia="Calibri" w:hAnsi="Calibri" w:cs="Calibri"/>
          <w:sz w:val="23"/>
          <w:szCs w:val="23"/>
        </w:rPr>
        <w:t xml:space="preserve"> who would benefit from a </w:t>
      </w:r>
      <w:r w:rsidR="002C2F12" w:rsidRPr="00AE5A70">
        <w:rPr>
          <w:rFonts w:ascii="Calibri" w:eastAsia="Calibri" w:hAnsi="Calibri" w:cs="Calibri"/>
          <w:sz w:val="23"/>
          <w:szCs w:val="23"/>
        </w:rPr>
        <w:t xml:space="preserve">planned </w:t>
      </w:r>
      <w:r w:rsidRPr="00AE5A70">
        <w:rPr>
          <w:rFonts w:ascii="Calibri" w:eastAsia="Calibri" w:hAnsi="Calibri" w:cs="Calibri"/>
          <w:sz w:val="23"/>
          <w:szCs w:val="23"/>
        </w:rPr>
        <w:t xml:space="preserve">approach to the management of their treatment needs. Patients are eligible for up to 10 allied mental health </w:t>
      </w:r>
      <w:r w:rsidR="004D3F7A" w:rsidRPr="00AE5A70">
        <w:rPr>
          <w:rFonts w:ascii="Calibri" w:eastAsia="Calibri" w:hAnsi="Calibri" w:cs="Calibri"/>
          <w:sz w:val="23"/>
          <w:szCs w:val="23"/>
        </w:rPr>
        <w:t xml:space="preserve">sessions </w:t>
      </w:r>
      <w:r w:rsidRPr="00AE5A70">
        <w:rPr>
          <w:rFonts w:ascii="Calibri" w:eastAsia="Calibri" w:hAnsi="Calibri" w:cs="Calibri"/>
          <w:sz w:val="23"/>
          <w:szCs w:val="23"/>
        </w:rPr>
        <w:t>and up to 10 group therapy sessions per calendar year.</w:t>
      </w:r>
    </w:p>
    <w:p w14:paraId="612EF9A4" w14:textId="77777777" w:rsidR="14A215FA" w:rsidRPr="00AE5A70" w:rsidRDefault="49A652FD">
      <w:pPr>
        <w:rPr>
          <w:sz w:val="23"/>
          <w:szCs w:val="23"/>
        </w:rPr>
      </w:pPr>
      <w:r w:rsidRPr="00AE5A70">
        <w:rPr>
          <w:rFonts w:ascii="Calibri" w:eastAsia="Calibri" w:hAnsi="Calibri" w:cs="Calibri"/>
          <w:sz w:val="23"/>
          <w:szCs w:val="23"/>
        </w:rPr>
        <w:t xml:space="preserve">Patients </w:t>
      </w:r>
      <w:r w:rsidR="14A215FA" w:rsidRPr="00AE5A70">
        <w:rPr>
          <w:rFonts w:ascii="Calibri" w:eastAsia="Calibri" w:hAnsi="Calibri" w:cs="Calibri"/>
          <w:sz w:val="23"/>
          <w:szCs w:val="23"/>
        </w:rPr>
        <w:t xml:space="preserve">with an eating disorder need to visit their GP for </w:t>
      </w:r>
      <w:r w:rsidR="6D2C2421" w:rsidRPr="00AE5A70">
        <w:rPr>
          <w:rFonts w:ascii="Calibri" w:eastAsia="Calibri" w:hAnsi="Calibri" w:cs="Calibri"/>
          <w:sz w:val="23"/>
          <w:szCs w:val="23"/>
        </w:rPr>
        <w:t xml:space="preserve">diagnosis and for the </w:t>
      </w:r>
      <w:r w:rsidR="14A215FA" w:rsidRPr="00AE5A70">
        <w:rPr>
          <w:rFonts w:ascii="Calibri" w:eastAsia="Calibri" w:hAnsi="Calibri" w:cs="Calibri"/>
          <w:sz w:val="23"/>
          <w:szCs w:val="23"/>
        </w:rPr>
        <w:t xml:space="preserve">preparation of a GP Mental Health Treatment Plan </w:t>
      </w:r>
      <w:r w:rsidR="00C15E62" w:rsidRPr="00AE5A70">
        <w:rPr>
          <w:rFonts w:ascii="Calibri" w:eastAsia="Calibri" w:hAnsi="Calibri" w:cs="Calibri"/>
          <w:sz w:val="23"/>
          <w:szCs w:val="23"/>
        </w:rPr>
        <w:t xml:space="preserve">(or be directly referred by a psychiatrist from an eligible MBS service) </w:t>
      </w:r>
      <w:r w:rsidR="14A215FA" w:rsidRPr="00AE5A70">
        <w:rPr>
          <w:rFonts w:ascii="Calibri" w:eastAsia="Calibri" w:hAnsi="Calibri" w:cs="Calibri"/>
          <w:sz w:val="23"/>
          <w:szCs w:val="23"/>
        </w:rPr>
        <w:t xml:space="preserve">in order to access Medicare </w:t>
      </w:r>
      <w:r w:rsidR="00C15E62" w:rsidRPr="00AE5A70">
        <w:rPr>
          <w:rFonts w:ascii="Calibri" w:eastAsia="Calibri" w:hAnsi="Calibri" w:cs="Calibri"/>
          <w:sz w:val="23"/>
          <w:szCs w:val="23"/>
        </w:rPr>
        <w:t xml:space="preserve">mental health </w:t>
      </w:r>
      <w:r w:rsidR="14A215FA" w:rsidRPr="00AE5A70">
        <w:rPr>
          <w:rFonts w:ascii="Calibri" w:eastAsia="Calibri" w:hAnsi="Calibri" w:cs="Calibri"/>
          <w:sz w:val="23"/>
          <w:szCs w:val="23"/>
        </w:rPr>
        <w:t>services under the Better Access Initiative</w:t>
      </w:r>
      <w:r w:rsidR="0022669E" w:rsidRPr="00AE5A70">
        <w:rPr>
          <w:rFonts w:ascii="Calibri" w:eastAsia="Calibri" w:hAnsi="Calibri" w:cs="Calibri"/>
          <w:sz w:val="23"/>
          <w:szCs w:val="23"/>
        </w:rPr>
        <w:t>.</w:t>
      </w:r>
    </w:p>
    <w:p w14:paraId="622C00B0" w14:textId="77777777" w:rsidR="14A215FA" w:rsidRPr="00AE5A70" w:rsidRDefault="14A215FA" w:rsidP="6B29B3CA">
      <w:pPr>
        <w:rPr>
          <w:rFonts w:ascii="Calibri" w:eastAsia="Calibri" w:hAnsi="Calibri" w:cs="Calibri"/>
          <w:sz w:val="23"/>
          <w:szCs w:val="23"/>
        </w:rPr>
      </w:pPr>
      <w:r w:rsidRPr="00AE5A70">
        <w:rPr>
          <w:rFonts w:ascii="Calibri" w:eastAsia="Calibri" w:hAnsi="Calibri" w:cs="Calibri"/>
          <w:sz w:val="23"/>
          <w:szCs w:val="23"/>
        </w:rPr>
        <w:t>From</w:t>
      </w:r>
      <w:r w:rsidR="00746029" w:rsidRPr="00AE5A70">
        <w:rPr>
          <w:rFonts w:ascii="Calibri" w:eastAsia="Calibri" w:hAnsi="Calibri" w:cs="Calibri"/>
          <w:sz w:val="23"/>
          <w:szCs w:val="23"/>
        </w:rPr>
        <w:t xml:space="preserve"> the</w:t>
      </w:r>
      <w:r w:rsidRPr="00AE5A70">
        <w:rPr>
          <w:rFonts w:ascii="Calibri" w:eastAsia="Calibri" w:hAnsi="Calibri" w:cs="Calibri"/>
          <w:sz w:val="23"/>
          <w:szCs w:val="23"/>
        </w:rPr>
        <w:t xml:space="preserve"> 1</w:t>
      </w:r>
      <w:r w:rsidR="00746029" w:rsidRPr="00AE5A70">
        <w:rPr>
          <w:rFonts w:ascii="Calibri" w:eastAsia="Calibri" w:hAnsi="Calibri" w:cs="Calibri"/>
          <w:sz w:val="23"/>
          <w:szCs w:val="23"/>
          <w:vertAlign w:val="superscript"/>
        </w:rPr>
        <w:t>st</w:t>
      </w:r>
      <w:r w:rsidR="00746029" w:rsidRPr="00AE5A70">
        <w:rPr>
          <w:rFonts w:ascii="Calibri" w:eastAsia="Calibri" w:hAnsi="Calibri" w:cs="Calibri"/>
          <w:sz w:val="23"/>
          <w:szCs w:val="23"/>
        </w:rPr>
        <w:t xml:space="preserve"> of</w:t>
      </w:r>
      <w:r w:rsidRPr="00AE5A70">
        <w:rPr>
          <w:rFonts w:ascii="Calibri" w:eastAsia="Calibri" w:hAnsi="Calibri" w:cs="Calibri"/>
          <w:sz w:val="23"/>
          <w:szCs w:val="23"/>
        </w:rPr>
        <w:t xml:space="preserve"> November 2017</w:t>
      </w:r>
      <w:r w:rsidR="00384011" w:rsidRPr="00AE5A70">
        <w:rPr>
          <w:rFonts w:ascii="Calibri" w:eastAsia="Calibri" w:hAnsi="Calibri" w:cs="Calibri"/>
          <w:sz w:val="23"/>
          <w:szCs w:val="23"/>
        </w:rPr>
        <w:t xml:space="preserve">, the expansion of the Better Access Initiative </w:t>
      </w:r>
      <w:r w:rsidR="00746029" w:rsidRPr="00AE5A70">
        <w:rPr>
          <w:rFonts w:ascii="Calibri" w:eastAsia="Calibri" w:hAnsi="Calibri" w:cs="Calibri"/>
          <w:sz w:val="23"/>
          <w:szCs w:val="23"/>
        </w:rPr>
        <w:t>included</w:t>
      </w:r>
      <w:r w:rsidR="00384011" w:rsidRPr="00AE5A70">
        <w:rPr>
          <w:rFonts w:ascii="Calibri" w:eastAsia="Calibri" w:hAnsi="Calibri" w:cs="Calibri"/>
          <w:sz w:val="23"/>
          <w:szCs w:val="23"/>
        </w:rPr>
        <w:t xml:space="preserve"> new Medicare items- 80001, 80011, 80101, 80111, 80126, 80136, 80151 and 80161, </w:t>
      </w:r>
      <w:r w:rsidR="00F8303A" w:rsidRPr="00AE5A70">
        <w:rPr>
          <w:rFonts w:ascii="Calibri" w:eastAsia="Calibri" w:hAnsi="Calibri" w:cs="Calibri"/>
          <w:sz w:val="23"/>
          <w:szCs w:val="23"/>
        </w:rPr>
        <w:t xml:space="preserve">to </w:t>
      </w:r>
      <w:r w:rsidR="00384011" w:rsidRPr="00AE5A70">
        <w:rPr>
          <w:rFonts w:ascii="Calibri" w:eastAsia="Calibri" w:hAnsi="Calibri" w:cs="Calibri"/>
          <w:sz w:val="23"/>
          <w:szCs w:val="23"/>
        </w:rPr>
        <w:t xml:space="preserve">allow patients </w:t>
      </w:r>
      <w:r w:rsidRPr="00AE5A70">
        <w:rPr>
          <w:rFonts w:ascii="Calibri" w:eastAsia="Calibri" w:hAnsi="Calibri" w:cs="Calibri"/>
          <w:sz w:val="23"/>
          <w:szCs w:val="23"/>
        </w:rPr>
        <w:t>in rural and remote locations (M</w:t>
      </w:r>
      <w:r w:rsidR="00DB6D16">
        <w:rPr>
          <w:rFonts w:ascii="Calibri" w:eastAsia="Calibri" w:hAnsi="Calibri" w:cs="Calibri"/>
          <w:sz w:val="23"/>
          <w:szCs w:val="23"/>
        </w:rPr>
        <w:t xml:space="preserve">odified </w:t>
      </w:r>
      <w:r w:rsidRPr="00AE5A70">
        <w:rPr>
          <w:rFonts w:ascii="Calibri" w:eastAsia="Calibri" w:hAnsi="Calibri" w:cs="Calibri"/>
          <w:sz w:val="23"/>
          <w:szCs w:val="23"/>
        </w:rPr>
        <w:t>M</w:t>
      </w:r>
      <w:r w:rsidR="00DB6D16">
        <w:rPr>
          <w:rFonts w:ascii="Calibri" w:eastAsia="Calibri" w:hAnsi="Calibri" w:cs="Calibri"/>
          <w:sz w:val="23"/>
          <w:szCs w:val="23"/>
        </w:rPr>
        <w:t xml:space="preserve">onash </w:t>
      </w:r>
      <w:r w:rsidRPr="00AE5A70">
        <w:rPr>
          <w:rFonts w:ascii="Calibri" w:eastAsia="Calibri" w:hAnsi="Calibri" w:cs="Calibri"/>
          <w:sz w:val="23"/>
          <w:szCs w:val="23"/>
        </w:rPr>
        <w:t>M</w:t>
      </w:r>
      <w:r w:rsidR="00DB6D16">
        <w:rPr>
          <w:rFonts w:ascii="Calibri" w:eastAsia="Calibri" w:hAnsi="Calibri" w:cs="Calibri"/>
          <w:sz w:val="23"/>
          <w:szCs w:val="23"/>
        </w:rPr>
        <w:t>odel areas</w:t>
      </w:r>
      <w:r w:rsidRPr="00AE5A70">
        <w:rPr>
          <w:rFonts w:ascii="Calibri" w:eastAsia="Calibri" w:hAnsi="Calibri" w:cs="Calibri"/>
          <w:sz w:val="23"/>
          <w:szCs w:val="23"/>
        </w:rPr>
        <w:t xml:space="preserve"> 4-7) access </w:t>
      </w:r>
      <w:r w:rsidR="008A1571" w:rsidRPr="00AE5A70">
        <w:rPr>
          <w:rFonts w:ascii="Calibri" w:eastAsia="Calibri" w:hAnsi="Calibri" w:cs="Calibri"/>
          <w:sz w:val="23"/>
          <w:szCs w:val="23"/>
        </w:rPr>
        <w:t>to</w:t>
      </w:r>
      <w:r w:rsidRPr="00AE5A70">
        <w:rPr>
          <w:rFonts w:ascii="Calibri" w:eastAsia="Calibri" w:hAnsi="Calibri" w:cs="Calibri"/>
          <w:sz w:val="23"/>
          <w:szCs w:val="23"/>
        </w:rPr>
        <w:t xml:space="preserve"> 7 of 10 consultations through video conferencing</w:t>
      </w:r>
      <w:r w:rsidR="00071C3F" w:rsidRPr="00AE5A70">
        <w:rPr>
          <w:rStyle w:val="FootnoteReference"/>
          <w:rFonts w:ascii="Calibri" w:eastAsia="Calibri" w:hAnsi="Calibri" w:cs="Calibri"/>
          <w:sz w:val="23"/>
          <w:szCs w:val="23"/>
        </w:rPr>
        <w:footnoteReference w:id="4"/>
      </w:r>
      <w:r w:rsidR="00384011" w:rsidRPr="00AE5A70">
        <w:rPr>
          <w:rFonts w:ascii="Calibri" w:eastAsia="Calibri" w:hAnsi="Calibri" w:cs="Calibri"/>
          <w:sz w:val="23"/>
          <w:szCs w:val="23"/>
        </w:rPr>
        <w:t>.</w:t>
      </w:r>
    </w:p>
    <w:p w14:paraId="4D23404B" w14:textId="77777777" w:rsidR="00336F3A" w:rsidRPr="00AE5A70" w:rsidRDefault="00893848">
      <w:pPr>
        <w:rPr>
          <w:rFonts w:ascii="Calibri" w:eastAsia="Calibri" w:hAnsi="Calibri" w:cs="Calibri"/>
          <w:b/>
          <w:sz w:val="23"/>
          <w:szCs w:val="23"/>
        </w:rPr>
      </w:pPr>
      <w:r w:rsidRPr="00AE5A70">
        <w:rPr>
          <w:rFonts w:ascii="Calibri" w:eastAsia="Calibri" w:hAnsi="Calibri" w:cs="Calibri"/>
          <w:b/>
          <w:sz w:val="23"/>
          <w:szCs w:val="23"/>
        </w:rPr>
        <w:t>Chronic Disease Management services</w:t>
      </w:r>
    </w:p>
    <w:p w14:paraId="5C666DB6" w14:textId="77777777" w:rsidR="00893848" w:rsidRPr="00AE5A70" w:rsidRDefault="00893848" w:rsidP="6B29B3CA">
      <w:pPr>
        <w:rPr>
          <w:sz w:val="23"/>
          <w:szCs w:val="23"/>
        </w:rPr>
      </w:pPr>
      <w:r w:rsidRPr="00AE5A70">
        <w:rPr>
          <w:sz w:val="23"/>
          <w:szCs w:val="23"/>
        </w:rPr>
        <w:t xml:space="preserve">Patients assessed with chronic </w:t>
      </w:r>
      <w:r w:rsidR="00280791" w:rsidRPr="00AE5A70">
        <w:rPr>
          <w:sz w:val="23"/>
          <w:szCs w:val="23"/>
        </w:rPr>
        <w:t xml:space="preserve">conditions or complex care needs </w:t>
      </w:r>
      <w:r w:rsidR="0022669E" w:rsidRPr="00AE5A70">
        <w:rPr>
          <w:sz w:val="23"/>
          <w:szCs w:val="23"/>
        </w:rPr>
        <w:t>that</w:t>
      </w:r>
      <w:r w:rsidR="00280791" w:rsidRPr="00AE5A70">
        <w:rPr>
          <w:sz w:val="23"/>
          <w:szCs w:val="23"/>
        </w:rPr>
        <w:t xml:space="preserve"> would benefit from a </w:t>
      </w:r>
      <w:r w:rsidR="002C2F12" w:rsidRPr="00AE5A70">
        <w:rPr>
          <w:sz w:val="23"/>
          <w:szCs w:val="23"/>
        </w:rPr>
        <w:t xml:space="preserve">planned </w:t>
      </w:r>
      <w:r w:rsidR="00280791" w:rsidRPr="00AE5A70">
        <w:rPr>
          <w:sz w:val="23"/>
          <w:szCs w:val="23"/>
        </w:rPr>
        <w:t xml:space="preserve">approach to the management of their treatment needs are eligible for up to </w:t>
      </w:r>
      <w:r w:rsidR="009069B4" w:rsidRPr="00AE5A70">
        <w:rPr>
          <w:sz w:val="23"/>
          <w:szCs w:val="23"/>
        </w:rPr>
        <w:t xml:space="preserve">five </w:t>
      </w:r>
      <w:r w:rsidR="00280791" w:rsidRPr="00AE5A70">
        <w:rPr>
          <w:sz w:val="23"/>
          <w:szCs w:val="23"/>
        </w:rPr>
        <w:t>allied health sessions per calendar year. To be eligible for these services, the GP must prepare a GP management plan and team care arrangements plan.</w:t>
      </w:r>
    </w:p>
    <w:p w14:paraId="608BD19B" w14:textId="77777777" w:rsidR="00280791" w:rsidRPr="00AE5A70" w:rsidRDefault="00280791" w:rsidP="6B29B3CA">
      <w:pPr>
        <w:rPr>
          <w:sz w:val="23"/>
          <w:szCs w:val="23"/>
        </w:rPr>
      </w:pPr>
      <w:r w:rsidRPr="00AE5A70">
        <w:rPr>
          <w:sz w:val="23"/>
          <w:szCs w:val="23"/>
        </w:rPr>
        <w:t xml:space="preserve">The MBS defines a chronic disease medical condition </w:t>
      </w:r>
      <w:r w:rsidR="00212835" w:rsidRPr="00AE5A70">
        <w:rPr>
          <w:sz w:val="23"/>
          <w:szCs w:val="23"/>
        </w:rPr>
        <w:t xml:space="preserve">as one that has been or is likely to be present for at least </w:t>
      </w:r>
      <w:r w:rsidR="009069B4" w:rsidRPr="00AE5A70">
        <w:rPr>
          <w:sz w:val="23"/>
          <w:szCs w:val="23"/>
        </w:rPr>
        <w:t>six</w:t>
      </w:r>
      <w:r w:rsidR="00212835" w:rsidRPr="00AE5A70">
        <w:rPr>
          <w:sz w:val="23"/>
          <w:szCs w:val="23"/>
        </w:rPr>
        <w:t xml:space="preserve"> months. A patient is considered to have complex care needs if they require ongoing care from a multidisciplinary tea</w:t>
      </w:r>
      <w:r w:rsidR="004119DA" w:rsidRPr="00AE5A70">
        <w:rPr>
          <w:sz w:val="23"/>
          <w:szCs w:val="23"/>
        </w:rPr>
        <w:t>m</w:t>
      </w:r>
      <w:r w:rsidR="00F72032" w:rsidRPr="00AE5A70">
        <w:rPr>
          <w:sz w:val="23"/>
          <w:szCs w:val="23"/>
        </w:rPr>
        <w:t xml:space="preserve"> (MDT)</w:t>
      </w:r>
      <w:r w:rsidR="004119DA" w:rsidRPr="00AE5A70">
        <w:rPr>
          <w:sz w:val="23"/>
          <w:szCs w:val="23"/>
        </w:rPr>
        <w:t xml:space="preserve"> consisting of their GP and at least t</w:t>
      </w:r>
      <w:r w:rsidR="00DA4BCE" w:rsidRPr="00AE5A70">
        <w:rPr>
          <w:sz w:val="23"/>
          <w:szCs w:val="23"/>
        </w:rPr>
        <w:t>w</w:t>
      </w:r>
      <w:r w:rsidR="004119DA" w:rsidRPr="00AE5A70">
        <w:rPr>
          <w:sz w:val="23"/>
          <w:szCs w:val="23"/>
        </w:rPr>
        <w:t>o other health care providers.</w:t>
      </w:r>
    </w:p>
    <w:p w14:paraId="6EF51620" w14:textId="77777777" w:rsidR="004119DA" w:rsidRPr="00AE5A70" w:rsidRDefault="004119DA" w:rsidP="6B29B3CA">
      <w:pPr>
        <w:rPr>
          <w:sz w:val="23"/>
          <w:szCs w:val="23"/>
        </w:rPr>
      </w:pPr>
      <w:r w:rsidRPr="00AE5A70">
        <w:rPr>
          <w:sz w:val="23"/>
          <w:szCs w:val="23"/>
        </w:rPr>
        <w:t>Allied health professionals eligible to provide services under Medicare for patients with a chronic medical condition and complex care needs include</w:t>
      </w:r>
      <w:r w:rsidR="007D0BE7" w:rsidRPr="00AE5A70">
        <w:rPr>
          <w:sz w:val="23"/>
          <w:szCs w:val="23"/>
        </w:rPr>
        <w:t>s (but not limited to):</w:t>
      </w:r>
    </w:p>
    <w:p w14:paraId="4B5EBC44" w14:textId="77777777" w:rsidR="00071C3F" w:rsidRPr="00AE5A70" w:rsidRDefault="00071C3F" w:rsidP="00044469">
      <w:pPr>
        <w:pStyle w:val="ListParagraph"/>
        <w:numPr>
          <w:ilvl w:val="0"/>
          <w:numId w:val="23"/>
        </w:numPr>
        <w:rPr>
          <w:sz w:val="23"/>
          <w:szCs w:val="23"/>
        </w:rPr>
      </w:pPr>
      <w:r w:rsidRPr="00AE5A70">
        <w:rPr>
          <w:sz w:val="23"/>
          <w:szCs w:val="23"/>
        </w:rPr>
        <w:t>A</w:t>
      </w:r>
      <w:r w:rsidR="001860E5" w:rsidRPr="00AE5A70">
        <w:rPr>
          <w:sz w:val="23"/>
          <w:szCs w:val="23"/>
        </w:rPr>
        <w:t xml:space="preserve">boriginal and Torres Strait Islander </w:t>
      </w:r>
      <w:r w:rsidRPr="00AE5A70">
        <w:rPr>
          <w:sz w:val="23"/>
          <w:szCs w:val="23"/>
        </w:rPr>
        <w:t>heal</w:t>
      </w:r>
      <w:r w:rsidR="001860E5" w:rsidRPr="00AE5A70">
        <w:rPr>
          <w:sz w:val="23"/>
          <w:szCs w:val="23"/>
        </w:rPr>
        <w:t>t</w:t>
      </w:r>
      <w:r w:rsidRPr="00AE5A70">
        <w:rPr>
          <w:sz w:val="23"/>
          <w:szCs w:val="23"/>
        </w:rPr>
        <w:t>h practitioners</w:t>
      </w:r>
      <w:r w:rsidR="001860E5" w:rsidRPr="00AE5A70">
        <w:rPr>
          <w:sz w:val="23"/>
          <w:szCs w:val="23"/>
        </w:rPr>
        <w:t>;</w:t>
      </w:r>
    </w:p>
    <w:p w14:paraId="0C695340" w14:textId="77777777" w:rsidR="001860E5" w:rsidRPr="00AE5A70" w:rsidRDefault="00071C3F" w:rsidP="00044469">
      <w:pPr>
        <w:pStyle w:val="ListParagraph"/>
        <w:numPr>
          <w:ilvl w:val="0"/>
          <w:numId w:val="23"/>
        </w:numPr>
        <w:rPr>
          <w:sz w:val="23"/>
          <w:szCs w:val="23"/>
        </w:rPr>
      </w:pPr>
      <w:r w:rsidRPr="00AE5A70">
        <w:rPr>
          <w:sz w:val="23"/>
          <w:szCs w:val="23"/>
        </w:rPr>
        <w:t>A</w:t>
      </w:r>
      <w:r w:rsidR="001860E5" w:rsidRPr="00AE5A70">
        <w:rPr>
          <w:sz w:val="23"/>
          <w:szCs w:val="23"/>
        </w:rPr>
        <w:t>boriginal health workers;</w:t>
      </w:r>
    </w:p>
    <w:p w14:paraId="3FAB69DC" w14:textId="77777777" w:rsidR="00071C3F" w:rsidRPr="00AE5A70" w:rsidRDefault="00071C3F" w:rsidP="00044469">
      <w:pPr>
        <w:pStyle w:val="ListParagraph"/>
        <w:numPr>
          <w:ilvl w:val="0"/>
          <w:numId w:val="23"/>
        </w:numPr>
        <w:rPr>
          <w:sz w:val="23"/>
          <w:szCs w:val="23"/>
        </w:rPr>
      </w:pPr>
      <w:r w:rsidRPr="00AE5A70">
        <w:rPr>
          <w:sz w:val="23"/>
          <w:szCs w:val="23"/>
        </w:rPr>
        <w:t>Aud</w:t>
      </w:r>
      <w:r w:rsidR="001860E5" w:rsidRPr="00AE5A70">
        <w:rPr>
          <w:sz w:val="23"/>
          <w:szCs w:val="23"/>
        </w:rPr>
        <w:t>iologists;</w:t>
      </w:r>
    </w:p>
    <w:p w14:paraId="2E08EBD3" w14:textId="77777777" w:rsidR="00071C3F" w:rsidRPr="00AE5A70" w:rsidRDefault="00071C3F" w:rsidP="00044469">
      <w:pPr>
        <w:pStyle w:val="ListParagraph"/>
        <w:numPr>
          <w:ilvl w:val="0"/>
          <w:numId w:val="23"/>
        </w:numPr>
        <w:rPr>
          <w:sz w:val="23"/>
          <w:szCs w:val="23"/>
        </w:rPr>
      </w:pPr>
      <w:r w:rsidRPr="00AE5A70">
        <w:rPr>
          <w:sz w:val="23"/>
          <w:szCs w:val="23"/>
        </w:rPr>
        <w:t>Chiro</w:t>
      </w:r>
      <w:r w:rsidR="001860E5" w:rsidRPr="00AE5A70">
        <w:rPr>
          <w:sz w:val="23"/>
          <w:szCs w:val="23"/>
        </w:rPr>
        <w:t>practors;</w:t>
      </w:r>
    </w:p>
    <w:p w14:paraId="274BBB65" w14:textId="77777777" w:rsidR="00071C3F" w:rsidRPr="00AE5A70" w:rsidRDefault="00071C3F" w:rsidP="00044469">
      <w:pPr>
        <w:pStyle w:val="ListParagraph"/>
        <w:numPr>
          <w:ilvl w:val="0"/>
          <w:numId w:val="23"/>
        </w:numPr>
        <w:rPr>
          <w:sz w:val="23"/>
          <w:szCs w:val="23"/>
        </w:rPr>
      </w:pPr>
      <w:r w:rsidRPr="00AE5A70">
        <w:rPr>
          <w:sz w:val="23"/>
          <w:szCs w:val="23"/>
        </w:rPr>
        <w:t>Diabetes</w:t>
      </w:r>
      <w:r w:rsidR="001860E5" w:rsidRPr="00AE5A70">
        <w:rPr>
          <w:sz w:val="23"/>
          <w:szCs w:val="23"/>
        </w:rPr>
        <w:t xml:space="preserve"> educators;</w:t>
      </w:r>
    </w:p>
    <w:p w14:paraId="1F60DEF2" w14:textId="77777777" w:rsidR="00071C3F" w:rsidRPr="00AE5A70" w:rsidRDefault="00071C3F" w:rsidP="00044469">
      <w:pPr>
        <w:pStyle w:val="ListParagraph"/>
        <w:numPr>
          <w:ilvl w:val="0"/>
          <w:numId w:val="23"/>
        </w:numPr>
        <w:rPr>
          <w:sz w:val="23"/>
          <w:szCs w:val="23"/>
        </w:rPr>
      </w:pPr>
      <w:r w:rsidRPr="00AE5A70">
        <w:rPr>
          <w:sz w:val="23"/>
          <w:szCs w:val="23"/>
        </w:rPr>
        <w:t>E</w:t>
      </w:r>
      <w:r w:rsidR="001860E5" w:rsidRPr="00AE5A70">
        <w:rPr>
          <w:sz w:val="23"/>
          <w:szCs w:val="23"/>
        </w:rPr>
        <w:t>xercise</w:t>
      </w:r>
      <w:r w:rsidRPr="00AE5A70">
        <w:rPr>
          <w:sz w:val="23"/>
          <w:szCs w:val="23"/>
        </w:rPr>
        <w:t xml:space="preserve"> p</w:t>
      </w:r>
      <w:r w:rsidR="001860E5" w:rsidRPr="00AE5A70">
        <w:rPr>
          <w:sz w:val="23"/>
          <w:szCs w:val="23"/>
        </w:rPr>
        <w:t>hysiologists;</w:t>
      </w:r>
    </w:p>
    <w:p w14:paraId="6255A7CE" w14:textId="77777777" w:rsidR="007D0BE7" w:rsidRPr="00AE5A70" w:rsidRDefault="007D0BE7" w:rsidP="00044469">
      <w:pPr>
        <w:pStyle w:val="ListParagraph"/>
        <w:numPr>
          <w:ilvl w:val="0"/>
          <w:numId w:val="23"/>
        </w:numPr>
        <w:rPr>
          <w:sz w:val="23"/>
          <w:szCs w:val="23"/>
        </w:rPr>
      </w:pPr>
      <w:r w:rsidRPr="00AE5A70">
        <w:rPr>
          <w:sz w:val="23"/>
          <w:szCs w:val="23"/>
        </w:rPr>
        <w:t>Psychologists</w:t>
      </w:r>
      <w:r w:rsidR="001860E5" w:rsidRPr="00AE5A70">
        <w:rPr>
          <w:sz w:val="23"/>
          <w:szCs w:val="23"/>
        </w:rPr>
        <w:t>;</w:t>
      </w:r>
    </w:p>
    <w:p w14:paraId="0B136507" w14:textId="77777777" w:rsidR="007D0BE7" w:rsidRPr="00AE5A70" w:rsidRDefault="007D0BE7" w:rsidP="00044469">
      <w:pPr>
        <w:pStyle w:val="ListParagraph"/>
        <w:numPr>
          <w:ilvl w:val="0"/>
          <w:numId w:val="23"/>
        </w:numPr>
        <w:rPr>
          <w:sz w:val="23"/>
          <w:szCs w:val="23"/>
        </w:rPr>
      </w:pPr>
      <w:r w:rsidRPr="00AE5A70">
        <w:rPr>
          <w:sz w:val="23"/>
          <w:szCs w:val="23"/>
        </w:rPr>
        <w:t>Physiotherapists</w:t>
      </w:r>
      <w:r w:rsidR="001860E5" w:rsidRPr="00AE5A70">
        <w:rPr>
          <w:sz w:val="23"/>
          <w:szCs w:val="23"/>
        </w:rPr>
        <w:t>;</w:t>
      </w:r>
    </w:p>
    <w:p w14:paraId="02177332" w14:textId="77777777" w:rsidR="007D0BE7" w:rsidRPr="00AE5A70" w:rsidRDefault="007D0BE7" w:rsidP="00044469">
      <w:pPr>
        <w:pStyle w:val="ListParagraph"/>
        <w:numPr>
          <w:ilvl w:val="0"/>
          <w:numId w:val="23"/>
        </w:numPr>
        <w:rPr>
          <w:sz w:val="23"/>
          <w:szCs w:val="23"/>
        </w:rPr>
      </w:pPr>
      <w:r w:rsidRPr="00AE5A70">
        <w:rPr>
          <w:sz w:val="23"/>
          <w:szCs w:val="23"/>
        </w:rPr>
        <w:t>Dietitians</w:t>
      </w:r>
      <w:r w:rsidR="001860E5" w:rsidRPr="00AE5A70">
        <w:rPr>
          <w:sz w:val="23"/>
          <w:szCs w:val="23"/>
        </w:rPr>
        <w:t>;</w:t>
      </w:r>
    </w:p>
    <w:p w14:paraId="58AAFABD" w14:textId="77777777" w:rsidR="001272E3" w:rsidRPr="00AE5A70" w:rsidRDefault="001272E3" w:rsidP="00044469">
      <w:pPr>
        <w:pStyle w:val="ListParagraph"/>
        <w:numPr>
          <w:ilvl w:val="0"/>
          <w:numId w:val="23"/>
        </w:numPr>
        <w:rPr>
          <w:sz w:val="23"/>
          <w:szCs w:val="23"/>
        </w:rPr>
      </w:pPr>
      <w:r w:rsidRPr="00AE5A70">
        <w:rPr>
          <w:sz w:val="23"/>
          <w:szCs w:val="23"/>
        </w:rPr>
        <w:t>Mental health nurses</w:t>
      </w:r>
      <w:r w:rsidR="001860E5" w:rsidRPr="00AE5A70">
        <w:rPr>
          <w:sz w:val="23"/>
          <w:szCs w:val="23"/>
        </w:rPr>
        <w:t>;</w:t>
      </w:r>
    </w:p>
    <w:p w14:paraId="3261F9A2" w14:textId="77777777" w:rsidR="007D0BE7" w:rsidRPr="00AE5A70" w:rsidRDefault="007D0BE7" w:rsidP="00044469">
      <w:pPr>
        <w:pStyle w:val="ListParagraph"/>
        <w:numPr>
          <w:ilvl w:val="0"/>
          <w:numId w:val="23"/>
        </w:numPr>
        <w:rPr>
          <w:sz w:val="23"/>
          <w:szCs w:val="23"/>
        </w:rPr>
      </w:pPr>
      <w:r w:rsidRPr="00AE5A70">
        <w:rPr>
          <w:sz w:val="23"/>
          <w:szCs w:val="23"/>
        </w:rPr>
        <w:t>Social workers</w:t>
      </w:r>
      <w:r w:rsidR="001860E5" w:rsidRPr="00AE5A70">
        <w:rPr>
          <w:sz w:val="23"/>
          <w:szCs w:val="23"/>
        </w:rPr>
        <w:t>;</w:t>
      </w:r>
    </w:p>
    <w:p w14:paraId="73B28594" w14:textId="77777777" w:rsidR="007D0BE7" w:rsidRPr="00AE5A70" w:rsidRDefault="007D0BE7" w:rsidP="00044469">
      <w:pPr>
        <w:pStyle w:val="ListParagraph"/>
        <w:numPr>
          <w:ilvl w:val="0"/>
          <w:numId w:val="23"/>
        </w:numPr>
        <w:rPr>
          <w:sz w:val="23"/>
          <w:szCs w:val="23"/>
        </w:rPr>
      </w:pPr>
      <w:r w:rsidRPr="00AE5A70">
        <w:rPr>
          <w:sz w:val="23"/>
          <w:szCs w:val="23"/>
        </w:rPr>
        <w:t>Occupational therapists</w:t>
      </w:r>
      <w:r w:rsidR="001860E5" w:rsidRPr="00AE5A70">
        <w:rPr>
          <w:sz w:val="23"/>
          <w:szCs w:val="23"/>
        </w:rPr>
        <w:t>;</w:t>
      </w:r>
    </w:p>
    <w:p w14:paraId="22BB74C8" w14:textId="77777777" w:rsidR="001860E5" w:rsidRPr="00AE5A70" w:rsidRDefault="001860E5" w:rsidP="00044469">
      <w:pPr>
        <w:pStyle w:val="ListParagraph"/>
        <w:numPr>
          <w:ilvl w:val="0"/>
          <w:numId w:val="23"/>
        </w:numPr>
        <w:rPr>
          <w:sz w:val="23"/>
          <w:szCs w:val="23"/>
        </w:rPr>
      </w:pPr>
      <w:r w:rsidRPr="00AE5A70">
        <w:rPr>
          <w:sz w:val="23"/>
          <w:szCs w:val="23"/>
        </w:rPr>
        <w:t>Osteopaths; and</w:t>
      </w:r>
    </w:p>
    <w:p w14:paraId="0C7BD36F" w14:textId="77777777" w:rsidR="001860E5" w:rsidRPr="00AE5A70" w:rsidRDefault="001860E5" w:rsidP="00044469">
      <w:pPr>
        <w:pStyle w:val="ListParagraph"/>
        <w:numPr>
          <w:ilvl w:val="0"/>
          <w:numId w:val="23"/>
        </w:numPr>
        <w:rPr>
          <w:sz w:val="23"/>
          <w:szCs w:val="23"/>
        </w:rPr>
      </w:pPr>
      <w:r w:rsidRPr="00AE5A70">
        <w:rPr>
          <w:sz w:val="23"/>
          <w:szCs w:val="23"/>
        </w:rPr>
        <w:t>Speech pathologists.</w:t>
      </w:r>
    </w:p>
    <w:p w14:paraId="056AF456" w14:textId="77777777" w:rsidR="14A215FA" w:rsidRPr="00AE5A70" w:rsidRDefault="14A215FA">
      <w:pPr>
        <w:rPr>
          <w:b/>
          <w:sz w:val="23"/>
          <w:szCs w:val="23"/>
        </w:rPr>
      </w:pPr>
      <w:r w:rsidRPr="00AE5A70">
        <w:rPr>
          <w:rFonts w:ascii="Calibri" w:eastAsia="Calibri" w:hAnsi="Calibri" w:cs="Calibri"/>
          <w:b/>
          <w:sz w:val="23"/>
          <w:szCs w:val="23"/>
        </w:rPr>
        <w:t>Consultant Psychiatrist services</w:t>
      </w:r>
    </w:p>
    <w:p w14:paraId="732C44C1" w14:textId="77777777" w:rsidR="00384011" w:rsidRPr="00AE5A70" w:rsidRDefault="14A215FA" w:rsidP="27C50046">
      <w:pPr>
        <w:rPr>
          <w:sz w:val="23"/>
          <w:szCs w:val="23"/>
        </w:rPr>
      </w:pPr>
      <w:r w:rsidRPr="00AE5A70">
        <w:rPr>
          <w:rFonts w:ascii="Calibri" w:eastAsia="Calibri" w:hAnsi="Calibri" w:cs="Calibri"/>
          <w:sz w:val="23"/>
          <w:szCs w:val="23"/>
        </w:rPr>
        <w:t xml:space="preserve">A GP can refer those </w:t>
      </w:r>
      <w:r w:rsidR="00580569">
        <w:rPr>
          <w:rFonts w:ascii="Calibri" w:eastAsia="Calibri" w:hAnsi="Calibri" w:cs="Calibri"/>
          <w:sz w:val="23"/>
          <w:szCs w:val="23"/>
        </w:rPr>
        <w:t>requiring</w:t>
      </w:r>
      <w:r w:rsidR="00580569" w:rsidRPr="00AE5A70">
        <w:rPr>
          <w:rFonts w:ascii="Calibri" w:eastAsia="Calibri" w:hAnsi="Calibri" w:cs="Calibri"/>
          <w:sz w:val="23"/>
          <w:szCs w:val="23"/>
        </w:rPr>
        <w:t xml:space="preserve"> </w:t>
      </w:r>
      <w:r w:rsidRPr="00AE5A70">
        <w:rPr>
          <w:rFonts w:ascii="Calibri" w:eastAsia="Calibri" w:hAnsi="Calibri" w:cs="Calibri"/>
          <w:sz w:val="23"/>
          <w:szCs w:val="23"/>
        </w:rPr>
        <w:t xml:space="preserve">more </w:t>
      </w:r>
      <w:r w:rsidR="00580569">
        <w:rPr>
          <w:rFonts w:ascii="Calibri" w:eastAsia="Calibri" w:hAnsi="Calibri" w:cs="Calibri"/>
          <w:sz w:val="23"/>
          <w:szCs w:val="23"/>
        </w:rPr>
        <w:t>intensive treatment of their</w:t>
      </w:r>
      <w:r w:rsidRPr="00AE5A70">
        <w:rPr>
          <w:rFonts w:ascii="Calibri" w:eastAsia="Calibri" w:hAnsi="Calibri" w:cs="Calibri"/>
          <w:sz w:val="23"/>
          <w:szCs w:val="23"/>
        </w:rPr>
        <w:t xml:space="preserve"> mental </w:t>
      </w:r>
      <w:r w:rsidR="00B837A7">
        <w:rPr>
          <w:rFonts w:ascii="Calibri" w:eastAsia="Calibri" w:hAnsi="Calibri" w:cs="Calibri"/>
          <w:sz w:val="23"/>
          <w:szCs w:val="23"/>
        </w:rPr>
        <w:t>disorder</w:t>
      </w:r>
      <w:r w:rsidRPr="00AE5A70">
        <w:rPr>
          <w:rFonts w:ascii="Calibri" w:eastAsia="Calibri" w:hAnsi="Calibri" w:cs="Calibri"/>
          <w:sz w:val="23"/>
          <w:szCs w:val="23"/>
        </w:rPr>
        <w:t xml:space="preserve"> to Medicare subsidised consultant psychiatrist services. Up to 50 sessions per year are rebated at the full rate (once 50 services have been provided the rebate level is reduced). </w:t>
      </w:r>
      <w:r w:rsidR="0022669E" w:rsidRPr="00AE5A70">
        <w:rPr>
          <w:rFonts w:ascii="Calibri" w:eastAsia="Calibri" w:hAnsi="Calibri" w:cs="Calibri"/>
          <w:sz w:val="23"/>
          <w:szCs w:val="23"/>
        </w:rPr>
        <w:t>Some p</w:t>
      </w:r>
      <w:r w:rsidRPr="00AE5A70">
        <w:rPr>
          <w:rFonts w:ascii="Calibri" w:eastAsia="Calibri" w:hAnsi="Calibri" w:cs="Calibri"/>
          <w:sz w:val="23"/>
          <w:szCs w:val="23"/>
        </w:rPr>
        <w:t xml:space="preserve">atients with </w:t>
      </w:r>
      <w:r w:rsidR="00CE51AA">
        <w:rPr>
          <w:rFonts w:ascii="Calibri" w:eastAsia="Calibri" w:hAnsi="Calibri" w:cs="Calibri"/>
          <w:sz w:val="23"/>
          <w:szCs w:val="23"/>
        </w:rPr>
        <w:t>anorexia nervosa and bulimia nervosa</w:t>
      </w:r>
      <w:r w:rsidRPr="00AE5A70">
        <w:rPr>
          <w:rFonts w:ascii="Calibri" w:eastAsia="Calibri" w:hAnsi="Calibri" w:cs="Calibri"/>
          <w:sz w:val="23"/>
          <w:szCs w:val="23"/>
        </w:rPr>
        <w:t xml:space="preserve"> are able to access up to 160 sessions per calendar year at the full rebate level. A psychiatrist may also prepare a psychiatric assessment and management plan. If indicated a psychiatrist can</w:t>
      </w:r>
      <w:r w:rsidR="007274DD" w:rsidRPr="00AE5A70">
        <w:rPr>
          <w:rFonts w:ascii="Calibri" w:eastAsia="Calibri" w:hAnsi="Calibri" w:cs="Calibri"/>
          <w:sz w:val="23"/>
          <w:szCs w:val="23"/>
        </w:rPr>
        <w:t xml:space="preserve"> also</w:t>
      </w:r>
      <w:r w:rsidRPr="00AE5A70">
        <w:rPr>
          <w:rFonts w:ascii="Calibri" w:eastAsia="Calibri" w:hAnsi="Calibri" w:cs="Calibri"/>
          <w:sz w:val="23"/>
          <w:szCs w:val="23"/>
        </w:rPr>
        <w:t xml:space="preserve"> directly refer the patient on to allied mental health services under </w:t>
      </w:r>
      <w:r w:rsidR="0022669E" w:rsidRPr="00AE5A70">
        <w:rPr>
          <w:rFonts w:ascii="Calibri" w:eastAsia="Calibri" w:hAnsi="Calibri" w:cs="Calibri"/>
          <w:sz w:val="23"/>
          <w:szCs w:val="23"/>
        </w:rPr>
        <w:t xml:space="preserve">the </w:t>
      </w:r>
      <w:r w:rsidRPr="00AE5A70">
        <w:rPr>
          <w:rFonts w:ascii="Calibri" w:eastAsia="Calibri" w:hAnsi="Calibri" w:cs="Calibri"/>
          <w:i/>
          <w:sz w:val="23"/>
          <w:szCs w:val="23"/>
        </w:rPr>
        <w:t>Better Access</w:t>
      </w:r>
      <w:r w:rsidR="0022669E" w:rsidRPr="00AE5A70">
        <w:rPr>
          <w:rFonts w:ascii="Calibri" w:eastAsia="Calibri" w:hAnsi="Calibri" w:cs="Calibri"/>
          <w:i/>
          <w:sz w:val="23"/>
          <w:szCs w:val="23"/>
        </w:rPr>
        <w:t xml:space="preserve"> Initiative</w:t>
      </w:r>
      <w:r w:rsidRPr="00AE5A70">
        <w:rPr>
          <w:rFonts w:ascii="Calibri" w:eastAsia="Calibri" w:hAnsi="Calibri" w:cs="Calibri"/>
          <w:sz w:val="23"/>
          <w:szCs w:val="23"/>
        </w:rPr>
        <w:t>.</w:t>
      </w:r>
    </w:p>
    <w:p w14:paraId="0456A531" w14:textId="77777777" w:rsidR="000D0E4E" w:rsidRPr="00AE5A70" w:rsidRDefault="000D0E4E" w:rsidP="00044469">
      <w:pPr>
        <w:pStyle w:val="Heading2"/>
        <w:numPr>
          <w:ilvl w:val="1"/>
          <w:numId w:val="5"/>
        </w:numPr>
        <w:spacing w:before="120" w:after="120"/>
        <w:ind w:left="578" w:hanging="578"/>
        <w:rPr>
          <w:sz w:val="23"/>
          <w:szCs w:val="23"/>
        </w:rPr>
      </w:pPr>
      <w:bookmarkStart w:id="34" w:name="_Toc522745264"/>
      <w:bookmarkStart w:id="35" w:name="_Toc457463621"/>
      <w:bookmarkStart w:id="36" w:name="_Toc459996811"/>
      <w:bookmarkStart w:id="37" w:name="_Toc458166999"/>
      <w:bookmarkStart w:id="38" w:name="_Toc464871137"/>
      <w:bookmarkStart w:id="39" w:name="_Toc482641297"/>
      <w:bookmarkStart w:id="40" w:name="_Toc531941924"/>
      <w:bookmarkStart w:id="41" w:name="_Toc456045432"/>
      <w:bookmarkEnd w:id="34"/>
      <w:r w:rsidRPr="00AE5A70">
        <w:rPr>
          <w:sz w:val="23"/>
          <w:szCs w:val="23"/>
        </w:rPr>
        <w:t>Summary of the Working Group’s review</w:t>
      </w:r>
      <w:r w:rsidR="00736C96" w:rsidRPr="00AE5A70">
        <w:rPr>
          <w:sz w:val="23"/>
          <w:szCs w:val="23"/>
        </w:rPr>
        <w:t xml:space="preserve"> </w:t>
      </w:r>
      <w:r w:rsidRPr="00AE5A70">
        <w:rPr>
          <w:sz w:val="23"/>
          <w:szCs w:val="23"/>
        </w:rPr>
        <w:t>approach</w:t>
      </w:r>
      <w:bookmarkEnd w:id="35"/>
      <w:bookmarkEnd w:id="36"/>
      <w:bookmarkEnd w:id="37"/>
      <w:bookmarkEnd w:id="38"/>
      <w:bookmarkEnd w:id="39"/>
      <w:bookmarkEnd w:id="40"/>
    </w:p>
    <w:p w14:paraId="0B0BECB2" w14:textId="77777777" w:rsidR="003B5CDE" w:rsidRPr="00AE5A70" w:rsidRDefault="003B5CDE" w:rsidP="003B5CDE">
      <w:pPr>
        <w:rPr>
          <w:sz w:val="23"/>
          <w:szCs w:val="23"/>
        </w:rPr>
      </w:pPr>
      <w:bookmarkStart w:id="42" w:name="_Toc485295724"/>
      <w:bookmarkEnd w:id="41"/>
      <w:r w:rsidRPr="00AE5A70">
        <w:rPr>
          <w:rFonts w:ascii="Calibri" w:eastAsia="Calibri" w:hAnsi="Calibri" w:cs="Calibri"/>
          <w:sz w:val="23"/>
          <w:szCs w:val="23"/>
        </w:rPr>
        <w:t>The Working Group completed a review across three working group meetings. During these meetings it developed the recommendations and rationales contained in this report</w:t>
      </w:r>
      <w:r w:rsidR="001A3B21" w:rsidRPr="00AE5A70">
        <w:rPr>
          <w:rFonts w:ascii="Calibri" w:eastAsia="Calibri" w:hAnsi="Calibri" w:cs="Calibri"/>
          <w:sz w:val="23"/>
          <w:szCs w:val="23"/>
        </w:rPr>
        <w:t>, based on evidence and collect</w:t>
      </w:r>
      <w:r w:rsidR="001860E5" w:rsidRPr="00AE5A70">
        <w:rPr>
          <w:rFonts w:ascii="Calibri" w:eastAsia="Calibri" w:hAnsi="Calibri" w:cs="Calibri"/>
          <w:sz w:val="23"/>
          <w:szCs w:val="23"/>
        </w:rPr>
        <w:t>ive</w:t>
      </w:r>
      <w:r w:rsidR="001A3B21" w:rsidRPr="00AE5A70">
        <w:rPr>
          <w:rFonts w:ascii="Calibri" w:eastAsia="Calibri" w:hAnsi="Calibri" w:cs="Calibri"/>
          <w:sz w:val="23"/>
          <w:szCs w:val="23"/>
        </w:rPr>
        <w:t xml:space="preserve"> clinical experience</w:t>
      </w:r>
      <w:r w:rsidRPr="00AE5A70">
        <w:rPr>
          <w:rFonts w:ascii="Calibri" w:eastAsia="Calibri" w:hAnsi="Calibri" w:cs="Calibri"/>
          <w:sz w:val="23"/>
          <w:szCs w:val="23"/>
        </w:rPr>
        <w:t>.</w:t>
      </w:r>
    </w:p>
    <w:p w14:paraId="63841C5D" w14:textId="77777777" w:rsidR="003B5CDE" w:rsidRPr="00AE5A70" w:rsidRDefault="003B5CDE" w:rsidP="003B5CDE">
      <w:pPr>
        <w:rPr>
          <w:sz w:val="23"/>
          <w:szCs w:val="23"/>
        </w:rPr>
      </w:pPr>
      <w:r w:rsidRPr="00AE5A70">
        <w:rPr>
          <w:rFonts w:ascii="Calibri" w:eastAsia="Calibri" w:hAnsi="Calibri" w:cs="Calibri"/>
          <w:sz w:val="23"/>
          <w:szCs w:val="23"/>
        </w:rPr>
        <w:t xml:space="preserve">The MBS items that relate to the treatment of patients with eating disorders are not exclusively for the use of patients with eating disorders. Accordingly, Medicare utilisation data was of limited use to the Working Group </w:t>
      </w:r>
      <w:r w:rsidR="00CE51AA">
        <w:rPr>
          <w:rFonts w:ascii="Calibri" w:eastAsia="Calibri" w:hAnsi="Calibri" w:cs="Calibri"/>
          <w:sz w:val="23"/>
          <w:szCs w:val="23"/>
        </w:rPr>
        <w:t>for the review.</w:t>
      </w:r>
    </w:p>
    <w:p w14:paraId="5E41025C" w14:textId="77777777" w:rsidR="003B5CDE" w:rsidRPr="00AE5A70" w:rsidRDefault="003B5CDE" w:rsidP="003B5CDE">
      <w:pPr>
        <w:rPr>
          <w:sz w:val="23"/>
          <w:szCs w:val="23"/>
        </w:rPr>
      </w:pPr>
      <w:r w:rsidRPr="00AE5A70">
        <w:rPr>
          <w:rFonts w:ascii="Calibri" w:eastAsia="Calibri" w:hAnsi="Calibri" w:cs="Calibri"/>
          <w:sz w:val="23"/>
          <w:szCs w:val="23"/>
        </w:rPr>
        <w:t>The Review therefore drew on data, clinical treatment protocols and models of care presented in the relevant literature and clinical guidelines. This includes those developed by the Butterfly Foundation and the Royal Australian and New Zealand College of Psychiatrists. Guidelines and literature were sourced from medical journals and professional societies. The models of care compared to the existing MBS arrangements.</w:t>
      </w:r>
    </w:p>
    <w:p w14:paraId="7F0476CF" w14:textId="77777777" w:rsidR="003B5CDE" w:rsidRPr="00AE5A70" w:rsidRDefault="003B5CDE" w:rsidP="003B5CDE">
      <w:pPr>
        <w:rPr>
          <w:sz w:val="23"/>
          <w:szCs w:val="23"/>
        </w:rPr>
      </w:pPr>
      <w:r w:rsidRPr="00AE5A70">
        <w:rPr>
          <w:rFonts w:ascii="Calibri" w:eastAsia="Calibri" w:hAnsi="Calibri" w:cs="Calibri"/>
          <w:sz w:val="23"/>
          <w:szCs w:val="23"/>
        </w:rPr>
        <w:t>The Working Group also considered submissions from a range of relevant stakeholders, including the Australian College of Mental Health Nurses</w:t>
      </w:r>
      <w:r w:rsidR="009E1DC3">
        <w:rPr>
          <w:rFonts w:ascii="Calibri" w:eastAsia="Calibri" w:hAnsi="Calibri" w:cs="Calibri"/>
          <w:sz w:val="23"/>
          <w:szCs w:val="23"/>
        </w:rPr>
        <w:t xml:space="preserve">, </w:t>
      </w:r>
      <w:r w:rsidRPr="00AE5A70">
        <w:rPr>
          <w:rFonts w:ascii="Calibri" w:eastAsia="Calibri" w:hAnsi="Calibri" w:cs="Calibri"/>
          <w:sz w:val="23"/>
          <w:szCs w:val="23"/>
        </w:rPr>
        <w:t>Australian Psychological Society</w:t>
      </w:r>
      <w:r w:rsidR="009E1DC3">
        <w:rPr>
          <w:rFonts w:ascii="Calibri" w:eastAsia="Calibri" w:hAnsi="Calibri" w:cs="Calibri"/>
          <w:sz w:val="23"/>
          <w:szCs w:val="23"/>
        </w:rPr>
        <w:t xml:space="preserve">, </w:t>
      </w:r>
      <w:r w:rsidRPr="00AE5A70">
        <w:rPr>
          <w:rFonts w:ascii="Calibri" w:eastAsia="Calibri" w:hAnsi="Calibri" w:cs="Calibri"/>
          <w:sz w:val="23"/>
          <w:szCs w:val="23"/>
        </w:rPr>
        <w:t>Psychotherapy and Counselling Federation of Australia and the Butterfly Foundation. The submissions identified a range of issues including:</w:t>
      </w:r>
    </w:p>
    <w:p w14:paraId="694ED8E9" w14:textId="77777777" w:rsidR="2C699489" w:rsidRPr="00AE5A70" w:rsidRDefault="2C699489" w:rsidP="009E1DC3">
      <w:pPr>
        <w:ind w:left="142"/>
        <w:rPr>
          <w:sz w:val="23"/>
          <w:szCs w:val="23"/>
        </w:rPr>
      </w:pPr>
      <w:r w:rsidRPr="00AE5A70">
        <w:rPr>
          <w:rFonts w:ascii="Calibri" w:eastAsia="Calibri" w:hAnsi="Calibri" w:cs="Calibri"/>
          <w:sz w:val="23"/>
          <w:szCs w:val="23"/>
        </w:rPr>
        <w:t>• The cap placed on the number of sessions available for mental health treatment and nutritional therapy;</w:t>
      </w:r>
    </w:p>
    <w:p w14:paraId="10E44A46" w14:textId="77777777" w:rsidR="2C699489" w:rsidRPr="00AE5A70" w:rsidRDefault="2C699489" w:rsidP="009E1DC3">
      <w:pPr>
        <w:ind w:left="142"/>
        <w:rPr>
          <w:sz w:val="23"/>
          <w:szCs w:val="23"/>
        </w:rPr>
      </w:pPr>
      <w:r w:rsidRPr="00AE5A70">
        <w:rPr>
          <w:rFonts w:ascii="Calibri" w:eastAsia="Calibri" w:hAnsi="Calibri" w:cs="Calibri"/>
          <w:sz w:val="23"/>
          <w:szCs w:val="23"/>
        </w:rPr>
        <w:t>• The limitations placed on who can deliver services under the current MBS mental health items;</w:t>
      </w:r>
    </w:p>
    <w:p w14:paraId="21021AED" w14:textId="77777777" w:rsidR="2C699489" w:rsidRPr="00AE5A70" w:rsidRDefault="2C699489" w:rsidP="009E1DC3">
      <w:pPr>
        <w:ind w:left="142"/>
        <w:rPr>
          <w:sz w:val="23"/>
          <w:szCs w:val="23"/>
        </w:rPr>
      </w:pPr>
      <w:r w:rsidRPr="00AE5A70">
        <w:rPr>
          <w:rFonts w:ascii="Calibri" w:eastAsia="Calibri" w:hAnsi="Calibri" w:cs="Calibri"/>
          <w:sz w:val="23"/>
          <w:szCs w:val="23"/>
        </w:rPr>
        <w:t>• Restrictions placed on the type of sessions provided by mental health nurses</w:t>
      </w:r>
      <w:r w:rsidR="00B837A7">
        <w:rPr>
          <w:rFonts w:ascii="Calibri" w:eastAsia="Calibri" w:hAnsi="Calibri" w:cs="Calibri"/>
          <w:sz w:val="23"/>
          <w:szCs w:val="23"/>
        </w:rPr>
        <w:t xml:space="preserve"> and other allied and mental health professionals</w:t>
      </w:r>
      <w:r w:rsidRPr="00AE5A70">
        <w:rPr>
          <w:rFonts w:ascii="Calibri" w:eastAsia="Calibri" w:hAnsi="Calibri" w:cs="Calibri"/>
          <w:sz w:val="23"/>
          <w:szCs w:val="23"/>
        </w:rPr>
        <w:t>;</w:t>
      </w:r>
    </w:p>
    <w:p w14:paraId="68CFB21D" w14:textId="77777777" w:rsidR="2C699489" w:rsidRPr="00AE5A70" w:rsidRDefault="2C699489" w:rsidP="009E1DC3">
      <w:pPr>
        <w:ind w:left="142"/>
        <w:rPr>
          <w:sz w:val="23"/>
          <w:szCs w:val="23"/>
        </w:rPr>
      </w:pPr>
      <w:r w:rsidRPr="00AE5A70">
        <w:rPr>
          <w:rFonts w:ascii="Calibri" w:eastAsia="Calibri" w:hAnsi="Calibri" w:cs="Calibri"/>
          <w:sz w:val="23"/>
          <w:szCs w:val="23"/>
        </w:rPr>
        <w:t>• The need to support integrated team care</w:t>
      </w:r>
      <w:r w:rsidR="6AEA6D44" w:rsidRPr="00AE5A70">
        <w:rPr>
          <w:rFonts w:ascii="Calibri" w:eastAsia="Calibri" w:hAnsi="Calibri" w:cs="Calibri"/>
          <w:sz w:val="23"/>
          <w:szCs w:val="23"/>
        </w:rPr>
        <w:t xml:space="preserve"> and </w:t>
      </w:r>
      <w:r w:rsidR="00F72032" w:rsidRPr="00AE5A70">
        <w:rPr>
          <w:rFonts w:ascii="Calibri" w:eastAsia="Calibri" w:hAnsi="Calibri" w:cs="Calibri"/>
          <w:sz w:val="23"/>
          <w:szCs w:val="23"/>
        </w:rPr>
        <w:t>MDTs</w:t>
      </w:r>
      <w:r w:rsidRPr="00AE5A70">
        <w:rPr>
          <w:rFonts w:ascii="Calibri" w:eastAsia="Calibri" w:hAnsi="Calibri" w:cs="Calibri"/>
          <w:sz w:val="23"/>
          <w:szCs w:val="23"/>
        </w:rPr>
        <w:t>;</w:t>
      </w:r>
      <w:r w:rsidR="00702C14" w:rsidRPr="00AE5A70">
        <w:rPr>
          <w:rFonts w:ascii="Calibri" w:eastAsia="Calibri" w:hAnsi="Calibri" w:cs="Calibri"/>
          <w:sz w:val="23"/>
          <w:szCs w:val="23"/>
        </w:rPr>
        <w:t xml:space="preserve"> and</w:t>
      </w:r>
    </w:p>
    <w:p w14:paraId="02F0EF56" w14:textId="77777777" w:rsidR="009E41C7" w:rsidRDefault="2C699489" w:rsidP="009E1DC3">
      <w:pPr>
        <w:ind w:left="142"/>
        <w:rPr>
          <w:rFonts w:ascii="Calibri" w:eastAsia="Calibri" w:hAnsi="Calibri" w:cs="Calibri"/>
          <w:sz w:val="23"/>
          <w:szCs w:val="23"/>
        </w:rPr>
      </w:pPr>
      <w:r w:rsidRPr="00AE5A70">
        <w:rPr>
          <w:rFonts w:ascii="Calibri" w:eastAsia="Calibri" w:hAnsi="Calibri" w:cs="Calibri"/>
          <w:sz w:val="23"/>
          <w:szCs w:val="23"/>
        </w:rPr>
        <w:t>• The financial burden on patients and families and the impact on their treatment outcomes.</w:t>
      </w:r>
      <w:bookmarkEnd w:id="42"/>
    </w:p>
    <w:p w14:paraId="701A5FD3" w14:textId="77777777" w:rsidR="00B837A7" w:rsidRDefault="00B837A7" w:rsidP="00B837A7">
      <w:pPr>
        <w:rPr>
          <w:rFonts w:ascii="Calibri" w:eastAsia="Calibri" w:hAnsi="Calibri" w:cs="Calibri"/>
          <w:sz w:val="23"/>
          <w:szCs w:val="23"/>
        </w:rPr>
      </w:pPr>
      <w:r>
        <w:rPr>
          <w:rFonts w:ascii="Calibri" w:eastAsia="Calibri" w:hAnsi="Calibri" w:cs="Calibri"/>
          <w:sz w:val="23"/>
          <w:szCs w:val="23"/>
        </w:rPr>
        <w:br w:type="page"/>
      </w:r>
    </w:p>
    <w:p w14:paraId="3EDB1A97" w14:textId="77777777" w:rsidR="00FC4C4D" w:rsidRPr="00AE5A70" w:rsidRDefault="00FC4C4D" w:rsidP="00E40606">
      <w:pPr>
        <w:pStyle w:val="Heading1"/>
        <w:widowControl w:val="0"/>
        <w:numPr>
          <w:ilvl w:val="0"/>
          <w:numId w:val="5"/>
        </w:numPr>
        <w:pBdr>
          <w:bottom w:val="single" w:sz="16" w:space="11" w:color="BFBFBF"/>
        </w:pBdr>
        <w:autoSpaceDE w:val="0"/>
        <w:autoSpaceDN w:val="0"/>
        <w:adjustRightInd w:val="0"/>
        <w:spacing w:before="0" w:after="0"/>
        <w:ind w:left="567" w:hanging="567"/>
        <w:textAlignment w:val="center"/>
        <w:rPr>
          <w:sz w:val="24"/>
          <w:szCs w:val="24"/>
        </w:rPr>
      </w:pPr>
      <w:bookmarkStart w:id="43" w:name="_Toc531941925"/>
      <w:r w:rsidRPr="00AE5A70">
        <w:rPr>
          <w:sz w:val="24"/>
          <w:szCs w:val="24"/>
        </w:rPr>
        <w:t>Eating Disorders in Australia</w:t>
      </w:r>
      <w:bookmarkEnd w:id="43"/>
    </w:p>
    <w:p w14:paraId="7697E3DA" w14:textId="77777777" w:rsidR="00BC5909" w:rsidRPr="009341EF" w:rsidRDefault="00BC5909" w:rsidP="009341EF">
      <w:pPr>
        <w:autoSpaceDE w:val="0"/>
        <w:autoSpaceDN w:val="0"/>
        <w:adjustRightInd w:val="0"/>
        <w:rPr>
          <w:sz w:val="23"/>
          <w:szCs w:val="23"/>
        </w:rPr>
      </w:pPr>
      <w:r w:rsidRPr="009341EF">
        <w:rPr>
          <w:sz w:val="23"/>
          <w:szCs w:val="23"/>
        </w:rPr>
        <w:t>Eating disorders are a group of serious and complex bio-psychosocial disorders that range in severity</w:t>
      </w:r>
      <w:r>
        <w:rPr>
          <w:sz w:val="23"/>
          <w:szCs w:val="23"/>
        </w:rPr>
        <w:t xml:space="preserve"> </w:t>
      </w:r>
      <w:r w:rsidRPr="009341EF">
        <w:rPr>
          <w:sz w:val="23"/>
          <w:szCs w:val="23"/>
        </w:rPr>
        <w:t>from moderately-severe through to critical and life threatening. All diagnoses are associated with significant physical complications and nutritional issues</w:t>
      </w:r>
      <w:r w:rsidRPr="00232254">
        <w:rPr>
          <w:vertAlign w:val="superscript"/>
        </w:rPr>
        <w:footnoteReference w:id="5"/>
      </w:r>
      <w:r w:rsidRPr="00232254">
        <w:rPr>
          <w:sz w:val="23"/>
          <w:szCs w:val="23"/>
          <w:vertAlign w:val="superscript"/>
        </w:rPr>
        <w:t>.</w:t>
      </w:r>
      <w:r w:rsidRPr="00AE5A70">
        <w:rPr>
          <w:sz w:val="23"/>
          <w:szCs w:val="23"/>
        </w:rPr>
        <w:t xml:space="preserve"> </w:t>
      </w:r>
      <w:r>
        <w:rPr>
          <w:sz w:val="23"/>
          <w:szCs w:val="23"/>
        </w:rPr>
        <w:t xml:space="preserve"> </w:t>
      </w:r>
      <w:r w:rsidRPr="009341EF">
        <w:rPr>
          <w:sz w:val="23"/>
          <w:szCs w:val="23"/>
        </w:rPr>
        <w:t>If not treated appropriately and</w:t>
      </w:r>
      <w:r w:rsidR="009400B8">
        <w:rPr>
          <w:sz w:val="23"/>
          <w:szCs w:val="23"/>
        </w:rPr>
        <w:t xml:space="preserve"> in a timely manner</w:t>
      </w:r>
      <w:r w:rsidRPr="009341EF">
        <w:rPr>
          <w:sz w:val="23"/>
          <w:szCs w:val="23"/>
        </w:rPr>
        <w:t>, eating disorders take a long course with long term</w:t>
      </w:r>
      <w:r w:rsidR="00B837A7">
        <w:rPr>
          <w:sz w:val="23"/>
          <w:szCs w:val="23"/>
        </w:rPr>
        <w:t>, serious</w:t>
      </w:r>
      <w:r w:rsidRPr="009341EF">
        <w:rPr>
          <w:sz w:val="23"/>
          <w:szCs w:val="23"/>
        </w:rPr>
        <w:t xml:space="preserve"> implications for the individual’s health and for health care costs. </w:t>
      </w:r>
    </w:p>
    <w:p w14:paraId="3C0D0999" w14:textId="77777777" w:rsidR="009E1DC3" w:rsidRDefault="00BC5909" w:rsidP="009341EF">
      <w:pPr>
        <w:rPr>
          <w:sz w:val="23"/>
          <w:szCs w:val="23"/>
        </w:rPr>
      </w:pPr>
      <w:r>
        <w:rPr>
          <w:sz w:val="23"/>
          <w:szCs w:val="23"/>
        </w:rPr>
        <w:t>E</w:t>
      </w:r>
      <w:r w:rsidR="00C71E53" w:rsidRPr="00AE5A70">
        <w:rPr>
          <w:sz w:val="23"/>
          <w:szCs w:val="23"/>
        </w:rPr>
        <w:t xml:space="preserve">ating disorders </w:t>
      </w:r>
      <w:r w:rsidR="00232254" w:rsidRPr="00AE5A70">
        <w:rPr>
          <w:sz w:val="23"/>
          <w:szCs w:val="23"/>
        </w:rPr>
        <w:t>are complex</w:t>
      </w:r>
      <w:r w:rsidR="00C71E53" w:rsidRPr="00AE5A70">
        <w:rPr>
          <w:sz w:val="23"/>
          <w:szCs w:val="23"/>
        </w:rPr>
        <w:t xml:space="preserve"> mental illness</w:t>
      </w:r>
      <w:r w:rsidR="00D71527">
        <w:rPr>
          <w:sz w:val="23"/>
          <w:szCs w:val="23"/>
        </w:rPr>
        <w:t>es</w:t>
      </w:r>
      <w:r w:rsidR="00C71E53" w:rsidRPr="00AE5A70">
        <w:rPr>
          <w:sz w:val="23"/>
          <w:szCs w:val="23"/>
        </w:rPr>
        <w:t xml:space="preserve"> differentiated through two subtypes; the self-induced restriction of food intake relative to energy requirements, and binge eating or the purging of food. These actions are characterised through a relatively similar </w:t>
      </w:r>
      <w:r w:rsidR="003F0C75" w:rsidRPr="00AE5A70">
        <w:rPr>
          <w:sz w:val="23"/>
          <w:szCs w:val="23"/>
        </w:rPr>
        <w:t>psycho</w:t>
      </w:r>
      <w:r w:rsidR="003F0C75">
        <w:rPr>
          <w:sz w:val="23"/>
          <w:szCs w:val="23"/>
        </w:rPr>
        <w:t xml:space="preserve">pathology </w:t>
      </w:r>
      <w:r w:rsidR="00C71E53" w:rsidRPr="00AE5A70">
        <w:rPr>
          <w:sz w:val="23"/>
          <w:szCs w:val="23"/>
        </w:rPr>
        <w:t xml:space="preserve">centralising around an intense fear of gaining weight or becoming fat, and a disturbance in the way one perceives their body weight or shape. </w:t>
      </w:r>
    </w:p>
    <w:p w14:paraId="5B35FF88" w14:textId="77777777" w:rsidR="007A6971" w:rsidRDefault="00C71E53" w:rsidP="009341EF">
      <w:pPr>
        <w:rPr>
          <w:sz w:val="23"/>
          <w:szCs w:val="23"/>
        </w:rPr>
      </w:pPr>
      <w:r w:rsidRPr="00AE5A70">
        <w:rPr>
          <w:sz w:val="23"/>
          <w:szCs w:val="23"/>
        </w:rPr>
        <w:t>Anorexia nervosa</w:t>
      </w:r>
      <w:r w:rsidR="007274DD" w:rsidRPr="00AE5A70">
        <w:rPr>
          <w:sz w:val="23"/>
          <w:szCs w:val="23"/>
        </w:rPr>
        <w:t xml:space="preserve"> (AN)</w:t>
      </w:r>
      <w:r w:rsidRPr="00AE5A70">
        <w:rPr>
          <w:sz w:val="23"/>
          <w:szCs w:val="23"/>
        </w:rPr>
        <w:t xml:space="preserve"> involves the</w:t>
      </w:r>
      <w:r w:rsidR="0052495E">
        <w:rPr>
          <w:sz w:val="23"/>
          <w:szCs w:val="23"/>
        </w:rPr>
        <w:t xml:space="preserve"> self-</w:t>
      </w:r>
      <w:r w:rsidRPr="00AE5A70">
        <w:rPr>
          <w:sz w:val="23"/>
          <w:szCs w:val="23"/>
        </w:rPr>
        <w:t xml:space="preserve"> restriction of food intake</w:t>
      </w:r>
      <w:r w:rsidR="003F0C75">
        <w:rPr>
          <w:sz w:val="23"/>
          <w:szCs w:val="23"/>
        </w:rPr>
        <w:t xml:space="preserve">, characterised by </w:t>
      </w:r>
      <w:r w:rsidR="0052495E">
        <w:rPr>
          <w:sz w:val="23"/>
          <w:szCs w:val="23"/>
        </w:rPr>
        <w:t xml:space="preserve">rapid weight loss and </w:t>
      </w:r>
      <w:r w:rsidR="003F0C75">
        <w:rPr>
          <w:sz w:val="23"/>
          <w:szCs w:val="23"/>
        </w:rPr>
        <w:t>low body weight</w:t>
      </w:r>
      <w:r w:rsidRPr="00AE5A70">
        <w:rPr>
          <w:sz w:val="23"/>
          <w:szCs w:val="23"/>
        </w:rPr>
        <w:t xml:space="preserve"> and is a chronic illness with an average duration of seven years.</w:t>
      </w:r>
    </w:p>
    <w:p w14:paraId="4198F327" w14:textId="77777777" w:rsidR="007A6971" w:rsidRDefault="00CD67CF" w:rsidP="009341EF">
      <w:pPr>
        <w:rPr>
          <w:sz w:val="23"/>
          <w:szCs w:val="23"/>
        </w:rPr>
      </w:pPr>
      <w:r w:rsidRPr="009341EF">
        <w:rPr>
          <w:sz w:val="23"/>
          <w:szCs w:val="23"/>
        </w:rPr>
        <w:t>Bulimia Nervosa</w:t>
      </w:r>
      <w:r w:rsidR="003F0C75">
        <w:rPr>
          <w:sz w:val="23"/>
          <w:szCs w:val="23"/>
        </w:rPr>
        <w:t xml:space="preserve"> (BN)</w:t>
      </w:r>
      <w:r w:rsidRPr="009341EF">
        <w:rPr>
          <w:sz w:val="23"/>
          <w:szCs w:val="23"/>
        </w:rPr>
        <w:t xml:space="preserve"> is characterised by recurrent binge-eating episodes</w:t>
      </w:r>
      <w:r w:rsidR="003F0C75">
        <w:rPr>
          <w:sz w:val="23"/>
          <w:szCs w:val="23"/>
        </w:rPr>
        <w:t xml:space="preserve">, which trigger frequent weight compensatory behaviours such </w:t>
      </w:r>
      <w:r w:rsidRPr="009341EF">
        <w:rPr>
          <w:sz w:val="23"/>
          <w:szCs w:val="23"/>
        </w:rPr>
        <w:t>as self-induced vomiting, fasting, overexercising and/or the misuse of laxatives, enemas or diuretics.</w:t>
      </w:r>
      <w:r w:rsidR="00D71527">
        <w:rPr>
          <w:sz w:val="23"/>
          <w:szCs w:val="23"/>
        </w:rPr>
        <w:t xml:space="preserve"> </w:t>
      </w:r>
      <w:r w:rsidR="0052495E">
        <w:rPr>
          <w:sz w:val="23"/>
          <w:szCs w:val="23"/>
        </w:rPr>
        <w:t>The repeated cycle of bingeing and purging can become compulsive and uncontrollable over time.</w:t>
      </w:r>
    </w:p>
    <w:p w14:paraId="23B4E47B" w14:textId="77777777" w:rsidR="007A6971" w:rsidRPr="009341EF" w:rsidRDefault="003F0C75" w:rsidP="009341EF">
      <w:pPr>
        <w:rPr>
          <w:sz w:val="23"/>
          <w:szCs w:val="23"/>
        </w:rPr>
      </w:pPr>
      <w:r w:rsidRPr="009341EF">
        <w:rPr>
          <w:sz w:val="23"/>
          <w:szCs w:val="23"/>
        </w:rPr>
        <w:t>Binge Eating Disorder</w:t>
      </w:r>
      <w:r w:rsidR="007A6971">
        <w:rPr>
          <w:sz w:val="23"/>
          <w:szCs w:val="23"/>
        </w:rPr>
        <w:t xml:space="preserve"> (BED)</w:t>
      </w:r>
      <w:r w:rsidRPr="009341EF">
        <w:rPr>
          <w:sz w:val="23"/>
          <w:szCs w:val="23"/>
        </w:rPr>
        <w:t xml:space="preserve"> is characterised by frequently eating excessive amounts of food</w:t>
      </w:r>
      <w:r w:rsidR="0052495E">
        <w:rPr>
          <w:sz w:val="23"/>
          <w:szCs w:val="23"/>
        </w:rPr>
        <w:t xml:space="preserve"> considered to be much more than a standard person would consume under </w:t>
      </w:r>
      <w:r w:rsidR="00D71527">
        <w:rPr>
          <w:sz w:val="23"/>
          <w:szCs w:val="23"/>
        </w:rPr>
        <w:t>similar conditions</w:t>
      </w:r>
      <w:r w:rsidR="0052495E">
        <w:rPr>
          <w:sz w:val="23"/>
          <w:szCs w:val="23"/>
        </w:rPr>
        <w:t xml:space="preserve">. </w:t>
      </w:r>
      <w:r w:rsidR="007A6971">
        <w:rPr>
          <w:sz w:val="23"/>
          <w:szCs w:val="23"/>
        </w:rPr>
        <w:t>BED</w:t>
      </w:r>
      <w:r w:rsidRPr="009341EF">
        <w:rPr>
          <w:sz w:val="23"/>
          <w:szCs w:val="23"/>
        </w:rPr>
        <w:t xml:space="preserve"> is not the same as overeating, as it is recurrent and more serious.</w:t>
      </w:r>
      <w:r w:rsidR="007A6971">
        <w:rPr>
          <w:sz w:val="23"/>
          <w:szCs w:val="23"/>
        </w:rPr>
        <w:t xml:space="preserve"> A person with BED often suffers from feeling of intense</w:t>
      </w:r>
      <w:r w:rsidRPr="009341EF">
        <w:rPr>
          <w:sz w:val="23"/>
          <w:szCs w:val="23"/>
        </w:rPr>
        <w:t xml:space="preserve"> guilt, shame and self-hatred</w:t>
      </w:r>
      <w:r w:rsidR="007A6971">
        <w:rPr>
          <w:sz w:val="23"/>
          <w:szCs w:val="23"/>
        </w:rPr>
        <w:t xml:space="preserve"> and will often compensate for binging through </w:t>
      </w:r>
      <w:r w:rsidR="007A6971" w:rsidRPr="00FC7B23">
        <w:rPr>
          <w:sz w:val="23"/>
          <w:szCs w:val="23"/>
        </w:rPr>
        <w:t>fasts and repetitive diets</w:t>
      </w:r>
      <w:r w:rsidR="007A6971">
        <w:rPr>
          <w:sz w:val="23"/>
          <w:szCs w:val="23"/>
        </w:rPr>
        <w:t>.</w:t>
      </w:r>
    </w:p>
    <w:p w14:paraId="6DADF6D5" w14:textId="77777777" w:rsidR="003F0C75" w:rsidRPr="009341EF" w:rsidRDefault="007A6971" w:rsidP="009341EF">
      <w:pPr>
        <w:rPr>
          <w:sz w:val="23"/>
          <w:szCs w:val="23"/>
        </w:rPr>
      </w:pPr>
      <w:r w:rsidRPr="009341EF">
        <w:rPr>
          <w:sz w:val="23"/>
          <w:szCs w:val="23"/>
        </w:rPr>
        <w:t xml:space="preserve">Other specified feeding and </w:t>
      </w:r>
      <w:r w:rsidRPr="00FC7B23">
        <w:rPr>
          <w:sz w:val="23"/>
          <w:szCs w:val="23"/>
        </w:rPr>
        <w:t>eating</w:t>
      </w:r>
      <w:r w:rsidRPr="009341EF">
        <w:rPr>
          <w:sz w:val="23"/>
          <w:szCs w:val="23"/>
        </w:rPr>
        <w:t xml:space="preserve"> disorders </w:t>
      </w:r>
      <w:r>
        <w:rPr>
          <w:sz w:val="23"/>
          <w:szCs w:val="23"/>
        </w:rPr>
        <w:t>(</w:t>
      </w:r>
      <w:r w:rsidR="003F0C75" w:rsidRPr="009341EF">
        <w:rPr>
          <w:sz w:val="23"/>
          <w:szCs w:val="23"/>
        </w:rPr>
        <w:t>OSFED</w:t>
      </w:r>
      <w:r w:rsidR="00B837A7">
        <w:rPr>
          <w:sz w:val="23"/>
          <w:szCs w:val="23"/>
        </w:rPr>
        <w:t>) refer</w:t>
      </w:r>
      <w:r>
        <w:rPr>
          <w:sz w:val="23"/>
          <w:szCs w:val="23"/>
        </w:rPr>
        <w:t xml:space="preserve"> to disorders characterised by</w:t>
      </w:r>
      <w:r w:rsidR="003F0C75" w:rsidRPr="009341EF">
        <w:rPr>
          <w:sz w:val="23"/>
          <w:szCs w:val="23"/>
        </w:rPr>
        <w:t xml:space="preserve"> feeding or eating behaviours that cause clinically significant distress and impairment in areas of functioning, but do not meet the full criteria for any of the other feeding and eating disorders.</w:t>
      </w:r>
      <w:r>
        <w:rPr>
          <w:sz w:val="23"/>
          <w:szCs w:val="23"/>
        </w:rPr>
        <w:t xml:space="preserve"> For example</w:t>
      </w:r>
      <w:r w:rsidR="009E1DC3">
        <w:rPr>
          <w:sz w:val="23"/>
          <w:szCs w:val="23"/>
        </w:rPr>
        <w:t>, a</w:t>
      </w:r>
      <w:r w:rsidR="00D71527">
        <w:rPr>
          <w:sz w:val="23"/>
          <w:szCs w:val="23"/>
        </w:rPr>
        <w:t xml:space="preserve"> person with </w:t>
      </w:r>
      <w:r>
        <w:rPr>
          <w:sz w:val="23"/>
          <w:szCs w:val="23"/>
        </w:rPr>
        <w:t>a</w:t>
      </w:r>
      <w:r w:rsidR="003F0C75" w:rsidRPr="009341EF">
        <w:rPr>
          <w:sz w:val="23"/>
          <w:szCs w:val="23"/>
        </w:rPr>
        <w:t xml:space="preserve">typical </w:t>
      </w:r>
      <w:r w:rsidR="00CC3AC7">
        <w:rPr>
          <w:sz w:val="23"/>
          <w:szCs w:val="23"/>
        </w:rPr>
        <w:t xml:space="preserve">AN </w:t>
      </w:r>
      <w:r w:rsidR="009E1DC3">
        <w:rPr>
          <w:sz w:val="23"/>
          <w:szCs w:val="23"/>
        </w:rPr>
        <w:t>meets</w:t>
      </w:r>
      <w:r>
        <w:rPr>
          <w:sz w:val="23"/>
          <w:szCs w:val="23"/>
        </w:rPr>
        <w:t xml:space="preserve"> a</w:t>
      </w:r>
      <w:r w:rsidR="003F0C75" w:rsidRPr="009341EF">
        <w:rPr>
          <w:sz w:val="23"/>
          <w:szCs w:val="23"/>
        </w:rPr>
        <w:t xml:space="preserve">ll </w:t>
      </w:r>
      <w:r w:rsidR="009E1DC3">
        <w:rPr>
          <w:sz w:val="23"/>
          <w:szCs w:val="23"/>
        </w:rPr>
        <w:t xml:space="preserve">other </w:t>
      </w:r>
      <w:r w:rsidR="00D71527">
        <w:rPr>
          <w:sz w:val="23"/>
          <w:szCs w:val="23"/>
        </w:rPr>
        <w:t xml:space="preserve">diagnostic </w:t>
      </w:r>
      <w:r w:rsidR="003F0C75" w:rsidRPr="009341EF">
        <w:rPr>
          <w:sz w:val="23"/>
          <w:szCs w:val="23"/>
        </w:rPr>
        <w:t>criteria, except d</w:t>
      </w:r>
      <w:r w:rsidR="00CC3AC7">
        <w:rPr>
          <w:sz w:val="23"/>
          <w:szCs w:val="23"/>
        </w:rPr>
        <w:t>espite significant weight loss</w:t>
      </w:r>
      <w:r w:rsidR="00B837A7">
        <w:rPr>
          <w:sz w:val="23"/>
          <w:szCs w:val="23"/>
        </w:rPr>
        <w:t>,</w:t>
      </w:r>
      <w:r w:rsidR="00CC3AC7">
        <w:rPr>
          <w:sz w:val="23"/>
          <w:szCs w:val="23"/>
        </w:rPr>
        <w:t xml:space="preserve"> </w:t>
      </w:r>
      <w:r w:rsidR="003F0C75" w:rsidRPr="009341EF">
        <w:rPr>
          <w:sz w:val="23"/>
          <w:szCs w:val="23"/>
        </w:rPr>
        <w:t>the individual’s weight is within or above the normal range.</w:t>
      </w:r>
    </w:p>
    <w:p w14:paraId="45E33367" w14:textId="77777777" w:rsidR="00704042" w:rsidRPr="00AE5A70" w:rsidRDefault="00704042" w:rsidP="00895B75">
      <w:pPr>
        <w:rPr>
          <w:b/>
          <w:bCs/>
          <w:sz w:val="23"/>
          <w:szCs w:val="23"/>
        </w:rPr>
      </w:pPr>
      <w:r w:rsidRPr="00AE5A70">
        <w:rPr>
          <w:b/>
          <w:bCs/>
          <w:sz w:val="23"/>
          <w:szCs w:val="23"/>
        </w:rPr>
        <w:t>Changing face of the illness</w:t>
      </w:r>
    </w:p>
    <w:p w14:paraId="3837D128" w14:textId="77777777" w:rsidR="009E41C7" w:rsidRPr="00AE5A70" w:rsidRDefault="003663D5">
      <w:pPr>
        <w:rPr>
          <w:b/>
          <w:bCs/>
          <w:sz w:val="23"/>
          <w:szCs w:val="23"/>
        </w:rPr>
      </w:pPr>
      <w:r w:rsidRPr="00AE5A70">
        <w:rPr>
          <w:sz w:val="23"/>
          <w:szCs w:val="23"/>
        </w:rPr>
        <w:t xml:space="preserve">The number of people in Australia with an eating disorder is estimated to be 913,986 at any given time. Of these people, 47 per cent have </w:t>
      </w:r>
      <w:r w:rsidR="007A6971">
        <w:rPr>
          <w:sz w:val="23"/>
          <w:szCs w:val="23"/>
        </w:rPr>
        <w:t>BED</w:t>
      </w:r>
      <w:r w:rsidRPr="00AE5A70">
        <w:rPr>
          <w:sz w:val="23"/>
          <w:szCs w:val="23"/>
        </w:rPr>
        <w:t xml:space="preserve">, 12 per cent have BN, three per cent have </w:t>
      </w:r>
      <w:r w:rsidR="007A6971" w:rsidRPr="00AE5A70">
        <w:rPr>
          <w:sz w:val="23"/>
          <w:szCs w:val="23"/>
        </w:rPr>
        <w:t xml:space="preserve">AN </w:t>
      </w:r>
      <w:r w:rsidR="007A6971">
        <w:rPr>
          <w:sz w:val="23"/>
          <w:szCs w:val="23"/>
        </w:rPr>
        <w:t>and</w:t>
      </w:r>
      <w:r w:rsidRPr="00AE5A70">
        <w:rPr>
          <w:sz w:val="23"/>
          <w:szCs w:val="23"/>
        </w:rPr>
        <w:t xml:space="preserve"> 38 per cent experience OSFED.</w:t>
      </w:r>
      <w:r w:rsidRPr="00AE5A70">
        <w:rPr>
          <w:sz w:val="23"/>
          <w:szCs w:val="23"/>
          <w:vertAlign w:val="superscript"/>
        </w:rPr>
        <w:t xml:space="preserve"> </w:t>
      </w:r>
      <w:r w:rsidRPr="00AE5A70">
        <w:rPr>
          <w:sz w:val="23"/>
          <w:szCs w:val="23"/>
        </w:rPr>
        <w:t>The classic face of</w:t>
      </w:r>
      <w:r w:rsidR="00BC5909">
        <w:rPr>
          <w:sz w:val="23"/>
          <w:szCs w:val="23"/>
        </w:rPr>
        <w:t xml:space="preserve"> eating disorders</w:t>
      </w:r>
      <w:r w:rsidRPr="00AE5A70">
        <w:rPr>
          <w:sz w:val="23"/>
          <w:szCs w:val="23"/>
        </w:rPr>
        <w:t xml:space="preserve"> has changed considerably since foundational research into the illness</w:t>
      </w:r>
      <w:r w:rsidR="00B837A7">
        <w:rPr>
          <w:sz w:val="23"/>
          <w:szCs w:val="23"/>
        </w:rPr>
        <w:t>es</w:t>
      </w:r>
      <w:r w:rsidRPr="00AE5A70">
        <w:rPr>
          <w:sz w:val="23"/>
          <w:szCs w:val="23"/>
        </w:rPr>
        <w:t xml:space="preserve"> begun,</w:t>
      </w:r>
      <w:r w:rsidRPr="00AE5A70">
        <w:rPr>
          <w:rStyle w:val="FootnoteReference"/>
          <w:rFonts w:asciiTheme="majorEastAsia" w:eastAsiaTheme="majorEastAsia" w:hAnsiTheme="majorEastAsia" w:cstheme="majorEastAsia"/>
          <w:sz w:val="23"/>
          <w:szCs w:val="23"/>
        </w:rPr>
        <w:footnoteReference w:id="6"/>
      </w:r>
      <w:r w:rsidRPr="00AE5A70">
        <w:rPr>
          <w:sz w:val="23"/>
          <w:szCs w:val="23"/>
        </w:rPr>
        <w:t xml:space="preserve"> no longer are eating disorders the ‘preserve of females, the wealthy or westerners’</w:t>
      </w:r>
      <w:r w:rsidRPr="00AE5A70">
        <w:rPr>
          <w:rStyle w:val="FootnoteReference"/>
          <w:rFonts w:asciiTheme="majorEastAsia" w:eastAsiaTheme="majorEastAsia" w:hAnsiTheme="majorEastAsia" w:cstheme="majorEastAsia"/>
          <w:sz w:val="23"/>
          <w:szCs w:val="23"/>
        </w:rPr>
        <w:footnoteReference w:id="7"/>
      </w:r>
      <w:r w:rsidRPr="00AE5A70">
        <w:rPr>
          <w:sz w:val="23"/>
          <w:szCs w:val="23"/>
        </w:rPr>
        <w:t xml:space="preserve"> rather, they afflict a range of diverse population sub-groups including men, women, boys and girls. This is due to the pervasive nature of </w:t>
      </w:r>
      <w:r w:rsidR="00BC5909">
        <w:rPr>
          <w:sz w:val="23"/>
          <w:szCs w:val="23"/>
        </w:rPr>
        <w:t xml:space="preserve">eating disorders </w:t>
      </w:r>
      <w:r w:rsidRPr="00AE5A70">
        <w:rPr>
          <w:sz w:val="23"/>
          <w:szCs w:val="23"/>
        </w:rPr>
        <w:t>and the wide</w:t>
      </w:r>
      <w:r w:rsidRPr="00AE5A70" w:rsidDel="00F50B85">
        <w:rPr>
          <w:sz w:val="23"/>
          <w:szCs w:val="23"/>
        </w:rPr>
        <w:t xml:space="preserve"> </w:t>
      </w:r>
      <w:r w:rsidRPr="00AE5A70">
        <w:rPr>
          <w:sz w:val="23"/>
          <w:szCs w:val="23"/>
        </w:rPr>
        <w:t>range of socio-cultural, biological and psychological factors that contribute to the prevalence of the illness. Evidence suggests approximately 50 per cent to 74 per cent of patients will achieve full recovery over 5 to 10 years, while between 20 per cent - 30 per cent will experience an enduring illness and between 9 per cent - 14 per cent will die.</w:t>
      </w:r>
      <w:r w:rsidRPr="00AE5A70">
        <w:rPr>
          <w:rFonts w:ascii="SimSun" w:eastAsia="SimSun" w:hAnsi="SimSun"/>
          <w:sz w:val="23"/>
          <w:szCs w:val="23"/>
          <w:vertAlign w:val="superscript"/>
        </w:rPr>
        <w:footnoteReference w:id="8"/>
      </w:r>
      <w:r w:rsidRPr="00AE5A70">
        <w:rPr>
          <w:sz w:val="23"/>
          <w:szCs w:val="23"/>
        </w:rPr>
        <w:t xml:space="preserve"> With that said, the Working Group emphasise that eating disorders are treatable. There is significant evidence for effective intervention models and treatments, if provided </w:t>
      </w:r>
      <w:r w:rsidR="009400B8">
        <w:rPr>
          <w:sz w:val="23"/>
          <w:szCs w:val="23"/>
        </w:rPr>
        <w:t xml:space="preserve">in the initial stages of </w:t>
      </w:r>
      <w:r w:rsidRPr="00AE5A70">
        <w:rPr>
          <w:sz w:val="23"/>
          <w:szCs w:val="23"/>
        </w:rPr>
        <w:t xml:space="preserve">the illness. </w:t>
      </w:r>
    </w:p>
    <w:p w14:paraId="505FC419" w14:textId="77777777" w:rsidR="009E41C7" w:rsidRPr="00AE5A70" w:rsidRDefault="0094278E" w:rsidP="009341EF">
      <w:pPr>
        <w:keepNext/>
        <w:keepLines/>
        <w:rPr>
          <w:b/>
          <w:bCs/>
          <w:sz w:val="23"/>
          <w:szCs w:val="23"/>
        </w:rPr>
      </w:pPr>
      <w:r w:rsidRPr="00AE5A70">
        <w:rPr>
          <w:b/>
          <w:bCs/>
          <w:sz w:val="23"/>
          <w:szCs w:val="23"/>
        </w:rPr>
        <w:t>The Australian Government’s response</w:t>
      </w:r>
    </w:p>
    <w:p w14:paraId="04F2C163" w14:textId="77777777" w:rsidR="007A6971" w:rsidRDefault="0094278E" w:rsidP="00FC7B23">
      <w:pPr>
        <w:keepNext/>
        <w:keepLines/>
        <w:rPr>
          <w:sz w:val="23"/>
          <w:szCs w:val="23"/>
        </w:rPr>
      </w:pPr>
      <w:r w:rsidRPr="00AE5A70">
        <w:rPr>
          <w:sz w:val="23"/>
          <w:szCs w:val="23"/>
        </w:rPr>
        <w:t>There has been an increased awareness of eating disorders from various programs targeting both clinicians and consumers. As a result, consumers are better informed and have access to information and resources that provides guidance on treatment and referral options. This has been fuelled by increased funding through the Australian health system to improve services in the treatment of eating disorders</w:t>
      </w:r>
      <w:r w:rsidR="005F1EA8" w:rsidRPr="00AE5A70">
        <w:rPr>
          <w:sz w:val="23"/>
          <w:szCs w:val="23"/>
        </w:rPr>
        <w:t>. To date,</w:t>
      </w:r>
      <w:r w:rsidRPr="00AE5A70">
        <w:rPr>
          <w:sz w:val="23"/>
          <w:szCs w:val="23"/>
        </w:rPr>
        <w:t xml:space="preserve"> the government </w:t>
      </w:r>
      <w:r w:rsidR="007A6971">
        <w:rPr>
          <w:sz w:val="23"/>
          <w:szCs w:val="23"/>
        </w:rPr>
        <w:t xml:space="preserve">has funded several initiatives including </w:t>
      </w:r>
      <w:r w:rsidR="007A6971" w:rsidRPr="009341EF">
        <w:rPr>
          <w:sz w:val="23"/>
          <w:szCs w:val="23"/>
        </w:rPr>
        <w:t>the Butterfly Foundation’s National Eating Disorders Hope helpline</w:t>
      </w:r>
      <w:r w:rsidR="007A6971">
        <w:rPr>
          <w:sz w:val="23"/>
          <w:szCs w:val="23"/>
        </w:rPr>
        <w:t xml:space="preserve"> and funding for the </w:t>
      </w:r>
      <w:r w:rsidR="007A6971" w:rsidRPr="009341EF">
        <w:rPr>
          <w:sz w:val="23"/>
          <w:szCs w:val="23"/>
        </w:rPr>
        <w:t xml:space="preserve">National Eating Disorders Collaboration </w:t>
      </w:r>
      <w:r w:rsidR="007A6971">
        <w:rPr>
          <w:sz w:val="23"/>
          <w:szCs w:val="23"/>
        </w:rPr>
        <w:t xml:space="preserve">(NEDC) </w:t>
      </w:r>
      <w:r w:rsidR="007A6971" w:rsidRPr="009341EF">
        <w:rPr>
          <w:sz w:val="23"/>
          <w:szCs w:val="23"/>
        </w:rPr>
        <w:t xml:space="preserve">to help develop a nationally consistent approach to the prevention and </w:t>
      </w:r>
      <w:r w:rsidR="007A6971" w:rsidRPr="00FC7B23">
        <w:rPr>
          <w:sz w:val="23"/>
          <w:szCs w:val="23"/>
        </w:rPr>
        <w:t>management of eating disorders</w:t>
      </w:r>
      <w:r w:rsidR="007A6971">
        <w:rPr>
          <w:sz w:val="23"/>
          <w:szCs w:val="23"/>
        </w:rPr>
        <w:t>.</w:t>
      </w:r>
    </w:p>
    <w:p w14:paraId="6FF19F52" w14:textId="77777777" w:rsidR="008C5A01" w:rsidRPr="00AE5A70" w:rsidRDefault="007A6971" w:rsidP="2C5386C0">
      <w:pPr>
        <w:rPr>
          <w:sz w:val="23"/>
          <w:szCs w:val="23"/>
        </w:rPr>
      </w:pPr>
      <w:r>
        <w:rPr>
          <w:sz w:val="23"/>
          <w:szCs w:val="23"/>
        </w:rPr>
        <w:t xml:space="preserve">More recently, </w:t>
      </w:r>
      <w:r w:rsidR="00232254">
        <w:rPr>
          <w:sz w:val="23"/>
          <w:szCs w:val="23"/>
        </w:rPr>
        <w:t>i</w:t>
      </w:r>
      <w:r w:rsidR="008C5A01" w:rsidRPr="00AE5A70">
        <w:rPr>
          <w:sz w:val="23"/>
          <w:szCs w:val="23"/>
        </w:rPr>
        <w:t xml:space="preserve">n June 2013, the Minister for Health announced </w:t>
      </w:r>
      <w:r w:rsidR="00702C14" w:rsidRPr="00AE5A70">
        <w:rPr>
          <w:sz w:val="23"/>
          <w:szCs w:val="23"/>
        </w:rPr>
        <w:t xml:space="preserve">that the Australian Government was investing </w:t>
      </w:r>
      <w:r w:rsidR="008C5A01" w:rsidRPr="00AE5A70">
        <w:rPr>
          <w:sz w:val="23"/>
          <w:szCs w:val="23"/>
        </w:rPr>
        <w:t xml:space="preserve">$3.2 million to fund a pilot project to improve the treatment and care of people with eating disorders. </w:t>
      </w:r>
      <w:r w:rsidR="00672D70" w:rsidRPr="00AE5A70">
        <w:rPr>
          <w:sz w:val="23"/>
          <w:szCs w:val="23"/>
        </w:rPr>
        <w:t>Through this project, t</w:t>
      </w:r>
      <w:r w:rsidR="008C5A01" w:rsidRPr="00AE5A70">
        <w:rPr>
          <w:sz w:val="23"/>
          <w:szCs w:val="23"/>
        </w:rPr>
        <w:t xml:space="preserve">he Butterfly Foundation will engage with local doctors on the Sunshine Coast, undertaking a </w:t>
      </w:r>
      <w:r w:rsidR="003E7A00" w:rsidRPr="00AE5A70">
        <w:rPr>
          <w:sz w:val="23"/>
          <w:szCs w:val="23"/>
        </w:rPr>
        <w:t>six-month</w:t>
      </w:r>
      <w:r w:rsidR="008C5A01" w:rsidRPr="00AE5A70">
        <w:rPr>
          <w:sz w:val="23"/>
          <w:szCs w:val="23"/>
        </w:rPr>
        <w:t xml:space="preserve"> education and awareness program on eating disorders. The national pilot will support over 240 patients, trialling new ways to support people with eating disorders, which will ultimately inform future support for patients around Australia</w:t>
      </w:r>
      <w:r w:rsidR="00616658" w:rsidRPr="00AE5A70">
        <w:rPr>
          <w:sz w:val="23"/>
          <w:szCs w:val="23"/>
        </w:rPr>
        <w:t>.</w:t>
      </w:r>
      <w:r w:rsidR="008C5A01" w:rsidRPr="00AE5A70">
        <w:rPr>
          <w:rStyle w:val="FootnoteReference"/>
          <w:rFonts w:ascii="SimSun" w:eastAsia="SimSun" w:hAnsi="SimSun"/>
          <w:sz w:val="23"/>
          <w:szCs w:val="23"/>
        </w:rPr>
        <w:footnoteReference w:id="9"/>
      </w:r>
      <w:r w:rsidR="00616658" w:rsidRPr="00AE5A70">
        <w:rPr>
          <w:sz w:val="23"/>
          <w:szCs w:val="23"/>
        </w:rPr>
        <w:t xml:space="preserve"> </w:t>
      </w:r>
      <w:r w:rsidR="008C5A01" w:rsidRPr="00AE5A70">
        <w:rPr>
          <w:sz w:val="23"/>
          <w:szCs w:val="23"/>
        </w:rPr>
        <w:t>Under th</w:t>
      </w:r>
      <w:r w:rsidR="00672D70" w:rsidRPr="00AE5A70">
        <w:rPr>
          <w:sz w:val="23"/>
          <w:szCs w:val="23"/>
        </w:rPr>
        <w:t>is trial</w:t>
      </w:r>
      <w:r w:rsidR="008C5A01" w:rsidRPr="00AE5A70">
        <w:rPr>
          <w:sz w:val="23"/>
          <w:szCs w:val="23"/>
        </w:rPr>
        <w:t>, patients are able to access best practice support. This means patients, following diagnosis and referral by a GP, can access up to 40 sessions for psychological sessions which can be used for</w:t>
      </w:r>
      <w:r w:rsidR="001860E5" w:rsidRPr="00AE5A70">
        <w:rPr>
          <w:sz w:val="23"/>
          <w:szCs w:val="23"/>
        </w:rPr>
        <w:t xml:space="preserve"> family based therapy</w:t>
      </w:r>
      <w:r w:rsidR="008C5A01" w:rsidRPr="00AE5A70">
        <w:rPr>
          <w:sz w:val="23"/>
          <w:szCs w:val="23"/>
        </w:rPr>
        <w:t xml:space="preserve"> </w:t>
      </w:r>
      <w:r w:rsidR="001860E5" w:rsidRPr="00AE5A70">
        <w:rPr>
          <w:sz w:val="23"/>
          <w:szCs w:val="23"/>
        </w:rPr>
        <w:t>(</w:t>
      </w:r>
      <w:r w:rsidR="008C5A01" w:rsidRPr="00AE5A70">
        <w:rPr>
          <w:sz w:val="23"/>
          <w:szCs w:val="23"/>
        </w:rPr>
        <w:t>FBT</w:t>
      </w:r>
      <w:r w:rsidR="001860E5" w:rsidRPr="00AE5A70">
        <w:rPr>
          <w:sz w:val="23"/>
          <w:szCs w:val="23"/>
        </w:rPr>
        <w:t>)</w:t>
      </w:r>
      <w:r w:rsidR="008C5A01" w:rsidRPr="00AE5A70">
        <w:rPr>
          <w:sz w:val="23"/>
          <w:szCs w:val="23"/>
        </w:rPr>
        <w:t>, Cognitive Based Therapies (CBT) and</w:t>
      </w:r>
      <w:r w:rsidR="00DC53F4" w:rsidRPr="00AE5A70">
        <w:rPr>
          <w:sz w:val="23"/>
          <w:szCs w:val="23"/>
        </w:rPr>
        <w:t xml:space="preserve"> </w:t>
      </w:r>
      <w:r w:rsidR="008C5A01" w:rsidRPr="00AE5A70">
        <w:rPr>
          <w:sz w:val="23"/>
          <w:szCs w:val="23"/>
        </w:rPr>
        <w:t>allied</w:t>
      </w:r>
      <w:r w:rsidR="00DC53F4" w:rsidRPr="00AE5A70">
        <w:rPr>
          <w:sz w:val="23"/>
          <w:szCs w:val="23"/>
        </w:rPr>
        <w:t xml:space="preserve"> mental</w:t>
      </w:r>
      <w:r w:rsidR="008C5A01" w:rsidRPr="00AE5A70">
        <w:rPr>
          <w:sz w:val="23"/>
          <w:szCs w:val="23"/>
        </w:rPr>
        <w:t xml:space="preserve"> health professional</w:t>
      </w:r>
      <w:r w:rsidR="00672D70" w:rsidRPr="00AE5A70">
        <w:rPr>
          <w:sz w:val="23"/>
          <w:szCs w:val="23"/>
        </w:rPr>
        <w:t xml:space="preserve"> service</w:t>
      </w:r>
      <w:r w:rsidR="008C5A01" w:rsidRPr="00AE5A70">
        <w:rPr>
          <w:sz w:val="23"/>
          <w:szCs w:val="23"/>
        </w:rPr>
        <w:t>s. It is expected that this will support a reduction in hospitalisation, increase likelihood of recovery and reduce the risk of chronicity.</w:t>
      </w:r>
    </w:p>
    <w:p w14:paraId="2379FB03" w14:textId="77777777" w:rsidR="0037283D" w:rsidRPr="00AE5A70" w:rsidRDefault="0037283D">
      <w:pPr>
        <w:spacing w:before="0" w:after="0" w:line="240" w:lineRule="auto"/>
        <w:rPr>
          <w:sz w:val="18"/>
          <w:szCs w:val="18"/>
        </w:rPr>
      </w:pPr>
      <w:r w:rsidRPr="00AE5A70">
        <w:rPr>
          <w:sz w:val="18"/>
          <w:szCs w:val="18"/>
        </w:rPr>
        <w:br w:type="page"/>
      </w:r>
    </w:p>
    <w:p w14:paraId="199F5D10" w14:textId="77777777" w:rsidR="000D0E4E" w:rsidRPr="00AE5A70" w:rsidRDefault="000D0E4E" w:rsidP="00E40606">
      <w:pPr>
        <w:pStyle w:val="Heading1"/>
        <w:widowControl w:val="0"/>
        <w:numPr>
          <w:ilvl w:val="0"/>
          <w:numId w:val="5"/>
        </w:numPr>
        <w:pBdr>
          <w:bottom w:val="single" w:sz="16" w:space="11" w:color="BFBFBF"/>
        </w:pBdr>
        <w:autoSpaceDE w:val="0"/>
        <w:autoSpaceDN w:val="0"/>
        <w:adjustRightInd w:val="0"/>
        <w:spacing w:before="0" w:after="0"/>
        <w:ind w:left="567" w:hanging="567"/>
        <w:textAlignment w:val="center"/>
        <w:rPr>
          <w:sz w:val="24"/>
          <w:szCs w:val="24"/>
        </w:rPr>
      </w:pPr>
      <w:bookmarkStart w:id="44" w:name="_Toc531941926"/>
      <w:r w:rsidRPr="00AE5A70">
        <w:rPr>
          <w:sz w:val="24"/>
          <w:szCs w:val="24"/>
        </w:rPr>
        <w:t>Recommendations</w:t>
      </w:r>
      <w:bookmarkEnd w:id="44"/>
      <w:r w:rsidRPr="00AE5A70">
        <w:rPr>
          <w:sz w:val="24"/>
          <w:szCs w:val="24"/>
        </w:rPr>
        <w:t xml:space="preserve"> </w:t>
      </w:r>
    </w:p>
    <w:p w14:paraId="11C1E06B" w14:textId="77777777" w:rsidR="468481FC" w:rsidRPr="00AE5A70" w:rsidRDefault="468481FC" w:rsidP="00E40606">
      <w:pPr>
        <w:spacing w:before="360"/>
        <w:rPr>
          <w:sz w:val="23"/>
          <w:szCs w:val="23"/>
        </w:rPr>
      </w:pPr>
      <w:r w:rsidRPr="00AE5A70">
        <w:rPr>
          <w:rFonts w:ascii="Calibri" w:eastAsia="Calibri" w:hAnsi="Calibri" w:cs="Calibri"/>
          <w:sz w:val="23"/>
          <w:szCs w:val="23"/>
        </w:rPr>
        <w:t xml:space="preserve">The recommendations </w:t>
      </w:r>
      <w:r w:rsidR="677385FC" w:rsidRPr="00AE5A70">
        <w:rPr>
          <w:rFonts w:ascii="Calibri" w:eastAsia="Calibri" w:hAnsi="Calibri" w:cs="Calibri"/>
          <w:sz w:val="23"/>
          <w:szCs w:val="23"/>
        </w:rPr>
        <w:t>fr</w:t>
      </w:r>
      <w:r w:rsidR="5035C4D8" w:rsidRPr="00AE5A70">
        <w:rPr>
          <w:rFonts w:ascii="Calibri" w:eastAsia="Calibri" w:hAnsi="Calibri" w:cs="Calibri"/>
          <w:sz w:val="23"/>
          <w:szCs w:val="23"/>
        </w:rPr>
        <w:t xml:space="preserve">om the </w:t>
      </w:r>
      <w:r w:rsidR="00884099" w:rsidRPr="00AE5A70">
        <w:rPr>
          <w:rFonts w:ascii="Calibri" w:eastAsia="Calibri" w:hAnsi="Calibri" w:cs="Calibri"/>
          <w:sz w:val="23"/>
          <w:szCs w:val="23"/>
        </w:rPr>
        <w:t xml:space="preserve">Working Group were </w:t>
      </w:r>
      <w:r w:rsidRPr="00AE5A70">
        <w:rPr>
          <w:rFonts w:ascii="Calibri" w:eastAsia="Calibri" w:hAnsi="Calibri" w:cs="Calibri"/>
          <w:sz w:val="23"/>
          <w:szCs w:val="23"/>
        </w:rPr>
        <w:t>guided by the philosophy that public funds should be directed towards:</w:t>
      </w:r>
    </w:p>
    <w:p w14:paraId="55CB25C9" w14:textId="77777777" w:rsidR="468481FC" w:rsidRPr="00AE5A70" w:rsidRDefault="64E7D88C"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E</w:t>
      </w:r>
      <w:r w:rsidR="468481FC" w:rsidRPr="00AE5A70">
        <w:rPr>
          <w:rFonts w:ascii="Calibri" w:eastAsia="Calibri" w:hAnsi="Calibri" w:cs="Calibri"/>
          <w:sz w:val="23"/>
          <w:szCs w:val="23"/>
        </w:rPr>
        <w:t xml:space="preserve">ffective services that are informed by evidence from research, consensus expert opinion and the experience </w:t>
      </w:r>
      <w:r w:rsidR="00C265DE" w:rsidRPr="00AE5A70">
        <w:rPr>
          <w:rFonts w:ascii="Calibri" w:eastAsia="Calibri" w:hAnsi="Calibri" w:cs="Calibri"/>
          <w:sz w:val="23"/>
          <w:szCs w:val="23"/>
        </w:rPr>
        <w:t>of clinicians;</w:t>
      </w:r>
      <w:r w:rsidR="0022368C" w:rsidRPr="00AE5A70">
        <w:rPr>
          <w:rFonts w:ascii="Calibri" w:eastAsia="Calibri" w:hAnsi="Calibri" w:cs="Calibri"/>
          <w:sz w:val="23"/>
          <w:szCs w:val="23"/>
        </w:rPr>
        <w:t xml:space="preserve"> that is,</w:t>
      </w:r>
      <w:r w:rsidR="468481FC" w:rsidRPr="00AE5A70">
        <w:rPr>
          <w:rFonts w:ascii="Calibri" w:eastAsia="Calibri" w:hAnsi="Calibri" w:cs="Calibri"/>
          <w:sz w:val="23"/>
          <w:szCs w:val="23"/>
        </w:rPr>
        <w:t xml:space="preserve"> the requirement for the right type </w:t>
      </w:r>
      <w:r w:rsidR="009E1DC3">
        <w:rPr>
          <w:rFonts w:ascii="Calibri" w:eastAsia="Calibri" w:hAnsi="Calibri" w:cs="Calibri"/>
          <w:sz w:val="23"/>
          <w:szCs w:val="23"/>
        </w:rPr>
        <w:t>of treatment for the right duration</w:t>
      </w:r>
      <w:r w:rsidR="468481FC" w:rsidRPr="00AE5A70">
        <w:rPr>
          <w:rFonts w:ascii="Calibri" w:eastAsia="Calibri" w:hAnsi="Calibri" w:cs="Calibri"/>
          <w:sz w:val="23"/>
          <w:szCs w:val="23"/>
        </w:rPr>
        <w:t>;</w:t>
      </w:r>
    </w:p>
    <w:p w14:paraId="6D7583B5" w14:textId="77777777" w:rsidR="468481FC" w:rsidRPr="00AE5A70" w:rsidRDefault="77FD1528"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D</w:t>
      </w:r>
      <w:r w:rsidR="468481FC" w:rsidRPr="00AE5A70">
        <w:rPr>
          <w:rFonts w:ascii="Calibri" w:eastAsia="Calibri" w:hAnsi="Calibri" w:cs="Calibri"/>
          <w:sz w:val="23"/>
          <w:szCs w:val="23"/>
        </w:rPr>
        <w:t xml:space="preserve">elivery of services by a skilled health workforce with the requisite knowledge and experience to identify, assess and contribute to the treatment of </w:t>
      </w:r>
      <w:r w:rsidR="00EF45C7" w:rsidRPr="00AE5A70">
        <w:rPr>
          <w:rFonts w:ascii="Calibri" w:eastAsia="Calibri" w:hAnsi="Calibri" w:cs="Calibri"/>
          <w:sz w:val="23"/>
          <w:szCs w:val="23"/>
        </w:rPr>
        <w:t>eating disorders</w:t>
      </w:r>
      <w:r w:rsidR="468481FC" w:rsidRPr="00AE5A70">
        <w:rPr>
          <w:rFonts w:ascii="Calibri" w:eastAsia="Calibri" w:hAnsi="Calibri" w:cs="Calibri"/>
          <w:sz w:val="23"/>
          <w:szCs w:val="23"/>
        </w:rPr>
        <w:t>;</w:t>
      </w:r>
    </w:p>
    <w:p w14:paraId="504AA1FA" w14:textId="77777777" w:rsidR="468481FC" w:rsidRPr="00AE5A70" w:rsidRDefault="77FD1528"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S</w:t>
      </w:r>
      <w:r w:rsidR="468481FC" w:rsidRPr="00AE5A70">
        <w:rPr>
          <w:rFonts w:ascii="Calibri" w:eastAsia="Calibri" w:hAnsi="Calibri" w:cs="Calibri"/>
          <w:sz w:val="23"/>
          <w:szCs w:val="23"/>
        </w:rPr>
        <w:t>ervices that are accessible when and where they are needed;</w:t>
      </w:r>
    </w:p>
    <w:p w14:paraId="5A34CAF6" w14:textId="77777777" w:rsidR="468481FC" w:rsidRPr="00AE5A70" w:rsidRDefault="77FD1528"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S</w:t>
      </w:r>
      <w:r w:rsidR="468481FC" w:rsidRPr="00AE5A70">
        <w:rPr>
          <w:rFonts w:ascii="Calibri" w:eastAsia="Calibri" w:hAnsi="Calibri" w:cs="Calibri"/>
          <w:sz w:val="23"/>
          <w:szCs w:val="23"/>
        </w:rPr>
        <w:t xml:space="preserve">ervices that include prevention, identification, </w:t>
      </w:r>
      <w:r w:rsidR="009400B8">
        <w:rPr>
          <w:rFonts w:ascii="Calibri" w:eastAsia="Calibri" w:hAnsi="Calibri" w:cs="Calibri"/>
          <w:sz w:val="23"/>
          <w:szCs w:val="23"/>
        </w:rPr>
        <w:t>timely</w:t>
      </w:r>
      <w:r w:rsidR="468481FC" w:rsidRPr="00AE5A70">
        <w:rPr>
          <w:rFonts w:ascii="Calibri" w:eastAsia="Calibri" w:hAnsi="Calibri" w:cs="Calibri"/>
          <w:sz w:val="23"/>
          <w:szCs w:val="23"/>
        </w:rPr>
        <w:t xml:space="preserve"> intervention and treatment;</w:t>
      </w:r>
    </w:p>
    <w:p w14:paraId="365B22B9" w14:textId="77777777" w:rsidR="468481FC" w:rsidRPr="00AE5A70" w:rsidRDefault="77FD1528"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C</w:t>
      </w:r>
      <w:r w:rsidR="468481FC" w:rsidRPr="00AE5A70">
        <w:rPr>
          <w:rFonts w:ascii="Calibri" w:eastAsia="Calibri" w:hAnsi="Calibri" w:cs="Calibri"/>
          <w:sz w:val="23"/>
          <w:szCs w:val="23"/>
        </w:rPr>
        <w:t>ollaborative systems that enable integrated team care between medical, nursing, allied health and mental health professionals and integration across primary, secondary and tertiary programs;</w:t>
      </w:r>
      <w:r w:rsidR="00884099" w:rsidRPr="00AE5A70">
        <w:rPr>
          <w:rFonts w:ascii="Calibri" w:eastAsia="Calibri" w:hAnsi="Calibri" w:cs="Calibri"/>
          <w:sz w:val="23"/>
          <w:szCs w:val="23"/>
        </w:rPr>
        <w:t xml:space="preserve"> and</w:t>
      </w:r>
    </w:p>
    <w:p w14:paraId="614FE780" w14:textId="77777777" w:rsidR="468481FC" w:rsidRPr="00AE5A70" w:rsidRDefault="77FD1528" w:rsidP="00044469">
      <w:pPr>
        <w:pStyle w:val="ListParagraph"/>
        <w:numPr>
          <w:ilvl w:val="0"/>
          <w:numId w:val="19"/>
        </w:numPr>
        <w:rPr>
          <w:rFonts w:asciiTheme="minorBidi" w:eastAsiaTheme="minorBidi" w:hAnsiTheme="minorBidi" w:cstheme="minorBidi"/>
          <w:sz w:val="23"/>
          <w:szCs w:val="23"/>
        </w:rPr>
      </w:pPr>
      <w:r w:rsidRPr="00AE5A70">
        <w:rPr>
          <w:rFonts w:ascii="Calibri" w:eastAsia="Calibri" w:hAnsi="Calibri" w:cs="Calibri"/>
          <w:sz w:val="23"/>
          <w:szCs w:val="23"/>
        </w:rPr>
        <w:t>S</w:t>
      </w:r>
      <w:r w:rsidR="468481FC" w:rsidRPr="00AE5A70">
        <w:rPr>
          <w:rFonts w:ascii="Calibri" w:eastAsia="Calibri" w:hAnsi="Calibri" w:cs="Calibri"/>
          <w:sz w:val="23"/>
          <w:szCs w:val="23"/>
        </w:rPr>
        <w:t xml:space="preserve">upport and </w:t>
      </w:r>
      <w:r w:rsidR="00DC53F4" w:rsidRPr="00AE5A70">
        <w:rPr>
          <w:rFonts w:ascii="Calibri" w:eastAsia="Calibri" w:hAnsi="Calibri" w:cs="Calibri"/>
          <w:sz w:val="23"/>
          <w:szCs w:val="23"/>
        </w:rPr>
        <w:t>intervention with</w:t>
      </w:r>
      <w:r w:rsidR="468481FC" w:rsidRPr="00AE5A70">
        <w:rPr>
          <w:rFonts w:ascii="Calibri" w:eastAsia="Calibri" w:hAnsi="Calibri" w:cs="Calibri"/>
          <w:sz w:val="23"/>
          <w:szCs w:val="23"/>
        </w:rPr>
        <w:t xml:space="preserve"> families and carers as they are integral members of the treatment team.</w:t>
      </w:r>
    </w:p>
    <w:p w14:paraId="5171009A" w14:textId="77777777" w:rsidR="007A6971" w:rsidRDefault="00440189">
      <w:pPr>
        <w:rPr>
          <w:rFonts w:ascii="Calibri" w:eastAsia="Calibri" w:hAnsi="Calibri" w:cs="Calibri"/>
          <w:sz w:val="23"/>
          <w:szCs w:val="23"/>
        </w:rPr>
      </w:pPr>
      <w:r w:rsidRPr="00AE5A70">
        <w:rPr>
          <w:rFonts w:ascii="Calibri" w:eastAsia="Calibri" w:hAnsi="Calibri" w:cs="Calibri"/>
          <w:sz w:val="23"/>
          <w:szCs w:val="23"/>
        </w:rPr>
        <w:t>The Working Group discussed areas in which the</w:t>
      </w:r>
      <w:r w:rsidR="4C9D725F" w:rsidRPr="00AE5A70">
        <w:rPr>
          <w:rFonts w:ascii="Calibri" w:eastAsia="Calibri" w:hAnsi="Calibri" w:cs="Calibri"/>
          <w:sz w:val="23"/>
          <w:szCs w:val="23"/>
        </w:rPr>
        <w:t>y</w:t>
      </w:r>
      <w:r w:rsidRPr="00AE5A70">
        <w:rPr>
          <w:rFonts w:ascii="Calibri" w:eastAsia="Calibri" w:hAnsi="Calibri" w:cs="Calibri"/>
          <w:sz w:val="23"/>
          <w:szCs w:val="23"/>
        </w:rPr>
        <w:t xml:space="preserve"> could have the biggest impact. </w:t>
      </w:r>
      <w:r w:rsidR="007A6971">
        <w:rPr>
          <w:rFonts w:ascii="Calibri" w:eastAsia="Calibri" w:hAnsi="Calibri" w:cs="Calibri"/>
          <w:sz w:val="23"/>
          <w:szCs w:val="23"/>
        </w:rPr>
        <w:t xml:space="preserve"> It was agreed that no single response could address all the issues in the area of eating disorders and that a comprehensive, multi-faceted staged approach is required, involving both MBS and non-MBS solutions.</w:t>
      </w:r>
    </w:p>
    <w:p w14:paraId="7730EB62" w14:textId="77777777" w:rsidR="00440189" w:rsidRPr="00AE5A70" w:rsidRDefault="007A6971">
      <w:pPr>
        <w:rPr>
          <w:rFonts w:ascii="Calibri" w:eastAsia="Calibri" w:hAnsi="Calibri" w:cs="Calibri"/>
          <w:sz w:val="23"/>
          <w:szCs w:val="23"/>
        </w:rPr>
      </w:pPr>
      <w:r>
        <w:rPr>
          <w:rFonts w:ascii="Calibri" w:eastAsia="Calibri" w:hAnsi="Calibri" w:cs="Calibri"/>
          <w:sz w:val="23"/>
          <w:szCs w:val="23"/>
        </w:rPr>
        <w:t>I</w:t>
      </w:r>
      <w:r w:rsidR="00440189" w:rsidRPr="00AE5A70">
        <w:rPr>
          <w:rFonts w:ascii="Calibri" w:eastAsia="Calibri" w:hAnsi="Calibri" w:cs="Calibri"/>
          <w:sz w:val="23"/>
          <w:szCs w:val="23"/>
        </w:rPr>
        <w:t>dentified priority areas include:</w:t>
      </w:r>
    </w:p>
    <w:p w14:paraId="2AC30DD5" w14:textId="77777777" w:rsidR="00440189" w:rsidRPr="00AE5A70" w:rsidRDefault="00440189" w:rsidP="00044469">
      <w:pPr>
        <w:pStyle w:val="ListParagraph"/>
        <w:numPr>
          <w:ilvl w:val="0"/>
          <w:numId w:val="19"/>
        </w:numPr>
        <w:rPr>
          <w:rFonts w:ascii="Calibri" w:eastAsia="Calibri" w:hAnsi="Calibri" w:cs="Calibri"/>
          <w:sz w:val="23"/>
          <w:szCs w:val="23"/>
        </w:rPr>
      </w:pPr>
      <w:r w:rsidRPr="00AE5A70">
        <w:rPr>
          <w:rFonts w:ascii="Calibri" w:eastAsia="Calibri" w:hAnsi="Calibri" w:cs="Calibri"/>
          <w:sz w:val="23"/>
          <w:szCs w:val="23"/>
        </w:rPr>
        <w:t>Poor service integration</w:t>
      </w:r>
      <w:r w:rsidR="00727865" w:rsidRPr="00AE5A70">
        <w:rPr>
          <w:rFonts w:ascii="Calibri" w:eastAsia="Calibri" w:hAnsi="Calibri" w:cs="Calibri"/>
          <w:sz w:val="23"/>
          <w:szCs w:val="23"/>
        </w:rPr>
        <w:t xml:space="preserve">; </w:t>
      </w:r>
      <w:r w:rsidRPr="00AE5A70">
        <w:rPr>
          <w:rFonts w:ascii="Calibri" w:eastAsia="Calibri" w:hAnsi="Calibri" w:cs="Calibri"/>
          <w:sz w:val="23"/>
          <w:szCs w:val="23"/>
        </w:rPr>
        <w:t>the lack of integration between primary, community, secondary and tertiary health care; including developing care plans, and effective communication mechanisms between care providers, families and patients.</w:t>
      </w:r>
    </w:p>
    <w:p w14:paraId="17F66857" w14:textId="77777777" w:rsidR="00440189" w:rsidRPr="00AE5A70" w:rsidRDefault="00440189" w:rsidP="00044469">
      <w:pPr>
        <w:pStyle w:val="ListParagraph"/>
        <w:numPr>
          <w:ilvl w:val="0"/>
          <w:numId w:val="19"/>
        </w:numPr>
        <w:rPr>
          <w:rFonts w:ascii="Calibri" w:eastAsia="Calibri" w:hAnsi="Calibri" w:cs="Calibri"/>
          <w:sz w:val="23"/>
          <w:szCs w:val="23"/>
        </w:rPr>
      </w:pPr>
      <w:r w:rsidRPr="00AE5A70">
        <w:rPr>
          <w:rFonts w:ascii="Calibri" w:eastAsia="Calibri" w:hAnsi="Calibri" w:cs="Calibri"/>
          <w:sz w:val="23"/>
          <w:szCs w:val="23"/>
        </w:rPr>
        <w:t>Current Medicare-funded ser</w:t>
      </w:r>
      <w:r w:rsidR="00851CF4" w:rsidRPr="00AE5A70">
        <w:rPr>
          <w:rFonts w:ascii="Calibri" w:eastAsia="Calibri" w:hAnsi="Calibri" w:cs="Calibri"/>
          <w:sz w:val="23"/>
          <w:szCs w:val="23"/>
        </w:rPr>
        <w:t xml:space="preserve">vices </w:t>
      </w:r>
      <w:r w:rsidR="00064219" w:rsidRPr="00AE5A70">
        <w:rPr>
          <w:rFonts w:ascii="Calibri" w:eastAsia="Calibri" w:hAnsi="Calibri" w:cs="Calibri"/>
          <w:sz w:val="23"/>
          <w:szCs w:val="23"/>
        </w:rPr>
        <w:t>do not</w:t>
      </w:r>
      <w:r w:rsidR="009C3734" w:rsidRPr="00AE5A70">
        <w:rPr>
          <w:rFonts w:ascii="Calibri" w:eastAsia="Calibri" w:hAnsi="Calibri" w:cs="Calibri"/>
          <w:sz w:val="23"/>
          <w:szCs w:val="23"/>
        </w:rPr>
        <w:t xml:space="preserve"> </w:t>
      </w:r>
      <w:r w:rsidR="00851CF4" w:rsidRPr="00AE5A70" w:rsidDel="00064219">
        <w:rPr>
          <w:rFonts w:ascii="Calibri" w:eastAsia="Calibri" w:hAnsi="Calibri" w:cs="Calibri"/>
          <w:sz w:val="23"/>
          <w:szCs w:val="23"/>
        </w:rPr>
        <w:t>deliver treatment</w:t>
      </w:r>
      <w:r w:rsidR="00872E1A" w:rsidRPr="00AE5A70">
        <w:rPr>
          <w:rFonts w:ascii="Calibri" w:eastAsia="Calibri" w:hAnsi="Calibri" w:cs="Calibri"/>
          <w:sz w:val="23"/>
          <w:szCs w:val="23"/>
        </w:rPr>
        <w:t xml:space="preserve"> </w:t>
      </w:r>
      <w:r w:rsidR="00851CF4" w:rsidRPr="00AE5A70">
        <w:rPr>
          <w:rFonts w:ascii="Calibri" w:eastAsia="Calibri" w:hAnsi="Calibri" w:cs="Calibri"/>
          <w:sz w:val="23"/>
          <w:szCs w:val="23"/>
        </w:rPr>
        <w:t>in line with the evidence</w:t>
      </w:r>
      <w:r w:rsidR="0039523C" w:rsidRPr="00AE5A70">
        <w:rPr>
          <w:rFonts w:ascii="Calibri" w:eastAsia="Calibri" w:hAnsi="Calibri" w:cs="Calibri"/>
          <w:sz w:val="23"/>
          <w:szCs w:val="23"/>
        </w:rPr>
        <w:t>-</w:t>
      </w:r>
      <w:r w:rsidR="00851CF4" w:rsidRPr="00AE5A70">
        <w:rPr>
          <w:rFonts w:ascii="Calibri" w:eastAsia="Calibri" w:hAnsi="Calibri" w:cs="Calibri"/>
          <w:sz w:val="23"/>
          <w:szCs w:val="23"/>
        </w:rPr>
        <w:t xml:space="preserve">based </w:t>
      </w:r>
      <w:r w:rsidR="00C751AD" w:rsidRPr="00AE5A70">
        <w:rPr>
          <w:rFonts w:ascii="Calibri" w:eastAsia="Calibri" w:hAnsi="Calibri" w:cs="Calibri"/>
          <w:sz w:val="23"/>
          <w:szCs w:val="23"/>
        </w:rPr>
        <w:t xml:space="preserve">treatment as </w:t>
      </w:r>
      <w:r w:rsidRPr="00AE5A70">
        <w:rPr>
          <w:rFonts w:ascii="Calibri" w:eastAsia="Calibri" w:hAnsi="Calibri" w:cs="Calibri"/>
          <w:sz w:val="23"/>
          <w:szCs w:val="23"/>
        </w:rPr>
        <w:t>recommended by experts. Limit</w:t>
      </w:r>
      <w:r w:rsidR="00C751AD" w:rsidRPr="00AE5A70">
        <w:rPr>
          <w:rFonts w:ascii="Calibri" w:eastAsia="Calibri" w:hAnsi="Calibri" w:cs="Calibri"/>
          <w:sz w:val="23"/>
          <w:szCs w:val="23"/>
        </w:rPr>
        <w:t>ations</w:t>
      </w:r>
      <w:r w:rsidRPr="00AE5A70">
        <w:rPr>
          <w:rFonts w:ascii="Calibri" w:eastAsia="Calibri" w:hAnsi="Calibri" w:cs="Calibri"/>
          <w:sz w:val="23"/>
          <w:szCs w:val="23"/>
        </w:rPr>
        <w:t xml:space="preserve"> under the MBS include:</w:t>
      </w:r>
    </w:p>
    <w:p w14:paraId="630DA1C7" w14:textId="77777777" w:rsidR="00440189" w:rsidRPr="00AE5A70" w:rsidRDefault="004E1706"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Ina</w:t>
      </w:r>
      <w:r w:rsidR="00440189" w:rsidRPr="00AE5A70">
        <w:rPr>
          <w:rFonts w:eastAsiaTheme="minorBidi" w:cstheme="minorBidi"/>
          <w:sz w:val="23"/>
          <w:szCs w:val="23"/>
        </w:rPr>
        <w:t xml:space="preserve">dequate </w:t>
      </w:r>
      <w:r w:rsidRPr="00AE5A70">
        <w:rPr>
          <w:rFonts w:eastAsiaTheme="minorBidi" w:cstheme="minorBidi"/>
          <w:sz w:val="23"/>
          <w:szCs w:val="23"/>
        </w:rPr>
        <w:t>number of MBS</w:t>
      </w:r>
      <w:r w:rsidR="00C00FB7" w:rsidRPr="00AE5A70">
        <w:rPr>
          <w:rFonts w:eastAsiaTheme="minorBidi" w:cstheme="minorBidi"/>
          <w:sz w:val="23"/>
          <w:szCs w:val="23"/>
        </w:rPr>
        <w:t xml:space="preserve"> </w:t>
      </w:r>
      <w:r w:rsidRPr="00AE5A70">
        <w:rPr>
          <w:rFonts w:eastAsiaTheme="minorBidi" w:cstheme="minorBidi"/>
          <w:sz w:val="23"/>
          <w:szCs w:val="23"/>
        </w:rPr>
        <w:t>funded</w:t>
      </w:r>
      <w:r w:rsidR="00440189" w:rsidRPr="00AE5A70">
        <w:rPr>
          <w:rFonts w:eastAsiaTheme="minorBidi" w:cstheme="minorBidi"/>
          <w:sz w:val="23"/>
          <w:szCs w:val="23"/>
        </w:rPr>
        <w:t xml:space="preserve"> sessions to deliver evidenced</w:t>
      </w:r>
      <w:r w:rsidR="00E40606" w:rsidRPr="00AE5A70">
        <w:rPr>
          <w:rFonts w:eastAsiaTheme="minorBidi" w:cstheme="minorBidi"/>
          <w:sz w:val="23"/>
          <w:szCs w:val="23"/>
        </w:rPr>
        <w:noBreakHyphen/>
      </w:r>
      <w:r w:rsidR="00440189" w:rsidRPr="00AE5A70">
        <w:rPr>
          <w:rFonts w:eastAsiaTheme="minorBidi" w:cstheme="minorBidi"/>
          <w:sz w:val="23"/>
          <w:szCs w:val="23"/>
        </w:rPr>
        <w:t>based psychological therapy</w:t>
      </w:r>
      <w:r w:rsidR="002A2B86" w:rsidRPr="00AE5A70">
        <w:rPr>
          <w:rFonts w:eastAsiaTheme="minorBidi" w:cstheme="minorBidi"/>
          <w:sz w:val="23"/>
          <w:szCs w:val="23"/>
        </w:rPr>
        <w:t>;</w:t>
      </w:r>
    </w:p>
    <w:p w14:paraId="1D0436C5" w14:textId="77777777" w:rsidR="00440189" w:rsidRPr="00AE5A70" w:rsidRDefault="00440189"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F</w:t>
      </w:r>
      <w:r w:rsidR="00E86194" w:rsidRPr="00AE5A70">
        <w:rPr>
          <w:rFonts w:eastAsiaTheme="minorBidi" w:cstheme="minorBidi"/>
          <w:sz w:val="23"/>
          <w:szCs w:val="23"/>
        </w:rPr>
        <w:t>unding of f</w:t>
      </w:r>
      <w:r w:rsidRPr="00AE5A70">
        <w:rPr>
          <w:rFonts w:eastAsiaTheme="minorBidi" w:cstheme="minorBidi"/>
          <w:sz w:val="23"/>
          <w:szCs w:val="23"/>
        </w:rPr>
        <w:t xml:space="preserve">amily support item numbers </w:t>
      </w:r>
      <w:r w:rsidR="00E86194" w:rsidRPr="00AE5A70">
        <w:rPr>
          <w:rFonts w:eastAsiaTheme="minorBidi" w:cstheme="minorBidi"/>
          <w:sz w:val="23"/>
          <w:szCs w:val="23"/>
        </w:rPr>
        <w:t>is</w:t>
      </w:r>
      <w:r w:rsidRPr="00AE5A70">
        <w:rPr>
          <w:rFonts w:eastAsiaTheme="minorBidi" w:cstheme="minorBidi"/>
          <w:sz w:val="23"/>
          <w:szCs w:val="23"/>
        </w:rPr>
        <w:t xml:space="preserve"> limited or</w:t>
      </w:r>
      <w:r w:rsidR="00E86194" w:rsidRPr="00AE5A70">
        <w:rPr>
          <w:rFonts w:eastAsiaTheme="minorBidi" w:cstheme="minorBidi"/>
          <w:sz w:val="23"/>
          <w:szCs w:val="23"/>
        </w:rPr>
        <w:t>, in some cases,</w:t>
      </w:r>
      <w:r w:rsidR="00C4168E" w:rsidRPr="00AE5A70">
        <w:rPr>
          <w:rFonts w:eastAsiaTheme="minorBidi" w:cstheme="minorBidi"/>
          <w:sz w:val="23"/>
          <w:szCs w:val="23"/>
        </w:rPr>
        <w:t xml:space="preserve"> is</w:t>
      </w:r>
      <w:r w:rsidRPr="00AE5A70">
        <w:rPr>
          <w:rFonts w:eastAsiaTheme="minorBidi" w:cstheme="minorBidi"/>
          <w:sz w:val="23"/>
          <w:szCs w:val="23"/>
        </w:rPr>
        <w:t xml:space="preserve"> non-existent – such as respite care, peer support, education and counselling</w:t>
      </w:r>
      <w:r w:rsidR="002A2B86" w:rsidRPr="00AE5A70">
        <w:rPr>
          <w:rFonts w:eastAsiaTheme="minorBidi" w:cstheme="minorBidi"/>
          <w:sz w:val="23"/>
          <w:szCs w:val="23"/>
        </w:rPr>
        <w:t>;</w:t>
      </w:r>
    </w:p>
    <w:p w14:paraId="45B5F77C" w14:textId="77777777" w:rsidR="00440189" w:rsidRPr="00AE5A70" w:rsidRDefault="00F81E0E"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MBS items do not adequ</w:t>
      </w:r>
      <w:r w:rsidR="006A357E" w:rsidRPr="00AE5A70">
        <w:rPr>
          <w:rFonts w:eastAsiaTheme="minorBidi" w:cstheme="minorBidi"/>
          <w:sz w:val="23"/>
          <w:szCs w:val="23"/>
        </w:rPr>
        <w:t xml:space="preserve">ately cover the pre-treatment phase – improvements are required </w:t>
      </w:r>
      <w:r w:rsidR="00DC53F4" w:rsidRPr="00AE5A70">
        <w:rPr>
          <w:rFonts w:eastAsiaTheme="minorBidi" w:cstheme="minorBidi"/>
          <w:sz w:val="23"/>
          <w:szCs w:val="23"/>
        </w:rPr>
        <w:t xml:space="preserve">for </w:t>
      </w:r>
      <w:r w:rsidR="006A357E" w:rsidRPr="00AE5A70">
        <w:rPr>
          <w:rFonts w:eastAsiaTheme="minorBidi" w:cstheme="minorBidi"/>
          <w:sz w:val="23"/>
          <w:szCs w:val="23"/>
        </w:rPr>
        <w:t>the a</w:t>
      </w:r>
      <w:r w:rsidR="00440189" w:rsidRPr="00AE5A70">
        <w:rPr>
          <w:rFonts w:eastAsiaTheme="minorBidi" w:cstheme="minorBidi"/>
          <w:sz w:val="23"/>
          <w:szCs w:val="23"/>
        </w:rPr>
        <w:t xml:space="preserve">ssessment phase and planning to ensure engagement and development of treatment, </w:t>
      </w:r>
      <w:r w:rsidR="00232254">
        <w:rPr>
          <w:rFonts w:eastAsiaTheme="minorBidi" w:cstheme="minorBidi"/>
          <w:sz w:val="23"/>
          <w:szCs w:val="23"/>
        </w:rPr>
        <w:t>and not just referral pathways;</w:t>
      </w:r>
    </w:p>
    <w:p w14:paraId="70E43AAB" w14:textId="77777777" w:rsidR="00440189" w:rsidRPr="00AE5A70" w:rsidRDefault="005D7619"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Patients cannot access services provided by m</w:t>
      </w:r>
      <w:r w:rsidR="00440189" w:rsidRPr="00AE5A70">
        <w:rPr>
          <w:rFonts w:eastAsiaTheme="minorBidi" w:cstheme="minorBidi"/>
          <w:sz w:val="23"/>
          <w:szCs w:val="23"/>
        </w:rPr>
        <w:t>any appropriately trained</w:t>
      </w:r>
      <w:r w:rsidR="00DC53F4" w:rsidRPr="00AE5A70">
        <w:rPr>
          <w:rFonts w:eastAsiaTheme="minorBidi" w:cstheme="minorBidi"/>
          <w:sz w:val="23"/>
          <w:szCs w:val="23"/>
        </w:rPr>
        <w:t xml:space="preserve"> and</w:t>
      </w:r>
      <w:r w:rsidR="00440189" w:rsidRPr="00AE5A70">
        <w:rPr>
          <w:rFonts w:eastAsiaTheme="minorBidi" w:cstheme="minorBidi"/>
          <w:sz w:val="23"/>
          <w:szCs w:val="23"/>
        </w:rPr>
        <w:t xml:space="preserve"> qualified mental health providers </w:t>
      </w:r>
      <w:r w:rsidR="00F63A5D" w:rsidRPr="00AE5A70">
        <w:rPr>
          <w:rFonts w:eastAsiaTheme="minorBidi" w:cstheme="minorBidi"/>
          <w:sz w:val="23"/>
          <w:szCs w:val="23"/>
        </w:rPr>
        <w:t>via</w:t>
      </w:r>
      <w:r w:rsidR="00440189" w:rsidRPr="00AE5A70">
        <w:rPr>
          <w:rFonts w:eastAsiaTheme="minorBidi" w:cstheme="minorBidi"/>
          <w:sz w:val="23"/>
          <w:szCs w:val="23"/>
        </w:rPr>
        <w:t xml:space="preserve"> the MBS</w:t>
      </w:r>
      <w:r w:rsidR="002A2B86" w:rsidRPr="00AE5A70">
        <w:rPr>
          <w:rFonts w:eastAsiaTheme="minorBidi" w:cstheme="minorBidi"/>
          <w:sz w:val="23"/>
          <w:szCs w:val="23"/>
        </w:rPr>
        <w:t>;</w:t>
      </w:r>
    </w:p>
    <w:p w14:paraId="7EAB9E2A" w14:textId="77777777" w:rsidR="00440189" w:rsidRPr="00AE5A70" w:rsidRDefault="00F63A5D"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Patients cannot access an appropriate number of services provided by d</w:t>
      </w:r>
      <w:r w:rsidR="002A2B86" w:rsidRPr="00AE5A70">
        <w:rPr>
          <w:rFonts w:eastAsiaTheme="minorBidi" w:cstheme="minorBidi"/>
          <w:sz w:val="23"/>
          <w:szCs w:val="23"/>
        </w:rPr>
        <w:t xml:space="preserve">ietitians and other allied health </w:t>
      </w:r>
      <w:r w:rsidR="00E40606" w:rsidRPr="00AE5A70">
        <w:rPr>
          <w:rFonts w:eastAsiaTheme="minorBidi" w:cstheme="minorBidi"/>
          <w:sz w:val="23"/>
          <w:szCs w:val="23"/>
        </w:rPr>
        <w:t xml:space="preserve">and mental health </w:t>
      </w:r>
      <w:r w:rsidR="002A2B86" w:rsidRPr="00AE5A70">
        <w:rPr>
          <w:rFonts w:eastAsiaTheme="minorBidi" w:cstheme="minorBidi"/>
          <w:sz w:val="23"/>
          <w:szCs w:val="23"/>
        </w:rPr>
        <w:t xml:space="preserve">professionals </w:t>
      </w:r>
      <w:r w:rsidR="002407B7" w:rsidRPr="00AE5A70">
        <w:rPr>
          <w:rFonts w:eastAsiaTheme="minorBidi" w:cstheme="minorBidi"/>
          <w:sz w:val="23"/>
          <w:szCs w:val="23"/>
        </w:rPr>
        <w:t>via</w:t>
      </w:r>
      <w:r w:rsidR="002A2B86" w:rsidRPr="00AE5A70">
        <w:rPr>
          <w:rFonts w:eastAsiaTheme="minorBidi" w:cstheme="minorBidi"/>
          <w:sz w:val="23"/>
          <w:szCs w:val="23"/>
        </w:rPr>
        <w:t xml:space="preserve"> </w:t>
      </w:r>
      <w:r w:rsidR="00C00FB7" w:rsidRPr="00AE5A70">
        <w:rPr>
          <w:rFonts w:eastAsiaTheme="minorBidi" w:cstheme="minorBidi"/>
          <w:sz w:val="23"/>
          <w:szCs w:val="23"/>
        </w:rPr>
        <w:t xml:space="preserve">MBS funded </w:t>
      </w:r>
      <w:r w:rsidR="002A2B86" w:rsidRPr="00AE5A70">
        <w:rPr>
          <w:rFonts w:eastAsiaTheme="minorBidi" w:cstheme="minorBidi"/>
          <w:sz w:val="23"/>
          <w:szCs w:val="23"/>
        </w:rPr>
        <w:t>sessions;</w:t>
      </w:r>
    </w:p>
    <w:p w14:paraId="18DFAEC4" w14:textId="77777777" w:rsidR="002A2B86" w:rsidRPr="00AE5A70" w:rsidRDefault="002A2B86"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MBS-supported management plans are not comprehensive enough for this group;</w:t>
      </w:r>
    </w:p>
    <w:p w14:paraId="58405245" w14:textId="77777777" w:rsidR="002A2B86" w:rsidRPr="00AE5A70" w:rsidRDefault="009400B8" w:rsidP="009E1DC3">
      <w:pPr>
        <w:pStyle w:val="ListParagraph"/>
        <w:numPr>
          <w:ilvl w:val="0"/>
          <w:numId w:val="22"/>
        </w:numPr>
        <w:ind w:left="1418" w:hanging="502"/>
        <w:rPr>
          <w:rFonts w:eastAsiaTheme="minorBidi" w:cstheme="minorBidi"/>
          <w:sz w:val="23"/>
          <w:szCs w:val="23"/>
        </w:rPr>
      </w:pPr>
      <w:r>
        <w:rPr>
          <w:rFonts w:eastAsiaTheme="minorBidi" w:cstheme="minorBidi"/>
          <w:sz w:val="23"/>
          <w:szCs w:val="23"/>
        </w:rPr>
        <w:t xml:space="preserve">Missed opportunities for timely </w:t>
      </w:r>
      <w:r w:rsidR="002A2B86" w:rsidRPr="00AE5A70">
        <w:rPr>
          <w:rFonts w:eastAsiaTheme="minorBidi" w:cstheme="minorBidi"/>
          <w:sz w:val="23"/>
          <w:szCs w:val="23"/>
        </w:rPr>
        <w:t>identification and intervention;</w:t>
      </w:r>
      <w:r w:rsidR="00702C14" w:rsidRPr="00AE5A70">
        <w:rPr>
          <w:rFonts w:eastAsiaTheme="minorBidi" w:cstheme="minorBidi"/>
          <w:sz w:val="23"/>
          <w:szCs w:val="23"/>
        </w:rPr>
        <w:t xml:space="preserve"> and</w:t>
      </w:r>
    </w:p>
    <w:p w14:paraId="36A0FC54" w14:textId="77777777" w:rsidR="002A2B86" w:rsidRPr="00AE5A70" w:rsidRDefault="002A2B86" w:rsidP="009E1DC3">
      <w:pPr>
        <w:pStyle w:val="ListParagraph"/>
        <w:numPr>
          <w:ilvl w:val="0"/>
          <w:numId w:val="22"/>
        </w:numPr>
        <w:ind w:left="1418" w:hanging="502"/>
        <w:rPr>
          <w:rFonts w:eastAsiaTheme="minorBidi" w:cstheme="minorBidi"/>
          <w:sz w:val="23"/>
          <w:szCs w:val="23"/>
        </w:rPr>
      </w:pPr>
      <w:r w:rsidRPr="00AE5A70">
        <w:rPr>
          <w:rFonts w:eastAsiaTheme="minorBidi" w:cstheme="minorBidi"/>
          <w:sz w:val="23"/>
          <w:szCs w:val="23"/>
        </w:rPr>
        <w:t>Large out-of-pocket costs associated with treatment, resulting in an inability of patients to access care, especially for those in disadvantage</w:t>
      </w:r>
      <w:r w:rsidR="0061420C" w:rsidRPr="00AE5A70">
        <w:rPr>
          <w:rFonts w:eastAsiaTheme="minorBidi" w:cstheme="minorBidi"/>
          <w:sz w:val="23"/>
          <w:szCs w:val="23"/>
        </w:rPr>
        <w:t>d</w:t>
      </w:r>
      <w:r w:rsidRPr="00AE5A70">
        <w:rPr>
          <w:rFonts w:eastAsiaTheme="minorBidi" w:cstheme="minorBidi"/>
          <w:sz w:val="23"/>
          <w:szCs w:val="23"/>
        </w:rPr>
        <w:t xml:space="preserve"> group</w:t>
      </w:r>
      <w:r w:rsidR="00624903" w:rsidRPr="00AE5A70">
        <w:rPr>
          <w:rFonts w:eastAsiaTheme="minorBidi" w:cstheme="minorBidi"/>
          <w:sz w:val="23"/>
          <w:szCs w:val="23"/>
        </w:rPr>
        <w:t>s</w:t>
      </w:r>
      <w:r w:rsidR="001A3B21" w:rsidRPr="00AE5A70">
        <w:rPr>
          <w:rFonts w:eastAsiaTheme="minorBidi" w:cstheme="minorBidi"/>
          <w:sz w:val="23"/>
          <w:szCs w:val="23"/>
        </w:rPr>
        <w:t xml:space="preserve"> or living in rural, regional and remote areas</w:t>
      </w:r>
      <w:r w:rsidRPr="00AE5A70">
        <w:rPr>
          <w:rFonts w:eastAsiaTheme="minorBidi" w:cstheme="minorBidi"/>
          <w:sz w:val="23"/>
          <w:szCs w:val="23"/>
        </w:rPr>
        <w:t>.</w:t>
      </w:r>
    </w:p>
    <w:p w14:paraId="58FD057F" w14:textId="77777777" w:rsidR="003B1337" w:rsidRPr="00AE5A70" w:rsidRDefault="003B1337">
      <w:pPr>
        <w:rPr>
          <w:rFonts w:ascii="Calibri" w:eastAsia="Calibri" w:hAnsi="Calibri" w:cs="Calibri"/>
          <w:sz w:val="23"/>
          <w:szCs w:val="23"/>
        </w:rPr>
      </w:pPr>
      <w:r w:rsidRPr="00AE5A70">
        <w:rPr>
          <w:rFonts w:ascii="Calibri" w:eastAsia="Calibri" w:hAnsi="Calibri" w:cs="Calibri"/>
          <w:sz w:val="23"/>
          <w:szCs w:val="23"/>
        </w:rPr>
        <w:t>The Working Group highlighted their key priorities and action list below</w:t>
      </w:r>
      <w:r w:rsidR="001578C0" w:rsidRPr="00AE5A70">
        <w:rPr>
          <w:rFonts w:ascii="Calibri" w:eastAsia="Calibri" w:hAnsi="Calibri" w:cs="Calibri"/>
          <w:sz w:val="23"/>
          <w:szCs w:val="23"/>
        </w:rPr>
        <w:t>.</w:t>
      </w:r>
    </w:p>
    <w:p w14:paraId="7DC8B0F3" w14:textId="77777777" w:rsidR="001578C0" w:rsidRPr="00AE5A70" w:rsidRDefault="001578C0">
      <w:pPr>
        <w:rPr>
          <w:rFonts w:ascii="Calibri" w:eastAsia="Calibri" w:hAnsi="Calibri" w:cs="Calibri"/>
          <w:sz w:val="23"/>
          <w:szCs w:val="23"/>
          <w:u w:val="single"/>
        </w:rPr>
      </w:pPr>
      <w:r w:rsidRPr="00AE5A70">
        <w:rPr>
          <w:rFonts w:ascii="Calibri" w:eastAsia="Calibri" w:hAnsi="Calibri" w:cs="Calibri"/>
          <w:b/>
          <w:sz w:val="23"/>
          <w:szCs w:val="23"/>
          <w:u w:val="single"/>
        </w:rPr>
        <w:t xml:space="preserve">Table </w:t>
      </w:r>
      <w:r w:rsidR="00C026A4" w:rsidRPr="00AE5A70">
        <w:rPr>
          <w:rFonts w:ascii="Calibri" w:eastAsia="Calibri" w:hAnsi="Calibri" w:cs="Calibri"/>
          <w:b/>
          <w:sz w:val="23"/>
          <w:szCs w:val="23"/>
          <w:u w:val="single"/>
        </w:rPr>
        <w:t>2</w:t>
      </w:r>
      <w:r w:rsidRPr="00AE5A70">
        <w:rPr>
          <w:rFonts w:ascii="Calibri" w:eastAsia="Calibri" w:hAnsi="Calibri" w:cs="Calibri"/>
          <w:b/>
          <w:sz w:val="23"/>
          <w:szCs w:val="23"/>
          <w:u w:val="single"/>
        </w:rPr>
        <w:t xml:space="preserve">: Working Group Priorities: </w:t>
      </w:r>
    </w:p>
    <w:tbl>
      <w:tblPr>
        <w:tblStyle w:val="TableGrid"/>
        <w:tblW w:w="0" w:type="auto"/>
        <w:tblLook w:val="04A0" w:firstRow="1" w:lastRow="0" w:firstColumn="1" w:lastColumn="0" w:noHBand="0" w:noVBand="1"/>
        <w:tblCaption w:val="Table 2: Working Group Priorities"/>
        <w:tblDescription w:val="Table 2 is a 2 column table.  Column 1 describes the priorities of the working group and column 2 is the action that was taken to address the priority.  "/>
      </w:tblPr>
      <w:tblGrid>
        <w:gridCol w:w="4264"/>
        <w:gridCol w:w="4264"/>
      </w:tblGrid>
      <w:tr w:rsidR="00AE5A70" w:rsidRPr="00AE5A70" w14:paraId="79F074E0" w14:textId="77777777" w:rsidTr="009341EF">
        <w:trPr>
          <w:tblHeader/>
        </w:trPr>
        <w:tc>
          <w:tcPr>
            <w:tcW w:w="4264" w:type="dxa"/>
          </w:tcPr>
          <w:p w14:paraId="173955FD" w14:textId="77777777" w:rsidR="003B1337" w:rsidRPr="00AE5A70" w:rsidRDefault="003B1337">
            <w:pPr>
              <w:rPr>
                <w:rFonts w:ascii="Calibri" w:eastAsia="Calibri" w:hAnsi="Calibri" w:cs="Calibri"/>
                <w:b/>
                <w:sz w:val="23"/>
                <w:szCs w:val="23"/>
              </w:rPr>
            </w:pPr>
            <w:r w:rsidRPr="00AE5A70">
              <w:rPr>
                <w:rFonts w:ascii="Calibri" w:eastAsia="Calibri" w:hAnsi="Calibri" w:cs="Calibri"/>
                <w:b/>
                <w:sz w:val="23"/>
                <w:szCs w:val="23"/>
              </w:rPr>
              <w:t>Priority:</w:t>
            </w:r>
          </w:p>
        </w:tc>
        <w:tc>
          <w:tcPr>
            <w:tcW w:w="4264" w:type="dxa"/>
          </w:tcPr>
          <w:p w14:paraId="0DA47A31" w14:textId="77777777" w:rsidR="003B1337" w:rsidRPr="00AE5A70" w:rsidRDefault="003B1337">
            <w:pPr>
              <w:rPr>
                <w:rFonts w:ascii="Calibri" w:eastAsia="Calibri" w:hAnsi="Calibri" w:cs="Calibri"/>
                <w:b/>
                <w:sz w:val="23"/>
                <w:szCs w:val="23"/>
              </w:rPr>
            </w:pPr>
            <w:r w:rsidRPr="00AE5A70">
              <w:rPr>
                <w:rFonts w:ascii="Calibri" w:eastAsia="Calibri" w:hAnsi="Calibri" w:cs="Calibri"/>
                <w:b/>
                <w:sz w:val="23"/>
                <w:szCs w:val="23"/>
              </w:rPr>
              <w:t>Action completed?</w:t>
            </w:r>
          </w:p>
        </w:tc>
      </w:tr>
      <w:tr w:rsidR="00AE5A70" w:rsidRPr="00AE5A70" w14:paraId="4BC51777" w14:textId="77777777" w:rsidTr="2C5386C0">
        <w:tc>
          <w:tcPr>
            <w:tcW w:w="4264" w:type="dxa"/>
          </w:tcPr>
          <w:p w14:paraId="18C0B5BB" w14:textId="77777777" w:rsidR="003B1337" w:rsidRPr="00AE5A70" w:rsidRDefault="00731C6B">
            <w:pPr>
              <w:rPr>
                <w:rFonts w:eastAsiaTheme="minorBidi" w:cstheme="minorBidi"/>
                <w:sz w:val="23"/>
                <w:szCs w:val="23"/>
              </w:rPr>
            </w:pPr>
            <w:r>
              <w:rPr>
                <w:rFonts w:eastAsiaTheme="minorBidi" w:cstheme="minorBidi"/>
                <w:sz w:val="23"/>
                <w:szCs w:val="23"/>
              </w:rPr>
              <w:t xml:space="preserve">More closely align the  MBS arrangements with evidence based care models </w:t>
            </w:r>
          </w:p>
        </w:tc>
        <w:tc>
          <w:tcPr>
            <w:tcW w:w="4264" w:type="dxa"/>
          </w:tcPr>
          <w:p w14:paraId="34088041" w14:textId="77777777" w:rsidR="007A6971" w:rsidRDefault="007A6971">
            <w:pPr>
              <w:rPr>
                <w:rFonts w:eastAsiaTheme="minorBidi" w:cstheme="minorBidi"/>
                <w:sz w:val="23"/>
                <w:szCs w:val="23"/>
              </w:rPr>
            </w:pPr>
            <w:r w:rsidRPr="00AE5A70">
              <w:rPr>
                <w:rFonts w:eastAsiaTheme="minorBidi" w:cstheme="minorHAnsi"/>
                <w:b/>
                <w:sz w:val="23"/>
                <w:szCs w:val="23"/>
              </w:rPr>
              <w:sym w:font="Wingdings 2" w:char="F050"/>
            </w:r>
            <w:r>
              <w:rPr>
                <w:rFonts w:eastAsiaTheme="minorBidi" w:cstheme="minorBidi"/>
                <w:sz w:val="23"/>
                <w:szCs w:val="23"/>
              </w:rPr>
              <w:t>Highlight that the evidence base demonstrates that all patients with eating disorders should have access to up to 20 psychological and 10 dietetic services</w:t>
            </w:r>
            <w:r w:rsidR="009E1DC3">
              <w:rPr>
                <w:rFonts w:eastAsiaTheme="minorBidi" w:cstheme="minorBidi"/>
                <w:sz w:val="23"/>
                <w:szCs w:val="23"/>
              </w:rPr>
              <w:t xml:space="preserve"> if required</w:t>
            </w:r>
            <w:r>
              <w:rPr>
                <w:rFonts w:eastAsiaTheme="minorBidi" w:cstheme="minorBidi"/>
                <w:sz w:val="23"/>
                <w:szCs w:val="23"/>
              </w:rPr>
              <w:t xml:space="preserve">. </w:t>
            </w:r>
          </w:p>
          <w:p w14:paraId="452D15BB" w14:textId="77777777" w:rsidR="00731C6B" w:rsidRDefault="00B75636">
            <w:pPr>
              <w:rPr>
                <w:rFonts w:eastAsiaTheme="minorBidi" w:cstheme="minorBidi"/>
                <w:sz w:val="23"/>
                <w:szCs w:val="23"/>
              </w:rPr>
            </w:pPr>
            <w:r w:rsidRPr="00AE5A70">
              <w:rPr>
                <w:rFonts w:eastAsiaTheme="minorBidi" w:cstheme="minorHAnsi"/>
                <w:b/>
                <w:sz w:val="23"/>
                <w:szCs w:val="23"/>
              </w:rPr>
              <w:sym w:font="Wingdings 2" w:char="F050"/>
            </w:r>
            <w:r w:rsidR="00284E8E" w:rsidRPr="00AE5A70">
              <w:rPr>
                <w:rFonts w:eastAsiaTheme="minorBidi" w:cstheme="minorBidi"/>
                <w:sz w:val="23"/>
                <w:szCs w:val="23"/>
              </w:rPr>
              <w:t xml:space="preserve"> </w:t>
            </w:r>
            <w:r w:rsidR="00731C6B">
              <w:rPr>
                <w:rFonts w:eastAsiaTheme="minorBidi" w:cstheme="minorBidi"/>
                <w:sz w:val="23"/>
                <w:szCs w:val="23"/>
              </w:rPr>
              <w:t xml:space="preserve">Recommend, that as a first step, a suite of new items be introduced for all patients with </w:t>
            </w:r>
            <w:r w:rsidR="00CC3AC7">
              <w:rPr>
                <w:rFonts w:eastAsiaTheme="minorBidi" w:cstheme="minorBidi"/>
                <w:sz w:val="23"/>
                <w:szCs w:val="23"/>
              </w:rPr>
              <w:t>AN</w:t>
            </w:r>
            <w:r w:rsidR="00731C6B">
              <w:rPr>
                <w:rFonts w:eastAsiaTheme="minorBidi" w:cstheme="minorBidi"/>
                <w:sz w:val="23"/>
                <w:szCs w:val="23"/>
              </w:rPr>
              <w:t xml:space="preserve"> and patients with other eating disorders who </w:t>
            </w:r>
            <w:r w:rsidR="00B837A7">
              <w:rPr>
                <w:rFonts w:eastAsiaTheme="minorBidi" w:cstheme="minorBidi"/>
                <w:sz w:val="23"/>
                <w:szCs w:val="23"/>
              </w:rPr>
              <w:t xml:space="preserve">have complex needs and </w:t>
            </w:r>
            <w:r w:rsidR="00731C6B">
              <w:rPr>
                <w:rFonts w:eastAsiaTheme="minorBidi" w:cstheme="minorBidi"/>
                <w:sz w:val="23"/>
                <w:szCs w:val="23"/>
              </w:rPr>
              <w:t>have not responded to treatment at a lower level of intensity</w:t>
            </w:r>
            <w:r w:rsidR="0052495E">
              <w:rPr>
                <w:rFonts w:eastAsiaTheme="minorBidi" w:cstheme="minorBidi"/>
                <w:sz w:val="23"/>
                <w:szCs w:val="23"/>
              </w:rPr>
              <w:t xml:space="preserve"> and are at high risk of serious medical and psychological complications</w:t>
            </w:r>
            <w:r w:rsidR="00167C44">
              <w:rPr>
                <w:rFonts w:eastAsiaTheme="minorBidi" w:cstheme="minorBidi"/>
                <w:sz w:val="23"/>
                <w:szCs w:val="23"/>
              </w:rPr>
              <w:t>.</w:t>
            </w:r>
            <w:r w:rsidR="007F525B">
              <w:rPr>
                <w:rFonts w:eastAsiaTheme="minorBidi" w:cstheme="minorBidi"/>
                <w:sz w:val="23"/>
                <w:szCs w:val="23"/>
              </w:rPr>
              <w:t xml:space="preserve"> These new items should provide patients with access to up to a total of 40 psychological services and up to a total of 20 dietetic services per year.</w:t>
            </w:r>
          </w:p>
          <w:p w14:paraId="6DA771C9" w14:textId="77777777" w:rsidR="003B1337" w:rsidRPr="00AE5A70" w:rsidRDefault="007A6971">
            <w:pPr>
              <w:rPr>
                <w:rFonts w:eastAsiaTheme="minorBidi" w:cstheme="minorBidi"/>
                <w:sz w:val="23"/>
                <w:szCs w:val="23"/>
              </w:rPr>
            </w:pPr>
            <w:r w:rsidRPr="00AE5A70">
              <w:rPr>
                <w:rFonts w:eastAsiaTheme="minorBidi" w:cstheme="minorHAnsi"/>
                <w:b/>
                <w:sz w:val="23"/>
                <w:szCs w:val="23"/>
              </w:rPr>
              <w:sym w:font="Wingdings 2" w:char="F050"/>
            </w:r>
            <w:r w:rsidR="00167C44">
              <w:rPr>
                <w:rFonts w:eastAsiaTheme="minorBidi" w:cstheme="minorBidi"/>
                <w:sz w:val="23"/>
                <w:szCs w:val="23"/>
              </w:rPr>
              <w:t xml:space="preserve">Recommend </w:t>
            </w:r>
            <w:r w:rsidR="003E3224">
              <w:rPr>
                <w:rFonts w:eastAsiaTheme="minorBidi" w:cstheme="minorBidi"/>
                <w:sz w:val="23"/>
                <w:szCs w:val="23"/>
              </w:rPr>
              <w:t xml:space="preserve">that MBS arrangements be expanded </w:t>
            </w:r>
            <w:r w:rsidR="007F525B">
              <w:rPr>
                <w:rFonts w:eastAsiaTheme="minorBidi" w:cstheme="minorBidi"/>
                <w:sz w:val="23"/>
                <w:szCs w:val="23"/>
              </w:rPr>
              <w:t>as soon as pra</w:t>
            </w:r>
            <w:r w:rsidR="00B837A7">
              <w:rPr>
                <w:rFonts w:eastAsiaTheme="minorBidi" w:cstheme="minorBidi"/>
                <w:sz w:val="23"/>
                <w:szCs w:val="23"/>
              </w:rPr>
              <w:t>ctical after the introduction of</w:t>
            </w:r>
            <w:r w:rsidR="007F525B">
              <w:rPr>
                <w:rFonts w:eastAsiaTheme="minorBidi" w:cstheme="minorBidi"/>
                <w:sz w:val="23"/>
                <w:szCs w:val="23"/>
              </w:rPr>
              <w:t xml:space="preserve"> the new MBS </w:t>
            </w:r>
            <w:r w:rsidR="00232254">
              <w:rPr>
                <w:rFonts w:eastAsiaTheme="minorBidi" w:cstheme="minorBidi"/>
                <w:sz w:val="23"/>
                <w:szCs w:val="23"/>
              </w:rPr>
              <w:t>items outlined</w:t>
            </w:r>
            <w:r w:rsidR="007F525B">
              <w:rPr>
                <w:rFonts w:eastAsiaTheme="minorBidi" w:cstheme="minorBidi"/>
                <w:sz w:val="23"/>
                <w:szCs w:val="23"/>
              </w:rPr>
              <w:t xml:space="preserve"> above.</w:t>
            </w:r>
          </w:p>
        </w:tc>
      </w:tr>
      <w:tr w:rsidR="00AE5A70" w:rsidRPr="00AE5A70" w14:paraId="4588AC54" w14:textId="77777777" w:rsidTr="2C5386C0">
        <w:tc>
          <w:tcPr>
            <w:tcW w:w="4264" w:type="dxa"/>
          </w:tcPr>
          <w:p w14:paraId="63221C5A" w14:textId="77777777" w:rsidR="003B1337" w:rsidRPr="00AE5A70" w:rsidRDefault="00B47A7A">
            <w:pPr>
              <w:rPr>
                <w:rFonts w:eastAsiaTheme="minorBidi" w:cstheme="minorBidi"/>
                <w:sz w:val="23"/>
                <w:szCs w:val="23"/>
              </w:rPr>
            </w:pPr>
            <w:r w:rsidRPr="00AE5A70">
              <w:rPr>
                <w:rFonts w:eastAsiaTheme="minorBidi" w:cstheme="minorBidi"/>
                <w:sz w:val="23"/>
                <w:szCs w:val="23"/>
              </w:rPr>
              <w:t>Funding an increased number of dietitian services under the MBS</w:t>
            </w:r>
          </w:p>
        </w:tc>
        <w:tc>
          <w:tcPr>
            <w:tcW w:w="4264" w:type="dxa"/>
          </w:tcPr>
          <w:p w14:paraId="2EA686A8" w14:textId="77777777" w:rsidR="003B1337" w:rsidRPr="00AE5A70" w:rsidRDefault="00B75636">
            <w:pPr>
              <w:rPr>
                <w:rFonts w:eastAsiaTheme="minorBidi" w:cstheme="minorBidi"/>
                <w:sz w:val="23"/>
                <w:szCs w:val="23"/>
              </w:rPr>
            </w:pPr>
            <w:r w:rsidRPr="00AE5A70">
              <w:rPr>
                <w:rFonts w:eastAsiaTheme="minorBidi" w:cstheme="minorHAnsi"/>
                <w:b/>
                <w:sz w:val="23"/>
                <w:szCs w:val="23"/>
              </w:rPr>
              <w:sym w:font="Wingdings 2" w:char="F050"/>
            </w:r>
            <w:r w:rsidR="00C43DDB" w:rsidRPr="00AE5A70">
              <w:rPr>
                <w:rFonts w:eastAsiaTheme="minorBidi" w:cstheme="minorBidi"/>
                <w:b/>
                <w:sz w:val="23"/>
                <w:szCs w:val="23"/>
              </w:rPr>
              <w:t xml:space="preserve"> </w:t>
            </w:r>
            <w:r w:rsidR="007F525B">
              <w:rPr>
                <w:rFonts w:eastAsiaTheme="minorBidi" w:cstheme="minorBidi"/>
                <w:sz w:val="23"/>
                <w:szCs w:val="23"/>
              </w:rPr>
              <w:t xml:space="preserve">Recommend access to a higher number of dietetic services for all patients with </w:t>
            </w:r>
            <w:r w:rsidR="0052495E">
              <w:rPr>
                <w:rFonts w:eastAsiaTheme="minorBidi" w:cstheme="minorBidi"/>
                <w:sz w:val="23"/>
                <w:szCs w:val="23"/>
              </w:rPr>
              <w:t>eating disorders, but expand access to dietetic care to patients with</w:t>
            </w:r>
            <w:r w:rsidR="00CC3AC7">
              <w:rPr>
                <w:rFonts w:eastAsiaTheme="minorBidi" w:cstheme="minorBidi"/>
                <w:sz w:val="23"/>
                <w:szCs w:val="23"/>
              </w:rPr>
              <w:t xml:space="preserve"> AN </w:t>
            </w:r>
            <w:r w:rsidR="0052495E">
              <w:rPr>
                <w:rFonts w:eastAsiaTheme="minorBidi" w:cstheme="minorBidi"/>
                <w:sz w:val="23"/>
                <w:szCs w:val="23"/>
              </w:rPr>
              <w:t>and patients with other eating disorders who have</w:t>
            </w:r>
            <w:r w:rsidR="00B837A7">
              <w:rPr>
                <w:rFonts w:eastAsiaTheme="minorBidi" w:cstheme="minorBidi"/>
                <w:sz w:val="23"/>
                <w:szCs w:val="23"/>
              </w:rPr>
              <w:t xml:space="preserve"> complex needs and have</w:t>
            </w:r>
            <w:r w:rsidR="0052495E">
              <w:rPr>
                <w:rFonts w:eastAsiaTheme="minorBidi" w:cstheme="minorBidi"/>
                <w:sz w:val="23"/>
                <w:szCs w:val="23"/>
              </w:rPr>
              <w:t xml:space="preserve"> not responded to treatment at a lower level of intensity and are at high risk of serious medical and psychological complications</w:t>
            </w:r>
            <w:r w:rsidR="0052495E" w:rsidRPr="00AE5A70" w:rsidDel="007F525B">
              <w:rPr>
                <w:rFonts w:eastAsiaTheme="minorBidi" w:cstheme="minorBidi"/>
                <w:sz w:val="23"/>
                <w:szCs w:val="23"/>
              </w:rPr>
              <w:t xml:space="preserve"> </w:t>
            </w:r>
            <w:r w:rsidR="0052495E">
              <w:rPr>
                <w:rFonts w:eastAsiaTheme="minorBidi" w:cstheme="minorBidi"/>
                <w:sz w:val="23"/>
                <w:szCs w:val="23"/>
              </w:rPr>
              <w:t>as a first step.</w:t>
            </w:r>
          </w:p>
        </w:tc>
      </w:tr>
      <w:tr w:rsidR="00AE5A70" w:rsidRPr="00AE5A70" w14:paraId="0EF844D8" w14:textId="77777777" w:rsidTr="009E4E3A">
        <w:trPr>
          <w:cantSplit/>
        </w:trPr>
        <w:tc>
          <w:tcPr>
            <w:tcW w:w="4264" w:type="dxa"/>
          </w:tcPr>
          <w:p w14:paraId="2747EF6E" w14:textId="77777777" w:rsidR="00C43DDB" w:rsidRPr="00AE5A70" w:rsidRDefault="006D61CC">
            <w:pPr>
              <w:rPr>
                <w:rFonts w:eastAsiaTheme="minorBidi" w:cstheme="minorBidi"/>
                <w:sz w:val="23"/>
                <w:szCs w:val="23"/>
              </w:rPr>
            </w:pPr>
            <w:r w:rsidRPr="00AE5A70">
              <w:rPr>
                <w:rFonts w:eastAsiaTheme="minorBidi" w:cstheme="minorBidi"/>
                <w:sz w:val="23"/>
                <w:szCs w:val="23"/>
              </w:rPr>
              <w:t>Investigate providing s</w:t>
            </w:r>
            <w:r w:rsidR="00C43DDB" w:rsidRPr="00AE5A70">
              <w:rPr>
                <w:rFonts w:eastAsiaTheme="minorBidi" w:cstheme="minorBidi"/>
                <w:sz w:val="23"/>
                <w:szCs w:val="23"/>
              </w:rPr>
              <w:t xml:space="preserve">pecific reimbursement for </w:t>
            </w:r>
            <w:r w:rsidR="00F37862" w:rsidRPr="00AE5A70">
              <w:rPr>
                <w:rFonts w:eastAsiaTheme="minorBidi" w:cstheme="minorBidi"/>
                <w:sz w:val="23"/>
                <w:szCs w:val="23"/>
              </w:rPr>
              <w:t xml:space="preserve">services provided by </w:t>
            </w:r>
            <w:r w:rsidR="00C43DDB" w:rsidRPr="00AE5A70">
              <w:rPr>
                <w:rFonts w:eastAsiaTheme="minorBidi" w:cstheme="minorBidi"/>
                <w:sz w:val="23"/>
                <w:szCs w:val="23"/>
              </w:rPr>
              <w:t xml:space="preserve">allied health professionals </w:t>
            </w:r>
            <w:r w:rsidR="008C2D00" w:rsidRPr="00AE5A70">
              <w:rPr>
                <w:rFonts w:eastAsiaTheme="minorBidi" w:cstheme="minorBidi"/>
                <w:sz w:val="23"/>
                <w:szCs w:val="23"/>
              </w:rPr>
              <w:t>to contribute to multidisciplinary care plans</w:t>
            </w:r>
            <w:r w:rsidR="00C43DDB" w:rsidRPr="00AE5A70">
              <w:rPr>
                <w:rFonts w:eastAsiaTheme="minorBidi" w:cstheme="minorBidi"/>
                <w:sz w:val="23"/>
                <w:szCs w:val="23"/>
              </w:rPr>
              <w:t xml:space="preserve"> and case conferencing</w:t>
            </w:r>
            <w:r w:rsidR="003B16F5" w:rsidRPr="00AE5A70">
              <w:rPr>
                <w:rFonts w:eastAsiaTheme="minorBidi" w:cstheme="minorBidi"/>
                <w:sz w:val="23"/>
                <w:szCs w:val="23"/>
              </w:rPr>
              <w:t xml:space="preserve"> through the </w:t>
            </w:r>
            <w:r w:rsidR="00226993" w:rsidRPr="00AE5A70">
              <w:rPr>
                <w:rFonts w:eastAsiaTheme="minorBidi" w:cstheme="minorBidi"/>
                <w:sz w:val="23"/>
                <w:szCs w:val="23"/>
              </w:rPr>
              <w:t>MBS. *</w:t>
            </w:r>
          </w:p>
        </w:tc>
        <w:tc>
          <w:tcPr>
            <w:tcW w:w="4264" w:type="dxa"/>
          </w:tcPr>
          <w:p w14:paraId="0DB90B6E" w14:textId="77777777" w:rsidR="00C43DDB" w:rsidRPr="00AE5A70" w:rsidRDefault="00C43DDB">
            <w:pPr>
              <w:rPr>
                <w:rFonts w:eastAsiaTheme="minorBidi" w:cstheme="minorBidi"/>
                <w:b/>
                <w:sz w:val="23"/>
                <w:szCs w:val="23"/>
              </w:rPr>
            </w:pPr>
            <w:r w:rsidRPr="00AE5A70">
              <w:rPr>
                <w:rFonts w:eastAsiaTheme="minorBidi" w:cstheme="minorHAnsi"/>
                <w:b/>
                <w:sz w:val="23"/>
                <w:szCs w:val="23"/>
              </w:rPr>
              <w:sym w:font="Wingdings 2" w:char="F050"/>
            </w:r>
            <w:r w:rsidR="00CD5385" w:rsidRPr="00AE5A70">
              <w:rPr>
                <w:rFonts w:eastAsiaTheme="minorBidi" w:cstheme="minorBidi"/>
                <w:sz w:val="23"/>
                <w:szCs w:val="23"/>
              </w:rPr>
              <w:t xml:space="preserve"> </w:t>
            </w:r>
            <w:r w:rsidR="00554598" w:rsidRPr="00AE5A70">
              <w:rPr>
                <w:rFonts w:eastAsiaTheme="minorBidi" w:cstheme="minorBidi"/>
                <w:sz w:val="23"/>
                <w:szCs w:val="23"/>
              </w:rPr>
              <w:t xml:space="preserve">The matter of reimbursement of allied health </w:t>
            </w:r>
            <w:r w:rsidR="00E40606" w:rsidRPr="00AE5A70">
              <w:rPr>
                <w:rFonts w:eastAsiaTheme="minorBidi" w:cstheme="minorBidi"/>
                <w:sz w:val="23"/>
                <w:szCs w:val="23"/>
              </w:rPr>
              <w:t xml:space="preserve">and mental health </w:t>
            </w:r>
            <w:r w:rsidR="00554598" w:rsidRPr="00AE5A70">
              <w:rPr>
                <w:rFonts w:eastAsiaTheme="minorBidi" w:cstheme="minorBidi"/>
                <w:sz w:val="23"/>
                <w:szCs w:val="23"/>
              </w:rPr>
              <w:t>professionals for MBS case conferencing and contributing to MDT care plans referred to the Allied Health Reference Group.</w:t>
            </w:r>
          </w:p>
        </w:tc>
      </w:tr>
      <w:tr w:rsidR="00AE5A70" w:rsidRPr="00AE5A70" w14:paraId="777CD389" w14:textId="77777777" w:rsidTr="2C5386C0">
        <w:tc>
          <w:tcPr>
            <w:tcW w:w="4264" w:type="dxa"/>
          </w:tcPr>
          <w:p w14:paraId="6575C9B0" w14:textId="77777777" w:rsidR="00C43DDB" w:rsidRPr="00AE5A70" w:rsidRDefault="00C43DDB">
            <w:pPr>
              <w:rPr>
                <w:rFonts w:eastAsiaTheme="minorBidi" w:cstheme="minorBidi"/>
                <w:sz w:val="23"/>
                <w:szCs w:val="23"/>
              </w:rPr>
            </w:pPr>
            <w:r w:rsidRPr="00AE5A70">
              <w:rPr>
                <w:rFonts w:eastAsiaTheme="minorBidi" w:cstheme="minorBidi"/>
                <w:sz w:val="23"/>
                <w:szCs w:val="23"/>
              </w:rPr>
              <w:t>Funding for family and carer support</w:t>
            </w:r>
            <w:r w:rsidR="00226993" w:rsidRPr="00AE5A70">
              <w:rPr>
                <w:rFonts w:eastAsiaTheme="minorBidi" w:cstheme="minorBidi"/>
                <w:sz w:val="23"/>
                <w:szCs w:val="23"/>
              </w:rPr>
              <w:t>.</w:t>
            </w:r>
          </w:p>
        </w:tc>
        <w:tc>
          <w:tcPr>
            <w:tcW w:w="4264" w:type="dxa"/>
          </w:tcPr>
          <w:p w14:paraId="72C7601E" w14:textId="77777777" w:rsidR="0052495E" w:rsidRDefault="00C43DDB">
            <w:pPr>
              <w:rPr>
                <w:rFonts w:eastAsiaTheme="minorBidi" w:cstheme="minorBidi"/>
                <w:sz w:val="23"/>
                <w:szCs w:val="23"/>
              </w:rPr>
            </w:pPr>
            <w:r w:rsidRPr="00AE5A70">
              <w:rPr>
                <w:rFonts w:eastAsiaTheme="minorBidi" w:cstheme="minorHAnsi"/>
                <w:b/>
                <w:sz w:val="23"/>
                <w:szCs w:val="23"/>
              </w:rPr>
              <w:sym w:font="Wingdings 2" w:char="F050"/>
            </w:r>
            <w:r w:rsidRPr="00AE5A70">
              <w:rPr>
                <w:rFonts w:eastAsiaTheme="minorBidi" w:cstheme="minorBidi"/>
                <w:sz w:val="23"/>
                <w:szCs w:val="23"/>
              </w:rPr>
              <w:t xml:space="preserve"> </w:t>
            </w:r>
            <w:r w:rsidR="0000191D" w:rsidRPr="00AE5A70">
              <w:rPr>
                <w:rFonts w:eastAsiaTheme="minorBidi" w:cstheme="minorBidi"/>
                <w:sz w:val="23"/>
                <w:szCs w:val="23"/>
              </w:rPr>
              <w:t>Highlight that there is a need for increased support for families and carers of patients with eating disorders</w:t>
            </w:r>
            <w:r w:rsidR="0052495E">
              <w:rPr>
                <w:rFonts w:eastAsiaTheme="minorBidi" w:cstheme="minorBidi"/>
                <w:sz w:val="23"/>
                <w:szCs w:val="23"/>
              </w:rPr>
              <w:t>.</w:t>
            </w:r>
          </w:p>
          <w:p w14:paraId="65BF506A" w14:textId="77777777" w:rsidR="0052495E" w:rsidRPr="009341EF" w:rsidRDefault="0052495E">
            <w:pPr>
              <w:rPr>
                <w:rFonts w:eastAsiaTheme="minorBidi" w:cstheme="minorBidi"/>
                <w:sz w:val="23"/>
                <w:szCs w:val="23"/>
              </w:rPr>
            </w:pPr>
            <w:r w:rsidRPr="00AE5A70">
              <w:rPr>
                <w:rFonts w:eastAsiaTheme="minorBidi" w:cstheme="minorHAnsi"/>
                <w:b/>
                <w:sz w:val="23"/>
                <w:szCs w:val="23"/>
              </w:rPr>
              <w:sym w:font="Wingdings 2" w:char="F050"/>
            </w:r>
            <w:r w:rsidRPr="00AE5A70">
              <w:rPr>
                <w:rFonts w:eastAsiaTheme="minorBidi" w:cstheme="minorBidi"/>
                <w:sz w:val="23"/>
                <w:szCs w:val="23"/>
              </w:rPr>
              <w:t xml:space="preserve"> </w:t>
            </w:r>
            <w:r>
              <w:rPr>
                <w:rFonts w:eastAsiaTheme="minorBidi" w:cstheme="minorBidi"/>
                <w:sz w:val="23"/>
                <w:szCs w:val="23"/>
              </w:rPr>
              <w:t>S</w:t>
            </w:r>
            <w:r w:rsidR="0000191D" w:rsidRPr="00AE5A70">
              <w:rPr>
                <w:rFonts w:eastAsiaTheme="minorBidi" w:cstheme="minorBidi"/>
                <w:sz w:val="23"/>
                <w:szCs w:val="23"/>
              </w:rPr>
              <w:t xml:space="preserve">pecify that family and carers should be involved in </w:t>
            </w:r>
            <w:r w:rsidR="009E1DC3">
              <w:rPr>
                <w:rFonts w:eastAsiaTheme="minorBidi" w:cstheme="minorBidi"/>
                <w:sz w:val="23"/>
                <w:szCs w:val="23"/>
              </w:rPr>
              <w:t>multidisciplinary team (M</w:t>
            </w:r>
            <w:r w:rsidR="0000191D" w:rsidRPr="00AE5A70">
              <w:rPr>
                <w:rFonts w:eastAsiaTheme="minorBidi" w:cstheme="minorBidi"/>
                <w:sz w:val="23"/>
                <w:szCs w:val="23"/>
              </w:rPr>
              <w:t>DT</w:t>
            </w:r>
            <w:r w:rsidR="009E1DC3">
              <w:rPr>
                <w:rFonts w:eastAsiaTheme="minorBidi" w:cstheme="minorBidi"/>
                <w:sz w:val="23"/>
                <w:szCs w:val="23"/>
              </w:rPr>
              <w:t>)</w:t>
            </w:r>
            <w:r w:rsidR="0000191D" w:rsidRPr="00AE5A70">
              <w:rPr>
                <w:rFonts w:eastAsiaTheme="minorBidi" w:cstheme="minorBidi"/>
                <w:sz w:val="23"/>
                <w:szCs w:val="23"/>
              </w:rPr>
              <w:t xml:space="preserve"> treatment discussions where appropriate.</w:t>
            </w:r>
          </w:p>
        </w:tc>
      </w:tr>
      <w:tr w:rsidR="00AE5A70" w:rsidRPr="00AE5A70" w14:paraId="0141948D" w14:textId="77777777" w:rsidTr="2C5386C0">
        <w:tc>
          <w:tcPr>
            <w:tcW w:w="4264" w:type="dxa"/>
          </w:tcPr>
          <w:p w14:paraId="0ACC3798" w14:textId="77777777" w:rsidR="003B1337" w:rsidRPr="00AE5A70" w:rsidRDefault="00C43DDB">
            <w:pPr>
              <w:rPr>
                <w:rFonts w:eastAsiaTheme="minorBidi" w:cstheme="minorBidi"/>
                <w:sz w:val="23"/>
                <w:szCs w:val="23"/>
              </w:rPr>
            </w:pPr>
            <w:r w:rsidRPr="00AE5A70">
              <w:rPr>
                <w:rFonts w:eastAsiaTheme="minorBidi" w:cstheme="minorBidi"/>
                <w:sz w:val="23"/>
                <w:szCs w:val="23"/>
              </w:rPr>
              <w:t xml:space="preserve">Support upskilling and further training for all </w:t>
            </w:r>
            <w:r w:rsidR="0000191D" w:rsidRPr="00AE5A70">
              <w:rPr>
                <w:rFonts w:eastAsiaTheme="minorBidi" w:cstheme="minorBidi"/>
                <w:sz w:val="23"/>
                <w:szCs w:val="23"/>
              </w:rPr>
              <w:t>MDT</w:t>
            </w:r>
            <w:r w:rsidRPr="00AE5A70">
              <w:rPr>
                <w:rFonts w:eastAsiaTheme="minorBidi" w:cstheme="minorBidi"/>
                <w:sz w:val="23"/>
                <w:szCs w:val="23"/>
              </w:rPr>
              <w:t xml:space="preserve"> members to address shortages of expert and experienced practitioners in</w:t>
            </w:r>
            <w:r w:rsidR="00DC0840">
              <w:rPr>
                <w:rFonts w:eastAsiaTheme="minorBidi" w:cstheme="minorBidi"/>
                <w:sz w:val="23"/>
                <w:szCs w:val="23"/>
              </w:rPr>
              <w:t xml:space="preserve"> diagnosing and</w:t>
            </w:r>
            <w:r w:rsidRPr="00AE5A70">
              <w:rPr>
                <w:rFonts w:eastAsiaTheme="minorBidi" w:cstheme="minorBidi"/>
                <w:sz w:val="23"/>
                <w:szCs w:val="23"/>
              </w:rPr>
              <w:t xml:space="preserve"> treating patients with eating disorders</w:t>
            </w:r>
            <w:r w:rsidR="00226993" w:rsidRPr="00AE5A70">
              <w:rPr>
                <w:rFonts w:eastAsiaTheme="minorBidi" w:cstheme="minorBidi"/>
                <w:sz w:val="23"/>
                <w:szCs w:val="23"/>
              </w:rPr>
              <w:t>.</w:t>
            </w:r>
          </w:p>
        </w:tc>
        <w:tc>
          <w:tcPr>
            <w:tcW w:w="4264" w:type="dxa"/>
          </w:tcPr>
          <w:p w14:paraId="577D6968" w14:textId="77777777" w:rsidR="003B1337" w:rsidRPr="00AE5A70" w:rsidRDefault="00C43DDB" w:rsidP="00481116">
            <w:pPr>
              <w:rPr>
                <w:rFonts w:eastAsiaTheme="minorBidi" w:cstheme="minorBidi"/>
                <w:sz w:val="23"/>
                <w:szCs w:val="23"/>
              </w:rPr>
            </w:pPr>
            <w:r w:rsidRPr="00AE5A70">
              <w:rPr>
                <w:rFonts w:eastAsiaTheme="minorBidi" w:cstheme="minorHAnsi"/>
                <w:b/>
                <w:sz w:val="23"/>
                <w:szCs w:val="23"/>
              </w:rPr>
              <w:sym w:font="Wingdings 2" w:char="F050"/>
            </w:r>
            <w:r w:rsidRPr="00AE5A70">
              <w:rPr>
                <w:rFonts w:eastAsiaTheme="minorBidi" w:cstheme="minorBidi"/>
                <w:sz w:val="23"/>
                <w:szCs w:val="23"/>
              </w:rPr>
              <w:t xml:space="preserve"> </w:t>
            </w:r>
            <w:r w:rsidR="00232254">
              <w:rPr>
                <w:rFonts w:eastAsiaTheme="minorBidi" w:cstheme="minorBidi"/>
                <w:sz w:val="23"/>
                <w:szCs w:val="23"/>
              </w:rPr>
              <w:t>Make n</w:t>
            </w:r>
            <w:r w:rsidR="002A0014" w:rsidRPr="00AE5A70">
              <w:rPr>
                <w:rFonts w:eastAsiaTheme="minorBidi" w:cstheme="minorBidi"/>
                <w:sz w:val="23"/>
                <w:szCs w:val="23"/>
              </w:rPr>
              <w:t xml:space="preserve">on-MBS item recommendations that support the dissemination of clinical guidelines around treatment of </w:t>
            </w:r>
            <w:r w:rsidR="00A32244" w:rsidRPr="00AE5A70">
              <w:rPr>
                <w:rFonts w:eastAsiaTheme="minorBidi" w:cstheme="minorBidi"/>
                <w:sz w:val="23"/>
                <w:szCs w:val="23"/>
              </w:rPr>
              <w:t xml:space="preserve">people with </w:t>
            </w:r>
            <w:r w:rsidR="002A0014" w:rsidRPr="00AE5A70">
              <w:rPr>
                <w:rFonts w:eastAsiaTheme="minorBidi" w:cstheme="minorBidi"/>
                <w:sz w:val="23"/>
                <w:szCs w:val="23"/>
              </w:rPr>
              <w:t>eating disorders to all clinicians</w:t>
            </w:r>
            <w:r w:rsidR="00A32244" w:rsidRPr="00AE5A70">
              <w:rPr>
                <w:rFonts w:eastAsiaTheme="minorBidi" w:cstheme="minorBidi"/>
                <w:sz w:val="23"/>
                <w:szCs w:val="23"/>
              </w:rPr>
              <w:t>,</w:t>
            </w:r>
            <w:r w:rsidR="002A0014" w:rsidRPr="00AE5A70">
              <w:rPr>
                <w:rFonts w:eastAsiaTheme="minorBidi" w:cstheme="minorBidi"/>
                <w:sz w:val="23"/>
                <w:szCs w:val="23"/>
              </w:rPr>
              <w:t xml:space="preserve"> and support the</w:t>
            </w:r>
            <w:r w:rsidR="002A0014" w:rsidRPr="00AE5A70">
              <w:rPr>
                <w:sz w:val="23"/>
                <w:szCs w:val="23"/>
              </w:rPr>
              <w:t xml:space="preserve"> </w:t>
            </w:r>
            <w:r w:rsidR="002A0014" w:rsidRPr="00AE5A70">
              <w:rPr>
                <w:rFonts w:eastAsiaTheme="minorBidi" w:cstheme="minorBidi"/>
                <w:sz w:val="23"/>
                <w:szCs w:val="23"/>
              </w:rPr>
              <w:t>development</w:t>
            </w:r>
            <w:r w:rsidR="00232254">
              <w:rPr>
                <w:rFonts w:eastAsiaTheme="minorBidi" w:cstheme="minorBidi"/>
                <w:sz w:val="23"/>
                <w:szCs w:val="23"/>
              </w:rPr>
              <w:t>/and or extension</w:t>
            </w:r>
            <w:r w:rsidR="002A0014" w:rsidRPr="00AE5A70">
              <w:rPr>
                <w:rFonts w:eastAsiaTheme="minorBidi" w:cstheme="minorBidi"/>
                <w:sz w:val="23"/>
                <w:szCs w:val="23"/>
              </w:rPr>
              <w:t xml:space="preserve"> of specific training </w:t>
            </w:r>
            <w:r w:rsidR="00A32244" w:rsidRPr="00AE5A70">
              <w:rPr>
                <w:rFonts w:eastAsiaTheme="minorBidi" w:cstheme="minorBidi"/>
                <w:sz w:val="23"/>
                <w:szCs w:val="23"/>
              </w:rPr>
              <w:t xml:space="preserve">by professional bodies and relevant training organisations, </w:t>
            </w:r>
            <w:r w:rsidR="002A0014" w:rsidRPr="00AE5A70">
              <w:rPr>
                <w:rFonts w:eastAsiaTheme="minorBidi" w:cstheme="minorBidi"/>
                <w:sz w:val="23"/>
                <w:szCs w:val="23"/>
              </w:rPr>
              <w:t>relating to eating disorders which could be used for credentialing.</w:t>
            </w:r>
          </w:p>
        </w:tc>
      </w:tr>
      <w:tr w:rsidR="00AE5A70" w:rsidRPr="00AE5A70" w14:paraId="32F85692" w14:textId="77777777" w:rsidTr="2C5386C0">
        <w:tc>
          <w:tcPr>
            <w:tcW w:w="4264" w:type="dxa"/>
          </w:tcPr>
          <w:p w14:paraId="4BEC8990" w14:textId="77777777" w:rsidR="00DC53F4" w:rsidRPr="00AE5A70" w:rsidRDefault="00DC53F4">
            <w:pPr>
              <w:rPr>
                <w:rFonts w:eastAsiaTheme="minorBidi" w:cstheme="minorBidi"/>
                <w:sz w:val="23"/>
                <w:szCs w:val="23"/>
              </w:rPr>
            </w:pPr>
            <w:r w:rsidRPr="00AE5A70">
              <w:rPr>
                <w:rFonts w:eastAsiaTheme="minorBidi" w:cstheme="minorBidi"/>
                <w:sz w:val="23"/>
                <w:szCs w:val="23"/>
              </w:rPr>
              <w:t>Funding for family therapy</w:t>
            </w:r>
          </w:p>
        </w:tc>
        <w:tc>
          <w:tcPr>
            <w:tcW w:w="4264" w:type="dxa"/>
          </w:tcPr>
          <w:p w14:paraId="4C6636D3" w14:textId="77777777" w:rsidR="00AC29A9" w:rsidRPr="009341EF" w:rsidRDefault="00DC53F4" w:rsidP="001272C0">
            <w:pPr>
              <w:rPr>
                <w:rFonts w:eastAsiaTheme="minorBidi" w:cstheme="minorHAnsi"/>
                <w:sz w:val="23"/>
                <w:szCs w:val="23"/>
              </w:rPr>
            </w:pPr>
            <w:r w:rsidRPr="00AE5A70">
              <w:rPr>
                <w:rFonts w:eastAsiaTheme="minorBidi" w:cstheme="minorHAnsi"/>
                <w:b/>
                <w:sz w:val="23"/>
                <w:szCs w:val="23"/>
              </w:rPr>
              <w:sym w:font="Wingdings 2" w:char="F050"/>
            </w:r>
            <w:r w:rsidRPr="00AE5A70">
              <w:rPr>
                <w:rFonts w:eastAsiaTheme="minorBidi" w:cstheme="minorHAnsi"/>
                <w:b/>
                <w:sz w:val="23"/>
                <w:szCs w:val="23"/>
              </w:rPr>
              <w:t xml:space="preserve"> </w:t>
            </w:r>
            <w:r w:rsidR="00AC29A9">
              <w:rPr>
                <w:rFonts w:eastAsiaTheme="minorBidi" w:cstheme="minorHAnsi"/>
                <w:sz w:val="23"/>
                <w:szCs w:val="23"/>
              </w:rPr>
              <w:t>Recommended that Family Based Therapy is made an appropriate intervention to the provided under the existing items for focussed psychological strategies (FPS)</w:t>
            </w:r>
            <w:r w:rsidR="00541791">
              <w:rPr>
                <w:rFonts w:eastAsiaTheme="minorBidi" w:cstheme="minorHAnsi"/>
                <w:sz w:val="23"/>
                <w:szCs w:val="23"/>
              </w:rPr>
              <w:t xml:space="preserve"> and any services provided through the new MBS items recommended in this report</w:t>
            </w:r>
            <w:r w:rsidR="00AC29A9">
              <w:rPr>
                <w:rFonts w:eastAsiaTheme="minorBidi" w:cstheme="minorHAnsi"/>
                <w:sz w:val="23"/>
                <w:szCs w:val="23"/>
              </w:rPr>
              <w:t>.</w:t>
            </w:r>
          </w:p>
          <w:p w14:paraId="085215F8" w14:textId="77777777" w:rsidR="00AC29A9" w:rsidRDefault="00AC29A9" w:rsidP="001272C0">
            <w:pPr>
              <w:rPr>
                <w:rFonts w:eastAsiaTheme="minorBidi" w:cstheme="minorBidi"/>
                <w:sz w:val="23"/>
                <w:szCs w:val="23"/>
              </w:rPr>
            </w:pPr>
            <w:r w:rsidRPr="00AE5A70">
              <w:rPr>
                <w:rFonts w:eastAsiaTheme="minorBidi" w:cstheme="minorHAnsi"/>
                <w:b/>
                <w:sz w:val="23"/>
                <w:szCs w:val="23"/>
              </w:rPr>
              <w:sym w:font="Wingdings 2" w:char="F050"/>
            </w:r>
            <w:r w:rsidRPr="00AE5A70">
              <w:rPr>
                <w:rFonts w:eastAsiaTheme="minorBidi" w:cstheme="minorHAnsi"/>
                <w:b/>
                <w:sz w:val="23"/>
                <w:szCs w:val="23"/>
              </w:rPr>
              <w:t xml:space="preserve"> </w:t>
            </w:r>
            <w:r w:rsidR="000F5451" w:rsidRPr="00AE5A70">
              <w:rPr>
                <w:rFonts w:eastAsiaTheme="minorBidi" w:cstheme="minorBidi"/>
                <w:sz w:val="23"/>
                <w:szCs w:val="23"/>
              </w:rPr>
              <w:t>H</w:t>
            </w:r>
            <w:r w:rsidR="00DC53F4" w:rsidRPr="00AE5A70">
              <w:rPr>
                <w:rFonts w:eastAsiaTheme="minorBidi" w:cstheme="minorBidi"/>
                <w:sz w:val="23"/>
                <w:szCs w:val="23"/>
              </w:rPr>
              <w:t>ighlight that there is a need for increased interventions with families and carers of patients with eating disorders.</w:t>
            </w:r>
          </w:p>
          <w:p w14:paraId="5021925A" w14:textId="77777777" w:rsidR="00DC53F4" w:rsidRPr="00AE5A70" w:rsidRDefault="00AC29A9" w:rsidP="00895B75">
            <w:pPr>
              <w:rPr>
                <w:rFonts w:eastAsiaTheme="minorBidi" w:cstheme="minorHAnsi"/>
                <w:b/>
                <w:sz w:val="23"/>
                <w:szCs w:val="23"/>
              </w:rPr>
            </w:pPr>
            <w:r w:rsidRPr="00AE5A70">
              <w:rPr>
                <w:rFonts w:eastAsiaTheme="minorBidi" w:cstheme="minorHAnsi"/>
                <w:b/>
                <w:sz w:val="23"/>
                <w:szCs w:val="23"/>
              </w:rPr>
              <w:sym w:font="Wingdings 2" w:char="F050"/>
            </w:r>
            <w:r>
              <w:rPr>
                <w:rFonts w:eastAsiaTheme="minorBidi" w:cstheme="minorHAnsi"/>
                <w:b/>
                <w:sz w:val="23"/>
                <w:szCs w:val="23"/>
              </w:rPr>
              <w:t xml:space="preserve"> </w:t>
            </w:r>
            <w:r>
              <w:rPr>
                <w:rFonts w:eastAsiaTheme="minorBidi" w:cstheme="minorHAnsi"/>
                <w:sz w:val="23"/>
                <w:szCs w:val="23"/>
              </w:rPr>
              <w:t>Highlight that it would be beneficial for the MBS to fund providing services to family members and carers where the patient is not present.</w:t>
            </w:r>
            <w:r w:rsidR="00DC53F4" w:rsidRPr="00AE5A70">
              <w:rPr>
                <w:rFonts w:eastAsiaTheme="minorBidi" w:cstheme="minorHAnsi"/>
                <w:b/>
                <w:sz w:val="23"/>
                <w:szCs w:val="23"/>
              </w:rPr>
              <w:t xml:space="preserve"> </w:t>
            </w:r>
          </w:p>
        </w:tc>
      </w:tr>
    </w:tbl>
    <w:p w14:paraId="7C1DEAA3" w14:textId="77777777" w:rsidR="00FA5101" w:rsidRPr="00AE5A70" w:rsidRDefault="00FA5101" w:rsidP="00923837">
      <w:pPr>
        <w:spacing w:before="0" w:after="0" w:line="240" w:lineRule="auto"/>
        <w:rPr>
          <w:rFonts w:eastAsiaTheme="minorBidi" w:cstheme="minorBidi"/>
          <w:sz w:val="18"/>
          <w:szCs w:val="18"/>
        </w:rPr>
      </w:pPr>
      <w:r w:rsidRPr="00AE5A70">
        <w:rPr>
          <w:rFonts w:eastAsiaTheme="minorBidi" w:cstheme="minorBidi"/>
          <w:sz w:val="18"/>
          <w:szCs w:val="18"/>
        </w:rPr>
        <w:t>*</w:t>
      </w:r>
      <w:r w:rsidR="0078655B" w:rsidRPr="00AE5A70">
        <w:rPr>
          <w:rFonts w:eastAsiaTheme="minorBidi" w:cstheme="minorBidi"/>
          <w:sz w:val="18"/>
          <w:szCs w:val="18"/>
        </w:rPr>
        <w:t>Note that allied health</w:t>
      </w:r>
      <w:r w:rsidR="00E40606" w:rsidRPr="00AE5A70">
        <w:rPr>
          <w:rFonts w:eastAsiaTheme="minorBidi" w:cstheme="minorBidi"/>
          <w:sz w:val="18"/>
          <w:szCs w:val="18"/>
        </w:rPr>
        <w:t xml:space="preserve"> and mental health</w:t>
      </w:r>
      <w:r w:rsidR="0078655B" w:rsidRPr="00AE5A70">
        <w:rPr>
          <w:rFonts w:eastAsiaTheme="minorBidi" w:cstheme="minorBidi"/>
          <w:sz w:val="18"/>
          <w:szCs w:val="18"/>
        </w:rPr>
        <w:t xml:space="preserve"> professionals employed by state services would not be eligible to claim MBS items </w:t>
      </w:r>
      <w:r w:rsidR="0038150A" w:rsidRPr="00AE5A70">
        <w:rPr>
          <w:rFonts w:eastAsiaTheme="minorBidi" w:cstheme="minorBidi"/>
          <w:sz w:val="18"/>
          <w:szCs w:val="18"/>
        </w:rPr>
        <w:t>for involvement in case conferences when acting in their capacity as a state employee.</w:t>
      </w:r>
    </w:p>
    <w:p w14:paraId="22BF79FC" w14:textId="77777777" w:rsidR="003B1337" w:rsidRPr="00AE5A70" w:rsidRDefault="000A5D19">
      <w:pPr>
        <w:rPr>
          <w:rFonts w:eastAsiaTheme="minorBidi" w:cstheme="minorBidi"/>
          <w:sz w:val="23"/>
          <w:szCs w:val="23"/>
        </w:rPr>
      </w:pPr>
      <w:r w:rsidRPr="00AE5A70">
        <w:rPr>
          <w:rFonts w:eastAsiaTheme="minorBidi" w:cstheme="minorBidi"/>
          <w:sz w:val="23"/>
          <w:szCs w:val="23"/>
        </w:rPr>
        <w:t xml:space="preserve">The Working Group recognised the problem areas in the treatment of </w:t>
      </w:r>
      <w:r w:rsidR="00A32244" w:rsidRPr="00AE5A70">
        <w:rPr>
          <w:rFonts w:eastAsiaTheme="minorBidi" w:cstheme="minorBidi"/>
          <w:sz w:val="23"/>
          <w:szCs w:val="23"/>
        </w:rPr>
        <w:t xml:space="preserve">people with </w:t>
      </w:r>
      <w:r w:rsidRPr="00AE5A70">
        <w:rPr>
          <w:rFonts w:eastAsiaTheme="minorBidi" w:cstheme="minorBidi"/>
          <w:sz w:val="23"/>
          <w:szCs w:val="23"/>
        </w:rPr>
        <w:t>eating disorders that are outside the scope of the MBS Review, but nonetheless were viewed by members to be important and in need of being addressed. These include the:</w:t>
      </w:r>
    </w:p>
    <w:p w14:paraId="26B77B4F"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Stigma around having an eating disorder;</w:t>
      </w:r>
    </w:p>
    <w:p w14:paraId="68025978"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Lack of affordable private services;</w:t>
      </w:r>
    </w:p>
    <w:p w14:paraId="3D2F2D48"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 xml:space="preserve">Inadequate access to acute care and specialised intensive programs; </w:t>
      </w:r>
    </w:p>
    <w:p w14:paraId="55E8F115"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 xml:space="preserve">Inadequate support </w:t>
      </w:r>
      <w:r w:rsidR="00A32244" w:rsidRPr="00AE5A70">
        <w:rPr>
          <w:rFonts w:eastAsiaTheme="minorBidi" w:cstheme="minorBidi"/>
          <w:sz w:val="23"/>
          <w:szCs w:val="23"/>
        </w:rPr>
        <w:t xml:space="preserve">those patients who are </w:t>
      </w:r>
      <w:r w:rsidRPr="00AE5A70">
        <w:rPr>
          <w:rFonts w:eastAsiaTheme="minorBidi" w:cstheme="minorBidi"/>
          <w:sz w:val="23"/>
          <w:szCs w:val="23"/>
        </w:rPr>
        <w:t>for borderline-medically stable;</w:t>
      </w:r>
    </w:p>
    <w:p w14:paraId="647588DF"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Lack of services in rural and remote locations;</w:t>
      </w:r>
    </w:p>
    <w:p w14:paraId="0C10AF7A" w14:textId="77777777" w:rsidR="000A5D19" w:rsidRPr="00AE5A70" w:rsidRDefault="000A5D19" w:rsidP="00044469">
      <w:pPr>
        <w:pStyle w:val="ListParagraph"/>
        <w:numPr>
          <w:ilvl w:val="0"/>
          <w:numId w:val="21"/>
        </w:numPr>
        <w:rPr>
          <w:rFonts w:eastAsiaTheme="minorBidi" w:cstheme="minorBidi"/>
          <w:sz w:val="23"/>
          <w:szCs w:val="23"/>
        </w:rPr>
      </w:pPr>
      <w:r w:rsidRPr="00AE5A70">
        <w:rPr>
          <w:rFonts w:eastAsiaTheme="minorBidi" w:cstheme="minorBidi"/>
          <w:sz w:val="23"/>
          <w:szCs w:val="23"/>
        </w:rPr>
        <w:t>Lack of knowledge and skills in eating dis</w:t>
      </w:r>
      <w:r w:rsidR="00BA1603" w:rsidRPr="00AE5A70">
        <w:rPr>
          <w:rFonts w:eastAsiaTheme="minorBidi" w:cstheme="minorBidi"/>
          <w:sz w:val="23"/>
          <w:szCs w:val="23"/>
        </w:rPr>
        <w:t>o</w:t>
      </w:r>
      <w:r w:rsidRPr="00AE5A70">
        <w:rPr>
          <w:rFonts w:eastAsiaTheme="minorBidi" w:cstheme="minorBidi"/>
          <w:sz w:val="23"/>
          <w:szCs w:val="23"/>
        </w:rPr>
        <w:t>rders across the workforce;</w:t>
      </w:r>
      <w:r w:rsidR="00702C14" w:rsidRPr="00AE5A70">
        <w:rPr>
          <w:rFonts w:eastAsiaTheme="minorBidi" w:cstheme="minorBidi"/>
          <w:sz w:val="23"/>
          <w:szCs w:val="23"/>
        </w:rPr>
        <w:t xml:space="preserve"> and</w:t>
      </w:r>
    </w:p>
    <w:p w14:paraId="77289456" w14:textId="77777777" w:rsidR="000A5D19" w:rsidRDefault="000A5D19">
      <w:pPr>
        <w:pStyle w:val="ListParagraph"/>
        <w:numPr>
          <w:ilvl w:val="0"/>
          <w:numId w:val="21"/>
        </w:numPr>
        <w:rPr>
          <w:rFonts w:eastAsiaTheme="minorBidi" w:cstheme="minorBidi"/>
          <w:sz w:val="23"/>
          <w:szCs w:val="23"/>
        </w:rPr>
      </w:pPr>
      <w:r w:rsidRPr="00AE5A70">
        <w:rPr>
          <w:rFonts w:eastAsiaTheme="minorBidi" w:cstheme="minorBidi"/>
          <w:sz w:val="23"/>
          <w:szCs w:val="23"/>
        </w:rPr>
        <w:t xml:space="preserve">Lack of </w:t>
      </w:r>
      <w:r w:rsidR="00A32244" w:rsidRPr="00AE5A70">
        <w:rPr>
          <w:rFonts w:eastAsiaTheme="minorBidi" w:cstheme="minorBidi"/>
          <w:sz w:val="23"/>
          <w:szCs w:val="23"/>
        </w:rPr>
        <w:t xml:space="preserve">specialist </w:t>
      </w:r>
      <w:r w:rsidRPr="00AE5A70">
        <w:rPr>
          <w:rFonts w:eastAsiaTheme="minorBidi" w:cstheme="minorBidi"/>
          <w:sz w:val="23"/>
          <w:szCs w:val="23"/>
        </w:rPr>
        <w:t>support</w:t>
      </w:r>
      <w:r w:rsidR="00DC53F4" w:rsidRPr="00AE5A70">
        <w:rPr>
          <w:rFonts w:eastAsiaTheme="minorBidi" w:cstheme="minorBidi"/>
          <w:sz w:val="23"/>
          <w:szCs w:val="23"/>
        </w:rPr>
        <w:t xml:space="preserve"> and intervention</w:t>
      </w:r>
      <w:r w:rsidRPr="00AE5A70">
        <w:rPr>
          <w:rFonts w:eastAsiaTheme="minorBidi" w:cstheme="minorBidi"/>
          <w:sz w:val="23"/>
          <w:szCs w:val="23"/>
        </w:rPr>
        <w:t xml:space="preserve"> services for families and carers.</w:t>
      </w:r>
    </w:p>
    <w:p w14:paraId="6ACFB035" w14:textId="77777777" w:rsidR="001A26D6" w:rsidRDefault="001A26D6" w:rsidP="001A26D6">
      <w:pPr>
        <w:pStyle w:val="ListParagraph"/>
        <w:rPr>
          <w:rFonts w:eastAsiaTheme="minorBidi" w:cstheme="minorBidi"/>
          <w:sz w:val="23"/>
          <w:szCs w:val="23"/>
        </w:rPr>
        <w:sectPr w:rsidR="001A26D6" w:rsidSect="008E11F7">
          <w:footerReference w:type="default" r:id="rId13"/>
          <w:pgSz w:w="11906" w:h="16838" w:code="9"/>
          <w:pgMar w:top="1440" w:right="1797" w:bottom="1440" w:left="1797" w:header="720" w:footer="720" w:gutter="0"/>
          <w:cols w:space="720"/>
          <w:docGrid w:linePitch="326"/>
        </w:sectPr>
      </w:pPr>
    </w:p>
    <w:p w14:paraId="3CA7E2F5" w14:textId="77777777" w:rsidR="000D0E4E" w:rsidRPr="00AE5A70" w:rsidRDefault="0091265C" w:rsidP="00923837">
      <w:pPr>
        <w:pStyle w:val="Heading2"/>
        <w:numPr>
          <w:ilvl w:val="1"/>
          <w:numId w:val="69"/>
        </w:numPr>
        <w:spacing w:before="120" w:after="120"/>
        <w:rPr>
          <w:sz w:val="24"/>
          <w:szCs w:val="24"/>
        </w:rPr>
      </w:pPr>
      <w:bookmarkStart w:id="45" w:name="_Toc530408292"/>
      <w:bookmarkStart w:id="46" w:name="_Toc530408489"/>
      <w:bookmarkStart w:id="47" w:name="_Toc530408713"/>
      <w:bookmarkStart w:id="48" w:name="_Toc522745267"/>
      <w:bookmarkStart w:id="49" w:name="_Toc531941927"/>
      <w:bookmarkEnd w:id="45"/>
      <w:bookmarkEnd w:id="46"/>
      <w:bookmarkEnd w:id="47"/>
      <w:bookmarkEnd w:id="48"/>
      <w:r w:rsidRPr="00AE5A70">
        <w:rPr>
          <w:sz w:val="24"/>
          <w:szCs w:val="24"/>
        </w:rPr>
        <w:t xml:space="preserve">Finding </w:t>
      </w:r>
      <w:r w:rsidR="000D0E4E" w:rsidRPr="00AE5A70">
        <w:rPr>
          <w:sz w:val="24"/>
          <w:szCs w:val="24"/>
        </w:rPr>
        <w:t xml:space="preserve">1: </w:t>
      </w:r>
      <w:r w:rsidRPr="00AE5A70">
        <w:rPr>
          <w:sz w:val="24"/>
          <w:szCs w:val="24"/>
        </w:rPr>
        <w:t xml:space="preserve">Current Medicare-funded services </w:t>
      </w:r>
      <w:r w:rsidR="00C36406" w:rsidRPr="00AE5A70">
        <w:rPr>
          <w:sz w:val="24"/>
          <w:szCs w:val="24"/>
        </w:rPr>
        <w:t xml:space="preserve">and the MBS infrastructure do </w:t>
      </w:r>
      <w:r w:rsidR="00D07067" w:rsidRPr="00AE5A70">
        <w:rPr>
          <w:sz w:val="24"/>
          <w:szCs w:val="24"/>
        </w:rPr>
        <w:t xml:space="preserve">not </w:t>
      </w:r>
      <w:r w:rsidR="00B62BD5" w:rsidRPr="00AE5A70">
        <w:rPr>
          <w:sz w:val="24"/>
          <w:szCs w:val="24"/>
        </w:rPr>
        <w:t>support</w:t>
      </w:r>
      <w:r w:rsidR="00FD5789" w:rsidRPr="00AE5A70">
        <w:rPr>
          <w:sz w:val="24"/>
          <w:szCs w:val="24"/>
        </w:rPr>
        <w:t xml:space="preserve"> </w:t>
      </w:r>
      <w:r w:rsidR="00A71390" w:rsidRPr="00AE5A70">
        <w:rPr>
          <w:sz w:val="24"/>
          <w:szCs w:val="24"/>
        </w:rPr>
        <w:t xml:space="preserve">the </w:t>
      </w:r>
      <w:r w:rsidR="00FD5789" w:rsidRPr="00AE5A70">
        <w:rPr>
          <w:sz w:val="24"/>
          <w:szCs w:val="24"/>
        </w:rPr>
        <w:t xml:space="preserve">clinical </w:t>
      </w:r>
      <w:r w:rsidR="00EF2A37" w:rsidRPr="00AE5A70">
        <w:rPr>
          <w:sz w:val="24"/>
          <w:szCs w:val="24"/>
        </w:rPr>
        <w:t>guidelines of best practice care</w:t>
      </w:r>
      <w:r w:rsidR="00A71390" w:rsidRPr="00AE5A70">
        <w:rPr>
          <w:sz w:val="24"/>
          <w:szCs w:val="24"/>
        </w:rPr>
        <w:t>,</w:t>
      </w:r>
      <w:r w:rsidR="00EF2A37" w:rsidRPr="00AE5A70">
        <w:rPr>
          <w:sz w:val="24"/>
          <w:szCs w:val="24"/>
        </w:rPr>
        <w:t xml:space="preserve"> as </w:t>
      </w:r>
      <w:r w:rsidR="00E82E13" w:rsidRPr="00AE5A70">
        <w:rPr>
          <w:sz w:val="24"/>
          <w:szCs w:val="24"/>
        </w:rPr>
        <w:t>delivered by an experienced practitioner</w:t>
      </w:r>
      <w:bookmarkEnd w:id="49"/>
      <w:r w:rsidR="1459A02C" w:rsidRPr="00AE5A70">
        <w:rPr>
          <w:sz w:val="24"/>
          <w:szCs w:val="24"/>
        </w:rPr>
        <w:t xml:space="preserve"> </w:t>
      </w:r>
    </w:p>
    <w:p w14:paraId="0FBA94AB" w14:textId="77777777" w:rsidR="000D0E4E" w:rsidRPr="00AE5A70" w:rsidRDefault="000D0E4E" w:rsidP="00044469">
      <w:pPr>
        <w:pStyle w:val="Heading3Numbered"/>
        <w:numPr>
          <w:ilvl w:val="2"/>
          <w:numId w:val="5"/>
        </w:numPr>
        <w:rPr>
          <w:sz w:val="23"/>
          <w:szCs w:val="23"/>
        </w:rPr>
      </w:pPr>
      <w:bookmarkStart w:id="50" w:name="_Toc531941928"/>
      <w:r w:rsidRPr="00AE5A70">
        <w:rPr>
          <w:sz w:val="23"/>
          <w:szCs w:val="23"/>
        </w:rPr>
        <w:t>Background</w:t>
      </w:r>
      <w:bookmarkEnd w:id="50"/>
    </w:p>
    <w:p w14:paraId="03E6186D" w14:textId="77777777" w:rsidR="000D0E4E" w:rsidRPr="00AE5A70" w:rsidRDefault="000D0E4E" w:rsidP="000D0E4E">
      <w:pPr>
        <w:rPr>
          <w:sz w:val="23"/>
          <w:szCs w:val="23"/>
        </w:rPr>
      </w:pPr>
      <w:r w:rsidRPr="00AE5A70">
        <w:rPr>
          <w:sz w:val="23"/>
          <w:szCs w:val="23"/>
        </w:rPr>
        <w:t>Current paths to treatment</w:t>
      </w:r>
      <w:r w:rsidR="007A6971">
        <w:rPr>
          <w:sz w:val="23"/>
          <w:szCs w:val="23"/>
        </w:rPr>
        <w:t xml:space="preserve"> under the MBS</w:t>
      </w:r>
      <w:r w:rsidRPr="00AE5A70">
        <w:rPr>
          <w:sz w:val="23"/>
          <w:szCs w:val="23"/>
        </w:rPr>
        <w:t xml:space="preserve"> are reliant upon a</w:t>
      </w:r>
      <w:r w:rsidR="00072EF3" w:rsidRPr="00AE5A70">
        <w:rPr>
          <w:sz w:val="23"/>
          <w:szCs w:val="23"/>
        </w:rPr>
        <w:t xml:space="preserve"> </w:t>
      </w:r>
      <w:r w:rsidRPr="00AE5A70">
        <w:rPr>
          <w:sz w:val="23"/>
          <w:szCs w:val="23"/>
        </w:rPr>
        <w:t>GP</w:t>
      </w:r>
      <w:r w:rsidR="004F62D2" w:rsidRPr="00AE5A70">
        <w:rPr>
          <w:sz w:val="23"/>
          <w:szCs w:val="23"/>
        </w:rPr>
        <w:t>’</w:t>
      </w:r>
      <w:r w:rsidR="00072EF3" w:rsidRPr="00AE5A70">
        <w:rPr>
          <w:sz w:val="23"/>
          <w:szCs w:val="23"/>
        </w:rPr>
        <w:t xml:space="preserve">s </w:t>
      </w:r>
      <w:r w:rsidRPr="00AE5A70">
        <w:rPr>
          <w:sz w:val="23"/>
          <w:szCs w:val="23"/>
        </w:rPr>
        <w:t xml:space="preserve">assessment and identification of the eating disorder. </w:t>
      </w:r>
      <w:r w:rsidR="009400B8">
        <w:rPr>
          <w:sz w:val="23"/>
          <w:szCs w:val="23"/>
        </w:rPr>
        <w:t>I</w:t>
      </w:r>
      <w:r w:rsidRPr="00AE5A70">
        <w:rPr>
          <w:sz w:val="23"/>
          <w:szCs w:val="23"/>
        </w:rPr>
        <w:t xml:space="preserve">dentification by the </w:t>
      </w:r>
      <w:r w:rsidR="00072EF3" w:rsidRPr="00AE5A70">
        <w:rPr>
          <w:sz w:val="23"/>
          <w:szCs w:val="23"/>
        </w:rPr>
        <w:t>GP</w:t>
      </w:r>
      <w:r w:rsidRPr="00AE5A70">
        <w:rPr>
          <w:sz w:val="23"/>
          <w:szCs w:val="23"/>
        </w:rPr>
        <w:t xml:space="preserve"> enables the patient to access </w:t>
      </w:r>
      <w:r w:rsidR="4D2BACCA" w:rsidRPr="00AE5A70">
        <w:rPr>
          <w:sz w:val="23"/>
          <w:szCs w:val="23"/>
        </w:rPr>
        <w:t xml:space="preserve">treatment </w:t>
      </w:r>
      <w:r w:rsidR="004F62D2" w:rsidRPr="00AE5A70">
        <w:rPr>
          <w:sz w:val="23"/>
          <w:szCs w:val="23"/>
        </w:rPr>
        <w:t>(</w:t>
      </w:r>
      <w:r w:rsidR="4D2BACCA" w:rsidRPr="00AE5A70">
        <w:rPr>
          <w:sz w:val="23"/>
          <w:szCs w:val="23"/>
        </w:rPr>
        <w:t>depending on their health requirements</w:t>
      </w:r>
      <w:r w:rsidR="004F62D2" w:rsidRPr="00AE5A70">
        <w:rPr>
          <w:sz w:val="23"/>
          <w:szCs w:val="23"/>
        </w:rPr>
        <w:t>)</w:t>
      </w:r>
      <w:r w:rsidRPr="00AE5A70">
        <w:rPr>
          <w:sz w:val="23"/>
          <w:szCs w:val="23"/>
        </w:rPr>
        <w:t xml:space="preserve"> through the Better Access </w:t>
      </w:r>
      <w:r w:rsidR="00616658" w:rsidRPr="00AE5A70">
        <w:rPr>
          <w:sz w:val="23"/>
          <w:szCs w:val="23"/>
        </w:rPr>
        <w:t xml:space="preserve">Initiative </w:t>
      </w:r>
      <w:r w:rsidRPr="00AE5A70">
        <w:rPr>
          <w:sz w:val="23"/>
          <w:szCs w:val="23"/>
        </w:rPr>
        <w:t xml:space="preserve">or </w:t>
      </w:r>
      <w:r w:rsidR="00C265DE" w:rsidRPr="00AE5A70">
        <w:rPr>
          <w:sz w:val="23"/>
          <w:szCs w:val="23"/>
        </w:rPr>
        <w:t>CDM</w:t>
      </w:r>
      <w:r w:rsidRPr="00AE5A70">
        <w:rPr>
          <w:sz w:val="23"/>
          <w:szCs w:val="23"/>
        </w:rPr>
        <w:t xml:space="preserve"> MBS Items</w:t>
      </w:r>
      <w:r w:rsidR="325CD07D" w:rsidRPr="00AE5A70">
        <w:rPr>
          <w:sz w:val="23"/>
          <w:szCs w:val="23"/>
        </w:rPr>
        <w:t xml:space="preserve"> </w:t>
      </w:r>
      <w:r w:rsidR="5D8BD014" w:rsidRPr="00AE5A70">
        <w:rPr>
          <w:sz w:val="23"/>
          <w:szCs w:val="23"/>
        </w:rPr>
        <w:t>and psychiatry consultations</w:t>
      </w:r>
      <w:r w:rsidRPr="00AE5A70">
        <w:rPr>
          <w:sz w:val="23"/>
          <w:szCs w:val="23"/>
        </w:rPr>
        <w:t>. Current treatments options may include:</w:t>
      </w:r>
    </w:p>
    <w:p w14:paraId="2D43B8D5" w14:textId="77777777" w:rsidR="000D0E4E" w:rsidRPr="00AE5A70" w:rsidRDefault="000D0E4E" w:rsidP="000D0E4E">
      <w:pPr>
        <w:pStyle w:val="Squarebullet"/>
        <w:ind w:left="1364"/>
        <w:rPr>
          <w:sz w:val="23"/>
          <w:szCs w:val="23"/>
        </w:rPr>
      </w:pPr>
      <w:r w:rsidRPr="00AE5A70">
        <w:rPr>
          <w:sz w:val="23"/>
          <w:szCs w:val="23"/>
        </w:rPr>
        <w:t xml:space="preserve">A GP </w:t>
      </w:r>
      <w:r w:rsidR="00DB2ED6" w:rsidRPr="00AE5A70">
        <w:rPr>
          <w:sz w:val="23"/>
          <w:szCs w:val="23"/>
        </w:rPr>
        <w:t>chronic disease management</w:t>
      </w:r>
      <w:r w:rsidR="005F43FB" w:rsidRPr="00AE5A70">
        <w:rPr>
          <w:sz w:val="23"/>
          <w:szCs w:val="23"/>
        </w:rPr>
        <w:t xml:space="preserve"> (CDM)</w:t>
      </w:r>
      <w:r w:rsidRPr="00AE5A70">
        <w:rPr>
          <w:sz w:val="23"/>
          <w:szCs w:val="23"/>
        </w:rPr>
        <w:t xml:space="preserve"> and team care plan</w:t>
      </w:r>
      <w:r w:rsidR="00A75FDA" w:rsidRPr="00AE5A70">
        <w:rPr>
          <w:sz w:val="23"/>
          <w:szCs w:val="23"/>
        </w:rPr>
        <w:t xml:space="preserve"> which allow</w:t>
      </w:r>
      <w:r w:rsidR="00C265DE" w:rsidRPr="00AE5A70">
        <w:rPr>
          <w:sz w:val="23"/>
          <w:szCs w:val="23"/>
        </w:rPr>
        <w:t>s</w:t>
      </w:r>
      <w:r w:rsidR="00A75FDA" w:rsidRPr="00AE5A70">
        <w:rPr>
          <w:sz w:val="23"/>
          <w:szCs w:val="23"/>
        </w:rPr>
        <w:t xml:space="preserve"> for:</w:t>
      </w:r>
    </w:p>
    <w:p w14:paraId="1A1695CD" w14:textId="77777777" w:rsidR="00A75FDA" w:rsidRPr="00AE5A70" w:rsidRDefault="00A75FDA" w:rsidP="00044469">
      <w:pPr>
        <w:pStyle w:val="Squarebullet"/>
        <w:numPr>
          <w:ilvl w:val="1"/>
          <w:numId w:val="24"/>
        </w:numPr>
        <w:rPr>
          <w:sz w:val="23"/>
          <w:szCs w:val="23"/>
        </w:rPr>
      </w:pPr>
      <w:r w:rsidRPr="00AE5A70">
        <w:rPr>
          <w:sz w:val="23"/>
          <w:szCs w:val="23"/>
        </w:rPr>
        <w:t xml:space="preserve">Medicare rebates for up to five allied health </w:t>
      </w:r>
      <w:r w:rsidR="00ED010E" w:rsidRPr="00AE5A70">
        <w:rPr>
          <w:sz w:val="23"/>
          <w:szCs w:val="23"/>
        </w:rPr>
        <w:t xml:space="preserve">services under the </w:t>
      </w:r>
      <w:r w:rsidR="001F3477" w:rsidRPr="00AE5A70">
        <w:rPr>
          <w:sz w:val="23"/>
          <w:szCs w:val="23"/>
        </w:rPr>
        <w:t>CDM</w:t>
      </w:r>
      <w:r w:rsidR="00BC3D68" w:rsidRPr="00AE5A70">
        <w:rPr>
          <w:sz w:val="23"/>
          <w:szCs w:val="23"/>
        </w:rPr>
        <w:t xml:space="preserve"> Plan arrangements;</w:t>
      </w:r>
    </w:p>
    <w:p w14:paraId="6F7DABD1" w14:textId="77777777" w:rsidR="008D2CD2" w:rsidRPr="00AE5A70" w:rsidRDefault="008D2CD2" w:rsidP="00044469">
      <w:pPr>
        <w:pStyle w:val="Squarebullet"/>
        <w:numPr>
          <w:ilvl w:val="0"/>
          <w:numId w:val="24"/>
        </w:numPr>
        <w:rPr>
          <w:sz w:val="23"/>
          <w:szCs w:val="23"/>
        </w:rPr>
      </w:pPr>
      <w:r w:rsidRPr="00AE5A70">
        <w:rPr>
          <w:sz w:val="23"/>
          <w:szCs w:val="23"/>
        </w:rPr>
        <w:t>A GP mental health plan which allow</w:t>
      </w:r>
      <w:r w:rsidR="00407518" w:rsidRPr="00AE5A70">
        <w:rPr>
          <w:sz w:val="23"/>
          <w:szCs w:val="23"/>
        </w:rPr>
        <w:t>s</w:t>
      </w:r>
      <w:r w:rsidRPr="00AE5A70">
        <w:rPr>
          <w:sz w:val="23"/>
          <w:szCs w:val="23"/>
        </w:rPr>
        <w:t xml:space="preserve"> for:</w:t>
      </w:r>
    </w:p>
    <w:p w14:paraId="433562AB" w14:textId="77777777" w:rsidR="008D2CD2" w:rsidRPr="00AE5A70" w:rsidRDefault="00407518" w:rsidP="00044469">
      <w:pPr>
        <w:pStyle w:val="Squarebullet"/>
        <w:numPr>
          <w:ilvl w:val="1"/>
          <w:numId w:val="24"/>
        </w:numPr>
        <w:rPr>
          <w:sz w:val="23"/>
          <w:szCs w:val="23"/>
        </w:rPr>
      </w:pPr>
      <w:r w:rsidRPr="00AE5A70">
        <w:rPr>
          <w:sz w:val="23"/>
          <w:szCs w:val="23"/>
        </w:rPr>
        <w:t xml:space="preserve">Medicare rebates for up to ten mental health services </w:t>
      </w:r>
      <w:r w:rsidR="00826C2E" w:rsidRPr="00AE5A70">
        <w:rPr>
          <w:sz w:val="23"/>
          <w:szCs w:val="23"/>
        </w:rPr>
        <w:t>per year by:</w:t>
      </w:r>
    </w:p>
    <w:p w14:paraId="721709C4" w14:textId="77777777" w:rsidR="00826C2E" w:rsidRPr="00AE5A70" w:rsidRDefault="00826C2E" w:rsidP="00044469">
      <w:pPr>
        <w:pStyle w:val="Squarebullet"/>
        <w:numPr>
          <w:ilvl w:val="2"/>
          <w:numId w:val="24"/>
        </w:numPr>
        <w:rPr>
          <w:sz w:val="23"/>
          <w:szCs w:val="23"/>
        </w:rPr>
      </w:pPr>
      <w:r w:rsidRPr="00AE5A70">
        <w:rPr>
          <w:sz w:val="23"/>
          <w:szCs w:val="23"/>
        </w:rPr>
        <w:t>Clinical psychologists providing psychological therapies</w:t>
      </w:r>
      <w:r w:rsidR="00E00166" w:rsidRPr="00AE5A70">
        <w:rPr>
          <w:sz w:val="23"/>
          <w:szCs w:val="23"/>
        </w:rPr>
        <w:t>; or</w:t>
      </w:r>
    </w:p>
    <w:p w14:paraId="78DEA7A0" w14:textId="77777777" w:rsidR="00E00166" w:rsidRPr="00AE5A70" w:rsidRDefault="00FD1E77" w:rsidP="00044469">
      <w:pPr>
        <w:pStyle w:val="Squarebullet"/>
        <w:numPr>
          <w:ilvl w:val="2"/>
          <w:numId w:val="24"/>
        </w:numPr>
        <w:rPr>
          <w:sz w:val="23"/>
          <w:szCs w:val="23"/>
        </w:rPr>
      </w:pPr>
      <w:r w:rsidRPr="00AE5A70">
        <w:rPr>
          <w:sz w:val="23"/>
          <w:szCs w:val="23"/>
        </w:rPr>
        <w:t>Appropriately trained GPs or allied mental health professionals</w:t>
      </w:r>
      <w:r w:rsidRPr="00AE5A70">
        <w:rPr>
          <w:rStyle w:val="FootnoteReference"/>
          <w:rFonts w:ascii="SimSun" w:eastAsia="SimSun" w:hAnsi="SimSun"/>
          <w:sz w:val="23"/>
          <w:szCs w:val="23"/>
        </w:rPr>
        <w:footnoteReference w:id="10"/>
      </w:r>
      <w:r w:rsidRPr="00AE5A70">
        <w:rPr>
          <w:sz w:val="23"/>
          <w:szCs w:val="23"/>
        </w:rPr>
        <w:t xml:space="preserve"> </w:t>
      </w:r>
      <w:r w:rsidR="00E00166" w:rsidRPr="00AE5A70">
        <w:rPr>
          <w:sz w:val="23"/>
          <w:szCs w:val="23"/>
        </w:rPr>
        <w:t xml:space="preserve">providing focused psychological strategy sessions; and </w:t>
      </w:r>
    </w:p>
    <w:p w14:paraId="10D1960C" w14:textId="77777777" w:rsidR="00E00166" w:rsidRPr="00AE5A70" w:rsidRDefault="00C265DE" w:rsidP="00044469">
      <w:pPr>
        <w:pStyle w:val="Squarebullet"/>
        <w:numPr>
          <w:ilvl w:val="1"/>
          <w:numId w:val="24"/>
        </w:numPr>
        <w:rPr>
          <w:sz w:val="23"/>
          <w:szCs w:val="23"/>
        </w:rPr>
      </w:pPr>
      <w:r w:rsidRPr="00AE5A70">
        <w:rPr>
          <w:sz w:val="23"/>
          <w:szCs w:val="23"/>
        </w:rPr>
        <w:t>M</w:t>
      </w:r>
      <w:r w:rsidR="000F6E58" w:rsidRPr="00AE5A70">
        <w:rPr>
          <w:sz w:val="23"/>
          <w:szCs w:val="23"/>
        </w:rPr>
        <w:t>edicare rebates for up to ten group therapy sessions.</w:t>
      </w:r>
    </w:p>
    <w:p w14:paraId="5375F3A5" w14:textId="77777777" w:rsidR="2C5726A5" w:rsidRPr="00AE5A70" w:rsidRDefault="2C5726A5" w:rsidP="472037FE">
      <w:pPr>
        <w:pStyle w:val="Squarebullet"/>
        <w:ind w:left="1364"/>
        <w:rPr>
          <w:sz w:val="23"/>
          <w:szCs w:val="23"/>
        </w:rPr>
      </w:pPr>
      <w:r w:rsidRPr="00AE5A70">
        <w:rPr>
          <w:sz w:val="23"/>
          <w:szCs w:val="23"/>
        </w:rPr>
        <w:t>Trea</w:t>
      </w:r>
      <w:r w:rsidR="4FFF1880" w:rsidRPr="00AE5A70">
        <w:rPr>
          <w:sz w:val="23"/>
          <w:szCs w:val="23"/>
        </w:rPr>
        <w:t xml:space="preserve">tment and management by a </w:t>
      </w:r>
      <w:r w:rsidR="00C475F7" w:rsidRPr="00AE5A70">
        <w:rPr>
          <w:sz w:val="23"/>
          <w:szCs w:val="23"/>
        </w:rPr>
        <w:t>p</w:t>
      </w:r>
      <w:r w:rsidR="00C475F7">
        <w:rPr>
          <w:sz w:val="23"/>
          <w:szCs w:val="23"/>
        </w:rPr>
        <w:t>a</w:t>
      </w:r>
      <w:r w:rsidR="00C475F7" w:rsidRPr="00AE5A70">
        <w:rPr>
          <w:sz w:val="23"/>
          <w:szCs w:val="23"/>
        </w:rPr>
        <w:t>ediatrician</w:t>
      </w:r>
      <w:r w:rsidR="4FFF1880" w:rsidRPr="00AE5A70">
        <w:rPr>
          <w:sz w:val="23"/>
          <w:szCs w:val="23"/>
        </w:rPr>
        <w:t xml:space="preserve"> or psychiatrist;</w:t>
      </w:r>
    </w:p>
    <w:p w14:paraId="6F10DE00" w14:textId="77777777" w:rsidR="000D0E4E" w:rsidRPr="00AE5A70" w:rsidRDefault="000D0E4E" w:rsidP="000D0E4E">
      <w:pPr>
        <w:pStyle w:val="Squarebullet"/>
        <w:ind w:left="1364"/>
        <w:rPr>
          <w:sz w:val="23"/>
          <w:szCs w:val="23"/>
        </w:rPr>
      </w:pPr>
      <w:r w:rsidRPr="00AE5A70">
        <w:rPr>
          <w:sz w:val="23"/>
          <w:szCs w:val="23"/>
        </w:rPr>
        <w:t>Ongoing medical monitoring by a GP; and</w:t>
      </w:r>
    </w:p>
    <w:p w14:paraId="752196C4" w14:textId="77777777" w:rsidR="000D0E4E" w:rsidRDefault="000D0E4E" w:rsidP="0A3A2D0A">
      <w:pPr>
        <w:pStyle w:val="Squarebullet"/>
        <w:ind w:left="1364"/>
        <w:rPr>
          <w:sz w:val="23"/>
          <w:szCs w:val="23"/>
        </w:rPr>
      </w:pPr>
      <w:r w:rsidRPr="00AE5A70">
        <w:rPr>
          <w:sz w:val="23"/>
          <w:szCs w:val="23"/>
        </w:rPr>
        <w:t>Multi-disciplinary team care review and reassessment</w:t>
      </w:r>
      <w:r w:rsidR="004C3AA6" w:rsidRPr="00AE5A70">
        <w:rPr>
          <w:sz w:val="23"/>
          <w:szCs w:val="23"/>
        </w:rPr>
        <w:t xml:space="preserve"> through MBS case conferencing arrangements</w:t>
      </w:r>
      <w:r w:rsidRPr="00AE5A70">
        <w:rPr>
          <w:sz w:val="23"/>
          <w:szCs w:val="23"/>
        </w:rPr>
        <w:t>.</w:t>
      </w:r>
      <w:r w:rsidRPr="00AE5A70">
        <w:rPr>
          <w:rStyle w:val="FootnoteReference"/>
          <w:rFonts w:asciiTheme="majorEastAsia" w:eastAsiaTheme="majorEastAsia" w:hAnsiTheme="majorEastAsia" w:cstheme="majorEastAsia"/>
          <w:sz w:val="23"/>
          <w:szCs w:val="23"/>
        </w:rPr>
        <w:footnoteReference w:id="11"/>
      </w:r>
    </w:p>
    <w:p w14:paraId="24A1C548" w14:textId="77777777" w:rsidR="00430637" w:rsidRPr="00AE5A70" w:rsidRDefault="009E5D6F" w:rsidP="00044469">
      <w:pPr>
        <w:pStyle w:val="Heading3Numbered"/>
        <w:numPr>
          <w:ilvl w:val="2"/>
          <w:numId w:val="5"/>
        </w:numPr>
        <w:rPr>
          <w:rFonts w:eastAsiaTheme="minorBidi" w:cstheme="minorBidi"/>
          <w:sz w:val="23"/>
          <w:szCs w:val="23"/>
        </w:rPr>
      </w:pPr>
      <w:bookmarkStart w:id="51" w:name="_Toc530408295"/>
      <w:bookmarkStart w:id="52" w:name="_Toc530408492"/>
      <w:bookmarkStart w:id="53" w:name="_Toc530408716"/>
      <w:bookmarkStart w:id="54" w:name="_Toc531941929"/>
      <w:bookmarkEnd w:id="51"/>
      <w:bookmarkEnd w:id="52"/>
      <w:bookmarkEnd w:id="53"/>
      <w:r w:rsidRPr="00AE5A70">
        <w:rPr>
          <w:sz w:val="23"/>
          <w:szCs w:val="23"/>
        </w:rPr>
        <w:t>Supporting</w:t>
      </w:r>
      <w:r w:rsidRPr="00AE5A70">
        <w:rPr>
          <w:rFonts w:eastAsiaTheme="minorBidi" w:cstheme="minorBidi"/>
          <w:sz w:val="23"/>
          <w:szCs w:val="23"/>
        </w:rPr>
        <w:t xml:space="preserve"> </w:t>
      </w:r>
      <w:r w:rsidR="000B186B" w:rsidRPr="00AE5A70">
        <w:rPr>
          <w:rFonts w:eastAsiaTheme="minorBidi" w:cstheme="minorBidi"/>
          <w:sz w:val="23"/>
          <w:szCs w:val="23"/>
        </w:rPr>
        <w:t>g</w:t>
      </w:r>
      <w:r w:rsidRPr="00AE5A70">
        <w:rPr>
          <w:rFonts w:eastAsiaTheme="minorBidi" w:cstheme="minorBidi"/>
          <w:sz w:val="23"/>
          <w:szCs w:val="23"/>
        </w:rPr>
        <w:t xml:space="preserve">eneral </w:t>
      </w:r>
      <w:r w:rsidR="000B186B" w:rsidRPr="00AE5A70">
        <w:rPr>
          <w:rFonts w:eastAsiaTheme="minorBidi" w:cstheme="minorBidi"/>
          <w:sz w:val="23"/>
          <w:szCs w:val="23"/>
        </w:rPr>
        <w:t>p</w:t>
      </w:r>
      <w:r w:rsidRPr="00AE5A70">
        <w:rPr>
          <w:rFonts w:eastAsiaTheme="minorBidi" w:cstheme="minorBidi"/>
          <w:sz w:val="23"/>
          <w:szCs w:val="23"/>
        </w:rPr>
        <w:t>ractitioners as the main primary healthcare</w:t>
      </w:r>
      <w:r w:rsidR="0062020E" w:rsidRPr="00AE5A70">
        <w:rPr>
          <w:rFonts w:eastAsiaTheme="minorBidi" w:cstheme="minorBidi"/>
          <w:sz w:val="23"/>
          <w:szCs w:val="23"/>
        </w:rPr>
        <w:t xml:space="preserve"> provider</w:t>
      </w:r>
      <w:bookmarkEnd w:id="54"/>
    </w:p>
    <w:p w14:paraId="6D1A1A2B" w14:textId="77777777" w:rsidR="00430637" w:rsidRPr="00AE5A70" w:rsidRDefault="3D45B646" w:rsidP="0A3A2D0A">
      <w:pPr>
        <w:rPr>
          <w:sz w:val="23"/>
          <w:szCs w:val="23"/>
        </w:rPr>
      </w:pPr>
      <w:r w:rsidRPr="00AE5A70">
        <w:rPr>
          <w:sz w:val="23"/>
          <w:szCs w:val="23"/>
        </w:rPr>
        <w:t>The Working Group reaffirmed that G</w:t>
      </w:r>
      <w:r w:rsidR="00430637" w:rsidRPr="00AE5A70">
        <w:rPr>
          <w:sz w:val="23"/>
          <w:szCs w:val="23"/>
        </w:rPr>
        <w:t xml:space="preserve">Ps </w:t>
      </w:r>
      <w:r w:rsidR="00DC07B4" w:rsidRPr="00AE5A70">
        <w:rPr>
          <w:sz w:val="23"/>
          <w:szCs w:val="23"/>
        </w:rPr>
        <w:t xml:space="preserve">should continue to be </w:t>
      </w:r>
      <w:r w:rsidR="00430637" w:rsidRPr="00AE5A70">
        <w:rPr>
          <w:sz w:val="23"/>
          <w:szCs w:val="23"/>
        </w:rPr>
        <w:t>the initiators of treatment and remain a focal point throughout the patient’s journey to recovery. The most common first point of contact for diagnosis and treatment are GPs.</w:t>
      </w:r>
      <w:r w:rsidR="00430637" w:rsidRPr="00AE5A70">
        <w:rPr>
          <w:rStyle w:val="FootnoteReference"/>
          <w:rFonts w:asciiTheme="majorEastAsia" w:eastAsiaTheme="majorEastAsia" w:hAnsiTheme="majorEastAsia" w:cstheme="majorEastAsia"/>
          <w:sz w:val="23"/>
          <w:szCs w:val="23"/>
        </w:rPr>
        <w:footnoteReference w:id="12"/>
      </w:r>
      <w:r w:rsidR="00430637" w:rsidRPr="00AE5A70">
        <w:rPr>
          <w:sz w:val="23"/>
          <w:szCs w:val="23"/>
        </w:rPr>
        <w:t xml:space="preserve"> A comprehensive assessment of the individual and their circumstances should be taken to baseline the diagnosis, along with any comorbid psychiatric or medical diagnosis, to accurately evaluate medical and psychiatric risks. </w:t>
      </w:r>
    </w:p>
    <w:p w14:paraId="1D6ADA9C" w14:textId="77777777" w:rsidR="00430637" w:rsidRPr="00AE5A70" w:rsidRDefault="00F74C19" w:rsidP="00605D43">
      <w:pPr>
        <w:rPr>
          <w:sz w:val="23"/>
          <w:szCs w:val="23"/>
        </w:rPr>
      </w:pPr>
      <w:r w:rsidRPr="00AE5A70">
        <w:rPr>
          <w:sz w:val="23"/>
          <w:szCs w:val="23"/>
        </w:rPr>
        <w:t>As</w:t>
      </w:r>
      <w:r w:rsidR="00430637" w:rsidRPr="00AE5A70">
        <w:rPr>
          <w:sz w:val="23"/>
          <w:szCs w:val="23"/>
        </w:rPr>
        <w:t xml:space="preserve"> the main primary health carer</w:t>
      </w:r>
      <w:r w:rsidRPr="00AE5A70">
        <w:rPr>
          <w:sz w:val="23"/>
          <w:szCs w:val="23"/>
        </w:rPr>
        <w:t xml:space="preserve"> and the initiating health assessor</w:t>
      </w:r>
      <w:r w:rsidR="004F62D2" w:rsidRPr="00AE5A70">
        <w:rPr>
          <w:sz w:val="23"/>
          <w:szCs w:val="23"/>
        </w:rPr>
        <w:t>,</w:t>
      </w:r>
      <w:r w:rsidRPr="00AE5A70">
        <w:rPr>
          <w:rStyle w:val="FootnoteReference"/>
          <w:rFonts w:ascii="SimSun" w:eastAsia="SimSun" w:hAnsi="SimSun"/>
          <w:sz w:val="23"/>
          <w:szCs w:val="23"/>
        </w:rPr>
        <w:footnoteReference w:id="13"/>
      </w:r>
      <w:r w:rsidR="00430637" w:rsidRPr="00AE5A70">
        <w:rPr>
          <w:sz w:val="23"/>
          <w:szCs w:val="23"/>
        </w:rPr>
        <w:t xml:space="preserve"> </w:t>
      </w:r>
      <w:r w:rsidRPr="00AE5A70">
        <w:rPr>
          <w:sz w:val="23"/>
          <w:szCs w:val="23"/>
        </w:rPr>
        <w:t xml:space="preserve">GPs should </w:t>
      </w:r>
      <w:r w:rsidR="00430637" w:rsidRPr="00AE5A70">
        <w:rPr>
          <w:sz w:val="23"/>
          <w:szCs w:val="23"/>
        </w:rPr>
        <w:t>incorporat</w:t>
      </w:r>
      <w:r w:rsidRPr="00AE5A70">
        <w:rPr>
          <w:sz w:val="23"/>
          <w:szCs w:val="23"/>
        </w:rPr>
        <w:t>e</w:t>
      </w:r>
      <w:r w:rsidR="00430637" w:rsidRPr="00AE5A70">
        <w:rPr>
          <w:sz w:val="23"/>
          <w:szCs w:val="23"/>
        </w:rPr>
        <w:t xml:space="preserve"> best practice medical assessments to frequently monitor any changes in </w:t>
      </w:r>
      <w:r w:rsidR="004F62D2" w:rsidRPr="00AE5A70">
        <w:rPr>
          <w:sz w:val="23"/>
          <w:szCs w:val="23"/>
        </w:rPr>
        <w:t xml:space="preserve">the </w:t>
      </w:r>
      <w:r w:rsidR="00430637" w:rsidRPr="00AE5A70">
        <w:rPr>
          <w:sz w:val="23"/>
          <w:szCs w:val="23"/>
        </w:rPr>
        <w:t xml:space="preserve">overall physical health of the patient during the </w:t>
      </w:r>
      <w:r w:rsidR="000003B3">
        <w:rPr>
          <w:sz w:val="23"/>
          <w:szCs w:val="23"/>
        </w:rPr>
        <w:t xml:space="preserve">treatment and </w:t>
      </w:r>
      <w:r w:rsidR="00430637" w:rsidRPr="00AE5A70">
        <w:rPr>
          <w:sz w:val="23"/>
          <w:szCs w:val="23"/>
        </w:rPr>
        <w:t>recovery process. This includes, when assessing whether a patient’s nutritional health has been adequately restored (</w:t>
      </w:r>
      <w:r w:rsidR="006A130D">
        <w:rPr>
          <w:sz w:val="23"/>
          <w:szCs w:val="23"/>
        </w:rPr>
        <w:t>including monitoring of weight</w:t>
      </w:r>
      <w:r w:rsidR="00430637" w:rsidRPr="00AE5A70">
        <w:rPr>
          <w:sz w:val="23"/>
          <w:szCs w:val="23"/>
        </w:rPr>
        <w:t xml:space="preserve">), monitoring other indicators of normal physiological functioning including; blood glucose levels, </w:t>
      </w:r>
      <w:r w:rsidR="00A32244" w:rsidRPr="00AE5A70">
        <w:rPr>
          <w:sz w:val="23"/>
          <w:szCs w:val="23"/>
        </w:rPr>
        <w:t xml:space="preserve">absence of </w:t>
      </w:r>
      <w:r w:rsidR="00430637" w:rsidRPr="00AE5A70">
        <w:rPr>
          <w:sz w:val="23"/>
          <w:szCs w:val="23"/>
        </w:rPr>
        <w:t>hyp</w:t>
      </w:r>
      <w:r w:rsidR="0037081F" w:rsidRPr="00AE5A70">
        <w:rPr>
          <w:sz w:val="23"/>
          <w:szCs w:val="23"/>
        </w:rPr>
        <w:t>o</w:t>
      </w:r>
      <w:r w:rsidR="00430637" w:rsidRPr="00AE5A70">
        <w:rPr>
          <w:sz w:val="23"/>
          <w:szCs w:val="23"/>
        </w:rPr>
        <w:t>tension and bradycardia, normal blood cell counts,</w:t>
      </w:r>
      <w:r w:rsidR="000003B3">
        <w:rPr>
          <w:sz w:val="23"/>
          <w:szCs w:val="23"/>
        </w:rPr>
        <w:t xml:space="preserve"> whether</w:t>
      </w:r>
      <w:r w:rsidR="00430637" w:rsidRPr="00AE5A70">
        <w:rPr>
          <w:sz w:val="23"/>
          <w:szCs w:val="23"/>
        </w:rPr>
        <w:t xml:space="preserve"> bone marrow suppression</w:t>
      </w:r>
      <w:r w:rsidR="000003B3">
        <w:rPr>
          <w:sz w:val="23"/>
          <w:szCs w:val="23"/>
        </w:rPr>
        <w:t xml:space="preserve"> has been</w:t>
      </w:r>
      <w:r w:rsidR="00430637" w:rsidRPr="00AE5A70">
        <w:rPr>
          <w:sz w:val="23"/>
          <w:szCs w:val="23"/>
        </w:rPr>
        <w:t xml:space="preserve"> reversed, return of menstruation and normal cognitive functioning. This should be done through regular physical examination, serum biochemistry, including a full blood examination, electrocardiogram, as well as routine bone mineral density scans if</w:t>
      </w:r>
      <w:r w:rsidR="001860E5" w:rsidRPr="00AE5A70">
        <w:rPr>
          <w:sz w:val="23"/>
          <w:szCs w:val="23"/>
        </w:rPr>
        <w:t xml:space="preserve"> under-weight for longer than six</w:t>
      </w:r>
      <w:r w:rsidR="00430637" w:rsidRPr="00AE5A70">
        <w:rPr>
          <w:sz w:val="23"/>
          <w:szCs w:val="23"/>
        </w:rPr>
        <w:t xml:space="preserve"> months</w:t>
      </w:r>
      <w:r w:rsidR="00A32244" w:rsidRPr="00AE5A70">
        <w:rPr>
          <w:sz w:val="23"/>
          <w:szCs w:val="23"/>
        </w:rPr>
        <w:t>, and mental status assessment</w:t>
      </w:r>
      <w:r w:rsidR="00430637" w:rsidRPr="00AE5A70">
        <w:rPr>
          <w:sz w:val="23"/>
          <w:szCs w:val="23"/>
        </w:rPr>
        <w:t>.</w:t>
      </w:r>
      <w:r w:rsidR="00430637" w:rsidRPr="00AE5A70">
        <w:rPr>
          <w:rStyle w:val="FootnoteReference"/>
          <w:rFonts w:asciiTheme="majorEastAsia" w:eastAsiaTheme="majorEastAsia" w:hAnsiTheme="majorEastAsia" w:cstheme="majorEastAsia"/>
          <w:sz w:val="23"/>
          <w:szCs w:val="23"/>
        </w:rPr>
        <w:footnoteReference w:id="14"/>
      </w:r>
      <w:r w:rsidRPr="00AE5A70">
        <w:rPr>
          <w:sz w:val="23"/>
          <w:szCs w:val="23"/>
        </w:rPr>
        <w:t xml:space="preserve"> </w:t>
      </w:r>
      <w:r w:rsidR="006A130D">
        <w:rPr>
          <w:sz w:val="23"/>
          <w:szCs w:val="23"/>
        </w:rPr>
        <w:t>It is crucial that the GP remain involved the treatment of patients with eating disorders throughout the treatment process.</w:t>
      </w:r>
      <w:r w:rsidR="0059092D">
        <w:rPr>
          <w:sz w:val="23"/>
          <w:szCs w:val="23"/>
        </w:rPr>
        <w:t xml:space="preserve"> The Working Group were of the strong view that GPs should be involved at every step of treatment, to provide </w:t>
      </w:r>
      <w:r w:rsidR="009B2806">
        <w:rPr>
          <w:sz w:val="23"/>
          <w:szCs w:val="23"/>
        </w:rPr>
        <w:t>ongoing and frequent</w:t>
      </w:r>
      <w:r w:rsidR="0059092D">
        <w:rPr>
          <w:sz w:val="23"/>
          <w:szCs w:val="23"/>
        </w:rPr>
        <w:t xml:space="preserve"> </w:t>
      </w:r>
      <w:r w:rsidR="009B2806">
        <w:rPr>
          <w:sz w:val="23"/>
          <w:szCs w:val="23"/>
        </w:rPr>
        <w:t>monitoring of the patients progress and medical condition.</w:t>
      </w:r>
    </w:p>
    <w:p w14:paraId="2751573C" w14:textId="77777777" w:rsidR="00F60C08" w:rsidRPr="00AE5A70" w:rsidRDefault="00885D08" w:rsidP="00044469">
      <w:pPr>
        <w:pStyle w:val="Heading3Numbered"/>
        <w:numPr>
          <w:ilvl w:val="2"/>
          <w:numId w:val="5"/>
        </w:numPr>
        <w:rPr>
          <w:sz w:val="23"/>
          <w:szCs w:val="23"/>
        </w:rPr>
      </w:pPr>
      <w:bookmarkStart w:id="55" w:name="_Toc531941930"/>
      <w:r w:rsidRPr="00AE5A70">
        <w:rPr>
          <w:sz w:val="23"/>
          <w:szCs w:val="23"/>
        </w:rPr>
        <w:t>A</w:t>
      </w:r>
      <w:r w:rsidR="00F60C08" w:rsidRPr="00AE5A70">
        <w:rPr>
          <w:sz w:val="23"/>
          <w:szCs w:val="23"/>
        </w:rPr>
        <w:t>ccess to the evidence-</w:t>
      </w:r>
      <w:r w:rsidR="00FC7B23">
        <w:rPr>
          <w:sz w:val="23"/>
          <w:szCs w:val="23"/>
        </w:rPr>
        <w:t>care</w:t>
      </w:r>
      <w:r w:rsidR="00F60C08" w:rsidRPr="00AE5A70">
        <w:rPr>
          <w:sz w:val="23"/>
          <w:szCs w:val="23"/>
        </w:rPr>
        <w:t xml:space="preserve"> for </w:t>
      </w:r>
      <w:r w:rsidR="00A32244" w:rsidRPr="00AE5A70">
        <w:rPr>
          <w:sz w:val="23"/>
          <w:szCs w:val="23"/>
        </w:rPr>
        <w:t xml:space="preserve">people </w:t>
      </w:r>
      <w:r w:rsidR="00C71491">
        <w:rPr>
          <w:sz w:val="23"/>
          <w:szCs w:val="23"/>
        </w:rPr>
        <w:t>with eating disorders through the MBS</w:t>
      </w:r>
      <w:bookmarkEnd w:id="55"/>
    </w:p>
    <w:p w14:paraId="768C53FD" w14:textId="77777777" w:rsidR="006A130D" w:rsidRDefault="00EB3343" w:rsidP="0A3A2D0A">
      <w:pPr>
        <w:rPr>
          <w:sz w:val="23"/>
          <w:szCs w:val="23"/>
        </w:rPr>
      </w:pPr>
      <w:r w:rsidRPr="00AE5A70">
        <w:rPr>
          <w:sz w:val="23"/>
          <w:szCs w:val="23"/>
        </w:rPr>
        <w:t>The Working Group note</w:t>
      </w:r>
      <w:r w:rsidR="16623182" w:rsidRPr="00AE5A70">
        <w:rPr>
          <w:sz w:val="23"/>
          <w:szCs w:val="23"/>
        </w:rPr>
        <w:t>s</w:t>
      </w:r>
      <w:r w:rsidRPr="00AE5A70">
        <w:rPr>
          <w:sz w:val="23"/>
          <w:szCs w:val="23"/>
        </w:rPr>
        <w:t xml:space="preserve"> that the </w:t>
      </w:r>
      <w:r w:rsidRPr="00AE5A70">
        <w:rPr>
          <w:i/>
          <w:sz w:val="23"/>
          <w:szCs w:val="23"/>
        </w:rPr>
        <w:t xml:space="preserve">Better Access </w:t>
      </w:r>
      <w:r w:rsidR="00122E92" w:rsidRPr="00AE5A70">
        <w:rPr>
          <w:i/>
          <w:sz w:val="23"/>
          <w:szCs w:val="23"/>
        </w:rPr>
        <w:t>Initiative</w:t>
      </w:r>
      <w:r w:rsidR="00122E92" w:rsidRPr="00AE5A70">
        <w:rPr>
          <w:sz w:val="23"/>
          <w:szCs w:val="23"/>
        </w:rPr>
        <w:t xml:space="preserve"> </w:t>
      </w:r>
      <w:r w:rsidRPr="00AE5A70">
        <w:rPr>
          <w:sz w:val="23"/>
          <w:szCs w:val="23"/>
        </w:rPr>
        <w:t>provides adequate coverage for</w:t>
      </w:r>
      <w:r w:rsidR="00A32244" w:rsidRPr="00AE5A70">
        <w:rPr>
          <w:sz w:val="23"/>
          <w:szCs w:val="23"/>
        </w:rPr>
        <w:t xml:space="preserve"> people who experience</w:t>
      </w:r>
      <w:r w:rsidRPr="00AE5A70">
        <w:rPr>
          <w:sz w:val="23"/>
          <w:szCs w:val="23"/>
        </w:rPr>
        <w:t xml:space="preserve"> </w:t>
      </w:r>
      <w:r w:rsidR="00AB244C">
        <w:rPr>
          <w:sz w:val="23"/>
          <w:szCs w:val="23"/>
        </w:rPr>
        <w:t>subclinical presentations of disordered eating.</w:t>
      </w:r>
      <w:r w:rsidR="00160024" w:rsidRPr="00AE5A70">
        <w:rPr>
          <w:sz w:val="23"/>
          <w:szCs w:val="23"/>
        </w:rPr>
        <w:t xml:space="preserve"> </w:t>
      </w:r>
      <w:r w:rsidR="40BF5F65" w:rsidRPr="00AE5A70">
        <w:rPr>
          <w:sz w:val="23"/>
          <w:szCs w:val="23"/>
        </w:rPr>
        <w:t>The W</w:t>
      </w:r>
      <w:r w:rsidR="2C9CFB0B" w:rsidRPr="00AE5A70">
        <w:rPr>
          <w:sz w:val="23"/>
          <w:szCs w:val="23"/>
        </w:rPr>
        <w:t>orking Group also noted that</w:t>
      </w:r>
      <w:r w:rsidR="40BF5F65" w:rsidRPr="00AE5A70">
        <w:rPr>
          <w:sz w:val="23"/>
          <w:szCs w:val="23"/>
        </w:rPr>
        <w:t xml:space="preserve"> </w:t>
      </w:r>
      <w:r w:rsidR="2C9CFB0B" w:rsidRPr="00AE5A70">
        <w:rPr>
          <w:sz w:val="23"/>
          <w:szCs w:val="23"/>
        </w:rPr>
        <w:t xml:space="preserve">GPs are </w:t>
      </w:r>
      <w:r w:rsidR="2C491EFC" w:rsidRPr="00AE5A70">
        <w:rPr>
          <w:sz w:val="23"/>
          <w:szCs w:val="23"/>
        </w:rPr>
        <w:t>often effective</w:t>
      </w:r>
      <w:r w:rsidR="4A36E649" w:rsidRPr="00AE5A70">
        <w:rPr>
          <w:sz w:val="23"/>
          <w:szCs w:val="23"/>
        </w:rPr>
        <w:t xml:space="preserve"> </w:t>
      </w:r>
      <w:r w:rsidR="5CD88297" w:rsidRPr="00AE5A70">
        <w:rPr>
          <w:sz w:val="23"/>
          <w:szCs w:val="23"/>
        </w:rPr>
        <w:t xml:space="preserve">treatment </w:t>
      </w:r>
      <w:r w:rsidR="4A36E649" w:rsidRPr="00AE5A70">
        <w:rPr>
          <w:sz w:val="23"/>
          <w:szCs w:val="23"/>
        </w:rPr>
        <w:t>providers</w:t>
      </w:r>
      <w:r w:rsidR="00C71491">
        <w:rPr>
          <w:sz w:val="23"/>
          <w:szCs w:val="23"/>
        </w:rPr>
        <w:t xml:space="preserve"> for these patients.  The </w:t>
      </w:r>
      <w:r w:rsidR="00FC7B23">
        <w:rPr>
          <w:sz w:val="23"/>
          <w:szCs w:val="23"/>
        </w:rPr>
        <w:t>service</w:t>
      </w:r>
      <w:r w:rsidR="00C71491">
        <w:rPr>
          <w:sz w:val="23"/>
          <w:szCs w:val="23"/>
        </w:rPr>
        <w:t xml:space="preserve"> provision available through the </w:t>
      </w:r>
      <w:r w:rsidR="00C71491" w:rsidRPr="009341EF">
        <w:rPr>
          <w:i/>
          <w:sz w:val="23"/>
          <w:szCs w:val="23"/>
        </w:rPr>
        <w:t>Better Access Initiative</w:t>
      </w:r>
      <w:r w:rsidR="00C71491">
        <w:rPr>
          <w:sz w:val="23"/>
          <w:szCs w:val="23"/>
        </w:rPr>
        <w:t xml:space="preserve"> is beneficial for those patients for whom self-guided help with the support of a</w:t>
      </w:r>
      <w:r w:rsidR="000003B3">
        <w:rPr>
          <w:sz w:val="23"/>
          <w:szCs w:val="23"/>
        </w:rPr>
        <w:t xml:space="preserve"> practitioner</w:t>
      </w:r>
      <w:r w:rsidR="00D86FDF" w:rsidRPr="00D86FDF">
        <w:rPr>
          <w:sz w:val="23"/>
          <w:szCs w:val="23"/>
        </w:rPr>
        <w:t xml:space="preserve"> </w:t>
      </w:r>
      <w:r w:rsidR="00D86FDF">
        <w:rPr>
          <w:sz w:val="23"/>
          <w:szCs w:val="23"/>
        </w:rPr>
        <w:t>is appropriate</w:t>
      </w:r>
      <w:r w:rsidR="4A36E649" w:rsidRPr="00AE5A70">
        <w:rPr>
          <w:sz w:val="23"/>
          <w:szCs w:val="23"/>
        </w:rPr>
        <w:t xml:space="preserve">. </w:t>
      </w:r>
      <w:r w:rsidR="006A130D">
        <w:rPr>
          <w:sz w:val="23"/>
          <w:szCs w:val="23"/>
        </w:rPr>
        <w:t>However, the Working Group</w:t>
      </w:r>
      <w:r w:rsidR="00FC7B23">
        <w:rPr>
          <w:sz w:val="23"/>
          <w:szCs w:val="23"/>
        </w:rPr>
        <w:t xml:space="preserve"> concluded that there is considerable scope for changes to be made to the MBS arrangements to support the delivery of evidence based care to all patients with</w:t>
      </w:r>
      <w:r w:rsidR="005A5F0B">
        <w:rPr>
          <w:sz w:val="23"/>
          <w:szCs w:val="23"/>
        </w:rPr>
        <w:t xml:space="preserve"> a diagnosed eating disorder</w:t>
      </w:r>
      <w:r w:rsidR="00FC7B23">
        <w:rPr>
          <w:sz w:val="23"/>
          <w:szCs w:val="23"/>
        </w:rPr>
        <w:t xml:space="preserve"> – to provide the right treatment to the pati</w:t>
      </w:r>
      <w:r w:rsidR="005A5F0B">
        <w:rPr>
          <w:sz w:val="23"/>
          <w:szCs w:val="23"/>
        </w:rPr>
        <w:t>ent</w:t>
      </w:r>
      <w:r w:rsidR="000003B3">
        <w:rPr>
          <w:sz w:val="23"/>
          <w:szCs w:val="23"/>
        </w:rPr>
        <w:t>,</w:t>
      </w:r>
      <w:r w:rsidR="005A5F0B">
        <w:rPr>
          <w:sz w:val="23"/>
          <w:szCs w:val="23"/>
        </w:rPr>
        <w:t xml:space="preserve"> at the earliest opportunity </w:t>
      </w:r>
      <w:r w:rsidR="00FC7B23">
        <w:rPr>
          <w:sz w:val="23"/>
          <w:szCs w:val="23"/>
        </w:rPr>
        <w:t xml:space="preserve">in the development of the illness and </w:t>
      </w:r>
      <w:r w:rsidR="005A5F0B">
        <w:rPr>
          <w:sz w:val="23"/>
          <w:szCs w:val="23"/>
        </w:rPr>
        <w:t>for treatment to respond</w:t>
      </w:r>
      <w:r w:rsidR="00FC7B23">
        <w:rPr>
          <w:sz w:val="23"/>
          <w:szCs w:val="23"/>
        </w:rPr>
        <w:t xml:space="preserve"> to changes in the patients’ needs over time.  </w:t>
      </w:r>
    </w:p>
    <w:p w14:paraId="007EFDC9" w14:textId="77777777" w:rsidR="00F45F05" w:rsidRPr="00192A31" w:rsidRDefault="00192A31" w:rsidP="0A3A2D0A">
      <w:pPr>
        <w:rPr>
          <w:sz w:val="23"/>
          <w:szCs w:val="23"/>
        </w:rPr>
      </w:pPr>
      <w:r w:rsidRPr="009341EF">
        <w:rPr>
          <w:sz w:val="23"/>
          <w:szCs w:val="23"/>
        </w:rPr>
        <w:t xml:space="preserve">Access to evidence-based care under the MBS would deliver significant benefits, both in terms of patient outcomes, hospitalisations and downstream benefits for the health system. </w:t>
      </w:r>
      <w:r w:rsidR="000D0E4E" w:rsidRPr="00192A31">
        <w:rPr>
          <w:sz w:val="23"/>
          <w:szCs w:val="23"/>
        </w:rPr>
        <w:t xml:space="preserve">If patients suffering from </w:t>
      </w:r>
      <w:r w:rsidR="00F45F05" w:rsidRPr="00192A31">
        <w:rPr>
          <w:sz w:val="23"/>
          <w:szCs w:val="23"/>
        </w:rPr>
        <w:t>eating disorders</w:t>
      </w:r>
      <w:r w:rsidR="000D0E4E" w:rsidRPr="00192A31">
        <w:rPr>
          <w:sz w:val="23"/>
          <w:szCs w:val="23"/>
        </w:rPr>
        <w:t xml:space="preserve"> </w:t>
      </w:r>
      <w:r w:rsidR="069942AB" w:rsidRPr="00192A31" w:rsidDel="00B51188">
        <w:rPr>
          <w:sz w:val="23"/>
          <w:szCs w:val="23"/>
        </w:rPr>
        <w:t>can</w:t>
      </w:r>
      <w:r w:rsidR="000D0E4E" w:rsidRPr="00192A31">
        <w:rPr>
          <w:sz w:val="23"/>
          <w:szCs w:val="23"/>
        </w:rPr>
        <w:t xml:space="preserve"> access services </w:t>
      </w:r>
      <w:r w:rsidR="009400B8">
        <w:rPr>
          <w:sz w:val="23"/>
          <w:szCs w:val="23"/>
        </w:rPr>
        <w:t>in the initial stages of the</w:t>
      </w:r>
      <w:r w:rsidR="000D0E4E" w:rsidRPr="00192A31">
        <w:rPr>
          <w:sz w:val="23"/>
          <w:szCs w:val="23"/>
        </w:rPr>
        <w:t xml:space="preserve"> lifecycle of their </w:t>
      </w:r>
      <w:r w:rsidR="055C710F" w:rsidRPr="00192A31">
        <w:rPr>
          <w:sz w:val="23"/>
          <w:szCs w:val="23"/>
        </w:rPr>
        <w:t>illness</w:t>
      </w:r>
      <w:r w:rsidR="000D0E4E" w:rsidRPr="00192A31">
        <w:rPr>
          <w:sz w:val="23"/>
          <w:szCs w:val="23"/>
        </w:rPr>
        <w:t>, the potential for recovery increases considerably.</w:t>
      </w:r>
      <w:r w:rsidR="000D0E4E" w:rsidRPr="00192A31">
        <w:rPr>
          <w:rStyle w:val="FootnoteReference"/>
          <w:rFonts w:asciiTheme="majorEastAsia" w:eastAsiaTheme="majorEastAsia" w:hAnsiTheme="majorEastAsia" w:cstheme="majorEastAsia"/>
          <w:sz w:val="23"/>
          <w:szCs w:val="23"/>
        </w:rPr>
        <w:footnoteReference w:id="15"/>
      </w:r>
      <w:r w:rsidR="000D0E4E" w:rsidRPr="00192A31">
        <w:rPr>
          <w:sz w:val="23"/>
          <w:szCs w:val="23"/>
        </w:rPr>
        <w:t xml:space="preserve"> </w:t>
      </w:r>
      <w:r w:rsidR="00D54E01" w:rsidRPr="00192A31">
        <w:rPr>
          <w:sz w:val="23"/>
          <w:szCs w:val="23"/>
        </w:rPr>
        <w:t>Whilst t</w:t>
      </w:r>
      <w:r w:rsidR="000D0E4E" w:rsidRPr="00192A31">
        <w:rPr>
          <w:sz w:val="23"/>
          <w:szCs w:val="23"/>
        </w:rPr>
        <w:t>here is still a reasonable chance that the patient will relapse (relapse rate of 41</w:t>
      </w:r>
      <w:r w:rsidR="001A7991" w:rsidRPr="00192A31">
        <w:rPr>
          <w:sz w:val="23"/>
          <w:szCs w:val="23"/>
        </w:rPr>
        <w:t xml:space="preserve"> per cent</w:t>
      </w:r>
      <w:r w:rsidR="00C14A03" w:rsidRPr="00192A31">
        <w:rPr>
          <w:sz w:val="23"/>
          <w:szCs w:val="23"/>
        </w:rPr>
        <w:t xml:space="preserve"> within the first month, the highest risk period being </w:t>
      </w:r>
      <w:r w:rsidR="000D0E4E" w:rsidRPr="00192A31">
        <w:rPr>
          <w:sz w:val="23"/>
          <w:szCs w:val="23"/>
        </w:rPr>
        <w:t xml:space="preserve">at </w:t>
      </w:r>
      <w:r w:rsidR="001860E5" w:rsidRPr="00192A31">
        <w:rPr>
          <w:sz w:val="23"/>
          <w:szCs w:val="23"/>
        </w:rPr>
        <w:t>four to nine</w:t>
      </w:r>
      <w:r w:rsidR="000D0E4E" w:rsidRPr="00192A31">
        <w:rPr>
          <w:sz w:val="23"/>
          <w:szCs w:val="23"/>
        </w:rPr>
        <w:t xml:space="preserve"> </w:t>
      </w:r>
      <w:r w:rsidR="0040761A" w:rsidRPr="00192A31">
        <w:rPr>
          <w:sz w:val="23"/>
          <w:szCs w:val="23"/>
        </w:rPr>
        <w:t xml:space="preserve">months </w:t>
      </w:r>
      <w:r w:rsidR="000D0E4E" w:rsidRPr="00192A31">
        <w:rPr>
          <w:sz w:val="23"/>
          <w:szCs w:val="23"/>
        </w:rPr>
        <w:t>after treatment</w:t>
      </w:r>
      <w:r w:rsidR="004F62D2" w:rsidRPr="00192A31">
        <w:rPr>
          <w:sz w:val="23"/>
          <w:szCs w:val="23"/>
        </w:rPr>
        <w:t>),</w:t>
      </w:r>
      <w:r w:rsidR="00F45F05" w:rsidRPr="00192A31">
        <w:rPr>
          <w:rStyle w:val="FootnoteReference"/>
          <w:rFonts w:ascii="SimSun" w:eastAsia="SimSun" w:hAnsi="SimSun"/>
          <w:sz w:val="23"/>
          <w:szCs w:val="23"/>
        </w:rPr>
        <w:footnoteReference w:id="16"/>
      </w:r>
      <w:r w:rsidR="000D0E4E" w:rsidRPr="00192A31">
        <w:rPr>
          <w:sz w:val="23"/>
          <w:szCs w:val="23"/>
        </w:rPr>
        <w:t xml:space="preserve"> </w:t>
      </w:r>
      <w:r w:rsidR="009400B8">
        <w:rPr>
          <w:sz w:val="23"/>
          <w:szCs w:val="23"/>
        </w:rPr>
        <w:t>timely</w:t>
      </w:r>
      <w:r w:rsidR="000D0E4E" w:rsidRPr="00192A31">
        <w:rPr>
          <w:sz w:val="23"/>
          <w:szCs w:val="23"/>
        </w:rPr>
        <w:t xml:space="preserve"> intervention reduces the likelihood of repeat hospitalisation and increases the possibility for the remission of symptoms.</w:t>
      </w:r>
      <w:r w:rsidR="000D0E4E" w:rsidRPr="00192A31">
        <w:rPr>
          <w:rStyle w:val="FootnoteReference"/>
          <w:rFonts w:ascii="SimSun" w:eastAsia="SimSun" w:hAnsi="SimSun" w:cstheme="minorHAnsi"/>
          <w:sz w:val="23"/>
          <w:szCs w:val="23"/>
        </w:rPr>
        <w:footnoteReference w:id="17"/>
      </w:r>
      <w:r w:rsidR="000D0E4E" w:rsidRPr="00192A31">
        <w:rPr>
          <w:sz w:val="23"/>
          <w:szCs w:val="23"/>
        </w:rPr>
        <w:t xml:space="preserve"> </w:t>
      </w:r>
    </w:p>
    <w:p w14:paraId="22DAB8A6" w14:textId="77777777" w:rsidR="00EB278F" w:rsidRPr="00192A31" w:rsidRDefault="00DC53F4" w:rsidP="00EB278F">
      <w:pPr>
        <w:rPr>
          <w:sz w:val="23"/>
          <w:szCs w:val="23"/>
        </w:rPr>
      </w:pPr>
      <w:r w:rsidRPr="00192A31">
        <w:rPr>
          <w:sz w:val="23"/>
          <w:szCs w:val="23"/>
        </w:rPr>
        <w:t>H</w:t>
      </w:r>
      <w:r w:rsidR="00EB278F" w:rsidRPr="00192A31">
        <w:rPr>
          <w:sz w:val="23"/>
          <w:szCs w:val="23"/>
        </w:rPr>
        <w:t xml:space="preserve">ospitalisation is more likely to occur if </w:t>
      </w:r>
      <w:r w:rsidR="00192A31" w:rsidRPr="009341EF">
        <w:rPr>
          <w:sz w:val="23"/>
          <w:szCs w:val="23"/>
        </w:rPr>
        <w:t>access to evidence-based care</w:t>
      </w:r>
      <w:r w:rsidR="00192A31" w:rsidRPr="00192A31">
        <w:rPr>
          <w:sz w:val="23"/>
          <w:szCs w:val="23"/>
        </w:rPr>
        <w:t xml:space="preserve"> </w:t>
      </w:r>
      <w:r w:rsidR="00EB278F" w:rsidRPr="00192A31">
        <w:rPr>
          <w:sz w:val="23"/>
          <w:szCs w:val="23"/>
        </w:rPr>
        <w:t xml:space="preserve">is delayed and </w:t>
      </w:r>
      <w:r w:rsidR="00A32244" w:rsidRPr="00192A31">
        <w:rPr>
          <w:sz w:val="23"/>
          <w:szCs w:val="23"/>
        </w:rPr>
        <w:t xml:space="preserve">as a result, </w:t>
      </w:r>
      <w:r w:rsidR="00EB278F" w:rsidRPr="00192A31">
        <w:rPr>
          <w:sz w:val="23"/>
          <w:szCs w:val="23"/>
        </w:rPr>
        <w:t xml:space="preserve">the patient </w:t>
      </w:r>
      <w:r w:rsidR="00192A31" w:rsidRPr="009341EF">
        <w:rPr>
          <w:sz w:val="23"/>
          <w:szCs w:val="23"/>
        </w:rPr>
        <w:t xml:space="preserve">then </w:t>
      </w:r>
      <w:r w:rsidR="00EB278F" w:rsidRPr="00192A31">
        <w:rPr>
          <w:sz w:val="23"/>
          <w:szCs w:val="23"/>
        </w:rPr>
        <w:t xml:space="preserve">presents with complex or high-risk symptoms. </w:t>
      </w:r>
      <w:r w:rsidR="00A32244" w:rsidRPr="00192A31">
        <w:rPr>
          <w:sz w:val="23"/>
          <w:szCs w:val="23"/>
        </w:rPr>
        <w:t>P</w:t>
      </w:r>
      <w:r w:rsidR="00EB278F" w:rsidRPr="00192A31">
        <w:rPr>
          <w:sz w:val="23"/>
          <w:szCs w:val="23"/>
        </w:rPr>
        <w:t xml:space="preserve">atients </w:t>
      </w:r>
      <w:r w:rsidR="0040761A" w:rsidRPr="00192A31">
        <w:rPr>
          <w:sz w:val="23"/>
          <w:szCs w:val="23"/>
        </w:rPr>
        <w:t xml:space="preserve">that present with complex or </w:t>
      </w:r>
      <w:r w:rsidR="00E340E6" w:rsidRPr="00192A31">
        <w:rPr>
          <w:sz w:val="23"/>
          <w:szCs w:val="23"/>
        </w:rPr>
        <w:t>high-risk</w:t>
      </w:r>
      <w:r w:rsidR="0040761A" w:rsidRPr="00192A31">
        <w:rPr>
          <w:sz w:val="23"/>
          <w:szCs w:val="23"/>
        </w:rPr>
        <w:t xml:space="preserve"> symptoms </w:t>
      </w:r>
      <w:r w:rsidR="00EB278F" w:rsidRPr="00192A31">
        <w:rPr>
          <w:sz w:val="23"/>
          <w:szCs w:val="23"/>
        </w:rPr>
        <w:t>are usually experiencing disease chronicity and are at risk of premature mortality, displaying significant medical instability and psychiatric comorbidities. It is most likely that these patient</w:t>
      </w:r>
      <w:r w:rsidR="00E00356" w:rsidRPr="00192A31">
        <w:rPr>
          <w:sz w:val="23"/>
          <w:szCs w:val="23"/>
        </w:rPr>
        <w:t>s</w:t>
      </w:r>
      <w:r w:rsidR="00EB278F" w:rsidRPr="00192A31">
        <w:rPr>
          <w:sz w:val="23"/>
          <w:szCs w:val="23"/>
        </w:rPr>
        <w:t xml:space="preserve"> have also failed to respond to eating disorder treatments at a lower intensity. </w:t>
      </w:r>
    </w:p>
    <w:p w14:paraId="3BEA8DBA" w14:textId="77777777" w:rsidR="00EB278F" w:rsidRPr="00192A31" w:rsidRDefault="00A32244" w:rsidP="00EB278F">
      <w:pPr>
        <w:rPr>
          <w:sz w:val="23"/>
          <w:szCs w:val="23"/>
        </w:rPr>
      </w:pPr>
      <w:r w:rsidRPr="00192A31">
        <w:rPr>
          <w:sz w:val="23"/>
          <w:szCs w:val="23"/>
        </w:rPr>
        <w:t xml:space="preserve">Patients with </w:t>
      </w:r>
      <w:r w:rsidR="00C71491" w:rsidRPr="00192A31">
        <w:rPr>
          <w:sz w:val="23"/>
          <w:szCs w:val="23"/>
        </w:rPr>
        <w:t>complex presentations with</w:t>
      </w:r>
      <w:r w:rsidRPr="00192A31">
        <w:rPr>
          <w:sz w:val="23"/>
          <w:szCs w:val="23"/>
        </w:rPr>
        <w:t xml:space="preserve"> </w:t>
      </w:r>
      <w:r w:rsidR="0040761A" w:rsidRPr="00192A31">
        <w:rPr>
          <w:sz w:val="23"/>
          <w:szCs w:val="23"/>
        </w:rPr>
        <w:t xml:space="preserve">are </w:t>
      </w:r>
      <w:r w:rsidR="00EB278F" w:rsidRPr="00192A31">
        <w:rPr>
          <w:sz w:val="23"/>
          <w:szCs w:val="23"/>
        </w:rPr>
        <w:t xml:space="preserve">likely to enter the hospital system during the first and </w:t>
      </w:r>
      <w:r w:rsidR="0040761A" w:rsidRPr="00192A31">
        <w:rPr>
          <w:sz w:val="23"/>
          <w:szCs w:val="23"/>
        </w:rPr>
        <w:t xml:space="preserve">then in </w:t>
      </w:r>
      <w:r w:rsidR="00EB278F" w:rsidRPr="00192A31">
        <w:rPr>
          <w:sz w:val="23"/>
          <w:szCs w:val="23"/>
        </w:rPr>
        <w:t>subsequent years of treatment. This is due to a range of factors including</w:t>
      </w:r>
      <w:r w:rsidRPr="00192A31">
        <w:rPr>
          <w:sz w:val="23"/>
          <w:szCs w:val="23"/>
        </w:rPr>
        <w:t xml:space="preserve"> illness trajectory,</w:t>
      </w:r>
      <w:r w:rsidR="00EB278F" w:rsidRPr="00192A31">
        <w:rPr>
          <w:sz w:val="23"/>
          <w:szCs w:val="23"/>
        </w:rPr>
        <w:t xml:space="preserve"> the </w:t>
      </w:r>
      <w:r w:rsidR="0040761A" w:rsidRPr="00192A31">
        <w:rPr>
          <w:sz w:val="23"/>
          <w:szCs w:val="23"/>
        </w:rPr>
        <w:t xml:space="preserve">ongoing </w:t>
      </w:r>
      <w:r w:rsidR="00EB278F" w:rsidRPr="00192A31">
        <w:rPr>
          <w:sz w:val="23"/>
          <w:szCs w:val="23"/>
        </w:rPr>
        <w:t>cost of intervention</w:t>
      </w:r>
      <w:r w:rsidR="0040761A" w:rsidRPr="00192A31">
        <w:rPr>
          <w:sz w:val="23"/>
          <w:szCs w:val="23"/>
        </w:rPr>
        <w:t>s</w:t>
      </w:r>
      <w:r w:rsidR="00EB278F" w:rsidRPr="00192A31">
        <w:rPr>
          <w:sz w:val="23"/>
          <w:szCs w:val="23"/>
        </w:rPr>
        <w:t xml:space="preserve"> and the ability of the patient to access and continue rehabilitative care.</w:t>
      </w:r>
      <w:r w:rsidR="0040761A" w:rsidRPr="00192A31">
        <w:rPr>
          <w:rStyle w:val="FootnoteReference"/>
          <w:rFonts w:ascii="SimSun" w:eastAsia="SimSun" w:hAnsi="SimSun" w:cstheme="minorHAnsi"/>
          <w:sz w:val="23"/>
          <w:szCs w:val="23"/>
        </w:rPr>
        <w:footnoteReference w:id="18"/>
      </w:r>
      <w:r w:rsidR="00CC7F82" w:rsidRPr="00192A31">
        <w:rPr>
          <w:sz w:val="23"/>
          <w:szCs w:val="23"/>
        </w:rPr>
        <w:t xml:space="preserve"> </w:t>
      </w:r>
      <w:r w:rsidR="00EB278F" w:rsidRPr="00192A31">
        <w:rPr>
          <w:sz w:val="23"/>
          <w:szCs w:val="23"/>
        </w:rPr>
        <w:t>There are currently 0.3</w:t>
      </w:r>
      <w:r w:rsidR="001A7991" w:rsidRPr="00192A31">
        <w:rPr>
          <w:sz w:val="23"/>
          <w:szCs w:val="23"/>
        </w:rPr>
        <w:t xml:space="preserve"> per cent</w:t>
      </w:r>
      <w:r w:rsidR="00EB278F" w:rsidRPr="00192A31">
        <w:rPr>
          <w:sz w:val="23"/>
          <w:szCs w:val="23"/>
        </w:rPr>
        <w:t xml:space="preserve"> of eating disorders patients in Australia repeatedly transitioning between the hospital and community setting. </w:t>
      </w:r>
      <w:r w:rsidR="00C71491" w:rsidRPr="00192A31">
        <w:rPr>
          <w:sz w:val="23"/>
          <w:szCs w:val="23"/>
        </w:rPr>
        <w:t>Providing access to evidence based treatment in the community setting before the person’s conditions reaches this level of chronicity will deliver better outcomes for the patient and reduce costs for the health system.</w:t>
      </w:r>
    </w:p>
    <w:p w14:paraId="304BDA3F" w14:textId="77777777" w:rsidR="00C71491" w:rsidRDefault="00C71491" w:rsidP="4E2741BD">
      <w:pPr>
        <w:rPr>
          <w:sz w:val="23"/>
          <w:szCs w:val="23"/>
        </w:rPr>
      </w:pPr>
      <w:r w:rsidRPr="00192A31">
        <w:rPr>
          <w:sz w:val="23"/>
          <w:szCs w:val="23"/>
        </w:rPr>
        <w:t>For example, a</w:t>
      </w:r>
      <w:r w:rsidR="000D0E4E" w:rsidRPr="00192A31">
        <w:rPr>
          <w:sz w:val="23"/>
          <w:szCs w:val="23"/>
        </w:rPr>
        <w:t xml:space="preserve"> hospitalisation episode</w:t>
      </w:r>
      <w:r w:rsidRPr="00192A31">
        <w:rPr>
          <w:sz w:val="23"/>
          <w:szCs w:val="23"/>
        </w:rPr>
        <w:t xml:space="preserve"> for a person with </w:t>
      </w:r>
      <w:r w:rsidR="00CC3AC7">
        <w:rPr>
          <w:sz w:val="23"/>
          <w:szCs w:val="23"/>
        </w:rPr>
        <w:t>AN</w:t>
      </w:r>
      <w:r w:rsidR="000D0E4E" w:rsidRPr="00192A31">
        <w:rPr>
          <w:sz w:val="23"/>
          <w:szCs w:val="23"/>
        </w:rPr>
        <w:t xml:space="preserve"> is likely to be an ongoing expense </w:t>
      </w:r>
      <w:r w:rsidR="008101DE" w:rsidRPr="00192A31">
        <w:rPr>
          <w:sz w:val="23"/>
          <w:szCs w:val="23"/>
        </w:rPr>
        <w:t xml:space="preserve">to the system </w:t>
      </w:r>
      <w:r w:rsidR="000D0E4E" w:rsidRPr="00192A31">
        <w:rPr>
          <w:sz w:val="23"/>
          <w:szCs w:val="23"/>
        </w:rPr>
        <w:t xml:space="preserve">and is estimated to cost second only to </w:t>
      </w:r>
      <w:r w:rsidR="008101DE" w:rsidRPr="00192A31">
        <w:rPr>
          <w:sz w:val="23"/>
          <w:szCs w:val="23"/>
        </w:rPr>
        <w:t>that</w:t>
      </w:r>
      <w:r w:rsidR="000D0E4E" w:rsidRPr="00192A31">
        <w:rPr>
          <w:sz w:val="23"/>
          <w:szCs w:val="23"/>
        </w:rPr>
        <w:t xml:space="preserve"> of </w:t>
      </w:r>
      <w:r w:rsidR="008101DE" w:rsidRPr="00192A31">
        <w:rPr>
          <w:sz w:val="23"/>
          <w:szCs w:val="23"/>
        </w:rPr>
        <w:t xml:space="preserve">a </w:t>
      </w:r>
      <w:r w:rsidR="000D0E4E" w:rsidRPr="00192A31">
        <w:rPr>
          <w:sz w:val="23"/>
          <w:szCs w:val="23"/>
        </w:rPr>
        <w:t>cardiac artery bypass surgery</w:t>
      </w:r>
      <w:r w:rsidR="009F29B3" w:rsidRPr="00192A31">
        <w:rPr>
          <w:sz w:val="23"/>
          <w:szCs w:val="23"/>
        </w:rPr>
        <w:t xml:space="preserve"> in the private hospital sector</w:t>
      </w:r>
      <w:r w:rsidR="00967D92" w:rsidRPr="00192A31">
        <w:rPr>
          <w:sz w:val="23"/>
          <w:szCs w:val="23"/>
        </w:rPr>
        <w:t xml:space="preserve"> in Australia</w:t>
      </w:r>
      <w:r w:rsidR="000D0E4E" w:rsidRPr="00192A31">
        <w:rPr>
          <w:sz w:val="23"/>
          <w:szCs w:val="23"/>
        </w:rPr>
        <w:t>.</w:t>
      </w:r>
      <w:r w:rsidR="000D0E4E" w:rsidRPr="00192A31">
        <w:rPr>
          <w:rStyle w:val="FootnoteReference"/>
          <w:rFonts w:asciiTheme="majorEastAsia" w:eastAsiaTheme="majorEastAsia" w:hAnsiTheme="majorEastAsia" w:cstheme="majorEastAsia"/>
          <w:sz w:val="23"/>
          <w:szCs w:val="23"/>
        </w:rPr>
        <w:footnoteReference w:id="19"/>
      </w:r>
      <w:r w:rsidR="000D0E4E" w:rsidRPr="00AE5A70" w:rsidDel="00F50B85">
        <w:rPr>
          <w:sz w:val="23"/>
          <w:szCs w:val="23"/>
        </w:rPr>
        <w:t xml:space="preserve"> </w:t>
      </w:r>
    </w:p>
    <w:p w14:paraId="6900718F" w14:textId="77777777" w:rsidR="00EE33B0" w:rsidRPr="00AE5A70" w:rsidRDefault="00F60C08" w:rsidP="4E2741BD">
      <w:pPr>
        <w:rPr>
          <w:sz w:val="23"/>
          <w:szCs w:val="23"/>
        </w:rPr>
      </w:pPr>
      <w:r w:rsidRPr="00AE5A70">
        <w:rPr>
          <w:sz w:val="23"/>
          <w:szCs w:val="23"/>
        </w:rPr>
        <w:t>The Working Group therefore believes that t</w:t>
      </w:r>
      <w:r w:rsidR="008101DE" w:rsidRPr="00AE5A70">
        <w:rPr>
          <w:sz w:val="23"/>
          <w:szCs w:val="23"/>
        </w:rPr>
        <w:t>he</w:t>
      </w:r>
      <w:r w:rsidR="000D0E4E" w:rsidRPr="00AE5A70" w:rsidDel="00F50B85">
        <w:rPr>
          <w:sz w:val="23"/>
          <w:szCs w:val="23"/>
        </w:rPr>
        <w:t xml:space="preserve"> provisions under the </w:t>
      </w:r>
      <w:r w:rsidR="000D0E4E" w:rsidRPr="00AE5A70" w:rsidDel="00F50B85">
        <w:rPr>
          <w:i/>
          <w:sz w:val="23"/>
          <w:szCs w:val="23"/>
        </w:rPr>
        <w:t xml:space="preserve">Better Access </w:t>
      </w:r>
      <w:r w:rsidR="00F72032" w:rsidRPr="00AE5A70">
        <w:rPr>
          <w:i/>
          <w:sz w:val="23"/>
          <w:szCs w:val="23"/>
        </w:rPr>
        <w:t>Initiative</w:t>
      </w:r>
      <w:r w:rsidR="004F62D2" w:rsidRPr="00AE5A70" w:rsidDel="00F50B85">
        <w:rPr>
          <w:sz w:val="23"/>
          <w:szCs w:val="23"/>
        </w:rPr>
        <w:t xml:space="preserve"> </w:t>
      </w:r>
      <w:r w:rsidR="006A3A83" w:rsidRPr="00AE5A70">
        <w:rPr>
          <w:sz w:val="23"/>
          <w:szCs w:val="23"/>
        </w:rPr>
        <w:t>are</w:t>
      </w:r>
      <w:r w:rsidR="000D0E4E" w:rsidRPr="00AE5A70" w:rsidDel="00F50B85">
        <w:rPr>
          <w:sz w:val="23"/>
          <w:szCs w:val="23"/>
        </w:rPr>
        <w:t xml:space="preserve"> </w:t>
      </w:r>
      <w:r w:rsidR="000D0E4E" w:rsidRPr="00AE5A70">
        <w:rPr>
          <w:sz w:val="23"/>
          <w:szCs w:val="23"/>
        </w:rPr>
        <w:t>in</w:t>
      </w:r>
      <w:r w:rsidR="000D0E4E" w:rsidRPr="00AE5A70" w:rsidDel="00F50B85">
        <w:rPr>
          <w:sz w:val="23"/>
          <w:szCs w:val="23"/>
        </w:rPr>
        <w:t>a</w:t>
      </w:r>
      <w:r w:rsidR="006A3A83" w:rsidRPr="00AE5A70">
        <w:rPr>
          <w:sz w:val="23"/>
          <w:szCs w:val="23"/>
        </w:rPr>
        <w:t>dequate</w:t>
      </w:r>
      <w:r w:rsidR="000D0E4E" w:rsidRPr="00AE5A70">
        <w:rPr>
          <w:sz w:val="23"/>
          <w:szCs w:val="23"/>
        </w:rPr>
        <w:t xml:space="preserve"> when treating </w:t>
      </w:r>
      <w:r w:rsidR="00A32244" w:rsidRPr="00AE5A70">
        <w:rPr>
          <w:sz w:val="23"/>
          <w:szCs w:val="23"/>
        </w:rPr>
        <w:t xml:space="preserve">patients with </w:t>
      </w:r>
      <w:r w:rsidR="007F525B">
        <w:rPr>
          <w:sz w:val="23"/>
          <w:szCs w:val="23"/>
        </w:rPr>
        <w:t>eating disorders</w:t>
      </w:r>
      <w:r w:rsidR="00702C14" w:rsidRPr="00AE5A70">
        <w:rPr>
          <w:sz w:val="23"/>
          <w:szCs w:val="23"/>
        </w:rPr>
        <w:t xml:space="preserve">, especially with the aim of </w:t>
      </w:r>
      <w:r w:rsidR="00A32244" w:rsidRPr="00AE5A70">
        <w:rPr>
          <w:sz w:val="23"/>
          <w:szCs w:val="23"/>
        </w:rPr>
        <w:t xml:space="preserve">treating </w:t>
      </w:r>
      <w:r w:rsidR="00702C14" w:rsidRPr="00AE5A70">
        <w:rPr>
          <w:sz w:val="23"/>
          <w:szCs w:val="23"/>
        </w:rPr>
        <w:t>patients in the community</w:t>
      </w:r>
      <w:r w:rsidR="00482A46" w:rsidRPr="00AE5A70">
        <w:rPr>
          <w:sz w:val="23"/>
          <w:szCs w:val="23"/>
        </w:rPr>
        <w:t xml:space="preserve">. Rather, the Working Group believe there is room to enhance the availability of mental health </w:t>
      </w:r>
      <w:r w:rsidR="00192A31">
        <w:rPr>
          <w:sz w:val="23"/>
          <w:szCs w:val="23"/>
        </w:rPr>
        <w:t xml:space="preserve">and dietetic </w:t>
      </w:r>
      <w:r w:rsidR="00482A46" w:rsidRPr="00AE5A70">
        <w:rPr>
          <w:sz w:val="23"/>
          <w:szCs w:val="23"/>
        </w:rPr>
        <w:t xml:space="preserve">services for </w:t>
      </w:r>
      <w:r w:rsidR="00D740A4" w:rsidRPr="00AE5A70">
        <w:rPr>
          <w:sz w:val="23"/>
          <w:szCs w:val="23"/>
        </w:rPr>
        <w:t xml:space="preserve">people who experience </w:t>
      </w:r>
      <w:r w:rsidR="007F525B">
        <w:rPr>
          <w:sz w:val="23"/>
          <w:szCs w:val="23"/>
        </w:rPr>
        <w:t>eating disorders</w:t>
      </w:r>
      <w:r w:rsidR="2CB6E420" w:rsidRPr="00AE5A70">
        <w:rPr>
          <w:sz w:val="23"/>
          <w:szCs w:val="23"/>
        </w:rPr>
        <w:t>, linking current</w:t>
      </w:r>
      <w:r w:rsidR="006A3A83" w:rsidRPr="00AE5A70">
        <w:rPr>
          <w:sz w:val="23"/>
          <w:szCs w:val="23"/>
        </w:rPr>
        <w:t>ly available MBS services t</w:t>
      </w:r>
      <w:r w:rsidR="2CB6E420" w:rsidRPr="00AE5A70">
        <w:rPr>
          <w:sz w:val="23"/>
          <w:szCs w:val="23"/>
        </w:rPr>
        <w:t>o evidence</w:t>
      </w:r>
      <w:r w:rsidR="00961878" w:rsidRPr="00AE5A70">
        <w:rPr>
          <w:sz w:val="23"/>
          <w:szCs w:val="23"/>
        </w:rPr>
        <w:noBreakHyphen/>
      </w:r>
      <w:r w:rsidR="00482A46" w:rsidRPr="00AE5A70">
        <w:rPr>
          <w:sz w:val="23"/>
          <w:szCs w:val="23"/>
        </w:rPr>
        <w:t xml:space="preserve">based care, </w:t>
      </w:r>
      <w:r w:rsidR="00192A31">
        <w:rPr>
          <w:sz w:val="23"/>
          <w:szCs w:val="23"/>
        </w:rPr>
        <w:t>in align</w:t>
      </w:r>
      <w:r w:rsidR="00D86FDF">
        <w:rPr>
          <w:sz w:val="23"/>
          <w:szCs w:val="23"/>
        </w:rPr>
        <w:t>ment</w:t>
      </w:r>
      <w:r w:rsidR="00192A31">
        <w:rPr>
          <w:sz w:val="23"/>
          <w:szCs w:val="23"/>
        </w:rPr>
        <w:t xml:space="preserve"> with comprehensive stepped care </w:t>
      </w:r>
      <w:r w:rsidR="00895B75">
        <w:rPr>
          <w:sz w:val="23"/>
          <w:szCs w:val="23"/>
        </w:rPr>
        <w:t>models</w:t>
      </w:r>
      <w:r w:rsidR="00192A31">
        <w:rPr>
          <w:sz w:val="23"/>
          <w:szCs w:val="23"/>
        </w:rPr>
        <w:t xml:space="preserve"> for eating disorders.</w:t>
      </w:r>
      <w:r w:rsidR="000D0E4E" w:rsidRPr="00AE5A70">
        <w:rPr>
          <w:sz w:val="23"/>
          <w:szCs w:val="23"/>
        </w:rPr>
        <w:t xml:space="preserve"> </w:t>
      </w:r>
    </w:p>
    <w:p w14:paraId="51117083" w14:textId="77777777" w:rsidR="00EE33B0" w:rsidRPr="00AE5A70" w:rsidRDefault="00EE33B0" w:rsidP="00044469">
      <w:pPr>
        <w:pStyle w:val="Heading3Numbered"/>
        <w:numPr>
          <w:ilvl w:val="2"/>
          <w:numId w:val="5"/>
        </w:numPr>
        <w:rPr>
          <w:sz w:val="23"/>
          <w:szCs w:val="23"/>
        </w:rPr>
      </w:pPr>
      <w:bookmarkStart w:id="56" w:name="_Toc531941931"/>
      <w:r w:rsidRPr="00AE5A70">
        <w:rPr>
          <w:sz w:val="23"/>
          <w:szCs w:val="23"/>
        </w:rPr>
        <w:t xml:space="preserve">Encouraging a </w:t>
      </w:r>
      <w:r w:rsidR="005A5F0B">
        <w:rPr>
          <w:sz w:val="23"/>
          <w:szCs w:val="23"/>
        </w:rPr>
        <w:t xml:space="preserve">comprehensive </w:t>
      </w:r>
      <w:r w:rsidRPr="00AE5A70">
        <w:rPr>
          <w:sz w:val="23"/>
          <w:szCs w:val="23"/>
        </w:rPr>
        <w:t xml:space="preserve">stepped </w:t>
      </w:r>
      <w:r w:rsidR="00F325C0">
        <w:rPr>
          <w:sz w:val="23"/>
          <w:szCs w:val="23"/>
        </w:rPr>
        <w:t>model of care for the</w:t>
      </w:r>
      <w:r w:rsidRPr="00AE5A70">
        <w:rPr>
          <w:sz w:val="23"/>
          <w:szCs w:val="23"/>
        </w:rPr>
        <w:t xml:space="preserve"> treatment</w:t>
      </w:r>
      <w:r w:rsidR="005A5F0B">
        <w:rPr>
          <w:sz w:val="23"/>
          <w:szCs w:val="23"/>
        </w:rPr>
        <w:t xml:space="preserve"> for patients with eating disorders</w:t>
      </w:r>
      <w:bookmarkEnd w:id="56"/>
    </w:p>
    <w:p w14:paraId="25162B35" w14:textId="77777777" w:rsidR="00EE33B0" w:rsidRPr="00AE5A70" w:rsidRDefault="000D59EB" w:rsidP="6ABAB93B">
      <w:pPr>
        <w:rPr>
          <w:sz w:val="23"/>
          <w:szCs w:val="23"/>
        </w:rPr>
      </w:pPr>
      <w:r w:rsidRPr="00AE5A70">
        <w:rPr>
          <w:sz w:val="23"/>
          <w:szCs w:val="23"/>
        </w:rPr>
        <w:t>The Working Group believe that to improve the recovery rates for patients diagnosed with</w:t>
      </w:r>
      <w:r>
        <w:rPr>
          <w:sz w:val="23"/>
          <w:szCs w:val="23"/>
        </w:rPr>
        <w:t xml:space="preserve"> an eating disorder</w:t>
      </w:r>
      <w:r w:rsidRPr="00AE5A70">
        <w:rPr>
          <w:sz w:val="23"/>
          <w:szCs w:val="23"/>
        </w:rPr>
        <w:t xml:space="preserve">, in addition to reducing the fiscal burden of hospitalisation, the introduction of a best practice care model is needed. </w:t>
      </w:r>
      <w:r w:rsidR="00EE33B0" w:rsidRPr="00AE5A70">
        <w:rPr>
          <w:sz w:val="23"/>
          <w:szCs w:val="23"/>
        </w:rPr>
        <w:t xml:space="preserve">A stepped </w:t>
      </w:r>
      <w:r w:rsidR="00D86FDF">
        <w:rPr>
          <w:sz w:val="23"/>
          <w:szCs w:val="23"/>
        </w:rPr>
        <w:t>model of care</w:t>
      </w:r>
      <w:r w:rsidR="00EE33B0" w:rsidRPr="00AE5A70">
        <w:rPr>
          <w:sz w:val="23"/>
          <w:szCs w:val="23"/>
        </w:rPr>
        <w:t xml:space="preserve"> is </w:t>
      </w:r>
      <w:r w:rsidR="00C828E4" w:rsidRPr="00AE5A70">
        <w:rPr>
          <w:sz w:val="23"/>
          <w:szCs w:val="23"/>
        </w:rPr>
        <w:t>an</w:t>
      </w:r>
      <w:r w:rsidR="00EE33B0" w:rsidRPr="00AE5A70">
        <w:rPr>
          <w:sz w:val="23"/>
          <w:szCs w:val="23"/>
        </w:rPr>
        <w:t xml:space="preserve"> evidence-based treatment approach whereby a team of primary care professionals address the medical</w:t>
      </w:r>
      <w:r w:rsidR="00D740A4" w:rsidRPr="00AE5A70">
        <w:rPr>
          <w:sz w:val="23"/>
          <w:szCs w:val="23"/>
        </w:rPr>
        <w:t>, dietetic, psychological</w:t>
      </w:r>
      <w:r w:rsidR="00EE33B0" w:rsidRPr="00AE5A70">
        <w:rPr>
          <w:sz w:val="23"/>
          <w:szCs w:val="23"/>
        </w:rPr>
        <w:t xml:space="preserve"> and behavioural aspects of an eating disorder, with treatment increasing or decreasing in intensity depending on the individual patient’s responses and needs</w:t>
      </w:r>
      <w:r w:rsidR="004F62D2" w:rsidRPr="00AE5A70">
        <w:rPr>
          <w:sz w:val="23"/>
          <w:szCs w:val="23"/>
        </w:rPr>
        <w:t>.</w:t>
      </w:r>
      <w:r w:rsidR="00EE33B0" w:rsidRPr="00AE5A70">
        <w:rPr>
          <w:rStyle w:val="FootnoteReference"/>
          <w:sz w:val="23"/>
          <w:szCs w:val="23"/>
        </w:rPr>
        <w:footnoteReference w:id="20"/>
      </w:r>
      <w:r w:rsidR="00EE33B0" w:rsidRPr="00AE5A70">
        <w:rPr>
          <w:sz w:val="23"/>
          <w:szCs w:val="23"/>
        </w:rPr>
        <w:t xml:space="preserve"> The Working Group considers </w:t>
      </w:r>
      <w:r w:rsidR="00207B56" w:rsidRPr="00AE5A70">
        <w:rPr>
          <w:sz w:val="23"/>
          <w:szCs w:val="23"/>
        </w:rPr>
        <w:t>a</w:t>
      </w:r>
      <w:r w:rsidR="00895B75">
        <w:rPr>
          <w:sz w:val="23"/>
          <w:szCs w:val="23"/>
        </w:rPr>
        <w:t xml:space="preserve"> comprehensive</w:t>
      </w:r>
      <w:r w:rsidR="00207B56" w:rsidRPr="00AE5A70">
        <w:rPr>
          <w:sz w:val="23"/>
          <w:szCs w:val="23"/>
        </w:rPr>
        <w:t xml:space="preserve"> stepped </w:t>
      </w:r>
      <w:r w:rsidR="00895B75">
        <w:rPr>
          <w:sz w:val="23"/>
          <w:szCs w:val="23"/>
        </w:rPr>
        <w:t>model of care</w:t>
      </w:r>
      <w:r w:rsidR="00EE33B0" w:rsidRPr="00AE5A70">
        <w:rPr>
          <w:sz w:val="23"/>
          <w:szCs w:val="23"/>
        </w:rPr>
        <w:t xml:space="preserve"> the ideal treatment strategy for patients with an eating disorder</w:t>
      </w:r>
      <w:r w:rsidR="007F525B">
        <w:rPr>
          <w:sz w:val="23"/>
          <w:szCs w:val="23"/>
        </w:rPr>
        <w:t xml:space="preserve">. </w:t>
      </w:r>
      <w:r w:rsidR="00EE33B0" w:rsidRPr="00AE5A70">
        <w:rPr>
          <w:sz w:val="23"/>
          <w:szCs w:val="23"/>
        </w:rPr>
        <w:t>Stepped care has been central to the Australian Government’s mental health reform agenda</w:t>
      </w:r>
      <w:r w:rsidR="00702C14" w:rsidRPr="00AE5A70">
        <w:rPr>
          <w:sz w:val="23"/>
          <w:szCs w:val="23"/>
        </w:rPr>
        <w:t>.</w:t>
      </w:r>
      <w:r w:rsidR="00EE33B0" w:rsidRPr="00AE5A70">
        <w:rPr>
          <w:sz w:val="23"/>
          <w:szCs w:val="23"/>
        </w:rPr>
        <w:t xml:space="preserve"> </w:t>
      </w:r>
      <w:r w:rsidR="00702C14" w:rsidRPr="00AE5A70">
        <w:rPr>
          <w:sz w:val="23"/>
          <w:szCs w:val="23"/>
        </w:rPr>
        <w:t>Since</w:t>
      </w:r>
      <w:r w:rsidR="00EE33B0" w:rsidRPr="00AE5A70">
        <w:rPr>
          <w:sz w:val="23"/>
          <w:szCs w:val="23"/>
        </w:rPr>
        <w:t xml:space="preserve"> 2016 </w:t>
      </w:r>
      <w:r w:rsidR="00702C14" w:rsidRPr="00AE5A70">
        <w:rPr>
          <w:sz w:val="23"/>
          <w:szCs w:val="23"/>
        </w:rPr>
        <w:t xml:space="preserve">it has </w:t>
      </w:r>
      <w:r w:rsidR="00EE33B0" w:rsidRPr="00AE5A70">
        <w:rPr>
          <w:sz w:val="23"/>
          <w:szCs w:val="23"/>
        </w:rPr>
        <w:t>provided the basis for Primary Health Networks (PHN)</w:t>
      </w:r>
      <w:r w:rsidR="00EE33B0" w:rsidRPr="00AE5A70">
        <w:rPr>
          <w:rStyle w:val="FootnoteReference"/>
          <w:rFonts w:asciiTheme="majorEastAsia" w:eastAsiaTheme="majorEastAsia" w:hAnsiTheme="majorEastAsia" w:cstheme="majorEastAsia"/>
          <w:sz w:val="23"/>
          <w:szCs w:val="23"/>
        </w:rPr>
        <w:footnoteReference w:id="21"/>
      </w:r>
      <w:r w:rsidR="00EE33B0" w:rsidRPr="00AE5A70">
        <w:rPr>
          <w:sz w:val="23"/>
          <w:szCs w:val="23"/>
        </w:rPr>
        <w:t xml:space="preserve"> to plan and commission mental health services in</w:t>
      </w:r>
      <w:r w:rsidR="00E40606" w:rsidRPr="00AE5A70">
        <w:rPr>
          <w:sz w:val="23"/>
          <w:szCs w:val="23"/>
        </w:rPr>
        <w:t xml:space="preserve"> their</w:t>
      </w:r>
      <w:r w:rsidR="00EE33B0" w:rsidRPr="00AE5A70">
        <w:rPr>
          <w:sz w:val="23"/>
          <w:szCs w:val="23"/>
        </w:rPr>
        <w:t xml:space="preserve"> region.</w:t>
      </w:r>
      <w:r w:rsidR="00EE33B0" w:rsidRPr="00AE5A70">
        <w:rPr>
          <w:rStyle w:val="FootnoteReference"/>
          <w:rFonts w:asciiTheme="majorEastAsia" w:eastAsiaTheme="majorEastAsia" w:hAnsiTheme="majorEastAsia" w:cstheme="majorEastAsia"/>
          <w:sz w:val="23"/>
          <w:szCs w:val="23"/>
        </w:rPr>
        <w:footnoteReference w:id="22"/>
      </w:r>
      <w:r w:rsidR="00EE33B0" w:rsidRPr="00AE5A70">
        <w:rPr>
          <w:sz w:val="23"/>
          <w:szCs w:val="23"/>
        </w:rPr>
        <w:t xml:space="preserve"> A person with an eating disorder receiving treatment within a </w:t>
      </w:r>
      <w:r w:rsidR="00895B75">
        <w:rPr>
          <w:sz w:val="23"/>
          <w:szCs w:val="23"/>
        </w:rPr>
        <w:t xml:space="preserve">comprehensive </w:t>
      </w:r>
      <w:r w:rsidR="00EE33B0" w:rsidRPr="00AE5A70">
        <w:rPr>
          <w:sz w:val="23"/>
          <w:szCs w:val="23"/>
        </w:rPr>
        <w:t xml:space="preserve">stepped </w:t>
      </w:r>
      <w:r w:rsidR="00895B75">
        <w:rPr>
          <w:sz w:val="23"/>
          <w:szCs w:val="23"/>
        </w:rPr>
        <w:t xml:space="preserve">model of care </w:t>
      </w:r>
      <w:r w:rsidR="00EE33B0" w:rsidRPr="00AE5A70">
        <w:rPr>
          <w:sz w:val="23"/>
          <w:szCs w:val="23"/>
        </w:rPr>
        <w:t xml:space="preserve">will </w:t>
      </w:r>
      <w:r w:rsidR="00207B56" w:rsidRPr="00AE5A70">
        <w:rPr>
          <w:sz w:val="23"/>
          <w:szCs w:val="23"/>
        </w:rPr>
        <w:t xml:space="preserve">therefore </w:t>
      </w:r>
      <w:r w:rsidR="00EE33B0" w:rsidRPr="00AE5A70">
        <w:rPr>
          <w:sz w:val="23"/>
          <w:szCs w:val="23"/>
        </w:rPr>
        <w:t>have access to a full spectrum of treatment</w:t>
      </w:r>
      <w:r w:rsidR="00436C63" w:rsidRPr="00AE5A70">
        <w:rPr>
          <w:sz w:val="23"/>
          <w:szCs w:val="23"/>
        </w:rPr>
        <w:t>,</w:t>
      </w:r>
      <w:r w:rsidR="00EE33B0" w:rsidRPr="00AE5A70">
        <w:rPr>
          <w:sz w:val="23"/>
          <w:szCs w:val="23"/>
        </w:rPr>
        <w:t xml:space="preserve"> at a tailored level of intensity.</w:t>
      </w:r>
    </w:p>
    <w:p w14:paraId="5E844D05" w14:textId="77777777" w:rsidR="00EE33B0" w:rsidRDefault="00EE33B0" w:rsidP="6ABAB93B">
      <w:pPr>
        <w:rPr>
          <w:sz w:val="23"/>
          <w:szCs w:val="23"/>
        </w:rPr>
      </w:pPr>
      <w:r w:rsidRPr="00AE5A70">
        <w:rPr>
          <w:sz w:val="23"/>
          <w:szCs w:val="23"/>
        </w:rPr>
        <w:t>Tailoring the intensity of treatment is achieved through skilled assessment</w:t>
      </w:r>
      <w:r w:rsidR="009A1801" w:rsidRPr="00AE5A70">
        <w:rPr>
          <w:sz w:val="23"/>
          <w:szCs w:val="23"/>
        </w:rPr>
        <w:t>. Once a GP has triggered a referral, an individual care plan can be developed in line with the</w:t>
      </w:r>
      <w:r w:rsidRPr="00AE5A70">
        <w:rPr>
          <w:sz w:val="23"/>
          <w:szCs w:val="23"/>
        </w:rPr>
        <w:t xml:space="preserve"> patient’s needs</w:t>
      </w:r>
      <w:r w:rsidR="00A35AAC">
        <w:rPr>
          <w:sz w:val="23"/>
          <w:szCs w:val="23"/>
        </w:rPr>
        <w:t>.</w:t>
      </w:r>
      <w:r w:rsidRPr="00AE5A70">
        <w:rPr>
          <w:sz w:val="23"/>
          <w:szCs w:val="23"/>
        </w:rPr>
        <w:t xml:space="preserve"> This is dictated as required by the patient and </w:t>
      </w:r>
      <w:r w:rsidR="00F16D4C" w:rsidRPr="00AE5A70">
        <w:rPr>
          <w:sz w:val="23"/>
          <w:szCs w:val="23"/>
        </w:rPr>
        <w:t>their family, dependent upon their</w:t>
      </w:r>
      <w:r w:rsidRPr="00AE5A70">
        <w:rPr>
          <w:sz w:val="23"/>
          <w:szCs w:val="23"/>
        </w:rPr>
        <w:t xml:space="preserve"> psychological, physical</w:t>
      </w:r>
      <w:r w:rsidR="00F16D4C" w:rsidRPr="00AE5A70">
        <w:rPr>
          <w:sz w:val="23"/>
          <w:szCs w:val="23"/>
        </w:rPr>
        <w:t>,</w:t>
      </w:r>
      <w:r w:rsidRPr="00AE5A70">
        <w:rPr>
          <w:sz w:val="23"/>
          <w:szCs w:val="23"/>
        </w:rPr>
        <w:t xml:space="preserve"> nutritional, and functional needs. Importantly</w:t>
      </w:r>
      <w:r w:rsidR="00F16D4C" w:rsidRPr="00AE5A70">
        <w:rPr>
          <w:sz w:val="23"/>
          <w:szCs w:val="23"/>
        </w:rPr>
        <w:t>,</w:t>
      </w:r>
      <w:r w:rsidRPr="00AE5A70">
        <w:rPr>
          <w:sz w:val="23"/>
          <w:szCs w:val="23"/>
        </w:rPr>
        <w:t xml:space="preserve"> parallel treatments</w:t>
      </w:r>
      <w:r w:rsidR="000D59EB">
        <w:rPr>
          <w:sz w:val="23"/>
          <w:szCs w:val="23"/>
        </w:rPr>
        <w:t>, such as psychological, dietetic and medical care</w:t>
      </w:r>
      <w:r w:rsidRPr="00AE5A70">
        <w:rPr>
          <w:sz w:val="23"/>
          <w:szCs w:val="23"/>
        </w:rPr>
        <w:t xml:space="preserve"> can occur.</w:t>
      </w:r>
      <w:r w:rsidRPr="00AE5A70">
        <w:rPr>
          <w:rFonts w:ascii="SimSun" w:eastAsia="SimSun" w:hAnsi="SimSun"/>
          <w:sz w:val="23"/>
          <w:szCs w:val="23"/>
          <w:vertAlign w:val="superscript"/>
        </w:rPr>
        <w:footnoteReference w:id="23"/>
      </w:r>
      <w:r w:rsidRPr="00AE5A70">
        <w:rPr>
          <w:sz w:val="23"/>
          <w:szCs w:val="23"/>
        </w:rPr>
        <w:t xml:space="preserve"> </w:t>
      </w:r>
      <w:r w:rsidR="00F16D4C" w:rsidRPr="00AE5A70">
        <w:rPr>
          <w:sz w:val="23"/>
          <w:szCs w:val="23"/>
        </w:rPr>
        <w:t>The ability to provide parallel care</w:t>
      </w:r>
      <w:r w:rsidRPr="00AE5A70">
        <w:rPr>
          <w:sz w:val="23"/>
          <w:szCs w:val="23"/>
        </w:rPr>
        <w:t xml:space="preserve"> </w:t>
      </w:r>
      <w:r w:rsidR="00F16D4C" w:rsidRPr="00AE5A70">
        <w:rPr>
          <w:sz w:val="23"/>
          <w:szCs w:val="23"/>
        </w:rPr>
        <w:t xml:space="preserve">is </w:t>
      </w:r>
      <w:r w:rsidR="00CD5707" w:rsidRPr="00AE5A70">
        <w:rPr>
          <w:sz w:val="23"/>
          <w:szCs w:val="23"/>
        </w:rPr>
        <w:t>a</w:t>
      </w:r>
      <w:r w:rsidR="00F16D4C" w:rsidRPr="00AE5A70">
        <w:rPr>
          <w:sz w:val="23"/>
          <w:szCs w:val="23"/>
        </w:rPr>
        <w:t xml:space="preserve"> key reason that the</w:t>
      </w:r>
      <w:r w:rsidRPr="00AE5A70">
        <w:rPr>
          <w:sz w:val="23"/>
          <w:szCs w:val="23"/>
        </w:rPr>
        <w:t xml:space="preserve"> National Framework for Eating Disorders </w:t>
      </w:r>
      <w:r w:rsidR="00D14BE3" w:rsidRPr="00AE5A70">
        <w:rPr>
          <w:sz w:val="23"/>
          <w:szCs w:val="23"/>
        </w:rPr>
        <w:t xml:space="preserve">(2012) </w:t>
      </w:r>
      <w:r w:rsidRPr="00AE5A70">
        <w:rPr>
          <w:sz w:val="23"/>
          <w:szCs w:val="23"/>
        </w:rPr>
        <w:t xml:space="preserve">and </w:t>
      </w:r>
      <w:r w:rsidR="00F16D4C" w:rsidRPr="00AE5A70">
        <w:rPr>
          <w:sz w:val="23"/>
          <w:szCs w:val="23"/>
        </w:rPr>
        <w:t xml:space="preserve">the </w:t>
      </w:r>
      <w:r w:rsidRPr="00AE5A70">
        <w:rPr>
          <w:sz w:val="23"/>
          <w:szCs w:val="23"/>
        </w:rPr>
        <w:t xml:space="preserve">Australian </w:t>
      </w:r>
      <w:r w:rsidR="004F62D2" w:rsidRPr="00AE5A70">
        <w:rPr>
          <w:sz w:val="23"/>
          <w:szCs w:val="23"/>
        </w:rPr>
        <w:t xml:space="preserve">Guidelines </w:t>
      </w:r>
      <w:r w:rsidRPr="00AE5A70">
        <w:rPr>
          <w:sz w:val="23"/>
          <w:szCs w:val="23"/>
        </w:rPr>
        <w:t xml:space="preserve">for </w:t>
      </w:r>
      <w:r w:rsidR="004F62D2" w:rsidRPr="00AE5A70">
        <w:rPr>
          <w:sz w:val="23"/>
          <w:szCs w:val="23"/>
        </w:rPr>
        <w:t>Eating</w:t>
      </w:r>
      <w:r w:rsidRPr="00AE5A70">
        <w:rPr>
          <w:sz w:val="23"/>
          <w:szCs w:val="23"/>
        </w:rPr>
        <w:t xml:space="preserve"> </w:t>
      </w:r>
      <w:r w:rsidR="004F62D2" w:rsidRPr="00AE5A70">
        <w:rPr>
          <w:sz w:val="23"/>
          <w:szCs w:val="23"/>
        </w:rPr>
        <w:t>Disorders</w:t>
      </w:r>
      <w:r w:rsidR="00D14BE3" w:rsidRPr="00AE5A70">
        <w:rPr>
          <w:sz w:val="23"/>
          <w:szCs w:val="23"/>
        </w:rPr>
        <w:t xml:space="preserve"> (2014)</w:t>
      </w:r>
      <w:r w:rsidRPr="00AE5A70">
        <w:rPr>
          <w:sz w:val="23"/>
          <w:szCs w:val="23"/>
        </w:rPr>
        <w:t xml:space="preserve"> identify a stepped suite of treatme</w:t>
      </w:r>
      <w:r w:rsidR="00F16D4C" w:rsidRPr="00AE5A70">
        <w:rPr>
          <w:sz w:val="23"/>
          <w:szCs w:val="23"/>
        </w:rPr>
        <w:t>nt options as best practice when</w:t>
      </w:r>
      <w:r w:rsidRPr="00AE5A70">
        <w:rPr>
          <w:sz w:val="23"/>
          <w:szCs w:val="23"/>
        </w:rPr>
        <w:t xml:space="preserve"> </w:t>
      </w:r>
      <w:r w:rsidR="00F16D4C" w:rsidRPr="00AE5A70">
        <w:rPr>
          <w:sz w:val="23"/>
          <w:szCs w:val="23"/>
        </w:rPr>
        <w:t xml:space="preserve">treating </w:t>
      </w:r>
      <w:r w:rsidRPr="00AE5A70">
        <w:rPr>
          <w:sz w:val="23"/>
          <w:szCs w:val="23"/>
        </w:rPr>
        <w:t>eating disorder</w:t>
      </w:r>
      <w:r w:rsidRPr="00AE5A70" w:rsidDel="004B7235">
        <w:rPr>
          <w:sz w:val="23"/>
          <w:szCs w:val="23"/>
        </w:rPr>
        <w:t xml:space="preserve"> </w:t>
      </w:r>
      <w:r w:rsidR="000D59EB">
        <w:rPr>
          <w:sz w:val="23"/>
          <w:szCs w:val="23"/>
        </w:rPr>
        <w:t>patients in the community</w:t>
      </w:r>
      <w:r w:rsidR="00D14BE3" w:rsidRPr="00AE5A70">
        <w:rPr>
          <w:rStyle w:val="FootnoteReference"/>
          <w:rFonts w:asciiTheme="majorEastAsia" w:eastAsiaTheme="majorEastAsia" w:hAnsiTheme="majorEastAsia" w:cstheme="majorEastAsia"/>
          <w:sz w:val="23"/>
          <w:szCs w:val="23"/>
        </w:rPr>
        <w:footnoteReference w:id="24"/>
      </w:r>
      <w:r w:rsidR="000D59EB">
        <w:rPr>
          <w:sz w:val="23"/>
          <w:szCs w:val="23"/>
        </w:rPr>
        <w:t>.</w:t>
      </w:r>
    </w:p>
    <w:p w14:paraId="148B9E92" w14:textId="77777777" w:rsidR="00167AD6" w:rsidRDefault="00167AD6" w:rsidP="6ABAB93B">
      <w:pPr>
        <w:rPr>
          <w:sz w:val="23"/>
          <w:szCs w:val="23"/>
        </w:rPr>
      </w:pPr>
      <w:r w:rsidRPr="0059092D">
        <w:rPr>
          <w:sz w:val="23"/>
          <w:szCs w:val="23"/>
        </w:rPr>
        <w:t xml:space="preserve">Under a comprehensive </w:t>
      </w:r>
      <w:r w:rsidR="00895B75">
        <w:rPr>
          <w:sz w:val="23"/>
          <w:szCs w:val="23"/>
        </w:rPr>
        <w:t xml:space="preserve">stepped </w:t>
      </w:r>
      <w:r w:rsidRPr="0059092D">
        <w:rPr>
          <w:sz w:val="23"/>
          <w:szCs w:val="23"/>
        </w:rPr>
        <w:t>model of care for eating disorder</w:t>
      </w:r>
      <w:r w:rsidR="00021601" w:rsidRPr="009341EF">
        <w:rPr>
          <w:sz w:val="23"/>
          <w:szCs w:val="23"/>
        </w:rPr>
        <w:t>s</w:t>
      </w:r>
      <w:r w:rsidRPr="0059092D">
        <w:rPr>
          <w:sz w:val="23"/>
          <w:szCs w:val="23"/>
        </w:rPr>
        <w:t xml:space="preserve">, a patient would usually start treatment at a lower intensity, and </w:t>
      </w:r>
      <w:r w:rsidRPr="00CE2942">
        <w:rPr>
          <w:sz w:val="23"/>
          <w:szCs w:val="23"/>
        </w:rPr>
        <w:t>‘step-up’</w:t>
      </w:r>
      <w:r w:rsidRPr="00021601">
        <w:rPr>
          <w:sz w:val="23"/>
          <w:szCs w:val="23"/>
        </w:rPr>
        <w:t xml:space="preserve"> to a high</w:t>
      </w:r>
      <w:r w:rsidR="00892265">
        <w:rPr>
          <w:sz w:val="23"/>
          <w:szCs w:val="23"/>
        </w:rPr>
        <w:t xml:space="preserve"> level of treatment if they do </w:t>
      </w:r>
      <w:r w:rsidRPr="00021601">
        <w:rPr>
          <w:sz w:val="23"/>
          <w:szCs w:val="23"/>
        </w:rPr>
        <w:t>not respond to treatment at the lower intensity.</w:t>
      </w:r>
      <w:r w:rsidR="00021601" w:rsidRPr="00021601">
        <w:rPr>
          <w:sz w:val="23"/>
          <w:szCs w:val="23"/>
        </w:rPr>
        <w:t xml:space="preserve"> Starting at the lowest level of intensity</w:t>
      </w:r>
      <w:r w:rsidR="00895B75">
        <w:rPr>
          <w:sz w:val="23"/>
          <w:szCs w:val="23"/>
        </w:rPr>
        <w:t xml:space="preserve"> </w:t>
      </w:r>
      <w:r w:rsidR="00021601" w:rsidRPr="00021601">
        <w:rPr>
          <w:sz w:val="23"/>
          <w:szCs w:val="23"/>
        </w:rPr>
        <w:t xml:space="preserve">may be suitable for some patients with BN and BED who are diagnosed </w:t>
      </w:r>
      <w:r w:rsidR="009400B8">
        <w:rPr>
          <w:sz w:val="23"/>
          <w:szCs w:val="23"/>
        </w:rPr>
        <w:t xml:space="preserve">in the initial stages of </w:t>
      </w:r>
      <w:r w:rsidR="00021601" w:rsidRPr="00021601">
        <w:rPr>
          <w:sz w:val="23"/>
          <w:szCs w:val="23"/>
        </w:rPr>
        <w:t>development of their disorder. However, the evidence demonstrates that it is most effective for patients with a diagnosis of AN to immediately progress to the high levels of treatment as the medical complications of not accessing evidence based treatment could be life threatening</w:t>
      </w:r>
      <w:r w:rsidR="00021601">
        <w:rPr>
          <w:rStyle w:val="FootnoteReference"/>
          <w:sz w:val="23"/>
          <w:szCs w:val="23"/>
        </w:rPr>
        <w:footnoteReference w:id="25"/>
      </w:r>
      <w:r w:rsidR="00021601" w:rsidRPr="0059092D">
        <w:rPr>
          <w:sz w:val="23"/>
          <w:szCs w:val="23"/>
        </w:rPr>
        <w:t>.</w:t>
      </w:r>
      <w:r w:rsidR="00021601">
        <w:rPr>
          <w:sz w:val="23"/>
          <w:szCs w:val="23"/>
        </w:rPr>
        <w:t xml:space="preserve"> </w:t>
      </w:r>
    </w:p>
    <w:p w14:paraId="4B4F1424" w14:textId="77777777" w:rsidR="009B2806" w:rsidRDefault="009B2806" w:rsidP="6ABAB93B">
      <w:pPr>
        <w:rPr>
          <w:sz w:val="23"/>
          <w:szCs w:val="23"/>
        </w:rPr>
      </w:pPr>
      <w:r>
        <w:rPr>
          <w:sz w:val="23"/>
          <w:szCs w:val="23"/>
        </w:rPr>
        <w:t>Effective comprehensive ‘stepped care’ is dependent on frequent and ongoing monitoring of the person’s response to treatment. Factors to be considered for moving between levels of treatment include, but are not limited to, changes in:</w:t>
      </w:r>
    </w:p>
    <w:p w14:paraId="33C47F66" w14:textId="77777777" w:rsidR="009B2806" w:rsidRDefault="009B2806" w:rsidP="009341EF">
      <w:pPr>
        <w:pStyle w:val="ListParagraph"/>
        <w:numPr>
          <w:ilvl w:val="0"/>
          <w:numId w:val="87"/>
        </w:numPr>
        <w:rPr>
          <w:sz w:val="23"/>
          <w:szCs w:val="23"/>
        </w:rPr>
      </w:pPr>
      <w:r w:rsidRPr="009341EF">
        <w:rPr>
          <w:sz w:val="23"/>
          <w:szCs w:val="23"/>
        </w:rPr>
        <w:t>Dietary intake, nutritional health</w:t>
      </w:r>
      <w:r>
        <w:rPr>
          <w:sz w:val="23"/>
          <w:szCs w:val="23"/>
        </w:rPr>
        <w:t xml:space="preserve"> and weight gain or reduction;</w:t>
      </w:r>
    </w:p>
    <w:p w14:paraId="14582920" w14:textId="77777777" w:rsidR="009B2806" w:rsidRDefault="009B2806" w:rsidP="009341EF">
      <w:pPr>
        <w:pStyle w:val="ListParagraph"/>
        <w:numPr>
          <w:ilvl w:val="0"/>
          <w:numId w:val="87"/>
        </w:numPr>
        <w:rPr>
          <w:sz w:val="23"/>
          <w:szCs w:val="23"/>
        </w:rPr>
      </w:pPr>
      <w:r>
        <w:rPr>
          <w:sz w:val="23"/>
          <w:szCs w:val="23"/>
        </w:rPr>
        <w:t>Physiological functioning</w:t>
      </w:r>
      <w:r w:rsidR="000C194E">
        <w:rPr>
          <w:sz w:val="23"/>
          <w:szCs w:val="23"/>
        </w:rPr>
        <w:t xml:space="preserve">, </w:t>
      </w:r>
      <w:r>
        <w:rPr>
          <w:sz w:val="23"/>
          <w:szCs w:val="23"/>
        </w:rPr>
        <w:t xml:space="preserve"> medical complications</w:t>
      </w:r>
      <w:r w:rsidR="000C194E">
        <w:rPr>
          <w:sz w:val="23"/>
          <w:szCs w:val="23"/>
        </w:rPr>
        <w:t xml:space="preserve"> and comorbidities;</w:t>
      </w:r>
    </w:p>
    <w:p w14:paraId="152E6587" w14:textId="77777777" w:rsidR="009B2806" w:rsidRDefault="009B2806" w:rsidP="009341EF">
      <w:pPr>
        <w:pStyle w:val="ListParagraph"/>
        <w:numPr>
          <w:ilvl w:val="0"/>
          <w:numId w:val="87"/>
        </w:numPr>
        <w:rPr>
          <w:sz w:val="23"/>
          <w:szCs w:val="23"/>
        </w:rPr>
      </w:pPr>
      <w:r>
        <w:rPr>
          <w:sz w:val="23"/>
          <w:szCs w:val="23"/>
        </w:rPr>
        <w:t>Frequency of eating disorder behaviours</w:t>
      </w:r>
      <w:r w:rsidR="00D86FDF">
        <w:rPr>
          <w:sz w:val="23"/>
          <w:szCs w:val="23"/>
        </w:rPr>
        <w:t>;</w:t>
      </w:r>
    </w:p>
    <w:p w14:paraId="2FF9A8A9" w14:textId="77777777" w:rsidR="000C194E" w:rsidRDefault="009B2806" w:rsidP="009341EF">
      <w:pPr>
        <w:pStyle w:val="ListParagraph"/>
        <w:numPr>
          <w:ilvl w:val="0"/>
          <w:numId w:val="87"/>
        </w:numPr>
        <w:rPr>
          <w:sz w:val="23"/>
          <w:szCs w:val="23"/>
        </w:rPr>
      </w:pPr>
      <w:r>
        <w:rPr>
          <w:sz w:val="23"/>
          <w:szCs w:val="23"/>
        </w:rPr>
        <w:t>Levels of psycholog</w:t>
      </w:r>
      <w:r w:rsidR="00892265">
        <w:rPr>
          <w:sz w:val="23"/>
          <w:szCs w:val="23"/>
        </w:rPr>
        <w:t>ical distress, ongoing disordered</w:t>
      </w:r>
      <w:r>
        <w:rPr>
          <w:sz w:val="23"/>
          <w:szCs w:val="23"/>
        </w:rPr>
        <w:t xml:space="preserve"> thoughts and body image disturbance; </w:t>
      </w:r>
    </w:p>
    <w:p w14:paraId="17C83337" w14:textId="77777777" w:rsidR="000C194E" w:rsidRDefault="000C194E" w:rsidP="009341EF">
      <w:pPr>
        <w:pStyle w:val="ListParagraph"/>
        <w:numPr>
          <w:ilvl w:val="0"/>
          <w:numId w:val="87"/>
        </w:numPr>
        <w:rPr>
          <w:sz w:val="23"/>
          <w:szCs w:val="23"/>
        </w:rPr>
      </w:pPr>
      <w:r>
        <w:rPr>
          <w:sz w:val="23"/>
          <w:szCs w:val="23"/>
        </w:rPr>
        <w:t>Response to previous treatment;</w:t>
      </w:r>
    </w:p>
    <w:p w14:paraId="766173F5" w14:textId="77777777" w:rsidR="009B2806" w:rsidRPr="009341EF" w:rsidRDefault="000C194E" w:rsidP="009341EF">
      <w:pPr>
        <w:pStyle w:val="ListParagraph"/>
        <w:numPr>
          <w:ilvl w:val="0"/>
          <w:numId w:val="87"/>
        </w:numPr>
        <w:rPr>
          <w:sz w:val="23"/>
          <w:szCs w:val="23"/>
        </w:rPr>
      </w:pPr>
      <w:r>
        <w:rPr>
          <w:sz w:val="23"/>
          <w:szCs w:val="23"/>
        </w:rPr>
        <w:t>Chronicity of the illness</w:t>
      </w:r>
      <w:r w:rsidR="00D86FDF">
        <w:rPr>
          <w:sz w:val="23"/>
          <w:szCs w:val="23"/>
        </w:rPr>
        <w:t>;</w:t>
      </w:r>
      <w:r>
        <w:rPr>
          <w:sz w:val="23"/>
          <w:szCs w:val="23"/>
        </w:rPr>
        <w:t xml:space="preserve"> </w:t>
      </w:r>
      <w:r w:rsidR="009B2806" w:rsidRPr="009341EF">
        <w:rPr>
          <w:sz w:val="23"/>
          <w:szCs w:val="23"/>
        </w:rPr>
        <w:t>and</w:t>
      </w:r>
    </w:p>
    <w:p w14:paraId="13AA79F0" w14:textId="77777777" w:rsidR="009B2806" w:rsidRPr="009341EF" w:rsidRDefault="009B2806" w:rsidP="009341EF">
      <w:pPr>
        <w:pStyle w:val="ListParagraph"/>
        <w:numPr>
          <w:ilvl w:val="0"/>
          <w:numId w:val="87"/>
        </w:numPr>
        <w:rPr>
          <w:sz w:val="23"/>
          <w:szCs w:val="23"/>
        </w:rPr>
      </w:pPr>
      <w:r>
        <w:rPr>
          <w:sz w:val="23"/>
          <w:szCs w:val="23"/>
        </w:rPr>
        <w:t>Level of family and community support available</w:t>
      </w:r>
      <w:r>
        <w:rPr>
          <w:rStyle w:val="FootnoteReference"/>
          <w:sz w:val="23"/>
          <w:szCs w:val="23"/>
        </w:rPr>
        <w:footnoteReference w:id="26"/>
      </w:r>
      <w:r w:rsidR="000C194E">
        <w:rPr>
          <w:sz w:val="23"/>
          <w:szCs w:val="23"/>
        </w:rPr>
        <w:t>.</w:t>
      </w:r>
    </w:p>
    <w:p w14:paraId="0E14B073" w14:textId="77777777" w:rsidR="00310482" w:rsidRDefault="00310482" w:rsidP="009341EF">
      <w:pPr>
        <w:pStyle w:val="Heading3Numbered"/>
        <w:numPr>
          <w:ilvl w:val="2"/>
          <w:numId w:val="5"/>
        </w:numPr>
        <w:rPr>
          <w:sz w:val="23"/>
          <w:szCs w:val="23"/>
        </w:rPr>
      </w:pPr>
      <w:bookmarkStart w:id="57" w:name="_Toc531941932"/>
      <w:r>
        <w:rPr>
          <w:sz w:val="23"/>
          <w:szCs w:val="23"/>
        </w:rPr>
        <w:t xml:space="preserve">Comprehensive </w:t>
      </w:r>
      <w:r w:rsidR="007646E0">
        <w:rPr>
          <w:sz w:val="23"/>
          <w:szCs w:val="23"/>
        </w:rPr>
        <w:t xml:space="preserve">stepped </w:t>
      </w:r>
      <w:r>
        <w:rPr>
          <w:sz w:val="23"/>
          <w:szCs w:val="23"/>
        </w:rPr>
        <w:t>care is patient centric care</w:t>
      </w:r>
      <w:bookmarkEnd w:id="57"/>
    </w:p>
    <w:p w14:paraId="4AC1F176" w14:textId="77777777" w:rsidR="000D0E4E" w:rsidRPr="00AE5A70" w:rsidRDefault="000D59EB">
      <w:pPr>
        <w:rPr>
          <w:sz w:val="23"/>
          <w:szCs w:val="23"/>
        </w:rPr>
      </w:pPr>
      <w:bookmarkStart w:id="58" w:name="_Toc530408300"/>
      <w:bookmarkStart w:id="59" w:name="_Toc530408497"/>
      <w:bookmarkEnd w:id="58"/>
      <w:bookmarkEnd w:id="59"/>
      <w:r w:rsidRPr="00310482">
        <w:rPr>
          <w:sz w:val="23"/>
          <w:szCs w:val="23"/>
        </w:rPr>
        <w:t xml:space="preserve">The </w:t>
      </w:r>
      <w:r w:rsidR="000D0E4E" w:rsidRPr="00310482">
        <w:rPr>
          <w:sz w:val="23"/>
          <w:szCs w:val="23"/>
        </w:rPr>
        <w:t xml:space="preserve">best practice care model is fundamentally person and family centric, strengths based and tailored to meet the individual’s decision-making capability. This is because there is no standardised treatment plan for people </w:t>
      </w:r>
      <w:r w:rsidR="008E6E66" w:rsidRPr="00310482">
        <w:rPr>
          <w:sz w:val="23"/>
          <w:szCs w:val="23"/>
        </w:rPr>
        <w:t>with eating</w:t>
      </w:r>
      <w:r w:rsidR="008E6E66">
        <w:rPr>
          <w:sz w:val="23"/>
          <w:szCs w:val="23"/>
        </w:rPr>
        <w:t xml:space="preserve"> disorders</w:t>
      </w:r>
      <w:r w:rsidR="000D0E4E" w:rsidRPr="00AE5A70">
        <w:rPr>
          <w:sz w:val="23"/>
          <w:szCs w:val="23"/>
        </w:rPr>
        <w:t>, particularly those with more chronic forms.</w:t>
      </w:r>
      <w:r w:rsidR="000D0E4E" w:rsidRPr="00D86FDF">
        <w:rPr>
          <w:vertAlign w:val="superscript"/>
        </w:rPr>
        <w:footnoteReference w:id="27"/>
      </w:r>
      <w:r w:rsidR="000D0E4E" w:rsidRPr="00AE5A70">
        <w:rPr>
          <w:sz w:val="23"/>
          <w:szCs w:val="23"/>
        </w:rPr>
        <w:t xml:space="preserve"> The National Framework (2012)</w:t>
      </w:r>
      <w:r w:rsidR="000D0E4E" w:rsidRPr="00D86FDF">
        <w:rPr>
          <w:vertAlign w:val="superscript"/>
        </w:rPr>
        <w:footnoteReference w:id="28"/>
      </w:r>
      <w:r w:rsidR="000D0E4E" w:rsidRPr="00D86FDF">
        <w:rPr>
          <w:sz w:val="23"/>
          <w:szCs w:val="23"/>
          <w:vertAlign w:val="superscript"/>
        </w:rPr>
        <w:t xml:space="preserve"> </w:t>
      </w:r>
      <w:r w:rsidR="000D0E4E" w:rsidRPr="00AE5A70">
        <w:rPr>
          <w:sz w:val="23"/>
          <w:szCs w:val="23"/>
        </w:rPr>
        <w:t xml:space="preserve">describes the person centric approach as a holistic perspective, contextually congruent with the patient, their </w:t>
      </w:r>
      <w:r w:rsidR="00B905C2" w:rsidRPr="00AE5A70">
        <w:rPr>
          <w:sz w:val="23"/>
          <w:szCs w:val="23"/>
        </w:rPr>
        <w:t>family and their</w:t>
      </w:r>
      <w:r w:rsidR="000D0E4E" w:rsidRPr="00AE5A70">
        <w:rPr>
          <w:sz w:val="23"/>
          <w:szCs w:val="23"/>
        </w:rPr>
        <w:t xml:space="preserve"> environment</w:t>
      </w:r>
      <w:r w:rsidR="004F62D2" w:rsidRPr="00AE5A70">
        <w:rPr>
          <w:sz w:val="23"/>
          <w:szCs w:val="23"/>
        </w:rPr>
        <w:t>.</w:t>
      </w:r>
      <w:r w:rsidR="004F62D2" w:rsidRPr="00D86FDF">
        <w:rPr>
          <w:vertAlign w:val="superscript"/>
        </w:rPr>
        <w:footnoteReference w:id="29"/>
      </w:r>
    </w:p>
    <w:p w14:paraId="0D5912DD" w14:textId="77777777" w:rsidR="000D0E4E" w:rsidRPr="00AE5A70" w:rsidRDefault="000D0E4E" w:rsidP="000D0E4E">
      <w:pPr>
        <w:rPr>
          <w:sz w:val="23"/>
          <w:szCs w:val="23"/>
        </w:rPr>
      </w:pPr>
      <w:r w:rsidRPr="00AE5A70">
        <w:rPr>
          <w:sz w:val="23"/>
          <w:szCs w:val="23"/>
        </w:rPr>
        <w:t xml:space="preserve">This translates to addressing the individual needs of </w:t>
      </w:r>
      <w:r w:rsidR="00D740A4" w:rsidRPr="00AE5A70">
        <w:rPr>
          <w:sz w:val="23"/>
          <w:szCs w:val="23"/>
        </w:rPr>
        <w:t>patients with</w:t>
      </w:r>
      <w:r w:rsidRPr="00AE5A70">
        <w:rPr>
          <w:sz w:val="23"/>
          <w:szCs w:val="23"/>
        </w:rPr>
        <w:t xml:space="preserve"> </w:t>
      </w:r>
      <w:r w:rsidR="008E6E66">
        <w:rPr>
          <w:sz w:val="23"/>
          <w:szCs w:val="23"/>
        </w:rPr>
        <w:t>eating disorders</w:t>
      </w:r>
      <w:r w:rsidRPr="00AE5A70">
        <w:rPr>
          <w:sz w:val="23"/>
          <w:szCs w:val="23"/>
        </w:rPr>
        <w:t>, regarding treatment and support</w:t>
      </w:r>
      <w:r w:rsidR="311E9288" w:rsidRPr="00AE5A70">
        <w:rPr>
          <w:sz w:val="23"/>
          <w:szCs w:val="23"/>
        </w:rPr>
        <w:t>. T</w:t>
      </w:r>
      <w:r w:rsidR="4C954088" w:rsidRPr="00AE5A70">
        <w:rPr>
          <w:sz w:val="23"/>
          <w:szCs w:val="23"/>
        </w:rPr>
        <w:t>h</w:t>
      </w:r>
      <w:r w:rsidR="311E9288" w:rsidRPr="00AE5A70">
        <w:rPr>
          <w:sz w:val="23"/>
          <w:szCs w:val="23"/>
        </w:rPr>
        <w:t xml:space="preserve">e Working Group </w:t>
      </w:r>
      <w:r w:rsidR="00EA7F55" w:rsidRPr="00AE5A70">
        <w:rPr>
          <w:sz w:val="23"/>
          <w:szCs w:val="23"/>
        </w:rPr>
        <w:t>consider</w:t>
      </w:r>
      <w:r w:rsidR="311E9288" w:rsidRPr="00AE5A70">
        <w:rPr>
          <w:sz w:val="23"/>
          <w:szCs w:val="23"/>
        </w:rPr>
        <w:t xml:space="preserve"> that </w:t>
      </w:r>
      <w:r w:rsidRPr="00AE5A70">
        <w:rPr>
          <w:sz w:val="23"/>
          <w:szCs w:val="23"/>
        </w:rPr>
        <w:t xml:space="preserve">the current MBS item framework </w:t>
      </w:r>
      <w:r w:rsidR="3DBD7F93" w:rsidRPr="00AE5A70">
        <w:rPr>
          <w:sz w:val="23"/>
          <w:szCs w:val="23"/>
        </w:rPr>
        <w:t>is</w:t>
      </w:r>
      <w:r w:rsidRPr="00AE5A70">
        <w:rPr>
          <w:sz w:val="23"/>
          <w:szCs w:val="23"/>
        </w:rPr>
        <w:t xml:space="preserve"> inflexible to the patient’s needs</w:t>
      </w:r>
      <w:r w:rsidR="30F6C585" w:rsidRPr="00AE5A70">
        <w:rPr>
          <w:sz w:val="23"/>
          <w:szCs w:val="23"/>
        </w:rPr>
        <w:t xml:space="preserve"> and</w:t>
      </w:r>
      <w:r w:rsidR="521A4EEB" w:rsidRPr="00AE5A70">
        <w:rPr>
          <w:sz w:val="23"/>
          <w:szCs w:val="23"/>
        </w:rPr>
        <w:t>,</w:t>
      </w:r>
      <w:r w:rsidR="30F6C585" w:rsidRPr="00AE5A70">
        <w:rPr>
          <w:sz w:val="23"/>
          <w:szCs w:val="23"/>
        </w:rPr>
        <w:t xml:space="preserve"> due to the restrictions</w:t>
      </w:r>
      <w:r w:rsidR="21A9C2AE" w:rsidRPr="00AE5A70">
        <w:rPr>
          <w:sz w:val="23"/>
          <w:szCs w:val="23"/>
        </w:rPr>
        <w:t xml:space="preserve"> on the number of sessions funded, </w:t>
      </w:r>
      <w:r w:rsidR="0037081F" w:rsidRPr="00AE5A70">
        <w:rPr>
          <w:sz w:val="23"/>
          <w:szCs w:val="23"/>
        </w:rPr>
        <w:t>is</w:t>
      </w:r>
      <w:r w:rsidR="00B905C2" w:rsidRPr="00AE5A70">
        <w:rPr>
          <w:sz w:val="23"/>
          <w:szCs w:val="23"/>
        </w:rPr>
        <w:t xml:space="preserve"> </w:t>
      </w:r>
      <w:r w:rsidRPr="00AE5A70">
        <w:rPr>
          <w:sz w:val="23"/>
          <w:szCs w:val="23"/>
        </w:rPr>
        <w:t>too brief to have a lasting impact</w:t>
      </w:r>
      <w:r w:rsidR="21A9C2AE" w:rsidRPr="00AE5A70">
        <w:rPr>
          <w:sz w:val="23"/>
          <w:szCs w:val="23"/>
        </w:rPr>
        <w:t xml:space="preserve"> on </w:t>
      </w:r>
      <w:r w:rsidR="521A4EEB" w:rsidRPr="00AE5A70">
        <w:rPr>
          <w:sz w:val="23"/>
          <w:szCs w:val="23"/>
        </w:rPr>
        <w:t>patients</w:t>
      </w:r>
      <w:r w:rsidR="00673052" w:rsidRPr="00AE5A70">
        <w:rPr>
          <w:sz w:val="23"/>
          <w:szCs w:val="23"/>
        </w:rPr>
        <w:t>’</w:t>
      </w:r>
      <w:r w:rsidR="521A4EEB" w:rsidRPr="00AE5A70">
        <w:rPr>
          <w:sz w:val="23"/>
          <w:szCs w:val="23"/>
        </w:rPr>
        <w:t xml:space="preserve"> </w:t>
      </w:r>
      <w:r w:rsidR="21A9C2AE" w:rsidRPr="00AE5A70">
        <w:rPr>
          <w:sz w:val="23"/>
          <w:szCs w:val="23"/>
        </w:rPr>
        <w:t>recovery process</w:t>
      </w:r>
      <w:r w:rsidRPr="00AE5A70">
        <w:rPr>
          <w:sz w:val="23"/>
          <w:szCs w:val="23"/>
        </w:rPr>
        <w:t xml:space="preserve">. This renders the current framework for treating </w:t>
      </w:r>
      <w:r w:rsidR="00D740A4" w:rsidRPr="00AE5A70">
        <w:rPr>
          <w:sz w:val="23"/>
          <w:szCs w:val="23"/>
        </w:rPr>
        <w:t xml:space="preserve">people with </w:t>
      </w:r>
      <w:r w:rsidR="008E6E66">
        <w:rPr>
          <w:sz w:val="23"/>
          <w:szCs w:val="23"/>
        </w:rPr>
        <w:t>eating disorders</w:t>
      </w:r>
      <w:r w:rsidRPr="00AE5A70">
        <w:rPr>
          <w:sz w:val="23"/>
          <w:szCs w:val="23"/>
        </w:rPr>
        <w:t>, antithetical to the patient centric model.</w:t>
      </w:r>
      <w:r w:rsidRPr="00AE5A70">
        <w:rPr>
          <w:rStyle w:val="FootnoteReference"/>
          <w:rFonts w:asciiTheme="majorEastAsia" w:eastAsiaTheme="majorEastAsia" w:hAnsiTheme="majorEastAsia" w:cstheme="majorEastAsia"/>
          <w:sz w:val="23"/>
          <w:szCs w:val="23"/>
        </w:rPr>
        <w:footnoteReference w:id="30"/>
      </w:r>
      <w:r w:rsidRPr="00AE5A70">
        <w:rPr>
          <w:sz w:val="23"/>
          <w:szCs w:val="23"/>
        </w:rPr>
        <w:t xml:space="preserve"> </w:t>
      </w:r>
    </w:p>
    <w:p w14:paraId="2D355757" w14:textId="77777777" w:rsidR="000D0E4E" w:rsidRPr="00AE5A70" w:rsidRDefault="0059092D" w:rsidP="000D0E4E">
      <w:pPr>
        <w:rPr>
          <w:sz w:val="23"/>
          <w:szCs w:val="23"/>
        </w:rPr>
      </w:pPr>
      <w:r>
        <w:rPr>
          <w:sz w:val="23"/>
          <w:szCs w:val="23"/>
        </w:rPr>
        <w:t>The Working Group is of the view that the best way to support patient centric care through the MBS is through a comprehensive</w:t>
      </w:r>
      <w:r w:rsidR="00D86FDF">
        <w:rPr>
          <w:sz w:val="23"/>
          <w:szCs w:val="23"/>
        </w:rPr>
        <w:t xml:space="preserve"> stepped</w:t>
      </w:r>
      <w:r>
        <w:rPr>
          <w:sz w:val="23"/>
          <w:szCs w:val="23"/>
        </w:rPr>
        <w:t xml:space="preserve"> model of care. </w:t>
      </w:r>
      <w:r w:rsidR="000D0E4E" w:rsidRPr="00AE5A70">
        <w:rPr>
          <w:sz w:val="23"/>
          <w:szCs w:val="23"/>
        </w:rPr>
        <w:t xml:space="preserve">The following section examines the best practice care options required to support </w:t>
      </w:r>
      <w:r w:rsidR="00D740A4" w:rsidRPr="00AE5A70">
        <w:rPr>
          <w:sz w:val="23"/>
          <w:szCs w:val="23"/>
        </w:rPr>
        <w:t xml:space="preserve">patients with </w:t>
      </w:r>
      <w:r w:rsidR="008E6E66">
        <w:rPr>
          <w:sz w:val="23"/>
          <w:szCs w:val="23"/>
        </w:rPr>
        <w:t>eating disorders</w:t>
      </w:r>
      <w:r w:rsidR="000D0E4E" w:rsidRPr="00AE5A70">
        <w:rPr>
          <w:sz w:val="23"/>
          <w:szCs w:val="23"/>
        </w:rPr>
        <w:t xml:space="preserve">. </w:t>
      </w:r>
    </w:p>
    <w:p w14:paraId="72648124" w14:textId="77777777" w:rsidR="000D0E4E" w:rsidRPr="00AE5A70" w:rsidRDefault="000D0E4E" w:rsidP="00044469">
      <w:pPr>
        <w:pStyle w:val="Heading3Numbered"/>
        <w:numPr>
          <w:ilvl w:val="2"/>
          <w:numId w:val="5"/>
        </w:numPr>
        <w:rPr>
          <w:rFonts w:asciiTheme="minorBidi" w:eastAsiaTheme="minorBidi" w:hAnsiTheme="minorBidi" w:cstheme="minorBidi"/>
          <w:sz w:val="23"/>
          <w:szCs w:val="23"/>
        </w:rPr>
      </w:pPr>
      <w:bookmarkStart w:id="60" w:name="_Toc531941933"/>
      <w:r w:rsidRPr="00AE5A70">
        <w:rPr>
          <w:sz w:val="23"/>
          <w:szCs w:val="23"/>
        </w:rPr>
        <w:t>Psychological therapy</w:t>
      </w:r>
      <w:r w:rsidR="005A5F0B">
        <w:rPr>
          <w:sz w:val="23"/>
          <w:szCs w:val="23"/>
        </w:rPr>
        <w:t xml:space="preserve"> as part of a compreh</w:t>
      </w:r>
      <w:r w:rsidR="00F325C0">
        <w:rPr>
          <w:sz w:val="23"/>
          <w:szCs w:val="23"/>
        </w:rPr>
        <w:t xml:space="preserve">ensive stepped </w:t>
      </w:r>
      <w:r w:rsidR="005A5F0B">
        <w:rPr>
          <w:sz w:val="23"/>
          <w:szCs w:val="23"/>
        </w:rPr>
        <w:t>model of care</w:t>
      </w:r>
      <w:bookmarkEnd w:id="60"/>
    </w:p>
    <w:p w14:paraId="14BB286F" w14:textId="77777777" w:rsidR="00B905C2" w:rsidRPr="00AE5A70" w:rsidRDefault="000D0E4E" w:rsidP="0A3A2D0A">
      <w:pPr>
        <w:rPr>
          <w:sz w:val="23"/>
          <w:szCs w:val="23"/>
        </w:rPr>
      </w:pPr>
      <w:r w:rsidRPr="00AE5A70">
        <w:rPr>
          <w:sz w:val="23"/>
          <w:szCs w:val="23"/>
        </w:rPr>
        <w:t xml:space="preserve">Under the </w:t>
      </w:r>
      <w:r w:rsidRPr="00AE5A70">
        <w:rPr>
          <w:i/>
          <w:sz w:val="23"/>
          <w:szCs w:val="23"/>
        </w:rPr>
        <w:t>Better Access</w:t>
      </w:r>
      <w:r w:rsidR="004F62D2" w:rsidRPr="00AE5A70">
        <w:rPr>
          <w:i/>
          <w:sz w:val="23"/>
          <w:szCs w:val="23"/>
        </w:rPr>
        <w:t xml:space="preserve"> </w:t>
      </w:r>
      <w:r w:rsidR="00F72032" w:rsidRPr="00AE5A70">
        <w:rPr>
          <w:i/>
          <w:sz w:val="23"/>
          <w:szCs w:val="23"/>
        </w:rPr>
        <w:t>I</w:t>
      </w:r>
      <w:r w:rsidR="004F62D2" w:rsidRPr="00AE5A70">
        <w:rPr>
          <w:i/>
          <w:sz w:val="23"/>
          <w:szCs w:val="23"/>
        </w:rPr>
        <w:t>nitiative</w:t>
      </w:r>
      <w:r w:rsidRPr="00AE5A70">
        <w:rPr>
          <w:sz w:val="23"/>
          <w:szCs w:val="23"/>
        </w:rPr>
        <w:t xml:space="preserve">, patients diagnosed with </w:t>
      </w:r>
      <w:r w:rsidR="00961878" w:rsidRPr="00AE5A70">
        <w:rPr>
          <w:sz w:val="23"/>
          <w:szCs w:val="23"/>
        </w:rPr>
        <w:t xml:space="preserve">an eating disorder </w:t>
      </w:r>
      <w:r w:rsidRPr="00AE5A70">
        <w:rPr>
          <w:sz w:val="23"/>
          <w:szCs w:val="23"/>
        </w:rPr>
        <w:t xml:space="preserve">are currently entitled to </w:t>
      </w:r>
      <w:r w:rsidR="16116CF1" w:rsidRPr="00AE5A70">
        <w:rPr>
          <w:sz w:val="23"/>
          <w:szCs w:val="23"/>
        </w:rPr>
        <w:t xml:space="preserve">a Mental Health Care Plan and </w:t>
      </w:r>
      <w:r w:rsidRPr="00AE5A70">
        <w:rPr>
          <w:sz w:val="23"/>
          <w:szCs w:val="23"/>
        </w:rPr>
        <w:t xml:space="preserve">up to </w:t>
      </w:r>
      <w:r w:rsidR="7663ABED" w:rsidRPr="00AE5A70">
        <w:rPr>
          <w:sz w:val="23"/>
          <w:szCs w:val="23"/>
        </w:rPr>
        <w:t>10</w:t>
      </w:r>
      <w:r w:rsidRPr="00AE5A70">
        <w:rPr>
          <w:sz w:val="23"/>
          <w:szCs w:val="23"/>
        </w:rPr>
        <w:t xml:space="preserve"> individual </w:t>
      </w:r>
      <w:r w:rsidR="00CE26E7" w:rsidRPr="00AE5A70">
        <w:rPr>
          <w:sz w:val="23"/>
          <w:szCs w:val="23"/>
        </w:rPr>
        <w:t>mental health</w:t>
      </w:r>
      <w:r w:rsidRPr="00AE5A70">
        <w:rPr>
          <w:sz w:val="23"/>
          <w:szCs w:val="23"/>
        </w:rPr>
        <w:t xml:space="preserve"> sessions</w:t>
      </w:r>
      <w:r w:rsidR="00FE1995" w:rsidRPr="00AE5A70">
        <w:rPr>
          <w:sz w:val="23"/>
          <w:szCs w:val="23"/>
        </w:rPr>
        <w:t xml:space="preserve"> </w:t>
      </w:r>
      <w:r w:rsidR="003F19DC" w:rsidRPr="00AE5A70">
        <w:rPr>
          <w:sz w:val="23"/>
          <w:szCs w:val="23"/>
        </w:rPr>
        <w:t xml:space="preserve">and up to </w:t>
      </w:r>
      <w:r w:rsidR="00B8088D" w:rsidRPr="00AE5A70">
        <w:rPr>
          <w:sz w:val="23"/>
          <w:szCs w:val="23"/>
        </w:rPr>
        <w:t>10</w:t>
      </w:r>
      <w:r w:rsidR="003F19DC" w:rsidRPr="00AE5A70">
        <w:rPr>
          <w:sz w:val="23"/>
          <w:szCs w:val="23"/>
        </w:rPr>
        <w:t xml:space="preserve"> group therapy sessions</w:t>
      </w:r>
      <w:r w:rsidRPr="00AE5A70">
        <w:rPr>
          <w:sz w:val="23"/>
          <w:szCs w:val="23"/>
        </w:rPr>
        <w:t xml:space="preserve">. </w:t>
      </w:r>
      <w:r w:rsidR="00E62F39" w:rsidRPr="00AE5A70">
        <w:rPr>
          <w:sz w:val="23"/>
          <w:szCs w:val="23"/>
        </w:rPr>
        <w:t xml:space="preserve">The Working Group </w:t>
      </w:r>
      <w:r w:rsidR="00FE1995" w:rsidRPr="00AE5A70">
        <w:rPr>
          <w:sz w:val="23"/>
          <w:szCs w:val="23"/>
        </w:rPr>
        <w:t>identified</w:t>
      </w:r>
      <w:r w:rsidR="00E62F39" w:rsidRPr="00AE5A70">
        <w:rPr>
          <w:sz w:val="23"/>
          <w:szCs w:val="23"/>
        </w:rPr>
        <w:t xml:space="preserve"> this</w:t>
      </w:r>
      <w:r w:rsidRPr="00AE5A70">
        <w:rPr>
          <w:sz w:val="23"/>
          <w:szCs w:val="23"/>
        </w:rPr>
        <w:t xml:space="preserve"> as intervention </w:t>
      </w:r>
      <w:r w:rsidR="0059092D">
        <w:rPr>
          <w:sz w:val="23"/>
          <w:szCs w:val="23"/>
        </w:rPr>
        <w:t>as beneficial for patients with subclinical presentations of disordered eating, but inadequate for the delivery of evidence-based care for patients with eating disorders.</w:t>
      </w:r>
      <w:r w:rsidR="00B905C2" w:rsidRPr="00AE5A70">
        <w:rPr>
          <w:sz w:val="23"/>
          <w:szCs w:val="23"/>
        </w:rPr>
        <w:t xml:space="preserve"> </w:t>
      </w:r>
      <w:r w:rsidRPr="00AE5A70">
        <w:rPr>
          <w:sz w:val="23"/>
          <w:szCs w:val="23"/>
        </w:rPr>
        <w:t xml:space="preserve">Brief psychological treatments are generally not sufficient to achieve recovery from an eating disorder, let alone </w:t>
      </w:r>
      <w:r w:rsidR="008E6E66">
        <w:rPr>
          <w:sz w:val="23"/>
          <w:szCs w:val="23"/>
        </w:rPr>
        <w:t xml:space="preserve">patients with </w:t>
      </w:r>
      <w:r w:rsidR="00895B75">
        <w:rPr>
          <w:sz w:val="23"/>
          <w:szCs w:val="23"/>
        </w:rPr>
        <w:t>complex needs, such as those with AN</w:t>
      </w:r>
      <w:r w:rsidR="006027EF" w:rsidRPr="00AE5A70">
        <w:rPr>
          <w:rStyle w:val="FootnoteReference"/>
          <w:rFonts w:asciiTheme="majorEastAsia" w:eastAsiaTheme="majorEastAsia" w:hAnsiTheme="majorEastAsia" w:cstheme="majorEastAsia"/>
          <w:sz w:val="23"/>
          <w:szCs w:val="23"/>
        </w:rPr>
        <w:footnoteReference w:id="31"/>
      </w:r>
      <w:r w:rsidR="008E6E66">
        <w:rPr>
          <w:sz w:val="23"/>
          <w:szCs w:val="23"/>
        </w:rPr>
        <w:t>.</w:t>
      </w:r>
    </w:p>
    <w:p w14:paraId="6B0AE298" w14:textId="77777777" w:rsidR="000D0E4E" w:rsidRPr="00AE5A70" w:rsidRDefault="0059092D" w:rsidP="000D0E4E">
      <w:pPr>
        <w:rPr>
          <w:sz w:val="23"/>
          <w:szCs w:val="23"/>
        </w:rPr>
      </w:pPr>
      <w:r>
        <w:rPr>
          <w:sz w:val="23"/>
          <w:szCs w:val="23"/>
        </w:rPr>
        <w:t>Additional</w:t>
      </w:r>
      <w:r w:rsidR="00B905C2" w:rsidRPr="00AE5A70">
        <w:rPr>
          <w:sz w:val="23"/>
          <w:szCs w:val="23"/>
        </w:rPr>
        <w:t xml:space="preserve"> psychological session</w:t>
      </w:r>
      <w:r w:rsidR="00AF2986" w:rsidRPr="00AE5A70">
        <w:rPr>
          <w:sz w:val="23"/>
          <w:szCs w:val="23"/>
        </w:rPr>
        <w:t>s</w:t>
      </w:r>
      <w:r w:rsidR="00B905C2" w:rsidRPr="00AE5A70">
        <w:rPr>
          <w:sz w:val="23"/>
          <w:szCs w:val="23"/>
        </w:rPr>
        <w:t xml:space="preserve"> are practical </w:t>
      </w:r>
      <w:r w:rsidR="000D0E4E" w:rsidRPr="00AE5A70">
        <w:rPr>
          <w:sz w:val="23"/>
          <w:szCs w:val="23"/>
        </w:rPr>
        <w:t xml:space="preserve">considering that pharmacological solutions, such as </w:t>
      </w:r>
      <w:r w:rsidR="039D58EA" w:rsidRPr="00AE5A70">
        <w:rPr>
          <w:sz w:val="23"/>
          <w:szCs w:val="23"/>
        </w:rPr>
        <w:t>selective ser</w:t>
      </w:r>
      <w:r w:rsidR="33892DDB" w:rsidRPr="00AE5A70">
        <w:rPr>
          <w:sz w:val="23"/>
          <w:szCs w:val="23"/>
        </w:rPr>
        <w:t>o</w:t>
      </w:r>
      <w:r w:rsidR="039D58EA" w:rsidRPr="00AE5A70">
        <w:rPr>
          <w:sz w:val="23"/>
          <w:szCs w:val="23"/>
        </w:rPr>
        <w:t>tonin reuptake inhibitors (</w:t>
      </w:r>
      <w:r w:rsidR="000D0E4E" w:rsidRPr="00AE5A70">
        <w:rPr>
          <w:sz w:val="23"/>
          <w:szCs w:val="23"/>
        </w:rPr>
        <w:t>SSRI</w:t>
      </w:r>
      <w:r w:rsidR="039D58EA" w:rsidRPr="00AE5A70">
        <w:rPr>
          <w:sz w:val="23"/>
          <w:szCs w:val="23"/>
        </w:rPr>
        <w:t>)</w:t>
      </w:r>
      <w:r w:rsidR="000D0E4E" w:rsidRPr="00AE5A70">
        <w:rPr>
          <w:sz w:val="23"/>
          <w:szCs w:val="23"/>
        </w:rPr>
        <w:t xml:space="preserve"> antidepressants, are not a stand-alone intervention capable of addressing the long term nature of the </w:t>
      </w:r>
      <w:r w:rsidR="003F71CD" w:rsidRPr="00AE5A70">
        <w:rPr>
          <w:sz w:val="23"/>
          <w:szCs w:val="23"/>
        </w:rPr>
        <w:t>illness</w:t>
      </w:r>
      <w:r w:rsidR="00BF08DA" w:rsidRPr="00AE5A70">
        <w:rPr>
          <w:sz w:val="23"/>
          <w:szCs w:val="23"/>
        </w:rPr>
        <w:t>es</w:t>
      </w:r>
      <w:r w:rsidR="000D0E4E" w:rsidRPr="00AE5A70">
        <w:rPr>
          <w:sz w:val="23"/>
          <w:szCs w:val="23"/>
        </w:rPr>
        <w:t xml:space="preserve">. </w:t>
      </w:r>
      <w:r w:rsidR="00325987" w:rsidRPr="00AE5A70">
        <w:rPr>
          <w:sz w:val="23"/>
          <w:szCs w:val="23"/>
        </w:rPr>
        <w:t>P</w:t>
      </w:r>
      <w:r w:rsidR="000D0E4E" w:rsidRPr="00AE5A70">
        <w:rPr>
          <w:sz w:val="23"/>
          <w:szCs w:val="23"/>
        </w:rPr>
        <w:t xml:space="preserve">harmacological solutions must be combined with ongoing psychological </w:t>
      </w:r>
      <w:r w:rsidR="00BF08DA" w:rsidRPr="00AE5A70">
        <w:rPr>
          <w:sz w:val="23"/>
          <w:szCs w:val="23"/>
        </w:rPr>
        <w:t>intervention</w:t>
      </w:r>
      <w:r w:rsidR="000D0E4E" w:rsidRPr="00AE5A70">
        <w:rPr>
          <w:sz w:val="23"/>
          <w:szCs w:val="23"/>
        </w:rPr>
        <w:t xml:space="preserve">. This approach </w:t>
      </w:r>
      <w:r w:rsidR="00D740A4" w:rsidRPr="00AE5A70">
        <w:rPr>
          <w:sz w:val="23"/>
          <w:szCs w:val="23"/>
        </w:rPr>
        <w:t xml:space="preserve">enables </w:t>
      </w:r>
      <w:r w:rsidR="000D0E4E" w:rsidRPr="00AE5A70">
        <w:rPr>
          <w:sz w:val="23"/>
          <w:szCs w:val="23"/>
        </w:rPr>
        <w:t xml:space="preserve">the treatment team to address all aspects of the illness, reducing the risk of chronicity.  </w:t>
      </w:r>
    </w:p>
    <w:p w14:paraId="1BA3CADF" w14:textId="77777777" w:rsidR="000D0E4E" w:rsidRDefault="000D0E4E" w:rsidP="00F674F0">
      <w:pPr>
        <w:rPr>
          <w:sz w:val="23"/>
          <w:szCs w:val="23"/>
        </w:rPr>
      </w:pPr>
      <w:r w:rsidRPr="00AE5A70">
        <w:rPr>
          <w:sz w:val="23"/>
          <w:szCs w:val="23"/>
        </w:rPr>
        <w:t xml:space="preserve">In a best practice clinical care setting, </w:t>
      </w:r>
      <w:r w:rsidR="00EE4D0A" w:rsidRPr="00AE5A70">
        <w:rPr>
          <w:sz w:val="23"/>
          <w:szCs w:val="23"/>
        </w:rPr>
        <w:t xml:space="preserve">the Working Group believe that </w:t>
      </w:r>
      <w:r w:rsidR="00961878" w:rsidRPr="00AE5A70">
        <w:rPr>
          <w:sz w:val="23"/>
          <w:szCs w:val="23"/>
        </w:rPr>
        <w:t>effective and long</w:t>
      </w:r>
      <w:r w:rsidR="00961878" w:rsidRPr="00AE5A70">
        <w:rPr>
          <w:sz w:val="23"/>
          <w:szCs w:val="23"/>
        </w:rPr>
        <w:noBreakHyphen/>
      </w:r>
      <w:r w:rsidR="00261ECA" w:rsidRPr="00AE5A70">
        <w:rPr>
          <w:sz w:val="23"/>
          <w:szCs w:val="23"/>
        </w:rPr>
        <w:t xml:space="preserve">term treatment for </w:t>
      </w:r>
      <w:r w:rsidR="00903611" w:rsidRPr="00AE5A70">
        <w:rPr>
          <w:sz w:val="23"/>
          <w:szCs w:val="23"/>
        </w:rPr>
        <w:t>patients with an eating disorder requires</w:t>
      </w:r>
      <w:r w:rsidRPr="00AE5A70">
        <w:rPr>
          <w:sz w:val="23"/>
          <w:szCs w:val="23"/>
        </w:rPr>
        <w:t xml:space="preserve"> an increase in the psychological sessions that </w:t>
      </w:r>
      <w:r w:rsidR="00D740A4" w:rsidRPr="00AE5A70">
        <w:rPr>
          <w:sz w:val="23"/>
          <w:szCs w:val="23"/>
        </w:rPr>
        <w:t xml:space="preserve">patients </w:t>
      </w:r>
      <w:r w:rsidRPr="00AE5A70">
        <w:rPr>
          <w:sz w:val="23"/>
          <w:szCs w:val="23"/>
        </w:rPr>
        <w:t>are entitled to</w:t>
      </w:r>
      <w:r w:rsidR="00EE4D0A" w:rsidRPr="00AE5A70">
        <w:rPr>
          <w:sz w:val="23"/>
          <w:szCs w:val="23"/>
        </w:rPr>
        <w:t xml:space="preserve"> under the MBS</w:t>
      </w:r>
      <w:r w:rsidR="00440DF0" w:rsidRPr="00AE5A70">
        <w:rPr>
          <w:sz w:val="23"/>
          <w:szCs w:val="23"/>
        </w:rPr>
        <w:t xml:space="preserve">. </w:t>
      </w:r>
      <w:r w:rsidR="000C194E">
        <w:rPr>
          <w:sz w:val="23"/>
          <w:szCs w:val="23"/>
        </w:rPr>
        <w:t xml:space="preserve">The minimum course of treatment for patients </w:t>
      </w:r>
      <w:r w:rsidR="009400B8">
        <w:rPr>
          <w:sz w:val="23"/>
          <w:szCs w:val="23"/>
        </w:rPr>
        <w:t xml:space="preserve">in the initial stage of </w:t>
      </w:r>
      <w:r w:rsidR="00895B75">
        <w:rPr>
          <w:sz w:val="23"/>
          <w:szCs w:val="23"/>
        </w:rPr>
        <w:t xml:space="preserve">development of AN </w:t>
      </w:r>
      <w:r w:rsidR="000C194E">
        <w:rPr>
          <w:sz w:val="23"/>
          <w:szCs w:val="23"/>
        </w:rPr>
        <w:t xml:space="preserve">is around 20 to 25 sessions. </w:t>
      </w:r>
      <w:r w:rsidRPr="00AE5A70">
        <w:rPr>
          <w:sz w:val="23"/>
          <w:szCs w:val="23"/>
        </w:rPr>
        <w:t xml:space="preserve">Evidence shows that for those </w:t>
      </w:r>
      <w:r w:rsidR="006027EF">
        <w:rPr>
          <w:sz w:val="23"/>
          <w:szCs w:val="23"/>
        </w:rPr>
        <w:t xml:space="preserve">patients with </w:t>
      </w:r>
      <w:r w:rsidR="00895B75">
        <w:rPr>
          <w:sz w:val="23"/>
          <w:szCs w:val="23"/>
        </w:rPr>
        <w:t>AN</w:t>
      </w:r>
      <w:r w:rsidR="008E6E66">
        <w:rPr>
          <w:sz w:val="23"/>
          <w:szCs w:val="23"/>
        </w:rPr>
        <w:t xml:space="preserve"> </w:t>
      </w:r>
      <w:r w:rsidRPr="00AE5A70">
        <w:rPr>
          <w:sz w:val="23"/>
          <w:szCs w:val="23"/>
        </w:rPr>
        <w:t xml:space="preserve">who have been </w:t>
      </w:r>
      <w:r w:rsidR="00B905C2" w:rsidRPr="00AE5A70">
        <w:rPr>
          <w:sz w:val="23"/>
          <w:szCs w:val="23"/>
        </w:rPr>
        <w:t xml:space="preserve">chronically </w:t>
      </w:r>
      <w:r w:rsidRPr="00AE5A70">
        <w:rPr>
          <w:sz w:val="23"/>
          <w:szCs w:val="23"/>
        </w:rPr>
        <w:t xml:space="preserve">underweight </w:t>
      </w:r>
      <w:r w:rsidR="000859FB" w:rsidRPr="00AE5A70">
        <w:rPr>
          <w:sz w:val="23"/>
          <w:szCs w:val="23"/>
        </w:rPr>
        <w:t xml:space="preserve">to </w:t>
      </w:r>
      <w:r w:rsidR="00B905C2" w:rsidRPr="00AE5A70">
        <w:rPr>
          <w:sz w:val="23"/>
          <w:szCs w:val="23"/>
        </w:rPr>
        <w:t xml:space="preserve">achieve </w:t>
      </w:r>
      <w:r w:rsidRPr="00AE5A70">
        <w:rPr>
          <w:sz w:val="23"/>
          <w:szCs w:val="23"/>
        </w:rPr>
        <w:t>improved health outcomes</w:t>
      </w:r>
      <w:r w:rsidR="003C7555" w:rsidRPr="00AE5A70">
        <w:rPr>
          <w:sz w:val="23"/>
          <w:szCs w:val="23"/>
        </w:rPr>
        <w:t>,</w:t>
      </w:r>
      <w:r w:rsidRPr="00AE5A70">
        <w:rPr>
          <w:sz w:val="23"/>
          <w:szCs w:val="23"/>
        </w:rPr>
        <w:t xml:space="preserve"> access</w:t>
      </w:r>
      <w:r w:rsidR="00874617" w:rsidRPr="00AE5A70">
        <w:rPr>
          <w:sz w:val="23"/>
          <w:szCs w:val="23"/>
        </w:rPr>
        <w:t xml:space="preserve"> to</w:t>
      </w:r>
      <w:r w:rsidRPr="00AE5A70">
        <w:rPr>
          <w:sz w:val="23"/>
          <w:szCs w:val="23"/>
        </w:rPr>
        <w:t xml:space="preserve"> </w:t>
      </w:r>
      <w:r w:rsidR="1EA94566" w:rsidRPr="00AE5A70">
        <w:rPr>
          <w:sz w:val="23"/>
          <w:szCs w:val="23"/>
        </w:rPr>
        <w:t>40</w:t>
      </w:r>
      <w:r w:rsidR="00961878" w:rsidRPr="00AE5A70">
        <w:rPr>
          <w:sz w:val="23"/>
          <w:szCs w:val="23"/>
        </w:rPr>
        <w:t> </w:t>
      </w:r>
      <w:r w:rsidR="00B905C2" w:rsidRPr="00AE5A70">
        <w:rPr>
          <w:sz w:val="23"/>
          <w:szCs w:val="23"/>
        </w:rPr>
        <w:t>fifty</w:t>
      </w:r>
      <w:r w:rsidR="00186752" w:rsidRPr="00AE5A70">
        <w:rPr>
          <w:sz w:val="23"/>
          <w:szCs w:val="23"/>
        </w:rPr>
        <w:noBreakHyphen/>
      </w:r>
      <w:r w:rsidRPr="00AE5A70">
        <w:rPr>
          <w:sz w:val="23"/>
          <w:szCs w:val="23"/>
        </w:rPr>
        <w:t xml:space="preserve">minute sessions over a </w:t>
      </w:r>
      <w:r w:rsidR="15C8F5C0" w:rsidRPr="00AE5A70">
        <w:rPr>
          <w:sz w:val="23"/>
          <w:szCs w:val="23"/>
        </w:rPr>
        <w:t>40-</w:t>
      </w:r>
      <w:r w:rsidRPr="00AE5A70">
        <w:rPr>
          <w:sz w:val="23"/>
          <w:szCs w:val="23"/>
        </w:rPr>
        <w:t>week period</w:t>
      </w:r>
      <w:r w:rsidR="00D740A4" w:rsidRPr="00AE5A70">
        <w:rPr>
          <w:sz w:val="23"/>
          <w:szCs w:val="23"/>
        </w:rPr>
        <w:t xml:space="preserve"> is required</w:t>
      </w:r>
      <w:r w:rsidRPr="00AE5A70">
        <w:rPr>
          <w:sz w:val="23"/>
          <w:szCs w:val="23"/>
        </w:rPr>
        <w:t xml:space="preserve">. The provision of </w:t>
      </w:r>
      <w:r w:rsidR="55126F84" w:rsidRPr="00AE5A70">
        <w:rPr>
          <w:sz w:val="23"/>
          <w:szCs w:val="23"/>
        </w:rPr>
        <w:t xml:space="preserve">40 </w:t>
      </w:r>
      <w:r w:rsidRPr="00AE5A70">
        <w:rPr>
          <w:sz w:val="23"/>
          <w:szCs w:val="23"/>
        </w:rPr>
        <w:t>sessions has shown to reduce the risk of relapse</w:t>
      </w:r>
      <w:r w:rsidR="00B905C2" w:rsidRPr="00AE5A70">
        <w:rPr>
          <w:sz w:val="23"/>
          <w:szCs w:val="23"/>
        </w:rPr>
        <w:t>,</w:t>
      </w:r>
      <w:r w:rsidRPr="00AE5A70">
        <w:rPr>
          <w:sz w:val="23"/>
          <w:szCs w:val="23"/>
        </w:rPr>
        <w:t xml:space="preserve"> the risk of chronicity and the need for future treatment</w:t>
      </w:r>
      <w:r w:rsidR="00440DF0" w:rsidRPr="00AE5A70">
        <w:rPr>
          <w:rStyle w:val="FootnoteReference"/>
          <w:sz w:val="23"/>
          <w:szCs w:val="23"/>
        </w:rPr>
        <w:footnoteReference w:id="32"/>
      </w:r>
      <w:r w:rsidR="00440DF0" w:rsidRPr="00AE5A70">
        <w:rPr>
          <w:sz w:val="23"/>
          <w:szCs w:val="23"/>
          <w:vertAlign w:val="superscript"/>
        </w:rPr>
        <w:t>,</w:t>
      </w:r>
      <w:r w:rsidR="00440DF0" w:rsidRPr="00AE5A70">
        <w:rPr>
          <w:rStyle w:val="FootnoteReference"/>
          <w:sz w:val="23"/>
          <w:szCs w:val="23"/>
        </w:rPr>
        <w:footnoteReference w:id="33"/>
      </w:r>
      <w:r w:rsidRPr="00AE5A70">
        <w:rPr>
          <w:sz w:val="23"/>
          <w:szCs w:val="23"/>
        </w:rPr>
        <w:t xml:space="preserve">. </w:t>
      </w:r>
      <w:r w:rsidR="00C23140" w:rsidRPr="00AE5A70">
        <w:rPr>
          <w:sz w:val="23"/>
          <w:szCs w:val="23"/>
        </w:rPr>
        <w:t>The median duration for treatment is one to two years.</w:t>
      </w:r>
      <w:r w:rsidR="00AA74A7" w:rsidRPr="00AE5A70">
        <w:rPr>
          <w:sz w:val="23"/>
          <w:szCs w:val="23"/>
        </w:rPr>
        <w:t xml:space="preserve"> </w:t>
      </w:r>
      <w:r w:rsidR="00C23140" w:rsidRPr="00AE5A70">
        <w:rPr>
          <w:sz w:val="23"/>
          <w:szCs w:val="23"/>
        </w:rPr>
        <w:t>One recent trial examining the impact of three types of psychotherapy on weight gain, readmission</w:t>
      </w:r>
      <w:r w:rsidR="00D86FDF">
        <w:rPr>
          <w:sz w:val="23"/>
          <w:szCs w:val="23"/>
        </w:rPr>
        <w:t>,</w:t>
      </w:r>
      <w:r w:rsidR="00C23140" w:rsidRPr="00AE5A70">
        <w:rPr>
          <w:sz w:val="23"/>
          <w:szCs w:val="23"/>
        </w:rPr>
        <w:t xml:space="preserve"> depression, anxiety, stress and clinical impairment showed that all three interventions lead to improvements in weight, clinical symptoms and readmission rates. A key feature of these therapies was the weekly delivery of care</w:t>
      </w:r>
      <w:r w:rsidR="00C23140" w:rsidRPr="00AE5A70">
        <w:rPr>
          <w:vertAlign w:val="superscript"/>
        </w:rPr>
        <w:footnoteReference w:id="34"/>
      </w:r>
      <w:r w:rsidR="00C23140" w:rsidRPr="00AE5A70">
        <w:rPr>
          <w:sz w:val="23"/>
          <w:szCs w:val="23"/>
        </w:rPr>
        <w:t>.  Similarly, another trial found that delivery of between 40 to 50 sessions of psychotherapy over a 12 month period lead to weight gain and a decrease in eating disorder psychopathology</w:t>
      </w:r>
      <w:r w:rsidR="00C23140" w:rsidRPr="00AE5A70">
        <w:rPr>
          <w:rStyle w:val="FootnoteReference"/>
          <w:sz w:val="23"/>
          <w:szCs w:val="23"/>
        </w:rPr>
        <w:footnoteReference w:id="35"/>
      </w:r>
      <w:r w:rsidR="00C23140" w:rsidRPr="00AE5A70">
        <w:rPr>
          <w:sz w:val="23"/>
          <w:szCs w:val="23"/>
        </w:rPr>
        <w:t xml:space="preserve">.  </w:t>
      </w:r>
    </w:p>
    <w:p w14:paraId="75AA84FB" w14:textId="77777777" w:rsidR="00780B23" w:rsidRPr="00AE5A70" w:rsidRDefault="00780B23" w:rsidP="00F674F0">
      <w:pPr>
        <w:rPr>
          <w:sz w:val="23"/>
          <w:szCs w:val="23"/>
        </w:rPr>
      </w:pPr>
      <w:r>
        <w:rPr>
          <w:sz w:val="23"/>
          <w:szCs w:val="23"/>
        </w:rPr>
        <w:t xml:space="preserve">For BN and BED, there is evidence to support that for people in the </w:t>
      </w:r>
      <w:r w:rsidR="00892265">
        <w:rPr>
          <w:sz w:val="23"/>
          <w:szCs w:val="23"/>
        </w:rPr>
        <w:t>initial</w:t>
      </w:r>
      <w:r>
        <w:rPr>
          <w:sz w:val="23"/>
          <w:szCs w:val="23"/>
        </w:rPr>
        <w:t xml:space="preserve"> stages of illness, treatment could start at the lower level of intensity (including self-guided help and psychoeducation), with ongoing referral for more intensive </w:t>
      </w:r>
      <w:r w:rsidR="004F4EF4">
        <w:rPr>
          <w:sz w:val="23"/>
          <w:szCs w:val="23"/>
        </w:rPr>
        <w:t>psychological treatment</w:t>
      </w:r>
      <w:r w:rsidR="004F4EF4">
        <w:rPr>
          <w:rStyle w:val="FootnoteReference"/>
          <w:sz w:val="23"/>
          <w:szCs w:val="23"/>
        </w:rPr>
        <w:footnoteReference w:id="36"/>
      </w:r>
      <w:r w:rsidR="004F4EF4">
        <w:rPr>
          <w:sz w:val="23"/>
          <w:szCs w:val="23"/>
        </w:rPr>
        <w:t xml:space="preserve">. The minimum course of treatment which is supported by evidence is 20 sessions of cognitive-behavioural therapy (CBT). However, for patients who have not responded to treatment at a lower intensity or </w:t>
      </w:r>
      <w:r w:rsidR="00892265">
        <w:rPr>
          <w:sz w:val="23"/>
          <w:szCs w:val="23"/>
        </w:rPr>
        <w:t xml:space="preserve">with a </w:t>
      </w:r>
      <w:r w:rsidR="004F4EF4">
        <w:rPr>
          <w:sz w:val="23"/>
          <w:szCs w:val="23"/>
        </w:rPr>
        <w:t>more persistent illness, longer courses of treatment are indicated.</w:t>
      </w:r>
      <w:r w:rsidR="004F4EF4">
        <w:rPr>
          <w:rStyle w:val="FootnoteReference"/>
          <w:sz w:val="23"/>
          <w:szCs w:val="23"/>
        </w:rPr>
        <w:footnoteReference w:id="37"/>
      </w:r>
    </w:p>
    <w:p w14:paraId="29BC8553" w14:textId="77777777" w:rsidR="00440EE6" w:rsidRPr="00AE5A70" w:rsidRDefault="000D0E4E" w:rsidP="000D0E4E">
      <w:pPr>
        <w:rPr>
          <w:sz w:val="23"/>
          <w:szCs w:val="23"/>
        </w:rPr>
      </w:pPr>
      <w:r w:rsidRPr="00AE5A70">
        <w:rPr>
          <w:sz w:val="23"/>
          <w:szCs w:val="23"/>
        </w:rPr>
        <w:t xml:space="preserve">This type of </w:t>
      </w:r>
      <w:r w:rsidR="004F4EF4">
        <w:rPr>
          <w:sz w:val="23"/>
          <w:szCs w:val="23"/>
        </w:rPr>
        <w:t xml:space="preserve">intensive psychological </w:t>
      </w:r>
      <w:r w:rsidRPr="00AE5A70">
        <w:rPr>
          <w:sz w:val="23"/>
          <w:szCs w:val="23"/>
        </w:rPr>
        <w:t xml:space="preserve">support has also been modelled to demonstrate cost effective therapy. Measuring the cost of the therapy against Quality Adjusted Life Year (QALY – </w:t>
      </w:r>
      <w:r w:rsidR="00B905C2" w:rsidRPr="00AE5A70">
        <w:rPr>
          <w:sz w:val="23"/>
          <w:szCs w:val="23"/>
        </w:rPr>
        <w:t>The amount of time an individual spends in a given health state is then multiplied by the health state preference value</w:t>
      </w:r>
      <w:r w:rsidR="00B905C2" w:rsidRPr="00AE5A70">
        <w:rPr>
          <w:rStyle w:val="FootnoteReference"/>
          <w:sz w:val="23"/>
          <w:szCs w:val="23"/>
        </w:rPr>
        <w:footnoteReference w:id="38"/>
      </w:r>
      <w:r w:rsidRPr="00AE5A70">
        <w:rPr>
          <w:sz w:val="23"/>
          <w:szCs w:val="23"/>
        </w:rPr>
        <w:t xml:space="preserve">) against Disability Adjusted Life Year (DALY – </w:t>
      </w:r>
      <w:r w:rsidR="00B905C2" w:rsidRPr="00AE5A70">
        <w:rPr>
          <w:rFonts w:hint="eastAsia"/>
          <w:sz w:val="23"/>
          <w:szCs w:val="23"/>
        </w:rPr>
        <w:t> </w:t>
      </w:r>
      <w:r w:rsidR="00B905C2" w:rsidRPr="00AE5A70">
        <w:rPr>
          <w:sz w:val="23"/>
          <w:szCs w:val="23"/>
        </w:rPr>
        <w:t>the years of healthy life lost from death and illness</w:t>
      </w:r>
      <w:r w:rsidR="00B905C2" w:rsidRPr="00AE5A70">
        <w:rPr>
          <w:rStyle w:val="FootnoteReference"/>
          <w:sz w:val="23"/>
          <w:szCs w:val="23"/>
        </w:rPr>
        <w:footnoteReference w:id="39"/>
      </w:r>
      <w:r w:rsidRPr="00AE5A70">
        <w:rPr>
          <w:sz w:val="23"/>
          <w:szCs w:val="23"/>
        </w:rPr>
        <w:t>)</w:t>
      </w:r>
      <w:r w:rsidR="00895B75">
        <w:rPr>
          <w:sz w:val="23"/>
          <w:szCs w:val="23"/>
        </w:rPr>
        <w:t xml:space="preserve">, the cost of treatment </w:t>
      </w:r>
      <w:r w:rsidR="00B905C2" w:rsidRPr="00AE5A70">
        <w:rPr>
          <w:sz w:val="23"/>
          <w:szCs w:val="23"/>
        </w:rPr>
        <w:t xml:space="preserve"> represents value for money for the government.</w:t>
      </w:r>
      <w:r w:rsidRPr="00AE5A70">
        <w:rPr>
          <w:rStyle w:val="FootnoteReference"/>
          <w:rFonts w:asciiTheme="majorEastAsia" w:eastAsiaTheme="majorEastAsia" w:hAnsiTheme="majorEastAsia" w:cstheme="majorEastAsia"/>
          <w:sz w:val="23"/>
          <w:szCs w:val="23"/>
        </w:rPr>
        <w:footnoteReference w:id="40"/>
      </w:r>
      <w:r w:rsidR="00B905C2" w:rsidRPr="00AE5A70">
        <w:rPr>
          <w:sz w:val="23"/>
          <w:szCs w:val="23"/>
        </w:rPr>
        <w:t xml:space="preserve"> T</w:t>
      </w:r>
      <w:r w:rsidRPr="00AE5A70">
        <w:rPr>
          <w:sz w:val="23"/>
          <w:szCs w:val="23"/>
        </w:rPr>
        <w:t xml:space="preserve">he cost of treatment against QALY or DALY </w:t>
      </w:r>
      <w:r w:rsidR="00874617" w:rsidRPr="00AE5A70">
        <w:rPr>
          <w:sz w:val="23"/>
          <w:szCs w:val="23"/>
        </w:rPr>
        <w:t xml:space="preserve">has </w:t>
      </w:r>
      <w:r w:rsidRPr="00AE5A70">
        <w:rPr>
          <w:sz w:val="23"/>
          <w:szCs w:val="23"/>
        </w:rPr>
        <w:t xml:space="preserve">been found </w:t>
      </w:r>
      <w:r w:rsidR="00874617" w:rsidRPr="00AE5A70">
        <w:rPr>
          <w:sz w:val="23"/>
          <w:szCs w:val="23"/>
        </w:rPr>
        <w:t xml:space="preserve">to </w:t>
      </w:r>
      <w:r w:rsidRPr="00AE5A70">
        <w:rPr>
          <w:sz w:val="23"/>
          <w:szCs w:val="23"/>
        </w:rPr>
        <w:t>be in the same effective range as other specialised medical interventions. Primary analysis indicat</w:t>
      </w:r>
      <w:r w:rsidR="00B905C2" w:rsidRPr="00AE5A70">
        <w:rPr>
          <w:sz w:val="23"/>
          <w:szCs w:val="23"/>
        </w:rPr>
        <w:t>ed</w:t>
      </w:r>
      <w:r w:rsidRPr="00AE5A70">
        <w:rPr>
          <w:sz w:val="23"/>
          <w:szCs w:val="23"/>
        </w:rPr>
        <w:t xml:space="preserve"> that psychological services associated with supporting </w:t>
      </w:r>
      <w:r w:rsidR="00D740A4" w:rsidRPr="00AE5A70">
        <w:rPr>
          <w:sz w:val="23"/>
          <w:szCs w:val="23"/>
        </w:rPr>
        <w:t xml:space="preserve">patients with </w:t>
      </w:r>
      <w:r w:rsidR="00895B75">
        <w:rPr>
          <w:sz w:val="23"/>
          <w:szCs w:val="23"/>
        </w:rPr>
        <w:t>AN</w:t>
      </w:r>
      <w:r w:rsidRPr="00AE5A70">
        <w:rPr>
          <w:sz w:val="23"/>
          <w:szCs w:val="23"/>
        </w:rPr>
        <w:t xml:space="preserve"> averted an increase in DALY when compared to no intervention, resulting in the mean </w:t>
      </w:r>
      <w:r w:rsidR="00B905C2" w:rsidRPr="00AE5A70">
        <w:rPr>
          <w:sz w:val="23"/>
          <w:szCs w:val="23"/>
        </w:rPr>
        <w:t xml:space="preserve">Incremental Cost Effective Ratio (ICER) </w:t>
      </w:r>
      <w:r w:rsidRPr="00AE5A70">
        <w:rPr>
          <w:sz w:val="23"/>
          <w:szCs w:val="23"/>
        </w:rPr>
        <w:t>of $14,451 per DALY averted</w:t>
      </w:r>
      <w:r w:rsidR="00EA15DE" w:rsidRPr="00AE5A70">
        <w:rPr>
          <w:sz w:val="23"/>
          <w:szCs w:val="23"/>
        </w:rPr>
        <w:t>,</w:t>
      </w:r>
      <w:r w:rsidRPr="00AE5A70">
        <w:rPr>
          <w:sz w:val="23"/>
          <w:szCs w:val="23"/>
        </w:rPr>
        <w:t xml:space="preserve"> rendering it a potentially optimal path for treatment.</w:t>
      </w:r>
      <w:r w:rsidR="00EA15DE" w:rsidRPr="00AE5A70">
        <w:rPr>
          <w:rStyle w:val="FootnoteReference"/>
          <w:sz w:val="23"/>
          <w:szCs w:val="23"/>
        </w:rPr>
        <w:footnoteReference w:id="41"/>
      </w:r>
      <w:r w:rsidRPr="00AE5A70">
        <w:rPr>
          <w:sz w:val="23"/>
          <w:szCs w:val="23"/>
        </w:rPr>
        <w:tab/>
      </w:r>
    </w:p>
    <w:p w14:paraId="4053899C" w14:textId="77777777" w:rsidR="00440EE6" w:rsidRPr="00AE5A70" w:rsidRDefault="00440EE6" w:rsidP="00440EE6">
      <w:pPr>
        <w:pStyle w:val="Heading3Numbered"/>
        <w:numPr>
          <w:ilvl w:val="2"/>
          <w:numId w:val="5"/>
        </w:numPr>
        <w:rPr>
          <w:sz w:val="23"/>
          <w:szCs w:val="23"/>
        </w:rPr>
      </w:pPr>
      <w:bookmarkStart w:id="61" w:name="_Toc531941934"/>
      <w:r w:rsidRPr="00AE5A70">
        <w:rPr>
          <w:sz w:val="23"/>
          <w:szCs w:val="23"/>
        </w:rPr>
        <w:t>Nutritional intervention</w:t>
      </w:r>
      <w:r w:rsidR="005A5F0B">
        <w:rPr>
          <w:sz w:val="23"/>
          <w:szCs w:val="23"/>
        </w:rPr>
        <w:t xml:space="preserve"> as part of a comprehensive</w:t>
      </w:r>
      <w:r w:rsidR="00F325C0">
        <w:rPr>
          <w:sz w:val="23"/>
          <w:szCs w:val="23"/>
        </w:rPr>
        <w:t xml:space="preserve"> stepped</w:t>
      </w:r>
      <w:r w:rsidR="005A5F0B">
        <w:rPr>
          <w:sz w:val="23"/>
          <w:szCs w:val="23"/>
        </w:rPr>
        <w:t xml:space="preserve"> model of care</w:t>
      </w:r>
      <w:bookmarkEnd w:id="61"/>
      <w:r w:rsidR="005A5F0B">
        <w:rPr>
          <w:sz w:val="23"/>
          <w:szCs w:val="23"/>
        </w:rPr>
        <w:t xml:space="preserve"> </w:t>
      </w:r>
    </w:p>
    <w:p w14:paraId="5FD2F1F2" w14:textId="77777777" w:rsidR="00440EE6" w:rsidRPr="00AE5A70" w:rsidRDefault="00440EE6" w:rsidP="00440EE6">
      <w:pPr>
        <w:rPr>
          <w:sz w:val="23"/>
          <w:szCs w:val="23"/>
        </w:rPr>
      </w:pPr>
      <w:r w:rsidRPr="00AE5A70">
        <w:rPr>
          <w:sz w:val="23"/>
          <w:szCs w:val="23"/>
        </w:rPr>
        <w:t>The Working Group agree with the overwhelming evidence supporting</w:t>
      </w:r>
      <w:r w:rsidR="00D740A4" w:rsidRPr="00AE5A70">
        <w:rPr>
          <w:sz w:val="23"/>
          <w:szCs w:val="23"/>
        </w:rPr>
        <w:t xml:space="preserve"> patients with</w:t>
      </w:r>
      <w:r w:rsidRPr="00AE5A70">
        <w:rPr>
          <w:sz w:val="23"/>
          <w:szCs w:val="23"/>
        </w:rPr>
        <w:t xml:space="preserve"> </w:t>
      </w:r>
      <w:r w:rsidR="004F4EF4">
        <w:rPr>
          <w:sz w:val="23"/>
          <w:szCs w:val="23"/>
        </w:rPr>
        <w:t xml:space="preserve">eating disorders being provided with access to an appropriate number of </w:t>
      </w:r>
      <w:r w:rsidR="00D740A4" w:rsidRPr="00AE5A70">
        <w:rPr>
          <w:sz w:val="23"/>
          <w:szCs w:val="23"/>
        </w:rPr>
        <w:t>dietetic</w:t>
      </w:r>
      <w:r w:rsidRPr="00AE5A70">
        <w:rPr>
          <w:sz w:val="23"/>
          <w:szCs w:val="23"/>
        </w:rPr>
        <w:t xml:space="preserve"> counselling </w:t>
      </w:r>
      <w:r w:rsidR="00457196">
        <w:rPr>
          <w:sz w:val="23"/>
          <w:szCs w:val="23"/>
        </w:rPr>
        <w:t xml:space="preserve">services </w:t>
      </w:r>
      <w:r w:rsidRPr="00AE5A70">
        <w:rPr>
          <w:sz w:val="23"/>
          <w:szCs w:val="23"/>
        </w:rPr>
        <w:t xml:space="preserve">that facilitates </w:t>
      </w:r>
      <w:r w:rsidR="00457196">
        <w:rPr>
          <w:sz w:val="23"/>
          <w:szCs w:val="23"/>
        </w:rPr>
        <w:t xml:space="preserve">and supports </w:t>
      </w:r>
      <w:r w:rsidRPr="00AE5A70">
        <w:rPr>
          <w:sz w:val="23"/>
          <w:szCs w:val="23"/>
        </w:rPr>
        <w:t>ongoing nutritional management</w:t>
      </w:r>
      <w:r w:rsidR="00457196" w:rsidRPr="00AE5A70">
        <w:rPr>
          <w:sz w:val="23"/>
          <w:szCs w:val="23"/>
        </w:rPr>
        <w:t>.</w:t>
      </w:r>
      <w:r w:rsidR="00457196">
        <w:rPr>
          <w:sz w:val="23"/>
          <w:szCs w:val="23"/>
        </w:rPr>
        <w:t xml:space="preserve"> For patients whose illness has progressed, supporting refeeding of patients to a point where th</w:t>
      </w:r>
      <w:r w:rsidR="00892265">
        <w:rPr>
          <w:sz w:val="23"/>
          <w:szCs w:val="23"/>
        </w:rPr>
        <w:t>ey are</w:t>
      </w:r>
      <w:r w:rsidR="00457196">
        <w:rPr>
          <w:sz w:val="23"/>
          <w:szCs w:val="23"/>
        </w:rPr>
        <w:t xml:space="preserve"> able to participate in psychological therapy is a critical first step. Dietetic care is vital to</w:t>
      </w:r>
      <w:r w:rsidRPr="00AE5A70">
        <w:rPr>
          <w:sz w:val="23"/>
          <w:szCs w:val="23"/>
        </w:rPr>
        <w:t xml:space="preserve"> successful treatment as it supports the normalisation of eating patterns, the management of nutritional status, negotiation of nutritional goals, education and counselling, monitoring of food consumption and changing binge eating and purging behaviours.</w:t>
      </w:r>
      <w:r w:rsidRPr="00AE5A70">
        <w:rPr>
          <w:rStyle w:val="FootnoteReference"/>
          <w:rFonts w:asciiTheme="majorEastAsia" w:eastAsiaTheme="majorEastAsia" w:hAnsiTheme="majorEastAsia" w:cstheme="majorEastAsia"/>
          <w:sz w:val="23"/>
          <w:szCs w:val="23"/>
        </w:rPr>
        <w:footnoteReference w:id="42"/>
      </w:r>
      <w:r w:rsidRPr="00AE5A70">
        <w:rPr>
          <w:sz w:val="23"/>
          <w:szCs w:val="23"/>
        </w:rPr>
        <w:t xml:space="preserve"> </w:t>
      </w:r>
    </w:p>
    <w:p w14:paraId="3A98CDAC" w14:textId="77777777" w:rsidR="00440EE6" w:rsidRDefault="00440EE6" w:rsidP="00440EE6">
      <w:pPr>
        <w:rPr>
          <w:sz w:val="23"/>
          <w:szCs w:val="23"/>
        </w:rPr>
      </w:pPr>
      <w:r w:rsidRPr="00AE5A70">
        <w:rPr>
          <w:sz w:val="23"/>
          <w:szCs w:val="23"/>
        </w:rPr>
        <w:t xml:space="preserve">Under the current </w:t>
      </w:r>
      <w:r w:rsidR="00895B75">
        <w:rPr>
          <w:sz w:val="23"/>
          <w:szCs w:val="23"/>
        </w:rPr>
        <w:t>i</w:t>
      </w:r>
      <w:r w:rsidRPr="00AE5A70">
        <w:rPr>
          <w:sz w:val="23"/>
          <w:szCs w:val="23"/>
        </w:rPr>
        <w:t xml:space="preserve">ndividual </w:t>
      </w:r>
      <w:r w:rsidR="00895B75">
        <w:rPr>
          <w:sz w:val="23"/>
          <w:szCs w:val="23"/>
        </w:rPr>
        <w:t>a</w:t>
      </w:r>
      <w:r w:rsidRPr="00AE5A70">
        <w:rPr>
          <w:sz w:val="23"/>
          <w:szCs w:val="23"/>
        </w:rPr>
        <w:t xml:space="preserve">llied </w:t>
      </w:r>
      <w:r w:rsidR="00895B75">
        <w:rPr>
          <w:sz w:val="23"/>
          <w:szCs w:val="23"/>
        </w:rPr>
        <w:t>h</w:t>
      </w:r>
      <w:r w:rsidRPr="00AE5A70">
        <w:rPr>
          <w:sz w:val="23"/>
          <w:szCs w:val="23"/>
        </w:rPr>
        <w:t xml:space="preserve">ealth </w:t>
      </w:r>
      <w:r w:rsidR="00895B75">
        <w:rPr>
          <w:sz w:val="23"/>
          <w:szCs w:val="23"/>
        </w:rPr>
        <w:t>s</w:t>
      </w:r>
      <w:r w:rsidRPr="00AE5A70">
        <w:rPr>
          <w:sz w:val="23"/>
          <w:szCs w:val="23"/>
        </w:rPr>
        <w:t xml:space="preserve">ervices for </w:t>
      </w:r>
      <w:r w:rsidR="0000021B">
        <w:rPr>
          <w:sz w:val="23"/>
          <w:szCs w:val="23"/>
        </w:rPr>
        <w:t>CDM</w:t>
      </w:r>
      <w:r w:rsidR="00895B75" w:rsidRPr="00AE5A70">
        <w:rPr>
          <w:sz w:val="23"/>
          <w:szCs w:val="23"/>
        </w:rPr>
        <w:t xml:space="preserve"> </w:t>
      </w:r>
      <w:r w:rsidRPr="00AE5A70">
        <w:rPr>
          <w:sz w:val="23"/>
          <w:szCs w:val="23"/>
        </w:rPr>
        <w:t xml:space="preserve">in the MBS, a </w:t>
      </w:r>
      <w:r w:rsidR="00751220" w:rsidRPr="00AE5A70">
        <w:rPr>
          <w:sz w:val="23"/>
          <w:szCs w:val="23"/>
        </w:rPr>
        <w:t xml:space="preserve">patient with </w:t>
      </w:r>
      <w:r w:rsidR="008E6E66">
        <w:rPr>
          <w:sz w:val="23"/>
          <w:szCs w:val="23"/>
        </w:rPr>
        <w:t>an eating disorder</w:t>
      </w:r>
      <w:r w:rsidR="00F30CDF" w:rsidRPr="00AE5A70">
        <w:rPr>
          <w:sz w:val="23"/>
          <w:szCs w:val="23"/>
        </w:rPr>
        <w:t xml:space="preserve"> </w:t>
      </w:r>
      <w:r w:rsidRPr="00AE5A70">
        <w:rPr>
          <w:sz w:val="23"/>
          <w:szCs w:val="23"/>
        </w:rPr>
        <w:t>may only</w:t>
      </w:r>
      <w:r w:rsidR="00F30CDF" w:rsidRPr="00AE5A70">
        <w:rPr>
          <w:sz w:val="23"/>
          <w:szCs w:val="23"/>
        </w:rPr>
        <w:t xml:space="preserve"> see a </w:t>
      </w:r>
      <w:r w:rsidR="008B5AE1" w:rsidRPr="00AE5A70">
        <w:rPr>
          <w:sz w:val="23"/>
          <w:szCs w:val="23"/>
        </w:rPr>
        <w:t>dietitian</w:t>
      </w:r>
      <w:r w:rsidR="00F30CDF" w:rsidRPr="00AE5A70">
        <w:rPr>
          <w:sz w:val="23"/>
          <w:szCs w:val="23"/>
        </w:rPr>
        <w:t xml:space="preserve"> (and receive an MBS rebate)</w:t>
      </w:r>
      <w:r w:rsidRPr="00AE5A70">
        <w:rPr>
          <w:sz w:val="23"/>
          <w:szCs w:val="23"/>
        </w:rPr>
        <w:t xml:space="preserve"> </w:t>
      </w:r>
      <w:r w:rsidR="00B96BC9" w:rsidRPr="00AE5A70">
        <w:rPr>
          <w:sz w:val="23"/>
          <w:szCs w:val="23"/>
        </w:rPr>
        <w:t xml:space="preserve">up </w:t>
      </w:r>
      <w:r w:rsidRPr="00AE5A70">
        <w:rPr>
          <w:sz w:val="23"/>
          <w:szCs w:val="23"/>
        </w:rPr>
        <w:t xml:space="preserve">to five times in a calendar year, providing they have a GP initiated </w:t>
      </w:r>
      <w:r w:rsidR="00457196">
        <w:rPr>
          <w:sz w:val="23"/>
          <w:szCs w:val="23"/>
        </w:rPr>
        <w:t xml:space="preserve">chronic disease </w:t>
      </w:r>
      <w:r w:rsidR="00BF08DA" w:rsidRPr="00AE5A70">
        <w:rPr>
          <w:sz w:val="23"/>
          <w:szCs w:val="23"/>
        </w:rPr>
        <w:t xml:space="preserve">management </w:t>
      </w:r>
      <w:r w:rsidRPr="00AE5A70">
        <w:rPr>
          <w:sz w:val="23"/>
          <w:szCs w:val="23"/>
        </w:rPr>
        <w:t>plan. In addition to the sentiments of the Working Group, this has been identified by dietitians as entirely inadequate. Evidence recommends up to 20 sessions of dietetic care for high risk patents with complex presentations.</w:t>
      </w:r>
      <w:r w:rsidRPr="00AE5A70">
        <w:rPr>
          <w:rStyle w:val="FootnoteReference"/>
          <w:rFonts w:asciiTheme="majorEastAsia" w:eastAsiaTheme="majorEastAsia" w:hAnsiTheme="majorEastAsia" w:cstheme="majorEastAsia"/>
          <w:sz w:val="23"/>
          <w:szCs w:val="23"/>
        </w:rPr>
        <w:footnoteReference w:id="43"/>
      </w:r>
      <w:r w:rsidRPr="00AE5A70">
        <w:rPr>
          <w:sz w:val="23"/>
          <w:szCs w:val="23"/>
        </w:rPr>
        <w:t xml:space="preserve"> This would allow for almost </w:t>
      </w:r>
      <w:r w:rsidR="0044655E" w:rsidRPr="00AE5A70">
        <w:rPr>
          <w:sz w:val="23"/>
          <w:szCs w:val="23"/>
        </w:rPr>
        <w:t xml:space="preserve">twice </w:t>
      </w:r>
      <w:r w:rsidRPr="00AE5A70">
        <w:rPr>
          <w:sz w:val="23"/>
          <w:szCs w:val="23"/>
        </w:rPr>
        <w:t>monthly nutritional therapy to occur over a twelve-month period, acknowledging the complexity of the disease, and potentially improving recovery rates and reducing hospital admissions.</w:t>
      </w:r>
      <w:r w:rsidRPr="00AE5A70">
        <w:rPr>
          <w:rStyle w:val="FootnoteReference"/>
          <w:sz w:val="23"/>
          <w:szCs w:val="23"/>
        </w:rPr>
        <w:footnoteReference w:id="44"/>
      </w:r>
      <w:r w:rsidRPr="00AE5A70">
        <w:rPr>
          <w:sz w:val="23"/>
          <w:szCs w:val="23"/>
        </w:rPr>
        <w:t xml:space="preserve"> </w:t>
      </w:r>
      <w:r w:rsidR="00457196">
        <w:rPr>
          <w:sz w:val="23"/>
          <w:szCs w:val="23"/>
        </w:rPr>
        <w:t>The Working Group views that the inclusion of dietetic service</w:t>
      </w:r>
      <w:r w:rsidR="00291E52">
        <w:rPr>
          <w:sz w:val="23"/>
          <w:szCs w:val="23"/>
        </w:rPr>
        <w:t xml:space="preserve"> is integral</w:t>
      </w:r>
      <w:r w:rsidR="00457196">
        <w:rPr>
          <w:sz w:val="23"/>
          <w:szCs w:val="23"/>
        </w:rPr>
        <w:t xml:space="preserve"> in a comprehensive</w:t>
      </w:r>
      <w:r w:rsidR="0000021B">
        <w:rPr>
          <w:sz w:val="23"/>
          <w:szCs w:val="23"/>
        </w:rPr>
        <w:t xml:space="preserve"> stepped</w:t>
      </w:r>
      <w:r w:rsidR="00457196">
        <w:rPr>
          <w:sz w:val="23"/>
          <w:szCs w:val="23"/>
        </w:rPr>
        <w:t xml:space="preserve"> model of care</w:t>
      </w:r>
      <w:r w:rsidR="00291E52">
        <w:rPr>
          <w:sz w:val="23"/>
          <w:szCs w:val="23"/>
        </w:rPr>
        <w:t xml:space="preserve"> for patients with eating disorders.</w:t>
      </w:r>
      <w:r w:rsidR="00457196">
        <w:rPr>
          <w:sz w:val="23"/>
          <w:szCs w:val="23"/>
        </w:rPr>
        <w:t xml:space="preserve"> </w:t>
      </w:r>
    </w:p>
    <w:p w14:paraId="13170386" w14:textId="77777777" w:rsidR="005A5F0B" w:rsidRPr="00AE5A70" w:rsidRDefault="005A5F0B" w:rsidP="005A5F0B">
      <w:pPr>
        <w:pStyle w:val="Heading3Numbered"/>
        <w:numPr>
          <w:ilvl w:val="2"/>
          <w:numId w:val="5"/>
        </w:numPr>
        <w:rPr>
          <w:sz w:val="23"/>
          <w:szCs w:val="23"/>
        </w:rPr>
      </w:pPr>
      <w:bookmarkStart w:id="62" w:name="_Toc531941935"/>
      <w:r>
        <w:rPr>
          <w:sz w:val="23"/>
          <w:szCs w:val="23"/>
        </w:rPr>
        <w:t>Access to services to support patients through  relapse</w:t>
      </w:r>
      <w:bookmarkEnd w:id="62"/>
    </w:p>
    <w:p w14:paraId="74EEDC75" w14:textId="77777777" w:rsidR="005A5F0B" w:rsidRPr="00AE5A70" w:rsidRDefault="005A5F0B" w:rsidP="005A5F0B">
      <w:pPr>
        <w:rPr>
          <w:sz w:val="23"/>
          <w:szCs w:val="23"/>
        </w:rPr>
      </w:pPr>
      <w:r w:rsidRPr="00AE5A70">
        <w:rPr>
          <w:sz w:val="23"/>
          <w:szCs w:val="23"/>
        </w:rPr>
        <w:t xml:space="preserve">Relapse is an expected part of the recovery process. The highest risk of relapse is in the 12 months after achieving remission through treatment. Access to relapse services </w:t>
      </w:r>
      <w:r w:rsidR="00291E52">
        <w:rPr>
          <w:sz w:val="23"/>
          <w:szCs w:val="23"/>
        </w:rPr>
        <w:t>is</w:t>
      </w:r>
      <w:r w:rsidRPr="00AE5A70">
        <w:rPr>
          <w:sz w:val="23"/>
          <w:szCs w:val="23"/>
        </w:rPr>
        <w:t xml:space="preserve"> core to the treatment of </w:t>
      </w:r>
      <w:r>
        <w:rPr>
          <w:sz w:val="23"/>
          <w:szCs w:val="23"/>
        </w:rPr>
        <w:t>eating disorders</w:t>
      </w:r>
      <w:r w:rsidRPr="00AE5A70">
        <w:rPr>
          <w:sz w:val="23"/>
          <w:szCs w:val="23"/>
        </w:rPr>
        <w:t xml:space="preserve">, and is essential to reduce chronicity and potential hospitalisation episodes. </w:t>
      </w:r>
      <w:r w:rsidR="00291E52">
        <w:rPr>
          <w:sz w:val="23"/>
          <w:szCs w:val="23"/>
        </w:rPr>
        <w:t>Frequent m</w:t>
      </w:r>
      <w:r w:rsidRPr="00AE5A70">
        <w:rPr>
          <w:sz w:val="23"/>
          <w:szCs w:val="23"/>
        </w:rPr>
        <w:t xml:space="preserve">onitoring should occur for at least 18 months following treatment; this includes </w:t>
      </w:r>
      <w:r w:rsidR="00291E52">
        <w:rPr>
          <w:sz w:val="23"/>
          <w:szCs w:val="23"/>
        </w:rPr>
        <w:t>medical monitoring by the patient</w:t>
      </w:r>
      <w:r w:rsidR="0000021B">
        <w:rPr>
          <w:sz w:val="23"/>
          <w:szCs w:val="23"/>
        </w:rPr>
        <w:t>’</w:t>
      </w:r>
      <w:r w:rsidR="00291E52">
        <w:rPr>
          <w:sz w:val="23"/>
          <w:szCs w:val="23"/>
        </w:rPr>
        <w:t xml:space="preserve">s GP, </w:t>
      </w:r>
      <w:r w:rsidRPr="00AE5A70">
        <w:rPr>
          <w:sz w:val="23"/>
          <w:szCs w:val="23"/>
        </w:rPr>
        <w:t xml:space="preserve">ongoing psychological sessions and further engagement with allied health services. Implementation of a relapse management plan should commence immediately after treatment, however, the Working Group believe that under current arrangements it is unlikely that the patient will be unable to continue treatment beyond the limited number of Medicare rebated sessions.  </w:t>
      </w:r>
    </w:p>
    <w:p w14:paraId="0A8C57DD" w14:textId="77777777" w:rsidR="00C25A80" w:rsidRPr="00AE5A70" w:rsidRDefault="00C25A80" w:rsidP="00C25A80">
      <w:pPr>
        <w:pStyle w:val="Heading3Numbered"/>
        <w:numPr>
          <w:ilvl w:val="2"/>
          <w:numId w:val="5"/>
        </w:numPr>
        <w:spacing w:before="240"/>
        <w:rPr>
          <w:sz w:val="23"/>
          <w:szCs w:val="23"/>
        </w:rPr>
      </w:pPr>
      <w:bookmarkStart w:id="63" w:name="_Toc531941936"/>
      <w:r>
        <w:rPr>
          <w:sz w:val="23"/>
          <w:szCs w:val="23"/>
        </w:rPr>
        <w:t>A</w:t>
      </w:r>
      <w:r w:rsidR="005A5F0B">
        <w:rPr>
          <w:sz w:val="23"/>
          <w:szCs w:val="23"/>
        </w:rPr>
        <w:t>ction required to a</w:t>
      </w:r>
      <w:r>
        <w:rPr>
          <w:sz w:val="23"/>
          <w:szCs w:val="23"/>
        </w:rPr>
        <w:t>lign the MBS arrangements with evidence based care</w:t>
      </w:r>
      <w:bookmarkEnd w:id="63"/>
    </w:p>
    <w:p w14:paraId="4513675E" w14:textId="77777777" w:rsidR="00C25A80" w:rsidRPr="00AE5A70" w:rsidRDefault="00C25A80" w:rsidP="00C25A80">
      <w:pPr>
        <w:rPr>
          <w:sz w:val="23"/>
          <w:szCs w:val="23"/>
        </w:rPr>
      </w:pPr>
      <w:r w:rsidRPr="009341EF">
        <w:rPr>
          <w:sz w:val="23"/>
          <w:szCs w:val="23"/>
        </w:rPr>
        <w:t xml:space="preserve">The Working Group acknowledges that </w:t>
      </w:r>
      <w:r w:rsidR="002B0214">
        <w:rPr>
          <w:sz w:val="23"/>
          <w:szCs w:val="23"/>
        </w:rPr>
        <w:t xml:space="preserve">the </w:t>
      </w:r>
      <w:r w:rsidRPr="009341EF">
        <w:rPr>
          <w:sz w:val="23"/>
          <w:szCs w:val="23"/>
        </w:rPr>
        <w:t xml:space="preserve">current MBS items and infrastructure adequately meet the treatment needs of most patients with </w:t>
      </w:r>
      <w:r>
        <w:rPr>
          <w:sz w:val="23"/>
          <w:szCs w:val="23"/>
        </w:rPr>
        <w:t>subclinical presentations of disordered eating</w:t>
      </w:r>
      <w:r w:rsidR="002B0214">
        <w:rPr>
          <w:sz w:val="23"/>
          <w:szCs w:val="23"/>
        </w:rPr>
        <w:t xml:space="preserve"> and some patients whose condition was detection </w:t>
      </w:r>
      <w:r w:rsidR="009400B8">
        <w:rPr>
          <w:sz w:val="23"/>
          <w:szCs w:val="23"/>
        </w:rPr>
        <w:t xml:space="preserve">in the initial </w:t>
      </w:r>
      <w:r w:rsidR="002B0214">
        <w:rPr>
          <w:sz w:val="23"/>
          <w:szCs w:val="23"/>
        </w:rPr>
        <w:t>stage</w:t>
      </w:r>
      <w:r w:rsidR="00C110A8">
        <w:rPr>
          <w:sz w:val="23"/>
          <w:szCs w:val="23"/>
        </w:rPr>
        <w:t xml:space="preserve"> of development</w:t>
      </w:r>
      <w:r>
        <w:rPr>
          <w:sz w:val="23"/>
          <w:szCs w:val="23"/>
        </w:rPr>
        <w:t>. For these patients, the Better Access initiative provides</w:t>
      </w:r>
      <w:r w:rsidR="002B0214">
        <w:rPr>
          <w:sz w:val="23"/>
          <w:szCs w:val="23"/>
        </w:rPr>
        <w:t xml:space="preserve"> a good foundation for treatment.</w:t>
      </w:r>
    </w:p>
    <w:p w14:paraId="14714FD3" w14:textId="77777777" w:rsidR="00C25A80" w:rsidRDefault="00C25A80" w:rsidP="00C25A80">
      <w:pPr>
        <w:rPr>
          <w:sz w:val="23"/>
          <w:szCs w:val="23"/>
        </w:rPr>
      </w:pPr>
      <w:r w:rsidRPr="00AE5A70">
        <w:rPr>
          <w:sz w:val="23"/>
          <w:szCs w:val="23"/>
        </w:rPr>
        <w:t>The Working Group</w:t>
      </w:r>
      <w:r w:rsidR="002162F2">
        <w:rPr>
          <w:sz w:val="23"/>
          <w:szCs w:val="23"/>
        </w:rPr>
        <w:t xml:space="preserve"> were of the </w:t>
      </w:r>
      <w:r w:rsidRPr="00AE5A70">
        <w:rPr>
          <w:sz w:val="23"/>
          <w:szCs w:val="23"/>
        </w:rPr>
        <w:t>opinion that the needs of</w:t>
      </w:r>
      <w:r>
        <w:rPr>
          <w:sz w:val="23"/>
          <w:szCs w:val="23"/>
        </w:rPr>
        <w:t xml:space="preserve"> </w:t>
      </w:r>
      <w:r w:rsidRPr="009341EF">
        <w:rPr>
          <w:i/>
          <w:sz w:val="23"/>
          <w:szCs w:val="23"/>
          <w:u w:val="single"/>
        </w:rPr>
        <w:t>all patients</w:t>
      </w:r>
      <w:r>
        <w:rPr>
          <w:sz w:val="23"/>
          <w:szCs w:val="23"/>
        </w:rPr>
        <w:t xml:space="preserve"> with</w:t>
      </w:r>
      <w:r w:rsidRPr="00AE5A70">
        <w:rPr>
          <w:sz w:val="23"/>
          <w:szCs w:val="23"/>
        </w:rPr>
        <w:t xml:space="preserve"> </w:t>
      </w:r>
      <w:r>
        <w:rPr>
          <w:sz w:val="23"/>
          <w:szCs w:val="23"/>
        </w:rPr>
        <w:t>ea</w:t>
      </w:r>
      <w:r w:rsidRPr="00AE5A70">
        <w:rPr>
          <w:sz w:val="23"/>
          <w:szCs w:val="23"/>
        </w:rPr>
        <w:t xml:space="preserve">ting disorders </w:t>
      </w:r>
      <w:r>
        <w:rPr>
          <w:sz w:val="23"/>
          <w:szCs w:val="23"/>
        </w:rPr>
        <w:t>would</w:t>
      </w:r>
      <w:r w:rsidRPr="00AE5A70">
        <w:rPr>
          <w:sz w:val="23"/>
          <w:szCs w:val="23"/>
        </w:rPr>
        <w:t xml:space="preserve"> be better served through the MBS by facilitating greater access to psychological and dietetic services</w:t>
      </w:r>
      <w:r>
        <w:rPr>
          <w:sz w:val="23"/>
          <w:szCs w:val="23"/>
        </w:rPr>
        <w:t xml:space="preserve">. The evidence demonstrates that a course of up to 20 psychological sessions and up to 10 dietetic sessions per year is effective in improving patient outcomes and improving the chance of remission of symptoms for patients requiring less intensive treatment. </w:t>
      </w:r>
      <w:r w:rsidR="00291E52">
        <w:rPr>
          <w:sz w:val="23"/>
          <w:szCs w:val="23"/>
        </w:rPr>
        <w:t xml:space="preserve">For patients requiring a more intensive level of treatment, </w:t>
      </w:r>
      <w:r w:rsidR="00C110A8">
        <w:rPr>
          <w:sz w:val="23"/>
          <w:szCs w:val="23"/>
        </w:rPr>
        <w:t xml:space="preserve">such as patients with AN, </w:t>
      </w:r>
      <w:r w:rsidR="00291E52">
        <w:rPr>
          <w:sz w:val="23"/>
          <w:szCs w:val="23"/>
        </w:rPr>
        <w:t>the evidence demonstrates that patients should have access to up to 40 psychological services and up to 20 dietetic services per year</w:t>
      </w:r>
      <w:r w:rsidR="00C110A8">
        <w:rPr>
          <w:sz w:val="23"/>
          <w:szCs w:val="23"/>
        </w:rPr>
        <w:t xml:space="preserve">. The MBS should be expanded to provide for a comprehensive stepped model which  provides care tailored to the patients’ needs </w:t>
      </w:r>
      <w:r w:rsidR="0000021B">
        <w:rPr>
          <w:sz w:val="23"/>
          <w:szCs w:val="23"/>
        </w:rPr>
        <w:t xml:space="preserve">at </w:t>
      </w:r>
      <w:r w:rsidR="00C110A8">
        <w:rPr>
          <w:sz w:val="23"/>
          <w:szCs w:val="23"/>
        </w:rPr>
        <w:t>different levels of intensity; starting at 10 psychological services and 5 dietetic services which would incrementally ‘step up’ to maximum of 40 psychological services and 20 dietetic services if required.</w:t>
      </w:r>
    </w:p>
    <w:p w14:paraId="5A1020DA" w14:textId="77777777" w:rsidR="00336A91" w:rsidRDefault="00C25A80" w:rsidP="00C25A80">
      <w:pPr>
        <w:rPr>
          <w:sz w:val="23"/>
          <w:szCs w:val="23"/>
        </w:rPr>
      </w:pPr>
      <w:r>
        <w:rPr>
          <w:sz w:val="23"/>
          <w:szCs w:val="23"/>
        </w:rPr>
        <w:t xml:space="preserve">The Working Group recommends that MBS arrangements be expanded to reflect the evidence based care models for </w:t>
      </w:r>
      <w:r w:rsidR="00291E52">
        <w:rPr>
          <w:sz w:val="23"/>
          <w:szCs w:val="23"/>
        </w:rPr>
        <w:t xml:space="preserve">all </w:t>
      </w:r>
      <w:r>
        <w:rPr>
          <w:sz w:val="23"/>
          <w:szCs w:val="23"/>
        </w:rPr>
        <w:t xml:space="preserve">patients as soon as it is practical to do so. The Working Group acknowledges that this is a </w:t>
      </w:r>
      <w:r w:rsidR="002B0214">
        <w:rPr>
          <w:sz w:val="23"/>
          <w:szCs w:val="23"/>
        </w:rPr>
        <w:t xml:space="preserve">very </w:t>
      </w:r>
      <w:r w:rsidR="00291E52">
        <w:rPr>
          <w:sz w:val="23"/>
          <w:szCs w:val="23"/>
        </w:rPr>
        <w:t xml:space="preserve">significant </w:t>
      </w:r>
      <w:r>
        <w:rPr>
          <w:sz w:val="23"/>
          <w:szCs w:val="23"/>
        </w:rPr>
        <w:t>reform to the MBS arrangements which needs to be considered c</w:t>
      </w:r>
      <w:r w:rsidR="00291E52">
        <w:rPr>
          <w:sz w:val="23"/>
          <w:szCs w:val="23"/>
        </w:rPr>
        <w:t>arefully</w:t>
      </w:r>
      <w:r w:rsidR="00C110A8">
        <w:rPr>
          <w:sz w:val="23"/>
          <w:szCs w:val="23"/>
        </w:rPr>
        <w:t>, but this kind of reform is</w:t>
      </w:r>
      <w:r w:rsidR="00291E52">
        <w:rPr>
          <w:sz w:val="23"/>
          <w:szCs w:val="23"/>
        </w:rPr>
        <w:t xml:space="preserve"> necessary to meet the needs of patients with eating disorders being treated in the community</w:t>
      </w:r>
      <w:r>
        <w:rPr>
          <w:sz w:val="23"/>
          <w:szCs w:val="23"/>
        </w:rPr>
        <w:t xml:space="preserve">. </w:t>
      </w:r>
      <w:r w:rsidR="00291E52">
        <w:rPr>
          <w:sz w:val="23"/>
          <w:szCs w:val="23"/>
        </w:rPr>
        <w:t>It is acknowledged that addressing</w:t>
      </w:r>
      <w:r w:rsidR="00E0791F">
        <w:rPr>
          <w:sz w:val="23"/>
          <w:szCs w:val="23"/>
        </w:rPr>
        <w:t xml:space="preserve"> the</w:t>
      </w:r>
      <w:r w:rsidR="00291E52">
        <w:rPr>
          <w:sz w:val="23"/>
          <w:szCs w:val="23"/>
        </w:rPr>
        <w:t xml:space="preserve"> burden of eating disorders on individuals, families and carers of patients with eating disorders</w:t>
      </w:r>
      <w:r w:rsidR="0000021B">
        <w:rPr>
          <w:sz w:val="23"/>
          <w:szCs w:val="23"/>
        </w:rPr>
        <w:t>,</w:t>
      </w:r>
      <w:r w:rsidR="00291E52">
        <w:rPr>
          <w:sz w:val="23"/>
          <w:szCs w:val="23"/>
        </w:rPr>
        <w:t xml:space="preserve"> and the health system</w:t>
      </w:r>
      <w:r w:rsidR="0000021B">
        <w:rPr>
          <w:sz w:val="23"/>
          <w:szCs w:val="23"/>
        </w:rPr>
        <w:t>,</w:t>
      </w:r>
      <w:r w:rsidR="00291E52">
        <w:rPr>
          <w:sz w:val="23"/>
          <w:szCs w:val="23"/>
        </w:rPr>
        <w:t xml:space="preserve"> will require a comprehensive multifaceted approach and that the MBS may not provide all the solutions. The Working Group notes that the fee-for-service model </w:t>
      </w:r>
      <w:r w:rsidR="00E0791F">
        <w:rPr>
          <w:sz w:val="23"/>
          <w:szCs w:val="23"/>
        </w:rPr>
        <w:t>of the</w:t>
      </w:r>
      <w:r w:rsidR="00291E52">
        <w:rPr>
          <w:sz w:val="23"/>
          <w:szCs w:val="23"/>
        </w:rPr>
        <w:t xml:space="preserve"> MBS may not be the ideal solution for the delivery of services f</w:t>
      </w:r>
      <w:r w:rsidR="00336A91">
        <w:rPr>
          <w:sz w:val="23"/>
          <w:szCs w:val="23"/>
        </w:rPr>
        <w:t>or some patients</w:t>
      </w:r>
      <w:r w:rsidR="0000021B">
        <w:rPr>
          <w:sz w:val="23"/>
          <w:szCs w:val="23"/>
        </w:rPr>
        <w:t xml:space="preserve">. </w:t>
      </w:r>
      <w:r w:rsidR="00336A91">
        <w:rPr>
          <w:sz w:val="23"/>
          <w:szCs w:val="23"/>
        </w:rPr>
        <w:t xml:space="preserve">It was noted that some patients can experience high out-of-pocket costs for MBS services which can create a barrier to accessing care. </w:t>
      </w:r>
      <w:r w:rsidR="0000021B">
        <w:rPr>
          <w:sz w:val="23"/>
          <w:szCs w:val="23"/>
        </w:rPr>
        <w:t>Whilst the MBS can</w:t>
      </w:r>
      <w:r w:rsidR="00D843F4">
        <w:rPr>
          <w:sz w:val="23"/>
          <w:szCs w:val="23"/>
        </w:rPr>
        <w:t>not provide all the solutions, it</w:t>
      </w:r>
      <w:r w:rsidR="0000021B">
        <w:rPr>
          <w:sz w:val="23"/>
          <w:szCs w:val="23"/>
        </w:rPr>
        <w:t xml:space="preserve"> is part of the solution. </w:t>
      </w:r>
      <w:r w:rsidR="00336A91">
        <w:rPr>
          <w:sz w:val="23"/>
          <w:szCs w:val="23"/>
        </w:rPr>
        <w:t xml:space="preserve">Other possibilities which could be explored for providing an expanded range of care to patients with eating disorders include ‘block funding’ or funding specific eating disorder services. </w:t>
      </w:r>
    </w:p>
    <w:p w14:paraId="37C924CF" w14:textId="77777777" w:rsidR="00C25A80" w:rsidRDefault="00C25A80" w:rsidP="00C25A80">
      <w:pPr>
        <w:rPr>
          <w:sz w:val="23"/>
          <w:szCs w:val="23"/>
        </w:rPr>
      </w:pPr>
      <w:r w:rsidRPr="00AE5A70">
        <w:rPr>
          <w:sz w:val="23"/>
          <w:szCs w:val="23"/>
        </w:rPr>
        <w:t>The Working Group</w:t>
      </w:r>
      <w:r>
        <w:rPr>
          <w:sz w:val="23"/>
          <w:szCs w:val="23"/>
        </w:rPr>
        <w:t xml:space="preserve"> also </w:t>
      </w:r>
      <w:r w:rsidRPr="00AE5A70">
        <w:rPr>
          <w:sz w:val="23"/>
          <w:szCs w:val="23"/>
        </w:rPr>
        <w:t>notes that the broader review of MBS mental health items is examining the access and adequacy of care for all patients with mental illnesses across the severity continuum.</w:t>
      </w:r>
      <w:r>
        <w:rPr>
          <w:sz w:val="23"/>
          <w:szCs w:val="23"/>
        </w:rPr>
        <w:t xml:space="preserve"> It is acknowledged that the MBS should provide a comprehensive and consistent approach to the </w:t>
      </w:r>
      <w:r w:rsidR="00336A91">
        <w:rPr>
          <w:sz w:val="23"/>
          <w:szCs w:val="23"/>
        </w:rPr>
        <w:t>treatment of all mental illness, including eating disorders. However it should be noted that eating disorders are highly complex, serious mental illness</w:t>
      </w:r>
      <w:r w:rsidR="0000021B">
        <w:rPr>
          <w:sz w:val="23"/>
          <w:szCs w:val="23"/>
        </w:rPr>
        <w:t>es</w:t>
      </w:r>
      <w:r w:rsidR="00336A91">
        <w:rPr>
          <w:sz w:val="23"/>
          <w:szCs w:val="23"/>
        </w:rPr>
        <w:t xml:space="preserve"> which also</w:t>
      </w:r>
      <w:r w:rsidR="0000021B">
        <w:rPr>
          <w:sz w:val="23"/>
          <w:szCs w:val="23"/>
        </w:rPr>
        <w:t xml:space="preserve"> have very significant physical and</w:t>
      </w:r>
      <w:r w:rsidR="00336A91">
        <w:rPr>
          <w:sz w:val="23"/>
          <w:szCs w:val="23"/>
        </w:rPr>
        <w:t xml:space="preserve"> medical complications. </w:t>
      </w:r>
    </w:p>
    <w:p w14:paraId="3A95FC54" w14:textId="77777777" w:rsidR="00336A91" w:rsidRDefault="00C25A80" w:rsidP="009341EF">
      <w:pPr>
        <w:rPr>
          <w:sz w:val="23"/>
          <w:szCs w:val="23"/>
        </w:rPr>
      </w:pPr>
      <w:r w:rsidRPr="009341EF">
        <w:rPr>
          <w:sz w:val="23"/>
          <w:szCs w:val="23"/>
        </w:rPr>
        <w:t xml:space="preserve">Whilst the Working Group recommends the full implementation of </w:t>
      </w:r>
      <w:r w:rsidR="00336A91" w:rsidRPr="009341EF">
        <w:rPr>
          <w:sz w:val="23"/>
          <w:szCs w:val="23"/>
        </w:rPr>
        <w:t xml:space="preserve">a comprehensive </w:t>
      </w:r>
      <w:r w:rsidR="00D843F4">
        <w:rPr>
          <w:sz w:val="23"/>
          <w:szCs w:val="23"/>
        </w:rPr>
        <w:t xml:space="preserve">stepped </w:t>
      </w:r>
      <w:r w:rsidR="00336A91" w:rsidRPr="009341EF">
        <w:rPr>
          <w:sz w:val="23"/>
          <w:szCs w:val="23"/>
        </w:rPr>
        <w:t xml:space="preserve">model </w:t>
      </w:r>
      <w:r w:rsidRPr="009341EF">
        <w:rPr>
          <w:sz w:val="23"/>
          <w:szCs w:val="23"/>
        </w:rPr>
        <w:t>of care for</w:t>
      </w:r>
      <w:r w:rsidR="00336A91" w:rsidRPr="009341EF">
        <w:rPr>
          <w:sz w:val="23"/>
          <w:szCs w:val="23"/>
        </w:rPr>
        <w:t xml:space="preserve"> all</w:t>
      </w:r>
      <w:r w:rsidRPr="009341EF">
        <w:rPr>
          <w:sz w:val="23"/>
          <w:szCs w:val="23"/>
        </w:rPr>
        <w:t xml:space="preserve"> </w:t>
      </w:r>
      <w:r w:rsidR="00336A91">
        <w:rPr>
          <w:sz w:val="23"/>
          <w:szCs w:val="23"/>
        </w:rPr>
        <w:t xml:space="preserve">patients with </w:t>
      </w:r>
      <w:r w:rsidRPr="009341EF">
        <w:rPr>
          <w:sz w:val="23"/>
          <w:szCs w:val="23"/>
        </w:rPr>
        <w:t>eating disorders, it is acknowledged that in the current environment it may not be viable to do so</w:t>
      </w:r>
      <w:r w:rsidR="00E0791F">
        <w:rPr>
          <w:sz w:val="23"/>
          <w:szCs w:val="23"/>
        </w:rPr>
        <w:t xml:space="preserve">. </w:t>
      </w:r>
      <w:r w:rsidR="00CB54B7">
        <w:rPr>
          <w:sz w:val="23"/>
          <w:szCs w:val="23"/>
        </w:rPr>
        <w:t>If a large scale expansion of the MBS arrangements is not possible, i</w:t>
      </w:r>
      <w:r w:rsidRPr="009341EF">
        <w:rPr>
          <w:sz w:val="23"/>
          <w:szCs w:val="23"/>
        </w:rPr>
        <w:t xml:space="preserve">n the interim, the Working Group recommends that a </w:t>
      </w:r>
      <w:r w:rsidR="00336A91" w:rsidRPr="009341EF">
        <w:rPr>
          <w:sz w:val="23"/>
          <w:szCs w:val="23"/>
        </w:rPr>
        <w:t>comprehensive</w:t>
      </w:r>
      <w:r w:rsidR="00D843F4">
        <w:rPr>
          <w:sz w:val="23"/>
          <w:szCs w:val="23"/>
        </w:rPr>
        <w:t xml:space="preserve"> stepped</w:t>
      </w:r>
      <w:r w:rsidR="00336A91" w:rsidRPr="009341EF">
        <w:rPr>
          <w:sz w:val="23"/>
          <w:szCs w:val="23"/>
        </w:rPr>
        <w:t xml:space="preserve"> model of care</w:t>
      </w:r>
      <w:r w:rsidRPr="009341EF">
        <w:rPr>
          <w:sz w:val="23"/>
          <w:szCs w:val="23"/>
        </w:rPr>
        <w:t xml:space="preserve"> be trialled within the MBS for those patients for whom the service deficit under the current MB</w:t>
      </w:r>
      <w:r w:rsidR="00336A91" w:rsidRPr="009341EF">
        <w:rPr>
          <w:sz w:val="23"/>
          <w:szCs w:val="23"/>
        </w:rPr>
        <w:t xml:space="preserve">S arrangements in the greatest – that is </w:t>
      </w:r>
      <w:r w:rsidR="00D843F4">
        <w:rPr>
          <w:sz w:val="23"/>
          <w:szCs w:val="23"/>
        </w:rPr>
        <w:t>all patients</w:t>
      </w:r>
      <w:r w:rsidR="00336A91" w:rsidRPr="009341EF">
        <w:rPr>
          <w:sz w:val="23"/>
          <w:szCs w:val="23"/>
        </w:rPr>
        <w:t xml:space="preserve"> with </w:t>
      </w:r>
      <w:r w:rsidR="00CC3AC7">
        <w:rPr>
          <w:sz w:val="23"/>
          <w:szCs w:val="23"/>
        </w:rPr>
        <w:t>AN</w:t>
      </w:r>
      <w:r w:rsidR="00336A91" w:rsidRPr="009341EF">
        <w:rPr>
          <w:sz w:val="23"/>
          <w:szCs w:val="23"/>
        </w:rPr>
        <w:t xml:space="preserve"> and those patients with BN, BED and O</w:t>
      </w:r>
      <w:r w:rsidR="00C110A8">
        <w:rPr>
          <w:sz w:val="23"/>
          <w:szCs w:val="23"/>
        </w:rPr>
        <w:t>SF</w:t>
      </w:r>
      <w:r w:rsidR="00336A91" w:rsidRPr="009341EF">
        <w:rPr>
          <w:sz w:val="23"/>
          <w:szCs w:val="23"/>
        </w:rPr>
        <w:t xml:space="preserve">ED who </w:t>
      </w:r>
      <w:r w:rsidR="00C110A8">
        <w:rPr>
          <w:sz w:val="23"/>
          <w:szCs w:val="23"/>
        </w:rPr>
        <w:t xml:space="preserve">have complex needs, </w:t>
      </w:r>
      <w:r w:rsidR="00336A91" w:rsidRPr="009341EF">
        <w:rPr>
          <w:sz w:val="23"/>
          <w:szCs w:val="23"/>
        </w:rPr>
        <w:t xml:space="preserve">have not responded to treatment at a lower level of intensity and are assessed as ‘high-risk’ of serious medical and psychological complications. </w:t>
      </w:r>
      <w:r w:rsidR="00CB54B7" w:rsidRPr="00AE5A70">
        <w:rPr>
          <w:sz w:val="23"/>
          <w:szCs w:val="23"/>
        </w:rPr>
        <w:t xml:space="preserve">This cohort has been identified as a </w:t>
      </w:r>
      <w:r w:rsidR="00E0791F">
        <w:rPr>
          <w:sz w:val="23"/>
          <w:szCs w:val="23"/>
        </w:rPr>
        <w:t>g</w:t>
      </w:r>
      <w:r w:rsidR="00CB54B7" w:rsidRPr="00AE5A70">
        <w:rPr>
          <w:sz w:val="23"/>
          <w:szCs w:val="23"/>
        </w:rPr>
        <w:t xml:space="preserve">roup considered as most at-risk due to the likelihood of repeat hospitalisation, disease chronicity and potential mortality. This prioritisation in no way diminishes the needs of patient groups with other eating disorders. </w:t>
      </w:r>
      <w:r w:rsidR="00336A91">
        <w:rPr>
          <w:sz w:val="23"/>
          <w:szCs w:val="23"/>
        </w:rPr>
        <w:t xml:space="preserve">This </w:t>
      </w:r>
      <w:r w:rsidR="00C110A8">
        <w:rPr>
          <w:sz w:val="23"/>
          <w:szCs w:val="23"/>
        </w:rPr>
        <w:t xml:space="preserve">phased approach </w:t>
      </w:r>
      <w:r w:rsidR="00336A91">
        <w:rPr>
          <w:sz w:val="23"/>
          <w:szCs w:val="23"/>
        </w:rPr>
        <w:t xml:space="preserve">would allow the delivery of evidence based care for these patients and provide a platform to demonstrate that such a model of </w:t>
      </w:r>
      <w:r w:rsidR="00C110A8">
        <w:rPr>
          <w:sz w:val="23"/>
          <w:szCs w:val="23"/>
        </w:rPr>
        <w:t xml:space="preserve">comprehensive stepped </w:t>
      </w:r>
      <w:r w:rsidR="00336A91">
        <w:rPr>
          <w:sz w:val="23"/>
          <w:szCs w:val="23"/>
        </w:rPr>
        <w:t>can operate within the MBS.</w:t>
      </w:r>
    </w:p>
    <w:p w14:paraId="26FE0845" w14:textId="77777777" w:rsidR="00E0791F" w:rsidRPr="009341EF" w:rsidRDefault="00E0791F" w:rsidP="009341EF">
      <w:pPr>
        <w:rPr>
          <w:sz w:val="23"/>
          <w:szCs w:val="23"/>
        </w:rPr>
      </w:pPr>
      <w:r>
        <w:rPr>
          <w:sz w:val="23"/>
          <w:szCs w:val="23"/>
        </w:rPr>
        <w:t xml:space="preserve">It was noted by some members that a pragmatic approach is required </w:t>
      </w:r>
      <w:r w:rsidR="00D843F4">
        <w:rPr>
          <w:sz w:val="23"/>
          <w:szCs w:val="23"/>
        </w:rPr>
        <w:t>for</w:t>
      </w:r>
      <w:r>
        <w:rPr>
          <w:sz w:val="23"/>
          <w:szCs w:val="23"/>
        </w:rPr>
        <w:t xml:space="preserve"> the implementation of a </w:t>
      </w:r>
      <w:r w:rsidR="00D843F4">
        <w:rPr>
          <w:sz w:val="23"/>
          <w:szCs w:val="23"/>
        </w:rPr>
        <w:t xml:space="preserve">comprehensive stepped </w:t>
      </w:r>
      <w:r>
        <w:rPr>
          <w:sz w:val="23"/>
          <w:szCs w:val="23"/>
        </w:rPr>
        <w:t>care</w:t>
      </w:r>
      <w:r w:rsidR="00D843F4">
        <w:rPr>
          <w:sz w:val="23"/>
          <w:szCs w:val="23"/>
        </w:rPr>
        <w:t xml:space="preserve"> model</w:t>
      </w:r>
      <w:r>
        <w:rPr>
          <w:sz w:val="23"/>
          <w:szCs w:val="23"/>
        </w:rPr>
        <w:t xml:space="preserve"> as it is important to get the design and </w:t>
      </w:r>
      <w:r w:rsidR="00C110A8">
        <w:rPr>
          <w:sz w:val="23"/>
          <w:szCs w:val="23"/>
        </w:rPr>
        <w:t>op</w:t>
      </w:r>
      <w:r w:rsidR="00D843F4">
        <w:rPr>
          <w:sz w:val="23"/>
          <w:szCs w:val="23"/>
        </w:rPr>
        <w:t xml:space="preserve">eration of such a model right.  A more conservative approach </w:t>
      </w:r>
      <w:r w:rsidR="00C110A8">
        <w:rPr>
          <w:sz w:val="23"/>
          <w:szCs w:val="23"/>
        </w:rPr>
        <w:t>would assist</w:t>
      </w:r>
      <w:r>
        <w:rPr>
          <w:sz w:val="23"/>
          <w:szCs w:val="23"/>
        </w:rPr>
        <w:t xml:space="preserve"> to mitigate the risk that </w:t>
      </w:r>
      <w:r w:rsidR="00D843F4">
        <w:rPr>
          <w:sz w:val="23"/>
          <w:szCs w:val="23"/>
        </w:rPr>
        <w:t>such a</w:t>
      </w:r>
      <w:r>
        <w:rPr>
          <w:sz w:val="23"/>
          <w:szCs w:val="23"/>
        </w:rPr>
        <w:t xml:space="preserve"> scheme would need to be wound back in the future if it is not operating as intended.</w:t>
      </w:r>
    </w:p>
    <w:p w14:paraId="7A900C2A" w14:textId="77777777" w:rsidR="00C25A80" w:rsidRDefault="00C25A80" w:rsidP="009341EF">
      <w:pPr>
        <w:pStyle w:val="Heading3Numbered"/>
        <w:keepLines/>
        <w:rPr>
          <w:sz w:val="23"/>
          <w:szCs w:val="23"/>
        </w:rPr>
      </w:pPr>
      <w:bookmarkStart w:id="64" w:name="_Toc531941937"/>
      <w:r w:rsidRPr="00AE5A70">
        <w:rPr>
          <w:sz w:val="23"/>
          <w:szCs w:val="23"/>
        </w:rPr>
        <w:t>Recommendation 1</w:t>
      </w:r>
      <w:r>
        <w:rPr>
          <w:sz w:val="23"/>
          <w:szCs w:val="23"/>
        </w:rPr>
        <w:t>.1</w:t>
      </w:r>
      <w:bookmarkEnd w:id="64"/>
    </w:p>
    <w:p w14:paraId="032FA3F1" w14:textId="77777777" w:rsidR="005006C9" w:rsidRDefault="005006C9" w:rsidP="00770058">
      <w:pPr>
        <w:pBdr>
          <w:top w:val="single" w:sz="4" w:space="1" w:color="auto"/>
          <w:left w:val="single" w:sz="4" w:space="4" w:color="auto"/>
          <w:bottom w:val="single" w:sz="4" w:space="1" w:color="auto"/>
          <w:right w:val="single" w:sz="4" w:space="4" w:color="auto"/>
        </w:pBdr>
        <w:spacing w:before="0" w:after="0"/>
        <w:rPr>
          <w:sz w:val="23"/>
          <w:szCs w:val="23"/>
        </w:rPr>
      </w:pPr>
      <w:r w:rsidRPr="00C110A8">
        <w:rPr>
          <w:sz w:val="23"/>
          <w:szCs w:val="23"/>
        </w:rPr>
        <w:t xml:space="preserve">The Working Group </w:t>
      </w:r>
      <w:r>
        <w:rPr>
          <w:sz w:val="23"/>
          <w:szCs w:val="23"/>
        </w:rPr>
        <w:t>is of the view that there is an</w:t>
      </w:r>
      <w:r w:rsidRPr="00C110A8">
        <w:rPr>
          <w:sz w:val="23"/>
          <w:szCs w:val="23"/>
        </w:rPr>
        <w:t xml:space="preserve"> evidence base that supports </w:t>
      </w:r>
      <w:r>
        <w:rPr>
          <w:sz w:val="23"/>
          <w:szCs w:val="23"/>
        </w:rPr>
        <w:t>stepped care, including comprehensive care for appropriate patients,</w:t>
      </w:r>
      <w:r w:rsidRPr="00C110A8">
        <w:rPr>
          <w:sz w:val="23"/>
          <w:szCs w:val="23"/>
        </w:rPr>
        <w:t xml:space="preserve"> for </w:t>
      </w:r>
      <w:r w:rsidRPr="009341EF">
        <w:rPr>
          <w:i/>
          <w:sz w:val="23"/>
          <w:szCs w:val="23"/>
        </w:rPr>
        <w:t>all patients with eating disorders</w:t>
      </w:r>
      <w:r w:rsidRPr="00C110A8">
        <w:rPr>
          <w:sz w:val="23"/>
          <w:szCs w:val="23"/>
        </w:rPr>
        <w:t>.</w:t>
      </w:r>
    </w:p>
    <w:p w14:paraId="55B1119E" w14:textId="77777777" w:rsidR="005006C9" w:rsidRPr="00C110A8" w:rsidRDefault="005006C9" w:rsidP="00770058">
      <w:pPr>
        <w:pBdr>
          <w:top w:val="single" w:sz="4" w:space="1" w:color="auto"/>
          <w:left w:val="single" w:sz="4" w:space="4" w:color="auto"/>
          <w:bottom w:val="single" w:sz="4" w:space="1" w:color="auto"/>
          <w:right w:val="single" w:sz="4" w:space="4" w:color="auto"/>
        </w:pBdr>
        <w:spacing w:before="0" w:after="0"/>
        <w:rPr>
          <w:sz w:val="23"/>
          <w:szCs w:val="23"/>
        </w:rPr>
      </w:pPr>
    </w:p>
    <w:p w14:paraId="04FDB5AB" w14:textId="77777777" w:rsidR="005006C9" w:rsidRDefault="005006C9" w:rsidP="00770058">
      <w:pPr>
        <w:pBdr>
          <w:top w:val="single" w:sz="4" w:space="1" w:color="auto"/>
          <w:left w:val="single" w:sz="4" w:space="4" w:color="auto"/>
          <w:bottom w:val="single" w:sz="4" w:space="1" w:color="auto"/>
          <w:right w:val="single" w:sz="4" w:space="4" w:color="auto"/>
        </w:pBdr>
        <w:spacing w:before="0" w:after="0"/>
        <w:rPr>
          <w:sz w:val="23"/>
          <w:szCs w:val="23"/>
        </w:rPr>
      </w:pPr>
      <w:r w:rsidRPr="00C110A8">
        <w:rPr>
          <w:sz w:val="23"/>
          <w:szCs w:val="23"/>
        </w:rPr>
        <w:t xml:space="preserve">Under a comprehensive </w:t>
      </w:r>
      <w:r>
        <w:rPr>
          <w:sz w:val="23"/>
          <w:szCs w:val="23"/>
        </w:rPr>
        <w:t xml:space="preserve">stepped </w:t>
      </w:r>
      <w:r w:rsidRPr="00C110A8">
        <w:rPr>
          <w:sz w:val="23"/>
          <w:szCs w:val="23"/>
        </w:rPr>
        <w:t>model, the evidence shows that all patients with a diagnosed eating disorder should get access to up to 20 psychological sessions in total per year and 10 dietetic sessions in total per year</w:t>
      </w:r>
      <w:r>
        <w:rPr>
          <w:sz w:val="23"/>
          <w:szCs w:val="23"/>
        </w:rPr>
        <w:t>, depending on their needs</w:t>
      </w:r>
      <w:r w:rsidRPr="00C110A8">
        <w:rPr>
          <w:sz w:val="23"/>
          <w:szCs w:val="23"/>
        </w:rPr>
        <w:t>. Under this model, patients requiring more intensive treatment would be eligible to receive up to 40 psychological sessions in total and 20 dietetic sessions in total</w:t>
      </w:r>
      <w:r>
        <w:rPr>
          <w:sz w:val="23"/>
          <w:szCs w:val="23"/>
        </w:rPr>
        <w:t xml:space="preserve"> per year, depending on their needs</w:t>
      </w:r>
      <w:r w:rsidRPr="00C110A8">
        <w:rPr>
          <w:sz w:val="23"/>
          <w:szCs w:val="23"/>
        </w:rPr>
        <w:t xml:space="preserve">. </w:t>
      </w:r>
    </w:p>
    <w:p w14:paraId="142F0E61" w14:textId="77777777" w:rsidR="005006C9" w:rsidRPr="00C110A8" w:rsidRDefault="005006C9" w:rsidP="00770058">
      <w:pPr>
        <w:pBdr>
          <w:top w:val="single" w:sz="4" w:space="1" w:color="auto"/>
          <w:left w:val="single" w:sz="4" w:space="4" w:color="auto"/>
          <w:bottom w:val="single" w:sz="4" w:space="1" w:color="auto"/>
          <w:right w:val="single" w:sz="4" w:space="4" w:color="auto"/>
        </w:pBdr>
        <w:spacing w:before="0" w:after="0"/>
        <w:rPr>
          <w:sz w:val="23"/>
          <w:szCs w:val="23"/>
        </w:rPr>
      </w:pPr>
    </w:p>
    <w:p w14:paraId="6C476DFC" w14:textId="77777777" w:rsidR="005006C9" w:rsidRPr="00AE5A70" w:rsidRDefault="005006C9" w:rsidP="00770058">
      <w:pPr>
        <w:pBdr>
          <w:top w:val="single" w:sz="4" w:space="1" w:color="auto"/>
          <w:left w:val="single" w:sz="4" w:space="4" w:color="auto"/>
          <w:bottom w:val="single" w:sz="4" w:space="1" w:color="auto"/>
          <w:right w:val="single" w:sz="4" w:space="4" w:color="auto"/>
        </w:pBdr>
        <w:spacing w:before="0" w:after="0"/>
        <w:rPr>
          <w:sz w:val="23"/>
          <w:szCs w:val="23"/>
        </w:rPr>
      </w:pPr>
      <w:r w:rsidRPr="00C110A8">
        <w:rPr>
          <w:sz w:val="23"/>
          <w:szCs w:val="23"/>
        </w:rPr>
        <w:t>The Working Group views that the expansion of MBS arrangements for all patients with eating disorders is necessary and should be implemented as soon as practical after the implementation of the new items outlined in recommendation 1.2.</w:t>
      </w:r>
    </w:p>
    <w:p w14:paraId="0B535915" w14:textId="77777777" w:rsidR="000D0E4E" w:rsidRDefault="0000021B" w:rsidP="0000021B">
      <w:pPr>
        <w:pStyle w:val="Heading3Numbered"/>
        <w:keepLines/>
        <w:rPr>
          <w:sz w:val="23"/>
          <w:szCs w:val="23"/>
        </w:rPr>
      </w:pPr>
      <w:bookmarkStart w:id="65" w:name="_Toc531941938"/>
      <w:r w:rsidRPr="0000021B">
        <w:rPr>
          <w:sz w:val="23"/>
          <w:szCs w:val="23"/>
        </w:rPr>
        <w:t>Recommendation 1.2</w:t>
      </w:r>
      <w:bookmarkEnd w:id="65"/>
    </w:p>
    <w:p w14:paraId="178D29E9" w14:textId="77777777" w:rsidR="008E4B76" w:rsidRDefault="007B61E8" w:rsidP="007B61E8">
      <w:pPr>
        <w:pBdr>
          <w:top w:val="single" w:sz="4" w:space="1" w:color="auto"/>
          <w:left w:val="single" w:sz="4" w:space="4" w:color="auto"/>
          <w:bottom w:val="single" w:sz="4" w:space="1" w:color="auto"/>
          <w:right w:val="single" w:sz="4" w:space="4" w:color="auto"/>
        </w:pBdr>
        <w:spacing w:before="0" w:after="0"/>
      </w:pPr>
      <w:r w:rsidRPr="00396865">
        <w:rPr>
          <w:sz w:val="23"/>
          <w:szCs w:val="23"/>
        </w:rPr>
        <w:t>The Working Group recommends the introduction</w:t>
      </w:r>
      <w:r w:rsidRPr="00D71527">
        <w:rPr>
          <w:sz w:val="23"/>
          <w:szCs w:val="23"/>
        </w:rPr>
        <w:t xml:space="preserve"> of</w:t>
      </w:r>
      <w:r w:rsidRPr="00895B75">
        <w:rPr>
          <w:sz w:val="23"/>
          <w:szCs w:val="23"/>
        </w:rPr>
        <w:t xml:space="preserve"> a new suite of items to provide a comprehensive stepped model of care for:</w:t>
      </w:r>
      <w:r w:rsidR="008E4B76" w:rsidRPr="008A19D9">
        <w:t xml:space="preserve"> </w:t>
      </w:r>
    </w:p>
    <w:p w14:paraId="1D8D9ABA" w14:textId="77777777" w:rsidR="007B61E8" w:rsidRDefault="008E4B76" w:rsidP="007B61E8">
      <w:pPr>
        <w:pBdr>
          <w:top w:val="single" w:sz="4" w:space="1" w:color="auto"/>
          <w:left w:val="single" w:sz="4" w:space="4" w:color="auto"/>
          <w:bottom w:val="single" w:sz="4" w:space="1" w:color="auto"/>
          <w:right w:val="single" w:sz="4" w:space="4" w:color="auto"/>
        </w:pBdr>
        <w:spacing w:before="0" w:after="0"/>
      </w:pPr>
      <w:r>
        <w:t xml:space="preserve">.        </w:t>
      </w:r>
      <w:r w:rsidR="007B61E8" w:rsidRPr="008A19D9">
        <w:t>all patients with anorexia nervosa; and</w:t>
      </w:r>
    </w:p>
    <w:p w14:paraId="5C758532" w14:textId="77777777" w:rsidR="007B61E8"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xml:space="preserve">.        </w:t>
      </w:r>
      <w:r w:rsidR="007B61E8" w:rsidRPr="008A19D9">
        <w:rPr>
          <w:sz w:val="23"/>
          <w:szCs w:val="23"/>
        </w:rPr>
        <w:t>patients with bulimia nervosa, binge-eating disorder and other</w:t>
      </w:r>
      <w:r w:rsidR="007B61E8">
        <w:rPr>
          <w:sz w:val="23"/>
          <w:szCs w:val="23"/>
        </w:rPr>
        <w:t xml:space="preserve"> </w:t>
      </w:r>
      <w:r w:rsidR="007B61E8" w:rsidRPr="00D71527">
        <w:rPr>
          <w:sz w:val="23"/>
          <w:szCs w:val="23"/>
        </w:rPr>
        <w:t>specified</w:t>
      </w:r>
      <w:r w:rsidR="007B61E8">
        <w:rPr>
          <w:sz w:val="23"/>
          <w:szCs w:val="23"/>
        </w:rPr>
        <w:t xml:space="preserve"> </w:t>
      </w:r>
      <w:r w:rsidR="007B61E8" w:rsidRPr="00D71527">
        <w:rPr>
          <w:sz w:val="23"/>
          <w:szCs w:val="23"/>
        </w:rPr>
        <w:t>feeding</w:t>
      </w:r>
      <w:r w:rsidR="007B61E8">
        <w:rPr>
          <w:sz w:val="23"/>
          <w:szCs w:val="23"/>
        </w:rPr>
        <w:t xml:space="preserve"> </w:t>
      </w:r>
      <w:r w:rsidR="007B61E8" w:rsidRPr="00D71527">
        <w:rPr>
          <w:sz w:val="23"/>
          <w:szCs w:val="23"/>
        </w:rPr>
        <w:t>or</w:t>
      </w:r>
      <w:r w:rsidR="007B61E8">
        <w:rPr>
          <w:sz w:val="23"/>
          <w:szCs w:val="23"/>
        </w:rPr>
        <w:t xml:space="preserve"> </w:t>
      </w:r>
      <w:r w:rsidR="007B61E8" w:rsidRPr="00D71527">
        <w:rPr>
          <w:sz w:val="23"/>
          <w:szCs w:val="23"/>
        </w:rPr>
        <w:t>eating</w:t>
      </w:r>
      <w:r w:rsidR="007B61E8">
        <w:rPr>
          <w:sz w:val="23"/>
          <w:szCs w:val="23"/>
        </w:rPr>
        <w:t xml:space="preserve"> </w:t>
      </w:r>
      <w:r w:rsidR="007B61E8" w:rsidRPr="00D71527">
        <w:rPr>
          <w:sz w:val="23"/>
          <w:szCs w:val="23"/>
        </w:rPr>
        <w:t>disorder</w:t>
      </w:r>
      <w:r w:rsidR="007B61E8">
        <w:rPr>
          <w:sz w:val="23"/>
          <w:szCs w:val="23"/>
        </w:rPr>
        <w:t xml:space="preserve">s </w:t>
      </w:r>
      <w:r w:rsidR="007B61E8" w:rsidRPr="00D71527">
        <w:rPr>
          <w:sz w:val="23"/>
          <w:szCs w:val="23"/>
        </w:rPr>
        <w:t>who</w:t>
      </w:r>
      <w:r w:rsidR="007B61E8">
        <w:rPr>
          <w:sz w:val="23"/>
          <w:szCs w:val="23"/>
        </w:rPr>
        <w:t xml:space="preserve"> have complex needs, </w:t>
      </w:r>
      <w:r w:rsidR="007B61E8" w:rsidRPr="00895B75">
        <w:rPr>
          <w:sz w:val="23"/>
          <w:szCs w:val="23"/>
        </w:rPr>
        <w:t>have not responded to treatment at a lower level of intensity and are assessed as ‘high-risk’ of serious medical and psychological complications.</w:t>
      </w:r>
    </w:p>
    <w:p w14:paraId="2383AEC6" w14:textId="77777777" w:rsidR="008E4B76"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p>
    <w:p w14:paraId="0DD4B315" w14:textId="77777777" w:rsidR="007B61E8" w:rsidRDefault="007B61E8"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The new items would provide for:</w:t>
      </w:r>
    </w:p>
    <w:p w14:paraId="33E6D53E" w14:textId="77777777" w:rsidR="007B61E8"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t</w:t>
      </w:r>
      <w:r w:rsidR="007B61E8">
        <w:rPr>
          <w:sz w:val="23"/>
          <w:szCs w:val="23"/>
        </w:rPr>
        <w:t>he development and review of a treatment and management plan by a medical practitioner (such as a GP).</w:t>
      </w:r>
    </w:p>
    <w:p w14:paraId="398F703C" w14:textId="77777777" w:rsidR="007B61E8"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t</w:t>
      </w:r>
      <w:r w:rsidR="007B61E8">
        <w:rPr>
          <w:sz w:val="23"/>
          <w:szCs w:val="23"/>
        </w:rPr>
        <w:t xml:space="preserve">his item would trigger eligibility for a comprehensive stepped model of care, consisting of an initial and more intensive course of psychological </w:t>
      </w:r>
      <w:r w:rsidR="00491EB1">
        <w:rPr>
          <w:sz w:val="23"/>
          <w:szCs w:val="23"/>
        </w:rPr>
        <w:t>and dietetic treatment depending of the patient’s needs.</w:t>
      </w:r>
    </w:p>
    <w:p w14:paraId="4ED176ED" w14:textId="77777777" w:rsidR="008E4B76"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p>
    <w:p w14:paraId="54CC46BA" w14:textId="77777777" w:rsidR="00491EB1" w:rsidRPr="008E4B76" w:rsidRDefault="00491EB1" w:rsidP="007B61E8">
      <w:pPr>
        <w:pBdr>
          <w:top w:val="single" w:sz="4" w:space="1" w:color="auto"/>
          <w:left w:val="single" w:sz="4" w:space="4" w:color="auto"/>
          <w:bottom w:val="single" w:sz="4" w:space="1" w:color="auto"/>
          <w:right w:val="single" w:sz="4" w:space="4" w:color="auto"/>
        </w:pBdr>
        <w:spacing w:before="0" w:after="0"/>
        <w:rPr>
          <w:sz w:val="23"/>
          <w:szCs w:val="23"/>
          <w:u w:val="single"/>
        </w:rPr>
      </w:pPr>
      <w:r w:rsidRPr="008E4B76">
        <w:rPr>
          <w:sz w:val="23"/>
          <w:szCs w:val="23"/>
          <w:u w:val="single"/>
        </w:rPr>
        <w:t>Initial course of treatment</w:t>
      </w:r>
    </w:p>
    <w:p w14:paraId="3BC2253D"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Triggered by the development of a treatment and management plan by a medical practitioner (GP):</w:t>
      </w:r>
    </w:p>
    <w:p w14:paraId="221B5C92" w14:textId="77777777" w:rsidR="00491EB1"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xml:space="preserve">.        </w:t>
      </w:r>
      <w:r w:rsidR="00491EB1">
        <w:rPr>
          <w:sz w:val="23"/>
          <w:szCs w:val="23"/>
        </w:rPr>
        <w:t>an initial course of up to 20 psychological sessions; and</w:t>
      </w:r>
    </w:p>
    <w:p w14:paraId="0EBB047D" w14:textId="77777777" w:rsidR="00491EB1"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xml:space="preserve">.        </w:t>
      </w:r>
      <w:r w:rsidR="00491EB1">
        <w:rPr>
          <w:sz w:val="23"/>
          <w:szCs w:val="23"/>
        </w:rPr>
        <w:t>an initial course of up to 10 dietetic sessions.</w:t>
      </w:r>
    </w:p>
    <w:p w14:paraId="37A7F2C6" w14:textId="77777777" w:rsidR="008E4B76"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p>
    <w:p w14:paraId="411954B8"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The GP will assess the patient throughout the treatment process, but should assess whether the patient should progress beyond 10 psychological sessions and 5 dietetic sessions by conducting a review consultation (with a New Item Number) before or around 9 or 10 sessions completion mark, to approve and trigger another course of 10 psychological sessions and 5 dietetic services (up to 20 psychological sessions and up to 10 dietetic sessions). This review item will involve a full medical and psychological history, a full physical examination and ordering and reviewing relevant investigations.</w:t>
      </w:r>
    </w:p>
    <w:p w14:paraId="03D3F8EE" w14:textId="77777777" w:rsidR="008E4B76"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p>
    <w:p w14:paraId="76016D04"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The mental health professional involved in the patients treatment will be required to formally report back to the practitioner before or around the 9 to 10 services completion mark to certify the patient’s diagnosis and confirm that the patient’s requires a further course (an additional 10 psychological sessions) of treatment.</w:t>
      </w:r>
    </w:p>
    <w:p w14:paraId="2FC03940" w14:textId="77777777" w:rsidR="008E4B76" w:rsidRDefault="008E4B76" w:rsidP="007B61E8">
      <w:pPr>
        <w:pBdr>
          <w:top w:val="single" w:sz="4" w:space="1" w:color="auto"/>
          <w:left w:val="single" w:sz="4" w:space="4" w:color="auto"/>
          <w:bottom w:val="single" w:sz="4" w:space="1" w:color="auto"/>
          <w:right w:val="single" w:sz="4" w:space="4" w:color="auto"/>
        </w:pBdr>
        <w:spacing w:before="0" w:after="0"/>
        <w:rPr>
          <w:sz w:val="23"/>
          <w:szCs w:val="23"/>
          <w:u w:val="single"/>
        </w:rPr>
      </w:pPr>
    </w:p>
    <w:p w14:paraId="7C611D65"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sidRPr="008A19D9">
        <w:rPr>
          <w:sz w:val="23"/>
          <w:szCs w:val="23"/>
          <w:u w:val="single"/>
        </w:rPr>
        <w:t>More intensive treatment</w:t>
      </w:r>
    </w:p>
    <w:p w14:paraId="34B1A108" w14:textId="77777777" w:rsidR="007B61E8"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If the patient has not responded to treatment at a lower intensity, u</w:t>
      </w:r>
      <w:r w:rsidRPr="00F325C0">
        <w:rPr>
          <w:sz w:val="23"/>
          <w:szCs w:val="23"/>
        </w:rPr>
        <w:t>pon formal review an</w:t>
      </w:r>
      <w:r w:rsidRPr="001F603E">
        <w:rPr>
          <w:sz w:val="23"/>
          <w:szCs w:val="23"/>
        </w:rPr>
        <w:t xml:space="preserve">d assessment of the patient by a </w:t>
      </w:r>
      <w:r w:rsidRPr="0000021B">
        <w:rPr>
          <w:sz w:val="23"/>
          <w:szCs w:val="23"/>
          <w:u w:val="single"/>
        </w:rPr>
        <w:t>psychiatrist or paediatrician</w:t>
      </w:r>
      <w:r w:rsidRPr="008A19D9">
        <w:rPr>
          <w:sz w:val="23"/>
          <w:szCs w:val="23"/>
        </w:rPr>
        <w:t>, the patient would be eligible</w:t>
      </w:r>
      <w:r>
        <w:rPr>
          <w:sz w:val="23"/>
          <w:szCs w:val="23"/>
        </w:rPr>
        <w:t xml:space="preserve"> </w:t>
      </w:r>
      <w:r w:rsidRPr="00F325C0">
        <w:rPr>
          <w:sz w:val="23"/>
          <w:szCs w:val="23"/>
        </w:rPr>
        <w:t>for:</w:t>
      </w:r>
    </w:p>
    <w:p w14:paraId="1D7B74C5" w14:textId="77777777" w:rsidR="00491EB1"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xml:space="preserve">.        </w:t>
      </w:r>
      <w:r w:rsidR="00491EB1" w:rsidRPr="001F603E">
        <w:rPr>
          <w:sz w:val="23"/>
          <w:szCs w:val="23"/>
        </w:rPr>
        <w:t>an additional course of up to 20 psychological sessions</w:t>
      </w:r>
      <w:r w:rsidR="00491EB1" w:rsidRPr="008A19D9">
        <w:rPr>
          <w:sz w:val="23"/>
          <w:szCs w:val="23"/>
        </w:rPr>
        <w:t xml:space="preserve"> (40 sessions in total per year) ; and</w:t>
      </w:r>
    </w:p>
    <w:p w14:paraId="243B5A46" w14:textId="77777777" w:rsidR="00491EB1" w:rsidRDefault="008E4B76" w:rsidP="007B61E8">
      <w:pPr>
        <w:pBdr>
          <w:top w:val="single" w:sz="4" w:space="1" w:color="auto"/>
          <w:left w:val="single" w:sz="4" w:space="4" w:color="auto"/>
          <w:bottom w:val="single" w:sz="4" w:space="1" w:color="auto"/>
          <w:right w:val="single" w:sz="4" w:space="4" w:color="auto"/>
        </w:pBdr>
        <w:spacing w:before="0" w:after="0"/>
        <w:rPr>
          <w:sz w:val="23"/>
          <w:szCs w:val="23"/>
        </w:rPr>
      </w:pPr>
      <w:r>
        <w:t xml:space="preserve">.        </w:t>
      </w:r>
      <w:r w:rsidR="00491EB1" w:rsidRPr="009341EF">
        <w:rPr>
          <w:sz w:val="23"/>
          <w:szCs w:val="23"/>
        </w:rPr>
        <w:t>an additional course of up to 10 dietetic sessions (20 sessions in total per year).</w:t>
      </w:r>
    </w:p>
    <w:p w14:paraId="1402E575"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u w:val="single"/>
        </w:rPr>
      </w:pPr>
    </w:p>
    <w:p w14:paraId="4E296B8E"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sidRPr="009341EF">
        <w:rPr>
          <w:sz w:val="23"/>
          <w:szCs w:val="23"/>
          <w:u w:val="single"/>
        </w:rPr>
        <w:t>GP reviews</w:t>
      </w:r>
    </w:p>
    <w:p w14:paraId="26100D51"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sidRPr="00F325C0">
        <w:rPr>
          <w:sz w:val="23"/>
          <w:szCs w:val="23"/>
        </w:rPr>
        <w:t>It is expected</w:t>
      </w:r>
      <w:r>
        <w:rPr>
          <w:sz w:val="23"/>
          <w:szCs w:val="23"/>
        </w:rPr>
        <w:t xml:space="preserve"> that as the central care provider, the GP will review the patient throughout the treatment process, performing the necessary medical assessments, including ordering and reviewing the required tests, and assessing the patient’s response to treatment.</w:t>
      </w:r>
    </w:p>
    <w:p w14:paraId="50DB9106"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p>
    <w:p w14:paraId="125780A7"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u w:val="single"/>
        </w:rPr>
      </w:pPr>
      <w:r w:rsidRPr="009341EF">
        <w:rPr>
          <w:sz w:val="23"/>
          <w:szCs w:val="23"/>
          <w:u w:val="single"/>
        </w:rPr>
        <w:t>Reports back to the GP</w:t>
      </w:r>
      <w:r>
        <w:rPr>
          <w:sz w:val="23"/>
          <w:szCs w:val="23"/>
          <w:u w:val="single"/>
        </w:rPr>
        <w:t xml:space="preserve"> from the mental health professional and dietitian</w:t>
      </w:r>
    </w:p>
    <w:p w14:paraId="41EF489B" w14:textId="77777777" w:rsidR="00491EB1" w:rsidRDefault="00491EB1" w:rsidP="007B61E8">
      <w:pPr>
        <w:pBdr>
          <w:top w:val="single" w:sz="4" w:space="1" w:color="auto"/>
          <w:left w:val="single" w:sz="4" w:space="4" w:color="auto"/>
          <w:bottom w:val="single" w:sz="4" w:space="1" w:color="auto"/>
          <w:right w:val="single" w:sz="4" w:space="4" w:color="auto"/>
        </w:pBdr>
        <w:spacing w:before="0" w:after="0"/>
        <w:rPr>
          <w:sz w:val="23"/>
          <w:szCs w:val="23"/>
        </w:rPr>
      </w:pPr>
      <w:r>
        <w:rPr>
          <w:sz w:val="23"/>
          <w:szCs w:val="23"/>
        </w:rPr>
        <w:t>It will be a requirement that the mental health professional and dietitian delivering care to the patient provide written reports back to the managing GP after each set of services (that is, after each set of 10 psychological services and 5 dietetic services).</w:t>
      </w:r>
    </w:p>
    <w:p w14:paraId="13C13628" w14:textId="77777777" w:rsidR="00C61B12" w:rsidRDefault="006D0FBD" w:rsidP="006D0FBD">
      <w:pPr>
        <w:rPr>
          <w:sz w:val="23"/>
          <w:szCs w:val="23"/>
        </w:rPr>
      </w:pPr>
      <w:r w:rsidRPr="00CE2942">
        <w:rPr>
          <w:sz w:val="23"/>
          <w:szCs w:val="23"/>
        </w:rPr>
        <w:t>As GPs are central to the treatment and management of a patient with eating disorders, the Working Gro</w:t>
      </w:r>
      <w:r w:rsidRPr="00CB54B7">
        <w:rPr>
          <w:sz w:val="23"/>
          <w:szCs w:val="23"/>
        </w:rPr>
        <w:t xml:space="preserve">up suggests that </w:t>
      </w:r>
      <w:r w:rsidR="00CB54B7">
        <w:rPr>
          <w:sz w:val="23"/>
          <w:szCs w:val="23"/>
        </w:rPr>
        <w:t xml:space="preserve">the GP remain the initiator of care and actively involved throughout the treatment process. The Working Group discussed the appropriate gatekeeper and referral arrangements for the proposed new items at length. </w:t>
      </w:r>
      <w:r w:rsidR="00D07ED4">
        <w:rPr>
          <w:sz w:val="23"/>
          <w:szCs w:val="23"/>
        </w:rPr>
        <w:t xml:space="preserve">It was agreed that if it was a requirement that the patient be assessed and diagnosed by a psychiatrist or paediatrician before they can access care, it </w:t>
      </w:r>
      <w:r w:rsidR="00CE2942">
        <w:rPr>
          <w:sz w:val="23"/>
          <w:szCs w:val="23"/>
        </w:rPr>
        <w:t xml:space="preserve">may create unintended barriers to patient access or a ‘bottleneck’ due to the limited number and geographical distribution of these specialists. It was also noted that there may be a conflict of interest in allowing those who would be providing the psychological care to assess initial eligibility for accessing services. </w:t>
      </w:r>
      <w:r w:rsidR="00D07ED4">
        <w:rPr>
          <w:sz w:val="23"/>
          <w:szCs w:val="23"/>
        </w:rPr>
        <w:t xml:space="preserve"> </w:t>
      </w:r>
      <w:r w:rsidR="00CE2942">
        <w:rPr>
          <w:sz w:val="23"/>
          <w:szCs w:val="23"/>
        </w:rPr>
        <w:t>It was agreed that the GP could initiate the access to the comprehensive</w:t>
      </w:r>
      <w:r w:rsidR="00C110A8">
        <w:rPr>
          <w:sz w:val="23"/>
          <w:szCs w:val="23"/>
        </w:rPr>
        <w:t xml:space="preserve"> stepped</w:t>
      </w:r>
      <w:r w:rsidR="00CE2942">
        <w:rPr>
          <w:sz w:val="23"/>
          <w:szCs w:val="23"/>
        </w:rPr>
        <w:t xml:space="preserve"> model, through the development of a treatment </w:t>
      </w:r>
      <w:r w:rsidR="00EC4C6C">
        <w:rPr>
          <w:sz w:val="23"/>
          <w:szCs w:val="23"/>
        </w:rPr>
        <w:t>and management plan, which would provide eligibility for an initial course of up to 20 psychological services and up to 10 dietetic sessions. It was agreed that the GP</w:t>
      </w:r>
      <w:r w:rsidR="00C61B12">
        <w:rPr>
          <w:sz w:val="23"/>
          <w:szCs w:val="23"/>
        </w:rPr>
        <w:t>s</w:t>
      </w:r>
      <w:r w:rsidR="00EC4C6C">
        <w:rPr>
          <w:sz w:val="23"/>
          <w:szCs w:val="23"/>
        </w:rPr>
        <w:t xml:space="preserve"> should review the patient frequently throughout the treatment process, to assess the patient’s response to treatment and to perform the vital physical assessments and ongoing testing</w:t>
      </w:r>
      <w:r w:rsidR="00C61B12">
        <w:rPr>
          <w:sz w:val="23"/>
          <w:szCs w:val="23"/>
        </w:rPr>
        <w:t>,</w:t>
      </w:r>
      <w:r w:rsidR="00C110A8">
        <w:rPr>
          <w:sz w:val="23"/>
          <w:szCs w:val="23"/>
        </w:rPr>
        <w:t xml:space="preserve"> but also to confirm that the initial course of treatment should continue beyond the first 10 psychological and five dietetic sessions. </w:t>
      </w:r>
      <w:r w:rsidR="00C61B12">
        <w:rPr>
          <w:sz w:val="23"/>
          <w:szCs w:val="23"/>
        </w:rPr>
        <w:t xml:space="preserve"> </w:t>
      </w:r>
      <w:r w:rsidR="00EC4C6C">
        <w:rPr>
          <w:sz w:val="23"/>
          <w:szCs w:val="23"/>
        </w:rPr>
        <w:t>Written reports back to the GP will be required</w:t>
      </w:r>
      <w:r w:rsidR="00C61B12">
        <w:rPr>
          <w:sz w:val="23"/>
          <w:szCs w:val="23"/>
        </w:rPr>
        <w:t xml:space="preserve"> from the mental health professional and dietitian</w:t>
      </w:r>
      <w:r w:rsidR="00EC4C6C">
        <w:rPr>
          <w:sz w:val="23"/>
          <w:szCs w:val="23"/>
        </w:rPr>
        <w:t xml:space="preserve"> throughout the course of treatment, but particularly after each ‘step’</w:t>
      </w:r>
      <w:r w:rsidR="00C61B12">
        <w:rPr>
          <w:sz w:val="23"/>
          <w:szCs w:val="23"/>
        </w:rPr>
        <w:t xml:space="preserve"> of 10 psychological s</w:t>
      </w:r>
      <w:r w:rsidR="00CC3AC7">
        <w:rPr>
          <w:sz w:val="23"/>
          <w:szCs w:val="23"/>
        </w:rPr>
        <w:t>ervices and 5 dietetic services</w:t>
      </w:r>
      <w:r w:rsidR="00C61B12">
        <w:rPr>
          <w:sz w:val="23"/>
          <w:szCs w:val="23"/>
        </w:rPr>
        <w:t xml:space="preserve">. </w:t>
      </w:r>
    </w:p>
    <w:p w14:paraId="764759D2" w14:textId="77777777" w:rsidR="006D0FBD" w:rsidRDefault="00C61B12" w:rsidP="006D0FBD">
      <w:pPr>
        <w:rPr>
          <w:sz w:val="23"/>
          <w:szCs w:val="23"/>
        </w:rPr>
      </w:pPr>
      <w:r>
        <w:rPr>
          <w:sz w:val="23"/>
          <w:szCs w:val="23"/>
        </w:rPr>
        <w:t>Before a patient progresses to the ‘next step’ in the treatment model, that is</w:t>
      </w:r>
      <w:r w:rsidR="0086159F">
        <w:rPr>
          <w:sz w:val="23"/>
          <w:szCs w:val="23"/>
        </w:rPr>
        <w:t>,</w:t>
      </w:r>
      <w:r>
        <w:rPr>
          <w:sz w:val="23"/>
          <w:szCs w:val="23"/>
        </w:rPr>
        <w:t xml:space="preserve"> access to an additional 20 psychological and an additional 10 dietetic services</w:t>
      </w:r>
      <w:r w:rsidR="008603CB">
        <w:rPr>
          <w:sz w:val="23"/>
          <w:szCs w:val="23"/>
        </w:rPr>
        <w:t xml:space="preserve"> (which would bring the total number to 40 psychological and 20 dietetic services)</w:t>
      </w:r>
      <w:r w:rsidR="0086159F">
        <w:rPr>
          <w:sz w:val="23"/>
          <w:szCs w:val="23"/>
        </w:rPr>
        <w:t>, formal review by a psychiatrist or paediatrician will be required.</w:t>
      </w:r>
      <w:r>
        <w:rPr>
          <w:sz w:val="23"/>
          <w:szCs w:val="23"/>
        </w:rPr>
        <w:t xml:space="preserve"> </w:t>
      </w:r>
      <w:r w:rsidR="0086159F">
        <w:rPr>
          <w:sz w:val="23"/>
          <w:szCs w:val="23"/>
        </w:rPr>
        <w:t xml:space="preserve">The psychiatrist or paediatrician will reaffirm the patient’s diagnosis, assess the patient’s response to treatment and confirm that the patient should progress on to the intensive level of treatment.  </w:t>
      </w:r>
      <w:r w:rsidR="006D0FBD" w:rsidRPr="00AE5A70">
        <w:rPr>
          <w:sz w:val="23"/>
          <w:szCs w:val="23"/>
        </w:rPr>
        <w:t xml:space="preserve"> </w:t>
      </w:r>
      <w:r w:rsidR="008603CB">
        <w:rPr>
          <w:sz w:val="23"/>
          <w:szCs w:val="23"/>
        </w:rPr>
        <w:t>The rationale supporting the inclusion of a formal review by a specialist is to provide the reassurance that the correct diagnosis has been made and to enable the GP to receive specialist advice to support p</w:t>
      </w:r>
      <w:r w:rsidR="00D843F4">
        <w:rPr>
          <w:sz w:val="23"/>
          <w:szCs w:val="23"/>
        </w:rPr>
        <w:t>atient management. It is likely</w:t>
      </w:r>
      <w:r w:rsidR="008603CB">
        <w:rPr>
          <w:sz w:val="23"/>
          <w:szCs w:val="23"/>
        </w:rPr>
        <w:t xml:space="preserve"> that a patient who would require this level of </w:t>
      </w:r>
      <w:r w:rsidR="00B86DCA">
        <w:rPr>
          <w:sz w:val="23"/>
          <w:szCs w:val="23"/>
        </w:rPr>
        <w:t>intensive treatment would already be accessing specialist care.</w:t>
      </w:r>
    </w:p>
    <w:p w14:paraId="2A4DBD75" w14:textId="77777777" w:rsidR="00383C13" w:rsidRDefault="00383C13" w:rsidP="006D0FBD">
      <w:pPr>
        <w:rPr>
          <w:sz w:val="23"/>
          <w:szCs w:val="23"/>
        </w:rPr>
      </w:pPr>
      <w:r>
        <w:rPr>
          <w:sz w:val="23"/>
          <w:szCs w:val="23"/>
        </w:rPr>
        <w:t>The Working Group were of the view that there are other aspects of the item</w:t>
      </w:r>
      <w:r w:rsidR="0000021B">
        <w:rPr>
          <w:sz w:val="23"/>
          <w:szCs w:val="23"/>
        </w:rPr>
        <w:t>s’</w:t>
      </w:r>
      <w:r>
        <w:rPr>
          <w:sz w:val="23"/>
          <w:szCs w:val="23"/>
        </w:rPr>
        <w:t xml:space="preserve"> operation which should be considered to support the cost-effectiveness of the items. For example, the Working Group noted that there was a potential for large financial impacts on the Medicare safety net arrangements (as patients are generally charged large out-of-pocket costs for psychological services which would increase liability under the extended Medicare safety net (EMSN)). It was suggested that consideration be given to placing a lower EMSN benefit cap on the new items for psychological and dietetic services, for example, equal to double the schedule fee</w:t>
      </w:r>
      <w:r w:rsidR="00D843F4">
        <w:rPr>
          <w:sz w:val="23"/>
          <w:szCs w:val="23"/>
        </w:rPr>
        <w:t xml:space="preserve"> (rather than 300 per cent of the schedule fee which current applies to consultation items)</w:t>
      </w:r>
      <w:r>
        <w:rPr>
          <w:sz w:val="23"/>
          <w:szCs w:val="23"/>
        </w:rPr>
        <w:t>.</w:t>
      </w:r>
    </w:p>
    <w:p w14:paraId="036A0833" w14:textId="77777777" w:rsidR="00B86DCA" w:rsidRPr="00AE5A70" w:rsidRDefault="00B86DCA" w:rsidP="006D0FBD">
      <w:pPr>
        <w:rPr>
          <w:sz w:val="23"/>
          <w:szCs w:val="23"/>
        </w:rPr>
      </w:pPr>
      <w:r>
        <w:rPr>
          <w:sz w:val="23"/>
          <w:szCs w:val="23"/>
        </w:rPr>
        <w:t>The Working Group recommends work should carried out with</w:t>
      </w:r>
      <w:r w:rsidR="00CC3AC7">
        <w:rPr>
          <w:sz w:val="23"/>
          <w:szCs w:val="23"/>
        </w:rPr>
        <w:t xml:space="preserve"> all</w:t>
      </w:r>
      <w:r>
        <w:rPr>
          <w:sz w:val="23"/>
          <w:szCs w:val="23"/>
        </w:rPr>
        <w:t xml:space="preserve"> the professional groups involved in the delivery of care to patients with eating disorders, on the appropriate item descriptors</w:t>
      </w:r>
      <w:r w:rsidR="008E2A8E">
        <w:rPr>
          <w:sz w:val="23"/>
          <w:szCs w:val="23"/>
        </w:rPr>
        <w:t>, including the precise patient eligibility requirements,</w:t>
      </w:r>
      <w:r>
        <w:rPr>
          <w:sz w:val="23"/>
          <w:szCs w:val="23"/>
        </w:rPr>
        <w:t xml:space="preserve"> and explanatory notes which would operationalise the intent of the care model outlined in recommendation 1.2.</w:t>
      </w:r>
    </w:p>
    <w:p w14:paraId="15C94613" w14:textId="77777777" w:rsidR="00096330" w:rsidRDefault="00096330" w:rsidP="009341EF">
      <w:pPr>
        <w:pStyle w:val="Heading3Numbered"/>
        <w:keepLines/>
        <w:rPr>
          <w:sz w:val="23"/>
          <w:szCs w:val="23"/>
        </w:rPr>
      </w:pPr>
      <w:bookmarkStart w:id="66" w:name="_Toc531941939"/>
      <w:r w:rsidRPr="00AE5A70">
        <w:rPr>
          <w:sz w:val="23"/>
          <w:szCs w:val="23"/>
        </w:rPr>
        <w:t>Recommendation 1</w:t>
      </w:r>
      <w:r w:rsidR="0086159F">
        <w:rPr>
          <w:sz w:val="23"/>
          <w:szCs w:val="23"/>
        </w:rPr>
        <w:t>.3</w:t>
      </w:r>
      <w:bookmarkEnd w:id="66"/>
    </w:p>
    <w:p w14:paraId="65920D8F" w14:textId="77777777" w:rsidR="007E5420" w:rsidRPr="00AE5A70" w:rsidRDefault="007E5420" w:rsidP="004E5F16">
      <w:pPr>
        <w:pBdr>
          <w:top w:val="single" w:sz="4" w:space="1" w:color="auto"/>
          <w:left w:val="single" w:sz="4" w:space="4" w:color="auto"/>
          <w:bottom w:val="single" w:sz="4" w:space="1" w:color="auto"/>
          <w:right w:val="single" w:sz="4" w:space="4" w:color="auto"/>
        </w:pBdr>
        <w:rPr>
          <w:sz w:val="23"/>
          <w:szCs w:val="23"/>
        </w:rPr>
      </w:pPr>
      <w:r w:rsidRPr="00C6115B">
        <w:rPr>
          <w:sz w:val="23"/>
          <w:szCs w:val="23"/>
        </w:rPr>
        <w:t>The Working Group recommends that the impact and operation of the new items should be reviewed as soon as practical (within three years) after introduction of the new items. The Review should assess whether the items are operating as intended for all parties (the Government, practitioners and patients) and should assess the viability of expanding the MBS arrangements to provide for a comprehensive stepped care models to all patients with a diagnosed eating disorder.</w:t>
      </w:r>
    </w:p>
    <w:p w14:paraId="2F1F0BCE" w14:textId="77777777" w:rsidR="00B86DCA" w:rsidRPr="00383C13" w:rsidRDefault="00B86DCA" w:rsidP="009341EF">
      <w:pPr>
        <w:rPr>
          <w:sz w:val="23"/>
          <w:szCs w:val="23"/>
        </w:rPr>
      </w:pPr>
      <w:r w:rsidRPr="009341EF">
        <w:rPr>
          <w:sz w:val="23"/>
          <w:szCs w:val="23"/>
        </w:rPr>
        <w:t>A review of the impact and operation of the new items referred to in recommendation 1.2 would allow for an assessment of the MBS as a delivery model for the comprehensive care model outlined in this report.</w:t>
      </w:r>
    </w:p>
    <w:p w14:paraId="5514A40B" w14:textId="77777777" w:rsidR="00096330" w:rsidRDefault="00096330" w:rsidP="00096330">
      <w:pPr>
        <w:pStyle w:val="Heading3Numbered"/>
        <w:rPr>
          <w:sz w:val="23"/>
          <w:szCs w:val="23"/>
        </w:rPr>
      </w:pPr>
      <w:bookmarkStart w:id="67" w:name="_Toc531941940"/>
      <w:r w:rsidRPr="00AE5A70">
        <w:rPr>
          <w:sz w:val="23"/>
          <w:szCs w:val="23"/>
        </w:rPr>
        <w:t>Recommendation 1</w:t>
      </w:r>
      <w:r>
        <w:rPr>
          <w:sz w:val="23"/>
          <w:szCs w:val="23"/>
        </w:rPr>
        <w:t>.</w:t>
      </w:r>
      <w:r w:rsidR="0086159F">
        <w:rPr>
          <w:sz w:val="23"/>
          <w:szCs w:val="23"/>
        </w:rPr>
        <w:t>4</w:t>
      </w:r>
      <w:bookmarkEnd w:id="67"/>
    </w:p>
    <w:p w14:paraId="13E61B68" w14:textId="77777777" w:rsidR="007E5420" w:rsidRPr="00AE5A70" w:rsidRDefault="007E5420" w:rsidP="004E5F16">
      <w:pPr>
        <w:pBdr>
          <w:top w:val="single" w:sz="4" w:space="1" w:color="auto"/>
          <w:left w:val="single" w:sz="4" w:space="4" w:color="auto"/>
          <w:bottom w:val="single" w:sz="4" w:space="1" w:color="auto"/>
          <w:right w:val="single" w:sz="4" w:space="4" w:color="auto"/>
        </w:pBdr>
        <w:rPr>
          <w:sz w:val="23"/>
          <w:szCs w:val="23"/>
        </w:rPr>
      </w:pPr>
      <w:r w:rsidRPr="00C6115B">
        <w:rPr>
          <w:sz w:val="23"/>
          <w:szCs w:val="23"/>
        </w:rPr>
        <w:t>The Working Group recommends the services referred to in recommendation 1.2 be allowed to be provided via telehealth (under the same eligibility requirements that exist for other MBS services) in order to increase access to services for patients in rural and remote areas.</w:t>
      </w:r>
    </w:p>
    <w:p w14:paraId="7DB61D59" w14:textId="77777777" w:rsidR="001E76A5" w:rsidRPr="00AE5A70" w:rsidRDefault="001E76A5">
      <w:pPr>
        <w:spacing w:before="0" w:after="0" w:line="240" w:lineRule="auto"/>
        <w:rPr>
          <w:rFonts w:ascii="Arial" w:hAnsi="Arial" w:cs="Arial"/>
          <w:b/>
          <w:bCs/>
          <w:i/>
          <w:iCs/>
          <w:sz w:val="18"/>
          <w:szCs w:val="18"/>
        </w:rPr>
      </w:pPr>
      <w:r w:rsidRPr="00AE5A70">
        <w:rPr>
          <w:sz w:val="18"/>
          <w:szCs w:val="18"/>
        </w:rPr>
        <w:br w:type="page"/>
      </w:r>
    </w:p>
    <w:p w14:paraId="4E90E4DB" w14:textId="77777777" w:rsidR="000D0E4E" w:rsidRPr="00AE5A70" w:rsidRDefault="000D0E4E" w:rsidP="001E76A5">
      <w:pPr>
        <w:pStyle w:val="Heading2"/>
        <w:numPr>
          <w:ilvl w:val="1"/>
          <w:numId w:val="69"/>
        </w:numPr>
        <w:spacing w:before="120" w:after="120"/>
        <w:ind w:left="578" w:hanging="578"/>
        <w:rPr>
          <w:sz w:val="24"/>
          <w:szCs w:val="24"/>
        </w:rPr>
      </w:pPr>
      <w:bookmarkStart w:id="68" w:name="_Toc531941941"/>
      <w:r w:rsidRPr="00AE5A70">
        <w:rPr>
          <w:sz w:val="24"/>
          <w:szCs w:val="24"/>
        </w:rPr>
        <w:t xml:space="preserve">Finding 2: </w:t>
      </w:r>
      <w:r w:rsidR="005F6273" w:rsidRPr="00AE5A70">
        <w:rPr>
          <w:sz w:val="24"/>
          <w:szCs w:val="24"/>
        </w:rPr>
        <w:t>There is a lack of service integration between primary</w:t>
      </w:r>
      <w:r w:rsidR="007560F6" w:rsidRPr="00AE5A70">
        <w:rPr>
          <w:sz w:val="24"/>
          <w:szCs w:val="24"/>
        </w:rPr>
        <w:t>,</w:t>
      </w:r>
      <w:r w:rsidR="005F6273" w:rsidRPr="00AE5A70">
        <w:rPr>
          <w:sz w:val="24"/>
          <w:szCs w:val="24"/>
        </w:rPr>
        <w:t xml:space="preserve"> </w:t>
      </w:r>
      <w:r w:rsidR="00BF08DA" w:rsidRPr="00AE5A70">
        <w:rPr>
          <w:sz w:val="24"/>
          <w:szCs w:val="24"/>
        </w:rPr>
        <w:t xml:space="preserve">secondary </w:t>
      </w:r>
      <w:r w:rsidR="005F6273" w:rsidRPr="00AE5A70">
        <w:rPr>
          <w:sz w:val="24"/>
          <w:szCs w:val="24"/>
        </w:rPr>
        <w:t xml:space="preserve">and tertiary health care </w:t>
      </w:r>
      <w:r w:rsidR="009F1CC7" w:rsidRPr="00AE5A70">
        <w:rPr>
          <w:sz w:val="24"/>
          <w:szCs w:val="24"/>
        </w:rPr>
        <w:t>in</w:t>
      </w:r>
      <w:r w:rsidR="005F6273" w:rsidRPr="00AE5A70">
        <w:rPr>
          <w:sz w:val="24"/>
          <w:szCs w:val="24"/>
        </w:rPr>
        <w:t xml:space="preserve"> developing care plans</w:t>
      </w:r>
      <w:r w:rsidR="005320CC" w:rsidRPr="00AE5A70">
        <w:rPr>
          <w:sz w:val="24"/>
          <w:szCs w:val="24"/>
        </w:rPr>
        <w:t xml:space="preserve"> and </w:t>
      </w:r>
      <w:r w:rsidR="001E76A5" w:rsidRPr="00AE5A70">
        <w:rPr>
          <w:sz w:val="24"/>
          <w:szCs w:val="24"/>
        </w:rPr>
        <w:t xml:space="preserve">effectively </w:t>
      </w:r>
      <w:r w:rsidR="005F6273" w:rsidRPr="00AE5A70">
        <w:rPr>
          <w:sz w:val="24"/>
          <w:szCs w:val="24"/>
        </w:rPr>
        <w:t>communicati</w:t>
      </w:r>
      <w:r w:rsidR="001E76A5" w:rsidRPr="00AE5A70">
        <w:rPr>
          <w:sz w:val="24"/>
          <w:szCs w:val="24"/>
        </w:rPr>
        <w:t>ng</w:t>
      </w:r>
      <w:r w:rsidR="005F6273" w:rsidRPr="00AE5A70">
        <w:rPr>
          <w:sz w:val="24"/>
          <w:szCs w:val="24"/>
        </w:rPr>
        <w:t xml:space="preserve"> </w:t>
      </w:r>
      <w:r w:rsidR="005320CC" w:rsidRPr="00AE5A70">
        <w:rPr>
          <w:sz w:val="24"/>
          <w:szCs w:val="24"/>
        </w:rPr>
        <w:t>with patients and their</w:t>
      </w:r>
      <w:r w:rsidR="005F6273" w:rsidRPr="00AE5A70">
        <w:rPr>
          <w:sz w:val="24"/>
          <w:szCs w:val="24"/>
        </w:rPr>
        <w:t xml:space="preserve"> families</w:t>
      </w:r>
      <w:bookmarkEnd w:id="68"/>
    </w:p>
    <w:p w14:paraId="27A87369" w14:textId="77777777" w:rsidR="000D0E4E" w:rsidRPr="00AE5A70" w:rsidRDefault="000D0E4E" w:rsidP="00D132F2">
      <w:pPr>
        <w:pStyle w:val="Heading3Numbered"/>
        <w:numPr>
          <w:ilvl w:val="2"/>
          <w:numId w:val="94"/>
        </w:numPr>
        <w:rPr>
          <w:sz w:val="23"/>
          <w:szCs w:val="23"/>
        </w:rPr>
      </w:pPr>
      <w:bookmarkStart w:id="69" w:name="_Toc531941942"/>
      <w:r w:rsidRPr="00AE5A70">
        <w:rPr>
          <w:sz w:val="23"/>
          <w:szCs w:val="23"/>
        </w:rPr>
        <w:t>Background</w:t>
      </w:r>
      <w:bookmarkEnd w:id="69"/>
    </w:p>
    <w:p w14:paraId="0460526C" w14:textId="77777777" w:rsidR="000D0E4E" w:rsidRPr="00AE5A70" w:rsidRDefault="000D0E4E" w:rsidP="000D0E4E">
      <w:pPr>
        <w:rPr>
          <w:sz w:val="23"/>
          <w:szCs w:val="23"/>
        </w:rPr>
      </w:pPr>
      <w:r w:rsidRPr="00AE5A70">
        <w:rPr>
          <w:sz w:val="23"/>
          <w:szCs w:val="23"/>
        </w:rPr>
        <w:t xml:space="preserve">People with </w:t>
      </w:r>
      <w:r w:rsidR="00EF45C7" w:rsidRPr="00AE5A70">
        <w:rPr>
          <w:sz w:val="23"/>
          <w:szCs w:val="23"/>
        </w:rPr>
        <w:t xml:space="preserve">eating disorders </w:t>
      </w:r>
      <w:r w:rsidRPr="00AE5A70">
        <w:rPr>
          <w:sz w:val="23"/>
          <w:szCs w:val="23"/>
        </w:rPr>
        <w:t>also experience higher rates of other mental health issues, such as depression and anxiety, with reports of almost 97</w:t>
      </w:r>
      <w:r w:rsidR="001A7991" w:rsidRPr="00AE5A70">
        <w:rPr>
          <w:sz w:val="23"/>
          <w:szCs w:val="23"/>
        </w:rPr>
        <w:t xml:space="preserve"> per cent</w:t>
      </w:r>
      <w:r w:rsidRPr="00AE5A70">
        <w:rPr>
          <w:sz w:val="23"/>
          <w:szCs w:val="23"/>
        </w:rPr>
        <w:t xml:space="preserve"> of people also having a comorbid condition. </w:t>
      </w:r>
      <w:r w:rsidRPr="00AE5A70">
        <w:rPr>
          <w:sz w:val="23"/>
          <w:szCs w:val="23"/>
          <w:vertAlign w:val="superscript"/>
        </w:rPr>
        <w:footnoteReference w:id="45"/>
      </w:r>
      <w:r w:rsidRPr="00AE5A70">
        <w:rPr>
          <w:sz w:val="23"/>
          <w:szCs w:val="23"/>
        </w:rPr>
        <w:t xml:space="preserve"> As such, patients require targeted treatment, which is person centric and tailored to specifically address the nature of their eating disorder</w:t>
      </w:r>
      <w:r w:rsidR="004B7235" w:rsidRPr="00AE5A70">
        <w:rPr>
          <w:sz w:val="23"/>
          <w:szCs w:val="23"/>
        </w:rPr>
        <w:t>.</w:t>
      </w:r>
      <w:r w:rsidRPr="00AE5A70">
        <w:rPr>
          <w:sz w:val="23"/>
          <w:szCs w:val="23"/>
        </w:rPr>
        <w:t xml:space="preserve"> </w:t>
      </w:r>
      <w:r w:rsidR="004B7235" w:rsidRPr="00AE5A70">
        <w:rPr>
          <w:sz w:val="23"/>
          <w:szCs w:val="23"/>
        </w:rPr>
        <w:t>The t</w:t>
      </w:r>
      <w:r w:rsidRPr="00AE5A70">
        <w:rPr>
          <w:sz w:val="23"/>
          <w:szCs w:val="23"/>
        </w:rPr>
        <w:t>reatment of any underlying comorbid psychological issues</w:t>
      </w:r>
      <w:r w:rsidR="004B7235" w:rsidRPr="00AE5A70">
        <w:rPr>
          <w:sz w:val="23"/>
          <w:szCs w:val="23"/>
        </w:rPr>
        <w:t xml:space="preserve"> should also occur in parallel</w:t>
      </w:r>
      <w:r w:rsidRPr="00AE5A70">
        <w:rPr>
          <w:sz w:val="23"/>
          <w:szCs w:val="23"/>
        </w:rPr>
        <w:t xml:space="preserve">. </w:t>
      </w:r>
    </w:p>
    <w:p w14:paraId="7E46B373" w14:textId="77777777" w:rsidR="000D0E4E" w:rsidRPr="00AE5A70" w:rsidRDefault="000D0E4E" w:rsidP="000D0E4E">
      <w:pPr>
        <w:rPr>
          <w:sz w:val="23"/>
          <w:szCs w:val="23"/>
        </w:rPr>
      </w:pPr>
      <w:r w:rsidRPr="00AE5A70">
        <w:rPr>
          <w:sz w:val="23"/>
          <w:szCs w:val="23"/>
        </w:rPr>
        <w:t>The clinical treatment of</w:t>
      </w:r>
      <w:r w:rsidR="00D740A4" w:rsidRPr="00AE5A70">
        <w:rPr>
          <w:sz w:val="23"/>
          <w:szCs w:val="23"/>
        </w:rPr>
        <w:t xml:space="preserve"> an</w:t>
      </w:r>
      <w:r w:rsidRPr="00AE5A70">
        <w:rPr>
          <w:sz w:val="23"/>
          <w:szCs w:val="23"/>
        </w:rPr>
        <w:t xml:space="preserve"> eating disorder requires a combination of medical, nutritional and psychological treatment.</w:t>
      </w:r>
      <w:r w:rsidRPr="00AE5A70">
        <w:rPr>
          <w:sz w:val="23"/>
          <w:szCs w:val="23"/>
          <w:vertAlign w:val="superscript"/>
        </w:rPr>
        <w:footnoteReference w:id="46"/>
      </w:r>
      <w:r w:rsidRPr="00AE5A70">
        <w:rPr>
          <w:sz w:val="23"/>
          <w:szCs w:val="23"/>
        </w:rPr>
        <w:t xml:space="preserve"> Recovery from an </w:t>
      </w:r>
      <w:r w:rsidR="004B7235" w:rsidRPr="00AE5A70">
        <w:rPr>
          <w:sz w:val="23"/>
          <w:szCs w:val="23"/>
        </w:rPr>
        <w:t>eating disorder</w:t>
      </w:r>
      <w:r w:rsidR="004B7235" w:rsidRPr="00AE5A70" w:rsidDel="004B7235">
        <w:rPr>
          <w:sz w:val="23"/>
          <w:szCs w:val="23"/>
        </w:rPr>
        <w:t xml:space="preserve"> </w:t>
      </w:r>
      <w:r w:rsidRPr="00AE5A70">
        <w:rPr>
          <w:sz w:val="23"/>
          <w:szCs w:val="23"/>
        </w:rPr>
        <w:t>takes many years and may require several courses of treatment.</w:t>
      </w:r>
      <w:r w:rsidRPr="00AE5A70">
        <w:rPr>
          <w:sz w:val="23"/>
          <w:szCs w:val="23"/>
          <w:vertAlign w:val="superscript"/>
        </w:rPr>
        <w:footnoteReference w:id="47"/>
      </w:r>
      <w:r w:rsidRPr="00AE5A70">
        <w:rPr>
          <w:sz w:val="23"/>
          <w:szCs w:val="23"/>
        </w:rPr>
        <w:t xml:space="preserve"> The </w:t>
      </w:r>
      <w:r w:rsidR="009400B8">
        <w:rPr>
          <w:sz w:val="23"/>
          <w:szCs w:val="23"/>
        </w:rPr>
        <w:t>timely</w:t>
      </w:r>
      <w:r w:rsidRPr="00AE5A70">
        <w:rPr>
          <w:sz w:val="23"/>
          <w:szCs w:val="23"/>
        </w:rPr>
        <w:t xml:space="preserve"> identification of the illness and prompt intervention from a wide range of primary health professionals adequately trained to support the patient is paramount to reduce the severity, duration and</w:t>
      </w:r>
      <w:r w:rsidR="004B7235" w:rsidRPr="00AE5A70">
        <w:rPr>
          <w:sz w:val="23"/>
          <w:szCs w:val="23"/>
        </w:rPr>
        <w:t xml:space="preserve"> the</w:t>
      </w:r>
      <w:r w:rsidRPr="00AE5A70">
        <w:rPr>
          <w:sz w:val="23"/>
          <w:szCs w:val="23"/>
        </w:rPr>
        <w:t xml:space="preserve"> impact of </w:t>
      </w:r>
      <w:r w:rsidR="004B7235" w:rsidRPr="00AE5A70">
        <w:rPr>
          <w:sz w:val="23"/>
          <w:szCs w:val="23"/>
        </w:rPr>
        <w:t>eating disorder</w:t>
      </w:r>
      <w:r w:rsidRPr="00AE5A70">
        <w:rPr>
          <w:sz w:val="23"/>
          <w:szCs w:val="23"/>
        </w:rPr>
        <w:t>s</w:t>
      </w:r>
      <w:r w:rsidR="00E330BD" w:rsidRPr="00AE5A70">
        <w:rPr>
          <w:sz w:val="23"/>
          <w:szCs w:val="23"/>
        </w:rPr>
        <w:t xml:space="preserve"> on the individual and</w:t>
      </w:r>
      <w:r w:rsidRPr="00AE5A70">
        <w:rPr>
          <w:sz w:val="23"/>
          <w:szCs w:val="23"/>
        </w:rPr>
        <w:t xml:space="preserve"> more broadly on the community. </w:t>
      </w:r>
      <w:r w:rsidR="00762B73" w:rsidRPr="00AE5A70">
        <w:rPr>
          <w:sz w:val="23"/>
          <w:szCs w:val="23"/>
        </w:rPr>
        <w:t xml:space="preserve">This section discusses the other changes that could be made to existing MBS arrangements to strengthen service integration and </w:t>
      </w:r>
      <w:r w:rsidR="00F72032" w:rsidRPr="00AE5A70">
        <w:rPr>
          <w:sz w:val="23"/>
          <w:szCs w:val="23"/>
        </w:rPr>
        <w:t>MDT</w:t>
      </w:r>
      <w:r w:rsidR="00762B73" w:rsidRPr="00AE5A70">
        <w:rPr>
          <w:sz w:val="23"/>
          <w:szCs w:val="23"/>
        </w:rPr>
        <w:t xml:space="preserve"> collaboration.</w:t>
      </w:r>
    </w:p>
    <w:p w14:paraId="795F4826" w14:textId="77777777" w:rsidR="000D0E4E" w:rsidRPr="00AE5A70" w:rsidRDefault="00A9006F" w:rsidP="00D132F2">
      <w:pPr>
        <w:pStyle w:val="Heading3Numbered"/>
        <w:numPr>
          <w:ilvl w:val="2"/>
          <w:numId w:val="94"/>
        </w:numPr>
        <w:rPr>
          <w:sz w:val="23"/>
          <w:szCs w:val="23"/>
        </w:rPr>
      </w:pPr>
      <w:bookmarkStart w:id="70" w:name="_Toc531941943"/>
      <w:r w:rsidRPr="00AE5A70">
        <w:rPr>
          <w:sz w:val="23"/>
          <w:szCs w:val="23"/>
        </w:rPr>
        <w:t xml:space="preserve">Delivery through a </w:t>
      </w:r>
      <w:r w:rsidR="00F72032" w:rsidRPr="00AE5A70">
        <w:rPr>
          <w:sz w:val="23"/>
          <w:szCs w:val="23"/>
        </w:rPr>
        <w:t>m</w:t>
      </w:r>
      <w:r w:rsidRPr="00AE5A70">
        <w:rPr>
          <w:sz w:val="23"/>
          <w:szCs w:val="23"/>
        </w:rPr>
        <w:t>ultidisciplinary team</w:t>
      </w:r>
      <w:bookmarkEnd w:id="70"/>
    </w:p>
    <w:p w14:paraId="575FBFEE" w14:textId="77777777" w:rsidR="000D0E4E" w:rsidRPr="00AE5A70" w:rsidRDefault="00831BE0" w:rsidP="000D0E4E">
      <w:pPr>
        <w:rPr>
          <w:sz w:val="23"/>
          <w:szCs w:val="23"/>
        </w:rPr>
      </w:pPr>
      <w:r w:rsidRPr="00AE5A70">
        <w:rPr>
          <w:sz w:val="23"/>
          <w:szCs w:val="23"/>
        </w:rPr>
        <w:t>The Working Group agree</w:t>
      </w:r>
      <w:r w:rsidR="002E3F71" w:rsidRPr="00AE5A70">
        <w:rPr>
          <w:sz w:val="23"/>
          <w:szCs w:val="23"/>
        </w:rPr>
        <w:t>s</w:t>
      </w:r>
      <w:r w:rsidRPr="00AE5A70">
        <w:rPr>
          <w:sz w:val="23"/>
          <w:szCs w:val="23"/>
        </w:rPr>
        <w:t xml:space="preserve"> with the overwhelming evidence </w:t>
      </w:r>
      <w:r w:rsidR="0060745F" w:rsidRPr="00AE5A70">
        <w:rPr>
          <w:sz w:val="23"/>
          <w:szCs w:val="23"/>
        </w:rPr>
        <w:t>that</w:t>
      </w:r>
      <w:r w:rsidR="000D0E4E" w:rsidRPr="00AE5A70">
        <w:rPr>
          <w:sz w:val="23"/>
          <w:szCs w:val="23"/>
        </w:rPr>
        <w:t xml:space="preserve"> </w:t>
      </w:r>
      <w:r w:rsidR="002618EE" w:rsidRPr="00AE5A70">
        <w:rPr>
          <w:sz w:val="23"/>
          <w:szCs w:val="23"/>
        </w:rPr>
        <w:t>support</w:t>
      </w:r>
      <w:r w:rsidRPr="00AE5A70">
        <w:rPr>
          <w:sz w:val="23"/>
          <w:szCs w:val="23"/>
        </w:rPr>
        <w:t>s</w:t>
      </w:r>
      <w:r w:rsidR="000D0E4E" w:rsidRPr="00AE5A70">
        <w:rPr>
          <w:sz w:val="23"/>
          <w:szCs w:val="23"/>
        </w:rPr>
        <w:t xml:space="preserve"> a multidisciplinary approach to ensur</w:t>
      </w:r>
      <w:r w:rsidRPr="00AE5A70">
        <w:rPr>
          <w:sz w:val="23"/>
          <w:szCs w:val="23"/>
        </w:rPr>
        <w:t xml:space="preserve">e </w:t>
      </w:r>
      <w:r w:rsidR="000D0E4E" w:rsidRPr="00AE5A70">
        <w:rPr>
          <w:sz w:val="23"/>
          <w:szCs w:val="23"/>
        </w:rPr>
        <w:t xml:space="preserve">that </w:t>
      </w:r>
      <w:r w:rsidRPr="00AE5A70">
        <w:rPr>
          <w:sz w:val="23"/>
          <w:szCs w:val="23"/>
        </w:rPr>
        <w:t>patients</w:t>
      </w:r>
      <w:r w:rsidR="55A223AE" w:rsidRPr="00AE5A70">
        <w:rPr>
          <w:sz w:val="23"/>
          <w:szCs w:val="23"/>
        </w:rPr>
        <w:t xml:space="preserve"> </w:t>
      </w:r>
      <w:r w:rsidRPr="00AE5A70">
        <w:rPr>
          <w:sz w:val="23"/>
          <w:szCs w:val="23"/>
        </w:rPr>
        <w:t xml:space="preserve">diagnosed with eating disorders </w:t>
      </w:r>
      <w:r w:rsidR="55A223AE" w:rsidRPr="00AE5A70">
        <w:rPr>
          <w:sz w:val="23"/>
          <w:szCs w:val="23"/>
        </w:rPr>
        <w:t>can</w:t>
      </w:r>
      <w:r w:rsidR="000D0E4E" w:rsidRPr="00AE5A70">
        <w:rPr>
          <w:sz w:val="23"/>
          <w:szCs w:val="23"/>
        </w:rPr>
        <w:t xml:space="preserve"> access the combined medical, dietetic and psychological interventions</w:t>
      </w:r>
      <w:r w:rsidR="004B7235" w:rsidRPr="00AE5A70">
        <w:rPr>
          <w:sz w:val="23"/>
          <w:szCs w:val="23"/>
        </w:rPr>
        <w:t>. This is</w:t>
      </w:r>
      <w:r w:rsidR="000D0E4E" w:rsidRPr="00AE5A70">
        <w:rPr>
          <w:sz w:val="23"/>
          <w:szCs w:val="23"/>
        </w:rPr>
        <w:t xml:space="preserve"> required to maximise the chances of a full recovery from an </w:t>
      </w:r>
      <w:r w:rsidR="004B7235" w:rsidRPr="00AE5A70">
        <w:rPr>
          <w:sz w:val="23"/>
          <w:szCs w:val="23"/>
        </w:rPr>
        <w:t>eating disorder</w:t>
      </w:r>
      <w:r w:rsidR="000D0E4E" w:rsidRPr="00AE5A70">
        <w:rPr>
          <w:sz w:val="23"/>
          <w:szCs w:val="23"/>
        </w:rPr>
        <w:t>, and also in the treatment of any comorbid conditions.</w:t>
      </w:r>
      <w:r w:rsidR="000D0E4E" w:rsidRPr="00AE5A70">
        <w:rPr>
          <w:sz w:val="23"/>
          <w:szCs w:val="23"/>
          <w:vertAlign w:val="superscript"/>
        </w:rPr>
        <w:footnoteReference w:id="48"/>
      </w:r>
      <w:r w:rsidR="000D0E4E" w:rsidRPr="00AE5A70">
        <w:rPr>
          <w:sz w:val="23"/>
          <w:szCs w:val="23"/>
        </w:rPr>
        <w:t xml:space="preserve"> Whilst each p</w:t>
      </w:r>
      <w:r w:rsidR="67EFF08F" w:rsidRPr="00AE5A70">
        <w:rPr>
          <w:sz w:val="23"/>
          <w:szCs w:val="23"/>
        </w:rPr>
        <w:t>atient</w:t>
      </w:r>
      <w:r w:rsidR="000D0E4E" w:rsidRPr="00AE5A70">
        <w:rPr>
          <w:sz w:val="23"/>
          <w:szCs w:val="23"/>
        </w:rPr>
        <w:t>’s needs are individual, a typical range of services, required within the MDT, for someone with a</w:t>
      </w:r>
      <w:r w:rsidR="008E6E66">
        <w:rPr>
          <w:sz w:val="23"/>
          <w:szCs w:val="23"/>
        </w:rPr>
        <w:t xml:space="preserve">n </w:t>
      </w:r>
      <w:r w:rsidR="000D0E4E" w:rsidRPr="00AE5A70">
        <w:rPr>
          <w:sz w:val="23"/>
          <w:szCs w:val="23"/>
        </w:rPr>
        <w:t>eating disorder would include:</w:t>
      </w:r>
    </w:p>
    <w:p w14:paraId="0F52FD7B" w14:textId="77777777" w:rsidR="00F61363" w:rsidRPr="00AE5A70" w:rsidRDefault="00F61363">
      <w:pPr>
        <w:pStyle w:val="Bullet-green"/>
        <w:rPr>
          <w:rFonts w:asciiTheme="minorBidi" w:eastAsiaTheme="minorBidi" w:hAnsiTheme="minorBidi" w:cstheme="minorBidi"/>
          <w:sz w:val="23"/>
          <w:szCs w:val="23"/>
        </w:rPr>
      </w:pPr>
      <w:r w:rsidRPr="00AE5A70">
        <w:rPr>
          <w:sz w:val="23"/>
          <w:szCs w:val="23"/>
        </w:rPr>
        <w:t>Medical assessment care plan, monitoring and treatment as required from a psychiatrist;</w:t>
      </w:r>
    </w:p>
    <w:p w14:paraId="7DD3205C" w14:textId="77777777" w:rsidR="0044655E" w:rsidRPr="00AE5A70" w:rsidRDefault="0044655E">
      <w:pPr>
        <w:pStyle w:val="Bullet-green"/>
        <w:rPr>
          <w:rFonts w:asciiTheme="minorBidi" w:eastAsiaTheme="minorBidi" w:hAnsiTheme="minorBidi" w:cstheme="minorBidi"/>
          <w:sz w:val="23"/>
          <w:szCs w:val="23"/>
        </w:rPr>
      </w:pPr>
      <w:r w:rsidRPr="00AE5A70">
        <w:rPr>
          <w:sz w:val="23"/>
          <w:szCs w:val="23"/>
        </w:rPr>
        <w:t>Ongoing regular medical monitoring and treatment  from a general practitioner</w:t>
      </w:r>
      <w:r w:rsidR="008D533B" w:rsidRPr="00AE5A70">
        <w:rPr>
          <w:sz w:val="23"/>
          <w:szCs w:val="23"/>
        </w:rPr>
        <w:t>;</w:t>
      </w:r>
    </w:p>
    <w:p w14:paraId="278D70F8" w14:textId="77777777" w:rsidR="000D0E4E" w:rsidRPr="00AE5A70" w:rsidRDefault="000D0E4E">
      <w:pPr>
        <w:pStyle w:val="Bullet-green"/>
        <w:rPr>
          <w:rFonts w:asciiTheme="minorBidi" w:eastAsiaTheme="minorBidi" w:hAnsiTheme="minorBidi" w:cstheme="minorBidi"/>
          <w:sz w:val="23"/>
          <w:szCs w:val="23"/>
        </w:rPr>
      </w:pPr>
      <w:r w:rsidRPr="00AE5A70">
        <w:rPr>
          <w:sz w:val="23"/>
          <w:szCs w:val="23"/>
        </w:rPr>
        <w:t>Psychological therapy – delivered on an individual or individual plus group basis;</w:t>
      </w:r>
    </w:p>
    <w:p w14:paraId="7833A432" w14:textId="77777777" w:rsidR="000D0E4E" w:rsidRPr="00AE5A70" w:rsidRDefault="000D0E4E">
      <w:pPr>
        <w:pStyle w:val="Bullet-green"/>
        <w:rPr>
          <w:rFonts w:asciiTheme="minorBidi" w:eastAsiaTheme="minorBidi" w:hAnsiTheme="minorBidi" w:cstheme="minorBidi"/>
          <w:sz w:val="23"/>
          <w:szCs w:val="23"/>
        </w:rPr>
      </w:pPr>
      <w:r w:rsidRPr="00AE5A70">
        <w:rPr>
          <w:sz w:val="23"/>
          <w:szCs w:val="23"/>
        </w:rPr>
        <w:t>Nutritional counselling for nutritional rehabilitation;</w:t>
      </w:r>
    </w:p>
    <w:p w14:paraId="702F04A7" w14:textId="77777777" w:rsidR="000D0E4E" w:rsidRPr="00AE5A70" w:rsidRDefault="000D0E4E">
      <w:pPr>
        <w:pStyle w:val="Bullet-green"/>
        <w:rPr>
          <w:rFonts w:asciiTheme="minorBidi" w:eastAsiaTheme="minorBidi" w:hAnsiTheme="minorBidi" w:cstheme="minorBidi"/>
          <w:sz w:val="23"/>
          <w:szCs w:val="23"/>
        </w:rPr>
      </w:pPr>
      <w:r w:rsidRPr="00AE5A70">
        <w:rPr>
          <w:sz w:val="23"/>
          <w:szCs w:val="23"/>
        </w:rPr>
        <w:t>Selected functional therapies e.g. supportive meal therapy, occupational therapy, physiotherapy</w:t>
      </w:r>
      <w:r w:rsidR="001E468E" w:rsidRPr="00AE5A70">
        <w:rPr>
          <w:sz w:val="23"/>
          <w:szCs w:val="23"/>
        </w:rPr>
        <w:t>; and</w:t>
      </w:r>
    </w:p>
    <w:p w14:paraId="56D2697C" w14:textId="77777777" w:rsidR="00F61363" w:rsidRPr="00AE5A70" w:rsidRDefault="00F61363">
      <w:pPr>
        <w:pStyle w:val="Bullet-green"/>
        <w:rPr>
          <w:rFonts w:asciiTheme="minorBidi" w:eastAsiaTheme="minorBidi" w:hAnsiTheme="minorBidi" w:cstheme="minorBidi"/>
          <w:sz w:val="23"/>
          <w:szCs w:val="23"/>
        </w:rPr>
      </w:pPr>
      <w:r w:rsidRPr="00AE5A70">
        <w:rPr>
          <w:sz w:val="23"/>
          <w:szCs w:val="23"/>
        </w:rPr>
        <w:t>Family</w:t>
      </w:r>
      <w:r w:rsidR="00BF08DA" w:rsidRPr="00AE5A70">
        <w:rPr>
          <w:sz w:val="23"/>
          <w:szCs w:val="23"/>
        </w:rPr>
        <w:t xml:space="preserve"> support and/or</w:t>
      </w:r>
      <w:r w:rsidRPr="00AE5A70">
        <w:rPr>
          <w:sz w:val="23"/>
          <w:szCs w:val="23"/>
        </w:rPr>
        <w:t xml:space="preserve"> therapy</w:t>
      </w:r>
      <w:r w:rsidR="001E468E" w:rsidRPr="00AE5A70">
        <w:rPr>
          <w:sz w:val="23"/>
          <w:szCs w:val="23"/>
        </w:rPr>
        <w:t>.</w:t>
      </w:r>
      <w:r w:rsidRPr="00AE5A70">
        <w:rPr>
          <w:sz w:val="23"/>
          <w:szCs w:val="23"/>
        </w:rPr>
        <w:t xml:space="preserve"> </w:t>
      </w:r>
    </w:p>
    <w:p w14:paraId="6125ACC3" w14:textId="77777777" w:rsidR="000D0E4E" w:rsidRPr="00AE5A70" w:rsidRDefault="000D0E4E" w:rsidP="000D0E4E">
      <w:pPr>
        <w:rPr>
          <w:sz w:val="23"/>
          <w:szCs w:val="23"/>
        </w:rPr>
      </w:pPr>
      <w:r w:rsidRPr="00AE5A70">
        <w:rPr>
          <w:sz w:val="23"/>
          <w:szCs w:val="23"/>
        </w:rPr>
        <w:t xml:space="preserve">A team comprising of medical, nursing, allied and mental health professionals are needed to target all factors that contribute to </w:t>
      </w:r>
      <w:r w:rsidR="00E330BD" w:rsidRPr="00AE5A70">
        <w:rPr>
          <w:sz w:val="23"/>
          <w:szCs w:val="23"/>
        </w:rPr>
        <w:t xml:space="preserve">the development and maintenance of an </w:t>
      </w:r>
      <w:r w:rsidRPr="00AE5A70">
        <w:rPr>
          <w:sz w:val="23"/>
          <w:szCs w:val="23"/>
        </w:rPr>
        <w:t>eating disorder, such as the psychological, medical and behavioural aspects of the illness. In a survey run by the Butterfly Foundation</w:t>
      </w:r>
      <w:r w:rsidR="00E02AA2" w:rsidRPr="00AE5A70">
        <w:rPr>
          <w:sz w:val="23"/>
          <w:szCs w:val="23"/>
        </w:rPr>
        <w:t>,</w:t>
      </w:r>
      <w:r w:rsidRPr="00AE5A70">
        <w:rPr>
          <w:sz w:val="23"/>
          <w:szCs w:val="23"/>
        </w:rPr>
        <w:t xml:space="preserve"> 97.7</w:t>
      </w:r>
      <w:r w:rsidR="001A7991" w:rsidRPr="00AE5A70">
        <w:rPr>
          <w:sz w:val="23"/>
          <w:szCs w:val="23"/>
        </w:rPr>
        <w:t xml:space="preserve"> per cent</w:t>
      </w:r>
      <w:r w:rsidRPr="00AE5A70">
        <w:rPr>
          <w:sz w:val="23"/>
          <w:szCs w:val="23"/>
        </w:rPr>
        <w:t xml:space="preserve"> of respondents confirmed that they do treat patients as part of a care team. However, a major barrier to the ongoing management, treatment planning and care coordination was the lack of session rebates to support </w:t>
      </w:r>
      <w:r w:rsidR="003C67B0" w:rsidRPr="00AE5A70">
        <w:rPr>
          <w:sz w:val="23"/>
          <w:szCs w:val="23"/>
        </w:rPr>
        <w:t>said</w:t>
      </w:r>
      <w:r w:rsidRPr="00AE5A70">
        <w:rPr>
          <w:sz w:val="23"/>
          <w:szCs w:val="23"/>
        </w:rPr>
        <w:t xml:space="preserve"> activities. The limited number of </w:t>
      </w:r>
      <w:r w:rsidR="00374B3A">
        <w:rPr>
          <w:sz w:val="23"/>
          <w:szCs w:val="23"/>
        </w:rPr>
        <w:t xml:space="preserve">allied health </w:t>
      </w:r>
      <w:r w:rsidRPr="00AE5A70">
        <w:rPr>
          <w:sz w:val="23"/>
          <w:szCs w:val="23"/>
        </w:rPr>
        <w:t xml:space="preserve">sessions available to </w:t>
      </w:r>
      <w:r w:rsidR="00E330BD" w:rsidRPr="00AE5A70">
        <w:rPr>
          <w:sz w:val="23"/>
          <w:szCs w:val="23"/>
        </w:rPr>
        <w:t xml:space="preserve">patients with </w:t>
      </w:r>
      <w:r w:rsidR="004B7235" w:rsidRPr="00AE5A70">
        <w:rPr>
          <w:sz w:val="23"/>
          <w:szCs w:val="23"/>
        </w:rPr>
        <w:t>eating disorder</w:t>
      </w:r>
      <w:r w:rsidR="00E330BD" w:rsidRPr="00AE5A70">
        <w:rPr>
          <w:sz w:val="23"/>
          <w:szCs w:val="23"/>
        </w:rPr>
        <w:t>s</w:t>
      </w:r>
      <w:r w:rsidR="004B7235" w:rsidRPr="00AE5A70" w:rsidDel="004B7235">
        <w:rPr>
          <w:sz w:val="23"/>
          <w:szCs w:val="23"/>
        </w:rPr>
        <w:t xml:space="preserve"> </w:t>
      </w:r>
      <w:r w:rsidRPr="00AE5A70">
        <w:rPr>
          <w:sz w:val="23"/>
          <w:szCs w:val="23"/>
        </w:rPr>
        <w:t>means that the aforementioned activities are often forgone, especially once the patient begins paying full fee. This likely contributes to chronicity</w:t>
      </w:r>
      <w:r w:rsidR="00E330BD" w:rsidRPr="00AE5A70">
        <w:rPr>
          <w:sz w:val="23"/>
          <w:szCs w:val="23"/>
        </w:rPr>
        <w:t>,</w:t>
      </w:r>
      <w:r w:rsidRPr="00AE5A70">
        <w:rPr>
          <w:sz w:val="23"/>
          <w:szCs w:val="23"/>
        </w:rPr>
        <w:t xml:space="preserve"> incidence of relapse</w:t>
      </w:r>
      <w:r w:rsidR="00E330BD" w:rsidRPr="00AE5A70">
        <w:rPr>
          <w:sz w:val="23"/>
          <w:szCs w:val="23"/>
        </w:rPr>
        <w:t xml:space="preserve"> and poor outcomes</w:t>
      </w:r>
      <w:r w:rsidRPr="00AE5A70">
        <w:rPr>
          <w:sz w:val="23"/>
          <w:szCs w:val="23"/>
        </w:rPr>
        <w:t>.</w:t>
      </w:r>
    </w:p>
    <w:p w14:paraId="7D619232" w14:textId="77777777" w:rsidR="000D0E4E" w:rsidRPr="00AE5A70" w:rsidRDefault="000D0E4E" w:rsidP="27C50046">
      <w:pPr>
        <w:rPr>
          <w:sz w:val="23"/>
          <w:szCs w:val="23"/>
        </w:rPr>
      </w:pPr>
      <w:r w:rsidRPr="00AE5A70">
        <w:rPr>
          <w:sz w:val="23"/>
          <w:szCs w:val="23"/>
        </w:rPr>
        <w:t xml:space="preserve">A best practice, safe and effective treatment </w:t>
      </w:r>
      <w:r w:rsidR="00E330BD" w:rsidRPr="00AE5A70">
        <w:rPr>
          <w:sz w:val="23"/>
          <w:szCs w:val="23"/>
        </w:rPr>
        <w:t>enables</w:t>
      </w:r>
      <w:r w:rsidRPr="00AE5A70">
        <w:rPr>
          <w:sz w:val="23"/>
          <w:szCs w:val="23"/>
        </w:rPr>
        <w:t xml:space="preserve"> the MDT to plan and address all aspects of the illness; physical, behavioural</w:t>
      </w:r>
      <w:r w:rsidR="00E330BD" w:rsidRPr="00AE5A70">
        <w:rPr>
          <w:sz w:val="23"/>
          <w:szCs w:val="23"/>
        </w:rPr>
        <w:t>, nutritional</w:t>
      </w:r>
      <w:r w:rsidRPr="00AE5A70">
        <w:rPr>
          <w:sz w:val="23"/>
          <w:szCs w:val="23"/>
        </w:rPr>
        <w:t xml:space="preserve"> and psychological. The most effective approach to the treatment of </w:t>
      </w:r>
      <w:r w:rsidR="00E330BD" w:rsidRPr="00AE5A70">
        <w:rPr>
          <w:sz w:val="23"/>
          <w:szCs w:val="23"/>
        </w:rPr>
        <w:t xml:space="preserve">people with </w:t>
      </w:r>
      <w:r w:rsidR="004B7235" w:rsidRPr="00AE5A70">
        <w:rPr>
          <w:sz w:val="23"/>
          <w:szCs w:val="23"/>
        </w:rPr>
        <w:t>eating disorder</w:t>
      </w:r>
      <w:r w:rsidRPr="00AE5A70">
        <w:rPr>
          <w:sz w:val="23"/>
          <w:szCs w:val="23"/>
        </w:rPr>
        <w:t>s is a collaborative MDT approach which enables a broad range of primary</w:t>
      </w:r>
      <w:r w:rsidR="00E330BD" w:rsidRPr="00AE5A70">
        <w:rPr>
          <w:sz w:val="23"/>
          <w:szCs w:val="23"/>
        </w:rPr>
        <w:t>, mental health</w:t>
      </w:r>
      <w:r w:rsidRPr="00AE5A70">
        <w:rPr>
          <w:sz w:val="23"/>
          <w:szCs w:val="23"/>
        </w:rPr>
        <w:t xml:space="preserve"> and allied health services to work in partnership with each other and with the person and their family.</w:t>
      </w:r>
      <w:r w:rsidRPr="00AE5A70">
        <w:rPr>
          <w:sz w:val="23"/>
          <w:szCs w:val="23"/>
          <w:vertAlign w:val="superscript"/>
        </w:rPr>
        <w:footnoteReference w:id="49"/>
      </w:r>
      <w:r w:rsidRPr="00AE5A70">
        <w:rPr>
          <w:sz w:val="23"/>
          <w:szCs w:val="23"/>
        </w:rPr>
        <w:t xml:space="preserve"> </w:t>
      </w:r>
      <w:r w:rsidR="003C67B0" w:rsidRPr="00AE5A70">
        <w:rPr>
          <w:sz w:val="23"/>
          <w:szCs w:val="23"/>
        </w:rPr>
        <w:t>T</w:t>
      </w:r>
      <w:r w:rsidR="7BFD15DA" w:rsidRPr="00AE5A70">
        <w:rPr>
          <w:sz w:val="23"/>
          <w:szCs w:val="23"/>
        </w:rPr>
        <w:t>he</w:t>
      </w:r>
      <w:r w:rsidRPr="00AE5A70">
        <w:rPr>
          <w:sz w:val="23"/>
          <w:szCs w:val="23"/>
        </w:rPr>
        <w:t xml:space="preserve"> minimum core team require</w:t>
      </w:r>
      <w:r w:rsidR="003C67B0" w:rsidRPr="00AE5A70">
        <w:rPr>
          <w:sz w:val="23"/>
          <w:szCs w:val="23"/>
        </w:rPr>
        <w:t xml:space="preserve">d in the treatment of </w:t>
      </w:r>
      <w:r w:rsidR="00E330BD" w:rsidRPr="00AE5A70">
        <w:rPr>
          <w:sz w:val="23"/>
          <w:szCs w:val="23"/>
        </w:rPr>
        <w:t xml:space="preserve">a person with </w:t>
      </w:r>
      <w:r w:rsidR="003C67B0" w:rsidRPr="00AE5A70">
        <w:rPr>
          <w:sz w:val="23"/>
          <w:szCs w:val="23"/>
        </w:rPr>
        <w:t>an eating</w:t>
      </w:r>
      <w:r w:rsidR="009166B2" w:rsidRPr="00AE5A70">
        <w:rPr>
          <w:sz w:val="23"/>
          <w:szCs w:val="23"/>
        </w:rPr>
        <w:t xml:space="preserve"> </w:t>
      </w:r>
      <w:r w:rsidRPr="00AE5A70">
        <w:rPr>
          <w:sz w:val="23"/>
          <w:szCs w:val="23"/>
        </w:rPr>
        <w:t xml:space="preserve">disorder </w:t>
      </w:r>
      <w:r w:rsidR="003C67B0" w:rsidRPr="00AE5A70">
        <w:rPr>
          <w:sz w:val="23"/>
          <w:szCs w:val="23"/>
        </w:rPr>
        <w:t xml:space="preserve">should </w:t>
      </w:r>
      <w:r w:rsidRPr="00AE5A70">
        <w:rPr>
          <w:sz w:val="23"/>
          <w:szCs w:val="23"/>
        </w:rPr>
        <w:t xml:space="preserve">consist of a </w:t>
      </w:r>
      <w:r w:rsidR="009166B2" w:rsidRPr="00AE5A70">
        <w:rPr>
          <w:sz w:val="23"/>
          <w:szCs w:val="23"/>
        </w:rPr>
        <w:t>m</w:t>
      </w:r>
      <w:r w:rsidRPr="00AE5A70">
        <w:rPr>
          <w:sz w:val="23"/>
          <w:szCs w:val="23"/>
        </w:rPr>
        <w:t xml:space="preserve">edical </w:t>
      </w:r>
      <w:r w:rsidR="009166B2" w:rsidRPr="00AE5A70">
        <w:rPr>
          <w:sz w:val="23"/>
          <w:szCs w:val="23"/>
        </w:rPr>
        <w:t>p</w:t>
      </w:r>
      <w:r w:rsidRPr="00AE5A70">
        <w:rPr>
          <w:sz w:val="23"/>
          <w:szCs w:val="23"/>
        </w:rPr>
        <w:t xml:space="preserve">ractitioner (GP or a </w:t>
      </w:r>
      <w:r w:rsidR="009166B2" w:rsidRPr="00AE5A70">
        <w:rPr>
          <w:sz w:val="23"/>
          <w:szCs w:val="23"/>
        </w:rPr>
        <w:t>p</w:t>
      </w:r>
      <w:r w:rsidR="388E2C41" w:rsidRPr="00AE5A70">
        <w:rPr>
          <w:sz w:val="23"/>
          <w:szCs w:val="23"/>
        </w:rPr>
        <w:t>a</w:t>
      </w:r>
      <w:r w:rsidRPr="00AE5A70">
        <w:rPr>
          <w:sz w:val="23"/>
          <w:szCs w:val="23"/>
        </w:rPr>
        <w:t>ediatrician), a mental health practitioner (</w:t>
      </w:r>
      <w:r w:rsidR="00E330BD" w:rsidRPr="00AE5A70">
        <w:rPr>
          <w:sz w:val="23"/>
          <w:szCs w:val="23"/>
        </w:rPr>
        <w:t xml:space="preserve">e.g. </w:t>
      </w:r>
      <w:r w:rsidR="009166B2" w:rsidRPr="00AE5A70">
        <w:rPr>
          <w:sz w:val="23"/>
          <w:szCs w:val="23"/>
        </w:rPr>
        <w:t>c</w:t>
      </w:r>
      <w:r w:rsidRPr="00AE5A70">
        <w:rPr>
          <w:sz w:val="23"/>
          <w:szCs w:val="23"/>
        </w:rPr>
        <w:t xml:space="preserve">linical psychologist, </w:t>
      </w:r>
      <w:r w:rsidR="003C67B0" w:rsidRPr="00AE5A70">
        <w:rPr>
          <w:sz w:val="23"/>
          <w:szCs w:val="23"/>
        </w:rPr>
        <w:t>r</w:t>
      </w:r>
      <w:r w:rsidRPr="00AE5A70">
        <w:rPr>
          <w:sz w:val="23"/>
          <w:szCs w:val="23"/>
        </w:rPr>
        <w:t>egistered psychologist</w:t>
      </w:r>
      <w:r w:rsidR="00E330BD" w:rsidRPr="00AE5A70">
        <w:rPr>
          <w:sz w:val="23"/>
          <w:szCs w:val="23"/>
        </w:rPr>
        <w:t>,</w:t>
      </w:r>
      <w:r w:rsidRPr="00AE5A70">
        <w:rPr>
          <w:sz w:val="23"/>
          <w:szCs w:val="23"/>
        </w:rPr>
        <w:t xml:space="preserve"> </w:t>
      </w:r>
      <w:r w:rsidR="009166B2" w:rsidRPr="00AE5A70">
        <w:rPr>
          <w:sz w:val="23"/>
          <w:szCs w:val="23"/>
        </w:rPr>
        <w:t>p</w:t>
      </w:r>
      <w:r w:rsidRPr="00AE5A70">
        <w:rPr>
          <w:sz w:val="23"/>
          <w:szCs w:val="23"/>
        </w:rPr>
        <w:t>sychiatrist</w:t>
      </w:r>
      <w:r w:rsidR="00E330BD" w:rsidRPr="00AE5A70">
        <w:rPr>
          <w:sz w:val="23"/>
          <w:szCs w:val="23"/>
        </w:rPr>
        <w:t>, mental health nurse</w:t>
      </w:r>
      <w:r w:rsidRPr="00AE5A70">
        <w:rPr>
          <w:sz w:val="23"/>
          <w:szCs w:val="23"/>
        </w:rPr>
        <w:t xml:space="preserve">) and a </w:t>
      </w:r>
      <w:r w:rsidR="005B528D" w:rsidRPr="00AE5A70">
        <w:rPr>
          <w:sz w:val="23"/>
          <w:szCs w:val="23"/>
        </w:rPr>
        <w:t>d</w:t>
      </w:r>
      <w:r w:rsidRPr="00AE5A70">
        <w:rPr>
          <w:sz w:val="23"/>
          <w:szCs w:val="23"/>
        </w:rPr>
        <w:t>ieti</w:t>
      </w:r>
      <w:r w:rsidR="005B528D" w:rsidRPr="00AE5A70">
        <w:rPr>
          <w:sz w:val="23"/>
          <w:szCs w:val="23"/>
        </w:rPr>
        <w:t>t</w:t>
      </w:r>
      <w:r w:rsidRPr="00AE5A70">
        <w:rPr>
          <w:sz w:val="23"/>
          <w:szCs w:val="23"/>
        </w:rPr>
        <w:t>ian.</w:t>
      </w:r>
      <w:r w:rsidR="003C67B0" w:rsidRPr="00AE5A70">
        <w:rPr>
          <w:rStyle w:val="FootnoteReference"/>
          <w:sz w:val="23"/>
          <w:szCs w:val="23"/>
        </w:rPr>
        <w:footnoteReference w:id="50"/>
      </w:r>
      <w:r w:rsidRPr="00AE5A70">
        <w:rPr>
          <w:sz w:val="23"/>
          <w:szCs w:val="23"/>
        </w:rPr>
        <w:t xml:space="preserve"> For patients </w:t>
      </w:r>
      <w:r w:rsidR="008A44A0">
        <w:rPr>
          <w:sz w:val="23"/>
          <w:szCs w:val="23"/>
        </w:rPr>
        <w:t xml:space="preserve">requiring </w:t>
      </w:r>
      <w:r w:rsidR="007A6971">
        <w:rPr>
          <w:sz w:val="23"/>
          <w:szCs w:val="23"/>
        </w:rPr>
        <w:t>more intensive treatment</w:t>
      </w:r>
      <w:r w:rsidRPr="00AE5A70">
        <w:rPr>
          <w:sz w:val="23"/>
          <w:szCs w:val="23"/>
        </w:rPr>
        <w:t xml:space="preserve">, a consultant psychiatrist should also be considered </w:t>
      </w:r>
      <w:r w:rsidR="004B7235" w:rsidRPr="00AE5A70">
        <w:rPr>
          <w:sz w:val="23"/>
          <w:szCs w:val="23"/>
        </w:rPr>
        <w:t>within this minimum</w:t>
      </w:r>
      <w:r w:rsidRPr="00AE5A70">
        <w:rPr>
          <w:sz w:val="23"/>
          <w:szCs w:val="23"/>
        </w:rPr>
        <w:t xml:space="preserve"> team. </w:t>
      </w:r>
    </w:p>
    <w:p w14:paraId="233294CE" w14:textId="77777777" w:rsidR="00B6604B" w:rsidRPr="00AE5A70" w:rsidRDefault="00B6604B" w:rsidP="00D132F2">
      <w:pPr>
        <w:pStyle w:val="Heading3Numbered"/>
        <w:numPr>
          <w:ilvl w:val="2"/>
          <w:numId w:val="94"/>
        </w:numPr>
        <w:rPr>
          <w:sz w:val="23"/>
          <w:szCs w:val="23"/>
        </w:rPr>
      </w:pPr>
      <w:bookmarkStart w:id="71" w:name="_Toc531941944"/>
      <w:r w:rsidRPr="00AE5A70">
        <w:rPr>
          <w:sz w:val="23"/>
          <w:szCs w:val="23"/>
        </w:rPr>
        <w:t>MDT’s delivering stepped care</w:t>
      </w:r>
      <w:r w:rsidR="00E54954" w:rsidRPr="00AE5A70">
        <w:rPr>
          <w:sz w:val="23"/>
          <w:szCs w:val="23"/>
        </w:rPr>
        <w:t xml:space="preserve"> and MDT care plans</w:t>
      </w:r>
      <w:bookmarkEnd w:id="71"/>
    </w:p>
    <w:p w14:paraId="66837A6D" w14:textId="77777777" w:rsidR="00B6604B" w:rsidRPr="00AE5A70" w:rsidRDefault="00F325C0" w:rsidP="2C5386C0">
      <w:pPr>
        <w:rPr>
          <w:sz w:val="23"/>
          <w:szCs w:val="23"/>
        </w:rPr>
      </w:pPr>
      <w:r>
        <w:rPr>
          <w:sz w:val="23"/>
          <w:szCs w:val="23"/>
        </w:rPr>
        <w:t>A</w:t>
      </w:r>
      <w:r w:rsidR="00B6604B" w:rsidRPr="00AE5A70">
        <w:rPr>
          <w:sz w:val="23"/>
          <w:szCs w:val="23"/>
        </w:rPr>
        <w:t>n evidence</w:t>
      </w:r>
      <w:r w:rsidR="00FE22A2" w:rsidRPr="00AE5A70">
        <w:rPr>
          <w:sz w:val="23"/>
          <w:szCs w:val="23"/>
        </w:rPr>
        <w:t>-</w:t>
      </w:r>
      <w:r w:rsidR="00B6604B" w:rsidRPr="00AE5A70">
        <w:rPr>
          <w:sz w:val="23"/>
          <w:szCs w:val="23"/>
        </w:rPr>
        <w:t>based approach to treating eating disorders requires tailored treatment, delivered by a team of primary care professionals. Transitioning between services within the primary care team requires an effective ’continuum of care’</w:t>
      </w:r>
      <w:r w:rsidR="008F24E3" w:rsidRPr="00AE5A70">
        <w:rPr>
          <w:sz w:val="23"/>
          <w:szCs w:val="23"/>
        </w:rPr>
        <w:t>.</w:t>
      </w:r>
      <w:r w:rsidR="00B6604B" w:rsidRPr="00AE5A70">
        <w:rPr>
          <w:sz w:val="23"/>
          <w:szCs w:val="23"/>
        </w:rPr>
        <w:t xml:space="preserve"> </w:t>
      </w:r>
      <w:r w:rsidR="008F24E3" w:rsidRPr="00AE5A70">
        <w:rPr>
          <w:sz w:val="23"/>
          <w:szCs w:val="23"/>
        </w:rPr>
        <w:t xml:space="preserve">The </w:t>
      </w:r>
      <w:r w:rsidR="00B07F06" w:rsidRPr="00AE5A70">
        <w:rPr>
          <w:sz w:val="23"/>
          <w:szCs w:val="23"/>
        </w:rPr>
        <w:t>utili</w:t>
      </w:r>
      <w:r w:rsidR="001E468E" w:rsidRPr="00AE5A70">
        <w:rPr>
          <w:sz w:val="23"/>
          <w:szCs w:val="23"/>
        </w:rPr>
        <w:t>s</w:t>
      </w:r>
      <w:r w:rsidR="00B07F06" w:rsidRPr="00AE5A70">
        <w:rPr>
          <w:sz w:val="23"/>
          <w:szCs w:val="23"/>
        </w:rPr>
        <w:t>ation of an MDT</w:t>
      </w:r>
      <w:r w:rsidR="001E468E" w:rsidRPr="00AE5A70">
        <w:rPr>
          <w:sz w:val="23"/>
          <w:szCs w:val="23"/>
        </w:rPr>
        <w:t xml:space="preserve"> care plan</w:t>
      </w:r>
      <w:r w:rsidR="00B07F06" w:rsidRPr="00AE5A70">
        <w:rPr>
          <w:sz w:val="23"/>
          <w:szCs w:val="23"/>
        </w:rPr>
        <w:t xml:space="preserve"> </w:t>
      </w:r>
      <w:r w:rsidR="00B6604B" w:rsidRPr="00AE5A70">
        <w:rPr>
          <w:sz w:val="23"/>
          <w:szCs w:val="23"/>
        </w:rPr>
        <w:t>encourage</w:t>
      </w:r>
      <w:r w:rsidR="008F24E3" w:rsidRPr="00AE5A70">
        <w:rPr>
          <w:sz w:val="23"/>
          <w:szCs w:val="23"/>
        </w:rPr>
        <w:t>s</w:t>
      </w:r>
      <w:r w:rsidR="00B6604B" w:rsidRPr="00AE5A70">
        <w:rPr>
          <w:sz w:val="23"/>
          <w:szCs w:val="23"/>
        </w:rPr>
        <w:t xml:space="preserve"> </w:t>
      </w:r>
      <w:r w:rsidR="00B07F06" w:rsidRPr="00AE5A70">
        <w:rPr>
          <w:sz w:val="23"/>
          <w:szCs w:val="23"/>
        </w:rPr>
        <w:t>this by fostering a</w:t>
      </w:r>
      <w:r w:rsidR="00B6604B" w:rsidRPr="00AE5A70">
        <w:rPr>
          <w:sz w:val="23"/>
          <w:szCs w:val="23"/>
        </w:rPr>
        <w:t xml:space="preserve"> partnership approach to the treatment of </w:t>
      </w:r>
      <w:r w:rsidR="00E330BD" w:rsidRPr="00AE5A70">
        <w:rPr>
          <w:sz w:val="23"/>
          <w:szCs w:val="23"/>
        </w:rPr>
        <w:t xml:space="preserve">people with </w:t>
      </w:r>
      <w:r w:rsidR="00B6604B" w:rsidRPr="00AE5A70">
        <w:rPr>
          <w:sz w:val="23"/>
          <w:szCs w:val="23"/>
        </w:rPr>
        <w:t>eating disorders</w:t>
      </w:r>
      <w:r w:rsidR="00B07F06" w:rsidRPr="00AE5A70">
        <w:rPr>
          <w:sz w:val="23"/>
          <w:szCs w:val="23"/>
        </w:rPr>
        <w:t>.</w:t>
      </w:r>
      <w:r w:rsidR="00B6604B" w:rsidRPr="00AE5A70">
        <w:rPr>
          <w:sz w:val="23"/>
          <w:szCs w:val="23"/>
        </w:rPr>
        <w:t xml:space="preserve"> </w:t>
      </w:r>
      <w:r w:rsidR="00B07F06" w:rsidRPr="00AE5A70">
        <w:rPr>
          <w:sz w:val="23"/>
          <w:szCs w:val="23"/>
        </w:rPr>
        <w:t>W</w:t>
      </w:r>
      <w:r w:rsidR="00B6604B" w:rsidRPr="00AE5A70">
        <w:rPr>
          <w:sz w:val="23"/>
          <w:szCs w:val="23"/>
        </w:rPr>
        <w:t>he</w:t>
      </w:r>
      <w:r w:rsidR="00B07F06" w:rsidRPr="00AE5A70">
        <w:rPr>
          <w:sz w:val="23"/>
          <w:szCs w:val="23"/>
        </w:rPr>
        <w:t>n</w:t>
      </w:r>
      <w:r w:rsidR="00B6604B" w:rsidRPr="00AE5A70">
        <w:rPr>
          <w:sz w:val="23"/>
          <w:szCs w:val="23"/>
        </w:rPr>
        <w:t xml:space="preserve"> appropriate</w:t>
      </w:r>
      <w:r w:rsidR="00B07F06" w:rsidRPr="00AE5A70">
        <w:rPr>
          <w:sz w:val="23"/>
          <w:szCs w:val="23"/>
        </w:rPr>
        <w:t>,</w:t>
      </w:r>
      <w:r w:rsidR="00B6604B" w:rsidRPr="00AE5A70">
        <w:rPr>
          <w:sz w:val="23"/>
          <w:szCs w:val="23"/>
        </w:rPr>
        <w:t xml:space="preserve"> the triggering GP </w:t>
      </w:r>
      <w:r w:rsidR="00B07F06" w:rsidRPr="00AE5A70">
        <w:rPr>
          <w:sz w:val="23"/>
          <w:szCs w:val="23"/>
        </w:rPr>
        <w:t xml:space="preserve">will </w:t>
      </w:r>
      <w:r w:rsidR="00B6604B" w:rsidRPr="00AE5A70">
        <w:rPr>
          <w:sz w:val="23"/>
          <w:szCs w:val="23"/>
        </w:rPr>
        <w:t>work with the patient, their family and other health support providers</w:t>
      </w:r>
      <w:r w:rsidR="001B03B0" w:rsidRPr="00AE5A70">
        <w:rPr>
          <w:sz w:val="23"/>
          <w:szCs w:val="23"/>
        </w:rPr>
        <w:t xml:space="preserve"> and practitioners</w:t>
      </w:r>
      <w:r w:rsidR="00B07F06" w:rsidRPr="00AE5A70">
        <w:rPr>
          <w:sz w:val="23"/>
          <w:szCs w:val="23"/>
        </w:rPr>
        <w:t xml:space="preserve"> to encourage</w:t>
      </w:r>
      <w:r w:rsidR="00B6604B" w:rsidRPr="00AE5A70">
        <w:rPr>
          <w:sz w:val="23"/>
          <w:szCs w:val="23"/>
        </w:rPr>
        <w:t xml:space="preserve"> a holistic approach to care planning</w:t>
      </w:r>
      <w:r w:rsidR="00B07F06" w:rsidRPr="00AE5A70">
        <w:rPr>
          <w:sz w:val="23"/>
          <w:szCs w:val="23"/>
        </w:rPr>
        <w:t xml:space="preserve"> and appointment scheduling. This </w:t>
      </w:r>
      <w:r w:rsidR="00B6604B" w:rsidRPr="00AE5A70">
        <w:rPr>
          <w:sz w:val="23"/>
          <w:szCs w:val="23"/>
        </w:rPr>
        <w:t>mean</w:t>
      </w:r>
      <w:r w:rsidR="00B07F06" w:rsidRPr="00AE5A70">
        <w:rPr>
          <w:sz w:val="23"/>
          <w:szCs w:val="23"/>
        </w:rPr>
        <w:t>s</w:t>
      </w:r>
      <w:r w:rsidR="00B6604B" w:rsidRPr="00AE5A70">
        <w:rPr>
          <w:sz w:val="23"/>
          <w:szCs w:val="23"/>
        </w:rPr>
        <w:t xml:space="preserve"> that physical, psychological and nutritional concerns are managed</w:t>
      </w:r>
      <w:r w:rsidR="00325529" w:rsidRPr="00AE5A70">
        <w:rPr>
          <w:sz w:val="23"/>
          <w:szCs w:val="23"/>
        </w:rPr>
        <w:t xml:space="preserve"> </w:t>
      </w:r>
      <w:r w:rsidR="00B07F06" w:rsidRPr="00AE5A70">
        <w:rPr>
          <w:sz w:val="23"/>
          <w:szCs w:val="23"/>
        </w:rPr>
        <w:t xml:space="preserve">in </w:t>
      </w:r>
      <w:r w:rsidR="00325529" w:rsidRPr="00AE5A70">
        <w:rPr>
          <w:sz w:val="23"/>
          <w:szCs w:val="23"/>
        </w:rPr>
        <w:t>relati</w:t>
      </w:r>
      <w:r w:rsidR="00B07F06" w:rsidRPr="00AE5A70">
        <w:rPr>
          <w:sz w:val="23"/>
          <w:szCs w:val="23"/>
        </w:rPr>
        <w:t>o</w:t>
      </w:r>
      <w:r w:rsidR="00325529" w:rsidRPr="00AE5A70">
        <w:rPr>
          <w:sz w:val="23"/>
          <w:szCs w:val="23"/>
        </w:rPr>
        <w:t>n</w:t>
      </w:r>
      <w:r w:rsidR="00B07F06" w:rsidRPr="00AE5A70">
        <w:rPr>
          <w:sz w:val="23"/>
          <w:szCs w:val="23"/>
        </w:rPr>
        <w:t xml:space="preserve"> </w:t>
      </w:r>
      <w:r w:rsidR="00325529" w:rsidRPr="00AE5A70">
        <w:rPr>
          <w:sz w:val="23"/>
          <w:szCs w:val="23"/>
        </w:rPr>
        <w:t>to the eating disorder</w:t>
      </w:r>
      <w:r w:rsidR="00B6604B" w:rsidRPr="00AE5A70">
        <w:rPr>
          <w:sz w:val="23"/>
          <w:szCs w:val="23"/>
        </w:rPr>
        <w:t xml:space="preserve">, whilst also treating any underlying comorbidity issues. </w:t>
      </w:r>
      <w:r w:rsidR="00B07F06" w:rsidRPr="00AE5A70">
        <w:rPr>
          <w:sz w:val="23"/>
          <w:szCs w:val="23"/>
        </w:rPr>
        <w:t xml:space="preserve">These tailored care plans also allow the </w:t>
      </w:r>
      <w:r w:rsidR="00B6604B" w:rsidRPr="00AE5A70">
        <w:rPr>
          <w:sz w:val="23"/>
          <w:szCs w:val="23"/>
        </w:rPr>
        <w:t xml:space="preserve">MDTs to assist patients meet </w:t>
      </w:r>
      <w:r w:rsidR="00A463DF" w:rsidRPr="00AE5A70">
        <w:rPr>
          <w:sz w:val="23"/>
          <w:szCs w:val="23"/>
        </w:rPr>
        <w:t xml:space="preserve">health, </w:t>
      </w:r>
      <w:r w:rsidR="00B6604B" w:rsidRPr="00AE5A70">
        <w:rPr>
          <w:sz w:val="23"/>
          <w:szCs w:val="23"/>
        </w:rPr>
        <w:t xml:space="preserve">occupational and social needs </w:t>
      </w:r>
      <w:r w:rsidR="00B07F06" w:rsidRPr="00AE5A70">
        <w:rPr>
          <w:sz w:val="23"/>
          <w:szCs w:val="23"/>
        </w:rPr>
        <w:t>when</w:t>
      </w:r>
      <w:r w:rsidR="00B6604B" w:rsidRPr="00AE5A70">
        <w:rPr>
          <w:sz w:val="23"/>
          <w:szCs w:val="23"/>
        </w:rPr>
        <w:t xml:space="preserve"> access to </w:t>
      </w:r>
      <w:r w:rsidR="00B07F06" w:rsidRPr="00AE5A70">
        <w:rPr>
          <w:sz w:val="23"/>
          <w:szCs w:val="23"/>
        </w:rPr>
        <w:t>treatment is managed through a</w:t>
      </w:r>
      <w:r w:rsidR="00B6604B" w:rsidRPr="00AE5A70">
        <w:rPr>
          <w:sz w:val="23"/>
          <w:szCs w:val="23"/>
        </w:rPr>
        <w:t xml:space="preserve"> designated </w:t>
      </w:r>
      <w:r w:rsidR="00E330BD" w:rsidRPr="00AE5A70">
        <w:rPr>
          <w:sz w:val="23"/>
          <w:szCs w:val="23"/>
        </w:rPr>
        <w:t xml:space="preserve">care </w:t>
      </w:r>
      <w:r w:rsidR="00B6604B" w:rsidRPr="00AE5A70">
        <w:rPr>
          <w:sz w:val="23"/>
          <w:szCs w:val="23"/>
        </w:rPr>
        <w:t>coordinator.</w:t>
      </w:r>
      <w:r w:rsidR="00B6604B" w:rsidRPr="00AE5A70">
        <w:rPr>
          <w:sz w:val="23"/>
          <w:szCs w:val="23"/>
          <w:vertAlign w:val="superscript"/>
        </w:rPr>
        <w:footnoteReference w:id="51"/>
      </w:r>
      <w:r w:rsidR="001E468E" w:rsidRPr="00AE5A70">
        <w:rPr>
          <w:sz w:val="23"/>
          <w:szCs w:val="23"/>
        </w:rPr>
        <w:t xml:space="preserve"> The Working Group notes that currently only </w:t>
      </w:r>
      <w:r w:rsidR="00E54954" w:rsidRPr="00AE5A70">
        <w:rPr>
          <w:sz w:val="23"/>
          <w:szCs w:val="23"/>
        </w:rPr>
        <w:t xml:space="preserve">GPs are </w:t>
      </w:r>
      <w:r w:rsidR="001E468E" w:rsidRPr="00AE5A70">
        <w:rPr>
          <w:sz w:val="23"/>
          <w:szCs w:val="23"/>
        </w:rPr>
        <w:t>remunerated through the MBS for contribution to MDT care plans and was of the view that enabling allied health</w:t>
      </w:r>
      <w:r w:rsidR="00E40606" w:rsidRPr="00AE5A70">
        <w:rPr>
          <w:sz w:val="23"/>
          <w:szCs w:val="23"/>
        </w:rPr>
        <w:t xml:space="preserve"> and mental health</w:t>
      </w:r>
      <w:r w:rsidR="001E468E" w:rsidRPr="00AE5A70">
        <w:rPr>
          <w:sz w:val="23"/>
          <w:szCs w:val="23"/>
        </w:rPr>
        <w:t xml:space="preserve"> professionals</w:t>
      </w:r>
      <w:r w:rsidR="00C42A36" w:rsidRPr="00AE5A70">
        <w:rPr>
          <w:sz w:val="23"/>
          <w:szCs w:val="23"/>
        </w:rPr>
        <w:t>, including psychologist</w:t>
      </w:r>
      <w:r w:rsidR="00865264" w:rsidRPr="00AE5A70">
        <w:rPr>
          <w:sz w:val="23"/>
          <w:szCs w:val="23"/>
        </w:rPr>
        <w:t>s</w:t>
      </w:r>
      <w:r w:rsidR="00C42A36" w:rsidRPr="00AE5A70">
        <w:rPr>
          <w:sz w:val="23"/>
          <w:szCs w:val="23"/>
        </w:rPr>
        <w:t>, dieti</w:t>
      </w:r>
      <w:r w:rsidR="00ED3CAE" w:rsidRPr="00AE5A70">
        <w:rPr>
          <w:sz w:val="23"/>
          <w:szCs w:val="23"/>
        </w:rPr>
        <w:t>t</w:t>
      </w:r>
      <w:r w:rsidR="00C42A36" w:rsidRPr="00AE5A70">
        <w:rPr>
          <w:sz w:val="23"/>
          <w:szCs w:val="23"/>
        </w:rPr>
        <w:t>ians and mental health nurses,</w:t>
      </w:r>
      <w:r w:rsidR="001E468E" w:rsidRPr="00AE5A70">
        <w:rPr>
          <w:sz w:val="23"/>
          <w:szCs w:val="23"/>
        </w:rPr>
        <w:t xml:space="preserve"> to receive financial compensation for their involvement would support and enhance MDT collaboration</w:t>
      </w:r>
      <w:r w:rsidR="007A6971">
        <w:rPr>
          <w:sz w:val="23"/>
          <w:szCs w:val="23"/>
        </w:rPr>
        <w:t xml:space="preserve"> within the private sector.</w:t>
      </w:r>
    </w:p>
    <w:p w14:paraId="5CFC8E66" w14:textId="77777777" w:rsidR="001E468E" w:rsidRPr="00AE5A70" w:rsidRDefault="001E468E" w:rsidP="00D132F2">
      <w:pPr>
        <w:pStyle w:val="Heading3Numbered"/>
        <w:numPr>
          <w:ilvl w:val="2"/>
          <w:numId w:val="94"/>
        </w:numPr>
        <w:rPr>
          <w:sz w:val="23"/>
          <w:szCs w:val="23"/>
        </w:rPr>
      </w:pPr>
      <w:bookmarkStart w:id="72" w:name="_Toc531941945"/>
      <w:r w:rsidRPr="00AE5A70">
        <w:rPr>
          <w:sz w:val="23"/>
          <w:szCs w:val="23"/>
        </w:rPr>
        <w:t>Case conferencing</w:t>
      </w:r>
      <w:bookmarkEnd w:id="72"/>
      <w:r w:rsidRPr="00AE5A70">
        <w:rPr>
          <w:sz w:val="23"/>
          <w:szCs w:val="23"/>
        </w:rPr>
        <w:t xml:space="preserve"> </w:t>
      </w:r>
    </w:p>
    <w:p w14:paraId="5FEFC0FC" w14:textId="77777777" w:rsidR="001E468E" w:rsidRPr="00AE5A70" w:rsidRDefault="001E468E" w:rsidP="2C5386C0">
      <w:pPr>
        <w:rPr>
          <w:sz w:val="23"/>
          <w:szCs w:val="23"/>
        </w:rPr>
      </w:pPr>
      <w:r w:rsidRPr="00AE5A70">
        <w:rPr>
          <w:sz w:val="23"/>
          <w:szCs w:val="23"/>
        </w:rPr>
        <w:t>Case conferencing is a key way that all professionals involved in the care of a patient can communicate and coordinate person</w:t>
      </w:r>
      <w:r w:rsidR="002B6D8A" w:rsidRPr="00AE5A70">
        <w:rPr>
          <w:sz w:val="23"/>
          <w:szCs w:val="23"/>
        </w:rPr>
        <w:t>-</w:t>
      </w:r>
      <w:r w:rsidRPr="00AE5A70">
        <w:rPr>
          <w:sz w:val="23"/>
          <w:szCs w:val="23"/>
        </w:rPr>
        <w:t xml:space="preserve">centred care. </w:t>
      </w:r>
      <w:r w:rsidR="00E54954" w:rsidRPr="00AE5A70">
        <w:rPr>
          <w:sz w:val="23"/>
          <w:szCs w:val="23"/>
        </w:rPr>
        <w:t xml:space="preserve">The safe treatment of an eating disorder is best provided by multiple disciplines and often multiple service agencies, with strong relationships and frequent communication required between the treatment providers to prevent deterioration in </w:t>
      </w:r>
      <w:r w:rsidR="00A463DF" w:rsidRPr="00AE5A70">
        <w:rPr>
          <w:sz w:val="23"/>
          <w:szCs w:val="23"/>
        </w:rPr>
        <w:t xml:space="preserve">the </w:t>
      </w:r>
      <w:r w:rsidR="00E54954" w:rsidRPr="00AE5A70">
        <w:rPr>
          <w:sz w:val="23"/>
          <w:szCs w:val="23"/>
        </w:rPr>
        <w:t xml:space="preserve">physical and mental health of the patient. </w:t>
      </w:r>
      <w:r w:rsidRPr="00AE5A70">
        <w:rPr>
          <w:sz w:val="23"/>
          <w:szCs w:val="23"/>
        </w:rPr>
        <w:t>The current case conferencing items in the MBS are designed to be used by GPs</w:t>
      </w:r>
      <w:r w:rsidR="007A6971">
        <w:rPr>
          <w:sz w:val="23"/>
          <w:szCs w:val="23"/>
        </w:rPr>
        <w:t xml:space="preserve"> and other medical practitioners</w:t>
      </w:r>
      <w:r w:rsidRPr="00AE5A70">
        <w:rPr>
          <w:sz w:val="23"/>
          <w:szCs w:val="23"/>
        </w:rPr>
        <w:t xml:space="preserve"> to organise and coordinate, or to participate in, a meeting or discussion that ensures the patient’s multidisciplinary care needs are met. To access the MBS item, the case conferencing team must include a GP and at least two other health or community care providers, one of whom can be another medical practitioner. </w:t>
      </w:r>
      <w:r w:rsidR="00E54954" w:rsidRPr="00AE5A70">
        <w:rPr>
          <w:sz w:val="23"/>
          <w:szCs w:val="23"/>
        </w:rPr>
        <w:t xml:space="preserve">Each team member should provide a different kind of care or service to the patient. </w:t>
      </w:r>
      <w:r w:rsidRPr="00AE5A70">
        <w:rPr>
          <w:sz w:val="23"/>
          <w:szCs w:val="23"/>
        </w:rPr>
        <w:t xml:space="preserve">A case conference can occur face-to-face, by phone or by video conference, or through a combination of these. The patient does not have to attend the case conference, though in some cases their presence may be appropriate. In addition, the patient’s informal or family carer can be included as a formal member of the team but does not count towards the minimum of three service providers. </w:t>
      </w:r>
      <w:r w:rsidR="007A6971">
        <w:rPr>
          <w:sz w:val="23"/>
          <w:szCs w:val="23"/>
        </w:rPr>
        <w:t>Under the existing MBS requirements, t</w:t>
      </w:r>
      <w:r w:rsidRPr="00AE5A70">
        <w:rPr>
          <w:sz w:val="23"/>
          <w:szCs w:val="23"/>
        </w:rPr>
        <w:t xml:space="preserve">he recommended frequency of occurrence for this item is not expected to exceed five case conferences in any 12-month period. </w:t>
      </w:r>
    </w:p>
    <w:p w14:paraId="0BCB6CE6" w14:textId="77777777" w:rsidR="001E468E" w:rsidRPr="00AE5A70" w:rsidRDefault="001E468E" w:rsidP="2C5386C0">
      <w:pPr>
        <w:rPr>
          <w:sz w:val="23"/>
          <w:szCs w:val="23"/>
        </w:rPr>
      </w:pPr>
      <w:r w:rsidRPr="00AE5A70">
        <w:rPr>
          <w:sz w:val="23"/>
          <w:szCs w:val="23"/>
        </w:rPr>
        <w:t>The minimum three care providers (including the GP) within the case conferencing team must be in communication with each other throughout the conference</w:t>
      </w:r>
      <w:r w:rsidR="00E54954" w:rsidRPr="00AE5A70">
        <w:rPr>
          <w:sz w:val="23"/>
          <w:szCs w:val="23"/>
        </w:rPr>
        <w:t>. For patients with an eating disorder a case conference team should consist of a GP, a paediatrician or a psychiatrist, and any of the following allied health or mental health practitioners; a psychologist, dieti</w:t>
      </w:r>
      <w:r w:rsidR="00ED3CAE" w:rsidRPr="00AE5A70">
        <w:rPr>
          <w:sz w:val="23"/>
          <w:szCs w:val="23"/>
        </w:rPr>
        <w:t>t</w:t>
      </w:r>
      <w:r w:rsidR="00E54954" w:rsidRPr="00AE5A70">
        <w:rPr>
          <w:sz w:val="23"/>
          <w:szCs w:val="23"/>
        </w:rPr>
        <w:t>ian, mental health nurse, counsellor, psychotherapist or an occupational therapist, with appropriate further training and qualifications in the treatment of mental health and/or eating disorders.</w:t>
      </w:r>
    </w:p>
    <w:p w14:paraId="161D75DE" w14:textId="77777777" w:rsidR="004B7235" w:rsidRPr="00AE5A70" w:rsidRDefault="000D0E4E" w:rsidP="0A3A2D0A">
      <w:pPr>
        <w:rPr>
          <w:sz w:val="23"/>
          <w:szCs w:val="23"/>
        </w:rPr>
      </w:pPr>
      <w:r w:rsidRPr="00AE5A70">
        <w:rPr>
          <w:sz w:val="23"/>
          <w:szCs w:val="23"/>
        </w:rPr>
        <w:t>The Working Group considers the inclusion of allied health</w:t>
      </w:r>
      <w:r w:rsidR="00E330BD" w:rsidRPr="00AE5A70">
        <w:rPr>
          <w:sz w:val="23"/>
          <w:szCs w:val="23"/>
        </w:rPr>
        <w:t>/mental health</w:t>
      </w:r>
      <w:r w:rsidRPr="00AE5A70">
        <w:rPr>
          <w:sz w:val="23"/>
          <w:szCs w:val="23"/>
        </w:rPr>
        <w:t xml:space="preserve"> professional</w:t>
      </w:r>
      <w:r w:rsidR="008252BA" w:rsidRPr="00AE5A70">
        <w:rPr>
          <w:sz w:val="23"/>
          <w:szCs w:val="23"/>
        </w:rPr>
        <w:t>s</w:t>
      </w:r>
      <w:r w:rsidRPr="00AE5A70">
        <w:rPr>
          <w:sz w:val="23"/>
          <w:szCs w:val="23"/>
        </w:rPr>
        <w:t xml:space="preserve"> with specific t</w:t>
      </w:r>
      <w:r w:rsidR="00DC0840">
        <w:rPr>
          <w:sz w:val="23"/>
          <w:szCs w:val="23"/>
        </w:rPr>
        <w:t>raining and credentialing in the area of</w:t>
      </w:r>
      <w:r w:rsidRPr="00AE5A70">
        <w:rPr>
          <w:sz w:val="23"/>
          <w:szCs w:val="23"/>
        </w:rPr>
        <w:t xml:space="preserve"> eating disorders as a valuable addition to a team care arrangement, </w:t>
      </w:r>
      <w:r w:rsidR="004B7235" w:rsidRPr="00AE5A70">
        <w:rPr>
          <w:sz w:val="23"/>
          <w:szCs w:val="23"/>
        </w:rPr>
        <w:t>MDT</w:t>
      </w:r>
      <w:r w:rsidRPr="00AE5A70">
        <w:rPr>
          <w:sz w:val="23"/>
          <w:szCs w:val="23"/>
        </w:rPr>
        <w:t xml:space="preserve"> or a case conference. </w:t>
      </w:r>
      <w:r w:rsidR="0575EE20" w:rsidRPr="00AE5A70">
        <w:rPr>
          <w:sz w:val="23"/>
          <w:szCs w:val="23"/>
        </w:rPr>
        <w:t xml:space="preserve">The Working Group also </w:t>
      </w:r>
      <w:r w:rsidR="004B7235" w:rsidRPr="00AE5A70">
        <w:rPr>
          <w:sz w:val="23"/>
          <w:szCs w:val="23"/>
        </w:rPr>
        <w:t>considered it necessary</w:t>
      </w:r>
      <w:r w:rsidR="0575EE20" w:rsidRPr="00AE5A70">
        <w:rPr>
          <w:sz w:val="23"/>
          <w:szCs w:val="23"/>
        </w:rPr>
        <w:t xml:space="preserve"> </w:t>
      </w:r>
      <w:r w:rsidR="004B7235" w:rsidRPr="00AE5A70">
        <w:rPr>
          <w:sz w:val="23"/>
          <w:szCs w:val="23"/>
        </w:rPr>
        <w:t xml:space="preserve">that </w:t>
      </w:r>
      <w:r w:rsidR="0575EE20" w:rsidRPr="00AE5A70">
        <w:rPr>
          <w:sz w:val="23"/>
          <w:szCs w:val="23"/>
        </w:rPr>
        <w:t>these allied health</w:t>
      </w:r>
      <w:r w:rsidR="00E330BD" w:rsidRPr="00AE5A70">
        <w:rPr>
          <w:sz w:val="23"/>
          <w:szCs w:val="23"/>
        </w:rPr>
        <w:t>/mental</w:t>
      </w:r>
      <w:r w:rsidR="0575EE20" w:rsidRPr="00AE5A70">
        <w:rPr>
          <w:sz w:val="23"/>
          <w:szCs w:val="23"/>
        </w:rPr>
        <w:t xml:space="preserve"> professionals </w:t>
      </w:r>
      <w:r w:rsidR="0ECF89A8" w:rsidRPr="00AE5A70">
        <w:rPr>
          <w:sz w:val="23"/>
          <w:szCs w:val="23"/>
        </w:rPr>
        <w:t>receive adequ</w:t>
      </w:r>
      <w:r w:rsidR="529EF73F" w:rsidRPr="00AE5A70">
        <w:rPr>
          <w:sz w:val="23"/>
          <w:szCs w:val="23"/>
        </w:rPr>
        <w:t>a</w:t>
      </w:r>
      <w:r w:rsidR="0ECF89A8" w:rsidRPr="00AE5A70">
        <w:rPr>
          <w:sz w:val="23"/>
          <w:szCs w:val="23"/>
        </w:rPr>
        <w:t>te financial compensation for their con</w:t>
      </w:r>
      <w:r w:rsidR="529EF73F" w:rsidRPr="00AE5A70">
        <w:rPr>
          <w:sz w:val="23"/>
          <w:szCs w:val="23"/>
        </w:rPr>
        <w:t>tribution to MDT</w:t>
      </w:r>
      <w:r w:rsidR="6756F08B" w:rsidRPr="00AE5A70">
        <w:rPr>
          <w:sz w:val="23"/>
          <w:szCs w:val="23"/>
        </w:rPr>
        <w:t>s</w:t>
      </w:r>
      <w:r w:rsidR="529EF73F" w:rsidRPr="00AE5A70">
        <w:rPr>
          <w:sz w:val="23"/>
          <w:szCs w:val="23"/>
        </w:rPr>
        <w:t xml:space="preserve"> </w:t>
      </w:r>
      <w:r w:rsidR="3CA3075B" w:rsidRPr="00AE5A70">
        <w:rPr>
          <w:sz w:val="23"/>
          <w:szCs w:val="23"/>
        </w:rPr>
        <w:t>and</w:t>
      </w:r>
      <w:r w:rsidR="529EF73F" w:rsidRPr="00AE5A70">
        <w:rPr>
          <w:sz w:val="23"/>
          <w:szCs w:val="23"/>
        </w:rPr>
        <w:t xml:space="preserve"> case conferenc</w:t>
      </w:r>
      <w:r w:rsidR="3CA3075B" w:rsidRPr="00AE5A70">
        <w:rPr>
          <w:sz w:val="23"/>
          <w:szCs w:val="23"/>
        </w:rPr>
        <w:t>ing.</w:t>
      </w:r>
      <w:r w:rsidRPr="00AE5A70">
        <w:rPr>
          <w:sz w:val="23"/>
          <w:szCs w:val="23"/>
        </w:rPr>
        <w:t xml:space="preserve"> </w:t>
      </w:r>
    </w:p>
    <w:p w14:paraId="033F95FA" w14:textId="77777777" w:rsidR="000D0E4E" w:rsidRDefault="000D0E4E" w:rsidP="004E5F16">
      <w:pPr>
        <w:pStyle w:val="Heading3Numbered"/>
        <w:rPr>
          <w:sz w:val="23"/>
          <w:szCs w:val="23"/>
        </w:rPr>
      </w:pPr>
      <w:bookmarkStart w:id="73" w:name="_Toc531941946"/>
      <w:r w:rsidRPr="00AE5A70">
        <w:rPr>
          <w:sz w:val="23"/>
          <w:szCs w:val="23"/>
        </w:rPr>
        <w:t>Recommendation 2.1</w:t>
      </w:r>
      <w:bookmarkEnd w:id="73"/>
    </w:p>
    <w:p w14:paraId="39694082" w14:textId="77777777" w:rsidR="007E5420" w:rsidRPr="00AE5A70" w:rsidRDefault="007E5420" w:rsidP="004E5F16">
      <w:pPr>
        <w:pBdr>
          <w:top w:val="single" w:sz="4" w:space="1" w:color="auto"/>
          <w:left w:val="single" w:sz="4" w:space="4" w:color="auto"/>
          <w:bottom w:val="single" w:sz="4" w:space="1" w:color="auto"/>
          <w:right w:val="single" w:sz="4" w:space="4" w:color="auto"/>
        </w:pBdr>
        <w:rPr>
          <w:sz w:val="23"/>
          <w:szCs w:val="23"/>
        </w:rPr>
      </w:pPr>
      <w:r w:rsidRPr="007E5420">
        <w:rPr>
          <w:sz w:val="23"/>
          <w:szCs w:val="23"/>
        </w:rPr>
        <w:t>The Working Group requests that the Allied Health Reference Group investigate and consider expanding access to provide multidisciplinary case conference MBS items 735, 739, 743 and to item 729 (contribution to a MDT care plan prepared by another practitioner) to allied health and mental health professionals</w:t>
      </w:r>
      <w:r w:rsidRPr="007E5420">
        <w:footnoteReference w:id="52"/>
      </w:r>
      <w:r w:rsidRPr="007E5420">
        <w:rPr>
          <w:sz w:val="23"/>
          <w:szCs w:val="23"/>
        </w:rPr>
        <w:t xml:space="preserve"> who are specialised in the treatment of eating disorders to enable these practitioners to be remunerated for their involvement in MDT care plan development and case conferences.</w:t>
      </w:r>
    </w:p>
    <w:p w14:paraId="15DC86E9" w14:textId="77777777" w:rsidR="000C43AA" w:rsidRPr="00AE5A70" w:rsidRDefault="000C43AA" w:rsidP="00D132F2">
      <w:pPr>
        <w:pStyle w:val="Heading3Numbered"/>
        <w:numPr>
          <w:ilvl w:val="2"/>
          <w:numId w:val="94"/>
        </w:numPr>
        <w:spacing w:before="360"/>
        <w:rPr>
          <w:sz w:val="23"/>
          <w:szCs w:val="23"/>
        </w:rPr>
      </w:pPr>
      <w:bookmarkStart w:id="74" w:name="_Toc531941947"/>
      <w:r w:rsidRPr="00AE5A70">
        <w:rPr>
          <w:sz w:val="23"/>
          <w:szCs w:val="23"/>
        </w:rPr>
        <w:t>Family integration</w:t>
      </w:r>
      <w:bookmarkEnd w:id="74"/>
    </w:p>
    <w:p w14:paraId="48304E4B" w14:textId="77777777" w:rsidR="000C43AA" w:rsidRPr="00AE5A70" w:rsidRDefault="000C43AA" w:rsidP="2C5386C0">
      <w:pPr>
        <w:rPr>
          <w:sz w:val="23"/>
          <w:szCs w:val="23"/>
        </w:rPr>
      </w:pPr>
      <w:r w:rsidRPr="00AE5A70">
        <w:rPr>
          <w:sz w:val="23"/>
          <w:szCs w:val="23"/>
        </w:rPr>
        <w:t>Person centric care is family centric by definition.</w:t>
      </w:r>
      <w:r w:rsidRPr="00AE5A70">
        <w:rPr>
          <w:rStyle w:val="FootnoteReference"/>
          <w:rFonts w:asciiTheme="majorEastAsia" w:eastAsiaTheme="majorEastAsia" w:hAnsiTheme="majorEastAsia" w:cstheme="majorEastAsia"/>
          <w:sz w:val="23"/>
          <w:szCs w:val="23"/>
        </w:rPr>
        <w:footnoteReference w:id="53"/>
      </w:r>
      <w:r w:rsidRPr="00AE5A70">
        <w:rPr>
          <w:sz w:val="23"/>
          <w:szCs w:val="23"/>
        </w:rPr>
        <w:t xml:space="preserve"> The family are usually an integral part of the decision-making process. The family can be involved in care options throughout the diagnosis and assessment, and are usually the support unit that help to bridge the gap between initial diagnosis and eating disorder specific treatment.</w:t>
      </w:r>
      <w:r w:rsidRPr="00AE5A70">
        <w:rPr>
          <w:rStyle w:val="FootnoteReference"/>
          <w:rFonts w:asciiTheme="majorEastAsia" w:eastAsiaTheme="majorEastAsia" w:hAnsiTheme="majorEastAsia" w:cstheme="majorEastAsia"/>
          <w:sz w:val="23"/>
          <w:szCs w:val="23"/>
        </w:rPr>
        <w:footnoteReference w:id="54"/>
      </w:r>
      <w:r w:rsidRPr="00AE5A70">
        <w:rPr>
          <w:sz w:val="23"/>
          <w:szCs w:val="23"/>
        </w:rPr>
        <w:t xml:space="preserve"> The level of involvement from the family is usually high, given that it will extend to psychological support, whilst also providing physical and economic support, as well as assistance with daily living</w:t>
      </w:r>
      <w:r w:rsidR="00E330BD" w:rsidRPr="00AE5A70">
        <w:rPr>
          <w:sz w:val="23"/>
          <w:szCs w:val="23"/>
        </w:rPr>
        <w:t xml:space="preserve"> and direct support with meals</w:t>
      </w:r>
      <w:r w:rsidRPr="00AE5A70">
        <w:rPr>
          <w:sz w:val="23"/>
          <w:szCs w:val="23"/>
        </w:rPr>
        <w:t xml:space="preserve">. </w:t>
      </w:r>
    </w:p>
    <w:p w14:paraId="00386F30" w14:textId="77777777" w:rsidR="000C43AA" w:rsidRPr="00AE5A70" w:rsidRDefault="000C43AA" w:rsidP="2C5386C0">
      <w:pPr>
        <w:rPr>
          <w:sz w:val="23"/>
          <w:szCs w:val="23"/>
        </w:rPr>
      </w:pPr>
      <w:r w:rsidRPr="00AE5A70">
        <w:rPr>
          <w:sz w:val="23"/>
          <w:szCs w:val="23"/>
        </w:rPr>
        <w:t xml:space="preserve">While therapy may be delivered at any time, </w:t>
      </w:r>
      <w:r w:rsidR="00E330BD" w:rsidRPr="00AE5A70">
        <w:rPr>
          <w:sz w:val="23"/>
          <w:szCs w:val="23"/>
        </w:rPr>
        <w:t xml:space="preserve">patients with </w:t>
      </w:r>
      <w:r w:rsidR="007A6971">
        <w:rPr>
          <w:sz w:val="23"/>
          <w:szCs w:val="23"/>
        </w:rPr>
        <w:t>eating disorders</w:t>
      </w:r>
      <w:r w:rsidRPr="00AE5A70">
        <w:rPr>
          <w:sz w:val="23"/>
          <w:szCs w:val="23"/>
        </w:rPr>
        <w:t xml:space="preserve"> require increased care during and immediately after meal times. This requires safety and skilled support from the family to enable the development of new, healthy eating behaviours. Families that provide mealtime support are </w:t>
      </w:r>
      <w:r w:rsidR="00A463DF" w:rsidRPr="00AE5A70">
        <w:rPr>
          <w:sz w:val="23"/>
          <w:szCs w:val="23"/>
        </w:rPr>
        <w:t xml:space="preserve">promoting </w:t>
      </w:r>
      <w:r w:rsidRPr="00AE5A70">
        <w:rPr>
          <w:sz w:val="23"/>
          <w:szCs w:val="23"/>
        </w:rPr>
        <w:t xml:space="preserve">therapeutic outcomes and need to be adequately equipped to take on this role. </w:t>
      </w:r>
      <w:r w:rsidRPr="00AE5A70">
        <w:rPr>
          <w:rStyle w:val="FootnoteReference"/>
          <w:rFonts w:asciiTheme="majorEastAsia" w:eastAsiaTheme="majorEastAsia" w:hAnsiTheme="majorEastAsia" w:cstheme="majorEastAsia"/>
          <w:sz w:val="23"/>
          <w:szCs w:val="23"/>
        </w:rPr>
        <w:footnoteReference w:id="55"/>
      </w:r>
    </w:p>
    <w:p w14:paraId="100E330C" w14:textId="77777777" w:rsidR="000C43AA" w:rsidRPr="00AE5A70" w:rsidRDefault="000C43AA" w:rsidP="2C5386C0">
      <w:pPr>
        <w:rPr>
          <w:sz w:val="23"/>
          <w:szCs w:val="23"/>
        </w:rPr>
      </w:pPr>
      <w:r w:rsidRPr="00AE5A70">
        <w:rPr>
          <w:sz w:val="23"/>
          <w:szCs w:val="23"/>
        </w:rPr>
        <w:t xml:space="preserve">The Working Group </w:t>
      </w:r>
      <w:r w:rsidR="007A6971">
        <w:rPr>
          <w:sz w:val="23"/>
          <w:szCs w:val="23"/>
        </w:rPr>
        <w:t>is of the strong view</w:t>
      </w:r>
      <w:r w:rsidR="007A6971" w:rsidRPr="00AE5A70">
        <w:rPr>
          <w:sz w:val="23"/>
          <w:szCs w:val="23"/>
        </w:rPr>
        <w:t xml:space="preserve"> </w:t>
      </w:r>
      <w:r w:rsidRPr="00AE5A70">
        <w:rPr>
          <w:sz w:val="23"/>
          <w:szCs w:val="23"/>
        </w:rPr>
        <w:t xml:space="preserve">that families should be included, engaged, and educated by the treatment team as a key member, integral to the patient’s outcome. Where possible, the families of </w:t>
      </w:r>
      <w:r w:rsidR="00E330BD" w:rsidRPr="00AE5A70">
        <w:rPr>
          <w:sz w:val="23"/>
          <w:szCs w:val="23"/>
        </w:rPr>
        <w:t xml:space="preserve">patients with </w:t>
      </w:r>
      <w:r w:rsidR="008E6E66">
        <w:rPr>
          <w:sz w:val="23"/>
          <w:szCs w:val="23"/>
        </w:rPr>
        <w:t>eating disorders</w:t>
      </w:r>
      <w:r w:rsidRPr="00AE5A70">
        <w:rPr>
          <w:sz w:val="23"/>
          <w:szCs w:val="23"/>
        </w:rPr>
        <w:t xml:space="preserve"> should be supported and provided with skills, strategies, education and information to enable them to support the person with </w:t>
      </w:r>
      <w:r w:rsidR="00E330BD" w:rsidRPr="00AE5A70">
        <w:rPr>
          <w:sz w:val="23"/>
          <w:szCs w:val="23"/>
        </w:rPr>
        <w:t>the illness</w:t>
      </w:r>
      <w:r w:rsidRPr="00AE5A70">
        <w:rPr>
          <w:sz w:val="23"/>
          <w:szCs w:val="23"/>
        </w:rPr>
        <w:t>. Care teams should plan treatment with the family structures and if family are not available for the patient, service providers should look to address this and implement an alternative support option.</w:t>
      </w:r>
      <w:r w:rsidRPr="00AE5A70">
        <w:rPr>
          <w:rStyle w:val="FootnoteReference"/>
          <w:rFonts w:asciiTheme="majorEastAsia" w:eastAsiaTheme="majorEastAsia" w:hAnsiTheme="majorEastAsia" w:cstheme="majorEastAsia"/>
          <w:sz w:val="23"/>
          <w:szCs w:val="23"/>
        </w:rPr>
        <w:footnoteReference w:id="56"/>
      </w:r>
      <w:r w:rsidRPr="00AE5A70">
        <w:rPr>
          <w:sz w:val="23"/>
          <w:szCs w:val="23"/>
        </w:rPr>
        <w:t xml:space="preserve">  </w:t>
      </w:r>
      <w:r w:rsidR="00315705" w:rsidRPr="00AE5A70">
        <w:rPr>
          <w:sz w:val="23"/>
          <w:szCs w:val="23"/>
        </w:rPr>
        <w:t>There is some evidence to suggest that family therapy may be more effective than other treatments on reducing readmission rates</w:t>
      </w:r>
      <w:r w:rsidR="008E6E66">
        <w:rPr>
          <w:sz w:val="23"/>
          <w:szCs w:val="23"/>
        </w:rPr>
        <w:t xml:space="preserve"> </w:t>
      </w:r>
      <w:r w:rsidR="00315705" w:rsidRPr="00AE5A70">
        <w:rPr>
          <w:sz w:val="23"/>
          <w:szCs w:val="23"/>
        </w:rPr>
        <w:t>and improved health outcomes at follow up</w:t>
      </w:r>
      <w:r w:rsidR="00315705" w:rsidRPr="00AE5A70">
        <w:rPr>
          <w:rStyle w:val="FootnoteReference"/>
          <w:sz w:val="23"/>
          <w:szCs w:val="23"/>
        </w:rPr>
        <w:footnoteReference w:id="57"/>
      </w:r>
      <w:r w:rsidR="00315705" w:rsidRPr="00AE5A70">
        <w:rPr>
          <w:sz w:val="23"/>
          <w:szCs w:val="23"/>
        </w:rPr>
        <w:t xml:space="preserve"> </w:t>
      </w:r>
      <w:r w:rsidR="00315705" w:rsidRPr="00AE5A70">
        <w:rPr>
          <w:rStyle w:val="FootnoteReference"/>
          <w:sz w:val="23"/>
          <w:szCs w:val="23"/>
        </w:rPr>
        <w:footnoteReference w:id="58"/>
      </w:r>
      <w:r w:rsidR="00315705" w:rsidRPr="00AE5A70">
        <w:rPr>
          <w:sz w:val="23"/>
          <w:szCs w:val="23"/>
        </w:rPr>
        <w:t>.</w:t>
      </w:r>
    </w:p>
    <w:p w14:paraId="0BC90617" w14:textId="77777777" w:rsidR="000C43AA" w:rsidRPr="00AE5A70" w:rsidRDefault="000C43AA" w:rsidP="2C5386C0">
      <w:pPr>
        <w:rPr>
          <w:sz w:val="23"/>
          <w:szCs w:val="23"/>
        </w:rPr>
      </w:pPr>
      <w:r w:rsidRPr="00AE5A70">
        <w:rPr>
          <w:sz w:val="23"/>
          <w:szCs w:val="23"/>
        </w:rPr>
        <w:t>Family integration can be further achieved through FBT. As noted in the previous section, psychotherapy is an important component of the treatment program and FBT is the best-established treatment for adolescent patients</w:t>
      </w:r>
      <w:r w:rsidR="00893442" w:rsidRPr="00AE5A70">
        <w:rPr>
          <w:sz w:val="23"/>
          <w:szCs w:val="23"/>
        </w:rPr>
        <w:t xml:space="preserve"> with </w:t>
      </w:r>
      <w:r w:rsidR="007A6971">
        <w:rPr>
          <w:sz w:val="23"/>
          <w:szCs w:val="23"/>
        </w:rPr>
        <w:t>eating disorders</w:t>
      </w:r>
      <w:r w:rsidRPr="00AE5A70">
        <w:rPr>
          <w:sz w:val="23"/>
          <w:szCs w:val="23"/>
        </w:rPr>
        <w:t>.</w:t>
      </w:r>
      <w:r w:rsidRPr="00AE5A70">
        <w:rPr>
          <w:rStyle w:val="FootnoteReference"/>
          <w:rFonts w:asciiTheme="majorEastAsia" w:eastAsiaTheme="majorEastAsia" w:hAnsiTheme="majorEastAsia" w:cstheme="majorEastAsia"/>
          <w:sz w:val="23"/>
          <w:szCs w:val="23"/>
        </w:rPr>
        <w:footnoteReference w:id="59"/>
      </w:r>
      <w:r w:rsidRPr="00AE5A70">
        <w:rPr>
          <w:sz w:val="23"/>
          <w:szCs w:val="23"/>
        </w:rPr>
        <w:t xml:space="preserve"> The positive efficacy results of FBT are due to its intensive community</w:t>
      </w:r>
      <w:r w:rsidR="00A463DF" w:rsidRPr="00AE5A70">
        <w:rPr>
          <w:sz w:val="23"/>
          <w:szCs w:val="23"/>
        </w:rPr>
        <w:t>-</w:t>
      </w:r>
      <w:r w:rsidRPr="00AE5A70">
        <w:rPr>
          <w:sz w:val="23"/>
          <w:szCs w:val="23"/>
        </w:rPr>
        <w:t xml:space="preserve">based treatment </w:t>
      </w:r>
      <w:r w:rsidR="00A463DF" w:rsidRPr="00AE5A70">
        <w:rPr>
          <w:sz w:val="23"/>
          <w:szCs w:val="23"/>
        </w:rPr>
        <w:t>and intervention with family dynamics</w:t>
      </w:r>
      <w:r w:rsidRPr="00AE5A70">
        <w:rPr>
          <w:sz w:val="23"/>
          <w:szCs w:val="23"/>
        </w:rPr>
        <w:t xml:space="preserve">, which was originally developed in the Maudsley hospital, London, and has come to be known as the ‘Maudsely Method.’ </w:t>
      </w:r>
    </w:p>
    <w:p w14:paraId="39FB6113" w14:textId="77777777" w:rsidR="000C43AA" w:rsidRPr="00AE5A70" w:rsidRDefault="000C43AA" w:rsidP="2C5386C0">
      <w:pPr>
        <w:rPr>
          <w:sz w:val="23"/>
          <w:szCs w:val="23"/>
        </w:rPr>
      </w:pPr>
      <w:r w:rsidRPr="00AE5A70">
        <w:rPr>
          <w:sz w:val="23"/>
          <w:szCs w:val="23"/>
        </w:rPr>
        <w:t>FBT for adolescents is designed to mobilise parents in assisting their child reverse their state of starvation, aiming towards full remission.</w:t>
      </w:r>
      <w:r w:rsidRPr="00AE5A70">
        <w:rPr>
          <w:sz w:val="23"/>
          <w:szCs w:val="23"/>
          <w:vertAlign w:val="superscript"/>
        </w:rPr>
        <w:footnoteReference w:id="60"/>
      </w:r>
      <w:r w:rsidRPr="00AE5A70">
        <w:rPr>
          <w:sz w:val="23"/>
          <w:szCs w:val="23"/>
        </w:rPr>
        <w:t xml:space="preserve"> Parents take an integral role delivering the treatment in the home environment supported by therapeutic supervision from MDT’s. This treatment has three phases which occur over a period of 6-12 months and involves the entire family. </w:t>
      </w:r>
      <w:r w:rsidR="007A6971">
        <w:rPr>
          <w:sz w:val="23"/>
          <w:szCs w:val="23"/>
        </w:rPr>
        <w:t>FBT is recognised as a</w:t>
      </w:r>
      <w:r w:rsidRPr="00AE5A70">
        <w:rPr>
          <w:sz w:val="23"/>
          <w:szCs w:val="23"/>
        </w:rPr>
        <w:t xml:space="preserve"> first line of </w:t>
      </w:r>
      <w:r w:rsidR="007A6971">
        <w:rPr>
          <w:sz w:val="23"/>
          <w:szCs w:val="23"/>
        </w:rPr>
        <w:t xml:space="preserve">treatment option </w:t>
      </w:r>
      <w:r w:rsidRPr="00AE5A70">
        <w:rPr>
          <w:sz w:val="23"/>
          <w:szCs w:val="23"/>
        </w:rPr>
        <w:t xml:space="preserve">for adolescents with </w:t>
      </w:r>
      <w:r w:rsidR="007A6971">
        <w:rPr>
          <w:sz w:val="23"/>
          <w:szCs w:val="23"/>
        </w:rPr>
        <w:t>an eating disorder.</w:t>
      </w:r>
      <w:r w:rsidRPr="00AE5A70">
        <w:rPr>
          <w:sz w:val="23"/>
          <w:szCs w:val="23"/>
        </w:rPr>
        <w:t xml:space="preserve"> A course of FBT is 20 sessions and additional sessions may be needed. </w:t>
      </w:r>
      <w:r w:rsidR="007A6971">
        <w:rPr>
          <w:sz w:val="23"/>
          <w:szCs w:val="23"/>
        </w:rPr>
        <w:t>There are also clinical trials examining the use of FBT in young adults, with participation of partners and other carers, which</w:t>
      </w:r>
      <w:r w:rsidR="008A44A0">
        <w:rPr>
          <w:sz w:val="23"/>
          <w:szCs w:val="23"/>
        </w:rPr>
        <w:t xml:space="preserve"> has demonstrated some patient benefit.</w:t>
      </w:r>
    </w:p>
    <w:p w14:paraId="7BC7F530" w14:textId="77777777" w:rsidR="00D05679" w:rsidRDefault="00D05679" w:rsidP="00D05679">
      <w:pPr>
        <w:rPr>
          <w:sz w:val="23"/>
          <w:szCs w:val="23"/>
        </w:rPr>
      </w:pPr>
      <w:r w:rsidRPr="00AE5A70">
        <w:rPr>
          <w:rFonts w:cstheme="minorBidi"/>
          <w:sz w:val="23"/>
          <w:szCs w:val="23"/>
        </w:rPr>
        <w:t>The Working Group noted that availability of MBS funded family group</w:t>
      </w:r>
      <w:r w:rsidR="00A463DF" w:rsidRPr="00AE5A70">
        <w:rPr>
          <w:rFonts w:cstheme="minorBidi"/>
          <w:sz w:val="23"/>
          <w:szCs w:val="23"/>
        </w:rPr>
        <w:t xml:space="preserve"> support and</w:t>
      </w:r>
      <w:r w:rsidRPr="00AE5A70">
        <w:rPr>
          <w:rFonts w:cstheme="minorBidi"/>
          <w:sz w:val="23"/>
          <w:szCs w:val="23"/>
        </w:rPr>
        <w:t xml:space="preserve"> therapy when provided by a GP, although it was noted that the items are underutilised. In many cases it was thought that the GPs too busy to be able to provide these services. The Working Group noted that FBT is not listed in the explanatory notes for the </w:t>
      </w:r>
      <w:r w:rsidRPr="00AE5A70">
        <w:rPr>
          <w:rFonts w:cstheme="minorBidi"/>
          <w:i/>
          <w:sz w:val="23"/>
          <w:szCs w:val="23"/>
        </w:rPr>
        <w:t>Better Access</w:t>
      </w:r>
      <w:r w:rsidRPr="00AE5A70">
        <w:rPr>
          <w:rFonts w:cstheme="minorBidi"/>
          <w:sz w:val="23"/>
          <w:szCs w:val="23"/>
        </w:rPr>
        <w:t xml:space="preserve"> items as an acceptable strategy to</w:t>
      </w:r>
      <w:r w:rsidR="00961878" w:rsidRPr="00AE5A70">
        <w:rPr>
          <w:rFonts w:cstheme="minorBidi"/>
          <w:sz w:val="23"/>
          <w:szCs w:val="23"/>
        </w:rPr>
        <w:t xml:space="preserve"> be</w:t>
      </w:r>
      <w:r w:rsidRPr="00AE5A70">
        <w:rPr>
          <w:rFonts w:cstheme="minorBidi"/>
          <w:sz w:val="23"/>
          <w:szCs w:val="23"/>
        </w:rPr>
        <w:t xml:space="preserve"> provided under the focussed psychological services (FPS) items. The Working Group suggests allowing FBT to be delivered using the FPS items </w:t>
      </w:r>
      <w:r w:rsidR="00B53DF0">
        <w:rPr>
          <w:rFonts w:cstheme="minorBidi"/>
          <w:sz w:val="23"/>
          <w:szCs w:val="23"/>
        </w:rPr>
        <w:t>and under any services provided through the new MBS items for patients with eating disorders.</w:t>
      </w:r>
    </w:p>
    <w:p w14:paraId="41163C4E" w14:textId="77777777" w:rsidR="007A6971" w:rsidRDefault="007A6971" w:rsidP="004E5F16">
      <w:pPr>
        <w:pStyle w:val="Heading3Numbered"/>
        <w:rPr>
          <w:rFonts w:cstheme="minorBidi"/>
          <w:sz w:val="23"/>
          <w:szCs w:val="23"/>
        </w:rPr>
      </w:pPr>
      <w:bookmarkStart w:id="75" w:name="_Toc531941948"/>
      <w:r w:rsidRPr="00AE5A70">
        <w:rPr>
          <w:sz w:val="23"/>
          <w:szCs w:val="23"/>
        </w:rPr>
        <w:t>Recommendation</w:t>
      </w:r>
      <w:r w:rsidRPr="00AE5A70">
        <w:rPr>
          <w:rFonts w:cstheme="minorBidi"/>
          <w:sz w:val="23"/>
          <w:szCs w:val="23"/>
        </w:rPr>
        <w:t xml:space="preserve"> 2.2</w:t>
      </w:r>
      <w:bookmarkEnd w:id="75"/>
    </w:p>
    <w:p w14:paraId="0D145E92" w14:textId="77777777" w:rsidR="007E5420" w:rsidRPr="007E5420" w:rsidRDefault="007E5420" w:rsidP="004E5F16">
      <w:pPr>
        <w:pBdr>
          <w:top w:val="single" w:sz="4" w:space="1" w:color="auto"/>
          <w:left w:val="single" w:sz="4" w:space="4" w:color="auto"/>
          <w:bottom w:val="single" w:sz="4" w:space="1" w:color="auto"/>
          <w:right w:val="single" w:sz="4" w:space="4" w:color="auto"/>
        </w:pBdr>
        <w:rPr>
          <w:rFonts w:cstheme="minorBidi"/>
          <w:sz w:val="23"/>
          <w:szCs w:val="23"/>
        </w:rPr>
      </w:pPr>
      <w:r w:rsidRPr="007E5420">
        <w:rPr>
          <w:rFonts w:cstheme="minorBidi"/>
          <w:sz w:val="23"/>
          <w:szCs w:val="23"/>
        </w:rPr>
        <w:t>Allow appropriately trained practitioners to provide family-based therapy (FBT) under the items for focussed psychological strategy services and any new psychological services provided under the new MBS items (to which recommendation 1.2 refers). FBT should be delivered in line with the evidence base in this area. Family based therapy services will count towards the patient’s allocation of psychological services provided through the new MBS items.</w:t>
      </w:r>
    </w:p>
    <w:p w14:paraId="617CBF89" w14:textId="77777777" w:rsidR="007A6971" w:rsidRDefault="007A6971" w:rsidP="00D132F2">
      <w:pPr>
        <w:pStyle w:val="Heading3Numbered"/>
        <w:numPr>
          <w:ilvl w:val="2"/>
          <w:numId w:val="94"/>
        </w:numPr>
        <w:spacing w:before="360"/>
        <w:rPr>
          <w:sz w:val="23"/>
          <w:szCs w:val="23"/>
        </w:rPr>
      </w:pPr>
      <w:bookmarkStart w:id="76" w:name="_Toc530408318"/>
      <w:bookmarkStart w:id="77" w:name="_Toc530408515"/>
      <w:bookmarkStart w:id="78" w:name="_Toc530408737"/>
      <w:bookmarkStart w:id="79" w:name="_Toc531941949"/>
      <w:bookmarkEnd w:id="76"/>
      <w:bookmarkEnd w:id="77"/>
      <w:bookmarkEnd w:id="78"/>
      <w:r>
        <w:rPr>
          <w:sz w:val="23"/>
          <w:szCs w:val="23"/>
        </w:rPr>
        <w:t>Further support for families and carers</w:t>
      </w:r>
      <w:bookmarkEnd w:id="79"/>
    </w:p>
    <w:p w14:paraId="09CCC2F7" w14:textId="77777777" w:rsidR="007A6971" w:rsidRDefault="002B7F26" w:rsidP="002B7F26">
      <w:pPr>
        <w:rPr>
          <w:sz w:val="23"/>
          <w:szCs w:val="23"/>
        </w:rPr>
      </w:pPr>
      <w:r w:rsidRPr="00AE5A70">
        <w:rPr>
          <w:sz w:val="23"/>
          <w:szCs w:val="23"/>
        </w:rPr>
        <w:t xml:space="preserve">The Working Group </w:t>
      </w:r>
      <w:r w:rsidR="00AD3964" w:rsidRPr="00AE5A70">
        <w:rPr>
          <w:sz w:val="23"/>
          <w:szCs w:val="23"/>
        </w:rPr>
        <w:t>acknowledged</w:t>
      </w:r>
      <w:r w:rsidRPr="00AE5A70">
        <w:rPr>
          <w:sz w:val="23"/>
          <w:szCs w:val="23"/>
        </w:rPr>
        <w:t xml:space="preserve"> the need for greater support and treatment for family members and carers of people with eating disorders. </w:t>
      </w:r>
      <w:r w:rsidR="007A6971">
        <w:rPr>
          <w:sz w:val="23"/>
          <w:szCs w:val="23"/>
        </w:rPr>
        <w:t>As highlighted in previous section, there is recognition of the importance of family members and carers being included in the core treatment team.</w:t>
      </w:r>
    </w:p>
    <w:p w14:paraId="0F602931" w14:textId="77777777" w:rsidR="007A6971" w:rsidRDefault="002B7F26" w:rsidP="002B7F26">
      <w:pPr>
        <w:rPr>
          <w:sz w:val="23"/>
          <w:szCs w:val="23"/>
        </w:rPr>
      </w:pPr>
      <w:r w:rsidRPr="00AE5A70">
        <w:rPr>
          <w:sz w:val="23"/>
          <w:szCs w:val="23"/>
        </w:rPr>
        <w:t>The stress and the pressure that can result from caring for a very ill family member can have great impacts on family members and carers</w:t>
      </w:r>
      <w:r w:rsidR="00961878" w:rsidRPr="00AE5A70">
        <w:rPr>
          <w:sz w:val="23"/>
          <w:szCs w:val="23"/>
        </w:rPr>
        <w:t>’</w:t>
      </w:r>
      <w:r w:rsidR="00893442" w:rsidRPr="00AE5A70">
        <w:rPr>
          <w:sz w:val="23"/>
          <w:szCs w:val="23"/>
        </w:rPr>
        <w:t xml:space="preserve"> own</w:t>
      </w:r>
      <w:r w:rsidRPr="00AE5A70">
        <w:rPr>
          <w:sz w:val="23"/>
          <w:szCs w:val="23"/>
        </w:rPr>
        <w:t xml:space="preserve"> physical, mental and emotional health. It was noted that family members and carers can currently access mental health services under the </w:t>
      </w:r>
      <w:r w:rsidRPr="00AE5A70">
        <w:rPr>
          <w:i/>
          <w:iCs/>
          <w:sz w:val="23"/>
          <w:szCs w:val="23"/>
        </w:rPr>
        <w:t>Better Access Initiative</w:t>
      </w:r>
      <w:r w:rsidRPr="00AE5A70">
        <w:rPr>
          <w:sz w:val="23"/>
          <w:szCs w:val="23"/>
        </w:rPr>
        <w:t xml:space="preserve"> </w:t>
      </w:r>
      <w:r w:rsidR="00F95AAD" w:rsidRPr="00AE5A70">
        <w:rPr>
          <w:sz w:val="23"/>
          <w:szCs w:val="23"/>
        </w:rPr>
        <w:t>(if the family member meets the eligibility requirements for receiving services under the</w:t>
      </w:r>
      <w:r w:rsidR="00B53DF0">
        <w:rPr>
          <w:sz w:val="23"/>
          <w:szCs w:val="23"/>
        </w:rPr>
        <w:t>se</w:t>
      </w:r>
      <w:r w:rsidR="00F95AAD" w:rsidRPr="00AE5A70">
        <w:rPr>
          <w:sz w:val="23"/>
          <w:szCs w:val="23"/>
        </w:rPr>
        <w:t xml:space="preserve"> item</w:t>
      </w:r>
      <w:r w:rsidR="00B53DF0">
        <w:rPr>
          <w:sz w:val="23"/>
          <w:szCs w:val="23"/>
        </w:rPr>
        <w:t>s</w:t>
      </w:r>
      <w:r w:rsidR="007A6971">
        <w:rPr>
          <w:sz w:val="23"/>
          <w:szCs w:val="23"/>
        </w:rPr>
        <w:t>, which includes being diagnosed with a mental illness</w:t>
      </w:r>
      <w:r w:rsidR="00F95AAD" w:rsidRPr="00AE5A70">
        <w:rPr>
          <w:sz w:val="23"/>
          <w:szCs w:val="23"/>
        </w:rPr>
        <w:t>)</w:t>
      </w:r>
      <w:r w:rsidR="00961878" w:rsidRPr="00AE5A70">
        <w:rPr>
          <w:sz w:val="23"/>
          <w:szCs w:val="23"/>
        </w:rPr>
        <w:t xml:space="preserve">. Mental health services provided under these items </w:t>
      </w:r>
      <w:r w:rsidRPr="00AE5A70">
        <w:rPr>
          <w:sz w:val="23"/>
          <w:szCs w:val="23"/>
        </w:rPr>
        <w:t xml:space="preserve">could assist </w:t>
      </w:r>
      <w:r w:rsidR="00C26298" w:rsidRPr="00AE5A70">
        <w:rPr>
          <w:sz w:val="23"/>
          <w:szCs w:val="23"/>
        </w:rPr>
        <w:t xml:space="preserve">family members and carers </w:t>
      </w:r>
      <w:r w:rsidRPr="00AE5A70">
        <w:rPr>
          <w:sz w:val="23"/>
          <w:szCs w:val="23"/>
        </w:rPr>
        <w:t xml:space="preserve">to manage these stressors, but perhaps the items may be underutilised for this purpose. </w:t>
      </w:r>
    </w:p>
    <w:p w14:paraId="7718FDC3" w14:textId="77777777" w:rsidR="002B7F26" w:rsidRPr="00AE5A70" w:rsidRDefault="002B7F26" w:rsidP="002B7F26">
      <w:pPr>
        <w:rPr>
          <w:rFonts w:ascii="Calibri" w:hAnsi="Calibri"/>
          <w:sz w:val="23"/>
          <w:szCs w:val="23"/>
        </w:rPr>
      </w:pPr>
      <w:r w:rsidRPr="00AE5A70">
        <w:rPr>
          <w:sz w:val="23"/>
          <w:szCs w:val="23"/>
        </w:rPr>
        <w:t xml:space="preserve">The Working Group were of the view that the support and treatment of families and carers is important aspect of providing holistic care and more should be done to increase the availability of existing MBS services to meet this need. </w:t>
      </w:r>
      <w:r w:rsidR="008A44A0">
        <w:rPr>
          <w:sz w:val="23"/>
          <w:szCs w:val="23"/>
        </w:rPr>
        <w:t xml:space="preserve">Consideration should be given to how MBS arrangements could be strengthened to support the delivery of education and counselling services for family members and carers affected by caring for person with an eating disorder. Additionally, </w:t>
      </w:r>
      <w:r w:rsidR="008A44A0" w:rsidRPr="00AE5A70">
        <w:rPr>
          <w:sz w:val="23"/>
          <w:szCs w:val="23"/>
        </w:rPr>
        <w:t>further</w:t>
      </w:r>
      <w:r w:rsidRPr="00AE5A70">
        <w:rPr>
          <w:sz w:val="23"/>
          <w:szCs w:val="23"/>
        </w:rPr>
        <w:t xml:space="preserve"> information and education</w:t>
      </w:r>
      <w:r w:rsidR="008A44A0">
        <w:rPr>
          <w:sz w:val="23"/>
          <w:szCs w:val="23"/>
        </w:rPr>
        <w:t xml:space="preserve"> should be provided to</w:t>
      </w:r>
      <w:r w:rsidR="00B53DF0">
        <w:rPr>
          <w:sz w:val="23"/>
          <w:szCs w:val="23"/>
        </w:rPr>
        <w:t xml:space="preserve"> </w:t>
      </w:r>
      <w:r w:rsidRPr="00AE5A70">
        <w:rPr>
          <w:sz w:val="23"/>
          <w:szCs w:val="23"/>
        </w:rPr>
        <w:t xml:space="preserve">GPs about </w:t>
      </w:r>
      <w:r w:rsidR="007A6971">
        <w:rPr>
          <w:sz w:val="23"/>
          <w:szCs w:val="23"/>
        </w:rPr>
        <w:t>support services for families of patients with eating disorders</w:t>
      </w:r>
      <w:r w:rsidRPr="00AE5A70">
        <w:rPr>
          <w:sz w:val="23"/>
          <w:szCs w:val="23"/>
        </w:rPr>
        <w:t xml:space="preserve"> (see Recommendation 3.1).</w:t>
      </w:r>
      <w:r w:rsidR="007A6971">
        <w:rPr>
          <w:sz w:val="23"/>
          <w:szCs w:val="23"/>
        </w:rPr>
        <w:t xml:space="preserve"> </w:t>
      </w:r>
    </w:p>
    <w:p w14:paraId="14CC0E30" w14:textId="77777777" w:rsidR="00C42A36" w:rsidRPr="00AE5A70" w:rsidRDefault="00C42A36" w:rsidP="00D132F2">
      <w:pPr>
        <w:pStyle w:val="Heading3Numbered"/>
        <w:numPr>
          <w:ilvl w:val="2"/>
          <w:numId w:val="94"/>
        </w:numPr>
        <w:spacing w:before="360"/>
        <w:rPr>
          <w:sz w:val="23"/>
          <w:szCs w:val="23"/>
        </w:rPr>
      </w:pPr>
      <w:bookmarkStart w:id="80" w:name="_Toc530408320"/>
      <w:bookmarkStart w:id="81" w:name="_Toc530408517"/>
      <w:bookmarkStart w:id="82" w:name="_Toc530408739"/>
      <w:bookmarkStart w:id="83" w:name="_Toc531941950"/>
      <w:bookmarkEnd w:id="80"/>
      <w:bookmarkEnd w:id="81"/>
      <w:bookmarkEnd w:id="82"/>
      <w:r w:rsidRPr="00AE5A70">
        <w:rPr>
          <w:sz w:val="23"/>
          <w:szCs w:val="23"/>
        </w:rPr>
        <w:t>Other changes to strengthen the MBS arrangements for the treatment and management of patients with eating disorders</w:t>
      </w:r>
      <w:bookmarkEnd w:id="83"/>
    </w:p>
    <w:p w14:paraId="73491416" w14:textId="77777777" w:rsidR="000C43AA" w:rsidRPr="00AE5A70" w:rsidRDefault="00B72FC2" w:rsidP="2C5386C0">
      <w:pPr>
        <w:rPr>
          <w:sz w:val="23"/>
          <w:szCs w:val="23"/>
        </w:rPr>
      </w:pPr>
      <w:r w:rsidRPr="00AE5A70">
        <w:rPr>
          <w:sz w:val="23"/>
          <w:szCs w:val="23"/>
        </w:rPr>
        <w:t>The Working Group discussed a number of other changes that could be made to MBS items to support the delivery of care for patients with eating disorders. These matters have been referred to other Clinical Committees reviewing these items.</w:t>
      </w:r>
      <w:r w:rsidRPr="00AE5A70" w:rsidDel="00B4278B">
        <w:rPr>
          <w:sz w:val="23"/>
          <w:szCs w:val="23"/>
        </w:rPr>
        <w:t xml:space="preserve"> </w:t>
      </w:r>
      <w:r w:rsidR="000E39EE" w:rsidRPr="00AE5A70">
        <w:rPr>
          <w:sz w:val="23"/>
          <w:szCs w:val="23"/>
        </w:rPr>
        <w:t xml:space="preserve"> </w:t>
      </w:r>
      <w:r w:rsidR="000C43AA" w:rsidRPr="00AE5A70">
        <w:rPr>
          <w:sz w:val="23"/>
          <w:szCs w:val="23"/>
        </w:rPr>
        <w:t xml:space="preserve">For example, the Working Group considers that there are a number of changes that could be made to the infrastructure around the </w:t>
      </w:r>
      <w:r w:rsidR="000C43AA" w:rsidRPr="00AE5A70">
        <w:rPr>
          <w:i/>
          <w:sz w:val="23"/>
          <w:szCs w:val="23"/>
        </w:rPr>
        <w:t>Better Access</w:t>
      </w:r>
      <w:r w:rsidR="00B4278B" w:rsidRPr="00AE5A70">
        <w:rPr>
          <w:i/>
          <w:sz w:val="23"/>
          <w:szCs w:val="23"/>
        </w:rPr>
        <w:t xml:space="preserve"> Initiative</w:t>
      </w:r>
      <w:r w:rsidR="000C43AA" w:rsidRPr="00AE5A70">
        <w:rPr>
          <w:sz w:val="23"/>
          <w:szCs w:val="23"/>
        </w:rPr>
        <w:t xml:space="preserve"> items, to improve access to MBS funded psychological services and promote MDT collaboration and treatment. These changes include:</w:t>
      </w:r>
    </w:p>
    <w:p w14:paraId="5594893A" w14:textId="77777777" w:rsidR="000C43AA" w:rsidRPr="00AE5A70" w:rsidRDefault="000C43AA" w:rsidP="00044469">
      <w:pPr>
        <w:pStyle w:val="ListParagraph"/>
        <w:numPr>
          <w:ilvl w:val="0"/>
          <w:numId w:val="26"/>
        </w:numPr>
        <w:rPr>
          <w:sz w:val="23"/>
          <w:szCs w:val="23"/>
        </w:rPr>
      </w:pPr>
      <w:r w:rsidRPr="00AE5A70">
        <w:rPr>
          <w:sz w:val="23"/>
          <w:szCs w:val="23"/>
        </w:rPr>
        <w:t xml:space="preserve">‘decoupling’ items for GP focussed psychological services from those provided by </w:t>
      </w:r>
      <w:r w:rsidR="00E40606" w:rsidRPr="00AE5A70">
        <w:rPr>
          <w:sz w:val="23"/>
          <w:szCs w:val="23"/>
        </w:rPr>
        <w:t>other mental health</w:t>
      </w:r>
      <w:r w:rsidRPr="00AE5A70">
        <w:rPr>
          <w:sz w:val="23"/>
          <w:szCs w:val="23"/>
        </w:rPr>
        <w:t xml:space="preserve"> professionals (which would in effect increase the number of psychological services that could be provided to patients); and</w:t>
      </w:r>
    </w:p>
    <w:p w14:paraId="3E614C03" w14:textId="77777777" w:rsidR="00C26298" w:rsidRPr="00AE5A70" w:rsidRDefault="000C43AA" w:rsidP="00C26298">
      <w:pPr>
        <w:pStyle w:val="ListParagraph"/>
        <w:numPr>
          <w:ilvl w:val="0"/>
          <w:numId w:val="26"/>
        </w:numPr>
        <w:rPr>
          <w:sz w:val="23"/>
          <w:szCs w:val="23"/>
        </w:rPr>
      </w:pPr>
      <w:r w:rsidRPr="00AE5A70">
        <w:rPr>
          <w:sz w:val="23"/>
          <w:szCs w:val="23"/>
        </w:rPr>
        <w:t>recognition of other groups of appropriately trained allied health practitioners (including mental health nurses) as eligible to provide services under the Better Access</w:t>
      </w:r>
      <w:r w:rsidR="00F72032" w:rsidRPr="00AE5A70">
        <w:rPr>
          <w:sz w:val="23"/>
          <w:szCs w:val="23"/>
        </w:rPr>
        <w:t xml:space="preserve"> Initiative</w:t>
      </w:r>
      <w:r w:rsidRPr="00AE5A70">
        <w:rPr>
          <w:sz w:val="23"/>
          <w:szCs w:val="23"/>
        </w:rPr>
        <w:t xml:space="preserve">. </w:t>
      </w:r>
    </w:p>
    <w:p w14:paraId="35ADF60B" w14:textId="77777777" w:rsidR="000E39EE" w:rsidRPr="00AE5A70" w:rsidRDefault="000E39EE" w:rsidP="00C26298">
      <w:pPr>
        <w:rPr>
          <w:sz w:val="23"/>
          <w:szCs w:val="23"/>
        </w:rPr>
      </w:pPr>
      <w:r w:rsidRPr="00AE5A70">
        <w:rPr>
          <w:sz w:val="23"/>
          <w:szCs w:val="23"/>
        </w:rPr>
        <w:t xml:space="preserve">These </w:t>
      </w:r>
      <w:r w:rsidR="002E61F6" w:rsidRPr="00AE5A70">
        <w:rPr>
          <w:sz w:val="23"/>
          <w:szCs w:val="23"/>
        </w:rPr>
        <w:t xml:space="preserve">issues and other structural issues with existing MBS services </w:t>
      </w:r>
      <w:r w:rsidRPr="00AE5A70">
        <w:rPr>
          <w:sz w:val="23"/>
          <w:szCs w:val="23"/>
        </w:rPr>
        <w:t xml:space="preserve">are outlined in </w:t>
      </w:r>
      <w:r w:rsidR="00364F3A">
        <w:rPr>
          <w:sz w:val="23"/>
          <w:szCs w:val="23"/>
        </w:rPr>
        <w:t>Appendix D</w:t>
      </w:r>
      <w:r w:rsidR="002E61F6" w:rsidRPr="00AE5A70">
        <w:rPr>
          <w:sz w:val="23"/>
          <w:szCs w:val="23"/>
        </w:rPr>
        <w:t xml:space="preserve"> – referrals made to other Clinical Committees.</w:t>
      </w:r>
    </w:p>
    <w:p w14:paraId="6DC4CD80" w14:textId="77777777" w:rsidR="00624F25" w:rsidRDefault="00762B73" w:rsidP="00044469">
      <w:pPr>
        <w:pStyle w:val="Heading3Numbered"/>
        <w:rPr>
          <w:sz w:val="23"/>
          <w:szCs w:val="23"/>
        </w:rPr>
      </w:pPr>
      <w:bookmarkStart w:id="84" w:name="_Toc531941951"/>
      <w:r w:rsidRPr="00AE5A70">
        <w:rPr>
          <w:sz w:val="23"/>
          <w:szCs w:val="23"/>
        </w:rPr>
        <w:t>Recommendation 2.3</w:t>
      </w:r>
      <w:bookmarkEnd w:id="84"/>
      <w:r w:rsidR="000E39EE" w:rsidRPr="00AE5A70">
        <w:rPr>
          <w:sz w:val="23"/>
          <w:szCs w:val="23"/>
        </w:rPr>
        <w:t xml:space="preserve"> </w:t>
      </w:r>
    </w:p>
    <w:p w14:paraId="320C889C" w14:textId="77777777" w:rsidR="007E5420" w:rsidRPr="00AE5A70" w:rsidRDefault="007E5420" w:rsidP="004E5F16">
      <w:pPr>
        <w:pBdr>
          <w:top w:val="single" w:sz="4" w:space="1" w:color="auto"/>
          <w:left w:val="single" w:sz="4" w:space="4" w:color="auto"/>
          <w:bottom w:val="single" w:sz="4" w:space="1" w:color="auto"/>
          <w:right w:val="single" w:sz="4" w:space="4" w:color="auto"/>
        </w:pBdr>
        <w:rPr>
          <w:sz w:val="23"/>
          <w:szCs w:val="23"/>
        </w:rPr>
      </w:pPr>
      <w:r w:rsidRPr="00B53DF0">
        <w:rPr>
          <w:sz w:val="23"/>
          <w:szCs w:val="23"/>
        </w:rPr>
        <w:t>The Working Group identified a number of other changes that could be made to MBS items to support the delivery of care for patients with eating disorders. The Working Group requests that the Clinical Committees responsible for these items consider the identified issues in the course of the Committees’ work.</w:t>
      </w:r>
      <w:r>
        <w:rPr>
          <w:sz w:val="23"/>
          <w:szCs w:val="23"/>
        </w:rPr>
        <w:t xml:space="preserve"> Appendix D</w:t>
      </w:r>
      <w:r w:rsidRPr="00AE5A70">
        <w:rPr>
          <w:sz w:val="23"/>
          <w:szCs w:val="23"/>
        </w:rPr>
        <w:t xml:space="preserve"> – referrals ma</w:t>
      </w:r>
      <w:r>
        <w:rPr>
          <w:sz w:val="23"/>
          <w:szCs w:val="23"/>
        </w:rPr>
        <w:t xml:space="preserve">de to other Clinical Committees </w:t>
      </w:r>
      <w:r w:rsidRPr="00B53DF0">
        <w:rPr>
          <w:sz w:val="23"/>
          <w:szCs w:val="23"/>
        </w:rPr>
        <w:t>provides the full referrals made to these Committees.</w:t>
      </w:r>
    </w:p>
    <w:p w14:paraId="25E18BBC" w14:textId="77777777" w:rsidR="00B4278B" w:rsidRPr="00AE5A70" w:rsidRDefault="00997874">
      <w:pPr>
        <w:spacing w:before="0" w:after="0" w:line="240" w:lineRule="auto"/>
        <w:rPr>
          <w:sz w:val="23"/>
          <w:szCs w:val="23"/>
        </w:rPr>
      </w:pPr>
      <w:r w:rsidRPr="00AE5A70">
        <w:rPr>
          <w:sz w:val="23"/>
          <w:szCs w:val="23"/>
        </w:rPr>
        <w:br w:type="page"/>
      </w:r>
    </w:p>
    <w:p w14:paraId="58BA7493" w14:textId="77777777" w:rsidR="000D0E4E" w:rsidRPr="00AE5A70" w:rsidRDefault="000D0E4E" w:rsidP="00D132F2">
      <w:pPr>
        <w:pStyle w:val="Heading2"/>
        <w:numPr>
          <w:ilvl w:val="1"/>
          <w:numId w:val="94"/>
        </w:numPr>
        <w:spacing w:before="120" w:after="120"/>
        <w:ind w:left="578" w:hanging="578"/>
        <w:rPr>
          <w:sz w:val="24"/>
          <w:szCs w:val="24"/>
        </w:rPr>
      </w:pPr>
      <w:bookmarkStart w:id="85" w:name="_Toc531941952"/>
      <w:r w:rsidRPr="00AE5A70">
        <w:rPr>
          <w:sz w:val="24"/>
          <w:szCs w:val="24"/>
        </w:rPr>
        <w:t xml:space="preserve">Finding 3: </w:t>
      </w:r>
      <w:r w:rsidR="00AE5EF3" w:rsidRPr="00AE5A70">
        <w:rPr>
          <w:sz w:val="24"/>
          <w:szCs w:val="24"/>
        </w:rPr>
        <w:t>Limited access to clinicians who are experts in eating disorders is an impediment to</w:t>
      </w:r>
      <w:r w:rsidRPr="00AE5A70">
        <w:rPr>
          <w:sz w:val="24"/>
          <w:szCs w:val="24"/>
        </w:rPr>
        <w:t xml:space="preserve"> support</w:t>
      </w:r>
      <w:r w:rsidR="00AE5EF3" w:rsidRPr="00AE5A70">
        <w:rPr>
          <w:sz w:val="24"/>
          <w:szCs w:val="24"/>
        </w:rPr>
        <w:t>ing</w:t>
      </w:r>
      <w:r w:rsidRPr="00AE5A70">
        <w:rPr>
          <w:sz w:val="24"/>
          <w:szCs w:val="24"/>
        </w:rPr>
        <w:t xml:space="preserve"> </w:t>
      </w:r>
      <w:r w:rsidR="009400B8">
        <w:rPr>
          <w:sz w:val="24"/>
          <w:szCs w:val="24"/>
        </w:rPr>
        <w:t>timely</w:t>
      </w:r>
      <w:r w:rsidRPr="00AE5A70">
        <w:rPr>
          <w:sz w:val="24"/>
          <w:szCs w:val="24"/>
        </w:rPr>
        <w:t xml:space="preserve"> diagnosis, intervention and the treatment of eating disorders</w:t>
      </w:r>
      <w:bookmarkEnd w:id="85"/>
    </w:p>
    <w:p w14:paraId="04171DF9" w14:textId="77777777" w:rsidR="000D0E4E" w:rsidRPr="00AE5A70" w:rsidRDefault="000D0E4E" w:rsidP="00D757CB">
      <w:pPr>
        <w:pStyle w:val="Heading3Numbered"/>
        <w:numPr>
          <w:ilvl w:val="2"/>
          <w:numId w:val="70"/>
        </w:numPr>
        <w:rPr>
          <w:sz w:val="23"/>
          <w:szCs w:val="23"/>
        </w:rPr>
      </w:pPr>
      <w:bookmarkStart w:id="86" w:name="_Toc531941953"/>
      <w:r w:rsidRPr="00AE5A70">
        <w:rPr>
          <w:sz w:val="23"/>
          <w:szCs w:val="23"/>
        </w:rPr>
        <w:t>Background</w:t>
      </w:r>
      <w:bookmarkEnd w:id="86"/>
    </w:p>
    <w:p w14:paraId="05E58286" w14:textId="77777777" w:rsidR="000D0E4E" w:rsidRPr="00AE5A70" w:rsidRDefault="000D0E4E" w:rsidP="2C5386C0">
      <w:pPr>
        <w:rPr>
          <w:sz w:val="23"/>
          <w:szCs w:val="23"/>
        </w:rPr>
      </w:pPr>
      <w:r w:rsidRPr="00AE5A70">
        <w:rPr>
          <w:sz w:val="23"/>
          <w:szCs w:val="23"/>
        </w:rPr>
        <w:t xml:space="preserve">The following section examines a series of non-MBS related changes that need to be made to support the </w:t>
      </w:r>
      <w:r w:rsidR="009400B8">
        <w:rPr>
          <w:sz w:val="23"/>
          <w:szCs w:val="23"/>
        </w:rPr>
        <w:t>timely</w:t>
      </w:r>
      <w:r w:rsidRPr="00AE5A70">
        <w:rPr>
          <w:sz w:val="23"/>
          <w:szCs w:val="23"/>
        </w:rPr>
        <w:t xml:space="preserve"> identification of eating diso</w:t>
      </w:r>
      <w:r w:rsidR="00C26298" w:rsidRPr="00AE5A70">
        <w:rPr>
          <w:sz w:val="23"/>
          <w:szCs w:val="23"/>
        </w:rPr>
        <w:t>rders. These are considered non</w:t>
      </w:r>
      <w:r w:rsidR="00C26298" w:rsidRPr="00AE5A70">
        <w:rPr>
          <w:sz w:val="23"/>
          <w:szCs w:val="23"/>
        </w:rPr>
        <w:noBreakHyphen/>
      </w:r>
      <w:r w:rsidRPr="00AE5A70">
        <w:rPr>
          <w:sz w:val="23"/>
          <w:szCs w:val="23"/>
        </w:rPr>
        <w:t xml:space="preserve">MBS items because they lend to systematic changes in practice as opposed to direct treatment through an MBS funded service provided by a clinician. This in no way lessens the priority of the changes that need to be made, rather shifting the focus of where changes should occur. Preceding sections of the report have focused directly on how the </w:t>
      </w:r>
      <w:r w:rsidR="001C5E38" w:rsidRPr="00AE5A70">
        <w:rPr>
          <w:sz w:val="23"/>
          <w:szCs w:val="23"/>
        </w:rPr>
        <w:t xml:space="preserve">rebates are provided to patients when </w:t>
      </w:r>
      <w:r w:rsidRPr="00AE5A70">
        <w:rPr>
          <w:sz w:val="23"/>
          <w:szCs w:val="23"/>
        </w:rPr>
        <w:t>clinicians deliver services</w:t>
      </w:r>
      <w:r w:rsidR="00EF45C7" w:rsidRPr="00AE5A70">
        <w:rPr>
          <w:sz w:val="23"/>
          <w:szCs w:val="23"/>
        </w:rPr>
        <w:t>.</w:t>
      </w:r>
      <w:r w:rsidRPr="00AE5A70">
        <w:rPr>
          <w:sz w:val="23"/>
          <w:szCs w:val="23"/>
        </w:rPr>
        <w:t xml:space="preserve"> </w:t>
      </w:r>
      <w:r w:rsidR="00EF45C7" w:rsidRPr="00AE5A70">
        <w:rPr>
          <w:sz w:val="23"/>
          <w:szCs w:val="23"/>
        </w:rPr>
        <w:t xml:space="preserve">This </w:t>
      </w:r>
      <w:r w:rsidRPr="00AE5A70">
        <w:rPr>
          <w:sz w:val="23"/>
          <w:szCs w:val="23"/>
        </w:rPr>
        <w:t xml:space="preserve">section looks at the delivery environment. </w:t>
      </w:r>
    </w:p>
    <w:p w14:paraId="50CCF079" w14:textId="77777777" w:rsidR="00C47B20" w:rsidRPr="00AE5A70" w:rsidRDefault="00C47B20" w:rsidP="2C5386C0">
      <w:pPr>
        <w:rPr>
          <w:sz w:val="23"/>
          <w:szCs w:val="23"/>
        </w:rPr>
      </w:pPr>
      <w:r w:rsidRPr="00AE5A70">
        <w:rPr>
          <w:sz w:val="23"/>
          <w:szCs w:val="23"/>
        </w:rPr>
        <w:t xml:space="preserve">There are still very few services that are modelled specifically on the treatment of people with eating disorders. Those that do exist in Australia are primarily based in metropolitan areas, are specialist inpatient or day patient programs, and carry long waiting lists. Access to specialist community-based treatment either through the public system, or in primary care, is largely dependent on whether there are medical and mental health practitioners in the area with specific interest in the treatment of </w:t>
      </w:r>
      <w:r w:rsidR="00893442" w:rsidRPr="00AE5A70">
        <w:rPr>
          <w:sz w:val="23"/>
          <w:szCs w:val="23"/>
        </w:rPr>
        <w:t xml:space="preserve">people with </w:t>
      </w:r>
      <w:r w:rsidRPr="00AE5A70">
        <w:rPr>
          <w:sz w:val="23"/>
          <w:szCs w:val="23"/>
        </w:rPr>
        <w:t xml:space="preserve">eating disorders. The </w:t>
      </w:r>
      <w:r w:rsidR="007A6971">
        <w:rPr>
          <w:sz w:val="23"/>
          <w:szCs w:val="23"/>
        </w:rPr>
        <w:t>NEDC</w:t>
      </w:r>
      <w:r w:rsidRPr="00AE5A70">
        <w:rPr>
          <w:sz w:val="23"/>
          <w:szCs w:val="23"/>
        </w:rPr>
        <w:t xml:space="preserve"> (2012) recognises the importance of equity of access and entry for patients as a core principle required in the treatment of eating disorders. The requirements of regional and rural areas should be recognised specifically, and technological solutions for providing the treatment of eating disorders should be incorporated where appropriate. The Working Group also discussed </w:t>
      </w:r>
      <w:r w:rsidR="001C5E38" w:rsidRPr="00AE5A70">
        <w:rPr>
          <w:sz w:val="23"/>
          <w:szCs w:val="23"/>
        </w:rPr>
        <w:t>how limited numbers of</w:t>
      </w:r>
      <w:r w:rsidRPr="00AE5A70">
        <w:rPr>
          <w:sz w:val="23"/>
          <w:szCs w:val="23"/>
        </w:rPr>
        <w:t xml:space="preserve"> qualified health practitioners can </w:t>
      </w:r>
      <w:r w:rsidR="00675C25" w:rsidRPr="00AE5A70">
        <w:rPr>
          <w:sz w:val="23"/>
          <w:szCs w:val="23"/>
        </w:rPr>
        <w:t>impede</w:t>
      </w:r>
      <w:r w:rsidRPr="00AE5A70">
        <w:rPr>
          <w:sz w:val="23"/>
          <w:szCs w:val="23"/>
        </w:rPr>
        <w:t xml:space="preserve"> patient access to appropriate treatment, particularly in rural and remote areas.</w:t>
      </w:r>
    </w:p>
    <w:p w14:paraId="613228B9" w14:textId="77777777" w:rsidR="000D0E4E" w:rsidRPr="00AE5A70" w:rsidRDefault="000D0E4E" w:rsidP="000D0E4E">
      <w:pPr>
        <w:rPr>
          <w:sz w:val="23"/>
          <w:szCs w:val="23"/>
        </w:rPr>
      </w:pPr>
      <w:r w:rsidRPr="00AE5A70">
        <w:rPr>
          <w:sz w:val="23"/>
          <w:szCs w:val="23"/>
        </w:rPr>
        <w:t xml:space="preserve">Primary healthcare practitioners are the entry point into the Australian </w:t>
      </w:r>
      <w:r w:rsidR="00EF45C7" w:rsidRPr="00AE5A70">
        <w:rPr>
          <w:sz w:val="23"/>
          <w:szCs w:val="23"/>
        </w:rPr>
        <w:t xml:space="preserve">health </w:t>
      </w:r>
      <w:r w:rsidRPr="00AE5A70">
        <w:rPr>
          <w:sz w:val="23"/>
          <w:szCs w:val="23"/>
        </w:rPr>
        <w:t>system. These include GPs,</w:t>
      </w:r>
      <w:r w:rsidR="00893442" w:rsidRPr="00AE5A70">
        <w:rPr>
          <w:sz w:val="23"/>
          <w:szCs w:val="23"/>
        </w:rPr>
        <w:t xml:space="preserve"> general practice nurses,</w:t>
      </w:r>
      <w:r w:rsidRPr="00AE5A70">
        <w:rPr>
          <w:sz w:val="23"/>
          <w:szCs w:val="23"/>
        </w:rPr>
        <w:t xml:space="preserve"> nurse practitioners, community nurses, allied health professionals</w:t>
      </w:r>
      <w:r w:rsidR="00E40606" w:rsidRPr="00AE5A70">
        <w:rPr>
          <w:sz w:val="23"/>
          <w:szCs w:val="23"/>
        </w:rPr>
        <w:t>, mental health professionals</w:t>
      </w:r>
      <w:r w:rsidRPr="00AE5A70">
        <w:rPr>
          <w:sz w:val="23"/>
          <w:szCs w:val="23"/>
        </w:rPr>
        <w:t xml:space="preserve">, midwives, pharmacists, dentists and </w:t>
      </w:r>
      <w:r w:rsidR="009007C0" w:rsidRPr="00AE5A70">
        <w:rPr>
          <w:sz w:val="23"/>
          <w:szCs w:val="23"/>
        </w:rPr>
        <w:t>A</w:t>
      </w:r>
      <w:r w:rsidRPr="00AE5A70">
        <w:rPr>
          <w:sz w:val="23"/>
          <w:szCs w:val="23"/>
        </w:rPr>
        <w:t xml:space="preserve">boriginal health professionals. </w:t>
      </w:r>
      <w:r w:rsidRPr="00AE5A70">
        <w:rPr>
          <w:sz w:val="23"/>
          <w:szCs w:val="23"/>
          <w:vertAlign w:val="superscript"/>
        </w:rPr>
        <w:footnoteReference w:id="61"/>
      </w:r>
      <w:r w:rsidRPr="00AE5A70">
        <w:rPr>
          <w:sz w:val="23"/>
          <w:szCs w:val="23"/>
        </w:rPr>
        <w:t xml:space="preserve"> Of these, GPs are the most likely to be accessed with more than four out of five Australians (83</w:t>
      </w:r>
      <w:r w:rsidR="001A7991" w:rsidRPr="00AE5A70">
        <w:rPr>
          <w:sz w:val="23"/>
          <w:szCs w:val="23"/>
        </w:rPr>
        <w:t xml:space="preserve"> per cent</w:t>
      </w:r>
      <w:r w:rsidRPr="00AE5A70">
        <w:rPr>
          <w:sz w:val="23"/>
          <w:szCs w:val="23"/>
        </w:rPr>
        <w:t>) surveyed by the Australian Bureau of Statistics as consulting a GP in a single calendar year.</w:t>
      </w:r>
      <w:r w:rsidRPr="00AE5A70">
        <w:rPr>
          <w:sz w:val="23"/>
          <w:szCs w:val="23"/>
          <w:vertAlign w:val="superscript"/>
        </w:rPr>
        <w:t xml:space="preserve"> </w:t>
      </w:r>
      <w:r w:rsidRPr="00AE5A70">
        <w:rPr>
          <w:sz w:val="23"/>
          <w:szCs w:val="23"/>
          <w:vertAlign w:val="superscript"/>
        </w:rPr>
        <w:footnoteReference w:id="62"/>
      </w:r>
      <w:r w:rsidRPr="00AE5A70">
        <w:rPr>
          <w:sz w:val="23"/>
          <w:szCs w:val="23"/>
        </w:rPr>
        <w:t xml:space="preserve"> </w:t>
      </w:r>
      <w:r w:rsidR="00E23A05" w:rsidRPr="00AE5A70">
        <w:rPr>
          <w:sz w:val="23"/>
          <w:szCs w:val="23"/>
        </w:rPr>
        <w:t>GPs</w:t>
      </w:r>
      <w:r w:rsidRPr="00AE5A70">
        <w:rPr>
          <w:sz w:val="23"/>
          <w:szCs w:val="23"/>
        </w:rPr>
        <w:t xml:space="preserve"> and the aforementioned primary health care practitioners focus on health promotion, prevention, acute treatment, and the management of chronic conditions and, most importantly in relation to eating disorders, </w:t>
      </w:r>
      <w:r w:rsidR="009400B8">
        <w:rPr>
          <w:sz w:val="23"/>
          <w:szCs w:val="23"/>
        </w:rPr>
        <w:t>timely</w:t>
      </w:r>
      <w:r w:rsidRPr="00AE5A70">
        <w:rPr>
          <w:sz w:val="23"/>
          <w:szCs w:val="23"/>
        </w:rPr>
        <w:t xml:space="preserve"> intervention. </w:t>
      </w:r>
      <w:r w:rsidRPr="00AE5A70">
        <w:rPr>
          <w:sz w:val="23"/>
          <w:szCs w:val="23"/>
          <w:vertAlign w:val="superscript"/>
        </w:rPr>
        <w:footnoteReference w:id="63"/>
      </w:r>
    </w:p>
    <w:p w14:paraId="5C512815" w14:textId="77777777" w:rsidR="007473E4" w:rsidRPr="00AE5A70" w:rsidRDefault="00C42A53" w:rsidP="00D757CB">
      <w:pPr>
        <w:pStyle w:val="Heading3Numbered"/>
        <w:numPr>
          <w:ilvl w:val="2"/>
          <w:numId w:val="70"/>
        </w:numPr>
        <w:rPr>
          <w:sz w:val="23"/>
          <w:szCs w:val="23"/>
        </w:rPr>
      </w:pPr>
      <w:bookmarkStart w:id="87" w:name="_Toc531941954"/>
      <w:r w:rsidRPr="00AE5A70">
        <w:rPr>
          <w:sz w:val="23"/>
          <w:szCs w:val="23"/>
        </w:rPr>
        <w:t xml:space="preserve">Supporting the </w:t>
      </w:r>
      <w:r w:rsidR="009400B8">
        <w:rPr>
          <w:sz w:val="23"/>
          <w:szCs w:val="23"/>
        </w:rPr>
        <w:t>timely</w:t>
      </w:r>
      <w:r w:rsidR="007473E4" w:rsidRPr="00AE5A70">
        <w:rPr>
          <w:sz w:val="23"/>
          <w:szCs w:val="23"/>
        </w:rPr>
        <w:t xml:space="preserve"> identification </w:t>
      </w:r>
      <w:r w:rsidR="00274C63" w:rsidRPr="00AE5A70">
        <w:rPr>
          <w:sz w:val="23"/>
          <w:szCs w:val="23"/>
        </w:rPr>
        <w:t xml:space="preserve">and intervention </w:t>
      </w:r>
      <w:r w:rsidR="007473E4" w:rsidRPr="00AE5A70">
        <w:rPr>
          <w:sz w:val="23"/>
          <w:szCs w:val="23"/>
        </w:rPr>
        <w:t>of eating disorders</w:t>
      </w:r>
      <w:bookmarkEnd w:id="87"/>
    </w:p>
    <w:p w14:paraId="307B9688" w14:textId="77777777" w:rsidR="000D0E4E" w:rsidRPr="00AE5A70" w:rsidRDefault="000D0E4E" w:rsidP="000D0E4E">
      <w:pPr>
        <w:rPr>
          <w:sz w:val="23"/>
          <w:szCs w:val="23"/>
        </w:rPr>
      </w:pPr>
      <w:r w:rsidRPr="00AE5A70">
        <w:rPr>
          <w:sz w:val="23"/>
          <w:szCs w:val="23"/>
        </w:rPr>
        <w:t>The national standard for  identification and intervention recommends that people get access to services as soon as they are needed: “early in the development of the illness, early in help seeking, and early in recurrent episodes of illness, with immediate access to treatment and support.”</w:t>
      </w:r>
      <w:r w:rsidRPr="00AE5A70">
        <w:rPr>
          <w:sz w:val="23"/>
          <w:szCs w:val="23"/>
          <w:vertAlign w:val="superscript"/>
        </w:rPr>
        <w:footnoteReference w:id="64"/>
      </w:r>
      <w:r w:rsidRPr="00AE5A70">
        <w:rPr>
          <w:sz w:val="23"/>
          <w:szCs w:val="23"/>
        </w:rPr>
        <w:t xml:space="preserve"> GPs and other primary healthcare providers are a first line of </w:t>
      </w:r>
      <w:r w:rsidR="002057A6" w:rsidRPr="00AE5A70">
        <w:rPr>
          <w:sz w:val="23"/>
          <w:szCs w:val="23"/>
        </w:rPr>
        <w:t xml:space="preserve">defence </w:t>
      </w:r>
      <w:r w:rsidRPr="00AE5A70">
        <w:rPr>
          <w:sz w:val="23"/>
          <w:szCs w:val="23"/>
        </w:rPr>
        <w:t>in the treatment of eating disorders. This is contingent upon the extent to which a GP or any primary health care practitioner can recognise and respond</w:t>
      </w:r>
      <w:r w:rsidR="009400B8">
        <w:rPr>
          <w:sz w:val="23"/>
          <w:szCs w:val="23"/>
        </w:rPr>
        <w:t xml:space="preserve"> to</w:t>
      </w:r>
      <w:r w:rsidRPr="00AE5A70">
        <w:rPr>
          <w:sz w:val="23"/>
          <w:szCs w:val="23"/>
        </w:rPr>
        <w:t xml:space="preserve"> </w:t>
      </w:r>
      <w:r w:rsidR="009400B8">
        <w:rPr>
          <w:sz w:val="23"/>
          <w:szCs w:val="23"/>
        </w:rPr>
        <w:t>initial</w:t>
      </w:r>
      <w:r w:rsidRPr="00AE5A70">
        <w:rPr>
          <w:sz w:val="23"/>
          <w:szCs w:val="23"/>
        </w:rPr>
        <w:t xml:space="preserve"> symptoms presented by the patient. </w:t>
      </w:r>
      <w:r w:rsidR="002057A6" w:rsidRPr="00AE5A70">
        <w:rPr>
          <w:sz w:val="23"/>
          <w:szCs w:val="23"/>
        </w:rPr>
        <w:t>F</w:t>
      </w:r>
      <w:r w:rsidRPr="00AE5A70">
        <w:rPr>
          <w:sz w:val="23"/>
          <w:szCs w:val="23"/>
        </w:rPr>
        <w:t xml:space="preserve">or those </w:t>
      </w:r>
      <w:r w:rsidR="00893442" w:rsidRPr="00AE5A70">
        <w:rPr>
          <w:sz w:val="23"/>
          <w:szCs w:val="23"/>
        </w:rPr>
        <w:t>patients with</w:t>
      </w:r>
      <w:r w:rsidR="007A6971">
        <w:rPr>
          <w:sz w:val="23"/>
          <w:szCs w:val="23"/>
        </w:rPr>
        <w:t xml:space="preserve"> eating disorders</w:t>
      </w:r>
      <w:r w:rsidRPr="00AE5A70">
        <w:rPr>
          <w:sz w:val="23"/>
          <w:szCs w:val="23"/>
        </w:rPr>
        <w:t xml:space="preserve"> who do seek help early, it may be necessary for them to see several GPs before receiving a correct diagnosis, with each delay likely to further influence the duration, severity and chronicity of the illness and prolong the outcomes of treatment.</w:t>
      </w:r>
      <w:r w:rsidR="00AC4DA6" w:rsidRPr="00AE5A70">
        <w:rPr>
          <w:sz w:val="23"/>
          <w:szCs w:val="23"/>
        </w:rPr>
        <w:t xml:space="preserve"> </w:t>
      </w:r>
    </w:p>
    <w:p w14:paraId="104A9E46" w14:textId="77777777" w:rsidR="000D0E4E" w:rsidRPr="00AE5A70" w:rsidRDefault="000D0E4E" w:rsidP="2C5386C0">
      <w:pPr>
        <w:rPr>
          <w:sz w:val="23"/>
          <w:szCs w:val="23"/>
        </w:rPr>
      </w:pPr>
      <w:r w:rsidRPr="00AE5A70">
        <w:rPr>
          <w:sz w:val="23"/>
          <w:szCs w:val="23"/>
        </w:rPr>
        <w:t>Whilst it would be desirable to have a specialist eating disorder service</w:t>
      </w:r>
      <w:r w:rsidR="00B53DF0">
        <w:rPr>
          <w:sz w:val="23"/>
          <w:szCs w:val="23"/>
        </w:rPr>
        <w:t xml:space="preserve"> </w:t>
      </w:r>
      <w:r w:rsidR="00B53DF0" w:rsidRPr="00AE5A70">
        <w:rPr>
          <w:sz w:val="23"/>
          <w:szCs w:val="23"/>
        </w:rPr>
        <w:t>in each PHN</w:t>
      </w:r>
      <w:r w:rsidRPr="00AE5A70">
        <w:rPr>
          <w:sz w:val="23"/>
          <w:szCs w:val="23"/>
        </w:rPr>
        <w:t xml:space="preserve"> that can refer pati</w:t>
      </w:r>
      <w:r w:rsidR="00FC55D5" w:rsidRPr="00AE5A70">
        <w:rPr>
          <w:sz w:val="23"/>
          <w:szCs w:val="23"/>
        </w:rPr>
        <w:t>ents directly to psychiatrists</w:t>
      </w:r>
      <w:r w:rsidR="00987ABF" w:rsidRPr="00AE5A70">
        <w:rPr>
          <w:sz w:val="23"/>
          <w:szCs w:val="23"/>
        </w:rPr>
        <w:t>,</w:t>
      </w:r>
      <w:r w:rsidR="00FC55D5" w:rsidRPr="00AE5A70">
        <w:rPr>
          <w:sz w:val="23"/>
          <w:szCs w:val="23"/>
        </w:rPr>
        <w:t xml:space="preserve"> this </w:t>
      </w:r>
      <w:r w:rsidR="00987ABF" w:rsidRPr="00AE5A70">
        <w:rPr>
          <w:sz w:val="23"/>
          <w:szCs w:val="23"/>
        </w:rPr>
        <w:t>is</w:t>
      </w:r>
      <w:r w:rsidR="00FC55D5" w:rsidRPr="00AE5A70">
        <w:rPr>
          <w:sz w:val="23"/>
          <w:szCs w:val="23"/>
        </w:rPr>
        <w:t xml:space="preserve"> not currently possible </w:t>
      </w:r>
      <w:r w:rsidRPr="00AE5A70">
        <w:rPr>
          <w:sz w:val="23"/>
          <w:szCs w:val="23"/>
        </w:rPr>
        <w:t>given the number of practicing psychiatrists in Australia.</w:t>
      </w:r>
      <w:r w:rsidR="00FC55D5" w:rsidRPr="00AE5A70">
        <w:rPr>
          <w:rStyle w:val="FootnoteReference"/>
          <w:sz w:val="23"/>
          <w:szCs w:val="23"/>
        </w:rPr>
        <w:footnoteReference w:id="65"/>
      </w:r>
      <w:r w:rsidRPr="00AE5A70">
        <w:rPr>
          <w:sz w:val="23"/>
          <w:szCs w:val="23"/>
        </w:rPr>
        <w:t xml:space="preserve"> The intensive nature of the psychological services required to treat </w:t>
      </w:r>
      <w:r w:rsidR="00893442" w:rsidRPr="00AE5A70">
        <w:rPr>
          <w:sz w:val="23"/>
          <w:szCs w:val="23"/>
        </w:rPr>
        <w:t xml:space="preserve">people with </w:t>
      </w:r>
      <w:r w:rsidR="00EF45C7" w:rsidRPr="00AE5A70">
        <w:rPr>
          <w:sz w:val="23"/>
          <w:szCs w:val="23"/>
        </w:rPr>
        <w:t>eating disorders</w:t>
      </w:r>
      <w:r w:rsidRPr="00AE5A70">
        <w:rPr>
          <w:sz w:val="23"/>
          <w:szCs w:val="23"/>
        </w:rPr>
        <w:t>, and the probable increase in referrals</w:t>
      </w:r>
      <w:r w:rsidR="002057A6" w:rsidRPr="00AE5A70">
        <w:rPr>
          <w:sz w:val="23"/>
          <w:szCs w:val="23"/>
        </w:rPr>
        <w:t>,</w:t>
      </w:r>
      <w:r w:rsidRPr="00AE5A70">
        <w:rPr>
          <w:sz w:val="23"/>
          <w:szCs w:val="23"/>
        </w:rPr>
        <w:t xml:space="preserve"> would likely create a bottleneck</w:t>
      </w:r>
      <w:r w:rsidR="00AE64AF" w:rsidRPr="00AE5A70">
        <w:rPr>
          <w:sz w:val="23"/>
          <w:szCs w:val="23"/>
        </w:rPr>
        <w:t>,</w:t>
      </w:r>
      <w:r w:rsidR="002057A6" w:rsidRPr="00AE5A70">
        <w:rPr>
          <w:sz w:val="23"/>
          <w:szCs w:val="23"/>
        </w:rPr>
        <w:t xml:space="preserve"> </w:t>
      </w:r>
      <w:r w:rsidRPr="00AE5A70">
        <w:rPr>
          <w:sz w:val="23"/>
          <w:szCs w:val="23"/>
        </w:rPr>
        <w:t>delaying the commencement of treatment. As previously noted, GPs are the most often accessed form of outpatient health service, but for specific risk groups, specialist health services may represent the first point of contact. For example, women presenting with eating disorder symptoms later in life may first interact with a gynaecologist or a midwife</w:t>
      </w:r>
      <w:r w:rsidR="007F4975" w:rsidRPr="00AE5A70">
        <w:rPr>
          <w:sz w:val="23"/>
          <w:szCs w:val="23"/>
        </w:rPr>
        <w:t>.</w:t>
      </w:r>
    </w:p>
    <w:p w14:paraId="19A6A61E" w14:textId="77777777" w:rsidR="00F517AC" w:rsidRPr="00AE5A70" w:rsidRDefault="007F32E0" w:rsidP="00D757CB">
      <w:pPr>
        <w:pStyle w:val="Heading3Numbered"/>
        <w:numPr>
          <w:ilvl w:val="2"/>
          <w:numId w:val="70"/>
        </w:numPr>
        <w:rPr>
          <w:sz w:val="23"/>
          <w:szCs w:val="23"/>
        </w:rPr>
      </w:pPr>
      <w:bookmarkStart w:id="88" w:name="_Toc531941955"/>
      <w:r w:rsidRPr="00AE5A70">
        <w:rPr>
          <w:sz w:val="23"/>
          <w:szCs w:val="23"/>
        </w:rPr>
        <w:t>Enabling a s</w:t>
      </w:r>
      <w:r w:rsidR="00F517AC" w:rsidRPr="00AE5A70">
        <w:rPr>
          <w:sz w:val="23"/>
          <w:szCs w:val="23"/>
        </w:rPr>
        <w:t>killed workforce</w:t>
      </w:r>
      <w:r w:rsidRPr="00AE5A70">
        <w:rPr>
          <w:sz w:val="23"/>
          <w:szCs w:val="23"/>
        </w:rPr>
        <w:t xml:space="preserve"> to identify eating disorders</w:t>
      </w:r>
      <w:bookmarkEnd w:id="88"/>
    </w:p>
    <w:p w14:paraId="293F99B4" w14:textId="77777777" w:rsidR="00BB0447" w:rsidRPr="00AE5A70" w:rsidRDefault="00F517AC" w:rsidP="27C50046">
      <w:pPr>
        <w:rPr>
          <w:sz w:val="23"/>
          <w:szCs w:val="23"/>
        </w:rPr>
      </w:pPr>
      <w:r w:rsidRPr="00AE5A70">
        <w:rPr>
          <w:sz w:val="23"/>
          <w:szCs w:val="23"/>
        </w:rPr>
        <w:t xml:space="preserve">Under the current </w:t>
      </w:r>
      <w:r w:rsidRPr="00AE5A70">
        <w:rPr>
          <w:i/>
          <w:sz w:val="23"/>
          <w:szCs w:val="23"/>
        </w:rPr>
        <w:t>Better Access Initiative</w:t>
      </w:r>
      <w:r w:rsidRPr="00AE5A70">
        <w:rPr>
          <w:sz w:val="23"/>
          <w:szCs w:val="23"/>
        </w:rPr>
        <w:t xml:space="preserve">, GPs are the primary health care professional responsible for triggering the </w:t>
      </w:r>
      <w:r w:rsidR="00587E8B" w:rsidRPr="00AE5A70">
        <w:rPr>
          <w:sz w:val="23"/>
          <w:szCs w:val="23"/>
        </w:rPr>
        <w:t xml:space="preserve">GP </w:t>
      </w:r>
      <w:r w:rsidRPr="00AE5A70">
        <w:rPr>
          <w:sz w:val="23"/>
          <w:szCs w:val="23"/>
        </w:rPr>
        <w:t>Mental Health Care plan and providing a referral to a specialist psychologist or psychiatrist. It is widely acknowledged that an effective system is founded on a skilled and supported workforce, and that all health professionals</w:t>
      </w:r>
      <w:r w:rsidR="007F32E0" w:rsidRPr="00AE5A70">
        <w:rPr>
          <w:sz w:val="23"/>
          <w:szCs w:val="23"/>
        </w:rPr>
        <w:t xml:space="preserve"> need to</w:t>
      </w:r>
      <w:r w:rsidRPr="00AE5A70">
        <w:rPr>
          <w:sz w:val="23"/>
          <w:szCs w:val="23"/>
        </w:rPr>
        <w:t xml:space="preserve"> be effectively trained to raise awareness regarding the serious nature of eating disorders. For GPs this means developing the recognition of eating disorder</w:t>
      </w:r>
      <w:r w:rsidR="000612B8" w:rsidRPr="00AE5A70">
        <w:rPr>
          <w:sz w:val="23"/>
          <w:szCs w:val="23"/>
        </w:rPr>
        <w:t>s</w:t>
      </w:r>
      <w:r w:rsidRPr="00AE5A70">
        <w:rPr>
          <w:sz w:val="23"/>
          <w:szCs w:val="23"/>
        </w:rPr>
        <w:t xml:space="preserve"> as a foundational skill to improve rates of prevention and </w:t>
      </w:r>
      <w:r w:rsidR="009400B8">
        <w:rPr>
          <w:sz w:val="23"/>
          <w:szCs w:val="23"/>
        </w:rPr>
        <w:t>timely</w:t>
      </w:r>
      <w:r w:rsidRPr="00AE5A70">
        <w:rPr>
          <w:sz w:val="23"/>
          <w:szCs w:val="23"/>
        </w:rPr>
        <w:t xml:space="preserve"> intervention</w:t>
      </w:r>
      <w:r w:rsidR="007B5ADD" w:rsidRPr="00AE5A70">
        <w:rPr>
          <w:sz w:val="23"/>
          <w:szCs w:val="23"/>
        </w:rPr>
        <w:t>.</w:t>
      </w:r>
      <w:r w:rsidRPr="00AE5A70">
        <w:rPr>
          <w:sz w:val="23"/>
          <w:szCs w:val="23"/>
          <w:vertAlign w:val="superscript"/>
        </w:rPr>
        <w:footnoteReference w:id="66"/>
      </w:r>
      <w:r w:rsidR="007F32E0" w:rsidRPr="00AE5A70">
        <w:rPr>
          <w:sz w:val="23"/>
          <w:szCs w:val="23"/>
        </w:rPr>
        <w:t xml:space="preserve"> </w:t>
      </w:r>
      <w:r w:rsidR="00EC6F4B" w:rsidRPr="00AE5A70">
        <w:rPr>
          <w:sz w:val="23"/>
          <w:szCs w:val="23"/>
        </w:rPr>
        <w:t xml:space="preserve">This could be achieved through the </w:t>
      </w:r>
      <w:r w:rsidR="00481116" w:rsidRPr="00AE5A70">
        <w:rPr>
          <w:sz w:val="23"/>
          <w:szCs w:val="23"/>
        </w:rPr>
        <w:t>Royal Australian College of General Practitioners' (</w:t>
      </w:r>
      <w:r w:rsidR="00EC6F4B" w:rsidRPr="00AE5A70">
        <w:rPr>
          <w:sz w:val="23"/>
          <w:szCs w:val="23"/>
        </w:rPr>
        <w:t>RACGP</w:t>
      </w:r>
      <w:r w:rsidR="00481116" w:rsidRPr="00AE5A70">
        <w:rPr>
          <w:sz w:val="23"/>
          <w:szCs w:val="23"/>
        </w:rPr>
        <w:t>)</w:t>
      </w:r>
      <w:r w:rsidR="00EC6F4B" w:rsidRPr="00AE5A70">
        <w:rPr>
          <w:sz w:val="23"/>
          <w:szCs w:val="23"/>
        </w:rPr>
        <w:t xml:space="preserve"> Quality Improvement and Continuing Professional Development</w:t>
      </w:r>
      <w:r w:rsidR="00A42DB0" w:rsidRPr="00AE5A70">
        <w:rPr>
          <w:sz w:val="23"/>
          <w:szCs w:val="23"/>
        </w:rPr>
        <w:t xml:space="preserve"> (QI&amp;CPD)</w:t>
      </w:r>
      <w:r w:rsidR="00EC6F4B" w:rsidRPr="00AE5A70">
        <w:rPr>
          <w:sz w:val="23"/>
          <w:szCs w:val="23"/>
        </w:rPr>
        <w:t xml:space="preserve"> Program, which supports GPs to maintain and improve their professional knowledge and skills in order to provide the best possible care for patients</w:t>
      </w:r>
      <w:r w:rsidR="007F4975" w:rsidRPr="00AE5A70">
        <w:rPr>
          <w:sz w:val="23"/>
          <w:szCs w:val="23"/>
        </w:rPr>
        <w:t>.</w:t>
      </w:r>
      <w:r w:rsidR="00EC6F4B" w:rsidRPr="00AE5A70">
        <w:rPr>
          <w:sz w:val="23"/>
          <w:szCs w:val="23"/>
        </w:rPr>
        <w:t xml:space="preserve"> </w:t>
      </w:r>
      <w:r w:rsidR="00BB0447" w:rsidRPr="00AE5A70">
        <w:rPr>
          <w:rStyle w:val="FootnoteReference"/>
          <w:sz w:val="23"/>
          <w:szCs w:val="23"/>
        </w:rPr>
        <w:footnoteReference w:id="67"/>
      </w:r>
      <w:r w:rsidR="00587E8B" w:rsidRPr="00AE5A70">
        <w:rPr>
          <w:sz w:val="23"/>
          <w:szCs w:val="23"/>
        </w:rPr>
        <w:t xml:space="preserve"> </w:t>
      </w:r>
    </w:p>
    <w:p w14:paraId="07F848D7" w14:textId="77777777" w:rsidR="00F517AC" w:rsidRPr="00AE5A70" w:rsidRDefault="000D0E4E" w:rsidP="2C5386C0">
      <w:pPr>
        <w:rPr>
          <w:sz w:val="23"/>
          <w:szCs w:val="23"/>
        </w:rPr>
      </w:pPr>
      <w:r w:rsidRPr="00AE5A70">
        <w:rPr>
          <w:sz w:val="23"/>
          <w:szCs w:val="23"/>
        </w:rPr>
        <w:t>Being that eating disorders are a group of serious and complex bio-psychosocial disorders that range in severity, it is of paramount importance that the treating primary health care practitioner recognise</w:t>
      </w:r>
      <w:r w:rsidR="007B5ADD" w:rsidRPr="00AE5A70">
        <w:rPr>
          <w:sz w:val="23"/>
          <w:szCs w:val="23"/>
        </w:rPr>
        <w:t>s</w:t>
      </w:r>
      <w:r w:rsidRPr="00AE5A70">
        <w:rPr>
          <w:sz w:val="23"/>
          <w:szCs w:val="23"/>
        </w:rPr>
        <w:t xml:space="preserve"> how symptoms present.</w:t>
      </w:r>
      <w:r w:rsidRPr="00AE5A70">
        <w:rPr>
          <w:sz w:val="23"/>
          <w:szCs w:val="23"/>
          <w:vertAlign w:val="superscript"/>
        </w:rPr>
        <w:footnoteReference w:id="68"/>
      </w:r>
      <w:r w:rsidR="0092563F" w:rsidRPr="00AE5A70">
        <w:rPr>
          <w:sz w:val="23"/>
          <w:szCs w:val="23"/>
        </w:rPr>
        <w:t xml:space="preserve"> A key feature of treating eating disorders under the current MBS framework assumes all health professionals have a high level of expertise </w:t>
      </w:r>
      <w:r w:rsidR="007A6971">
        <w:rPr>
          <w:sz w:val="23"/>
          <w:szCs w:val="23"/>
        </w:rPr>
        <w:t>in the area of eating disorders which would enable the practitioner to identify and diagnose the disorder and then refer the patient for appropriate evidence based care</w:t>
      </w:r>
      <w:r w:rsidR="0092563F" w:rsidRPr="00AE5A70">
        <w:rPr>
          <w:sz w:val="23"/>
          <w:szCs w:val="23"/>
        </w:rPr>
        <w:t xml:space="preserve">. However, there are a considerably limited number of mental health practitioners with an appropriate level of expertise in treating </w:t>
      </w:r>
      <w:r w:rsidR="00893442" w:rsidRPr="00AE5A70">
        <w:rPr>
          <w:sz w:val="23"/>
          <w:szCs w:val="23"/>
        </w:rPr>
        <w:t xml:space="preserve">people with </w:t>
      </w:r>
      <w:r w:rsidR="008E6E66">
        <w:rPr>
          <w:sz w:val="23"/>
          <w:szCs w:val="23"/>
        </w:rPr>
        <w:t xml:space="preserve">of </w:t>
      </w:r>
      <w:r w:rsidR="0092563F" w:rsidRPr="00AE5A70">
        <w:rPr>
          <w:sz w:val="23"/>
          <w:szCs w:val="23"/>
        </w:rPr>
        <w:t>eating disorders.</w:t>
      </w:r>
      <w:r w:rsidRPr="00AE5A70">
        <w:rPr>
          <w:sz w:val="23"/>
          <w:szCs w:val="23"/>
        </w:rPr>
        <w:t xml:space="preserve"> Hudsons and </w:t>
      </w:r>
      <w:r w:rsidR="00524C9A" w:rsidRPr="00AE5A70">
        <w:rPr>
          <w:sz w:val="23"/>
          <w:szCs w:val="23"/>
        </w:rPr>
        <w:t xml:space="preserve">Colleagues (2013) </w:t>
      </w:r>
      <w:r w:rsidRPr="00AE5A70">
        <w:rPr>
          <w:sz w:val="23"/>
          <w:szCs w:val="23"/>
        </w:rPr>
        <w:t xml:space="preserve">reported that a majority of people who were diagnosed with BN or BED had received treatment at some point in their lives for </w:t>
      </w:r>
      <w:r w:rsidR="00E40606" w:rsidRPr="00AE5A70">
        <w:rPr>
          <w:sz w:val="23"/>
          <w:szCs w:val="23"/>
        </w:rPr>
        <w:t>mental health issues</w:t>
      </w:r>
      <w:r w:rsidRPr="00AE5A70">
        <w:rPr>
          <w:sz w:val="23"/>
          <w:szCs w:val="23"/>
        </w:rPr>
        <w:t xml:space="preserve">, but that did not necessarily lead to specific treatment </w:t>
      </w:r>
      <w:r w:rsidR="002057A6" w:rsidRPr="00AE5A70">
        <w:rPr>
          <w:sz w:val="23"/>
          <w:szCs w:val="23"/>
        </w:rPr>
        <w:t>or recognition of the eating disorder</w:t>
      </w:r>
      <w:r w:rsidRPr="00AE5A70">
        <w:rPr>
          <w:sz w:val="23"/>
          <w:szCs w:val="23"/>
        </w:rPr>
        <w:t>.</w:t>
      </w:r>
      <w:r w:rsidR="00524C9A" w:rsidRPr="00AE5A70">
        <w:rPr>
          <w:rStyle w:val="FootnoteReference"/>
          <w:sz w:val="23"/>
          <w:szCs w:val="23"/>
        </w:rPr>
        <w:footnoteReference w:id="69"/>
      </w:r>
      <w:r w:rsidRPr="00AE5A70">
        <w:rPr>
          <w:sz w:val="23"/>
          <w:szCs w:val="23"/>
        </w:rPr>
        <w:t xml:space="preserve"> </w:t>
      </w:r>
      <w:r w:rsidR="00F517AC" w:rsidRPr="00AE5A70">
        <w:rPr>
          <w:sz w:val="23"/>
          <w:szCs w:val="23"/>
        </w:rPr>
        <w:t xml:space="preserve">The Working Group agrees with the evidence that the lack of suitably trained health professionals available to identify and/or provide support to patients with eating disorders has been identified as a barrier to effective treatment in Australia. This </w:t>
      </w:r>
      <w:r w:rsidR="00587E8B" w:rsidRPr="00AE5A70">
        <w:rPr>
          <w:sz w:val="23"/>
          <w:szCs w:val="23"/>
        </w:rPr>
        <w:t xml:space="preserve">is </w:t>
      </w:r>
      <w:r w:rsidR="00F517AC" w:rsidRPr="00AE5A70">
        <w:rPr>
          <w:sz w:val="23"/>
          <w:szCs w:val="23"/>
        </w:rPr>
        <w:t>compounded through the current workforce’s capacity to work effectively with patients over time</w:t>
      </w:r>
      <w:r w:rsidR="00256573" w:rsidRPr="00AE5A70">
        <w:rPr>
          <w:sz w:val="23"/>
          <w:szCs w:val="23"/>
        </w:rPr>
        <w:t>,</w:t>
      </w:r>
      <w:r w:rsidR="00F517AC" w:rsidRPr="00AE5A70">
        <w:rPr>
          <w:sz w:val="23"/>
          <w:szCs w:val="23"/>
        </w:rPr>
        <w:t xml:space="preserve"> </w:t>
      </w:r>
      <w:r w:rsidR="00256573" w:rsidRPr="00AE5A70">
        <w:rPr>
          <w:sz w:val="23"/>
          <w:szCs w:val="23"/>
        </w:rPr>
        <w:t>and that the t</w:t>
      </w:r>
      <w:r w:rsidR="00F517AC" w:rsidRPr="00AE5A70">
        <w:rPr>
          <w:sz w:val="23"/>
          <w:szCs w:val="23"/>
        </w:rPr>
        <w:t>reat</w:t>
      </w:r>
      <w:r w:rsidR="00256573" w:rsidRPr="00AE5A70">
        <w:rPr>
          <w:sz w:val="23"/>
          <w:szCs w:val="23"/>
        </w:rPr>
        <w:t xml:space="preserve">ment of </w:t>
      </w:r>
      <w:r w:rsidR="00F517AC" w:rsidRPr="00AE5A70">
        <w:rPr>
          <w:sz w:val="23"/>
          <w:szCs w:val="23"/>
        </w:rPr>
        <w:t xml:space="preserve">eating disorders is a consuming process </w:t>
      </w:r>
      <w:r w:rsidR="00256573" w:rsidRPr="00AE5A70">
        <w:rPr>
          <w:sz w:val="23"/>
          <w:szCs w:val="23"/>
        </w:rPr>
        <w:t>that</w:t>
      </w:r>
      <w:r w:rsidR="00F517AC" w:rsidRPr="00AE5A70">
        <w:rPr>
          <w:sz w:val="23"/>
          <w:szCs w:val="23"/>
        </w:rPr>
        <w:t xml:space="preserve"> can only be learn</w:t>
      </w:r>
      <w:r w:rsidR="00256573" w:rsidRPr="00AE5A70">
        <w:rPr>
          <w:sz w:val="23"/>
          <w:szCs w:val="23"/>
        </w:rPr>
        <w:t>t</w:t>
      </w:r>
      <w:r w:rsidR="00F517AC" w:rsidRPr="00AE5A70">
        <w:rPr>
          <w:sz w:val="23"/>
          <w:szCs w:val="23"/>
        </w:rPr>
        <w:t xml:space="preserve"> through professional development, clinical experience and eating disorder specific supervisor.</w:t>
      </w:r>
      <w:r w:rsidR="00F517AC" w:rsidRPr="00AE5A70">
        <w:rPr>
          <w:sz w:val="23"/>
          <w:szCs w:val="23"/>
          <w:vertAlign w:val="superscript"/>
        </w:rPr>
        <w:footnoteReference w:id="70"/>
      </w:r>
      <w:r w:rsidR="00F517AC" w:rsidRPr="00AE5A70">
        <w:rPr>
          <w:sz w:val="23"/>
          <w:szCs w:val="23"/>
        </w:rPr>
        <w:t xml:space="preserve"> </w:t>
      </w:r>
    </w:p>
    <w:p w14:paraId="5B0F074B" w14:textId="77777777" w:rsidR="00BD78D0" w:rsidRDefault="00BD78D0" w:rsidP="2C5386C0">
      <w:pPr>
        <w:pStyle w:val="Heading3Numbered"/>
        <w:rPr>
          <w:sz w:val="23"/>
          <w:szCs w:val="23"/>
        </w:rPr>
      </w:pPr>
      <w:bookmarkStart w:id="89" w:name="_Toc531941956"/>
      <w:r w:rsidRPr="00AE5A70">
        <w:rPr>
          <w:sz w:val="23"/>
          <w:szCs w:val="23"/>
        </w:rPr>
        <w:t>Recommendation 3.1</w:t>
      </w:r>
      <w:bookmarkEnd w:id="89"/>
    </w:p>
    <w:p w14:paraId="6A97A202" w14:textId="77777777" w:rsidR="003D0CF0" w:rsidRPr="00AE5A70" w:rsidRDefault="003D0CF0" w:rsidP="004E5F16">
      <w:pPr>
        <w:pBdr>
          <w:top w:val="single" w:sz="4" w:space="1" w:color="auto"/>
          <w:left w:val="single" w:sz="4" w:space="4" w:color="auto"/>
          <w:bottom w:val="single" w:sz="4" w:space="1" w:color="auto"/>
          <w:right w:val="single" w:sz="4" w:space="4" w:color="auto"/>
        </w:pBdr>
        <w:rPr>
          <w:sz w:val="23"/>
          <w:szCs w:val="23"/>
        </w:rPr>
      </w:pPr>
      <w:r w:rsidRPr="00AE5A70">
        <w:rPr>
          <w:sz w:val="23"/>
          <w:szCs w:val="23"/>
        </w:rPr>
        <w:t>Further support and education should be provided to GPs about locally available specialist services for patients with eating disorders, and their families.</w:t>
      </w:r>
    </w:p>
    <w:p w14:paraId="562F17CB" w14:textId="77777777" w:rsidR="000D0E4E" w:rsidRPr="00AE5A70" w:rsidRDefault="00012332" w:rsidP="007A6082">
      <w:pPr>
        <w:pStyle w:val="Heading3Numbered"/>
        <w:numPr>
          <w:ilvl w:val="2"/>
          <w:numId w:val="70"/>
        </w:numPr>
        <w:rPr>
          <w:sz w:val="23"/>
          <w:szCs w:val="23"/>
        </w:rPr>
      </w:pPr>
      <w:bookmarkStart w:id="90" w:name="_Toc531941957"/>
      <w:r w:rsidRPr="00AE5A70">
        <w:rPr>
          <w:sz w:val="23"/>
          <w:szCs w:val="23"/>
        </w:rPr>
        <w:t>Training to support clinicians in the treatment of eating disorders</w:t>
      </w:r>
      <w:bookmarkEnd w:id="90"/>
    </w:p>
    <w:p w14:paraId="67B0A441" w14:textId="77777777" w:rsidR="00C26298" w:rsidRPr="00AE5A70" w:rsidRDefault="00F517AC" w:rsidP="000D0E4E">
      <w:pPr>
        <w:rPr>
          <w:sz w:val="23"/>
          <w:szCs w:val="23"/>
        </w:rPr>
      </w:pPr>
      <w:r w:rsidRPr="00AE5A70">
        <w:rPr>
          <w:sz w:val="23"/>
          <w:szCs w:val="23"/>
        </w:rPr>
        <w:t>The Working Group believes that the</w:t>
      </w:r>
      <w:r w:rsidR="000D0E4E" w:rsidRPr="00AE5A70">
        <w:rPr>
          <w:sz w:val="23"/>
          <w:szCs w:val="23"/>
        </w:rPr>
        <w:t xml:space="preserve"> minimum acceptable level of training per the </w:t>
      </w:r>
      <w:r w:rsidR="00CB5108" w:rsidRPr="00AE5A70">
        <w:rPr>
          <w:sz w:val="23"/>
          <w:szCs w:val="23"/>
        </w:rPr>
        <w:t xml:space="preserve">National Workforce Competency Standards </w:t>
      </w:r>
      <w:r w:rsidR="000D0E4E" w:rsidRPr="00AE5A70">
        <w:rPr>
          <w:sz w:val="23"/>
          <w:szCs w:val="23"/>
        </w:rPr>
        <w:t>would</w:t>
      </w:r>
      <w:r w:rsidR="002057A6" w:rsidRPr="00AE5A70">
        <w:rPr>
          <w:sz w:val="23"/>
          <w:szCs w:val="23"/>
        </w:rPr>
        <w:t xml:space="preserve"> support </w:t>
      </w:r>
      <w:r w:rsidR="009400B8">
        <w:rPr>
          <w:sz w:val="23"/>
          <w:szCs w:val="23"/>
        </w:rPr>
        <w:t>timely</w:t>
      </w:r>
      <w:r w:rsidR="002057A6" w:rsidRPr="00AE5A70">
        <w:rPr>
          <w:sz w:val="23"/>
          <w:szCs w:val="23"/>
        </w:rPr>
        <w:t xml:space="preserve"> recognition and treatment.</w:t>
      </w:r>
      <w:r w:rsidRPr="00AE5A70">
        <w:rPr>
          <w:sz w:val="23"/>
          <w:szCs w:val="23"/>
        </w:rPr>
        <w:t xml:space="preserve"> </w:t>
      </w:r>
      <w:r w:rsidR="00B53DF0">
        <w:rPr>
          <w:sz w:val="23"/>
          <w:szCs w:val="23"/>
        </w:rPr>
        <w:t>It is noted that the NEDC has been</w:t>
      </w:r>
      <w:r w:rsidR="007A6971">
        <w:rPr>
          <w:sz w:val="23"/>
          <w:szCs w:val="23"/>
        </w:rPr>
        <w:t xml:space="preserve"> tasked with developing </w:t>
      </w:r>
      <w:r w:rsidR="00B53DF0">
        <w:rPr>
          <w:sz w:val="23"/>
          <w:szCs w:val="23"/>
        </w:rPr>
        <w:t xml:space="preserve">and disseminating </w:t>
      </w:r>
      <w:r w:rsidR="007A6971">
        <w:rPr>
          <w:sz w:val="23"/>
          <w:szCs w:val="23"/>
        </w:rPr>
        <w:t>a consistent framework for competence for professionals involved in the identification, assessment and</w:t>
      </w:r>
      <w:r w:rsidR="00B53DF0">
        <w:rPr>
          <w:sz w:val="23"/>
          <w:szCs w:val="23"/>
        </w:rPr>
        <w:t xml:space="preserve"> treatment of eating disorders.</w:t>
      </w:r>
      <w:r w:rsidR="007A6971">
        <w:rPr>
          <w:sz w:val="23"/>
          <w:szCs w:val="23"/>
        </w:rPr>
        <w:t xml:space="preserve"> </w:t>
      </w:r>
    </w:p>
    <w:p w14:paraId="7E9A45D3" w14:textId="77777777" w:rsidR="007A6971" w:rsidRDefault="000D0E4E" w:rsidP="000D0E4E">
      <w:pPr>
        <w:rPr>
          <w:rFonts w:asciiTheme="minorBidi" w:eastAsiaTheme="minorBidi" w:hAnsiTheme="minorBidi" w:cstheme="minorBidi"/>
          <w:sz w:val="23"/>
          <w:szCs w:val="23"/>
        </w:rPr>
      </w:pPr>
      <w:r w:rsidRPr="00AE5A70">
        <w:rPr>
          <w:sz w:val="23"/>
          <w:szCs w:val="23"/>
        </w:rPr>
        <w:t xml:space="preserve">This training should also include the development of attitudes and practices toward people presenting with eating disorder symptoms. GPs need to be </w:t>
      </w:r>
      <w:r w:rsidR="00893442" w:rsidRPr="00AE5A70">
        <w:rPr>
          <w:sz w:val="23"/>
          <w:szCs w:val="23"/>
        </w:rPr>
        <w:t xml:space="preserve">skilled at </w:t>
      </w:r>
      <w:r w:rsidRPr="00AE5A70">
        <w:rPr>
          <w:sz w:val="23"/>
          <w:szCs w:val="23"/>
        </w:rPr>
        <w:t>interview</w:t>
      </w:r>
      <w:r w:rsidR="00893442" w:rsidRPr="00AE5A70">
        <w:rPr>
          <w:sz w:val="23"/>
          <w:szCs w:val="23"/>
        </w:rPr>
        <w:t>ing</w:t>
      </w:r>
      <w:r w:rsidRPr="00AE5A70">
        <w:rPr>
          <w:sz w:val="23"/>
          <w:szCs w:val="23"/>
        </w:rPr>
        <w:t xml:space="preserve"> the patient and their family to facilitate </w:t>
      </w:r>
      <w:r w:rsidR="009400B8">
        <w:rPr>
          <w:sz w:val="23"/>
          <w:szCs w:val="23"/>
        </w:rPr>
        <w:t xml:space="preserve">timely </w:t>
      </w:r>
      <w:r w:rsidRPr="00AE5A70">
        <w:rPr>
          <w:sz w:val="23"/>
          <w:szCs w:val="23"/>
        </w:rPr>
        <w:t xml:space="preserve">diagnosis, </w:t>
      </w:r>
      <w:r w:rsidR="00893442" w:rsidRPr="00AE5A70">
        <w:rPr>
          <w:sz w:val="23"/>
          <w:szCs w:val="23"/>
        </w:rPr>
        <w:t xml:space="preserve">embody </w:t>
      </w:r>
      <w:r w:rsidRPr="00AE5A70">
        <w:rPr>
          <w:sz w:val="23"/>
          <w:szCs w:val="23"/>
        </w:rPr>
        <w:t xml:space="preserve">the attitudes and practices that support </w:t>
      </w:r>
      <w:r w:rsidR="009400B8">
        <w:rPr>
          <w:sz w:val="23"/>
          <w:szCs w:val="23"/>
        </w:rPr>
        <w:t>timely</w:t>
      </w:r>
      <w:r w:rsidRPr="00AE5A70">
        <w:rPr>
          <w:sz w:val="23"/>
          <w:szCs w:val="23"/>
        </w:rPr>
        <w:t xml:space="preserve"> identification and intervention</w:t>
      </w:r>
      <w:r w:rsidR="00893442" w:rsidRPr="00AE5A70">
        <w:rPr>
          <w:sz w:val="23"/>
          <w:szCs w:val="23"/>
        </w:rPr>
        <w:t xml:space="preserve"> and</w:t>
      </w:r>
      <w:r w:rsidRPr="00AE5A70">
        <w:rPr>
          <w:sz w:val="23"/>
          <w:szCs w:val="23"/>
        </w:rPr>
        <w:t xml:space="preserve"> </w:t>
      </w:r>
      <w:r w:rsidR="00893442" w:rsidRPr="00AE5A70">
        <w:rPr>
          <w:sz w:val="23"/>
          <w:szCs w:val="23"/>
        </w:rPr>
        <w:t xml:space="preserve">recognise </w:t>
      </w:r>
      <w:r w:rsidRPr="00AE5A70">
        <w:rPr>
          <w:sz w:val="23"/>
          <w:szCs w:val="23"/>
        </w:rPr>
        <w:t xml:space="preserve">the ambivalence and fear that is prevalent in </w:t>
      </w:r>
      <w:r w:rsidR="007A6971">
        <w:rPr>
          <w:sz w:val="23"/>
          <w:szCs w:val="23"/>
        </w:rPr>
        <w:t>patients with eating disorders</w:t>
      </w:r>
      <w:r w:rsidRPr="00AE5A70">
        <w:rPr>
          <w:rFonts w:asciiTheme="minorBidi" w:eastAsiaTheme="minorBidi" w:hAnsiTheme="minorBidi" w:cstheme="minorBidi"/>
          <w:sz w:val="23"/>
          <w:szCs w:val="23"/>
          <w:vertAlign w:val="superscript"/>
        </w:rPr>
        <w:footnoteReference w:id="71"/>
      </w:r>
      <w:r w:rsidR="007A6971">
        <w:rPr>
          <w:rFonts w:asciiTheme="minorBidi" w:eastAsiaTheme="minorBidi" w:hAnsiTheme="minorBidi" w:cstheme="minorBidi"/>
          <w:sz w:val="23"/>
          <w:szCs w:val="23"/>
        </w:rPr>
        <w:t xml:space="preserve">. </w:t>
      </w:r>
      <w:r w:rsidR="007A6971">
        <w:rPr>
          <w:sz w:val="23"/>
          <w:szCs w:val="23"/>
        </w:rPr>
        <w:t>It should also be noted that the NEDC also has numerous resources available to support practitioners, including a GP resource.</w:t>
      </w:r>
    </w:p>
    <w:p w14:paraId="7F75A549" w14:textId="77777777" w:rsidR="000D0E4E" w:rsidRPr="00AE5A70" w:rsidRDefault="007A6971" w:rsidP="000D0E4E">
      <w:pPr>
        <w:rPr>
          <w:sz w:val="23"/>
          <w:szCs w:val="23"/>
        </w:rPr>
      </w:pPr>
      <w:r>
        <w:rPr>
          <w:sz w:val="23"/>
          <w:szCs w:val="23"/>
        </w:rPr>
        <w:t xml:space="preserve">Further training could be made available </w:t>
      </w:r>
      <w:r w:rsidR="00A42DB0" w:rsidRPr="00AE5A70">
        <w:rPr>
          <w:sz w:val="23"/>
          <w:szCs w:val="23"/>
        </w:rPr>
        <w:t>by the RACGP as part of the QI&amp;CPD program to GPs, and by the appropriate bodies governing the t</w:t>
      </w:r>
      <w:r w:rsidR="002057A6" w:rsidRPr="00AE5A70">
        <w:rPr>
          <w:sz w:val="23"/>
          <w:szCs w:val="23"/>
        </w:rPr>
        <w:t xml:space="preserve">raining </w:t>
      </w:r>
      <w:r w:rsidR="00A42DB0" w:rsidRPr="00AE5A70">
        <w:rPr>
          <w:sz w:val="23"/>
          <w:szCs w:val="23"/>
        </w:rPr>
        <w:t xml:space="preserve">requirements of the other </w:t>
      </w:r>
      <w:r w:rsidR="009E3AB1" w:rsidRPr="00AE5A70">
        <w:rPr>
          <w:sz w:val="23"/>
          <w:szCs w:val="23"/>
        </w:rPr>
        <w:t xml:space="preserve">primary and allied </w:t>
      </w:r>
      <w:r w:rsidR="000D0E4E" w:rsidRPr="00AE5A70">
        <w:rPr>
          <w:sz w:val="23"/>
          <w:szCs w:val="23"/>
        </w:rPr>
        <w:t>health</w:t>
      </w:r>
      <w:r w:rsidR="00E40606" w:rsidRPr="00AE5A70">
        <w:rPr>
          <w:sz w:val="23"/>
          <w:szCs w:val="23"/>
        </w:rPr>
        <w:t xml:space="preserve"> and mental health</w:t>
      </w:r>
      <w:r w:rsidR="000D0E4E" w:rsidRPr="00AE5A70">
        <w:rPr>
          <w:sz w:val="23"/>
          <w:szCs w:val="23"/>
        </w:rPr>
        <w:t xml:space="preserve"> professionals </w:t>
      </w:r>
      <w:r w:rsidR="00A42DB0" w:rsidRPr="00AE5A70">
        <w:rPr>
          <w:sz w:val="23"/>
          <w:szCs w:val="23"/>
        </w:rPr>
        <w:t xml:space="preserve">recommended by this report to </w:t>
      </w:r>
      <w:r w:rsidR="009E3AB1" w:rsidRPr="00AE5A70">
        <w:rPr>
          <w:sz w:val="23"/>
          <w:szCs w:val="23"/>
        </w:rPr>
        <w:t xml:space="preserve">be </w:t>
      </w:r>
      <w:r w:rsidR="000D0E4E" w:rsidRPr="00AE5A70">
        <w:rPr>
          <w:sz w:val="23"/>
          <w:szCs w:val="23"/>
        </w:rPr>
        <w:t>work</w:t>
      </w:r>
      <w:r w:rsidR="009E3AB1" w:rsidRPr="00AE5A70">
        <w:rPr>
          <w:sz w:val="23"/>
          <w:szCs w:val="23"/>
        </w:rPr>
        <w:t>ing</w:t>
      </w:r>
      <w:r w:rsidR="000D0E4E" w:rsidRPr="00AE5A70">
        <w:rPr>
          <w:sz w:val="23"/>
          <w:szCs w:val="23"/>
        </w:rPr>
        <w:t xml:space="preserve"> within the eating disorders space.</w:t>
      </w:r>
      <w:r w:rsidR="000D0E4E" w:rsidRPr="00AE5A70">
        <w:rPr>
          <w:sz w:val="23"/>
          <w:szCs w:val="23"/>
          <w:vertAlign w:val="superscript"/>
        </w:rPr>
        <w:footnoteReference w:id="72"/>
      </w:r>
      <w:r w:rsidR="00F517AC" w:rsidRPr="00AE5A70">
        <w:rPr>
          <w:sz w:val="23"/>
          <w:szCs w:val="23"/>
        </w:rPr>
        <w:t xml:space="preserve"> </w:t>
      </w:r>
    </w:p>
    <w:p w14:paraId="5F52E89D" w14:textId="77777777" w:rsidR="00464DE3" w:rsidRPr="00AE5A70" w:rsidRDefault="000D0E4E" w:rsidP="2C5386C0">
      <w:pPr>
        <w:rPr>
          <w:sz w:val="23"/>
          <w:szCs w:val="23"/>
        </w:rPr>
      </w:pPr>
      <w:r w:rsidRPr="00AE5A70">
        <w:rPr>
          <w:sz w:val="23"/>
          <w:szCs w:val="23"/>
        </w:rPr>
        <w:t xml:space="preserve">Recovery rates could be significantly improved by comparison with no treatment if more health professionals are trained in how to approach and work with the individual patient and are aware of their psychological framework; experiencing very low self-esteem and </w:t>
      </w:r>
      <w:r w:rsidR="39A0E0F0" w:rsidRPr="00AE5A70">
        <w:rPr>
          <w:sz w:val="23"/>
          <w:szCs w:val="23"/>
        </w:rPr>
        <w:t>the</w:t>
      </w:r>
      <w:r w:rsidRPr="00AE5A70">
        <w:rPr>
          <w:sz w:val="23"/>
          <w:szCs w:val="23"/>
        </w:rPr>
        <w:t xml:space="preserve"> need to develop feelings of safety</w:t>
      </w:r>
      <w:r w:rsidR="015449A1" w:rsidRPr="00AE5A70">
        <w:rPr>
          <w:sz w:val="23"/>
          <w:szCs w:val="23"/>
        </w:rPr>
        <w:t>,</w:t>
      </w:r>
      <w:r w:rsidRPr="00AE5A70">
        <w:rPr>
          <w:sz w:val="23"/>
          <w:szCs w:val="23"/>
        </w:rPr>
        <w:t xml:space="preserve"> security and hope before they can actively engage in treatment.</w:t>
      </w:r>
      <w:r w:rsidRPr="00AE5A70">
        <w:rPr>
          <w:sz w:val="23"/>
          <w:szCs w:val="23"/>
          <w:vertAlign w:val="superscript"/>
        </w:rPr>
        <w:footnoteReference w:id="73"/>
      </w:r>
      <w:r w:rsidRPr="00AE5A70">
        <w:rPr>
          <w:sz w:val="23"/>
          <w:szCs w:val="23"/>
          <w:vertAlign w:val="superscript"/>
        </w:rPr>
        <w:t xml:space="preserve"> </w:t>
      </w:r>
      <w:r w:rsidRPr="00AE5A70">
        <w:rPr>
          <w:rFonts w:asciiTheme="minorBidi" w:eastAsiaTheme="minorBidi" w:hAnsiTheme="minorBidi" w:cstheme="minorBidi"/>
          <w:sz w:val="23"/>
          <w:szCs w:val="23"/>
          <w:vertAlign w:val="superscript"/>
        </w:rPr>
        <w:footnoteReference w:id="74"/>
      </w:r>
      <w:r w:rsidRPr="00AE5A70">
        <w:rPr>
          <w:sz w:val="23"/>
          <w:szCs w:val="23"/>
        </w:rPr>
        <w:t>.</w:t>
      </w:r>
      <w:r w:rsidRPr="00AE5A70">
        <w:rPr>
          <w:rFonts w:asciiTheme="minorBidi" w:eastAsiaTheme="minorBidi" w:hAnsiTheme="minorBidi" w:cstheme="minorBidi"/>
          <w:sz w:val="23"/>
          <w:szCs w:val="23"/>
        </w:rPr>
        <w:t xml:space="preserve"> </w:t>
      </w:r>
      <w:r w:rsidRPr="00AE5A70">
        <w:rPr>
          <w:sz w:val="23"/>
          <w:szCs w:val="23"/>
        </w:rPr>
        <w:t xml:space="preserve">Improving training for all health professionals could therefore increase the number of </w:t>
      </w:r>
      <w:r w:rsidR="009400B8">
        <w:rPr>
          <w:sz w:val="23"/>
          <w:szCs w:val="23"/>
        </w:rPr>
        <w:t>disorders diagnosed in a timely mamber</w:t>
      </w:r>
      <w:r w:rsidR="00033041" w:rsidRPr="00AE5A70">
        <w:rPr>
          <w:sz w:val="23"/>
          <w:szCs w:val="23"/>
        </w:rPr>
        <w:t>,</w:t>
      </w:r>
      <w:r w:rsidRPr="00AE5A70">
        <w:rPr>
          <w:sz w:val="23"/>
          <w:szCs w:val="23"/>
        </w:rPr>
        <w:t xml:space="preserve"> referrals and decrease the overall number of eating disorder</w:t>
      </w:r>
      <w:r w:rsidR="00033041" w:rsidRPr="00AE5A70">
        <w:rPr>
          <w:sz w:val="23"/>
          <w:szCs w:val="23"/>
        </w:rPr>
        <w:t>-</w:t>
      </w:r>
      <w:r w:rsidRPr="00AE5A70">
        <w:rPr>
          <w:sz w:val="23"/>
          <w:szCs w:val="23"/>
        </w:rPr>
        <w:t>related</w:t>
      </w:r>
      <w:r w:rsidR="00CB5108" w:rsidRPr="00AE5A70">
        <w:rPr>
          <w:sz w:val="23"/>
          <w:szCs w:val="23"/>
        </w:rPr>
        <w:t xml:space="preserve"> hospitalisations</w:t>
      </w:r>
      <w:r w:rsidRPr="00AE5A70">
        <w:rPr>
          <w:sz w:val="23"/>
          <w:szCs w:val="23"/>
        </w:rPr>
        <w:t>.</w:t>
      </w:r>
      <w:r w:rsidR="00CB5108" w:rsidRPr="00AE5A70">
        <w:rPr>
          <w:rStyle w:val="FootnoteReference"/>
          <w:sz w:val="23"/>
          <w:szCs w:val="23"/>
        </w:rPr>
        <w:footnoteReference w:id="75"/>
      </w:r>
      <w:r w:rsidR="00464DE3" w:rsidRPr="00AE5A70">
        <w:rPr>
          <w:sz w:val="23"/>
          <w:szCs w:val="23"/>
        </w:rPr>
        <w:t xml:space="preserve"> </w:t>
      </w:r>
    </w:p>
    <w:p w14:paraId="0AB2BC0F" w14:textId="77777777" w:rsidR="007A6971" w:rsidRDefault="00464DE3">
      <w:pPr>
        <w:rPr>
          <w:sz w:val="23"/>
          <w:szCs w:val="23"/>
        </w:rPr>
      </w:pPr>
      <w:r w:rsidRPr="00AE5A70">
        <w:rPr>
          <w:sz w:val="23"/>
          <w:szCs w:val="23"/>
        </w:rPr>
        <w:t>It is important to note that training alone is unlikely to be enough to maintain a</w:t>
      </w:r>
      <w:r w:rsidR="00CB5108" w:rsidRPr="00AE5A70">
        <w:rPr>
          <w:sz w:val="23"/>
          <w:szCs w:val="23"/>
        </w:rPr>
        <w:t xml:space="preserve"> long term</w:t>
      </w:r>
      <w:r w:rsidRPr="00AE5A70">
        <w:rPr>
          <w:sz w:val="23"/>
          <w:szCs w:val="23"/>
        </w:rPr>
        <w:t xml:space="preserve"> skilled workforce. </w:t>
      </w:r>
      <w:r w:rsidR="007A6971">
        <w:rPr>
          <w:sz w:val="23"/>
          <w:szCs w:val="23"/>
        </w:rPr>
        <w:t xml:space="preserve">It is acknowledged that supervision provided by a practitioner that is experienced in the area of eating disorders is also a key component is assisting those new to the field to translate acquired knowledge to clinical confidence and practice. The resources to cover the cost of supervision are also a challenge in this area. </w:t>
      </w:r>
    </w:p>
    <w:p w14:paraId="05E549F1" w14:textId="77777777" w:rsidR="007A6971" w:rsidRPr="00AE5A70" w:rsidRDefault="007A6971" w:rsidP="007A6971">
      <w:pPr>
        <w:rPr>
          <w:rFonts w:asciiTheme="minorBidi" w:eastAsiaTheme="minorBidi" w:hAnsiTheme="minorBidi" w:cstheme="minorBidi"/>
          <w:sz w:val="23"/>
          <w:szCs w:val="23"/>
        </w:rPr>
      </w:pPr>
      <w:r>
        <w:rPr>
          <w:sz w:val="23"/>
          <w:szCs w:val="23"/>
        </w:rPr>
        <w:t xml:space="preserve">It was also suggested that the availability of funding to provide an evidence-based course of care influenced practitioner decisions to do further training in certain areas of practice. It is proposed that the expansion of MBS arrangements to support the delivery of evidence based care to patients with eating disorders will provide an incentive for more practitioners to complete advanced training in the area of eating disorders.  </w:t>
      </w:r>
      <w:r w:rsidRPr="00AE5A70">
        <w:rPr>
          <w:rFonts w:asciiTheme="minorBidi" w:eastAsiaTheme="minorBidi" w:hAnsiTheme="minorBidi" w:cstheme="minorBidi"/>
          <w:sz w:val="23"/>
          <w:szCs w:val="23"/>
        </w:rPr>
        <w:t xml:space="preserve">  </w:t>
      </w:r>
    </w:p>
    <w:p w14:paraId="485268C2" w14:textId="77777777" w:rsidR="003B4489" w:rsidRDefault="003B4489" w:rsidP="2C5386C0">
      <w:pPr>
        <w:pStyle w:val="Heading3Numbered"/>
        <w:rPr>
          <w:sz w:val="23"/>
          <w:szCs w:val="23"/>
        </w:rPr>
      </w:pPr>
      <w:bookmarkStart w:id="91" w:name="_Toc531941958"/>
      <w:r w:rsidRPr="00AE5A70">
        <w:rPr>
          <w:sz w:val="23"/>
          <w:szCs w:val="23"/>
        </w:rPr>
        <w:t>Recommendation 3.2</w:t>
      </w:r>
      <w:bookmarkEnd w:id="91"/>
    </w:p>
    <w:p w14:paraId="1C89BBE3" w14:textId="77777777" w:rsidR="004E5F16" w:rsidRPr="00AE5A70" w:rsidRDefault="004E5F16" w:rsidP="004E5F16">
      <w:pPr>
        <w:pBdr>
          <w:top w:val="single" w:sz="4" w:space="1" w:color="auto"/>
          <w:left w:val="single" w:sz="4" w:space="4" w:color="auto"/>
          <w:bottom w:val="single" w:sz="4" w:space="1" w:color="auto"/>
          <w:right w:val="single" w:sz="4" w:space="4" w:color="auto"/>
        </w:pBdr>
        <w:rPr>
          <w:sz w:val="23"/>
          <w:szCs w:val="23"/>
        </w:rPr>
      </w:pPr>
      <w:r w:rsidRPr="00AB4E88">
        <w:rPr>
          <w:sz w:val="23"/>
          <w:szCs w:val="23"/>
        </w:rPr>
        <w:t>Professional associations and other relevant training organisations should develop and/or extend specific training, education and clinical guidance for working with people who have eating disorders. This training should be included in undergraduate and post graduate university health programs, continuing professional development programs for disciplines involved in the treatment and management of patients with eating disorders, and in particular, any health professionals providing services under the new MBS items.</w:t>
      </w:r>
    </w:p>
    <w:p w14:paraId="6AF9AC09" w14:textId="77777777" w:rsidR="00F517AC" w:rsidRPr="00AE5A70" w:rsidRDefault="00012332" w:rsidP="00E40606">
      <w:pPr>
        <w:pStyle w:val="Heading3Numbered"/>
        <w:numPr>
          <w:ilvl w:val="2"/>
          <w:numId w:val="73"/>
        </w:numPr>
        <w:spacing w:before="360"/>
        <w:rPr>
          <w:sz w:val="23"/>
          <w:szCs w:val="23"/>
        </w:rPr>
      </w:pPr>
      <w:bookmarkStart w:id="92" w:name="_Toc531941959"/>
      <w:r w:rsidRPr="00AE5A70">
        <w:rPr>
          <w:sz w:val="23"/>
          <w:szCs w:val="23"/>
        </w:rPr>
        <w:t>The need for credentialing of appropriately trained clinicians</w:t>
      </w:r>
      <w:bookmarkEnd w:id="92"/>
    </w:p>
    <w:p w14:paraId="0749B46F" w14:textId="77777777" w:rsidR="007A6971" w:rsidRDefault="000D0E4E" w:rsidP="2C5386C0">
      <w:pPr>
        <w:rPr>
          <w:sz w:val="23"/>
          <w:szCs w:val="23"/>
        </w:rPr>
      </w:pPr>
      <w:r w:rsidRPr="00AE5A70">
        <w:rPr>
          <w:sz w:val="23"/>
          <w:szCs w:val="23"/>
        </w:rPr>
        <w:t>To ensure that this training is recognised, and that appropriately credentialed clinicians are</w:t>
      </w:r>
      <w:r w:rsidR="002162F2">
        <w:rPr>
          <w:sz w:val="23"/>
          <w:szCs w:val="23"/>
        </w:rPr>
        <w:t xml:space="preserve"> diagnosing and</w:t>
      </w:r>
      <w:r w:rsidRPr="00AE5A70">
        <w:rPr>
          <w:sz w:val="23"/>
          <w:szCs w:val="23"/>
        </w:rPr>
        <w:t xml:space="preserve"> treating patients with eating disorders, awarded credentials should be registered </w:t>
      </w:r>
      <w:r w:rsidR="00A646D7" w:rsidRPr="00AE5A70">
        <w:rPr>
          <w:sz w:val="23"/>
          <w:szCs w:val="23"/>
        </w:rPr>
        <w:t xml:space="preserve">on an accreditation system for health professionals with expertise in </w:t>
      </w:r>
      <w:r w:rsidR="002057A6" w:rsidRPr="00AE5A70">
        <w:rPr>
          <w:sz w:val="23"/>
          <w:szCs w:val="23"/>
        </w:rPr>
        <w:t>eating disorders</w:t>
      </w:r>
      <w:r w:rsidR="00A646D7" w:rsidRPr="00AE5A70">
        <w:rPr>
          <w:sz w:val="23"/>
          <w:szCs w:val="23"/>
        </w:rPr>
        <w:t>.</w:t>
      </w:r>
      <w:r w:rsidRPr="00AE5A70">
        <w:rPr>
          <w:sz w:val="23"/>
          <w:szCs w:val="23"/>
        </w:rPr>
        <w:t xml:space="preserve"> </w:t>
      </w:r>
      <w:r w:rsidR="00464DE3" w:rsidRPr="00AE5A70">
        <w:rPr>
          <w:sz w:val="23"/>
          <w:szCs w:val="23"/>
        </w:rPr>
        <w:t>This would ensure that</w:t>
      </w:r>
      <w:r w:rsidR="00DC0840">
        <w:rPr>
          <w:sz w:val="23"/>
          <w:szCs w:val="23"/>
        </w:rPr>
        <w:t xml:space="preserve"> correct diagnoses are given and</w:t>
      </w:r>
      <w:r w:rsidR="00464DE3" w:rsidRPr="00AE5A70">
        <w:rPr>
          <w:sz w:val="23"/>
          <w:szCs w:val="23"/>
        </w:rPr>
        <w:t xml:space="preserve"> high quality services are delivered by practitioners with the required knowledge and experience in eating disorders. </w:t>
      </w:r>
      <w:r w:rsidRPr="00AE5A70">
        <w:rPr>
          <w:sz w:val="23"/>
          <w:szCs w:val="23"/>
        </w:rPr>
        <w:t>As noted in Finding 1.2, the proposed MDT model is suggested to have</w:t>
      </w:r>
      <w:r w:rsidR="00F54C7D" w:rsidRPr="00AE5A70">
        <w:rPr>
          <w:sz w:val="23"/>
          <w:szCs w:val="23"/>
        </w:rPr>
        <w:t xml:space="preserve"> </w:t>
      </w:r>
      <w:r w:rsidR="00FF2CA1" w:rsidRPr="00AE5A70">
        <w:rPr>
          <w:sz w:val="23"/>
          <w:szCs w:val="23"/>
        </w:rPr>
        <w:t xml:space="preserve">a </w:t>
      </w:r>
      <w:r w:rsidR="00F54C7D" w:rsidRPr="00AE5A70">
        <w:rPr>
          <w:sz w:val="23"/>
          <w:szCs w:val="23"/>
        </w:rPr>
        <w:t>significant positive</w:t>
      </w:r>
      <w:r w:rsidRPr="00AE5A70">
        <w:rPr>
          <w:sz w:val="23"/>
          <w:szCs w:val="23"/>
        </w:rPr>
        <w:t xml:space="preserve"> impact upon the </w:t>
      </w:r>
      <w:r w:rsidR="00482A46" w:rsidRPr="00AE5A70">
        <w:rPr>
          <w:sz w:val="23"/>
          <w:szCs w:val="23"/>
        </w:rPr>
        <w:t>patient’s</w:t>
      </w:r>
      <w:r w:rsidRPr="00AE5A70">
        <w:rPr>
          <w:sz w:val="23"/>
          <w:szCs w:val="23"/>
        </w:rPr>
        <w:t xml:space="preserve"> likelihood for recovery. This is </w:t>
      </w:r>
      <w:r w:rsidR="00EE482B" w:rsidRPr="00AE5A70">
        <w:rPr>
          <w:sz w:val="23"/>
          <w:szCs w:val="23"/>
        </w:rPr>
        <w:t>reliant</w:t>
      </w:r>
      <w:r w:rsidRPr="00AE5A70">
        <w:rPr>
          <w:sz w:val="23"/>
          <w:szCs w:val="23"/>
        </w:rPr>
        <w:t xml:space="preserve"> upon the MDT </w:t>
      </w:r>
      <w:r w:rsidR="00152079" w:rsidRPr="00AE5A70">
        <w:rPr>
          <w:sz w:val="23"/>
          <w:szCs w:val="23"/>
        </w:rPr>
        <w:t>comprising of</w:t>
      </w:r>
      <w:r w:rsidRPr="00AE5A70">
        <w:rPr>
          <w:sz w:val="23"/>
          <w:szCs w:val="23"/>
        </w:rPr>
        <w:t xml:space="preserve"> appropriately trained professionals, who can contribute to the development of a best care pathway for the </w:t>
      </w:r>
      <w:r w:rsidR="00D37988" w:rsidRPr="00AE5A70">
        <w:rPr>
          <w:sz w:val="23"/>
          <w:szCs w:val="23"/>
        </w:rPr>
        <w:t>patient</w:t>
      </w:r>
      <w:r w:rsidRPr="00AE5A70">
        <w:rPr>
          <w:sz w:val="23"/>
          <w:szCs w:val="23"/>
        </w:rPr>
        <w:t xml:space="preserve"> in question. </w:t>
      </w:r>
      <w:r w:rsidR="00FF2CA1" w:rsidRPr="00AE5A70">
        <w:rPr>
          <w:sz w:val="23"/>
          <w:szCs w:val="23"/>
        </w:rPr>
        <w:t xml:space="preserve">The Working Group acknowledges that there is an inadequate workforce trained in the treatment of eating disorders, primarily due to the limited number of clinicians with special interest in eating disorders; </w:t>
      </w:r>
      <w:r w:rsidR="00D37988" w:rsidRPr="00AE5A70">
        <w:rPr>
          <w:sz w:val="23"/>
          <w:szCs w:val="23"/>
        </w:rPr>
        <w:t xml:space="preserve">not </w:t>
      </w:r>
      <w:r w:rsidR="00893442" w:rsidRPr="00AE5A70">
        <w:rPr>
          <w:sz w:val="23"/>
          <w:szCs w:val="23"/>
        </w:rPr>
        <w:t xml:space="preserve">only </w:t>
      </w:r>
      <w:r w:rsidR="00FF2CA1" w:rsidRPr="00AE5A70">
        <w:rPr>
          <w:sz w:val="23"/>
          <w:szCs w:val="23"/>
        </w:rPr>
        <w:t xml:space="preserve">as </w:t>
      </w:r>
      <w:r w:rsidR="00D37988" w:rsidRPr="00AE5A70">
        <w:rPr>
          <w:sz w:val="23"/>
          <w:szCs w:val="23"/>
        </w:rPr>
        <w:t>a result of</w:t>
      </w:r>
      <w:r w:rsidR="00FF2CA1" w:rsidRPr="00AE5A70">
        <w:rPr>
          <w:sz w:val="23"/>
          <w:szCs w:val="23"/>
        </w:rPr>
        <w:t xml:space="preserve"> clinicians receiving inadequate training. </w:t>
      </w:r>
      <w:r w:rsidR="007A6971">
        <w:rPr>
          <w:sz w:val="23"/>
          <w:szCs w:val="23"/>
        </w:rPr>
        <w:t>It will be important that professional organisations be fully engaged in the process of establishing such a scheme.</w:t>
      </w:r>
    </w:p>
    <w:p w14:paraId="319BADD0" w14:textId="77777777" w:rsidR="007A6971" w:rsidRDefault="007A6971" w:rsidP="2C5386C0">
      <w:pPr>
        <w:rPr>
          <w:sz w:val="23"/>
          <w:szCs w:val="23"/>
        </w:rPr>
      </w:pPr>
      <w:r>
        <w:rPr>
          <w:sz w:val="23"/>
          <w:szCs w:val="23"/>
        </w:rPr>
        <w:t xml:space="preserve">An additional benefit of the establishment of a credentialing process would be the creation of a register of practitioners who are accredited to </w:t>
      </w:r>
      <w:r w:rsidR="00DC0840">
        <w:rPr>
          <w:sz w:val="23"/>
          <w:szCs w:val="23"/>
        </w:rPr>
        <w:t xml:space="preserve">diagnose and </w:t>
      </w:r>
      <w:r>
        <w:rPr>
          <w:sz w:val="23"/>
          <w:szCs w:val="23"/>
        </w:rPr>
        <w:t>provide</w:t>
      </w:r>
      <w:r w:rsidR="00AB4E88">
        <w:rPr>
          <w:sz w:val="23"/>
          <w:szCs w:val="23"/>
        </w:rPr>
        <w:t xml:space="preserve"> specialised treatment to patients with eating disorders.</w:t>
      </w:r>
      <w:r>
        <w:rPr>
          <w:sz w:val="23"/>
          <w:szCs w:val="23"/>
        </w:rPr>
        <w:t xml:space="preserve"> </w:t>
      </w:r>
    </w:p>
    <w:p w14:paraId="3C67D3D6" w14:textId="77777777" w:rsidR="000F17F5" w:rsidRPr="00AE5A70" w:rsidRDefault="007A6971" w:rsidP="2C5386C0">
      <w:pPr>
        <w:rPr>
          <w:sz w:val="23"/>
          <w:szCs w:val="23"/>
        </w:rPr>
      </w:pPr>
      <w:r>
        <w:rPr>
          <w:sz w:val="23"/>
          <w:szCs w:val="23"/>
        </w:rPr>
        <w:t>It is important that any credentialing process, which is intended to enhance the quality of care provided to care, does not adversely impact patient access to appropriate services, especially in the transition period to the establishment of such a procedure. Therefore, the Working Group recommends, that i</w:t>
      </w:r>
      <w:r w:rsidR="000F17F5" w:rsidRPr="00AE5A70">
        <w:rPr>
          <w:sz w:val="23"/>
          <w:szCs w:val="23"/>
        </w:rPr>
        <w:t>n the absence of such a credentialing process</w:t>
      </w:r>
      <w:r>
        <w:rPr>
          <w:sz w:val="23"/>
          <w:szCs w:val="23"/>
        </w:rPr>
        <w:t xml:space="preserve"> and until one is well established</w:t>
      </w:r>
      <w:r w:rsidR="00AB4E88">
        <w:rPr>
          <w:sz w:val="23"/>
          <w:szCs w:val="23"/>
        </w:rPr>
        <w:t xml:space="preserve">, </w:t>
      </w:r>
      <w:r w:rsidR="00AB4E88" w:rsidRPr="00AE5A70">
        <w:rPr>
          <w:sz w:val="23"/>
          <w:szCs w:val="23"/>
        </w:rPr>
        <w:t>it</w:t>
      </w:r>
      <w:r w:rsidR="000F17F5" w:rsidRPr="00AE5A70">
        <w:rPr>
          <w:sz w:val="23"/>
          <w:szCs w:val="23"/>
        </w:rPr>
        <w:t xml:space="preserve"> should be highlighted that there is a strong expectation that only practitioners with training and experience in providing care to patients with eating disorders</w:t>
      </w:r>
      <w:r w:rsidR="00C26298" w:rsidRPr="00AE5A70">
        <w:rPr>
          <w:sz w:val="23"/>
          <w:szCs w:val="23"/>
        </w:rPr>
        <w:t xml:space="preserve"> should</w:t>
      </w:r>
      <w:r w:rsidR="000F17F5" w:rsidRPr="00AE5A70">
        <w:rPr>
          <w:sz w:val="23"/>
          <w:szCs w:val="23"/>
        </w:rPr>
        <w:t xml:space="preserve"> provide services under the new MBS item</w:t>
      </w:r>
      <w:r>
        <w:rPr>
          <w:sz w:val="23"/>
          <w:szCs w:val="23"/>
        </w:rPr>
        <w:t xml:space="preserve">s and the </w:t>
      </w:r>
      <w:r w:rsidR="00C26298" w:rsidRPr="00AE5A70">
        <w:rPr>
          <w:sz w:val="23"/>
          <w:szCs w:val="23"/>
        </w:rPr>
        <w:t xml:space="preserve">referred psychological and dietetic services </w:t>
      </w:r>
      <w:r w:rsidR="00AB4E88">
        <w:rPr>
          <w:sz w:val="23"/>
          <w:szCs w:val="23"/>
        </w:rPr>
        <w:t xml:space="preserve">provided </w:t>
      </w:r>
      <w:r w:rsidR="00284E8E" w:rsidRPr="00AE5A70">
        <w:rPr>
          <w:sz w:val="23"/>
          <w:szCs w:val="23"/>
        </w:rPr>
        <w:t>under the new MBS item</w:t>
      </w:r>
      <w:r w:rsidR="00AB4E88">
        <w:rPr>
          <w:sz w:val="23"/>
          <w:szCs w:val="23"/>
        </w:rPr>
        <w:t>s</w:t>
      </w:r>
      <w:r w:rsidR="00C26298" w:rsidRPr="00AE5A70">
        <w:rPr>
          <w:sz w:val="23"/>
          <w:szCs w:val="23"/>
        </w:rPr>
        <w:t>.</w:t>
      </w:r>
    </w:p>
    <w:p w14:paraId="76369952" w14:textId="77777777" w:rsidR="00464DE3" w:rsidRDefault="00464DE3" w:rsidP="009341EF">
      <w:pPr>
        <w:pStyle w:val="Heading3Numbered"/>
        <w:keepLines/>
        <w:ind w:left="0" w:firstLine="0"/>
        <w:rPr>
          <w:sz w:val="23"/>
          <w:szCs w:val="23"/>
        </w:rPr>
      </w:pPr>
      <w:bookmarkStart w:id="93" w:name="_Toc531941960"/>
      <w:r w:rsidRPr="00AE5A70">
        <w:rPr>
          <w:sz w:val="23"/>
          <w:szCs w:val="23"/>
        </w:rPr>
        <w:t>Recommendation 3.3</w:t>
      </w:r>
      <w:bookmarkEnd w:id="93"/>
    </w:p>
    <w:p w14:paraId="27A4E42A" w14:textId="77777777" w:rsidR="004E5F16" w:rsidRPr="00AE5A70" w:rsidRDefault="004E5F16" w:rsidP="004E5F16">
      <w:pPr>
        <w:pBdr>
          <w:top w:val="single" w:sz="4" w:space="1" w:color="auto"/>
          <w:left w:val="single" w:sz="4" w:space="4" w:color="auto"/>
          <w:bottom w:val="single" w:sz="4" w:space="1" w:color="auto"/>
          <w:right w:val="single" w:sz="4" w:space="4" w:color="auto"/>
        </w:pBdr>
        <w:rPr>
          <w:sz w:val="23"/>
          <w:szCs w:val="23"/>
        </w:rPr>
      </w:pPr>
      <w:r w:rsidRPr="00AE5A70">
        <w:rPr>
          <w:sz w:val="23"/>
          <w:szCs w:val="23"/>
        </w:rPr>
        <w:t xml:space="preserve">A credentialing process should be established, specific to practitioners that </w:t>
      </w:r>
      <w:r>
        <w:rPr>
          <w:sz w:val="23"/>
          <w:szCs w:val="23"/>
        </w:rPr>
        <w:t xml:space="preserve">diagnose and </w:t>
      </w:r>
      <w:r w:rsidRPr="00AE5A70">
        <w:rPr>
          <w:sz w:val="23"/>
          <w:szCs w:val="23"/>
        </w:rPr>
        <w:t xml:space="preserve">provide </w:t>
      </w:r>
      <w:r>
        <w:rPr>
          <w:sz w:val="23"/>
          <w:szCs w:val="23"/>
        </w:rPr>
        <w:t xml:space="preserve">specialist </w:t>
      </w:r>
      <w:r w:rsidRPr="00AE5A70">
        <w:rPr>
          <w:sz w:val="23"/>
          <w:szCs w:val="23"/>
        </w:rPr>
        <w:t xml:space="preserve">treatment </w:t>
      </w:r>
      <w:r>
        <w:rPr>
          <w:sz w:val="23"/>
          <w:szCs w:val="23"/>
        </w:rPr>
        <w:t>to</w:t>
      </w:r>
      <w:r w:rsidRPr="00AE5A70">
        <w:rPr>
          <w:sz w:val="23"/>
          <w:szCs w:val="23"/>
        </w:rPr>
        <w:t xml:space="preserve"> patients with eating disorders. Once established, these credentials should be used to determine practitioner eligibility to provide eating disorder services under the new MBS item that is recommended within this report.</w:t>
      </w:r>
      <w:r w:rsidRPr="004E5F16">
        <w:footnoteReference w:id="76"/>
      </w:r>
    </w:p>
    <w:p w14:paraId="7BD1DF05" w14:textId="77777777" w:rsidR="000D0E4E" w:rsidRPr="00AE5A70" w:rsidRDefault="00F742EB" w:rsidP="00E40606">
      <w:pPr>
        <w:pStyle w:val="Heading3Numbered"/>
        <w:numPr>
          <w:ilvl w:val="2"/>
          <w:numId w:val="73"/>
        </w:numPr>
        <w:spacing w:before="360"/>
        <w:rPr>
          <w:sz w:val="23"/>
          <w:szCs w:val="23"/>
        </w:rPr>
      </w:pPr>
      <w:bookmarkStart w:id="94" w:name="_Toc531941961"/>
      <w:r w:rsidRPr="00AE5A70">
        <w:rPr>
          <w:sz w:val="23"/>
          <w:szCs w:val="23"/>
        </w:rPr>
        <w:t>Utilising the PHN Network to deliver educational programs</w:t>
      </w:r>
      <w:bookmarkEnd w:id="94"/>
      <w:r w:rsidRPr="00AE5A70">
        <w:rPr>
          <w:sz w:val="23"/>
          <w:szCs w:val="23"/>
        </w:rPr>
        <w:t xml:space="preserve"> </w:t>
      </w:r>
    </w:p>
    <w:p w14:paraId="3D65B2C3" w14:textId="77777777" w:rsidR="00F742EB" w:rsidRPr="00AE5A70" w:rsidRDefault="00F742EB" w:rsidP="00F742EB">
      <w:pPr>
        <w:rPr>
          <w:rFonts w:eastAsia="Arial,Calibri"/>
          <w:sz w:val="23"/>
          <w:szCs w:val="23"/>
        </w:rPr>
      </w:pPr>
      <w:r w:rsidRPr="00AE5A70">
        <w:rPr>
          <w:rFonts w:eastAsiaTheme="minorBidi"/>
          <w:sz w:val="23"/>
          <w:szCs w:val="23"/>
        </w:rPr>
        <w:t>The</w:t>
      </w:r>
      <w:r w:rsidR="00862E40" w:rsidRPr="00AE5A70">
        <w:rPr>
          <w:rFonts w:eastAsiaTheme="minorBidi"/>
          <w:sz w:val="23"/>
          <w:szCs w:val="23"/>
        </w:rPr>
        <w:t xml:space="preserve"> Working Group acknowledge that the </w:t>
      </w:r>
      <w:r w:rsidRPr="00AE5A70">
        <w:rPr>
          <w:rFonts w:eastAsiaTheme="minorBidi"/>
          <w:sz w:val="23"/>
          <w:szCs w:val="23"/>
        </w:rPr>
        <w:t>Australian Government’s mental health reforms included expanding the role of PHNs to lead mental heal</w:t>
      </w:r>
      <w:r w:rsidR="00862E40" w:rsidRPr="00AE5A70">
        <w:rPr>
          <w:rFonts w:eastAsiaTheme="minorBidi"/>
          <w:sz w:val="23"/>
          <w:szCs w:val="23"/>
        </w:rPr>
        <w:t>th planning at a regional level. This planning would be done in partnership with State and Territory governments, non-government organisations and other related services and organisations.</w:t>
      </w:r>
      <w:r w:rsidR="00AF4479" w:rsidRPr="00AE5A70">
        <w:rPr>
          <w:rFonts w:eastAsia="Arial,Calibri"/>
          <w:sz w:val="23"/>
          <w:szCs w:val="23"/>
          <w:vertAlign w:val="superscript"/>
        </w:rPr>
        <w:footnoteReference w:id="77"/>
      </w:r>
      <w:r w:rsidR="00862E40" w:rsidRPr="00AE5A70">
        <w:rPr>
          <w:rFonts w:eastAsia="Arial,Calibri"/>
          <w:sz w:val="23"/>
          <w:szCs w:val="23"/>
        </w:rPr>
        <w:t xml:space="preserve"> </w:t>
      </w:r>
      <w:r w:rsidR="00AF4479" w:rsidRPr="00AE5A70">
        <w:rPr>
          <w:rFonts w:eastAsiaTheme="minorBidi"/>
          <w:sz w:val="23"/>
          <w:szCs w:val="23"/>
        </w:rPr>
        <w:t xml:space="preserve">The PHNs have </w:t>
      </w:r>
      <w:r w:rsidR="00C6260B" w:rsidRPr="00AE5A70">
        <w:rPr>
          <w:rFonts w:eastAsiaTheme="minorBidi"/>
          <w:sz w:val="23"/>
          <w:szCs w:val="23"/>
        </w:rPr>
        <w:t xml:space="preserve">also </w:t>
      </w:r>
      <w:r w:rsidR="00AF4479" w:rsidRPr="00AE5A70">
        <w:rPr>
          <w:rFonts w:eastAsiaTheme="minorBidi"/>
          <w:sz w:val="23"/>
          <w:szCs w:val="23"/>
        </w:rPr>
        <w:t xml:space="preserve">been provided </w:t>
      </w:r>
      <w:r w:rsidR="00C6260B" w:rsidRPr="00AE5A70">
        <w:rPr>
          <w:rFonts w:eastAsiaTheme="minorBidi"/>
          <w:sz w:val="23"/>
          <w:szCs w:val="23"/>
        </w:rPr>
        <w:t xml:space="preserve">with </w:t>
      </w:r>
      <w:r w:rsidR="00AF4479" w:rsidRPr="00AE5A70">
        <w:rPr>
          <w:rFonts w:eastAsiaTheme="minorBidi"/>
          <w:sz w:val="23"/>
          <w:szCs w:val="23"/>
        </w:rPr>
        <w:t xml:space="preserve">a flexible pool of funding to commission services that meet local needs, </w:t>
      </w:r>
      <w:r w:rsidR="00C6260B" w:rsidRPr="00AE5A70">
        <w:rPr>
          <w:rFonts w:eastAsiaTheme="minorBidi"/>
          <w:sz w:val="23"/>
          <w:szCs w:val="23"/>
        </w:rPr>
        <w:t>meaning t</w:t>
      </w:r>
      <w:r w:rsidR="00AF4479" w:rsidRPr="00AE5A70">
        <w:rPr>
          <w:rFonts w:eastAsiaTheme="minorBidi"/>
          <w:sz w:val="23"/>
          <w:szCs w:val="23"/>
        </w:rPr>
        <w:t xml:space="preserve">he </w:t>
      </w:r>
      <w:r w:rsidR="00C6260B" w:rsidRPr="00AE5A70">
        <w:rPr>
          <w:rFonts w:eastAsiaTheme="minorBidi"/>
          <w:sz w:val="23"/>
          <w:szCs w:val="23"/>
        </w:rPr>
        <w:t xml:space="preserve">PHNs will </w:t>
      </w:r>
      <w:r w:rsidR="00AF4479" w:rsidRPr="00AE5A70">
        <w:rPr>
          <w:rFonts w:eastAsiaTheme="minorBidi"/>
          <w:sz w:val="23"/>
          <w:szCs w:val="23"/>
        </w:rPr>
        <w:t xml:space="preserve">have a key role in commissioning </w:t>
      </w:r>
      <w:r w:rsidR="00C6260B" w:rsidRPr="00AE5A70">
        <w:rPr>
          <w:rFonts w:eastAsiaTheme="minorBidi"/>
          <w:sz w:val="23"/>
          <w:szCs w:val="23"/>
        </w:rPr>
        <w:t>and</w:t>
      </w:r>
      <w:r w:rsidR="00AF4479" w:rsidRPr="00AE5A70">
        <w:rPr>
          <w:rFonts w:eastAsiaTheme="minorBidi"/>
          <w:sz w:val="23"/>
          <w:szCs w:val="23"/>
        </w:rPr>
        <w:t xml:space="preserve"> facilitating the integration linkage</w:t>
      </w:r>
      <w:r w:rsidR="00C6260B" w:rsidRPr="00AE5A70">
        <w:rPr>
          <w:rFonts w:eastAsiaTheme="minorBidi"/>
          <w:sz w:val="23"/>
          <w:szCs w:val="23"/>
        </w:rPr>
        <w:t xml:space="preserve">s between clinical and non-clinical services for people with eating disorders. </w:t>
      </w:r>
    </w:p>
    <w:p w14:paraId="0187A4B5" w14:textId="77777777" w:rsidR="00E328E0" w:rsidRPr="00AE5A70" w:rsidRDefault="007A6971" w:rsidP="009341EF">
      <w:pPr>
        <w:spacing w:before="60" w:after="360"/>
        <w:rPr>
          <w:rFonts w:eastAsiaTheme="minorHAnsi" w:cs="Arial"/>
          <w:b/>
          <w:bCs/>
          <w:iCs/>
          <w:sz w:val="23"/>
          <w:szCs w:val="23"/>
          <w:lang w:val="en-US"/>
        </w:rPr>
      </w:pPr>
      <w:r w:rsidRPr="009341EF">
        <w:rPr>
          <w:rFonts w:eastAsiaTheme="minorBidi"/>
          <w:sz w:val="23"/>
          <w:szCs w:val="23"/>
        </w:rPr>
        <w:t>PHNs are ideally placed in the health system to facilitate information sharing regarding eating disorder</w:t>
      </w:r>
      <w:r>
        <w:rPr>
          <w:rFonts w:eastAsiaTheme="minorBidi"/>
          <w:sz w:val="23"/>
          <w:szCs w:val="23"/>
        </w:rPr>
        <w:t>s and evidence based clinical pathways. It is noted that the NEDC has been commissioned to work with PHNs to raise awareness of eating disorders, to provide evidence-based information and education and training based on local needs. The Department should work with the NEDC to determine if there are any gaps in this area and how to best leverage the existing relationships that the NEDC has with PHNs in order to distribute an example of evidence based clinical pathway which is currently being utilised in one PHN area.</w:t>
      </w:r>
    </w:p>
    <w:p w14:paraId="4BC65A44" w14:textId="77777777" w:rsidR="00E328E0" w:rsidRDefault="00E328E0" w:rsidP="009341EF">
      <w:pPr>
        <w:pStyle w:val="Heading3Numbered"/>
        <w:keepLines/>
        <w:spacing w:before="0"/>
        <w:rPr>
          <w:sz w:val="23"/>
          <w:szCs w:val="23"/>
        </w:rPr>
      </w:pPr>
      <w:bookmarkStart w:id="95" w:name="_Toc531941962"/>
      <w:r w:rsidRPr="00AE5A70">
        <w:rPr>
          <w:sz w:val="23"/>
          <w:szCs w:val="23"/>
        </w:rPr>
        <w:t>Recommendation 3.4</w:t>
      </w:r>
      <w:bookmarkEnd w:id="95"/>
    </w:p>
    <w:p w14:paraId="1381CA7C" w14:textId="77777777" w:rsidR="003D0CF0" w:rsidRPr="003D0CF0" w:rsidRDefault="003D0CF0" w:rsidP="004E5F16">
      <w:pPr>
        <w:pBdr>
          <w:top w:val="single" w:sz="4" w:space="1" w:color="auto"/>
          <w:left w:val="single" w:sz="4" w:space="4" w:color="auto"/>
          <w:bottom w:val="single" w:sz="4" w:space="1" w:color="auto"/>
          <w:right w:val="single" w:sz="4" w:space="4" w:color="auto"/>
        </w:pBdr>
        <w:spacing w:before="60" w:after="360"/>
        <w:rPr>
          <w:rFonts w:eastAsiaTheme="minorBidi"/>
          <w:sz w:val="23"/>
          <w:szCs w:val="23"/>
        </w:rPr>
      </w:pPr>
      <w:r w:rsidRPr="003D0CF0">
        <w:rPr>
          <w:rFonts w:eastAsiaTheme="minorBidi"/>
          <w:sz w:val="23"/>
          <w:szCs w:val="23"/>
        </w:rPr>
        <w:t>The Department of Health to write to the 31 Primary Health Networks (PHNs) on behalf of the Working Group to increase awareness about evidence-based clinical pathways for the treatment of people with eating disorders, and to provide an example clinical pathway which could be adapted and implemented for use in their local area.</w:t>
      </w:r>
    </w:p>
    <w:p w14:paraId="7541A593" w14:textId="77777777" w:rsidR="00C22A67" w:rsidRPr="00AE5A70" w:rsidRDefault="00C22A67" w:rsidP="009341EF">
      <w:pPr>
        <w:keepNext/>
        <w:keepLines/>
        <w:spacing w:before="0" w:after="0" w:line="240" w:lineRule="auto"/>
        <w:rPr>
          <w:rFonts w:eastAsiaTheme="minorHAnsi" w:cs="Arial"/>
          <w:b/>
          <w:bCs/>
          <w:iCs/>
          <w:sz w:val="18"/>
          <w:szCs w:val="18"/>
          <w:lang w:val="en-US"/>
        </w:rPr>
      </w:pPr>
      <w:r w:rsidRPr="00AE5A70">
        <w:rPr>
          <w:sz w:val="18"/>
          <w:szCs w:val="18"/>
        </w:rPr>
        <w:br w:type="page"/>
      </w:r>
    </w:p>
    <w:p w14:paraId="7279F0E2" w14:textId="77777777" w:rsidR="004C25ED" w:rsidRPr="00AE5A70" w:rsidRDefault="004C25ED" w:rsidP="00E40606">
      <w:pPr>
        <w:pStyle w:val="Heading1"/>
        <w:widowControl w:val="0"/>
        <w:pBdr>
          <w:bottom w:val="single" w:sz="16" w:space="11" w:color="BFBFBF"/>
        </w:pBdr>
        <w:autoSpaceDE w:val="0"/>
        <w:autoSpaceDN w:val="0"/>
        <w:adjustRightInd w:val="0"/>
        <w:spacing w:before="0" w:after="360"/>
        <w:textAlignment w:val="center"/>
        <w:rPr>
          <w:sz w:val="24"/>
          <w:szCs w:val="24"/>
        </w:rPr>
      </w:pPr>
      <w:bookmarkStart w:id="96" w:name="_Toc531941963"/>
      <w:r w:rsidRPr="00AE5A70">
        <w:rPr>
          <w:sz w:val="24"/>
          <w:szCs w:val="24"/>
        </w:rPr>
        <w:t>Glossary</w:t>
      </w:r>
      <w:bookmarkEnd w:id="96"/>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is is a two column table. Glossary table which contains two heading columns: terms and their descriptions."/>
      </w:tblPr>
      <w:tblGrid>
        <w:gridCol w:w="2139"/>
        <w:gridCol w:w="6229"/>
      </w:tblGrid>
      <w:tr w:rsidR="00AE5A70" w:rsidRPr="00AE5A70" w14:paraId="34D7C99D" w14:textId="77777777" w:rsidTr="00951F2F">
        <w:trPr>
          <w:tblHeader/>
        </w:trPr>
        <w:tc>
          <w:tcPr>
            <w:tcW w:w="2122" w:type="dxa"/>
            <w:shd w:val="clear" w:color="auto" w:fill="01653F"/>
            <w:vAlign w:val="bottom"/>
          </w:tcPr>
          <w:p w14:paraId="4B1B114D" w14:textId="77777777" w:rsidR="004C25ED" w:rsidRPr="00AE5A70" w:rsidRDefault="004C25ED" w:rsidP="00951F2F">
            <w:pPr>
              <w:pStyle w:val="Tableheading-white"/>
              <w:rPr>
                <w:color w:val="auto"/>
                <w:sz w:val="22"/>
              </w:rPr>
            </w:pPr>
            <w:r w:rsidRPr="00AE5A70">
              <w:rPr>
                <w:color w:val="auto"/>
                <w:sz w:val="22"/>
              </w:rPr>
              <w:t>Term</w:t>
            </w:r>
          </w:p>
        </w:tc>
        <w:tc>
          <w:tcPr>
            <w:tcW w:w="6180" w:type="dxa"/>
            <w:shd w:val="clear" w:color="auto" w:fill="01653F"/>
            <w:vAlign w:val="bottom"/>
          </w:tcPr>
          <w:p w14:paraId="687392E8" w14:textId="77777777" w:rsidR="004C25ED" w:rsidRPr="00AE5A70" w:rsidRDefault="004C25ED" w:rsidP="00951F2F">
            <w:pPr>
              <w:pStyle w:val="Tableheading-white"/>
              <w:rPr>
                <w:color w:val="auto"/>
                <w:sz w:val="22"/>
              </w:rPr>
            </w:pPr>
            <w:r w:rsidRPr="00AE5A70">
              <w:rPr>
                <w:color w:val="auto"/>
                <w:sz w:val="22"/>
              </w:rPr>
              <w:t>Description</w:t>
            </w:r>
          </w:p>
        </w:tc>
      </w:tr>
    </w:tbl>
    <w:tbl>
      <w:tblPr>
        <w:tblW w:w="5000" w:type="pct"/>
        <w:tblCellMar>
          <w:left w:w="0" w:type="dxa"/>
          <w:right w:w="0" w:type="dxa"/>
        </w:tblCellMar>
        <w:tblLook w:val="04A0" w:firstRow="1" w:lastRow="0" w:firstColumn="1" w:lastColumn="0" w:noHBand="0" w:noVBand="1"/>
        <w:tblCaption w:val="Glossary"/>
        <w:tblDescription w:val="This is a two column table. Glossary table which contains two heading columns: terms and their descriptions."/>
      </w:tblPr>
      <w:tblGrid>
        <w:gridCol w:w="2136"/>
        <w:gridCol w:w="6232"/>
      </w:tblGrid>
      <w:tr w:rsidR="00AE5A70" w:rsidRPr="00AE5A70" w14:paraId="2188C6D8" w14:textId="77777777" w:rsidTr="00951F2F">
        <w:tc>
          <w:tcPr>
            <w:tcW w:w="21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555E6520" w14:textId="77777777" w:rsidR="004C25ED" w:rsidRPr="00AE5A70" w:rsidRDefault="004C25ED" w:rsidP="00951F2F">
            <w:pPr>
              <w:pStyle w:val="Tabletext"/>
              <w:rPr>
                <w:sz w:val="22"/>
                <w:szCs w:val="22"/>
              </w:rPr>
            </w:pPr>
            <w:r w:rsidRPr="00AE5A70">
              <w:rPr>
                <w:sz w:val="22"/>
                <w:szCs w:val="22"/>
              </w:rPr>
              <w:t>Anorexia nervosa (AN)</w:t>
            </w:r>
          </w:p>
        </w:tc>
        <w:tc>
          <w:tcPr>
            <w:tcW w:w="6232"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215A5558" w14:textId="77777777" w:rsidR="004C25ED" w:rsidRPr="00AE5A70" w:rsidRDefault="004C25ED" w:rsidP="00951F2F">
            <w:pPr>
              <w:pStyle w:val="Tabletext"/>
              <w:rPr>
                <w:sz w:val="22"/>
                <w:szCs w:val="22"/>
              </w:rPr>
            </w:pPr>
            <w:r w:rsidRPr="00AE5A70">
              <w:rPr>
                <w:sz w:val="22"/>
                <w:szCs w:val="22"/>
              </w:rPr>
              <w:t>Persistent restriction of energy intake leading to significantly low body weight, persistent behaviours that interfere with weight gain or the disturbance in the way one’s body weight or shape is experienced.</w:t>
            </w:r>
            <w:r w:rsidRPr="00AE5A70">
              <w:rPr>
                <w:rStyle w:val="FootnoteReference"/>
                <w:sz w:val="22"/>
                <w:szCs w:val="22"/>
              </w:rPr>
              <w:footnoteReference w:id="78"/>
            </w:r>
          </w:p>
        </w:tc>
      </w:tr>
      <w:tr w:rsidR="00AE5A70" w:rsidRPr="00AE5A70" w14:paraId="02D22852" w14:textId="77777777" w:rsidTr="00951F2F">
        <w:tc>
          <w:tcPr>
            <w:tcW w:w="21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174116F3" w14:textId="77777777" w:rsidR="004C25ED" w:rsidRPr="00AE5A70" w:rsidRDefault="004C25ED" w:rsidP="00951F2F">
            <w:pPr>
              <w:pStyle w:val="Tabletext"/>
              <w:rPr>
                <w:sz w:val="22"/>
                <w:szCs w:val="22"/>
              </w:rPr>
            </w:pPr>
            <w:r w:rsidRPr="00AE5A70">
              <w:rPr>
                <w:sz w:val="22"/>
                <w:szCs w:val="22"/>
              </w:rPr>
              <w:t>Binge eating disorder (BED)</w:t>
            </w:r>
          </w:p>
        </w:tc>
        <w:tc>
          <w:tcPr>
            <w:tcW w:w="6232"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371A30E2" w14:textId="77777777" w:rsidR="004C25ED" w:rsidRPr="00AE5A70" w:rsidRDefault="004C25ED" w:rsidP="00951F2F">
            <w:pPr>
              <w:pStyle w:val="Tabletext"/>
              <w:rPr>
                <w:sz w:val="22"/>
                <w:szCs w:val="22"/>
              </w:rPr>
            </w:pPr>
            <w:r w:rsidRPr="00AE5A70">
              <w:rPr>
                <w:sz w:val="22"/>
                <w:szCs w:val="22"/>
              </w:rPr>
              <w:t>Recurrent episodes of binge eating in a discrete period of time, lack of control over eating during the episode and marked distress regarding binge eating; More subjective distress regarding the eating behaviour and commonly other co-occurring psychological problems.</w:t>
            </w:r>
            <w:r w:rsidRPr="00AE5A70">
              <w:rPr>
                <w:rStyle w:val="FootnoteReference"/>
                <w:sz w:val="22"/>
                <w:szCs w:val="22"/>
              </w:rPr>
              <w:footnoteReference w:id="79"/>
            </w:r>
          </w:p>
        </w:tc>
      </w:tr>
      <w:tr w:rsidR="00AE5A70" w:rsidRPr="00AE5A70" w14:paraId="5B9CF353" w14:textId="77777777" w:rsidTr="00951F2F">
        <w:tc>
          <w:tcPr>
            <w:tcW w:w="21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53617993" w14:textId="77777777" w:rsidR="004C25ED" w:rsidRPr="00AE5A70" w:rsidRDefault="004C25ED" w:rsidP="00951F2F">
            <w:pPr>
              <w:pStyle w:val="Tabletext"/>
              <w:rPr>
                <w:sz w:val="22"/>
                <w:szCs w:val="22"/>
              </w:rPr>
            </w:pPr>
            <w:r w:rsidRPr="00AE5A70">
              <w:rPr>
                <w:sz w:val="22"/>
                <w:szCs w:val="22"/>
              </w:rPr>
              <w:t>Bulimia nervosa (BN)</w:t>
            </w:r>
          </w:p>
        </w:tc>
        <w:tc>
          <w:tcPr>
            <w:tcW w:w="6232"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5D81E78D" w14:textId="77777777" w:rsidR="004C25ED" w:rsidRPr="00AE5A70" w:rsidRDefault="004C25ED" w:rsidP="00951F2F">
            <w:pPr>
              <w:pStyle w:val="Tabletext"/>
              <w:rPr>
                <w:sz w:val="22"/>
                <w:szCs w:val="22"/>
              </w:rPr>
            </w:pPr>
            <w:r w:rsidRPr="00AE5A70">
              <w:rPr>
                <w:sz w:val="22"/>
                <w:szCs w:val="22"/>
              </w:rPr>
              <w:t>Recurrent episodes of binge eating in a discrete period of time, lack of control over eating during the episode and recurrent inappropriate compensatory behaviour in order to prevent weight gain such as self-induced vomiting, misuse of laxatives, diuretics, or other medications, fasting, or excessive exercise.</w:t>
            </w:r>
            <w:r w:rsidRPr="00AE5A70">
              <w:rPr>
                <w:rStyle w:val="FootnoteReference"/>
                <w:sz w:val="22"/>
                <w:szCs w:val="22"/>
              </w:rPr>
              <w:footnoteReference w:id="80"/>
            </w:r>
          </w:p>
        </w:tc>
      </w:tr>
      <w:tr w:rsidR="00AE5A70" w:rsidRPr="00AE5A70" w14:paraId="5AEDADCD"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2F2F8E98" w14:textId="77777777" w:rsidR="004C25ED" w:rsidRPr="00AE5A70" w:rsidRDefault="004C25ED" w:rsidP="00951F2F">
            <w:pPr>
              <w:pStyle w:val="Tabletext"/>
              <w:rPr>
                <w:sz w:val="22"/>
                <w:szCs w:val="22"/>
              </w:rPr>
            </w:pPr>
            <w:r w:rsidRPr="00AE5A70">
              <w:rPr>
                <w:sz w:val="22"/>
                <w:szCs w:val="22"/>
              </w:rPr>
              <w:t>CAGR</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4E7E3615" w14:textId="77777777" w:rsidR="004C25ED" w:rsidRPr="00AE5A70" w:rsidRDefault="004C25ED" w:rsidP="00951F2F">
            <w:pPr>
              <w:pStyle w:val="Tabletext"/>
              <w:rPr>
                <w:sz w:val="22"/>
                <w:szCs w:val="22"/>
              </w:rPr>
            </w:pPr>
            <w:r w:rsidRPr="00AE5A70">
              <w:rPr>
                <w:sz w:val="22"/>
                <w:szCs w:val="22"/>
              </w:rPr>
              <w:t xml:space="preserve">Compound annual growth rate or the average annual growth rate over a specified time period. </w:t>
            </w:r>
          </w:p>
        </w:tc>
      </w:tr>
      <w:tr w:rsidR="00AE5A70" w:rsidRPr="00AE5A70" w14:paraId="78BB5B38"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B317A12" w14:textId="77777777" w:rsidR="004C25ED" w:rsidRPr="00AE5A70" w:rsidRDefault="004C25ED" w:rsidP="00951F2F">
            <w:pPr>
              <w:pStyle w:val="Tabletext"/>
              <w:rPr>
                <w:sz w:val="22"/>
                <w:szCs w:val="22"/>
              </w:rPr>
            </w:pPr>
            <w:r w:rsidRPr="00AE5A70">
              <w:rPr>
                <w:sz w:val="22"/>
                <w:szCs w:val="22"/>
              </w:rPr>
              <w:t>Change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424F441" w14:textId="77777777" w:rsidR="004C25ED" w:rsidRPr="00AE5A70" w:rsidRDefault="004C25ED" w:rsidP="00951F2F">
            <w:pPr>
              <w:pStyle w:val="Tabletext"/>
              <w:rPr>
                <w:sz w:val="22"/>
                <w:szCs w:val="22"/>
              </w:rPr>
            </w:pPr>
            <w:r w:rsidRPr="00AE5A70">
              <w:rPr>
                <w:sz w:val="22"/>
                <w:szCs w:val="22"/>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AE5A70" w:rsidRPr="00AE5A70" w14:paraId="5F4E9A94"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46A76BFA" w14:textId="77777777" w:rsidR="004C25ED" w:rsidRPr="00AE5A70" w:rsidRDefault="004C25ED" w:rsidP="00951F2F">
            <w:pPr>
              <w:pStyle w:val="Tabletext"/>
              <w:rPr>
                <w:sz w:val="22"/>
                <w:szCs w:val="22"/>
              </w:rPr>
            </w:pPr>
            <w:r w:rsidRPr="00AE5A70">
              <w:rPr>
                <w:sz w:val="22"/>
                <w:szCs w:val="22"/>
              </w:rPr>
              <w:t>Delete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1FE640BF" w14:textId="77777777" w:rsidR="004C25ED" w:rsidRPr="00AE5A70" w:rsidRDefault="004C25ED" w:rsidP="00951F2F">
            <w:pPr>
              <w:pStyle w:val="Tabletext"/>
              <w:rPr>
                <w:sz w:val="22"/>
                <w:szCs w:val="22"/>
              </w:rPr>
            </w:pPr>
            <w:r w:rsidRPr="00AE5A70">
              <w:rPr>
                <w:sz w:val="22"/>
                <w:szCs w:val="22"/>
              </w:rPr>
              <w:t>Describes when an item is recommended for removal from the MBS and its services will no longer be provided under the MBS.</w:t>
            </w:r>
          </w:p>
        </w:tc>
      </w:tr>
      <w:tr w:rsidR="00AE5A70" w:rsidRPr="00AE5A70" w14:paraId="514E06CD"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58D0CA2" w14:textId="77777777" w:rsidR="004C25ED" w:rsidRPr="00AE5A70" w:rsidRDefault="004C25ED" w:rsidP="00951F2F">
            <w:pPr>
              <w:pStyle w:val="Tabletext"/>
              <w:rPr>
                <w:sz w:val="22"/>
                <w:szCs w:val="22"/>
              </w:rPr>
            </w:pPr>
            <w:r w:rsidRPr="00AE5A70">
              <w:rPr>
                <w:sz w:val="22"/>
                <w:szCs w:val="22"/>
              </w:rPr>
              <w:t>Department, The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F2AA021" w14:textId="77777777" w:rsidR="004C25ED" w:rsidRPr="00AE5A70" w:rsidRDefault="004C25ED" w:rsidP="00951F2F">
            <w:pPr>
              <w:pStyle w:val="Tabletext"/>
              <w:rPr>
                <w:sz w:val="22"/>
                <w:szCs w:val="22"/>
              </w:rPr>
            </w:pPr>
            <w:r w:rsidRPr="00AE5A70">
              <w:rPr>
                <w:sz w:val="22"/>
                <w:szCs w:val="22"/>
              </w:rPr>
              <w:t>Australian Government Department of Health</w:t>
            </w:r>
          </w:p>
        </w:tc>
      </w:tr>
      <w:tr w:rsidR="00AE5A70" w:rsidRPr="00AE5A70" w14:paraId="2E43A9A1"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3967C735" w14:textId="77777777" w:rsidR="004C25ED" w:rsidRPr="00AE5A70" w:rsidRDefault="004C25ED" w:rsidP="00951F2F">
            <w:pPr>
              <w:pStyle w:val="Tabletext"/>
              <w:rPr>
                <w:sz w:val="22"/>
                <w:szCs w:val="22"/>
              </w:rPr>
            </w:pPr>
            <w:r w:rsidRPr="00AE5A70">
              <w:rPr>
                <w:sz w:val="22"/>
                <w:szCs w:val="22"/>
              </w:rPr>
              <w:t>DHS</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5D5202D6" w14:textId="77777777" w:rsidR="004C25ED" w:rsidRPr="00AE5A70" w:rsidRDefault="004C25ED" w:rsidP="00951F2F">
            <w:pPr>
              <w:pStyle w:val="Tabletext"/>
              <w:rPr>
                <w:sz w:val="22"/>
                <w:szCs w:val="22"/>
              </w:rPr>
            </w:pPr>
            <w:r w:rsidRPr="00AE5A70">
              <w:rPr>
                <w:sz w:val="22"/>
                <w:szCs w:val="22"/>
              </w:rPr>
              <w:t>Australian Government Department of Human Services</w:t>
            </w:r>
          </w:p>
        </w:tc>
      </w:tr>
      <w:tr w:rsidR="00AE5A70" w:rsidRPr="00AE5A70" w14:paraId="3EC3CA89"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74CF4FD0" w14:textId="77777777" w:rsidR="004C25ED" w:rsidRPr="00AE5A70" w:rsidRDefault="004C25ED" w:rsidP="00951F2F">
            <w:pPr>
              <w:pStyle w:val="Tabletext"/>
              <w:rPr>
                <w:sz w:val="22"/>
                <w:szCs w:val="22"/>
              </w:rPr>
            </w:pPr>
            <w:r w:rsidRPr="00AE5A70">
              <w:rPr>
                <w:sz w:val="22"/>
                <w:szCs w:val="22"/>
              </w:rPr>
              <w:t>Eating disorder (ED)</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5035E5F5" w14:textId="77777777" w:rsidR="004C25ED" w:rsidRPr="00AE5A70" w:rsidRDefault="004C25ED" w:rsidP="00951F2F">
            <w:pPr>
              <w:pStyle w:val="Tabletext"/>
              <w:rPr>
                <w:sz w:val="22"/>
                <w:szCs w:val="22"/>
              </w:rPr>
            </w:pPr>
            <w:r w:rsidRPr="00AE5A70">
              <w:rPr>
                <w:sz w:val="22"/>
                <w:szCs w:val="22"/>
              </w:rPr>
              <w:t>An eating disorder is a serious mental illness, characterised by eating, exercise and body weight or shape becoming an unhealthy preoccupation of someone’s life.</w:t>
            </w:r>
            <w:r w:rsidRPr="00AE5A70">
              <w:rPr>
                <w:rStyle w:val="FootnoteReference"/>
                <w:sz w:val="22"/>
                <w:szCs w:val="22"/>
              </w:rPr>
              <w:footnoteReference w:id="81"/>
            </w:r>
          </w:p>
        </w:tc>
      </w:tr>
      <w:tr w:rsidR="00AE5A70" w:rsidRPr="00AE5A70" w14:paraId="630D1C6A"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83DBE23" w14:textId="77777777" w:rsidR="004C25ED" w:rsidRPr="00AE5A70" w:rsidRDefault="004C25ED" w:rsidP="00951F2F">
            <w:pPr>
              <w:pStyle w:val="Tabletext"/>
              <w:rPr>
                <w:sz w:val="22"/>
                <w:szCs w:val="22"/>
              </w:rPr>
            </w:pPr>
            <w:r w:rsidRPr="00AE5A70">
              <w:rPr>
                <w:sz w:val="22"/>
                <w:szCs w:val="22"/>
              </w:rPr>
              <w:t>FY</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3B432C8" w14:textId="77777777" w:rsidR="004C25ED" w:rsidRPr="00AE5A70" w:rsidRDefault="004C25ED" w:rsidP="00951F2F">
            <w:pPr>
              <w:pStyle w:val="Tabletext"/>
              <w:rPr>
                <w:sz w:val="22"/>
                <w:szCs w:val="22"/>
              </w:rPr>
            </w:pPr>
            <w:r w:rsidRPr="00AE5A70">
              <w:rPr>
                <w:sz w:val="22"/>
                <w:szCs w:val="22"/>
              </w:rPr>
              <w:t>Financial year</w:t>
            </w:r>
          </w:p>
        </w:tc>
      </w:tr>
      <w:tr w:rsidR="00AE5A70" w:rsidRPr="00AE5A70" w14:paraId="66A24259"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0907EECB" w14:textId="77777777" w:rsidR="004C25ED" w:rsidRPr="00AE5A70" w:rsidRDefault="004C25ED" w:rsidP="00951F2F">
            <w:pPr>
              <w:pStyle w:val="Tabletext"/>
              <w:rPr>
                <w:sz w:val="22"/>
                <w:szCs w:val="22"/>
              </w:rPr>
            </w:pPr>
            <w:r w:rsidRPr="00AE5A70">
              <w:rPr>
                <w:sz w:val="22"/>
                <w:szCs w:val="22"/>
              </w:rPr>
              <w:t>High-value care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1060A4E3" w14:textId="77777777" w:rsidR="004C25ED" w:rsidRPr="00AE5A70" w:rsidRDefault="004C25ED" w:rsidP="00951F2F">
            <w:pPr>
              <w:pStyle w:val="Tabletext"/>
              <w:rPr>
                <w:sz w:val="22"/>
                <w:szCs w:val="22"/>
              </w:rPr>
            </w:pPr>
            <w:r w:rsidRPr="00AE5A70">
              <w:rPr>
                <w:sz w:val="22"/>
                <w:szCs w:val="22"/>
              </w:rPr>
              <w:t>Services of proven efficacy reflecting current best medical practice, or for which the potential benefit to consumers exceeds the risk and costs.</w:t>
            </w:r>
          </w:p>
        </w:tc>
      </w:tr>
      <w:tr w:rsidR="00AE5A70" w:rsidRPr="00AE5A70" w14:paraId="6027E56D"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9D83EC6" w14:textId="77777777" w:rsidR="004C25ED" w:rsidRPr="00AE5A70" w:rsidRDefault="004C25ED" w:rsidP="00951F2F">
            <w:pPr>
              <w:pStyle w:val="Tabletext"/>
              <w:rPr>
                <w:sz w:val="22"/>
                <w:szCs w:val="22"/>
              </w:rPr>
            </w:pPr>
            <w:r w:rsidRPr="00AE5A70">
              <w:rPr>
                <w:sz w:val="22"/>
                <w:szCs w:val="22"/>
              </w:rPr>
              <w:t>Inappropriate use / misuse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7ED2817" w14:textId="77777777" w:rsidR="004C25ED" w:rsidRPr="00AE5A70" w:rsidRDefault="004C25ED" w:rsidP="00951F2F">
            <w:pPr>
              <w:pStyle w:val="Tabletext"/>
              <w:rPr>
                <w:sz w:val="22"/>
                <w:szCs w:val="22"/>
              </w:rPr>
            </w:pPr>
            <w:r w:rsidRPr="00AE5A70">
              <w:rPr>
                <w:sz w:val="22"/>
                <w:szCs w:val="22"/>
              </w:rPr>
              <w:t>The use of MBS services for purposes other than those intended. This includes a range of behaviours, from failing to adhere to particular item descriptors or rules through to deliberate fraud.</w:t>
            </w:r>
          </w:p>
        </w:tc>
      </w:tr>
      <w:tr w:rsidR="00AE5A70" w:rsidRPr="00AE5A70" w14:paraId="76C7E91A"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599762A" w14:textId="77777777" w:rsidR="004C25ED" w:rsidRPr="00AE5A70" w:rsidRDefault="004C25ED" w:rsidP="00951F2F">
            <w:pPr>
              <w:pStyle w:val="Tabletext"/>
              <w:rPr>
                <w:sz w:val="22"/>
                <w:szCs w:val="22"/>
              </w:rPr>
            </w:pPr>
            <w:r w:rsidRPr="00AE5A70">
              <w:rPr>
                <w:sz w:val="22"/>
                <w:szCs w:val="22"/>
              </w:rPr>
              <w:t>Low-value care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1B5714DB" w14:textId="77777777" w:rsidR="004C25ED" w:rsidRPr="00AE5A70" w:rsidRDefault="004C25ED" w:rsidP="00951F2F">
            <w:pPr>
              <w:pStyle w:val="Tabletext"/>
              <w:rPr>
                <w:sz w:val="22"/>
                <w:szCs w:val="22"/>
              </w:rPr>
            </w:pPr>
            <w:r w:rsidRPr="00AE5A70">
              <w:rPr>
                <w:sz w:val="22"/>
                <w:szCs w:val="22"/>
              </w:rPr>
              <w:t>Services that evidence suggests confer no or very little benefit to consumers; or for which the risk of harm exceeds the likely benefit; or, more broadly, where the added costs of services do not provide proportional added benefits.</w:t>
            </w:r>
          </w:p>
        </w:tc>
      </w:tr>
      <w:tr w:rsidR="00AE5A70" w:rsidRPr="00AE5A70" w14:paraId="5F2A0760"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6E467896" w14:textId="77777777" w:rsidR="004C25ED" w:rsidRPr="00AE5A70" w:rsidRDefault="004C25ED" w:rsidP="00951F2F">
            <w:pPr>
              <w:pStyle w:val="Tabletext"/>
              <w:rPr>
                <w:sz w:val="22"/>
                <w:szCs w:val="22"/>
              </w:rPr>
            </w:pPr>
            <w:r w:rsidRPr="00AE5A70">
              <w:rPr>
                <w:sz w:val="22"/>
                <w:szCs w:val="22"/>
              </w:rPr>
              <w:t>MBS</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208D134C" w14:textId="77777777" w:rsidR="004C25ED" w:rsidRPr="00AE5A70" w:rsidRDefault="004C25ED" w:rsidP="00951F2F">
            <w:pPr>
              <w:pStyle w:val="Tabletext"/>
              <w:rPr>
                <w:sz w:val="22"/>
                <w:szCs w:val="22"/>
              </w:rPr>
            </w:pPr>
            <w:r w:rsidRPr="00AE5A70">
              <w:rPr>
                <w:sz w:val="22"/>
                <w:szCs w:val="22"/>
              </w:rPr>
              <w:t xml:space="preserve">Medicare Benefits Schedule </w:t>
            </w:r>
          </w:p>
        </w:tc>
      </w:tr>
      <w:tr w:rsidR="00AE5A70" w:rsidRPr="00AE5A70" w14:paraId="0D993B2D"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A69D3A0" w14:textId="77777777" w:rsidR="004C25ED" w:rsidRPr="00AE5A70" w:rsidRDefault="004C25ED" w:rsidP="00951F2F">
            <w:pPr>
              <w:pStyle w:val="Tabletext"/>
              <w:rPr>
                <w:sz w:val="22"/>
                <w:szCs w:val="22"/>
              </w:rPr>
            </w:pPr>
            <w:r w:rsidRPr="00AE5A70">
              <w:rPr>
                <w:sz w:val="22"/>
                <w:szCs w:val="22"/>
              </w:rPr>
              <w:t>MBS item</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8E89496" w14:textId="77777777" w:rsidR="004C25ED" w:rsidRPr="00AE5A70" w:rsidRDefault="004C25ED" w:rsidP="00951F2F">
            <w:pPr>
              <w:pStyle w:val="Tabletext"/>
              <w:rPr>
                <w:sz w:val="22"/>
                <w:szCs w:val="22"/>
              </w:rPr>
            </w:pPr>
            <w:r w:rsidRPr="00AE5A70">
              <w:rPr>
                <w:sz w:val="22"/>
                <w:szCs w:val="22"/>
              </w:rPr>
              <w:t>An administrative object listed in the MBS and used for the purposes of claiming and paying Medicare benefits, consisting of an item number, service descriptor and supporting information, schedule fee and Medicare benefits.</w:t>
            </w:r>
          </w:p>
        </w:tc>
      </w:tr>
      <w:tr w:rsidR="00AE5A70" w:rsidRPr="00AE5A70" w14:paraId="3CD9CB8C"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4A7FEA6A" w14:textId="77777777" w:rsidR="004C25ED" w:rsidRPr="00AE5A70" w:rsidRDefault="004C25ED" w:rsidP="00951F2F">
            <w:pPr>
              <w:pStyle w:val="Tabletext"/>
              <w:rPr>
                <w:sz w:val="22"/>
                <w:szCs w:val="22"/>
              </w:rPr>
            </w:pPr>
            <w:r w:rsidRPr="00AE5A70">
              <w:rPr>
                <w:sz w:val="22"/>
                <w:szCs w:val="22"/>
              </w:rPr>
              <w:t>MBS service</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2850BFC6" w14:textId="77777777" w:rsidR="004C25ED" w:rsidRPr="00AE5A70" w:rsidRDefault="004C25ED" w:rsidP="00951F2F">
            <w:pPr>
              <w:pStyle w:val="Tabletext"/>
              <w:rPr>
                <w:sz w:val="22"/>
                <w:szCs w:val="22"/>
              </w:rPr>
            </w:pPr>
            <w:r w:rsidRPr="00AE5A70">
              <w:rPr>
                <w:sz w:val="22"/>
                <w:szCs w:val="22"/>
              </w:rPr>
              <w:t>The actual medical consultation, procedure or test to which the relevant MBS item refers.</w:t>
            </w:r>
          </w:p>
        </w:tc>
      </w:tr>
      <w:tr w:rsidR="00AE5A70" w:rsidRPr="00AE5A70" w14:paraId="5465805E"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0A6291AE" w14:textId="77777777" w:rsidR="004C25ED" w:rsidRPr="00AE5A70" w:rsidRDefault="004C25ED" w:rsidP="00951F2F">
            <w:pPr>
              <w:pStyle w:val="Tabletext"/>
              <w:rPr>
                <w:sz w:val="22"/>
                <w:szCs w:val="22"/>
              </w:rPr>
            </w:pPr>
            <w:r w:rsidRPr="00AE5A70">
              <w:rPr>
                <w:sz w:val="22"/>
                <w:szCs w:val="22"/>
              </w:rPr>
              <w:t>Multidisciplinary team (MDT)</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027B6F32" w14:textId="77777777" w:rsidR="004C25ED" w:rsidRPr="00AE5A70" w:rsidRDefault="004C25ED" w:rsidP="00951F2F">
            <w:pPr>
              <w:pStyle w:val="Tabletext"/>
              <w:rPr>
                <w:sz w:val="22"/>
                <w:szCs w:val="22"/>
              </w:rPr>
            </w:pPr>
            <w:r w:rsidRPr="00AE5A70">
              <w:rPr>
                <w:sz w:val="22"/>
                <w:szCs w:val="22"/>
              </w:rPr>
              <w:t>A multidisciplinary team involves a range of health professionals from one or more organisations, working together to deliver comprehensive patient care.</w:t>
            </w:r>
            <w:r w:rsidRPr="00AE5A70">
              <w:rPr>
                <w:rStyle w:val="FootnoteReference"/>
                <w:sz w:val="22"/>
                <w:szCs w:val="22"/>
              </w:rPr>
              <w:footnoteReference w:id="82"/>
            </w:r>
          </w:p>
        </w:tc>
      </w:tr>
      <w:tr w:rsidR="00AE5A70" w:rsidRPr="00AE5A70" w14:paraId="16698F8C"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54FA809F" w14:textId="77777777" w:rsidR="004C25ED" w:rsidRPr="00AE5A70" w:rsidRDefault="004C25ED" w:rsidP="00951F2F">
            <w:pPr>
              <w:pStyle w:val="Tabletext"/>
              <w:rPr>
                <w:sz w:val="22"/>
                <w:szCs w:val="22"/>
              </w:rPr>
            </w:pPr>
            <w:r w:rsidRPr="00AE5A70">
              <w:rPr>
                <w:sz w:val="22"/>
                <w:szCs w:val="22"/>
              </w:rPr>
              <w:t>Misuse (of MBS item)</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292548E0" w14:textId="77777777" w:rsidR="004C25ED" w:rsidRPr="00AE5A70" w:rsidRDefault="004C25ED" w:rsidP="00951F2F">
            <w:pPr>
              <w:pStyle w:val="Tabletext"/>
              <w:rPr>
                <w:sz w:val="22"/>
                <w:szCs w:val="22"/>
              </w:rPr>
            </w:pPr>
            <w:r w:rsidRPr="00AE5A70">
              <w:rPr>
                <w:sz w:val="22"/>
                <w:szCs w:val="22"/>
              </w:rPr>
              <w:t>The use of MBS services for purposes other than those intended. This includes a range of behaviours, from failing to adhere to particular item descriptors or rules through to deliberate fraud.</w:t>
            </w:r>
          </w:p>
        </w:tc>
      </w:tr>
      <w:tr w:rsidR="00AE5A70" w:rsidRPr="00AE5A70" w14:paraId="09F9B9BE"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6AB49CFD" w14:textId="77777777" w:rsidR="004C25ED" w:rsidRPr="00AE5A70" w:rsidRDefault="004C25ED" w:rsidP="00951F2F">
            <w:pPr>
              <w:pStyle w:val="Tabletext"/>
              <w:rPr>
                <w:sz w:val="22"/>
                <w:szCs w:val="22"/>
              </w:rPr>
            </w:pPr>
            <w:r w:rsidRPr="00AE5A70">
              <w:rPr>
                <w:sz w:val="22"/>
                <w:szCs w:val="22"/>
              </w:rPr>
              <w:t>MSAC</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2DF7796B" w14:textId="77777777" w:rsidR="004C25ED" w:rsidRPr="00AE5A70" w:rsidRDefault="004C25ED" w:rsidP="00951F2F">
            <w:pPr>
              <w:pStyle w:val="Tabletext"/>
              <w:rPr>
                <w:sz w:val="22"/>
                <w:szCs w:val="22"/>
              </w:rPr>
            </w:pPr>
            <w:r w:rsidRPr="00AE5A70">
              <w:rPr>
                <w:sz w:val="22"/>
                <w:szCs w:val="22"/>
              </w:rPr>
              <w:t>Medical Services Advisory Committee</w:t>
            </w:r>
          </w:p>
        </w:tc>
      </w:tr>
      <w:tr w:rsidR="00AE5A70" w:rsidRPr="00AE5A70" w14:paraId="6459510C"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4C576685" w14:textId="77777777" w:rsidR="004C25ED" w:rsidRPr="00AE5A70" w:rsidRDefault="004C25ED" w:rsidP="00951F2F">
            <w:pPr>
              <w:pStyle w:val="Tabletext"/>
              <w:rPr>
                <w:sz w:val="22"/>
                <w:szCs w:val="22"/>
              </w:rPr>
            </w:pPr>
            <w:r w:rsidRPr="00AE5A70">
              <w:rPr>
                <w:sz w:val="22"/>
                <w:szCs w:val="22"/>
              </w:rPr>
              <w:t xml:space="preserve">New service </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5004D482" w14:textId="77777777" w:rsidR="004C25ED" w:rsidRPr="00AE5A70" w:rsidRDefault="004C25ED" w:rsidP="00951F2F">
            <w:pPr>
              <w:pStyle w:val="Tabletext"/>
              <w:rPr>
                <w:sz w:val="22"/>
                <w:szCs w:val="22"/>
              </w:rPr>
            </w:pPr>
            <w:r w:rsidRPr="00AE5A70">
              <w:rPr>
                <w:sz w:val="22"/>
                <w:szCs w:val="22"/>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AE5A70" w:rsidRPr="00AE5A70" w14:paraId="6D9EBB3C"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518720AF" w14:textId="77777777" w:rsidR="004C25ED" w:rsidRPr="00AE5A70" w:rsidRDefault="004C25ED" w:rsidP="00951F2F">
            <w:pPr>
              <w:pStyle w:val="Tabletext"/>
              <w:rPr>
                <w:sz w:val="22"/>
                <w:szCs w:val="22"/>
              </w:rPr>
            </w:pPr>
            <w:r w:rsidRPr="00AE5A70">
              <w:rPr>
                <w:sz w:val="22"/>
                <w:szCs w:val="22"/>
              </w:rPr>
              <w:t>No change or leave unchanged</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47FDC5EC" w14:textId="77777777" w:rsidR="004C25ED" w:rsidRPr="00AE5A70" w:rsidRDefault="004C25ED" w:rsidP="00951F2F">
            <w:pPr>
              <w:pStyle w:val="Tabletext"/>
              <w:rPr>
                <w:sz w:val="22"/>
                <w:szCs w:val="22"/>
              </w:rPr>
            </w:pPr>
            <w:r w:rsidRPr="00AE5A70">
              <w:rPr>
                <w:sz w:val="22"/>
                <w:szCs w:val="22"/>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E5A70" w:rsidRPr="00AE5A70" w14:paraId="71133A73"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D81D817" w14:textId="77777777" w:rsidR="004C25ED" w:rsidRPr="00AE5A70" w:rsidRDefault="004C25ED" w:rsidP="00951F2F">
            <w:pPr>
              <w:pStyle w:val="Tabletext"/>
              <w:rPr>
                <w:sz w:val="22"/>
                <w:szCs w:val="22"/>
              </w:rPr>
            </w:pPr>
            <w:r w:rsidRPr="00AE5A70">
              <w:rPr>
                <w:sz w:val="22"/>
                <w:szCs w:val="22"/>
              </w:rPr>
              <w:t>Obsolete services / items</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94BEEC0" w14:textId="77777777" w:rsidR="004C25ED" w:rsidRPr="00AE5A70" w:rsidRDefault="004C25ED" w:rsidP="00951F2F">
            <w:pPr>
              <w:pStyle w:val="Tabletext"/>
              <w:rPr>
                <w:sz w:val="22"/>
                <w:szCs w:val="22"/>
              </w:rPr>
            </w:pPr>
            <w:r w:rsidRPr="00AE5A70">
              <w:rPr>
                <w:sz w:val="22"/>
                <w:szCs w:val="22"/>
              </w:rPr>
              <w:t>Services that should no longer be performed as they do not represent current clinical best practice and have been superseded by superior tests or procedures.</w:t>
            </w:r>
          </w:p>
        </w:tc>
      </w:tr>
      <w:tr w:rsidR="00AE5A70" w:rsidRPr="00AE5A70" w14:paraId="18D30D13"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09B653FA" w14:textId="77777777" w:rsidR="004C25ED" w:rsidRPr="00AE5A70" w:rsidRDefault="004C25ED" w:rsidP="00951F2F">
            <w:pPr>
              <w:pStyle w:val="Tabletext"/>
              <w:rPr>
                <w:sz w:val="22"/>
                <w:szCs w:val="22"/>
              </w:rPr>
            </w:pPr>
            <w:r w:rsidRPr="00AE5A70">
              <w:rPr>
                <w:sz w:val="22"/>
                <w:szCs w:val="22"/>
              </w:rPr>
              <w:t>PBS</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32C05D96" w14:textId="77777777" w:rsidR="004C25ED" w:rsidRPr="00AE5A70" w:rsidRDefault="004C25ED" w:rsidP="00951F2F">
            <w:pPr>
              <w:pStyle w:val="Tabletext"/>
              <w:rPr>
                <w:sz w:val="22"/>
                <w:szCs w:val="22"/>
              </w:rPr>
            </w:pPr>
            <w:r w:rsidRPr="00AE5A70">
              <w:rPr>
                <w:sz w:val="22"/>
                <w:szCs w:val="22"/>
              </w:rPr>
              <w:t>Pharmaceutical Benefits Scheme</w:t>
            </w:r>
          </w:p>
        </w:tc>
      </w:tr>
      <w:tr w:rsidR="00AE5A70" w:rsidRPr="00AE5A70" w14:paraId="1E963A43"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73A9539D" w14:textId="77777777" w:rsidR="004C25ED" w:rsidRPr="00AE5A70" w:rsidRDefault="004C25ED" w:rsidP="00951F2F">
            <w:pPr>
              <w:pStyle w:val="Tabletext"/>
              <w:rPr>
                <w:sz w:val="22"/>
                <w:szCs w:val="22"/>
              </w:rPr>
            </w:pPr>
            <w:r w:rsidRPr="00AE5A70">
              <w:rPr>
                <w:sz w:val="22"/>
                <w:szCs w:val="22"/>
              </w:rPr>
              <w:t>Services average annual growth</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hideMark/>
          </w:tcPr>
          <w:p w14:paraId="41F99357" w14:textId="77777777" w:rsidR="004C25ED" w:rsidRPr="00AE5A70" w:rsidRDefault="004C25ED" w:rsidP="00951F2F">
            <w:pPr>
              <w:pStyle w:val="Tabletext"/>
              <w:rPr>
                <w:sz w:val="22"/>
                <w:szCs w:val="22"/>
              </w:rPr>
            </w:pPr>
            <w:r w:rsidRPr="00AE5A70">
              <w:rPr>
                <w:sz w:val="22"/>
                <w:szCs w:val="22"/>
              </w:rPr>
              <w:t>The average growth per year, over five years to 2014/15, in utilisation of services. Also known as the compound annual growth rate (CAGR).</w:t>
            </w:r>
          </w:p>
        </w:tc>
      </w:tr>
      <w:tr w:rsidR="00AE5A70" w:rsidRPr="00AE5A70" w14:paraId="44D81407"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0445E506" w14:textId="77777777" w:rsidR="004C25ED" w:rsidRPr="00AE5A70" w:rsidRDefault="004C25ED" w:rsidP="00951F2F">
            <w:pPr>
              <w:pStyle w:val="Tabletext"/>
              <w:rPr>
                <w:sz w:val="22"/>
                <w:szCs w:val="22"/>
              </w:rPr>
            </w:pPr>
            <w:r w:rsidRPr="00AE5A70">
              <w:rPr>
                <w:sz w:val="22"/>
                <w:szCs w:val="22"/>
              </w:rPr>
              <w:t>SSU</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tcPr>
          <w:p w14:paraId="086FD201" w14:textId="77777777" w:rsidR="004C25ED" w:rsidRPr="00AE5A70" w:rsidRDefault="004C25ED" w:rsidP="00951F2F">
            <w:pPr>
              <w:pStyle w:val="Tabletext"/>
              <w:rPr>
                <w:sz w:val="22"/>
                <w:szCs w:val="22"/>
              </w:rPr>
            </w:pPr>
            <w:r w:rsidRPr="00AE5A70">
              <w:rPr>
                <w:sz w:val="22"/>
                <w:szCs w:val="22"/>
              </w:rPr>
              <w:t>Short Stay Unit</w:t>
            </w:r>
          </w:p>
        </w:tc>
      </w:tr>
      <w:tr w:rsidR="00AE5A70" w:rsidRPr="00AE5A70" w14:paraId="70B4CC03"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30853C11" w14:textId="77777777" w:rsidR="004C25ED" w:rsidRPr="00AE5A70" w:rsidRDefault="004C25ED" w:rsidP="00951F2F">
            <w:pPr>
              <w:pStyle w:val="Tabletext"/>
              <w:rPr>
                <w:sz w:val="22"/>
                <w:szCs w:val="22"/>
              </w:rPr>
            </w:pPr>
            <w:r w:rsidRPr="00AE5A70">
              <w:rPr>
                <w:sz w:val="22"/>
                <w:szCs w:val="22"/>
              </w:rPr>
              <w:t>The Working Group</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025E24C2" w14:textId="77777777" w:rsidR="004C25ED" w:rsidRPr="00AE5A70" w:rsidRDefault="004C25ED" w:rsidP="00951F2F">
            <w:pPr>
              <w:pStyle w:val="Tabletext"/>
              <w:rPr>
                <w:sz w:val="22"/>
                <w:szCs w:val="22"/>
              </w:rPr>
            </w:pPr>
            <w:r w:rsidRPr="00AE5A70">
              <w:rPr>
                <w:sz w:val="22"/>
                <w:szCs w:val="22"/>
              </w:rPr>
              <w:t>The Eating Disorders Working Group of the MBS Review</w:t>
            </w:r>
          </w:p>
        </w:tc>
      </w:tr>
      <w:tr w:rsidR="00AE5A70" w:rsidRPr="00AE5A70" w14:paraId="061B2FD3"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63038F5E" w14:textId="77777777" w:rsidR="004C25ED" w:rsidRPr="00AE5A70" w:rsidRDefault="004C25ED" w:rsidP="00951F2F">
            <w:pPr>
              <w:pStyle w:val="Tabletext"/>
              <w:rPr>
                <w:sz w:val="22"/>
                <w:szCs w:val="22"/>
              </w:rPr>
            </w:pPr>
            <w:r w:rsidRPr="00AE5A70">
              <w:rPr>
                <w:sz w:val="22"/>
                <w:szCs w:val="22"/>
              </w:rPr>
              <w:t xml:space="preserve">The Taskforce </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hideMark/>
          </w:tcPr>
          <w:p w14:paraId="1A9FF8DE" w14:textId="77777777" w:rsidR="004C25ED" w:rsidRPr="00AE5A70" w:rsidRDefault="004C25ED" w:rsidP="00951F2F">
            <w:pPr>
              <w:pStyle w:val="Tabletext"/>
              <w:rPr>
                <w:sz w:val="22"/>
                <w:szCs w:val="22"/>
              </w:rPr>
            </w:pPr>
            <w:r w:rsidRPr="00AE5A70">
              <w:rPr>
                <w:sz w:val="22"/>
                <w:szCs w:val="22"/>
              </w:rPr>
              <w:t xml:space="preserve">The MBS Review Taskforce </w:t>
            </w:r>
          </w:p>
        </w:tc>
      </w:tr>
      <w:tr w:rsidR="00AE5A70" w:rsidRPr="00AE5A70" w14:paraId="56C611FF" w14:textId="77777777" w:rsidTr="00951F2F">
        <w:tc>
          <w:tcPr>
            <w:tcW w:w="21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tcPr>
          <w:p w14:paraId="5C065697" w14:textId="77777777" w:rsidR="004C25ED" w:rsidRPr="00AE5A70" w:rsidRDefault="004C25ED" w:rsidP="00951F2F">
            <w:pPr>
              <w:pStyle w:val="Tabletext"/>
              <w:rPr>
                <w:sz w:val="22"/>
                <w:szCs w:val="22"/>
              </w:rPr>
            </w:pPr>
            <w:r w:rsidRPr="00AE5A70">
              <w:rPr>
                <w:sz w:val="22"/>
                <w:szCs w:val="22"/>
              </w:rPr>
              <w:t>Total benefits</w:t>
            </w:r>
          </w:p>
        </w:tc>
        <w:tc>
          <w:tcPr>
            <w:tcW w:w="6175" w:type="dxa"/>
            <w:tcBorders>
              <w:top w:val="nil"/>
              <w:left w:val="nil"/>
              <w:bottom w:val="single" w:sz="8" w:space="0" w:color="BFBFBF" w:themeColor="background1" w:themeShade="BF"/>
              <w:right w:val="single" w:sz="8" w:space="0" w:color="BFBFBF" w:themeColor="background1" w:themeShade="BF"/>
            </w:tcBorders>
            <w:tcMar>
              <w:top w:w="28" w:type="dxa"/>
              <w:left w:w="28" w:type="dxa"/>
              <w:bottom w:w="28" w:type="dxa"/>
              <w:right w:w="28" w:type="dxa"/>
            </w:tcMar>
            <w:vAlign w:val="center"/>
          </w:tcPr>
          <w:p w14:paraId="7A34CDBF" w14:textId="77777777" w:rsidR="004C25ED" w:rsidRPr="00AE5A70" w:rsidRDefault="004C25ED" w:rsidP="00951F2F">
            <w:pPr>
              <w:pStyle w:val="Tabletext"/>
              <w:rPr>
                <w:sz w:val="22"/>
                <w:szCs w:val="22"/>
              </w:rPr>
            </w:pPr>
            <w:r w:rsidRPr="00AE5A70">
              <w:rPr>
                <w:sz w:val="22"/>
                <w:szCs w:val="22"/>
              </w:rPr>
              <w:t>Total benefits paid in 2014/15 unless otherwise specified.</w:t>
            </w:r>
          </w:p>
        </w:tc>
      </w:tr>
    </w:tbl>
    <w:p w14:paraId="07AD35FD" w14:textId="77777777" w:rsidR="004C25ED" w:rsidRPr="00AE5A70" w:rsidRDefault="004C25ED" w:rsidP="004C25ED">
      <w:pPr>
        <w:spacing w:before="0" w:after="0" w:line="240" w:lineRule="auto"/>
        <w:rPr>
          <w:szCs w:val="22"/>
        </w:rPr>
        <w:sectPr w:rsidR="004C25ED" w:rsidRPr="00AE5A70" w:rsidSect="008E11F7">
          <w:pgSz w:w="11906" w:h="16838" w:code="9"/>
          <w:pgMar w:top="1440" w:right="1797" w:bottom="1440" w:left="1797" w:header="720" w:footer="720" w:gutter="0"/>
          <w:cols w:space="720"/>
          <w:docGrid w:linePitch="326"/>
        </w:sectPr>
      </w:pPr>
    </w:p>
    <w:p w14:paraId="1AFCCFED" w14:textId="77777777" w:rsidR="004C25ED" w:rsidRPr="00AE5A70" w:rsidRDefault="004C25ED" w:rsidP="00E40606">
      <w:pPr>
        <w:pStyle w:val="Heading1"/>
        <w:widowControl w:val="0"/>
        <w:pBdr>
          <w:bottom w:val="single" w:sz="16" w:space="11" w:color="BFBFBF"/>
        </w:pBdr>
        <w:autoSpaceDE w:val="0"/>
        <w:autoSpaceDN w:val="0"/>
        <w:adjustRightInd w:val="0"/>
        <w:spacing w:before="0" w:after="360"/>
        <w:textAlignment w:val="center"/>
        <w:rPr>
          <w:sz w:val="24"/>
          <w:szCs w:val="24"/>
        </w:rPr>
      </w:pPr>
      <w:bookmarkStart w:id="97" w:name="_Toc531941964"/>
      <w:r w:rsidRPr="00AE5A70">
        <w:rPr>
          <w:sz w:val="24"/>
          <w:szCs w:val="24"/>
        </w:rPr>
        <w:t>References</w:t>
      </w:r>
      <w:bookmarkEnd w:id="97"/>
    </w:p>
    <w:p w14:paraId="6FC18698" w14:textId="77777777" w:rsidR="004C25ED" w:rsidRPr="00AE5A70" w:rsidRDefault="004C25ED" w:rsidP="004C25ED">
      <w:pPr>
        <w:spacing w:before="0"/>
        <w:rPr>
          <w:sz w:val="23"/>
          <w:szCs w:val="23"/>
        </w:rPr>
      </w:pPr>
      <w:r w:rsidRPr="00AE5A70">
        <w:rPr>
          <w:sz w:val="23"/>
          <w:szCs w:val="23"/>
        </w:rPr>
        <w:t>This contains references to sources and materials referenced in this report.</w:t>
      </w:r>
    </w:p>
    <w:p w14:paraId="6E556AB4"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Australian Bureau of Statistics (ABS) 2015. </w:t>
      </w:r>
      <w:r w:rsidRPr="00AE5A70">
        <w:rPr>
          <w:rFonts w:cstheme="minorHAnsi"/>
          <w:i/>
          <w:sz w:val="23"/>
          <w:szCs w:val="23"/>
        </w:rPr>
        <w:t>Patient experiences in Australia: summary of findings 2014</w:t>
      </w:r>
      <w:r w:rsidRPr="00AE5A70">
        <w:rPr>
          <w:rFonts w:cstheme="minorHAnsi"/>
          <w:i/>
          <w:sz w:val="23"/>
          <w:szCs w:val="23"/>
        </w:rPr>
        <w:softHyphen/>
        <w:t>–15</w:t>
      </w:r>
      <w:r w:rsidRPr="00AE5A70">
        <w:rPr>
          <w:rFonts w:cstheme="minorHAnsi"/>
          <w:sz w:val="23"/>
          <w:szCs w:val="23"/>
        </w:rPr>
        <w:t>. ABS Cat. No. 4839. Canberra: AIHW</w:t>
      </w:r>
    </w:p>
    <w:p w14:paraId="5DEB7466" w14:textId="77777777" w:rsidR="004C25ED" w:rsidRPr="00AE5A70" w:rsidRDefault="004C25ED" w:rsidP="004C25ED">
      <w:pPr>
        <w:ind w:left="720" w:hanging="720"/>
        <w:rPr>
          <w:rFonts w:cstheme="minorHAnsi"/>
          <w:sz w:val="23"/>
          <w:szCs w:val="23"/>
        </w:rPr>
      </w:pPr>
      <w:r w:rsidRPr="00AE5A70">
        <w:rPr>
          <w:rFonts w:cstheme="minorHAnsi"/>
          <w:sz w:val="23"/>
          <w:szCs w:val="23"/>
          <w:lang w:val="en-US"/>
        </w:rPr>
        <w:t xml:space="preserve">Australian Government. (2015). </w:t>
      </w:r>
      <w:r w:rsidRPr="00AE5A70">
        <w:rPr>
          <w:rFonts w:cstheme="minorHAnsi"/>
          <w:i/>
          <w:sz w:val="23"/>
          <w:szCs w:val="23"/>
          <w:lang w:val="en-US"/>
        </w:rPr>
        <w:t>Response to Contributing Lives, Thriving Communities – Review of Mental Health Programmes and Services</w:t>
      </w:r>
      <w:r w:rsidRPr="00AE5A70">
        <w:rPr>
          <w:rFonts w:cstheme="minorHAnsi"/>
          <w:sz w:val="23"/>
          <w:szCs w:val="23"/>
          <w:lang w:val="en-US"/>
        </w:rPr>
        <w:t>.p.3</w:t>
      </w:r>
    </w:p>
    <w:p w14:paraId="2CDD5462"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Australian Institute of Health and Welfare. (2018). </w:t>
      </w:r>
      <w:r w:rsidRPr="00AE5A70">
        <w:rPr>
          <w:rFonts w:cstheme="minorHAnsi"/>
          <w:i/>
          <w:iCs/>
          <w:sz w:val="23"/>
          <w:szCs w:val="23"/>
        </w:rPr>
        <w:t>Burden of disease Overview - Australian Institute of Health and Welfare</w:t>
      </w:r>
      <w:r w:rsidRPr="00AE5A70">
        <w:rPr>
          <w:rFonts w:cstheme="minorHAnsi"/>
          <w:sz w:val="23"/>
          <w:szCs w:val="23"/>
        </w:rPr>
        <w:t xml:space="preserve">. [online] Available at: </w:t>
      </w:r>
      <w:hyperlink r:id="rId14" w:history="1">
        <w:r w:rsidRPr="00AE5A70">
          <w:rPr>
            <w:rStyle w:val="Hyperlink"/>
            <w:rFonts w:cstheme="minorHAnsi"/>
            <w:color w:val="auto"/>
            <w:sz w:val="23"/>
            <w:szCs w:val="23"/>
          </w:rPr>
          <w:t>https://www.aihw.gov.au/reports-statistics/health-conditions-disability-deaths/burden-of-disease/overview</w:t>
        </w:r>
      </w:hyperlink>
      <w:r w:rsidRPr="00AE5A70">
        <w:rPr>
          <w:rFonts w:cstheme="minorHAnsi"/>
          <w:sz w:val="23"/>
          <w:szCs w:val="23"/>
        </w:rPr>
        <w:t xml:space="preserve"> [Accessed 14 Aug. 2018].</w:t>
      </w:r>
    </w:p>
    <w:p w14:paraId="41FAF996" w14:textId="77777777" w:rsidR="00AA74A7" w:rsidRPr="00AE5A70" w:rsidRDefault="004C25ED" w:rsidP="00AA74A7">
      <w:pPr>
        <w:pStyle w:val="FootnoteText"/>
        <w:ind w:left="720" w:hanging="720"/>
        <w:rPr>
          <w:rFonts w:cstheme="minorHAnsi"/>
          <w:sz w:val="23"/>
          <w:szCs w:val="23"/>
        </w:rPr>
      </w:pPr>
      <w:r w:rsidRPr="00AE5A70">
        <w:rPr>
          <w:rFonts w:cstheme="minorHAnsi"/>
          <w:sz w:val="23"/>
          <w:szCs w:val="23"/>
        </w:rPr>
        <w:t xml:space="preserve">Butterfly Foundation. (2018). </w:t>
      </w:r>
      <w:r w:rsidRPr="00AE5A70">
        <w:rPr>
          <w:rFonts w:cstheme="minorHAnsi"/>
          <w:i/>
          <w:sz w:val="23"/>
          <w:szCs w:val="23"/>
        </w:rPr>
        <w:t xml:space="preserve">Paying the Price: The Economic and Social Impact of Eating Disorders om Australia. </w:t>
      </w:r>
      <w:r w:rsidRPr="00AE5A70">
        <w:rPr>
          <w:rFonts w:cstheme="minorHAnsi"/>
          <w:sz w:val="23"/>
          <w:szCs w:val="23"/>
        </w:rPr>
        <w:t xml:space="preserve">[online] </w:t>
      </w:r>
      <w:r w:rsidR="00440DF0" w:rsidRPr="00AE5A70">
        <w:rPr>
          <w:rFonts w:cstheme="minorHAnsi"/>
          <w:sz w:val="23"/>
          <w:szCs w:val="23"/>
        </w:rPr>
        <w:t>Available</w:t>
      </w:r>
      <w:r w:rsidRPr="00AE5A70">
        <w:rPr>
          <w:rFonts w:cstheme="minorHAnsi"/>
          <w:sz w:val="23"/>
          <w:szCs w:val="23"/>
        </w:rPr>
        <w:t xml:space="preserve"> at: </w:t>
      </w:r>
      <w:hyperlink r:id="rId15" w:history="1">
        <w:r w:rsidRPr="00AE5A70">
          <w:rPr>
            <w:rStyle w:val="Hyperlink"/>
            <w:rFonts w:cstheme="minorHAnsi"/>
            <w:color w:val="auto"/>
            <w:sz w:val="23"/>
            <w:szCs w:val="23"/>
          </w:rPr>
          <w:t>https://thebutterflyfoundation.org.au/assets/Uploads/Butterfly-report-Paying-the-Price-Executive-Summary.pdf</w:t>
        </w:r>
      </w:hyperlink>
      <w:r w:rsidRPr="00AE5A70">
        <w:rPr>
          <w:rFonts w:cstheme="minorHAnsi"/>
          <w:sz w:val="23"/>
          <w:szCs w:val="23"/>
        </w:rPr>
        <w:t xml:space="preserve"> [Accessed 14 Aug 2018]</w:t>
      </w:r>
    </w:p>
    <w:p w14:paraId="5445BBFE" w14:textId="77777777" w:rsidR="00AA74A7" w:rsidRPr="00AE5A70" w:rsidRDefault="00F62B55" w:rsidP="00AA74A7">
      <w:pPr>
        <w:autoSpaceDE w:val="0"/>
        <w:autoSpaceDN w:val="0"/>
        <w:adjustRightInd w:val="0"/>
        <w:ind w:left="709" w:hanging="709"/>
        <w:rPr>
          <w:rFonts w:cstheme="minorHAnsi"/>
          <w:sz w:val="23"/>
          <w:szCs w:val="23"/>
          <w:lang w:val="en-US"/>
        </w:rPr>
      </w:pPr>
      <w:hyperlink r:id="rId16" w:history="1">
        <w:r w:rsidR="00AA74A7" w:rsidRPr="00AE5A70">
          <w:rPr>
            <w:rFonts w:cstheme="minorHAnsi"/>
            <w:sz w:val="23"/>
            <w:szCs w:val="23"/>
            <w:lang w:val="en-US"/>
          </w:rPr>
          <w:t>Byrne, S</w:t>
        </w:r>
      </w:hyperlink>
      <w:r w:rsidR="00AA74A7" w:rsidRPr="00AE5A70">
        <w:rPr>
          <w:rFonts w:cstheme="minorHAnsi"/>
          <w:sz w:val="23"/>
          <w:szCs w:val="23"/>
          <w:lang w:val="en-US"/>
        </w:rPr>
        <w:t xml:space="preserve">., </w:t>
      </w:r>
      <w:hyperlink r:id="rId17" w:history="1">
        <w:r w:rsidR="00AA74A7" w:rsidRPr="00AE5A70">
          <w:rPr>
            <w:rFonts w:cstheme="minorHAnsi"/>
            <w:sz w:val="23"/>
            <w:szCs w:val="23"/>
            <w:lang w:val="en-US"/>
          </w:rPr>
          <w:t>Wade, T</w:t>
        </w:r>
      </w:hyperlink>
      <w:r w:rsidR="00AA74A7" w:rsidRPr="00AE5A70">
        <w:rPr>
          <w:rFonts w:cstheme="minorHAnsi"/>
          <w:sz w:val="23"/>
          <w:szCs w:val="23"/>
          <w:lang w:val="en-US"/>
        </w:rPr>
        <w:t xml:space="preserve">., </w:t>
      </w:r>
      <w:hyperlink r:id="rId18" w:history="1">
        <w:r w:rsidR="00AA74A7" w:rsidRPr="00AE5A70">
          <w:rPr>
            <w:rFonts w:cstheme="minorHAnsi"/>
            <w:sz w:val="23"/>
            <w:szCs w:val="23"/>
            <w:lang w:val="en-US"/>
          </w:rPr>
          <w:t>Hay, P</w:t>
        </w:r>
      </w:hyperlink>
      <w:r w:rsidR="00AA74A7" w:rsidRPr="00AE5A70">
        <w:rPr>
          <w:rFonts w:cstheme="minorHAnsi"/>
          <w:sz w:val="23"/>
          <w:szCs w:val="23"/>
          <w:lang w:val="en-US"/>
        </w:rPr>
        <w:t xml:space="preserve">., et al. (2017). A randomised controlled trial of three psychological treatments for anorexia nervosa. </w:t>
      </w:r>
      <w:r w:rsidR="00AA74A7" w:rsidRPr="00AE5A70">
        <w:rPr>
          <w:rFonts w:cstheme="minorHAnsi"/>
          <w:i/>
          <w:sz w:val="23"/>
          <w:szCs w:val="23"/>
          <w:lang w:val="en-US"/>
        </w:rPr>
        <w:t>Psychological Medicine, 47.</w:t>
      </w:r>
      <w:r w:rsidR="00AA74A7" w:rsidRPr="00AE5A70">
        <w:rPr>
          <w:rFonts w:cstheme="minorHAnsi"/>
          <w:sz w:val="23"/>
          <w:szCs w:val="23"/>
          <w:lang w:val="en-US"/>
        </w:rPr>
        <w:t xml:space="preserve"> 2823-2833. doi:10.1017/S0033291717001</w:t>
      </w:r>
    </w:p>
    <w:p w14:paraId="1249EA93" w14:textId="77777777" w:rsidR="004C25ED" w:rsidRPr="00AE5A70" w:rsidRDefault="004C25ED" w:rsidP="004C25ED">
      <w:pPr>
        <w:ind w:left="720" w:hanging="720"/>
        <w:rPr>
          <w:rFonts w:cstheme="minorHAnsi"/>
          <w:sz w:val="23"/>
          <w:szCs w:val="23"/>
          <w:lang w:val="en-US"/>
        </w:rPr>
      </w:pPr>
      <w:r w:rsidRPr="00AE5A70">
        <w:rPr>
          <w:rFonts w:cstheme="minorHAnsi"/>
          <w:sz w:val="23"/>
          <w:szCs w:val="23"/>
          <w:lang w:val="en-US"/>
        </w:rPr>
        <w:t xml:space="preserve">Carter J.C., Mercer,-Lynn K. B., Norwood, S.J., Bewell-Weiss, C.V., Crosby, R.D., Woodeside, D. B., and Olmstead, M.P. (2012). A Prospective Study of Predictors of Relapse in Anorexia Nerovsa; Implications for Relapse Prevention, </w:t>
      </w:r>
      <w:r w:rsidRPr="00AE5A70">
        <w:rPr>
          <w:rFonts w:cstheme="minorHAnsi"/>
          <w:i/>
          <w:sz w:val="23"/>
          <w:szCs w:val="23"/>
          <w:lang w:val="en-US"/>
        </w:rPr>
        <w:t xml:space="preserve">Australasian Psychiatry, </w:t>
      </w:r>
      <w:r w:rsidRPr="00AE5A70">
        <w:rPr>
          <w:rFonts w:cstheme="minorHAnsi"/>
          <w:sz w:val="23"/>
          <w:szCs w:val="23"/>
          <w:lang w:val="en-US"/>
        </w:rPr>
        <w:t>Vol 15 pp.390 – 395</w:t>
      </w:r>
    </w:p>
    <w:p w14:paraId="38B8C113" w14:textId="77777777" w:rsidR="00AA74A7" w:rsidRPr="00AE5A70" w:rsidRDefault="00AA74A7" w:rsidP="00AA74A7">
      <w:pPr>
        <w:ind w:left="720" w:hanging="720"/>
        <w:rPr>
          <w:rFonts w:cstheme="minorHAnsi"/>
          <w:sz w:val="23"/>
          <w:szCs w:val="23"/>
          <w:lang w:val="en-US"/>
        </w:rPr>
      </w:pPr>
      <w:r w:rsidRPr="00AE5A70">
        <w:rPr>
          <w:rFonts w:cstheme="minorHAnsi"/>
          <w:sz w:val="23"/>
          <w:szCs w:val="23"/>
          <w:lang w:val="en-US"/>
        </w:rPr>
        <w:t>Couturier, J., Kimber, M. and Szatmari, P.(2013) Efficacy of family-based treatment</w:t>
      </w:r>
      <w:r w:rsidR="00440DF0" w:rsidRPr="00AE5A70">
        <w:rPr>
          <w:rFonts w:cstheme="minorHAnsi"/>
          <w:sz w:val="23"/>
          <w:szCs w:val="23"/>
          <w:lang w:val="en-US"/>
        </w:rPr>
        <w:t xml:space="preserve"> </w:t>
      </w:r>
      <w:r w:rsidRPr="00AE5A70">
        <w:rPr>
          <w:rFonts w:cstheme="minorHAnsi"/>
          <w:sz w:val="23"/>
          <w:szCs w:val="23"/>
          <w:lang w:val="en-US"/>
        </w:rPr>
        <w:t xml:space="preserve">for adolescents with eating disorders: A systematic review and meta-analysis. </w:t>
      </w:r>
      <w:r w:rsidRPr="00AE5A70">
        <w:rPr>
          <w:rFonts w:cstheme="minorHAnsi"/>
          <w:i/>
          <w:sz w:val="23"/>
          <w:szCs w:val="23"/>
          <w:lang w:val="en-US"/>
        </w:rPr>
        <w:t>International Journal of Eating Disorders 46</w:t>
      </w:r>
      <w:r w:rsidRPr="00AE5A70">
        <w:rPr>
          <w:rFonts w:cstheme="minorHAnsi"/>
          <w:sz w:val="23"/>
          <w:szCs w:val="23"/>
          <w:lang w:val="en-US"/>
        </w:rPr>
        <w:t>: 3–11. doi: 10.1002/eat.22042.</w:t>
      </w:r>
    </w:p>
    <w:p w14:paraId="22D3CE2C" w14:textId="77777777" w:rsidR="004C25ED" w:rsidRPr="00AE5A70" w:rsidRDefault="004C25ED" w:rsidP="004C25ED">
      <w:pPr>
        <w:pStyle w:val="FootnoteText"/>
        <w:ind w:left="720" w:hanging="720"/>
        <w:rPr>
          <w:rFonts w:cstheme="minorHAnsi"/>
          <w:sz w:val="23"/>
          <w:szCs w:val="23"/>
        </w:rPr>
      </w:pPr>
      <w:r w:rsidRPr="00AE5A70">
        <w:rPr>
          <w:rFonts w:cstheme="minorHAnsi"/>
          <w:sz w:val="23"/>
          <w:szCs w:val="23"/>
        </w:rPr>
        <w:t xml:space="preserve">Department of Health. (2018). </w:t>
      </w:r>
      <w:r w:rsidRPr="00AE5A70">
        <w:rPr>
          <w:rFonts w:cstheme="minorHAnsi"/>
          <w:i/>
          <w:sz w:val="23"/>
          <w:szCs w:val="23"/>
        </w:rPr>
        <w:t xml:space="preserve">PHN Background. </w:t>
      </w:r>
      <w:r w:rsidRPr="00AE5A70">
        <w:rPr>
          <w:rFonts w:cstheme="minorHAnsi"/>
          <w:sz w:val="23"/>
          <w:szCs w:val="23"/>
        </w:rPr>
        <w:t xml:space="preserve">[online] Available at: </w:t>
      </w:r>
      <w:hyperlink r:id="rId19" w:history="1">
        <w:r w:rsidRPr="00AE5A70">
          <w:rPr>
            <w:rStyle w:val="Hyperlink"/>
            <w:rFonts w:cstheme="minorHAnsi"/>
            <w:color w:val="auto"/>
            <w:sz w:val="23"/>
            <w:szCs w:val="23"/>
          </w:rPr>
          <w:t>http://www.health.gov.au/internet/main/publishing.nsf/Content/PHN-Background</w:t>
        </w:r>
      </w:hyperlink>
      <w:r w:rsidRPr="00AE5A70">
        <w:rPr>
          <w:rFonts w:cstheme="minorHAnsi"/>
          <w:sz w:val="23"/>
          <w:szCs w:val="23"/>
        </w:rPr>
        <w:t xml:space="preserve"> [Accessed 30 August 2018]</w:t>
      </w:r>
    </w:p>
    <w:p w14:paraId="3299206A" w14:textId="77777777" w:rsidR="004C25ED" w:rsidRPr="00AE5A70" w:rsidRDefault="004C25ED" w:rsidP="004C25ED">
      <w:pPr>
        <w:pStyle w:val="FootnoteText"/>
        <w:spacing w:before="0"/>
        <w:ind w:left="720" w:hanging="720"/>
        <w:rPr>
          <w:rFonts w:cstheme="minorHAnsi"/>
          <w:sz w:val="23"/>
          <w:szCs w:val="23"/>
          <w:lang w:val="en-US"/>
        </w:rPr>
      </w:pPr>
      <w:r w:rsidRPr="00AE5A70">
        <w:rPr>
          <w:rFonts w:cstheme="minorHAnsi"/>
          <w:sz w:val="23"/>
          <w:szCs w:val="23"/>
        </w:rPr>
        <w:t xml:space="preserve">Eatingdisorders.org.au. (2018). </w:t>
      </w:r>
      <w:r w:rsidRPr="00AE5A70">
        <w:rPr>
          <w:rFonts w:cstheme="minorHAnsi"/>
          <w:i/>
          <w:iCs/>
          <w:sz w:val="23"/>
          <w:szCs w:val="23"/>
        </w:rPr>
        <w:t>Key Research &amp; Statistics | Eating Disorders Victoria</w:t>
      </w:r>
      <w:r w:rsidRPr="00AE5A70">
        <w:rPr>
          <w:rFonts w:cstheme="minorHAnsi"/>
          <w:sz w:val="23"/>
          <w:szCs w:val="23"/>
        </w:rPr>
        <w:t>. [online] Available at: https://www.eatingdisorders.org.au/key-research-a-statistics [Accessed 16 Aug. 2018].</w:t>
      </w:r>
    </w:p>
    <w:p w14:paraId="377D3F5A" w14:textId="77777777" w:rsidR="004C25ED" w:rsidRPr="00AE5A70" w:rsidRDefault="004C25ED" w:rsidP="004C25ED">
      <w:pPr>
        <w:pStyle w:val="FootnoteText"/>
        <w:ind w:left="720" w:hanging="720"/>
        <w:rPr>
          <w:rFonts w:cstheme="minorHAnsi"/>
          <w:sz w:val="23"/>
          <w:szCs w:val="23"/>
        </w:rPr>
      </w:pPr>
      <w:r w:rsidRPr="00AE5A70">
        <w:rPr>
          <w:rFonts w:cstheme="minorHAnsi"/>
          <w:sz w:val="23"/>
          <w:szCs w:val="23"/>
        </w:rPr>
        <w:t>Fairb</w:t>
      </w:r>
      <w:r w:rsidR="00440DF0" w:rsidRPr="00AE5A70">
        <w:rPr>
          <w:rFonts w:cstheme="minorHAnsi"/>
          <w:sz w:val="23"/>
          <w:szCs w:val="23"/>
        </w:rPr>
        <w:t>urn</w:t>
      </w:r>
      <w:r w:rsidRPr="00AE5A70">
        <w:rPr>
          <w:rFonts w:cstheme="minorHAnsi"/>
          <w:sz w:val="23"/>
          <w:szCs w:val="23"/>
        </w:rPr>
        <w:t xml:space="preserve"> C. G., Cooper., Z., Doll, H.A., O’Connor, M.E, Bohn, K, Hawker, D.M, Wales, J.A. and Palemr, R. L. (2009). Transdiagnostic Cognitive Behavioral Therapy for Patients With Eating Disorders: A Two Site Trial With 60 Week Follow- Up, </w:t>
      </w:r>
      <w:r w:rsidRPr="00AE5A70">
        <w:rPr>
          <w:rFonts w:cstheme="minorHAnsi"/>
          <w:i/>
          <w:sz w:val="23"/>
          <w:szCs w:val="23"/>
        </w:rPr>
        <w:t>The American Hournal of Psychiatry</w:t>
      </w:r>
      <w:r w:rsidRPr="00AE5A70">
        <w:rPr>
          <w:rFonts w:cstheme="minorHAnsi"/>
          <w:sz w:val="23"/>
          <w:szCs w:val="23"/>
        </w:rPr>
        <w:t xml:space="preserve"> 166(3)  pp 311 - 319</w:t>
      </w:r>
    </w:p>
    <w:p w14:paraId="5AF4260D" w14:textId="77777777" w:rsidR="004C25ED" w:rsidRPr="00AE5A70" w:rsidRDefault="004C25ED" w:rsidP="004C25ED">
      <w:pPr>
        <w:spacing w:line="240" w:lineRule="auto"/>
        <w:ind w:left="720" w:hanging="720"/>
        <w:rPr>
          <w:rFonts w:cstheme="minorHAnsi"/>
          <w:sz w:val="23"/>
          <w:szCs w:val="23"/>
        </w:rPr>
      </w:pPr>
      <w:r w:rsidRPr="00AE5A70">
        <w:rPr>
          <w:rFonts w:cstheme="minorHAnsi"/>
          <w:sz w:val="23"/>
          <w:szCs w:val="23"/>
        </w:rPr>
        <w:t>Fairweather – Schmidt, K., and Wade, T. D. (2014). DSM – 5 Eating Disorders and Other Specified Eating and Feeding Disorders: Is There a Meaningful Differentiation?, International Journal of Eating Disorders, Vol 47(5) pp.525 – 535</w:t>
      </w:r>
    </w:p>
    <w:p w14:paraId="6364B010" w14:textId="77777777" w:rsidR="00AA74A7" w:rsidRPr="00AE5A70" w:rsidRDefault="00AA74A7" w:rsidP="00AA74A7">
      <w:pPr>
        <w:autoSpaceDE w:val="0"/>
        <w:autoSpaceDN w:val="0"/>
        <w:adjustRightInd w:val="0"/>
        <w:ind w:left="709" w:hanging="709"/>
        <w:rPr>
          <w:rFonts w:cstheme="minorHAnsi"/>
          <w:sz w:val="23"/>
          <w:szCs w:val="23"/>
          <w:lang w:val="en-US"/>
        </w:rPr>
      </w:pPr>
      <w:r w:rsidRPr="00AE5A70">
        <w:rPr>
          <w:rFonts w:cstheme="minorHAnsi"/>
          <w:sz w:val="23"/>
          <w:szCs w:val="23"/>
          <w:lang w:val="en-US"/>
        </w:rPr>
        <w:t>Fisher, C.A., Hetrick, S.E. and Rushford, N. (2010). Family therapy for anorexia nervosa. The Cochrane Database of Systematic Reviews,  4. CD004780. DOI: 10.1002/14651858.CD004780.pub2.</w:t>
      </w:r>
    </w:p>
    <w:p w14:paraId="28C352DF" w14:textId="77777777" w:rsidR="004C25ED" w:rsidRPr="00AE5A70" w:rsidRDefault="004C25ED" w:rsidP="004C25ED">
      <w:pPr>
        <w:pStyle w:val="FootnoteText"/>
        <w:spacing w:before="0"/>
        <w:ind w:left="720" w:hanging="720"/>
        <w:rPr>
          <w:rFonts w:cstheme="minorHAnsi"/>
          <w:sz w:val="23"/>
          <w:szCs w:val="23"/>
        </w:rPr>
      </w:pPr>
      <w:r w:rsidRPr="00AE5A70">
        <w:rPr>
          <w:rFonts w:cstheme="minorHAnsi"/>
          <w:sz w:val="23"/>
          <w:szCs w:val="23"/>
        </w:rPr>
        <w:t xml:space="preserve">Hay, P., Chinn, D., Forbes, D., Madden, S., Newton, R., Sugenor, L., Touyz, S. and Ward, W. (2014). Royal Australian and New Zealand College of Psychiatrists Clinical Practice Guidelines for the Treatment of Eating Disorders, </w:t>
      </w:r>
      <w:r w:rsidRPr="00AE5A70">
        <w:rPr>
          <w:rFonts w:cstheme="minorHAnsi"/>
          <w:i/>
          <w:sz w:val="23"/>
          <w:szCs w:val="23"/>
        </w:rPr>
        <w:t xml:space="preserve">Australian and New Zealand Journal of Psychiatry, </w:t>
      </w:r>
      <w:r w:rsidRPr="00AE5A70">
        <w:rPr>
          <w:rFonts w:cstheme="minorHAnsi"/>
          <w:sz w:val="23"/>
          <w:szCs w:val="23"/>
        </w:rPr>
        <w:t>Vol 48(11) pp. 1 – 62.</w:t>
      </w:r>
    </w:p>
    <w:p w14:paraId="684EEE8E" w14:textId="77777777" w:rsidR="004C25ED" w:rsidRPr="00AE5A70" w:rsidRDefault="004C25ED" w:rsidP="004C25ED">
      <w:pPr>
        <w:spacing w:line="240" w:lineRule="auto"/>
        <w:ind w:left="720" w:hanging="720"/>
        <w:rPr>
          <w:rFonts w:cstheme="minorHAnsi"/>
          <w:sz w:val="23"/>
          <w:szCs w:val="23"/>
        </w:rPr>
      </w:pPr>
      <w:r w:rsidRPr="00AE5A70">
        <w:rPr>
          <w:rFonts w:cstheme="minorHAnsi"/>
          <w:sz w:val="23"/>
          <w:szCs w:val="23"/>
        </w:rPr>
        <w:t xml:space="preserve">Hart, L. M., Jorm, A. F. , Paxton, S.J., Kelly, C. M and Kitchener, B. A. (2009) First Aid for Eating Disorders, </w:t>
      </w:r>
      <w:r w:rsidRPr="00AE5A70">
        <w:rPr>
          <w:rFonts w:cstheme="minorHAnsi"/>
          <w:i/>
          <w:sz w:val="23"/>
          <w:szCs w:val="23"/>
        </w:rPr>
        <w:t xml:space="preserve">Eating disorders , 17(5) </w:t>
      </w:r>
      <w:r w:rsidRPr="00AE5A70">
        <w:rPr>
          <w:rFonts w:cstheme="minorHAnsi"/>
          <w:sz w:val="23"/>
          <w:szCs w:val="23"/>
        </w:rPr>
        <w:t>pp. 357 – 384</w:t>
      </w:r>
    </w:p>
    <w:p w14:paraId="3722AA9C"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Hay, P. and  Touyz, S. (2015). Treatment of Patients With Severe and Enduring Eating Disorders, </w:t>
      </w:r>
      <w:r w:rsidRPr="00AE5A70">
        <w:rPr>
          <w:rFonts w:cstheme="minorHAnsi"/>
          <w:i/>
          <w:sz w:val="23"/>
          <w:szCs w:val="23"/>
        </w:rPr>
        <w:t xml:space="preserve">Current Opinion in </w:t>
      </w:r>
      <w:r w:rsidRPr="00AE5A70">
        <w:rPr>
          <w:rFonts w:cstheme="minorHAnsi"/>
          <w:sz w:val="23"/>
          <w:szCs w:val="23"/>
        </w:rPr>
        <w:t>Psychiatry Vol 28(6) pp. 473 -477</w:t>
      </w:r>
    </w:p>
    <w:p w14:paraId="47F7E129"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Health.gov.au. (2018). </w:t>
      </w:r>
      <w:r w:rsidRPr="00AE5A70">
        <w:rPr>
          <w:rFonts w:cstheme="minorHAnsi"/>
          <w:i/>
          <w:iCs/>
          <w:sz w:val="23"/>
          <w:szCs w:val="23"/>
        </w:rPr>
        <w:t>Department of Health | 5.2 Quality-Adjusted-Life-Years (QALYs)</w:t>
      </w:r>
      <w:r w:rsidRPr="00AE5A70">
        <w:rPr>
          <w:rFonts w:cstheme="minorHAnsi"/>
          <w:sz w:val="23"/>
          <w:szCs w:val="23"/>
        </w:rPr>
        <w:t xml:space="preserve">. [online] Available at: </w:t>
      </w:r>
      <w:hyperlink r:id="rId20" w:history="1">
        <w:r w:rsidRPr="00AE5A70">
          <w:rPr>
            <w:rStyle w:val="Hyperlink"/>
            <w:rFonts w:cstheme="minorHAnsi"/>
            <w:color w:val="auto"/>
            <w:sz w:val="23"/>
            <w:szCs w:val="23"/>
          </w:rPr>
          <w:t>http://www.health.gov.au/internet/publications/publishing.nsf/Content/illicit-pubs-needle-return-1-rep-toc~illicit-pubs-needle-return-1-rep-5~illicit-pubs-needle-return-1-rep-5-2</w:t>
        </w:r>
      </w:hyperlink>
      <w:r w:rsidRPr="00AE5A70">
        <w:rPr>
          <w:rFonts w:cstheme="minorHAnsi"/>
          <w:sz w:val="23"/>
          <w:szCs w:val="23"/>
        </w:rPr>
        <w:t xml:space="preserve"> [Accessed 14 Aug. 2018].</w:t>
      </w:r>
    </w:p>
    <w:p w14:paraId="0B85CE78"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Law, M., Baptiste, S., and Mill, J. (1995). Client-Centred Practice: What does it Mean and Does it Make a Difference?, </w:t>
      </w:r>
      <w:r w:rsidRPr="00AE5A70">
        <w:rPr>
          <w:rFonts w:cstheme="minorHAnsi"/>
          <w:i/>
          <w:sz w:val="23"/>
          <w:szCs w:val="23"/>
        </w:rPr>
        <w:t>The Canadian Journal of Occupational Therapy</w:t>
      </w:r>
      <w:r w:rsidRPr="00AE5A70">
        <w:rPr>
          <w:rFonts w:cstheme="minorHAnsi"/>
          <w:sz w:val="23"/>
          <w:szCs w:val="23"/>
        </w:rPr>
        <w:t xml:space="preserve">, Vol 62(5) pp. 250 - 257. </w:t>
      </w:r>
    </w:p>
    <w:p w14:paraId="274E8CA4"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Le, Long Khanh-Dao, Barendregy, J.J, Sawyer, S.M., Paxton, S.J., and Mihalopoulos, C. (2017). The modelled cost effectiveness of cognitive dissonance for the prevention of anorexia nervosa and bulimia nervosa in adolescent girls in Australia, </w:t>
      </w:r>
      <w:r w:rsidRPr="00AE5A70">
        <w:rPr>
          <w:rFonts w:cstheme="minorHAnsi"/>
          <w:i/>
          <w:sz w:val="23"/>
          <w:szCs w:val="23"/>
        </w:rPr>
        <w:t>International Journal of Eating Disorders</w:t>
      </w:r>
      <w:r w:rsidRPr="00AE5A70">
        <w:rPr>
          <w:rFonts w:cstheme="minorHAnsi"/>
          <w:sz w:val="23"/>
          <w:szCs w:val="23"/>
        </w:rPr>
        <w:t>, Vol (50)7; pp. 834 – 841</w:t>
      </w:r>
    </w:p>
    <w:p w14:paraId="0B762827"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Le Grange, D., Lock, J., Loeb, K., and Nicholls., D. (2009). Academy for Eating Disorders Position Paper: The Role of the Family in Eating Disorders, </w:t>
      </w:r>
      <w:r w:rsidRPr="00AE5A70">
        <w:rPr>
          <w:rFonts w:cstheme="minorHAnsi"/>
          <w:i/>
          <w:sz w:val="23"/>
          <w:szCs w:val="23"/>
        </w:rPr>
        <w:t xml:space="preserve">Eating Disorders </w:t>
      </w:r>
      <w:r w:rsidRPr="00AE5A70">
        <w:rPr>
          <w:rFonts w:cstheme="minorHAnsi"/>
          <w:sz w:val="23"/>
          <w:szCs w:val="23"/>
        </w:rPr>
        <w:t>Vol 43(1) pp. 1 -5</w:t>
      </w:r>
    </w:p>
    <w:p w14:paraId="4EEF18F7" w14:textId="77777777" w:rsidR="004C25ED" w:rsidRPr="00AE5A70" w:rsidRDefault="004C25ED" w:rsidP="004C25ED">
      <w:pPr>
        <w:pStyle w:val="FootnoteText"/>
        <w:ind w:left="720" w:hanging="720"/>
        <w:rPr>
          <w:rFonts w:cstheme="minorHAnsi"/>
          <w:i/>
          <w:sz w:val="23"/>
          <w:szCs w:val="23"/>
          <w:lang w:val="en-US"/>
        </w:rPr>
      </w:pPr>
      <w:r w:rsidRPr="00AE5A70">
        <w:rPr>
          <w:rFonts w:cstheme="minorHAnsi"/>
          <w:sz w:val="23"/>
          <w:szCs w:val="23"/>
        </w:rPr>
        <w:t xml:space="preserve">Machdo, P.P.P., </w:t>
      </w:r>
      <w:r w:rsidRPr="00AE5A70">
        <w:rPr>
          <w:rFonts w:cstheme="minorHAnsi"/>
          <w:sz w:val="23"/>
          <w:szCs w:val="23"/>
          <w:lang w:val="en-US"/>
        </w:rPr>
        <w:t xml:space="preserve">Evaluation of the DSM-5 Severity Indicator for Anorexia Nervosa, </w:t>
      </w:r>
      <w:r w:rsidRPr="00AE5A70">
        <w:rPr>
          <w:rFonts w:cstheme="minorHAnsi"/>
          <w:i/>
          <w:sz w:val="23"/>
          <w:szCs w:val="23"/>
          <w:lang w:val="en-US"/>
        </w:rPr>
        <w:t xml:space="preserve">European Eating Disorders Review </w:t>
      </w:r>
      <w:r w:rsidRPr="00AE5A70">
        <w:rPr>
          <w:rFonts w:cstheme="minorHAnsi"/>
          <w:sz w:val="23"/>
          <w:szCs w:val="23"/>
          <w:lang w:val="en-US"/>
        </w:rPr>
        <w:t>Vol 25(3), pp. 221 – 223.</w:t>
      </w:r>
      <w:r w:rsidRPr="00AE5A70">
        <w:rPr>
          <w:rFonts w:cstheme="minorHAnsi"/>
          <w:sz w:val="23"/>
          <w:szCs w:val="23"/>
        </w:rPr>
        <w:t xml:space="preserve"> </w:t>
      </w:r>
    </w:p>
    <w:p w14:paraId="459D896E"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National Eating Disorders Collaboration. (2012). </w:t>
      </w:r>
      <w:r w:rsidRPr="00AE5A70">
        <w:rPr>
          <w:rFonts w:cstheme="minorHAnsi"/>
          <w:i/>
          <w:sz w:val="23"/>
          <w:szCs w:val="23"/>
        </w:rPr>
        <w:t>An Integrated Response to Complexity National Eating Disorders Framework,</w:t>
      </w:r>
      <w:r w:rsidRPr="00AE5A70">
        <w:rPr>
          <w:rFonts w:cstheme="minorHAnsi"/>
          <w:sz w:val="23"/>
          <w:szCs w:val="23"/>
        </w:rPr>
        <w:t xml:space="preserve"> accessed 30 August 2018, https://www.nedc.com.au/research-and-resources/show/an-integrated-response-to-complexity-national-eating-disorders-framework</w:t>
      </w:r>
    </w:p>
    <w:p w14:paraId="47AE28A9" w14:textId="77777777" w:rsidR="004C25ED" w:rsidRPr="00AE5A70" w:rsidRDefault="004C25ED" w:rsidP="004C25ED">
      <w:pPr>
        <w:pStyle w:val="FootnoteText"/>
        <w:ind w:left="720" w:hanging="720"/>
        <w:rPr>
          <w:rFonts w:cstheme="minorHAnsi"/>
          <w:sz w:val="23"/>
          <w:szCs w:val="23"/>
          <w:lang w:val="en-US"/>
        </w:rPr>
      </w:pPr>
      <w:r w:rsidRPr="00AE5A70">
        <w:rPr>
          <w:rFonts w:cstheme="minorHAnsi"/>
          <w:sz w:val="23"/>
          <w:szCs w:val="23"/>
          <w:lang w:val="en-US"/>
        </w:rPr>
        <w:t xml:space="preserve">Richard, M., Bauer, S., Kordy, H. (2005). Relapse in Anorexia and Bulimia Nervosa – a 2.5 Year Follow Up Study, </w:t>
      </w:r>
      <w:r w:rsidRPr="00AE5A70">
        <w:rPr>
          <w:rFonts w:cstheme="minorHAnsi"/>
          <w:i/>
          <w:sz w:val="23"/>
          <w:szCs w:val="23"/>
          <w:lang w:val="en-US"/>
        </w:rPr>
        <w:t xml:space="preserve">European Eating Disorder </w:t>
      </w:r>
      <w:r w:rsidR="00440DF0" w:rsidRPr="00AE5A70">
        <w:rPr>
          <w:rFonts w:cstheme="minorHAnsi"/>
          <w:i/>
          <w:sz w:val="23"/>
          <w:szCs w:val="23"/>
          <w:lang w:val="en-US"/>
        </w:rPr>
        <w:t>Review</w:t>
      </w:r>
      <w:r w:rsidRPr="00AE5A70">
        <w:rPr>
          <w:rFonts w:cstheme="minorHAnsi"/>
          <w:i/>
          <w:sz w:val="23"/>
          <w:szCs w:val="23"/>
          <w:lang w:val="en-US"/>
        </w:rPr>
        <w:t xml:space="preserve">, </w:t>
      </w:r>
      <w:r w:rsidRPr="00AE5A70">
        <w:rPr>
          <w:rFonts w:cstheme="minorHAnsi"/>
          <w:sz w:val="23"/>
          <w:szCs w:val="23"/>
          <w:lang w:val="en-US"/>
        </w:rPr>
        <w:t>12(3) pp. 180-190</w:t>
      </w:r>
    </w:p>
    <w:p w14:paraId="7F5AC437" w14:textId="77777777" w:rsidR="004C25ED" w:rsidRPr="00AE5A70" w:rsidRDefault="004C25ED" w:rsidP="004C25ED">
      <w:pPr>
        <w:ind w:left="720" w:hanging="720"/>
        <w:rPr>
          <w:rFonts w:cstheme="minorHAnsi"/>
          <w:i/>
          <w:sz w:val="23"/>
          <w:szCs w:val="23"/>
        </w:rPr>
      </w:pPr>
      <w:r w:rsidRPr="00AE5A70">
        <w:rPr>
          <w:rFonts w:cstheme="minorHAnsi"/>
          <w:sz w:val="23"/>
          <w:szCs w:val="23"/>
        </w:rPr>
        <w:t xml:space="preserve">Stienhausen, H. (2009). Outcome of eating disorders, </w:t>
      </w:r>
      <w:r w:rsidRPr="00AE5A70">
        <w:rPr>
          <w:rFonts w:cstheme="minorHAnsi"/>
          <w:i/>
          <w:sz w:val="23"/>
          <w:szCs w:val="23"/>
        </w:rPr>
        <w:t xml:space="preserve">Child and Adolescent Psychiatric Clinics of North America, </w:t>
      </w:r>
      <w:r w:rsidRPr="00AE5A70">
        <w:rPr>
          <w:rFonts w:cstheme="minorHAnsi"/>
          <w:sz w:val="23"/>
          <w:szCs w:val="23"/>
        </w:rPr>
        <w:t xml:space="preserve">Vol 18(1), pp. 225 – 242. </w:t>
      </w:r>
      <w:r w:rsidRPr="00AE5A70">
        <w:rPr>
          <w:rFonts w:cstheme="minorHAnsi"/>
          <w:i/>
          <w:sz w:val="23"/>
          <w:szCs w:val="23"/>
        </w:rPr>
        <w:t xml:space="preserve"> </w:t>
      </w:r>
    </w:p>
    <w:p w14:paraId="5826769A"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Strober, M., Freeman, R., </w:t>
      </w:r>
      <w:r w:rsidR="00440DF0" w:rsidRPr="00AE5A70">
        <w:rPr>
          <w:rFonts w:cstheme="minorHAnsi"/>
          <w:sz w:val="23"/>
          <w:szCs w:val="23"/>
        </w:rPr>
        <w:t>and</w:t>
      </w:r>
      <w:r w:rsidRPr="00AE5A70">
        <w:rPr>
          <w:rFonts w:cstheme="minorHAnsi"/>
          <w:sz w:val="23"/>
          <w:szCs w:val="23"/>
        </w:rPr>
        <w:t xml:space="preserve"> Nirrekk, W., (1997)., The Long Term Course of Severe Anorexia Nervosa in Adolescents: Survival Analysis of Recovery, Relapse and Outcome Predictors Over 10- 15 Years in a Prospective Study, </w:t>
      </w:r>
      <w:r w:rsidRPr="00AE5A70">
        <w:rPr>
          <w:rFonts w:cstheme="minorHAnsi"/>
          <w:i/>
          <w:sz w:val="23"/>
          <w:szCs w:val="23"/>
        </w:rPr>
        <w:t xml:space="preserve">International Journal of Eating Disorders, </w:t>
      </w:r>
      <w:r w:rsidRPr="00AE5A70">
        <w:rPr>
          <w:rFonts w:cstheme="minorHAnsi"/>
          <w:sz w:val="23"/>
          <w:szCs w:val="23"/>
        </w:rPr>
        <w:t>22(4) pp 339 -360</w:t>
      </w:r>
    </w:p>
    <w:p w14:paraId="56A0DF44" w14:textId="77777777" w:rsidR="004C25ED" w:rsidRPr="00AE5A70" w:rsidRDefault="004C25ED" w:rsidP="004C25ED">
      <w:pPr>
        <w:pStyle w:val="FootnoteText"/>
        <w:ind w:left="720" w:hanging="720"/>
        <w:rPr>
          <w:rFonts w:cstheme="minorHAnsi"/>
          <w:sz w:val="23"/>
          <w:szCs w:val="23"/>
          <w:lang w:val="en-US"/>
        </w:rPr>
      </w:pPr>
      <w:r w:rsidRPr="00AE5A70">
        <w:rPr>
          <w:rFonts w:cstheme="minorHAnsi"/>
          <w:sz w:val="23"/>
          <w:szCs w:val="23"/>
          <w:lang w:val="en-US"/>
        </w:rPr>
        <w:t xml:space="preserve">Surgenor, L.J., and Maguire, S.(2013). Assessment of Anorexia Nervosa: An Overview of Universal Issues and Contextual Challenges, </w:t>
      </w:r>
      <w:r w:rsidRPr="00AE5A70">
        <w:rPr>
          <w:rFonts w:cstheme="minorHAnsi"/>
          <w:i/>
          <w:sz w:val="23"/>
          <w:szCs w:val="23"/>
          <w:lang w:val="en-US"/>
        </w:rPr>
        <w:t xml:space="preserve">Journal of Eating Disorders. </w:t>
      </w:r>
      <w:r w:rsidRPr="00AE5A70">
        <w:rPr>
          <w:rFonts w:cstheme="minorHAnsi"/>
          <w:sz w:val="23"/>
          <w:szCs w:val="23"/>
          <w:lang w:val="en-US"/>
        </w:rPr>
        <w:t>Vol1(1) pp.29</w:t>
      </w:r>
    </w:p>
    <w:p w14:paraId="74A20E10" w14:textId="77777777" w:rsidR="004C25ED" w:rsidRPr="00AE5A70" w:rsidRDefault="004C25ED" w:rsidP="004C25ED">
      <w:pPr>
        <w:ind w:left="720" w:hanging="720"/>
        <w:rPr>
          <w:rFonts w:cstheme="minorHAnsi"/>
          <w:i/>
          <w:sz w:val="23"/>
          <w:szCs w:val="23"/>
        </w:rPr>
      </w:pPr>
      <w:r w:rsidRPr="00AE5A70">
        <w:rPr>
          <w:rFonts w:cstheme="minorHAnsi"/>
          <w:sz w:val="23"/>
          <w:szCs w:val="23"/>
        </w:rPr>
        <w:t>Thaler, L., and Steiger, H. (2017). Eating Disorders and Epigenetics</w:t>
      </w:r>
      <w:r w:rsidRPr="00AE5A70">
        <w:rPr>
          <w:rFonts w:cstheme="minorHAnsi"/>
          <w:i/>
          <w:sz w:val="23"/>
          <w:szCs w:val="23"/>
        </w:rPr>
        <w:t xml:space="preserve">. </w:t>
      </w:r>
      <w:r w:rsidRPr="00AE5A70">
        <w:rPr>
          <w:rFonts w:cstheme="minorHAnsi"/>
          <w:sz w:val="23"/>
          <w:szCs w:val="23"/>
        </w:rPr>
        <w:t xml:space="preserve">In Delgado-Morales R. (eds) Neuroepigenomics in Aging and Disease. </w:t>
      </w:r>
      <w:r w:rsidRPr="00AE5A70">
        <w:rPr>
          <w:rFonts w:cstheme="minorHAnsi"/>
          <w:i/>
          <w:sz w:val="23"/>
          <w:szCs w:val="23"/>
        </w:rPr>
        <w:t>Advances in Experimental Medicine and Biology</w:t>
      </w:r>
    </w:p>
    <w:p w14:paraId="08027E44" w14:textId="77777777" w:rsidR="004C25ED" w:rsidRPr="00AE5A70" w:rsidRDefault="004C25ED" w:rsidP="004C25ED">
      <w:pPr>
        <w:pStyle w:val="FootnoteText"/>
        <w:ind w:left="720" w:hanging="720"/>
        <w:rPr>
          <w:rFonts w:cstheme="minorHAnsi"/>
          <w:sz w:val="23"/>
          <w:szCs w:val="23"/>
        </w:rPr>
      </w:pPr>
      <w:r w:rsidRPr="00AE5A70">
        <w:rPr>
          <w:rFonts w:cstheme="minorHAnsi"/>
          <w:sz w:val="23"/>
          <w:szCs w:val="23"/>
        </w:rPr>
        <w:t xml:space="preserve">The Australian Government Department of Health (2018). </w:t>
      </w:r>
      <w:r w:rsidRPr="00AE5A70">
        <w:rPr>
          <w:rFonts w:cstheme="minorHAnsi"/>
          <w:i/>
          <w:sz w:val="23"/>
          <w:szCs w:val="23"/>
        </w:rPr>
        <w:t xml:space="preserve">$3.2 million to improve care for people with eating disorders [online]. </w:t>
      </w:r>
      <w:r w:rsidRPr="00AE5A70">
        <w:rPr>
          <w:rFonts w:cstheme="minorHAnsi"/>
          <w:sz w:val="23"/>
          <w:szCs w:val="23"/>
        </w:rPr>
        <w:t xml:space="preserve">Available at: </w:t>
      </w:r>
      <w:hyperlink r:id="rId21" w:history="1">
        <w:r w:rsidRPr="00AE5A70">
          <w:rPr>
            <w:rStyle w:val="Hyperlink"/>
            <w:rFonts w:cstheme="minorHAnsi"/>
            <w:color w:val="auto"/>
            <w:sz w:val="23"/>
            <w:szCs w:val="23"/>
            <w:u w:val="none"/>
          </w:rPr>
          <w:t>http://www.health.gov.au/internet/ministers/publishing.nsf/Content/health-mediarel-yr2018-hunt072.htm</w:t>
        </w:r>
      </w:hyperlink>
      <w:r w:rsidRPr="00AE5A70">
        <w:rPr>
          <w:rStyle w:val="Hyperlink"/>
          <w:rFonts w:cstheme="minorHAnsi"/>
          <w:color w:val="auto"/>
          <w:sz w:val="23"/>
          <w:szCs w:val="23"/>
          <w:u w:val="none"/>
        </w:rPr>
        <w:t xml:space="preserve"> </w:t>
      </w:r>
      <w:r w:rsidRPr="00AE5A70">
        <w:rPr>
          <w:rFonts w:cstheme="minorHAnsi"/>
          <w:sz w:val="23"/>
          <w:szCs w:val="23"/>
        </w:rPr>
        <w:t>[Accessed 10 Aug 2018]</w:t>
      </w:r>
    </w:p>
    <w:p w14:paraId="62B2B351" w14:textId="77777777" w:rsidR="004C25ED" w:rsidRPr="00AE5A70" w:rsidRDefault="004C25ED" w:rsidP="004C25ED">
      <w:pPr>
        <w:pStyle w:val="FootnoteText"/>
        <w:ind w:left="720" w:hanging="720"/>
        <w:rPr>
          <w:rFonts w:cstheme="minorHAnsi"/>
          <w:sz w:val="23"/>
          <w:szCs w:val="23"/>
          <w:lang w:val="en-US"/>
        </w:rPr>
      </w:pPr>
      <w:r w:rsidRPr="00AE5A70">
        <w:rPr>
          <w:rFonts w:cstheme="minorHAnsi"/>
          <w:sz w:val="23"/>
          <w:szCs w:val="23"/>
        </w:rPr>
        <w:t xml:space="preserve">The Australian Government Department of Health (2018). </w:t>
      </w:r>
      <w:r w:rsidRPr="00AE5A70">
        <w:rPr>
          <w:rFonts w:cstheme="minorHAnsi"/>
          <w:i/>
          <w:sz w:val="23"/>
          <w:szCs w:val="23"/>
        </w:rPr>
        <w:t xml:space="preserve">Better Access to Psychiatrists, Psychologists and General Practitioners through the MBS (Better Access) initiative </w:t>
      </w:r>
      <w:r w:rsidRPr="00AE5A70">
        <w:rPr>
          <w:rFonts w:cstheme="minorHAnsi"/>
          <w:sz w:val="23"/>
          <w:szCs w:val="23"/>
        </w:rPr>
        <w:t xml:space="preserve">[online] Available at: </w:t>
      </w:r>
      <w:hyperlink r:id="rId22" w:history="1">
        <w:r w:rsidRPr="00AE5A70">
          <w:rPr>
            <w:rStyle w:val="Hyperlink"/>
            <w:rFonts w:cstheme="minorHAnsi"/>
            <w:color w:val="auto"/>
            <w:sz w:val="23"/>
            <w:szCs w:val="23"/>
          </w:rPr>
          <w:t>http://www.health.gov.au/internet/main/publishing.nsf/Content/AD7820EAC9F90D90CA25817900186FB2/$File/Fact per cent20sheet per cent20- per cent20BA per cent20for per cent20patients.pdf</w:t>
        </w:r>
      </w:hyperlink>
      <w:r w:rsidRPr="00AE5A70">
        <w:rPr>
          <w:rFonts w:cstheme="minorHAnsi"/>
          <w:sz w:val="23"/>
          <w:szCs w:val="23"/>
        </w:rPr>
        <w:t xml:space="preserve"> [Accessed 9 Aug 2018].</w:t>
      </w:r>
    </w:p>
    <w:p w14:paraId="7C96289A" w14:textId="77777777" w:rsidR="004C25ED" w:rsidRPr="00AE5A70" w:rsidRDefault="004C25ED" w:rsidP="004C25ED">
      <w:pPr>
        <w:ind w:left="720" w:hanging="720"/>
        <w:rPr>
          <w:rFonts w:cstheme="minorHAnsi"/>
          <w:sz w:val="23"/>
          <w:szCs w:val="23"/>
          <w:lang w:val="en-US"/>
        </w:rPr>
      </w:pPr>
      <w:r w:rsidRPr="00AE5A70">
        <w:rPr>
          <w:rFonts w:cstheme="minorHAnsi"/>
          <w:sz w:val="23"/>
          <w:szCs w:val="23"/>
        </w:rPr>
        <w:t xml:space="preserve">The Butterfly Foundation (2017). </w:t>
      </w:r>
      <w:r w:rsidRPr="00AE5A70">
        <w:rPr>
          <w:rFonts w:cstheme="minorHAnsi"/>
          <w:i/>
          <w:sz w:val="23"/>
          <w:szCs w:val="23"/>
          <w:lang w:val="en-US"/>
        </w:rPr>
        <w:t>National Agenda for Eating Disorders</w:t>
      </w:r>
      <w:r w:rsidRPr="00AE5A70">
        <w:rPr>
          <w:rFonts w:cstheme="minorHAnsi"/>
          <w:sz w:val="23"/>
          <w:szCs w:val="23"/>
          <w:lang w:val="en-US"/>
        </w:rPr>
        <w:t xml:space="preserve"> </w:t>
      </w:r>
      <w:r w:rsidRPr="00AE5A70">
        <w:rPr>
          <w:rFonts w:cstheme="minorHAnsi"/>
          <w:i/>
          <w:sz w:val="23"/>
          <w:szCs w:val="23"/>
          <w:lang w:val="en-US"/>
        </w:rPr>
        <w:t>2017 to 2022.</w:t>
      </w:r>
      <w:r w:rsidRPr="00AE5A70">
        <w:rPr>
          <w:rFonts w:cstheme="minorHAnsi"/>
          <w:sz w:val="23"/>
          <w:szCs w:val="23"/>
          <w:lang w:val="en-US"/>
        </w:rPr>
        <w:t xml:space="preserve"> pg 14</w:t>
      </w:r>
    </w:p>
    <w:p w14:paraId="27A097A7" w14:textId="77777777" w:rsidR="004C25ED" w:rsidRPr="00AE5A70" w:rsidRDefault="004C25ED" w:rsidP="004C25ED">
      <w:pPr>
        <w:ind w:left="720" w:hanging="720"/>
        <w:rPr>
          <w:rFonts w:cstheme="minorHAnsi"/>
          <w:sz w:val="23"/>
          <w:szCs w:val="23"/>
        </w:rPr>
      </w:pPr>
      <w:r w:rsidRPr="00AE5A70">
        <w:rPr>
          <w:rFonts w:cstheme="minorHAnsi"/>
          <w:sz w:val="23"/>
          <w:szCs w:val="23"/>
        </w:rPr>
        <w:t xml:space="preserve">The Royal Australian College of General Practitioners (2018). </w:t>
      </w:r>
      <w:r w:rsidRPr="00AE5A70">
        <w:rPr>
          <w:rFonts w:cstheme="minorHAnsi"/>
          <w:i/>
          <w:sz w:val="23"/>
          <w:szCs w:val="23"/>
        </w:rPr>
        <w:t>RACGP – QI&amp;CPD 2017-19 Program</w:t>
      </w:r>
      <w:r w:rsidRPr="00AE5A70">
        <w:rPr>
          <w:rFonts w:cstheme="minorHAnsi"/>
          <w:sz w:val="23"/>
          <w:szCs w:val="23"/>
        </w:rPr>
        <w:t xml:space="preserve">. [online] The RACGP [Accessed 13 Aug 2018] Available at: </w:t>
      </w:r>
      <w:hyperlink r:id="rId23" w:history="1">
        <w:r w:rsidRPr="00AE5A70">
          <w:rPr>
            <w:rStyle w:val="Hyperlink"/>
            <w:rFonts w:eastAsiaTheme="majorEastAsia" w:cstheme="minorHAnsi"/>
            <w:color w:val="auto"/>
            <w:sz w:val="23"/>
            <w:szCs w:val="23"/>
          </w:rPr>
          <w:t>https://www.racgp.org.au/education/qicpd-program/</w:t>
        </w:r>
      </w:hyperlink>
    </w:p>
    <w:p w14:paraId="56E6B74F" w14:textId="77777777" w:rsidR="004C25ED" w:rsidRPr="00AE5A70" w:rsidRDefault="004C25ED" w:rsidP="004C25ED">
      <w:pPr>
        <w:pStyle w:val="FootnoteText"/>
        <w:spacing w:line="240" w:lineRule="auto"/>
        <w:ind w:left="720" w:hanging="720"/>
        <w:rPr>
          <w:rFonts w:cstheme="minorHAnsi"/>
          <w:sz w:val="18"/>
          <w:szCs w:val="18"/>
          <w:lang w:val="en-US"/>
        </w:rPr>
      </w:pPr>
      <w:r w:rsidRPr="00AE5A70">
        <w:rPr>
          <w:rFonts w:cstheme="minorHAnsi"/>
          <w:sz w:val="23"/>
          <w:szCs w:val="23"/>
        </w:rPr>
        <w:t xml:space="preserve">The Royal Australian College of General Practitioners (2018). </w:t>
      </w:r>
      <w:r w:rsidRPr="00AE5A70">
        <w:rPr>
          <w:rFonts w:cstheme="minorHAnsi"/>
          <w:i/>
          <w:sz w:val="23"/>
          <w:szCs w:val="23"/>
        </w:rPr>
        <w:t xml:space="preserve">RACGP – Identifying eating disorders in general practice </w:t>
      </w:r>
      <w:r w:rsidRPr="00AE5A70">
        <w:rPr>
          <w:rFonts w:cstheme="minorHAnsi"/>
          <w:sz w:val="23"/>
          <w:szCs w:val="23"/>
        </w:rPr>
        <w:t xml:space="preserve">[online] The RACGP [Accessed 13 Aug 2018] Available at: </w:t>
      </w:r>
      <w:hyperlink r:id="rId24" w:history="1">
        <w:r w:rsidRPr="00AE5A70">
          <w:rPr>
            <w:rStyle w:val="Hyperlink"/>
            <w:rFonts w:cstheme="minorHAnsi"/>
            <w:color w:val="auto"/>
            <w:sz w:val="23"/>
            <w:szCs w:val="23"/>
          </w:rPr>
          <w:t>https://www.racgp.org.au/newsGP/Clinical/Identifying-eating-disorders-in-general-practice</w:t>
        </w:r>
      </w:hyperlink>
      <w:r w:rsidRPr="00AE5A70">
        <w:rPr>
          <w:rFonts w:cstheme="minorHAnsi"/>
          <w:sz w:val="23"/>
          <w:szCs w:val="23"/>
        </w:rPr>
        <w:t xml:space="preserve"> </w:t>
      </w:r>
    </w:p>
    <w:p w14:paraId="6C134323" w14:textId="77777777" w:rsidR="00AA74A7" w:rsidRPr="00AE5A70" w:rsidRDefault="00F62B55" w:rsidP="00AA74A7">
      <w:pPr>
        <w:ind w:left="709" w:hanging="709"/>
        <w:rPr>
          <w:rFonts w:eastAsiaTheme="minorHAnsi" w:cstheme="minorHAnsi"/>
          <w:sz w:val="23"/>
          <w:szCs w:val="23"/>
        </w:rPr>
        <w:sectPr w:rsidR="00AA74A7" w:rsidRPr="00AE5A70" w:rsidSect="008E11F7">
          <w:footerReference w:type="default" r:id="rId25"/>
          <w:endnotePr>
            <w:numFmt w:val="decimal"/>
          </w:endnotePr>
          <w:pgSz w:w="11906" w:h="16838" w:code="9"/>
          <w:pgMar w:top="1440" w:right="1797" w:bottom="1440" w:left="1797" w:header="567" w:footer="170" w:gutter="0"/>
          <w:cols w:space="720"/>
          <w:docGrid w:linePitch="326"/>
        </w:sectPr>
      </w:pPr>
      <w:hyperlink r:id="rId26" w:history="1">
        <w:r w:rsidR="00AA74A7" w:rsidRPr="00AE5A70">
          <w:rPr>
            <w:rFonts w:eastAsiaTheme="minorHAnsi" w:cstheme="minorHAnsi"/>
            <w:sz w:val="23"/>
            <w:szCs w:val="23"/>
          </w:rPr>
          <w:t>Zipfel, S</w:t>
        </w:r>
      </w:hyperlink>
      <w:r w:rsidR="00AA74A7" w:rsidRPr="00AE5A70">
        <w:rPr>
          <w:rFonts w:eastAsiaTheme="minorHAnsi" w:cstheme="minorHAnsi"/>
          <w:sz w:val="23"/>
          <w:szCs w:val="23"/>
        </w:rPr>
        <w:t xml:space="preserve">., </w:t>
      </w:r>
      <w:hyperlink r:id="rId27" w:history="1">
        <w:r w:rsidR="00AA74A7" w:rsidRPr="00AE5A70">
          <w:rPr>
            <w:rFonts w:eastAsiaTheme="minorHAnsi" w:cstheme="minorHAnsi"/>
            <w:sz w:val="23"/>
            <w:szCs w:val="23"/>
          </w:rPr>
          <w:t>Wild, B</w:t>
        </w:r>
      </w:hyperlink>
      <w:r w:rsidR="00AA74A7" w:rsidRPr="00AE5A70">
        <w:rPr>
          <w:rFonts w:eastAsiaTheme="minorHAnsi" w:cstheme="minorHAnsi"/>
          <w:sz w:val="23"/>
          <w:szCs w:val="23"/>
        </w:rPr>
        <w:t xml:space="preserve">., </w:t>
      </w:r>
      <w:hyperlink r:id="rId28" w:history="1">
        <w:r w:rsidR="00AA74A7" w:rsidRPr="00AE5A70">
          <w:rPr>
            <w:rFonts w:eastAsiaTheme="minorHAnsi" w:cstheme="minorHAnsi"/>
            <w:sz w:val="23"/>
            <w:szCs w:val="23"/>
          </w:rPr>
          <w:t>Groß, G</w:t>
        </w:r>
      </w:hyperlink>
      <w:r w:rsidR="00AA74A7" w:rsidRPr="00AE5A70">
        <w:rPr>
          <w:rFonts w:eastAsiaTheme="minorHAnsi" w:cstheme="minorHAnsi"/>
          <w:sz w:val="23"/>
          <w:szCs w:val="23"/>
        </w:rPr>
        <w:t xml:space="preserve">. et. al (2013). Focal psychodynamic therapy, cognitive behaviour therapy, and optimised treatment as usual in outpatients with anorexia nervosa (ANTOP study): randomised controlled trial. </w:t>
      </w:r>
      <w:r w:rsidR="00AA74A7" w:rsidRPr="00AE5A70">
        <w:rPr>
          <w:rFonts w:eastAsiaTheme="minorHAnsi" w:cstheme="minorHAnsi"/>
          <w:i/>
          <w:sz w:val="23"/>
          <w:szCs w:val="23"/>
        </w:rPr>
        <w:t>The Lancet, 383 (9912):</w:t>
      </w:r>
      <w:r w:rsidR="00AA74A7" w:rsidRPr="00AE5A70">
        <w:rPr>
          <w:rFonts w:eastAsiaTheme="minorHAnsi" w:cstheme="minorHAnsi"/>
          <w:sz w:val="23"/>
          <w:szCs w:val="23"/>
        </w:rPr>
        <w:t>127-37. doi: 10.1016/S0140-6736</w:t>
      </w:r>
    </w:p>
    <w:p w14:paraId="3A039611" w14:textId="77777777" w:rsidR="00F60BE1" w:rsidRPr="00AE5A70" w:rsidRDefault="00427868" w:rsidP="00E40606">
      <w:pPr>
        <w:pStyle w:val="Heading1"/>
        <w:spacing w:before="0" w:after="360"/>
        <w:rPr>
          <w:b w:val="0"/>
          <w:sz w:val="24"/>
          <w:szCs w:val="24"/>
        </w:rPr>
      </w:pPr>
      <w:bookmarkStart w:id="98" w:name="_Toc531941965"/>
      <w:r w:rsidRPr="00AE5A70">
        <w:rPr>
          <w:sz w:val="24"/>
          <w:szCs w:val="24"/>
        </w:rPr>
        <w:t>Appendix A</w:t>
      </w:r>
      <w:r w:rsidR="007A36BA" w:rsidRPr="00AE5A70">
        <w:rPr>
          <w:b w:val="0"/>
          <w:sz w:val="24"/>
          <w:szCs w:val="24"/>
        </w:rPr>
        <w:t xml:space="preserve">: </w:t>
      </w:r>
      <w:r w:rsidR="00F60BE1" w:rsidRPr="00AE5A70">
        <w:rPr>
          <w:sz w:val="24"/>
          <w:szCs w:val="24"/>
        </w:rPr>
        <w:t>Further information on the Taskforce’s approach to the MBS Review</w:t>
      </w:r>
      <w:bookmarkEnd w:id="98"/>
    </w:p>
    <w:p w14:paraId="36A0E9DC" w14:textId="77777777" w:rsidR="29D45234" w:rsidRPr="00AE5A70" w:rsidRDefault="29D45234" w:rsidP="6ABAB93B">
      <w:pPr>
        <w:rPr>
          <w:sz w:val="23"/>
          <w:szCs w:val="23"/>
        </w:rPr>
      </w:pPr>
      <w:r w:rsidRPr="00AE5A70">
        <w:rPr>
          <w:rFonts w:ascii="Calibri" w:eastAsia="Calibri" w:hAnsi="Calibri" w:cs="Calibri"/>
          <w:sz w:val="23"/>
          <w:szCs w:val="23"/>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a changing health service models. </w:t>
      </w:r>
    </w:p>
    <w:p w14:paraId="56387509" w14:textId="77777777" w:rsidR="29D45234" w:rsidRPr="00AE5A70" w:rsidRDefault="29D45234" w:rsidP="6ABAB93B">
      <w:pPr>
        <w:rPr>
          <w:sz w:val="23"/>
          <w:szCs w:val="23"/>
        </w:rPr>
      </w:pPr>
      <w:r w:rsidRPr="00AE5A70">
        <w:rPr>
          <w:rFonts w:ascii="Calibri" w:eastAsia="Calibri" w:hAnsi="Calibri" w:cs="Calibri"/>
          <w:sz w:val="23"/>
          <w:szCs w:val="23"/>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4EEECB7C" w14:textId="77777777" w:rsidR="29D45234" w:rsidRPr="00AE5A70" w:rsidRDefault="29D45234" w:rsidP="6ABAB93B">
      <w:pPr>
        <w:rPr>
          <w:sz w:val="23"/>
          <w:szCs w:val="23"/>
        </w:rPr>
      </w:pPr>
      <w:r w:rsidRPr="00AE5A70">
        <w:rPr>
          <w:rFonts w:ascii="Calibri" w:eastAsia="Calibri" w:hAnsi="Calibri" w:cs="Calibri"/>
          <w:sz w:val="23"/>
          <w:szCs w:val="23"/>
        </w:rPr>
        <w:t xml:space="preserve">As the MBS Review is clinician-led, the Taskforce decided that clinical committees should conduct the review of MBS items. The committees are broad-based in their membership, and members have been appointed in an individual capacity, rather than as representatives of any organisation. </w:t>
      </w:r>
    </w:p>
    <w:p w14:paraId="3A013F7F" w14:textId="77777777" w:rsidR="29D45234" w:rsidRPr="00AE5A70" w:rsidRDefault="29D45234" w:rsidP="472037FE">
      <w:pPr>
        <w:rPr>
          <w:sz w:val="23"/>
          <w:szCs w:val="23"/>
        </w:rPr>
      </w:pPr>
      <w:r w:rsidRPr="00AE5A70">
        <w:rPr>
          <w:rFonts w:ascii="Calibri" w:eastAsia="Calibri" w:hAnsi="Calibri" w:cs="Calibri"/>
          <w:sz w:val="23"/>
          <w:szCs w:val="23"/>
        </w:rPr>
        <w:t xml:space="preserve">The Taskforce asked the committees to review MBS items using a framework based on Professor Adam Elshaug’s appropriate use criteria </w:t>
      </w:r>
      <w:r w:rsidRPr="00AE5A70">
        <w:rPr>
          <w:rFonts w:ascii="Calibri" w:eastAsia="Calibri" w:hAnsi="Calibri" w:cs="Calibri"/>
          <w:sz w:val="23"/>
          <w:szCs w:val="23"/>
          <w:vertAlign w:val="superscript"/>
          <w:lang w:val="en-US"/>
        </w:rPr>
        <w:t>(1)</w:t>
      </w:r>
      <w:r w:rsidRPr="00AE5A70">
        <w:rPr>
          <w:rFonts w:ascii="Calibri" w:eastAsia="Calibri" w:hAnsi="Calibri" w:cs="Calibri"/>
          <w:sz w:val="23"/>
          <w:szCs w:val="23"/>
        </w:rPr>
        <w:t>. The framework consists of seven steps:</w:t>
      </w:r>
    </w:p>
    <w:p w14:paraId="5CEDB0BE"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1.</w:t>
      </w:r>
      <w:r w:rsidR="00452448">
        <w:rPr>
          <w:rFonts w:ascii="Times New Roman" w:hAnsi="Times New Roman"/>
          <w:sz w:val="23"/>
          <w:szCs w:val="23"/>
          <w:lang w:val="en-US"/>
        </w:rPr>
        <w:tab/>
      </w:r>
      <w:r w:rsidRPr="00AE5A70">
        <w:rPr>
          <w:rFonts w:ascii="Calibri" w:eastAsia="Calibri" w:hAnsi="Calibri" w:cs="Calibri"/>
          <w:sz w:val="23"/>
          <w:szCs w:val="23"/>
          <w:lang w:val="en-US"/>
        </w:rPr>
        <w:t xml:space="preserve">Develop an initial fact base for all items under consideration, drawing on the relevant data and literature. </w:t>
      </w:r>
    </w:p>
    <w:p w14:paraId="25A25F69"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2.</w:t>
      </w:r>
      <w:r w:rsidR="00452448">
        <w:rPr>
          <w:rFonts w:ascii="Times New Roman" w:hAnsi="Times New Roman"/>
          <w:sz w:val="23"/>
          <w:szCs w:val="23"/>
          <w:lang w:val="en-US"/>
        </w:rPr>
        <w:tab/>
      </w:r>
      <w:r w:rsidRPr="00AE5A70">
        <w:rPr>
          <w:rFonts w:ascii="Calibri" w:eastAsia="Calibri" w:hAnsi="Calibri" w:cs="Calibri"/>
          <w:sz w:val="23"/>
          <w:szCs w:val="23"/>
          <w:lang w:val="en-US"/>
        </w:rPr>
        <w:t>Identify items that are obsolete, are of questionable clinical value[1], are misused[2] and/or pose a risk to patient safety. This step includes prioritising items as “priority 1”, “priority 2”, or “priority 3”, using a prioritisation methodology (described in more detail below).</w:t>
      </w:r>
    </w:p>
    <w:p w14:paraId="613318AF"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3.</w:t>
      </w:r>
      <w:r w:rsidR="00452448">
        <w:rPr>
          <w:rFonts w:ascii="Times New Roman" w:hAnsi="Times New Roman"/>
          <w:sz w:val="23"/>
          <w:szCs w:val="23"/>
          <w:lang w:val="en-US"/>
        </w:rPr>
        <w:tab/>
      </w:r>
      <w:r w:rsidRPr="00AE5A70">
        <w:rPr>
          <w:rFonts w:ascii="Calibri" w:eastAsia="Calibri" w:hAnsi="Calibri" w:cs="Calibri"/>
          <w:sz w:val="23"/>
          <w:szCs w:val="23"/>
          <w:lang w:val="en-US"/>
        </w:rPr>
        <w:t>Identify any issues, develop hypotheses for recommendations and create a work plan (including establishing working groups, when required) to arrive at recommendations for each item.</w:t>
      </w:r>
    </w:p>
    <w:p w14:paraId="0046CDBD"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4.</w:t>
      </w:r>
      <w:r w:rsidR="00452448">
        <w:rPr>
          <w:rFonts w:ascii="Times New Roman" w:hAnsi="Times New Roman"/>
          <w:sz w:val="23"/>
          <w:szCs w:val="23"/>
          <w:lang w:val="en-US"/>
        </w:rPr>
        <w:tab/>
      </w:r>
      <w:r w:rsidRPr="00AE5A70">
        <w:rPr>
          <w:rFonts w:ascii="Calibri" w:eastAsia="Calibri" w:hAnsi="Calibri" w:cs="Calibri"/>
          <w:sz w:val="23"/>
          <w:szCs w:val="23"/>
          <w:lang w:val="en-US"/>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w:t>
      </w:r>
      <w:r w:rsidR="00893442" w:rsidRPr="00AE5A70">
        <w:rPr>
          <w:rFonts w:ascii="Calibri" w:eastAsia="Calibri" w:hAnsi="Calibri" w:cs="Calibri"/>
          <w:sz w:val="23"/>
          <w:szCs w:val="23"/>
          <w:lang w:val="en-US"/>
        </w:rPr>
        <w:t xml:space="preserve">those with </w:t>
      </w:r>
      <w:r w:rsidRPr="00AE5A70">
        <w:rPr>
          <w:rFonts w:ascii="Calibri" w:eastAsia="Calibri" w:hAnsi="Calibri" w:cs="Calibri"/>
          <w:sz w:val="23"/>
          <w:szCs w:val="23"/>
          <w:lang w:val="en-US"/>
        </w:rPr>
        <w:t xml:space="preserve">complex </w:t>
      </w:r>
      <w:r w:rsidR="00893442" w:rsidRPr="00AE5A70">
        <w:rPr>
          <w:rFonts w:ascii="Calibri" w:eastAsia="Calibri" w:hAnsi="Calibri" w:cs="Calibri"/>
          <w:sz w:val="23"/>
          <w:szCs w:val="23"/>
          <w:lang w:val="en-US"/>
        </w:rPr>
        <w:t>needs</w:t>
      </w:r>
      <w:r w:rsidRPr="00AE5A70">
        <w:rPr>
          <w:rFonts w:ascii="Calibri" w:eastAsia="Calibri" w:hAnsi="Calibri" w:cs="Calibri"/>
          <w:sz w:val="23"/>
          <w:szCs w:val="23"/>
          <w:lang w:val="en-US"/>
        </w:rPr>
        <w:t>, full appropriate use criteria were developed for the item’s explanatory notes.</w:t>
      </w:r>
    </w:p>
    <w:p w14:paraId="374F8F2C"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5.</w:t>
      </w:r>
      <w:r w:rsidR="00452448">
        <w:rPr>
          <w:rFonts w:ascii="Times New Roman" w:hAnsi="Times New Roman"/>
          <w:sz w:val="23"/>
          <w:szCs w:val="23"/>
          <w:lang w:val="en-US"/>
        </w:rPr>
        <w:tab/>
      </w:r>
      <w:r w:rsidRPr="00AE5A70">
        <w:rPr>
          <w:rFonts w:ascii="Calibri" w:eastAsia="Calibri" w:hAnsi="Calibri" w:cs="Calibri"/>
          <w:sz w:val="23"/>
          <w:szCs w:val="23"/>
          <w:lang w:val="en-US"/>
        </w:rPr>
        <w:t>Review the provisional recommendations and the accompanying rationales, and gather further evidence as required.</w:t>
      </w:r>
    </w:p>
    <w:p w14:paraId="023457B7"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6.</w:t>
      </w:r>
      <w:r w:rsidR="00452448">
        <w:rPr>
          <w:rFonts w:ascii="Times New Roman" w:hAnsi="Times New Roman"/>
          <w:sz w:val="23"/>
          <w:szCs w:val="23"/>
          <w:lang w:val="en-US"/>
        </w:rPr>
        <w:tab/>
      </w:r>
      <w:r w:rsidRPr="00AE5A70">
        <w:rPr>
          <w:rFonts w:ascii="Calibri" w:eastAsia="Calibri" w:hAnsi="Calibri" w:cs="Calibri"/>
          <w:sz w:val="23"/>
          <w:szCs w:val="23"/>
          <w:lang w:val="en-US"/>
        </w:rPr>
        <w:t>Finalise the recommendations in preparation for broader stakeholder consultation.</w:t>
      </w:r>
    </w:p>
    <w:p w14:paraId="2D15C958" w14:textId="77777777" w:rsidR="29D45234" w:rsidRPr="00AE5A70" w:rsidRDefault="29D45234" w:rsidP="00E40606">
      <w:pPr>
        <w:ind w:left="720"/>
        <w:rPr>
          <w:sz w:val="23"/>
          <w:szCs w:val="23"/>
        </w:rPr>
      </w:pPr>
      <w:r w:rsidRPr="00AE5A70">
        <w:rPr>
          <w:rFonts w:ascii="Calibri" w:eastAsia="Calibri" w:hAnsi="Calibri" w:cs="Calibri"/>
          <w:b/>
          <w:bCs/>
          <w:sz w:val="23"/>
          <w:szCs w:val="23"/>
          <w:lang w:val="en-US"/>
        </w:rPr>
        <w:t>7.</w:t>
      </w:r>
      <w:r w:rsidRPr="00AE5A70">
        <w:rPr>
          <w:rFonts w:ascii="Times New Roman" w:hAnsi="Times New Roman"/>
          <w:sz w:val="23"/>
          <w:szCs w:val="23"/>
          <w:lang w:val="en-US"/>
        </w:rPr>
        <w:t xml:space="preserve">       </w:t>
      </w:r>
      <w:r w:rsidRPr="00AE5A70">
        <w:rPr>
          <w:rFonts w:ascii="Calibri" w:eastAsia="Calibri" w:hAnsi="Calibri" w:cs="Calibri"/>
          <w:sz w:val="23"/>
          <w:szCs w:val="23"/>
          <w:lang w:val="en-US"/>
        </w:rPr>
        <w:t xml:space="preserve">Incorporate feedback gathered during stakeholder consultation and finalise the Review Report, which provides recommendations for the Taskforce. </w:t>
      </w:r>
    </w:p>
    <w:p w14:paraId="37DA01D9" w14:textId="77777777" w:rsidR="29D45234" w:rsidRPr="00AE5A70" w:rsidRDefault="29D45234" w:rsidP="6ABAB93B">
      <w:pPr>
        <w:rPr>
          <w:sz w:val="23"/>
          <w:szCs w:val="23"/>
        </w:rPr>
      </w:pPr>
      <w:r w:rsidRPr="00AE5A70">
        <w:rPr>
          <w:rFonts w:ascii="Calibri" w:eastAsia="Calibri" w:hAnsi="Calibri" w:cs="Calibri"/>
          <w:sz w:val="23"/>
          <w:szCs w:val="23"/>
        </w:rPr>
        <w:t>All MBS items will be reviewed during the MBS Review. However, given the breadth of and timeframe for the Review,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4185BA3F" w14:textId="77777777" w:rsidR="29D45234" w:rsidRPr="00AE5A70" w:rsidRDefault="29D45234" w:rsidP="00E40606">
      <w:pPr>
        <w:ind w:left="720"/>
        <w:rPr>
          <w:sz w:val="23"/>
          <w:szCs w:val="23"/>
        </w:rPr>
      </w:pPr>
      <w:r w:rsidRPr="00AE5A70">
        <w:rPr>
          <w:rFonts w:ascii="Symbol" w:eastAsia="Symbol" w:hAnsi="Symbol" w:cs="Symbol"/>
          <w:sz w:val="23"/>
          <w:szCs w:val="23"/>
        </w:rPr>
        <w:t></w:t>
      </w:r>
      <w:r w:rsidRPr="00AE5A70">
        <w:rPr>
          <w:rFonts w:ascii="Times New Roman" w:hAnsi="Times New Roman"/>
          <w:sz w:val="23"/>
          <w:szCs w:val="23"/>
        </w:rPr>
        <w:t xml:space="preserve">         </w:t>
      </w:r>
      <w:r w:rsidRPr="00AE5A70">
        <w:rPr>
          <w:rFonts w:ascii="Calibri" w:eastAsia="Calibri" w:hAnsi="Calibri" w:cs="Calibri"/>
          <w:sz w:val="23"/>
          <w:szCs w:val="23"/>
        </w:rPr>
        <w:t>Service volume.</w:t>
      </w:r>
    </w:p>
    <w:p w14:paraId="4246E99D" w14:textId="77777777" w:rsidR="29D45234" w:rsidRPr="00AE5A70" w:rsidRDefault="29D45234" w:rsidP="00E40606">
      <w:pPr>
        <w:ind w:left="720"/>
        <w:rPr>
          <w:sz w:val="23"/>
          <w:szCs w:val="23"/>
        </w:rPr>
      </w:pPr>
      <w:r w:rsidRPr="00AE5A70">
        <w:rPr>
          <w:rFonts w:ascii="Symbol" w:eastAsia="Symbol" w:hAnsi="Symbol" w:cs="Symbol"/>
          <w:sz w:val="23"/>
          <w:szCs w:val="23"/>
        </w:rPr>
        <w:t></w:t>
      </w:r>
      <w:r w:rsidRPr="00AE5A70">
        <w:rPr>
          <w:rFonts w:ascii="Times New Roman" w:hAnsi="Times New Roman"/>
          <w:sz w:val="23"/>
          <w:szCs w:val="23"/>
        </w:rPr>
        <w:t xml:space="preserve">         </w:t>
      </w:r>
      <w:r w:rsidRPr="00AE5A70">
        <w:rPr>
          <w:rFonts w:ascii="Calibri" w:eastAsia="Calibri" w:hAnsi="Calibri" w:cs="Calibri"/>
          <w:sz w:val="23"/>
          <w:szCs w:val="23"/>
        </w:rPr>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357D0700" w14:textId="77777777" w:rsidR="29D45234" w:rsidRPr="00AE5A70" w:rsidRDefault="29D45234" w:rsidP="005C5FBA">
      <w:pPr>
        <w:keepNext/>
        <w:keepLines/>
        <w:rPr>
          <w:sz w:val="23"/>
          <w:szCs w:val="23"/>
        </w:rPr>
      </w:pPr>
      <w:r w:rsidRPr="00AE5A70">
        <w:rPr>
          <w:rFonts w:ascii="Calibri" w:eastAsia="Calibri" w:hAnsi="Calibri" w:cs="Calibri"/>
          <w:b/>
          <w:bCs/>
          <w:sz w:val="23"/>
          <w:szCs w:val="23"/>
        </w:rPr>
        <w:t>Figure 1: Prioritisation matrix</w:t>
      </w:r>
    </w:p>
    <w:p w14:paraId="1882521C" w14:textId="77777777" w:rsidR="70D00A53" w:rsidRPr="00AE5A70" w:rsidRDefault="70D00A53" w:rsidP="005C5FBA">
      <w:pPr>
        <w:keepNext/>
        <w:keepLines/>
        <w:jc w:val="center"/>
        <w:rPr>
          <w:sz w:val="23"/>
          <w:szCs w:val="23"/>
        </w:rPr>
      </w:pPr>
      <w:r w:rsidRPr="00AE5A70">
        <w:rPr>
          <w:noProof/>
          <w:sz w:val="23"/>
          <w:szCs w:val="23"/>
        </w:rPr>
        <w:drawing>
          <wp:inline distT="0" distB="0" distL="0" distR="0" wp14:anchorId="55916A93" wp14:editId="46B27DB1">
            <wp:extent cx="4476750" cy="3219450"/>
            <wp:effectExtent l="0" t="0" r="0" b="0"/>
            <wp:docPr id="1413877833" name="picture" descr="Figure 1 shows the prioritisation matrix ranking item priority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10;"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476750" cy="3219450"/>
                    </a:xfrm>
                    <a:prstGeom prst="rect">
                      <a:avLst/>
                    </a:prstGeom>
                  </pic:spPr>
                </pic:pic>
              </a:graphicData>
            </a:graphic>
          </wp:inline>
        </w:drawing>
      </w:r>
    </w:p>
    <w:p w14:paraId="5A94BE1C" w14:textId="77777777" w:rsidR="29D45234" w:rsidRPr="00AE5A70" w:rsidRDefault="29D45234" w:rsidP="005C5FBA">
      <w:pPr>
        <w:keepNext/>
        <w:keepLines/>
        <w:rPr>
          <w:sz w:val="23"/>
          <w:szCs w:val="23"/>
        </w:rPr>
      </w:pPr>
      <w:r w:rsidRPr="00AE5A70">
        <w:rPr>
          <w:rFonts w:ascii="Calibri" w:eastAsia="Calibri" w:hAnsi="Calibri" w:cs="Calibri"/>
          <w:sz w:val="23"/>
          <w:szCs w:val="23"/>
        </w:rPr>
        <w:t xml:space="preserve">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(Figure 1). Clinical committees use this priority ranking to organise their review of item numbers and apportion the amount of time spent on each item. </w:t>
      </w:r>
    </w:p>
    <w:p w14:paraId="174E0C05" w14:textId="77777777" w:rsidR="29D45234" w:rsidRPr="00AE5A70" w:rsidRDefault="29D45234" w:rsidP="6ABAB93B">
      <w:pPr>
        <w:rPr>
          <w:sz w:val="23"/>
          <w:szCs w:val="23"/>
        </w:rPr>
      </w:pPr>
      <w:r w:rsidRPr="00AE5A70">
        <w:rPr>
          <w:rFonts w:ascii="Calibri" w:eastAsia="Calibri" w:hAnsi="Calibri" w:cs="Calibri"/>
          <w:sz w:val="23"/>
          <w:szCs w:val="23"/>
        </w:rPr>
        <w:t>[1] The use of an intervention that evidence suggests confers no or very little benefit on patients; or where the risk of harm exceeds the likely benefit; or, more broadly, where the added costs of the intervention do not provide proportional added benefits.</w:t>
      </w:r>
    </w:p>
    <w:p w14:paraId="282FD91C" w14:textId="77777777" w:rsidR="29D45234" w:rsidRPr="00AE5A70" w:rsidRDefault="29D45234" w:rsidP="6ABAB93B">
      <w:pPr>
        <w:rPr>
          <w:sz w:val="23"/>
          <w:szCs w:val="23"/>
        </w:rPr>
      </w:pPr>
      <w:r w:rsidRPr="00AE5A70">
        <w:rPr>
          <w:rFonts w:ascii="Calibri" w:eastAsia="Calibri" w:hAnsi="Calibri" w:cs="Calibri"/>
          <w:sz w:val="23"/>
          <w:szCs w:val="23"/>
        </w:rPr>
        <w:t>[2] The use of MBS services for purposes other than those intended. This includes a range of behaviours, from failing to adhere to particular item descriptors or rules through to deliberate fraud.</w:t>
      </w:r>
    </w:p>
    <w:p w14:paraId="4EA8D0FA" w14:textId="77777777" w:rsidR="00A92980" w:rsidRPr="00AE5A70" w:rsidRDefault="00A92980">
      <w:pPr>
        <w:spacing w:before="0" w:after="0" w:line="240" w:lineRule="auto"/>
        <w:rPr>
          <w:sz w:val="23"/>
          <w:szCs w:val="23"/>
        </w:rPr>
      </w:pPr>
      <w:r w:rsidRPr="00AE5A70">
        <w:rPr>
          <w:sz w:val="23"/>
          <w:szCs w:val="23"/>
        </w:rPr>
        <w:br w:type="page"/>
      </w:r>
    </w:p>
    <w:p w14:paraId="3D65DD70" w14:textId="77777777" w:rsidR="00CF506D" w:rsidRPr="00AE5A70" w:rsidRDefault="00CF506D" w:rsidP="00E40606">
      <w:pPr>
        <w:pStyle w:val="Heading1"/>
        <w:spacing w:before="0" w:after="360"/>
      </w:pPr>
      <w:bookmarkStart w:id="99" w:name="_Toc531941966"/>
      <w:r w:rsidRPr="00AE5A70">
        <w:t>Appendix B</w:t>
      </w:r>
      <w:r w:rsidR="007A36BA" w:rsidRPr="00AE5A70">
        <w:t xml:space="preserve">: </w:t>
      </w:r>
      <w:r w:rsidR="005E3F15" w:rsidRPr="00AE5A70">
        <w:t>MBS items that relate to the treatment of patients with eating disorders</w:t>
      </w:r>
      <w:bookmarkEnd w:id="99"/>
    </w:p>
    <w:tbl>
      <w:tblPr>
        <w:tblStyle w:val="GridTable1Light-Accent11"/>
        <w:tblW w:w="8613" w:type="dxa"/>
        <w:tblLook w:val="06A0" w:firstRow="1" w:lastRow="0" w:firstColumn="1" w:lastColumn="0" w:noHBand="1" w:noVBand="1"/>
        <w:tblCaption w:val="Appendix B: MBS items that relate to the treatment of patients with eating disorders"/>
        <w:tblDescription w:val="This is a 3 column table.  Column 1 identifies MBS Categories, Column 2 identifies the relevant MBS Group that relate to eating disorders within the categories and Column 3 identifies the relevant MBS items."/>
      </w:tblPr>
      <w:tblGrid>
        <w:gridCol w:w="1582"/>
        <w:gridCol w:w="1772"/>
        <w:gridCol w:w="5259"/>
      </w:tblGrid>
      <w:tr w:rsidR="00AE5A70" w:rsidRPr="00AE5A70" w14:paraId="62808ACD" w14:textId="77777777" w:rsidTr="00CE7313">
        <w:trPr>
          <w:cnfStyle w:val="100000000000" w:firstRow="1" w:lastRow="0" w:firstColumn="0" w:lastColumn="0" w:oddVBand="0" w:evenVBand="0" w:oddHBand="0" w:evenHBand="0" w:firstRowFirstColumn="0" w:firstRowLastColumn="0" w:lastRowFirstColumn="0" w:lastRowLastColumn="0"/>
          <w:trHeight w:val="75"/>
          <w:tblHeader/>
        </w:trPr>
        <w:tc>
          <w:tcPr>
            <w:cnfStyle w:val="001000000000" w:firstRow="0" w:lastRow="0" w:firstColumn="1" w:lastColumn="0" w:oddVBand="0" w:evenVBand="0" w:oddHBand="0" w:evenHBand="0" w:firstRowFirstColumn="0" w:firstRowLastColumn="0" w:lastRowFirstColumn="0" w:lastRowLastColumn="0"/>
            <w:tcW w:w="1523" w:type="dxa"/>
          </w:tcPr>
          <w:p w14:paraId="07ECEAA2" w14:textId="77777777" w:rsidR="27C50046" w:rsidRPr="00AE5A70" w:rsidRDefault="27C50046" w:rsidP="00044469">
            <w:pPr>
              <w:spacing w:before="0" w:after="0" w:line="240" w:lineRule="auto"/>
              <w:rPr>
                <w:sz w:val="23"/>
                <w:szCs w:val="23"/>
              </w:rPr>
            </w:pPr>
            <w:r w:rsidRPr="00AE5A70">
              <w:rPr>
                <w:rFonts w:ascii="Calibri" w:eastAsia="Calibri" w:hAnsi="Calibri" w:cs="Calibri"/>
                <w:sz w:val="23"/>
                <w:szCs w:val="23"/>
              </w:rPr>
              <w:t>MBS Category</w:t>
            </w:r>
          </w:p>
        </w:tc>
        <w:tc>
          <w:tcPr>
            <w:tcW w:w="1704" w:type="dxa"/>
          </w:tcPr>
          <w:p w14:paraId="26F1ED45" w14:textId="77777777" w:rsidR="27C50046" w:rsidRPr="00AE5A70" w:rsidRDefault="27C50046" w:rsidP="00044469">
            <w:pPr>
              <w:spacing w:before="0" w:after="0" w:line="240" w:lineRule="auto"/>
              <w:cnfStyle w:val="100000000000" w:firstRow="1"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MBS Group</w:t>
            </w:r>
          </w:p>
        </w:tc>
        <w:tc>
          <w:tcPr>
            <w:tcW w:w="5386" w:type="dxa"/>
          </w:tcPr>
          <w:p w14:paraId="2A282E2F" w14:textId="77777777" w:rsidR="27C50046" w:rsidRPr="00AE5A70" w:rsidRDefault="27C50046" w:rsidP="00044469">
            <w:pPr>
              <w:spacing w:before="0" w:after="0" w:line="240" w:lineRule="auto"/>
              <w:cnfStyle w:val="100000000000" w:firstRow="1"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MBS item/s</w:t>
            </w:r>
          </w:p>
        </w:tc>
      </w:tr>
      <w:tr w:rsidR="00AE5A70" w:rsidRPr="00AE5A70" w14:paraId="7AD7CD24"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restart"/>
          </w:tcPr>
          <w:p w14:paraId="7859D07B" w14:textId="77777777" w:rsidR="00A92980" w:rsidRPr="00AE5A70" w:rsidRDefault="00A92980" w:rsidP="00044469">
            <w:pPr>
              <w:spacing w:before="0" w:after="0" w:line="240" w:lineRule="auto"/>
              <w:rPr>
                <w:sz w:val="23"/>
                <w:szCs w:val="23"/>
              </w:rPr>
            </w:pPr>
            <w:r w:rsidRPr="00AE5A70">
              <w:rPr>
                <w:rFonts w:ascii="Calibri" w:eastAsia="Calibri" w:hAnsi="Calibri" w:cs="Calibri"/>
                <w:sz w:val="23"/>
                <w:szCs w:val="23"/>
              </w:rPr>
              <w:t>Category 1 – Professional Attendances</w:t>
            </w:r>
          </w:p>
        </w:tc>
        <w:tc>
          <w:tcPr>
            <w:tcW w:w="1704" w:type="dxa"/>
          </w:tcPr>
          <w:p w14:paraId="28A0021C"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Group A6 – Group Therapy</w:t>
            </w:r>
          </w:p>
        </w:tc>
        <w:tc>
          <w:tcPr>
            <w:tcW w:w="5386" w:type="dxa"/>
          </w:tcPr>
          <w:p w14:paraId="1D7DB6BA"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Items 170-172 – supervision of family group therapy by a GP</w:t>
            </w:r>
          </w:p>
        </w:tc>
      </w:tr>
      <w:tr w:rsidR="00AE5A70" w:rsidRPr="00AE5A70" w14:paraId="0BB205CF"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43E5DA89" w14:textId="77777777" w:rsidR="00A92980" w:rsidRPr="00AE5A70" w:rsidRDefault="00A92980" w:rsidP="00044469">
            <w:pPr>
              <w:spacing w:before="0" w:after="0" w:line="240" w:lineRule="auto"/>
              <w:rPr>
                <w:sz w:val="23"/>
                <w:szCs w:val="23"/>
              </w:rPr>
            </w:pPr>
          </w:p>
        </w:tc>
        <w:tc>
          <w:tcPr>
            <w:tcW w:w="1704" w:type="dxa"/>
          </w:tcPr>
          <w:p w14:paraId="63FD885E"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Group A8- Consultant Psychiatrist attendance</w:t>
            </w:r>
          </w:p>
        </w:tc>
        <w:tc>
          <w:tcPr>
            <w:tcW w:w="5386" w:type="dxa"/>
          </w:tcPr>
          <w:p w14:paraId="10656CBF"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291, 293, 359 - Referred patient assessment and management plan</w:t>
            </w:r>
          </w:p>
          <w:p w14:paraId="1E0992C3"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296, 297, 299 and 361 - Initial consultation for new patients</w:t>
            </w:r>
          </w:p>
          <w:p w14:paraId="704FFF3B"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342, 344, 346 - Group psychotherapy</w:t>
            </w:r>
          </w:p>
          <w:p w14:paraId="47FF63B5"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288 - Video conferencing </w:t>
            </w:r>
          </w:p>
          <w:p w14:paraId="2BA0F889"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300-319 - In consulting rooms </w:t>
            </w:r>
          </w:p>
          <w:p w14:paraId="596B7B2E"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320-328 - In hospital</w:t>
            </w:r>
          </w:p>
          <w:p w14:paraId="0B6184A2"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330-338 - Other locations </w:t>
            </w:r>
          </w:p>
          <w:p w14:paraId="3729E410"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348-352 - Interview with non-patient</w:t>
            </w:r>
          </w:p>
          <w:p w14:paraId="5D1F0FE7"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353-370 - Telepsychiatry</w:t>
            </w:r>
          </w:p>
        </w:tc>
      </w:tr>
      <w:tr w:rsidR="00AE5A70" w:rsidRPr="00AE5A70" w14:paraId="7DFD8CF2"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47959776" w14:textId="77777777" w:rsidR="00A92980" w:rsidRPr="00AE5A70" w:rsidRDefault="00A92980" w:rsidP="00044469">
            <w:pPr>
              <w:spacing w:before="0" w:after="0" w:line="240" w:lineRule="auto"/>
              <w:rPr>
                <w:sz w:val="23"/>
                <w:szCs w:val="23"/>
              </w:rPr>
            </w:pPr>
          </w:p>
        </w:tc>
        <w:tc>
          <w:tcPr>
            <w:tcW w:w="1704" w:type="dxa"/>
          </w:tcPr>
          <w:p w14:paraId="50E06BB9"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Group A15- GP Management Plans, Team Multidisciplinary Care Plans</w:t>
            </w:r>
          </w:p>
          <w:p w14:paraId="4C917A96"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c>
          <w:tcPr>
            <w:tcW w:w="5386" w:type="dxa"/>
          </w:tcPr>
          <w:p w14:paraId="0418B94B"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855-866 – Multidisciplinary Case conferencing – participation by psychiatrist</w:t>
            </w:r>
          </w:p>
          <w:p w14:paraId="43891BD5"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r>
      <w:tr w:rsidR="00AE5A70" w:rsidRPr="00AE5A70" w14:paraId="2D015D66"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03152690" w14:textId="77777777" w:rsidR="00A92980" w:rsidRPr="00AE5A70" w:rsidRDefault="00A92980" w:rsidP="00044469">
            <w:pPr>
              <w:spacing w:before="0" w:after="0" w:line="240" w:lineRule="auto"/>
              <w:rPr>
                <w:sz w:val="23"/>
                <w:szCs w:val="23"/>
              </w:rPr>
            </w:pPr>
          </w:p>
        </w:tc>
        <w:tc>
          <w:tcPr>
            <w:tcW w:w="1704" w:type="dxa"/>
          </w:tcPr>
          <w:p w14:paraId="5D752586"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Group A20- GP Mental Health Treatment </w:t>
            </w:r>
          </w:p>
          <w:p w14:paraId="722D5CE5"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c>
          <w:tcPr>
            <w:tcW w:w="5386" w:type="dxa"/>
          </w:tcPr>
          <w:p w14:paraId="5151BE84"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2700-2717 - GP Mental Health Plans</w:t>
            </w:r>
          </w:p>
          <w:p w14:paraId="4806BB93"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2721-2727 - GP Mental Health Treatment</w:t>
            </w:r>
          </w:p>
          <w:p w14:paraId="4556C647"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r>
      <w:tr w:rsidR="00AE5A70" w:rsidRPr="00AE5A70" w14:paraId="7B246D7B" w14:textId="77777777" w:rsidTr="00C22A67">
        <w:trPr>
          <w:trHeight w:val="3255"/>
        </w:trPr>
        <w:tc>
          <w:tcPr>
            <w:cnfStyle w:val="001000000000" w:firstRow="0" w:lastRow="0" w:firstColumn="1" w:lastColumn="0" w:oddVBand="0" w:evenVBand="0" w:oddHBand="0" w:evenHBand="0" w:firstRowFirstColumn="0" w:firstRowLastColumn="0" w:lastRowFirstColumn="0" w:lastRowLastColumn="0"/>
            <w:tcW w:w="1523" w:type="dxa"/>
            <w:vMerge w:val="restart"/>
          </w:tcPr>
          <w:p w14:paraId="2868D019" w14:textId="77777777" w:rsidR="00A92980" w:rsidRPr="00AE5A70" w:rsidRDefault="00A92980" w:rsidP="00044469">
            <w:pPr>
              <w:spacing w:before="0" w:after="0" w:line="240" w:lineRule="auto"/>
              <w:rPr>
                <w:sz w:val="23"/>
                <w:szCs w:val="23"/>
              </w:rPr>
            </w:pPr>
            <w:r w:rsidRPr="00AE5A70">
              <w:rPr>
                <w:rFonts w:ascii="Calibri" w:eastAsia="Calibri" w:hAnsi="Calibri" w:cs="Calibri"/>
                <w:sz w:val="23"/>
                <w:szCs w:val="23"/>
              </w:rPr>
              <w:t xml:space="preserve">Category 8 –  Miscellaneous Services  </w:t>
            </w:r>
          </w:p>
          <w:p w14:paraId="580411D8" w14:textId="77777777" w:rsidR="00A92980" w:rsidRPr="00AE5A70" w:rsidRDefault="00A92980" w:rsidP="00044469">
            <w:pPr>
              <w:spacing w:before="0" w:after="0" w:line="240" w:lineRule="auto"/>
              <w:rPr>
                <w:sz w:val="23"/>
                <w:szCs w:val="23"/>
              </w:rPr>
            </w:pPr>
            <w:r w:rsidRPr="00AE5A70">
              <w:rPr>
                <w:rFonts w:ascii="Calibri" w:eastAsia="Calibri" w:hAnsi="Calibri" w:cs="Calibri"/>
                <w:sz w:val="23"/>
                <w:szCs w:val="23"/>
              </w:rPr>
              <w:t xml:space="preserve"> </w:t>
            </w:r>
          </w:p>
        </w:tc>
        <w:tc>
          <w:tcPr>
            <w:tcW w:w="1704" w:type="dxa"/>
          </w:tcPr>
          <w:p w14:paraId="2F2D5F3D"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Group M3-Allied Health </w:t>
            </w:r>
          </w:p>
          <w:p w14:paraId="7AAB83D8"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Services </w:t>
            </w:r>
          </w:p>
          <w:p w14:paraId="20EDE9C2"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c>
          <w:tcPr>
            <w:tcW w:w="5386" w:type="dxa"/>
          </w:tcPr>
          <w:p w14:paraId="622D8DB8"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10954 - Dietetics services for chronic condition</w:t>
            </w:r>
          </w:p>
          <w:p w14:paraId="08A2A84F"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10956 - Mental health service for chronic condition</w:t>
            </w:r>
          </w:p>
          <w:p w14:paraId="631F97B8"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10958 - Occupational therapy services for chronic condition</w:t>
            </w:r>
          </w:p>
          <w:p w14:paraId="4E0C5073"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10968 - Psychology health service</w:t>
            </w:r>
          </w:p>
          <w:p w14:paraId="4977271D"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r>
      <w:tr w:rsidR="00AE5A70" w:rsidRPr="00AE5A70" w14:paraId="162C3C7D"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3F8901BE" w14:textId="77777777" w:rsidR="00A92980" w:rsidRPr="00AE5A70" w:rsidRDefault="00A92980" w:rsidP="00044469">
            <w:pPr>
              <w:spacing w:before="0" w:after="0" w:line="240" w:lineRule="auto"/>
              <w:rPr>
                <w:sz w:val="23"/>
                <w:szCs w:val="23"/>
              </w:rPr>
            </w:pPr>
          </w:p>
        </w:tc>
        <w:tc>
          <w:tcPr>
            <w:tcW w:w="1704" w:type="dxa"/>
          </w:tcPr>
          <w:p w14:paraId="0614ABD2"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Group M6-Psychological Therapy Services </w:t>
            </w:r>
          </w:p>
          <w:p w14:paraId="621049F0"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3"/>
                <w:szCs w:val="23"/>
              </w:rPr>
            </w:pPr>
            <w:r w:rsidRPr="00AE5A70">
              <w:rPr>
                <w:rFonts w:ascii="Calibri" w:eastAsia="Calibri" w:hAnsi="Calibri" w:cs="Calibri"/>
                <w:sz w:val="23"/>
                <w:szCs w:val="23"/>
              </w:rPr>
              <w:t xml:space="preserve"> </w:t>
            </w:r>
          </w:p>
          <w:p w14:paraId="25F1744D" w14:textId="77777777" w:rsidR="005C5FBA" w:rsidRPr="00AE5A70" w:rsidRDefault="005C5FBA"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5386" w:type="dxa"/>
          </w:tcPr>
          <w:p w14:paraId="3B0767F8"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80000-80021 - Clinical psychologist </w:t>
            </w:r>
          </w:p>
          <w:p w14:paraId="262C5F33"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3"/>
                <w:szCs w:val="23"/>
              </w:rPr>
            </w:pPr>
            <w:r w:rsidRPr="00AE5A70">
              <w:rPr>
                <w:rFonts w:ascii="Calibri" w:eastAsia="Calibri" w:hAnsi="Calibri" w:cs="Calibri"/>
                <w:sz w:val="23"/>
                <w:szCs w:val="23"/>
              </w:rPr>
              <w:t xml:space="preserve"> </w:t>
            </w:r>
          </w:p>
          <w:p w14:paraId="0F4CF3A8" w14:textId="77777777" w:rsidR="005C5FBA" w:rsidRPr="00AE5A70" w:rsidRDefault="005C5FBA"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p>
        </w:tc>
      </w:tr>
      <w:tr w:rsidR="00AE5A70" w:rsidRPr="00AE5A70" w14:paraId="40F2A493"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3A1953B0" w14:textId="77777777" w:rsidR="00A92980" w:rsidRPr="00AE5A70" w:rsidRDefault="00A92980" w:rsidP="00044469">
            <w:pPr>
              <w:spacing w:before="0" w:after="0" w:line="240" w:lineRule="auto"/>
              <w:rPr>
                <w:sz w:val="23"/>
                <w:szCs w:val="23"/>
              </w:rPr>
            </w:pPr>
          </w:p>
        </w:tc>
        <w:tc>
          <w:tcPr>
            <w:tcW w:w="1704" w:type="dxa"/>
          </w:tcPr>
          <w:p w14:paraId="78AC5D54"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Group M7- Focussed Psychological Strategies (Allied Mental Health)</w:t>
            </w:r>
          </w:p>
          <w:p w14:paraId="078549EB"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c>
          <w:tcPr>
            <w:tcW w:w="5386" w:type="dxa"/>
          </w:tcPr>
          <w:p w14:paraId="1F716D27"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80100-80121 - Registered psychologist </w:t>
            </w:r>
          </w:p>
          <w:p w14:paraId="5D752E28"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80125-80146 - Occupational therapist </w:t>
            </w:r>
          </w:p>
          <w:p w14:paraId="7378AF30"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80150-80171 - Social worker </w:t>
            </w:r>
          </w:p>
          <w:p w14:paraId="77E5AB89"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 xml:space="preserve"> </w:t>
            </w:r>
          </w:p>
        </w:tc>
      </w:tr>
      <w:tr w:rsidR="00AE5A70" w:rsidRPr="00AE5A70" w14:paraId="2A6E3361" w14:textId="77777777" w:rsidTr="00C22A67">
        <w:tc>
          <w:tcPr>
            <w:cnfStyle w:val="001000000000" w:firstRow="0" w:lastRow="0" w:firstColumn="1" w:lastColumn="0" w:oddVBand="0" w:evenVBand="0" w:oddHBand="0" w:evenHBand="0" w:firstRowFirstColumn="0" w:firstRowLastColumn="0" w:lastRowFirstColumn="0" w:lastRowLastColumn="0"/>
            <w:tcW w:w="1523" w:type="dxa"/>
            <w:vMerge/>
            <w:vAlign w:val="center"/>
          </w:tcPr>
          <w:p w14:paraId="37A07458" w14:textId="77777777" w:rsidR="00A92980" w:rsidRPr="00AE5A70" w:rsidRDefault="00A92980" w:rsidP="00044469">
            <w:pPr>
              <w:spacing w:before="0" w:after="0" w:line="240" w:lineRule="auto"/>
              <w:rPr>
                <w:sz w:val="23"/>
                <w:szCs w:val="23"/>
              </w:rPr>
            </w:pPr>
          </w:p>
        </w:tc>
        <w:tc>
          <w:tcPr>
            <w:tcW w:w="1704" w:type="dxa"/>
          </w:tcPr>
          <w:p w14:paraId="219C1EC0"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Group M14- Nurse Practitioner</w:t>
            </w:r>
          </w:p>
        </w:tc>
        <w:tc>
          <w:tcPr>
            <w:tcW w:w="5386" w:type="dxa"/>
          </w:tcPr>
          <w:p w14:paraId="7D5469DD" w14:textId="77777777" w:rsidR="00A92980" w:rsidRPr="00AE5A70" w:rsidRDefault="00A92980" w:rsidP="00044469">
            <w:pPr>
              <w:spacing w:before="0" w:after="0" w:line="240" w:lineRule="auto"/>
              <w:cnfStyle w:val="000000000000" w:firstRow="0" w:lastRow="0" w:firstColumn="0" w:lastColumn="0" w:oddVBand="0" w:evenVBand="0" w:oddHBand="0" w:evenHBand="0" w:firstRowFirstColumn="0" w:firstRowLastColumn="0" w:lastRowFirstColumn="0" w:lastRowLastColumn="0"/>
              <w:rPr>
                <w:sz w:val="23"/>
                <w:szCs w:val="23"/>
              </w:rPr>
            </w:pPr>
            <w:r w:rsidRPr="00AE5A70">
              <w:rPr>
                <w:rFonts w:ascii="Calibri" w:eastAsia="Calibri" w:hAnsi="Calibri" w:cs="Calibri"/>
                <w:sz w:val="23"/>
                <w:szCs w:val="23"/>
              </w:rPr>
              <w:t>82200-82225 – nurse practitioner attendance</w:t>
            </w:r>
          </w:p>
        </w:tc>
      </w:tr>
    </w:tbl>
    <w:p w14:paraId="60B5DFE3" w14:textId="77777777" w:rsidR="00DD68E8" w:rsidRPr="00AE5A70" w:rsidRDefault="00DD68E8">
      <w:pPr>
        <w:spacing w:before="0" w:after="0" w:line="240" w:lineRule="auto"/>
        <w:rPr>
          <w:rFonts w:ascii="Arial" w:eastAsiaTheme="minorBidi" w:hAnsi="Arial" w:cs="Arial"/>
          <w:b/>
          <w:bCs/>
          <w:kern w:val="28"/>
          <w:sz w:val="23"/>
          <w:szCs w:val="23"/>
        </w:rPr>
      </w:pPr>
      <w:r w:rsidRPr="00AE5A70">
        <w:rPr>
          <w:rFonts w:eastAsiaTheme="minorBidi"/>
          <w:sz w:val="23"/>
          <w:szCs w:val="23"/>
        </w:rPr>
        <w:br w:type="page"/>
      </w:r>
    </w:p>
    <w:p w14:paraId="3C5AE487" w14:textId="77777777" w:rsidR="00317FD3" w:rsidRPr="00AE5A70" w:rsidRDefault="007A36BA" w:rsidP="00973521">
      <w:pPr>
        <w:pStyle w:val="Heading1"/>
        <w:rPr>
          <w:rFonts w:eastAsiaTheme="minorBidi"/>
          <w:sz w:val="24"/>
          <w:szCs w:val="24"/>
        </w:rPr>
      </w:pPr>
      <w:bookmarkStart w:id="100" w:name="_Ref524342410"/>
      <w:bookmarkStart w:id="101" w:name="_Ref524342416"/>
      <w:bookmarkStart w:id="102" w:name="_Toc531941967"/>
      <w:r w:rsidRPr="00AE5A70">
        <w:rPr>
          <w:rFonts w:eastAsiaTheme="minorBidi"/>
          <w:sz w:val="24"/>
          <w:szCs w:val="24"/>
        </w:rPr>
        <w:t xml:space="preserve">Appendix C: </w:t>
      </w:r>
      <w:r w:rsidR="00DF2874" w:rsidRPr="00AE5A70">
        <w:rPr>
          <w:rFonts w:eastAsiaTheme="minorBidi"/>
          <w:sz w:val="24"/>
          <w:szCs w:val="24"/>
        </w:rPr>
        <w:t xml:space="preserve">Appropriately trained </w:t>
      </w:r>
      <w:r w:rsidR="00A6235D" w:rsidRPr="00AE5A70">
        <w:rPr>
          <w:rFonts w:eastAsiaTheme="minorBidi"/>
          <w:sz w:val="24"/>
          <w:szCs w:val="24"/>
        </w:rPr>
        <w:t>h</w:t>
      </w:r>
      <w:r w:rsidR="00C561F7" w:rsidRPr="00AE5A70">
        <w:rPr>
          <w:rFonts w:eastAsiaTheme="minorBidi"/>
          <w:sz w:val="24"/>
          <w:szCs w:val="24"/>
        </w:rPr>
        <w:t>ealth practitioners</w:t>
      </w:r>
      <w:r w:rsidR="00CF42D5" w:rsidRPr="00AE5A70">
        <w:rPr>
          <w:rFonts w:eastAsiaTheme="minorBidi"/>
          <w:sz w:val="24"/>
          <w:szCs w:val="24"/>
        </w:rPr>
        <w:t xml:space="preserve"> able to provide </w:t>
      </w:r>
      <w:r w:rsidR="000119F8" w:rsidRPr="00AE5A70">
        <w:rPr>
          <w:rFonts w:eastAsiaTheme="minorBidi"/>
          <w:sz w:val="24"/>
          <w:szCs w:val="24"/>
        </w:rPr>
        <w:t>eating disorders specific treatmen</w:t>
      </w:r>
      <w:r w:rsidR="00317FD3" w:rsidRPr="00AE5A70">
        <w:rPr>
          <w:rFonts w:eastAsiaTheme="minorBidi"/>
          <w:sz w:val="24"/>
          <w:szCs w:val="24"/>
        </w:rPr>
        <w:t>t</w:t>
      </w:r>
      <w:bookmarkEnd w:id="100"/>
      <w:bookmarkEnd w:id="101"/>
      <w:bookmarkEnd w:id="102"/>
    </w:p>
    <w:p w14:paraId="05FDD973" w14:textId="77777777" w:rsidR="00317FD3" w:rsidRPr="00AE5A70" w:rsidRDefault="00317FD3" w:rsidP="00317FD3">
      <w:pPr>
        <w:rPr>
          <w:rFonts w:ascii="Calibri" w:eastAsia="Calibri" w:hAnsi="Calibri" w:cs="Calibri"/>
          <w:sz w:val="23"/>
          <w:szCs w:val="23"/>
        </w:rPr>
      </w:pPr>
      <w:r w:rsidRPr="00AE5A70">
        <w:rPr>
          <w:rFonts w:ascii="Calibri" w:eastAsia="Calibri" w:hAnsi="Calibri" w:cs="Calibri"/>
          <w:sz w:val="23"/>
          <w:szCs w:val="23"/>
        </w:rPr>
        <w:t xml:space="preserve">The Working Group believes that the following allied health </w:t>
      </w:r>
      <w:r w:rsidR="00071C3F" w:rsidRPr="00AE5A70">
        <w:rPr>
          <w:rFonts w:ascii="Calibri" w:eastAsia="Calibri" w:hAnsi="Calibri" w:cs="Calibri"/>
          <w:sz w:val="23"/>
          <w:szCs w:val="23"/>
        </w:rPr>
        <w:t xml:space="preserve">and mental health </w:t>
      </w:r>
      <w:r w:rsidR="005C5FBA" w:rsidRPr="00AE5A70">
        <w:rPr>
          <w:rFonts w:ascii="Calibri" w:eastAsia="Calibri" w:hAnsi="Calibri" w:cs="Calibri"/>
          <w:sz w:val="23"/>
          <w:szCs w:val="23"/>
        </w:rPr>
        <w:t>professionals</w:t>
      </w:r>
      <w:r w:rsidR="00607252" w:rsidRPr="00AE5A70">
        <w:rPr>
          <w:rFonts w:ascii="Calibri" w:eastAsia="Calibri" w:hAnsi="Calibri" w:cs="Calibri"/>
          <w:sz w:val="23"/>
          <w:szCs w:val="23"/>
        </w:rPr>
        <w:t xml:space="preserve"> </w:t>
      </w:r>
      <w:r w:rsidR="00895DAA" w:rsidRPr="00AE5A70">
        <w:rPr>
          <w:rFonts w:ascii="Calibri" w:eastAsia="Calibri" w:hAnsi="Calibri" w:cs="Calibri"/>
          <w:sz w:val="23"/>
          <w:szCs w:val="23"/>
        </w:rPr>
        <w:t>(</w:t>
      </w:r>
      <w:r w:rsidR="00607252" w:rsidRPr="00AE5A70">
        <w:rPr>
          <w:rFonts w:ascii="Calibri" w:eastAsia="Calibri" w:hAnsi="Calibri" w:cs="Calibri"/>
          <w:sz w:val="23"/>
          <w:szCs w:val="23"/>
        </w:rPr>
        <w:t>with further training</w:t>
      </w:r>
      <w:r w:rsidR="00BF76E6" w:rsidRPr="00AE5A70">
        <w:rPr>
          <w:rFonts w:ascii="Calibri" w:eastAsia="Calibri" w:hAnsi="Calibri" w:cs="Calibri"/>
          <w:sz w:val="23"/>
          <w:szCs w:val="23"/>
        </w:rPr>
        <w:t>, credentialing and experience</w:t>
      </w:r>
      <w:r w:rsidR="00607252" w:rsidRPr="00AE5A70">
        <w:rPr>
          <w:rFonts w:ascii="Calibri" w:eastAsia="Calibri" w:hAnsi="Calibri" w:cs="Calibri"/>
          <w:sz w:val="23"/>
          <w:szCs w:val="23"/>
        </w:rPr>
        <w:t xml:space="preserve"> in the treatment of </w:t>
      </w:r>
      <w:r w:rsidR="005C5FBA" w:rsidRPr="00AE5A70">
        <w:rPr>
          <w:rFonts w:ascii="Calibri" w:eastAsia="Calibri" w:hAnsi="Calibri" w:cs="Calibri"/>
          <w:sz w:val="23"/>
          <w:szCs w:val="23"/>
        </w:rPr>
        <w:t>eating disorders</w:t>
      </w:r>
      <w:r w:rsidR="00895DAA" w:rsidRPr="00AE5A70">
        <w:rPr>
          <w:rFonts w:ascii="Calibri" w:eastAsia="Calibri" w:hAnsi="Calibri" w:cs="Calibri"/>
          <w:sz w:val="23"/>
          <w:szCs w:val="23"/>
        </w:rPr>
        <w:t>)</w:t>
      </w:r>
      <w:r w:rsidR="00FE6FB7" w:rsidRPr="00AE5A70">
        <w:rPr>
          <w:rFonts w:ascii="Calibri" w:eastAsia="Calibri" w:hAnsi="Calibri" w:cs="Calibri"/>
          <w:sz w:val="23"/>
          <w:szCs w:val="23"/>
        </w:rPr>
        <w:t xml:space="preserve"> should be able to </w:t>
      </w:r>
      <w:r w:rsidR="0014286E" w:rsidRPr="00AE5A70">
        <w:rPr>
          <w:rFonts w:ascii="Calibri" w:eastAsia="Calibri" w:hAnsi="Calibri" w:cs="Calibri"/>
          <w:sz w:val="23"/>
          <w:szCs w:val="23"/>
        </w:rPr>
        <w:t>administer</w:t>
      </w:r>
      <w:r w:rsidR="00895DAA" w:rsidRPr="00AE5A70">
        <w:rPr>
          <w:rFonts w:ascii="Calibri" w:eastAsia="Calibri" w:hAnsi="Calibri" w:cs="Calibri"/>
          <w:sz w:val="23"/>
          <w:szCs w:val="23"/>
        </w:rPr>
        <w:t xml:space="preserve"> evidence</w:t>
      </w:r>
      <w:r w:rsidR="009A1BAA" w:rsidRPr="00AE5A70">
        <w:rPr>
          <w:rFonts w:ascii="Calibri" w:eastAsia="Calibri" w:hAnsi="Calibri" w:cs="Calibri"/>
          <w:sz w:val="23"/>
          <w:szCs w:val="23"/>
        </w:rPr>
        <w:noBreakHyphen/>
      </w:r>
      <w:r w:rsidR="00895DAA" w:rsidRPr="00AE5A70">
        <w:rPr>
          <w:rFonts w:ascii="Calibri" w:eastAsia="Calibri" w:hAnsi="Calibri" w:cs="Calibri"/>
          <w:sz w:val="23"/>
          <w:szCs w:val="23"/>
        </w:rPr>
        <w:t>based</w:t>
      </w:r>
      <w:r w:rsidR="00FE6FB7" w:rsidRPr="00AE5A70">
        <w:rPr>
          <w:rFonts w:ascii="Calibri" w:eastAsia="Calibri" w:hAnsi="Calibri" w:cs="Calibri"/>
          <w:sz w:val="23"/>
          <w:szCs w:val="23"/>
        </w:rPr>
        <w:t xml:space="preserve"> treatment</w:t>
      </w:r>
      <w:r w:rsidR="0014286E" w:rsidRPr="00AE5A70">
        <w:rPr>
          <w:rFonts w:ascii="Calibri" w:eastAsia="Calibri" w:hAnsi="Calibri" w:cs="Calibri"/>
          <w:sz w:val="23"/>
          <w:szCs w:val="23"/>
        </w:rPr>
        <w:t>s to</w:t>
      </w:r>
      <w:r w:rsidR="00FE6FB7" w:rsidRPr="00AE5A70">
        <w:rPr>
          <w:rFonts w:ascii="Calibri" w:eastAsia="Calibri" w:hAnsi="Calibri" w:cs="Calibri"/>
          <w:sz w:val="23"/>
          <w:szCs w:val="23"/>
        </w:rPr>
        <w:t xml:space="preserve"> patient</w:t>
      </w:r>
      <w:r w:rsidR="00607252" w:rsidRPr="00AE5A70">
        <w:rPr>
          <w:rFonts w:ascii="Calibri" w:eastAsia="Calibri" w:hAnsi="Calibri" w:cs="Calibri"/>
          <w:sz w:val="23"/>
          <w:szCs w:val="23"/>
        </w:rPr>
        <w:t>s</w:t>
      </w:r>
      <w:r w:rsidR="003704C8">
        <w:rPr>
          <w:rFonts w:ascii="Calibri" w:eastAsia="Calibri" w:hAnsi="Calibri" w:cs="Calibri"/>
          <w:sz w:val="23"/>
          <w:szCs w:val="23"/>
        </w:rPr>
        <w:t xml:space="preserve"> with a</w:t>
      </w:r>
      <w:r w:rsidR="00607252" w:rsidRPr="00AE5A70">
        <w:rPr>
          <w:rFonts w:ascii="Calibri" w:eastAsia="Calibri" w:hAnsi="Calibri" w:cs="Calibri"/>
          <w:sz w:val="23"/>
          <w:szCs w:val="23"/>
        </w:rPr>
        <w:t xml:space="preserve"> diagnosis of</w:t>
      </w:r>
      <w:r w:rsidR="00895DAA" w:rsidRPr="00AE5A70">
        <w:rPr>
          <w:rFonts w:ascii="Calibri" w:eastAsia="Calibri" w:hAnsi="Calibri" w:cs="Calibri"/>
          <w:sz w:val="23"/>
          <w:szCs w:val="23"/>
        </w:rPr>
        <w:t xml:space="preserve"> an eating disorder</w:t>
      </w:r>
      <w:r w:rsidR="00CE51AA">
        <w:rPr>
          <w:rFonts w:ascii="Calibri" w:eastAsia="Calibri" w:hAnsi="Calibri" w:cs="Calibri"/>
          <w:sz w:val="23"/>
          <w:szCs w:val="23"/>
        </w:rPr>
        <w:t>:</w:t>
      </w:r>
    </w:p>
    <w:p w14:paraId="768BD269" w14:textId="77777777" w:rsidR="003704C8" w:rsidRPr="009341EF" w:rsidRDefault="003704C8" w:rsidP="00FD65D9">
      <w:pPr>
        <w:pStyle w:val="ListParagraph"/>
        <w:numPr>
          <w:ilvl w:val="0"/>
          <w:numId w:val="68"/>
        </w:numPr>
        <w:rPr>
          <w:sz w:val="23"/>
          <w:szCs w:val="23"/>
        </w:rPr>
      </w:pPr>
      <w:r w:rsidRPr="009341EF">
        <w:rPr>
          <w:sz w:val="23"/>
          <w:szCs w:val="23"/>
        </w:rPr>
        <w:t>GPs who have completed accredited mental health training</w:t>
      </w:r>
    </w:p>
    <w:p w14:paraId="6D140AD7" w14:textId="77777777" w:rsidR="00FD65D9" w:rsidRPr="00AE5A70" w:rsidRDefault="00CE51AA" w:rsidP="00FD65D9">
      <w:pPr>
        <w:pStyle w:val="ListParagraph"/>
        <w:numPr>
          <w:ilvl w:val="0"/>
          <w:numId w:val="68"/>
        </w:numPr>
        <w:rPr>
          <w:sz w:val="23"/>
          <w:szCs w:val="23"/>
        </w:rPr>
      </w:pPr>
      <w:r>
        <w:rPr>
          <w:sz w:val="23"/>
          <w:szCs w:val="23"/>
        </w:rPr>
        <w:t xml:space="preserve"> </w:t>
      </w:r>
      <w:r w:rsidR="00FD65D9" w:rsidRPr="00AE5A70">
        <w:rPr>
          <w:sz w:val="23"/>
          <w:szCs w:val="23"/>
        </w:rPr>
        <w:t>Psychologists</w:t>
      </w:r>
    </w:p>
    <w:p w14:paraId="34F0CE52" w14:textId="77777777" w:rsidR="00FD65D9" w:rsidRPr="00AE5A70" w:rsidRDefault="00FD65D9" w:rsidP="00FD65D9">
      <w:pPr>
        <w:pStyle w:val="ListParagraph"/>
        <w:numPr>
          <w:ilvl w:val="0"/>
          <w:numId w:val="68"/>
        </w:numPr>
        <w:rPr>
          <w:sz w:val="23"/>
          <w:szCs w:val="23"/>
        </w:rPr>
      </w:pPr>
      <w:r w:rsidRPr="00AE5A70">
        <w:rPr>
          <w:sz w:val="23"/>
          <w:szCs w:val="23"/>
        </w:rPr>
        <w:t>Social workers</w:t>
      </w:r>
    </w:p>
    <w:p w14:paraId="1527EF24" w14:textId="77777777" w:rsidR="00FD65D9" w:rsidRPr="00AE5A70" w:rsidRDefault="0077448D" w:rsidP="00FD65D9">
      <w:pPr>
        <w:pStyle w:val="ListParagraph"/>
        <w:numPr>
          <w:ilvl w:val="0"/>
          <w:numId w:val="68"/>
        </w:numPr>
        <w:rPr>
          <w:sz w:val="23"/>
          <w:szCs w:val="23"/>
        </w:rPr>
      </w:pPr>
      <w:r w:rsidRPr="00AE5A70">
        <w:rPr>
          <w:sz w:val="23"/>
          <w:szCs w:val="23"/>
        </w:rPr>
        <w:t>Occupational therapists</w:t>
      </w:r>
    </w:p>
    <w:p w14:paraId="380DF944" w14:textId="77777777" w:rsidR="0070144E" w:rsidRPr="00AE5A70" w:rsidRDefault="0070144E" w:rsidP="0070144E">
      <w:pPr>
        <w:pStyle w:val="ListParagraph"/>
        <w:numPr>
          <w:ilvl w:val="0"/>
          <w:numId w:val="68"/>
        </w:numPr>
        <w:rPr>
          <w:sz w:val="23"/>
          <w:szCs w:val="23"/>
        </w:rPr>
      </w:pPr>
      <w:r w:rsidRPr="00AE5A70">
        <w:rPr>
          <w:sz w:val="23"/>
          <w:szCs w:val="23"/>
        </w:rPr>
        <w:t>Counsellors</w:t>
      </w:r>
    </w:p>
    <w:p w14:paraId="0B208098" w14:textId="77777777" w:rsidR="0077448D" w:rsidRPr="00AE5A70" w:rsidRDefault="0077448D" w:rsidP="00FD65D9">
      <w:pPr>
        <w:pStyle w:val="ListParagraph"/>
        <w:numPr>
          <w:ilvl w:val="0"/>
          <w:numId w:val="68"/>
        </w:numPr>
        <w:rPr>
          <w:sz w:val="23"/>
          <w:szCs w:val="23"/>
        </w:rPr>
      </w:pPr>
      <w:r w:rsidRPr="00AE5A70">
        <w:rPr>
          <w:sz w:val="23"/>
          <w:szCs w:val="23"/>
        </w:rPr>
        <w:t>Psychotherapists</w:t>
      </w:r>
    </w:p>
    <w:p w14:paraId="78F2075B" w14:textId="77777777" w:rsidR="0077448D" w:rsidRPr="00AE5A70" w:rsidRDefault="0077448D" w:rsidP="00FD65D9">
      <w:pPr>
        <w:pStyle w:val="ListParagraph"/>
        <w:numPr>
          <w:ilvl w:val="0"/>
          <w:numId w:val="68"/>
        </w:numPr>
        <w:rPr>
          <w:sz w:val="23"/>
          <w:szCs w:val="23"/>
        </w:rPr>
      </w:pPr>
      <w:r w:rsidRPr="00AE5A70">
        <w:rPr>
          <w:sz w:val="23"/>
          <w:szCs w:val="23"/>
        </w:rPr>
        <w:t xml:space="preserve">Dietitians </w:t>
      </w:r>
    </w:p>
    <w:p w14:paraId="78111A7A" w14:textId="77777777" w:rsidR="00F47502" w:rsidRPr="00AE5A70" w:rsidRDefault="0079783D" w:rsidP="00F47502">
      <w:pPr>
        <w:pStyle w:val="ListParagraph"/>
        <w:numPr>
          <w:ilvl w:val="0"/>
          <w:numId w:val="68"/>
        </w:numPr>
        <w:rPr>
          <w:sz w:val="23"/>
          <w:szCs w:val="23"/>
        </w:rPr>
      </w:pPr>
      <w:r w:rsidRPr="00AE5A70">
        <w:rPr>
          <w:sz w:val="23"/>
          <w:szCs w:val="23"/>
        </w:rPr>
        <w:t>Mental health nurse</w:t>
      </w:r>
      <w:r w:rsidR="00BE073F" w:rsidRPr="00AE5A70">
        <w:rPr>
          <w:sz w:val="23"/>
          <w:szCs w:val="23"/>
        </w:rPr>
        <w:t>s</w:t>
      </w:r>
    </w:p>
    <w:p w14:paraId="4331B43B" w14:textId="77777777" w:rsidR="00F47502" w:rsidRPr="00AE5A70" w:rsidRDefault="00F47502" w:rsidP="00E40606">
      <w:pPr>
        <w:rPr>
          <w:sz w:val="23"/>
          <w:szCs w:val="23"/>
        </w:rPr>
      </w:pPr>
      <w:r w:rsidRPr="00AE5A70">
        <w:rPr>
          <w:sz w:val="23"/>
          <w:szCs w:val="23"/>
        </w:rPr>
        <w:t>The Working Group also believe that these practitioners should have substantial training in mental health and accreditation by AHPRA or their own profession.</w:t>
      </w:r>
    </w:p>
    <w:p w14:paraId="64DC034A" w14:textId="77777777" w:rsidR="00973521" w:rsidRPr="00AE5A70" w:rsidRDefault="002D7E0C" w:rsidP="00973521">
      <w:pPr>
        <w:pStyle w:val="Heading1"/>
        <w:rPr>
          <w:rFonts w:eastAsiaTheme="minorBidi"/>
          <w:sz w:val="23"/>
          <w:szCs w:val="23"/>
        </w:rPr>
      </w:pPr>
      <w:r w:rsidRPr="00AE5A70">
        <w:rPr>
          <w:rFonts w:eastAsiaTheme="minorBidi"/>
          <w:sz w:val="23"/>
          <w:szCs w:val="23"/>
        </w:rPr>
        <w:br w:type="page"/>
      </w:r>
      <w:bookmarkStart w:id="103" w:name="_Ref528149800"/>
      <w:bookmarkStart w:id="104" w:name="_Toc531941968"/>
      <w:r w:rsidR="007A36BA" w:rsidRPr="00AE5A70">
        <w:rPr>
          <w:rFonts w:eastAsiaTheme="minorBidi"/>
          <w:sz w:val="23"/>
          <w:szCs w:val="23"/>
        </w:rPr>
        <w:t>Appendix D: Referrals to other Clinical Committees</w:t>
      </w:r>
      <w:bookmarkEnd w:id="103"/>
      <w:bookmarkEnd w:id="104"/>
    </w:p>
    <w:p w14:paraId="67770F23" w14:textId="77777777" w:rsidR="0010361E" w:rsidRPr="00AE5A70" w:rsidRDefault="0010361E" w:rsidP="00BD3800">
      <w:pPr>
        <w:pStyle w:val="Heading2"/>
        <w:rPr>
          <w:rFonts w:eastAsiaTheme="minorBidi"/>
        </w:rPr>
      </w:pPr>
      <w:bookmarkStart w:id="105" w:name="_Toc531941969"/>
      <w:r w:rsidRPr="00AE5A70">
        <w:rPr>
          <w:rFonts w:eastAsiaTheme="minorBidi"/>
        </w:rPr>
        <w:t>Memorandum to the Allied Health Reference Group</w:t>
      </w:r>
      <w:bookmarkEnd w:id="105"/>
    </w:p>
    <w:p w14:paraId="5D8CA913" w14:textId="77777777" w:rsidR="00460024" w:rsidRPr="00AE5A70" w:rsidRDefault="00460024" w:rsidP="00460024">
      <w:pPr>
        <w:spacing w:before="240" w:line="240" w:lineRule="auto"/>
        <w:jc w:val="right"/>
        <w:rPr>
          <w:rFonts w:ascii="Times New Roman" w:eastAsiaTheme="minorEastAsia" w:hAnsi="Times New Roman"/>
          <w:sz w:val="23"/>
          <w:szCs w:val="23"/>
        </w:rPr>
      </w:pPr>
      <w:r w:rsidRPr="00AE5A70">
        <w:rPr>
          <w:rFonts w:ascii="Times New Roman" w:eastAsiaTheme="minorEastAsia" w:hAnsi="Times New Roman"/>
          <w:sz w:val="23"/>
          <w:szCs w:val="23"/>
        </w:rPr>
        <w:t>14</w:t>
      </w:r>
      <w:r w:rsidRPr="00AE5A70">
        <w:rPr>
          <w:rFonts w:ascii="Times New Roman" w:eastAsiaTheme="minorEastAsia" w:hAnsi="Times New Roman"/>
          <w:sz w:val="23"/>
          <w:szCs w:val="23"/>
          <w:vertAlign w:val="superscript"/>
        </w:rPr>
        <w:t>th</w:t>
      </w:r>
      <w:r w:rsidRPr="00AE5A70">
        <w:rPr>
          <w:rFonts w:ascii="Times New Roman" w:eastAsiaTheme="minorEastAsia" w:hAnsi="Times New Roman"/>
          <w:sz w:val="23"/>
          <w:szCs w:val="23"/>
        </w:rPr>
        <w:t xml:space="preserve"> August 2018</w:t>
      </w:r>
    </w:p>
    <w:p w14:paraId="783F254D" w14:textId="77777777" w:rsidR="00AC4969" w:rsidRPr="00AE5A70" w:rsidRDefault="00AC4969" w:rsidP="00AC4969">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Dear Allied Health Reference Group,</w:t>
      </w:r>
    </w:p>
    <w:p w14:paraId="2986EE4A" w14:textId="77777777" w:rsidR="00AC4969" w:rsidRPr="00AE5A70" w:rsidRDefault="00AC4969" w:rsidP="00AC4969">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In September 2017 the Medicare Benefits Schedule Review Taskforce (the Taskforce) established the Eating Disorders Working Group (EDWG). The Taskforce was requested by the Minister to investigate current treatment options for those suffering with eating disorders. </w:t>
      </w:r>
    </w:p>
    <w:p w14:paraId="38705557" w14:textId="77777777" w:rsidR="00AC4969" w:rsidRPr="00AE5A70" w:rsidRDefault="00AC4969" w:rsidP="00AC4969">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The EDWG have investigated current approaches to the treatment of people with eating disorders as funded by the Medicare Benefits Schedule (MBS), examining whether they are adequate. The EDWG also reviewed new approaches to improving treatment pathways. </w:t>
      </w:r>
    </w:p>
    <w:p w14:paraId="4886B6E2" w14:textId="77777777" w:rsidR="00AC4969" w:rsidRPr="00AE5A70" w:rsidRDefault="00AC4969" w:rsidP="00AC4969">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The EDWG’s investigation is framed through the following lenses: </w:t>
      </w:r>
    </w:p>
    <w:p w14:paraId="7322D27E" w14:textId="77777777" w:rsidR="00AC4969" w:rsidRPr="00AE5A70" w:rsidRDefault="00AC4969" w:rsidP="00AC4969">
      <w:pPr>
        <w:pStyle w:val="01squarebullet"/>
        <w:numPr>
          <w:ilvl w:val="0"/>
          <w:numId w:val="8"/>
        </w:numPr>
        <w:spacing w:before="240"/>
        <w:ind w:left="357" w:hanging="357"/>
        <w:rPr>
          <w:rFonts w:ascii="Times New Roman" w:eastAsiaTheme="minorBidi" w:hAnsi="Times New Roman"/>
          <w:b/>
          <w:bCs/>
          <w:sz w:val="23"/>
          <w:szCs w:val="23"/>
        </w:rPr>
      </w:pPr>
      <w:r w:rsidRPr="00AE5A70">
        <w:rPr>
          <w:rFonts w:ascii="Times New Roman" w:eastAsiaTheme="minorBidi" w:hAnsi="Times New Roman"/>
          <w:sz w:val="23"/>
          <w:szCs w:val="23"/>
        </w:rPr>
        <w:t>The goal of the Taskforce is to ensure that the MBS funds ‘affordable and universal access [to] best practice health services’. MBS funding should represent both ‘value for the individual patient [and] value for the community’.</w:t>
      </w:r>
    </w:p>
    <w:p w14:paraId="19F2162D" w14:textId="77777777" w:rsidR="00AC4969" w:rsidRPr="00AE5A70" w:rsidRDefault="00AC4969" w:rsidP="00AC4969">
      <w:pPr>
        <w:pStyle w:val="01squarebullet"/>
        <w:numPr>
          <w:ilvl w:val="0"/>
          <w:numId w:val="8"/>
        </w:numPr>
        <w:spacing w:before="240"/>
        <w:ind w:left="357" w:hanging="357"/>
        <w:rPr>
          <w:rFonts w:ascii="Times New Roman" w:eastAsiaTheme="minorBidi" w:hAnsi="Times New Roman"/>
          <w:sz w:val="23"/>
          <w:szCs w:val="23"/>
        </w:rPr>
      </w:pPr>
      <w:r w:rsidRPr="00AE5A70">
        <w:rPr>
          <w:rFonts w:ascii="Times New Roman" w:eastAsiaTheme="minorBidi" w:hAnsi="Times New Roman"/>
          <w:sz w:val="23"/>
          <w:szCs w:val="23"/>
        </w:rPr>
        <w:t xml:space="preserve">It is widely accepted that treatment services for people with eating disorders are fragmented and difficult to locate. This can be exacerbated by the patient’s geographical location in relation to treatment services, and item restrictions. These two factors can potentially limit access. </w:t>
      </w:r>
    </w:p>
    <w:p w14:paraId="77496D1F" w14:textId="77777777" w:rsidR="00AC4969" w:rsidRPr="00AE5A70" w:rsidRDefault="00AC4969" w:rsidP="00AC4969">
      <w:pPr>
        <w:pStyle w:val="01squarebullet"/>
        <w:numPr>
          <w:ilvl w:val="0"/>
          <w:numId w:val="8"/>
        </w:numPr>
        <w:spacing w:before="240"/>
        <w:ind w:left="357" w:hanging="357"/>
        <w:rPr>
          <w:rFonts w:ascii="Times New Roman" w:eastAsiaTheme="minorBidi" w:hAnsi="Times New Roman"/>
          <w:sz w:val="23"/>
          <w:szCs w:val="23"/>
        </w:rPr>
      </w:pPr>
      <w:r w:rsidRPr="00AE5A70">
        <w:rPr>
          <w:rFonts w:ascii="Times New Roman" w:eastAsiaTheme="minorBidi" w:hAnsi="Times New Roman"/>
          <w:sz w:val="23"/>
          <w:szCs w:val="23"/>
        </w:rPr>
        <w:t>Of all psychiatric disorders, eating disorders have one of the highest impacts on health-related quality of life. Eating disorders affect about 1 in 20 Australians, with an increasing prevalence in both women and men, with Anorexia nervosa (AN) and bulimia nervosa (BN) often associated with high rates of hospitalisation, premature death and suicide. The Australian Government has therefore flagged eating disorders as a priority.</w:t>
      </w:r>
    </w:p>
    <w:p w14:paraId="56EC47FB" w14:textId="77777777" w:rsidR="00AC4969" w:rsidRPr="00AE5A70" w:rsidRDefault="00AC4969" w:rsidP="00AC4969">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Following the completion of the investigation, a report is expected to be provided to the Minister by the end of 2018. </w:t>
      </w:r>
    </w:p>
    <w:p w14:paraId="41923CA1" w14:textId="77777777" w:rsidR="00AC4969" w:rsidRPr="00AE5A70" w:rsidRDefault="00AC4969" w:rsidP="00AC4969">
      <w:pPr>
        <w:pStyle w:val="01squarebullet"/>
        <w:ind w:left="0" w:firstLine="0"/>
        <w:rPr>
          <w:rFonts w:ascii="Times New Roman" w:eastAsiaTheme="minorBidi" w:hAnsi="Times New Roman"/>
          <w:sz w:val="23"/>
          <w:szCs w:val="23"/>
        </w:rPr>
      </w:pPr>
      <w:r w:rsidRPr="00AE5A70">
        <w:rPr>
          <w:rFonts w:ascii="Times New Roman" w:eastAsiaTheme="minorBidi" w:hAnsi="Times New Roman"/>
          <w:sz w:val="23"/>
          <w:szCs w:val="23"/>
        </w:rPr>
        <w:t>The EDWG will be recommending a specific item for those severe AN. In light of this, the EDWG would like to draw the Allied Health Reference Group’s (AHRG) attention to the following MBS items for consideration and review:</w:t>
      </w:r>
    </w:p>
    <w:p w14:paraId="222CBB2A" w14:textId="77777777" w:rsidR="00AC4969" w:rsidRPr="00AE5A70" w:rsidRDefault="00AC4969" w:rsidP="00AC4969">
      <w:pPr>
        <w:pStyle w:val="01squarebullet"/>
        <w:numPr>
          <w:ilvl w:val="0"/>
          <w:numId w:val="8"/>
        </w:numPr>
        <w:rPr>
          <w:rFonts w:ascii="Times New Roman" w:eastAsiaTheme="minorBidi" w:hAnsi="Times New Roman"/>
          <w:b/>
          <w:bCs/>
          <w:sz w:val="23"/>
          <w:szCs w:val="23"/>
          <w:u w:val="single"/>
        </w:rPr>
      </w:pPr>
      <w:r w:rsidRPr="00AE5A70">
        <w:rPr>
          <w:rFonts w:ascii="Times New Roman" w:eastAsiaTheme="minorBidi" w:hAnsi="Times New Roman"/>
          <w:b/>
          <w:bCs/>
          <w:sz w:val="23"/>
          <w:szCs w:val="23"/>
          <w:u w:val="single"/>
        </w:rPr>
        <w:t xml:space="preserve">MBS support for chronic medical conditions under Chronic Disease Management MBS items </w:t>
      </w:r>
    </w:p>
    <w:p w14:paraId="29150975" w14:textId="77777777" w:rsidR="00AC4969" w:rsidRPr="00AE5A70" w:rsidRDefault="00AC4969" w:rsidP="00AC4969">
      <w:pPr>
        <w:pStyle w:val="02dash"/>
        <w:numPr>
          <w:ilvl w:val="1"/>
          <w:numId w:val="8"/>
        </w:numPr>
        <w:spacing w:after="0" w:line="240" w:lineRule="auto"/>
        <w:ind w:left="568"/>
        <w:rPr>
          <w:rFonts w:ascii="Times New Roman" w:eastAsiaTheme="minorBidi" w:hAnsi="Times New Roman"/>
          <w:b/>
          <w:bCs/>
          <w:sz w:val="23"/>
          <w:szCs w:val="23"/>
        </w:rPr>
      </w:pPr>
      <w:r w:rsidRPr="00AE5A70">
        <w:rPr>
          <w:rFonts w:ascii="Times New Roman" w:eastAsiaTheme="minorBidi" w:hAnsi="Times New Roman"/>
          <w:b/>
          <w:bCs/>
          <w:sz w:val="23"/>
          <w:szCs w:val="23"/>
        </w:rPr>
        <w:t xml:space="preserve">Suggestion: </w:t>
      </w:r>
    </w:p>
    <w:p w14:paraId="2718A71F"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Expand Multidisciplinary case conference MBS items 735, 739, 743 to include payments to appropriately trained dietitians and accredited mental health professionals including mental health nurses, social workers, occupational therapist</w:t>
      </w:r>
      <w:r w:rsidR="00813083" w:rsidRPr="00AE5A70">
        <w:rPr>
          <w:rFonts w:ascii="Times New Roman" w:eastAsiaTheme="minorBidi" w:hAnsi="Times New Roman"/>
          <w:sz w:val="23"/>
          <w:szCs w:val="23"/>
        </w:rPr>
        <w:t>s</w:t>
      </w:r>
      <w:r w:rsidRPr="00AE5A70">
        <w:rPr>
          <w:rFonts w:ascii="Times New Roman" w:eastAsiaTheme="minorBidi" w:hAnsi="Times New Roman"/>
          <w:sz w:val="23"/>
          <w:szCs w:val="23"/>
        </w:rPr>
        <w:t xml:space="preserve">, counsellors and psychotherapists who are </w:t>
      </w:r>
      <w:r w:rsidRPr="00AE5A70">
        <w:rPr>
          <w:rFonts w:ascii="Times New Roman" w:eastAsiaTheme="minorBidi" w:hAnsi="Times New Roman"/>
          <w:b/>
          <w:sz w:val="23"/>
          <w:szCs w:val="23"/>
          <w:lang w:val="en-AU"/>
        </w:rPr>
        <w:t>specialised</w:t>
      </w:r>
      <w:r w:rsidRPr="00AE5A70">
        <w:rPr>
          <w:rFonts w:ascii="Times New Roman" w:eastAsiaTheme="minorBidi" w:hAnsi="Times New Roman"/>
          <w:b/>
          <w:sz w:val="23"/>
          <w:szCs w:val="23"/>
        </w:rPr>
        <w:t xml:space="preserve"> in the treatment of eating disorders. </w:t>
      </w:r>
    </w:p>
    <w:p w14:paraId="77D00D07"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EDWG considered the need for reimbursement for allied health professionals and accredited mental health professionals to receive rebates for their involvement in case conferencing, similar to item 729 for GP contribution into a MDT care plan or case conferencing items listed in MBS items subgroup A15.</w:t>
      </w:r>
    </w:p>
    <w:p w14:paraId="0390AB4D"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 xml:space="preserve">Increase the annual limit of dietitian sessions (item 10954) for patients with severe cases of AN. </w:t>
      </w:r>
    </w:p>
    <w:p w14:paraId="60084FDC"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 xml:space="preserve">Increase the annual limit of dietitian sessions (item 10954) for moderate to severe binge eating disorder (BED) and BN. </w:t>
      </w:r>
    </w:p>
    <w:p w14:paraId="39EC8F2D"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The EDWG acknowledges EDs are covered under this item as it is a chronic disease.</w:t>
      </w:r>
    </w:p>
    <w:p w14:paraId="433D8C89" w14:textId="77777777" w:rsidR="00AC4969" w:rsidRPr="00AE5A70" w:rsidRDefault="00AC4969" w:rsidP="00AC4969">
      <w:pPr>
        <w:pStyle w:val="02dash"/>
        <w:numPr>
          <w:ilvl w:val="1"/>
          <w:numId w:val="8"/>
        </w:numPr>
        <w:spacing w:after="0" w:line="240" w:lineRule="auto"/>
        <w:ind w:left="568"/>
        <w:rPr>
          <w:rFonts w:ascii="Times New Roman" w:eastAsiaTheme="minorBidi" w:hAnsi="Times New Roman"/>
          <w:b/>
          <w:bCs/>
          <w:sz w:val="23"/>
          <w:szCs w:val="23"/>
        </w:rPr>
      </w:pPr>
      <w:r w:rsidRPr="00AE5A70">
        <w:rPr>
          <w:rFonts w:ascii="Times New Roman" w:eastAsiaTheme="minorBidi" w:hAnsi="Times New Roman"/>
          <w:b/>
          <w:bCs/>
          <w:sz w:val="23"/>
          <w:szCs w:val="23"/>
        </w:rPr>
        <w:t>Rationale:</w:t>
      </w:r>
    </w:p>
    <w:p w14:paraId="2B453FC8"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This request focuses on encouraging collaboration and enhancing the integration of health professionals from different disciplines.</w:t>
      </w:r>
    </w:p>
    <w:p w14:paraId="1AACB799"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The most effective interventions for severe forms of eating disorders are delivered through a multidisciplinary team (MDT) comprising of at least two members including: GP, psychiatrist, dietitian and/or an allied health/mental health practitioner with specialist eating disorder training (e.g. a psychologist or mental health nurse).</w:t>
      </w:r>
      <w:r w:rsidRPr="00AE5A70">
        <w:rPr>
          <w:rStyle w:val="FootnoteReference"/>
          <w:rFonts w:ascii="Times New Roman" w:eastAsiaTheme="minorBidi" w:hAnsi="Times New Roman"/>
          <w:sz w:val="23"/>
          <w:szCs w:val="23"/>
        </w:rPr>
        <w:t xml:space="preserve"> </w:t>
      </w:r>
      <w:r w:rsidRPr="00AE5A70">
        <w:rPr>
          <w:rStyle w:val="FootnoteReference"/>
          <w:rFonts w:ascii="Times New Roman" w:eastAsiaTheme="minorBidi" w:hAnsi="Times New Roman"/>
          <w:sz w:val="23"/>
          <w:szCs w:val="23"/>
        </w:rPr>
        <w:footnoteReference w:id="83"/>
      </w:r>
      <w:r w:rsidRPr="00AE5A70">
        <w:rPr>
          <w:rFonts w:ascii="Times New Roman" w:eastAsiaTheme="minorBidi" w:hAnsi="Times New Roman"/>
          <w:sz w:val="23"/>
          <w:szCs w:val="23"/>
          <w:vertAlign w:val="superscript"/>
        </w:rPr>
        <w:t xml:space="preserve"> </w:t>
      </w:r>
      <w:r w:rsidRPr="00AE5A70">
        <w:rPr>
          <w:rStyle w:val="FootnoteReference"/>
          <w:rFonts w:ascii="Times New Roman" w:eastAsiaTheme="minorBidi" w:hAnsi="Times New Roman"/>
          <w:sz w:val="23"/>
          <w:szCs w:val="23"/>
        </w:rPr>
        <w:footnoteReference w:id="84"/>
      </w:r>
      <w:r w:rsidRPr="00AE5A70">
        <w:rPr>
          <w:rFonts w:ascii="Times New Roman" w:eastAsiaTheme="minorBidi" w:hAnsi="Times New Roman"/>
          <w:sz w:val="23"/>
          <w:szCs w:val="23"/>
          <w:vertAlign w:val="superscript"/>
        </w:rPr>
        <w:t xml:space="preserve"> </w:t>
      </w:r>
      <w:r w:rsidRPr="00AE5A70">
        <w:rPr>
          <w:rStyle w:val="FootnoteReference"/>
          <w:rFonts w:ascii="Times New Roman" w:eastAsiaTheme="minorBidi" w:hAnsi="Times New Roman"/>
          <w:sz w:val="23"/>
          <w:szCs w:val="23"/>
        </w:rPr>
        <w:footnoteReference w:id="85"/>
      </w:r>
      <w:r w:rsidRPr="00AE5A70">
        <w:rPr>
          <w:rFonts w:ascii="Times New Roman" w:eastAsiaTheme="minorBidi" w:hAnsi="Times New Roman"/>
          <w:sz w:val="23"/>
          <w:szCs w:val="23"/>
          <w:vertAlign w:val="superscript"/>
        </w:rPr>
        <w:t xml:space="preserve"> </w:t>
      </w:r>
      <w:r w:rsidRPr="00AE5A70">
        <w:rPr>
          <w:rStyle w:val="FootnoteReference"/>
          <w:rFonts w:ascii="Times New Roman" w:eastAsiaTheme="minorBidi" w:hAnsi="Times New Roman"/>
          <w:sz w:val="23"/>
          <w:szCs w:val="23"/>
        </w:rPr>
        <w:footnoteReference w:id="86"/>
      </w:r>
      <w:r w:rsidRPr="00AE5A70">
        <w:rPr>
          <w:rFonts w:ascii="Times New Roman" w:eastAsiaTheme="minorBidi" w:hAnsi="Times New Roman"/>
          <w:sz w:val="23"/>
          <w:szCs w:val="23"/>
          <w:vertAlign w:val="superscript"/>
        </w:rPr>
        <w:t xml:space="preserve"> </w:t>
      </w:r>
      <w:r w:rsidRPr="00AE5A70">
        <w:rPr>
          <w:rStyle w:val="FootnoteReference"/>
          <w:rFonts w:ascii="Times New Roman" w:eastAsiaTheme="minorBidi" w:hAnsi="Times New Roman"/>
          <w:sz w:val="23"/>
          <w:szCs w:val="23"/>
        </w:rPr>
        <w:footnoteReference w:id="87"/>
      </w:r>
      <w:r w:rsidRPr="00AE5A70">
        <w:rPr>
          <w:rFonts w:ascii="Times New Roman" w:eastAsiaTheme="minorBidi" w:hAnsi="Times New Roman"/>
          <w:sz w:val="23"/>
          <w:szCs w:val="23"/>
        </w:rPr>
        <w:t xml:space="preserve"> </w:t>
      </w:r>
    </w:p>
    <w:p w14:paraId="6F0C172F"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Regular medical assessment, combined with nutritional therapy and psychological therapy are critical components of the successful treatment of all eating disorders.</w:t>
      </w:r>
      <w:r w:rsidRPr="00AE5A70">
        <w:rPr>
          <w:rStyle w:val="FootnoteReference"/>
          <w:rFonts w:ascii="Times New Roman" w:eastAsiaTheme="minorBidi" w:hAnsi="Times New Roman"/>
          <w:sz w:val="23"/>
          <w:szCs w:val="23"/>
        </w:rPr>
        <w:footnoteReference w:id="88"/>
      </w:r>
      <w:r w:rsidRPr="00AE5A70">
        <w:rPr>
          <w:rFonts w:ascii="Times New Roman" w:eastAsiaTheme="minorBidi" w:hAnsi="Times New Roman"/>
          <w:sz w:val="23"/>
          <w:szCs w:val="23"/>
        </w:rPr>
        <w:t xml:space="preserve"> </w:t>
      </w:r>
    </w:p>
    <w:p w14:paraId="3DE26587"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 xml:space="preserve">The EDWG therefore recommends that AHRG consider expanding allied mental health items (10950-10970) to diagnosed eating disorders, to facilitate collaboration between medical and allied health practitioners. </w:t>
      </w:r>
    </w:p>
    <w:p w14:paraId="315DC4D6" w14:textId="77777777" w:rsidR="00AC4969"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Financial constraints inhibit patients with AN or severe forms of BN from frequently attending consultations with health practitioners.</w:t>
      </w:r>
      <w:r w:rsidRPr="00AE5A70">
        <w:rPr>
          <w:rStyle w:val="FootnoteReference"/>
          <w:rFonts w:ascii="Times New Roman" w:eastAsiaTheme="minorBidi" w:hAnsi="Times New Roman"/>
          <w:sz w:val="23"/>
          <w:szCs w:val="23"/>
        </w:rPr>
        <w:footnoteReference w:id="89"/>
      </w:r>
      <w:r w:rsidRPr="00AE5A70">
        <w:rPr>
          <w:rFonts w:ascii="Times New Roman" w:eastAsiaTheme="minorBidi" w:hAnsi="Times New Roman"/>
          <w:sz w:val="23"/>
          <w:szCs w:val="23"/>
        </w:rPr>
        <w:t xml:space="preserve"> Patients do not make enough progress to remain out of hospital and the financial burden is eventually transferred to the government.</w:t>
      </w:r>
      <w:r w:rsidRPr="00AE5A70">
        <w:rPr>
          <w:rStyle w:val="FootnoteReference"/>
          <w:rFonts w:ascii="Times New Roman" w:eastAsiaTheme="minorBidi" w:hAnsi="Times New Roman"/>
          <w:sz w:val="23"/>
          <w:szCs w:val="23"/>
        </w:rPr>
        <w:footnoteReference w:id="90"/>
      </w:r>
      <w:r w:rsidRPr="00AE5A70">
        <w:rPr>
          <w:rFonts w:ascii="Times New Roman" w:eastAsiaTheme="minorBidi" w:hAnsi="Times New Roman"/>
          <w:sz w:val="23"/>
          <w:szCs w:val="23"/>
        </w:rPr>
        <w:t xml:space="preserve"> </w:t>
      </w:r>
    </w:p>
    <w:p w14:paraId="75550295" w14:textId="77777777" w:rsidR="002D7E0C" w:rsidRPr="00AE5A70" w:rsidRDefault="00AC4969" w:rsidP="00AC4969">
      <w:pPr>
        <w:pStyle w:val="Bullet3"/>
        <w:numPr>
          <w:ilvl w:val="2"/>
          <w:numId w:val="8"/>
        </w:numPr>
        <w:spacing w:before="0" w:after="0"/>
        <w:ind w:left="930" w:hanging="284"/>
        <w:rPr>
          <w:rFonts w:ascii="Times New Roman" w:eastAsiaTheme="minorBidi" w:hAnsi="Times New Roman"/>
          <w:sz w:val="23"/>
          <w:szCs w:val="23"/>
        </w:rPr>
      </w:pPr>
      <w:r w:rsidRPr="00AE5A70">
        <w:rPr>
          <w:rFonts w:ascii="Times New Roman" w:eastAsiaTheme="minorBidi" w:hAnsi="Times New Roman"/>
          <w:sz w:val="23"/>
          <w:szCs w:val="23"/>
        </w:rPr>
        <w:t>Currently, patients can access up to five allied health sessions. Evidence states that this is insufficient to treat AN and severe forms of BN. The EDWG recommend this be increased. Expert groups recommend up to a total of 10 sessions for moderate to severe BED or BN and up to a total of 12 sessions for AN</w:t>
      </w:r>
      <w:r w:rsidRPr="00AE5A70">
        <w:rPr>
          <w:rStyle w:val="FootnoteReference"/>
          <w:rFonts w:ascii="Times New Roman" w:eastAsiaTheme="minorBidi" w:hAnsi="Times New Roman"/>
          <w:sz w:val="23"/>
          <w:szCs w:val="23"/>
        </w:rPr>
        <w:footnoteReference w:id="91"/>
      </w:r>
      <w:r w:rsidRPr="00AE5A70">
        <w:rPr>
          <w:rFonts w:ascii="Times New Roman" w:eastAsiaTheme="minorBidi" w:hAnsi="Times New Roman"/>
          <w:sz w:val="23"/>
          <w:szCs w:val="23"/>
        </w:rPr>
        <w:t xml:space="preserve"> be administered by allied health/mental health practitioners (i.e. mental health nurses, counsellors, psychotherapists, social workers, occupational therapists and dieti</w:t>
      </w:r>
      <w:r w:rsidR="00F3462F" w:rsidRPr="00AE5A70">
        <w:rPr>
          <w:rFonts w:ascii="Times New Roman" w:eastAsiaTheme="minorBidi" w:hAnsi="Times New Roman"/>
          <w:sz w:val="23"/>
          <w:szCs w:val="23"/>
        </w:rPr>
        <w:t>t</w:t>
      </w:r>
      <w:r w:rsidRPr="00AE5A70">
        <w:rPr>
          <w:rFonts w:ascii="Times New Roman" w:eastAsiaTheme="minorBidi" w:hAnsi="Times New Roman"/>
          <w:sz w:val="23"/>
          <w:szCs w:val="23"/>
        </w:rPr>
        <w:t xml:space="preserve">ians) with nationally recognised training specific to the treatment of eating disorders. Current 'best practice' clinical guidelines recommend both family-based therapy (FBT) for AN patients under 18 years of age living with family, or cognitive behavioral therapy (CBT) in its many forms (such as CBT-Advanced (CBT-E)) for all AN patients. CBT-E is most commonly used in the treatment of BN, fixed length sessions consisting of 20 sessions over 20 weeks. </w:t>
      </w:r>
    </w:p>
    <w:p w14:paraId="5950FAD9" w14:textId="77777777" w:rsidR="002D7E0C" w:rsidRPr="00AE5A70" w:rsidRDefault="002D7E0C">
      <w:pPr>
        <w:spacing w:before="0" w:after="0" w:line="240" w:lineRule="auto"/>
        <w:rPr>
          <w:rFonts w:ascii="Times New Roman" w:eastAsiaTheme="minorBidi" w:hAnsi="Times New Roman"/>
          <w:sz w:val="23"/>
          <w:szCs w:val="23"/>
          <w:lang w:val="en-US" w:eastAsia="en-US"/>
        </w:rPr>
      </w:pPr>
      <w:r w:rsidRPr="00AE5A70">
        <w:rPr>
          <w:rFonts w:ascii="Times New Roman" w:eastAsiaTheme="minorBidi" w:hAnsi="Times New Roman"/>
          <w:sz w:val="23"/>
          <w:szCs w:val="23"/>
        </w:rPr>
        <w:br w:type="page"/>
      </w:r>
    </w:p>
    <w:p w14:paraId="12B44641" w14:textId="77777777" w:rsidR="00A73200" w:rsidRPr="00BD3800" w:rsidRDefault="00A73200" w:rsidP="00BD3800">
      <w:pPr>
        <w:pStyle w:val="Heading2"/>
        <w:rPr>
          <w:rFonts w:eastAsiaTheme="minorBidi"/>
        </w:rPr>
      </w:pPr>
      <w:bookmarkStart w:id="106" w:name="_Toc531941970"/>
      <w:bookmarkStart w:id="107" w:name="_Hlk518840944"/>
      <w:r w:rsidRPr="00BD3800">
        <w:rPr>
          <w:rFonts w:eastAsiaTheme="minorBidi"/>
        </w:rPr>
        <w:t>Memorandum to the General Practice and Primary Care Clinical Committee</w:t>
      </w:r>
      <w:bookmarkEnd w:id="106"/>
    </w:p>
    <w:p w14:paraId="28F7E2E9" w14:textId="77777777" w:rsidR="004B35B4" w:rsidRPr="00AE5A70" w:rsidRDefault="004B35B4" w:rsidP="004B35B4">
      <w:pPr>
        <w:spacing w:before="240" w:line="240" w:lineRule="auto"/>
        <w:jc w:val="right"/>
        <w:rPr>
          <w:rFonts w:ascii="Times New Roman" w:eastAsiaTheme="minorEastAsia" w:hAnsi="Times New Roman"/>
          <w:sz w:val="23"/>
          <w:szCs w:val="23"/>
        </w:rPr>
      </w:pPr>
      <w:r w:rsidRPr="00AE5A70">
        <w:rPr>
          <w:rFonts w:ascii="Times New Roman" w:eastAsiaTheme="minorEastAsia" w:hAnsi="Times New Roman"/>
          <w:sz w:val="23"/>
          <w:szCs w:val="23"/>
        </w:rPr>
        <w:t>14</w:t>
      </w:r>
      <w:r w:rsidRPr="00AE5A70">
        <w:rPr>
          <w:rFonts w:ascii="Times New Roman" w:eastAsiaTheme="minorEastAsia" w:hAnsi="Times New Roman"/>
          <w:sz w:val="23"/>
          <w:szCs w:val="23"/>
          <w:vertAlign w:val="superscript"/>
        </w:rPr>
        <w:t>th</w:t>
      </w:r>
      <w:r w:rsidRPr="00AE5A70">
        <w:rPr>
          <w:rFonts w:ascii="Times New Roman" w:eastAsiaTheme="minorEastAsia" w:hAnsi="Times New Roman"/>
          <w:sz w:val="23"/>
          <w:szCs w:val="23"/>
        </w:rPr>
        <w:t xml:space="preserve"> August 2018</w:t>
      </w:r>
    </w:p>
    <w:p w14:paraId="48C8E06E" w14:textId="77777777" w:rsidR="004B35B4" w:rsidRPr="00AE5A70" w:rsidRDefault="004B35B4" w:rsidP="004B35B4">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Dear General Practice and Primary Care Clinical Committee,</w:t>
      </w:r>
    </w:p>
    <w:p w14:paraId="5D56C95B" w14:textId="77777777" w:rsidR="004B35B4" w:rsidRPr="00AE5A70" w:rsidRDefault="004B35B4" w:rsidP="004B35B4">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 xml:space="preserve">In September 2017 the Medicare Benefits Schedule Review Taskforce (the Taskforce) established the Eating Disorders Working Group (EDWG). The Taskforce was requested by the Minister to investigate current treatment options for those suffering with eating disorders. </w:t>
      </w:r>
    </w:p>
    <w:p w14:paraId="65778963" w14:textId="77777777" w:rsidR="004B35B4" w:rsidRPr="00AE5A70" w:rsidRDefault="004B35B4" w:rsidP="004B35B4">
      <w:pPr>
        <w:pStyle w:val="01squarebullet"/>
        <w:spacing w:before="240"/>
        <w:ind w:left="0" w:firstLine="0"/>
        <w:rPr>
          <w:rFonts w:ascii="Times New Roman" w:eastAsiaTheme="minorEastAsia" w:hAnsi="Times New Roman"/>
          <w:sz w:val="23"/>
          <w:szCs w:val="23"/>
        </w:rPr>
      </w:pPr>
      <w:r w:rsidRPr="00AE5A70">
        <w:rPr>
          <w:rFonts w:ascii="Times New Roman" w:eastAsiaTheme="minorEastAsia" w:hAnsi="Times New Roman"/>
          <w:sz w:val="23"/>
          <w:szCs w:val="23"/>
        </w:rPr>
        <w:t xml:space="preserve">The EDWG have investigated current approaches to the treatment of people with eating disorders as funded by the Medicare Benefits Schedule (MBS), examining whether they are adequate. The EDWG also reviewed new approaches to improving treatment pathways. </w:t>
      </w:r>
    </w:p>
    <w:p w14:paraId="35DE994B" w14:textId="77777777" w:rsidR="004B35B4" w:rsidRPr="00AE5A70" w:rsidRDefault="004B35B4" w:rsidP="004B35B4">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 xml:space="preserve">The EDWG’s investigation is framed through the following lenses: </w:t>
      </w:r>
    </w:p>
    <w:p w14:paraId="37ABB587" w14:textId="77777777" w:rsidR="004B35B4" w:rsidRPr="00AE5A70" w:rsidRDefault="004B35B4" w:rsidP="004B35B4">
      <w:pPr>
        <w:pStyle w:val="01squarebullet"/>
        <w:numPr>
          <w:ilvl w:val="0"/>
          <w:numId w:val="51"/>
        </w:numPr>
        <w:spacing w:before="240"/>
        <w:ind w:left="357" w:hanging="357"/>
        <w:rPr>
          <w:rFonts w:ascii="Times New Roman" w:eastAsiaTheme="minorEastAsia" w:hAnsi="Times New Roman"/>
          <w:b/>
          <w:bCs/>
          <w:sz w:val="23"/>
          <w:szCs w:val="23"/>
        </w:rPr>
      </w:pPr>
      <w:r w:rsidRPr="00AE5A70">
        <w:rPr>
          <w:rFonts w:ascii="Times New Roman" w:eastAsiaTheme="minorEastAsia" w:hAnsi="Times New Roman"/>
          <w:sz w:val="23"/>
          <w:szCs w:val="23"/>
        </w:rPr>
        <w:t>The goal of the Taskforce is to ensure that the MBS funds ‘affordable and universal access [to] best practice health services’. MBS funding should represent both ‘value for the individual patient [and] value for the community’.</w:t>
      </w:r>
    </w:p>
    <w:p w14:paraId="515FC95E" w14:textId="77777777" w:rsidR="004B35B4" w:rsidRPr="00AE5A70" w:rsidRDefault="004B35B4" w:rsidP="004B35B4">
      <w:pPr>
        <w:pStyle w:val="01squarebullet"/>
        <w:numPr>
          <w:ilvl w:val="0"/>
          <w:numId w:val="51"/>
        </w:numPr>
        <w:spacing w:before="240"/>
        <w:ind w:left="357" w:hanging="357"/>
        <w:rPr>
          <w:rFonts w:ascii="Times New Roman" w:eastAsiaTheme="minorEastAsia" w:hAnsi="Times New Roman"/>
          <w:sz w:val="23"/>
          <w:szCs w:val="23"/>
        </w:rPr>
      </w:pPr>
      <w:r w:rsidRPr="00AE5A70">
        <w:rPr>
          <w:rFonts w:ascii="Times New Roman" w:eastAsiaTheme="minorEastAsia" w:hAnsi="Times New Roman"/>
          <w:sz w:val="23"/>
          <w:szCs w:val="23"/>
        </w:rPr>
        <w:t xml:space="preserve">It is widely accepted that treatment services for people with eating disorders are fragmented and difficult to locate. This can be exacerbated by the patient’s geographical location in relation to treatment services, and item restrictions. These two factors can potentially limit access. </w:t>
      </w:r>
    </w:p>
    <w:p w14:paraId="62BD065E" w14:textId="77777777" w:rsidR="004B35B4" w:rsidRPr="00AE5A70" w:rsidRDefault="004B35B4" w:rsidP="004B35B4">
      <w:pPr>
        <w:pStyle w:val="01squarebullet"/>
        <w:numPr>
          <w:ilvl w:val="0"/>
          <w:numId w:val="51"/>
        </w:numPr>
        <w:spacing w:before="240"/>
        <w:ind w:left="357" w:hanging="357"/>
        <w:rPr>
          <w:rFonts w:ascii="Times New Roman" w:eastAsiaTheme="minorEastAsia" w:hAnsi="Times New Roman"/>
          <w:sz w:val="23"/>
          <w:szCs w:val="23"/>
        </w:rPr>
      </w:pPr>
      <w:r w:rsidRPr="00AE5A70">
        <w:rPr>
          <w:rFonts w:ascii="Times New Roman" w:eastAsiaTheme="minorEastAsia" w:hAnsi="Times New Roman"/>
          <w:sz w:val="23"/>
          <w:szCs w:val="23"/>
        </w:rPr>
        <w:t>Of all psychiatric disorders, eating disorders have one of the highest impacts on health-related quality of life. Eating disorders affect about 1 in 20 Australians, with an increasing prevalence in both women and men, with Anorexia nervosa (AN) and bulimia nervosa (BN) often associated with high rates of hospitalisation, premature death and suicide. The Australian Government have therefore flagged eating disorders as a priority.</w:t>
      </w:r>
    </w:p>
    <w:p w14:paraId="08AA4195" w14:textId="77777777" w:rsidR="004B35B4" w:rsidRPr="00AE5A70" w:rsidRDefault="004B35B4" w:rsidP="004B35B4">
      <w:pPr>
        <w:pStyle w:val="01squarebullet"/>
        <w:spacing w:before="240"/>
        <w:ind w:left="0" w:firstLine="0"/>
        <w:rPr>
          <w:rFonts w:ascii="Times New Roman" w:eastAsiaTheme="minorEastAsia" w:hAnsi="Times New Roman"/>
          <w:sz w:val="23"/>
          <w:szCs w:val="23"/>
        </w:rPr>
      </w:pPr>
      <w:r w:rsidRPr="00AE5A70">
        <w:rPr>
          <w:rFonts w:ascii="Times New Roman" w:eastAsiaTheme="minorEastAsia" w:hAnsi="Times New Roman"/>
          <w:sz w:val="23"/>
          <w:szCs w:val="23"/>
        </w:rPr>
        <w:t xml:space="preserve">Following the completion of the investigation, a report is expected to be provided to the Minister by the end of 2018. </w:t>
      </w:r>
    </w:p>
    <w:p w14:paraId="06A2A728" w14:textId="77777777" w:rsidR="004B35B4" w:rsidRPr="00AE5A70" w:rsidRDefault="004B35B4" w:rsidP="004B35B4">
      <w:pPr>
        <w:pStyle w:val="01squarebullet"/>
        <w:spacing w:before="240"/>
        <w:ind w:left="0" w:firstLine="0"/>
        <w:rPr>
          <w:rFonts w:ascii="Times New Roman" w:eastAsiaTheme="minorEastAsia" w:hAnsi="Times New Roman"/>
          <w:sz w:val="23"/>
          <w:szCs w:val="23"/>
        </w:rPr>
      </w:pPr>
      <w:r w:rsidRPr="00AE5A70">
        <w:rPr>
          <w:rFonts w:ascii="Times New Roman" w:eastAsiaTheme="minorEastAsia" w:hAnsi="Times New Roman"/>
          <w:sz w:val="23"/>
          <w:szCs w:val="23"/>
        </w:rPr>
        <w:t>The EDWG will be recommending a specific item for those with severe AN. In light of this, the EDWG would like to draw the General Practice and Primary Care Clinical Committee’s (GPPCCC) attention to the following MBS items for consideration and review:</w:t>
      </w:r>
    </w:p>
    <w:bookmarkEnd w:id="107"/>
    <w:p w14:paraId="28F35B96" w14:textId="77777777" w:rsidR="004B35B4" w:rsidRPr="00AE5A70" w:rsidRDefault="004B35B4" w:rsidP="004B35B4">
      <w:pPr>
        <w:pStyle w:val="01squarebullet"/>
        <w:numPr>
          <w:ilvl w:val="0"/>
          <w:numId w:val="51"/>
        </w:numPr>
        <w:spacing w:before="240"/>
        <w:ind w:left="357" w:hanging="357"/>
        <w:rPr>
          <w:rFonts w:ascii="Times New Roman" w:eastAsiaTheme="minorBidi" w:hAnsi="Times New Roman"/>
          <w:b/>
          <w:bCs/>
          <w:sz w:val="23"/>
          <w:szCs w:val="23"/>
          <w:u w:val="single"/>
        </w:rPr>
      </w:pPr>
      <w:r w:rsidRPr="00AE5A70">
        <w:rPr>
          <w:rFonts w:ascii="Times New Roman" w:eastAsiaTheme="minorBidi" w:hAnsi="Times New Roman"/>
          <w:b/>
          <w:bCs/>
          <w:sz w:val="23"/>
          <w:szCs w:val="23"/>
          <w:u w:val="single"/>
        </w:rPr>
        <w:t>Promoting and expanding chronic disease management (CDM) services</w:t>
      </w:r>
    </w:p>
    <w:p w14:paraId="1B0D49DC" w14:textId="77777777" w:rsidR="004B35B4" w:rsidRPr="00AE5A70" w:rsidRDefault="004B35B4" w:rsidP="004B35B4">
      <w:pPr>
        <w:pStyle w:val="02dash"/>
        <w:numPr>
          <w:ilvl w:val="1"/>
          <w:numId w:val="51"/>
        </w:numPr>
        <w:tabs>
          <w:tab w:val="num" w:pos="4570"/>
        </w:tabs>
        <w:spacing w:line="240" w:lineRule="auto"/>
        <w:ind w:left="568"/>
        <w:rPr>
          <w:rFonts w:ascii="Times New Roman" w:eastAsiaTheme="minorBidi" w:hAnsi="Times New Roman"/>
          <w:b/>
          <w:bCs/>
          <w:sz w:val="23"/>
          <w:szCs w:val="23"/>
        </w:rPr>
      </w:pPr>
      <w:r w:rsidRPr="00AE5A70">
        <w:rPr>
          <w:rFonts w:ascii="Times New Roman" w:eastAsiaTheme="minorBidi" w:hAnsi="Times New Roman"/>
          <w:b/>
          <w:bCs/>
          <w:sz w:val="23"/>
          <w:szCs w:val="23"/>
        </w:rPr>
        <w:t>Suggestion:</w:t>
      </w:r>
    </w:p>
    <w:p w14:paraId="67D73185" w14:textId="77777777" w:rsidR="004B35B4" w:rsidRPr="00AE5A70" w:rsidRDefault="004B35B4" w:rsidP="004B35B4">
      <w:pPr>
        <w:pStyle w:val="Bullet3"/>
        <w:numPr>
          <w:ilvl w:val="2"/>
          <w:numId w:val="51"/>
        </w:numPr>
        <w:tabs>
          <w:tab w:val="num" w:pos="4564"/>
        </w:tabs>
        <w:spacing w:before="0" w:after="0"/>
        <w:ind w:left="930" w:hanging="284"/>
        <w:rPr>
          <w:rFonts w:ascii="Times New Roman" w:eastAsiaTheme="minorBidi" w:hAnsi="Times New Roman"/>
          <w:sz w:val="23"/>
          <w:szCs w:val="23"/>
        </w:rPr>
      </w:pPr>
      <w:r w:rsidRPr="00AE5A70">
        <w:rPr>
          <w:rFonts w:ascii="Times New Roman" w:hAnsi="Times New Roman"/>
          <w:sz w:val="23"/>
          <w:szCs w:val="23"/>
        </w:rPr>
        <w:t xml:space="preserve">The EDWG noted that items 721-732 are often underutilised by General Practitioners in the treatment of people with eating disorders. GPs often do not recognise eating disorders as a chronic condition. The EDWG requests GPPCCC to </w:t>
      </w:r>
      <w:r w:rsidRPr="00AE5A70">
        <w:rPr>
          <w:rFonts w:ascii="Times New Roman" w:hAnsi="Times New Roman"/>
          <w:sz w:val="23"/>
          <w:szCs w:val="23"/>
          <w:lang w:val="en-AU"/>
        </w:rPr>
        <w:t>recognise</w:t>
      </w:r>
      <w:r w:rsidRPr="00AE5A70">
        <w:rPr>
          <w:rFonts w:ascii="Times New Roman" w:hAnsi="Times New Roman"/>
          <w:sz w:val="23"/>
          <w:szCs w:val="23"/>
        </w:rPr>
        <w:t xml:space="preserve"> and name eating disorders as one of the eligible chronic conditions listed under this item. </w:t>
      </w:r>
      <w:r w:rsidRPr="00AE5A70">
        <w:rPr>
          <w:rFonts w:ascii="Times New Roman" w:eastAsiaTheme="minorBidi" w:hAnsi="Times New Roman"/>
          <w:sz w:val="23"/>
          <w:szCs w:val="23"/>
        </w:rPr>
        <w:t>The EDWG acknowledges EDs are covered under this item as it is a chronic disease.</w:t>
      </w:r>
    </w:p>
    <w:p w14:paraId="4593A8C9" w14:textId="77777777" w:rsidR="004B35B4" w:rsidRPr="00AE5A70" w:rsidRDefault="004B35B4" w:rsidP="004B35B4">
      <w:pPr>
        <w:pStyle w:val="02dash"/>
        <w:numPr>
          <w:ilvl w:val="1"/>
          <w:numId w:val="51"/>
        </w:numPr>
        <w:tabs>
          <w:tab w:val="num" w:pos="4570"/>
        </w:tabs>
        <w:spacing w:before="240" w:line="240" w:lineRule="auto"/>
        <w:ind w:left="568"/>
        <w:rPr>
          <w:rFonts w:ascii="Times New Roman" w:eastAsiaTheme="minorEastAsia" w:hAnsi="Times New Roman"/>
          <w:b/>
          <w:bCs/>
          <w:sz w:val="23"/>
          <w:szCs w:val="23"/>
        </w:rPr>
      </w:pPr>
      <w:r w:rsidRPr="00AE5A70">
        <w:rPr>
          <w:rFonts w:ascii="Times New Roman" w:eastAsiaTheme="minorEastAsia" w:hAnsi="Times New Roman"/>
          <w:b/>
          <w:bCs/>
          <w:sz w:val="23"/>
          <w:szCs w:val="23"/>
        </w:rPr>
        <w:t>Rationale:</w:t>
      </w:r>
    </w:p>
    <w:p w14:paraId="4CBF0F52" w14:textId="77777777" w:rsidR="004B35B4" w:rsidRPr="00AE5A70" w:rsidRDefault="004B35B4" w:rsidP="004B35B4">
      <w:pPr>
        <w:pStyle w:val="ListParagraph"/>
        <w:numPr>
          <w:ilvl w:val="2"/>
          <w:numId w:val="52"/>
        </w:numPr>
        <w:spacing w:before="120" w:line="240" w:lineRule="auto"/>
        <w:ind w:left="930" w:hanging="284"/>
        <w:rPr>
          <w:rFonts w:ascii="Times New Roman" w:eastAsiaTheme="minorBidi" w:hAnsi="Times New Roman"/>
          <w:sz w:val="23"/>
          <w:szCs w:val="23"/>
        </w:rPr>
      </w:pPr>
      <w:r w:rsidRPr="00AE5A70">
        <w:rPr>
          <w:rFonts w:ascii="Times New Roman" w:eastAsiaTheme="minorBidi" w:hAnsi="Times New Roman"/>
          <w:sz w:val="23"/>
          <w:szCs w:val="23"/>
          <w:lang w:val="en-US"/>
        </w:rPr>
        <w:t>The</w:t>
      </w:r>
      <w:r w:rsidRPr="00AE5A70">
        <w:rPr>
          <w:rFonts w:ascii="Times New Roman" w:eastAsiaTheme="minorBidi" w:hAnsi="Times New Roman"/>
          <w:sz w:val="23"/>
          <w:szCs w:val="23"/>
        </w:rPr>
        <w:t xml:space="preserve"> EDWG notes the key role General Practitioners (GPs) play in patient treatment and management. GPs are often the initial diagnostician. CDM MBS items can be used by GPs with patients diagnosed with an ED. This is not always occurring. </w:t>
      </w:r>
    </w:p>
    <w:p w14:paraId="58BB90A2" w14:textId="77777777" w:rsidR="004B35B4" w:rsidRPr="00AE5A70" w:rsidRDefault="004B35B4" w:rsidP="002D7E0C">
      <w:pPr>
        <w:pStyle w:val="ListParagraph"/>
        <w:numPr>
          <w:ilvl w:val="2"/>
          <w:numId w:val="52"/>
        </w:numPr>
        <w:spacing w:before="120" w:line="240" w:lineRule="auto"/>
        <w:ind w:left="930" w:hanging="284"/>
        <w:rPr>
          <w:rFonts w:ascii="Times New Roman" w:eastAsiaTheme="minorBidi" w:hAnsi="Times New Roman"/>
          <w:sz w:val="23"/>
          <w:szCs w:val="23"/>
        </w:rPr>
      </w:pPr>
      <w:r w:rsidRPr="00AE5A70">
        <w:rPr>
          <w:rFonts w:ascii="Times New Roman" w:eastAsiaTheme="minorBidi" w:hAnsi="Times New Roman"/>
          <w:sz w:val="23"/>
          <w:szCs w:val="23"/>
        </w:rPr>
        <w:t xml:space="preserve">The EDWG therefore suggests that eating disorders be named as a chronic condition within the MBS item. Further education and training for GPs on best practice guidelines for treating patients with eating disorders should be considered. Apart from providing medical assistance, GPs are the key link in access to specialist services and psychological therapies. </w:t>
      </w:r>
    </w:p>
    <w:p w14:paraId="2EA87A82" w14:textId="77777777" w:rsidR="002D7E0C" w:rsidRPr="00AE5A70" w:rsidRDefault="002D7E0C">
      <w:pPr>
        <w:spacing w:before="0" w:after="0" w:line="240" w:lineRule="auto"/>
        <w:rPr>
          <w:rFonts w:ascii="Arial" w:eastAsiaTheme="minorEastAsia" w:hAnsi="Arial" w:cs="Arial"/>
          <w:b/>
          <w:bCs/>
          <w:kern w:val="28"/>
          <w:sz w:val="23"/>
          <w:szCs w:val="23"/>
        </w:rPr>
      </w:pPr>
      <w:r w:rsidRPr="00AE5A70">
        <w:rPr>
          <w:rFonts w:eastAsiaTheme="minorEastAsia"/>
          <w:sz w:val="23"/>
          <w:szCs w:val="23"/>
        </w:rPr>
        <w:br w:type="page"/>
      </w:r>
    </w:p>
    <w:p w14:paraId="10709709" w14:textId="77777777" w:rsidR="00CA61A0" w:rsidRPr="00BD3800" w:rsidRDefault="00710A49" w:rsidP="00BD3800">
      <w:pPr>
        <w:pStyle w:val="Heading2"/>
        <w:rPr>
          <w:rFonts w:eastAsiaTheme="minorBidi"/>
        </w:rPr>
      </w:pPr>
      <w:bookmarkStart w:id="108" w:name="_Toc531941971"/>
      <w:r w:rsidRPr="00BD3800">
        <w:rPr>
          <w:rFonts w:eastAsiaTheme="minorBidi"/>
        </w:rPr>
        <w:t>Memorandum to the Mental Health Reference Group</w:t>
      </w:r>
      <w:bookmarkEnd w:id="108"/>
    </w:p>
    <w:p w14:paraId="4A5EE486" w14:textId="77777777" w:rsidR="00A70703" w:rsidRPr="00AE5A70" w:rsidRDefault="00A70703" w:rsidP="00A70703">
      <w:pPr>
        <w:spacing w:before="240" w:line="240" w:lineRule="auto"/>
        <w:jc w:val="right"/>
        <w:rPr>
          <w:rFonts w:ascii="Times New Roman" w:eastAsiaTheme="minorEastAsia" w:hAnsi="Times New Roman"/>
          <w:sz w:val="23"/>
          <w:szCs w:val="23"/>
        </w:rPr>
      </w:pPr>
      <w:r w:rsidRPr="00AE5A70">
        <w:rPr>
          <w:rFonts w:ascii="Times New Roman" w:eastAsiaTheme="minorEastAsia" w:hAnsi="Times New Roman"/>
          <w:sz w:val="23"/>
          <w:szCs w:val="23"/>
        </w:rPr>
        <w:t>14</w:t>
      </w:r>
      <w:r w:rsidRPr="00AE5A70">
        <w:rPr>
          <w:rFonts w:ascii="Times New Roman" w:eastAsiaTheme="minorEastAsia" w:hAnsi="Times New Roman"/>
          <w:sz w:val="23"/>
          <w:szCs w:val="23"/>
          <w:vertAlign w:val="superscript"/>
        </w:rPr>
        <w:t>th</w:t>
      </w:r>
      <w:r w:rsidRPr="00AE5A70">
        <w:rPr>
          <w:rFonts w:ascii="Times New Roman" w:eastAsiaTheme="minorEastAsia" w:hAnsi="Times New Roman"/>
          <w:sz w:val="23"/>
          <w:szCs w:val="23"/>
        </w:rPr>
        <w:t xml:space="preserve"> August 2018</w:t>
      </w:r>
    </w:p>
    <w:p w14:paraId="3571C19F" w14:textId="77777777" w:rsidR="00A70703" w:rsidRPr="00AE5A70" w:rsidRDefault="00A70703" w:rsidP="00A70703">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Dear Mental Health Reference Group,</w:t>
      </w:r>
    </w:p>
    <w:p w14:paraId="681DBB8A" w14:textId="77777777" w:rsidR="00A70703" w:rsidRPr="00AE5A70" w:rsidRDefault="00A70703" w:rsidP="00A70703">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In September 2017 the Medicare Benefits Schedule Review Taskforce (the Taskforce) established the Eating Disorders Working Group (EDWG). The Taskforce was requested by the Minister to investigate current treatment options for those suffering with eating disorders. </w:t>
      </w:r>
    </w:p>
    <w:p w14:paraId="57B0819C" w14:textId="77777777" w:rsidR="00A70703" w:rsidRPr="00AE5A70" w:rsidRDefault="00A70703" w:rsidP="00A70703">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The EDWG have investigated current approaches to the treatment of people with eating disorders as funded by the Medicare Benefits Schedule (MBS), examining whether they are adequate. The EDWG also reviewed new approaches to improving treatment pathways. </w:t>
      </w:r>
    </w:p>
    <w:p w14:paraId="29692DC4" w14:textId="77777777" w:rsidR="00A70703" w:rsidRPr="00AE5A70" w:rsidRDefault="00A70703" w:rsidP="00A70703">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 xml:space="preserve">The EDWG’s investigation is framed through the following lenses: </w:t>
      </w:r>
    </w:p>
    <w:p w14:paraId="430D87DA" w14:textId="77777777" w:rsidR="00A70703" w:rsidRPr="00AE5A70" w:rsidRDefault="00A70703" w:rsidP="00A70703">
      <w:pPr>
        <w:pStyle w:val="01squarebullet"/>
        <w:numPr>
          <w:ilvl w:val="0"/>
          <w:numId w:val="53"/>
        </w:numPr>
        <w:spacing w:before="240"/>
        <w:ind w:left="357" w:hanging="357"/>
        <w:rPr>
          <w:rFonts w:ascii="Times New Roman" w:eastAsiaTheme="minorBidi" w:hAnsi="Times New Roman"/>
          <w:b/>
          <w:bCs/>
          <w:sz w:val="23"/>
          <w:szCs w:val="23"/>
        </w:rPr>
      </w:pPr>
      <w:r w:rsidRPr="00AE5A70">
        <w:rPr>
          <w:rFonts w:ascii="Times New Roman" w:eastAsiaTheme="minorBidi" w:hAnsi="Times New Roman"/>
          <w:sz w:val="23"/>
          <w:szCs w:val="23"/>
        </w:rPr>
        <w:t>The goal of the Taskforce is to ensure that the MBS funds ‘affordable and universal access [to] best practice health services’. MBS funding should represent both ‘value for the individual patient [and] value for the community’.</w:t>
      </w:r>
    </w:p>
    <w:p w14:paraId="79219341" w14:textId="77777777" w:rsidR="00A70703" w:rsidRPr="00AE5A70" w:rsidRDefault="00A70703" w:rsidP="00A70703">
      <w:pPr>
        <w:pStyle w:val="01squarebullet"/>
        <w:numPr>
          <w:ilvl w:val="0"/>
          <w:numId w:val="53"/>
        </w:numPr>
        <w:spacing w:before="240"/>
        <w:ind w:left="357" w:hanging="357"/>
        <w:rPr>
          <w:rFonts w:ascii="Times New Roman" w:eastAsiaTheme="minorBidi" w:hAnsi="Times New Roman"/>
          <w:sz w:val="23"/>
          <w:szCs w:val="23"/>
        </w:rPr>
      </w:pPr>
      <w:r w:rsidRPr="00AE5A70">
        <w:rPr>
          <w:rFonts w:ascii="Times New Roman" w:eastAsiaTheme="minorBidi" w:hAnsi="Times New Roman"/>
          <w:sz w:val="23"/>
          <w:szCs w:val="23"/>
        </w:rPr>
        <w:t xml:space="preserve">It is widely accepted that treatment services for people with eating disorders are fragmented and difficult to locate. This can be exacerbated by the patient’s geographical location in relation to treatment services, and item restrictions. These two factors can potentially limit access. </w:t>
      </w:r>
    </w:p>
    <w:p w14:paraId="181B1562" w14:textId="77777777" w:rsidR="00A70703" w:rsidRPr="00AE5A70" w:rsidRDefault="00A70703" w:rsidP="00A70703">
      <w:pPr>
        <w:pStyle w:val="01squarebullet"/>
        <w:numPr>
          <w:ilvl w:val="0"/>
          <w:numId w:val="53"/>
        </w:numPr>
        <w:spacing w:before="240"/>
        <w:ind w:left="357" w:hanging="357"/>
        <w:rPr>
          <w:rFonts w:ascii="Times New Roman" w:eastAsiaTheme="minorBidi" w:hAnsi="Times New Roman"/>
          <w:sz w:val="23"/>
          <w:szCs w:val="23"/>
        </w:rPr>
      </w:pPr>
      <w:r w:rsidRPr="00AE5A70">
        <w:rPr>
          <w:rFonts w:ascii="Times New Roman" w:eastAsiaTheme="minorBidi" w:hAnsi="Times New Roman"/>
          <w:sz w:val="23"/>
          <w:szCs w:val="23"/>
        </w:rPr>
        <w:t>Of all psychiatric disorders, eating disorders have one of the highest impacts on health-related quality of life. Eating disorders affect about 1 in 20 Australians, with an increasing prevalence in both women and men, with Anorexia nervosa (AN) and bulimia nervosa (BN) often associated with high rates of hospitalisation, premature death and suicide. The Australian Government have therefore flagged eating disorders as a priority.</w:t>
      </w:r>
    </w:p>
    <w:p w14:paraId="62101250" w14:textId="77777777" w:rsidR="00A70703" w:rsidRPr="00AE5A70" w:rsidRDefault="00A70703" w:rsidP="00A70703">
      <w:pPr>
        <w:pStyle w:val="01squarebullet"/>
        <w:spacing w:before="240"/>
        <w:ind w:left="0" w:firstLine="0"/>
        <w:rPr>
          <w:rFonts w:ascii="Times New Roman" w:eastAsiaTheme="minorBidi" w:hAnsi="Times New Roman"/>
          <w:sz w:val="23"/>
          <w:szCs w:val="23"/>
        </w:rPr>
      </w:pPr>
      <w:r w:rsidRPr="00AE5A70">
        <w:rPr>
          <w:rFonts w:ascii="Times New Roman" w:eastAsiaTheme="minorBidi" w:hAnsi="Times New Roman"/>
          <w:sz w:val="23"/>
          <w:szCs w:val="23"/>
        </w:rPr>
        <w:t>Following the completion of the investigation, a report is expected to be provided to the Minister by the end of 2018.</w:t>
      </w:r>
    </w:p>
    <w:p w14:paraId="1D9B6C5E" w14:textId="77777777" w:rsidR="00A70703" w:rsidRPr="00AE5A70" w:rsidRDefault="00A70703" w:rsidP="00423867">
      <w:pPr>
        <w:pStyle w:val="01squarebullet"/>
        <w:ind w:left="0" w:firstLine="0"/>
        <w:rPr>
          <w:rFonts w:ascii="Times New Roman" w:eastAsiaTheme="minorBidi" w:hAnsi="Times New Roman"/>
          <w:sz w:val="23"/>
          <w:szCs w:val="23"/>
        </w:rPr>
      </w:pPr>
      <w:r w:rsidRPr="00AE5A70">
        <w:rPr>
          <w:rFonts w:ascii="Times New Roman" w:eastAsiaTheme="minorBidi" w:hAnsi="Times New Roman"/>
          <w:sz w:val="23"/>
          <w:szCs w:val="23"/>
        </w:rPr>
        <w:t>The EDWG will be recommending a specific item for those people with severe AN. In light of this, the EDWG would like to draw the Mental Health Reference Group’s (MHRG) attention to the following MBS items for consideration and review:</w:t>
      </w:r>
    </w:p>
    <w:p w14:paraId="6E991BCD" w14:textId="77777777" w:rsidR="00423867" w:rsidRPr="00AE5A70" w:rsidRDefault="00423867" w:rsidP="00044469">
      <w:pPr>
        <w:pStyle w:val="01squarebullet"/>
        <w:ind w:left="0" w:firstLine="0"/>
        <w:rPr>
          <w:rFonts w:ascii="Times New Roman" w:eastAsiaTheme="minorBidi" w:hAnsi="Times New Roman"/>
          <w:sz w:val="23"/>
          <w:szCs w:val="23"/>
        </w:rPr>
      </w:pPr>
    </w:p>
    <w:p w14:paraId="02CC7685" w14:textId="77777777" w:rsidR="00A70703" w:rsidRPr="00AE5A70" w:rsidRDefault="00A70703" w:rsidP="00A70703">
      <w:pPr>
        <w:pStyle w:val="01squarebullet"/>
        <w:numPr>
          <w:ilvl w:val="0"/>
          <w:numId w:val="53"/>
        </w:numPr>
        <w:rPr>
          <w:rFonts w:ascii="Times New Roman" w:eastAsiaTheme="minorBidi" w:hAnsi="Times New Roman"/>
          <w:b/>
          <w:bCs/>
          <w:sz w:val="23"/>
          <w:szCs w:val="23"/>
        </w:rPr>
      </w:pPr>
      <w:r w:rsidRPr="00AE5A70">
        <w:rPr>
          <w:rFonts w:ascii="Times New Roman" w:eastAsiaTheme="minorBidi" w:hAnsi="Times New Roman"/>
          <w:b/>
          <w:bCs/>
          <w:sz w:val="23"/>
          <w:szCs w:val="23"/>
          <w:u w:val="single"/>
        </w:rPr>
        <w:t>MBS support for severe mental health disorders under Better Access items</w:t>
      </w:r>
    </w:p>
    <w:p w14:paraId="78EB8748" w14:textId="77777777" w:rsidR="00A70703" w:rsidRPr="00AE5A70" w:rsidRDefault="00A70703" w:rsidP="00A70703">
      <w:pPr>
        <w:pStyle w:val="02dash"/>
        <w:numPr>
          <w:ilvl w:val="1"/>
          <w:numId w:val="53"/>
        </w:numPr>
        <w:spacing w:line="240" w:lineRule="auto"/>
        <w:ind w:left="568"/>
        <w:rPr>
          <w:rFonts w:ascii="Times New Roman" w:eastAsiaTheme="minorBidi" w:hAnsi="Times New Roman"/>
          <w:b/>
          <w:bCs/>
          <w:sz w:val="23"/>
          <w:szCs w:val="23"/>
        </w:rPr>
      </w:pPr>
      <w:r w:rsidRPr="00AE5A70">
        <w:rPr>
          <w:rFonts w:ascii="Times New Roman" w:eastAsiaTheme="minorBidi" w:hAnsi="Times New Roman"/>
          <w:b/>
          <w:bCs/>
          <w:sz w:val="23"/>
          <w:szCs w:val="23"/>
        </w:rPr>
        <w:t>Suggestions:</w:t>
      </w:r>
    </w:p>
    <w:p w14:paraId="7EB1D37C" w14:textId="77777777" w:rsidR="00A70703" w:rsidRPr="00AE5A70" w:rsidRDefault="00A70703" w:rsidP="00A70703">
      <w:pPr>
        <w:pStyle w:val="Bullet3"/>
        <w:numPr>
          <w:ilvl w:val="2"/>
          <w:numId w:val="53"/>
        </w:numPr>
        <w:spacing w:before="0" w:after="0"/>
        <w:ind w:left="930" w:hanging="284"/>
        <w:rPr>
          <w:rFonts w:ascii="Times New Roman" w:eastAsiaTheme="minorBidi" w:hAnsi="Times New Roman"/>
          <w:sz w:val="23"/>
          <w:szCs w:val="23"/>
        </w:rPr>
      </w:pPr>
      <w:r w:rsidRPr="00AE5A70">
        <w:rPr>
          <w:rFonts w:ascii="Times New Roman" w:eastAsia="Calibri" w:hAnsi="Times New Roman"/>
          <w:sz w:val="23"/>
          <w:szCs w:val="23"/>
        </w:rPr>
        <w:t xml:space="preserve">The EDWG considered expanding mental health items (80100-80171) to enable delivery of Focused Psychological Strategies (FPS) for patients with ED, by the following additional practitioners with </w:t>
      </w:r>
      <w:r w:rsidRPr="00AE5A70">
        <w:rPr>
          <w:rFonts w:ascii="Times New Roman" w:eastAsia="Calibri" w:hAnsi="Times New Roman"/>
          <w:b/>
          <w:sz w:val="23"/>
          <w:szCs w:val="23"/>
        </w:rPr>
        <w:t>specific training and experience in the treatment of ED</w:t>
      </w:r>
      <w:r w:rsidRPr="00AE5A70">
        <w:rPr>
          <w:rFonts w:ascii="Times New Roman" w:eastAsia="Calibri" w:hAnsi="Times New Roman"/>
          <w:sz w:val="23"/>
          <w:szCs w:val="23"/>
        </w:rPr>
        <w:t>:</w:t>
      </w:r>
    </w:p>
    <w:p w14:paraId="070B3669" w14:textId="77777777" w:rsidR="00A70703" w:rsidRPr="00AE5A70" w:rsidRDefault="00A70703" w:rsidP="00A70703">
      <w:pPr>
        <w:pStyle w:val="Bullet3"/>
        <w:numPr>
          <w:ilvl w:val="0"/>
          <w:numId w:val="54"/>
        </w:numPr>
        <w:tabs>
          <w:tab w:val="left" w:pos="720"/>
        </w:tabs>
        <w:spacing w:before="0" w:after="0"/>
        <w:rPr>
          <w:rFonts w:ascii="Times New Roman" w:eastAsiaTheme="minorBidi" w:hAnsi="Times New Roman"/>
          <w:sz w:val="23"/>
          <w:szCs w:val="23"/>
        </w:rPr>
      </w:pPr>
      <w:r w:rsidRPr="00AE5A70">
        <w:rPr>
          <w:rFonts w:ascii="Times New Roman" w:eastAsia="Calibri" w:hAnsi="Times New Roman"/>
          <w:sz w:val="23"/>
          <w:szCs w:val="23"/>
        </w:rPr>
        <w:t>Appropriately trained mental health nurses</w:t>
      </w:r>
    </w:p>
    <w:p w14:paraId="5432FF15" w14:textId="77777777" w:rsidR="00A70703" w:rsidRPr="00AE5A70" w:rsidRDefault="00A70703" w:rsidP="00A70703">
      <w:pPr>
        <w:pStyle w:val="Bullet3"/>
        <w:numPr>
          <w:ilvl w:val="0"/>
          <w:numId w:val="54"/>
        </w:numPr>
        <w:tabs>
          <w:tab w:val="left" w:pos="720"/>
        </w:tabs>
        <w:spacing w:before="0" w:after="0"/>
        <w:rPr>
          <w:rFonts w:ascii="Times New Roman" w:eastAsiaTheme="minorBidi" w:hAnsi="Times New Roman"/>
          <w:sz w:val="23"/>
          <w:szCs w:val="23"/>
        </w:rPr>
      </w:pPr>
      <w:r w:rsidRPr="00AE5A70">
        <w:rPr>
          <w:rFonts w:ascii="Times New Roman" w:eastAsia="Calibri" w:hAnsi="Times New Roman"/>
          <w:sz w:val="23"/>
          <w:szCs w:val="23"/>
        </w:rPr>
        <w:t>Appropriately trained counsellors</w:t>
      </w:r>
    </w:p>
    <w:p w14:paraId="4370B786" w14:textId="77777777" w:rsidR="00A70703" w:rsidRPr="00AE5A70" w:rsidRDefault="00A70703" w:rsidP="00A70703">
      <w:pPr>
        <w:pStyle w:val="Bullet3"/>
        <w:numPr>
          <w:ilvl w:val="0"/>
          <w:numId w:val="54"/>
        </w:numPr>
        <w:tabs>
          <w:tab w:val="left" w:pos="720"/>
        </w:tabs>
        <w:spacing w:before="0" w:after="0"/>
        <w:rPr>
          <w:rFonts w:ascii="Times New Roman" w:eastAsiaTheme="minorBidi" w:hAnsi="Times New Roman"/>
          <w:sz w:val="23"/>
          <w:szCs w:val="23"/>
        </w:rPr>
      </w:pPr>
      <w:r w:rsidRPr="00AE5A70">
        <w:rPr>
          <w:rFonts w:ascii="Times New Roman" w:eastAsia="Calibri" w:hAnsi="Times New Roman"/>
          <w:sz w:val="23"/>
          <w:szCs w:val="23"/>
        </w:rPr>
        <w:t>Appropriately trained psychotherapists</w:t>
      </w:r>
    </w:p>
    <w:p w14:paraId="563D62ED" w14:textId="77777777" w:rsidR="00A70703" w:rsidRPr="00AE5A70" w:rsidRDefault="00A70703" w:rsidP="00A70703">
      <w:pPr>
        <w:pStyle w:val="Bullet3"/>
        <w:numPr>
          <w:ilvl w:val="0"/>
          <w:numId w:val="54"/>
        </w:numPr>
        <w:tabs>
          <w:tab w:val="left" w:pos="720"/>
        </w:tabs>
        <w:spacing w:before="0" w:after="0"/>
        <w:rPr>
          <w:rFonts w:ascii="Times New Roman" w:eastAsiaTheme="minorBidi" w:hAnsi="Times New Roman"/>
          <w:sz w:val="23"/>
          <w:szCs w:val="23"/>
        </w:rPr>
      </w:pPr>
      <w:r w:rsidRPr="00AE5A70">
        <w:rPr>
          <w:rFonts w:ascii="Times New Roman" w:eastAsia="Calibri" w:hAnsi="Times New Roman"/>
          <w:sz w:val="23"/>
          <w:szCs w:val="23"/>
        </w:rPr>
        <w:t>Appropriately trained social workers</w:t>
      </w:r>
    </w:p>
    <w:p w14:paraId="0C08F05F" w14:textId="77777777" w:rsidR="00A70703" w:rsidRPr="00AE5A70" w:rsidRDefault="00A70703" w:rsidP="00A70703">
      <w:pPr>
        <w:pStyle w:val="Bullet3"/>
        <w:numPr>
          <w:ilvl w:val="0"/>
          <w:numId w:val="54"/>
        </w:numPr>
        <w:tabs>
          <w:tab w:val="left" w:pos="720"/>
        </w:tabs>
        <w:spacing w:before="0" w:after="0"/>
        <w:rPr>
          <w:rFonts w:ascii="Times New Roman" w:eastAsiaTheme="minorBidi" w:hAnsi="Times New Roman"/>
          <w:sz w:val="23"/>
          <w:szCs w:val="23"/>
        </w:rPr>
      </w:pPr>
      <w:r w:rsidRPr="00AE5A70">
        <w:rPr>
          <w:rFonts w:ascii="Times New Roman" w:eastAsia="Calibri" w:hAnsi="Times New Roman"/>
          <w:sz w:val="23"/>
          <w:szCs w:val="23"/>
        </w:rPr>
        <w:t>Appropriately trained occupational therapists</w:t>
      </w:r>
    </w:p>
    <w:p w14:paraId="4DFA30EC" w14:textId="77777777" w:rsidR="00A70703" w:rsidRPr="00AE5A70" w:rsidRDefault="00A70703" w:rsidP="00A70703">
      <w:pPr>
        <w:pStyle w:val="02dash"/>
        <w:numPr>
          <w:ilvl w:val="0"/>
          <w:numId w:val="55"/>
        </w:numPr>
        <w:tabs>
          <w:tab w:val="left" w:pos="720"/>
        </w:tabs>
        <w:spacing w:line="240" w:lineRule="auto"/>
        <w:ind w:left="360"/>
        <w:rPr>
          <w:rFonts w:ascii="Times New Roman" w:eastAsiaTheme="minorBidi" w:hAnsi="Times New Roman"/>
          <w:sz w:val="23"/>
          <w:szCs w:val="23"/>
        </w:rPr>
      </w:pPr>
      <w:r w:rsidRPr="00AE5A70">
        <w:rPr>
          <w:rFonts w:ascii="Times New Roman" w:eastAsiaTheme="minorBidi" w:hAnsi="Times New Roman"/>
          <w:b/>
          <w:bCs/>
          <w:sz w:val="23"/>
          <w:szCs w:val="23"/>
        </w:rPr>
        <w:t>Rationale:</w:t>
      </w:r>
    </w:p>
    <w:p w14:paraId="1233A15C" w14:textId="77777777" w:rsidR="00A70703" w:rsidRPr="00AE5A70" w:rsidRDefault="00A70703" w:rsidP="00A70703">
      <w:pPr>
        <w:pStyle w:val="Bullet3"/>
        <w:numPr>
          <w:ilvl w:val="2"/>
          <w:numId w:val="53"/>
        </w:numPr>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The EDWG</w:t>
      </w:r>
      <w:r w:rsidRPr="00AE5A70">
        <w:rPr>
          <w:rFonts w:ascii="Times New Roman" w:hAnsi="Times New Roman"/>
          <w:sz w:val="23"/>
          <w:szCs w:val="23"/>
        </w:rPr>
        <w:t xml:space="preserve"> recommends that allied mental health items (80100-80171) be extended to mental health nurses and other skilled practitioners. The EDWG recognises the significant contributions of mental health nurses, counsellors, psychotherapists, occupational therapists, psychologists and social workers in treating patients with eating disorders.</w:t>
      </w:r>
    </w:p>
    <w:p w14:paraId="61C1EECE" w14:textId="77777777" w:rsidR="00A70703" w:rsidRPr="00AE5A70" w:rsidRDefault="00A70703" w:rsidP="00A70703">
      <w:pPr>
        <w:pStyle w:val="Bullet3"/>
        <w:numPr>
          <w:ilvl w:val="2"/>
          <w:numId w:val="53"/>
        </w:numPr>
        <w:spacing w:before="0" w:after="0"/>
        <w:ind w:left="930" w:hanging="284"/>
        <w:rPr>
          <w:rFonts w:ascii="Times New Roman" w:eastAsiaTheme="minorBidi" w:hAnsi="Times New Roman"/>
          <w:sz w:val="23"/>
          <w:szCs w:val="23"/>
        </w:rPr>
      </w:pPr>
      <w:r w:rsidRPr="00AE5A70">
        <w:rPr>
          <w:rFonts w:ascii="Times New Roman" w:eastAsiaTheme="minorEastAsia" w:hAnsi="Times New Roman"/>
          <w:sz w:val="23"/>
          <w:szCs w:val="23"/>
        </w:rPr>
        <w:t>People with eating disorders experience higher rates of other</w:t>
      </w:r>
      <w:r w:rsidRPr="00AE5A70">
        <w:rPr>
          <w:rFonts w:ascii="Times New Roman" w:eastAsiaTheme="minorBidi" w:hAnsi="Times New Roman"/>
          <w:sz w:val="23"/>
          <w:szCs w:val="23"/>
        </w:rPr>
        <w:t xml:space="preserve"> </w:t>
      </w:r>
      <w:r w:rsidRPr="00AE5A70">
        <w:rPr>
          <w:rFonts w:ascii="Times New Roman" w:eastAsiaTheme="minorEastAsia" w:hAnsi="Times New Roman"/>
          <w:sz w:val="23"/>
          <w:szCs w:val="23"/>
        </w:rPr>
        <w:t>mental illnesses</w:t>
      </w:r>
      <w:r w:rsidRPr="00AE5A70">
        <w:rPr>
          <w:rFonts w:ascii="Times New Roman" w:eastAsiaTheme="minorBidi" w:hAnsi="Times New Roman"/>
          <w:sz w:val="23"/>
          <w:szCs w:val="23"/>
        </w:rPr>
        <w:t xml:space="preserve">, </w:t>
      </w:r>
      <w:r w:rsidRPr="00AE5A70">
        <w:rPr>
          <w:rFonts w:ascii="Times New Roman" w:eastAsiaTheme="minorEastAsia" w:hAnsi="Times New Roman"/>
          <w:sz w:val="23"/>
          <w:szCs w:val="23"/>
        </w:rPr>
        <w:t>almost 97</w:t>
      </w:r>
      <w:r w:rsidR="001A7991" w:rsidRPr="00AE5A70">
        <w:rPr>
          <w:rFonts w:ascii="Times New Roman" w:eastAsiaTheme="minorEastAsia" w:hAnsi="Times New Roman"/>
          <w:sz w:val="23"/>
          <w:szCs w:val="23"/>
        </w:rPr>
        <w:t xml:space="preserve"> per cent</w:t>
      </w:r>
      <w:r w:rsidRPr="00AE5A70">
        <w:rPr>
          <w:rFonts w:ascii="Times New Roman" w:eastAsiaTheme="minorEastAsia" w:hAnsi="Times New Roman"/>
          <w:sz w:val="23"/>
          <w:szCs w:val="23"/>
        </w:rPr>
        <w:t xml:space="preserve"> of people with eating disorders have a comorbid condition.</w:t>
      </w:r>
      <w:r w:rsidRPr="00AE5A70">
        <w:rPr>
          <w:rStyle w:val="FootnoteReference"/>
          <w:rFonts w:ascii="Times New Roman" w:eastAsiaTheme="minorBidi" w:hAnsi="Times New Roman"/>
          <w:sz w:val="23"/>
          <w:szCs w:val="23"/>
        </w:rPr>
        <w:footnoteReference w:id="92"/>
      </w:r>
    </w:p>
    <w:p w14:paraId="67F3515D" w14:textId="77777777" w:rsidR="00A70703" w:rsidRPr="00AE5A70" w:rsidRDefault="00A70703" w:rsidP="00A70703">
      <w:pPr>
        <w:pStyle w:val="Bullet3"/>
        <w:numPr>
          <w:ilvl w:val="2"/>
          <w:numId w:val="53"/>
        </w:numPr>
        <w:spacing w:before="0" w:after="0"/>
        <w:ind w:left="930" w:hanging="284"/>
        <w:rPr>
          <w:rFonts w:ascii="Times New Roman" w:eastAsiaTheme="minorEastAsia" w:hAnsi="Times New Roman"/>
          <w:sz w:val="23"/>
          <w:szCs w:val="23"/>
        </w:rPr>
      </w:pPr>
      <w:r w:rsidRPr="00AE5A70">
        <w:rPr>
          <w:rFonts w:ascii="Times New Roman" w:eastAsia="Calibri" w:hAnsi="Times New Roman"/>
          <w:sz w:val="23"/>
          <w:szCs w:val="23"/>
        </w:rPr>
        <w:t xml:space="preserve">The EDWG </w:t>
      </w:r>
      <w:r w:rsidRPr="00AE5A70">
        <w:rPr>
          <w:rFonts w:ascii="Times New Roman" w:eastAsia="Calibri" w:hAnsi="Times New Roman"/>
          <w:sz w:val="23"/>
          <w:szCs w:val="23"/>
          <w:lang w:val="en-AU"/>
        </w:rPr>
        <w:t>recognised</w:t>
      </w:r>
      <w:r w:rsidRPr="00AE5A70">
        <w:rPr>
          <w:rFonts w:ascii="Times New Roman" w:eastAsia="Calibri" w:hAnsi="Times New Roman"/>
          <w:sz w:val="23"/>
          <w:szCs w:val="23"/>
        </w:rPr>
        <w:t xml:space="preserve"> that mental health nurses may be in the best place to bridge gaps in mental health services because nurses, in general, are distributed more evenly across major cities, inner regions and remote areas as compared to other specialists, psychiatrists and psychologists in particular.</w:t>
      </w:r>
    </w:p>
    <w:p w14:paraId="7C8558A3" w14:textId="77777777" w:rsidR="00A70703" w:rsidRPr="00AE5A70" w:rsidRDefault="00A70703" w:rsidP="00A70703">
      <w:pPr>
        <w:pStyle w:val="Bullet3"/>
        <w:numPr>
          <w:ilvl w:val="2"/>
          <w:numId w:val="53"/>
        </w:numPr>
        <w:spacing w:before="0" w:after="0"/>
        <w:ind w:left="930" w:hanging="284"/>
        <w:rPr>
          <w:rFonts w:ascii="Times New Roman" w:eastAsiaTheme="minorBidi" w:hAnsi="Times New Roman"/>
          <w:b/>
          <w:bCs/>
          <w:sz w:val="23"/>
          <w:szCs w:val="23"/>
        </w:rPr>
      </w:pPr>
      <w:r w:rsidRPr="00AE5A70">
        <w:rPr>
          <w:rFonts w:ascii="Times New Roman" w:eastAsiaTheme="minorBidi" w:hAnsi="Times New Roman"/>
          <w:sz w:val="23"/>
          <w:szCs w:val="23"/>
        </w:rPr>
        <w:t>Patients living in rural and remote Australia are expected to benefit from these changes as services in these localities are scarce and access to eating disorder treatment are limited.</w:t>
      </w:r>
    </w:p>
    <w:p w14:paraId="22A66F16" w14:textId="77777777" w:rsidR="00A70703" w:rsidRPr="00AE5A70" w:rsidRDefault="00A70703" w:rsidP="00A70703">
      <w:pPr>
        <w:pStyle w:val="ListParagraph"/>
        <w:numPr>
          <w:ilvl w:val="0"/>
          <w:numId w:val="52"/>
        </w:numPr>
        <w:spacing w:before="120" w:line="240" w:lineRule="auto"/>
        <w:rPr>
          <w:rFonts w:ascii="Times New Roman" w:eastAsia="Calibri" w:hAnsi="Times New Roman"/>
          <w:sz w:val="23"/>
          <w:szCs w:val="23"/>
          <w:lang w:val="en-US"/>
        </w:rPr>
      </w:pPr>
      <w:r w:rsidRPr="00AE5A70">
        <w:rPr>
          <w:rFonts w:ascii="Times New Roman" w:eastAsia="Calibri" w:hAnsi="Times New Roman"/>
          <w:b/>
          <w:bCs/>
          <w:sz w:val="23"/>
          <w:szCs w:val="23"/>
          <w:u w:val="single"/>
          <w:lang w:val="en-US"/>
        </w:rPr>
        <w:t>MBS Support for Family-based therapy (FBT) items 170-172</w:t>
      </w:r>
    </w:p>
    <w:p w14:paraId="66005ADC" w14:textId="77777777" w:rsidR="0087672E" w:rsidRPr="00AE5A70" w:rsidRDefault="0087672E" w:rsidP="00A70703">
      <w:pPr>
        <w:pStyle w:val="ListParagraph"/>
        <w:numPr>
          <w:ilvl w:val="0"/>
          <w:numId w:val="58"/>
        </w:numPr>
        <w:spacing w:before="120" w:line="240" w:lineRule="auto"/>
        <w:rPr>
          <w:rFonts w:ascii="Times New Roman" w:eastAsia="Calibri" w:hAnsi="Times New Roman"/>
          <w:sz w:val="23"/>
          <w:szCs w:val="23"/>
          <w:lang w:val="en-US"/>
        </w:rPr>
      </w:pPr>
    </w:p>
    <w:p w14:paraId="36AA88C8" w14:textId="77777777" w:rsidR="0087672E" w:rsidRPr="00AE5A70" w:rsidRDefault="0087672E" w:rsidP="00A70703">
      <w:pPr>
        <w:pStyle w:val="ListParagraph"/>
        <w:numPr>
          <w:ilvl w:val="0"/>
          <w:numId w:val="58"/>
        </w:numPr>
        <w:spacing w:before="120" w:line="240" w:lineRule="auto"/>
        <w:rPr>
          <w:rFonts w:ascii="Times New Roman" w:eastAsia="Calibri" w:hAnsi="Times New Roman"/>
          <w:sz w:val="23"/>
          <w:szCs w:val="23"/>
          <w:lang w:val="en-US"/>
        </w:rPr>
      </w:pPr>
      <w:r w:rsidRPr="00AE5A70">
        <w:rPr>
          <w:rFonts w:ascii="Times New Roman" w:eastAsia="Calibri" w:hAnsi="Times New Roman"/>
          <w:sz w:val="23"/>
          <w:szCs w:val="23"/>
          <w:lang w:val="en-US"/>
        </w:rPr>
        <w:t>Moved to  extended  psychological therapy item numbers as discussed</w:t>
      </w:r>
    </w:p>
    <w:p w14:paraId="474E38D9" w14:textId="77777777" w:rsidR="00A70703" w:rsidRPr="00AE5A70" w:rsidRDefault="00A70703" w:rsidP="00A70703">
      <w:pPr>
        <w:pStyle w:val="ListParagraph"/>
        <w:numPr>
          <w:ilvl w:val="0"/>
          <w:numId w:val="58"/>
        </w:numPr>
        <w:spacing w:before="120" w:line="240" w:lineRule="auto"/>
        <w:rPr>
          <w:rFonts w:ascii="Times New Roman" w:eastAsia="Calibri" w:hAnsi="Times New Roman"/>
          <w:sz w:val="23"/>
          <w:szCs w:val="23"/>
          <w:lang w:val="en-US"/>
        </w:rPr>
      </w:pPr>
      <w:r w:rsidRPr="00AE5A70">
        <w:rPr>
          <w:rFonts w:ascii="Times New Roman" w:eastAsia="Calibri" w:hAnsi="Times New Roman"/>
          <w:b/>
          <w:bCs/>
          <w:sz w:val="23"/>
          <w:szCs w:val="23"/>
          <w:lang w:val="en-US"/>
        </w:rPr>
        <w:t>Rationale:</w:t>
      </w:r>
    </w:p>
    <w:p w14:paraId="1EE7AEA8" w14:textId="77777777" w:rsidR="00A70703" w:rsidRPr="00AE5A70" w:rsidRDefault="00A70703" w:rsidP="00A70703">
      <w:pPr>
        <w:pStyle w:val="ListParagraph"/>
        <w:numPr>
          <w:ilvl w:val="0"/>
          <w:numId w:val="59"/>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This request focuses on ensuring that MBS listed mental health services align with best practice and evidence-based forms of therapy. FBT is considered part of the first line of treatment for children and adolescents with AN and BN, and has been shown to be an effective approach to treatment.</w:t>
      </w:r>
      <w:r w:rsidRPr="00AE5A70">
        <w:rPr>
          <w:rStyle w:val="FootnoteReference"/>
          <w:rFonts w:ascii="Times New Roman" w:eastAsia="Calibri" w:hAnsi="Times New Roman"/>
          <w:sz w:val="23"/>
          <w:szCs w:val="23"/>
          <w:lang w:val="en-US"/>
        </w:rPr>
        <w:footnoteReference w:id="93"/>
      </w:r>
      <w:r w:rsidRPr="00AE5A70">
        <w:rPr>
          <w:rFonts w:ascii="Times New Roman" w:eastAsia="Calibri" w:hAnsi="Times New Roman"/>
          <w:sz w:val="23"/>
          <w:szCs w:val="23"/>
          <w:lang w:val="en-US"/>
        </w:rPr>
        <w:t xml:space="preserve"> </w:t>
      </w:r>
    </w:p>
    <w:p w14:paraId="392423FF" w14:textId="77777777" w:rsidR="00A70703" w:rsidRPr="00AE5A70" w:rsidRDefault="00A70703" w:rsidP="00A70703">
      <w:pPr>
        <w:pStyle w:val="ListParagraph"/>
        <w:numPr>
          <w:ilvl w:val="0"/>
          <w:numId w:val="59"/>
        </w:numPr>
        <w:spacing w:before="120" w:line="240" w:lineRule="auto"/>
        <w:rPr>
          <w:rFonts w:ascii="Times New Roman" w:eastAsia="Calibri" w:hAnsi="Times New Roman"/>
          <w:sz w:val="23"/>
          <w:szCs w:val="23"/>
          <w:lang w:val="en-US"/>
        </w:rPr>
      </w:pPr>
      <w:r w:rsidRPr="00AE5A70">
        <w:rPr>
          <w:rFonts w:ascii="Times New Roman" w:eastAsia="Calibri" w:hAnsi="Times New Roman"/>
          <w:sz w:val="23"/>
          <w:szCs w:val="23"/>
          <w:lang w:val="en-US"/>
        </w:rPr>
        <w:t>It is the view of the EDWG that appropriately qualified mental health professionals should be able to administer FBT. It was the view of the EDWG that family therapy items were underutilised due to lack of awareness among clinicians, and the use of FBT in the treatment of patients with or recovering from ED should be better promoted in general practices.</w:t>
      </w:r>
    </w:p>
    <w:p w14:paraId="3A85B39F" w14:textId="77777777" w:rsidR="00A70703" w:rsidRPr="00AE5A70" w:rsidRDefault="00A70703" w:rsidP="00A70703">
      <w:pPr>
        <w:pStyle w:val="ListParagraph"/>
        <w:numPr>
          <w:ilvl w:val="0"/>
          <w:numId w:val="59"/>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 xml:space="preserve">The EDWG </w:t>
      </w:r>
      <w:r w:rsidRPr="00AE5A70">
        <w:rPr>
          <w:rFonts w:ascii="Times New Roman" w:eastAsia="Calibri" w:hAnsi="Times New Roman"/>
          <w:sz w:val="23"/>
          <w:szCs w:val="23"/>
        </w:rPr>
        <w:t>recognised</w:t>
      </w:r>
      <w:r w:rsidRPr="00AE5A70">
        <w:rPr>
          <w:rFonts w:ascii="Times New Roman" w:eastAsia="Calibri" w:hAnsi="Times New Roman"/>
          <w:sz w:val="23"/>
          <w:szCs w:val="23"/>
          <w:lang w:val="en-US"/>
        </w:rPr>
        <w:t xml:space="preserve"> the important role families play in the assessment and overall treatment processes for young people and recommend that appropriate support should be provided to manage the burden to families of AN.</w:t>
      </w:r>
      <w:r w:rsidRPr="00AE5A70">
        <w:rPr>
          <w:rFonts w:ascii="Times New Roman" w:eastAsia="Calibri" w:hAnsi="Times New Roman"/>
          <w:sz w:val="23"/>
          <w:szCs w:val="23"/>
          <w:vertAlign w:val="superscript"/>
          <w:lang w:val="en-US"/>
        </w:rPr>
        <w:t xml:space="preserve"> 3</w:t>
      </w:r>
      <w:r w:rsidRPr="00AE5A70">
        <w:rPr>
          <w:rFonts w:ascii="Times New Roman" w:eastAsia="Calibri" w:hAnsi="Times New Roman"/>
          <w:sz w:val="23"/>
          <w:szCs w:val="23"/>
          <w:lang w:val="en-US"/>
        </w:rPr>
        <w:t xml:space="preserve"> </w:t>
      </w:r>
    </w:p>
    <w:p w14:paraId="3648A744" w14:textId="77777777" w:rsidR="00A70703" w:rsidRPr="00AE5A70" w:rsidRDefault="00A70703" w:rsidP="00A70703">
      <w:pPr>
        <w:pStyle w:val="ListParagraph"/>
        <w:numPr>
          <w:ilvl w:val="0"/>
          <w:numId w:val="59"/>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Eating disorders have one of the highest burdens on carers among the mental illnesses, equivalent to that of psychosis.</w:t>
      </w:r>
      <w:r w:rsidRPr="00AE5A70">
        <w:rPr>
          <w:rFonts w:ascii="Times New Roman" w:eastAsia="Calibri" w:hAnsi="Times New Roman"/>
          <w:sz w:val="23"/>
          <w:szCs w:val="23"/>
          <w:vertAlign w:val="superscript"/>
          <w:lang w:val="en-US"/>
        </w:rPr>
        <w:t>4</w:t>
      </w:r>
      <w:r w:rsidRPr="00AE5A70">
        <w:rPr>
          <w:rFonts w:ascii="Times New Roman" w:eastAsia="Calibri" w:hAnsi="Times New Roman"/>
          <w:sz w:val="23"/>
          <w:szCs w:val="23"/>
          <w:lang w:val="en-US"/>
        </w:rPr>
        <w:t xml:space="preserve"> Eating disorders affect mental and physical wellbeing, with primary effects being on eating and meal times. Therefore, they have a systemic impact on families and carers, and on all activities of family life. Family therapy as well as skills building sessions</w:t>
      </w:r>
      <w:r w:rsidRPr="00AE5A70">
        <w:rPr>
          <w:rFonts w:ascii="Times New Roman" w:eastAsia="Calibri" w:hAnsi="Times New Roman"/>
          <w:sz w:val="23"/>
          <w:szCs w:val="23"/>
          <w:vertAlign w:val="superscript"/>
          <w:lang w:val="en-US"/>
        </w:rPr>
        <w:t>5</w:t>
      </w:r>
      <w:r w:rsidRPr="00AE5A70">
        <w:rPr>
          <w:rFonts w:ascii="Times New Roman" w:eastAsia="Calibri" w:hAnsi="Times New Roman"/>
          <w:sz w:val="23"/>
          <w:szCs w:val="23"/>
          <w:lang w:val="en-US"/>
        </w:rPr>
        <w:t xml:space="preserve"> have been demonstrated as evidence based in eating disorders.</w:t>
      </w:r>
    </w:p>
    <w:p w14:paraId="1C45A0A4" w14:textId="77777777" w:rsidR="00A70703" w:rsidRPr="00AE5A70" w:rsidRDefault="00A70703" w:rsidP="00A70703">
      <w:pPr>
        <w:pStyle w:val="ListParagraph"/>
        <w:numPr>
          <w:ilvl w:val="0"/>
          <w:numId w:val="59"/>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The use of FBT is recommended by best practice guidelines for treating AN in children and adolescents. Family based therapy is a recommended treatment option for young people with AN (up to the age of 18) living with family.</w:t>
      </w:r>
      <w:r w:rsidRPr="00AE5A70">
        <w:rPr>
          <w:rFonts w:ascii="Times New Roman" w:eastAsia="Calibri" w:hAnsi="Times New Roman"/>
          <w:sz w:val="23"/>
          <w:szCs w:val="23"/>
          <w:vertAlign w:val="superscript"/>
          <w:lang w:val="en-US"/>
        </w:rPr>
        <w:t>6</w:t>
      </w:r>
      <w:r w:rsidRPr="00AE5A70">
        <w:rPr>
          <w:rFonts w:ascii="Times New Roman" w:eastAsia="Calibri" w:hAnsi="Times New Roman"/>
          <w:sz w:val="23"/>
          <w:szCs w:val="23"/>
          <w:lang w:val="en-US"/>
        </w:rPr>
        <w:t xml:space="preserve"> </w:t>
      </w:r>
    </w:p>
    <w:p w14:paraId="36306B40" w14:textId="77777777" w:rsidR="00A70703" w:rsidRPr="00AE5A70" w:rsidRDefault="00A70703" w:rsidP="00A70703">
      <w:pPr>
        <w:pStyle w:val="ListParagraph"/>
        <w:numPr>
          <w:ilvl w:val="0"/>
          <w:numId w:val="59"/>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The EDWG also recognises the significant contributions of mental health nurses, counsellors, psychotherapists, occupational therapists, psychologists and social workers in treating patients with eating disorders. The EDWG therefore recommends that such individuals with appropriate training in mental health, eating disorders and within their profession, be able to provide these services to some patients as prescribed by specialist psychiatrists and paediatricians using evidence-based criteria.</w:t>
      </w:r>
    </w:p>
    <w:p w14:paraId="7A8F4E83" w14:textId="77777777" w:rsidR="00A70703" w:rsidRPr="00AE5A70" w:rsidRDefault="00A70703" w:rsidP="00A70703">
      <w:pPr>
        <w:pStyle w:val="ListParagraph"/>
        <w:spacing w:before="120" w:line="240" w:lineRule="auto"/>
        <w:rPr>
          <w:rFonts w:ascii="Times New Roman" w:eastAsiaTheme="minorEastAsia" w:hAnsi="Times New Roman"/>
          <w:sz w:val="23"/>
          <w:szCs w:val="23"/>
          <w:lang w:val="en-US"/>
        </w:rPr>
      </w:pPr>
    </w:p>
    <w:p w14:paraId="66C3F6BE" w14:textId="77777777" w:rsidR="00A70703" w:rsidRPr="00AE5A70" w:rsidRDefault="00A70703" w:rsidP="00A70703">
      <w:pPr>
        <w:pStyle w:val="ListParagraph"/>
        <w:numPr>
          <w:ilvl w:val="0"/>
          <w:numId w:val="60"/>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b/>
          <w:bCs/>
          <w:sz w:val="23"/>
          <w:szCs w:val="23"/>
          <w:u w:val="single"/>
          <w:lang w:val="en-US"/>
        </w:rPr>
        <w:t>Separating GP delivered Focused Psychological Strategies (FPS) Services from other psychological therapy services</w:t>
      </w:r>
    </w:p>
    <w:p w14:paraId="06DDBA4F" w14:textId="77777777" w:rsidR="00A70703" w:rsidRPr="00AE5A70" w:rsidRDefault="00A70703" w:rsidP="00A70703">
      <w:pPr>
        <w:pStyle w:val="ListParagraph"/>
        <w:spacing w:before="120" w:line="240" w:lineRule="auto"/>
        <w:rPr>
          <w:rFonts w:ascii="Times New Roman" w:eastAsiaTheme="minorEastAsia" w:hAnsi="Times New Roman"/>
          <w:sz w:val="23"/>
          <w:szCs w:val="23"/>
          <w:lang w:val="en-US"/>
        </w:rPr>
      </w:pPr>
    </w:p>
    <w:p w14:paraId="03410FAA" w14:textId="77777777" w:rsidR="00A70703" w:rsidRPr="00AE5A70" w:rsidRDefault="00A70703" w:rsidP="00A70703">
      <w:pPr>
        <w:pStyle w:val="ListParagraph"/>
        <w:numPr>
          <w:ilvl w:val="0"/>
          <w:numId w:val="61"/>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b/>
          <w:bCs/>
          <w:sz w:val="23"/>
          <w:szCs w:val="23"/>
          <w:lang w:val="en-US"/>
        </w:rPr>
        <w:t>Suggestion:</w:t>
      </w:r>
    </w:p>
    <w:p w14:paraId="7202B19D" w14:textId="77777777" w:rsidR="00A70703" w:rsidRPr="00AE5A70" w:rsidRDefault="00A70703" w:rsidP="00A70703">
      <w:pPr>
        <w:pStyle w:val="ListParagraph"/>
        <w:numPr>
          <w:ilvl w:val="0"/>
          <w:numId w:val="62"/>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 xml:space="preserve">The EDWG supports the decoupling of GP items 2721 – 2727; professional attendance at consulting rooms or at a place other than a consulting room by a general practitioner, for providing focused psychological strategies for assessed mental disorders lasting at least 30 minutes, but less than 40 minutes, from MH PCRG items 80000, 80001, 80010, 80011, 80100, 80110, 80111, 80125, 80126, 80135, 80136, 80150, 80151, 80160. This would ensure that services provided by the GP do not count towards the ten individual allied mental health/psychological services per calendar year. </w:t>
      </w:r>
    </w:p>
    <w:p w14:paraId="6C64D177" w14:textId="77777777" w:rsidR="00A70703" w:rsidRPr="00AE5A70" w:rsidRDefault="00A70703" w:rsidP="00A70703">
      <w:pPr>
        <w:pStyle w:val="ListParagraph"/>
        <w:spacing w:before="120" w:line="240" w:lineRule="auto"/>
        <w:rPr>
          <w:rFonts w:ascii="Times New Roman" w:eastAsiaTheme="minorEastAsia" w:hAnsi="Times New Roman"/>
          <w:sz w:val="23"/>
          <w:szCs w:val="23"/>
          <w:lang w:val="en-US"/>
        </w:rPr>
      </w:pPr>
    </w:p>
    <w:p w14:paraId="72C4B5B1" w14:textId="77777777" w:rsidR="00A70703" w:rsidRPr="00AE5A70" w:rsidRDefault="00A70703" w:rsidP="00A70703">
      <w:pPr>
        <w:pStyle w:val="ListParagraph"/>
        <w:numPr>
          <w:ilvl w:val="0"/>
          <w:numId w:val="63"/>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b/>
          <w:bCs/>
          <w:sz w:val="23"/>
          <w:szCs w:val="23"/>
          <w:lang w:val="en-US"/>
        </w:rPr>
        <w:t>Rationale:</w:t>
      </w:r>
    </w:p>
    <w:p w14:paraId="7F7B440E" w14:textId="77777777" w:rsidR="00A70703" w:rsidRPr="00AE5A70" w:rsidRDefault="00A70703" w:rsidP="00A70703">
      <w:pPr>
        <w:pStyle w:val="ListParagraph"/>
        <w:numPr>
          <w:ilvl w:val="0"/>
          <w:numId w:val="64"/>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 xml:space="preserve">Decoupling these items would ensure that services provided by the GP do not count towards the 10 individual allied mental health/psychological services per calendar year. Decoupling medical practitioner psychological services from other item codes potentially improves patient access to additional allied health </w:t>
      </w:r>
      <w:r w:rsidR="00E40606" w:rsidRPr="00AE5A70">
        <w:rPr>
          <w:rFonts w:ascii="Times New Roman" w:eastAsia="Calibri" w:hAnsi="Times New Roman"/>
          <w:sz w:val="23"/>
          <w:szCs w:val="23"/>
          <w:lang w:val="en-US"/>
        </w:rPr>
        <w:t xml:space="preserve">and mental health </w:t>
      </w:r>
      <w:r w:rsidRPr="00AE5A70">
        <w:rPr>
          <w:rFonts w:ascii="Times New Roman" w:eastAsia="Calibri" w:hAnsi="Times New Roman"/>
          <w:sz w:val="23"/>
          <w:szCs w:val="23"/>
          <w:lang w:val="en-US"/>
        </w:rPr>
        <w:t xml:space="preserve">professionals. </w:t>
      </w:r>
    </w:p>
    <w:p w14:paraId="36EEB78F" w14:textId="77777777" w:rsidR="00A70703" w:rsidRPr="00AE5A70" w:rsidRDefault="00A70703" w:rsidP="00A70703">
      <w:pPr>
        <w:pStyle w:val="ListParagraph"/>
        <w:numPr>
          <w:ilvl w:val="0"/>
          <w:numId w:val="64"/>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 xml:space="preserve">The EDWG noted the importance of a diagnosis from a specialist psychiatrist or pediatrician and the use of evidence-based therapies in the treatment of eating disorders. Clinical guidelines and the EDWG recommend both FBT for young AN patients living with family, and cognitive based therapies (CBT) such as Enhanced CBT (CBT – E) for both adults and children with AN. Decoupling the MBS items could increase the number of FBT and CBT – E sessions a patient could access from specialist psychological services. </w:t>
      </w:r>
    </w:p>
    <w:p w14:paraId="7F04C721" w14:textId="77777777" w:rsidR="00A70703" w:rsidRPr="00AE5A70" w:rsidRDefault="00A70703" w:rsidP="00A70703">
      <w:pPr>
        <w:pStyle w:val="ListParagraph"/>
        <w:numPr>
          <w:ilvl w:val="0"/>
          <w:numId w:val="64"/>
        </w:numPr>
        <w:spacing w:before="120" w:line="240" w:lineRule="auto"/>
        <w:rPr>
          <w:rFonts w:ascii="Times New Roman" w:eastAsiaTheme="minorEastAsia" w:hAnsi="Times New Roman"/>
          <w:sz w:val="23"/>
          <w:szCs w:val="23"/>
          <w:lang w:val="en-US"/>
        </w:rPr>
      </w:pPr>
      <w:r w:rsidRPr="00AE5A70">
        <w:rPr>
          <w:rFonts w:ascii="Times New Roman" w:eastAsia="Calibri" w:hAnsi="Times New Roman"/>
          <w:sz w:val="23"/>
          <w:szCs w:val="23"/>
          <w:lang w:val="en-US"/>
        </w:rPr>
        <w:t>Decoupling the items codes will ensure that patients can receive appropriate post-treatment care, maximising their potential of long term recovery from the illness.</w:t>
      </w:r>
    </w:p>
    <w:p w14:paraId="7558498D" w14:textId="77777777" w:rsidR="002D7E0C" w:rsidRPr="00AE5A70" w:rsidRDefault="002D7E0C">
      <w:pPr>
        <w:spacing w:before="0" w:after="0" w:line="240" w:lineRule="auto"/>
        <w:rPr>
          <w:rFonts w:ascii="Arial" w:eastAsiaTheme="minorEastAsia" w:hAnsi="Arial" w:cs="Arial"/>
          <w:b/>
          <w:bCs/>
          <w:kern w:val="28"/>
          <w:sz w:val="23"/>
          <w:szCs w:val="23"/>
        </w:rPr>
      </w:pPr>
      <w:r w:rsidRPr="00AE5A70">
        <w:rPr>
          <w:rFonts w:eastAsiaTheme="minorEastAsia"/>
          <w:sz w:val="23"/>
          <w:szCs w:val="23"/>
        </w:rPr>
        <w:br w:type="page"/>
      </w:r>
    </w:p>
    <w:p w14:paraId="570A9D22" w14:textId="77777777" w:rsidR="00CA61A0" w:rsidRPr="00BD3800" w:rsidRDefault="00407A3C" w:rsidP="00BD3800">
      <w:pPr>
        <w:pStyle w:val="Heading2"/>
        <w:rPr>
          <w:rFonts w:eastAsiaTheme="minorBidi"/>
        </w:rPr>
      </w:pPr>
      <w:bookmarkStart w:id="109" w:name="_Toc531941972"/>
      <w:r w:rsidRPr="00BD3800">
        <w:rPr>
          <w:rFonts w:eastAsiaTheme="minorBidi"/>
        </w:rPr>
        <w:t>Memorandum to the Principles and Rules Committee</w:t>
      </w:r>
      <w:bookmarkEnd w:id="109"/>
      <w:r w:rsidRPr="00BD3800">
        <w:rPr>
          <w:rFonts w:eastAsiaTheme="minorBidi"/>
        </w:rPr>
        <w:t xml:space="preserve"> </w:t>
      </w:r>
    </w:p>
    <w:p w14:paraId="4D3B0561" w14:textId="77777777" w:rsidR="00960C01" w:rsidRPr="00AE5A70" w:rsidRDefault="00960C01" w:rsidP="00960C01">
      <w:pPr>
        <w:spacing w:before="240" w:line="240" w:lineRule="auto"/>
        <w:jc w:val="right"/>
        <w:rPr>
          <w:rFonts w:ascii="Times New Roman" w:eastAsiaTheme="minorEastAsia" w:hAnsi="Times New Roman"/>
          <w:sz w:val="23"/>
          <w:szCs w:val="23"/>
        </w:rPr>
      </w:pPr>
      <w:r w:rsidRPr="00AE5A70">
        <w:rPr>
          <w:rFonts w:ascii="Times New Roman" w:eastAsiaTheme="minorEastAsia" w:hAnsi="Times New Roman"/>
          <w:sz w:val="23"/>
          <w:szCs w:val="23"/>
        </w:rPr>
        <w:t>14</w:t>
      </w:r>
      <w:r w:rsidRPr="00AE5A70">
        <w:rPr>
          <w:rFonts w:ascii="Times New Roman" w:eastAsiaTheme="minorEastAsia" w:hAnsi="Times New Roman"/>
          <w:sz w:val="23"/>
          <w:szCs w:val="23"/>
          <w:vertAlign w:val="superscript"/>
        </w:rPr>
        <w:t>th</w:t>
      </w:r>
      <w:r w:rsidRPr="00AE5A70">
        <w:rPr>
          <w:rFonts w:ascii="Times New Roman" w:eastAsiaTheme="minorEastAsia" w:hAnsi="Times New Roman"/>
          <w:sz w:val="23"/>
          <w:szCs w:val="23"/>
        </w:rPr>
        <w:t xml:space="preserve"> August 2018</w:t>
      </w:r>
    </w:p>
    <w:p w14:paraId="6C4A46E2" w14:textId="77777777" w:rsidR="00960C01" w:rsidRPr="00AE5A70" w:rsidRDefault="00960C01" w:rsidP="00960C01">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Dear Principles and Rules Committee,</w:t>
      </w:r>
    </w:p>
    <w:p w14:paraId="788E3479" w14:textId="77777777" w:rsidR="00960C01" w:rsidRPr="00AE5A70" w:rsidRDefault="00960C01" w:rsidP="00960C01">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 xml:space="preserve">In September 2017 the Medicare Benefits Schedule Review Taskforce (the Taskforce) established the Eating Disorders Working Group (EDWG). The Taskforce was requested by the Minister to investigate treatment options for those suffering with eating disorders. </w:t>
      </w:r>
    </w:p>
    <w:p w14:paraId="02800736" w14:textId="77777777" w:rsidR="00960C01" w:rsidRPr="00AE5A70" w:rsidRDefault="00960C01" w:rsidP="00960C01">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 xml:space="preserve">The EDWG have investigated current approaches to the treatment of people with eating disorders as funded by the Medicare Benefits Schedule (MBS), examining whether they are adequate. The EDWG also reviewed new approaches to improving treatment pathways. </w:t>
      </w:r>
    </w:p>
    <w:p w14:paraId="04A162D6" w14:textId="77777777" w:rsidR="00960C01" w:rsidRPr="00AE5A70" w:rsidRDefault="00960C01" w:rsidP="00960C01">
      <w:pPr>
        <w:spacing w:before="240" w:line="240" w:lineRule="auto"/>
        <w:rPr>
          <w:rFonts w:ascii="Times New Roman" w:eastAsiaTheme="minorEastAsia" w:hAnsi="Times New Roman"/>
          <w:sz w:val="23"/>
          <w:szCs w:val="23"/>
        </w:rPr>
      </w:pPr>
      <w:r w:rsidRPr="00AE5A70">
        <w:rPr>
          <w:rFonts w:ascii="Times New Roman" w:eastAsiaTheme="minorEastAsia" w:hAnsi="Times New Roman"/>
          <w:sz w:val="23"/>
          <w:szCs w:val="23"/>
        </w:rPr>
        <w:t xml:space="preserve">The EDWG’s investigation is framed through the following lenses: </w:t>
      </w:r>
    </w:p>
    <w:p w14:paraId="3E595268" w14:textId="77777777" w:rsidR="00960C01" w:rsidRPr="00AE5A70" w:rsidRDefault="00960C01" w:rsidP="00960C01">
      <w:pPr>
        <w:pStyle w:val="01squarebullet"/>
        <w:numPr>
          <w:ilvl w:val="0"/>
          <w:numId w:val="51"/>
        </w:numPr>
        <w:spacing w:before="240"/>
        <w:ind w:left="357" w:hanging="357"/>
        <w:rPr>
          <w:rFonts w:ascii="Times New Roman" w:eastAsiaTheme="minorEastAsia" w:hAnsi="Times New Roman"/>
          <w:b/>
          <w:bCs/>
          <w:sz w:val="23"/>
          <w:szCs w:val="23"/>
        </w:rPr>
      </w:pPr>
      <w:r w:rsidRPr="00AE5A70">
        <w:rPr>
          <w:rFonts w:ascii="Times New Roman" w:eastAsiaTheme="minorEastAsia" w:hAnsi="Times New Roman"/>
          <w:sz w:val="23"/>
          <w:szCs w:val="23"/>
        </w:rPr>
        <w:t>The goal of the Taskforce is to ensure that the MBS funds ‘affordable and universal access [to] best practice health services’. MBS funding should represent both ‘value for the individual patient [and] value for the community’.</w:t>
      </w:r>
    </w:p>
    <w:p w14:paraId="03BB4621" w14:textId="77777777" w:rsidR="00960C01" w:rsidRPr="00AE5A70" w:rsidRDefault="00960C01" w:rsidP="00960C01">
      <w:pPr>
        <w:pStyle w:val="01squarebullet"/>
        <w:numPr>
          <w:ilvl w:val="0"/>
          <w:numId w:val="51"/>
        </w:numPr>
        <w:spacing w:before="240"/>
        <w:ind w:left="357" w:hanging="357"/>
        <w:rPr>
          <w:rFonts w:ascii="Times New Roman" w:eastAsiaTheme="minorEastAsia" w:hAnsi="Times New Roman"/>
          <w:sz w:val="23"/>
          <w:szCs w:val="23"/>
        </w:rPr>
      </w:pPr>
      <w:r w:rsidRPr="00AE5A70">
        <w:rPr>
          <w:rFonts w:ascii="Times New Roman" w:eastAsiaTheme="minorEastAsia" w:hAnsi="Times New Roman"/>
          <w:sz w:val="23"/>
          <w:szCs w:val="23"/>
        </w:rPr>
        <w:t xml:space="preserve">It is widely accepted that treatment services for people with eating disorders are fragmented and difficult to locate. This can be exacerbated by the patient’s geographical location in relation to treatment services, and item restrictions. These two factors can potentially limit access. </w:t>
      </w:r>
    </w:p>
    <w:p w14:paraId="427E08D3" w14:textId="77777777" w:rsidR="00960C01" w:rsidRPr="00AE5A70" w:rsidRDefault="00960C01" w:rsidP="00960C01">
      <w:pPr>
        <w:pStyle w:val="01squarebullet"/>
        <w:numPr>
          <w:ilvl w:val="0"/>
          <w:numId w:val="51"/>
        </w:numPr>
        <w:spacing w:before="240"/>
        <w:ind w:left="357" w:hanging="357"/>
        <w:rPr>
          <w:rFonts w:ascii="Times New Roman" w:eastAsiaTheme="minorEastAsia" w:hAnsi="Times New Roman"/>
          <w:sz w:val="23"/>
          <w:szCs w:val="23"/>
        </w:rPr>
      </w:pPr>
      <w:r w:rsidRPr="00AE5A70">
        <w:rPr>
          <w:rFonts w:ascii="Times New Roman" w:eastAsiaTheme="minorEastAsia" w:hAnsi="Times New Roman"/>
          <w:sz w:val="23"/>
          <w:szCs w:val="23"/>
        </w:rPr>
        <w:t>Of all psychiatric disorders, eating disorders have one of the highest impacts on health-related quality of life. Eating disorders affect about 1 in 20 Australians, with an increasing prevalence in both women and men, with anorexia nervosa (AN) and bulimia nervosa (BN) often associated with high rates of hospitalisation, premature death and suicide. The Australian Government have therefore flagged eating disorders as a priority.</w:t>
      </w:r>
    </w:p>
    <w:p w14:paraId="78256043" w14:textId="77777777" w:rsidR="00960C01" w:rsidRPr="00AE5A70" w:rsidRDefault="00960C01" w:rsidP="00960C01">
      <w:pPr>
        <w:pStyle w:val="01squarebullet"/>
        <w:spacing w:before="240"/>
        <w:ind w:left="0" w:firstLine="0"/>
        <w:rPr>
          <w:rFonts w:ascii="Times New Roman" w:eastAsiaTheme="minorEastAsia" w:hAnsi="Times New Roman"/>
          <w:sz w:val="23"/>
          <w:szCs w:val="23"/>
        </w:rPr>
      </w:pPr>
      <w:r w:rsidRPr="00AE5A70">
        <w:rPr>
          <w:rFonts w:ascii="Times New Roman" w:eastAsiaTheme="minorEastAsia" w:hAnsi="Times New Roman"/>
          <w:sz w:val="23"/>
          <w:szCs w:val="23"/>
        </w:rPr>
        <w:t>Following the completion of the investigation, a report is expected to be provided to the Minister by the end of 2018.</w:t>
      </w:r>
    </w:p>
    <w:p w14:paraId="4CEAF3D5" w14:textId="77777777" w:rsidR="00960C01" w:rsidRPr="00AE5A70" w:rsidRDefault="00960C01" w:rsidP="00044469">
      <w:pPr>
        <w:pStyle w:val="01squarebullet"/>
        <w:ind w:left="0" w:firstLine="0"/>
        <w:rPr>
          <w:rFonts w:ascii="Times New Roman" w:eastAsiaTheme="minorEastAsia" w:hAnsi="Times New Roman"/>
          <w:sz w:val="23"/>
          <w:szCs w:val="23"/>
        </w:rPr>
      </w:pPr>
      <w:r w:rsidRPr="00AE5A70">
        <w:rPr>
          <w:rFonts w:ascii="Times New Roman" w:eastAsiaTheme="minorEastAsia" w:hAnsi="Times New Roman"/>
          <w:sz w:val="23"/>
          <w:szCs w:val="23"/>
        </w:rPr>
        <w:t>The EDWG would therefore like to draw the Principles and Rules Committee’s attention to the following MBS items for consideration and review:</w:t>
      </w:r>
    </w:p>
    <w:p w14:paraId="6C991834" w14:textId="77777777" w:rsidR="00960C01" w:rsidRPr="00AE5A70" w:rsidRDefault="00960C01" w:rsidP="00960C01">
      <w:pPr>
        <w:pStyle w:val="01squarebullet"/>
        <w:ind w:left="0" w:firstLine="0"/>
        <w:rPr>
          <w:rFonts w:ascii="Times New Roman" w:hAnsi="Times New Roman"/>
          <w:sz w:val="23"/>
          <w:szCs w:val="23"/>
        </w:rPr>
      </w:pPr>
    </w:p>
    <w:p w14:paraId="48427D53" w14:textId="77777777" w:rsidR="00960C01" w:rsidRPr="00AE5A70" w:rsidRDefault="00960C01" w:rsidP="00960C01">
      <w:pPr>
        <w:pStyle w:val="01squarebullet"/>
        <w:numPr>
          <w:ilvl w:val="0"/>
          <w:numId w:val="51"/>
        </w:numPr>
        <w:rPr>
          <w:rFonts w:ascii="Times New Roman" w:hAnsi="Times New Roman"/>
          <w:b/>
          <w:bCs/>
          <w:sz w:val="23"/>
          <w:szCs w:val="23"/>
        </w:rPr>
      </w:pPr>
      <w:r w:rsidRPr="00AE5A70">
        <w:rPr>
          <w:rFonts w:ascii="Times New Roman" w:hAnsi="Times New Roman"/>
          <w:b/>
          <w:bCs/>
          <w:sz w:val="23"/>
          <w:szCs w:val="23"/>
        </w:rPr>
        <w:t xml:space="preserve">MBS psychiatry items   </w:t>
      </w:r>
    </w:p>
    <w:p w14:paraId="39CEAB80" w14:textId="77777777" w:rsidR="00960C01" w:rsidRPr="00AE5A70" w:rsidRDefault="00960C01" w:rsidP="00960C01">
      <w:pPr>
        <w:pStyle w:val="02dash"/>
        <w:numPr>
          <w:ilvl w:val="1"/>
          <w:numId w:val="51"/>
        </w:numPr>
        <w:tabs>
          <w:tab w:val="num" w:pos="570"/>
        </w:tabs>
        <w:spacing w:line="240" w:lineRule="auto"/>
        <w:ind w:left="568"/>
        <w:rPr>
          <w:sz w:val="23"/>
          <w:szCs w:val="23"/>
        </w:rPr>
      </w:pPr>
      <w:r w:rsidRPr="00AE5A70">
        <w:rPr>
          <w:rFonts w:ascii="Times New Roman" w:hAnsi="Times New Roman"/>
          <w:b/>
          <w:sz w:val="23"/>
          <w:szCs w:val="23"/>
        </w:rPr>
        <w:t xml:space="preserve">Suggestion: </w:t>
      </w:r>
    </w:p>
    <w:p w14:paraId="489618E1" w14:textId="77777777" w:rsidR="00960C01" w:rsidRPr="00AE5A70" w:rsidRDefault="00960C01" w:rsidP="00960C01">
      <w:pPr>
        <w:pStyle w:val="02dash"/>
        <w:numPr>
          <w:ilvl w:val="1"/>
          <w:numId w:val="51"/>
        </w:numPr>
        <w:tabs>
          <w:tab w:val="num" w:pos="570"/>
        </w:tabs>
        <w:spacing w:line="240" w:lineRule="auto"/>
        <w:ind w:left="568"/>
        <w:rPr>
          <w:rFonts w:ascii="Times New Roman" w:hAnsi="Times New Roman"/>
          <w:sz w:val="23"/>
          <w:szCs w:val="23"/>
        </w:rPr>
      </w:pPr>
      <w:r w:rsidRPr="00AE5A70">
        <w:rPr>
          <w:rFonts w:ascii="Times New Roman" w:hAnsi="Times New Roman"/>
          <w:sz w:val="23"/>
          <w:szCs w:val="23"/>
        </w:rPr>
        <w:t>The EDWG suggests that in instances where a psychiatrist is unable to consult with a patient in the same physical location</w:t>
      </w:r>
      <w:r w:rsidRPr="00AE5A70">
        <w:rPr>
          <w:rFonts w:ascii="Times New Roman" w:hAnsi="Times New Roman"/>
          <w:b/>
          <w:sz w:val="23"/>
          <w:szCs w:val="23"/>
        </w:rPr>
        <w:t xml:space="preserve">, a new MBS item be created to allow psychiatrists to supervise other health professionals </w:t>
      </w:r>
      <w:r w:rsidRPr="00AE5A70">
        <w:rPr>
          <w:rFonts w:ascii="Times New Roman" w:hAnsi="Times New Roman"/>
          <w:sz w:val="23"/>
          <w:szCs w:val="23"/>
        </w:rPr>
        <w:t>who do not have adequate qualifications specific to eating disorders. This supervision should include the planning and coordination of care of patients with diagnosed eating disorders.</w:t>
      </w:r>
    </w:p>
    <w:p w14:paraId="41453F3D" w14:textId="77777777" w:rsidR="00960C01" w:rsidRPr="00AE5A70" w:rsidRDefault="00960C01" w:rsidP="00960C01">
      <w:pPr>
        <w:pStyle w:val="02dash"/>
        <w:numPr>
          <w:ilvl w:val="0"/>
          <w:numId w:val="0"/>
        </w:numPr>
        <w:tabs>
          <w:tab w:val="left" w:pos="720"/>
        </w:tabs>
        <w:ind w:left="284"/>
        <w:rPr>
          <w:rFonts w:ascii="Times New Roman" w:hAnsi="Times New Roman"/>
          <w:b/>
          <w:bCs/>
          <w:sz w:val="23"/>
          <w:szCs w:val="23"/>
        </w:rPr>
      </w:pPr>
      <w:r w:rsidRPr="00AE5A70">
        <w:rPr>
          <w:rFonts w:ascii="Times New Roman" w:hAnsi="Times New Roman"/>
          <w:b/>
          <w:bCs/>
          <w:sz w:val="23"/>
          <w:szCs w:val="23"/>
        </w:rPr>
        <w:t xml:space="preserve">Rationale: </w:t>
      </w:r>
    </w:p>
    <w:p w14:paraId="1897D64A" w14:textId="77777777" w:rsidR="00960C01" w:rsidRPr="00AE5A70" w:rsidRDefault="00960C01" w:rsidP="00960C01">
      <w:pPr>
        <w:pStyle w:val="Bullet3"/>
        <w:numPr>
          <w:ilvl w:val="2"/>
          <w:numId w:val="51"/>
        </w:numPr>
        <w:tabs>
          <w:tab w:val="num" w:pos="1131"/>
        </w:tabs>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 xml:space="preserve">The EDWG recommends this new item recommendation for the treatment of people with eating disorders be contingent on a diagnosis by a specialist psychiatrist or </w:t>
      </w:r>
      <w:r w:rsidRPr="00AE5A70">
        <w:rPr>
          <w:rFonts w:ascii="Times New Roman" w:eastAsiaTheme="minorEastAsia" w:hAnsi="Times New Roman"/>
          <w:sz w:val="23"/>
          <w:szCs w:val="23"/>
          <w:lang w:val="en-AU"/>
        </w:rPr>
        <w:t xml:space="preserve">paediatrician in order for the patient to be eligible for extended treatment programmes. The EDWG also recognises the need for limitation of expanded Medicare benefits to patients diagnosed with AN or moderate-to-severe cases of BN.  </w:t>
      </w:r>
    </w:p>
    <w:p w14:paraId="1404812B" w14:textId="77777777" w:rsidR="00960C01" w:rsidRPr="00AE5A70" w:rsidRDefault="00960C01" w:rsidP="00960C01">
      <w:pPr>
        <w:pStyle w:val="Bullet3"/>
        <w:numPr>
          <w:ilvl w:val="2"/>
          <w:numId w:val="51"/>
        </w:numPr>
        <w:tabs>
          <w:tab w:val="num" w:pos="1131"/>
        </w:tabs>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The EDWG acknowledged that there are no major outstanding issues with the psychiatrist consultation MBS item group.</w:t>
      </w:r>
    </w:p>
    <w:p w14:paraId="0BDC0F83" w14:textId="77777777" w:rsidR="00960C01" w:rsidRPr="00AE5A70" w:rsidRDefault="00960C01" w:rsidP="00960C01">
      <w:pPr>
        <w:pStyle w:val="Bullet3"/>
        <w:numPr>
          <w:ilvl w:val="2"/>
          <w:numId w:val="51"/>
        </w:numPr>
        <w:tabs>
          <w:tab w:val="num" w:pos="1131"/>
        </w:tabs>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The EDWG recommends the funding of secondary consultation services, such as case conferencing. This new supervision item will support patients and health professionals who do not have psychiatrist training access to specialist knowledge.</w:t>
      </w:r>
    </w:p>
    <w:p w14:paraId="144BD39C" w14:textId="77777777" w:rsidR="00960C01" w:rsidRPr="00AE5A70" w:rsidRDefault="00960C01" w:rsidP="00960C01">
      <w:pPr>
        <w:pStyle w:val="Bullet3"/>
        <w:numPr>
          <w:ilvl w:val="2"/>
          <w:numId w:val="51"/>
        </w:numPr>
        <w:tabs>
          <w:tab w:val="num" w:pos="1131"/>
        </w:tabs>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The additional item will enable psychiatrists to partake in treatment planning and the supervision of patients with AN or BN.</w:t>
      </w:r>
    </w:p>
    <w:p w14:paraId="3C01B1EF" w14:textId="77777777" w:rsidR="00960C01" w:rsidRPr="00AE5A70" w:rsidRDefault="00960C01" w:rsidP="00960C01">
      <w:pPr>
        <w:pStyle w:val="Bullet3"/>
        <w:numPr>
          <w:ilvl w:val="2"/>
          <w:numId w:val="51"/>
        </w:numPr>
        <w:tabs>
          <w:tab w:val="num" w:pos="1131"/>
        </w:tabs>
        <w:spacing w:before="0" w:after="0"/>
        <w:ind w:left="930" w:hanging="284"/>
        <w:rPr>
          <w:rFonts w:ascii="Times New Roman" w:eastAsiaTheme="minorEastAsia" w:hAnsi="Times New Roman"/>
          <w:sz w:val="23"/>
          <w:szCs w:val="23"/>
        </w:rPr>
      </w:pPr>
      <w:r w:rsidRPr="00AE5A70">
        <w:rPr>
          <w:rFonts w:ascii="Times New Roman" w:eastAsiaTheme="minorEastAsia" w:hAnsi="Times New Roman"/>
          <w:sz w:val="23"/>
          <w:szCs w:val="23"/>
        </w:rPr>
        <w:t>This would specifically benefit patients living in rural and remote Australia as specialist services are scarce and access to eating disorder treatments are limited.</w:t>
      </w:r>
    </w:p>
    <w:p w14:paraId="2813E263" w14:textId="77777777" w:rsidR="002D7E0C" w:rsidRPr="00AE5A70" w:rsidRDefault="00960C01" w:rsidP="002D7E0C">
      <w:pPr>
        <w:pStyle w:val="Bullet3"/>
        <w:numPr>
          <w:ilvl w:val="2"/>
          <w:numId w:val="51"/>
        </w:numPr>
        <w:tabs>
          <w:tab w:val="num" w:pos="1131"/>
        </w:tabs>
        <w:spacing w:before="0" w:after="0"/>
        <w:ind w:left="1134" w:hanging="284"/>
        <w:rPr>
          <w:rFonts w:ascii="Times New Roman" w:eastAsiaTheme="minorEastAsia" w:hAnsi="Times New Roman"/>
          <w:sz w:val="23"/>
          <w:szCs w:val="23"/>
        </w:rPr>
      </w:pPr>
      <w:r w:rsidRPr="00AE5A70">
        <w:rPr>
          <w:rFonts w:ascii="Times New Roman" w:eastAsiaTheme="minorEastAsia" w:hAnsi="Times New Roman"/>
          <w:sz w:val="23"/>
          <w:szCs w:val="23"/>
        </w:rPr>
        <w:t>The EDWG is aware that currently Medicare benefits are available for video consultation between psychiatrists and patients who are located in telehealth eligible areas.</w:t>
      </w:r>
    </w:p>
    <w:p w14:paraId="1DE0AB29" w14:textId="77777777" w:rsidR="00DD68E8" w:rsidRPr="00AE5A70" w:rsidRDefault="002D7E0C">
      <w:pPr>
        <w:spacing w:before="0" w:after="0" w:line="240" w:lineRule="auto"/>
        <w:rPr>
          <w:rFonts w:ascii="Times New Roman" w:eastAsiaTheme="minorEastAsia" w:hAnsi="Times New Roman"/>
          <w:sz w:val="18"/>
          <w:szCs w:val="18"/>
        </w:rPr>
        <w:sectPr w:rsidR="00DD68E8" w:rsidRPr="00AE5A70" w:rsidSect="00E40606">
          <w:footerReference w:type="default" r:id="rId30"/>
          <w:pgSz w:w="11906" w:h="16838" w:code="9"/>
          <w:pgMar w:top="1797" w:right="1440" w:bottom="1797" w:left="1440" w:header="720" w:footer="720" w:gutter="0"/>
          <w:cols w:space="720"/>
          <w:docGrid w:linePitch="326"/>
        </w:sectPr>
      </w:pPr>
      <w:r w:rsidRPr="00AE5A70">
        <w:rPr>
          <w:rFonts w:ascii="Times New Roman" w:eastAsiaTheme="minorEastAsia" w:hAnsi="Times New Roman"/>
          <w:sz w:val="18"/>
          <w:szCs w:val="18"/>
        </w:rPr>
        <w:br w:type="page"/>
      </w:r>
    </w:p>
    <w:p w14:paraId="4F130A67" w14:textId="77777777" w:rsidR="00DD68E8" w:rsidRPr="00AE5A70" w:rsidRDefault="00DD68E8">
      <w:pPr>
        <w:spacing w:before="0" w:after="0" w:line="240" w:lineRule="auto"/>
        <w:rPr>
          <w:rFonts w:ascii="Times New Roman" w:eastAsiaTheme="minorEastAsia" w:hAnsi="Times New Roman"/>
          <w:sz w:val="18"/>
          <w:szCs w:val="18"/>
        </w:rPr>
      </w:pPr>
    </w:p>
    <w:p w14:paraId="2882E856" w14:textId="77777777" w:rsidR="000D0E4E" w:rsidRPr="00AE5A70" w:rsidRDefault="00931E03" w:rsidP="00E40606">
      <w:pPr>
        <w:pStyle w:val="Heading1"/>
        <w:rPr>
          <w:sz w:val="24"/>
          <w:szCs w:val="24"/>
        </w:rPr>
      </w:pPr>
      <w:bookmarkStart w:id="110" w:name="_Toc531941973"/>
      <w:r w:rsidRPr="00AE5A70">
        <w:rPr>
          <w:rFonts w:eastAsiaTheme="minorBidi"/>
          <w:sz w:val="24"/>
          <w:szCs w:val="24"/>
        </w:rPr>
        <w:t>Appendix</w:t>
      </w:r>
      <w:r w:rsidRPr="00AE5A70">
        <w:rPr>
          <w:sz w:val="24"/>
          <w:szCs w:val="24"/>
        </w:rPr>
        <w:t xml:space="preserve"> </w:t>
      </w:r>
      <w:r w:rsidR="0018741B" w:rsidRPr="00AE5A70">
        <w:rPr>
          <w:sz w:val="24"/>
          <w:szCs w:val="24"/>
        </w:rPr>
        <w:t>E</w:t>
      </w:r>
      <w:r w:rsidR="006E6ECC" w:rsidRPr="00AE5A70">
        <w:rPr>
          <w:sz w:val="24"/>
          <w:szCs w:val="24"/>
        </w:rPr>
        <w:t xml:space="preserve">: </w:t>
      </w:r>
      <w:r w:rsidR="000D0E4E" w:rsidRPr="00AE5A70">
        <w:rPr>
          <w:sz w:val="24"/>
          <w:szCs w:val="24"/>
        </w:rPr>
        <w:t>Summary for consumers</w:t>
      </w:r>
      <w:bookmarkEnd w:id="110"/>
    </w:p>
    <w:p w14:paraId="4117F9B1" w14:textId="77777777" w:rsidR="00967092" w:rsidRPr="00AE5A70" w:rsidRDefault="00967092" w:rsidP="00967092">
      <w:pPr>
        <w:rPr>
          <w:sz w:val="18"/>
          <w:szCs w:val="18"/>
        </w:rPr>
      </w:pPr>
      <w:r w:rsidRPr="00AE5A70">
        <w:rPr>
          <w:sz w:val="23"/>
          <w:szCs w:val="23"/>
        </w:rPr>
        <w:t>This table describes the medical service, the recommendation(s) of the clinical experts and why the recommendation(s) has been made</w:t>
      </w:r>
      <w:r w:rsidRPr="00AE5A70">
        <w:rPr>
          <w:sz w:val="18"/>
          <w:szCs w:val="18"/>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882"/>
        <w:gridCol w:w="1649"/>
        <w:gridCol w:w="3554"/>
        <w:gridCol w:w="3665"/>
        <w:gridCol w:w="3700"/>
      </w:tblGrid>
      <w:tr w:rsidR="00AE5A70" w:rsidRPr="00AE5A70" w14:paraId="674D2BFB" w14:textId="77777777" w:rsidTr="009341EF">
        <w:trPr>
          <w:cantSplit/>
          <w:trHeight w:val="412"/>
          <w:tblHeader/>
        </w:trPr>
        <w:tc>
          <w:tcPr>
            <w:tcW w:w="13450" w:type="dxa"/>
            <w:gridSpan w:val="5"/>
            <w:tcBorders>
              <w:top w:val="nil"/>
              <w:bottom w:val="nil"/>
            </w:tcBorders>
            <w:shd w:val="clear" w:color="auto" w:fill="auto"/>
          </w:tcPr>
          <w:p w14:paraId="4FD2DBF5" w14:textId="77777777" w:rsidR="00967092" w:rsidRPr="00AE5A70" w:rsidRDefault="00967092" w:rsidP="00E40606">
            <w:pPr>
              <w:spacing w:after="0" w:line="240" w:lineRule="auto"/>
              <w:rPr>
                <w:szCs w:val="18"/>
              </w:rPr>
            </w:pPr>
            <w:r w:rsidRPr="00AE5A70">
              <w:rPr>
                <w:b/>
                <w:sz w:val="18"/>
                <w:szCs w:val="18"/>
              </w:rPr>
              <w:t>Recommendation 1.1</w:t>
            </w:r>
          </w:p>
        </w:tc>
      </w:tr>
      <w:tr w:rsidR="00AE5A70" w:rsidRPr="00AE5A70" w14:paraId="7A943D5C" w14:textId="77777777" w:rsidTr="009341EF">
        <w:trPr>
          <w:cantSplit/>
          <w:trHeight w:val="412"/>
          <w:tblHeader/>
        </w:trPr>
        <w:tc>
          <w:tcPr>
            <w:tcW w:w="882" w:type="dxa"/>
            <w:tcBorders>
              <w:top w:val="nil"/>
              <w:bottom w:val="single" w:sz="4" w:space="0" w:color="B66113"/>
            </w:tcBorders>
            <w:shd w:val="clear" w:color="auto" w:fill="B66113"/>
          </w:tcPr>
          <w:p w14:paraId="169D1E31" w14:textId="77777777" w:rsidR="00967092" w:rsidRPr="00AE5A70" w:rsidRDefault="00967092" w:rsidP="00967092">
            <w:pPr>
              <w:pStyle w:val="Tableheading-white"/>
              <w:rPr>
                <w:color w:val="auto"/>
                <w:szCs w:val="18"/>
              </w:rPr>
            </w:pPr>
            <w:r w:rsidRPr="00AE5A70">
              <w:rPr>
                <w:color w:val="auto"/>
                <w:szCs w:val="18"/>
              </w:rPr>
              <w:t>Item</w:t>
            </w:r>
          </w:p>
        </w:tc>
        <w:tc>
          <w:tcPr>
            <w:tcW w:w="1649" w:type="dxa"/>
            <w:tcBorders>
              <w:top w:val="nil"/>
              <w:bottom w:val="single" w:sz="4" w:space="0" w:color="B66113"/>
            </w:tcBorders>
            <w:shd w:val="clear" w:color="auto" w:fill="B66113"/>
          </w:tcPr>
          <w:p w14:paraId="249C07C2" w14:textId="77777777" w:rsidR="00967092" w:rsidRPr="00AE5A70" w:rsidRDefault="00967092" w:rsidP="00967092">
            <w:pPr>
              <w:pStyle w:val="Tableheading-white"/>
              <w:rPr>
                <w:color w:val="auto"/>
                <w:szCs w:val="18"/>
              </w:rPr>
            </w:pPr>
            <w:r w:rsidRPr="00AE5A70">
              <w:rPr>
                <w:color w:val="auto"/>
                <w:szCs w:val="18"/>
              </w:rPr>
              <w:t>What it does</w:t>
            </w:r>
          </w:p>
        </w:tc>
        <w:tc>
          <w:tcPr>
            <w:tcW w:w="3554" w:type="dxa"/>
            <w:tcBorders>
              <w:top w:val="nil"/>
              <w:bottom w:val="single" w:sz="4" w:space="0" w:color="B66113"/>
            </w:tcBorders>
            <w:shd w:val="clear" w:color="auto" w:fill="B66113"/>
          </w:tcPr>
          <w:p w14:paraId="10E25BAC" w14:textId="77777777" w:rsidR="00967092" w:rsidRPr="00AE5A70" w:rsidRDefault="00967092" w:rsidP="00967092">
            <w:pPr>
              <w:pStyle w:val="Tableheading-white"/>
              <w:rPr>
                <w:color w:val="auto"/>
                <w:szCs w:val="18"/>
              </w:rPr>
            </w:pPr>
            <w:r w:rsidRPr="00AE5A70">
              <w:rPr>
                <w:color w:val="auto"/>
                <w:szCs w:val="18"/>
              </w:rPr>
              <w:t>Committee recommendation</w:t>
            </w:r>
          </w:p>
        </w:tc>
        <w:tc>
          <w:tcPr>
            <w:tcW w:w="3665" w:type="dxa"/>
            <w:tcBorders>
              <w:top w:val="nil"/>
              <w:bottom w:val="single" w:sz="4" w:space="0" w:color="B66113"/>
            </w:tcBorders>
            <w:shd w:val="clear" w:color="auto" w:fill="B66113"/>
          </w:tcPr>
          <w:p w14:paraId="56E37FD1" w14:textId="77777777" w:rsidR="00967092" w:rsidRPr="00AE5A70" w:rsidRDefault="00967092" w:rsidP="00967092">
            <w:pPr>
              <w:pStyle w:val="Tableheading-white"/>
              <w:rPr>
                <w:color w:val="auto"/>
                <w:szCs w:val="18"/>
              </w:rPr>
            </w:pPr>
            <w:r w:rsidRPr="00AE5A70">
              <w:rPr>
                <w:color w:val="auto"/>
                <w:szCs w:val="18"/>
              </w:rPr>
              <w:t>What would be different</w:t>
            </w:r>
          </w:p>
        </w:tc>
        <w:tc>
          <w:tcPr>
            <w:tcW w:w="3699" w:type="dxa"/>
            <w:tcBorders>
              <w:top w:val="nil"/>
              <w:bottom w:val="single" w:sz="4" w:space="0" w:color="B66113"/>
            </w:tcBorders>
            <w:shd w:val="clear" w:color="auto" w:fill="B66113"/>
          </w:tcPr>
          <w:p w14:paraId="70AB66D0" w14:textId="77777777" w:rsidR="00967092" w:rsidRPr="00AE5A70" w:rsidRDefault="00967092" w:rsidP="00967092">
            <w:pPr>
              <w:pStyle w:val="Tableheading-white"/>
              <w:rPr>
                <w:color w:val="auto"/>
                <w:szCs w:val="18"/>
              </w:rPr>
            </w:pPr>
            <w:r w:rsidRPr="00AE5A70">
              <w:rPr>
                <w:color w:val="auto"/>
                <w:szCs w:val="18"/>
              </w:rPr>
              <w:t>Why</w:t>
            </w:r>
          </w:p>
        </w:tc>
      </w:tr>
      <w:tr w:rsidR="00BE2699" w:rsidRPr="00AE5A70" w14:paraId="32362538" w14:textId="77777777" w:rsidTr="009341EF">
        <w:trPr>
          <w:cantSplit/>
          <w:trHeight w:val="4694"/>
        </w:trPr>
        <w:tc>
          <w:tcPr>
            <w:tcW w:w="882" w:type="dxa"/>
            <w:tcBorders>
              <w:top w:val="single" w:sz="4" w:space="0" w:color="B66113"/>
            </w:tcBorders>
          </w:tcPr>
          <w:p w14:paraId="2402DFBF" w14:textId="77777777" w:rsidR="00BE2699" w:rsidRPr="00BE2699" w:rsidRDefault="00BE2699" w:rsidP="00BE2699">
            <w:pPr>
              <w:spacing w:before="0" w:after="0" w:line="240" w:lineRule="auto"/>
              <w:rPr>
                <w:rFonts w:ascii="Arial" w:eastAsia="Arial" w:hAnsi="Arial" w:cs="Arial"/>
                <w:b/>
                <w:bCs/>
                <w:sz w:val="18"/>
                <w:szCs w:val="18"/>
                <w:lang w:val="en-US" w:eastAsia="en-US"/>
              </w:rPr>
            </w:pPr>
            <w:r w:rsidRPr="00BE2699">
              <w:rPr>
                <w:b/>
                <w:bCs/>
                <w:sz w:val="18"/>
                <w:szCs w:val="18"/>
              </w:rPr>
              <w:t>n/a</w:t>
            </w:r>
          </w:p>
        </w:tc>
        <w:tc>
          <w:tcPr>
            <w:tcW w:w="1649" w:type="dxa"/>
            <w:tcBorders>
              <w:top w:val="single" w:sz="4" w:space="0" w:color="B66113"/>
            </w:tcBorders>
          </w:tcPr>
          <w:p w14:paraId="1D4E5677" w14:textId="77777777" w:rsidR="00BE2699" w:rsidRPr="00BE2699" w:rsidRDefault="00BE2699" w:rsidP="00BE2699">
            <w:pPr>
              <w:pStyle w:val="Tabletext"/>
              <w:spacing w:before="0" w:after="0"/>
              <w:rPr>
                <w:b/>
              </w:rPr>
            </w:pPr>
            <w:r w:rsidRPr="00BE2699">
              <w:rPr>
                <w:b/>
              </w:rPr>
              <w:t>n/a</w:t>
            </w:r>
          </w:p>
        </w:tc>
        <w:tc>
          <w:tcPr>
            <w:tcW w:w="3554" w:type="dxa"/>
            <w:tcBorders>
              <w:top w:val="single" w:sz="4" w:space="0" w:color="B66113"/>
            </w:tcBorders>
          </w:tcPr>
          <w:p w14:paraId="6157CFEC" w14:textId="77777777" w:rsidR="00BE2699" w:rsidRPr="009341EF" w:rsidRDefault="00BE2699" w:rsidP="009341EF">
            <w:pPr>
              <w:spacing w:before="0" w:after="0" w:line="240" w:lineRule="auto"/>
              <w:rPr>
                <w:rFonts w:cstheme="minorHAnsi"/>
                <w:sz w:val="18"/>
                <w:szCs w:val="18"/>
              </w:rPr>
            </w:pPr>
            <w:r w:rsidRPr="009341EF">
              <w:rPr>
                <w:rFonts w:cstheme="minorHAnsi"/>
                <w:sz w:val="18"/>
                <w:szCs w:val="18"/>
              </w:rPr>
              <w:t>The Working Grou</w:t>
            </w:r>
            <w:r w:rsidR="002162F2">
              <w:rPr>
                <w:rFonts w:cstheme="minorHAnsi"/>
                <w:sz w:val="18"/>
                <w:szCs w:val="18"/>
              </w:rPr>
              <w:t>p is of the view that there is an</w:t>
            </w:r>
            <w:r w:rsidRPr="009341EF">
              <w:rPr>
                <w:rFonts w:cstheme="minorHAnsi"/>
                <w:sz w:val="18"/>
                <w:szCs w:val="18"/>
              </w:rPr>
              <w:t xml:space="preserve"> evidence base that supports a comprehensive model of care for</w:t>
            </w:r>
            <w:r w:rsidRPr="009341EF">
              <w:rPr>
                <w:rFonts w:cstheme="minorHAnsi"/>
                <w:b/>
                <w:bCs/>
                <w:i/>
                <w:iCs/>
                <w:sz w:val="18"/>
                <w:szCs w:val="18"/>
              </w:rPr>
              <w:t> all patients with eating disorders.</w:t>
            </w:r>
          </w:p>
          <w:p w14:paraId="00D06F86" w14:textId="77777777" w:rsidR="00BE2699" w:rsidRPr="009341EF" w:rsidRDefault="00BE2699" w:rsidP="009341EF">
            <w:pPr>
              <w:spacing w:before="0" w:after="0" w:line="240" w:lineRule="auto"/>
              <w:rPr>
                <w:rFonts w:cstheme="minorHAnsi"/>
                <w:sz w:val="18"/>
                <w:szCs w:val="18"/>
              </w:rPr>
            </w:pPr>
            <w:r w:rsidRPr="009341EF">
              <w:rPr>
                <w:rFonts w:cstheme="minorHAnsi"/>
                <w:sz w:val="18"/>
                <w:szCs w:val="18"/>
              </w:rPr>
              <w:t xml:space="preserve">Under a comprehensive model, the evidence shows that all patients with a diagnosed eating disorder should get access to up to 20 psychological sessions in total per year and 10 dietetic sessions in total per year. Under this model, patients requiring more intensive treatment would be eligible to receive up to 40 psychological sessions in total and 20 dietetic sessions in total. </w:t>
            </w:r>
          </w:p>
          <w:p w14:paraId="5753128A" w14:textId="77777777" w:rsidR="00BE2699" w:rsidRPr="009341EF" w:rsidRDefault="00BE2699" w:rsidP="009341EF">
            <w:pPr>
              <w:spacing w:before="0" w:after="0" w:line="240" w:lineRule="auto"/>
              <w:rPr>
                <w:rFonts w:cstheme="minorHAnsi"/>
                <w:sz w:val="18"/>
                <w:szCs w:val="18"/>
              </w:rPr>
            </w:pPr>
            <w:r w:rsidRPr="009341EF">
              <w:rPr>
                <w:rFonts w:cstheme="minorHAnsi"/>
                <w:sz w:val="18"/>
                <w:szCs w:val="18"/>
              </w:rPr>
              <w:t>The Working Group views that the expansion of MBS arrangements for all patients with eating disorders is necessary and should be implemented as soon as practical after the implementation of the new items outlined in recommendation 1.2.</w:t>
            </w:r>
          </w:p>
        </w:tc>
        <w:tc>
          <w:tcPr>
            <w:tcW w:w="3665" w:type="dxa"/>
            <w:tcBorders>
              <w:top w:val="single" w:sz="4" w:space="0" w:color="B66113"/>
            </w:tcBorders>
          </w:tcPr>
          <w:p w14:paraId="28FB0E14" w14:textId="77777777" w:rsidR="00BE2699" w:rsidRPr="009341EF" w:rsidRDefault="00BE2699" w:rsidP="009341EF">
            <w:pPr>
              <w:spacing w:before="0" w:after="0" w:line="240" w:lineRule="auto"/>
              <w:rPr>
                <w:rFonts w:cstheme="minorHAnsi"/>
                <w:sz w:val="18"/>
                <w:szCs w:val="18"/>
              </w:rPr>
            </w:pPr>
            <w:r w:rsidRPr="009341EF">
              <w:rPr>
                <w:rFonts w:cstheme="minorHAnsi"/>
                <w:sz w:val="18"/>
                <w:szCs w:val="18"/>
              </w:rPr>
              <w:t>This recommendation acknowledges that there is an evidence base supporting the implementation of a comprehensive model of care for all patients with a diagnosed eating disorders.</w:t>
            </w:r>
          </w:p>
          <w:p w14:paraId="4257E151" w14:textId="77777777" w:rsidR="00BE2699" w:rsidRPr="00F67A8F" w:rsidRDefault="00BE2699" w:rsidP="009341EF">
            <w:pPr>
              <w:spacing w:before="0" w:after="0" w:line="240" w:lineRule="auto"/>
              <w:rPr>
                <w:rFonts w:cstheme="minorHAnsi"/>
                <w:sz w:val="18"/>
                <w:szCs w:val="18"/>
              </w:rPr>
            </w:pPr>
            <w:r w:rsidRPr="009341EF">
              <w:rPr>
                <w:rFonts w:cstheme="minorHAnsi"/>
                <w:sz w:val="18"/>
                <w:szCs w:val="18"/>
              </w:rPr>
              <w:t xml:space="preserve">This recommendation sets out a </w:t>
            </w:r>
            <w:r>
              <w:rPr>
                <w:rFonts w:cstheme="minorHAnsi"/>
                <w:sz w:val="18"/>
                <w:szCs w:val="18"/>
              </w:rPr>
              <w:t>phased approach to</w:t>
            </w:r>
            <w:r w:rsidRPr="009341EF">
              <w:rPr>
                <w:rFonts w:cstheme="minorHAnsi"/>
                <w:sz w:val="18"/>
                <w:szCs w:val="18"/>
              </w:rPr>
              <w:t xml:space="preserve"> expand the MBS arrangements to other patient groups over time. </w:t>
            </w:r>
          </w:p>
          <w:p w14:paraId="406BC847" w14:textId="77777777" w:rsidR="00BE2699" w:rsidRPr="00BE2699" w:rsidRDefault="00BE2699" w:rsidP="00BE2699">
            <w:pPr>
              <w:spacing w:before="0" w:after="0"/>
              <w:rPr>
                <w:sz w:val="18"/>
                <w:szCs w:val="18"/>
              </w:rPr>
            </w:pPr>
          </w:p>
          <w:p w14:paraId="01EF1C32" w14:textId="77777777" w:rsidR="00BE2699" w:rsidRPr="00BE2699" w:rsidRDefault="00BE2699" w:rsidP="00BE2699">
            <w:pPr>
              <w:spacing w:before="0" w:after="0"/>
              <w:rPr>
                <w:sz w:val="18"/>
                <w:szCs w:val="18"/>
              </w:rPr>
            </w:pPr>
          </w:p>
        </w:tc>
        <w:tc>
          <w:tcPr>
            <w:tcW w:w="3699" w:type="dxa"/>
            <w:tcBorders>
              <w:top w:val="single" w:sz="4" w:space="0" w:color="B66113"/>
            </w:tcBorders>
          </w:tcPr>
          <w:p w14:paraId="4D1959D1" w14:textId="77777777" w:rsidR="00BE2699" w:rsidRPr="00F67A8F" w:rsidRDefault="00BE2699" w:rsidP="009341EF">
            <w:pPr>
              <w:spacing w:before="0" w:after="0" w:line="240" w:lineRule="auto"/>
              <w:rPr>
                <w:rFonts w:cstheme="minorHAnsi"/>
                <w:sz w:val="18"/>
                <w:szCs w:val="18"/>
              </w:rPr>
            </w:pPr>
            <w:r w:rsidRPr="00F67A8F">
              <w:rPr>
                <w:rFonts w:cstheme="minorHAnsi"/>
                <w:sz w:val="18"/>
                <w:szCs w:val="18"/>
              </w:rPr>
              <w:t>To align eating disorder treatment options in Australia with evidenced based clinical best practice.</w:t>
            </w:r>
          </w:p>
          <w:p w14:paraId="609794D9" w14:textId="77777777" w:rsidR="00BE2699" w:rsidRPr="009341EF" w:rsidRDefault="00BE2699" w:rsidP="009341EF">
            <w:pPr>
              <w:rPr>
                <w:sz w:val="18"/>
                <w:szCs w:val="18"/>
              </w:rPr>
            </w:pPr>
            <w:r w:rsidRPr="009341EF">
              <w:rPr>
                <w:sz w:val="18"/>
                <w:szCs w:val="18"/>
              </w:rPr>
              <w:t xml:space="preserve"> </w:t>
            </w:r>
          </w:p>
        </w:tc>
      </w:tr>
    </w:tbl>
    <w:p w14:paraId="623EADC2" w14:textId="77777777" w:rsidR="00157E22" w:rsidRDefault="00157E22"/>
    <w:p w14:paraId="199CD235" w14:textId="77777777" w:rsidR="00BE2699" w:rsidRDefault="00BE2699"/>
    <w:p w14:paraId="3038EFDB" w14:textId="77777777" w:rsidR="00BE2699" w:rsidRPr="00AE5A70" w:rsidRDefault="00BE2699"/>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296"/>
        <w:gridCol w:w="1427"/>
        <w:gridCol w:w="4130"/>
        <w:gridCol w:w="3062"/>
        <w:gridCol w:w="3545"/>
      </w:tblGrid>
      <w:tr w:rsidR="00AE5A70" w:rsidRPr="00AE5A70" w14:paraId="756D410E" w14:textId="77777777" w:rsidTr="009341EF">
        <w:trPr>
          <w:cantSplit/>
          <w:tblHeader/>
        </w:trPr>
        <w:tc>
          <w:tcPr>
            <w:tcW w:w="13460" w:type="dxa"/>
            <w:gridSpan w:val="5"/>
            <w:tcBorders>
              <w:top w:val="nil"/>
              <w:bottom w:val="nil"/>
            </w:tcBorders>
            <w:shd w:val="clear" w:color="auto" w:fill="auto"/>
          </w:tcPr>
          <w:p w14:paraId="13566BAB" w14:textId="77777777" w:rsidR="00F50F4E" w:rsidRPr="00AE5A70" w:rsidRDefault="00F50F4E" w:rsidP="00F50F4E">
            <w:pPr>
              <w:spacing w:after="0" w:line="240" w:lineRule="auto"/>
              <w:rPr>
                <w:szCs w:val="18"/>
              </w:rPr>
            </w:pPr>
            <w:r w:rsidRPr="00AE5A70">
              <w:rPr>
                <w:b/>
                <w:sz w:val="18"/>
                <w:szCs w:val="18"/>
              </w:rPr>
              <w:t>Recommendation 1.2</w:t>
            </w:r>
          </w:p>
        </w:tc>
      </w:tr>
      <w:tr w:rsidR="00B23757" w:rsidRPr="00AE5A70" w14:paraId="66A84E91" w14:textId="77777777" w:rsidTr="009341EF">
        <w:trPr>
          <w:cantSplit/>
          <w:tblHeader/>
        </w:trPr>
        <w:tc>
          <w:tcPr>
            <w:tcW w:w="1296" w:type="dxa"/>
            <w:tcBorders>
              <w:top w:val="nil"/>
              <w:bottom w:val="single" w:sz="4" w:space="0" w:color="B66113"/>
            </w:tcBorders>
            <w:shd w:val="clear" w:color="auto" w:fill="B66113"/>
          </w:tcPr>
          <w:p w14:paraId="7B65B04A" w14:textId="77777777" w:rsidR="00F50F4E" w:rsidRPr="00AE5A70" w:rsidRDefault="00F50F4E" w:rsidP="00E50512">
            <w:pPr>
              <w:pStyle w:val="Tableheading-white"/>
              <w:rPr>
                <w:color w:val="auto"/>
                <w:szCs w:val="18"/>
              </w:rPr>
            </w:pPr>
            <w:r w:rsidRPr="00AE5A70">
              <w:rPr>
                <w:color w:val="auto"/>
                <w:szCs w:val="18"/>
              </w:rPr>
              <w:t>Item</w:t>
            </w:r>
          </w:p>
        </w:tc>
        <w:tc>
          <w:tcPr>
            <w:tcW w:w="1427" w:type="dxa"/>
            <w:tcBorders>
              <w:top w:val="nil"/>
              <w:bottom w:val="single" w:sz="4" w:space="0" w:color="B66113"/>
            </w:tcBorders>
            <w:shd w:val="clear" w:color="auto" w:fill="B66113"/>
          </w:tcPr>
          <w:p w14:paraId="072910FB" w14:textId="77777777" w:rsidR="00F50F4E" w:rsidRPr="00AE5A70" w:rsidRDefault="00F50F4E" w:rsidP="00E50512">
            <w:pPr>
              <w:pStyle w:val="Tableheading-white"/>
              <w:rPr>
                <w:color w:val="auto"/>
                <w:szCs w:val="18"/>
              </w:rPr>
            </w:pPr>
            <w:r w:rsidRPr="00AE5A70">
              <w:rPr>
                <w:color w:val="auto"/>
                <w:szCs w:val="18"/>
              </w:rPr>
              <w:t>What it does</w:t>
            </w:r>
          </w:p>
        </w:tc>
        <w:tc>
          <w:tcPr>
            <w:tcW w:w="4130" w:type="dxa"/>
            <w:tcBorders>
              <w:top w:val="nil"/>
              <w:bottom w:val="single" w:sz="4" w:space="0" w:color="B66113"/>
            </w:tcBorders>
            <w:shd w:val="clear" w:color="auto" w:fill="B66113"/>
          </w:tcPr>
          <w:p w14:paraId="4D7D17AB" w14:textId="77777777" w:rsidR="00F50F4E" w:rsidRPr="00AE5A70" w:rsidRDefault="00F50F4E" w:rsidP="00E50512">
            <w:pPr>
              <w:pStyle w:val="Tableheading-white"/>
              <w:rPr>
                <w:color w:val="auto"/>
                <w:szCs w:val="18"/>
              </w:rPr>
            </w:pPr>
            <w:r w:rsidRPr="00AE5A70">
              <w:rPr>
                <w:color w:val="auto"/>
                <w:szCs w:val="18"/>
              </w:rPr>
              <w:t>Committee recommendation</w:t>
            </w:r>
          </w:p>
        </w:tc>
        <w:tc>
          <w:tcPr>
            <w:tcW w:w="3062" w:type="dxa"/>
            <w:tcBorders>
              <w:top w:val="nil"/>
              <w:bottom w:val="single" w:sz="4" w:space="0" w:color="B66113"/>
            </w:tcBorders>
            <w:shd w:val="clear" w:color="auto" w:fill="B66113"/>
          </w:tcPr>
          <w:p w14:paraId="5301D496" w14:textId="77777777" w:rsidR="00F50F4E" w:rsidRPr="00AE5A70" w:rsidRDefault="00F50F4E" w:rsidP="00E50512">
            <w:pPr>
              <w:pStyle w:val="Tableheading-white"/>
              <w:rPr>
                <w:color w:val="auto"/>
                <w:szCs w:val="18"/>
              </w:rPr>
            </w:pPr>
            <w:r w:rsidRPr="00AE5A70">
              <w:rPr>
                <w:color w:val="auto"/>
                <w:szCs w:val="18"/>
              </w:rPr>
              <w:t>What would be different</w:t>
            </w:r>
          </w:p>
        </w:tc>
        <w:tc>
          <w:tcPr>
            <w:tcW w:w="3545" w:type="dxa"/>
            <w:tcBorders>
              <w:top w:val="nil"/>
              <w:bottom w:val="single" w:sz="4" w:space="0" w:color="B66113"/>
            </w:tcBorders>
            <w:shd w:val="clear" w:color="auto" w:fill="B66113"/>
          </w:tcPr>
          <w:p w14:paraId="084553B0" w14:textId="77777777" w:rsidR="00F50F4E" w:rsidRPr="00AE5A70" w:rsidRDefault="00F50F4E" w:rsidP="00E50512">
            <w:pPr>
              <w:pStyle w:val="Tableheading-white"/>
              <w:rPr>
                <w:color w:val="auto"/>
                <w:szCs w:val="18"/>
              </w:rPr>
            </w:pPr>
            <w:r w:rsidRPr="00AE5A70">
              <w:rPr>
                <w:color w:val="auto"/>
                <w:szCs w:val="18"/>
              </w:rPr>
              <w:t>Why</w:t>
            </w:r>
          </w:p>
        </w:tc>
      </w:tr>
      <w:tr w:rsidR="00B23757" w:rsidRPr="00AE5A70" w14:paraId="41359626" w14:textId="77777777" w:rsidTr="009341EF">
        <w:tc>
          <w:tcPr>
            <w:tcW w:w="1296" w:type="dxa"/>
            <w:tcBorders>
              <w:top w:val="single" w:sz="4" w:space="0" w:color="B66113"/>
            </w:tcBorders>
          </w:tcPr>
          <w:p w14:paraId="61DB0364" w14:textId="77777777" w:rsidR="00F50F4E" w:rsidRPr="00AE5A70" w:rsidRDefault="00F50F4E" w:rsidP="00E50512">
            <w:pPr>
              <w:spacing w:before="40" w:after="40" w:line="240" w:lineRule="auto"/>
              <w:rPr>
                <w:rFonts w:ascii="Arial" w:eastAsia="Arial" w:hAnsi="Arial" w:cs="Arial"/>
                <w:b/>
                <w:bCs/>
                <w:sz w:val="18"/>
                <w:szCs w:val="18"/>
                <w:lang w:val="en-US" w:eastAsia="en-US"/>
              </w:rPr>
            </w:pPr>
            <w:r w:rsidRPr="00AE5A70">
              <w:rPr>
                <w:b/>
                <w:bCs/>
                <w:sz w:val="18"/>
                <w:szCs w:val="18"/>
              </w:rPr>
              <w:t>n/a</w:t>
            </w:r>
          </w:p>
        </w:tc>
        <w:tc>
          <w:tcPr>
            <w:tcW w:w="1427" w:type="dxa"/>
            <w:tcBorders>
              <w:top w:val="single" w:sz="4" w:space="0" w:color="B66113"/>
            </w:tcBorders>
          </w:tcPr>
          <w:p w14:paraId="2A1DF0B1" w14:textId="77777777" w:rsidR="00F50F4E" w:rsidRPr="009341EF" w:rsidRDefault="00F50F4E" w:rsidP="00F50F4E">
            <w:pPr>
              <w:spacing w:before="40" w:after="40" w:line="240" w:lineRule="auto"/>
              <w:rPr>
                <w:b/>
                <w:sz w:val="18"/>
                <w:szCs w:val="18"/>
              </w:rPr>
            </w:pPr>
            <w:r w:rsidRPr="00BE2699">
              <w:rPr>
                <w:b/>
                <w:bCs/>
                <w:sz w:val="18"/>
                <w:szCs w:val="18"/>
              </w:rPr>
              <w:t>n/a</w:t>
            </w:r>
          </w:p>
        </w:tc>
        <w:tc>
          <w:tcPr>
            <w:tcW w:w="4130" w:type="dxa"/>
            <w:tcBorders>
              <w:top w:val="single" w:sz="4" w:space="0" w:color="B66113"/>
            </w:tcBorders>
          </w:tcPr>
          <w:p w14:paraId="59A77637" w14:textId="77777777" w:rsidR="009B25B2" w:rsidRPr="009341EF" w:rsidRDefault="009B25B2">
            <w:pPr>
              <w:spacing w:before="0" w:after="0" w:line="240" w:lineRule="auto"/>
              <w:rPr>
                <w:sz w:val="18"/>
                <w:szCs w:val="18"/>
              </w:rPr>
            </w:pPr>
            <w:r w:rsidRPr="009341EF">
              <w:rPr>
                <w:sz w:val="18"/>
                <w:szCs w:val="18"/>
              </w:rPr>
              <w:t>The Working Group recommends the introduction of a new suite of items to provide a comprehensive stepped model of care for:</w:t>
            </w:r>
          </w:p>
          <w:p w14:paraId="086EF380" w14:textId="77777777" w:rsidR="009B25B2" w:rsidRPr="009341EF" w:rsidRDefault="009B25B2">
            <w:pPr>
              <w:pStyle w:val="ListParagraph"/>
              <w:numPr>
                <w:ilvl w:val="0"/>
                <w:numId w:val="91"/>
              </w:numPr>
              <w:spacing w:line="240" w:lineRule="auto"/>
              <w:rPr>
                <w:sz w:val="18"/>
                <w:szCs w:val="18"/>
              </w:rPr>
            </w:pPr>
            <w:r w:rsidRPr="009341EF">
              <w:rPr>
                <w:sz w:val="18"/>
                <w:szCs w:val="18"/>
              </w:rPr>
              <w:t>all patients with anorexia nervosa; and</w:t>
            </w:r>
          </w:p>
          <w:p w14:paraId="23802EF9" w14:textId="77777777" w:rsidR="009B25B2" w:rsidRPr="009341EF" w:rsidRDefault="009B25B2">
            <w:pPr>
              <w:pStyle w:val="ListParagraph"/>
              <w:numPr>
                <w:ilvl w:val="0"/>
                <w:numId w:val="91"/>
              </w:numPr>
              <w:spacing w:line="240" w:lineRule="auto"/>
              <w:rPr>
                <w:sz w:val="18"/>
                <w:szCs w:val="18"/>
              </w:rPr>
            </w:pPr>
            <w:r w:rsidRPr="009341EF">
              <w:rPr>
                <w:sz w:val="18"/>
                <w:szCs w:val="18"/>
              </w:rPr>
              <w:t xml:space="preserve">patients with bulimia nervosa, binge-eating disorder and other specified feeding or eating disorders who have complex needs and have not responded to treatment at a lower level of intensity and are assessed as ‘high-risk’ of serious medical and psychological complications. </w:t>
            </w:r>
          </w:p>
          <w:p w14:paraId="0796C626" w14:textId="77777777" w:rsidR="009B25B2" w:rsidRPr="009341EF" w:rsidRDefault="009B25B2">
            <w:pPr>
              <w:spacing w:line="240" w:lineRule="auto"/>
              <w:rPr>
                <w:sz w:val="18"/>
                <w:szCs w:val="18"/>
              </w:rPr>
            </w:pPr>
            <w:r w:rsidRPr="009341EF">
              <w:rPr>
                <w:sz w:val="18"/>
                <w:szCs w:val="18"/>
              </w:rPr>
              <w:t>The new items would provide for:</w:t>
            </w:r>
          </w:p>
          <w:p w14:paraId="3E3C626B" w14:textId="77777777" w:rsidR="009B25B2" w:rsidRPr="009341EF" w:rsidRDefault="009B25B2">
            <w:pPr>
              <w:pStyle w:val="ListParagraph"/>
              <w:numPr>
                <w:ilvl w:val="0"/>
                <w:numId w:val="91"/>
              </w:numPr>
              <w:spacing w:line="240" w:lineRule="auto"/>
              <w:rPr>
                <w:sz w:val="18"/>
                <w:szCs w:val="18"/>
              </w:rPr>
            </w:pPr>
            <w:r w:rsidRPr="009341EF">
              <w:rPr>
                <w:sz w:val="18"/>
                <w:szCs w:val="18"/>
              </w:rPr>
              <w:t xml:space="preserve">the development and review of a treatment and management plan by a medical practitioner (such as a GP).  </w:t>
            </w:r>
          </w:p>
          <w:p w14:paraId="2D9868B5" w14:textId="77777777" w:rsidR="009B25B2" w:rsidRPr="009341EF" w:rsidRDefault="009B25B2">
            <w:pPr>
              <w:pStyle w:val="ListParagraph"/>
              <w:numPr>
                <w:ilvl w:val="0"/>
                <w:numId w:val="91"/>
              </w:numPr>
              <w:spacing w:line="240" w:lineRule="auto"/>
              <w:rPr>
                <w:sz w:val="18"/>
                <w:szCs w:val="18"/>
              </w:rPr>
            </w:pPr>
            <w:r w:rsidRPr="009341EF">
              <w:rPr>
                <w:sz w:val="18"/>
                <w:szCs w:val="18"/>
              </w:rPr>
              <w:t xml:space="preserve">This item would trigger eligibility for a comprehensive model of care, consisting of an initial and more intensive course of psychological and dietetic treatment depending of the patients needs. </w:t>
            </w:r>
          </w:p>
          <w:p w14:paraId="4AF5A652" w14:textId="77777777" w:rsidR="009B25B2" w:rsidRPr="009341EF" w:rsidRDefault="009B25B2">
            <w:pPr>
              <w:spacing w:line="240" w:lineRule="auto"/>
              <w:rPr>
                <w:sz w:val="18"/>
                <w:szCs w:val="18"/>
                <w:u w:val="single"/>
              </w:rPr>
            </w:pPr>
            <w:r w:rsidRPr="009341EF">
              <w:rPr>
                <w:sz w:val="18"/>
                <w:szCs w:val="18"/>
                <w:u w:val="single"/>
              </w:rPr>
              <w:t xml:space="preserve">Initial course of treatment </w:t>
            </w:r>
          </w:p>
          <w:p w14:paraId="4CFA64F7" w14:textId="77777777" w:rsidR="009B25B2" w:rsidRPr="009341EF" w:rsidRDefault="009B25B2">
            <w:pPr>
              <w:spacing w:line="240" w:lineRule="auto"/>
              <w:rPr>
                <w:sz w:val="18"/>
                <w:szCs w:val="18"/>
              </w:rPr>
            </w:pPr>
            <w:r w:rsidRPr="009341EF">
              <w:rPr>
                <w:sz w:val="18"/>
                <w:szCs w:val="18"/>
              </w:rPr>
              <w:t xml:space="preserve">Triggered by the development of a treatment and management plan by a medical practitioner (GP): </w:t>
            </w:r>
          </w:p>
          <w:p w14:paraId="3D003504" w14:textId="77777777" w:rsidR="009B25B2" w:rsidRPr="009341EF" w:rsidRDefault="009B25B2">
            <w:pPr>
              <w:pStyle w:val="ListParagraph"/>
              <w:numPr>
                <w:ilvl w:val="0"/>
                <w:numId w:val="92"/>
              </w:numPr>
              <w:spacing w:line="240" w:lineRule="auto"/>
              <w:ind w:left="1032" w:hanging="283"/>
              <w:rPr>
                <w:sz w:val="18"/>
                <w:szCs w:val="18"/>
              </w:rPr>
            </w:pPr>
            <w:r w:rsidRPr="009341EF">
              <w:rPr>
                <w:sz w:val="18"/>
                <w:szCs w:val="18"/>
              </w:rPr>
              <w:t xml:space="preserve">an initial course of up to 20 psychological sessions; and </w:t>
            </w:r>
          </w:p>
          <w:p w14:paraId="4BFEB9C3" w14:textId="77777777" w:rsidR="009B25B2" w:rsidRPr="009341EF" w:rsidRDefault="009B25B2">
            <w:pPr>
              <w:pStyle w:val="ListParagraph"/>
              <w:numPr>
                <w:ilvl w:val="0"/>
                <w:numId w:val="92"/>
              </w:numPr>
              <w:spacing w:line="240" w:lineRule="auto"/>
              <w:ind w:left="1032" w:hanging="283"/>
              <w:rPr>
                <w:sz w:val="18"/>
                <w:szCs w:val="18"/>
              </w:rPr>
            </w:pPr>
            <w:r w:rsidRPr="009341EF">
              <w:rPr>
                <w:sz w:val="18"/>
                <w:szCs w:val="18"/>
              </w:rPr>
              <w:t>an initial course of up to 10 dietetic sessions.</w:t>
            </w:r>
          </w:p>
          <w:p w14:paraId="0629497B" w14:textId="77777777" w:rsidR="009B25B2" w:rsidRPr="009341EF" w:rsidRDefault="009B25B2">
            <w:pPr>
              <w:spacing w:line="240" w:lineRule="auto"/>
              <w:rPr>
                <w:sz w:val="18"/>
                <w:szCs w:val="18"/>
              </w:rPr>
            </w:pPr>
            <w:r w:rsidRPr="009341EF">
              <w:rPr>
                <w:sz w:val="18"/>
                <w:szCs w:val="18"/>
              </w:rPr>
              <w:t>The GP will assess the patients out through the treatment process, but should assess whether the patient should progress beyond 10 psychological sessions and 5 dietetic sessions by conducting a review consultation (with a New Item Number) before or around 9 or 10 sessions completed mark, to approve and trigger another course of 10 psychological sessions and 5 dietetic services (up to 20 psychological sessions and up to 10 dietetic sessions).</w:t>
            </w:r>
          </w:p>
          <w:p w14:paraId="78F4ACC7" w14:textId="77777777" w:rsidR="009B25B2" w:rsidRPr="009341EF" w:rsidRDefault="009B25B2">
            <w:pPr>
              <w:spacing w:line="240" w:lineRule="auto"/>
              <w:rPr>
                <w:sz w:val="18"/>
                <w:szCs w:val="18"/>
                <w:u w:val="single"/>
              </w:rPr>
            </w:pPr>
            <w:r w:rsidRPr="009341EF">
              <w:rPr>
                <w:sz w:val="18"/>
                <w:szCs w:val="18"/>
                <w:u w:val="single"/>
              </w:rPr>
              <w:t xml:space="preserve">More intensive treatment </w:t>
            </w:r>
          </w:p>
          <w:p w14:paraId="5D9537DE" w14:textId="77777777" w:rsidR="009B25B2" w:rsidRPr="009341EF" w:rsidRDefault="009B25B2">
            <w:pPr>
              <w:keepNext/>
              <w:keepLines/>
              <w:spacing w:line="240" w:lineRule="auto"/>
              <w:rPr>
                <w:sz w:val="18"/>
                <w:szCs w:val="18"/>
              </w:rPr>
            </w:pPr>
            <w:r w:rsidRPr="009341EF">
              <w:rPr>
                <w:sz w:val="18"/>
                <w:szCs w:val="18"/>
              </w:rPr>
              <w:t>If the patient has not responded to treatment at a lower intensity, upon formal review and assessment of the patient by a psychiatrist or paediatrician, the patient would be eligible for:</w:t>
            </w:r>
          </w:p>
          <w:p w14:paraId="408D16F1" w14:textId="77777777" w:rsidR="009B25B2" w:rsidRPr="009341EF" w:rsidRDefault="009B25B2">
            <w:pPr>
              <w:pStyle w:val="ListParagraph"/>
              <w:numPr>
                <w:ilvl w:val="0"/>
                <w:numId w:val="92"/>
              </w:numPr>
              <w:spacing w:line="240" w:lineRule="auto"/>
              <w:ind w:left="1032" w:hanging="283"/>
              <w:rPr>
                <w:sz w:val="18"/>
                <w:szCs w:val="18"/>
              </w:rPr>
            </w:pPr>
            <w:r w:rsidRPr="009341EF">
              <w:rPr>
                <w:sz w:val="18"/>
                <w:szCs w:val="18"/>
              </w:rPr>
              <w:t xml:space="preserve">an additional course of up to 20 psychological sessions (40 sessions in total per year) ; and </w:t>
            </w:r>
          </w:p>
          <w:p w14:paraId="7FB5E67A" w14:textId="77777777" w:rsidR="00F50F4E" w:rsidRPr="00067123" w:rsidRDefault="009B25B2" w:rsidP="009341EF">
            <w:pPr>
              <w:pStyle w:val="ListParagraph"/>
              <w:numPr>
                <w:ilvl w:val="0"/>
                <w:numId w:val="92"/>
              </w:numPr>
              <w:spacing w:line="240" w:lineRule="auto"/>
              <w:ind w:left="1032" w:hanging="283"/>
              <w:rPr>
                <w:sz w:val="18"/>
                <w:szCs w:val="18"/>
              </w:rPr>
            </w:pPr>
            <w:r w:rsidRPr="009341EF">
              <w:rPr>
                <w:sz w:val="18"/>
                <w:szCs w:val="18"/>
              </w:rPr>
              <w:t>an additional course of up to 10 dietetic sessions (20 sessions in total per year)</w:t>
            </w:r>
            <w:r w:rsidR="00067123">
              <w:rPr>
                <w:sz w:val="18"/>
                <w:szCs w:val="18"/>
              </w:rPr>
              <w:t>.</w:t>
            </w:r>
          </w:p>
        </w:tc>
        <w:tc>
          <w:tcPr>
            <w:tcW w:w="3062" w:type="dxa"/>
            <w:tcBorders>
              <w:top w:val="single" w:sz="4" w:space="0" w:color="B66113"/>
            </w:tcBorders>
          </w:tcPr>
          <w:p w14:paraId="0057C8BD" w14:textId="77777777" w:rsidR="00F50F4E" w:rsidRDefault="009B25B2" w:rsidP="009341EF">
            <w:pPr>
              <w:spacing w:before="0" w:after="0" w:line="240" w:lineRule="auto"/>
              <w:rPr>
                <w:sz w:val="18"/>
                <w:szCs w:val="18"/>
              </w:rPr>
            </w:pPr>
            <w:r>
              <w:rPr>
                <w:sz w:val="18"/>
                <w:szCs w:val="18"/>
              </w:rPr>
              <w:t>Patients would get access to up to 40 psychological (30 more than currently available) and up to 20 dietetic (15 more than currently available) per year.</w:t>
            </w:r>
          </w:p>
          <w:p w14:paraId="42BCBC39" w14:textId="77777777" w:rsidR="009B25B2" w:rsidRDefault="009B25B2" w:rsidP="009341EF">
            <w:pPr>
              <w:spacing w:before="0" w:after="0" w:line="240" w:lineRule="auto"/>
              <w:rPr>
                <w:sz w:val="18"/>
                <w:szCs w:val="18"/>
              </w:rPr>
            </w:pPr>
          </w:p>
          <w:p w14:paraId="5D8DAE13" w14:textId="77777777" w:rsidR="009B25B2" w:rsidRDefault="009B25B2" w:rsidP="009341EF">
            <w:pPr>
              <w:spacing w:before="0" w:after="0" w:line="240" w:lineRule="auto"/>
              <w:rPr>
                <w:sz w:val="18"/>
                <w:szCs w:val="18"/>
              </w:rPr>
            </w:pPr>
            <w:r>
              <w:rPr>
                <w:sz w:val="18"/>
                <w:szCs w:val="18"/>
              </w:rPr>
              <w:t>The patient will be required to have regular assessments with their GP for continued access to psychological and dietetic services (up to 20 psychological and 10 dietetic services)</w:t>
            </w:r>
            <w:r w:rsidR="00EA1D4B">
              <w:rPr>
                <w:sz w:val="18"/>
                <w:szCs w:val="18"/>
              </w:rPr>
              <w:t>.</w:t>
            </w:r>
          </w:p>
          <w:p w14:paraId="1F5BEF30" w14:textId="77777777" w:rsidR="00EA1D4B" w:rsidRDefault="00EA1D4B" w:rsidP="009341EF">
            <w:pPr>
              <w:spacing w:before="0" w:after="0" w:line="240" w:lineRule="auto"/>
              <w:rPr>
                <w:sz w:val="18"/>
                <w:szCs w:val="18"/>
              </w:rPr>
            </w:pPr>
          </w:p>
          <w:p w14:paraId="24F3C793" w14:textId="77777777" w:rsidR="00EA1D4B" w:rsidRDefault="00EA1D4B" w:rsidP="009341EF">
            <w:pPr>
              <w:spacing w:before="0" w:after="0" w:line="240" w:lineRule="auto"/>
              <w:rPr>
                <w:sz w:val="18"/>
                <w:szCs w:val="18"/>
              </w:rPr>
            </w:pPr>
            <w:r>
              <w:rPr>
                <w:sz w:val="18"/>
                <w:szCs w:val="18"/>
              </w:rPr>
              <w:t xml:space="preserve">Before the patient can access more than 20 psychological and 10 dietetic services, the patient must be reviewed by a psychiatrist or paediatrician. </w:t>
            </w:r>
          </w:p>
          <w:p w14:paraId="373C22A7" w14:textId="77777777" w:rsidR="009B25B2" w:rsidRDefault="009B25B2" w:rsidP="009341EF">
            <w:pPr>
              <w:spacing w:before="0" w:after="0" w:line="240" w:lineRule="auto"/>
              <w:rPr>
                <w:sz w:val="18"/>
                <w:szCs w:val="18"/>
              </w:rPr>
            </w:pPr>
          </w:p>
          <w:p w14:paraId="190A28C0" w14:textId="77777777" w:rsidR="009B25B2" w:rsidRPr="00AE5A70" w:rsidRDefault="009B25B2" w:rsidP="009341EF">
            <w:pPr>
              <w:spacing w:before="0" w:after="0" w:line="240" w:lineRule="auto"/>
              <w:rPr>
                <w:sz w:val="18"/>
                <w:szCs w:val="18"/>
              </w:rPr>
            </w:pPr>
          </w:p>
        </w:tc>
        <w:tc>
          <w:tcPr>
            <w:tcW w:w="3545" w:type="dxa"/>
            <w:tcBorders>
              <w:top w:val="single" w:sz="4" w:space="0" w:color="B66113"/>
            </w:tcBorders>
          </w:tcPr>
          <w:p w14:paraId="35CA1D8D" w14:textId="77777777" w:rsidR="009B25B2" w:rsidRDefault="009B25B2" w:rsidP="009B25B2">
            <w:pPr>
              <w:spacing w:before="0" w:after="0" w:line="240" w:lineRule="auto"/>
              <w:rPr>
                <w:rFonts w:cstheme="minorHAnsi"/>
                <w:sz w:val="18"/>
                <w:szCs w:val="18"/>
              </w:rPr>
            </w:pPr>
            <w:r w:rsidRPr="0058291B">
              <w:rPr>
                <w:rFonts w:cstheme="minorHAnsi"/>
                <w:sz w:val="18"/>
                <w:szCs w:val="18"/>
              </w:rPr>
              <w:t xml:space="preserve">To align eating disorder treatment options </w:t>
            </w:r>
            <w:r>
              <w:rPr>
                <w:rFonts w:cstheme="minorHAnsi"/>
                <w:sz w:val="18"/>
                <w:szCs w:val="18"/>
              </w:rPr>
              <w:t xml:space="preserve">for patients with anorexia nervosa and other patients with other eating disorders who have not responded to treatment at a lower intensity with </w:t>
            </w:r>
            <w:r w:rsidRPr="0058291B">
              <w:rPr>
                <w:rFonts w:cstheme="minorHAnsi"/>
                <w:sz w:val="18"/>
                <w:szCs w:val="18"/>
              </w:rPr>
              <w:t>evidenced based clinical best practice.</w:t>
            </w:r>
          </w:p>
          <w:p w14:paraId="25DC6EDC" w14:textId="77777777" w:rsidR="009B25B2" w:rsidRDefault="009B25B2" w:rsidP="009B25B2">
            <w:pPr>
              <w:spacing w:before="0" w:after="0" w:line="240" w:lineRule="auto"/>
              <w:rPr>
                <w:rFonts w:cstheme="minorHAnsi"/>
                <w:sz w:val="18"/>
                <w:szCs w:val="18"/>
              </w:rPr>
            </w:pPr>
          </w:p>
          <w:p w14:paraId="1495B016" w14:textId="77777777" w:rsidR="009B25B2" w:rsidRDefault="009B25B2" w:rsidP="009B25B2">
            <w:pPr>
              <w:spacing w:before="0" w:after="0" w:line="240" w:lineRule="auto"/>
              <w:rPr>
                <w:rFonts w:cstheme="minorHAnsi"/>
                <w:sz w:val="18"/>
                <w:szCs w:val="18"/>
              </w:rPr>
            </w:pPr>
            <w:r>
              <w:rPr>
                <w:rFonts w:cstheme="minorHAnsi"/>
                <w:sz w:val="18"/>
                <w:szCs w:val="18"/>
              </w:rPr>
              <w:t>Providing Medicare rebates for additional psychological and dietetic services will support patients to receive the treatment that they need to get better. Cost of health services has been identified as a barrier to patients accessing and continuing with their treatment course.</w:t>
            </w:r>
          </w:p>
          <w:p w14:paraId="4D90FE61" w14:textId="77777777" w:rsidR="00EA1D4B" w:rsidRDefault="00EA1D4B" w:rsidP="009B25B2">
            <w:pPr>
              <w:spacing w:before="0" w:after="0" w:line="240" w:lineRule="auto"/>
              <w:rPr>
                <w:rFonts w:cstheme="minorHAnsi"/>
                <w:sz w:val="18"/>
                <w:szCs w:val="18"/>
              </w:rPr>
            </w:pPr>
          </w:p>
          <w:p w14:paraId="4E7BA687" w14:textId="77777777" w:rsidR="00EA1D4B" w:rsidRDefault="00EA1D4B" w:rsidP="009B25B2">
            <w:pPr>
              <w:spacing w:before="0" w:after="0" w:line="240" w:lineRule="auto"/>
              <w:rPr>
                <w:rFonts w:cstheme="minorHAnsi"/>
                <w:sz w:val="18"/>
                <w:szCs w:val="18"/>
              </w:rPr>
            </w:pPr>
            <w:r>
              <w:rPr>
                <w:rFonts w:cstheme="minorHAnsi"/>
                <w:sz w:val="18"/>
                <w:szCs w:val="18"/>
              </w:rPr>
              <w:t>Requiring the patient to have regular assessments with their GP will ensure that the patient’s medical and physical aspects of their health are being managed.</w:t>
            </w:r>
          </w:p>
          <w:p w14:paraId="78B07A55" w14:textId="77777777" w:rsidR="00EA1D4B" w:rsidRDefault="00EA1D4B" w:rsidP="009B25B2">
            <w:pPr>
              <w:spacing w:before="0" w:after="0" w:line="240" w:lineRule="auto"/>
              <w:rPr>
                <w:rFonts w:cstheme="minorHAnsi"/>
                <w:sz w:val="18"/>
                <w:szCs w:val="18"/>
              </w:rPr>
            </w:pPr>
          </w:p>
          <w:p w14:paraId="2552014C" w14:textId="77777777" w:rsidR="00EA1D4B" w:rsidRDefault="00EA1D4B" w:rsidP="009B25B2">
            <w:pPr>
              <w:spacing w:before="0" w:after="0" w:line="240" w:lineRule="auto"/>
              <w:rPr>
                <w:rFonts w:cstheme="minorHAnsi"/>
                <w:sz w:val="18"/>
                <w:szCs w:val="18"/>
              </w:rPr>
            </w:pPr>
            <w:r>
              <w:rPr>
                <w:rFonts w:cstheme="minorHAnsi"/>
                <w:sz w:val="18"/>
                <w:szCs w:val="18"/>
              </w:rPr>
              <w:t xml:space="preserve">Requiring the patient to be assessed by a psychiatrist or paediatrician will ensure that the correct diagnosis has been given and the treatment course it appropriate for the patient. This also ensure that the GP can receive specialist advice to support patient management. </w:t>
            </w:r>
          </w:p>
          <w:p w14:paraId="5608822C" w14:textId="77777777" w:rsidR="009B25B2" w:rsidRDefault="009B25B2" w:rsidP="009B25B2">
            <w:pPr>
              <w:spacing w:before="0" w:after="0" w:line="240" w:lineRule="auto"/>
              <w:rPr>
                <w:rFonts w:cstheme="minorHAnsi"/>
                <w:sz w:val="18"/>
                <w:szCs w:val="18"/>
              </w:rPr>
            </w:pPr>
          </w:p>
          <w:p w14:paraId="1F76A95A" w14:textId="77777777" w:rsidR="009B25B2" w:rsidRPr="0058291B" w:rsidRDefault="009B25B2" w:rsidP="009B25B2">
            <w:pPr>
              <w:spacing w:before="0" w:after="0" w:line="240" w:lineRule="auto"/>
              <w:rPr>
                <w:rFonts w:cstheme="minorHAnsi"/>
                <w:sz w:val="18"/>
                <w:szCs w:val="18"/>
              </w:rPr>
            </w:pPr>
            <w:r>
              <w:rPr>
                <w:rFonts w:cstheme="minorHAnsi"/>
                <w:sz w:val="18"/>
                <w:szCs w:val="18"/>
              </w:rPr>
              <w:t>Implementation of a comprehensive stepped model of care for a subset of the eating disorders population will allow for an assessment of the operation of such a care model within Medicare.</w:t>
            </w:r>
          </w:p>
          <w:p w14:paraId="264BB398" w14:textId="77777777" w:rsidR="00F50F4E" w:rsidRPr="00AE5A70" w:rsidRDefault="00F50F4E" w:rsidP="00F50F4E">
            <w:pPr>
              <w:pStyle w:val="ListParagraph"/>
              <w:spacing w:before="0"/>
              <w:ind w:left="0"/>
              <w:rPr>
                <w:sz w:val="18"/>
                <w:szCs w:val="18"/>
              </w:rPr>
            </w:pPr>
          </w:p>
        </w:tc>
      </w:tr>
      <w:tr w:rsidR="00067123" w:rsidRPr="00AE5A70" w14:paraId="607CB7C8" w14:textId="77777777" w:rsidTr="009341EF">
        <w:trPr>
          <w:tblHeader/>
        </w:trPr>
        <w:tc>
          <w:tcPr>
            <w:tcW w:w="13460" w:type="dxa"/>
            <w:gridSpan w:val="5"/>
            <w:tcBorders>
              <w:top w:val="nil"/>
              <w:bottom w:val="nil"/>
            </w:tcBorders>
            <w:shd w:val="clear" w:color="auto" w:fill="auto"/>
          </w:tcPr>
          <w:p w14:paraId="3FCE1808" w14:textId="77777777" w:rsidR="00067123" w:rsidRPr="00AE5A70" w:rsidRDefault="00067123" w:rsidP="0081643E">
            <w:pPr>
              <w:spacing w:before="0" w:after="0" w:line="240" w:lineRule="auto"/>
              <w:rPr>
                <w:b/>
                <w:sz w:val="18"/>
                <w:szCs w:val="18"/>
              </w:rPr>
            </w:pPr>
          </w:p>
        </w:tc>
      </w:tr>
    </w:tbl>
    <w:p w14:paraId="2BA35B6F" w14:textId="77777777" w:rsidR="001E5B32" w:rsidRDefault="001E5B32">
      <w:r>
        <w:br w:type="page"/>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460"/>
      </w:tblGrid>
      <w:tr w:rsidR="00EA1D4B" w:rsidRPr="00AE5A70" w14:paraId="24F5E717" w14:textId="77777777" w:rsidTr="00CE7313">
        <w:trPr>
          <w:tblHeader/>
        </w:trPr>
        <w:tc>
          <w:tcPr>
            <w:tcW w:w="13460" w:type="dxa"/>
            <w:tcBorders>
              <w:top w:val="nil"/>
              <w:bottom w:val="nil"/>
            </w:tcBorders>
            <w:shd w:val="clear" w:color="auto" w:fill="auto"/>
          </w:tcPr>
          <w:p w14:paraId="34F77AC1" w14:textId="77777777" w:rsidR="00067123" w:rsidRDefault="00067123" w:rsidP="0081643E">
            <w:pPr>
              <w:spacing w:before="0" w:after="0" w:line="240" w:lineRule="auto"/>
              <w:rPr>
                <w:b/>
                <w:sz w:val="18"/>
                <w:szCs w:val="18"/>
              </w:rPr>
            </w:pPr>
          </w:p>
          <w:tbl>
            <w:tblPr>
              <w:tblStyle w:val="TableGrid"/>
              <w:tblW w:w="13689"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897"/>
              <w:gridCol w:w="1678"/>
              <w:gridCol w:w="3617"/>
              <w:gridCol w:w="3730"/>
              <w:gridCol w:w="3767"/>
            </w:tblGrid>
            <w:tr w:rsidR="001E5B32" w:rsidRPr="00AE5A70" w14:paraId="7E083CCB" w14:textId="77777777" w:rsidTr="009341EF">
              <w:trPr>
                <w:cantSplit/>
                <w:trHeight w:val="420"/>
                <w:tblHeader/>
              </w:trPr>
              <w:tc>
                <w:tcPr>
                  <w:tcW w:w="13689" w:type="dxa"/>
                  <w:gridSpan w:val="5"/>
                  <w:tcBorders>
                    <w:top w:val="nil"/>
                    <w:bottom w:val="nil"/>
                  </w:tcBorders>
                  <w:shd w:val="clear" w:color="auto" w:fill="auto"/>
                </w:tcPr>
                <w:p w14:paraId="152D1841" w14:textId="77777777" w:rsidR="001E5B32" w:rsidRPr="00AE5A70" w:rsidRDefault="001E5B32" w:rsidP="001E5B32">
                  <w:pPr>
                    <w:spacing w:after="0" w:line="240" w:lineRule="auto"/>
                    <w:rPr>
                      <w:szCs w:val="18"/>
                    </w:rPr>
                  </w:pPr>
                  <w:r w:rsidRPr="00AE5A70">
                    <w:rPr>
                      <w:b/>
                      <w:sz w:val="18"/>
                      <w:szCs w:val="18"/>
                    </w:rPr>
                    <w:t>Recommendation 1.</w:t>
                  </w:r>
                  <w:r>
                    <w:rPr>
                      <w:b/>
                      <w:sz w:val="18"/>
                      <w:szCs w:val="18"/>
                    </w:rPr>
                    <w:t>3</w:t>
                  </w:r>
                </w:p>
              </w:tc>
            </w:tr>
            <w:tr w:rsidR="001E5B32" w:rsidRPr="00AE5A70" w14:paraId="41E7127C" w14:textId="77777777" w:rsidTr="009341EF">
              <w:trPr>
                <w:cantSplit/>
                <w:trHeight w:val="420"/>
                <w:tblHeader/>
              </w:trPr>
              <w:tc>
                <w:tcPr>
                  <w:tcW w:w="897" w:type="dxa"/>
                  <w:tcBorders>
                    <w:top w:val="nil"/>
                    <w:bottom w:val="single" w:sz="4" w:space="0" w:color="B66113"/>
                  </w:tcBorders>
                  <w:shd w:val="clear" w:color="auto" w:fill="B66113"/>
                </w:tcPr>
                <w:p w14:paraId="1D112704" w14:textId="77777777" w:rsidR="001E5B32" w:rsidRPr="00AE5A70" w:rsidRDefault="001E5B32" w:rsidP="001E5B32">
                  <w:pPr>
                    <w:pStyle w:val="Tableheading-white"/>
                    <w:rPr>
                      <w:color w:val="auto"/>
                      <w:szCs w:val="18"/>
                    </w:rPr>
                  </w:pPr>
                  <w:r w:rsidRPr="00AE5A70">
                    <w:rPr>
                      <w:color w:val="auto"/>
                      <w:szCs w:val="18"/>
                    </w:rPr>
                    <w:t>Item</w:t>
                  </w:r>
                </w:p>
              </w:tc>
              <w:tc>
                <w:tcPr>
                  <w:tcW w:w="1678" w:type="dxa"/>
                  <w:tcBorders>
                    <w:top w:val="nil"/>
                    <w:bottom w:val="single" w:sz="4" w:space="0" w:color="B66113"/>
                  </w:tcBorders>
                  <w:shd w:val="clear" w:color="auto" w:fill="B66113"/>
                </w:tcPr>
                <w:p w14:paraId="36129441" w14:textId="77777777" w:rsidR="001E5B32" w:rsidRPr="00AE5A70" w:rsidRDefault="001E5B32" w:rsidP="001E5B32">
                  <w:pPr>
                    <w:pStyle w:val="Tableheading-white"/>
                    <w:rPr>
                      <w:color w:val="auto"/>
                      <w:szCs w:val="18"/>
                    </w:rPr>
                  </w:pPr>
                  <w:r w:rsidRPr="00AE5A70">
                    <w:rPr>
                      <w:color w:val="auto"/>
                      <w:szCs w:val="18"/>
                    </w:rPr>
                    <w:t>What it does</w:t>
                  </w:r>
                </w:p>
              </w:tc>
              <w:tc>
                <w:tcPr>
                  <w:tcW w:w="3617" w:type="dxa"/>
                  <w:tcBorders>
                    <w:top w:val="nil"/>
                    <w:bottom w:val="single" w:sz="4" w:space="0" w:color="B66113"/>
                  </w:tcBorders>
                  <w:shd w:val="clear" w:color="auto" w:fill="B66113"/>
                </w:tcPr>
                <w:p w14:paraId="01CE4640" w14:textId="77777777" w:rsidR="001E5B32" w:rsidRPr="00AE5A70" w:rsidRDefault="001E5B32" w:rsidP="001E5B32">
                  <w:pPr>
                    <w:pStyle w:val="Tableheading-white"/>
                    <w:rPr>
                      <w:color w:val="auto"/>
                      <w:szCs w:val="18"/>
                    </w:rPr>
                  </w:pPr>
                  <w:r w:rsidRPr="00AE5A70">
                    <w:rPr>
                      <w:color w:val="auto"/>
                      <w:szCs w:val="18"/>
                    </w:rPr>
                    <w:t>Committee recommendation</w:t>
                  </w:r>
                </w:p>
              </w:tc>
              <w:tc>
                <w:tcPr>
                  <w:tcW w:w="3730" w:type="dxa"/>
                  <w:tcBorders>
                    <w:top w:val="nil"/>
                    <w:bottom w:val="single" w:sz="4" w:space="0" w:color="B66113"/>
                  </w:tcBorders>
                  <w:shd w:val="clear" w:color="auto" w:fill="B66113"/>
                </w:tcPr>
                <w:p w14:paraId="6169C769" w14:textId="77777777" w:rsidR="001E5B32" w:rsidRPr="00AE5A70" w:rsidRDefault="001E5B32" w:rsidP="001E5B32">
                  <w:pPr>
                    <w:pStyle w:val="Tableheading-white"/>
                    <w:rPr>
                      <w:color w:val="auto"/>
                      <w:szCs w:val="18"/>
                    </w:rPr>
                  </w:pPr>
                  <w:r w:rsidRPr="00AE5A70">
                    <w:rPr>
                      <w:color w:val="auto"/>
                      <w:szCs w:val="18"/>
                    </w:rPr>
                    <w:t>What would be different</w:t>
                  </w:r>
                </w:p>
              </w:tc>
              <w:tc>
                <w:tcPr>
                  <w:tcW w:w="3765" w:type="dxa"/>
                  <w:tcBorders>
                    <w:top w:val="nil"/>
                    <w:bottom w:val="single" w:sz="4" w:space="0" w:color="B66113"/>
                  </w:tcBorders>
                  <w:shd w:val="clear" w:color="auto" w:fill="B66113"/>
                </w:tcPr>
                <w:p w14:paraId="3213EFE6" w14:textId="77777777" w:rsidR="001E5B32" w:rsidRPr="00AE5A70" w:rsidRDefault="001E5B32" w:rsidP="001E5B32">
                  <w:pPr>
                    <w:pStyle w:val="Tableheading-white"/>
                    <w:rPr>
                      <w:color w:val="auto"/>
                      <w:szCs w:val="18"/>
                    </w:rPr>
                  </w:pPr>
                  <w:r w:rsidRPr="00AE5A70">
                    <w:rPr>
                      <w:color w:val="auto"/>
                      <w:szCs w:val="18"/>
                    </w:rPr>
                    <w:t>Why</w:t>
                  </w:r>
                </w:p>
              </w:tc>
            </w:tr>
            <w:tr w:rsidR="001E5B32" w:rsidRPr="00AE5A70" w14:paraId="78C6C026" w14:textId="77777777" w:rsidTr="009341EF">
              <w:trPr>
                <w:cantSplit/>
                <w:trHeight w:val="2038"/>
              </w:trPr>
              <w:tc>
                <w:tcPr>
                  <w:tcW w:w="897" w:type="dxa"/>
                  <w:tcBorders>
                    <w:top w:val="single" w:sz="4" w:space="0" w:color="B66113"/>
                  </w:tcBorders>
                </w:tcPr>
                <w:p w14:paraId="58BD0745" w14:textId="77777777" w:rsidR="001E5B32" w:rsidRPr="0058291B" w:rsidRDefault="001E5B32" w:rsidP="001E5B32">
                  <w:pPr>
                    <w:spacing w:before="0" w:after="0" w:line="240" w:lineRule="auto"/>
                    <w:rPr>
                      <w:rFonts w:ascii="Arial" w:eastAsia="Arial" w:hAnsi="Arial" w:cs="Arial"/>
                      <w:b/>
                      <w:bCs/>
                      <w:sz w:val="18"/>
                      <w:szCs w:val="18"/>
                      <w:lang w:val="en-US" w:eastAsia="en-US"/>
                    </w:rPr>
                  </w:pPr>
                  <w:r w:rsidRPr="0058291B">
                    <w:rPr>
                      <w:b/>
                      <w:bCs/>
                      <w:sz w:val="18"/>
                      <w:szCs w:val="18"/>
                    </w:rPr>
                    <w:t>n/a</w:t>
                  </w:r>
                </w:p>
              </w:tc>
              <w:tc>
                <w:tcPr>
                  <w:tcW w:w="1678" w:type="dxa"/>
                  <w:tcBorders>
                    <w:top w:val="single" w:sz="4" w:space="0" w:color="B66113"/>
                  </w:tcBorders>
                </w:tcPr>
                <w:p w14:paraId="66CCD54E" w14:textId="77777777" w:rsidR="001E5B32" w:rsidRPr="0058291B" w:rsidRDefault="001E5B32" w:rsidP="001E5B32">
                  <w:pPr>
                    <w:pStyle w:val="Tabletext"/>
                    <w:spacing w:before="0" w:after="0"/>
                    <w:rPr>
                      <w:b/>
                    </w:rPr>
                  </w:pPr>
                  <w:r w:rsidRPr="0058291B">
                    <w:rPr>
                      <w:b/>
                    </w:rPr>
                    <w:t>n/a</w:t>
                  </w:r>
                </w:p>
              </w:tc>
              <w:tc>
                <w:tcPr>
                  <w:tcW w:w="3617" w:type="dxa"/>
                  <w:tcBorders>
                    <w:top w:val="single" w:sz="4" w:space="0" w:color="B66113"/>
                  </w:tcBorders>
                </w:tcPr>
                <w:p w14:paraId="5B1FF91C" w14:textId="77777777" w:rsidR="001E5B32" w:rsidRPr="0058291B" w:rsidRDefault="001E5B32">
                  <w:pPr>
                    <w:spacing w:before="0" w:after="0" w:line="240" w:lineRule="auto"/>
                    <w:rPr>
                      <w:rFonts w:cstheme="minorHAnsi"/>
                      <w:sz w:val="18"/>
                      <w:szCs w:val="18"/>
                    </w:rPr>
                  </w:pPr>
                  <w:r w:rsidRPr="009E7BFB">
                    <w:rPr>
                      <w:sz w:val="18"/>
                      <w:szCs w:val="18"/>
                    </w:rPr>
                    <w:t>The Working Group recommends that the impact and operation of the new items should be reviewed as soon as practical after introduction of the new items to assess the viability of expanding the Medicare Benefits Schedule (MBS) to provide for a comprehensive stepped care models to all patients with eating disorders</w:t>
                  </w:r>
                </w:p>
              </w:tc>
              <w:tc>
                <w:tcPr>
                  <w:tcW w:w="3730" w:type="dxa"/>
                  <w:tcBorders>
                    <w:top w:val="single" w:sz="4" w:space="0" w:color="B66113"/>
                  </w:tcBorders>
                </w:tcPr>
                <w:p w14:paraId="74A496F6" w14:textId="77777777" w:rsidR="001E5B32" w:rsidRPr="0058291B" w:rsidRDefault="001E5B32">
                  <w:pPr>
                    <w:spacing w:before="0" w:after="0" w:line="240" w:lineRule="auto"/>
                    <w:rPr>
                      <w:rFonts w:cstheme="minorHAnsi"/>
                      <w:sz w:val="18"/>
                      <w:szCs w:val="18"/>
                    </w:rPr>
                  </w:pPr>
                  <w:r>
                    <w:rPr>
                      <w:sz w:val="18"/>
                      <w:szCs w:val="18"/>
                    </w:rPr>
                    <w:t>There will be no changes to the MBS as a result of this recommendation</w:t>
                  </w:r>
                  <w:r>
                    <w:rPr>
                      <w:rFonts w:cstheme="minorHAnsi"/>
                      <w:sz w:val="18"/>
                      <w:szCs w:val="18"/>
                    </w:rPr>
                    <w:t>.</w:t>
                  </w:r>
                </w:p>
                <w:p w14:paraId="69405BDE" w14:textId="77777777" w:rsidR="001E5B32" w:rsidRPr="0058291B" w:rsidRDefault="001E5B32" w:rsidP="001E5B32">
                  <w:pPr>
                    <w:spacing w:before="0" w:after="0"/>
                    <w:rPr>
                      <w:sz w:val="18"/>
                      <w:szCs w:val="18"/>
                    </w:rPr>
                  </w:pPr>
                </w:p>
                <w:p w14:paraId="65114144" w14:textId="77777777" w:rsidR="001E5B32" w:rsidRPr="0058291B" w:rsidRDefault="001E5B32" w:rsidP="001E5B32">
                  <w:pPr>
                    <w:spacing w:before="0" w:after="0"/>
                    <w:rPr>
                      <w:sz w:val="18"/>
                      <w:szCs w:val="18"/>
                    </w:rPr>
                  </w:pPr>
                </w:p>
              </w:tc>
              <w:tc>
                <w:tcPr>
                  <w:tcW w:w="3765" w:type="dxa"/>
                  <w:tcBorders>
                    <w:top w:val="single" w:sz="4" w:space="0" w:color="B66113"/>
                  </w:tcBorders>
                </w:tcPr>
                <w:p w14:paraId="6201C3F0" w14:textId="77777777" w:rsidR="001E5B32" w:rsidRPr="0058291B" w:rsidRDefault="001E5B32" w:rsidP="009341EF">
                  <w:pPr>
                    <w:spacing w:before="0" w:after="0" w:line="240" w:lineRule="auto"/>
                    <w:rPr>
                      <w:sz w:val="18"/>
                      <w:szCs w:val="18"/>
                    </w:rPr>
                  </w:pPr>
                  <w:r w:rsidRPr="006E53CC">
                    <w:rPr>
                      <w:sz w:val="18"/>
                      <w:szCs w:val="18"/>
                    </w:rPr>
                    <w:t xml:space="preserve">A review of the new items will assess viability for expanded a comprehensive care model to all patients with eating disorders </w:t>
                  </w:r>
                </w:p>
              </w:tc>
            </w:tr>
          </w:tbl>
          <w:p w14:paraId="7BC67C92" w14:textId="77777777" w:rsidR="001E5B32" w:rsidRDefault="001E5B32" w:rsidP="0081643E">
            <w:pPr>
              <w:spacing w:before="0" w:after="0" w:line="240" w:lineRule="auto"/>
              <w:rPr>
                <w:b/>
                <w:sz w:val="18"/>
                <w:szCs w:val="18"/>
              </w:rPr>
            </w:pPr>
          </w:p>
          <w:tbl>
            <w:tblPr>
              <w:tblStyle w:val="TableGrid"/>
              <w:tblW w:w="13539"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887"/>
              <w:gridCol w:w="1660"/>
              <w:gridCol w:w="3577"/>
              <w:gridCol w:w="3689"/>
              <w:gridCol w:w="3726"/>
            </w:tblGrid>
            <w:tr w:rsidR="001E5B32" w:rsidRPr="00AE5A70" w14:paraId="5D15DD1A" w14:textId="77777777" w:rsidTr="009341EF">
              <w:trPr>
                <w:cantSplit/>
                <w:trHeight w:val="419"/>
                <w:tblHeader/>
              </w:trPr>
              <w:tc>
                <w:tcPr>
                  <w:tcW w:w="13539" w:type="dxa"/>
                  <w:gridSpan w:val="5"/>
                  <w:tcBorders>
                    <w:top w:val="nil"/>
                    <w:bottom w:val="nil"/>
                  </w:tcBorders>
                  <w:shd w:val="clear" w:color="auto" w:fill="auto"/>
                </w:tcPr>
                <w:p w14:paraId="08A5D62B" w14:textId="77777777" w:rsidR="001E5B32" w:rsidRPr="00AE5A70" w:rsidRDefault="001E5B32" w:rsidP="001E5B32">
                  <w:pPr>
                    <w:spacing w:after="0" w:line="240" w:lineRule="auto"/>
                    <w:rPr>
                      <w:szCs w:val="18"/>
                    </w:rPr>
                  </w:pPr>
                  <w:r w:rsidRPr="00AE5A70">
                    <w:rPr>
                      <w:b/>
                      <w:sz w:val="18"/>
                      <w:szCs w:val="18"/>
                    </w:rPr>
                    <w:t>Recommendation 1.</w:t>
                  </w:r>
                  <w:r>
                    <w:rPr>
                      <w:b/>
                      <w:sz w:val="18"/>
                      <w:szCs w:val="18"/>
                    </w:rPr>
                    <w:t>4</w:t>
                  </w:r>
                </w:p>
              </w:tc>
            </w:tr>
            <w:tr w:rsidR="001E5B32" w:rsidRPr="00AE5A70" w14:paraId="7CFB7954" w14:textId="77777777" w:rsidTr="009341EF">
              <w:trPr>
                <w:cantSplit/>
                <w:trHeight w:val="419"/>
                <w:tblHeader/>
              </w:trPr>
              <w:tc>
                <w:tcPr>
                  <w:tcW w:w="887" w:type="dxa"/>
                  <w:tcBorders>
                    <w:top w:val="nil"/>
                    <w:bottom w:val="single" w:sz="4" w:space="0" w:color="B66113"/>
                  </w:tcBorders>
                  <w:shd w:val="clear" w:color="auto" w:fill="B66113"/>
                </w:tcPr>
                <w:p w14:paraId="2AD0121A" w14:textId="77777777" w:rsidR="001E5B32" w:rsidRPr="00AE5A70" w:rsidRDefault="001E5B32" w:rsidP="001E5B32">
                  <w:pPr>
                    <w:pStyle w:val="Tableheading-white"/>
                    <w:rPr>
                      <w:color w:val="auto"/>
                      <w:szCs w:val="18"/>
                    </w:rPr>
                  </w:pPr>
                  <w:r w:rsidRPr="00AE5A70">
                    <w:rPr>
                      <w:color w:val="auto"/>
                      <w:szCs w:val="18"/>
                    </w:rPr>
                    <w:t>Item</w:t>
                  </w:r>
                </w:p>
              </w:tc>
              <w:tc>
                <w:tcPr>
                  <w:tcW w:w="1660" w:type="dxa"/>
                  <w:tcBorders>
                    <w:top w:val="nil"/>
                    <w:bottom w:val="single" w:sz="4" w:space="0" w:color="B66113"/>
                  </w:tcBorders>
                  <w:shd w:val="clear" w:color="auto" w:fill="B66113"/>
                </w:tcPr>
                <w:p w14:paraId="0B533941" w14:textId="77777777" w:rsidR="001E5B32" w:rsidRPr="00AE5A70" w:rsidRDefault="001E5B32" w:rsidP="001E5B32">
                  <w:pPr>
                    <w:pStyle w:val="Tableheading-white"/>
                    <w:rPr>
                      <w:color w:val="auto"/>
                      <w:szCs w:val="18"/>
                    </w:rPr>
                  </w:pPr>
                  <w:r w:rsidRPr="00AE5A70">
                    <w:rPr>
                      <w:color w:val="auto"/>
                      <w:szCs w:val="18"/>
                    </w:rPr>
                    <w:t>What it does</w:t>
                  </w:r>
                </w:p>
              </w:tc>
              <w:tc>
                <w:tcPr>
                  <w:tcW w:w="3577" w:type="dxa"/>
                  <w:tcBorders>
                    <w:top w:val="nil"/>
                    <w:bottom w:val="single" w:sz="4" w:space="0" w:color="B66113"/>
                  </w:tcBorders>
                  <w:shd w:val="clear" w:color="auto" w:fill="B66113"/>
                </w:tcPr>
                <w:p w14:paraId="12C822DF" w14:textId="77777777" w:rsidR="001E5B32" w:rsidRPr="00AE5A70" w:rsidRDefault="001E5B32" w:rsidP="001E5B32">
                  <w:pPr>
                    <w:pStyle w:val="Tableheading-white"/>
                    <w:rPr>
                      <w:color w:val="auto"/>
                      <w:szCs w:val="18"/>
                    </w:rPr>
                  </w:pPr>
                  <w:r w:rsidRPr="00AE5A70">
                    <w:rPr>
                      <w:color w:val="auto"/>
                      <w:szCs w:val="18"/>
                    </w:rPr>
                    <w:t>Committee recommendation</w:t>
                  </w:r>
                </w:p>
              </w:tc>
              <w:tc>
                <w:tcPr>
                  <w:tcW w:w="3689" w:type="dxa"/>
                  <w:tcBorders>
                    <w:top w:val="nil"/>
                    <w:bottom w:val="single" w:sz="4" w:space="0" w:color="B66113"/>
                  </w:tcBorders>
                  <w:shd w:val="clear" w:color="auto" w:fill="B66113"/>
                </w:tcPr>
                <w:p w14:paraId="22EE7797" w14:textId="77777777" w:rsidR="001E5B32" w:rsidRPr="00AE5A70" w:rsidRDefault="001E5B32" w:rsidP="001E5B32">
                  <w:pPr>
                    <w:pStyle w:val="Tableheading-white"/>
                    <w:rPr>
                      <w:color w:val="auto"/>
                      <w:szCs w:val="18"/>
                    </w:rPr>
                  </w:pPr>
                  <w:r w:rsidRPr="00AE5A70">
                    <w:rPr>
                      <w:color w:val="auto"/>
                      <w:szCs w:val="18"/>
                    </w:rPr>
                    <w:t>What would be different</w:t>
                  </w:r>
                </w:p>
              </w:tc>
              <w:tc>
                <w:tcPr>
                  <w:tcW w:w="3724" w:type="dxa"/>
                  <w:tcBorders>
                    <w:top w:val="nil"/>
                    <w:bottom w:val="single" w:sz="4" w:space="0" w:color="B66113"/>
                  </w:tcBorders>
                  <w:shd w:val="clear" w:color="auto" w:fill="B66113"/>
                </w:tcPr>
                <w:p w14:paraId="316EA6A3" w14:textId="77777777" w:rsidR="001E5B32" w:rsidRPr="00AE5A70" w:rsidRDefault="001E5B32" w:rsidP="001E5B32">
                  <w:pPr>
                    <w:pStyle w:val="Tableheading-white"/>
                    <w:rPr>
                      <w:color w:val="auto"/>
                      <w:szCs w:val="18"/>
                    </w:rPr>
                  </w:pPr>
                  <w:r w:rsidRPr="00AE5A70">
                    <w:rPr>
                      <w:color w:val="auto"/>
                      <w:szCs w:val="18"/>
                    </w:rPr>
                    <w:t>Why</w:t>
                  </w:r>
                </w:p>
              </w:tc>
            </w:tr>
            <w:tr w:rsidR="001E5B32" w:rsidRPr="00AE5A70" w14:paraId="1BA1312F" w14:textId="77777777" w:rsidTr="009341EF">
              <w:trPr>
                <w:cantSplit/>
                <w:trHeight w:val="1801"/>
              </w:trPr>
              <w:tc>
                <w:tcPr>
                  <w:tcW w:w="887" w:type="dxa"/>
                  <w:tcBorders>
                    <w:top w:val="single" w:sz="4" w:space="0" w:color="B66113"/>
                  </w:tcBorders>
                </w:tcPr>
                <w:p w14:paraId="566A7B9B" w14:textId="77777777" w:rsidR="001E5B32" w:rsidRPr="0058291B" w:rsidRDefault="001E5B32" w:rsidP="001E5B32">
                  <w:pPr>
                    <w:spacing w:before="0" w:after="0" w:line="240" w:lineRule="auto"/>
                    <w:rPr>
                      <w:rFonts w:ascii="Arial" w:eastAsia="Arial" w:hAnsi="Arial" w:cs="Arial"/>
                      <w:b/>
                      <w:bCs/>
                      <w:sz w:val="18"/>
                      <w:szCs w:val="18"/>
                      <w:lang w:val="en-US" w:eastAsia="en-US"/>
                    </w:rPr>
                  </w:pPr>
                  <w:r w:rsidRPr="0058291B">
                    <w:rPr>
                      <w:b/>
                      <w:bCs/>
                      <w:sz w:val="18"/>
                      <w:szCs w:val="18"/>
                    </w:rPr>
                    <w:t>n/a</w:t>
                  </w:r>
                </w:p>
              </w:tc>
              <w:tc>
                <w:tcPr>
                  <w:tcW w:w="1660" w:type="dxa"/>
                  <w:tcBorders>
                    <w:top w:val="single" w:sz="4" w:space="0" w:color="B66113"/>
                  </w:tcBorders>
                </w:tcPr>
                <w:p w14:paraId="4E14DF52" w14:textId="77777777" w:rsidR="001E5B32" w:rsidRPr="0058291B" w:rsidRDefault="001E5B32" w:rsidP="001E5B32">
                  <w:pPr>
                    <w:pStyle w:val="Tabletext"/>
                    <w:spacing w:before="0" w:after="0"/>
                    <w:rPr>
                      <w:b/>
                    </w:rPr>
                  </w:pPr>
                  <w:r w:rsidRPr="0058291B">
                    <w:rPr>
                      <w:b/>
                    </w:rPr>
                    <w:t>n/a</w:t>
                  </w:r>
                </w:p>
              </w:tc>
              <w:tc>
                <w:tcPr>
                  <w:tcW w:w="3577" w:type="dxa"/>
                  <w:tcBorders>
                    <w:top w:val="single" w:sz="4" w:space="0" w:color="B66113"/>
                  </w:tcBorders>
                </w:tcPr>
                <w:p w14:paraId="11C829DA" w14:textId="77777777" w:rsidR="001E5B32" w:rsidRPr="0058291B" w:rsidRDefault="001E5B32">
                  <w:pPr>
                    <w:spacing w:before="0" w:after="0" w:line="240" w:lineRule="auto"/>
                    <w:rPr>
                      <w:rFonts w:cstheme="minorHAnsi"/>
                      <w:sz w:val="18"/>
                      <w:szCs w:val="18"/>
                    </w:rPr>
                  </w:pPr>
                  <w:r w:rsidRPr="00327306">
                    <w:rPr>
                      <w:rFonts w:cstheme="minorHAnsi"/>
                      <w:sz w:val="18"/>
                      <w:szCs w:val="18"/>
                    </w:rPr>
                    <w:t>The Working Group recommends the services referred to in recommendation 1.2 be allowed to be provided via telehealth (under the same eligibility requirements that exist for other MBS services) in order to increase access to services for patients in rural and remote areas.</w:t>
                  </w:r>
                </w:p>
              </w:tc>
              <w:tc>
                <w:tcPr>
                  <w:tcW w:w="3689" w:type="dxa"/>
                  <w:tcBorders>
                    <w:top w:val="single" w:sz="4" w:space="0" w:color="B66113"/>
                  </w:tcBorders>
                </w:tcPr>
                <w:p w14:paraId="46FA5A99" w14:textId="77777777" w:rsidR="001E5B32" w:rsidRPr="0058291B" w:rsidRDefault="001E5B32" w:rsidP="001E5B32">
                  <w:pPr>
                    <w:spacing w:before="0" w:after="0" w:line="240" w:lineRule="auto"/>
                    <w:rPr>
                      <w:rFonts w:cstheme="minorHAnsi"/>
                      <w:sz w:val="18"/>
                      <w:szCs w:val="18"/>
                    </w:rPr>
                  </w:pPr>
                  <w:r>
                    <w:rPr>
                      <w:sz w:val="18"/>
                      <w:szCs w:val="18"/>
                    </w:rPr>
                    <w:t>Any new items introduced would be allowed to be provided via telehealth under the same conditions that apply to existing MBS items.</w:t>
                  </w:r>
                </w:p>
                <w:p w14:paraId="0D728796" w14:textId="77777777" w:rsidR="001E5B32" w:rsidRPr="0058291B" w:rsidRDefault="001E5B32" w:rsidP="001E5B32">
                  <w:pPr>
                    <w:spacing w:before="0" w:after="0"/>
                    <w:rPr>
                      <w:sz w:val="18"/>
                      <w:szCs w:val="18"/>
                    </w:rPr>
                  </w:pPr>
                </w:p>
                <w:p w14:paraId="7DC83D76" w14:textId="77777777" w:rsidR="001E5B32" w:rsidRPr="0058291B" w:rsidRDefault="001E5B32" w:rsidP="001E5B32">
                  <w:pPr>
                    <w:spacing w:before="0" w:after="0"/>
                    <w:rPr>
                      <w:sz w:val="18"/>
                      <w:szCs w:val="18"/>
                    </w:rPr>
                  </w:pPr>
                </w:p>
              </w:tc>
              <w:tc>
                <w:tcPr>
                  <w:tcW w:w="3724" w:type="dxa"/>
                  <w:tcBorders>
                    <w:top w:val="single" w:sz="4" w:space="0" w:color="B66113"/>
                  </w:tcBorders>
                </w:tcPr>
                <w:p w14:paraId="05EACC03" w14:textId="77777777" w:rsidR="001E5B32" w:rsidRPr="0058291B" w:rsidRDefault="001E5B32">
                  <w:pPr>
                    <w:spacing w:before="0" w:after="0" w:line="240" w:lineRule="auto"/>
                    <w:rPr>
                      <w:sz w:val="18"/>
                      <w:szCs w:val="18"/>
                    </w:rPr>
                  </w:pPr>
                  <w:r>
                    <w:rPr>
                      <w:sz w:val="18"/>
                      <w:szCs w:val="18"/>
                    </w:rPr>
                    <w:t xml:space="preserve">Allowing these services to be provided via telehealth will increase access to services for patients in rural and remote areas where there may not be a practitioner who can provide treatment for a patient with an eating disorder. </w:t>
                  </w:r>
                  <w:r w:rsidRPr="006E53CC">
                    <w:rPr>
                      <w:sz w:val="18"/>
                      <w:szCs w:val="18"/>
                    </w:rPr>
                    <w:t xml:space="preserve"> </w:t>
                  </w:r>
                </w:p>
              </w:tc>
            </w:tr>
          </w:tbl>
          <w:p w14:paraId="11E8A45B" w14:textId="77777777" w:rsidR="00EA1D4B" w:rsidRPr="00AE5A70" w:rsidRDefault="00EA1D4B" w:rsidP="0081643E">
            <w:pPr>
              <w:spacing w:before="0" w:after="0" w:line="240" w:lineRule="auto"/>
              <w:rPr>
                <w:szCs w:val="18"/>
              </w:rPr>
            </w:pPr>
          </w:p>
        </w:tc>
      </w:tr>
    </w:tbl>
    <w:p w14:paraId="08AF2165" w14:textId="77777777" w:rsidR="00F67A8F" w:rsidRDefault="00F67A8F"/>
    <w:p w14:paraId="41A0D078" w14:textId="77777777" w:rsidR="00F67A8F" w:rsidRDefault="00F67A8F"/>
    <w:p w14:paraId="516A6EF3" w14:textId="77777777" w:rsidR="00F67A8F" w:rsidRDefault="00F67A8F"/>
    <w:p w14:paraId="7B2F3492" w14:textId="77777777" w:rsidR="00F67A8F" w:rsidRDefault="00F67A8F"/>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2001"/>
        <w:gridCol w:w="2889"/>
        <w:gridCol w:w="2776"/>
        <w:gridCol w:w="2658"/>
        <w:gridCol w:w="3136"/>
      </w:tblGrid>
      <w:tr w:rsidR="00B23757" w:rsidRPr="00AE5A70" w14:paraId="7DD8B884" w14:textId="77777777" w:rsidTr="00CE7313">
        <w:trPr>
          <w:tblHeader/>
        </w:trPr>
        <w:tc>
          <w:tcPr>
            <w:tcW w:w="13460" w:type="dxa"/>
            <w:gridSpan w:val="5"/>
            <w:tcBorders>
              <w:top w:val="nil"/>
              <w:bottom w:val="nil"/>
            </w:tcBorders>
            <w:shd w:val="clear" w:color="auto" w:fill="auto"/>
          </w:tcPr>
          <w:p w14:paraId="5D00AC24" w14:textId="77777777" w:rsidR="00B23757" w:rsidRDefault="00F67A8F" w:rsidP="0081643E">
            <w:pPr>
              <w:spacing w:before="0" w:after="0" w:line="240" w:lineRule="auto"/>
              <w:rPr>
                <w:b/>
                <w:sz w:val="18"/>
                <w:szCs w:val="18"/>
              </w:rPr>
            </w:pPr>
            <w:r w:rsidRPr="00AE5A70">
              <w:rPr>
                <w:b/>
                <w:sz w:val="18"/>
                <w:szCs w:val="18"/>
              </w:rPr>
              <w:t>Recommendation 2.1</w:t>
            </w:r>
          </w:p>
        </w:tc>
      </w:tr>
      <w:tr w:rsidR="00B23757" w:rsidRPr="00AE5A70" w14:paraId="1BE93345" w14:textId="77777777" w:rsidTr="009341EF">
        <w:tc>
          <w:tcPr>
            <w:tcW w:w="2001" w:type="dxa"/>
            <w:tcBorders>
              <w:top w:val="nil"/>
              <w:bottom w:val="single" w:sz="4" w:space="0" w:color="B66113"/>
            </w:tcBorders>
            <w:shd w:val="clear" w:color="auto" w:fill="B66113"/>
          </w:tcPr>
          <w:p w14:paraId="7E2B9F2E" w14:textId="77777777" w:rsidR="00EA1D4B" w:rsidRPr="00AE5A70" w:rsidRDefault="00EA1D4B" w:rsidP="0081643E">
            <w:pPr>
              <w:pStyle w:val="Tableheading-white"/>
              <w:rPr>
                <w:color w:val="auto"/>
                <w:szCs w:val="18"/>
              </w:rPr>
            </w:pPr>
            <w:r w:rsidRPr="00AE5A70">
              <w:rPr>
                <w:color w:val="auto"/>
                <w:szCs w:val="18"/>
              </w:rPr>
              <w:t>Item</w:t>
            </w:r>
          </w:p>
        </w:tc>
        <w:tc>
          <w:tcPr>
            <w:tcW w:w="2889" w:type="dxa"/>
            <w:tcBorders>
              <w:top w:val="nil"/>
              <w:bottom w:val="single" w:sz="4" w:space="0" w:color="B66113"/>
            </w:tcBorders>
            <w:shd w:val="clear" w:color="auto" w:fill="B66113"/>
          </w:tcPr>
          <w:p w14:paraId="6A869208" w14:textId="77777777" w:rsidR="00EA1D4B" w:rsidRPr="00AE5A70" w:rsidRDefault="00EA1D4B" w:rsidP="0081643E">
            <w:pPr>
              <w:pStyle w:val="Tableheading-white"/>
              <w:rPr>
                <w:color w:val="auto"/>
                <w:szCs w:val="18"/>
              </w:rPr>
            </w:pPr>
            <w:r w:rsidRPr="00AE5A70">
              <w:rPr>
                <w:color w:val="auto"/>
                <w:szCs w:val="18"/>
              </w:rPr>
              <w:t>What it does</w:t>
            </w:r>
          </w:p>
        </w:tc>
        <w:tc>
          <w:tcPr>
            <w:tcW w:w="2776" w:type="dxa"/>
            <w:tcBorders>
              <w:top w:val="nil"/>
              <w:bottom w:val="single" w:sz="4" w:space="0" w:color="B66113"/>
            </w:tcBorders>
            <w:shd w:val="clear" w:color="auto" w:fill="B66113"/>
          </w:tcPr>
          <w:p w14:paraId="479D3385" w14:textId="77777777" w:rsidR="00EA1D4B" w:rsidRPr="00AE5A70" w:rsidRDefault="00EA1D4B" w:rsidP="0081643E">
            <w:pPr>
              <w:pStyle w:val="Tableheading-white"/>
              <w:rPr>
                <w:color w:val="auto"/>
                <w:szCs w:val="18"/>
              </w:rPr>
            </w:pPr>
            <w:r w:rsidRPr="00AE5A70">
              <w:rPr>
                <w:color w:val="auto"/>
                <w:szCs w:val="18"/>
              </w:rPr>
              <w:t>Committee recommendation</w:t>
            </w:r>
          </w:p>
        </w:tc>
        <w:tc>
          <w:tcPr>
            <w:tcW w:w="2658" w:type="dxa"/>
            <w:tcBorders>
              <w:top w:val="nil"/>
              <w:bottom w:val="single" w:sz="4" w:space="0" w:color="B66113"/>
            </w:tcBorders>
            <w:shd w:val="clear" w:color="auto" w:fill="B66113"/>
          </w:tcPr>
          <w:p w14:paraId="74CE3D65" w14:textId="77777777" w:rsidR="00EA1D4B" w:rsidRPr="00AE5A70" w:rsidRDefault="00EA1D4B" w:rsidP="0081643E">
            <w:pPr>
              <w:pStyle w:val="Tableheading-white"/>
              <w:rPr>
                <w:color w:val="auto"/>
                <w:szCs w:val="18"/>
              </w:rPr>
            </w:pPr>
            <w:r w:rsidRPr="00AE5A70">
              <w:rPr>
                <w:color w:val="auto"/>
                <w:szCs w:val="18"/>
              </w:rPr>
              <w:t>What would be different</w:t>
            </w:r>
          </w:p>
        </w:tc>
        <w:tc>
          <w:tcPr>
            <w:tcW w:w="3136" w:type="dxa"/>
            <w:tcBorders>
              <w:top w:val="nil"/>
              <w:bottom w:val="single" w:sz="4" w:space="0" w:color="B66113"/>
            </w:tcBorders>
            <w:shd w:val="clear" w:color="auto" w:fill="B66113"/>
          </w:tcPr>
          <w:p w14:paraId="271641DB" w14:textId="77777777" w:rsidR="00EA1D4B" w:rsidRPr="00AE5A70" w:rsidRDefault="00EA1D4B" w:rsidP="0081643E">
            <w:pPr>
              <w:pStyle w:val="Tableheading-white"/>
              <w:rPr>
                <w:color w:val="auto"/>
                <w:szCs w:val="18"/>
              </w:rPr>
            </w:pPr>
            <w:r w:rsidRPr="00AE5A70">
              <w:rPr>
                <w:color w:val="auto"/>
                <w:szCs w:val="18"/>
              </w:rPr>
              <w:t>Why</w:t>
            </w:r>
          </w:p>
        </w:tc>
      </w:tr>
      <w:tr w:rsidR="00B23757" w:rsidRPr="00AE5A70" w14:paraId="66E55DC6" w14:textId="77777777" w:rsidTr="009341EF">
        <w:tc>
          <w:tcPr>
            <w:tcW w:w="2001" w:type="dxa"/>
            <w:tcBorders>
              <w:top w:val="single" w:sz="4" w:space="0" w:color="B66113"/>
            </w:tcBorders>
          </w:tcPr>
          <w:p w14:paraId="5C60A732" w14:textId="77777777" w:rsidR="00EA1D4B" w:rsidRPr="00AE5A70" w:rsidRDefault="00EA1D4B" w:rsidP="009341EF">
            <w:pPr>
              <w:spacing w:before="0" w:after="0" w:line="240" w:lineRule="auto"/>
              <w:rPr>
                <w:sz w:val="18"/>
                <w:szCs w:val="18"/>
              </w:rPr>
            </w:pPr>
            <w:r w:rsidRPr="00AE5A70">
              <w:rPr>
                <w:sz w:val="18"/>
                <w:szCs w:val="18"/>
              </w:rPr>
              <w:t>729</w:t>
            </w:r>
          </w:p>
          <w:p w14:paraId="02FB0DCC" w14:textId="77777777" w:rsidR="00EA1D4B" w:rsidRPr="00AE5A70" w:rsidRDefault="00EA1D4B" w:rsidP="009341EF">
            <w:pPr>
              <w:spacing w:before="0" w:after="0" w:line="240" w:lineRule="auto"/>
              <w:rPr>
                <w:sz w:val="18"/>
                <w:szCs w:val="18"/>
              </w:rPr>
            </w:pPr>
          </w:p>
          <w:p w14:paraId="744CFC69" w14:textId="77777777" w:rsidR="00EA1D4B" w:rsidRPr="00AE5A70" w:rsidRDefault="00EA1D4B" w:rsidP="009341EF">
            <w:pPr>
              <w:spacing w:before="0" w:after="0" w:line="240" w:lineRule="auto"/>
              <w:rPr>
                <w:sz w:val="18"/>
                <w:szCs w:val="18"/>
              </w:rPr>
            </w:pPr>
            <w:r w:rsidRPr="00AE5A70">
              <w:rPr>
                <w:sz w:val="18"/>
                <w:szCs w:val="18"/>
              </w:rPr>
              <w:t xml:space="preserve">735,739 and 743 </w:t>
            </w:r>
          </w:p>
        </w:tc>
        <w:tc>
          <w:tcPr>
            <w:tcW w:w="2889" w:type="dxa"/>
            <w:tcBorders>
              <w:top w:val="single" w:sz="4" w:space="0" w:color="B66113"/>
            </w:tcBorders>
          </w:tcPr>
          <w:p w14:paraId="487C35EB" w14:textId="77777777" w:rsidR="00EA1D4B" w:rsidRPr="00AE5A70" w:rsidRDefault="00EA1D4B" w:rsidP="009341EF">
            <w:pPr>
              <w:spacing w:before="0" w:after="0" w:line="240" w:lineRule="auto"/>
              <w:rPr>
                <w:sz w:val="18"/>
                <w:szCs w:val="18"/>
              </w:rPr>
            </w:pPr>
            <w:r w:rsidRPr="00AE5A70">
              <w:rPr>
                <w:sz w:val="18"/>
                <w:szCs w:val="18"/>
              </w:rPr>
              <w:t>GP contribution to MDT plan developed by another practitioner</w:t>
            </w:r>
          </w:p>
          <w:p w14:paraId="602D46D2" w14:textId="77777777" w:rsidR="00EA1D4B" w:rsidRPr="00AE5A70" w:rsidRDefault="00EA1D4B" w:rsidP="009341EF">
            <w:pPr>
              <w:spacing w:before="0" w:after="0" w:line="240" w:lineRule="auto"/>
              <w:rPr>
                <w:sz w:val="18"/>
                <w:szCs w:val="18"/>
              </w:rPr>
            </w:pPr>
            <w:r w:rsidRPr="00AE5A70">
              <w:rPr>
                <w:sz w:val="18"/>
                <w:szCs w:val="18"/>
              </w:rPr>
              <w:t xml:space="preserve">Enables case conferencing between practitioners to: </w:t>
            </w:r>
          </w:p>
          <w:p w14:paraId="4402C6F2" w14:textId="77777777" w:rsidR="00EA1D4B" w:rsidRPr="00AE5A70" w:rsidRDefault="00EA1D4B" w:rsidP="009341EF">
            <w:pPr>
              <w:spacing w:before="0" w:after="0" w:line="240" w:lineRule="auto"/>
              <w:rPr>
                <w:sz w:val="18"/>
                <w:szCs w:val="18"/>
              </w:rPr>
            </w:pPr>
            <w:r w:rsidRPr="00AE5A70">
              <w:rPr>
                <w:sz w:val="18"/>
                <w:szCs w:val="18"/>
              </w:rPr>
              <w:t xml:space="preserve">(a) discuss a patient’s history; </w:t>
            </w:r>
          </w:p>
          <w:p w14:paraId="399717E4" w14:textId="77777777" w:rsidR="00EA1D4B" w:rsidRPr="00AE5A70" w:rsidRDefault="00EA1D4B" w:rsidP="009341EF">
            <w:pPr>
              <w:spacing w:before="0" w:after="0" w:line="240" w:lineRule="auto"/>
              <w:rPr>
                <w:sz w:val="18"/>
                <w:szCs w:val="18"/>
              </w:rPr>
            </w:pPr>
            <w:r w:rsidRPr="00AE5A70">
              <w:rPr>
                <w:sz w:val="18"/>
                <w:szCs w:val="18"/>
              </w:rPr>
              <w:t>(b) identify the patient’s MDT care needs;</w:t>
            </w:r>
          </w:p>
          <w:p w14:paraId="747C67D5" w14:textId="77777777" w:rsidR="00EA1D4B" w:rsidRPr="00AE5A70" w:rsidRDefault="00EA1D4B" w:rsidP="009341EF">
            <w:pPr>
              <w:spacing w:before="0" w:after="0" w:line="240" w:lineRule="auto"/>
              <w:rPr>
                <w:sz w:val="18"/>
                <w:szCs w:val="18"/>
              </w:rPr>
            </w:pPr>
            <w:r w:rsidRPr="00AE5A70">
              <w:rPr>
                <w:sz w:val="18"/>
                <w:szCs w:val="18"/>
              </w:rPr>
              <w:t>(c) identify outcomes to be achieved by members of the case conference team giving care and service to the patient;</w:t>
            </w:r>
          </w:p>
          <w:p w14:paraId="63A846B2" w14:textId="77777777" w:rsidR="00EA1D4B" w:rsidRPr="00AE5A70" w:rsidRDefault="00EA1D4B" w:rsidP="009341EF">
            <w:pPr>
              <w:spacing w:before="0" w:after="0" w:line="240" w:lineRule="auto"/>
              <w:rPr>
                <w:sz w:val="18"/>
                <w:szCs w:val="18"/>
              </w:rPr>
            </w:pPr>
            <w:r w:rsidRPr="00AE5A70">
              <w:rPr>
                <w:sz w:val="18"/>
                <w:szCs w:val="18"/>
              </w:rPr>
              <w:t>(d) identify tasks that need to be undertaken to achieve these outcomes, and allocates those tasks to members of the case conference team; and</w:t>
            </w:r>
          </w:p>
          <w:p w14:paraId="49ACFF4B" w14:textId="77777777" w:rsidR="00EA1D4B" w:rsidRPr="00AE5A70" w:rsidRDefault="00EA1D4B" w:rsidP="009341EF">
            <w:pPr>
              <w:spacing w:before="0" w:after="0" w:line="240" w:lineRule="auto"/>
              <w:rPr>
                <w:sz w:val="18"/>
                <w:szCs w:val="18"/>
              </w:rPr>
            </w:pPr>
            <w:r w:rsidRPr="00AE5A70">
              <w:rPr>
                <w:sz w:val="18"/>
                <w:szCs w:val="18"/>
              </w:rPr>
              <w:t>(e) assess whether previously identified outcomes (if any) have been achieved.</w:t>
            </w:r>
          </w:p>
        </w:tc>
        <w:tc>
          <w:tcPr>
            <w:tcW w:w="2776" w:type="dxa"/>
            <w:tcBorders>
              <w:top w:val="single" w:sz="4" w:space="0" w:color="B66113"/>
            </w:tcBorders>
          </w:tcPr>
          <w:p w14:paraId="0CCAB7EA" w14:textId="77777777" w:rsidR="00EA1D4B" w:rsidRPr="00AE5A70" w:rsidRDefault="00EA1D4B" w:rsidP="009341EF">
            <w:pPr>
              <w:spacing w:before="0" w:after="0" w:line="240" w:lineRule="auto"/>
              <w:rPr>
                <w:sz w:val="18"/>
                <w:szCs w:val="18"/>
              </w:rPr>
            </w:pPr>
            <w:r w:rsidRPr="00AE5A70">
              <w:rPr>
                <w:sz w:val="18"/>
                <w:szCs w:val="18"/>
              </w:rPr>
              <w:t>The Working Group requests that the Allied Health Reference Group investigate and consider expanding access to provide multidisciplinary team (MDT) case conference MBS items 735, 739, 743 and to item 729 (contribution to a MDT care plan prepared by another practitioner) to allied health professionals who are trained in the treatment of eating disorders.</w:t>
            </w:r>
            <w:r w:rsidRPr="00AE5A70">
              <w:rPr>
                <w:sz w:val="18"/>
                <w:szCs w:val="18"/>
              </w:rPr>
              <w:footnoteReference w:id="94"/>
            </w:r>
            <w:r w:rsidRPr="00AE5A70">
              <w:rPr>
                <w:sz w:val="18"/>
                <w:szCs w:val="18"/>
              </w:rPr>
              <w:t xml:space="preserve"> </w:t>
            </w:r>
          </w:p>
        </w:tc>
        <w:tc>
          <w:tcPr>
            <w:tcW w:w="2658" w:type="dxa"/>
            <w:tcBorders>
              <w:top w:val="single" w:sz="4" w:space="0" w:color="B66113"/>
            </w:tcBorders>
          </w:tcPr>
          <w:p w14:paraId="57FE536A" w14:textId="77777777" w:rsidR="00EA1D4B" w:rsidRPr="00AE5A70" w:rsidRDefault="00EA1D4B" w:rsidP="009341EF">
            <w:pPr>
              <w:spacing w:before="0" w:after="0" w:line="240" w:lineRule="auto"/>
              <w:rPr>
                <w:rFonts w:ascii="Calibri" w:eastAsia="Calibri" w:hAnsi="Calibri" w:cs="Calibri"/>
                <w:sz w:val="18"/>
                <w:szCs w:val="18"/>
              </w:rPr>
            </w:pPr>
            <w:r w:rsidRPr="00AE5A70">
              <w:rPr>
                <w:sz w:val="18"/>
                <w:szCs w:val="18"/>
              </w:rPr>
              <w:t xml:space="preserve">The Working group requests that the expert committee looking at the MBS items for allied health consider issues around remunerating allied health and mental health practitioners for their participation in case conferences and for contributing to MDT plans. If changes were made to enable allied health and mental health practitioners to provide services under these items, it would enable patients to receive Medicare benefits for these services.  </w:t>
            </w:r>
            <w:r w:rsidRPr="00AE5A70">
              <w:rPr>
                <w:rFonts w:ascii="Calibri" w:eastAsia="Calibri" w:hAnsi="Calibri" w:cs="Calibri"/>
                <w:sz w:val="18"/>
                <w:szCs w:val="18"/>
              </w:rPr>
              <w:t xml:space="preserve">   </w:t>
            </w:r>
          </w:p>
          <w:p w14:paraId="52D2E751" w14:textId="77777777" w:rsidR="00EA1D4B" w:rsidRPr="00AE5A70" w:rsidRDefault="00EA1D4B" w:rsidP="009341EF">
            <w:pPr>
              <w:spacing w:before="0" w:after="0" w:line="240" w:lineRule="auto"/>
              <w:rPr>
                <w:rFonts w:ascii="Calibri" w:eastAsia="Calibri" w:hAnsi="Calibri" w:cs="Calibri"/>
                <w:sz w:val="18"/>
                <w:szCs w:val="18"/>
              </w:rPr>
            </w:pPr>
            <w:r w:rsidRPr="00AE5A70">
              <w:rPr>
                <w:sz w:val="18"/>
                <w:szCs w:val="18"/>
              </w:rPr>
              <w:t xml:space="preserve">Currently only medical practitioners are remunerated through the MBS for their involvement in a MDT case conference. Similarly, currently Medicare rebates are only available for medical practitioners to contribute to a MDT plan. </w:t>
            </w:r>
            <w:r w:rsidRPr="00AE5A70">
              <w:rPr>
                <w:rFonts w:ascii="Calibri" w:eastAsia="Calibri" w:hAnsi="Calibri" w:cs="Calibri"/>
                <w:sz w:val="18"/>
                <w:szCs w:val="18"/>
              </w:rPr>
              <w:t xml:space="preserve">  </w:t>
            </w:r>
          </w:p>
          <w:p w14:paraId="0000F827" w14:textId="77777777" w:rsidR="00EA1D4B" w:rsidRPr="00AE5A70" w:rsidRDefault="00EA1D4B" w:rsidP="009341EF">
            <w:pPr>
              <w:spacing w:before="0" w:after="0" w:line="240" w:lineRule="auto"/>
              <w:rPr>
                <w:sz w:val="18"/>
                <w:szCs w:val="18"/>
              </w:rPr>
            </w:pPr>
          </w:p>
        </w:tc>
        <w:tc>
          <w:tcPr>
            <w:tcW w:w="3136" w:type="dxa"/>
            <w:tcBorders>
              <w:top w:val="single" w:sz="4" w:space="0" w:color="B66113"/>
            </w:tcBorders>
          </w:tcPr>
          <w:p w14:paraId="403CAEF5" w14:textId="77777777" w:rsidR="00EA1D4B" w:rsidRPr="00AE5A70" w:rsidRDefault="00EA1D4B" w:rsidP="009341EF">
            <w:pPr>
              <w:spacing w:before="0" w:after="0" w:line="240" w:lineRule="auto"/>
              <w:rPr>
                <w:sz w:val="18"/>
                <w:szCs w:val="18"/>
              </w:rPr>
            </w:pPr>
            <w:r w:rsidRPr="00AE5A70">
              <w:rPr>
                <w:sz w:val="18"/>
                <w:szCs w:val="18"/>
              </w:rPr>
              <w:t>The safe treatment of an eating disorder is best provided by a MDT and often multiple service agencies. Strong relationships and frequent communication between the treatment providers prevents deterioration in the patient’s physical and mental health, and reduces the likelihood of chronicity and hospitalisation.</w:t>
            </w:r>
          </w:p>
          <w:p w14:paraId="7310CF15" w14:textId="77777777" w:rsidR="00EA1D4B" w:rsidRPr="00AE5A70" w:rsidRDefault="00EA1D4B" w:rsidP="009341EF">
            <w:pPr>
              <w:spacing w:before="0" w:after="0" w:line="240" w:lineRule="auto"/>
              <w:rPr>
                <w:sz w:val="18"/>
                <w:szCs w:val="18"/>
              </w:rPr>
            </w:pPr>
            <w:r w:rsidRPr="00AE5A70">
              <w:rPr>
                <w:sz w:val="18"/>
                <w:szCs w:val="18"/>
              </w:rPr>
              <w:t>The availability of Medicare rebates will assist in the promotion of MDT collaboration.</w:t>
            </w:r>
          </w:p>
        </w:tc>
      </w:tr>
    </w:tbl>
    <w:p w14:paraId="084B6C98" w14:textId="77777777" w:rsidR="00967092" w:rsidRPr="00AE5A70" w:rsidRDefault="00967092" w:rsidP="00133FB5">
      <w:pPr>
        <w:spacing w:before="0" w:after="0" w:line="240" w:lineRule="auto"/>
        <w:rPr>
          <w:b/>
          <w:sz w:val="18"/>
          <w:szCs w:val="18"/>
        </w:rPr>
      </w:pPr>
    </w:p>
    <w:p w14:paraId="5091B9C4" w14:textId="77777777" w:rsidR="00967092" w:rsidRPr="00AE5A70" w:rsidRDefault="00967092" w:rsidP="00967092">
      <w:pPr>
        <w:spacing w:before="0" w:after="0" w:line="240" w:lineRule="auto"/>
        <w:rPr>
          <w:b/>
          <w:sz w:val="18"/>
          <w:szCs w:val="18"/>
        </w:rPr>
      </w:pPr>
    </w:p>
    <w:tbl>
      <w:tblPr>
        <w:tblStyle w:val="TableGrid"/>
        <w:tblpPr w:leftFromText="180" w:rightFromText="180" w:vertAnchor="page" w:horzAnchor="margin" w:tblpY="16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638"/>
        <w:gridCol w:w="2592"/>
        <w:gridCol w:w="3185"/>
        <w:gridCol w:w="2997"/>
        <w:gridCol w:w="3030"/>
      </w:tblGrid>
      <w:tr w:rsidR="00AE5A70" w:rsidRPr="00AE5A70" w14:paraId="1E335E27" w14:textId="77777777" w:rsidTr="009341EF">
        <w:trPr>
          <w:trHeight w:val="24"/>
          <w:tblHeader/>
        </w:trPr>
        <w:tc>
          <w:tcPr>
            <w:tcW w:w="13442" w:type="dxa"/>
            <w:gridSpan w:val="5"/>
            <w:shd w:val="clear" w:color="auto" w:fill="auto"/>
          </w:tcPr>
          <w:p w14:paraId="0190770A" w14:textId="77777777" w:rsidR="00967092" w:rsidRPr="00AE5A70" w:rsidRDefault="00967092" w:rsidP="00E40606">
            <w:pPr>
              <w:spacing w:before="0" w:after="0" w:line="240" w:lineRule="auto"/>
              <w:rPr>
                <w:szCs w:val="18"/>
              </w:rPr>
            </w:pPr>
            <w:r w:rsidRPr="00AE5A70">
              <w:rPr>
                <w:b/>
                <w:sz w:val="18"/>
                <w:szCs w:val="18"/>
              </w:rPr>
              <w:t>Recommendation 2.2</w:t>
            </w:r>
          </w:p>
        </w:tc>
      </w:tr>
      <w:tr w:rsidR="00AE5A70" w:rsidRPr="00AE5A70" w14:paraId="237549EE" w14:textId="77777777" w:rsidTr="009341EF">
        <w:trPr>
          <w:trHeight w:val="44"/>
          <w:tblHeader/>
        </w:trPr>
        <w:tc>
          <w:tcPr>
            <w:tcW w:w="1638" w:type="dxa"/>
            <w:shd w:val="clear" w:color="auto" w:fill="B66113"/>
          </w:tcPr>
          <w:p w14:paraId="33AFB564" w14:textId="77777777" w:rsidR="00967092" w:rsidRPr="00AE5A70" w:rsidRDefault="00967092" w:rsidP="00967092">
            <w:pPr>
              <w:pStyle w:val="Tableheading-white"/>
              <w:rPr>
                <w:color w:val="auto"/>
                <w:szCs w:val="18"/>
              </w:rPr>
            </w:pPr>
            <w:r w:rsidRPr="00AE5A70">
              <w:rPr>
                <w:color w:val="auto"/>
                <w:szCs w:val="18"/>
              </w:rPr>
              <w:t>Item</w:t>
            </w:r>
          </w:p>
        </w:tc>
        <w:tc>
          <w:tcPr>
            <w:tcW w:w="2592" w:type="dxa"/>
            <w:shd w:val="clear" w:color="auto" w:fill="B66113"/>
          </w:tcPr>
          <w:p w14:paraId="76CE9DA5" w14:textId="77777777" w:rsidR="00967092" w:rsidRPr="00AE5A70" w:rsidRDefault="00967092" w:rsidP="00967092">
            <w:pPr>
              <w:pStyle w:val="Tableheading-white"/>
              <w:rPr>
                <w:color w:val="auto"/>
                <w:szCs w:val="18"/>
              </w:rPr>
            </w:pPr>
            <w:r w:rsidRPr="00AE5A70">
              <w:rPr>
                <w:color w:val="auto"/>
                <w:szCs w:val="18"/>
              </w:rPr>
              <w:t>What it does</w:t>
            </w:r>
          </w:p>
        </w:tc>
        <w:tc>
          <w:tcPr>
            <w:tcW w:w="3185" w:type="dxa"/>
            <w:shd w:val="clear" w:color="auto" w:fill="B66113"/>
          </w:tcPr>
          <w:p w14:paraId="6F82C31B" w14:textId="77777777" w:rsidR="00967092" w:rsidRPr="00AE5A70" w:rsidRDefault="00967092" w:rsidP="00967092">
            <w:pPr>
              <w:pStyle w:val="Tableheading-white"/>
              <w:rPr>
                <w:color w:val="auto"/>
                <w:szCs w:val="18"/>
              </w:rPr>
            </w:pPr>
            <w:r w:rsidRPr="00AE5A70">
              <w:rPr>
                <w:color w:val="auto"/>
                <w:szCs w:val="18"/>
              </w:rPr>
              <w:t>Committee recommendation</w:t>
            </w:r>
          </w:p>
        </w:tc>
        <w:tc>
          <w:tcPr>
            <w:tcW w:w="2997" w:type="dxa"/>
            <w:shd w:val="clear" w:color="auto" w:fill="B66113"/>
          </w:tcPr>
          <w:p w14:paraId="0683C44B" w14:textId="77777777" w:rsidR="00967092" w:rsidRPr="00AE5A70" w:rsidRDefault="00967092" w:rsidP="00967092">
            <w:pPr>
              <w:pStyle w:val="Tableheading-white"/>
              <w:rPr>
                <w:color w:val="auto"/>
                <w:szCs w:val="18"/>
              </w:rPr>
            </w:pPr>
            <w:r w:rsidRPr="00AE5A70">
              <w:rPr>
                <w:color w:val="auto"/>
                <w:szCs w:val="18"/>
              </w:rPr>
              <w:t>What would be different</w:t>
            </w:r>
          </w:p>
        </w:tc>
        <w:tc>
          <w:tcPr>
            <w:tcW w:w="3029" w:type="dxa"/>
            <w:shd w:val="clear" w:color="auto" w:fill="B66113"/>
          </w:tcPr>
          <w:p w14:paraId="080E30DD" w14:textId="77777777" w:rsidR="00967092" w:rsidRPr="00AE5A70" w:rsidRDefault="00967092" w:rsidP="00967092">
            <w:pPr>
              <w:pStyle w:val="Tableheading-white"/>
              <w:rPr>
                <w:color w:val="auto"/>
                <w:szCs w:val="18"/>
              </w:rPr>
            </w:pPr>
            <w:r w:rsidRPr="00AE5A70">
              <w:rPr>
                <w:color w:val="auto"/>
                <w:szCs w:val="18"/>
              </w:rPr>
              <w:t>Why</w:t>
            </w:r>
          </w:p>
        </w:tc>
      </w:tr>
      <w:tr w:rsidR="00AE5A70" w:rsidRPr="00AE5A70" w14:paraId="04093FE5" w14:textId="77777777" w:rsidTr="009341EF">
        <w:trPr>
          <w:trHeight w:val="522"/>
        </w:trPr>
        <w:tc>
          <w:tcPr>
            <w:tcW w:w="1638" w:type="dxa"/>
            <w:shd w:val="clear" w:color="auto" w:fill="auto"/>
          </w:tcPr>
          <w:p w14:paraId="65A1F96A" w14:textId="77777777" w:rsidR="00967092" w:rsidRPr="00AE5A70" w:rsidRDefault="00967092" w:rsidP="009341EF">
            <w:pPr>
              <w:spacing w:before="0" w:after="0" w:line="240" w:lineRule="auto"/>
              <w:rPr>
                <w:rFonts w:ascii="Arial" w:eastAsia="Arial" w:hAnsi="Arial" w:cs="Arial"/>
                <w:b/>
                <w:bCs/>
                <w:sz w:val="18"/>
                <w:szCs w:val="18"/>
                <w:lang w:val="en-US" w:eastAsia="en-US"/>
              </w:rPr>
            </w:pPr>
            <w:r w:rsidRPr="00AE5A70">
              <w:rPr>
                <w:sz w:val="18"/>
                <w:szCs w:val="18"/>
              </w:rPr>
              <w:t>80100-80171</w:t>
            </w:r>
            <w:r w:rsidR="00067123">
              <w:rPr>
                <w:sz w:val="18"/>
                <w:szCs w:val="18"/>
              </w:rPr>
              <w:t xml:space="preserve"> and any new items created </w:t>
            </w:r>
          </w:p>
        </w:tc>
        <w:tc>
          <w:tcPr>
            <w:tcW w:w="2592" w:type="dxa"/>
            <w:shd w:val="clear" w:color="auto" w:fill="auto"/>
          </w:tcPr>
          <w:p w14:paraId="11EA3C11" w14:textId="77777777" w:rsidR="00967092" w:rsidRPr="00AE5A70" w:rsidRDefault="00EF54A3" w:rsidP="009341EF">
            <w:pPr>
              <w:spacing w:before="0" w:after="0" w:line="240" w:lineRule="auto"/>
              <w:rPr>
                <w:b/>
                <w:sz w:val="18"/>
                <w:szCs w:val="18"/>
              </w:rPr>
            </w:pPr>
            <w:r w:rsidRPr="00AE5A70">
              <w:rPr>
                <w:sz w:val="18"/>
                <w:szCs w:val="18"/>
              </w:rPr>
              <w:t>These items provide for the delivery of focussed psychological strategies by mental health professionals.</w:t>
            </w:r>
          </w:p>
        </w:tc>
        <w:tc>
          <w:tcPr>
            <w:tcW w:w="3185" w:type="dxa"/>
            <w:shd w:val="clear" w:color="auto" w:fill="auto"/>
          </w:tcPr>
          <w:p w14:paraId="620F0282" w14:textId="77777777" w:rsidR="00967092" w:rsidRPr="00F67A8F" w:rsidRDefault="00F67A8F" w:rsidP="009341EF">
            <w:pPr>
              <w:spacing w:before="0" w:after="0" w:line="240" w:lineRule="auto"/>
              <w:rPr>
                <w:sz w:val="18"/>
                <w:szCs w:val="18"/>
              </w:rPr>
            </w:pPr>
            <w:r w:rsidRPr="009341EF">
              <w:rPr>
                <w:sz w:val="18"/>
                <w:szCs w:val="18"/>
              </w:rPr>
              <w:t>Allow appropriately trained practitioners to provide family-based therapy (FBT) under the items for focussed psychological strategy services and any new psychological services provided under the new MBS items (to which recommendation 1.2 refers). FBT should be delivered in line with the evidence base in this area. FBT services will count towards the patient’s allocation of psychological services provided through the new MBS items.</w:t>
            </w:r>
          </w:p>
        </w:tc>
        <w:tc>
          <w:tcPr>
            <w:tcW w:w="2997" w:type="dxa"/>
            <w:shd w:val="clear" w:color="auto" w:fill="auto"/>
          </w:tcPr>
          <w:p w14:paraId="74E0271D" w14:textId="77777777" w:rsidR="00967092" w:rsidRPr="00AE5A70" w:rsidRDefault="00967092" w:rsidP="009341EF">
            <w:pPr>
              <w:spacing w:before="0" w:after="0" w:line="240" w:lineRule="auto"/>
              <w:rPr>
                <w:sz w:val="18"/>
                <w:szCs w:val="18"/>
              </w:rPr>
            </w:pPr>
            <w:r w:rsidRPr="00AE5A70">
              <w:rPr>
                <w:sz w:val="18"/>
                <w:szCs w:val="18"/>
              </w:rPr>
              <w:t xml:space="preserve">Allows appropriately trained practitioners </w:t>
            </w:r>
            <w:r w:rsidR="001A2082">
              <w:rPr>
                <w:sz w:val="18"/>
                <w:szCs w:val="18"/>
              </w:rPr>
              <w:t>to</w:t>
            </w:r>
            <w:r w:rsidRPr="00AE5A70">
              <w:rPr>
                <w:sz w:val="18"/>
                <w:szCs w:val="18"/>
              </w:rPr>
              <w:t xml:space="preserve"> provide the family based therapy. </w:t>
            </w:r>
          </w:p>
        </w:tc>
        <w:tc>
          <w:tcPr>
            <w:tcW w:w="3029" w:type="dxa"/>
            <w:shd w:val="clear" w:color="auto" w:fill="auto"/>
          </w:tcPr>
          <w:p w14:paraId="56498755" w14:textId="77777777" w:rsidR="00967092" w:rsidRPr="00AE5A70" w:rsidRDefault="00967092" w:rsidP="009341EF">
            <w:pPr>
              <w:spacing w:before="0" w:after="0" w:line="240" w:lineRule="auto"/>
              <w:rPr>
                <w:sz w:val="18"/>
                <w:szCs w:val="18"/>
              </w:rPr>
            </w:pPr>
            <w:r w:rsidRPr="00AE5A70">
              <w:rPr>
                <w:sz w:val="18"/>
                <w:szCs w:val="18"/>
              </w:rPr>
              <w:t xml:space="preserve">The family are usually an integral part of the decision-making process and this increases access to family centric care. </w:t>
            </w:r>
          </w:p>
          <w:p w14:paraId="5DD9B533" w14:textId="77777777" w:rsidR="00967092" w:rsidRPr="00AE5A70" w:rsidRDefault="00967092" w:rsidP="009341EF">
            <w:pPr>
              <w:spacing w:before="0" w:after="0" w:line="240" w:lineRule="auto"/>
              <w:rPr>
                <w:sz w:val="18"/>
                <w:szCs w:val="18"/>
              </w:rPr>
            </w:pPr>
            <w:r w:rsidRPr="00AE5A70">
              <w:rPr>
                <w:sz w:val="18"/>
                <w:szCs w:val="18"/>
              </w:rPr>
              <w:t>Family based therapy can supports the family throughout the diagnosis and assessment. Families are also usually the support unit that help to bridge the gap between initial diagnosis and eating disorder specific treatment.</w:t>
            </w:r>
          </w:p>
        </w:tc>
      </w:tr>
    </w:tbl>
    <w:p w14:paraId="71E4E9EA" w14:textId="77777777" w:rsidR="00F50F4E" w:rsidRPr="00AE5A70" w:rsidRDefault="00F50F4E" w:rsidP="00F50F4E">
      <w:pPr>
        <w:spacing w:before="0" w:after="0" w:line="240" w:lineRule="auto"/>
        <w:rPr>
          <w:sz w:val="18"/>
          <w:szCs w:val="18"/>
        </w:rPr>
      </w:pPr>
    </w:p>
    <w:p w14:paraId="75EE98E9" w14:textId="77777777" w:rsidR="00F50F4E" w:rsidRPr="00AE5A70" w:rsidRDefault="00F50F4E">
      <w:pPr>
        <w:spacing w:before="0" w:after="0" w:line="240" w:lineRule="auto"/>
        <w:rPr>
          <w:sz w:val="18"/>
          <w:szCs w:val="18"/>
        </w:rPr>
      </w:pPr>
      <w:r w:rsidRPr="00AE5A70">
        <w:rPr>
          <w:sz w:val="18"/>
          <w:szCs w:val="18"/>
        </w:rPr>
        <w:br w:type="page"/>
      </w:r>
    </w:p>
    <w:p w14:paraId="5D6D19DB" w14:textId="77777777" w:rsidR="00967092" w:rsidRPr="00AE5A70" w:rsidRDefault="00967092" w:rsidP="00F50F4E">
      <w:pPr>
        <w:spacing w:before="0" w:after="0" w:line="240" w:lineRule="auto"/>
        <w:rPr>
          <w:sz w:val="18"/>
          <w:szCs w:val="18"/>
        </w:rPr>
      </w:pPr>
    </w:p>
    <w:tbl>
      <w:tblPr>
        <w:tblStyle w:val="TableGrid"/>
        <w:tblpPr w:leftFromText="180" w:rightFromText="180" w:vertAnchor="page" w:horzAnchor="margin" w:tblpY="1835"/>
        <w:tblW w:w="14283"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557"/>
        <w:gridCol w:w="2412"/>
        <w:gridCol w:w="2453"/>
        <w:gridCol w:w="3395"/>
        <w:gridCol w:w="4466"/>
      </w:tblGrid>
      <w:tr w:rsidR="00AE5A70" w:rsidRPr="00AE5A70" w14:paraId="33E44366" w14:textId="77777777" w:rsidTr="00F50F4E">
        <w:trPr>
          <w:cantSplit/>
          <w:tblHeader/>
        </w:trPr>
        <w:tc>
          <w:tcPr>
            <w:tcW w:w="14283" w:type="dxa"/>
            <w:gridSpan w:val="5"/>
            <w:tcBorders>
              <w:top w:val="nil"/>
              <w:bottom w:val="nil"/>
            </w:tcBorders>
            <w:shd w:val="clear" w:color="auto" w:fill="auto"/>
          </w:tcPr>
          <w:p w14:paraId="3D85C019" w14:textId="77777777" w:rsidR="00F50F4E" w:rsidRPr="00AE5A70" w:rsidRDefault="00F50F4E" w:rsidP="00F50F4E">
            <w:pPr>
              <w:spacing w:before="0" w:after="0" w:line="240" w:lineRule="auto"/>
              <w:rPr>
                <w:b/>
                <w:sz w:val="18"/>
                <w:szCs w:val="18"/>
              </w:rPr>
            </w:pPr>
            <w:r w:rsidRPr="00AE5A70">
              <w:rPr>
                <w:b/>
                <w:sz w:val="18"/>
                <w:szCs w:val="18"/>
              </w:rPr>
              <w:t>Recommendation 2.3</w:t>
            </w:r>
          </w:p>
          <w:p w14:paraId="4F275B3E" w14:textId="77777777" w:rsidR="00F50F4E" w:rsidRPr="00AE5A70" w:rsidRDefault="00F50F4E" w:rsidP="00F50F4E">
            <w:pPr>
              <w:spacing w:before="0" w:after="0" w:line="240" w:lineRule="auto"/>
              <w:rPr>
                <w:b/>
                <w:sz w:val="18"/>
                <w:szCs w:val="18"/>
              </w:rPr>
            </w:pPr>
          </w:p>
        </w:tc>
      </w:tr>
      <w:tr w:rsidR="00AE5A70" w:rsidRPr="00AE5A70" w14:paraId="55813D61" w14:textId="77777777" w:rsidTr="00F50F4E">
        <w:trPr>
          <w:cantSplit/>
          <w:tblHeader/>
        </w:trPr>
        <w:tc>
          <w:tcPr>
            <w:tcW w:w="1557" w:type="dxa"/>
            <w:tcBorders>
              <w:top w:val="nil"/>
              <w:bottom w:val="single" w:sz="4" w:space="0" w:color="B66113"/>
            </w:tcBorders>
            <w:shd w:val="clear" w:color="auto" w:fill="B66113"/>
          </w:tcPr>
          <w:p w14:paraId="56FA6CC8" w14:textId="77777777" w:rsidR="00F50F4E" w:rsidRPr="00AE5A70" w:rsidRDefault="00F50F4E" w:rsidP="00F50F4E">
            <w:pPr>
              <w:pStyle w:val="Tableheading-white"/>
              <w:rPr>
                <w:color w:val="auto"/>
                <w:szCs w:val="18"/>
              </w:rPr>
            </w:pPr>
            <w:r w:rsidRPr="00AE5A70">
              <w:rPr>
                <w:color w:val="auto"/>
                <w:szCs w:val="18"/>
              </w:rPr>
              <w:t>Item</w:t>
            </w:r>
          </w:p>
        </w:tc>
        <w:tc>
          <w:tcPr>
            <w:tcW w:w="2412" w:type="dxa"/>
            <w:tcBorders>
              <w:top w:val="nil"/>
              <w:bottom w:val="single" w:sz="4" w:space="0" w:color="B66113"/>
            </w:tcBorders>
            <w:shd w:val="clear" w:color="auto" w:fill="B66113"/>
          </w:tcPr>
          <w:p w14:paraId="602C0E7E" w14:textId="77777777" w:rsidR="00F50F4E" w:rsidRPr="00AE5A70" w:rsidRDefault="00F50F4E" w:rsidP="00F50F4E">
            <w:pPr>
              <w:pStyle w:val="Tableheading-white"/>
              <w:rPr>
                <w:color w:val="auto"/>
                <w:szCs w:val="18"/>
              </w:rPr>
            </w:pPr>
            <w:r w:rsidRPr="00AE5A70">
              <w:rPr>
                <w:color w:val="auto"/>
                <w:szCs w:val="18"/>
              </w:rPr>
              <w:t>What it does</w:t>
            </w:r>
          </w:p>
        </w:tc>
        <w:tc>
          <w:tcPr>
            <w:tcW w:w="2453" w:type="dxa"/>
            <w:tcBorders>
              <w:top w:val="nil"/>
              <w:bottom w:val="single" w:sz="4" w:space="0" w:color="B66113"/>
            </w:tcBorders>
            <w:shd w:val="clear" w:color="auto" w:fill="B66113"/>
          </w:tcPr>
          <w:p w14:paraId="1534EFD0" w14:textId="77777777" w:rsidR="00F50F4E" w:rsidRPr="00AE5A70" w:rsidRDefault="00F50F4E" w:rsidP="00F50F4E">
            <w:pPr>
              <w:pStyle w:val="Tableheading-white"/>
              <w:rPr>
                <w:color w:val="auto"/>
                <w:szCs w:val="18"/>
              </w:rPr>
            </w:pPr>
            <w:r w:rsidRPr="00AE5A70">
              <w:rPr>
                <w:color w:val="auto"/>
                <w:szCs w:val="18"/>
              </w:rPr>
              <w:t>Committee recommendation</w:t>
            </w:r>
          </w:p>
        </w:tc>
        <w:tc>
          <w:tcPr>
            <w:tcW w:w="3395" w:type="dxa"/>
            <w:tcBorders>
              <w:top w:val="nil"/>
              <w:bottom w:val="single" w:sz="4" w:space="0" w:color="B66113"/>
            </w:tcBorders>
            <w:shd w:val="clear" w:color="auto" w:fill="B66113"/>
          </w:tcPr>
          <w:p w14:paraId="2AE0B197" w14:textId="77777777" w:rsidR="00F50F4E" w:rsidRPr="00AE5A70" w:rsidRDefault="00F50F4E" w:rsidP="00F50F4E">
            <w:pPr>
              <w:pStyle w:val="Tableheading-white"/>
              <w:rPr>
                <w:color w:val="auto"/>
                <w:szCs w:val="18"/>
              </w:rPr>
            </w:pPr>
            <w:r w:rsidRPr="00AE5A70">
              <w:rPr>
                <w:color w:val="auto"/>
                <w:szCs w:val="18"/>
              </w:rPr>
              <w:t>What would be different</w:t>
            </w:r>
          </w:p>
        </w:tc>
        <w:tc>
          <w:tcPr>
            <w:tcW w:w="4466" w:type="dxa"/>
            <w:tcBorders>
              <w:top w:val="nil"/>
              <w:bottom w:val="single" w:sz="4" w:space="0" w:color="B66113"/>
            </w:tcBorders>
            <w:shd w:val="clear" w:color="auto" w:fill="B66113"/>
          </w:tcPr>
          <w:p w14:paraId="0909BC16" w14:textId="77777777" w:rsidR="00F50F4E" w:rsidRPr="00AE5A70" w:rsidRDefault="00F50F4E" w:rsidP="00F50F4E">
            <w:pPr>
              <w:pStyle w:val="Tableheading-white"/>
              <w:rPr>
                <w:color w:val="auto"/>
                <w:szCs w:val="18"/>
              </w:rPr>
            </w:pPr>
            <w:r w:rsidRPr="00AE5A70">
              <w:rPr>
                <w:color w:val="auto"/>
                <w:szCs w:val="18"/>
              </w:rPr>
              <w:t>Why</w:t>
            </w:r>
          </w:p>
        </w:tc>
      </w:tr>
      <w:tr w:rsidR="00AE5A70" w:rsidRPr="00AE5A70" w14:paraId="4C1CF92E" w14:textId="77777777" w:rsidTr="00F50F4E">
        <w:trPr>
          <w:cantSplit/>
        </w:trPr>
        <w:tc>
          <w:tcPr>
            <w:tcW w:w="1557" w:type="dxa"/>
            <w:tcBorders>
              <w:top w:val="single" w:sz="4" w:space="0" w:color="B66113"/>
            </w:tcBorders>
          </w:tcPr>
          <w:p w14:paraId="5A1CA494" w14:textId="77777777" w:rsidR="00F50F4E" w:rsidRPr="00F67A8F" w:rsidRDefault="00F50F4E" w:rsidP="009341EF">
            <w:pPr>
              <w:spacing w:before="0" w:after="0" w:line="240" w:lineRule="auto"/>
              <w:rPr>
                <w:rFonts w:ascii="Arial" w:eastAsia="Arial" w:hAnsi="Arial" w:cs="Arial"/>
                <w:b/>
                <w:bCs/>
                <w:sz w:val="18"/>
                <w:szCs w:val="18"/>
                <w:lang w:val="en-US" w:eastAsia="en-US"/>
              </w:rPr>
            </w:pPr>
            <w:r w:rsidRPr="00F67A8F">
              <w:rPr>
                <w:b/>
                <w:sz w:val="18"/>
                <w:szCs w:val="18"/>
              </w:rPr>
              <w:t>n/a</w:t>
            </w:r>
          </w:p>
        </w:tc>
        <w:tc>
          <w:tcPr>
            <w:tcW w:w="2412" w:type="dxa"/>
            <w:tcBorders>
              <w:top w:val="single" w:sz="4" w:space="0" w:color="B66113"/>
            </w:tcBorders>
          </w:tcPr>
          <w:p w14:paraId="17E2A2A7" w14:textId="77777777" w:rsidR="00F50F4E" w:rsidRPr="00F67A8F" w:rsidRDefault="00F50F4E" w:rsidP="009341EF">
            <w:pPr>
              <w:spacing w:before="0" w:after="0" w:line="240" w:lineRule="auto"/>
              <w:rPr>
                <w:b/>
                <w:sz w:val="18"/>
                <w:szCs w:val="18"/>
              </w:rPr>
            </w:pPr>
            <w:r w:rsidRPr="00F67A8F">
              <w:rPr>
                <w:b/>
                <w:sz w:val="18"/>
                <w:szCs w:val="18"/>
              </w:rPr>
              <w:t>n/a</w:t>
            </w:r>
          </w:p>
        </w:tc>
        <w:tc>
          <w:tcPr>
            <w:tcW w:w="2453" w:type="dxa"/>
            <w:tcBorders>
              <w:top w:val="single" w:sz="4" w:space="0" w:color="B66113"/>
            </w:tcBorders>
          </w:tcPr>
          <w:p w14:paraId="6C868ED2" w14:textId="77777777" w:rsidR="00F50F4E" w:rsidRPr="00F67A8F" w:rsidRDefault="00F50F4E" w:rsidP="009341EF">
            <w:pPr>
              <w:spacing w:before="0" w:after="0" w:line="240" w:lineRule="auto"/>
              <w:rPr>
                <w:sz w:val="18"/>
                <w:szCs w:val="18"/>
              </w:rPr>
            </w:pPr>
            <w:r w:rsidRPr="00F67A8F">
              <w:rPr>
                <w:sz w:val="18"/>
                <w:szCs w:val="18"/>
              </w:rPr>
              <w:t xml:space="preserve">The Working Group identified a number of other changes that could be made to MBS items to support the delivery of care for patients with eating disorders. The Working Group requests that the Clinical Committees responsible for these items consider the identified issues during the Committees’ work.  </w:t>
            </w:r>
            <w:r w:rsidR="00F67A8F">
              <w:rPr>
                <w:sz w:val="18"/>
                <w:szCs w:val="18"/>
              </w:rPr>
              <w:t>Appendix D</w:t>
            </w:r>
            <w:r w:rsidRPr="00F67A8F">
              <w:rPr>
                <w:sz w:val="18"/>
                <w:szCs w:val="18"/>
              </w:rPr>
              <w:t xml:space="preserve"> provides the full referrals made to these Committees.</w:t>
            </w:r>
          </w:p>
        </w:tc>
        <w:tc>
          <w:tcPr>
            <w:tcW w:w="3395" w:type="dxa"/>
            <w:tcBorders>
              <w:top w:val="single" w:sz="4" w:space="0" w:color="B66113"/>
            </w:tcBorders>
          </w:tcPr>
          <w:p w14:paraId="01220A4D" w14:textId="77777777" w:rsidR="00F50F4E" w:rsidRPr="00F67A8F" w:rsidRDefault="00F50F4E" w:rsidP="009341EF">
            <w:pPr>
              <w:spacing w:before="0" w:after="0" w:line="240" w:lineRule="auto"/>
              <w:rPr>
                <w:sz w:val="18"/>
                <w:szCs w:val="18"/>
              </w:rPr>
            </w:pPr>
            <w:r w:rsidRPr="00F67A8F">
              <w:rPr>
                <w:sz w:val="18"/>
                <w:szCs w:val="18"/>
              </w:rPr>
              <w:t>In brief, the recommendations to the clinical committees include:</w:t>
            </w:r>
          </w:p>
          <w:p w14:paraId="11F1D0C4" w14:textId="77777777" w:rsidR="00F50F4E" w:rsidRPr="009341EF" w:rsidRDefault="00F50F4E" w:rsidP="009341EF">
            <w:pPr>
              <w:spacing w:before="0" w:after="0" w:line="240" w:lineRule="auto"/>
              <w:rPr>
                <w:sz w:val="18"/>
                <w:szCs w:val="18"/>
              </w:rPr>
            </w:pPr>
            <w:r w:rsidRPr="009341EF">
              <w:rPr>
                <w:b/>
                <w:sz w:val="18"/>
                <w:szCs w:val="18"/>
              </w:rPr>
              <w:t>(a)</w:t>
            </w:r>
            <w:r w:rsidRPr="009341EF">
              <w:rPr>
                <w:sz w:val="18"/>
                <w:szCs w:val="18"/>
              </w:rPr>
              <w:t xml:space="preserve"> Reimbursement for allied health professionals and accredited mental health professionals involved in case conferencing and contribution to MDT care planning</w:t>
            </w:r>
          </w:p>
          <w:p w14:paraId="04E2A9CD" w14:textId="77777777" w:rsidR="00F50F4E" w:rsidRPr="009341EF" w:rsidRDefault="00F50F4E" w:rsidP="009341EF">
            <w:pPr>
              <w:spacing w:before="0" w:after="0" w:line="240" w:lineRule="auto"/>
              <w:rPr>
                <w:sz w:val="18"/>
                <w:szCs w:val="18"/>
              </w:rPr>
            </w:pPr>
            <w:r w:rsidRPr="009341EF">
              <w:rPr>
                <w:b/>
                <w:sz w:val="18"/>
                <w:szCs w:val="18"/>
              </w:rPr>
              <w:t>(b)</w:t>
            </w:r>
            <w:r w:rsidRPr="009341EF">
              <w:rPr>
                <w:sz w:val="18"/>
                <w:szCs w:val="18"/>
              </w:rPr>
              <w:t xml:space="preserve"> Increase the annual limit of dietitian and psychological sessions funded through the MBS.</w:t>
            </w:r>
          </w:p>
          <w:p w14:paraId="0698DE1A" w14:textId="77777777" w:rsidR="00F50F4E" w:rsidRPr="009341EF" w:rsidRDefault="00F50F4E" w:rsidP="009341EF">
            <w:pPr>
              <w:spacing w:before="0" w:after="0" w:line="240" w:lineRule="auto"/>
              <w:rPr>
                <w:sz w:val="18"/>
                <w:szCs w:val="18"/>
              </w:rPr>
            </w:pPr>
            <w:r w:rsidRPr="009341EF">
              <w:rPr>
                <w:b/>
                <w:sz w:val="18"/>
                <w:szCs w:val="18"/>
              </w:rPr>
              <w:t>(c)</w:t>
            </w:r>
            <w:r w:rsidRPr="009341EF">
              <w:rPr>
                <w:sz w:val="18"/>
                <w:szCs w:val="18"/>
              </w:rPr>
              <w:t xml:space="preserve"> Name eating disorders as one of the eligible chronic conditions listed under MBS items 721 – 735</w:t>
            </w:r>
          </w:p>
          <w:p w14:paraId="318D4541" w14:textId="77777777" w:rsidR="00F50F4E" w:rsidRPr="009341EF" w:rsidRDefault="00F50F4E" w:rsidP="009341EF">
            <w:pPr>
              <w:spacing w:before="0" w:after="0" w:line="240" w:lineRule="auto"/>
              <w:rPr>
                <w:sz w:val="18"/>
                <w:szCs w:val="18"/>
              </w:rPr>
            </w:pPr>
            <w:r w:rsidRPr="009341EF">
              <w:rPr>
                <w:b/>
                <w:sz w:val="18"/>
                <w:szCs w:val="18"/>
              </w:rPr>
              <w:t>(d)</w:t>
            </w:r>
            <w:r w:rsidRPr="009341EF">
              <w:rPr>
                <w:sz w:val="18"/>
                <w:szCs w:val="18"/>
              </w:rPr>
              <w:t xml:space="preserve"> Expand access to mental health items (80100-80171) to enable delivery of Focused Psychological Strategies (FPS) by appropriately trained mental health professionals for patients with eating disorders.</w:t>
            </w:r>
          </w:p>
          <w:p w14:paraId="13A69A7B" w14:textId="77777777" w:rsidR="00F50F4E" w:rsidRPr="009341EF" w:rsidRDefault="00F50F4E" w:rsidP="009341EF">
            <w:pPr>
              <w:spacing w:before="0" w:after="0" w:line="240" w:lineRule="auto"/>
              <w:rPr>
                <w:sz w:val="18"/>
                <w:szCs w:val="18"/>
              </w:rPr>
            </w:pPr>
            <w:r w:rsidRPr="009341EF">
              <w:rPr>
                <w:b/>
                <w:sz w:val="18"/>
                <w:szCs w:val="18"/>
              </w:rPr>
              <w:t>(e)</w:t>
            </w:r>
            <w:r w:rsidRPr="009341EF">
              <w:rPr>
                <w:sz w:val="18"/>
                <w:szCs w:val="18"/>
              </w:rPr>
              <w:t xml:space="preserve"> Where a psychiatrist is unable to consult with a patient in the same physical location, allow psychiatrists to supervise other health professionals who do not have adequate ED qualifications.</w:t>
            </w:r>
          </w:p>
        </w:tc>
        <w:tc>
          <w:tcPr>
            <w:tcW w:w="4466" w:type="dxa"/>
            <w:tcBorders>
              <w:top w:val="single" w:sz="4" w:space="0" w:color="B66113"/>
            </w:tcBorders>
          </w:tcPr>
          <w:p w14:paraId="798123EE" w14:textId="77777777" w:rsidR="00F50F4E" w:rsidRPr="00F67A8F" w:rsidRDefault="00F50F4E" w:rsidP="009341EF">
            <w:pPr>
              <w:spacing w:before="0" w:after="0" w:line="240" w:lineRule="auto"/>
              <w:rPr>
                <w:sz w:val="18"/>
                <w:szCs w:val="18"/>
              </w:rPr>
            </w:pPr>
            <w:r w:rsidRPr="00F67A8F">
              <w:rPr>
                <w:sz w:val="18"/>
                <w:szCs w:val="18"/>
              </w:rPr>
              <w:t>Strengthen the MBS infrastructure to:</w:t>
            </w:r>
          </w:p>
          <w:p w14:paraId="6A4C4F57" w14:textId="77777777" w:rsidR="00F50F4E" w:rsidRPr="00F67A8F" w:rsidRDefault="00F50F4E" w:rsidP="009341EF">
            <w:pPr>
              <w:pStyle w:val="ListParagraph"/>
              <w:numPr>
                <w:ilvl w:val="0"/>
                <w:numId w:val="74"/>
              </w:numPr>
              <w:spacing w:before="0" w:after="0" w:line="240" w:lineRule="auto"/>
              <w:rPr>
                <w:sz w:val="18"/>
                <w:szCs w:val="18"/>
              </w:rPr>
            </w:pPr>
            <w:r w:rsidRPr="00F67A8F">
              <w:rPr>
                <w:sz w:val="18"/>
                <w:szCs w:val="18"/>
              </w:rPr>
              <w:t>Support the delivery of care of evidence based best practice care at a subsidised cost;</w:t>
            </w:r>
          </w:p>
          <w:p w14:paraId="0C8CB82A" w14:textId="77777777" w:rsidR="00F50F4E" w:rsidRPr="00F67A8F" w:rsidRDefault="00F50F4E" w:rsidP="009341EF">
            <w:pPr>
              <w:pStyle w:val="ListParagraph"/>
              <w:numPr>
                <w:ilvl w:val="0"/>
                <w:numId w:val="74"/>
              </w:numPr>
              <w:spacing w:before="0" w:after="0" w:line="240" w:lineRule="auto"/>
              <w:rPr>
                <w:sz w:val="18"/>
                <w:szCs w:val="18"/>
              </w:rPr>
            </w:pPr>
            <w:r w:rsidRPr="00F67A8F">
              <w:rPr>
                <w:sz w:val="18"/>
                <w:szCs w:val="18"/>
              </w:rPr>
              <w:t>Support MDT collaboration; and</w:t>
            </w:r>
          </w:p>
          <w:p w14:paraId="0D81EAE5" w14:textId="77777777" w:rsidR="00F50F4E" w:rsidRPr="00F67A8F" w:rsidRDefault="00F50F4E" w:rsidP="009341EF">
            <w:pPr>
              <w:pStyle w:val="ListParagraph"/>
              <w:numPr>
                <w:ilvl w:val="0"/>
                <w:numId w:val="74"/>
              </w:numPr>
              <w:spacing w:before="0" w:after="0" w:line="240" w:lineRule="auto"/>
              <w:rPr>
                <w:sz w:val="18"/>
                <w:szCs w:val="18"/>
              </w:rPr>
            </w:pPr>
            <w:r w:rsidRPr="00F67A8F">
              <w:rPr>
                <w:sz w:val="18"/>
                <w:szCs w:val="18"/>
              </w:rPr>
              <w:t>Enable appropriately trained practitioners to provide care to people with eating disorders under the existing MBS arrangements.</w:t>
            </w:r>
          </w:p>
        </w:tc>
      </w:tr>
    </w:tbl>
    <w:p w14:paraId="0E903713" w14:textId="77777777" w:rsidR="00157E22" w:rsidRPr="00AE5A70" w:rsidRDefault="00157E22" w:rsidP="00967092">
      <w:pPr>
        <w:spacing w:before="0" w:after="0" w:line="240" w:lineRule="auto"/>
        <w:rPr>
          <w:sz w:val="18"/>
          <w:szCs w:val="18"/>
        </w:rPr>
      </w:pPr>
    </w:p>
    <w:p w14:paraId="4D9D93D1" w14:textId="77777777" w:rsidR="00157E22" w:rsidRPr="00AE5A70" w:rsidRDefault="00157E22">
      <w:pPr>
        <w:spacing w:before="0" w:after="0" w:line="240" w:lineRule="auto"/>
        <w:rPr>
          <w:sz w:val="18"/>
          <w:szCs w:val="18"/>
        </w:rPr>
      </w:pPr>
      <w:r w:rsidRPr="00AE5A70">
        <w:rPr>
          <w:sz w:val="18"/>
          <w:szCs w:val="18"/>
        </w:rPr>
        <w:br w:type="page"/>
      </w:r>
    </w:p>
    <w:tbl>
      <w:tblPr>
        <w:tblStyle w:val="TableGrid"/>
        <w:tblpPr w:leftFromText="180" w:rightFromText="180" w:vertAnchor="page" w:horzAnchor="margin" w:tblpY="1835"/>
        <w:tblW w:w="14283"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557"/>
        <w:gridCol w:w="2412"/>
        <w:gridCol w:w="2453"/>
        <w:gridCol w:w="3395"/>
        <w:gridCol w:w="4466"/>
      </w:tblGrid>
      <w:tr w:rsidR="00AE5A70" w:rsidRPr="00AE5A70" w14:paraId="3073AA28" w14:textId="77777777" w:rsidTr="00E50512">
        <w:trPr>
          <w:cantSplit/>
          <w:tblHeader/>
        </w:trPr>
        <w:tc>
          <w:tcPr>
            <w:tcW w:w="14283" w:type="dxa"/>
            <w:gridSpan w:val="5"/>
            <w:tcBorders>
              <w:top w:val="nil"/>
              <w:bottom w:val="nil"/>
            </w:tcBorders>
            <w:shd w:val="clear" w:color="auto" w:fill="auto"/>
          </w:tcPr>
          <w:p w14:paraId="313C9071" w14:textId="77777777" w:rsidR="00157E22" w:rsidRPr="00AE5A70" w:rsidRDefault="00157E22" w:rsidP="00E50512">
            <w:pPr>
              <w:spacing w:before="0" w:after="0" w:line="240" w:lineRule="auto"/>
              <w:rPr>
                <w:b/>
                <w:sz w:val="18"/>
                <w:szCs w:val="18"/>
              </w:rPr>
            </w:pPr>
            <w:r w:rsidRPr="00AE5A70">
              <w:rPr>
                <w:b/>
                <w:sz w:val="18"/>
                <w:szCs w:val="18"/>
              </w:rPr>
              <w:t>Recommendation 3.1</w:t>
            </w:r>
          </w:p>
          <w:p w14:paraId="7B7E1EE1" w14:textId="77777777" w:rsidR="00157E22" w:rsidRPr="00AE5A70" w:rsidRDefault="00157E22" w:rsidP="00E50512">
            <w:pPr>
              <w:spacing w:before="0" w:after="0" w:line="240" w:lineRule="auto"/>
              <w:rPr>
                <w:b/>
                <w:sz w:val="18"/>
                <w:szCs w:val="18"/>
              </w:rPr>
            </w:pPr>
          </w:p>
        </w:tc>
      </w:tr>
      <w:tr w:rsidR="00AE5A70" w:rsidRPr="00AE5A70" w14:paraId="4EEF8DA9" w14:textId="77777777" w:rsidTr="00E50512">
        <w:trPr>
          <w:cantSplit/>
          <w:tblHeader/>
        </w:trPr>
        <w:tc>
          <w:tcPr>
            <w:tcW w:w="1557" w:type="dxa"/>
            <w:tcBorders>
              <w:top w:val="nil"/>
              <w:bottom w:val="single" w:sz="4" w:space="0" w:color="B66113"/>
            </w:tcBorders>
            <w:shd w:val="clear" w:color="auto" w:fill="B66113"/>
          </w:tcPr>
          <w:p w14:paraId="6053834A" w14:textId="77777777" w:rsidR="00157E22" w:rsidRPr="00AE5A70" w:rsidRDefault="00157E22" w:rsidP="00E50512">
            <w:pPr>
              <w:pStyle w:val="Tableheading-white"/>
              <w:rPr>
                <w:color w:val="auto"/>
                <w:szCs w:val="18"/>
              </w:rPr>
            </w:pPr>
            <w:r w:rsidRPr="00AE5A70">
              <w:rPr>
                <w:color w:val="auto"/>
                <w:szCs w:val="18"/>
              </w:rPr>
              <w:t>Item</w:t>
            </w:r>
          </w:p>
        </w:tc>
        <w:tc>
          <w:tcPr>
            <w:tcW w:w="2412" w:type="dxa"/>
            <w:tcBorders>
              <w:top w:val="nil"/>
              <w:bottom w:val="single" w:sz="4" w:space="0" w:color="B66113"/>
            </w:tcBorders>
            <w:shd w:val="clear" w:color="auto" w:fill="B66113"/>
          </w:tcPr>
          <w:p w14:paraId="7EE0A803" w14:textId="77777777" w:rsidR="00157E22" w:rsidRPr="00AE5A70" w:rsidRDefault="00157E22" w:rsidP="00E50512">
            <w:pPr>
              <w:pStyle w:val="Tableheading-white"/>
              <w:rPr>
                <w:color w:val="auto"/>
                <w:szCs w:val="18"/>
              </w:rPr>
            </w:pPr>
            <w:r w:rsidRPr="00AE5A70">
              <w:rPr>
                <w:color w:val="auto"/>
                <w:szCs w:val="18"/>
              </w:rPr>
              <w:t>What it does</w:t>
            </w:r>
          </w:p>
        </w:tc>
        <w:tc>
          <w:tcPr>
            <w:tcW w:w="2453" w:type="dxa"/>
            <w:tcBorders>
              <w:top w:val="nil"/>
              <w:bottom w:val="single" w:sz="4" w:space="0" w:color="B66113"/>
            </w:tcBorders>
            <w:shd w:val="clear" w:color="auto" w:fill="B66113"/>
          </w:tcPr>
          <w:p w14:paraId="0B9A7E25" w14:textId="77777777" w:rsidR="00157E22" w:rsidRPr="00AE5A70" w:rsidRDefault="00157E22" w:rsidP="00E50512">
            <w:pPr>
              <w:pStyle w:val="Tableheading-white"/>
              <w:rPr>
                <w:color w:val="auto"/>
                <w:szCs w:val="18"/>
              </w:rPr>
            </w:pPr>
            <w:r w:rsidRPr="00AE5A70">
              <w:rPr>
                <w:color w:val="auto"/>
                <w:szCs w:val="18"/>
              </w:rPr>
              <w:t>Committee recommendation</w:t>
            </w:r>
          </w:p>
        </w:tc>
        <w:tc>
          <w:tcPr>
            <w:tcW w:w="3395" w:type="dxa"/>
            <w:tcBorders>
              <w:top w:val="nil"/>
              <w:bottom w:val="single" w:sz="4" w:space="0" w:color="B66113"/>
            </w:tcBorders>
            <w:shd w:val="clear" w:color="auto" w:fill="B66113"/>
          </w:tcPr>
          <w:p w14:paraId="40E5F914" w14:textId="77777777" w:rsidR="00157E22" w:rsidRPr="00AE5A70" w:rsidRDefault="00157E22" w:rsidP="00E50512">
            <w:pPr>
              <w:pStyle w:val="Tableheading-white"/>
              <w:rPr>
                <w:color w:val="auto"/>
                <w:szCs w:val="18"/>
              </w:rPr>
            </w:pPr>
            <w:r w:rsidRPr="00AE5A70">
              <w:rPr>
                <w:color w:val="auto"/>
                <w:szCs w:val="18"/>
              </w:rPr>
              <w:t>What would be different</w:t>
            </w:r>
          </w:p>
        </w:tc>
        <w:tc>
          <w:tcPr>
            <w:tcW w:w="4466" w:type="dxa"/>
            <w:tcBorders>
              <w:top w:val="nil"/>
              <w:bottom w:val="single" w:sz="4" w:space="0" w:color="B66113"/>
            </w:tcBorders>
            <w:shd w:val="clear" w:color="auto" w:fill="B66113"/>
          </w:tcPr>
          <w:p w14:paraId="5191517A" w14:textId="77777777" w:rsidR="00157E22" w:rsidRPr="00AE5A70" w:rsidRDefault="00157E22" w:rsidP="00E50512">
            <w:pPr>
              <w:pStyle w:val="Tableheading-white"/>
              <w:rPr>
                <w:color w:val="auto"/>
                <w:szCs w:val="18"/>
              </w:rPr>
            </w:pPr>
            <w:r w:rsidRPr="00AE5A70">
              <w:rPr>
                <w:color w:val="auto"/>
                <w:szCs w:val="18"/>
              </w:rPr>
              <w:t>Why</w:t>
            </w:r>
          </w:p>
        </w:tc>
      </w:tr>
      <w:tr w:rsidR="00AE5A70" w:rsidRPr="00AE5A70" w14:paraId="74375028" w14:textId="77777777" w:rsidTr="00E50512">
        <w:trPr>
          <w:cantSplit/>
        </w:trPr>
        <w:tc>
          <w:tcPr>
            <w:tcW w:w="1557" w:type="dxa"/>
            <w:tcBorders>
              <w:top w:val="single" w:sz="4" w:space="0" w:color="B66113"/>
            </w:tcBorders>
          </w:tcPr>
          <w:p w14:paraId="571A6C27" w14:textId="77777777" w:rsidR="00157E22" w:rsidRPr="00AE5A70" w:rsidRDefault="00157E22" w:rsidP="009341EF">
            <w:pPr>
              <w:spacing w:before="0" w:after="0" w:line="240" w:lineRule="auto"/>
              <w:rPr>
                <w:rFonts w:ascii="Arial" w:eastAsia="Arial" w:hAnsi="Arial" w:cs="Arial"/>
                <w:b/>
                <w:bCs/>
                <w:sz w:val="18"/>
                <w:szCs w:val="18"/>
                <w:lang w:val="en-US" w:eastAsia="en-US"/>
              </w:rPr>
            </w:pPr>
            <w:r w:rsidRPr="00AE5A70">
              <w:rPr>
                <w:b/>
                <w:sz w:val="18"/>
                <w:szCs w:val="18"/>
              </w:rPr>
              <w:t>n/a</w:t>
            </w:r>
          </w:p>
        </w:tc>
        <w:tc>
          <w:tcPr>
            <w:tcW w:w="2412" w:type="dxa"/>
            <w:tcBorders>
              <w:top w:val="single" w:sz="4" w:space="0" w:color="B66113"/>
            </w:tcBorders>
          </w:tcPr>
          <w:p w14:paraId="2BB3F341" w14:textId="77777777" w:rsidR="00157E22" w:rsidRPr="00AE5A70" w:rsidRDefault="00157E22" w:rsidP="009341EF">
            <w:pPr>
              <w:spacing w:before="0" w:after="0" w:line="240" w:lineRule="auto"/>
              <w:rPr>
                <w:b/>
                <w:sz w:val="18"/>
                <w:szCs w:val="18"/>
              </w:rPr>
            </w:pPr>
            <w:r w:rsidRPr="00AE5A70">
              <w:rPr>
                <w:b/>
                <w:sz w:val="18"/>
                <w:szCs w:val="18"/>
              </w:rPr>
              <w:t>n/a</w:t>
            </w:r>
          </w:p>
        </w:tc>
        <w:tc>
          <w:tcPr>
            <w:tcW w:w="2453" w:type="dxa"/>
            <w:tcBorders>
              <w:top w:val="single" w:sz="4" w:space="0" w:color="B66113"/>
            </w:tcBorders>
          </w:tcPr>
          <w:p w14:paraId="3187CB59" w14:textId="77777777" w:rsidR="00157E22" w:rsidRPr="00AE5A70" w:rsidRDefault="00AC55C0" w:rsidP="009341EF">
            <w:pPr>
              <w:spacing w:before="0" w:after="0" w:line="240" w:lineRule="auto"/>
              <w:rPr>
                <w:sz w:val="18"/>
                <w:szCs w:val="18"/>
              </w:rPr>
            </w:pPr>
            <w:r w:rsidRPr="00AE5A70">
              <w:rPr>
                <w:sz w:val="18"/>
                <w:szCs w:val="18"/>
              </w:rPr>
              <w:t>Support and education should be provided to GPs regarding locally available services for patients with eating disorders and their families.</w:t>
            </w:r>
          </w:p>
        </w:tc>
        <w:tc>
          <w:tcPr>
            <w:tcW w:w="3395" w:type="dxa"/>
            <w:tcBorders>
              <w:top w:val="single" w:sz="4" w:space="0" w:color="B66113"/>
            </w:tcBorders>
          </w:tcPr>
          <w:p w14:paraId="4190DACA" w14:textId="77777777" w:rsidR="00157E22" w:rsidRPr="00AE5A70" w:rsidRDefault="00AC55C0" w:rsidP="009341EF">
            <w:pPr>
              <w:spacing w:before="0" w:after="0" w:line="240" w:lineRule="auto"/>
              <w:rPr>
                <w:sz w:val="16"/>
                <w:szCs w:val="16"/>
              </w:rPr>
            </w:pPr>
            <w:r w:rsidRPr="00AE5A70">
              <w:rPr>
                <w:sz w:val="18"/>
                <w:szCs w:val="18"/>
              </w:rPr>
              <w:t>Further information will be provided to GPs to assist them to identify services or practitioners in their local area that provide treatment for patient with eating disorders. Support services for family members, such as support groups, should form part of the information provided to GPs.</w:t>
            </w:r>
          </w:p>
        </w:tc>
        <w:tc>
          <w:tcPr>
            <w:tcW w:w="4466" w:type="dxa"/>
            <w:tcBorders>
              <w:top w:val="single" w:sz="4" w:space="0" w:color="B66113"/>
            </w:tcBorders>
          </w:tcPr>
          <w:p w14:paraId="6D265FD5" w14:textId="77777777" w:rsidR="00157E22" w:rsidRPr="00AE5A70" w:rsidRDefault="00AC55C0" w:rsidP="009341EF">
            <w:pPr>
              <w:spacing w:before="0" w:after="0" w:line="240" w:lineRule="auto"/>
              <w:rPr>
                <w:sz w:val="18"/>
                <w:szCs w:val="18"/>
              </w:rPr>
            </w:pPr>
            <w:r w:rsidRPr="00AE5A70">
              <w:rPr>
                <w:sz w:val="18"/>
                <w:szCs w:val="18"/>
              </w:rPr>
              <w:t xml:space="preserve">GPs are the primary health care professional responsible for patient care. GPs are usually the coordinators of care and are ideally placed to provide patients and their families with information about local services. </w:t>
            </w:r>
          </w:p>
        </w:tc>
      </w:tr>
    </w:tbl>
    <w:p w14:paraId="090B1063" w14:textId="77777777" w:rsidR="00157E22" w:rsidRPr="00AE5A70" w:rsidRDefault="00157E22">
      <w:pPr>
        <w:spacing w:before="0" w:after="0" w:line="240" w:lineRule="auto"/>
        <w:rPr>
          <w:sz w:val="18"/>
          <w:szCs w:val="18"/>
        </w:rPr>
      </w:pPr>
    </w:p>
    <w:p w14:paraId="08805134" w14:textId="77777777" w:rsidR="00157E22" w:rsidRPr="00AE5A70" w:rsidRDefault="00157E22">
      <w:pPr>
        <w:spacing w:before="0" w:after="0" w:line="240" w:lineRule="auto"/>
        <w:rPr>
          <w:b/>
          <w:sz w:val="18"/>
          <w:szCs w:val="18"/>
        </w:rPr>
      </w:pPr>
    </w:p>
    <w:p w14:paraId="3DB7E3F3" w14:textId="77777777" w:rsidR="00967092" w:rsidRPr="00AE5A70" w:rsidRDefault="00967092" w:rsidP="00967092">
      <w:pPr>
        <w:spacing w:before="0" w:after="0" w:line="240" w:lineRule="auto"/>
        <w:rPr>
          <w:sz w:val="18"/>
          <w:szCs w:val="18"/>
        </w:rPr>
      </w:pPr>
    </w:p>
    <w:p w14:paraId="52B0B39F" w14:textId="77777777" w:rsidR="00967092" w:rsidRPr="00AE5A70" w:rsidRDefault="00967092" w:rsidP="00967092">
      <w:pPr>
        <w:spacing w:before="0" w:after="0" w:line="240" w:lineRule="auto"/>
        <w:rPr>
          <w:sz w:val="18"/>
          <w:szCs w:val="18"/>
        </w:rPr>
      </w:pPr>
    </w:p>
    <w:p w14:paraId="5FE7CC80" w14:textId="77777777" w:rsidR="00157E22" w:rsidRPr="00AE5A70" w:rsidRDefault="00157E22">
      <w:pPr>
        <w:spacing w:before="0" w:after="0" w:line="240" w:lineRule="auto"/>
        <w:rPr>
          <w:sz w:val="18"/>
          <w:szCs w:val="18"/>
        </w:rPr>
      </w:pPr>
      <w:r w:rsidRPr="00AE5A70">
        <w:rPr>
          <w:sz w:val="18"/>
          <w:szCs w:val="18"/>
        </w:rPr>
        <w:br w:type="page"/>
      </w:r>
    </w:p>
    <w:tbl>
      <w:tblPr>
        <w:tblStyle w:val="TableGrid"/>
        <w:tblpPr w:leftFromText="180" w:rightFromText="180" w:vertAnchor="page" w:horzAnchor="margin" w:tblpY="1835"/>
        <w:tblW w:w="14283"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557"/>
        <w:gridCol w:w="2412"/>
        <w:gridCol w:w="2453"/>
        <w:gridCol w:w="3395"/>
        <w:gridCol w:w="4466"/>
      </w:tblGrid>
      <w:tr w:rsidR="00AE5A70" w:rsidRPr="00AE5A70" w14:paraId="69D2034A" w14:textId="77777777" w:rsidTr="00E50512">
        <w:trPr>
          <w:cantSplit/>
          <w:tblHeader/>
        </w:trPr>
        <w:tc>
          <w:tcPr>
            <w:tcW w:w="14283" w:type="dxa"/>
            <w:gridSpan w:val="5"/>
            <w:tcBorders>
              <w:top w:val="nil"/>
              <w:bottom w:val="nil"/>
            </w:tcBorders>
            <w:shd w:val="clear" w:color="auto" w:fill="auto"/>
          </w:tcPr>
          <w:p w14:paraId="5A9D405C" w14:textId="77777777" w:rsidR="00157E22" w:rsidRPr="00AE5A70" w:rsidRDefault="00157E22" w:rsidP="00E50512">
            <w:pPr>
              <w:spacing w:before="0" w:after="0" w:line="240" w:lineRule="auto"/>
              <w:rPr>
                <w:b/>
                <w:sz w:val="18"/>
                <w:szCs w:val="18"/>
              </w:rPr>
            </w:pPr>
            <w:r w:rsidRPr="00AE5A70">
              <w:rPr>
                <w:b/>
                <w:sz w:val="18"/>
                <w:szCs w:val="18"/>
              </w:rPr>
              <w:t>Recommendation 3.2</w:t>
            </w:r>
          </w:p>
          <w:p w14:paraId="5DBAFEE8" w14:textId="77777777" w:rsidR="00157E22" w:rsidRPr="00AE5A70" w:rsidRDefault="00157E22" w:rsidP="00E50512">
            <w:pPr>
              <w:spacing w:before="0" w:after="0" w:line="240" w:lineRule="auto"/>
              <w:rPr>
                <w:b/>
                <w:sz w:val="18"/>
                <w:szCs w:val="18"/>
              </w:rPr>
            </w:pPr>
          </w:p>
        </w:tc>
      </w:tr>
      <w:tr w:rsidR="00AE5A70" w:rsidRPr="00AE5A70" w14:paraId="447EBF87" w14:textId="77777777" w:rsidTr="00E50512">
        <w:trPr>
          <w:cantSplit/>
          <w:tblHeader/>
        </w:trPr>
        <w:tc>
          <w:tcPr>
            <w:tcW w:w="1557" w:type="dxa"/>
            <w:tcBorders>
              <w:top w:val="nil"/>
              <w:bottom w:val="single" w:sz="4" w:space="0" w:color="B66113"/>
            </w:tcBorders>
            <w:shd w:val="clear" w:color="auto" w:fill="B66113"/>
          </w:tcPr>
          <w:p w14:paraId="38D51522" w14:textId="77777777" w:rsidR="00157E22" w:rsidRPr="00AE5A70" w:rsidRDefault="00157E22" w:rsidP="00E50512">
            <w:pPr>
              <w:pStyle w:val="Tableheading-white"/>
              <w:rPr>
                <w:color w:val="auto"/>
                <w:szCs w:val="18"/>
              </w:rPr>
            </w:pPr>
            <w:r w:rsidRPr="00AE5A70">
              <w:rPr>
                <w:color w:val="auto"/>
                <w:szCs w:val="18"/>
              </w:rPr>
              <w:t>Item</w:t>
            </w:r>
          </w:p>
        </w:tc>
        <w:tc>
          <w:tcPr>
            <w:tcW w:w="2412" w:type="dxa"/>
            <w:tcBorders>
              <w:top w:val="nil"/>
              <w:bottom w:val="single" w:sz="4" w:space="0" w:color="B66113"/>
            </w:tcBorders>
            <w:shd w:val="clear" w:color="auto" w:fill="B66113"/>
          </w:tcPr>
          <w:p w14:paraId="61989EBA" w14:textId="77777777" w:rsidR="00157E22" w:rsidRPr="00AE5A70" w:rsidRDefault="00157E22" w:rsidP="00E50512">
            <w:pPr>
              <w:pStyle w:val="Tableheading-white"/>
              <w:rPr>
                <w:color w:val="auto"/>
                <w:szCs w:val="18"/>
              </w:rPr>
            </w:pPr>
            <w:r w:rsidRPr="00AE5A70">
              <w:rPr>
                <w:color w:val="auto"/>
                <w:szCs w:val="18"/>
              </w:rPr>
              <w:t>What it does</w:t>
            </w:r>
          </w:p>
        </w:tc>
        <w:tc>
          <w:tcPr>
            <w:tcW w:w="2453" w:type="dxa"/>
            <w:tcBorders>
              <w:top w:val="nil"/>
              <w:bottom w:val="single" w:sz="4" w:space="0" w:color="B66113"/>
            </w:tcBorders>
            <w:shd w:val="clear" w:color="auto" w:fill="B66113"/>
          </w:tcPr>
          <w:p w14:paraId="370E3C8F" w14:textId="77777777" w:rsidR="00157E22" w:rsidRPr="00AE5A70" w:rsidRDefault="00157E22" w:rsidP="00E50512">
            <w:pPr>
              <w:pStyle w:val="Tableheading-white"/>
              <w:rPr>
                <w:color w:val="auto"/>
                <w:szCs w:val="18"/>
              </w:rPr>
            </w:pPr>
            <w:r w:rsidRPr="00AE5A70">
              <w:rPr>
                <w:color w:val="auto"/>
                <w:szCs w:val="18"/>
              </w:rPr>
              <w:t>Committee recommendation</w:t>
            </w:r>
          </w:p>
        </w:tc>
        <w:tc>
          <w:tcPr>
            <w:tcW w:w="3395" w:type="dxa"/>
            <w:tcBorders>
              <w:top w:val="nil"/>
              <w:bottom w:val="single" w:sz="4" w:space="0" w:color="B66113"/>
            </w:tcBorders>
            <w:shd w:val="clear" w:color="auto" w:fill="B66113"/>
          </w:tcPr>
          <w:p w14:paraId="3835FE82" w14:textId="77777777" w:rsidR="00157E22" w:rsidRPr="00AE5A70" w:rsidRDefault="00157E22" w:rsidP="00E50512">
            <w:pPr>
              <w:pStyle w:val="Tableheading-white"/>
              <w:rPr>
                <w:color w:val="auto"/>
                <w:szCs w:val="18"/>
              </w:rPr>
            </w:pPr>
            <w:r w:rsidRPr="00AE5A70">
              <w:rPr>
                <w:color w:val="auto"/>
                <w:szCs w:val="18"/>
              </w:rPr>
              <w:t>What would be different</w:t>
            </w:r>
          </w:p>
        </w:tc>
        <w:tc>
          <w:tcPr>
            <w:tcW w:w="4466" w:type="dxa"/>
            <w:tcBorders>
              <w:top w:val="nil"/>
              <w:bottom w:val="single" w:sz="4" w:space="0" w:color="B66113"/>
            </w:tcBorders>
            <w:shd w:val="clear" w:color="auto" w:fill="B66113"/>
          </w:tcPr>
          <w:p w14:paraId="0A71A2C9" w14:textId="77777777" w:rsidR="00157E22" w:rsidRPr="00AE5A70" w:rsidRDefault="00157E22" w:rsidP="00E50512">
            <w:pPr>
              <w:pStyle w:val="Tableheading-white"/>
              <w:rPr>
                <w:color w:val="auto"/>
                <w:szCs w:val="18"/>
              </w:rPr>
            </w:pPr>
            <w:r w:rsidRPr="00AE5A70">
              <w:rPr>
                <w:color w:val="auto"/>
                <w:szCs w:val="18"/>
              </w:rPr>
              <w:t>Why</w:t>
            </w:r>
          </w:p>
        </w:tc>
      </w:tr>
      <w:tr w:rsidR="00F67A8F" w:rsidRPr="00AE5A70" w14:paraId="38EAB7E1" w14:textId="77777777" w:rsidTr="00E50512">
        <w:trPr>
          <w:cantSplit/>
        </w:trPr>
        <w:tc>
          <w:tcPr>
            <w:tcW w:w="1557" w:type="dxa"/>
            <w:tcBorders>
              <w:top w:val="single" w:sz="4" w:space="0" w:color="B66113"/>
            </w:tcBorders>
          </w:tcPr>
          <w:p w14:paraId="4D8674F6" w14:textId="77777777" w:rsidR="00F67A8F" w:rsidRPr="00F67A8F" w:rsidRDefault="00F67A8F" w:rsidP="009341EF">
            <w:pPr>
              <w:spacing w:before="0" w:after="0" w:line="240" w:lineRule="auto"/>
              <w:rPr>
                <w:rFonts w:ascii="Arial" w:eastAsia="Arial" w:hAnsi="Arial" w:cs="Arial"/>
                <w:b/>
                <w:bCs/>
                <w:sz w:val="18"/>
                <w:szCs w:val="18"/>
                <w:lang w:val="en-US" w:eastAsia="en-US"/>
              </w:rPr>
            </w:pPr>
            <w:r w:rsidRPr="00F67A8F">
              <w:rPr>
                <w:b/>
                <w:sz w:val="18"/>
                <w:szCs w:val="18"/>
              </w:rPr>
              <w:t>n/a</w:t>
            </w:r>
          </w:p>
        </w:tc>
        <w:tc>
          <w:tcPr>
            <w:tcW w:w="2412" w:type="dxa"/>
            <w:tcBorders>
              <w:top w:val="single" w:sz="4" w:space="0" w:color="B66113"/>
            </w:tcBorders>
          </w:tcPr>
          <w:p w14:paraId="3A41CFD1" w14:textId="77777777" w:rsidR="00F67A8F" w:rsidRPr="00F67A8F" w:rsidRDefault="00F67A8F" w:rsidP="009341EF">
            <w:pPr>
              <w:spacing w:before="0" w:after="0" w:line="240" w:lineRule="auto"/>
              <w:rPr>
                <w:b/>
                <w:sz w:val="18"/>
                <w:szCs w:val="18"/>
              </w:rPr>
            </w:pPr>
            <w:r w:rsidRPr="00F67A8F">
              <w:rPr>
                <w:b/>
                <w:sz w:val="18"/>
                <w:szCs w:val="18"/>
              </w:rPr>
              <w:t>n/a</w:t>
            </w:r>
          </w:p>
        </w:tc>
        <w:tc>
          <w:tcPr>
            <w:tcW w:w="2453" w:type="dxa"/>
            <w:tcBorders>
              <w:top w:val="single" w:sz="4" w:space="0" w:color="B66113"/>
            </w:tcBorders>
          </w:tcPr>
          <w:p w14:paraId="09CE6596" w14:textId="77777777" w:rsidR="00F67A8F" w:rsidRPr="009341EF" w:rsidRDefault="00F67A8F" w:rsidP="009341EF">
            <w:pPr>
              <w:spacing w:before="0" w:after="0" w:line="240" w:lineRule="auto"/>
              <w:rPr>
                <w:sz w:val="18"/>
                <w:szCs w:val="18"/>
              </w:rPr>
            </w:pPr>
            <w:r w:rsidRPr="009341EF">
              <w:rPr>
                <w:sz w:val="18"/>
                <w:szCs w:val="18"/>
              </w:rPr>
              <w:t>Professional associations and other relevant training organisations should develop and/or extend specific training, education and clinical guidance for working with people who have eating disorders. This training should be included in undergraduate and post graduate university health programs, continuing professional development programs for disciplines involved in the treatment and management of patients with eating disorders, and in particular, any health professionals providing services under the new MBS items.</w:t>
            </w:r>
          </w:p>
        </w:tc>
        <w:tc>
          <w:tcPr>
            <w:tcW w:w="3395" w:type="dxa"/>
            <w:tcBorders>
              <w:top w:val="single" w:sz="4" w:space="0" w:color="B66113"/>
            </w:tcBorders>
          </w:tcPr>
          <w:p w14:paraId="4E1BEB1B" w14:textId="77777777" w:rsidR="00F67A8F" w:rsidRPr="009341EF" w:rsidRDefault="00F67A8F" w:rsidP="009341EF">
            <w:pPr>
              <w:spacing w:before="0" w:after="0" w:line="240" w:lineRule="auto"/>
              <w:rPr>
                <w:sz w:val="18"/>
                <w:szCs w:val="18"/>
              </w:rPr>
            </w:pPr>
            <w:r w:rsidRPr="00F67A8F">
              <w:rPr>
                <w:sz w:val="18"/>
                <w:szCs w:val="18"/>
              </w:rPr>
              <w:t>Increased training which is specific to the diagnosis, treatment and management of patients with eating disorders should be made available which is specific to each of the professionals involved in providing care to patients with eating disorders.</w:t>
            </w:r>
          </w:p>
        </w:tc>
        <w:tc>
          <w:tcPr>
            <w:tcW w:w="4466" w:type="dxa"/>
            <w:tcBorders>
              <w:top w:val="single" w:sz="4" w:space="0" w:color="B66113"/>
            </w:tcBorders>
          </w:tcPr>
          <w:p w14:paraId="20174CD1" w14:textId="77777777" w:rsidR="00F67A8F" w:rsidRPr="009341EF" w:rsidRDefault="00F67A8F" w:rsidP="009400B8">
            <w:pPr>
              <w:spacing w:before="0" w:after="0" w:line="240" w:lineRule="auto"/>
              <w:rPr>
                <w:sz w:val="18"/>
                <w:szCs w:val="18"/>
              </w:rPr>
            </w:pPr>
            <w:r w:rsidRPr="00F67A8F">
              <w:rPr>
                <w:sz w:val="18"/>
                <w:szCs w:val="18"/>
              </w:rPr>
              <w:t xml:space="preserve">Improving training for all health professionals could also increase the number of </w:t>
            </w:r>
            <w:r w:rsidR="009400B8">
              <w:rPr>
                <w:sz w:val="18"/>
                <w:szCs w:val="18"/>
              </w:rPr>
              <w:t>timely diagnoses,</w:t>
            </w:r>
            <w:r w:rsidRPr="00F67A8F">
              <w:rPr>
                <w:sz w:val="18"/>
                <w:szCs w:val="18"/>
              </w:rPr>
              <w:t xml:space="preserve"> referrals and decrease the overall number of eating disorder related hospitalisations.</w:t>
            </w:r>
          </w:p>
        </w:tc>
      </w:tr>
    </w:tbl>
    <w:p w14:paraId="1F9D174B" w14:textId="77777777" w:rsidR="00967092" w:rsidRPr="00AE5A70" w:rsidRDefault="00967092" w:rsidP="00967092">
      <w:pPr>
        <w:spacing w:before="0" w:after="0" w:line="240" w:lineRule="auto"/>
        <w:rPr>
          <w:sz w:val="18"/>
          <w:szCs w:val="18"/>
        </w:rPr>
      </w:pPr>
    </w:p>
    <w:p w14:paraId="689368F1" w14:textId="77777777" w:rsidR="00967092" w:rsidRPr="00AE5A70" w:rsidRDefault="00967092" w:rsidP="00967092">
      <w:pPr>
        <w:spacing w:before="0" w:after="0" w:line="240" w:lineRule="auto"/>
        <w:rPr>
          <w:sz w:val="18"/>
          <w:szCs w:val="18"/>
        </w:rPr>
      </w:pPr>
    </w:p>
    <w:p w14:paraId="7A2DD770" w14:textId="77777777" w:rsidR="00967092" w:rsidRPr="00AE5A70" w:rsidRDefault="00967092" w:rsidP="00967092">
      <w:pPr>
        <w:spacing w:before="0" w:after="0" w:line="240" w:lineRule="auto"/>
        <w:rPr>
          <w:sz w:val="18"/>
          <w:szCs w:val="18"/>
        </w:rPr>
      </w:pPr>
    </w:p>
    <w:p w14:paraId="4BAEE77C" w14:textId="77777777" w:rsidR="00157E22" w:rsidRPr="00AE5A70" w:rsidRDefault="00157E22">
      <w:pPr>
        <w:spacing w:before="0" w:after="0" w:line="240" w:lineRule="auto"/>
        <w:rPr>
          <w:sz w:val="18"/>
          <w:szCs w:val="18"/>
        </w:rPr>
      </w:pPr>
      <w:r w:rsidRPr="00AE5A70">
        <w:rPr>
          <w:sz w:val="18"/>
          <w:szCs w:val="18"/>
        </w:rPr>
        <w:br w:type="page"/>
      </w:r>
    </w:p>
    <w:tbl>
      <w:tblPr>
        <w:tblStyle w:val="TableGrid"/>
        <w:tblpPr w:leftFromText="180" w:rightFromText="180" w:vertAnchor="page" w:horzAnchor="margin" w:tblpY="1835"/>
        <w:tblW w:w="14283"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557"/>
        <w:gridCol w:w="2412"/>
        <w:gridCol w:w="2453"/>
        <w:gridCol w:w="3395"/>
        <w:gridCol w:w="4466"/>
      </w:tblGrid>
      <w:tr w:rsidR="00AE5A70" w:rsidRPr="00AE5A70" w14:paraId="042342AE" w14:textId="77777777" w:rsidTr="00E50512">
        <w:trPr>
          <w:cantSplit/>
          <w:tblHeader/>
        </w:trPr>
        <w:tc>
          <w:tcPr>
            <w:tcW w:w="14283" w:type="dxa"/>
            <w:gridSpan w:val="5"/>
            <w:tcBorders>
              <w:top w:val="nil"/>
              <w:bottom w:val="nil"/>
            </w:tcBorders>
            <w:shd w:val="clear" w:color="auto" w:fill="auto"/>
          </w:tcPr>
          <w:p w14:paraId="0FF36D5F" w14:textId="77777777" w:rsidR="00157E22" w:rsidRPr="00AE5A70" w:rsidRDefault="00157E22" w:rsidP="009341EF">
            <w:pPr>
              <w:spacing w:before="0" w:after="0" w:line="240" w:lineRule="auto"/>
              <w:rPr>
                <w:b/>
                <w:sz w:val="18"/>
                <w:szCs w:val="18"/>
              </w:rPr>
            </w:pPr>
            <w:r w:rsidRPr="00AE5A70">
              <w:rPr>
                <w:b/>
                <w:sz w:val="18"/>
                <w:szCs w:val="18"/>
              </w:rPr>
              <w:t>Recommendation 3.3</w:t>
            </w:r>
          </w:p>
          <w:p w14:paraId="08B78984" w14:textId="77777777" w:rsidR="00157E22" w:rsidRPr="00AE5A70" w:rsidRDefault="00157E22" w:rsidP="009341EF">
            <w:pPr>
              <w:spacing w:before="0" w:after="0" w:line="240" w:lineRule="auto"/>
              <w:rPr>
                <w:b/>
                <w:sz w:val="18"/>
                <w:szCs w:val="18"/>
              </w:rPr>
            </w:pPr>
          </w:p>
        </w:tc>
      </w:tr>
      <w:tr w:rsidR="00AE5A70" w:rsidRPr="00AE5A70" w14:paraId="4532379F" w14:textId="77777777" w:rsidTr="00E50512">
        <w:trPr>
          <w:cantSplit/>
          <w:tblHeader/>
        </w:trPr>
        <w:tc>
          <w:tcPr>
            <w:tcW w:w="1557" w:type="dxa"/>
            <w:tcBorders>
              <w:top w:val="nil"/>
              <w:bottom w:val="single" w:sz="4" w:space="0" w:color="B66113"/>
            </w:tcBorders>
            <w:shd w:val="clear" w:color="auto" w:fill="B66113"/>
          </w:tcPr>
          <w:p w14:paraId="57C1C9C0" w14:textId="77777777" w:rsidR="00157E22" w:rsidRPr="00AE5A70" w:rsidRDefault="00157E22" w:rsidP="009341EF">
            <w:pPr>
              <w:pStyle w:val="Tableheading-white"/>
              <w:spacing w:before="0" w:after="0" w:line="240" w:lineRule="auto"/>
              <w:rPr>
                <w:color w:val="auto"/>
                <w:szCs w:val="18"/>
              </w:rPr>
            </w:pPr>
            <w:r w:rsidRPr="00AE5A70">
              <w:rPr>
                <w:color w:val="auto"/>
                <w:szCs w:val="18"/>
              </w:rPr>
              <w:t>Item</w:t>
            </w:r>
          </w:p>
        </w:tc>
        <w:tc>
          <w:tcPr>
            <w:tcW w:w="2412" w:type="dxa"/>
            <w:tcBorders>
              <w:top w:val="nil"/>
              <w:bottom w:val="single" w:sz="4" w:space="0" w:color="B66113"/>
            </w:tcBorders>
            <w:shd w:val="clear" w:color="auto" w:fill="B66113"/>
          </w:tcPr>
          <w:p w14:paraId="4065C1F6" w14:textId="77777777" w:rsidR="00157E22" w:rsidRPr="00AE5A70" w:rsidRDefault="00157E22" w:rsidP="009341EF">
            <w:pPr>
              <w:pStyle w:val="Tableheading-white"/>
              <w:spacing w:before="0" w:after="0" w:line="240" w:lineRule="auto"/>
              <w:rPr>
                <w:color w:val="auto"/>
                <w:szCs w:val="18"/>
              </w:rPr>
            </w:pPr>
            <w:r w:rsidRPr="00AE5A70">
              <w:rPr>
                <w:color w:val="auto"/>
                <w:szCs w:val="18"/>
              </w:rPr>
              <w:t>What it does</w:t>
            </w:r>
          </w:p>
        </w:tc>
        <w:tc>
          <w:tcPr>
            <w:tcW w:w="2453" w:type="dxa"/>
            <w:tcBorders>
              <w:top w:val="nil"/>
              <w:bottom w:val="single" w:sz="4" w:space="0" w:color="B66113"/>
            </w:tcBorders>
            <w:shd w:val="clear" w:color="auto" w:fill="B66113"/>
          </w:tcPr>
          <w:p w14:paraId="1ACED3D6" w14:textId="77777777" w:rsidR="00157E22" w:rsidRPr="00AE5A70" w:rsidRDefault="00157E22" w:rsidP="009341EF">
            <w:pPr>
              <w:pStyle w:val="Tableheading-white"/>
              <w:spacing w:before="0" w:after="0" w:line="240" w:lineRule="auto"/>
              <w:rPr>
                <w:color w:val="auto"/>
                <w:szCs w:val="18"/>
              </w:rPr>
            </w:pPr>
            <w:r w:rsidRPr="00AE5A70">
              <w:rPr>
                <w:color w:val="auto"/>
                <w:szCs w:val="18"/>
              </w:rPr>
              <w:t>Committee recommendation</w:t>
            </w:r>
          </w:p>
        </w:tc>
        <w:tc>
          <w:tcPr>
            <w:tcW w:w="3395" w:type="dxa"/>
            <w:tcBorders>
              <w:top w:val="nil"/>
              <w:bottom w:val="single" w:sz="4" w:space="0" w:color="B66113"/>
            </w:tcBorders>
            <w:shd w:val="clear" w:color="auto" w:fill="B66113"/>
          </w:tcPr>
          <w:p w14:paraId="0BA16793" w14:textId="77777777" w:rsidR="00157E22" w:rsidRPr="00AE5A70" w:rsidRDefault="00157E22" w:rsidP="009341EF">
            <w:pPr>
              <w:pStyle w:val="Tableheading-white"/>
              <w:spacing w:before="0" w:after="0" w:line="240" w:lineRule="auto"/>
              <w:rPr>
                <w:color w:val="auto"/>
                <w:szCs w:val="18"/>
              </w:rPr>
            </w:pPr>
            <w:r w:rsidRPr="00AE5A70">
              <w:rPr>
                <w:color w:val="auto"/>
                <w:szCs w:val="18"/>
              </w:rPr>
              <w:t>What would be different</w:t>
            </w:r>
          </w:p>
        </w:tc>
        <w:tc>
          <w:tcPr>
            <w:tcW w:w="4466" w:type="dxa"/>
            <w:tcBorders>
              <w:top w:val="nil"/>
              <w:bottom w:val="single" w:sz="4" w:space="0" w:color="B66113"/>
            </w:tcBorders>
            <w:shd w:val="clear" w:color="auto" w:fill="B66113"/>
          </w:tcPr>
          <w:p w14:paraId="4A0F3A09" w14:textId="77777777" w:rsidR="00157E22" w:rsidRPr="00AE5A70" w:rsidRDefault="00157E22" w:rsidP="009341EF">
            <w:pPr>
              <w:pStyle w:val="Tableheading-white"/>
              <w:spacing w:before="0" w:after="0" w:line="240" w:lineRule="auto"/>
              <w:rPr>
                <w:color w:val="auto"/>
                <w:szCs w:val="18"/>
              </w:rPr>
            </w:pPr>
            <w:r w:rsidRPr="00AE5A70">
              <w:rPr>
                <w:color w:val="auto"/>
                <w:szCs w:val="18"/>
              </w:rPr>
              <w:t>Why</w:t>
            </w:r>
          </w:p>
        </w:tc>
      </w:tr>
      <w:tr w:rsidR="00AE5A70" w:rsidRPr="00AE5A70" w14:paraId="72D76C2D" w14:textId="77777777" w:rsidTr="00E50512">
        <w:trPr>
          <w:cantSplit/>
        </w:trPr>
        <w:tc>
          <w:tcPr>
            <w:tcW w:w="1557" w:type="dxa"/>
            <w:tcBorders>
              <w:top w:val="single" w:sz="4" w:space="0" w:color="B66113"/>
            </w:tcBorders>
          </w:tcPr>
          <w:p w14:paraId="328CAC20" w14:textId="77777777" w:rsidR="00157E22" w:rsidRPr="00AE5A70" w:rsidRDefault="00157E22" w:rsidP="009341EF">
            <w:pPr>
              <w:pStyle w:val="Tabletext"/>
              <w:spacing w:before="0" w:after="0" w:line="240" w:lineRule="auto"/>
              <w:rPr>
                <w:rFonts w:ascii="Arial" w:eastAsia="Arial" w:hAnsi="Arial" w:cs="Arial"/>
                <w:b/>
                <w:bCs/>
                <w:lang w:val="en-US" w:eastAsia="en-US"/>
              </w:rPr>
            </w:pPr>
            <w:r w:rsidRPr="00AE5A70">
              <w:rPr>
                <w:b/>
                <w:bCs/>
              </w:rPr>
              <w:t>n/a</w:t>
            </w:r>
          </w:p>
        </w:tc>
        <w:tc>
          <w:tcPr>
            <w:tcW w:w="2412" w:type="dxa"/>
            <w:tcBorders>
              <w:top w:val="single" w:sz="4" w:space="0" w:color="B66113"/>
            </w:tcBorders>
          </w:tcPr>
          <w:p w14:paraId="59B4078A" w14:textId="77777777" w:rsidR="00157E22" w:rsidRPr="00AE5A70" w:rsidRDefault="00157E22" w:rsidP="009341EF">
            <w:pPr>
              <w:pStyle w:val="Tabletext"/>
              <w:spacing w:before="0" w:after="0" w:line="240" w:lineRule="auto"/>
              <w:rPr>
                <w:b/>
              </w:rPr>
            </w:pPr>
            <w:r w:rsidRPr="00AE5A70">
              <w:rPr>
                <w:b/>
              </w:rPr>
              <w:t>n/a</w:t>
            </w:r>
          </w:p>
        </w:tc>
        <w:tc>
          <w:tcPr>
            <w:tcW w:w="2453" w:type="dxa"/>
            <w:tcBorders>
              <w:top w:val="single" w:sz="4" w:space="0" w:color="B66113"/>
            </w:tcBorders>
          </w:tcPr>
          <w:p w14:paraId="6A9210A6" w14:textId="77777777" w:rsidR="00157E22" w:rsidRPr="00AE5A70" w:rsidRDefault="00157E22" w:rsidP="00DC0840">
            <w:pPr>
              <w:spacing w:before="0" w:after="0" w:line="240" w:lineRule="auto"/>
              <w:rPr>
                <w:sz w:val="18"/>
                <w:szCs w:val="18"/>
              </w:rPr>
            </w:pPr>
            <w:r w:rsidRPr="00AE5A70">
              <w:rPr>
                <w:sz w:val="18"/>
                <w:szCs w:val="18"/>
              </w:rPr>
              <w:t xml:space="preserve">A credentialing process should be established, specific to practitioners </w:t>
            </w:r>
            <w:r w:rsidR="00DC0840">
              <w:rPr>
                <w:sz w:val="18"/>
                <w:szCs w:val="18"/>
              </w:rPr>
              <w:t xml:space="preserve">who diagnose and </w:t>
            </w:r>
            <w:r w:rsidRPr="00AE5A70">
              <w:rPr>
                <w:sz w:val="18"/>
                <w:szCs w:val="18"/>
              </w:rPr>
              <w:t xml:space="preserve">provide treatment </w:t>
            </w:r>
            <w:r w:rsidR="00DC0840">
              <w:rPr>
                <w:sz w:val="18"/>
                <w:szCs w:val="18"/>
              </w:rPr>
              <w:t>to</w:t>
            </w:r>
            <w:r w:rsidRPr="00AE5A70">
              <w:rPr>
                <w:sz w:val="18"/>
                <w:szCs w:val="18"/>
              </w:rPr>
              <w:t xml:space="preserve"> patients with eating disorders. Once established, these credentials should be used to determine practitioner eligibility to provide services under the new MBS items. </w:t>
            </w:r>
          </w:p>
        </w:tc>
        <w:tc>
          <w:tcPr>
            <w:tcW w:w="3395" w:type="dxa"/>
            <w:tcBorders>
              <w:top w:val="single" w:sz="4" w:space="0" w:color="B66113"/>
            </w:tcBorders>
          </w:tcPr>
          <w:p w14:paraId="00959024" w14:textId="77777777" w:rsidR="00157E22" w:rsidRPr="00AE5A70" w:rsidRDefault="00157E22" w:rsidP="009341EF">
            <w:pPr>
              <w:spacing w:before="0" w:after="0" w:line="240" w:lineRule="auto"/>
              <w:rPr>
                <w:sz w:val="18"/>
                <w:szCs w:val="18"/>
              </w:rPr>
            </w:pPr>
            <w:r w:rsidRPr="00AE5A70">
              <w:rPr>
                <w:sz w:val="18"/>
                <w:szCs w:val="18"/>
              </w:rPr>
              <w:t xml:space="preserve">Practitioners that work with people diagnosed with eating disorders have appropriate accreditation and have been credentialed accordingly. </w:t>
            </w:r>
          </w:p>
        </w:tc>
        <w:tc>
          <w:tcPr>
            <w:tcW w:w="4466" w:type="dxa"/>
            <w:tcBorders>
              <w:top w:val="single" w:sz="4" w:space="0" w:color="B66113"/>
            </w:tcBorders>
          </w:tcPr>
          <w:p w14:paraId="04C774C5" w14:textId="77777777" w:rsidR="00157E22" w:rsidRPr="00AE5A70" w:rsidRDefault="00157E22" w:rsidP="009341EF">
            <w:pPr>
              <w:spacing w:before="0" w:after="0" w:line="240" w:lineRule="auto"/>
              <w:rPr>
                <w:sz w:val="18"/>
                <w:szCs w:val="18"/>
              </w:rPr>
            </w:pPr>
            <w:r w:rsidRPr="00AE5A70">
              <w:rPr>
                <w:sz w:val="18"/>
                <w:szCs w:val="18"/>
              </w:rPr>
              <w:t>Ensure that high quality services are delivered by practitioners with the required knowledge and experience in eating disorders.</w:t>
            </w:r>
          </w:p>
        </w:tc>
      </w:tr>
    </w:tbl>
    <w:p w14:paraId="4D5DF20A" w14:textId="77777777" w:rsidR="00967092" w:rsidRPr="00AE5A70" w:rsidRDefault="00967092" w:rsidP="00967092">
      <w:pPr>
        <w:spacing w:before="0" w:after="0" w:line="240" w:lineRule="auto"/>
        <w:rPr>
          <w:sz w:val="18"/>
          <w:szCs w:val="18"/>
        </w:rPr>
      </w:pPr>
    </w:p>
    <w:p w14:paraId="281B559B" w14:textId="77777777" w:rsidR="00967092" w:rsidRPr="00AE5A70" w:rsidRDefault="00967092" w:rsidP="00967092">
      <w:pPr>
        <w:spacing w:before="0" w:after="0" w:line="240" w:lineRule="auto"/>
        <w:rPr>
          <w:sz w:val="18"/>
          <w:szCs w:val="18"/>
        </w:rPr>
      </w:pPr>
    </w:p>
    <w:p w14:paraId="3BAFEB55" w14:textId="77777777" w:rsidR="00967092" w:rsidRPr="00AE5A70" w:rsidRDefault="00967092" w:rsidP="00967092">
      <w:pPr>
        <w:spacing w:before="0" w:after="0" w:line="240" w:lineRule="auto"/>
        <w:rPr>
          <w:sz w:val="18"/>
          <w:szCs w:val="18"/>
        </w:rPr>
      </w:pPr>
    </w:p>
    <w:p w14:paraId="66E3F56B" w14:textId="77777777" w:rsidR="00967092" w:rsidRPr="00AE5A70" w:rsidRDefault="00967092" w:rsidP="00967092">
      <w:pPr>
        <w:spacing w:before="0" w:after="0" w:line="240" w:lineRule="auto"/>
        <w:rPr>
          <w:sz w:val="18"/>
          <w:szCs w:val="18"/>
        </w:rPr>
      </w:pPr>
    </w:p>
    <w:p w14:paraId="524AE608" w14:textId="77777777" w:rsidR="00967092" w:rsidRPr="00AE5A70" w:rsidRDefault="00967092" w:rsidP="00967092">
      <w:pPr>
        <w:spacing w:before="0" w:after="0" w:line="240" w:lineRule="auto"/>
        <w:rPr>
          <w:sz w:val="18"/>
          <w:szCs w:val="18"/>
        </w:rPr>
      </w:pPr>
    </w:p>
    <w:p w14:paraId="1E67AAC8" w14:textId="77777777" w:rsidR="00967092" w:rsidRPr="00AE5A70" w:rsidRDefault="00967092" w:rsidP="00967092">
      <w:pPr>
        <w:spacing w:before="0" w:after="0" w:line="240" w:lineRule="auto"/>
        <w:rPr>
          <w:sz w:val="18"/>
          <w:szCs w:val="18"/>
        </w:rPr>
      </w:pPr>
    </w:p>
    <w:p w14:paraId="0A0F8763" w14:textId="77777777" w:rsidR="00967092" w:rsidRPr="00AE5A70" w:rsidRDefault="00967092" w:rsidP="00967092">
      <w:pPr>
        <w:spacing w:before="0" w:after="0" w:line="240" w:lineRule="auto"/>
        <w:rPr>
          <w:sz w:val="18"/>
          <w:szCs w:val="18"/>
        </w:rPr>
      </w:pPr>
    </w:p>
    <w:p w14:paraId="10C99472" w14:textId="77777777" w:rsidR="00967092" w:rsidRPr="00AE5A70" w:rsidRDefault="00967092" w:rsidP="00967092">
      <w:pPr>
        <w:spacing w:before="0" w:after="0" w:line="240" w:lineRule="auto"/>
        <w:rPr>
          <w:sz w:val="18"/>
          <w:szCs w:val="18"/>
        </w:rPr>
      </w:pPr>
    </w:p>
    <w:p w14:paraId="205084BA" w14:textId="77777777" w:rsidR="00157E22" w:rsidRPr="00AE5A70" w:rsidRDefault="00967092">
      <w:pPr>
        <w:spacing w:before="0" w:after="0" w:line="240" w:lineRule="auto"/>
        <w:rPr>
          <w:sz w:val="18"/>
          <w:szCs w:val="18"/>
        </w:rPr>
      </w:pPr>
      <w:r w:rsidRPr="00AE5A70">
        <w:rPr>
          <w:sz w:val="18"/>
          <w:szCs w:val="18"/>
        </w:rPr>
        <w:br w:type="page"/>
      </w:r>
    </w:p>
    <w:tbl>
      <w:tblPr>
        <w:tblStyle w:val="TableGrid"/>
        <w:tblpPr w:leftFromText="180" w:rightFromText="180" w:vertAnchor="page" w:horzAnchor="margin" w:tblpY="1835"/>
        <w:tblW w:w="14283"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E: Summary for consumers"/>
        <w:tblDescription w:val="This table is a summary of the Eating Disorders Working Group recommendations, written for consumers. It lists the MBS items considered by the working group and includes item number (where applicable), the service which provided by the item number, the Working Group's recommendation, what would be different if the recommendation was implemented, and why."/>
      </w:tblPr>
      <w:tblGrid>
        <w:gridCol w:w="1557"/>
        <w:gridCol w:w="2412"/>
        <w:gridCol w:w="2453"/>
        <w:gridCol w:w="3395"/>
        <w:gridCol w:w="4466"/>
      </w:tblGrid>
      <w:tr w:rsidR="00AE5A70" w:rsidRPr="00AE5A70" w14:paraId="4E3FF5F4" w14:textId="77777777" w:rsidTr="00E50512">
        <w:trPr>
          <w:cantSplit/>
          <w:tblHeader/>
        </w:trPr>
        <w:tc>
          <w:tcPr>
            <w:tcW w:w="14283" w:type="dxa"/>
            <w:gridSpan w:val="5"/>
            <w:tcBorders>
              <w:top w:val="nil"/>
              <w:bottom w:val="nil"/>
            </w:tcBorders>
            <w:shd w:val="clear" w:color="auto" w:fill="auto"/>
          </w:tcPr>
          <w:p w14:paraId="4C008699" w14:textId="77777777" w:rsidR="00157E22" w:rsidRPr="00AE5A70" w:rsidRDefault="00157E22" w:rsidP="009341EF">
            <w:pPr>
              <w:spacing w:before="0" w:after="0" w:line="240" w:lineRule="auto"/>
              <w:rPr>
                <w:b/>
                <w:sz w:val="18"/>
                <w:szCs w:val="18"/>
              </w:rPr>
            </w:pPr>
            <w:r w:rsidRPr="00AE5A70">
              <w:rPr>
                <w:b/>
                <w:sz w:val="18"/>
                <w:szCs w:val="18"/>
              </w:rPr>
              <w:t>Recommendation 3.4</w:t>
            </w:r>
          </w:p>
          <w:p w14:paraId="4B3869CF" w14:textId="77777777" w:rsidR="00157E22" w:rsidRPr="00AE5A70" w:rsidRDefault="00157E22" w:rsidP="009341EF">
            <w:pPr>
              <w:spacing w:before="0" w:after="0" w:line="240" w:lineRule="auto"/>
              <w:rPr>
                <w:b/>
                <w:sz w:val="18"/>
                <w:szCs w:val="18"/>
              </w:rPr>
            </w:pPr>
          </w:p>
        </w:tc>
      </w:tr>
      <w:tr w:rsidR="00AE5A70" w:rsidRPr="00AE5A70" w14:paraId="01507030" w14:textId="77777777" w:rsidTr="00E50512">
        <w:trPr>
          <w:cantSplit/>
          <w:tblHeader/>
        </w:trPr>
        <w:tc>
          <w:tcPr>
            <w:tcW w:w="1557" w:type="dxa"/>
            <w:tcBorders>
              <w:top w:val="nil"/>
              <w:bottom w:val="single" w:sz="4" w:space="0" w:color="B66113"/>
            </w:tcBorders>
            <w:shd w:val="clear" w:color="auto" w:fill="B66113"/>
          </w:tcPr>
          <w:p w14:paraId="06CB5D9F" w14:textId="77777777" w:rsidR="00157E22" w:rsidRPr="00AE5A70" w:rsidRDefault="00157E22" w:rsidP="009341EF">
            <w:pPr>
              <w:pStyle w:val="Tableheading-white"/>
              <w:spacing w:before="0" w:after="0" w:line="240" w:lineRule="auto"/>
              <w:rPr>
                <w:color w:val="auto"/>
                <w:szCs w:val="18"/>
              </w:rPr>
            </w:pPr>
            <w:r w:rsidRPr="00AE5A70">
              <w:rPr>
                <w:color w:val="auto"/>
                <w:szCs w:val="18"/>
              </w:rPr>
              <w:t>Item</w:t>
            </w:r>
          </w:p>
        </w:tc>
        <w:tc>
          <w:tcPr>
            <w:tcW w:w="2412" w:type="dxa"/>
            <w:tcBorders>
              <w:top w:val="nil"/>
              <w:bottom w:val="single" w:sz="4" w:space="0" w:color="B66113"/>
            </w:tcBorders>
            <w:shd w:val="clear" w:color="auto" w:fill="B66113"/>
          </w:tcPr>
          <w:p w14:paraId="42D35748" w14:textId="77777777" w:rsidR="00157E22" w:rsidRPr="00AE5A70" w:rsidRDefault="00157E22" w:rsidP="009341EF">
            <w:pPr>
              <w:pStyle w:val="Tableheading-white"/>
              <w:spacing w:before="0" w:after="0" w:line="240" w:lineRule="auto"/>
              <w:rPr>
                <w:color w:val="auto"/>
                <w:szCs w:val="18"/>
              </w:rPr>
            </w:pPr>
            <w:r w:rsidRPr="00AE5A70">
              <w:rPr>
                <w:color w:val="auto"/>
                <w:szCs w:val="18"/>
              </w:rPr>
              <w:t>What it does</w:t>
            </w:r>
          </w:p>
        </w:tc>
        <w:tc>
          <w:tcPr>
            <w:tcW w:w="2453" w:type="dxa"/>
            <w:tcBorders>
              <w:top w:val="nil"/>
              <w:bottom w:val="single" w:sz="4" w:space="0" w:color="B66113"/>
            </w:tcBorders>
            <w:shd w:val="clear" w:color="auto" w:fill="B66113"/>
          </w:tcPr>
          <w:p w14:paraId="40C839AD" w14:textId="77777777" w:rsidR="00157E22" w:rsidRPr="00AE5A70" w:rsidRDefault="00157E22" w:rsidP="009341EF">
            <w:pPr>
              <w:pStyle w:val="Tableheading-white"/>
              <w:spacing w:before="0" w:after="0" w:line="240" w:lineRule="auto"/>
              <w:rPr>
                <w:color w:val="auto"/>
                <w:szCs w:val="18"/>
              </w:rPr>
            </w:pPr>
            <w:r w:rsidRPr="00AE5A70">
              <w:rPr>
                <w:color w:val="auto"/>
                <w:szCs w:val="18"/>
              </w:rPr>
              <w:t>Committee recommendation</w:t>
            </w:r>
          </w:p>
        </w:tc>
        <w:tc>
          <w:tcPr>
            <w:tcW w:w="3395" w:type="dxa"/>
            <w:tcBorders>
              <w:top w:val="nil"/>
              <w:bottom w:val="single" w:sz="4" w:space="0" w:color="B66113"/>
            </w:tcBorders>
            <w:shd w:val="clear" w:color="auto" w:fill="B66113"/>
          </w:tcPr>
          <w:p w14:paraId="5C59777D" w14:textId="77777777" w:rsidR="00157E22" w:rsidRPr="00AE5A70" w:rsidRDefault="00157E22" w:rsidP="009341EF">
            <w:pPr>
              <w:pStyle w:val="Tableheading-white"/>
              <w:spacing w:before="0" w:after="0" w:line="240" w:lineRule="auto"/>
              <w:rPr>
                <w:color w:val="auto"/>
                <w:szCs w:val="18"/>
              </w:rPr>
            </w:pPr>
            <w:r w:rsidRPr="00AE5A70">
              <w:rPr>
                <w:color w:val="auto"/>
                <w:szCs w:val="18"/>
              </w:rPr>
              <w:t>What would be different</w:t>
            </w:r>
          </w:p>
        </w:tc>
        <w:tc>
          <w:tcPr>
            <w:tcW w:w="4466" w:type="dxa"/>
            <w:tcBorders>
              <w:top w:val="nil"/>
              <w:bottom w:val="single" w:sz="4" w:space="0" w:color="B66113"/>
            </w:tcBorders>
            <w:shd w:val="clear" w:color="auto" w:fill="B66113"/>
          </w:tcPr>
          <w:p w14:paraId="6F49E7D9" w14:textId="77777777" w:rsidR="00157E22" w:rsidRPr="00AE5A70" w:rsidRDefault="00157E22" w:rsidP="009341EF">
            <w:pPr>
              <w:pStyle w:val="Tableheading-white"/>
              <w:spacing w:before="0" w:after="0" w:line="240" w:lineRule="auto"/>
              <w:rPr>
                <w:color w:val="auto"/>
                <w:szCs w:val="18"/>
              </w:rPr>
            </w:pPr>
            <w:r w:rsidRPr="00AE5A70">
              <w:rPr>
                <w:color w:val="auto"/>
                <w:szCs w:val="18"/>
              </w:rPr>
              <w:t>Why</w:t>
            </w:r>
          </w:p>
        </w:tc>
      </w:tr>
      <w:tr w:rsidR="00AE5A70" w:rsidRPr="00AE5A70" w14:paraId="3B755F9E" w14:textId="77777777" w:rsidTr="00E50512">
        <w:trPr>
          <w:cantSplit/>
        </w:trPr>
        <w:tc>
          <w:tcPr>
            <w:tcW w:w="1557" w:type="dxa"/>
            <w:tcBorders>
              <w:top w:val="single" w:sz="4" w:space="0" w:color="B66113"/>
            </w:tcBorders>
          </w:tcPr>
          <w:p w14:paraId="05EC9AC3" w14:textId="77777777" w:rsidR="00157E22" w:rsidRPr="00AE5A70" w:rsidRDefault="00157E22" w:rsidP="009341EF">
            <w:pPr>
              <w:pStyle w:val="Tabletext"/>
              <w:spacing w:before="0" w:after="0" w:line="240" w:lineRule="auto"/>
              <w:rPr>
                <w:rFonts w:ascii="Arial" w:eastAsia="Arial" w:hAnsi="Arial" w:cs="Arial"/>
                <w:b/>
                <w:bCs/>
                <w:lang w:val="en-US" w:eastAsia="en-US"/>
              </w:rPr>
            </w:pPr>
            <w:r w:rsidRPr="00AE5A70">
              <w:rPr>
                <w:b/>
                <w:bCs/>
              </w:rPr>
              <w:t>n/a</w:t>
            </w:r>
          </w:p>
        </w:tc>
        <w:tc>
          <w:tcPr>
            <w:tcW w:w="2412" w:type="dxa"/>
            <w:tcBorders>
              <w:top w:val="single" w:sz="4" w:space="0" w:color="B66113"/>
            </w:tcBorders>
          </w:tcPr>
          <w:p w14:paraId="60F9DC97" w14:textId="77777777" w:rsidR="00157E22" w:rsidRPr="00AE5A70" w:rsidRDefault="00157E22" w:rsidP="009341EF">
            <w:pPr>
              <w:pStyle w:val="Tabletext"/>
              <w:spacing w:before="0" w:after="0" w:line="240" w:lineRule="auto"/>
              <w:rPr>
                <w:b/>
              </w:rPr>
            </w:pPr>
            <w:r w:rsidRPr="00AE5A70">
              <w:rPr>
                <w:b/>
              </w:rPr>
              <w:t>n/a</w:t>
            </w:r>
          </w:p>
        </w:tc>
        <w:tc>
          <w:tcPr>
            <w:tcW w:w="2453" w:type="dxa"/>
            <w:tcBorders>
              <w:top w:val="single" w:sz="4" w:space="0" w:color="B66113"/>
            </w:tcBorders>
          </w:tcPr>
          <w:p w14:paraId="6C908991" w14:textId="77777777" w:rsidR="00157E22" w:rsidRPr="00AE5A70" w:rsidRDefault="00157E22" w:rsidP="009341EF">
            <w:pPr>
              <w:spacing w:before="0" w:after="0" w:line="240" w:lineRule="auto"/>
              <w:rPr>
                <w:sz w:val="18"/>
                <w:szCs w:val="18"/>
              </w:rPr>
            </w:pPr>
            <w:r w:rsidRPr="00AE5A70">
              <w:rPr>
                <w:sz w:val="18"/>
                <w:szCs w:val="18"/>
              </w:rPr>
              <w:t xml:space="preserve">A credentialing process should be established, specific to practitioners that provide treatment for patients with eating disorders. Once established, these credentials should be used to determine practitioner eligibility to provide services under the new MBS items. </w:t>
            </w:r>
          </w:p>
        </w:tc>
        <w:tc>
          <w:tcPr>
            <w:tcW w:w="3395" w:type="dxa"/>
            <w:tcBorders>
              <w:top w:val="single" w:sz="4" w:space="0" w:color="B66113"/>
            </w:tcBorders>
          </w:tcPr>
          <w:p w14:paraId="7FFA722A" w14:textId="77777777" w:rsidR="00157E22" w:rsidRPr="00AE5A70" w:rsidRDefault="00157E22" w:rsidP="009341EF">
            <w:pPr>
              <w:spacing w:before="0" w:after="0" w:line="240" w:lineRule="auto"/>
              <w:rPr>
                <w:sz w:val="18"/>
                <w:szCs w:val="18"/>
              </w:rPr>
            </w:pPr>
            <w:r w:rsidRPr="00AE5A70">
              <w:rPr>
                <w:sz w:val="18"/>
                <w:szCs w:val="18"/>
              </w:rPr>
              <w:t xml:space="preserve">Practitioners that work with people diagnosed with eating disorders have appropriate accreditation and have been credentialed accordingly. </w:t>
            </w:r>
          </w:p>
        </w:tc>
        <w:tc>
          <w:tcPr>
            <w:tcW w:w="4466" w:type="dxa"/>
            <w:tcBorders>
              <w:top w:val="single" w:sz="4" w:space="0" w:color="B66113"/>
            </w:tcBorders>
          </w:tcPr>
          <w:p w14:paraId="45FAA414" w14:textId="77777777" w:rsidR="00157E22" w:rsidRPr="00AE5A70" w:rsidRDefault="00157E22" w:rsidP="009341EF">
            <w:pPr>
              <w:spacing w:before="0" w:after="0" w:line="240" w:lineRule="auto"/>
              <w:rPr>
                <w:sz w:val="18"/>
                <w:szCs w:val="18"/>
              </w:rPr>
            </w:pPr>
            <w:r w:rsidRPr="00AE5A70">
              <w:rPr>
                <w:sz w:val="18"/>
                <w:szCs w:val="18"/>
              </w:rPr>
              <w:t>Ensure that high quality services are delivered by practitioners with the required knowledge and experience in eating disorders.</w:t>
            </w:r>
          </w:p>
        </w:tc>
      </w:tr>
    </w:tbl>
    <w:p w14:paraId="20E20DC3" w14:textId="77777777" w:rsidR="00157E22" w:rsidRPr="00AE5A70" w:rsidRDefault="00157E22">
      <w:pPr>
        <w:spacing w:before="0" w:after="0" w:line="240" w:lineRule="auto"/>
        <w:rPr>
          <w:sz w:val="18"/>
          <w:szCs w:val="18"/>
        </w:rPr>
      </w:pPr>
    </w:p>
    <w:p w14:paraId="1B36B1C2" w14:textId="77777777" w:rsidR="00967092" w:rsidRPr="00AE5A70" w:rsidRDefault="00967092" w:rsidP="00967092">
      <w:pPr>
        <w:spacing w:before="0" w:after="0" w:line="240" w:lineRule="auto"/>
        <w:rPr>
          <w:sz w:val="18"/>
          <w:szCs w:val="18"/>
        </w:rPr>
      </w:pPr>
    </w:p>
    <w:p w14:paraId="1C4E10A2" w14:textId="77777777" w:rsidR="00967092" w:rsidRPr="00AE5A70" w:rsidRDefault="00967092" w:rsidP="00967092">
      <w:pPr>
        <w:rPr>
          <w:b/>
          <w:sz w:val="18"/>
          <w:szCs w:val="18"/>
        </w:rPr>
      </w:pPr>
    </w:p>
    <w:p w14:paraId="79E0D051" w14:textId="77777777" w:rsidR="00967092" w:rsidRPr="00AE5A70" w:rsidRDefault="00967092" w:rsidP="00967092"/>
    <w:p w14:paraId="40A4BFD7" w14:textId="77777777" w:rsidR="00BD095A" w:rsidRPr="00AE5A70" w:rsidRDefault="00BD095A" w:rsidP="00BD095A">
      <w:pPr>
        <w:rPr>
          <w:sz w:val="18"/>
          <w:szCs w:val="18"/>
        </w:rPr>
      </w:pPr>
    </w:p>
    <w:sectPr w:rsidR="00BD095A" w:rsidRPr="00AE5A70" w:rsidSect="008E11F7">
      <w:headerReference w:type="default" r:id="rId31"/>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A7FA4" w14:textId="77777777" w:rsidR="00F62B55" w:rsidRDefault="00F62B55" w:rsidP="000D0E4E">
      <w:pPr>
        <w:spacing w:before="0" w:after="0" w:line="240" w:lineRule="auto"/>
      </w:pPr>
      <w:r>
        <w:separator/>
      </w:r>
    </w:p>
  </w:endnote>
  <w:endnote w:type="continuationSeparator" w:id="0">
    <w:p w14:paraId="0E162C9E" w14:textId="77777777" w:rsidR="00F62B55" w:rsidRDefault="00F62B55" w:rsidP="000D0E4E">
      <w:pPr>
        <w:spacing w:before="0" w:after="0" w:line="240" w:lineRule="auto"/>
      </w:pPr>
      <w:r>
        <w:continuationSeparator/>
      </w:r>
    </w:p>
  </w:endnote>
  <w:endnote w:type="continuationNotice" w:id="1">
    <w:p w14:paraId="1DE06231" w14:textId="77777777" w:rsidR="00F62B55" w:rsidRDefault="00F62B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604020202020204"/>
    <w:charset w:val="00"/>
    <w:family w:val="auto"/>
    <w:pitch w:val="variable"/>
    <w:sig w:usb0="00000003" w:usb1="00000000" w:usb2="00000000" w:usb3="00000000" w:csb0="00000001" w:csb1="00000000"/>
  </w:font>
  <w:font w:name="Calibri-Bold">
    <w:altName w:val="Calibri"/>
    <w:panose1 w:val="020B0604020202020204"/>
    <w:charset w:val="00"/>
    <w:family w:val="auto"/>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dvTT6489ba6c">
    <w:altName w:val="Cambria"/>
    <w:panose1 w:val="020B0604020202020204"/>
    <w:charset w:val="00"/>
    <w:family w:val="roman"/>
    <w:notTrueType/>
    <w:pitch w:val="default"/>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rialMT">
    <w:altName w:val="Arial"/>
    <w:panose1 w:val="020B0604020202020204"/>
    <w:charset w:val="00"/>
    <w:family w:val="swiss"/>
    <w:notTrueType/>
    <w:pitch w:val="default"/>
    <w:sig w:usb0="00000003" w:usb1="00000000" w:usb2="00000000" w:usb3="00000000" w:csb0="00000001" w:csb1="00000000"/>
  </w:font>
  <w:font w:name="Arial,Calibri">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8122" w14:textId="77777777" w:rsidR="005006C9" w:rsidRPr="00602688" w:rsidRDefault="005006C9" w:rsidP="008E11F7">
    <w:pPr>
      <w:pStyle w:val="Footer"/>
    </w:pPr>
    <w:r>
      <w:t>Report from the Eating Disorders Working Group</w:t>
    </w:r>
    <w:r w:rsidRPr="27C50046">
      <w:t xml:space="preserve">, </w:t>
    </w:r>
    <w:r>
      <w:t>2018</w:t>
    </w:r>
    <w:r>
      <w:ptab w:relativeTo="margin" w:alignment="right" w:leader="none"/>
    </w:r>
    <w:r w:rsidRPr="00602688">
      <w:t xml:space="preserve">Page </w:t>
    </w:r>
    <w:r w:rsidRPr="005A17E3">
      <w:rPr>
        <w:noProof/>
      </w:rPr>
      <w:fldChar w:fldCharType="begin"/>
    </w:r>
    <w:r w:rsidRPr="00602688">
      <w:instrText xml:space="preserve"> PAGE   \* MERGEFORMAT </w:instrText>
    </w:r>
    <w:r w:rsidRPr="005A17E3">
      <w:fldChar w:fldCharType="separate"/>
    </w:r>
    <w:r w:rsidR="00153F75">
      <w:rPr>
        <w:noProof/>
      </w:rPr>
      <w:t>2</w:t>
    </w:r>
    <w:r w:rsidRPr="005A17E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B4F93" w14:textId="77777777" w:rsidR="005006C9" w:rsidRPr="00CB3EB0" w:rsidRDefault="005006C9" w:rsidP="008E11F7">
    <w:pPr>
      <w:pStyle w:val="Footer"/>
    </w:pPr>
    <w:r>
      <w:t>Report from the Eating Disorders Working Group</w:t>
    </w:r>
    <w:r w:rsidRPr="27C50046">
      <w:t xml:space="preserve">, </w:t>
    </w:r>
    <w:r>
      <w:t>2018</w:t>
    </w:r>
    <w:r>
      <w:tab/>
    </w:r>
    <w:r>
      <w:ptab w:relativeTo="margin" w:alignment="right" w:leader="none"/>
    </w:r>
    <w:r w:rsidRPr="00655CD2">
      <w:t xml:space="preserve">Page </w:t>
    </w:r>
    <w:r w:rsidRPr="00751F6B">
      <w:rPr>
        <w:rFonts w:asciiTheme="majorEastAsia" w:eastAsiaTheme="majorEastAsia" w:hAnsiTheme="majorEastAsia" w:cstheme="majorEastAsia"/>
      </w:rPr>
      <w:fldChar w:fldCharType="begin"/>
    </w:r>
    <w:r w:rsidRPr="00655CD2">
      <w:instrText xml:space="preserve"> PAGE   \* MERGEFORMAT </w:instrText>
    </w:r>
    <w:r w:rsidRPr="00751F6B">
      <w:fldChar w:fldCharType="separate"/>
    </w:r>
    <w:r w:rsidR="00153F75" w:rsidRPr="00153F75">
      <w:rPr>
        <w:rFonts w:asciiTheme="majorEastAsia" w:eastAsiaTheme="majorEastAsia" w:hAnsiTheme="majorEastAsia" w:cstheme="majorEastAsia"/>
        <w:noProof/>
      </w:rPr>
      <w:t>59</w:t>
    </w:r>
    <w:r w:rsidRPr="00751F6B">
      <w:rPr>
        <w:rFonts w:asciiTheme="majorEastAsia" w:eastAsiaTheme="majorEastAsia" w:hAnsiTheme="majorEastAsia" w:cstheme="major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6720" w14:textId="77777777" w:rsidR="005006C9" w:rsidRPr="00044469" w:rsidRDefault="005006C9">
    <w:pPr>
      <w:pStyle w:val="Footer"/>
      <w:rPr>
        <w:rFonts w:asciiTheme="majorEastAsia" w:eastAsiaTheme="majorEastAsia" w:hAnsiTheme="majorEastAsia" w:cstheme="majorEastAsia"/>
      </w:rPr>
    </w:pPr>
    <w:r>
      <w:t>R</w:t>
    </w:r>
    <w:r w:rsidRPr="00655CD2">
      <w:t>eport from the</w:t>
    </w:r>
    <w:r>
      <w:t xml:space="preserve"> Eating Disorders Working Group, 2018</w:t>
    </w:r>
    <w:r>
      <w:ptab w:relativeTo="margin" w:alignment="right" w:leader="none"/>
    </w:r>
    <w:r w:rsidRPr="00655CD2">
      <w:t xml:space="preserve">Page </w:t>
    </w:r>
    <w:r w:rsidRPr="00751F6B">
      <w:rPr>
        <w:rFonts w:asciiTheme="majorEastAsia" w:eastAsiaTheme="majorEastAsia" w:hAnsiTheme="majorEastAsia" w:cstheme="majorEastAsia"/>
      </w:rPr>
      <w:fldChar w:fldCharType="begin"/>
    </w:r>
    <w:r w:rsidRPr="00655CD2">
      <w:instrText xml:space="preserve"> PAGE   \* MERGEFORMAT </w:instrText>
    </w:r>
    <w:r w:rsidRPr="00751F6B">
      <w:fldChar w:fldCharType="separate"/>
    </w:r>
    <w:r w:rsidR="00153F75" w:rsidRPr="00153F75">
      <w:rPr>
        <w:rFonts w:asciiTheme="majorEastAsia" w:eastAsiaTheme="majorEastAsia" w:hAnsiTheme="majorEastAsia" w:cstheme="majorEastAsia"/>
        <w:noProof/>
      </w:rPr>
      <w:t>63</w:t>
    </w:r>
    <w:r w:rsidRPr="00751F6B">
      <w:rPr>
        <w:rFonts w:asciiTheme="majorEastAsia" w:eastAsiaTheme="majorEastAsia" w:hAnsiTheme="majorEastAsia" w:cstheme="majorEastAsia"/>
      </w:rPr>
      <w:fldChar w:fldCharType="end"/>
    </w:r>
  </w:p>
  <w:p w14:paraId="01AD1FFA" w14:textId="77777777" w:rsidR="005006C9" w:rsidRPr="00CB3EB0" w:rsidRDefault="005006C9" w:rsidP="008E11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6F4AE" w14:textId="77777777" w:rsidR="005006C9" w:rsidRPr="00044469" w:rsidRDefault="005006C9">
    <w:pPr>
      <w:pStyle w:val="Footer"/>
      <w:rPr>
        <w:rFonts w:asciiTheme="majorEastAsia" w:eastAsiaTheme="majorEastAsia" w:hAnsiTheme="majorEastAsia" w:cstheme="majorEastAsia"/>
      </w:rPr>
    </w:pPr>
    <w:r>
      <w:t>R</w:t>
    </w:r>
    <w:r w:rsidRPr="00655CD2">
      <w:t>eport from the</w:t>
    </w:r>
    <w:r>
      <w:t xml:space="preserve"> Eating Disorders Working Group, 2018</w:t>
    </w:r>
    <w:r>
      <w:ptab w:relativeTo="margin" w:alignment="right" w:leader="none"/>
    </w:r>
    <w:r w:rsidRPr="00655CD2">
      <w:t xml:space="preserve">Page </w:t>
    </w:r>
    <w:r w:rsidRPr="00751F6B">
      <w:rPr>
        <w:rFonts w:asciiTheme="majorEastAsia" w:eastAsiaTheme="majorEastAsia" w:hAnsiTheme="majorEastAsia" w:cstheme="majorEastAsia"/>
      </w:rPr>
      <w:fldChar w:fldCharType="begin"/>
    </w:r>
    <w:r w:rsidRPr="00655CD2">
      <w:instrText xml:space="preserve"> PAGE   \* MERGEFORMAT </w:instrText>
    </w:r>
    <w:r w:rsidRPr="00751F6B">
      <w:fldChar w:fldCharType="separate"/>
    </w:r>
    <w:r w:rsidR="00153F75" w:rsidRPr="00153F75">
      <w:rPr>
        <w:rFonts w:asciiTheme="majorEastAsia" w:eastAsiaTheme="majorEastAsia" w:hAnsiTheme="majorEastAsia" w:cstheme="majorEastAsia"/>
        <w:noProof/>
      </w:rPr>
      <w:t>90</w:t>
    </w:r>
    <w:r w:rsidRPr="00751F6B">
      <w:rPr>
        <w:rFonts w:asciiTheme="majorEastAsia" w:eastAsiaTheme="majorEastAsia" w:hAnsiTheme="majorEastAsia" w:cstheme="majorEastAsia"/>
      </w:rPr>
      <w:fldChar w:fldCharType="end"/>
    </w:r>
  </w:p>
  <w:p w14:paraId="643576E6" w14:textId="77777777" w:rsidR="005006C9" w:rsidRPr="00CB3EB0" w:rsidRDefault="005006C9" w:rsidP="008E1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6CB76" w14:textId="77777777" w:rsidR="00F62B55" w:rsidRDefault="00F62B55" w:rsidP="000D0E4E">
      <w:pPr>
        <w:spacing w:before="0" w:after="0" w:line="240" w:lineRule="auto"/>
      </w:pPr>
      <w:r>
        <w:separator/>
      </w:r>
    </w:p>
  </w:footnote>
  <w:footnote w:type="continuationSeparator" w:id="0">
    <w:p w14:paraId="17F594E3" w14:textId="77777777" w:rsidR="00F62B55" w:rsidRDefault="00F62B55" w:rsidP="000D0E4E">
      <w:pPr>
        <w:spacing w:before="0" w:after="0" w:line="240" w:lineRule="auto"/>
      </w:pPr>
      <w:r>
        <w:continuationSeparator/>
      </w:r>
    </w:p>
  </w:footnote>
  <w:footnote w:type="continuationNotice" w:id="1">
    <w:p w14:paraId="7714BF71" w14:textId="77777777" w:rsidR="00F62B55" w:rsidRDefault="00F62B55">
      <w:pPr>
        <w:spacing w:before="0" w:after="0" w:line="240" w:lineRule="auto"/>
      </w:pPr>
    </w:p>
  </w:footnote>
  <w:footnote w:id="2">
    <w:p w14:paraId="0AE9B574" w14:textId="77777777" w:rsidR="00770058" w:rsidRPr="009341EF" w:rsidRDefault="00770058" w:rsidP="00770058">
      <w:pPr>
        <w:pStyle w:val="FootnoteText"/>
        <w:spacing w:before="0" w:after="120" w:line="240" w:lineRule="auto"/>
        <w:rPr>
          <w:rFonts w:ascii="Calibri" w:eastAsia="Calibri" w:hAnsi="Calibri" w:cs="Calibri"/>
        </w:rPr>
      </w:pPr>
      <w:r w:rsidRPr="003704C8">
        <w:rPr>
          <w:rStyle w:val="FootnoteReference"/>
        </w:rPr>
        <w:footnoteRef/>
      </w:r>
      <w:r w:rsidRPr="00396865">
        <w:t xml:space="preserve"> The term allied health professional is used refers to </w:t>
      </w:r>
      <w:r w:rsidRPr="00396865">
        <w:rPr>
          <w:rFonts w:ascii="Calibri" w:eastAsia="Calibri" w:hAnsi="Calibri" w:cs="Calibri"/>
        </w:rPr>
        <w:t>dietitians and accredited mental health profess</w:t>
      </w:r>
      <w:r w:rsidRPr="00D71527">
        <w:rPr>
          <w:rFonts w:ascii="Calibri" w:eastAsia="Calibri" w:hAnsi="Calibri" w:cs="Calibri"/>
        </w:rPr>
        <w:t xml:space="preserve">ionals including </w:t>
      </w:r>
      <w:r w:rsidRPr="00895B75">
        <w:rPr>
          <w:rFonts w:ascii="Calibri" w:eastAsia="Calibri" w:hAnsi="Calibri" w:cs="Calibri"/>
        </w:rPr>
        <w:t>GP</w:t>
      </w:r>
      <w:r>
        <w:rPr>
          <w:rFonts w:ascii="Calibri" w:eastAsia="Calibri" w:hAnsi="Calibri" w:cs="Calibri"/>
        </w:rPr>
        <w:t>s</w:t>
      </w:r>
      <w:r w:rsidRPr="00396865">
        <w:rPr>
          <w:rFonts w:ascii="Calibri" w:eastAsia="Calibri" w:hAnsi="Calibri" w:cs="Calibri"/>
        </w:rPr>
        <w:t xml:space="preserve"> who have completed </w:t>
      </w:r>
      <w:r w:rsidRPr="00D71527">
        <w:rPr>
          <w:rFonts w:ascii="Calibri" w:eastAsia="Calibri" w:hAnsi="Calibri" w:cs="Calibri"/>
        </w:rPr>
        <w:t xml:space="preserve">accredited mental health training, </w:t>
      </w:r>
      <w:r w:rsidRPr="00895B75">
        <w:rPr>
          <w:rFonts w:ascii="Calibri" w:eastAsia="Calibri" w:hAnsi="Calibri" w:cs="Calibri"/>
        </w:rPr>
        <w:t>psychologists, mental health nurses, social workers, occupational t</w:t>
      </w:r>
      <w:r w:rsidRPr="003704C8">
        <w:rPr>
          <w:rFonts w:ascii="Calibri" w:eastAsia="Calibri" w:hAnsi="Calibri" w:cs="Calibri"/>
        </w:rPr>
        <w:t xml:space="preserve">herapists, counsellors and psychotherapists. Appendix C: Appropriately trained health practitioners able to provide eating disorders specific treatment </w:t>
      </w:r>
      <w:r w:rsidRPr="00396865">
        <w:rPr>
          <w:rFonts w:ascii="Calibri" w:eastAsia="Calibri" w:hAnsi="Calibri" w:cs="Calibri"/>
        </w:rPr>
        <w:t>provides a comprehensive list of the allied health and mental health professionals to which the Working Group believes should</w:t>
      </w:r>
      <w:r w:rsidRPr="00895B75">
        <w:rPr>
          <w:rFonts w:ascii="Calibri" w:eastAsia="Calibri" w:hAnsi="Calibri" w:cs="Calibri"/>
        </w:rPr>
        <w:t xml:space="preserve"> provide services to patients referred for treatment under the new MBS items.  </w:t>
      </w:r>
    </w:p>
  </w:footnote>
  <w:footnote w:id="3">
    <w:p w14:paraId="42E2CFCC" w14:textId="77777777" w:rsidR="005006C9" w:rsidRPr="00396865" w:rsidRDefault="005006C9" w:rsidP="009341EF">
      <w:pPr>
        <w:pStyle w:val="FootnoteText"/>
        <w:spacing w:before="0" w:after="120" w:line="240" w:lineRule="auto"/>
      </w:pPr>
      <w:r w:rsidRPr="00396865">
        <w:rPr>
          <w:rStyle w:val="FootnoteReference"/>
        </w:rPr>
        <w:footnoteRef/>
      </w:r>
      <w:r w:rsidRPr="00396865">
        <w:t xml:space="preserve"> </w:t>
      </w:r>
      <w:r w:rsidRPr="009341EF">
        <w:t xml:space="preserve">Whilst there are no specific MBS items for the treatment and management of patients with eating disorders, </w:t>
      </w:r>
      <w:r w:rsidRPr="009341EF">
        <w:rPr>
          <w:rFonts w:ascii="Calibri" w:eastAsia="Calibri" w:hAnsi="Calibri" w:cs="Calibri"/>
        </w:rPr>
        <w:t>MBS item 319 allows patients with AN and BN, among a number of other patient groups, to access up to 160 psychiatry services which are rebated at the higher rate.</w:t>
      </w:r>
    </w:p>
  </w:footnote>
  <w:footnote w:id="4">
    <w:p w14:paraId="124AA8D8" w14:textId="77777777" w:rsidR="005006C9" w:rsidRPr="009341EF" w:rsidRDefault="005006C9" w:rsidP="009341EF">
      <w:pPr>
        <w:pStyle w:val="FootnoteText"/>
        <w:spacing w:before="0" w:after="120" w:line="240" w:lineRule="auto"/>
      </w:pPr>
      <w:r w:rsidRPr="009341EF">
        <w:rPr>
          <w:rStyle w:val="FootnoteReference"/>
        </w:rPr>
        <w:footnoteRef/>
      </w:r>
      <w:r w:rsidRPr="009341EF">
        <w:t xml:space="preserve"> Note that there are other eligibility requirements that need to be met in order to claim telehealth services through Medicare, including a minimum distance of 15km between the patient and the treating practitioner. For a full list of requirements refer to the MBS online website.</w:t>
      </w:r>
    </w:p>
  </w:footnote>
  <w:footnote w:id="5">
    <w:p w14:paraId="553C10E1"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Hay, P., Chinn, D., Forbes, D., Madden, S., Newton, R., Sugenor, L., Touyz, S. and Ward, W. (2014). Royal Australian and New Zealand</w:t>
      </w:r>
      <w:r w:rsidRPr="00895B75">
        <w:t xml:space="preserve"> College of Psychiatrists Clinical Practice Guidelines for the Treatment of Eating D</w:t>
      </w:r>
      <w:r w:rsidRPr="003704C8">
        <w:t xml:space="preserve">isorders, </w:t>
      </w:r>
      <w:r w:rsidRPr="003704C8">
        <w:rPr>
          <w:i/>
        </w:rPr>
        <w:t xml:space="preserve">Australian and New Zealand Journal of Psychiatry, </w:t>
      </w:r>
      <w:r w:rsidRPr="003704C8">
        <w:t>Vol 48(11) pp. 1 – 62.</w:t>
      </w:r>
    </w:p>
  </w:footnote>
  <w:footnote w:id="6">
    <w:p w14:paraId="7C605A3B"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Hay, P et al., op cit., p. 3</w:t>
      </w:r>
    </w:p>
  </w:footnote>
  <w:footnote w:id="7">
    <w:p w14:paraId="1772891D" w14:textId="77777777" w:rsidR="005006C9" w:rsidRPr="009341EF" w:rsidRDefault="005006C9" w:rsidP="009341EF">
      <w:pPr>
        <w:pStyle w:val="Heading1"/>
        <w:shd w:val="clear" w:color="auto" w:fill="FFFFFF" w:themeFill="background1"/>
        <w:spacing w:before="0" w:after="120" w:line="240" w:lineRule="auto"/>
        <w:rPr>
          <w:sz w:val="20"/>
          <w:szCs w:val="20"/>
          <w:lang w:val="en-US"/>
        </w:rPr>
      </w:pPr>
      <w:r w:rsidRPr="00396865">
        <w:rPr>
          <w:rStyle w:val="FootnoteReference"/>
          <w:rFonts w:asciiTheme="minorHAnsi" w:eastAsiaTheme="minorEastAsia" w:hAnsiTheme="minorHAnsi"/>
          <w:b w:val="0"/>
          <w:kern w:val="0"/>
          <w:sz w:val="20"/>
          <w:szCs w:val="20"/>
        </w:rPr>
        <w:footnoteRef/>
      </w:r>
      <w:r w:rsidRPr="00396865">
        <w:rPr>
          <w:rStyle w:val="FootnoteReference"/>
          <w:rFonts w:asciiTheme="minorHAnsi" w:eastAsiaTheme="minorEastAsia" w:hAnsiTheme="minorHAnsi"/>
          <w:kern w:val="0"/>
          <w:sz w:val="20"/>
          <w:szCs w:val="20"/>
        </w:rPr>
        <w:t xml:space="preserve"> </w:t>
      </w:r>
      <w:r w:rsidRPr="00D71527">
        <w:rPr>
          <w:rFonts w:asciiTheme="minorHAnsi" w:eastAsiaTheme="minorEastAsia" w:hAnsiTheme="minorHAnsi"/>
          <w:b w:val="0"/>
          <w:kern w:val="0"/>
          <w:sz w:val="20"/>
          <w:szCs w:val="20"/>
        </w:rPr>
        <w:t>ibid., p. 3</w:t>
      </w:r>
    </w:p>
  </w:footnote>
  <w:footnote w:id="8">
    <w:p w14:paraId="2002E4CB"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Fairweather – Schmidt, K., and Wade, T. D. (2014). DSM –</w:t>
      </w:r>
      <w:r w:rsidRPr="00D71527">
        <w:t xml:space="preserve"> 5 Eating Disorders and Other Specified Eating and Feeding Disorders: Is There a Meaningful Differentiation?, International Journal of Eating Disorders, Vol 47(5) pp.525 – 535.</w:t>
      </w:r>
    </w:p>
  </w:footnote>
  <w:footnote w:id="9">
    <w:p w14:paraId="2A100F9F"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 xml:space="preserve">The Australian Government Department of Health (2018). </w:t>
      </w:r>
      <w:r w:rsidRPr="00895B75">
        <w:rPr>
          <w:i/>
        </w:rPr>
        <w:t xml:space="preserve">$3.2 million to improve care for people with eating disorders [online]. </w:t>
      </w:r>
      <w:r w:rsidRPr="003704C8">
        <w:t xml:space="preserve">Available at: </w:t>
      </w:r>
      <w:hyperlink r:id="rId1" w:history="1">
        <w:r w:rsidRPr="00D71527">
          <w:rPr>
            <w:rStyle w:val="Hyperlink"/>
            <w:color w:val="auto"/>
            <w:u w:val="none"/>
          </w:rPr>
          <w:t>http://www.health.gov.au/internet/ministers/publishing.nsf/Content/health-m</w:t>
        </w:r>
        <w:r w:rsidRPr="00895B75">
          <w:rPr>
            <w:rStyle w:val="Hyperlink"/>
            <w:color w:val="auto"/>
            <w:u w:val="none"/>
          </w:rPr>
          <w:t>ediarel-yr2018-hunt072.htm</w:t>
        </w:r>
      </w:hyperlink>
      <w:r w:rsidRPr="00396865">
        <w:rPr>
          <w:rStyle w:val="Hyperlink"/>
          <w:color w:val="auto"/>
          <w:u w:val="none"/>
        </w:rPr>
        <w:t xml:space="preserve"> </w:t>
      </w:r>
      <w:r w:rsidRPr="00D71527">
        <w:t>[Accessed 10 Aug 2018]</w:t>
      </w:r>
    </w:p>
  </w:footnote>
  <w:footnote w:id="10">
    <w:p w14:paraId="4534125D" w14:textId="77777777" w:rsidR="005006C9" w:rsidRPr="00396865" w:rsidRDefault="005006C9" w:rsidP="009341EF">
      <w:pPr>
        <w:pStyle w:val="FootnoteText"/>
        <w:spacing w:before="0" w:after="120" w:line="240" w:lineRule="auto"/>
      </w:pPr>
      <w:r w:rsidRPr="00396865">
        <w:rPr>
          <w:rStyle w:val="FootnoteReference"/>
        </w:rPr>
        <w:footnoteRef/>
      </w:r>
      <w:r w:rsidRPr="00396865">
        <w:t xml:space="preserve"> Including psychologists, social workers and occupational therapists.</w:t>
      </w:r>
    </w:p>
  </w:footnote>
  <w:footnote w:id="11">
    <w:p w14:paraId="79B15E30" w14:textId="77777777" w:rsidR="005006C9" w:rsidRPr="003704C8" w:rsidRDefault="005006C9" w:rsidP="009341EF">
      <w:pPr>
        <w:pStyle w:val="FootnoteText"/>
        <w:spacing w:before="0" w:after="120" w:line="240" w:lineRule="auto"/>
      </w:pPr>
      <w:r w:rsidRPr="00396865">
        <w:rPr>
          <w:rStyle w:val="FootnoteReference"/>
        </w:rPr>
        <w:footnoteRef/>
      </w:r>
      <w:r w:rsidRPr="00396865">
        <w:t xml:space="preserve"> National Eating Disorders Collaboration. (2012). </w:t>
      </w:r>
      <w:r w:rsidRPr="00D71527">
        <w:rPr>
          <w:i/>
        </w:rPr>
        <w:t>An Integrated Response to Complexity National Ea</w:t>
      </w:r>
      <w:r w:rsidRPr="00895B75">
        <w:rPr>
          <w:i/>
        </w:rPr>
        <w:t>ting Disorders Framework,</w:t>
      </w:r>
      <w:r w:rsidRPr="003704C8">
        <w:t xml:space="preserve"> accessed 30 August 2018, https://www.nedc.com.au/research-and-resources/show/an-integrated-response-to-complexity-national-eating-disorders-framework.</w:t>
      </w:r>
    </w:p>
  </w:footnote>
  <w:footnote w:id="12">
    <w:p w14:paraId="24774090"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rPr>
          <w:lang w:val="en-US"/>
        </w:rPr>
        <w:t xml:space="preserve"> ibid., p.37.</w:t>
      </w:r>
    </w:p>
  </w:footnote>
  <w:footnote w:id="13">
    <w:p w14:paraId="0DF4A829"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The Australian Government Department of Health (2018). </w:t>
      </w:r>
      <w:r w:rsidRPr="00D71527">
        <w:rPr>
          <w:i/>
        </w:rPr>
        <w:t>Better A</w:t>
      </w:r>
      <w:r w:rsidRPr="00895B75">
        <w:rPr>
          <w:i/>
        </w:rPr>
        <w:t>ccess to Psychiatrists, Psychologists and General Practitioners through the MBS (Bet</w:t>
      </w:r>
      <w:r w:rsidRPr="003704C8">
        <w:rPr>
          <w:i/>
        </w:rPr>
        <w:t xml:space="preserve">ter Access) initiative </w:t>
      </w:r>
      <w:r w:rsidRPr="003704C8">
        <w:t xml:space="preserve">[online] Available at: </w:t>
      </w:r>
      <w:hyperlink r:id="rId2" w:history="1">
        <w:r w:rsidRPr="00D71527">
          <w:rPr>
            <w:rStyle w:val="Hyperlink"/>
          </w:rPr>
          <w:t>http://www.health.gov.au/internet/main/publishing.nsf/Content/AD7820EAC9F90D90CA25817900186FB2/$File/Fact</w:t>
        </w:r>
        <w:r w:rsidRPr="00895B75">
          <w:rPr>
            <w:rStyle w:val="Hyperlink"/>
          </w:rPr>
          <w:t xml:space="preserve"> per cent20sheet per cent20- per cent20BA per cent20for per cent20patients.pdf</w:t>
        </w:r>
      </w:hyperlink>
      <w:r w:rsidRPr="00396865">
        <w:t xml:space="preserve"> [Accessed 9 Aug 2018].</w:t>
      </w:r>
    </w:p>
  </w:footnote>
  <w:footnote w:id="14">
    <w:p w14:paraId="7DE3EA2F"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Hay, P et al.</w:t>
      </w:r>
      <w:r w:rsidRPr="00D71527">
        <w:t>, op cit., pp. 9-10</w:t>
      </w:r>
    </w:p>
  </w:footnote>
  <w:footnote w:id="15">
    <w:p w14:paraId="2B9BFD3E" w14:textId="77777777" w:rsidR="005006C9" w:rsidRPr="00396865" w:rsidRDefault="005006C9" w:rsidP="009341EF">
      <w:pPr>
        <w:pStyle w:val="FootnoteText"/>
        <w:spacing w:before="0" w:after="120" w:line="240" w:lineRule="auto"/>
      </w:pPr>
      <w:r w:rsidRPr="00396865">
        <w:rPr>
          <w:rStyle w:val="FootnoteReference"/>
        </w:rPr>
        <w:footnoteRef/>
      </w:r>
      <w:r w:rsidRPr="00396865">
        <w:t xml:space="preserve"> National Eating Disorders Collaboration., op-cit., p.32 </w:t>
      </w:r>
    </w:p>
  </w:footnote>
  <w:footnote w:id="16">
    <w:p w14:paraId="1A4F0A38"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 xml:space="preserve">Carter J.C., Mercer,-Lynn K. B., Norwood, S.J., Bewell-Weiss, C.V., Crosby, R.D., Woodeside, D. B., and Olmstead, M.P. (2012). A Prospective Study of Predictors of Relapse in </w:t>
      </w:r>
      <w:r w:rsidRPr="00895B75">
        <w:rPr>
          <w:lang w:val="en-US"/>
        </w:rPr>
        <w:t xml:space="preserve">Anorexia Nerovsa; Implications for Relapse Prevention, </w:t>
      </w:r>
      <w:r w:rsidRPr="003704C8">
        <w:rPr>
          <w:i/>
          <w:lang w:val="en-US"/>
        </w:rPr>
        <w:t xml:space="preserve">Australasian Psychiatry, </w:t>
      </w:r>
      <w:r w:rsidRPr="003704C8">
        <w:rPr>
          <w:lang w:val="en-US"/>
        </w:rPr>
        <w:t>Vol 15 pp.390 – 395.</w:t>
      </w:r>
    </w:p>
  </w:footnote>
  <w:footnote w:id="17">
    <w:p w14:paraId="6547BFE3" w14:textId="77777777" w:rsidR="005006C9" w:rsidRPr="003704C8" w:rsidRDefault="005006C9" w:rsidP="009341EF">
      <w:pPr>
        <w:pStyle w:val="FootnoteText"/>
        <w:spacing w:before="0" w:after="120" w:line="240" w:lineRule="auto"/>
        <w:rPr>
          <w:i/>
        </w:rPr>
      </w:pPr>
      <w:r w:rsidRPr="00396865">
        <w:rPr>
          <w:rStyle w:val="FootnoteReference"/>
        </w:rPr>
        <w:footnoteRef/>
      </w:r>
      <w:r w:rsidRPr="00396865">
        <w:t xml:space="preserve"> Stienhausen, H. (2009). Outcome of eating disorders, </w:t>
      </w:r>
      <w:r w:rsidRPr="00D71527">
        <w:rPr>
          <w:i/>
        </w:rPr>
        <w:t xml:space="preserve">Child and Adolescent Psychiatric Clinics of North America, </w:t>
      </w:r>
      <w:r w:rsidRPr="00895B75">
        <w:t xml:space="preserve">Vol 18(1), pp. 225 – 242. </w:t>
      </w:r>
      <w:r w:rsidRPr="003704C8">
        <w:rPr>
          <w:i/>
        </w:rPr>
        <w:t xml:space="preserve"> </w:t>
      </w:r>
    </w:p>
  </w:footnote>
  <w:footnote w:id="18">
    <w:p w14:paraId="0C99547D" w14:textId="77777777" w:rsidR="005006C9" w:rsidRPr="00396865" w:rsidRDefault="005006C9" w:rsidP="009341EF">
      <w:pPr>
        <w:pStyle w:val="FootnoteText"/>
        <w:spacing w:before="0" w:after="120" w:line="240" w:lineRule="auto"/>
      </w:pPr>
      <w:r w:rsidRPr="00396865">
        <w:rPr>
          <w:rStyle w:val="FootnoteReference"/>
        </w:rPr>
        <w:footnoteRef/>
      </w:r>
      <w:r w:rsidRPr="00396865">
        <w:t xml:space="preserve"> National Eating Disorders Collaboration., op-cit., p.26</w:t>
      </w:r>
    </w:p>
  </w:footnote>
  <w:footnote w:id="19">
    <w:p w14:paraId="714AFDE6" w14:textId="77777777" w:rsidR="005006C9" w:rsidRPr="00D71527" w:rsidRDefault="005006C9" w:rsidP="009341EF">
      <w:pPr>
        <w:pStyle w:val="FootnoteText"/>
        <w:spacing w:before="0" w:after="120" w:line="240" w:lineRule="auto"/>
        <w:rPr>
          <w:lang w:val="en-GB"/>
        </w:rPr>
      </w:pPr>
      <w:r w:rsidRPr="00396865">
        <w:rPr>
          <w:rStyle w:val="FootnoteReference"/>
        </w:rPr>
        <w:footnoteRef/>
      </w:r>
      <w:r w:rsidRPr="00396865">
        <w:t xml:space="preserve"> National Eating Disorders Collaboration., op-cit. p. 15</w:t>
      </w:r>
    </w:p>
  </w:footnote>
  <w:footnote w:id="20">
    <w:p w14:paraId="64FB4D20"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National</w:t>
      </w:r>
      <w:r w:rsidRPr="00D71527">
        <w:t xml:space="preserve"> Eating Disorders Collaboration., op-cit., p.45</w:t>
      </w:r>
    </w:p>
  </w:footnote>
  <w:footnote w:id="21">
    <w:p w14:paraId="17CAA61C"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 xml:space="preserve">PHNs </w:t>
      </w:r>
      <w:r w:rsidRPr="00895B75">
        <w:rPr>
          <w:lang w:val="en-US"/>
        </w:rPr>
        <w:t>are independent non-for-profi</w:t>
      </w:r>
      <w:r w:rsidRPr="003704C8">
        <w:rPr>
          <w:lang w:val="en-US"/>
        </w:rPr>
        <w:t>t organisations funded by the government that work to reorient and reform the primary health care systems within a geographic region.</w:t>
      </w:r>
    </w:p>
  </w:footnote>
  <w:footnote w:id="22">
    <w:p w14:paraId="54533FB6"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Department of Health. (2018). </w:t>
      </w:r>
      <w:r w:rsidRPr="00D71527">
        <w:rPr>
          <w:i/>
        </w:rPr>
        <w:t>PHN Ba</w:t>
      </w:r>
      <w:r w:rsidRPr="00895B75">
        <w:rPr>
          <w:i/>
        </w:rPr>
        <w:t xml:space="preserve">ckground. </w:t>
      </w:r>
      <w:r w:rsidRPr="003704C8">
        <w:t xml:space="preserve">[online] Available at: </w:t>
      </w:r>
      <w:hyperlink r:id="rId3" w:history="1">
        <w:r w:rsidRPr="00D71527">
          <w:rPr>
            <w:rStyle w:val="Hyperlink"/>
          </w:rPr>
          <w:t>http://www.health.gov.au/internet/main/publishing.nsf/Content/PHN-Background</w:t>
        </w:r>
      </w:hyperlink>
      <w:r w:rsidRPr="00396865">
        <w:t xml:space="preserve"> [Accessed 30 August 2018]</w:t>
      </w:r>
    </w:p>
  </w:footnote>
  <w:footnote w:id="23">
    <w:p w14:paraId="18C00428"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National Eating Disorders</w:t>
      </w:r>
      <w:r w:rsidRPr="00D71527">
        <w:t xml:space="preserve"> Collaboration., op-cit., pp.45 - 51</w:t>
      </w:r>
    </w:p>
  </w:footnote>
  <w:footnote w:id="24">
    <w:p w14:paraId="196C409C"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Ibid., pp 45 - 51</w:t>
      </w:r>
    </w:p>
  </w:footnote>
  <w:footnote w:id="25">
    <w:p w14:paraId="68F75E7C" w14:textId="77777777" w:rsidR="005006C9" w:rsidRPr="003704C8" w:rsidRDefault="005006C9" w:rsidP="009341EF">
      <w:pPr>
        <w:pStyle w:val="FootnoteText"/>
        <w:spacing w:before="0" w:after="120" w:line="240" w:lineRule="auto"/>
      </w:pPr>
      <w:r w:rsidRPr="00396865">
        <w:rPr>
          <w:rStyle w:val="FootnoteReference"/>
        </w:rPr>
        <w:footnoteRef/>
      </w:r>
      <w:r w:rsidRPr="00396865">
        <w:t xml:space="preserve"> Wilson, G.T., Fairburn, C.C. Agras, W.S., Walsh, B.T. &amp; Kraemer, H. (2002). Cognitive-behavioural therapy for bulimia nervosa: time course and mechanism for change. </w:t>
      </w:r>
      <w:r w:rsidRPr="00895B75">
        <w:rPr>
          <w:i/>
        </w:rPr>
        <w:t>Journal of Consulting and Clinical Psychology</w:t>
      </w:r>
      <w:r w:rsidRPr="003704C8">
        <w:t xml:space="preserve"> 70, 267-274</w:t>
      </w:r>
    </w:p>
  </w:footnote>
  <w:footnote w:id="26">
    <w:p w14:paraId="74F0B5A0"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National Eating Disorders Collaboration (2017). </w:t>
      </w:r>
      <w:r w:rsidRPr="009341EF">
        <w:rPr>
          <w:i/>
        </w:rPr>
        <w:t>A guide to a stepped care approach for eating disorders in community integrated approaches to care</w:t>
      </w:r>
      <w:r w:rsidRPr="00396865">
        <w:t>.</w:t>
      </w:r>
    </w:p>
  </w:footnote>
  <w:footnote w:id="27">
    <w:p w14:paraId="5174C19F"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National Eating Disorders Collaboration., op-cit., pp.28 - 32</w:t>
      </w:r>
    </w:p>
  </w:footnote>
  <w:footnote w:id="28">
    <w:p w14:paraId="0734CC67"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Ibid., p. 28</w:t>
      </w:r>
    </w:p>
  </w:footnote>
  <w:footnote w:id="29">
    <w:p w14:paraId="0F924484" w14:textId="77777777" w:rsidR="005006C9" w:rsidRPr="009341EF" w:rsidRDefault="005006C9" w:rsidP="009341EF">
      <w:pPr>
        <w:spacing w:before="0" w:after="120" w:line="240" w:lineRule="auto"/>
        <w:rPr>
          <w:sz w:val="20"/>
          <w:szCs w:val="20"/>
        </w:rPr>
      </w:pPr>
      <w:r w:rsidRPr="009341EF">
        <w:rPr>
          <w:rStyle w:val="FootnoteReference"/>
          <w:sz w:val="20"/>
          <w:szCs w:val="20"/>
        </w:rPr>
        <w:footnoteRef/>
      </w:r>
      <w:r w:rsidRPr="009341EF">
        <w:rPr>
          <w:sz w:val="20"/>
          <w:szCs w:val="20"/>
        </w:rPr>
        <w:t xml:space="preserve">Law, M., Baptiste, S., and Mill, J. (1995). Client-Centred Practice: What does it Mean and Does it Make a Difference?, </w:t>
      </w:r>
      <w:r w:rsidRPr="009341EF">
        <w:rPr>
          <w:i/>
          <w:sz w:val="20"/>
          <w:szCs w:val="20"/>
        </w:rPr>
        <w:t>The Canadian Journal of Occupational Therapy</w:t>
      </w:r>
      <w:r w:rsidRPr="009341EF">
        <w:rPr>
          <w:sz w:val="20"/>
          <w:szCs w:val="20"/>
        </w:rPr>
        <w:t xml:space="preserve">, Vol 62(5) pp. 250 - 257.  </w:t>
      </w:r>
    </w:p>
  </w:footnote>
  <w:footnote w:id="30">
    <w:p w14:paraId="795B3F29"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National Eating Disorders Collaboration., op-cit., pp.28 - 32</w:t>
      </w:r>
    </w:p>
  </w:footnote>
  <w:footnote w:id="31">
    <w:p w14:paraId="3C93057A"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Richard, M., Bauer, S., Kordy, H. (2005). Relapse in Anorexia and Bulimia Nervosa – a 2.5 Year F</w:t>
      </w:r>
      <w:r w:rsidRPr="00895B75">
        <w:rPr>
          <w:lang w:val="en-US"/>
        </w:rPr>
        <w:t xml:space="preserve">ollow Up Study, </w:t>
      </w:r>
      <w:r w:rsidRPr="00895B75">
        <w:rPr>
          <w:i/>
          <w:lang w:val="en-US"/>
        </w:rPr>
        <w:t xml:space="preserve">European Eating Disorder </w:t>
      </w:r>
      <w:r w:rsidRPr="003704C8">
        <w:rPr>
          <w:i/>
          <w:lang w:val="en-US"/>
        </w:rPr>
        <w:t xml:space="preserve">Review, </w:t>
      </w:r>
      <w:r w:rsidRPr="003704C8">
        <w:rPr>
          <w:lang w:val="en-US"/>
        </w:rPr>
        <w:t>12(3) pp. 180-190</w:t>
      </w:r>
    </w:p>
  </w:footnote>
  <w:footnote w:id="32">
    <w:p w14:paraId="6F45DD47" w14:textId="77777777" w:rsidR="005006C9" w:rsidRPr="009341EF" w:rsidRDefault="005006C9" w:rsidP="009341EF">
      <w:pPr>
        <w:pStyle w:val="FootnoteText"/>
        <w:spacing w:before="0" w:after="120" w:line="240" w:lineRule="auto"/>
        <w:rPr>
          <w:rFonts w:cstheme="minorHAnsi"/>
        </w:rPr>
      </w:pPr>
      <w:r w:rsidRPr="00396865">
        <w:rPr>
          <w:rStyle w:val="FootnoteReference"/>
        </w:rPr>
        <w:footnoteRef/>
      </w:r>
      <w:r w:rsidRPr="00396865">
        <w:t xml:space="preserve"> </w:t>
      </w:r>
      <w:r w:rsidRPr="00D71527">
        <w:rPr>
          <w:rFonts w:eastAsia="Times New Roman" w:cs="Times New Roman"/>
        </w:rPr>
        <w:t>Fairburn C. G., Cooper., Z., Doll, H.A., O’Connor, M.E, Bohn, K, Hawker, D.M, Wales, J.A. and Pal</w:t>
      </w:r>
      <w:r w:rsidRPr="00895B75">
        <w:rPr>
          <w:rFonts w:eastAsia="Times New Roman" w:cs="Times New Roman"/>
        </w:rPr>
        <w:t>mer, R. L. (2009). Transdiag</w:t>
      </w:r>
      <w:r w:rsidRPr="003704C8">
        <w:rPr>
          <w:rFonts w:eastAsia="Times New Roman" w:cs="Times New Roman"/>
        </w:rPr>
        <w:t xml:space="preserve">nostic Cognitive Behavioral Therapy for Patients With Eating Disorders: A Two Site Trial With 60 Week Follow- Up, </w:t>
      </w:r>
      <w:r w:rsidRPr="003704C8">
        <w:rPr>
          <w:rFonts w:eastAsia="Times New Roman" w:cs="Times New Roman"/>
          <w:i/>
        </w:rPr>
        <w:t>The American Journal of Psychiatry</w:t>
      </w:r>
      <w:r w:rsidRPr="003704C8">
        <w:rPr>
          <w:rFonts w:eastAsia="Times New Roman" w:cs="Times New Roman"/>
        </w:rPr>
        <w:t xml:space="preserve"> 166(3)  pp 311 - 319</w:t>
      </w:r>
    </w:p>
  </w:footnote>
  <w:footnote w:id="33">
    <w:p w14:paraId="6646E354" w14:textId="77777777" w:rsidR="005006C9" w:rsidRPr="009341EF" w:rsidRDefault="005006C9" w:rsidP="009341EF">
      <w:pPr>
        <w:autoSpaceDE w:val="0"/>
        <w:autoSpaceDN w:val="0"/>
        <w:adjustRightInd w:val="0"/>
        <w:spacing w:before="0" w:after="120" w:line="240" w:lineRule="auto"/>
        <w:rPr>
          <w:sz w:val="20"/>
          <w:szCs w:val="20"/>
        </w:rPr>
      </w:pPr>
      <w:r w:rsidRPr="009341EF">
        <w:rPr>
          <w:rStyle w:val="FootnoteReference"/>
          <w:sz w:val="20"/>
          <w:szCs w:val="20"/>
        </w:rPr>
        <w:footnoteRef/>
      </w:r>
      <w:r w:rsidRPr="009341EF">
        <w:rPr>
          <w:sz w:val="20"/>
          <w:szCs w:val="20"/>
        </w:rPr>
        <w:t xml:space="preserve"> </w:t>
      </w:r>
      <w:r w:rsidRPr="00396865">
        <w:rPr>
          <w:sz w:val="20"/>
          <w:szCs w:val="20"/>
        </w:rPr>
        <w:t xml:space="preserve">Carter, J.C., McFarlane, T.L., Bewell, C., Olmsted, M.P., Woodside, D.B., Kaplan, A.S., &amp; Crosby, R.D. (2009). </w:t>
      </w:r>
      <w:r w:rsidRPr="00895B75">
        <w:rPr>
          <w:i/>
          <w:sz w:val="20"/>
          <w:szCs w:val="20"/>
        </w:rPr>
        <w:t>Maintenance Treatment for Anorexia Nervosa: A Comparison of Cognitive Behavior Therapy.</w:t>
      </w:r>
      <w:r w:rsidRPr="00895B75">
        <w:rPr>
          <w:sz w:val="20"/>
          <w:szCs w:val="20"/>
        </w:rPr>
        <w:t xml:space="preserve"> Canada: University Health Net</w:t>
      </w:r>
      <w:r w:rsidRPr="003704C8">
        <w:rPr>
          <w:sz w:val="20"/>
          <w:szCs w:val="20"/>
        </w:rPr>
        <w:t>work.</w:t>
      </w:r>
    </w:p>
  </w:footnote>
  <w:footnote w:id="34">
    <w:p w14:paraId="488BF524" w14:textId="77777777" w:rsidR="005006C9" w:rsidRPr="00D71527" w:rsidRDefault="005006C9" w:rsidP="009341EF">
      <w:pPr>
        <w:autoSpaceDE w:val="0"/>
        <w:autoSpaceDN w:val="0"/>
        <w:adjustRightInd w:val="0"/>
        <w:spacing w:before="0" w:after="120" w:line="240" w:lineRule="auto"/>
        <w:rPr>
          <w:rFonts w:eastAsiaTheme="minorHAnsi" w:cs="Arial"/>
          <w:sz w:val="20"/>
          <w:szCs w:val="20"/>
        </w:rPr>
      </w:pPr>
      <w:r w:rsidRPr="009341EF">
        <w:rPr>
          <w:sz w:val="20"/>
          <w:szCs w:val="20"/>
          <w:vertAlign w:val="superscript"/>
        </w:rPr>
        <w:footnoteRef/>
      </w:r>
      <w:r w:rsidRPr="009341EF">
        <w:rPr>
          <w:sz w:val="20"/>
          <w:szCs w:val="20"/>
          <w:vertAlign w:val="superscript"/>
        </w:rPr>
        <w:t xml:space="preserve"> </w:t>
      </w:r>
      <w:hyperlink r:id="rId4" w:history="1">
        <w:r w:rsidRPr="009341EF">
          <w:rPr>
            <w:sz w:val="20"/>
            <w:szCs w:val="20"/>
          </w:rPr>
          <w:t xml:space="preserve">Byrne, </w:t>
        </w:r>
        <w:r w:rsidRPr="003704C8">
          <w:rPr>
            <w:rFonts w:cs="Arial"/>
            <w:sz w:val="20"/>
            <w:szCs w:val="20"/>
          </w:rPr>
          <w:t>S</w:t>
        </w:r>
      </w:hyperlink>
      <w:r w:rsidRPr="009341EF">
        <w:rPr>
          <w:sz w:val="20"/>
          <w:szCs w:val="20"/>
        </w:rPr>
        <w:t>.</w:t>
      </w:r>
      <w:r w:rsidRPr="00396865">
        <w:rPr>
          <w:rFonts w:cs="Arial"/>
          <w:sz w:val="20"/>
          <w:szCs w:val="20"/>
        </w:rPr>
        <w:t xml:space="preserve">, </w:t>
      </w:r>
      <w:hyperlink r:id="rId5" w:history="1">
        <w:r w:rsidRPr="003704C8">
          <w:rPr>
            <w:rFonts w:cs="Arial"/>
            <w:sz w:val="20"/>
            <w:szCs w:val="20"/>
          </w:rPr>
          <w:t>Wade</w:t>
        </w:r>
        <w:r w:rsidRPr="009341EF">
          <w:rPr>
            <w:sz w:val="20"/>
            <w:szCs w:val="20"/>
          </w:rPr>
          <w:t>,</w:t>
        </w:r>
        <w:r w:rsidRPr="003704C8">
          <w:rPr>
            <w:rFonts w:cs="Arial"/>
            <w:sz w:val="20"/>
            <w:szCs w:val="20"/>
          </w:rPr>
          <w:t xml:space="preserve"> T</w:t>
        </w:r>
      </w:hyperlink>
      <w:r w:rsidRPr="009341EF">
        <w:rPr>
          <w:sz w:val="20"/>
          <w:szCs w:val="20"/>
        </w:rPr>
        <w:t>.</w:t>
      </w:r>
      <w:r w:rsidRPr="00396865">
        <w:rPr>
          <w:rFonts w:cs="Arial"/>
          <w:sz w:val="20"/>
          <w:szCs w:val="20"/>
        </w:rPr>
        <w:t xml:space="preserve">, </w:t>
      </w:r>
      <w:hyperlink r:id="rId6" w:history="1">
        <w:r w:rsidRPr="003704C8">
          <w:rPr>
            <w:rFonts w:cs="Arial"/>
            <w:sz w:val="20"/>
            <w:szCs w:val="20"/>
          </w:rPr>
          <w:t>Hay</w:t>
        </w:r>
        <w:r w:rsidRPr="009341EF">
          <w:rPr>
            <w:sz w:val="20"/>
            <w:szCs w:val="20"/>
          </w:rPr>
          <w:t>,</w:t>
        </w:r>
        <w:r w:rsidRPr="003704C8">
          <w:rPr>
            <w:rFonts w:cs="Arial"/>
            <w:sz w:val="20"/>
            <w:szCs w:val="20"/>
          </w:rPr>
          <w:t xml:space="preserve"> P</w:t>
        </w:r>
      </w:hyperlink>
      <w:r w:rsidRPr="009341EF">
        <w:rPr>
          <w:sz w:val="20"/>
          <w:szCs w:val="20"/>
        </w:rPr>
        <w:t>.</w:t>
      </w:r>
      <w:r w:rsidRPr="00396865">
        <w:rPr>
          <w:rFonts w:cs="Arial"/>
          <w:sz w:val="20"/>
          <w:szCs w:val="20"/>
        </w:rPr>
        <w:t xml:space="preserve">, </w:t>
      </w:r>
      <w:r w:rsidRPr="009341EF">
        <w:rPr>
          <w:sz w:val="20"/>
          <w:szCs w:val="20"/>
        </w:rPr>
        <w:t xml:space="preserve">et al. (2017). </w:t>
      </w:r>
      <w:r w:rsidRPr="00396865">
        <w:rPr>
          <w:rFonts w:eastAsiaTheme="minorHAnsi" w:cs="Arial"/>
          <w:sz w:val="20"/>
          <w:szCs w:val="20"/>
        </w:rPr>
        <w:t>A randomised controlled trial of thr</w:t>
      </w:r>
      <w:r w:rsidRPr="00D71527">
        <w:rPr>
          <w:rFonts w:eastAsiaTheme="minorHAnsi" w:cs="Arial"/>
          <w:sz w:val="20"/>
          <w:szCs w:val="20"/>
        </w:rPr>
        <w:t>ee psychological</w:t>
      </w:r>
    </w:p>
    <w:p w14:paraId="3C4847EF" w14:textId="77777777" w:rsidR="005006C9" w:rsidRPr="00895B75" w:rsidRDefault="005006C9" w:rsidP="009341EF">
      <w:pPr>
        <w:pStyle w:val="FootnoteText"/>
        <w:spacing w:before="0" w:after="120" w:line="240" w:lineRule="auto"/>
      </w:pPr>
      <w:r w:rsidRPr="00895B75">
        <w:t xml:space="preserve">treatments for anorexia nervosa. </w:t>
      </w:r>
      <w:r w:rsidRPr="00895B75">
        <w:rPr>
          <w:i/>
        </w:rPr>
        <w:t>Psychological Medicine</w:t>
      </w:r>
      <w:r w:rsidRPr="003704C8">
        <w:t xml:space="preserve">, </w:t>
      </w:r>
      <w:r w:rsidRPr="003704C8">
        <w:rPr>
          <w:i/>
        </w:rPr>
        <w:t>47</w:t>
      </w:r>
      <w:r w:rsidRPr="003704C8">
        <w:t>. 2823-2833.</w:t>
      </w:r>
      <w:r w:rsidRPr="009341EF">
        <w:rPr>
          <w:rFonts w:ascii="AdvTT6489ba6c" w:hAnsi="AdvTT6489ba6c" w:cs="AdvTT6489ba6c"/>
        </w:rPr>
        <w:t xml:space="preserve"> </w:t>
      </w:r>
      <w:r w:rsidRPr="00396865">
        <w:t>doi</w:t>
      </w:r>
      <w:r w:rsidRPr="00D71527">
        <w:t>:10.1017/S0033291717001</w:t>
      </w:r>
    </w:p>
  </w:footnote>
  <w:footnote w:id="35">
    <w:p w14:paraId="3BFC7E35" w14:textId="77777777" w:rsidR="005006C9" w:rsidRPr="009341EF" w:rsidRDefault="005006C9" w:rsidP="009341EF">
      <w:pPr>
        <w:autoSpaceDE w:val="0"/>
        <w:autoSpaceDN w:val="0"/>
        <w:adjustRightInd w:val="0"/>
        <w:spacing w:before="0" w:after="120" w:line="240" w:lineRule="auto"/>
        <w:rPr>
          <w:i/>
          <w:sz w:val="20"/>
          <w:szCs w:val="20"/>
        </w:rPr>
      </w:pPr>
      <w:r w:rsidRPr="009341EF">
        <w:rPr>
          <w:rStyle w:val="FootnoteReference"/>
          <w:sz w:val="20"/>
          <w:szCs w:val="20"/>
        </w:rPr>
        <w:footnoteRef/>
      </w:r>
      <w:r w:rsidRPr="009341EF">
        <w:rPr>
          <w:sz w:val="20"/>
          <w:szCs w:val="20"/>
        </w:rPr>
        <w:t xml:space="preserve"> </w:t>
      </w:r>
      <w:hyperlink r:id="rId7" w:history="1">
        <w:r w:rsidRPr="003704C8">
          <w:rPr>
            <w:rFonts w:cs="Arial"/>
            <w:sz w:val="20"/>
            <w:szCs w:val="20"/>
          </w:rPr>
          <w:t>Zipfel</w:t>
        </w:r>
        <w:r w:rsidRPr="009341EF">
          <w:rPr>
            <w:sz w:val="20"/>
            <w:szCs w:val="20"/>
          </w:rPr>
          <w:t>,</w:t>
        </w:r>
        <w:r w:rsidRPr="003704C8">
          <w:rPr>
            <w:rFonts w:cs="Arial"/>
            <w:sz w:val="20"/>
            <w:szCs w:val="20"/>
          </w:rPr>
          <w:t xml:space="preserve"> S</w:t>
        </w:r>
      </w:hyperlink>
      <w:r w:rsidRPr="009341EF">
        <w:rPr>
          <w:sz w:val="20"/>
          <w:szCs w:val="20"/>
        </w:rPr>
        <w:t>.</w:t>
      </w:r>
      <w:r w:rsidRPr="00396865">
        <w:rPr>
          <w:rFonts w:cs="Arial"/>
          <w:sz w:val="20"/>
          <w:szCs w:val="20"/>
        </w:rPr>
        <w:t xml:space="preserve">, </w:t>
      </w:r>
      <w:hyperlink r:id="rId8" w:history="1">
        <w:r w:rsidRPr="003704C8">
          <w:rPr>
            <w:rFonts w:cs="Arial"/>
            <w:sz w:val="20"/>
            <w:szCs w:val="20"/>
          </w:rPr>
          <w:t>Wild</w:t>
        </w:r>
        <w:r w:rsidRPr="009341EF">
          <w:rPr>
            <w:sz w:val="20"/>
            <w:szCs w:val="20"/>
          </w:rPr>
          <w:t>,</w:t>
        </w:r>
        <w:r w:rsidRPr="003704C8">
          <w:rPr>
            <w:rFonts w:cs="Arial"/>
            <w:sz w:val="20"/>
            <w:szCs w:val="20"/>
          </w:rPr>
          <w:t xml:space="preserve"> B</w:t>
        </w:r>
      </w:hyperlink>
      <w:r w:rsidRPr="009341EF">
        <w:rPr>
          <w:sz w:val="20"/>
          <w:szCs w:val="20"/>
        </w:rPr>
        <w:t>.</w:t>
      </w:r>
      <w:r w:rsidRPr="00396865">
        <w:rPr>
          <w:rFonts w:cs="Arial"/>
          <w:sz w:val="20"/>
          <w:szCs w:val="20"/>
        </w:rPr>
        <w:t xml:space="preserve">, </w:t>
      </w:r>
      <w:hyperlink r:id="rId9" w:history="1">
        <w:r w:rsidRPr="003704C8">
          <w:rPr>
            <w:rFonts w:cs="Arial"/>
            <w:sz w:val="20"/>
            <w:szCs w:val="20"/>
          </w:rPr>
          <w:t>Groß</w:t>
        </w:r>
        <w:r w:rsidRPr="009341EF">
          <w:rPr>
            <w:sz w:val="20"/>
            <w:szCs w:val="20"/>
          </w:rPr>
          <w:t>,</w:t>
        </w:r>
        <w:r w:rsidRPr="003704C8">
          <w:rPr>
            <w:rFonts w:cs="Arial"/>
            <w:sz w:val="20"/>
            <w:szCs w:val="20"/>
          </w:rPr>
          <w:t xml:space="preserve"> G</w:t>
        </w:r>
      </w:hyperlink>
      <w:r w:rsidRPr="009341EF">
        <w:rPr>
          <w:sz w:val="20"/>
          <w:szCs w:val="20"/>
        </w:rPr>
        <w:t xml:space="preserve">. et. al (2013). </w:t>
      </w:r>
      <w:r w:rsidRPr="00396865">
        <w:rPr>
          <w:rFonts w:eastAsiaTheme="minorHAnsi" w:cs="Arial"/>
          <w:sz w:val="20"/>
          <w:szCs w:val="20"/>
        </w:rPr>
        <w:t>Fo</w:t>
      </w:r>
      <w:r w:rsidRPr="00D71527">
        <w:rPr>
          <w:rFonts w:eastAsiaTheme="minorHAnsi" w:cs="Arial"/>
          <w:sz w:val="20"/>
          <w:szCs w:val="20"/>
        </w:rPr>
        <w:t>cal psychodynamic therapy, cognitive behaviour therapy,</w:t>
      </w:r>
      <w:r w:rsidRPr="00895B75">
        <w:rPr>
          <w:rFonts w:eastAsiaTheme="minorHAnsi" w:cs="Arial"/>
          <w:sz w:val="20"/>
          <w:szCs w:val="20"/>
        </w:rPr>
        <w:t xml:space="preserve"> and optimised treatment as usual in outpatients with anorexia nervosa (ANTOP study): randomised controlled trial. </w:t>
      </w:r>
      <w:r w:rsidRPr="003704C8">
        <w:rPr>
          <w:rFonts w:eastAsiaTheme="minorHAnsi" w:cs="Arial"/>
          <w:i/>
          <w:sz w:val="20"/>
          <w:szCs w:val="20"/>
        </w:rPr>
        <w:t xml:space="preserve">The Lancet, </w:t>
      </w:r>
      <w:r w:rsidRPr="003704C8">
        <w:rPr>
          <w:rFonts w:eastAsiaTheme="minorHAnsi" w:cs="Arial"/>
          <w:sz w:val="20"/>
          <w:szCs w:val="20"/>
        </w:rPr>
        <w:t>383 (9912):127-37. doi: 10.1016/S0140-6736</w:t>
      </w:r>
    </w:p>
  </w:footnote>
  <w:footnote w:id="36">
    <w:p w14:paraId="60827DAF" w14:textId="77777777" w:rsidR="005006C9" w:rsidRPr="003704C8" w:rsidRDefault="005006C9" w:rsidP="009341EF">
      <w:pPr>
        <w:pStyle w:val="FootnoteText"/>
        <w:spacing w:before="0" w:after="120" w:line="240" w:lineRule="auto"/>
      </w:pPr>
      <w:r w:rsidRPr="00396865">
        <w:rPr>
          <w:rStyle w:val="FootnoteReference"/>
        </w:rPr>
        <w:footnoteRef/>
      </w:r>
      <w:r w:rsidRPr="00396865">
        <w:t xml:space="preserve"> Mitchell, J.E., Agras, S., Cr</w:t>
      </w:r>
      <w:r w:rsidRPr="00D71527">
        <w:t>ow, S., Halmi, K. Fairburn, C.G., Bryson, S. &amp; Kraemar, H. (2011). Stepped care and cognitive-behavioural therapy for bulimia nervosa:</w:t>
      </w:r>
      <w:r w:rsidRPr="00895B75">
        <w:t xml:space="preserve"> randomised trial. </w:t>
      </w:r>
      <w:r w:rsidRPr="003704C8">
        <w:rPr>
          <w:i/>
        </w:rPr>
        <w:t xml:space="preserve">The British Journal of Psychiatry, </w:t>
      </w:r>
      <w:r w:rsidRPr="003704C8">
        <w:t xml:space="preserve">198, 5, 391-397. </w:t>
      </w:r>
    </w:p>
  </w:footnote>
  <w:footnote w:id="37">
    <w:p w14:paraId="091C98E4"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Mitchell et al op cit</w:t>
      </w:r>
    </w:p>
  </w:footnote>
  <w:footnote w:id="38">
    <w:p w14:paraId="29220F0A" w14:textId="77777777" w:rsidR="005006C9" w:rsidRPr="00396865" w:rsidRDefault="005006C9" w:rsidP="009341EF">
      <w:pPr>
        <w:pStyle w:val="FootnoteText"/>
        <w:spacing w:before="0" w:after="120" w:line="240" w:lineRule="auto"/>
      </w:pPr>
      <w:r w:rsidRPr="009341EF">
        <w:rPr>
          <w:rFonts w:eastAsia="Times New Roman" w:cs="Times New Roman"/>
          <w:vertAlign w:val="superscript"/>
        </w:rPr>
        <w:footnoteRef/>
      </w:r>
      <w:r w:rsidRPr="009341EF">
        <w:rPr>
          <w:rFonts w:eastAsia="Times New Roman" w:cs="Times New Roman"/>
          <w:vertAlign w:val="superscript"/>
        </w:rPr>
        <w:t xml:space="preserve"> </w:t>
      </w:r>
      <w:r w:rsidRPr="00396865">
        <w:t>Health.gov.au. (2018). D</w:t>
      </w:r>
      <w:r w:rsidRPr="00D71527">
        <w:t xml:space="preserve">epartment of Health | 5.2 Quality-Adjusted-Life-Years (QALYs). [online] Available at: </w:t>
      </w:r>
      <w:hyperlink r:id="rId10" w:history="1">
        <w:r w:rsidRPr="00D71527">
          <w:t>http://www.health.gov.au/internet/publications/publishing.nsf/Content/illicit-pubs-needle-return-1-rep-toc~illicit-pubs-needle-return-1-rep-5~illicit-pubs-needle-return-1-rep-5-2</w:t>
        </w:r>
      </w:hyperlink>
      <w:r w:rsidRPr="00396865">
        <w:t xml:space="preserve"> [Accessed 14 Aug. 2018].</w:t>
      </w:r>
    </w:p>
  </w:footnote>
  <w:footnote w:id="39">
    <w:p w14:paraId="1AA7AC8E" w14:textId="77777777" w:rsidR="005006C9" w:rsidRPr="00D71527" w:rsidRDefault="005006C9" w:rsidP="009341EF">
      <w:pPr>
        <w:pStyle w:val="FootnoteText"/>
        <w:spacing w:before="0" w:after="120" w:line="240" w:lineRule="auto"/>
        <w:rPr>
          <w:lang w:val="en-US"/>
        </w:rPr>
      </w:pPr>
      <w:r w:rsidRPr="009341EF">
        <w:rPr>
          <w:rFonts w:eastAsia="Times New Roman" w:cs="Times New Roman"/>
          <w:vertAlign w:val="superscript"/>
        </w:rPr>
        <w:footnoteRef/>
      </w:r>
      <w:r w:rsidRPr="009341EF">
        <w:rPr>
          <w:rFonts w:eastAsia="Times New Roman" w:cs="Times New Roman"/>
          <w:vertAlign w:val="superscript"/>
        </w:rPr>
        <w:t xml:space="preserve"> </w:t>
      </w:r>
      <w:r w:rsidRPr="00396865">
        <w:t>Australian Institute of H</w:t>
      </w:r>
      <w:r w:rsidRPr="00D71527">
        <w:t xml:space="preserve">ealth and Welfare. (2018). Burden of disease Overview - Australian Institute of Health and Welfare. [online] Available at: </w:t>
      </w:r>
      <w:hyperlink r:id="rId11" w:history="1">
        <w:r w:rsidRPr="00D71527">
          <w:t>https://www.</w:t>
        </w:r>
        <w:r w:rsidRPr="00895B75">
          <w:t>aihw.gov.au/reports-statistics/health-conditions-disability-deaths/burden-of-disease/overview</w:t>
        </w:r>
      </w:hyperlink>
      <w:r w:rsidRPr="00396865">
        <w:t xml:space="preserve"> [Accessed 14 Aug. 2018].</w:t>
      </w:r>
    </w:p>
  </w:footnote>
  <w:footnote w:id="40">
    <w:p w14:paraId="2D9386B9"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 xml:space="preserve">Butterfly Foundation. (2018). </w:t>
      </w:r>
      <w:r w:rsidRPr="00895B75">
        <w:rPr>
          <w:i/>
        </w:rPr>
        <w:t xml:space="preserve">Paying the Price: The Economic and Social Impact of Eating Disorders om Australia. </w:t>
      </w:r>
      <w:r w:rsidRPr="00895B75">
        <w:t xml:space="preserve">[online] </w:t>
      </w:r>
      <w:r w:rsidRPr="003704C8">
        <w:t xml:space="preserve">Available at: </w:t>
      </w:r>
      <w:hyperlink r:id="rId12" w:history="1">
        <w:r w:rsidRPr="00D71527">
          <w:rPr>
            <w:rStyle w:val="Hyperlink"/>
          </w:rPr>
          <w:t>https://thebutterflyfoundation.org.au/assets/Uploads/Butterfly-report-Paying-the-Price-Executive-Summary.pdf</w:t>
        </w:r>
      </w:hyperlink>
      <w:r w:rsidRPr="00396865">
        <w:t xml:space="preserve"> [Accessed 14</w:t>
      </w:r>
      <w:r w:rsidRPr="00D71527">
        <w:t xml:space="preserve"> Aug 2018]</w:t>
      </w:r>
    </w:p>
  </w:footnote>
  <w:footnote w:id="41">
    <w:p w14:paraId="0FA43775"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t xml:space="preserve">Le, Long Khanh-Dao, Barendregy, J.J, Sawyer, S.M., Paxton, S.J., and Mihalopoulos, C. (2017). The modelled cost effectiveness of cognitive dissonance for the prevention of anorexia nervosa and bulimia nervosa in adolescent girls in Australia, </w:t>
      </w:r>
      <w:r w:rsidRPr="00895B75">
        <w:rPr>
          <w:i/>
        </w:rPr>
        <w:t>International Journal of Eating Disorders</w:t>
      </w:r>
      <w:r w:rsidRPr="00895B75">
        <w:t>, Vol (50)7; pp. 834 - 841</w:t>
      </w:r>
    </w:p>
  </w:footnote>
  <w:footnote w:id="42">
    <w:p w14:paraId="29F04B96"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 xml:space="preserve">Hay, P et al., op cit., </w:t>
      </w:r>
      <w:r w:rsidRPr="00895B75">
        <w:rPr>
          <w:rFonts w:ascii="Open Sans" w:eastAsia="Open Sans" w:hAnsi="Open Sans" w:cs="Open Sans"/>
        </w:rPr>
        <w:t>pp.1-62</w:t>
      </w:r>
    </w:p>
  </w:footnote>
  <w:footnote w:id="43">
    <w:p w14:paraId="0290894B"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Ibid pg 28</w:t>
      </w:r>
    </w:p>
  </w:footnote>
  <w:footnote w:id="44">
    <w:p w14:paraId="7DEFC6E1"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Butterfly Foundation. (2018)., op-cit., pp 1 -26</w:t>
      </w:r>
    </w:p>
  </w:footnote>
  <w:footnote w:id="45">
    <w:p w14:paraId="72AD8E43" w14:textId="77777777" w:rsidR="005006C9" w:rsidRPr="00895B75" w:rsidRDefault="005006C9" w:rsidP="009341EF">
      <w:pPr>
        <w:pStyle w:val="FootnoteText"/>
        <w:spacing w:before="0" w:after="120" w:line="240" w:lineRule="auto"/>
        <w:rPr>
          <w:i/>
          <w:lang w:val="en-US"/>
        </w:rPr>
      </w:pPr>
      <w:r w:rsidRPr="00396865">
        <w:rPr>
          <w:rStyle w:val="FootnoteReference"/>
        </w:rPr>
        <w:footnoteRef/>
      </w:r>
      <w:r w:rsidRPr="00396865">
        <w:t xml:space="preserve"> </w:t>
      </w:r>
      <w:r w:rsidRPr="00D71527">
        <w:rPr>
          <w:lang w:val="en-US"/>
        </w:rPr>
        <w:t xml:space="preserve">Butterfly Foundation (2012). </w:t>
      </w:r>
      <w:r w:rsidRPr="00895B75">
        <w:rPr>
          <w:i/>
          <w:lang w:val="en-US"/>
        </w:rPr>
        <w:t>Paying the price: the economic and social impact of eating disorders in Australia.</w:t>
      </w:r>
    </w:p>
  </w:footnote>
  <w:footnote w:id="46">
    <w:p w14:paraId="0737A019"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ibid., pp 1 -26</w:t>
      </w:r>
    </w:p>
  </w:footnote>
  <w:footnote w:id="47">
    <w:p w14:paraId="7C058704"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ibid., pp 1 -26</w:t>
      </w:r>
    </w:p>
  </w:footnote>
  <w:footnote w:id="48">
    <w:p w14:paraId="7B199D89"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t>National Eating Disorders Collaboration., op-cit., p. 86</w:t>
      </w:r>
    </w:p>
  </w:footnote>
  <w:footnote w:id="49">
    <w:p w14:paraId="20BD7EFE"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Hay</w:t>
      </w:r>
      <w:r w:rsidRPr="00895B75">
        <w:t>, P et al , op-cit., p.7</w:t>
      </w:r>
    </w:p>
  </w:footnote>
  <w:footnote w:id="50">
    <w:p w14:paraId="20BD913F"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ibid.,  p. 7</w:t>
      </w:r>
    </w:p>
  </w:footnote>
  <w:footnote w:id="51">
    <w:p w14:paraId="2379CF7E"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t>Law, M et al., op-cit., pp.250 - 257.</w:t>
      </w:r>
    </w:p>
  </w:footnote>
  <w:footnote w:id="52">
    <w:p w14:paraId="1319D1B1" w14:textId="77777777" w:rsidR="007E5420" w:rsidRPr="003704C8" w:rsidRDefault="007E5420" w:rsidP="007E5420">
      <w:pPr>
        <w:pStyle w:val="FootnoteText"/>
        <w:spacing w:before="0" w:after="120" w:line="240" w:lineRule="auto"/>
      </w:pPr>
      <w:r w:rsidRPr="00396865">
        <w:rPr>
          <w:rStyle w:val="FootnoteReference"/>
        </w:rPr>
        <w:footnoteRef/>
      </w:r>
      <w:r w:rsidRPr="00396865">
        <w:t xml:space="preserve"> The term allied health professional is used to ref</w:t>
      </w:r>
      <w:r w:rsidRPr="00D71527">
        <w:t xml:space="preserve">er to </w:t>
      </w:r>
      <w:r w:rsidRPr="00895B75">
        <w:rPr>
          <w:rFonts w:ascii="Calibri" w:eastAsia="Calibri" w:hAnsi="Calibri" w:cs="Calibri"/>
        </w:rPr>
        <w:t>dietitians and accredited mental health professionals including general practi</w:t>
      </w:r>
      <w:r w:rsidRPr="003704C8">
        <w:rPr>
          <w:rFonts w:ascii="Calibri" w:eastAsia="Calibri" w:hAnsi="Calibri" w:cs="Calibri"/>
        </w:rPr>
        <w:t>tioners who have undertaken accredited mental health training,  psychologists, mental health nurses, social workers, occupational therapists, counsellors and psychotherapists.</w:t>
      </w:r>
    </w:p>
  </w:footnote>
  <w:footnote w:id="53">
    <w:p w14:paraId="608E40A0"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w:t>
      </w:r>
      <w:r w:rsidRPr="00D71527">
        <w:rPr>
          <w:lang w:val="en-US"/>
        </w:rPr>
        <w:t>National Eating Disorders Collaboration</w:t>
      </w:r>
      <w:r w:rsidRPr="00895B75">
        <w:rPr>
          <w:lang w:val="en-US"/>
        </w:rPr>
        <w:t>. op. cit., p. 29</w:t>
      </w:r>
    </w:p>
  </w:footnote>
  <w:footnote w:id="54">
    <w:p w14:paraId="4C522559" w14:textId="77777777" w:rsidR="005006C9" w:rsidRPr="003704C8" w:rsidRDefault="005006C9" w:rsidP="009341EF">
      <w:pPr>
        <w:pStyle w:val="FootnoteText"/>
        <w:spacing w:before="0" w:after="120" w:line="240" w:lineRule="auto"/>
        <w:rPr>
          <w:i/>
          <w:lang w:val="en-US"/>
        </w:rPr>
      </w:pPr>
      <w:r w:rsidRPr="00396865">
        <w:rPr>
          <w:rStyle w:val="FootnoteReference"/>
        </w:rPr>
        <w:footnoteRef/>
      </w:r>
      <w:r w:rsidRPr="00396865">
        <w:t xml:space="preserve"> </w:t>
      </w:r>
      <w:r w:rsidRPr="00D71527">
        <w:rPr>
          <w:lang w:val="en-US"/>
        </w:rPr>
        <w:t>Surgenor</w:t>
      </w:r>
      <w:r w:rsidRPr="00895B75">
        <w:rPr>
          <w:lang w:val="en-US"/>
        </w:rPr>
        <w:t xml:space="preserve"> and Maguire, op. cit., p6</w:t>
      </w:r>
      <w:r w:rsidRPr="003704C8">
        <w:rPr>
          <w:i/>
        </w:rPr>
        <w:t>.</w:t>
      </w:r>
    </w:p>
  </w:footnote>
  <w:footnote w:id="55">
    <w:p w14:paraId="066F9E67"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rPr>
          <w:lang w:val="en-US"/>
        </w:rPr>
        <w:t>National Eating Disorders Collaboration</w:t>
      </w:r>
      <w:r w:rsidRPr="00D71527">
        <w:rPr>
          <w:lang w:val="en-US"/>
        </w:rPr>
        <w:t>. op. cit., p. 31</w:t>
      </w:r>
    </w:p>
  </w:footnote>
  <w:footnote w:id="56">
    <w:p w14:paraId="031C8B72"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i</w:t>
      </w:r>
      <w:r w:rsidRPr="00895B75">
        <w:rPr>
          <w:lang w:val="en-US"/>
        </w:rPr>
        <w:t>bid., p. 22</w:t>
      </w:r>
    </w:p>
  </w:footnote>
  <w:footnote w:id="57">
    <w:p w14:paraId="791E4677" w14:textId="77777777" w:rsidR="005006C9" w:rsidRPr="009341EF" w:rsidRDefault="005006C9" w:rsidP="009341EF">
      <w:pPr>
        <w:autoSpaceDE w:val="0"/>
        <w:autoSpaceDN w:val="0"/>
        <w:adjustRightInd w:val="0"/>
        <w:spacing w:before="0" w:after="120" w:line="240" w:lineRule="auto"/>
        <w:rPr>
          <w:rFonts w:ascii="ArialMT" w:hAnsi="ArialMT" w:cs="ArialMT"/>
          <w:color w:val="231F20"/>
          <w:sz w:val="20"/>
          <w:szCs w:val="20"/>
        </w:rPr>
      </w:pPr>
      <w:r w:rsidRPr="009341EF">
        <w:rPr>
          <w:rStyle w:val="FootnoteReference"/>
          <w:sz w:val="20"/>
          <w:szCs w:val="20"/>
        </w:rPr>
        <w:footnoteRef/>
      </w:r>
      <w:r w:rsidRPr="009341EF">
        <w:rPr>
          <w:sz w:val="20"/>
          <w:szCs w:val="20"/>
        </w:rPr>
        <w:t xml:space="preserve"> </w:t>
      </w:r>
      <w:r w:rsidRPr="00396865">
        <w:rPr>
          <w:rFonts w:eastAsiaTheme="minorHAnsi" w:cs="Arial"/>
          <w:sz w:val="20"/>
          <w:szCs w:val="20"/>
          <w:lang w:val="en-US"/>
        </w:rPr>
        <w:t>Fisher, C.A., Hetrick, S.E. and Rushford, N. (2010). Family therapy for anorexia</w:t>
      </w:r>
      <w:r w:rsidRPr="00D71527">
        <w:rPr>
          <w:rFonts w:eastAsiaTheme="minorHAnsi" w:cs="Arial"/>
          <w:sz w:val="20"/>
          <w:szCs w:val="20"/>
          <w:lang w:val="en-US"/>
        </w:rPr>
        <w:t xml:space="preserve"> nervosa. </w:t>
      </w:r>
      <w:r w:rsidRPr="00895B75">
        <w:rPr>
          <w:rFonts w:eastAsiaTheme="minorHAnsi" w:cs="Arial"/>
          <w:i/>
          <w:sz w:val="20"/>
          <w:szCs w:val="20"/>
          <w:lang w:val="en-US"/>
        </w:rPr>
        <w:t xml:space="preserve">The Cochrane Database of Systematic Reviews,  </w:t>
      </w:r>
      <w:r w:rsidRPr="00895B75">
        <w:rPr>
          <w:rFonts w:eastAsiaTheme="minorHAnsi" w:cs="Arial"/>
          <w:sz w:val="20"/>
          <w:szCs w:val="20"/>
          <w:lang w:val="en-US"/>
        </w:rPr>
        <w:t>4. CD004780. DOI: 10.1002/14</w:t>
      </w:r>
      <w:r w:rsidRPr="003704C8">
        <w:rPr>
          <w:rFonts w:eastAsiaTheme="minorHAnsi" w:cs="Arial"/>
          <w:sz w:val="20"/>
          <w:szCs w:val="20"/>
          <w:lang w:val="en-US"/>
        </w:rPr>
        <w:t>651858.CD004780.pub2.</w:t>
      </w:r>
    </w:p>
  </w:footnote>
  <w:footnote w:id="58">
    <w:p w14:paraId="198229F6" w14:textId="77777777" w:rsidR="005006C9" w:rsidRPr="00895B75" w:rsidRDefault="005006C9" w:rsidP="009341EF">
      <w:pPr>
        <w:autoSpaceDE w:val="0"/>
        <w:autoSpaceDN w:val="0"/>
        <w:adjustRightInd w:val="0"/>
        <w:spacing w:before="0" w:after="120" w:line="240" w:lineRule="auto"/>
        <w:rPr>
          <w:rFonts w:eastAsiaTheme="minorHAnsi" w:cs="Arial"/>
          <w:sz w:val="20"/>
          <w:szCs w:val="20"/>
        </w:rPr>
      </w:pPr>
      <w:r w:rsidRPr="009341EF">
        <w:rPr>
          <w:rStyle w:val="FootnoteReference"/>
          <w:sz w:val="20"/>
          <w:szCs w:val="20"/>
        </w:rPr>
        <w:footnoteRef/>
      </w:r>
      <w:r w:rsidRPr="009341EF">
        <w:rPr>
          <w:sz w:val="20"/>
          <w:szCs w:val="20"/>
        </w:rPr>
        <w:t xml:space="preserve"> </w:t>
      </w:r>
      <w:r w:rsidRPr="00396865">
        <w:rPr>
          <w:rFonts w:eastAsiaTheme="minorHAnsi" w:cs="Arial"/>
          <w:sz w:val="20"/>
          <w:szCs w:val="20"/>
        </w:rPr>
        <w:t>Couturier, J., Kimber, M. and Szatmari, P.(2013) Efficacy of family-based treatmentfor adolescents with eating disorders: A systematic review and me</w:t>
      </w:r>
      <w:r w:rsidRPr="00895B75">
        <w:rPr>
          <w:rFonts w:eastAsiaTheme="minorHAnsi" w:cs="Arial"/>
          <w:sz w:val="20"/>
          <w:szCs w:val="20"/>
        </w:rPr>
        <w:t xml:space="preserve">ta-analysis. International Journal of Eating Disorders 46: 3–11. doi: 10.1002/eat.22042. </w:t>
      </w:r>
    </w:p>
  </w:footnote>
  <w:footnote w:id="59">
    <w:p w14:paraId="31908DF9" w14:textId="77777777" w:rsidR="005006C9" w:rsidRPr="00895B75" w:rsidRDefault="005006C9" w:rsidP="009341EF">
      <w:pPr>
        <w:pStyle w:val="FootnoteText"/>
        <w:spacing w:before="0" w:after="120" w:line="240" w:lineRule="auto"/>
      </w:pPr>
      <w:r w:rsidRPr="00396865">
        <w:rPr>
          <w:rStyle w:val="FootnoteReference"/>
        </w:rPr>
        <w:footnoteRef/>
      </w:r>
      <w:r w:rsidRPr="00396865">
        <w:t xml:space="preserve"> i</w:t>
      </w:r>
      <w:r w:rsidRPr="00D71527">
        <w:t>bid</w:t>
      </w:r>
      <w:r w:rsidRPr="00895B75">
        <w:t>., p. 91</w:t>
      </w:r>
    </w:p>
  </w:footnote>
  <w:footnote w:id="60">
    <w:p w14:paraId="11A34780" w14:textId="77777777" w:rsidR="005006C9" w:rsidRPr="003704C8" w:rsidRDefault="005006C9" w:rsidP="009341EF">
      <w:pPr>
        <w:pStyle w:val="FootnoteText"/>
        <w:spacing w:before="0" w:after="120" w:line="240" w:lineRule="auto"/>
      </w:pPr>
      <w:r w:rsidRPr="00396865">
        <w:rPr>
          <w:rStyle w:val="FootnoteReference"/>
        </w:rPr>
        <w:footnoteRef/>
      </w:r>
      <w:r w:rsidRPr="00396865">
        <w:t xml:space="preserve"> Le Grange, D., Lock, J., Loeb, K., and Nicholls., D. (2009). Academy for Eating Disorders Position Paper: The Role of the Family in Eating Disorders,</w:t>
      </w:r>
      <w:r w:rsidRPr="00895B75">
        <w:t xml:space="preserve"> </w:t>
      </w:r>
      <w:r w:rsidRPr="00895B75">
        <w:rPr>
          <w:i/>
        </w:rPr>
        <w:t xml:space="preserve">Eating Disorders </w:t>
      </w:r>
      <w:r w:rsidRPr="003704C8">
        <w:t>Vol 43(1) pp. 1 -5</w:t>
      </w:r>
    </w:p>
  </w:footnote>
  <w:footnote w:id="61">
    <w:p w14:paraId="3FFABC43" w14:textId="77777777" w:rsidR="005006C9" w:rsidRPr="003704C8" w:rsidRDefault="005006C9" w:rsidP="009341EF">
      <w:pPr>
        <w:pStyle w:val="FootnoteText"/>
        <w:spacing w:before="0" w:after="120" w:line="240" w:lineRule="auto"/>
      </w:pPr>
      <w:r w:rsidRPr="00396865">
        <w:rPr>
          <w:rStyle w:val="FootnoteReference"/>
        </w:rPr>
        <w:footnoteRef/>
      </w:r>
      <w:r w:rsidRPr="00396865">
        <w:t xml:space="preserve"> </w:t>
      </w:r>
      <w:r w:rsidRPr="00D71527">
        <w:rPr>
          <w:rFonts w:ascii="Arial" w:hAnsi="Arial"/>
        </w:rPr>
        <w:t xml:space="preserve">Australian Bureau of Statistics (ABS) 2015. </w:t>
      </w:r>
      <w:r w:rsidRPr="00895B75">
        <w:rPr>
          <w:rFonts w:ascii="Arial" w:hAnsi="Arial"/>
          <w:i/>
        </w:rPr>
        <w:t>Patient experiences in Australia: summary of findings 2014</w:t>
      </w:r>
      <w:r w:rsidRPr="00895B75">
        <w:rPr>
          <w:rFonts w:ascii="Arial" w:hAnsi="Arial"/>
          <w:i/>
        </w:rPr>
        <w:softHyphen/>
        <w:t>–15</w:t>
      </w:r>
      <w:r w:rsidRPr="003704C8">
        <w:rPr>
          <w:rFonts w:ascii="Arial" w:hAnsi="Arial"/>
        </w:rPr>
        <w:t>. ABS Cat. No. 4839. Canberra: AIHW.</w:t>
      </w:r>
      <w:r w:rsidRPr="003704C8">
        <w:t xml:space="preserve"> </w:t>
      </w:r>
    </w:p>
  </w:footnote>
  <w:footnote w:id="62">
    <w:p w14:paraId="11152A1D"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ibid</w:t>
      </w:r>
    </w:p>
  </w:footnote>
  <w:footnote w:id="63">
    <w:p w14:paraId="73FD50DB"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ibid</w:t>
      </w:r>
    </w:p>
  </w:footnote>
  <w:footnote w:id="64">
    <w:p w14:paraId="5813D5D9" w14:textId="77777777" w:rsidR="005006C9" w:rsidRPr="003704C8"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t xml:space="preserve">The Butterfly Foundation (2017). </w:t>
      </w:r>
      <w:r w:rsidRPr="00895B75">
        <w:rPr>
          <w:i/>
          <w:lang w:val="en-US"/>
        </w:rPr>
        <w:t>National Agenda for Eating Disorders</w:t>
      </w:r>
      <w:r w:rsidRPr="00895B75">
        <w:rPr>
          <w:lang w:val="en-US"/>
        </w:rPr>
        <w:t xml:space="preserve"> </w:t>
      </w:r>
      <w:r w:rsidRPr="003704C8">
        <w:rPr>
          <w:i/>
          <w:lang w:val="en-US"/>
        </w:rPr>
        <w:t>2017 to 2022.</w:t>
      </w:r>
      <w:r w:rsidRPr="003704C8">
        <w:rPr>
          <w:lang w:val="en-US"/>
        </w:rPr>
        <w:t xml:space="preserve"> p.14</w:t>
      </w:r>
    </w:p>
  </w:footnote>
  <w:footnote w:id="65">
    <w:p w14:paraId="0BFFBC14" w14:textId="77777777" w:rsidR="005006C9" w:rsidRPr="00D71527" w:rsidRDefault="005006C9" w:rsidP="009341EF">
      <w:pPr>
        <w:pStyle w:val="FootnoteText"/>
        <w:spacing w:before="0" w:after="120" w:line="240" w:lineRule="auto"/>
      </w:pPr>
      <w:r w:rsidRPr="00396865">
        <w:rPr>
          <w:rStyle w:val="FootnoteReference"/>
        </w:rPr>
        <w:footnoteRef/>
      </w:r>
      <w:r w:rsidRPr="00396865">
        <w:t xml:space="preserve"> ibid</w:t>
      </w:r>
    </w:p>
  </w:footnote>
  <w:footnote w:id="66">
    <w:p w14:paraId="6CDF015D"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Ibid., </w:t>
      </w:r>
      <w:r w:rsidRPr="00D71527">
        <w:rPr>
          <w:lang w:val="en-US"/>
        </w:rPr>
        <w:t xml:space="preserve">p.49 </w:t>
      </w:r>
    </w:p>
  </w:footnote>
  <w:footnote w:id="67">
    <w:p w14:paraId="42442C2B"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The Royal Australian College of General Practitioners (RACGP) (2018). </w:t>
      </w:r>
      <w:r w:rsidRPr="00D71527">
        <w:rPr>
          <w:i/>
        </w:rPr>
        <w:t>RACGP – QI&amp;CPD</w:t>
      </w:r>
      <w:r w:rsidRPr="00895B75">
        <w:rPr>
          <w:i/>
        </w:rPr>
        <w:t xml:space="preserve"> 2017-19 Program</w:t>
      </w:r>
      <w:r w:rsidRPr="00895B75">
        <w:t xml:space="preserve">. [online] The RACGP [Accessed 13 Aug 2018] Available at: </w:t>
      </w:r>
      <w:hyperlink r:id="rId13" w:history="1">
        <w:r w:rsidRPr="00D71527">
          <w:rPr>
            <w:rStyle w:val="Hyperlink"/>
          </w:rPr>
          <w:t>https://www.racgp.org.au/education/qicpd-program/</w:t>
        </w:r>
      </w:hyperlink>
      <w:r w:rsidRPr="00396865">
        <w:t xml:space="preserve">  </w:t>
      </w:r>
    </w:p>
  </w:footnote>
  <w:footnote w:id="68">
    <w:p w14:paraId="4C5F504D"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t>Hay, P et al., op cit.,</w:t>
      </w:r>
      <w:r w:rsidRPr="00895B75">
        <w:t xml:space="preserve"> p.4</w:t>
      </w:r>
    </w:p>
  </w:footnote>
  <w:footnote w:id="69">
    <w:p w14:paraId="7F987C46" w14:textId="77777777" w:rsidR="005006C9" w:rsidRPr="00895B75" w:rsidRDefault="005006C9" w:rsidP="009341EF">
      <w:pPr>
        <w:pStyle w:val="FootnoteText"/>
        <w:spacing w:before="0" w:after="120" w:line="240" w:lineRule="auto"/>
        <w:rPr>
          <w:lang w:val="en-GB"/>
        </w:rPr>
      </w:pPr>
      <w:r w:rsidRPr="00396865">
        <w:rPr>
          <w:rStyle w:val="FootnoteReference"/>
        </w:rPr>
        <w:footnoteRef/>
      </w:r>
      <w:r w:rsidRPr="00396865">
        <w:t xml:space="preserve"> </w:t>
      </w:r>
      <w:r w:rsidRPr="00D71527">
        <w:rPr>
          <w:lang w:val="en-US"/>
        </w:rPr>
        <w:t>National Eating Disorders Collaboration</w:t>
      </w:r>
      <w:r w:rsidRPr="00895B75">
        <w:rPr>
          <w:lang w:val="en-US"/>
        </w:rPr>
        <w:t>. op. cit., p.76</w:t>
      </w:r>
    </w:p>
  </w:footnote>
  <w:footnote w:id="70">
    <w:p w14:paraId="17E495A0"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i</w:t>
      </w:r>
      <w:r w:rsidRPr="00D71527">
        <w:rPr>
          <w:lang w:val="en-US"/>
        </w:rPr>
        <w:t>bid., p.</w:t>
      </w:r>
      <w:r w:rsidRPr="00895B75">
        <w:rPr>
          <w:lang w:val="en-US"/>
        </w:rPr>
        <w:t>75</w:t>
      </w:r>
    </w:p>
  </w:footnote>
  <w:footnote w:id="71">
    <w:p w14:paraId="374CC8E8"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National Eating Disorders Collaboration</w:t>
      </w:r>
      <w:r w:rsidRPr="00895B75">
        <w:rPr>
          <w:lang w:val="en-US"/>
        </w:rPr>
        <w:t>. op. cit., p.4</w:t>
      </w:r>
    </w:p>
  </w:footnote>
  <w:footnote w:id="72">
    <w:p w14:paraId="17C44573"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National Eating Disorders Collaboration (NEDC, 2012). Pg. 76</w:t>
      </w:r>
    </w:p>
  </w:footnote>
  <w:footnote w:id="73">
    <w:p w14:paraId="5FA90619"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ibid</w:t>
      </w:r>
    </w:p>
  </w:footnote>
  <w:footnote w:id="74">
    <w:p w14:paraId="725BC532"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ibid</w:t>
      </w:r>
    </w:p>
  </w:footnote>
  <w:footnote w:id="75">
    <w:p w14:paraId="45A90061" w14:textId="77777777" w:rsidR="005006C9" w:rsidRPr="00895B75" w:rsidRDefault="005006C9" w:rsidP="009341EF">
      <w:pPr>
        <w:pStyle w:val="FootnoteText"/>
        <w:spacing w:before="0" w:after="120" w:line="240" w:lineRule="auto"/>
        <w:rPr>
          <w:lang w:val="en-GB"/>
        </w:rPr>
      </w:pPr>
      <w:r w:rsidRPr="00396865">
        <w:rPr>
          <w:rStyle w:val="FootnoteReference"/>
        </w:rPr>
        <w:footnoteRef/>
      </w:r>
      <w:r w:rsidRPr="00396865">
        <w:t xml:space="preserve"> </w:t>
      </w:r>
      <w:r w:rsidRPr="00D71527">
        <w:t>Hart, Jorm, Paxton,</w:t>
      </w:r>
      <w:r w:rsidRPr="00895B75">
        <w:t xml:space="preserve"> Kelly, and Kitchener, op. cit., p. 354 - 384.</w:t>
      </w:r>
    </w:p>
  </w:footnote>
  <w:footnote w:id="76">
    <w:p w14:paraId="7F8074C2" w14:textId="77777777" w:rsidR="004E5F16" w:rsidRPr="00895B75" w:rsidRDefault="004E5F16" w:rsidP="004E5F16">
      <w:pPr>
        <w:pStyle w:val="FootnoteText"/>
        <w:spacing w:before="0" w:after="120" w:line="240" w:lineRule="auto"/>
      </w:pPr>
      <w:r w:rsidRPr="00396865">
        <w:rPr>
          <w:rStyle w:val="FootnoteReference"/>
        </w:rPr>
        <w:footnoteRef/>
      </w:r>
      <w:r w:rsidRPr="00396865">
        <w:t xml:space="preserve"> The practitioners should also have substantial training </w:t>
      </w:r>
      <w:r w:rsidRPr="00D71527">
        <w:t>in mental health and accreditation by Australian Health P</w:t>
      </w:r>
      <w:r w:rsidRPr="00895B75">
        <w:t>ractitioner Regulation Agency (AHPRA)  or their own profession organisation.</w:t>
      </w:r>
    </w:p>
  </w:footnote>
  <w:footnote w:id="77">
    <w:p w14:paraId="7E0C296A"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w:t>
      </w:r>
      <w:r w:rsidRPr="00D71527">
        <w:rPr>
          <w:lang w:val="en-US"/>
        </w:rPr>
        <w:t xml:space="preserve">Australian Government. (2015). </w:t>
      </w:r>
      <w:r w:rsidRPr="00895B75">
        <w:rPr>
          <w:i/>
          <w:lang w:val="en-US"/>
        </w:rPr>
        <w:t>Response to Contributing Lives, Thriving Communities – Review of Mental Health Programmes and Services</w:t>
      </w:r>
      <w:r w:rsidRPr="00895B75">
        <w:rPr>
          <w:lang w:val="en-US"/>
        </w:rPr>
        <w:t xml:space="preserve">.p.3 </w:t>
      </w:r>
    </w:p>
  </w:footnote>
  <w:footnote w:id="78">
    <w:p w14:paraId="339DB9ED"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Eating Disorders Victoria (2016). </w:t>
      </w:r>
      <w:r w:rsidRPr="00D71527">
        <w:rPr>
          <w:i/>
        </w:rPr>
        <w:t xml:space="preserve">Classifying eating disorders – DSM-5 [online] </w:t>
      </w:r>
      <w:r w:rsidRPr="00895B75">
        <w:t xml:space="preserve">Eating Disorders Victoria [Accessed 28 Aug 2018] Available at: </w:t>
      </w:r>
      <w:hyperlink r:id="rId14" w:history="1">
        <w:r w:rsidRPr="00D71527">
          <w:rPr>
            <w:rStyle w:val="Hyperlink"/>
          </w:rPr>
          <w:t>https://www.eatingdisorders.org.au/eating-disorders/what-is-an-eating-disorder/classifying-eating-disorders/dsm-5</w:t>
        </w:r>
      </w:hyperlink>
      <w:r w:rsidRPr="00396865">
        <w:t xml:space="preserve"> </w:t>
      </w:r>
    </w:p>
  </w:footnote>
  <w:footnote w:id="79">
    <w:p w14:paraId="44F27AA9"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Eating Disorders Victoria (2016)</w:t>
      </w:r>
    </w:p>
  </w:footnote>
  <w:footnote w:id="80">
    <w:p w14:paraId="25587CC3"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Eating Disorders Victoria (2016)</w:t>
      </w:r>
      <w:r w:rsidRPr="00D71527" w:rsidDel="00D71C94">
        <w:t xml:space="preserve"> </w:t>
      </w:r>
    </w:p>
  </w:footnote>
  <w:footnote w:id="81">
    <w:p w14:paraId="4EB716BC" w14:textId="77777777" w:rsidR="005006C9" w:rsidRPr="00895B75" w:rsidRDefault="005006C9" w:rsidP="009341EF">
      <w:pPr>
        <w:pStyle w:val="FootnoteText"/>
        <w:spacing w:before="0" w:after="120" w:line="240" w:lineRule="auto"/>
        <w:rPr>
          <w:lang w:val="en-US"/>
        </w:rPr>
      </w:pPr>
      <w:r w:rsidRPr="00396865">
        <w:rPr>
          <w:rStyle w:val="FootnoteReference"/>
        </w:rPr>
        <w:footnoteRef/>
      </w:r>
      <w:r w:rsidRPr="00396865">
        <w:t xml:space="preserve"> Eating Disorders Victoria (201</w:t>
      </w:r>
      <w:r w:rsidRPr="00D71527">
        <w:t>6)</w:t>
      </w:r>
      <w:r w:rsidRPr="00895B75" w:rsidDel="000A38B6">
        <w:t xml:space="preserve"> </w:t>
      </w:r>
    </w:p>
  </w:footnote>
  <w:footnote w:id="82">
    <w:p w14:paraId="60F01897" w14:textId="77777777" w:rsidR="005006C9" w:rsidRPr="00D71527" w:rsidRDefault="005006C9" w:rsidP="009341EF">
      <w:pPr>
        <w:pStyle w:val="FootnoteText"/>
        <w:spacing w:before="0" w:after="120" w:line="240" w:lineRule="auto"/>
        <w:rPr>
          <w:lang w:val="en-US"/>
        </w:rPr>
      </w:pPr>
      <w:r w:rsidRPr="00396865">
        <w:rPr>
          <w:rStyle w:val="FootnoteReference"/>
        </w:rPr>
        <w:footnoteRef/>
      </w:r>
      <w:r w:rsidRPr="00396865">
        <w:t xml:space="preserve"> NSW Health (2014). </w:t>
      </w:r>
      <w:r w:rsidRPr="00D71527">
        <w:rPr>
          <w:i/>
        </w:rPr>
        <w:t xml:space="preserve">Multidisciplinary Team Care [online] </w:t>
      </w:r>
      <w:r w:rsidRPr="00895B75">
        <w:t xml:space="preserve">NSW Government [Accessed 28 Aug 2018] Available at: </w:t>
      </w:r>
      <w:hyperlink r:id="rId15" w:history="1">
        <w:r w:rsidRPr="00D71527">
          <w:rPr>
            <w:rStyle w:val="Hyperlink"/>
          </w:rPr>
          <w:t>https://www.health.nsw.gov.au/healthone/Pages/Mu</w:t>
        </w:r>
        <w:r w:rsidRPr="00895B75">
          <w:rPr>
            <w:rStyle w:val="Hyperlink"/>
          </w:rPr>
          <w:t>ltidisciplinary-Team-Care.aspx</w:t>
        </w:r>
      </w:hyperlink>
      <w:r w:rsidRPr="00396865">
        <w:t xml:space="preserve"> </w:t>
      </w:r>
    </w:p>
  </w:footnote>
  <w:footnote w:id="83">
    <w:p w14:paraId="75EC4114" w14:textId="77777777" w:rsidR="005006C9" w:rsidRPr="00915BDD" w:rsidRDefault="005006C9" w:rsidP="00AC4969">
      <w:pPr>
        <w:pStyle w:val="FootnoteText"/>
        <w:rPr>
          <w:rFonts w:ascii="Times New Roman" w:hAnsi="Times New Roman" w:cs="Times New Roman"/>
        </w:rPr>
      </w:pPr>
      <w:r w:rsidRPr="00915BDD">
        <w:rPr>
          <w:rStyle w:val="FootnoteReference"/>
          <w:rFonts w:ascii="Times New Roman" w:eastAsiaTheme="minorEastAsia" w:hAnsi="Times New Roman" w:cs="Times New Roman"/>
          <w:sz w:val="18"/>
          <w:szCs w:val="18"/>
        </w:rPr>
        <w:footnoteRef/>
      </w:r>
      <w:r w:rsidRPr="00915BDD">
        <w:rPr>
          <w:rFonts w:ascii="Times New Roman" w:eastAsiaTheme="minorEastAsia" w:hAnsi="Times New Roman" w:cs="Times New Roman"/>
          <w:sz w:val="18"/>
          <w:szCs w:val="18"/>
        </w:rPr>
        <w:t xml:space="preserve"> </w:t>
      </w:r>
      <w:r w:rsidRPr="00915BDD">
        <w:rPr>
          <w:rFonts w:ascii="Times New Roman" w:hAnsi="Times New Roman" w:cs="Times New Roman"/>
        </w:rPr>
        <w:t>BUTTERFLY FOUNDATION, 2018, Improving Access to Evidence Based Eating Disorders treatment through Primary and Allied Health Services. Butterfly Foundation.</w:t>
      </w:r>
    </w:p>
  </w:footnote>
  <w:footnote w:id="84">
    <w:p w14:paraId="03898F82" w14:textId="77777777" w:rsidR="005006C9" w:rsidRPr="00915BDD" w:rsidRDefault="005006C9" w:rsidP="00AC4969">
      <w:pPr>
        <w:pStyle w:val="FootnoteText"/>
        <w:rPr>
          <w:rFonts w:ascii="Times New Roman" w:hAnsi="Times New Roman" w:cs="Times New Roman"/>
        </w:rPr>
      </w:pPr>
      <w:r w:rsidRPr="00915BDD">
        <w:rPr>
          <w:rFonts w:ascii="Times New Roman" w:hAnsi="Times New Roman" w:cs="Times New Roman"/>
        </w:rPr>
        <w:footnoteRef/>
      </w:r>
      <w:r w:rsidRPr="00915BDD">
        <w:rPr>
          <w:rFonts w:ascii="Times New Roman" w:hAnsi="Times New Roman" w:cs="Times New Roman"/>
        </w:rPr>
        <w:t xml:space="preserve"> DIETITIANS ASSOCIATION OF AUSTRALIA, 2018, Expanding access to Accredited Practicing Dietitians under Medicare [online]. Dietitians Association of Australia. [Accessed 8 July 2018]. Available from: https://daa.asn.au/wp-content/uploads/2018/04/DAA-Pre-Budget-Submission-Jan-2018.pdf</w:t>
      </w:r>
    </w:p>
  </w:footnote>
  <w:footnote w:id="85">
    <w:p w14:paraId="4F532FCA" w14:textId="77777777" w:rsidR="005006C9" w:rsidRPr="00915BDD" w:rsidRDefault="005006C9" w:rsidP="00AC4969">
      <w:pPr>
        <w:pStyle w:val="FootnoteText"/>
        <w:rPr>
          <w:rFonts w:ascii="Times New Roman" w:hAnsi="Times New Roman" w:cs="Times New Roman"/>
        </w:rPr>
      </w:pPr>
      <w:r w:rsidRPr="00915BDD">
        <w:rPr>
          <w:rFonts w:ascii="Times New Roman" w:hAnsi="Times New Roman" w:cs="Times New Roman"/>
        </w:rPr>
        <w:footnoteRef/>
      </w:r>
      <w:r w:rsidRPr="00915BDD">
        <w:rPr>
          <w:rFonts w:ascii="Times New Roman" w:hAnsi="Times New Roman" w:cs="Times New Roman"/>
        </w:rPr>
        <w:t xml:space="preserve"> ROYAL AUSTRALIAN AND NEW ZEALAND COLLEGE OF PSYCHIATRISTS, 2014, Royal Australian and New Zealand College of Psychiatrists clinical practice guidelines for the treatment of eating disorders [online]. [Accessed 8 July 2018]. Available from: https://www.ranzcp.org/Files/Resources/Publications/CPG/Clinician/Eating-Disorders-CPG.aspx</w:t>
      </w:r>
    </w:p>
  </w:footnote>
  <w:footnote w:id="86">
    <w:p w14:paraId="455D2FC0" w14:textId="77777777" w:rsidR="005006C9" w:rsidRPr="00915BDD" w:rsidRDefault="005006C9" w:rsidP="00AC4969">
      <w:pPr>
        <w:pStyle w:val="FootnoteText"/>
        <w:rPr>
          <w:rFonts w:ascii="Times New Roman" w:hAnsi="Times New Roman" w:cs="Times New Roman"/>
        </w:rPr>
      </w:pPr>
      <w:r w:rsidRPr="00915BDD">
        <w:rPr>
          <w:rFonts w:ascii="Times New Roman" w:hAnsi="Times New Roman" w:cs="Times New Roman"/>
        </w:rPr>
        <w:footnoteRef/>
      </w:r>
      <w:r w:rsidRPr="00915BDD">
        <w:rPr>
          <w:rFonts w:ascii="Times New Roman" w:hAnsi="Times New Roman" w:cs="Times New Roman"/>
        </w:rPr>
        <w:t xml:space="preserve"> NATIONAL EATING DISORDER COLLABORATION, 2014, Eating Disorders: A Professional Resource for General Practitioners [online] InsideOut Institute. [Accessed 10 July 2018]. Available from: https://insideoutinstitute.org.au/assets/eating</w:t>
      </w:r>
      <w:r>
        <w:rPr>
          <w:rFonts w:ascii="Times New Roman" w:hAnsi="Times New Roman" w:cs="Times New Roman"/>
        </w:rPr>
        <w:t xml:space="preserve"> per cent</w:t>
      </w:r>
      <w:r w:rsidRPr="00915BDD">
        <w:rPr>
          <w:rFonts w:ascii="Times New Roman" w:hAnsi="Times New Roman" w:cs="Times New Roman"/>
        </w:rPr>
        <w:t>20disorders;</w:t>
      </w:r>
      <w:r>
        <w:rPr>
          <w:rFonts w:ascii="Times New Roman" w:hAnsi="Times New Roman" w:cs="Times New Roman"/>
        </w:rPr>
        <w:t xml:space="preserve"> per cent</w:t>
      </w:r>
      <w:r w:rsidRPr="00915BDD">
        <w:rPr>
          <w:rFonts w:ascii="Times New Roman" w:hAnsi="Times New Roman" w:cs="Times New Roman"/>
        </w:rPr>
        <w:t>20a</w:t>
      </w:r>
      <w:r>
        <w:rPr>
          <w:rFonts w:ascii="Times New Roman" w:hAnsi="Times New Roman" w:cs="Times New Roman"/>
        </w:rPr>
        <w:t xml:space="preserve"> per cent</w:t>
      </w:r>
      <w:r w:rsidRPr="00915BDD">
        <w:rPr>
          <w:rFonts w:ascii="Times New Roman" w:hAnsi="Times New Roman" w:cs="Times New Roman"/>
        </w:rPr>
        <w:t>20professional</w:t>
      </w:r>
      <w:r>
        <w:rPr>
          <w:rFonts w:ascii="Times New Roman" w:hAnsi="Times New Roman" w:cs="Times New Roman"/>
        </w:rPr>
        <w:t xml:space="preserve"> per cent</w:t>
      </w:r>
      <w:r w:rsidRPr="00915BDD">
        <w:rPr>
          <w:rFonts w:ascii="Times New Roman" w:hAnsi="Times New Roman" w:cs="Times New Roman"/>
        </w:rPr>
        <w:t>20resource</w:t>
      </w:r>
      <w:r>
        <w:rPr>
          <w:rFonts w:ascii="Times New Roman" w:hAnsi="Times New Roman" w:cs="Times New Roman"/>
        </w:rPr>
        <w:t xml:space="preserve"> per cent</w:t>
      </w:r>
      <w:r w:rsidRPr="00915BDD">
        <w:rPr>
          <w:rFonts w:ascii="Times New Roman" w:hAnsi="Times New Roman" w:cs="Times New Roman"/>
        </w:rPr>
        <w:t>20for</w:t>
      </w:r>
      <w:r>
        <w:rPr>
          <w:rFonts w:ascii="Times New Roman" w:hAnsi="Times New Roman" w:cs="Times New Roman"/>
        </w:rPr>
        <w:t xml:space="preserve"> per cent</w:t>
      </w:r>
      <w:r w:rsidRPr="00915BDD">
        <w:rPr>
          <w:rFonts w:ascii="Times New Roman" w:hAnsi="Times New Roman" w:cs="Times New Roman"/>
        </w:rPr>
        <w:t>20general</w:t>
      </w:r>
      <w:r>
        <w:rPr>
          <w:rFonts w:ascii="Times New Roman" w:hAnsi="Times New Roman" w:cs="Times New Roman"/>
        </w:rPr>
        <w:t xml:space="preserve"> per cent</w:t>
      </w:r>
      <w:r w:rsidRPr="00915BDD">
        <w:rPr>
          <w:rFonts w:ascii="Times New Roman" w:hAnsi="Times New Roman" w:cs="Times New Roman"/>
        </w:rPr>
        <w:t>20practitioners.pdf</w:t>
      </w:r>
    </w:p>
  </w:footnote>
  <w:footnote w:id="87">
    <w:p w14:paraId="22FDAAA6" w14:textId="77777777" w:rsidR="005006C9" w:rsidRPr="00915BDD" w:rsidRDefault="005006C9" w:rsidP="00AC4969">
      <w:pPr>
        <w:pStyle w:val="FootnoteText"/>
        <w:rPr>
          <w:rFonts w:ascii="Times New Roman" w:hAnsi="Times New Roman" w:cs="Times New Roman"/>
        </w:rPr>
      </w:pPr>
      <w:r w:rsidRPr="00915BDD">
        <w:rPr>
          <w:rFonts w:ascii="Times New Roman" w:hAnsi="Times New Roman" w:cs="Times New Roman"/>
        </w:rPr>
        <w:footnoteRef/>
      </w:r>
      <w:r w:rsidRPr="00915BDD">
        <w:rPr>
          <w:rFonts w:ascii="Times New Roman" w:hAnsi="Times New Roman" w:cs="Times New Roman"/>
        </w:rPr>
        <w:t xml:space="preserve"> Eating Disorders Association INC, 2012, Eating Disorders: Information Pack for General Practitioners [online] InsideOut Institute. [Accessed 8 July 2018]. Available from: https://insideoutinstitute.org.au/assets/eating</w:t>
      </w:r>
      <w:r>
        <w:rPr>
          <w:rFonts w:ascii="Times New Roman" w:hAnsi="Times New Roman" w:cs="Times New Roman"/>
        </w:rPr>
        <w:t xml:space="preserve"> per cent</w:t>
      </w:r>
      <w:r w:rsidRPr="00915BDD">
        <w:rPr>
          <w:rFonts w:ascii="Times New Roman" w:hAnsi="Times New Roman" w:cs="Times New Roman"/>
        </w:rPr>
        <w:t>20disorders;</w:t>
      </w:r>
      <w:r>
        <w:rPr>
          <w:rFonts w:ascii="Times New Roman" w:hAnsi="Times New Roman" w:cs="Times New Roman"/>
        </w:rPr>
        <w:t xml:space="preserve"> per cent</w:t>
      </w:r>
      <w:r w:rsidRPr="00915BDD">
        <w:rPr>
          <w:rFonts w:ascii="Times New Roman" w:hAnsi="Times New Roman" w:cs="Times New Roman"/>
        </w:rPr>
        <w:t>20an</w:t>
      </w:r>
      <w:r>
        <w:rPr>
          <w:rFonts w:ascii="Times New Roman" w:hAnsi="Times New Roman" w:cs="Times New Roman"/>
        </w:rPr>
        <w:t xml:space="preserve"> per cent</w:t>
      </w:r>
      <w:r w:rsidRPr="00915BDD">
        <w:rPr>
          <w:rFonts w:ascii="Times New Roman" w:hAnsi="Times New Roman" w:cs="Times New Roman"/>
        </w:rPr>
        <w:t>20information</w:t>
      </w:r>
      <w:r>
        <w:rPr>
          <w:rFonts w:ascii="Times New Roman" w:hAnsi="Times New Roman" w:cs="Times New Roman"/>
        </w:rPr>
        <w:t xml:space="preserve"> per cent</w:t>
      </w:r>
      <w:r w:rsidRPr="00915BDD">
        <w:rPr>
          <w:rFonts w:ascii="Times New Roman" w:hAnsi="Times New Roman" w:cs="Times New Roman"/>
        </w:rPr>
        <w:t>20pack</w:t>
      </w:r>
      <w:r>
        <w:rPr>
          <w:rFonts w:ascii="Times New Roman" w:hAnsi="Times New Roman" w:cs="Times New Roman"/>
        </w:rPr>
        <w:t xml:space="preserve"> per cent</w:t>
      </w:r>
      <w:r w:rsidRPr="00915BDD">
        <w:rPr>
          <w:rFonts w:ascii="Times New Roman" w:hAnsi="Times New Roman" w:cs="Times New Roman"/>
        </w:rPr>
        <w:t>20for</w:t>
      </w:r>
      <w:r>
        <w:rPr>
          <w:rFonts w:ascii="Times New Roman" w:hAnsi="Times New Roman" w:cs="Times New Roman"/>
        </w:rPr>
        <w:t xml:space="preserve"> per cent</w:t>
      </w:r>
      <w:r w:rsidRPr="00915BDD">
        <w:rPr>
          <w:rFonts w:ascii="Times New Roman" w:hAnsi="Times New Roman" w:cs="Times New Roman"/>
        </w:rPr>
        <w:t>20general</w:t>
      </w:r>
      <w:r>
        <w:rPr>
          <w:rFonts w:ascii="Times New Roman" w:hAnsi="Times New Roman" w:cs="Times New Roman"/>
        </w:rPr>
        <w:t xml:space="preserve"> per cent</w:t>
      </w:r>
      <w:r w:rsidRPr="00915BDD">
        <w:rPr>
          <w:rFonts w:ascii="Times New Roman" w:hAnsi="Times New Roman" w:cs="Times New Roman"/>
        </w:rPr>
        <w:t>20practitioners.pdf</w:t>
      </w:r>
    </w:p>
  </w:footnote>
  <w:footnote w:id="88">
    <w:p w14:paraId="78886A3C" w14:textId="77777777" w:rsidR="005006C9" w:rsidRPr="00915BDD" w:rsidRDefault="005006C9" w:rsidP="00AC4969">
      <w:pPr>
        <w:pStyle w:val="FootnoteText"/>
        <w:rPr>
          <w:rFonts w:ascii="Times New Roman" w:hAnsi="Times New Roman" w:cs="Times New Roman"/>
        </w:rPr>
      </w:pPr>
      <w:r w:rsidRPr="00915BDD">
        <w:rPr>
          <w:rFonts w:ascii="Times New Roman" w:hAnsi="Times New Roman" w:cs="Times New Roman"/>
        </w:rPr>
        <w:footnoteRef/>
      </w:r>
      <w:r w:rsidRPr="00915BDD">
        <w:rPr>
          <w:rFonts w:ascii="Times New Roman" w:hAnsi="Times New Roman" w:cs="Times New Roman"/>
        </w:rPr>
        <w:t xml:space="preserve"> BUTTERFLY FOUNDATION, 2018, Improving Access to Evidence Based Eating Disorders treatment through Primary and Allied Health Services. Butterfly Foundation.</w:t>
      </w:r>
    </w:p>
  </w:footnote>
  <w:footnote w:id="89">
    <w:p w14:paraId="24606806" w14:textId="77777777" w:rsidR="005006C9" w:rsidRPr="00915BDD" w:rsidRDefault="005006C9" w:rsidP="00AC4969">
      <w:pPr>
        <w:pStyle w:val="FootnoteText"/>
        <w:rPr>
          <w:rFonts w:ascii="Times New Roman" w:hAnsi="Times New Roman" w:cs="Times New Roman"/>
          <w:lang w:val="en-US"/>
        </w:rPr>
      </w:pPr>
      <w:r w:rsidRPr="00915BDD">
        <w:rPr>
          <w:rStyle w:val="FootnoteReference"/>
          <w:rFonts w:ascii="Times New Roman" w:hAnsi="Times New Roman" w:cs="Times New Roman"/>
        </w:rPr>
        <w:footnoteRef/>
      </w:r>
      <w:r w:rsidRPr="00915BDD">
        <w:rPr>
          <w:rFonts w:ascii="Times New Roman" w:hAnsi="Times New Roman" w:cs="Times New Roman"/>
        </w:rPr>
        <w:t xml:space="preserve"> </w:t>
      </w:r>
      <w:r w:rsidRPr="00915BDD">
        <w:rPr>
          <w:rFonts w:ascii="Times New Roman" w:hAnsi="Times New Roman" w:cs="Times New Roman"/>
          <w:lang w:val="en-US"/>
        </w:rPr>
        <w:t>ibid</w:t>
      </w:r>
    </w:p>
  </w:footnote>
  <w:footnote w:id="90">
    <w:p w14:paraId="21837B22" w14:textId="77777777" w:rsidR="005006C9" w:rsidRPr="00915BDD" w:rsidRDefault="005006C9" w:rsidP="00AC4969">
      <w:pPr>
        <w:pStyle w:val="FootnoteText"/>
        <w:rPr>
          <w:rFonts w:ascii="Times New Roman" w:hAnsi="Times New Roman" w:cs="Times New Roman"/>
          <w:lang w:val="en-US"/>
        </w:rPr>
      </w:pPr>
      <w:r w:rsidRPr="00915BDD">
        <w:rPr>
          <w:rStyle w:val="FootnoteReference"/>
          <w:rFonts w:ascii="Times New Roman" w:hAnsi="Times New Roman" w:cs="Times New Roman"/>
        </w:rPr>
        <w:footnoteRef/>
      </w:r>
      <w:r w:rsidRPr="00915BDD">
        <w:rPr>
          <w:rFonts w:ascii="Times New Roman" w:hAnsi="Times New Roman" w:cs="Times New Roman"/>
        </w:rPr>
        <w:t xml:space="preserve"> ibid</w:t>
      </w:r>
    </w:p>
  </w:footnote>
  <w:footnote w:id="91">
    <w:p w14:paraId="4C178FBB" w14:textId="77777777" w:rsidR="005006C9" w:rsidRDefault="005006C9" w:rsidP="00AC4969">
      <w:pPr>
        <w:pStyle w:val="FootnoteText"/>
      </w:pPr>
      <w:r w:rsidRPr="00915BDD">
        <w:rPr>
          <w:rStyle w:val="FootnoteReference"/>
          <w:rFonts w:ascii="Times New Roman" w:hAnsi="Times New Roman" w:cs="Times New Roman"/>
        </w:rPr>
        <w:footnoteRef/>
      </w:r>
      <w:r w:rsidRPr="00915BDD">
        <w:rPr>
          <w:rFonts w:ascii="Times New Roman" w:hAnsi="Times New Roman" w:cs="Times New Roman"/>
        </w:rPr>
        <w:t xml:space="preserve"> </w:t>
      </w:r>
      <w:r>
        <w:rPr>
          <w:rFonts w:ascii="Times New Roman" w:hAnsi="Times New Roman" w:cs="Times New Roman"/>
        </w:rPr>
        <w:t>ibid</w:t>
      </w:r>
    </w:p>
  </w:footnote>
  <w:footnote w:id="92">
    <w:p w14:paraId="3EF1E49B" w14:textId="77777777" w:rsidR="005006C9" w:rsidRDefault="005006C9" w:rsidP="00A70703">
      <w:pPr>
        <w:pStyle w:val="FootnoteText"/>
        <w:rPr>
          <w:rFonts w:cstheme="minorBidi"/>
        </w:rPr>
      </w:pPr>
      <w:r>
        <w:rPr>
          <w:rStyle w:val="FootnoteReference"/>
          <w:rFonts w:ascii="Times New Roman" w:hAnsi="Times New Roman" w:cs="Times New Roman"/>
        </w:rPr>
        <w:footnoteRef/>
      </w:r>
      <w:r>
        <w:rPr>
          <w:rFonts w:ascii="Times New Roman" w:hAnsi="Times New Roman" w:cs="Times New Roman"/>
        </w:rPr>
        <w:t xml:space="preserve"> Eating Disorders Association INC, 2012, </w:t>
      </w:r>
      <w:r>
        <w:rPr>
          <w:rFonts w:ascii="Times New Roman" w:hAnsi="Times New Roman" w:cs="Times New Roman"/>
          <w:i/>
          <w:iCs/>
        </w:rPr>
        <w:t xml:space="preserve">Eating Disorders: Information Pack for General Practitioners </w:t>
      </w:r>
      <w:r>
        <w:rPr>
          <w:rFonts w:ascii="Times New Roman" w:hAnsi="Times New Roman" w:cs="Times New Roman"/>
        </w:rPr>
        <w:t xml:space="preserve">[online] InsideOut Institue. [Accessed 8 July 2018]. Available from: </w:t>
      </w:r>
      <w:hyperlink r:id="rId16" w:history="1">
        <w:r w:rsidRPr="008721B4">
          <w:rPr>
            <w:rStyle w:val="Hyperlink"/>
            <w:rFonts w:ascii="Times New Roman" w:hAnsi="Times New Roman" w:cs="Times New Roman"/>
          </w:rPr>
          <w:t>https://insideoutinstitute.org.au/assets/eating</w:t>
        </w:r>
        <w:r>
          <w:rPr>
            <w:rStyle w:val="Hyperlink"/>
            <w:rFonts w:ascii="Times New Roman" w:hAnsi="Times New Roman" w:cs="Times New Roman"/>
          </w:rPr>
          <w:t xml:space="preserve"> per cent</w:t>
        </w:r>
        <w:r w:rsidRPr="008721B4">
          <w:rPr>
            <w:rStyle w:val="Hyperlink"/>
            <w:rFonts w:ascii="Times New Roman" w:hAnsi="Times New Roman" w:cs="Times New Roman"/>
          </w:rPr>
          <w:t>20disorders;</w:t>
        </w:r>
        <w:r>
          <w:rPr>
            <w:rStyle w:val="Hyperlink"/>
            <w:rFonts w:ascii="Times New Roman" w:hAnsi="Times New Roman" w:cs="Times New Roman"/>
          </w:rPr>
          <w:t xml:space="preserve"> per cent</w:t>
        </w:r>
        <w:r w:rsidRPr="008721B4">
          <w:rPr>
            <w:rStyle w:val="Hyperlink"/>
            <w:rFonts w:ascii="Times New Roman" w:hAnsi="Times New Roman" w:cs="Times New Roman"/>
          </w:rPr>
          <w:t>20an</w:t>
        </w:r>
        <w:r>
          <w:rPr>
            <w:rStyle w:val="Hyperlink"/>
            <w:rFonts w:ascii="Times New Roman" w:hAnsi="Times New Roman" w:cs="Times New Roman"/>
          </w:rPr>
          <w:t xml:space="preserve"> per cent</w:t>
        </w:r>
        <w:r w:rsidRPr="008721B4">
          <w:rPr>
            <w:rStyle w:val="Hyperlink"/>
            <w:rFonts w:ascii="Times New Roman" w:hAnsi="Times New Roman" w:cs="Times New Roman"/>
          </w:rPr>
          <w:t>20information</w:t>
        </w:r>
        <w:r>
          <w:rPr>
            <w:rStyle w:val="Hyperlink"/>
            <w:rFonts w:ascii="Times New Roman" w:hAnsi="Times New Roman" w:cs="Times New Roman"/>
          </w:rPr>
          <w:t xml:space="preserve"> per cent</w:t>
        </w:r>
        <w:r w:rsidRPr="008721B4">
          <w:rPr>
            <w:rStyle w:val="Hyperlink"/>
            <w:rFonts w:ascii="Times New Roman" w:hAnsi="Times New Roman" w:cs="Times New Roman"/>
          </w:rPr>
          <w:t>20pack</w:t>
        </w:r>
        <w:r>
          <w:rPr>
            <w:rStyle w:val="Hyperlink"/>
            <w:rFonts w:ascii="Times New Roman" w:hAnsi="Times New Roman" w:cs="Times New Roman"/>
          </w:rPr>
          <w:t xml:space="preserve"> per cent</w:t>
        </w:r>
        <w:r w:rsidRPr="008721B4">
          <w:rPr>
            <w:rStyle w:val="Hyperlink"/>
            <w:rFonts w:ascii="Times New Roman" w:hAnsi="Times New Roman" w:cs="Times New Roman"/>
          </w:rPr>
          <w:t>20for</w:t>
        </w:r>
        <w:r>
          <w:rPr>
            <w:rStyle w:val="Hyperlink"/>
            <w:rFonts w:ascii="Times New Roman" w:hAnsi="Times New Roman" w:cs="Times New Roman"/>
          </w:rPr>
          <w:t xml:space="preserve"> per cent</w:t>
        </w:r>
        <w:r w:rsidRPr="008721B4">
          <w:rPr>
            <w:rStyle w:val="Hyperlink"/>
            <w:rFonts w:ascii="Times New Roman" w:hAnsi="Times New Roman" w:cs="Times New Roman"/>
          </w:rPr>
          <w:t>20general</w:t>
        </w:r>
        <w:r>
          <w:rPr>
            <w:rStyle w:val="Hyperlink"/>
            <w:rFonts w:ascii="Times New Roman" w:hAnsi="Times New Roman" w:cs="Times New Roman"/>
          </w:rPr>
          <w:t xml:space="preserve"> per cent</w:t>
        </w:r>
        <w:r w:rsidRPr="008721B4">
          <w:rPr>
            <w:rStyle w:val="Hyperlink"/>
            <w:rFonts w:ascii="Times New Roman" w:hAnsi="Times New Roman" w:cs="Times New Roman"/>
          </w:rPr>
          <w:t>20practitioners.pdf</w:t>
        </w:r>
      </w:hyperlink>
      <w:r>
        <w:rPr>
          <w:rFonts w:ascii="Times New Roman" w:hAnsi="Times New Roman" w:cs="Times New Roman"/>
        </w:rPr>
        <w:t xml:space="preserve"> </w:t>
      </w:r>
    </w:p>
  </w:footnote>
  <w:footnote w:id="93">
    <w:p w14:paraId="60DBE8D2" w14:textId="77777777" w:rsidR="005006C9" w:rsidRDefault="005006C9" w:rsidP="00A70703">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Butterfly Foundation for Eating Disorders. (2018). </w:t>
      </w:r>
      <w:r w:rsidRPr="00591C74">
        <w:rPr>
          <w:rFonts w:ascii="Times New Roman" w:hAnsi="Times New Roman" w:cs="Times New Roman"/>
          <w:i/>
          <w:lang w:val="en-US"/>
        </w:rPr>
        <w:t xml:space="preserve">Improving Access to Evidence Based eating Disorders Treatment through Primary and Allied Health Services. </w:t>
      </w:r>
    </w:p>
  </w:footnote>
  <w:footnote w:id="94">
    <w:p w14:paraId="6F7FAA4F" w14:textId="77777777" w:rsidR="005006C9" w:rsidRPr="00D61162" w:rsidRDefault="005006C9" w:rsidP="00F67A8F">
      <w:pPr>
        <w:pStyle w:val="FootnoteText"/>
        <w:rPr>
          <w:sz w:val="16"/>
          <w:szCs w:val="16"/>
        </w:rPr>
      </w:pPr>
      <w:r>
        <w:rPr>
          <w:rStyle w:val="FootnoteReference"/>
        </w:rPr>
        <w:footnoteRef/>
      </w:r>
      <w:r>
        <w:t xml:space="preserve"> </w:t>
      </w:r>
      <w:r w:rsidRPr="009341EF">
        <w:rPr>
          <w:sz w:val="18"/>
          <w:szCs w:val="18"/>
        </w:rPr>
        <w:t xml:space="preserve">The term allied health </w:t>
      </w:r>
      <w:r>
        <w:rPr>
          <w:sz w:val="18"/>
          <w:szCs w:val="18"/>
        </w:rPr>
        <w:t xml:space="preserve">and mental health </w:t>
      </w:r>
      <w:r w:rsidRPr="009341EF">
        <w:rPr>
          <w:sz w:val="18"/>
          <w:szCs w:val="18"/>
        </w:rPr>
        <w:t xml:space="preserve">professional is used refers to </w:t>
      </w:r>
      <w:r w:rsidRPr="009341EF">
        <w:rPr>
          <w:rFonts w:ascii="Calibri" w:eastAsia="Calibri" w:hAnsi="Calibri" w:cs="Calibri"/>
          <w:sz w:val="18"/>
          <w:szCs w:val="18"/>
        </w:rPr>
        <w:t>dietitians and accredited mental health professionals including GPs who have completed accredited mental health training, psychologists, mental health nurses, social workers, occupational therapists, counsellors and psychotherapists.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8D753" w14:textId="77777777" w:rsidR="005006C9" w:rsidRDefault="005006C9">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49945" w14:textId="77777777" w:rsidR="005006C9" w:rsidRDefault="005006C9">
    <w:r>
      <w:rPr>
        <w:noProof/>
      </w:rPr>
      <w:drawing>
        <wp:anchor distT="0" distB="0" distL="114300" distR="114300" simplePos="0" relativeHeight="251657216" behindDoc="0" locked="0" layoutInCell="1" allowOverlap="1" wp14:anchorId="29E593B2" wp14:editId="675FCC9C">
          <wp:simplePos x="0" y="0"/>
          <wp:positionH relativeFrom="page">
            <wp:align>left</wp:align>
          </wp:positionH>
          <wp:positionV relativeFrom="paragraph">
            <wp:posOffset>-360540</wp:posOffset>
          </wp:positionV>
          <wp:extent cx="7619117" cy="736979"/>
          <wp:effectExtent l="0" t="0" r="1270" b="6350"/>
          <wp:wrapSquare wrapText="bothSides"/>
          <wp:docPr id="3" name="Picture 3" descr="MBS Reviews logo" title="MBS Revi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7242" w14:textId="77777777" w:rsidR="005006C9" w:rsidRDefault="005006C9" w:rsidP="008E11F7">
    <w:pPr>
      <w:tabs>
        <w:tab w:val="left" w:pos="6180"/>
      </w:tabs>
      <w:spacing w:before="0" w:after="0" w:line="240" w:lineRule="auto"/>
    </w:pPr>
    <w:r>
      <w:rPr>
        <w:noProof/>
      </w:rPr>
      <w:drawing>
        <wp:anchor distT="0" distB="0" distL="114300" distR="114300" simplePos="0" relativeHeight="251662336" behindDoc="1" locked="0" layoutInCell="1" allowOverlap="1" wp14:anchorId="6139584F" wp14:editId="6FFDAE28">
          <wp:simplePos x="0" y="0"/>
          <wp:positionH relativeFrom="page">
            <wp:align>left</wp:align>
          </wp:positionH>
          <wp:positionV relativeFrom="paragraph">
            <wp:posOffset>-457200</wp:posOffset>
          </wp:positionV>
          <wp:extent cx="7562850" cy="10697357"/>
          <wp:effectExtent l="0" t="0" r="0" b="8890"/>
          <wp:wrapNone/>
          <wp:docPr id="4" name="Picture 4" descr="Eating Disorders Working Group" title="MBS Review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EAD3E" w14:textId="77777777" w:rsidR="005006C9" w:rsidRDefault="005006C9">
    <w:r>
      <w:rPr>
        <w:noProof/>
      </w:rPr>
      <w:drawing>
        <wp:anchor distT="0" distB="0" distL="114300" distR="114300" simplePos="0" relativeHeight="251658242" behindDoc="0" locked="0" layoutInCell="1" allowOverlap="1" wp14:anchorId="720F1E1A" wp14:editId="4902C91A">
          <wp:simplePos x="0" y="0"/>
          <wp:positionH relativeFrom="page">
            <wp:align>right</wp:align>
          </wp:positionH>
          <wp:positionV relativeFrom="paragraph">
            <wp:posOffset>-459740</wp:posOffset>
          </wp:positionV>
          <wp:extent cx="7619117" cy="736979"/>
          <wp:effectExtent l="0" t="0" r="1270" b="6350"/>
          <wp:wrapSquare wrapText="bothSides"/>
          <wp:docPr id="1" name="Picture 1" descr="MBS Review Taskforce 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26F3"/>
    <w:multiLevelType w:val="hybridMultilevel"/>
    <w:tmpl w:val="C536557A"/>
    <w:lvl w:ilvl="0" w:tplc="ED56C02E">
      <w:start w:val="1"/>
      <w:numFmt w:val="bullet"/>
      <w:lvlText w:val="o"/>
      <w:lvlJc w:val="left"/>
      <w:pPr>
        <w:ind w:left="360" w:hanging="360"/>
      </w:pPr>
      <w:rPr>
        <w:rFonts w:ascii="Courier New" w:hAnsi="Courier New" w:cs="Times New Roman" w:hint="default"/>
      </w:rPr>
    </w:lvl>
    <w:lvl w:ilvl="1" w:tplc="24BE069E">
      <w:start w:val="1"/>
      <w:numFmt w:val="bullet"/>
      <w:lvlText w:val="o"/>
      <w:lvlJc w:val="left"/>
      <w:pPr>
        <w:ind w:left="1440" w:hanging="360"/>
      </w:pPr>
      <w:rPr>
        <w:rFonts w:ascii="Courier New" w:hAnsi="Courier New" w:cs="Times New Roman" w:hint="default"/>
      </w:rPr>
    </w:lvl>
    <w:lvl w:ilvl="2" w:tplc="37ECDB8A">
      <w:start w:val="1"/>
      <w:numFmt w:val="bullet"/>
      <w:lvlText w:val=""/>
      <w:lvlJc w:val="left"/>
      <w:pPr>
        <w:ind w:left="2160" w:hanging="360"/>
      </w:pPr>
      <w:rPr>
        <w:rFonts w:ascii="Wingdings" w:hAnsi="Wingdings" w:hint="default"/>
      </w:rPr>
    </w:lvl>
    <w:lvl w:ilvl="3" w:tplc="F50EDCFA">
      <w:start w:val="1"/>
      <w:numFmt w:val="bullet"/>
      <w:lvlText w:val=""/>
      <w:lvlJc w:val="left"/>
      <w:pPr>
        <w:ind w:left="2880" w:hanging="360"/>
      </w:pPr>
      <w:rPr>
        <w:rFonts w:ascii="Symbol" w:hAnsi="Symbol" w:hint="default"/>
      </w:rPr>
    </w:lvl>
    <w:lvl w:ilvl="4" w:tplc="F57AD54C">
      <w:start w:val="1"/>
      <w:numFmt w:val="bullet"/>
      <w:lvlText w:val="o"/>
      <w:lvlJc w:val="left"/>
      <w:pPr>
        <w:ind w:left="3600" w:hanging="360"/>
      </w:pPr>
      <w:rPr>
        <w:rFonts w:ascii="Courier New" w:hAnsi="Courier New" w:cs="Times New Roman" w:hint="default"/>
      </w:rPr>
    </w:lvl>
    <w:lvl w:ilvl="5" w:tplc="4C6638B0">
      <w:start w:val="1"/>
      <w:numFmt w:val="bullet"/>
      <w:lvlText w:val=""/>
      <w:lvlJc w:val="left"/>
      <w:pPr>
        <w:ind w:left="4320" w:hanging="360"/>
      </w:pPr>
      <w:rPr>
        <w:rFonts w:ascii="Wingdings" w:hAnsi="Wingdings" w:hint="default"/>
      </w:rPr>
    </w:lvl>
    <w:lvl w:ilvl="6" w:tplc="4970DD80">
      <w:start w:val="1"/>
      <w:numFmt w:val="bullet"/>
      <w:lvlText w:val=""/>
      <w:lvlJc w:val="left"/>
      <w:pPr>
        <w:ind w:left="5040" w:hanging="360"/>
      </w:pPr>
      <w:rPr>
        <w:rFonts w:ascii="Symbol" w:hAnsi="Symbol" w:hint="default"/>
      </w:rPr>
    </w:lvl>
    <w:lvl w:ilvl="7" w:tplc="07C8E82A">
      <w:start w:val="1"/>
      <w:numFmt w:val="bullet"/>
      <w:lvlText w:val="o"/>
      <w:lvlJc w:val="left"/>
      <w:pPr>
        <w:ind w:left="5760" w:hanging="360"/>
      </w:pPr>
      <w:rPr>
        <w:rFonts w:ascii="Courier New" w:hAnsi="Courier New" w:cs="Times New Roman" w:hint="default"/>
      </w:rPr>
    </w:lvl>
    <w:lvl w:ilvl="8" w:tplc="21FC19B4">
      <w:start w:val="1"/>
      <w:numFmt w:val="bullet"/>
      <w:lvlText w:val=""/>
      <w:lvlJc w:val="left"/>
      <w:pPr>
        <w:ind w:left="6480" w:hanging="360"/>
      </w:pPr>
      <w:rPr>
        <w:rFonts w:ascii="Wingdings" w:hAnsi="Wingdings" w:hint="default"/>
      </w:rPr>
    </w:lvl>
  </w:abstractNum>
  <w:abstractNum w:abstractNumId="1" w15:restartNumberingAfterBreak="0">
    <w:nsid w:val="062B4BBB"/>
    <w:multiLevelType w:val="hybridMultilevel"/>
    <w:tmpl w:val="107845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E6F11"/>
    <w:multiLevelType w:val="hybridMultilevel"/>
    <w:tmpl w:val="FF062C2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11D5C"/>
    <w:multiLevelType w:val="hybridMultilevel"/>
    <w:tmpl w:val="2C04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81E58"/>
    <w:multiLevelType w:val="hybridMultilevel"/>
    <w:tmpl w:val="FFFFFFFF"/>
    <w:lvl w:ilvl="0" w:tplc="FFFFFFFF">
      <w:start w:val="1"/>
      <w:numFmt w:val="bullet"/>
      <w:lvlText w:val="□"/>
      <w:lvlJc w:val="left"/>
      <w:pPr>
        <w:ind w:left="720" w:hanging="360"/>
      </w:pPr>
      <w:rPr>
        <w:rFonts w:ascii="Times New Roman" w:hAnsi="Times New Roman" w:cs="Times New Roman" w:hint="default"/>
      </w:rPr>
    </w:lvl>
    <w:lvl w:ilvl="1" w:tplc="8ACAF98C">
      <w:start w:val="1"/>
      <w:numFmt w:val="bullet"/>
      <w:lvlText w:val="o"/>
      <w:lvlJc w:val="left"/>
      <w:pPr>
        <w:ind w:left="1440" w:hanging="360"/>
      </w:pPr>
      <w:rPr>
        <w:rFonts w:ascii="Courier New" w:hAnsi="Courier New" w:cs="Times New Roman" w:hint="default"/>
      </w:rPr>
    </w:lvl>
    <w:lvl w:ilvl="2" w:tplc="0344CB4A">
      <w:start w:val="1"/>
      <w:numFmt w:val="bullet"/>
      <w:lvlText w:val=""/>
      <w:lvlJc w:val="left"/>
      <w:pPr>
        <w:ind w:left="2160" w:hanging="360"/>
      </w:pPr>
      <w:rPr>
        <w:rFonts w:ascii="Wingdings" w:hAnsi="Wingdings" w:hint="default"/>
      </w:rPr>
    </w:lvl>
    <w:lvl w:ilvl="3" w:tplc="5D26E01E">
      <w:start w:val="1"/>
      <w:numFmt w:val="bullet"/>
      <w:lvlText w:val=""/>
      <w:lvlJc w:val="left"/>
      <w:pPr>
        <w:ind w:left="2880" w:hanging="360"/>
      </w:pPr>
      <w:rPr>
        <w:rFonts w:ascii="Symbol" w:hAnsi="Symbol" w:hint="default"/>
      </w:rPr>
    </w:lvl>
    <w:lvl w:ilvl="4" w:tplc="69C8BE74">
      <w:start w:val="1"/>
      <w:numFmt w:val="bullet"/>
      <w:lvlText w:val="o"/>
      <w:lvlJc w:val="left"/>
      <w:pPr>
        <w:ind w:left="3600" w:hanging="360"/>
      </w:pPr>
      <w:rPr>
        <w:rFonts w:ascii="Courier New" w:hAnsi="Courier New" w:cs="Times New Roman" w:hint="default"/>
      </w:rPr>
    </w:lvl>
    <w:lvl w:ilvl="5" w:tplc="2190D9E0">
      <w:start w:val="1"/>
      <w:numFmt w:val="bullet"/>
      <w:lvlText w:val=""/>
      <w:lvlJc w:val="left"/>
      <w:pPr>
        <w:ind w:left="4320" w:hanging="360"/>
      </w:pPr>
      <w:rPr>
        <w:rFonts w:ascii="Wingdings" w:hAnsi="Wingdings" w:hint="default"/>
      </w:rPr>
    </w:lvl>
    <w:lvl w:ilvl="6" w:tplc="EE584EB2">
      <w:start w:val="1"/>
      <w:numFmt w:val="bullet"/>
      <w:lvlText w:val=""/>
      <w:lvlJc w:val="left"/>
      <w:pPr>
        <w:ind w:left="5040" w:hanging="360"/>
      </w:pPr>
      <w:rPr>
        <w:rFonts w:ascii="Symbol" w:hAnsi="Symbol" w:hint="default"/>
      </w:rPr>
    </w:lvl>
    <w:lvl w:ilvl="7" w:tplc="95288DBE">
      <w:start w:val="1"/>
      <w:numFmt w:val="bullet"/>
      <w:lvlText w:val="o"/>
      <w:lvlJc w:val="left"/>
      <w:pPr>
        <w:ind w:left="5760" w:hanging="360"/>
      </w:pPr>
      <w:rPr>
        <w:rFonts w:ascii="Courier New" w:hAnsi="Courier New" w:cs="Times New Roman" w:hint="default"/>
      </w:rPr>
    </w:lvl>
    <w:lvl w:ilvl="8" w:tplc="467C60CC">
      <w:start w:val="1"/>
      <w:numFmt w:val="bullet"/>
      <w:lvlText w:val=""/>
      <w:lvlJc w:val="left"/>
      <w:pPr>
        <w:ind w:left="6480" w:hanging="360"/>
      </w:pPr>
      <w:rPr>
        <w:rFonts w:ascii="Wingdings" w:hAnsi="Wingdings" w:hint="default"/>
      </w:rPr>
    </w:lvl>
  </w:abstractNum>
  <w:abstractNum w:abstractNumId="5" w15:restartNumberingAfterBreak="0">
    <w:nsid w:val="0E5B6196"/>
    <w:multiLevelType w:val="hybridMultilevel"/>
    <w:tmpl w:val="034235BA"/>
    <w:lvl w:ilvl="0" w:tplc="0C090003">
      <w:start w:val="1"/>
      <w:numFmt w:val="bullet"/>
      <w:lvlText w:val="o"/>
      <w:lvlJc w:val="left"/>
      <w:pPr>
        <w:ind w:left="1636" w:hanging="360"/>
      </w:pPr>
      <w:rPr>
        <w:rFonts w:ascii="Courier New" w:hAnsi="Courier New" w:cs="Courier New"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6" w15:restartNumberingAfterBreak="0">
    <w:nsid w:val="12F608E8"/>
    <w:multiLevelType w:val="multilevel"/>
    <w:tmpl w:val="5380C0C2"/>
    <w:lvl w:ilvl="0">
      <w:start w:val="5"/>
      <w:numFmt w:val="decimal"/>
      <w:lvlText w:val="%1"/>
      <w:lvlJc w:val="left"/>
      <w:pPr>
        <w:ind w:left="458" w:hanging="458"/>
      </w:pPr>
      <w:rPr>
        <w:rFonts w:hint="default"/>
      </w:rPr>
    </w:lvl>
    <w:lvl w:ilvl="1">
      <w:start w:val="1"/>
      <w:numFmt w:val="decimal"/>
      <w:lvlText w:val="%1.%2"/>
      <w:lvlJc w:val="left"/>
      <w:pPr>
        <w:ind w:left="458" w:hanging="458"/>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264173"/>
    <w:multiLevelType w:val="hybridMultilevel"/>
    <w:tmpl w:val="FFFFFFFF"/>
    <w:lvl w:ilvl="0" w:tplc="555C3B26">
      <w:start w:val="1"/>
      <w:numFmt w:val="bullet"/>
      <w:lvlText w:val=""/>
      <w:lvlJc w:val="left"/>
      <w:pPr>
        <w:ind w:left="720" w:hanging="360"/>
      </w:pPr>
      <w:rPr>
        <w:rFonts w:ascii="Symbol" w:hAnsi="Symbol" w:hint="default"/>
      </w:rPr>
    </w:lvl>
    <w:lvl w:ilvl="1" w:tplc="6BD8B47A">
      <w:start w:val="1"/>
      <w:numFmt w:val="bullet"/>
      <w:lvlText w:val="o"/>
      <w:lvlJc w:val="left"/>
      <w:pPr>
        <w:ind w:left="1440" w:hanging="360"/>
      </w:pPr>
      <w:rPr>
        <w:rFonts w:ascii="Courier New" w:hAnsi="Courier New" w:cs="Times New Roman" w:hint="default"/>
      </w:rPr>
    </w:lvl>
    <w:lvl w:ilvl="2" w:tplc="4AC6F970">
      <w:start w:val="1"/>
      <w:numFmt w:val="bullet"/>
      <w:lvlText w:val=""/>
      <w:lvlJc w:val="left"/>
      <w:pPr>
        <w:ind w:left="2160" w:hanging="360"/>
      </w:pPr>
      <w:rPr>
        <w:rFonts w:ascii="Wingdings" w:hAnsi="Wingdings" w:hint="default"/>
      </w:rPr>
    </w:lvl>
    <w:lvl w:ilvl="3" w:tplc="06DA1ADA">
      <w:start w:val="1"/>
      <w:numFmt w:val="bullet"/>
      <w:lvlText w:val=""/>
      <w:lvlJc w:val="left"/>
      <w:pPr>
        <w:ind w:left="2880" w:hanging="360"/>
      </w:pPr>
      <w:rPr>
        <w:rFonts w:ascii="Symbol" w:hAnsi="Symbol" w:hint="default"/>
      </w:rPr>
    </w:lvl>
    <w:lvl w:ilvl="4" w:tplc="80B66354">
      <w:start w:val="1"/>
      <w:numFmt w:val="bullet"/>
      <w:lvlText w:val="o"/>
      <w:lvlJc w:val="left"/>
      <w:pPr>
        <w:ind w:left="3600" w:hanging="360"/>
      </w:pPr>
      <w:rPr>
        <w:rFonts w:ascii="Courier New" w:hAnsi="Courier New" w:cs="Times New Roman" w:hint="default"/>
      </w:rPr>
    </w:lvl>
    <w:lvl w:ilvl="5" w:tplc="2040C12E">
      <w:start w:val="1"/>
      <w:numFmt w:val="bullet"/>
      <w:lvlText w:val=""/>
      <w:lvlJc w:val="left"/>
      <w:pPr>
        <w:ind w:left="4320" w:hanging="360"/>
      </w:pPr>
      <w:rPr>
        <w:rFonts w:ascii="Wingdings" w:hAnsi="Wingdings" w:hint="default"/>
      </w:rPr>
    </w:lvl>
    <w:lvl w:ilvl="6" w:tplc="A9023F08">
      <w:start w:val="1"/>
      <w:numFmt w:val="bullet"/>
      <w:lvlText w:val=""/>
      <w:lvlJc w:val="left"/>
      <w:pPr>
        <w:ind w:left="5040" w:hanging="360"/>
      </w:pPr>
      <w:rPr>
        <w:rFonts w:ascii="Symbol" w:hAnsi="Symbol" w:hint="default"/>
      </w:rPr>
    </w:lvl>
    <w:lvl w:ilvl="7" w:tplc="65528F88">
      <w:start w:val="1"/>
      <w:numFmt w:val="bullet"/>
      <w:lvlText w:val="o"/>
      <w:lvlJc w:val="left"/>
      <w:pPr>
        <w:ind w:left="5760" w:hanging="360"/>
      </w:pPr>
      <w:rPr>
        <w:rFonts w:ascii="Courier New" w:hAnsi="Courier New" w:cs="Times New Roman" w:hint="default"/>
      </w:rPr>
    </w:lvl>
    <w:lvl w:ilvl="8" w:tplc="BB24EECA">
      <w:start w:val="1"/>
      <w:numFmt w:val="bullet"/>
      <w:lvlText w:val=""/>
      <w:lvlJc w:val="left"/>
      <w:pPr>
        <w:ind w:left="6480" w:hanging="360"/>
      </w:pPr>
      <w:rPr>
        <w:rFonts w:ascii="Wingdings" w:hAnsi="Wingdings" w:hint="default"/>
      </w:rPr>
    </w:lvl>
  </w:abstractNum>
  <w:abstractNum w:abstractNumId="8"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3" w15:restartNumberingAfterBreak="0">
    <w:nsid w:val="182216DA"/>
    <w:multiLevelType w:val="multilevel"/>
    <w:tmpl w:val="D01EC2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8E7013A"/>
    <w:multiLevelType w:val="hybridMultilevel"/>
    <w:tmpl w:val="6F8E049A"/>
    <w:lvl w:ilvl="0" w:tplc="367470AE">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C090003">
      <w:start w:val="1"/>
      <w:numFmt w:val="bullet"/>
      <w:lvlText w:val="o"/>
      <w:lvlJc w:val="left"/>
      <w:pPr>
        <w:ind w:left="2508" w:hanging="360"/>
      </w:pPr>
      <w:rPr>
        <w:rFonts w:ascii="Courier New" w:hAnsi="Courier New" w:cs="Courier New"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1927205D"/>
    <w:multiLevelType w:val="hybridMultilevel"/>
    <w:tmpl w:val="85F8EC96"/>
    <w:lvl w:ilvl="0" w:tplc="0C090003">
      <w:start w:val="1"/>
      <w:numFmt w:val="bullet"/>
      <w:lvlText w:val="o"/>
      <w:lvlJc w:val="left"/>
      <w:pPr>
        <w:ind w:left="720" w:hanging="360"/>
      </w:pPr>
      <w:rPr>
        <w:rFonts w:ascii="Courier New" w:hAnsi="Courier New" w:cs="Courier New"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4B020A"/>
    <w:multiLevelType w:val="hybridMultilevel"/>
    <w:tmpl w:val="DD10640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15:restartNumberingAfterBreak="0">
    <w:nsid w:val="1DAC016F"/>
    <w:multiLevelType w:val="hybridMultilevel"/>
    <w:tmpl w:val="58AACF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E1E23A4"/>
    <w:multiLevelType w:val="hybridMultilevel"/>
    <w:tmpl w:val="F1BEBEC2"/>
    <w:lvl w:ilvl="0" w:tplc="95402A42">
      <w:start w:val="1"/>
      <w:numFmt w:val="bullet"/>
      <w:lvlText w:val="□"/>
      <w:lvlJc w:val="left"/>
      <w:pPr>
        <w:ind w:left="720" w:hanging="360"/>
      </w:pPr>
      <w:rPr>
        <w:rFonts w:ascii="Times New Roman" w:hAnsi="Times New Roman" w:cs="Times New Roman" w:hint="default"/>
      </w:rPr>
    </w:lvl>
    <w:lvl w:ilvl="1" w:tplc="A2029508">
      <w:start w:val="1"/>
      <w:numFmt w:val="bullet"/>
      <w:lvlText w:val="o"/>
      <w:lvlJc w:val="left"/>
      <w:pPr>
        <w:ind w:left="1440" w:hanging="360"/>
      </w:pPr>
      <w:rPr>
        <w:rFonts w:ascii="Courier New" w:hAnsi="Courier New" w:cs="Times New Roman" w:hint="default"/>
      </w:rPr>
    </w:lvl>
    <w:lvl w:ilvl="2" w:tplc="C0D06A22">
      <w:start w:val="1"/>
      <w:numFmt w:val="bullet"/>
      <w:lvlText w:val=""/>
      <w:lvlJc w:val="left"/>
      <w:pPr>
        <w:ind w:left="2160" w:hanging="360"/>
      </w:pPr>
      <w:rPr>
        <w:rFonts w:ascii="Wingdings" w:hAnsi="Wingdings" w:hint="default"/>
      </w:rPr>
    </w:lvl>
    <w:lvl w:ilvl="3" w:tplc="007017CA">
      <w:start w:val="1"/>
      <w:numFmt w:val="bullet"/>
      <w:lvlText w:val=""/>
      <w:lvlJc w:val="left"/>
      <w:pPr>
        <w:ind w:left="2880" w:hanging="360"/>
      </w:pPr>
      <w:rPr>
        <w:rFonts w:ascii="Symbol" w:hAnsi="Symbol" w:hint="default"/>
      </w:rPr>
    </w:lvl>
    <w:lvl w:ilvl="4" w:tplc="E8ACD5DA">
      <w:start w:val="1"/>
      <w:numFmt w:val="bullet"/>
      <w:lvlText w:val="o"/>
      <w:lvlJc w:val="left"/>
      <w:pPr>
        <w:ind w:left="3600" w:hanging="360"/>
      </w:pPr>
      <w:rPr>
        <w:rFonts w:ascii="Courier New" w:hAnsi="Courier New" w:cs="Times New Roman" w:hint="default"/>
      </w:rPr>
    </w:lvl>
    <w:lvl w:ilvl="5" w:tplc="A4CCCFC0">
      <w:start w:val="1"/>
      <w:numFmt w:val="bullet"/>
      <w:lvlText w:val=""/>
      <w:lvlJc w:val="left"/>
      <w:pPr>
        <w:ind w:left="4320" w:hanging="360"/>
      </w:pPr>
      <w:rPr>
        <w:rFonts w:ascii="Wingdings" w:hAnsi="Wingdings" w:hint="default"/>
      </w:rPr>
    </w:lvl>
    <w:lvl w:ilvl="6" w:tplc="AE940C8A">
      <w:start w:val="1"/>
      <w:numFmt w:val="bullet"/>
      <w:lvlText w:val=""/>
      <w:lvlJc w:val="left"/>
      <w:pPr>
        <w:ind w:left="5040" w:hanging="360"/>
      </w:pPr>
      <w:rPr>
        <w:rFonts w:ascii="Symbol" w:hAnsi="Symbol" w:hint="default"/>
      </w:rPr>
    </w:lvl>
    <w:lvl w:ilvl="7" w:tplc="8244FE40">
      <w:start w:val="1"/>
      <w:numFmt w:val="bullet"/>
      <w:lvlText w:val="o"/>
      <w:lvlJc w:val="left"/>
      <w:pPr>
        <w:ind w:left="5760" w:hanging="360"/>
      </w:pPr>
      <w:rPr>
        <w:rFonts w:ascii="Courier New" w:hAnsi="Courier New" w:cs="Times New Roman" w:hint="default"/>
      </w:rPr>
    </w:lvl>
    <w:lvl w:ilvl="8" w:tplc="75082644">
      <w:start w:val="1"/>
      <w:numFmt w:val="bullet"/>
      <w:lvlText w:val=""/>
      <w:lvlJc w:val="left"/>
      <w:pPr>
        <w:ind w:left="6480" w:hanging="360"/>
      </w:pPr>
      <w:rPr>
        <w:rFonts w:ascii="Wingdings" w:hAnsi="Wingdings" w:hint="default"/>
      </w:rPr>
    </w:lvl>
  </w:abstractNum>
  <w:abstractNum w:abstractNumId="19" w15:restartNumberingAfterBreak="0">
    <w:nsid w:val="1E55533D"/>
    <w:multiLevelType w:val="hybridMultilevel"/>
    <w:tmpl w:val="44B67B3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1" w15:restartNumberingAfterBreak="0">
    <w:nsid w:val="24FF7905"/>
    <w:multiLevelType w:val="hybridMultilevel"/>
    <w:tmpl w:val="FFFFFFFF"/>
    <w:lvl w:ilvl="0" w:tplc="2B2215D2">
      <w:start w:val="1"/>
      <w:numFmt w:val="bullet"/>
      <w:lvlText w:val=""/>
      <w:lvlJc w:val="left"/>
      <w:pPr>
        <w:ind w:left="720" w:hanging="360"/>
      </w:pPr>
      <w:rPr>
        <w:rFonts w:ascii="Symbol" w:hAnsi="Symbol" w:hint="default"/>
      </w:rPr>
    </w:lvl>
    <w:lvl w:ilvl="1" w:tplc="6DC23E8C">
      <w:start w:val="1"/>
      <w:numFmt w:val="bullet"/>
      <w:lvlText w:val="o"/>
      <w:lvlJc w:val="left"/>
      <w:pPr>
        <w:ind w:left="1440" w:hanging="360"/>
      </w:pPr>
      <w:rPr>
        <w:rFonts w:ascii="Courier New" w:hAnsi="Courier New" w:cs="Times New Roman" w:hint="default"/>
      </w:rPr>
    </w:lvl>
    <w:lvl w:ilvl="2" w:tplc="ECDC4E38">
      <w:start w:val="1"/>
      <w:numFmt w:val="bullet"/>
      <w:lvlText w:val=""/>
      <w:lvlJc w:val="left"/>
      <w:pPr>
        <w:ind w:left="2160" w:hanging="360"/>
      </w:pPr>
      <w:rPr>
        <w:rFonts w:ascii="Wingdings" w:hAnsi="Wingdings" w:hint="default"/>
      </w:rPr>
    </w:lvl>
    <w:lvl w:ilvl="3" w:tplc="1DE08644">
      <w:start w:val="1"/>
      <w:numFmt w:val="bullet"/>
      <w:lvlText w:val=""/>
      <w:lvlJc w:val="left"/>
      <w:pPr>
        <w:ind w:left="2880" w:hanging="360"/>
      </w:pPr>
      <w:rPr>
        <w:rFonts w:ascii="Symbol" w:hAnsi="Symbol" w:hint="default"/>
      </w:rPr>
    </w:lvl>
    <w:lvl w:ilvl="4" w:tplc="73EEFD7E">
      <w:start w:val="1"/>
      <w:numFmt w:val="bullet"/>
      <w:lvlText w:val="o"/>
      <w:lvlJc w:val="left"/>
      <w:pPr>
        <w:ind w:left="3600" w:hanging="360"/>
      </w:pPr>
      <w:rPr>
        <w:rFonts w:ascii="Courier New" w:hAnsi="Courier New" w:cs="Times New Roman" w:hint="default"/>
      </w:rPr>
    </w:lvl>
    <w:lvl w:ilvl="5" w:tplc="5DC26BC8">
      <w:start w:val="1"/>
      <w:numFmt w:val="bullet"/>
      <w:lvlText w:val=""/>
      <w:lvlJc w:val="left"/>
      <w:pPr>
        <w:ind w:left="4320" w:hanging="360"/>
      </w:pPr>
      <w:rPr>
        <w:rFonts w:ascii="Wingdings" w:hAnsi="Wingdings" w:hint="default"/>
      </w:rPr>
    </w:lvl>
    <w:lvl w:ilvl="6" w:tplc="6BC84012">
      <w:start w:val="1"/>
      <w:numFmt w:val="bullet"/>
      <w:lvlText w:val=""/>
      <w:lvlJc w:val="left"/>
      <w:pPr>
        <w:ind w:left="5040" w:hanging="360"/>
      </w:pPr>
      <w:rPr>
        <w:rFonts w:ascii="Symbol" w:hAnsi="Symbol" w:hint="default"/>
      </w:rPr>
    </w:lvl>
    <w:lvl w:ilvl="7" w:tplc="3C005028">
      <w:start w:val="1"/>
      <w:numFmt w:val="bullet"/>
      <w:lvlText w:val="o"/>
      <w:lvlJc w:val="left"/>
      <w:pPr>
        <w:ind w:left="5760" w:hanging="360"/>
      </w:pPr>
      <w:rPr>
        <w:rFonts w:ascii="Courier New" w:hAnsi="Courier New" w:cs="Times New Roman" w:hint="default"/>
      </w:rPr>
    </w:lvl>
    <w:lvl w:ilvl="8" w:tplc="7B864356">
      <w:start w:val="1"/>
      <w:numFmt w:val="bullet"/>
      <w:lvlText w:val=""/>
      <w:lvlJc w:val="left"/>
      <w:pPr>
        <w:ind w:left="6480" w:hanging="360"/>
      </w:pPr>
      <w:rPr>
        <w:rFonts w:ascii="Wingdings" w:hAnsi="Wingdings" w:hint="default"/>
      </w:rPr>
    </w:lvl>
  </w:abstractNum>
  <w:abstractNum w:abstractNumId="22" w15:restartNumberingAfterBreak="0">
    <w:nsid w:val="27DC4A25"/>
    <w:multiLevelType w:val="hybridMultilevel"/>
    <w:tmpl w:val="6558819A"/>
    <w:lvl w:ilvl="0" w:tplc="0C090005">
      <w:start w:val="1"/>
      <w:numFmt w:val="bullet"/>
      <w:lvlText w:val=""/>
      <w:lvlJc w:val="left"/>
      <w:pPr>
        <w:ind w:left="1364" w:hanging="360"/>
      </w:pPr>
      <w:rPr>
        <w:rFonts w:ascii="Wingdings" w:hAnsi="Wingdings"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3" w15:restartNumberingAfterBreak="0">
    <w:nsid w:val="28DE1490"/>
    <w:multiLevelType w:val="hybridMultilevel"/>
    <w:tmpl w:val="23EEDEE4"/>
    <w:lvl w:ilvl="0" w:tplc="4EBAC4B2">
      <w:start w:val="1"/>
      <w:numFmt w:val="bullet"/>
      <w:lvlText w:val=""/>
      <w:lvlJc w:val="left"/>
      <w:pPr>
        <w:ind w:left="720" w:hanging="360"/>
      </w:pPr>
      <w:rPr>
        <w:rFonts w:ascii="Symbol" w:hAnsi="Symbol" w:hint="default"/>
      </w:rPr>
    </w:lvl>
    <w:lvl w:ilvl="1" w:tplc="571E7268">
      <w:start w:val="1"/>
      <w:numFmt w:val="bullet"/>
      <w:lvlText w:val="o"/>
      <w:lvlJc w:val="left"/>
      <w:pPr>
        <w:ind w:left="1440" w:hanging="360"/>
      </w:pPr>
      <w:rPr>
        <w:rFonts w:ascii="Courier New" w:hAnsi="Courier New" w:hint="default"/>
      </w:rPr>
    </w:lvl>
    <w:lvl w:ilvl="2" w:tplc="A460A73E">
      <w:start w:val="1"/>
      <w:numFmt w:val="bullet"/>
      <w:lvlText w:val=""/>
      <w:lvlJc w:val="left"/>
      <w:pPr>
        <w:ind w:left="2160" w:hanging="360"/>
      </w:pPr>
      <w:rPr>
        <w:rFonts w:ascii="Wingdings" w:hAnsi="Wingdings" w:hint="default"/>
      </w:rPr>
    </w:lvl>
    <w:lvl w:ilvl="3" w:tplc="9D983DBC">
      <w:start w:val="1"/>
      <w:numFmt w:val="bullet"/>
      <w:lvlText w:val=""/>
      <w:lvlJc w:val="left"/>
      <w:pPr>
        <w:ind w:left="2880" w:hanging="360"/>
      </w:pPr>
      <w:rPr>
        <w:rFonts w:ascii="Symbol" w:hAnsi="Symbol" w:hint="default"/>
      </w:rPr>
    </w:lvl>
    <w:lvl w:ilvl="4" w:tplc="BEEAAAA2">
      <w:start w:val="1"/>
      <w:numFmt w:val="bullet"/>
      <w:lvlText w:val="o"/>
      <w:lvlJc w:val="left"/>
      <w:pPr>
        <w:ind w:left="3600" w:hanging="360"/>
      </w:pPr>
      <w:rPr>
        <w:rFonts w:ascii="Courier New" w:hAnsi="Courier New" w:hint="default"/>
      </w:rPr>
    </w:lvl>
    <w:lvl w:ilvl="5" w:tplc="98C64FE8">
      <w:start w:val="1"/>
      <w:numFmt w:val="bullet"/>
      <w:lvlText w:val=""/>
      <w:lvlJc w:val="left"/>
      <w:pPr>
        <w:ind w:left="4320" w:hanging="360"/>
      </w:pPr>
      <w:rPr>
        <w:rFonts w:ascii="Wingdings" w:hAnsi="Wingdings" w:hint="default"/>
      </w:rPr>
    </w:lvl>
    <w:lvl w:ilvl="6" w:tplc="0DDE6BA6">
      <w:start w:val="1"/>
      <w:numFmt w:val="bullet"/>
      <w:lvlText w:val=""/>
      <w:lvlJc w:val="left"/>
      <w:pPr>
        <w:ind w:left="5040" w:hanging="360"/>
      </w:pPr>
      <w:rPr>
        <w:rFonts w:ascii="Symbol" w:hAnsi="Symbol" w:hint="default"/>
      </w:rPr>
    </w:lvl>
    <w:lvl w:ilvl="7" w:tplc="2A3463E0">
      <w:start w:val="1"/>
      <w:numFmt w:val="bullet"/>
      <w:lvlText w:val="o"/>
      <w:lvlJc w:val="left"/>
      <w:pPr>
        <w:ind w:left="5760" w:hanging="360"/>
      </w:pPr>
      <w:rPr>
        <w:rFonts w:ascii="Courier New" w:hAnsi="Courier New" w:hint="default"/>
      </w:rPr>
    </w:lvl>
    <w:lvl w:ilvl="8" w:tplc="F5D6DAD6">
      <w:start w:val="1"/>
      <w:numFmt w:val="bullet"/>
      <w:lvlText w:val=""/>
      <w:lvlJc w:val="left"/>
      <w:pPr>
        <w:ind w:left="6480" w:hanging="360"/>
      </w:pPr>
      <w:rPr>
        <w:rFonts w:ascii="Wingdings" w:hAnsi="Wingdings" w:hint="default"/>
      </w:rPr>
    </w:lvl>
  </w:abstractNum>
  <w:abstractNum w:abstractNumId="24" w15:restartNumberingAfterBreak="0">
    <w:nsid w:val="2B983003"/>
    <w:multiLevelType w:val="multilevel"/>
    <w:tmpl w:val="6406B4D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9C1241"/>
    <w:multiLevelType w:val="hybridMultilevel"/>
    <w:tmpl w:val="E6222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2B1689"/>
    <w:multiLevelType w:val="hybridMultilevel"/>
    <w:tmpl w:val="82100AB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34927DEA"/>
    <w:multiLevelType w:val="hybridMultilevel"/>
    <w:tmpl w:val="107A66D0"/>
    <w:lvl w:ilvl="0" w:tplc="367470AE">
      <w:start w:val="1"/>
      <w:numFmt w:val="bullet"/>
      <w:pStyle w:val="Squarebullet"/>
      <w:lvlText w:val=""/>
      <w:lvlJc w:val="left"/>
      <w:pPr>
        <w:ind w:left="1540" w:hanging="360"/>
      </w:pPr>
      <w:rPr>
        <w:rFonts w:ascii="Wingdings" w:hAnsi="Wingdings"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841453"/>
    <w:multiLevelType w:val="hybridMultilevel"/>
    <w:tmpl w:val="8FE247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7AF7D67"/>
    <w:multiLevelType w:val="hybridMultilevel"/>
    <w:tmpl w:val="6302D0B8"/>
    <w:lvl w:ilvl="0" w:tplc="A5C63BB8">
      <w:start w:val="1"/>
      <w:numFmt w:val="bullet"/>
      <w:lvlText w:val="□"/>
      <w:lvlJc w:val="left"/>
      <w:pPr>
        <w:ind w:left="720" w:hanging="360"/>
      </w:pPr>
      <w:rPr>
        <w:rFonts w:ascii="Times New Roman" w:hAnsi="Times New Roman" w:cs="Times New Roman" w:hint="default"/>
      </w:rPr>
    </w:lvl>
    <w:lvl w:ilvl="1" w:tplc="5A12FB22">
      <w:start w:val="1"/>
      <w:numFmt w:val="bullet"/>
      <w:lvlText w:val="o"/>
      <w:lvlJc w:val="left"/>
      <w:pPr>
        <w:ind w:left="1440" w:hanging="360"/>
      </w:pPr>
      <w:rPr>
        <w:rFonts w:ascii="Courier New" w:hAnsi="Courier New" w:cs="Times New Roman" w:hint="default"/>
      </w:rPr>
    </w:lvl>
    <w:lvl w:ilvl="2" w:tplc="FD88F0C6">
      <w:start w:val="1"/>
      <w:numFmt w:val="bullet"/>
      <w:lvlText w:val=""/>
      <w:lvlJc w:val="left"/>
      <w:pPr>
        <w:ind w:left="2160" w:hanging="360"/>
      </w:pPr>
      <w:rPr>
        <w:rFonts w:ascii="Wingdings" w:hAnsi="Wingdings" w:hint="default"/>
      </w:rPr>
    </w:lvl>
    <w:lvl w:ilvl="3" w:tplc="7198502E">
      <w:start w:val="1"/>
      <w:numFmt w:val="bullet"/>
      <w:lvlText w:val=""/>
      <w:lvlJc w:val="left"/>
      <w:pPr>
        <w:ind w:left="2880" w:hanging="360"/>
      </w:pPr>
      <w:rPr>
        <w:rFonts w:ascii="Symbol" w:hAnsi="Symbol" w:hint="default"/>
      </w:rPr>
    </w:lvl>
    <w:lvl w:ilvl="4" w:tplc="8454FA12">
      <w:start w:val="1"/>
      <w:numFmt w:val="bullet"/>
      <w:lvlText w:val="o"/>
      <w:lvlJc w:val="left"/>
      <w:pPr>
        <w:ind w:left="3600" w:hanging="360"/>
      </w:pPr>
      <w:rPr>
        <w:rFonts w:ascii="Courier New" w:hAnsi="Courier New" w:cs="Times New Roman" w:hint="default"/>
      </w:rPr>
    </w:lvl>
    <w:lvl w:ilvl="5" w:tplc="2D06B432">
      <w:start w:val="1"/>
      <w:numFmt w:val="bullet"/>
      <w:lvlText w:val=""/>
      <w:lvlJc w:val="left"/>
      <w:pPr>
        <w:ind w:left="4320" w:hanging="360"/>
      </w:pPr>
      <w:rPr>
        <w:rFonts w:ascii="Wingdings" w:hAnsi="Wingdings" w:hint="default"/>
      </w:rPr>
    </w:lvl>
    <w:lvl w:ilvl="6" w:tplc="7A14F84C">
      <w:start w:val="1"/>
      <w:numFmt w:val="bullet"/>
      <w:lvlText w:val=""/>
      <w:lvlJc w:val="left"/>
      <w:pPr>
        <w:ind w:left="5040" w:hanging="360"/>
      </w:pPr>
      <w:rPr>
        <w:rFonts w:ascii="Symbol" w:hAnsi="Symbol" w:hint="default"/>
      </w:rPr>
    </w:lvl>
    <w:lvl w:ilvl="7" w:tplc="36E42D50">
      <w:start w:val="1"/>
      <w:numFmt w:val="bullet"/>
      <w:lvlText w:val="o"/>
      <w:lvlJc w:val="left"/>
      <w:pPr>
        <w:ind w:left="5760" w:hanging="360"/>
      </w:pPr>
      <w:rPr>
        <w:rFonts w:ascii="Courier New" w:hAnsi="Courier New" w:cs="Times New Roman" w:hint="default"/>
      </w:rPr>
    </w:lvl>
    <w:lvl w:ilvl="8" w:tplc="AB066FC8">
      <w:start w:val="1"/>
      <w:numFmt w:val="bullet"/>
      <w:lvlText w:val=""/>
      <w:lvlJc w:val="left"/>
      <w:pPr>
        <w:ind w:left="6480" w:hanging="360"/>
      </w:pPr>
      <w:rPr>
        <w:rFonts w:ascii="Wingdings" w:hAnsi="Wingdings" w:hint="default"/>
      </w:rPr>
    </w:lvl>
  </w:abstractNum>
  <w:abstractNum w:abstractNumId="31" w15:restartNumberingAfterBreak="0">
    <w:nsid w:val="3AA515C1"/>
    <w:multiLevelType w:val="hybridMultilevel"/>
    <w:tmpl w:val="E5823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40093"/>
    <w:multiLevelType w:val="hybridMultilevel"/>
    <w:tmpl w:val="7F6CB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DE794C"/>
    <w:multiLevelType w:val="hybridMultilevel"/>
    <w:tmpl w:val="532AD734"/>
    <w:lvl w:ilvl="0" w:tplc="92880B3E">
      <w:start w:val="1"/>
      <w:numFmt w:val="bullet"/>
      <w:lvlText w:val=""/>
      <w:lvlJc w:val="left"/>
      <w:pPr>
        <w:ind w:left="720" w:hanging="360"/>
      </w:pPr>
      <w:rPr>
        <w:rFonts w:ascii="Symbol" w:hAnsi="Symbol" w:hint="default"/>
      </w:rPr>
    </w:lvl>
    <w:lvl w:ilvl="1" w:tplc="BF84D856">
      <w:start w:val="1"/>
      <w:numFmt w:val="bullet"/>
      <w:lvlText w:val="o"/>
      <w:lvlJc w:val="left"/>
      <w:pPr>
        <w:ind w:left="1440" w:hanging="360"/>
      </w:pPr>
      <w:rPr>
        <w:rFonts w:ascii="Courier New" w:hAnsi="Courier New" w:cs="Times New Roman" w:hint="default"/>
      </w:rPr>
    </w:lvl>
    <w:lvl w:ilvl="2" w:tplc="FA0AFBA8">
      <w:start w:val="1"/>
      <w:numFmt w:val="bullet"/>
      <w:lvlText w:val=""/>
      <w:lvlJc w:val="left"/>
      <w:pPr>
        <w:ind w:left="2160" w:hanging="360"/>
      </w:pPr>
      <w:rPr>
        <w:rFonts w:ascii="Symbol" w:hAnsi="Symbol" w:hint="default"/>
      </w:rPr>
    </w:lvl>
    <w:lvl w:ilvl="3" w:tplc="F72617AE">
      <w:start w:val="1"/>
      <w:numFmt w:val="bullet"/>
      <w:lvlText w:val=""/>
      <w:lvlJc w:val="left"/>
      <w:pPr>
        <w:ind w:left="2880" w:hanging="360"/>
      </w:pPr>
      <w:rPr>
        <w:rFonts w:ascii="Symbol" w:hAnsi="Symbol" w:hint="default"/>
      </w:rPr>
    </w:lvl>
    <w:lvl w:ilvl="4" w:tplc="E6CEFC54">
      <w:start w:val="1"/>
      <w:numFmt w:val="bullet"/>
      <w:lvlText w:val="o"/>
      <w:lvlJc w:val="left"/>
      <w:pPr>
        <w:ind w:left="3600" w:hanging="360"/>
      </w:pPr>
      <w:rPr>
        <w:rFonts w:ascii="Courier New" w:hAnsi="Courier New" w:cs="Times New Roman" w:hint="default"/>
      </w:rPr>
    </w:lvl>
    <w:lvl w:ilvl="5" w:tplc="D7A20E4E">
      <w:start w:val="1"/>
      <w:numFmt w:val="bullet"/>
      <w:lvlText w:val=""/>
      <w:lvlJc w:val="left"/>
      <w:pPr>
        <w:ind w:left="4320" w:hanging="360"/>
      </w:pPr>
      <w:rPr>
        <w:rFonts w:ascii="Wingdings" w:hAnsi="Wingdings" w:hint="default"/>
      </w:rPr>
    </w:lvl>
    <w:lvl w:ilvl="6" w:tplc="0D3CF70A">
      <w:start w:val="1"/>
      <w:numFmt w:val="bullet"/>
      <w:lvlText w:val=""/>
      <w:lvlJc w:val="left"/>
      <w:pPr>
        <w:ind w:left="5040" w:hanging="360"/>
      </w:pPr>
      <w:rPr>
        <w:rFonts w:ascii="Symbol" w:hAnsi="Symbol" w:hint="default"/>
      </w:rPr>
    </w:lvl>
    <w:lvl w:ilvl="7" w:tplc="BD0ADF90">
      <w:start w:val="1"/>
      <w:numFmt w:val="bullet"/>
      <w:lvlText w:val="o"/>
      <w:lvlJc w:val="left"/>
      <w:pPr>
        <w:ind w:left="5760" w:hanging="360"/>
      </w:pPr>
      <w:rPr>
        <w:rFonts w:ascii="Courier New" w:hAnsi="Courier New" w:cs="Times New Roman" w:hint="default"/>
      </w:rPr>
    </w:lvl>
    <w:lvl w:ilvl="8" w:tplc="271494C2">
      <w:start w:val="1"/>
      <w:numFmt w:val="bullet"/>
      <w:lvlText w:val=""/>
      <w:lvlJc w:val="left"/>
      <w:pPr>
        <w:ind w:left="6480" w:hanging="360"/>
      </w:pPr>
      <w:rPr>
        <w:rFonts w:ascii="Wingdings" w:hAnsi="Wingdings" w:hint="default"/>
      </w:rPr>
    </w:lvl>
  </w:abstractNum>
  <w:abstractNum w:abstractNumId="34"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A345F04"/>
    <w:multiLevelType w:val="hybridMultilevel"/>
    <w:tmpl w:val="BDFE296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36084C"/>
    <w:multiLevelType w:val="hybridMultilevel"/>
    <w:tmpl w:val="0C86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AB07AC"/>
    <w:multiLevelType w:val="hybridMultilevel"/>
    <w:tmpl w:val="54E67E7E"/>
    <w:lvl w:ilvl="0" w:tplc="A37C5AE8">
      <w:start w:val="1"/>
      <w:numFmt w:val="bullet"/>
      <w:pStyle w:val="Bullet-green"/>
      <w:lvlText w:val=""/>
      <w:lvlJc w:val="left"/>
      <w:pPr>
        <w:ind w:left="862" w:hanging="431"/>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8" w15:restartNumberingAfterBreak="0">
    <w:nsid w:val="4D0E554A"/>
    <w:multiLevelType w:val="multilevel"/>
    <w:tmpl w:val="6620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941858"/>
    <w:multiLevelType w:val="hybridMultilevel"/>
    <w:tmpl w:val="3496E07C"/>
    <w:lvl w:ilvl="0" w:tplc="85544EC4">
      <w:start w:val="1"/>
      <w:numFmt w:val="bullet"/>
      <w:lvlText w:val="Δ"/>
      <w:lvlJc w:val="left"/>
      <w:pPr>
        <w:ind w:left="720" w:hanging="360"/>
      </w:pPr>
      <w:rPr>
        <w:rFonts w:ascii="Calibri" w:hAnsi="Calibri" w:cs="Times New Roman" w:hint="default"/>
      </w:rPr>
    </w:lvl>
    <w:lvl w:ilvl="1" w:tplc="2C04122E">
      <w:start w:val="1"/>
      <w:numFmt w:val="bullet"/>
      <w:lvlText w:val="o"/>
      <w:lvlJc w:val="left"/>
      <w:pPr>
        <w:ind w:left="1440" w:hanging="360"/>
      </w:pPr>
      <w:rPr>
        <w:rFonts w:ascii="Courier New" w:hAnsi="Courier New" w:cs="Times New Roman" w:hint="default"/>
      </w:rPr>
    </w:lvl>
    <w:lvl w:ilvl="2" w:tplc="B672B3D0">
      <w:start w:val="1"/>
      <w:numFmt w:val="bullet"/>
      <w:lvlText w:val=""/>
      <w:lvlJc w:val="left"/>
      <w:pPr>
        <w:ind w:left="2160" w:hanging="360"/>
      </w:pPr>
      <w:rPr>
        <w:rFonts w:ascii="Wingdings" w:hAnsi="Wingdings" w:hint="default"/>
      </w:rPr>
    </w:lvl>
    <w:lvl w:ilvl="3" w:tplc="A1D05A4E">
      <w:start w:val="1"/>
      <w:numFmt w:val="bullet"/>
      <w:lvlText w:val=""/>
      <w:lvlJc w:val="left"/>
      <w:pPr>
        <w:ind w:left="2880" w:hanging="360"/>
      </w:pPr>
      <w:rPr>
        <w:rFonts w:ascii="Symbol" w:hAnsi="Symbol" w:hint="default"/>
      </w:rPr>
    </w:lvl>
    <w:lvl w:ilvl="4" w:tplc="FC387468">
      <w:start w:val="1"/>
      <w:numFmt w:val="bullet"/>
      <w:lvlText w:val="o"/>
      <w:lvlJc w:val="left"/>
      <w:pPr>
        <w:ind w:left="3600" w:hanging="360"/>
      </w:pPr>
      <w:rPr>
        <w:rFonts w:ascii="Courier New" w:hAnsi="Courier New" w:cs="Times New Roman" w:hint="default"/>
      </w:rPr>
    </w:lvl>
    <w:lvl w:ilvl="5" w:tplc="554A5DE8">
      <w:start w:val="1"/>
      <w:numFmt w:val="bullet"/>
      <w:lvlText w:val=""/>
      <w:lvlJc w:val="left"/>
      <w:pPr>
        <w:ind w:left="4320" w:hanging="360"/>
      </w:pPr>
      <w:rPr>
        <w:rFonts w:ascii="Wingdings" w:hAnsi="Wingdings" w:hint="default"/>
      </w:rPr>
    </w:lvl>
    <w:lvl w:ilvl="6" w:tplc="F29AA100">
      <w:start w:val="1"/>
      <w:numFmt w:val="bullet"/>
      <w:lvlText w:val=""/>
      <w:lvlJc w:val="left"/>
      <w:pPr>
        <w:ind w:left="5040" w:hanging="360"/>
      </w:pPr>
      <w:rPr>
        <w:rFonts w:ascii="Symbol" w:hAnsi="Symbol" w:hint="default"/>
      </w:rPr>
    </w:lvl>
    <w:lvl w:ilvl="7" w:tplc="25E292A2">
      <w:start w:val="1"/>
      <w:numFmt w:val="bullet"/>
      <w:lvlText w:val="o"/>
      <w:lvlJc w:val="left"/>
      <w:pPr>
        <w:ind w:left="5760" w:hanging="360"/>
      </w:pPr>
      <w:rPr>
        <w:rFonts w:ascii="Courier New" w:hAnsi="Courier New" w:cs="Times New Roman" w:hint="default"/>
      </w:rPr>
    </w:lvl>
    <w:lvl w:ilvl="8" w:tplc="D2B4F03A">
      <w:start w:val="1"/>
      <w:numFmt w:val="bullet"/>
      <w:lvlText w:val=""/>
      <w:lvlJc w:val="left"/>
      <w:pPr>
        <w:ind w:left="6480" w:hanging="360"/>
      </w:pPr>
      <w:rPr>
        <w:rFonts w:ascii="Wingdings" w:hAnsi="Wingdings" w:hint="default"/>
      </w:rPr>
    </w:lvl>
  </w:abstractNum>
  <w:abstractNum w:abstractNumId="40" w15:restartNumberingAfterBreak="0">
    <w:nsid w:val="55E151B9"/>
    <w:multiLevelType w:val="hybridMultilevel"/>
    <w:tmpl w:val="F83A7EB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AA05D2"/>
    <w:multiLevelType w:val="hybridMultilevel"/>
    <w:tmpl w:val="03A2A4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062F3A"/>
    <w:multiLevelType w:val="hybridMultilevel"/>
    <w:tmpl w:val="A08A7390"/>
    <w:lvl w:ilvl="0" w:tplc="F188B5AC">
      <w:start w:val="1"/>
      <w:numFmt w:val="bullet"/>
      <w:lvlText w:val=""/>
      <w:lvlJc w:val="left"/>
      <w:pPr>
        <w:ind w:left="862" w:hanging="431"/>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4" w15:restartNumberingAfterBreak="0">
    <w:nsid w:val="5BD94C36"/>
    <w:multiLevelType w:val="hybridMultilevel"/>
    <w:tmpl w:val="F2BCB93E"/>
    <w:lvl w:ilvl="0" w:tplc="23ACF28C">
      <w:start w:val="1"/>
      <w:numFmt w:val="bullet"/>
      <w:lvlText w:val=""/>
      <w:lvlJc w:val="left"/>
      <w:pPr>
        <w:ind w:left="720" w:hanging="360"/>
      </w:pPr>
      <w:rPr>
        <w:rFonts w:ascii="Symbol" w:hAnsi="Symbol" w:hint="default"/>
      </w:rPr>
    </w:lvl>
    <w:lvl w:ilvl="1" w:tplc="93E438CA">
      <w:start w:val="1"/>
      <w:numFmt w:val="bullet"/>
      <w:lvlText w:val="o"/>
      <w:lvlJc w:val="left"/>
      <w:pPr>
        <w:ind w:left="1440" w:hanging="360"/>
      </w:pPr>
      <w:rPr>
        <w:rFonts w:ascii="Courier New" w:hAnsi="Courier New" w:hint="default"/>
      </w:rPr>
    </w:lvl>
    <w:lvl w:ilvl="2" w:tplc="17FA224A">
      <w:start w:val="1"/>
      <w:numFmt w:val="bullet"/>
      <w:lvlText w:val=""/>
      <w:lvlJc w:val="left"/>
      <w:pPr>
        <w:ind w:left="2160" w:hanging="360"/>
      </w:pPr>
      <w:rPr>
        <w:rFonts w:ascii="Wingdings" w:hAnsi="Wingdings" w:hint="default"/>
      </w:rPr>
    </w:lvl>
    <w:lvl w:ilvl="3" w:tplc="E7B49AD0">
      <w:start w:val="1"/>
      <w:numFmt w:val="bullet"/>
      <w:lvlText w:val=""/>
      <w:lvlJc w:val="left"/>
      <w:pPr>
        <w:ind w:left="2880" w:hanging="360"/>
      </w:pPr>
      <w:rPr>
        <w:rFonts w:ascii="Symbol" w:hAnsi="Symbol" w:hint="default"/>
      </w:rPr>
    </w:lvl>
    <w:lvl w:ilvl="4" w:tplc="9D008B12">
      <w:start w:val="1"/>
      <w:numFmt w:val="bullet"/>
      <w:lvlText w:val="o"/>
      <w:lvlJc w:val="left"/>
      <w:pPr>
        <w:ind w:left="3600" w:hanging="360"/>
      </w:pPr>
      <w:rPr>
        <w:rFonts w:ascii="Courier New" w:hAnsi="Courier New" w:hint="default"/>
      </w:rPr>
    </w:lvl>
    <w:lvl w:ilvl="5" w:tplc="B344B74E">
      <w:start w:val="1"/>
      <w:numFmt w:val="bullet"/>
      <w:lvlText w:val=""/>
      <w:lvlJc w:val="left"/>
      <w:pPr>
        <w:ind w:left="4320" w:hanging="360"/>
      </w:pPr>
      <w:rPr>
        <w:rFonts w:ascii="Wingdings" w:hAnsi="Wingdings" w:hint="default"/>
      </w:rPr>
    </w:lvl>
    <w:lvl w:ilvl="6" w:tplc="B3E2658E">
      <w:start w:val="1"/>
      <w:numFmt w:val="bullet"/>
      <w:lvlText w:val=""/>
      <w:lvlJc w:val="left"/>
      <w:pPr>
        <w:ind w:left="5040" w:hanging="360"/>
      </w:pPr>
      <w:rPr>
        <w:rFonts w:ascii="Symbol" w:hAnsi="Symbol" w:hint="default"/>
      </w:rPr>
    </w:lvl>
    <w:lvl w:ilvl="7" w:tplc="7C4CDAFC">
      <w:start w:val="1"/>
      <w:numFmt w:val="bullet"/>
      <w:lvlText w:val="o"/>
      <w:lvlJc w:val="left"/>
      <w:pPr>
        <w:ind w:left="5760" w:hanging="360"/>
      </w:pPr>
      <w:rPr>
        <w:rFonts w:ascii="Courier New" w:hAnsi="Courier New" w:hint="default"/>
      </w:rPr>
    </w:lvl>
    <w:lvl w:ilvl="8" w:tplc="A874F604">
      <w:start w:val="1"/>
      <w:numFmt w:val="bullet"/>
      <w:lvlText w:val=""/>
      <w:lvlJc w:val="left"/>
      <w:pPr>
        <w:ind w:left="6480" w:hanging="360"/>
      </w:pPr>
      <w:rPr>
        <w:rFonts w:ascii="Wingdings" w:hAnsi="Wingdings" w:hint="default"/>
      </w:rPr>
    </w:lvl>
  </w:abstractNum>
  <w:abstractNum w:abstractNumId="45" w15:restartNumberingAfterBreak="0">
    <w:nsid w:val="5FFA3FB6"/>
    <w:multiLevelType w:val="hybridMultilevel"/>
    <w:tmpl w:val="F29012F8"/>
    <w:lvl w:ilvl="0" w:tplc="23EC652A">
      <w:start w:val="1"/>
      <w:numFmt w:val="bullet"/>
      <w:lvlText w:val=""/>
      <w:lvlJc w:val="left"/>
      <w:pPr>
        <w:ind w:left="720" w:hanging="360"/>
      </w:pPr>
      <w:rPr>
        <w:rFonts w:ascii="Symbol" w:hAnsi="Symbol" w:hint="default"/>
      </w:rPr>
    </w:lvl>
    <w:lvl w:ilvl="1" w:tplc="76B80E30">
      <w:start w:val="1"/>
      <w:numFmt w:val="bullet"/>
      <w:lvlText w:val="o"/>
      <w:lvlJc w:val="left"/>
      <w:pPr>
        <w:ind w:left="1440" w:hanging="360"/>
      </w:pPr>
      <w:rPr>
        <w:rFonts w:ascii="Courier New" w:hAnsi="Courier New" w:hint="default"/>
      </w:rPr>
    </w:lvl>
    <w:lvl w:ilvl="2" w:tplc="BD5017A0">
      <w:start w:val="1"/>
      <w:numFmt w:val="bullet"/>
      <w:lvlText w:val=""/>
      <w:lvlJc w:val="left"/>
      <w:pPr>
        <w:ind w:left="2160" w:hanging="360"/>
      </w:pPr>
      <w:rPr>
        <w:rFonts w:ascii="Wingdings" w:hAnsi="Wingdings" w:hint="default"/>
      </w:rPr>
    </w:lvl>
    <w:lvl w:ilvl="3" w:tplc="C2E09C6E">
      <w:start w:val="1"/>
      <w:numFmt w:val="bullet"/>
      <w:lvlText w:val=""/>
      <w:lvlJc w:val="left"/>
      <w:pPr>
        <w:ind w:left="2880" w:hanging="360"/>
      </w:pPr>
      <w:rPr>
        <w:rFonts w:ascii="Symbol" w:hAnsi="Symbol" w:hint="default"/>
      </w:rPr>
    </w:lvl>
    <w:lvl w:ilvl="4" w:tplc="9B98B148">
      <w:start w:val="1"/>
      <w:numFmt w:val="bullet"/>
      <w:lvlText w:val="o"/>
      <w:lvlJc w:val="left"/>
      <w:pPr>
        <w:ind w:left="3600" w:hanging="360"/>
      </w:pPr>
      <w:rPr>
        <w:rFonts w:ascii="Courier New" w:hAnsi="Courier New" w:hint="default"/>
      </w:rPr>
    </w:lvl>
    <w:lvl w:ilvl="5" w:tplc="CC06B2EC">
      <w:start w:val="1"/>
      <w:numFmt w:val="bullet"/>
      <w:lvlText w:val=""/>
      <w:lvlJc w:val="left"/>
      <w:pPr>
        <w:ind w:left="4320" w:hanging="360"/>
      </w:pPr>
      <w:rPr>
        <w:rFonts w:ascii="Wingdings" w:hAnsi="Wingdings" w:hint="default"/>
      </w:rPr>
    </w:lvl>
    <w:lvl w:ilvl="6" w:tplc="7F58DCAA">
      <w:start w:val="1"/>
      <w:numFmt w:val="bullet"/>
      <w:lvlText w:val=""/>
      <w:lvlJc w:val="left"/>
      <w:pPr>
        <w:ind w:left="5040" w:hanging="360"/>
      </w:pPr>
      <w:rPr>
        <w:rFonts w:ascii="Symbol" w:hAnsi="Symbol" w:hint="default"/>
      </w:rPr>
    </w:lvl>
    <w:lvl w:ilvl="7" w:tplc="E976DDC2">
      <w:start w:val="1"/>
      <w:numFmt w:val="bullet"/>
      <w:lvlText w:val="o"/>
      <w:lvlJc w:val="left"/>
      <w:pPr>
        <w:ind w:left="5760" w:hanging="360"/>
      </w:pPr>
      <w:rPr>
        <w:rFonts w:ascii="Courier New" w:hAnsi="Courier New" w:hint="default"/>
      </w:rPr>
    </w:lvl>
    <w:lvl w:ilvl="8" w:tplc="D7E64D7C">
      <w:start w:val="1"/>
      <w:numFmt w:val="bullet"/>
      <w:lvlText w:val=""/>
      <w:lvlJc w:val="left"/>
      <w:pPr>
        <w:ind w:left="6480" w:hanging="360"/>
      </w:pPr>
      <w:rPr>
        <w:rFonts w:ascii="Wingdings" w:hAnsi="Wingdings" w:hint="default"/>
      </w:rPr>
    </w:lvl>
  </w:abstractNum>
  <w:abstractNum w:abstractNumId="46" w15:restartNumberingAfterBreak="0">
    <w:nsid w:val="60810483"/>
    <w:multiLevelType w:val="hybridMultilevel"/>
    <w:tmpl w:val="79DE9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6D1C49"/>
    <w:multiLevelType w:val="hybridMultilevel"/>
    <w:tmpl w:val="FFFFFFFF"/>
    <w:lvl w:ilvl="0" w:tplc="B37E64F0">
      <w:start w:val="1"/>
      <w:numFmt w:val="bullet"/>
      <w:lvlText w:val="Δ"/>
      <w:lvlJc w:val="left"/>
      <w:pPr>
        <w:ind w:left="720" w:hanging="360"/>
      </w:pPr>
      <w:rPr>
        <w:rFonts w:ascii="Calibri" w:hAnsi="Calibri" w:cs="Times New Roman" w:hint="default"/>
      </w:rPr>
    </w:lvl>
    <w:lvl w:ilvl="1" w:tplc="D21E6DBE">
      <w:start w:val="1"/>
      <w:numFmt w:val="bullet"/>
      <w:lvlText w:val="–"/>
      <w:lvlJc w:val="left"/>
      <w:pPr>
        <w:ind w:left="1440" w:hanging="360"/>
      </w:pPr>
      <w:rPr>
        <w:rFonts w:ascii="Arial" w:hAnsi="Arial" w:cs="Times New Roman" w:hint="default"/>
      </w:rPr>
    </w:lvl>
    <w:lvl w:ilvl="2" w:tplc="FFFFFFFF">
      <w:start w:val="1"/>
      <w:numFmt w:val="bullet"/>
      <w:lvlText w:val="□"/>
      <w:lvlJc w:val="left"/>
      <w:pPr>
        <w:ind w:left="2160" w:hanging="360"/>
      </w:pPr>
      <w:rPr>
        <w:rFonts w:ascii="Times New Roman" w:hAnsi="Times New Roman" w:cs="Times New Roman" w:hint="default"/>
      </w:rPr>
    </w:lvl>
    <w:lvl w:ilvl="3" w:tplc="1DBE7A5A">
      <w:start w:val="1"/>
      <w:numFmt w:val="bullet"/>
      <w:lvlText w:val=""/>
      <w:lvlJc w:val="left"/>
      <w:pPr>
        <w:ind w:left="2880" w:hanging="360"/>
      </w:pPr>
      <w:rPr>
        <w:rFonts w:ascii="Symbol" w:hAnsi="Symbol" w:hint="default"/>
      </w:rPr>
    </w:lvl>
    <w:lvl w:ilvl="4" w:tplc="45EE18B6">
      <w:start w:val="1"/>
      <w:numFmt w:val="bullet"/>
      <w:lvlText w:val="o"/>
      <w:lvlJc w:val="left"/>
      <w:pPr>
        <w:ind w:left="3600" w:hanging="360"/>
      </w:pPr>
      <w:rPr>
        <w:rFonts w:ascii="Courier New" w:hAnsi="Courier New" w:cs="Times New Roman" w:hint="default"/>
      </w:rPr>
    </w:lvl>
    <w:lvl w:ilvl="5" w:tplc="76225612">
      <w:start w:val="1"/>
      <w:numFmt w:val="bullet"/>
      <w:lvlText w:val=""/>
      <w:lvlJc w:val="left"/>
      <w:pPr>
        <w:ind w:left="4320" w:hanging="360"/>
      </w:pPr>
      <w:rPr>
        <w:rFonts w:ascii="Wingdings" w:hAnsi="Wingdings" w:hint="default"/>
      </w:rPr>
    </w:lvl>
    <w:lvl w:ilvl="6" w:tplc="6FD6D1A0">
      <w:start w:val="1"/>
      <w:numFmt w:val="bullet"/>
      <w:lvlText w:val=""/>
      <w:lvlJc w:val="left"/>
      <w:pPr>
        <w:ind w:left="5040" w:hanging="360"/>
      </w:pPr>
      <w:rPr>
        <w:rFonts w:ascii="Symbol" w:hAnsi="Symbol" w:hint="default"/>
      </w:rPr>
    </w:lvl>
    <w:lvl w:ilvl="7" w:tplc="A5CE3E6C">
      <w:start w:val="1"/>
      <w:numFmt w:val="bullet"/>
      <w:lvlText w:val="o"/>
      <w:lvlJc w:val="left"/>
      <w:pPr>
        <w:ind w:left="5760" w:hanging="360"/>
      </w:pPr>
      <w:rPr>
        <w:rFonts w:ascii="Courier New" w:hAnsi="Courier New" w:cs="Times New Roman" w:hint="default"/>
      </w:rPr>
    </w:lvl>
    <w:lvl w:ilvl="8" w:tplc="1116D108">
      <w:start w:val="1"/>
      <w:numFmt w:val="bullet"/>
      <w:lvlText w:val=""/>
      <w:lvlJc w:val="left"/>
      <w:pPr>
        <w:ind w:left="6480" w:hanging="360"/>
      </w:pPr>
      <w:rPr>
        <w:rFonts w:ascii="Wingdings" w:hAnsi="Wingdings" w:hint="default"/>
      </w:rPr>
    </w:lvl>
  </w:abstractNum>
  <w:abstractNum w:abstractNumId="48" w15:restartNumberingAfterBreak="0">
    <w:nsid w:val="64FE3524"/>
    <w:multiLevelType w:val="hybridMultilevel"/>
    <w:tmpl w:val="C71E5852"/>
    <w:lvl w:ilvl="0" w:tplc="C1045D00">
      <w:start w:val="1"/>
      <w:numFmt w:val="bullet"/>
      <w:lvlText w:val=""/>
      <w:lvlJc w:val="left"/>
      <w:pPr>
        <w:ind w:left="720" w:hanging="360"/>
      </w:pPr>
      <w:rPr>
        <w:rFonts w:ascii="Symbol" w:hAnsi="Symbol" w:hint="default"/>
      </w:rPr>
    </w:lvl>
    <w:lvl w:ilvl="1" w:tplc="39F4AEA0">
      <w:start w:val="1"/>
      <w:numFmt w:val="bullet"/>
      <w:lvlText w:val="o"/>
      <w:lvlJc w:val="left"/>
      <w:pPr>
        <w:ind w:left="1440" w:hanging="360"/>
      </w:pPr>
      <w:rPr>
        <w:rFonts w:ascii="Courier New" w:hAnsi="Courier New" w:cs="Times New Roman" w:hint="default"/>
      </w:rPr>
    </w:lvl>
    <w:lvl w:ilvl="2" w:tplc="C99AB636">
      <w:start w:val="1"/>
      <w:numFmt w:val="bullet"/>
      <w:lvlText w:val=""/>
      <w:lvlJc w:val="left"/>
      <w:pPr>
        <w:ind w:left="2160" w:hanging="360"/>
      </w:pPr>
      <w:rPr>
        <w:rFonts w:ascii="Wingdings" w:hAnsi="Wingdings" w:hint="default"/>
      </w:rPr>
    </w:lvl>
    <w:lvl w:ilvl="3" w:tplc="C2885F82">
      <w:start w:val="1"/>
      <w:numFmt w:val="bullet"/>
      <w:lvlText w:val=""/>
      <w:lvlJc w:val="left"/>
      <w:pPr>
        <w:ind w:left="2880" w:hanging="360"/>
      </w:pPr>
      <w:rPr>
        <w:rFonts w:ascii="Symbol" w:hAnsi="Symbol" w:hint="default"/>
      </w:rPr>
    </w:lvl>
    <w:lvl w:ilvl="4" w:tplc="756634D8">
      <w:start w:val="1"/>
      <w:numFmt w:val="bullet"/>
      <w:lvlText w:val="o"/>
      <w:lvlJc w:val="left"/>
      <w:pPr>
        <w:ind w:left="3600" w:hanging="360"/>
      </w:pPr>
      <w:rPr>
        <w:rFonts w:ascii="Courier New" w:hAnsi="Courier New" w:cs="Times New Roman" w:hint="default"/>
      </w:rPr>
    </w:lvl>
    <w:lvl w:ilvl="5" w:tplc="A790C75C">
      <w:start w:val="1"/>
      <w:numFmt w:val="bullet"/>
      <w:lvlText w:val=""/>
      <w:lvlJc w:val="left"/>
      <w:pPr>
        <w:ind w:left="4320" w:hanging="360"/>
      </w:pPr>
      <w:rPr>
        <w:rFonts w:ascii="Wingdings" w:hAnsi="Wingdings" w:hint="default"/>
      </w:rPr>
    </w:lvl>
    <w:lvl w:ilvl="6" w:tplc="C9AEA77E">
      <w:start w:val="1"/>
      <w:numFmt w:val="bullet"/>
      <w:lvlText w:val=""/>
      <w:lvlJc w:val="left"/>
      <w:pPr>
        <w:ind w:left="5040" w:hanging="360"/>
      </w:pPr>
      <w:rPr>
        <w:rFonts w:ascii="Symbol" w:hAnsi="Symbol" w:hint="default"/>
      </w:rPr>
    </w:lvl>
    <w:lvl w:ilvl="7" w:tplc="00C83718">
      <w:start w:val="1"/>
      <w:numFmt w:val="bullet"/>
      <w:lvlText w:val="o"/>
      <w:lvlJc w:val="left"/>
      <w:pPr>
        <w:ind w:left="5760" w:hanging="360"/>
      </w:pPr>
      <w:rPr>
        <w:rFonts w:ascii="Courier New" w:hAnsi="Courier New" w:cs="Times New Roman" w:hint="default"/>
      </w:rPr>
    </w:lvl>
    <w:lvl w:ilvl="8" w:tplc="0DFA7E4A">
      <w:start w:val="1"/>
      <w:numFmt w:val="bullet"/>
      <w:lvlText w:val=""/>
      <w:lvlJc w:val="left"/>
      <w:pPr>
        <w:ind w:left="6480" w:hanging="360"/>
      </w:pPr>
      <w:rPr>
        <w:rFonts w:ascii="Wingdings" w:hAnsi="Wingdings" w:hint="default"/>
      </w:rPr>
    </w:lvl>
  </w:abstractNum>
  <w:abstractNum w:abstractNumId="49" w15:restartNumberingAfterBreak="0">
    <w:nsid w:val="69702E14"/>
    <w:multiLevelType w:val="hybridMultilevel"/>
    <w:tmpl w:val="D5BC1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3F570B"/>
    <w:multiLevelType w:val="hybridMultilevel"/>
    <w:tmpl w:val="0B843812"/>
    <w:lvl w:ilvl="0" w:tplc="5150F82E">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1" w15:restartNumberingAfterBreak="0">
    <w:nsid w:val="6F875455"/>
    <w:multiLevelType w:val="multilevel"/>
    <w:tmpl w:val="268E783E"/>
    <w:lvl w:ilvl="0">
      <w:start w:val="5"/>
      <w:numFmt w:val="decimal"/>
      <w:lvlText w:val="%1"/>
      <w:lvlJc w:val="left"/>
      <w:pPr>
        <w:ind w:left="458" w:hanging="458"/>
      </w:pPr>
      <w:rPr>
        <w:rFonts w:hint="default"/>
      </w:rPr>
    </w:lvl>
    <w:lvl w:ilvl="1">
      <w:start w:val="3"/>
      <w:numFmt w:val="decimal"/>
      <w:lvlText w:val="%1.%2"/>
      <w:lvlJc w:val="left"/>
      <w:pPr>
        <w:ind w:left="818" w:hanging="458"/>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1867C42"/>
    <w:multiLevelType w:val="hybridMultilevel"/>
    <w:tmpl w:val="9ED02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20214C8"/>
    <w:multiLevelType w:val="hybridMultilevel"/>
    <w:tmpl w:val="C08AEF6C"/>
    <w:lvl w:ilvl="0" w:tplc="0C090001">
      <w:start w:val="1"/>
      <w:numFmt w:val="bullet"/>
      <w:lvlText w:val=""/>
      <w:lvlJc w:val="left"/>
      <w:pPr>
        <w:ind w:left="1449" w:hanging="360"/>
      </w:pPr>
      <w:rPr>
        <w:rFonts w:ascii="Symbol" w:hAnsi="Symbol" w:hint="default"/>
      </w:rPr>
    </w:lvl>
    <w:lvl w:ilvl="1" w:tplc="0C090003" w:tentative="1">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55"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5F3FC9"/>
    <w:multiLevelType w:val="multilevel"/>
    <w:tmpl w:val="8F1A56F0"/>
    <w:lvl w:ilvl="0">
      <w:start w:val="5"/>
      <w:numFmt w:val="decimal"/>
      <w:lvlText w:val="%1"/>
      <w:lvlJc w:val="left"/>
      <w:pPr>
        <w:ind w:left="458" w:hanging="458"/>
      </w:pPr>
      <w:rPr>
        <w:rFonts w:hint="default"/>
      </w:rPr>
    </w:lvl>
    <w:lvl w:ilvl="1">
      <w:start w:val="3"/>
      <w:numFmt w:val="decimal"/>
      <w:lvlText w:val="%1.%2"/>
      <w:lvlJc w:val="left"/>
      <w:pPr>
        <w:ind w:left="818" w:hanging="458"/>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5A16E71"/>
    <w:multiLevelType w:val="hybridMultilevel"/>
    <w:tmpl w:val="45648D92"/>
    <w:lvl w:ilvl="0" w:tplc="C592E3A4">
      <w:start w:val="1"/>
      <w:numFmt w:val="bullet"/>
      <w:lvlText w:val=""/>
      <w:lvlJc w:val="left"/>
      <w:pPr>
        <w:ind w:left="720" w:hanging="360"/>
      </w:pPr>
      <w:rPr>
        <w:rFonts w:ascii="Symbol" w:hAnsi="Symbol" w:hint="default"/>
      </w:rPr>
    </w:lvl>
    <w:lvl w:ilvl="1" w:tplc="8A9C06FA">
      <w:start w:val="1"/>
      <w:numFmt w:val="bullet"/>
      <w:lvlText w:val="o"/>
      <w:lvlJc w:val="left"/>
      <w:pPr>
        <w:ind w:left="1440" w:hanging="360"/>
      </w:pPr>
      <w:rPr>
        <w:rFonts w:ascii="Courier New" w:hAnsi="Courier New" w:cs="Times New Roman" w:hint="default"/>
      </w:rPr>
    </w:lvl>
    <w:lvl w:ilvl="2" w:tplc="0BA29344">
      <w:start w:val="1"/>
      <w:numFmt w:val="bullet"/>
      <w:lvlText w:val=""/>
      <w:lvlJc w:val="left"/>
      <w:pPr>
        <w:ind w:left="2160" w:hanging="360"/>
      </w:pPr>
      <w:rPr>
        <w:rFonts w:ascii="Wingdings" w:hAnsi="Wingdings" w:hint="default"/>
      </w:rPr>
    </w:lvl>
    <w:lvl w:ilvl="3" w:tplc="24B0F9B0">
      <w:start w:val="1"/>
      <w:numFmt w:val="bullet"/>
      <w:lvlText w:val=""/>
      <w:lvlJc w:val="left"/>
      <w:pPr>
        <w:ind w:left="2880" w:hanging="360"/>
      </w:pPr>
      <w:rPr>
        <w:rFonts w:ascii="Symbol" w:hAnsi="Symbol" w:hint="default"/>
      </w:rPr>
    </w:lvl>
    <w:lvl w:ilvl="4" w:tplc="769A81DE">
      <w:start w:val="1"/>
      <w:numFmt w:val="bullet"/>
      <w:lvlText w:val="o"/>
      <w:lvlJc w:val="left"/>
      <w:pPr>
        <w:ind w:left="3600" w:hanging="360"/>
      </w:pPr>
      <w:rPr>
        <w:rFonts w:ascii="Courier New" w:hAnsi="Courier New" w:cs="Times New Roman" w:hint="default"/>
      </w:rPr>
    </w:lvl>
    <w:lvl w:ilvl="5" w:tplc="B4E897D8">
      <w:start w:val="1"/>
      <w:numFmt w:val="bullet"/>
      <w:lvlText w:val=""/>
      <w:lvlJc w:val="left"/>
      <w:pPr>
        <w:ind w:left="4320" w:hanging="360"/>
      </w:pPr>
      <w:rPr>
        <w:rFonts w:ascii="Wingdings" w:hAnsi="Wingdings" w:hint="default"/>
      </w:rPr>
    </w:lvl>
    <w:lvl w:ilvl="6" w:tplc="C9DCB08A">
      <w:start w:val="1"/>
      <w:numFmt w:val="bullet"/>
      <w:lvlText w:val=""/>
      <w:lvlJc w:val="left"/>
      <w:pPr>
        <w:ind w:left="5040" w:hanging="360"/>
      </w:pPr>
      <w:rPr>
        <w:rFonts w:ascii="Symbol" w:hAnsi="Symbol" w:hint="default"/>
      </w:rPr>
    </w:lvl>
    <w:lvl w:ilvl="7" w:tplc="146602BA">
      <w:start w:val="1"/>
      <w:numFmt w:val="bullet"/>
      <w:lvlText w:val="o"/>
      <w:lvlJc w:val="left"/>
      <w:pPr>
        <w:ind w:left="5760" w:hanging="360"/>
      </w:pPr>
      <w:rPr>
        <w:rFonts w:ascii="Courier New" w:hAnsi="Courier New" w:cs="Times New Roman" w:hint="default"/>
      </w:rPr>
    </w:lvl>
    <w:lvl w:ilvl="8" w:tplc="0602C172">
      <w:start w:val="1"/>
      <w:numFmt w:val="bullet"/>
      <w:lvlText w:val=""/>
      <w:lvlJc w:val="left"/>
      <w:pPr>
        <w:ind w:left="6480" w:hanging="360"/>
      </w:pPr>
      <w:rPr>
        <w:rFonts w:ascii="Wingdings" w:hAnsi="Wingdings" w:hint="default"/>
      </w:rPr>
    </w:lvl>
  </w:abstractNum>
  <w:abstractNum w:abstractNumId="58" w15:restartNumberingAfterBreak="0">
    <w:nsid w:val="76061AC7"/>
    <w:multiLevelType w:val="multilevel"/>
    <w:tmpl w:val="F3687130"/>
    <w:lvl w:ilvl="0">
      <w:start w:val="5"/>
      <w:numFmt w:val="decimal"/>
      <w:lvlText w:val="%1"/>
      <w:lvlJc w:val="left"/>
      <w:pPr>
        <w:ind w:left="458" w:hanging="458"/>
      </w:pPr>
      <w:rPr>
        <w:rFonts w:hint="default"/>
      </w:rPr>
    </w:lvl>
    <w:lvl w:ilvl="1">
      <w:start w:val="3"/>
      <w:numFmt w:val="decimal"/>
      <w:lvlText w:val="%1.%2"/>
      <w:lvlJc w:val="left"/>
      <w:pPr>
        <w:ind w:left="458" w:hanging="45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A457707"/>
    <w:multiLevelType w:val="hybridMultilevel"/>
    <w:tmpl w:val="3632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AE85AC3"/>
    <w:multiLevelType w:val="multilevel"/>
    <w:tmpl w:val="68F01A90"/>
    <w:lvl w:ilvl="0">
      <w:start w:val="5"/>
      <w:numFmt w:val="decimal"/>
      <w:lvlText w:val="%1"/>
      <w:lvlJc w:val="left"/>
      <w:pPr>
        <w:ind w:left="458" w:hanging="458"/>
      </w:pPr>
      <w:rPr>
        <w:rFonts w:hint="default"/>
      </w:rPr>
    </w:lvl>
    <w:lvl w:ilvl="1">
      <w:start w:val="3"/>
      <w:numFmt w:val="decimal"/>
      <w:lvlText w:val="%1.%2"/>
      <w:lvlJc w:val="left"/>
      <w:pPr>
        <w:ind w:left="458" w:hanging="458"/>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CBB5394"/>
    <w:multiLevelType w:val="hybridMultilevel"/>
    <w:tmpl w:val="339AEF00"/>
    <w:lvl w:ilvl="0" w:tplc="5150F82E">
      <w:start w:val="1"/>
      <w:numFmt w:val="bullet"/>
      <w:lvlText w:val=""/>
      <w:lvlJc w:val="left"/>
      <w:pPr>
        <w:ind w:left="720" w:hanging="360"/>
      </w:pPr>
      <w:rPr>
        <w:rFonts w:ascii="Symbol" w:hAnsi="Symbol" w:hint="default"/>
      </w:rPr>
    </w:lvl>
    <w:lvl w:ilvl="1" w:tplc="802C9F5A">
      <w:start w:val="1"/>
      <w:numFmt w:val="bullet"/>
      <w:lvlText w:val="o"/>
      <w:lvlJc w:val="left"/>
      <w:pPr>
        <w:ind w:left="1440" w:hanging="360"/>
      </w:pPr>
      <w:rPr>
        <w:rFonts w:ascii="Courier New" w:hAnsi="Courier New" w:cs="Times New Roman" w:hint="default"/>
      </w:rPr>
    </w:lvl>
    <w:lvl w:ilvl="2" w:tplc="B75014A2">
      <w:start w:val="1"/>
      <w:numFmt w:val="bullet"/>
      <w:lvlText w:val=""/>
      <w:lvlJc w:val="left"/>
      <w:pPr>
        <w:ind w:left="2160" w:hanging="360"/>
      </w:pPr>
      <w:rPr>
        <w:rFonts w:ascii="Wingdings" w:hAnsi="Wingdings" w:hint="default"/>
      </w:rPr>
    </w:lvl>
    <w:lvl w:ilvl="3" w:tplc="F968D592">
      <w:start w:val="1"/>
      <w:numFmt w:val="bullet"/>
      <w:lvlText w:val=""/>
      <w:lvlJc w:val="left"/>
      <w:pPr>
        <w:ind w:left="2880" w:hanging="360"/>
      </w:pPr>
      <w:rPr>
        <w:rFonts w:ascii="Symbol" w:hAnsi="Symbol" w:hint="default"/>
      </w:rPr>
    </w:lvl>
    <w:lvl w:ilvl="4" w:tplc="F2F2C0A8">
      <w:start w:val="1"/>
      <w:numFmt w:val="bullet"/>
      <w:lvlText w:val="o"/>
      <w:lvlJc w:val="left"/>
      <w:pPr>
        <w:ind w:left="3600" w:hanging="360"/>
      </w:pPr>
      <w:rPr>
        <w:rFonts w:ascii="Courier New" w:hAnsi="Courier New" w:cs="Times New Roman" w:hint="default"/>
      </w:rPr>
    </w:lvl>
    <w:lvl w:ilvl="5" w:tplc="9E8ABC1E">
      <w:start w:val="1"/>
      <w:numFmt w:val="bullet"/>
      <w:lvlText w:val=""/>
      <w:lvlJc w:val="left"/>
      <w:pPr>
        <w:ind w:left="4320" w:hanging="360"/>
      </w:pPr>
      <w:rPr>
        <w:rFonts w:ascii="Wingdings" w:hAnsi="Wingdings" w:hint="default"/>
      </w:rPr>
    </w:lvl>
    <w:lvl w:ilvl="6" w:tplc="5F4698FA">
      <w:start w:val="1"/>
      <w:numFmt w:val="bullet"/>
      <w:lvlText w:val=""/>
      <w:lvlJc w:val="left"/>
      <w:pPr>
        <w:ind w:left="5040" w:hanging="360"/>
      </w:pPr>
      <w:rPr>
        <w:rFonts w:ascii="Symbol" w:hAnsi="Symbol" w:hint="default"/>
      </w:rPr>
    </w:lvl>
    <w:lvl w:ilvl="7" w:tplc="5CCECF7E">
      <w:start w:val="1"/>
      <w:numFmt w:val="bullet"/>
      <w:lvlText w:val="o"/>
      <w:lvlJc w:val="left"/>
      <w:pPr>
        <w:ind w:left="5760" w:hanging="360"/>
      </w:pPr>
      <w:rPr>
        <w:rFonts w:ascii="Courier New" w:hAnsi="Courier New" w:cs="Times New Roman" w:hint="default"/>
      </w:rPr>
    </w:lvl>
    <w:lvl w:ilvl="8" w:tplc="93908EFC">
      <w:start w:val="1"/>
      <w:numFmt w:val="bullet"/>
      <w:lvlText w:val=""/>
      <w:lvlJc w:val="left"/>
      <w:pPr>
        <w:ind w:left="6480" w:hanging="360"/>
      </w:pPr>
      <w:rPr>
        <w:rFonts w:ascii="Wingdings" w:hAnsi="Wingdings" w:hint="default"/>
      </w:rPr>
    </w:lvl>
  </w:abstractNum>
  <w:abstractNum w:abstractNumId="62" w15:restartNumberingAfterBreak="0">
    <w:nsid w:val="7D0575B2"/>
    <w:multiLevelType w:val="multilevel"/>
    <w:tmpl w:val="4982908A"/>
    <w:lvl w:ilvl="0">
      <w:start w:val="1"/>
      <w:numFmt w:val="decimal"/>
      <w:lvlText w:val="%1."/>
      <w:lvlJc w:val="left"/>
      <w:pPr>
        <w:ind w:left="3125" w:hanging="432"/>
      </w:pPr>
      <w:rPr>
        <w:rFonts w:hint="default"/>
      </w:rPr>
    </w:lvl>
    <w:lvl w:ilvl="1">
      <w:start w:val="1"/>
      <w:numFmt w:val="decimal"/>
      <w:lvlText w:val="%1.%2"/>
      <w:lvlJc w:val="left"/>
      <w:pPr>
        <w:ind w:left="-417" w:hanging="576"/>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63" w15:restartNumberingAfterBreak="0">
    <w:nsid w:val="7FE14159"/>
    <w:multiLevelType w:val="hybridMultilevel"/>
    <w:tmpl w:val="78061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4"/>
  </w:num>
  <w:num w:numId="2">
    <w:abstractNumId w:val="45"/>
  </w:num>
  <w:num w:numId="3">
    <w:abstractNumId w:val="12"/>
  </w:num>
  <w:num w:numId="4">
    <w:abstractNumId w:val="34"/>
  </w:num>
  <w:num w:numId="5">
    <w:abstractNumId w:val="62"/>
  </w:num>
  <w:num w:numId="6">
    <w:abstractNumId w:val="52"/>
  </w:num>
  <w:num w:numId="7">
    <w:abstractNumId w:val="10"/>
  </w:num>
  <w:num w:numId="8">
    <w:abstractNumId w:val="20"/>
  </w:num>
  <w:num w:numId="9">
    <w:abstractNumId w:val="37"/>
  </w:num>
  <w:num w:numId="10">
    <w:abstractNumId w:val="8"/>
  </w:num>
  <w:num w:numId="11">
    <w:abstractNumId w:val="27"/>
  </w:num>
  <w:num w:numId="12">
    <w:abstractNumId w:val="28"/>
  </w:num>
  <w:num w:numId="13">
    <w:abstractNumId w:val="41"/>
  </w:num>
  <w:num w:numId="14">
    <w:abstractNumId w:val="9"/>
  </w:num>
  <w:num w:numId="15">
    <w:abstractNumId w:val="55"/>
  </w:num>
  <w:num w:numId="16">
    <w:abstractNumId w:val="11"/>
  </w:num>
  <w:num w:numId="17">
    <w:abstractNumId w:val="16"/>
  </w:num>
  <w:num w:numId="18">
    <w:abstractNumId w:val="36"/>
  </w:num>
  <w:num w:numId="19">
    <w:abstractNumId w:val="23"/>
  </w:num>
  <w:num w:numId="20">
    <w:abstractNumId w:val="31"/>
  </w:num>
  <w:num w:numId="21">
    <w:abstractNumId w:val="3"/>
  </w:num>
  <w:num w:numId="22">
    <w:abstractNumId w:val="5"/>
  </w:num>
  <w:num w:numId="23">
    <w:abstractNumId w:val="49"/>
  </w:num>
  <w:num w:numId="24">
    <w:abstractNumId w:val="22"/>
  </w:num>
  <w:num w:numId="25">
    <w:abstractNumId w:val="19"/>
  </w:num>
  <w:num w:numId="26">
    <w:abstractNumId w:val="14"/>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bullet"/>
        <w:lvlText w:val="-"/>
        <w:lvlJc w:val="left"/>
        <w:pPr>
          <w:tabs>
            <w:tab w:val="num" w:pos="1213"/>
          </w:tabs>
          <w:ind w:left="1211" w:hanging="284"/>
        </w:pPr>
        <w:rPr>
          <w:rFonts w:ascii="Times New Roman" w:hAnsi="Times New Roman" w:cs="Times New Roman" w:hint="default"/>
          <w:color w:val="4F81BD" w:themeColor="accent1"/>
          <w:sz w:val="24"/>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
    <w:abstractNumId w:val="50"/>
  </w:num>
  <w:num w:numId="41">
    <w:abstractNumId w:val="61"/>
  </w:num>
  <w:num w:numId="42">
    <w:abstractNumId w:val="21"/>
  </w:num>
  <w:num w:numId="43">
    <w:abstractNumId w:val="33"/>
  </w:num>
  <w:num w:numId="44">
    <w:abstractNumId w:val="7"/>
  </w:num>
  <w:num w:numId="45">
    <w:abstractNumId w:val="4"/>
  </w:num>
  <w:num w:numId="46">
    <w:abstractNumId w:val="39"/>
  </w:num>
  <w:num w:numId="47">
    <w:abstractNumId w:val="57"/>
  </w:num>
  <w:num w:numId="48">
    <w:abstractNumId w:val="30"/>
  </w:num>
  <w:num w:numId="49">
    <w:abstractNumId w:val="48"/>
  </w:num>
  <w:num w:numId="50">
    <w:abstractNumId w:val="18"/>
  </w:num>
  <w:num w:numId="51">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bullet"/>
        <w:lvlText w:val="-"/>
        <w:lvlJc w:val="left"/>
        <w:pPr>
          <w:tabs>
            <w:tab w:val="num" w:pos="1213"/>
          </w:tabs>
          <w:ind w:left="1211" w:hanging="284"/>
        </w:pPr>
        <w:rPr>
          <w:rFonts w:ascii="Times New Roman" w:hAnsi="Times New Roman" w:cs="Times New Roman" w:hint="default"/>
          <w:color w:val="4F81BD" w:themeColor="accent1"/>
          <w:sz w:val="24"/>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
    <w:abstractNumId w:val="50"/>
  </w:num>
  <w:num w:numId="55">
    <w:abstractNumId w:val="61"/>
  </w:num>
  <w:num w:numId="56">
    <w:abstractNumId w:val="21"/>
  </w:num>
  <w:num w:numId="57">
    <w:abstractNumId w:val="33"/>
  </w:num>
  <w:num w:numId="58">
    <w:abstractNumId w:val="7"/>
  </w:num>
  <w:num w:numId="59">
    <w:abstractNumId w:val="4"/>
  </w:num>
  <w:num w:numId="60">
    <w:abstractNumId w:val="39"/>
  </w:num>
  <w:num w:numId="61">
    <w:abstractNumId w:val="57"/>
  </w:num>
  <w:num w:numId="62">
    <w:abstractNumId w:val="30"/>
  </w:num>
  <w:num w:numId="63">
    <w:abstractNumId w:val="48"/>
  </w:num>
  <w:num w:numId="64">
    <w:abstractNumId w:val="18"/>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num>
  <w:num w:numId="67">
    <w:abstractNumId w:val="63"/>
  </w:num>
  <w:num w:numId="68">
    <w:abstractNumId w:val="53"/>
  </w:num>
  <w:num w:numId="69">
    <w:abstractNumId w:val="6"/>
  </w:num>
  <w:num w:numId="70">
    <w:abstractNumId w:val="58"/>
  </w:num>
  <w:num w:numId="71">
    <w:abstractNumId w:val="51"/>
  </w:num>
  <w:num w:numId="72">
    <w:abstractNumId w:val="56"/>
  </w:num>
  <w:num w:numId="73">
    <w:abstractNumId w:val="60"/>
  </w:num>
  <w:num w:numId="74">
    <w:abstractNumId w:val="59"/>
  </w:num>
  <w:num w:numId="75">
    <w:abstractNumId w:val="26"/>
  </w:num>
  <w:num w:numId="76">
    <w:abstractNumId w:val="32"/>
  </w:num>
  <w:num w:numId="77">
    <w:abstractNumId w:val="43"/>
  </w:num>
  <w:num w:numId="78">
    <w:abstractNumId w:val="37"/>
  </w:num>
  <w:num w:numId="79">
    <w:abstractNumId w:val="37"/>
  </w:num>
  <w:num w:numId="80">
    <w:abstractNumId w:val="37"/>
  </w:num>
  <w:num w:numId="81">
    <w:abstractNumId w:val="37"/>
  </w:num>
  <w:num w:numId="82">
    <w:abstractNumId w:val="2"/>
  </w:num>
  <w:num w:numId="83">
    <w:abstractNumId w:val="42"/>
  </w:num>
  <w:num w:numId="84">
    <w:abstractNumId w:val="38"/>
  </w:num>
  <w:num w:numId="85">
    <w:abstractNumId w:val="29"/>
  </w:num>
  <w:num w:numId="86">
    <w:abstractNumId w:val="0"/>
  </w:num>
  <w:num w:numId="87">
    <w:abstractNumId w:val="54"/>
  </w:num>
  <w:num w:numId="88">
    <w:abstractNumId w:val="46"/>
  </w:num>
  <w:num w:numId="89">
    <w:abstractNumId w:val="15"/>
  </w:num>
  <w:num w:numId="90">
    <w:abstractNumId w:val="35"/>
  </w:num>
  <w:num w:numId="91">
    <w:abstractNumId w:val="1"/>
  </w:num>
  <w:num w:numId="92">
    <w:abstractNumId w:val="40"/>
  </w:num>
  <w:num w:numId="93">
    <w:abstractNumId w:val="25"/>
  </w:num>
  <w:num w:numId="94">
    <w:abstractNumId w:val="24"/>
  </w:num>
  <w:num w:numId="95">
    <w:abstractNumId w:val="37"/>
  </w:num>
  <w:num w:numId="96">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E4E"/>
    <w:rsid w:val="0000021B"/>
    <w:rsid w:val="000003B3"/>
    <w:rsid w:val="0000191D"/>
    <w:rsid w:val="00003743"/>
    <w:rsid w:val="00003A83"/>
    <w:rsid w:val="00004008"/>
    <w:rsid w:val="0000487A"/>
    <w:rsid w:val="00004B94"/>
    <w:rsid w:val="00004EB4"/>
    <w:rsid w:val="00006824"/>
    <w:rsid w:val="00007BD1"/>
    <w:rsid w:val="000119F8"/>
    <w:rsid w:val="00011F94"/>
    <w:rsid w:val="00012332"/>
    <w:rsid w:val="00013B83"/>
    <w:rsid w:val="00016692"/>
    <w:rsid w:val="00020CE5"/>
    <w:rsid w:val="000210A1"/>
    <w:rsid w:val="00021601"/>
    <w:rsid w:val="0002286A"/>
    <w:rsid w:val="000235B9"/>
    <w:rsid w:val="00023A2B"/>
    <w:rsid w:val="00027D45"/>
    <w:rsid w:val="00032B1B"/>
    <w:rsid w:val="00033041"/>
    <w:rsid w:val="00034C46"/>
    <w:rsid w:val="000359CD"/>
    <w:rsid w:val="00035D52"/>
    <w:rsid w:val="000373CE"/>
    <w:rsid w:val="0003788C"/>
    <w:rsid w:val="00040EF7"/>
    <w:rsid w:val="00042A4F"/>
    <w:rsid w:val="00043445"/>
    <w:rsid w:val="00043EC4"/>
    <w:rsid w:val="00044469"/>
    <w:rsid w:val="00044A9F"/>
    <w:rsid w:val="0004668F"/>
    <w:rsid w:val="00050F01"/>
    <w:rsid w:val="00051877"/>
    <w:rsid w:val="00051FBA"/>
    <w:rsid w:val="00053524"/>
    <w:rsid w:val="00053D55"/>
    <w:rsid w:val="0005405F"/>
    <w:rsid w:val="00054A0E"/>
    <w:rsid w:val="000574F5"/>
    <w:rsid w:val="00057B62"/>
    <w:rsid w:val="000612B8"/>
    <w:rsid w:val="000618DB"/>
    <w:rsid w:val="00061CE3"/>
    <w:rsid w:val="000626FC"/>
    <w:rsid w:val="0006293C"/>
    <w:rsid w:val="00063436"/>
    <w:rsid w:val="00063AA6"/>
    <w:rsid w:val="00064219"/>
    <w:rsid w:val="00065DD7"/>
    <w:rsid w:val="00065F5C"/>
    <w:rsid w:val="0006659A"/>
    <w:rsid w:val="0006665C"/>
    <w:rsid w:val="0006699B"/>
    <w:rsid w:val="00067123"/>
    <w:rsid w:val="00067456"/>
    <w:rsid w:val="0007063C"/>
    <w:rsid w:val="00070AFE"/>
    <w:rsid w:val="00071A84"/>
    <w:rsid w:val="00071C3F"/>
    <w:rsid w:val="00071E18"/>
    <w:rsid w:val="00072EF3"/>
    <w:rsid w:val="00073F48"/>
    <w:rsid w:val="00075FC2"/>
    <w:rsid w:val="00076606"/>
    <w:rsid w:val="00076B47"/>
    <w:rsid w:val="00082215"/>
    <w:rsid w:val="00082D55"/>
    <w:rsid w:val="00085501"/>
    <w:rsid w:val="000859FB"/>
    <w:rsid w:val="00085A4F"/>
    <w:rsid w:val="000866F5"/>
    <w:rsid w:val="0009152C"/>
    <w:rsid w:val="000917B6"/>
    <w:rsid w:val="00094732"/>
    <w:rsid w:val="00094D43"/>
    <w:rsid w:val="00095EC4"/>
    <w:rsid w:val="00096184"/>
    <w:rsid w:val="00096330"/>
    <w:rsid w:val="0009773B"/>
    <w:rsid w:val="00097BC8"/>
    <w:rsid w:val="000A0C74"/>
    <w:rsid w:val="000A2C52"/>
    <w:rsid w:val="000A3696"/>
    <w:rsid w:val="000A38B6"/>
    <w:rsid w:val="000A4F09"/>
    <w:rsid w:val="000A4F7D"/>
    <w:rsid w:val="000A5D19"/>
    <w:rsid w:val="000A7491"/>
    <w:rsid w:val="000B01E9"/>
    <w:rsid w:val="000B1343"/>
    <w:rsid w:val="000B186B"/>
    <w:rsid w:val="000C0001"/>
    <w:rsid w:val="000C194E"/>
    <w:rsid w:val="000C43AA"/>
    <w:rsid w:val="000C6386"/>
    <w:rsid w:val="000D05FD"/>
    <w:rsid w:val="000D06FE"/>
    <w:rsid w:val="000D0E4E"/>
    <w:rsid w:val="000D11DF"/>
    <w:rsid w:val="000D21D2"/>
    <w:rsid w:val="000D3989"/>
    <w:rsid w:val="000D44FF"/>
    <w:rsid w:val="000D4FCC"/>
    <w:rsid w:val="000D57EF"/>
    <w:rsid w:val="000D59EB"/>
    <w:rsid w:val="000D6D6D"/>
    <w:rsid w:val="000D6E58"/>
    <w:rsid w:val="000D7676"/>
    <w:rsid w:val="000E39EE"/>
    <w:rsid w:val="000E54B8"/>
    <w:rsid w:val="000F081C"/>
    <w:rsid w:val="000F125C"/>
    <w:rsid w:val="000F17F5"/>
    <w:rsid w:val="000F2C47"/>
    <w:rsid w:val="000F319C"/>
    <w:rsid w:val="000F32B2"/>
    <w:rsid w:val="000F431D"/>
    <w:rsid w:val="000F5451"/>
    <w:rsid w:val="000F65C6"/>
    <w:rsid w:val="000F6E58"/>
    <w:rsid w:val="000F7531"/>
    <w:rsid w:val="00100D53"/>
    <w:rsid w:val="00101453"/>
    <w:rsid w:val="001022AC"/>
    <w:rsid w:val="0010352B"/>
    <w:rsid w:val="0010361E"/>
    <w:rsid w:val="0010384C"/>
    <w:rsid w:val="001100DC"/>
    <w:rsid w:val="0011081C"/>
    <w:rsid w:val="001121F5"/>
    <w:rsid w:val="001130BC"/>
    <w:rsid w:val="00113965"/>
    <w:rsid w:val="00113B28"/>
    <w:rsid w:val="00113EA4"/>
    <w:rsid w:val="0011406C"/>
    <w:rsid w:val="00114F5B"/>
    <w:rsid w:val="0011573C"/>
    <w:rsid w:val="00116251"/>
    <w:rsid w:val="00120740"/>
    <w:rsid w:val="00122CBA"/>
    <w:rsid w:val="00122E92"/>
    <w:rsid w:val="0012465D"/>
    <w:rsid w:val="001272C0"/>
    <w:rsid w:val="001272E3"/>
    <w:rsid w:val="0013252C"/>
    <w:rsid w:val="00132EB3"/>
    <w:rsid w:val="00132FA5"/>
    <w:rsid w:val="00133FB5"/>
    <w:rsid w:val="00134935"/>
    <w:rsid w:val="001350C9"/>
    <w:rsid w:val="001356EC"/>
    <w:rsid w:val="001362E2"/>
    <w:rsid w:val="00136761"/>
    <w:rsid w:val="00137453"/>
    <w:rsid w:val="00137C64"/>
    <w:rsid w:val="00140BB6"/>
    <w:rsid w:val="00140EFD"/>
    <w:rsid w:val="00141A82"/>
    <w:rsid w:val="0014286E"/>
    <w:rsid w:val="00145464"/>
    <w:rsid w:val="00146D44"/>
    <w:rsid w:val="00152079"/>
    <w:rsid w:val="00153F75"/>
    <w:rsid w:val="001547A5"/>
    <w:rsid w:val="001547F4"/>
    <w:rsid w:val="00155079"/>
    <w:rsid w:val="001578C0"/>
    <w:rsid w:val="00157E22"/>
    <w:rsid w:val="00160024"/>
    <w:rsid w:val="001612B4"/>
    <w:rsid w:val="00161791"/>
    <w:rsid w:val="00167AD6"/>
    <w:rsid w:val="00167C44"/>
    <w:rsid w:val="00173CD8"/>
    <w:rsid w:val="001747DD"/>
    <w:rsid w:val="0017608B"/>
    <w:rsid w:val="00177689"/>
    <w:rsid w:val="001826F5"/>
    <w:rsid w:val="001827A4"/>
    <w:rsid w:val="00184153"/>
    <w:rsid w:val="001851A8"/>
    <w:rsid w:val="00185CD9"/>
    <w:rsid w:val="001860E5"/>
    <w:rsid w:val="00186752"/>
    <w:rsid w:val="0018741B"/>
    <w:rsid w:val="00191E94"/>
    <w:rsid w:val="00192A31"/>
    <w:rsid w:val="0019470B"/>
    <w:rsid w:val="00196C5D"/>
    <w:rsid w:val="0019734E"/>
    <w:rsid w:val="001A0B44"/>
    <w:rsid w:val="001A0D96"/>
    <w:rsid w:val="001A2082"/>
    <w:rsid w:val="001A26D6"/>
    <w:rsid w:val="001A32E8"/>
    <w:rsid w:val="001A3B21"/>
    <w:rsid w:val="001A456A"/>
    <w:rsid w:val="001A5041"/>
    <w:rsid w:val="001A526A"/>
    <w:rsid w:val="001A6ABD"/>
    <w:rsid w:val="001A75AC"/>
    <w:rsid w:val="001A7991"/>
    <w:rsid w:val="001B03B0"/>
    <w:rsid w:val="001B0A5E"/>
    <w:rsid w:val="001B2F89"/>
    <w:rsid w:val="001B3443"/>
    <w:rsid w:val="001B49B2"/>
    <w:rsid w:val="001B4A31"/>
    <w:rsid w:val="001B4B0A"/>
    <w:rsid w:val="001B55C6"/>
    <w:rsid w:val="001B630F"/>
    <w:rsid w:val="001B6DA0"/>
    <w:rsid w:val="001B7612"/>
    <w:rsid w:val="001C0760"/>
    <w:rsid w:val="001C166A"/>
    <w:rsid w:val="001C1F47"/>
    <w:rsid w:val="001C3918"/>
    <w:rsid w:val="001C44C0"/>
    <w:rsid w:val="001C570D"/>
    <w:rsid w:val="001C5E38"/>
    <w:rsid w:val="001C61DF"/>
    <w:rsid w:val="001C690F"/>
    <w:rsid w:val="001C69BA"/>
    <w:rsid w:val="001C7FCD"/>
    <w:rsid w:val="001D019F"/>
    <w:rsid w:val="001D0988"/>
    <w:rsid w:val="001D09AE"/>
    <w:rsid w:val="001D33CB"/>
    <w:rsid w:val="001D78BF"/>
    <w:rsid w:val="001E00DA"/>
    <w:rsid w:val="001E1556"/>
    <w:rsid w:val="001E285A"/>
    <w:rsid w:val="001E2BDB"/>
    <w:rsid w:val="001E31AD"/>
    <w:rsid w:val="001E468E"/>
    <w:rsid w:val="001E4BF4"/>
    <w:rsid w:val="001E5616"/>
    <w:rsid w:val="001E5B32"/>
    <w:rsid w:val="001E76A5"/>
    <w:rsid w:val="001E7788"/>
    <w:rsid w:val="001F0DD2"/>
    <w:rsid w:val="001F282E"/>
    <w:rsid w:val="001F2C0B"/>
    <w:rsid w:val="001F329F"/>
    <w:rsid w:val="001F3477"/>
    <w:rsid w:val="001F4199"/>
    <w:rsid w:val="001F42CD"/>
    <w:rsid w:val="001F4D9E"/>
    <w:rsid w:val="001F5872"/>
    <w:rsid w:val="001F5FF7"/>
    <w:rsid w:val="001F603E"/>
    <w:rsid w:val="001F70C9"/>
    <w:rsid w:val="001F7410"/>
    <w:rsid w:val="0020233C"/>
    <w:rsid w:val="0020359C"/>
    <w:rsid w:val="002057A6"/>
    <w:rsid w:val="002074CE"/>
    <w:rsid w:val="00207B56"/>
    <w:rsid w:val="00207C83"/>
    <w:rsid w:val="00212544"/>
    <w:rsid w:val="00212835"/>
    <w:rsid w:val="00213326"/>
    <w:rsid w:val="0021398A"/>
    <w:rsid w:val="00214254"/>
    <w:rsid w:val="002157E7"/>
    <w:rsid w:val="002162F2"/>
    <w:rsid w:val="00220C15"/>
    <w:rsid w:val="0022245C"/>
    <w:rsid w:val="00222C28"/>
    <w:rsid w:val="0022305E"/>
    <w:rsid w:val="0022368C"/>
    <w:rsid w:val="0022463C"/>
    <w:rsid w:val="00225920"/>
    <w:rsid w:val="00226199"/>
    <w:rsid w:val="0022669E"/>
    <w:rsid w:val="00226993"/>
    <w:rsid w:val="00226C95"/>
    <w:rsid w:val="002306A7"/>
    <w:rsid w:val="00231A6C"/>
    <w:rsid w:val="00232254"/>
    <w:rsid w:val="0023330B"/>
    <w:rsid w:val="00234269"/>
    <w:rsid w:val="0023448E"/>
    <w:rsid w:val="00235DB0"/>
    <w:rsid w:val="00236484"/>
    <w:rsid w:val="00236B93"/>
    <w:rsid w:val="00240569"/>
    <w:rsid w:val="002407B7"/>
    <w:rsid w:val="002410CF"/>
    <w:rsid w:val="00243D53"/>
    <w:rsid w:val="00244988"/>
    <w:rsid w:val="00244E2C"/>
    <w:rsid w:val="002457D8"/>
    <w:rsid w:val="00246216"/>
    <w:rsid w:val="002501FF"/>
    <w:rsid w:val="00252B66"/>
    <w:rsid w:val="00254F28"/>
    <w:rsid w:val="00255076"/>
    <w:rsid w:val="00256573"/>
    <w:rsid w:val="002573EA"/>
    <w:rsid w:val="002600AD"/>
    <w:rsid w:val="00260C2F"/>
    <w:rsid w:val="002618EE"/>
    <w:rsid w:val="00261ECA"/>
    <w:rsid w:val="00262871"/>
    <w:rsid w:val="002633F4"/>
    <w:rsid w:val="00263D02"/>
    <w:rsid w:val="00264DD2"/>
    <w:rsid w:val="00265DE4"/>
    <w:rsid w:val="002669A5"/>
    <w:rsid w:val="00268B7D"/>
    <w:rsid w:val="00270904"/>
    <w:rsid w:val="0027164C"/>
    <w:rsid w:val="00271F8B"/>
    <w:rsid w:val="00274C63"/>
    <w:rsid w:val="00275A9E"/>
    <w:rsid w:val="00276D0B"/>
    <w:rsid w:val="00280791"/>
    <w:rsid w:val="00281138"/>
    <w:rsid w:val="0028218A"/>
    <w:rsid w:val="00282EB1"/>
    <w:rsid w:val="00283442"/>
    <w:rsid w:val="00284E8E"/>
    <w:rsid w:val="00286D72"/>
    <w:rsid w:val="00291994"/>
    <w:rsid w:val="00291E52"/>
    <w:rsid w:val="002933A1"/>
    <w:rsid w:val="00295329"/>
    <w:rsid w:val="00296C84"/>
    <w:rsid w:val="00296CB4"/>
    <w:rsid w:val="002A0014"/>
    <w:rsid w:val="002A0330"/>
    <w:rsid w:val="002A10B0"/>
    <w:rsid w:val="002A154A"/>
    <w:rsid w:val="002A2791"/>
    <w:rsid w:val="002A2B86"/>
    <w:rsid w:val="002A4B74"/>
    <w:rsid w:val="002A4E8E"/>
    <w:rsid w:val="002A4F83"/>
    <w:rsid w:val="002A5153"/>
    <w:rsid w:val="002B0214"/>
    <w:rsid w:val="002B075F"/>
    <w:rsid w:val="002B141A"/>
    <w:rsid w:val="002B29B3"/>
    <w:rsid w:val="002B385A"/>
    <w:rsid w:val="002B64C7"/>
    <w:rsid w:val="002B6D8A"/>
    <w:rsid w:val="002B7F26"/>
    <w:rsid w:val="002C2D6D"/>
    <w:rsid w:val="002C2F12"/>
    <w:rsid w:val="002C7061"/>
    <w:rsid w:val="002D2932"/>
    <w:rsid w:val="002D2B45"/>
    <w:rsid w:val="002D3C4E"/>
    <w:rsid w:val="002D40D3"/>
    <w:rsid w:val="002D42AD"/>
    <w:rsid w:val="002D4B14"/>
    <w:rsid w:val="002D7AD9"/>
    <w:rsid w:val="002D7E0C"/>
    <w:rsid w:val="002E2414"/>
    <w:rsid w:val="002E2C12"/>
    <w:rsid w:val="002E3314"/>
    <w:rsid w:val="002E33F7"/>
    <w:rsid w:val="002E3974"/>
    <w:rsid w:val="002E3ACC"/>
    <w:rsid w:val="002E3F71"/>
    <w:rsid w:val="002E5F99"/>
    <w:rsid w:val="002E61F6"/>
    <w:rsid w:val="002E70A7"/>
    <w:rsid w:val="002E730B"/>
    <w:rsid w:val="002E7AEA"/>
    <w:rsid w:val="002F2E58"/>
    <w:rsid w:val="002F3AE3"/>
    <w:rsid w:val="002F3ED9"/>
    <w:rsid w:val="002F54C5"/>
    <w:rsid w:val="002F6717"/>
    <w:rsid w:val="002F70C9"/>
    <w:rsid w:val="0030105A"/>
    <w:rsid w:val="00302906"/>
    <w:rsid w:val="0030308E"/>
    <w:rsid w:val="00303FDB"/>
    <w:rsid w:val="003064CE"/>
    <w:rsid w:val="00306F62"/>
    <w:rsid w:val="0030786C"/>
    <w:rsid w:val="0030787D"/>
    <w:rsid w:val="00310482"/>
    <w:rsid w:val="00311BDA"/>
    <w:rsid w:val="00311DC4"/>
    <w:rsid w:val="003149A8"/>
    <w:rsid w:val="00314D5F"/>
    <w:rsid w:val="00314DB3"/>
    <w:rsid w:val="00315705"/>
    <w:rsid w:val="00317FD3"/>
    <w:rsid w:val="00320FC4"/>
    <w:rsid w:val="003212C3"/>
    <w:rsid w:val="00321D9E"/>
    <w:rsid w:val="00323726"/>
    <w:rsid w:val="00323919"/>
    <w:rsid w:val="00324309"/>
    <w:rsid w:val="003247BC"/>
    <w:rsid w:val="00325529"/>
    <w:rsid w:val="00325987"/>
    <w:rsid w:val="00326BE1"/>
    <w:rsid w:val="00326E86"/>
    <w:rsid w:val="0032752B"/>
    <w:rsid w:val="00327C6B"/>
    <w:rsid w:val="003301B5"/>
    <w:rsid w:val="003305FE"/>
    <w:rsid w:val="0033379C"/>
    <w:rsid w:val="00333D64"/>
    <w:rsid w:val="00334373"/>
    <w:rsid w:val="00335DDE"/>
    <w:rsid w:val="00336A91"/>
    <w:rsid w:val="00336F3A"/>
    <w:rsid w:val="003372B3"/>
    <w:rsid w:val="00340E89"/>
    <w:rsid w:val="0034186C"/>
    <w:rsid w:val="00341C3C"/>
    <w:rsid w:val="0034231A"/>
    <w:rsid w:val="003424A0"/>
    <w:rsid w:val="00345829"/>
    <w:rsid w:val="00345B67"/>
    <w:rsid w:val="00345F46"/>
    <w:rsid w:val="003463CF"/>
    <w:rsid w:val="00351E85"/>
    <w:rsid w:val="00351F90"/>
    <w:rsid w:val="00353CF3"/>
    <w:rsid w:val="00354D8B"/>
    <w:rsid w:val="003561E8"/>
    <w:rsid w:val="00362061"/>
    <w:rsid w:val="0036332F"/>
    <w:rsid w:val="00364A41"/>
    <w:rsid w:val="00364F3A"/>
    <w:rsid w:val="00365363"/>
    <w:rsid w:val="00365E13"/>
    <w:rsid w:val="003663D5"/>
    <w:rsid w:val="00366C62"/>
    <w:rsid w:val="0036719D"/>
    <w:rsid w:val="003704C8"/>
    <w:rsid w:val="0037081F"/>
    <w:rsid w:val="003713BE"/>
    <w:rsid w:val="0037283D"/>
    <w:rsid w:val="00373811"/>
    <w:rsid w:val="00374B3A"/>
    <w:rsid w:val="00375CF6"/>
    <w:rsid w:val="00375F7B"/>
    <w:rsid w:val="0037625D"/>
    <w:rsid w:val="00380A84"/>
    <w:rsid w:val="0038150A"/>
    <w:rsid w:val="0038252A"/>
    <w:rsid w:val="00382BCE"/>
    <w:rsid w:val="00383C13"/>
    <w:rsid w:val="00384011"/>
    <w:rsid w:val="00384F3E"/>
    <w:rsid w:val="003868F2"/>
    <w:rsid w:val="003869E9"/>
    <w:rsid w:val="00386CDA"/>
    <w:rsid w:val="003904EB"/>
    <w:rsid w:val="00390ACE"/>
    <w:rsid w:val="00394521"/>
    <w:rsid w:val="0039523C"/>
    <w:rsid w:val="0039620C"/>
    <w:rsid w:val="00396865"/>
    <w:rsid w:val="00397457"/>
    <w:rsid w:val="003A0ABE"/>
    <w:rsid w:val="003A2FCF"/>
    <w:rsid w:val="003A373C"/>
    <w:rsid w:val="003A4454"/>
    <w:rsid w:val="003A4C14"/>
    <w:rsid w:val="003A723C"/>
    <w:rsid w:val="003B0E28"/>
    <w:rsid w:val="003B1337"/>
    <w:rsid w:val="003B16B5"/>
    <w:rsid w:val="003B16F5"/>
    <w:rsid w:val="003B26D8"/>
    <w:rsid w:val="003B35A8"/>
    <w:rsid w:val="003B4489"/>
    <w:rsid w:val="003B55F4"/>
    <w:rsid w:val="003B5C5E"/>
    <w:rsid w:val="003B5CDE"/>
    <w:rsid w:val="003B60F5"/>
    <w:rsid w:val="003B7ED8"/>
    <w:rsid w:val="003C142A"/>
    <w:rsid w:val="003C5272"/>
    <w:rsid w:val="003C55EE"/>
    <w:rsid w:val="003C67B0"/>
    <w:rsid w:val="003C6986"/>
    <w:rsid w:val="003C7555"/>
    <w:rsid w:val="003D0BF6"/>
    <w:rsid w:val="003D0CF0"/>
    <w:rsid w:val="003D17F9"/>
    <w:rsid w:val="003D48CA"/>
    <w:rsid w:val="003D6D4C"/>
    <w:rsid w:val="003D77E7"/>
    <w:rsid w:val="003D7970"/>
    <w:rsid w:val="003D7E73"/>
    <w:rsid w:val="003E1892"/>
    <w:rsid w:val="003E1EF1"/>
    <w:rsid w:val="003E26D3"/>
    <w:rsid w:val="003E2C6F"/>
    <w:rsid w:val="003E3224"/>
    <w:rsid w:val="003E32B3"/>
    <w:rsid w:val="003E3715"/>
    <w:rsid w:val="003E414C"/>
    <w:rsid w:val="003E7A00"/>
    <w:rsid w:val="003E7F9B"/>
    <w:rsid w:val="003F0C75"/>
    <w:rsid w:val="003F16CF"/>
    <w:rsid w:val="003F19DC"/>
    <w:rsid w:val="003F4672"/>
    <w:rsid w:val="003F49D5"/>
    <w:rsid w:val="003F66B5"/>
    <w:rsid w:val="003F71CD"/>
    <w:rsid w:val="004004B4"/>
    <w:rsid w:val="00404FF0"/>
    <w:rsid w:val="004061D8"/>
    <w:rsid w:val="00407368"/>
    <w:rsid w:val="00407518"/>
    <w:rsid w:val="0040761A"/>
    <w:rsid w:val="00407A3C"/>
    <w:rsid w:val="00410E17"/>
    <w:rsid w:val="004112FD"/>
    <w:rsid w:val="004119DA"/>
    <w:rsid w:val="00413E54"/>
    <w:rsid w:val="004140D6"/>
    <w:rsid w:val="004153A2"/>
    <w:rsid w:val="0041782D"/>
    <w:rsid w:val="0042159D"/>
    <w:rsid w:val="00421E03"/>
    <w:rsid w:val="0042238A"/>
    <w:rsid w:val="004228AA"/>
    <w:rsid w:val="00422BEA"/>
    <w:rsid w:val="00423867"/>
    <w:rsid w:val="00424469"/>
    <w:rsid w:val="00425332"/>
    <w:rsid w:val="00426232"/>
    <w:rsid w:val="004269B3"/>
    <w:rsid w:val="00427868"/>
    <w:rsid w:val="00430637"/>
    <w:rsid w:val="004321E4"/>
    <w:rsid w:val="004352E2"/>
    <w:rsid w:val="00435AD1"/>
    <w:rsid w:val="00436315"/>
    <w:rsid w:val="00436C63"/>
    <w:rsid w:val="00436EF4"/>
    <w:rsid w:val="00440189"/>
    <w:rsid w:val="00440DF0"/>
    <w:rsid w:val="00440EE6"/>
    <w:rsid w:val="004421D4"/>
    <w:rsid w:val="00442494"/>
    <w:rsid w:val="00445DFD"/>
    <w:rsid w:val="0044655E"/>
    <w:rsid w:val="00450433"/>
    <w:rsid w:val="004508A3"/>
    <w:rsid w:val="0045091B"/>
    <w:rsid w:val="00450A1A"/>
    <w:rsid w:val="00450B69"/>
    <w:rsid w:val="00452448"/>
    <w:rsid w:val="00452F39"/>
    <w:rsid w:val="00453045"/>
    <w:rsid w:val="0045330C"/>
    <w:rsid w:val="0045403A"/>
    <w:rsid w:val="004544C7"/>
    <w:rsid w:val="00457196"/>
    <w:rsid w:val="00457D19"/>
    <w:rsid w:val="00457EC9"/>
    <w:rsid w:val="00460024"/>
    <w:rsid w:val="00460B62"/>
    <w:rsid w:val="00461CF1"/>
    <w:rsid w:val="00462110"/>
    <w:rsid w:val="00462793"/>
    <w:rsid w:val="00464DE3"/>
    <w:rsid w:val="0046686D"/>
    <w:rsid w:val="00466CCE"/>
    <w:rsid w:val="00466E58"/>
    <w:rsid w:val="00467299"/>
    <w:rsid w:val="00471248"/>
    <w:rsid w:val="004717B5"/>
    <w:rsid w:val="00471B7D"/>
    <w:rsid w:val="00473647"/>
    <w:rsid w:val="004740CC"/>
    <w:rsid w:val="004742F4"/>
    <w:rsid w:val="00475DCB"/>
    <w:rsid w:val="00477DE4"/>
    <w:rsid w:val="004809D2"/>
    <w:rsid w:val="00480A8D"/>
    <w:rsid w:val="00481116"/>
    <w:rsid w:val="00482A46"/>
    <w:rsid w:val="00483AB5"/>
    <w:rsid w:val="00484A72"/>
    <w:rsid w:val="00485252"/>
    <w:rsid w:val="004867E2"/>
    <w:rsid w:val="004908B0"/>
    <w:rsid w:val="004910AA"/>
    <w:rsid w:val="0049118F"/>
    <w:rsid w:val="00491329"/>
    <w:rsid w:val="00491EB1"/>
    <w:rsid w:val="00493424"/>
    <w:rsid w:val="0049392F"/>
    <w:rsid w:val="00494EC6"/>
    <w:rsid w:val="004971A0"/>
    <w:rsid w:val="00497A71"/>
    <w:rsid w:val="004A0F30"/>
    <w:rsid w:val="004A1A71"/>
    <w:rsid w:val="004A2D6B"/>
    <w:rsid w:val="004A319F"/>
    <w:rsid w:val="004A3CC5"/>
    <w:rsid w:val="004A7200"/>
    <w:rsid w:val="004A7DD6"/>
    <w:rsid w:val="004B0845"/>
    <w:rsid w:val="004B35B4"/>
    <w:rsid w:val="004B7235"/>
    <w:rsid w:val="004B7A51"/>
    <w:rsid w:val="004C1723"/>
    <w:rsid w:val="004C21B7"/>
    <w:rsid w:val="004C21C8"/>
    <w:rsid w:val="004C25ED"/>
    <w:rsid w:val="004C29FD"/>
    <w:rsid w:val="004C2A71"/>
    <w:rsid w:val="004C3AA6"/>
    <w:rsid w:val="004C4EE2"/>
    <w:rsid w:val="004C5044"/>
    <w:rsid w:val="004C54C0"/>
    <w:rsid w:val="004C5597"/>
    <w:rsid w:val="004C63EA"/>
    <w:rsid w:val="004D0094"/>
    <w:rsid w:val="004D0582"/>
    <w:rsid w:val="004D32C6"/>
    <w:rsid w:val="004D3F7A"/>
    <w:rsid w:val="004D5682"/>
    <w:rsid w:val="004D58CB"/>
    <w:rsid w:val="004D6C68"/>
    <w:rsid w:val="004E1706"/>
    <w:rsid w:val="004E216C"/>
    <w:rsid w:val="004E2C98"/>
    <w:rsid w:val="004E56D2"/>
    <w:rsid w:val="004E5F16"/>
    <w:rsid w:val="004E61BE"/>
    <w:rsid w:val="004E674A"/>
    <w:rsid w:val="004E6EE9"/>
    <w:rsid w:val="004E7310"/>
    <w:rsid w:val="004E7C4E"/>
    <w:rsid w:val="004F29A0"/>
    <w:rsid w:val="004F395F"/>
    <w:rsid w:val="004F3E5A"/>
    <w:rsid w:val="004F43AB"/>
    <w:rsid w:val="004F4DDE"/>
    <w:rsid w:val="004F4EF4"/>
    <w:rsid w:val="004F5D6C"/>
    <w:rsid w:val="004F62D2"/>
    <w:rsid w:val="004F6E2C"/>
    <w:rsid w:val="004F7463"/>
    <w:rsid w:val="004F7CAD"/>
    <w:rsid w:val="005006C9"/>
    <w:rsid w:val="00500944"/>
    <w:rsid w:val="0050199A"/>
    <w:rsid w:val="00501CEA"/>
    <w:rsid w:val="00503F5F"/>
    <w:rsid w:val="00505A0C"/>
    <w:rsid w:val="005074D9"/>
    <w:rsid w:val="00507BBB"/>
    <w:rsid w:val="00507C73"/>
    <w:rsid w:val="0051225A"/>
    <w:rsid w:val="00514C08"/>
    <w:rsid w:val="005151E5"/>
    <w:rsid w:val="00516722"/>
    <w:rsid w:val="00516884"/>
    <w:rsid w:val="005204DA"/>
    <w:rsid w:val="00521663"/>
    <w:rsid w:val="00522A51"/>
    <w:rsid w:val="00523118"/>
    <w:rsid w:val="005236D0"/>
    <w:rsid w:val="0052469B"/>
    <w:rsid w:val="00524752"/>
    <w:rsid w:val="0052495E"/>
    <w:rsid w:val="00524C9A"/>
    <w:rsid w:val="00524D55"/>
    <w:rsid w:val="005263EC"/>
    <w:rsid w:val="00530255"/>
    <w:rsid w:val="005320CC"/>
    <w:rsid w:val="00532546"/>
    <w:rsid w:val="00536DFE"/>
    <w:rsid w:val="00541791"/>
    <w:rsid w:val="00541D0D"/>
    <w:rsid w:val="005502D0"/>
    <w:rsid w:val="00550647"/>
    <w:rsid w:val="00550CCA"/>
    <w:rsid w:val="00551C46"/>
    <w:rsid w:val="0055329D"/>
    <w:rsid w:val="005533FB"/>
    <w:rsid w:val="00554522"/>
    <w:rsid w:val="00554598"/>
    <w:rsid w:val="00554DCC"/>
    <w:rsid w:val="0055662F"/>
    <w:rsid w:val="005578F6"/>
    <w:rsid w:val="0056039A"/>
    <w:rsid w:val="00563000"/>
    <w:rsid w:val="005657C0"/>
    <w:rsid w:val="00571476"/>
    <w:rsid w:val="005715BF"/>
    <w:rsid w:val="00571BF9"/>
    <w:rsid w:val="0057211F"/>
    <w:rsid w:val="00575983"/>
    <w:rsid w:val="00577D5E"/>
    <w:rsid w:val="00580296"/>
    <w:rsid w:val="00580569"/>
    <w:rsid w:val="0058134B"/>
    <w:rsid w:val="00582688"/>
    <w:rsid w:val="005843BE"/>
    <w:rsid w:val="00584F4D"/>
    <w:rsid w:val="005865B7"/>
    <w:rsid w:val="00586AFB"/>
    <w:rsid w:val="0058781D"/>
    <w:rsid w:val="005878A1"/>
    <w:rsid w:val="00587E8B"/>
    <w:rsid w:val="0059092D"/>
    <w:rsid w:val="00591C74"/>
    <w:rsid w:val="0059419B"/>
    <w:rsid w:val="00594327"/>
    <w:rsid w:val="00595325"/>
    <w:rsid w:val="005954FD"/>
    <w:rsid w:val="00595F70"/>
    <w:rsid w:val="00596522"/>
    <w:rsid w:val="00596FA0"/>
    <w:rsid w:val="005A17E3"/>
    <w:rsid w:val="005A23C1"/>
    <w:rsid w:val="005A351E"/>
    <w:rsid w:val="005A3894"/>
    <w:rsid w:val="005A4559"/>
    <w:rsid w:val="005A47B9"/>
    <w:rsid w:val="005A4B66"/>
    <w:rsid w:val="005A5F0B"/>
    <w:rsid w:val="005A6EED"/>
    <w:rsid w:val="005B0BEF"/>
    <w:rsid w:val="005B14D7"/>
    <w:rsid w:val="005B162A"/>
    <w:rsid w:val="005B17DF"/>
    <w:rsid w:val="005B31EB"/>
    <w:rsid w:val="005B4527"/>
    <w:rsid w:val="005B528D"/>
    <w:rsid w:val="005B5A45"/>
    <w:rsid w:val="005B7757"/>
    <w:rsid w:val="005C00F4"/>
    <w:rsid w:val="005C21C6"/>
    <w:rsid w:val="005C27E5"/>
    <w:rsid w:val="005C3157"/>
    <w:rsid w:val="005C34A1"/>
    <w:rsid w:val="005C3D22"/>
    <w:rsid w:val="005C5ADE"/>
    <w:rsid w:val="005C5FBA"/>
    <w:rsid w:val="005D2A4A"/>
    <w:rsid w:val="005D478F"/>
    <w:rsid w:val="005D4CBC"/>
    <w:rsid w:val="005D5E36"/>
    <w:rsid w:val="005D7619"/>
    <w:rsid w:val="005E0611"/>
    <w:rsid w:val="005E0E1E"/>
    <w:rsid w:val="005E1537"/>
    <w:rsid w:val="005E214B"/>
    <w:rsid w:val="005E2CCE"/>
    <w:rsid w:val="005E3F15"/>
    <w:rsid w:val="005E53F1"/>
    <w:rsid w:val="005E5551"/>
    <w:rsid w:val="005E5824"/>
    <w:rsid w:val="005E617B"/>
    <w:rsid w:val="005E622A"/>
    <w:rsid w:val="005E6E20"/>
    <w:rsid w:val="005F0715"/>
    <w:rsid w:val="005F107E"/>
    <w:rsid w:val="005F1EA8"/>
    <w:rsid w:val="005F38D6"/>
    <w:rsid w:val="005F43FB"/>
    <w:rsid w:val="005F6273"/>
    <w:rsid w:val="005F7B52"/>
    <w:rsid w:val="006027EF"/>
    <w:rsid w:val="00602D37"/>
    <w:rsid w:val="0060404E"/>
    <w:rsid w:val="00604352"/>
    <w:rsid w:val="00605D43"/>
    <w:rsid w:val="00606E1A"/>
    <w:rsid w:val="00607252"/>
    <w:rsid w:val="0060745F"/>
    <w:rsid w:val="006102C1"/>
    <w:rsid w:val="006103F1"/>
    <w:rsid w:val="006113DE"/>
    <w:rsid w:val="00613144"/>
    <w:rsid w:val="0061420C"/>
    <w:rsid w:val="006150E9"/>
    <w:rsid w:val="00615EE5"/>
    <w:rsid w:val="00615F70"/>
    <w:rsid w:val="00616658"/>
    <w:rsid w:val="0062020E"/>
    <w:rsid w:val="00621451"/>
    <w:rsid w:val="006219A1"/>
    <w:rsid w:val="006227DD"/>
    <w:rsid w:val="00623335"/>
    <w:rsid w:val="006235BA"/>
    <w:rsid w:val="00624903"/>
    <w:rsid w:val="00624F25"/>
    <w:rsid w:val="00625D6C"/>
    <w:rsid w:val="00625FF7"/>
    <w:rsid w:val="00626AD2"/>
    <w:rsid w:val="00630E84"/>
    <w:rsid w:val="00630FC0"/>
    <w:rsid w:val="006313CD"/>
    <w:rsid w:val="00635C7B"/>
    <w:rsid w:val="00636DF9"/>
    <w:rsid w:val="00637184"/>
    <w:rsid w:val="00642555"/>
    <w:rsid w:val="00642C22"/>
    <w:rsid w:val="006438F3"/>
    <w:rsid w:val="006458ED"/>
    <w:rsid w:val="00645CFD"/>
    <w:rsid w:val="00646BC1"/>
    <w:rsid w:val="00651EF7"/>
    <w:rsid w:val="00653C3E"/>
    <w:rsid w:val="00657477"/>
    <w:rsid w:val="006603B1"/>
    <w:rsid w:val="00662661"/>
    <w:rsid w:val="0066354B"/>
    <w:rsid w:val="0066393F"/>
    <w:rsid w:val="00665197"/>
    <w:rsid w:val="00665934"/>
    <w:rsid w:val="0066609B"/>
    <w:rsid w:val="006667CE"/>
    <w:rsid w:val="006702DF"/>
    <w:rsid w:val="00671068"/>
    <w:rsid w:val="006716EE"/>
    <w:rsid w:val="00672C9F"/>
    <w:rsid w:val="00672D16"/>
    <w:rsid w:val="00672D70"/>
    <w:rsid w:val="00672F71"/>
    <w:rsid w:val="00673052"/>
    <w:rsid w:val="006730F6"/>
    <w:rsid w:val="00673586"/>
    <w:rsid w:val="0067470D"/>
    <w:rsid w:val="00674BCB"/>
    <w:rsid w:val="00675C25"/>
    <w:rsid w:val="00675F87"/>
    <w:rsid w:val="00677383"/>
    <w:rsid w:val="0068026B"/>
    <w:rsid w:val="00680E6C"/>
    <w:rsid w:val="00681FAE"/>
    <w:rsid w:val="00682E6E"/>
    <w:rsid w:val="00683F5D"/>
    <w:rsid w:val="00683FA8"/>
    <w:rsid w:val="00690DCC"/>
    <w:rsid w:val="0069288C"/>
    <w:rsid w:val="00693064"/>
    <w:rsid w:val="00693229"/>
    <w:rsid w:val="00693273"/>
    <w:rsid w:val="00693410"/>
    <w:rsid w:val="00693570"/>
    <w:rsid w:val="00693589"/>
    <w:rsid w:val="006935FB"/>
    <w:rsid w:val="006950EF"/>
    <w:rsid w:val="00695E8E"/>
    <w:rsid w:val="00696896"/>
    <w:rsid w:val="006A130D"/>
    <w:rsid w:val="006A1DA6"/>
    <w:rsid w:val="006A2DAA"/>
    <w:rsid w:val="006A357E"/>
    <w:rsid w:val="006A3A83"/>
    <w:rsid w:val="006A48FC"/>
    <w:rsid w:val="006A4EAC"/>
    <w:rsid w:val="006A51DC"/>
    <w:rsid w:val="006A56D1"/>
    <w:rsid w:val="006A72F0"/>
    <w:rsid w:val="006B017A"/>
    <w:rsid w:val="006B0B1F"/>
    <w:rsid w:val="006B20DD"/>
    <w:rsid w:val="006B2A21"/>
    <w:rsid w:val="006B41EA"/>
    <w:rsid w:val="006B4BE6"/>
    <w:rsid w:val="006B6825"/>
    <w:rsid w:val="006B6E88"/>
    <w:rsid w:val="006B7727"/>
    <w:rsid w:val="006B795B"/>
    <w:rsid w:val="006C0DDC"/>
    <w:rsid w:val="006C1EA5"/>
    <w:rsid w:val="006C284A"/>
    <w:rsid w:val="006C28DC"/>
    <w:rsid w:val="006C4110"/>
    <w:rsid w:val="006C4F08"/>
    <w:rsid w:val="006C6F11"/>
    <w:rsid w:val="006C7AA2"/>
    <w:rsid w:val="006C7DB2"/>
    <w:rsid w:val="006D0B91"/>
    <w:rsid w:val="006D0F5D"/>
    <w:rsid w:val="006D0FBD"/>
    <w:rsid w:val="006D1E7D"/>
    <w:rsid w:val="006D61CC"/>
    <w:rsid w:val="006D704A"/>
    <w:rsid w:val="006E0461"/>
    <w:rsid w:val="006E0589"/>
    <w:rsid w:val="006E20D2"/>
    <w:rsid w:val="006E2B56"/>
    <w:rsid w:val="006E4A2C"/>
    <w:rsid w:val="006E5012"/>
    <w:rsid w:val="006E5A60"/>
    <w:rsid w:val="006E622F"/>
    <w:rsid w:val="006E6ECC"/>
    <w:rsid w:val="006E72FD"/>
    <w:rsid w:val="006E741C"/>
    <w:rsid w:val="006F0A78"/>
    <w:rsid w:val="006F1081"/>
    <w:rsid w:val="006F67E7"/>
    <w:rsid w:val="00701134"/>
    <w:rsid w:val="0070120B"/>
    <w:rsid w:val="0070144E"/>
    <w:rsid w:val="007020E1"/>
    <w:rsid w:val="00702B44"/>
    <w:rsid w:val="00702C14"/>
    <w:rsid w:val="00704042"/>
    <w:rsid w:val="00705CAB"/>
    <w:rsid w:val="0070664B"/>
    <w:rsid w:val="00710A49"/>
    <w:rsid w:val="00710DBD"/>
    <w:rsid w:val="00713B51"/>
    <w:rsid w:val="007149C9"/>
    <w:rsid w:val="007169E4"/>
    <w:rsid w:val="00720F07"/>
    <w:rsid w:val="00724D12"/>
    <w:rsid w:val="00725851"/>
    <w:rsid w:val="007274DD"/>
    <w:rsid w:val="00727724"/>
    <w:rsid w:val="00727865"/>
    <w:rsid w:val="007313A3"/>
    <w:rsid w:val="00731C6B"/>
    <w:rsid w:val="00732779"/>
    <w:rsid w:val="0073423E"/>
    <w:rsid w:val="00734808"/>
    <w:rsid w:val="007353F4"/>
    <w:rsid w:val="0073624A"/>
    <w:rsid w:val="00736C96"/>
    <w:rsid w:val="00740075"/>
    <w:rsid w:val="00740FD1"/>
    <w:rsid w:val="00741831"/>
    <w:rsid w:val="00741BDF"/>
    <w:rsid w:val="00743E04"/>
    <w:rsid w:val="0074501B"/>
    <w:rsid w:val="00746029"/>
    <w:rsid w:val="0074649C"/>
    <w:rsid w:val="0074731D"/>
    <w:rsid w:val="007473E4"/>
    <w:rsid w:val="00747BE1"/>
    <w:rsid w:val="00751220"/>
    <w:rsid w:val="00751454"/>
    <w:rsid w:val="0075192D"/>
    <w:rsid w:val="00751F6B"/>
    <w:rsid w:val="007532EA"/>
    <w:rsid w:val="0075331F"/>
    <w:rsid w:val="00753810"/>
    <w:rsid w:val="00754B0A"/>
    <w:rsid w:val="007560F6"/>
    <w:rsid w:val="00756FA7"/>
    <w:rsid w:val="0075746D"/>
    <w:rsid w:val="0076260A"/>
    <w:rsid w:val="00762B73"/>
    <w:rsid w:val="00763FDE"/>
    <w:rsid w:val="007646E0"/>
    <w:rsid w:val="00764EB6"/>
    <w:rsid w:val="00765F1E"/>
    <w:rsid w:val="00765F65"/>
    <w:rsid w:val="00770058"/>
    <w:rsid w:val="0077058F"/>
    <w:rsid w:val="00771C37"/>
    <w:rsid w:val="007726FC"/>
    <w:rsid w:val="00772B4C"/>
    <w:rsid w:val="00773C67"/>
    <w:rsid w:val="0077448D"/>
    <w:rsid w:val="007757C8"/>
    <w:rsid w:val="00775B88"/>
    <w:rsid w:val="00775CD2"/>
    <w:rsid w:val="00775D8D"/>
    <w:rsid w:val="0077632C"/>
    <w:rsid w:val="007764B1"/>
    <w:rsid w:val="007775EE"/>
    <w:rsid w:val="00780B23"/>
    <w:rsid w:val="00780FEC"/>
    <w:rsid w:val="00781CE6"/>
    <w:rsid w:val="0078370A"/>
    <w:rsid w:val="0078376B"/>
    <w:rsid w:val="00783D0A"/>
    <w:rsid w:val="007841EE"/>
    <w:rsid w:val="0078553E"/>
    <w:rsid w:val="0078655B"/>
    <w:rsid w:val="00787A7D"/>
    <w:rsid w:val="00790E57"/>
    <w:rsid w:val="007957E4"/>
    <w:rsid w:val="00796DA4"/>
    <w:rsid w:val="0079783D"/>
    <w:rsid w:val="007A0397"/>
    <w:rsid w:val="007A08C8"/>
    <w:rsid w:val="007A0ABF"/>
    <w:rsid w:val="007A1BB4"/>
    <w:rsid w:val="007A36BA"/>
    <w:rsid w:val="007A4817"/>
    <w:rsid w:val="007A487F"/>
    <w:rsid w:val="007A56EA"/>
    <w:rsid w:val="007A6082"/>
    <w:rsid w:val="007A686B"/>
    <w:rsid w:val="007A6971"/>
    <w:rsid w:val="007A79BD"/>
    <w:rsid w:val="007A7A5B"/>
    <w:rsid w:val="007B0585"/>
    <w:rsid w:val="007B11E6"/>
    <w:rsid w:val="007B430A"/>
    <w:rsid w:val="007B4840"/>
    <w:rsid w:val="007B51A9"/>
    <w:rsid w:val="007B5ADD"/>
    <w:rsid w:val="007B61E8"/>
    <w:rsid w:val="007B7067"/>
    <w:rsid w:val="007B7ABD"/>
    <w:rsid w:val="007C0BE2"/>
    <w:rsid w:val="007C4AF8"/>
    <w:rsid w:val="007C5C40"/>
    <w:rsid w:val="007C7209"/>
    <w:rsid w:val="007C76BD"/>
    <w:rsid w:val="007C7DEB"/>
    <w:rsid w:val="007D0BE7"/>
    <w:rsid w:val="007D1260"/>
    <w:rsid w:val="007D1DBC"/>
    <w:rsid w:val="007D2182"/>
    <w:rsid w:val="007D2CE8"/>
    <w:rsid w:val="007D2F8C"/>
    <w:rsid w:val="007D4A57"/>
    <w:rsid w:val="007D4B25"/>
    <w:rsid w:val="007D532F"/>
    <w:rsid w:val="007D621F"/>
    <w:rsid w:val="007D7393"/>
    <w:rsid w:val="007E01AA"/>
    <w:rsid w:val="007E2721"/>
    <w:rsid w:val="007E3E3E"/>
    <w:rsid w:val="007E44E2"/>
    <w:rsid w:val="007E5420"/>
    <w:rsid w:val="007E6B6D"/>
    <w:rsid w:val="007E7F48"/>
    <w:rsid w:val="007F1495"/>
    <w:rsid w:val="007F199A"/>
    <w:rsid w:val="007F32E0"/>
    <w:rsid w:val="007F38C6"/>
    <w:rsid w:val="007F4022"/>
    <w:rsid w:val="007F4975"/>
    <w:rsid w:val="007F525B"/>
    <w:rsid w:val="007F75D5"/>
    <w:rsid w:val="0080114F"/>
    <w:rsid w:val="00806373"/>
    <w:rsid w:val="00810076"/>
    <w:rsid w:val="008101DE"/>
    <w:rsid w:val="008105AE"/>
    <w:rsid w:val="0081293C"/>
    <w:rsid w:val="00813083"/>
    <w:rsid w:val="0081450A"/>
    <w:rsid w:val="00816015"/>
    <w:rsid w:val="0081643E"/>
    <w:rsid w:val="00817826"/>
    <w:rsid w:val="00817CB6"/>
    <w:rsid w:val="008204A7"/>
    <w:rsid w:val="00820939"/>
    <w:rsid w:val="00821855"/>
    <w:rsid w:val="00824242"/>
    <w:rsid w:val="008252BA"/>
    <w:rsid w:val="00825C43"/>
    <w:rsid w:val="008261B0"/>
    <w:rsid w:val="008264EB"/>
    <w:rsid w:val="00826C2E"/>
    <w:rsid w:val="00826C40"/>
    <w:rsid w:val="00831BE0"/>
    <w:rsid w:val="00833D10"/>
    <w:rsid w:val="008347BF"/>
    <w:rsid w:val="00834906"/>
    <w:rsid w:val="0083587A"/>
    <w:rsid w:val="00836BEB"/>
    <w:rsid w:val="00836D24"/>
    <w:rsid w:val="008403DD"/>
    <w:rsid w:val="00842C83"/>
    <w:rsid w:val="00843411"/>
    <w:rsid w:val="0085025C"/>
    <w:rsid w:val="00850AAC"/>
    <w:rsid w:val="00851606"/>
    <w:rsid w:val="00851CF4"/>
    <w:rsid w:val="008528E7"/>
    <w:rsid w:val="0085457F"/>
    <w:rsid w:val="00854701"/>
    <w:rsid w:val="00854C94"/>
    <w:rsid w:val="00855F42"/>
    <w:rsid w:val="008560FD"/>
    <w:rsid w:val="00856174"/>
    <w:rsid w:val="008603CB"/>
    <w:rsid w:val="0086159F"/>
    <w:rsid w:val="00861899"/>
    <w:rsid w:val="00862C25"/>
    <w:rsid w:val="00862E40"/>
    <w:rsid w:val="00862F4D"/>
    <w:rsid w:val="008632D3"/>
    <w:rsid w:val="00865264"/>
    <w:rsid w:val="00866B34"/>
    <w:rsid w:val="0086732C"/>
    <w:rsid w:val="008723D1"/>
    <w:rsid w:val="00872E1A"/>
    <w:rsid w:val="00873032"/>
    <w:rsid w:val="00874617"/>
    <w:rsid w:val="00875B0D"/>
    <w:rsid w:val="0087670B"/>
    <w:rsid w:val="0087672E"/>
    <w:rsid w:val="00880C0A"/>
    <w:rsid w:val="00881B52"/>
    <w:rsid w:val="0088403D"/>
    <w:rsid w:val="00884099"/>
    <w:rsid w:val="008840B9"/>
    <w:rsid w:val="008852ED"/>
    <w:rsid w:val="00885D08"/>
    <w:rsid w:val="00886531"/>
    <w:rsid w:val="008870C0"/>
    <w:rsid w:val="00890968"/>
    <w:rsid w:val="00892265"/>
    <w:rsid w:val="00893442"/>
    <w:rsid w:val="00893848"/>
    <w:rsid w:val="00893C42"/>
    <w:rsid w:val="00895B75"/>
    <w:rsid w:val="00895DAA"/>
    <w:rsid w:val="008A1571"/>
    <w:rsid w:val="008A1587"/>
    <w:rsid w:val="008A36A3"/>
    <w:rsid w:val="008A44A0"/>
    <w:rsid w:val="008A465C"/>
    <w:rsid w:val="008A5A6B"/>
    <w:rsid w:val="008A5AF7"/>
    <w:rsid w:val="008A6852"/>
    <w:rsid w:val="008A6867"/>
    <w:rsid w:val="008A6AC2"/>
    <w:rsid w:val="008A7029"/>
    <w:rsid w:val="008A7C4B"/>
    <w:rsid w:val="008B0700"/>
    <w:rsid w:val="008B2B70"/>
    <w:rsid w:val="008B31D3"/>
    <w:rsid w:val="008B3482"/>
    <w:rsid w:val="008B4847"/>
    <w:rsid w:val="008B5AE1"/>
    <w:rsid w:val="008B5CFB"/>
    <w:rsid w:val="008B7D3B"/>
    <w:rsid w:val="008C05D0"/>
    <w:rsid w:val="008C0741"/>
    <w:rsid w:val="008C1A53"/>
    <w:rsid w:val="008C2D00"/>
    <w:rsid w:val="008C3402"/>
    <w:rsid w:val="008C3810"/>
    <w:rsid w:val="008C5A01"/>
    <w:rsid w:val="008C67AE"/>
    <w:rsid w:val="008C68ED"/>
    <w:rsid w:val="008C6B35"/>
    <w:rsid w:val="008C7A52"/>
    <w:rsid w:val="008D1F10"/>
    <w:rsid w:val="008D297D"/>
    <w:rsid w:val="008D2CD2"/>
    <w:rsid w:val="008D3D04"/>
    <w:rsid w:val="008D533B"/>
    <w:rsid w:val="008D688C"/>
    <w:rsid w:val="008E0A26"/>
    <w:rsid w:val="008E11F7"/>
    <w:rsid w:val="008E2A8E"/>
    <w:rsid w:val="008E2AED"/>
    <w:rsid w:val="008E30C5"/>
    <w:rsid w:val="008E4B76"/>
    <w:rsid w:val="008E54EE"/>
    <w:rsid w:val="008E5C37"/>
    <w:rsid w:val="008E6E66"/>
    <w:rsid w:val="008E7215"/>
    <w:rsid w:val="008E7E3C"/>
    <w:rsid w:val="008F17FF"/>
    <w:rsid w:val="008F2311"/>
    <w:rsid w:val="008F24E3"/>
    <w:rsid w:val="008F298A"/>
    <w:rsid w:val="008F2C47"/>
    <w:rsid w:val="008F545B"/>
    <w:rsid w:val="008F5755"/>
    <w:rsid w:val="008F5B6C"/>
    <w:rsid w:val="008F720F"/>
    <w:rsid w:val="009007C0"/>
    <w:rsid w:val="00900B82"/>
    <w:rsid w:val="00902FBA"/>
    <w:rsid w:val="00903611"/>
    <w:rsid w:val="00903929"/>
    <w:rsid w:val="0090694A"/>
    <w:rsid w:val="009069B4"/>
    <w:rsid w:val="0091035D"/>
    <w:rsid w:val="0091083A"/>
    <w:rsid w:val="0091265C"/>
    <w:rsid w:val="00912DE3"/>
    <w:rsid w:val="00912F3C"/>
    <w:rsid w:val="009135F8"/>
    <w:rsid w:val="00915F2B"/>
    <w:rsid w:val="009166B2"/>
    <w:rsid w:val="009170FC"/>
    <w:rsid w:val="009214E3"/>
    <w:rsid w:val="00923837"/>
    <w:rsid w:val="009249D6"/>
    <w:rsid w:val="00924EC6"/>
    <w:rsid w:val="0092563F"/>
    <w:rsid w:val="00925B87"/>
    <w:rsid w:val="00926FE6"/>
    <w:rsid w:val="00927EF1"/>
    <w:rsid w:val="00930209"/>
    <w:rsid w:val="009312D2"/>
    <w:rsid w:val="00931E03"/>
    <w:rsid w:val="0093265C"/>
    <w:rsid w:val="009341EF"/>
    <w:rsid w:val="009349AF"/>
    <w:rsid w:val="00935E9D"/>
    <w:rsid w:val="0093718B"/>
    <w:rsid w:val="00937D23"/>
    <w:rsid w:val="009400B8"/>
    <w:rsid w:val="00941095"/>
    <w:rsid w:val="00941F54"/>
    <w:rsid w:val="009426F1"/>
    <w:rsid w:val="0094278E"/>
    <w:rsid w:val="00942CE9"/>
    <w:rsid w:val="00943BF9"/>
    <w:rsid w:val="0094442F"/>
    <w:rsid w:val="00945113"/>
    <w:rsid w:val="00947272"/>
    <w:rsid w:val="009473EC"/>
    <w:rsid w:val="009479AE"/>
    <w:rsid w:val="009509C0"/>
    <w:rsid w:val="009517B8"/>
    <w:rsid w:val="00951F2F"/>
    <w:rsid w:val="00954F82"/>
    <w:rsid w:val="00960C01"/>
    <w:rsid w:val="00961878"/>
    <w:rsid w:val="00961D2C"/>
    <w:rsid w:val="00962ED2"/>
    <w:rsid w:val="00964B28"/>
    <w:rsid w:val="00967092"/>
    <w:rsid w:val="00967BEB"/>
    <w:rsid w:val="00967D92"/>
    <w:rsid w:val="00971E7D"/>
    <w:rsid w:val="009724C1"/>
    <w:rsid w:val="00973521"/>
    <w:rsid w:val="00976177"/>
    <w:rsid w:val="00976A80"/>
    <w:rsid w:val="00976E3C"/>
    <w:rsid w:val="00977866"/>
    <w:rsid w:val="00977B2D"/>
    <w:rsid w:val="00987ABF"/>
    <w:rsid w:val="0099352D"/>
    <w:rsid w:val="00997575"/>
    <w:rsid w:val="00997874"/>
    <w:rsid w:val="009978F0"/>
    <w:rsid w:val="009A051B"/>
    <w:rsid w:val="009A126C"/>
    <w:rsid w:val="009A1801"/>
    <w:rsid w:val="009A19FA"/>
    <w:rsid w:val="009A1BAA"/>
    <w:rsid w:val="009A1EEA"/>
    <w:rsid w:val="009A2BBC"/>
    <w:rsid w:val="009A34F6"/>
    <w:rsid w:val="009A471F"/>
    <w:rsid w:val="009A576C"/>
    <w:rsid w:val="009B2570"/>
    <w:rsid w:val="009B25B2"/>
    <w:rsid w:val="009B2806"/>
    <w:rsid w:val="009B3764"/>
    <w:rsid w:val="009C0B80"/>
    <w:rsid w:val="009C30B9"/>
    <w:rsid w:val="009C3734"/>
    <w:rsid w:val="009C713E"/>
    <w:rsid w:val="009D1434"/>
    <w:rsid w:val="009D1B8D"/>
    <w:rsid w:val="009D28A6"/>
    <w:rsid w:val="009D486A"/>
    <w:rsid w:val="009D71F8"/>
    <w:rsid w:val="009D7235"/>
    <w:rsid w:val="009D7C87"/>
    <w:rsid w:val="009E1DC3"/>
    <w:rsid w:val="009E3AB1"/>
    <w:rsid w:val="009E41C7"/>
    <w:rsid w:val="009E4E3A"/>
    <w:rsid w:val="009E5D6F"/>
    <w:rsid w:val="009E79C0"/>
    <w:rsid w:val="009F0797"/>
    <w:rsid w:val="009F1CC7"/>
    <w:rsid w:val="009F29B3"/>
    <w:rsid w:val="009F3B3C"/>
    <w:rsid w:val="009F3B86"/>
    <w:rsid w:val="009F456E"/>
    <w:rsid w:val="009F48EC"/>
    <w:rsid w:val="009F4941"/>
    <w:rsid w:val="009F5067"/>
    <w:rsid w:val="009F5A7D"/>
    <w:rsid w:val="00A00166"/>
    <w:rsid w:val="00A03D67"/>
    <w:rsid w:val="00A056E7"/>
    <w:rsid w:val="00A06000"/>
    <w:rsid w:val="00A063C3"/>
    <w:rsid w:val="00A0680D"/>
    <w:rsid w:val="00A06BED"/>
    <w:rsid w:val="00A06EE8"/>
    <w:rsid w:val="00A0748F"/>
    <w:rsid w:val="00A07C6E"/>
    <w:rsid w:val="00A119E7"/>
    <w:rsid w:val="00A11A66"/>
    <w:rsid w:val="00A11C76"/>
    <w:rsid w:val="00A13C24"/>
    <w:rsid w:val="00A17C8B"/>
    <w:rsid w:val="00A2204E"/>
    <w:rsid w:val="00A24EBB"/>
    <w:rsid w:val="00A26C46"/>
    <w:rsid w:val="00A26EE3"/>
    <w:rsid w:val="00A314FE"/>
    <w:rsid w:val="00A32244"/>
    <w:rsid w:val="00A322ED"/>
    <w:rsid w:val="00A33C7E"/>
    <w:rsid w:val="00A34826"/>
    <w:rsid w:val="00A35AAC"/>
    <w:rsid w:val="00A4224D"/>
    <w:rsid w:val="00A42DB0"/>
    <w:rsid w:val="00A4512D"/>
    <w:rsid w:val="00A463DF"/>
    <w:rsid w:val="00A504B6"/>
    <w:rsid w:val="00A5086E"/>
    <w:rsid w:val="00A54160"/>
    <w:rsid w:val="00A55BB8"/>
    <w:rsid w:val="00A60101"/>
    <w:rsid w:val="00A6235D"/>
    <w:rsid w:val="00A627C2"/>
    <w:rsid w:val="00A62B45"/>
    <w:rsid w:val="00A646D7"/>
    <w:rsid w:val="00A647B3"/>
    <w:rsid w:val="00A705AF"/>
    <w:rsid w:val="00A70703"/>
    <w:rsid w:val="00A70D8C"/>
    <w:rsid w:val="00A71390"/>
    <w:rsid w:val="00A715C0"/>
    <w:rsid w:val="00A71999"/>
    <w:rsid w:val="00A73200"/>
    <w:rsid w:val="00A733E0"/>
    <w:rsid w:val="00A73F8D"/>
    <w:rsid w:val="00A740B9"/>
    <w:rsid w:val="00A742AD"/>
    <w:rsid w:val="00A75FDA"/>
    <w:rsid w:val="00A76176"/>
    <w:rsid w:val="00A8083A"/>
    <w:rsid w:val="00A81566"/>
    <w:rsid w:val="00A831BB"/>
    <w:rsid w:val="00A84CC7"/>
    <w:rsid w:val="00A86C3C"/>
    <w:rsid w:val="00A87281"/>
    <w:rsid w:val="00A87A27"/>
    <w:rsid w:val="00A87E7D"/>
    <w:rsid w:val="00A9006F"/>
    <w:rsid w:val="00A92980"/>
    <w:rsid w:val="00A92E80"/>
    <w:rsid w:val="00A93902"/>
    <w:rsid w:val="00A94E0C"/>
    <w:rsid w:val="00A95203"/>
    <w:rsid w:val="00AA0255"/>
    <w:rsid w:val="00AA0D91"/>
    <w:rsid w:val="00AA27A0"/>
    <w:rsid w:val="00AA3F84"/>
    <w:rsid w:val="00AA5D46"/>
    <w:rsid w:val="00AA6095"/>
    <w:rsid w:val="00AA63B5"/>
    <w:rsid w:val="00AA74A7"/>
    <w:rsid w:val="00AA7F95"/>
    <w:rsid w:val="00AB0CF6"/>
    <w:rsid w:val="00AB1D58"/>
    <w:rsid w:val="00AB2110"/>
    <w:rsid w:val="00AB244C"/>
    <w:rsid w:val="00AB319C"/>
    <w:rsid w:val="00AB3B9D"/>
    <w:rsid w:val="00AB3C87"/>
    <w:rsid w:val="00AB41CF"/>
    <w:rsid w:val="00AB4E88"/>
    <w:rsid w:val="00AB57C4"/>
    <w:rsid w:val="00AB5C97"/>
    <w:rsid w:val="00AB62A7"/>
    <w:rsid w:val="00AB69B8"/>
    <w:rsid w:val="00AB6B59"/>
    <w:rsid w:val="00AC0DBD"/>
    <w:rsid w:val="00AC29A9"/>
    <w:rsid w:val="00AC2C0B"/>
    <w:rsid w:val="00AC3369"/>
    <w:rsid w:val="00AC39F5"/>
    <w:rsid w:val="00AC4969"/>
    <w:rsid w:val="00AC4DA6"/>
    <w:rsid w:val="00AC55C0"/>
    <w:rsid w:val="00AC571E"/>
    <w:rsid w:val="00AC798C"/>
    <w:rsid w:val="00AD12BE"/>
    <w:rsid w:val="00AD3220"/>
    <w:rsid w:val="00AD3964"/>
    <w:rsid w:val="00AD43D7"/>
    <w:rsid w:val="00AD5C64"/>
    <w:rsid w:val="00AD665E"/>
    <w:rsid w:val="00AD6757"/>
    <w:rsid w:val="00AE1C65"/>
    <w:rsid w:val="00AE33B5"/>
    <w:rsid w:val="00AE342E"/>
    <w:rsid w:val="00AE40D9"/>
    <w:rsid w:val="00AE50EF"/>
    <w:rsid w:val="00AE579D"/>
    <w:rsid w:val="00AE5A70"/>
    <w:rsid w:val="00AE5E9A"/>
    <w:rsid w:val="00AE5EF3"/>
    <w:rsid w:val="00AE64AF"/>
    <w:rsid w:val="00AE698C"/>
    <w:rsid w:val="00AE7806"/>
    <w:rsid w:val="00AE794E"/>
    <w:rsid w:val="00AE7B87"/>
    <w:rsid w:val="00AF090F"/>
    <w:rsid w:val="00AF20AE"/>
    <w:rsid w:val="00AF2104"/>
    <w:rsid w:val="00AF2643"/>
    <w:rsid w:val="00AF2986"/>
    <w:rsid w:val="00AF4479"/>
    <w:rsid w:val="00AF6365"/>
    <w:rsid w:val="00AF73BE"/>
    <w:rsid w:val="00AF7A08"/>
    <w:rsid w:val="00B01CC2"/>
    <w:rsid w:val="00B041A6"/>
    <w:rsid w:val="00B053AF"/>
    <w:rsid w:val="00B058E4"/>
    <w:rsid w:val="00B07F06"/>
    <w:rsid w:val="00B11371"/>
    <w:rsid w:val="00B1159E"/>
    <w:rsid w:val="00B122C7"/>
    <w:rsid w:val="00B13971"/>
    <w:rsid w:val="00B16410"/>
    <w:rsid w:val="00B16F68"/>
    <w:rsid w:val="00B2068B"/>
    <w:rsid w:val="00B23757"/>
    <w:rsid w:val="00B23D13"/>
    <w:rsid w:val="00B248E5"/>
    <w:rsid w:val="00B24C68"/>
    <w:rsid w:val="00B24DCE"/>
    <w:rsid w:val="00B26037"/>
    <w:rsid w:val="00B27FA7"/>
    <w:rsid w:val="00B316FE"/>
    <w:rsid w:val="00B3503B"/>
    <w:rsid w:val="00B3647F"/>
    <w:rsid w:val="00B370DD"/>
    <w:rsid w:val="00B37145"/>
    <w:rsid w:val="00B4278B"/>
    <w:rsid w:val="00B42851"/>
    <w:rsid w:val="00B44898"/>
    <w:rsid w:val="00B45654"/>
    <w:rsid w:val="00B45ACC"/>
    <w:rsid w:val="00B467FC"/>
    <w:rsid w:val="00B47A7A"/>
    <w:rsid w:val="00B47C03"/>
    <w:rsid w:val="00B50BC2"/>
    <w:rsid w:val="00B50D2A"/>
    <w:rsid w:val="00B53DF0"/>
    <w:rsid w:val="00B549B6"/>
    <w:rsid w:val="00B552E1"/>
    <w:rsid w:val="00B5584B"/>
    <w:rsid w:val="00B57F88"/>
    <w:rsid w:val="00B61715"/>
    <w:rsid w:val="00B62BD5"/>
    <w:rsid w:val="00B63994"/>
    <w:rsid w:val="00B651A5"/>
    <w:rsid w:val="00B65406"/>
    <w:rsid w:val="00B6604B"/>
    <w:rsid w:val="00B66D45"/>
    <w:rsid w:val="00B70429"/>
    <w:rsid w:val="00B70C8B"/>
    <w:rsid w:val="00B7110C"/>
    <w:rsid w:val="00B713A5"/>
    <w:rsid w:val="00B71C31"/>
    <w:rsid w:val="00B7220D"/>
    <w:rsid w:val="00B72FC2"/>
    <w:rsid w:val="00B75636"/>
    <w:rsid w:val="00B76F5B"/>
    <w:rsid w:val="00B777AE"/>
    <w:rsid w:val="00B8088D"/>
    <w:rsid w:val="00B82282"/>
    <w:rsid w:val="00B82FD7"/>
    <w:rsid w:val="00B837A7"/>
    <w:rsid w:val="00B852D5"/>
    <w:rsid w:val="00B86DCA"/>
    <w:rsid w:val="00B87E06"/>
    <w:rsid w:val="00B905C2"/>
    <w:rsid w:val="00B906C8"/>
    <w:rsid w:val="00B9116C"/>
    <w:rsid w:val="00B9159C"/>
    <w:rsid w:val="00B91B31"/>
    <w:rsid w:val="00B9353D"/>
    <w:rsid w:val="00B93868"/>
    <w:rsid w:val="00B93E7B"/>
    <w:rsid w:val="00B94C14"/>
    <w:rsid w:val="00B952BC"/>
    <w:rsid w:val="00B952C0"/>
    <w:rsid w:val="00B95B7C"/>
    <w:rsid w:val="00B9632B"/>
    <w:rsid w:val="00B96BC9"/>
    <w:rsid w:val="00B96E5C"/>
    <w:rsid w:val="00B97E63"/>
    <w:rsid w:val="00BA03DC"/>
    <w:rsid w:val="00BA1603"/>
    <w:rsid w:val="00BA1CB8"/>
    <w:rsid w:val="00BA40FB"/>
    <w:rsid w:val="00BA7993"/>
    <w:rsid w:val="00BB0447"/>
    <w:rsid w:val="00BB2652"/>
    <w:rsid w:val="00BB27E6"/>
    <w:rsid w:val="00BB5191"/>
    <w:rsid w:val="00BB5984"/>
    <w:rsid w:val="00BC2CE6"/>
    <w:rsid w:val="00BC3D68"/>
    <w:rsid w:val="00BC4DE2"/>
    <w:rsid w:val="00BC5909"/>
    <w:rsid w:val="00BC5A31"/>
    <w:rsid w:val="00BC672F"/>
    <w:rsid w:val="00BD095A"/>
    <w:rsid w:val="00BD19B4"/>
    <w:rsid w:val="00BD2548"/>
    <w:rsid w:val="00BD358D"/>
    <w:rsid w:val="00BD36FA"/>
    <w:rsid w:val="00BD3800"/>
    <w:rsid w:val="00BD38CC"/>
    <w:rsid w:val="00BD5855"/>
    <w:rsid w:val="00BD594A"/>
    <w:rsid w:val="00BD78D0"/>
    <w:rsid w:val="00BE011C"/>
    <w:rsid w:val="00BE04DE"/>
    <w:rsid w:val="00BE073F"/>
    <w:rsid w:val="00BE1834"/>
    <w:rsid w:val="00BE2699"/>
    <w:rsid w:val="00BE4368"/>
    <w:rsid w:val="00BE4F76"/>
    <w:rsid w:val="00BE7DEC"/>
    <w:rsid w:val="00BF08DA"/>
    <w:rsid w:val="00BF143B"/>
    <w:rsid w:val="00BF2482"/>
    <w:rsid w:val="00BF24AE"/>
    <w:rsid w:val="00BF24FB"/>
    <w:rsid w:val="00BF3ED3"/>
    <w:rsid w:val="00BF5902"/>
    <w:rsid w:val="00BF73C4"/>
    <w:rsid w:val="00BF76E6"/>
    <w:rsid w:val="00C005AC"/>
    <w:rsid w:val="00C00FB7"/>
    <w:rsid w:val="00C026A4"/>
    <w:rsid w:val="00C06F32"/>
    <w:rsid w:val="00C07933"/>
    <w:rsid w:val="00C10AE5"/>
    <w:rsid w:val="00C10F92"/>
    <w:rsid w:val="00C110A8"/>
    <w:rsid w:val="00C112B5"/>
    <w:rsid w:val="00C11C50"/>
    <w:rsid w:val="00C12485"/>
    <w:rsid w:val="00C149A8"/>
    <w:rsid w:val="00C14A03"/>
    <w:rsid w:val="00C15E62"/>
    <w:rsid w:val="00C17DF4"/>
    <w:rsid w:val="00C20861"/>
    <w:rsid w:val="00C213D2"/>
    <w:rsid w:val="00C22054"/>
    <w:rsid w:val="00C22A67"/>
    <w:rsid w:val="00C22F92"/>
    <w:rsid w:val="00C23140"/>
    <w:rsid w:val="00C245EB"/>
    <w:rsid w:val="00C24620"/>
    <w:rsid w:val="00C25A80"/>
    <w:rsid w:val="00C26298"/>
    <w:rsid w:val="00C264D3"/>
    <w:rsid w:val="00C265DE"/>
    <w:rsid w:val="00C27F1F"/>
    <w:rsid w:val="00C3134E"/>
    <w:rsid w:val="00C31BB6"/>
    <w:rsid w:val="00C32312"/>
    <w:rsid w:val="00C331BD"/>
    <w:rsid w:val="00C360C4"/>
    <w:rsid w:val="00C36406"/>
    <w:rsid w:val="00C3728D"/>
    <w:rsid w:val="00C37D4E"/>
    <w:rsid w:val="00C4002C"/>
    <w:rsid w:val="00C4168E"/>
    <w:rsid w:val="00C420C2"/>
    <w:rsid w:val="00C42A36"/>
    <w:rsid w:val="00C42A53"/>
    <w:rsid w:val="00C42C09"/>
    <w:rsid w:val="00C43838"/>
    <w:rsid w:val="00C43DDB"/>
    <w:rsid w:val="00C44E85"/>
    <w:rsid w:val="00C44F72"/>
    <w:rsid w:val="00C475F7"/>
    <w:rsid w:val="00C476FE"/>
    <w:rsid w:val="00C47B20"/>
    <w:rsid w:val="00C50B92"/>
    <w:rsid w:val="00C52227"/>
    <w:rsid w:val="00C538F4"/>
    <w:rsid w:val="00C53CD0"/>
    <w:rsid w:val="00C55ABB"/>
    <w:rsid w:val="00C561F7"/>
    <w:rsid w:val="00C6115B"/>
    <w:rsid w:val="00C61A31"/>
    <w:rsid w:val="00C61B12"/>
    <w:rsid w:val="00C61FE2"/>
    <w:rsid w:val="00C6260B"/>
    <w:rsid w:val="00C62B83"/>
    <w:rsid w:val="00C64FC8"/>
    <w:rsid w:val="00C66F34"/>
    <w:rsid w:val="00C67F35"/>
    <w:rsid w:val="00C67F7D"/>
    <w:rsid w:val="00C713FC"/>
    <w:rsid w:val="00C71491"/>
    <w:rsid w:val="00C71E53"/>
    <w:rsid w:val="00C73839"/>
    <w:rsid w:val="00C74515"/>
    <w:rsid w:val="00C74F10"/>
    <w:rsid w:val="00C751AD"/>
    <w:rsid w:val="00C75FFF"/>
    <w:rsid w:val="00C814B0"/>
    <w:rsid w:val="00C82071"/>
    <w:rsid w:val="00C82164"/>
    <w:rsid w:val="00C82512"/>
    <w:rsid w:val="00C828E4"/>
    <w:rsid w:val="00C84360"/>
    <w:rsid w:val="00C84B12"/>
    <w:rsid w:val="00C84F03"/>
    <w:rsid w:val="00C87567"/>
    <w:rsid w:val="00C927A0"/>
    <w:rsid w:val="00C94391"/>
    <w:rsid w:val="00C96CD7"/>
    <w:rsid w:val="00CA05A2"/>
    <w:rsid w:val="00CA4491"/>
    <w:rsid w:val="00CA58D6"/>
    <w:rsid w:val="00CA5CC1"/>
    <w:rsid w:val="00CA5D44"/>
    <w:rsid w:val="00CA61A0"/>
    <w:rsid w:val="00CB1E01"/>
    <w:rsid w:val="00CB4F83"/>
    <w:rsid w:val="00CB5108"/>
    <w:rsid w:val="00CB5469"/>
    <w:rsid w:val="00CB54B7"/>
    <w:rsid w:val="00CB5B1A"/>
    <w:rsid w:val="00CB5E9B"/>
    <w:rsid w:val="00CB631D"/>
    <w:rsid w:val="00CB68C3"/>
    <w:rsid w:val="00CC0C5F"/>
    <w:rsid w:val="00CC13F5"/>
    <w:rsid w:val="00CC29CC"/>
    <w:rsid w:val="00CC31CD"/>
    <w:rsid w:val="00CC3AC7"/>
    <w:rsid w:val="00CC437C"/>
    <w:rsid w:val="00CC5395"/>
    <w:rsid w:val="00CC7F82"/>
    <w:rsid w:val="00CD022A"/>
    <w:rsid w:val="00CD0699"/>
    <w:rsid w:val="00CD0C44"/>
    <w:rsid w:val="00CD27C4"/>
    <w:rsid w:val="00CD3864"/>
    <w:rsid w:val="00CD47E6"/>
    <w:rsid w:val="00CD5385"/>
    <w:rsid w:val="00CD5707"/>
    <w:rsid w:val="00CD67CF"/>
    <w:rsid w:val="00CE058D"/>
    <w:rsid w:val="00CE135C"/>
    <w:rsid w:val="00CE26E7"/>
    <w:rsid w:val="00CE2942"/>
    <w:rsid w:val="00CE42CB"/>
    <w:rsid w:val="00CE4BAF"/>
    <w:rsid w:val="00CE5025"/>
    <w:rsid w:val="00CE51AA"/>
    <w:rsid w:val="00CE522D"/>
    <w:rsid w:val="00CE7313"/>
    <w:rsid w:val="00CF0533"/>
    <w:rsid w:val="00CF420B"/>
    <w:rsid w:val="00CF42D5"/>
    <w:rsid w:val="00CF506D"/>
    <w:rsid w:val="00CF67E5"/>
    <w:rsid w:val="00CF75EF"/>
    <w:rsid w:val="00D006F0"/>
    <w:rsid w:val="00D00D3B"/>
    <w:rsid w:val="00D01C97"/>
    <w:rsid w:val="00D032E1"/>
    <w:rsid w:val="00D048BC"/>
    <w:rsid w:val="00D052DB"/>
    <w:rsid w:val="00D05679"/>
    <w:rsid w:val="00D06CEA"/>
    <w:rsid w:val="00D07067"/>
    <w:rsid w:val="00D0742E"/>
    <w:rsid w:val="00D07ED4"/>
    <w:rsid w:val="00D114F5"/>
    <w:rsid w:val="00D120AF"/>
    <w:rsid w:val="00D12920"/>
    <w:rsid w:val="00D12B3F"/>
    <w:rsid w:val="00D13121"/>
    <w:rsid w:val="00D132F2"/>
    <w:rsid w:val="00D1348D"/>
    <w:rsid w:val="00D13B26"/>
    <w:rsid w:val="00D1446C"/>
    <w:rsid w:val="00D14BE3"/>
    <w:rsid w:val="00D15766"/>
    <w:rsid w:val="00D16657"/>
    <w:rsid w:val="00D166A5"/>
    <w:rsid w:val="00D225CD"/>
    <w:rsid w:val="00D22FEF"/>
    <w:rsid w:val="00D23292"/>
    <w:rsid w:val="00D270A7"/>
    <w:rsid w:val="00D334ED"/>
    <w:rsid w:val="00D33596"/>
    <w:rsid w:val="00D35552"/>
    <w:rsid w:val="00D37988"/>
    <w:rsid w:val="00D4087D"/>
    <w:rsid w:val="00D44D04"/>
    <w:rsid w:val="00D44F20"/>
    <w:rsid w:val="00D460C1"/>
    <w:rsid w:val="00D4656D"/>
    <w:rsid w:val="00D507BA"/>
    <w:rsid w:val="00D50938"/>
    <w:rsid w:val="00D53024"/>
    <w:rsid w:val="00D54E01"/>
    <w:rsid w:val="00D560D6"/>
    <w:rsid w:val="00D56E7D"/>
    <w:rsid w:val="00D61162"/>
    <w:rsid w:val="00D61612"/>
    <w:rsid w:val="00D64AE2"/>
    <w:rsid w:val="00D6757E"/>
    <w:rsid w:val="00D67820"/>
    <w:rsid w:val="00D67BF1"/>
    <w:rsid w:val="00D70D97"/>
    <w:rsid w:val="00D71527"/>
    <w:rsid w:val="00D717B8"/>
    <w:rsid w:val="00D718DB"/>
    <w:rsid w:val="00D71C94"/>
    <w:rsid w:val="00D71EBC"/>
    <w:rsid w:val="00D740A4"/>
    <w:rsid w:val="00D74DAB"/>
    <w:rsid w:val="00D74DDA"/>
    <w:rsid w:val="00D757CB"/>
    <w:rsid w:val="00D807EA"/>
    <w:rsid w:val="00D8173D"/>
    <w:rsid w:val="00D82108"/>
    <w:rsid w:val="00D822D7"/>
    <w:rsid w:val="00D82CED"/>
    <w:rsid w:val="00D843F4"/>
    <w:rsid w:val="00D84E02"/>
    <w:rsid w:val="00D8517D"/>
    <w:rsid w:val="00D85CE1"/>
    <w:rsid w:val="00D86FDF"/>
    <w:rsid w:val="00D87DCB"/>
    <w:rsid w:val="00D915A8"/>
    <w:rsid w:val="00D91BA6"/>
    <w:rsid w:val="00D93CBF"/>
    <w:rsid w:val="00D9572C"/>
    <w:rsid w:val="00D95D5A"/>
    <w:rsid w:val="00D964ED"/>
    <w:rsid w:val="00D97A24"/>
    <w:rsid w:val="00DA0B95"/>
    <w:rsid w:val="00DA1607"/>
    <w:rsid w:val="00DA2B6F"/>
    <w:rsid w:val="00DA4BCE"/>
    <w:rsid w:val="00DB15F8"/>
    <w:rsid w:val="00DB2ED6"/>
    <w:rsid w:val="00DB42D2"/>
    <w:rsid w:val="00DB63E8"/>
    <w:rsid w:val="00DB6D16"/>
    <w:rsid w:val="00DC07B4"/>
    <w:rsid w:val="00DC0840"/>
    <w:rsid w:val="00DC53F4"/>
    <w:rsid w:val="00DC5D84"/>
    <w:rsid w:val="00DC5FE4"/>
    <w:rsid w:val="00DD4870"/>
    <w:rsid w:val="00DD4BB3"/>
    <w:rsid w:val="00DD5473"/>
    <w:rsid w:val="00DD68E8"/>
    <w:rsid w:val="00DD7DB3"/>
    <w:rsid w:val="00DD7FC5"/>
    <w:rsid w:val="00DE15D0"/>
    <w:rsid w:val="00DE1883"/>
    <w:rsid w:val="00DE225F"/>
    <w:rsid w:val="00DE278A"/>
    <w:rsid w:val="00DE33B6"/>
    <w:rsid w:val="00DE67B4"/>
    <w:rsid w:val="00DF2874"/>
    <w:rsid w:val="00DF3072"/>
    <w:rsid w:val="00DF3ED0"/>
    <w:rsid w:val="00DF43FE"/>
    <w:rsid w:val="00DF7A6F"/>
    <w:rsid w:val="00E00166"/>
    <w:rsid w:val="00E00356"/>
    <w:rsid w:val="00E0065E"/>
    <w:rsid w:val="00E02856"/>
    <w:rsid w:val="00E02AA2"/>
    <w:rsid w:val="00E03108"/>
    <w:rsid w:val="00E0580B"/>
    <w:rsid w:val="00E065BD"/>
    <w:rsid w:val="00E0791F"/>
    <w:rsid w:val="00E10D87"/>
    <w:rsid w:val="00E124F8"/>
    <w:rsid w:val="00E1317D"/>
    <w:rsid w:val="00E20D4E"/>
    <w:rsid w:val="00E21197"/>
    <w:rsid w:val="00E235A4"/>
    <w:rsid w:val="00E23A05"/>
    <w:rsid w:val="00E23CAE"/>
    <w:rsid w:val="00E2427B"/>
    <w:rsid w:val="00E24490"/>
    <w:rsid w:val="00E24961"/>
    <w:rsid w:val="00E258AB"/>
    <w:rsid w:val="00E26A45"/>
    <w:rsid w:val="00E27526"/>
    <w:rsid w:val="00E31518"/>
    <w:rsid w:val="00E328E0"/>
    <w:rsid w:val="00E32F55"/>
    <w:rsid w:val="00E330BD"/>
    <w:rsid w:val="00E33916"/>
    <w:rsid w:val="00E340E6"/>
    <w:rsid w:val="00E342AE"/>
    <w:rsid w:val="00E35C34"/>
    <w:rsid w:val="00E361F4"/>
    <w:rsid w:val="00E37820"/>
    <w:rsid w:val="00E40606"/>
    <w:rsid w:val="00E409EE"/>
    <w:rsid w:val="00E40EA1"/>
    <w:rsid w:val="00E40ECF"/>
    <w:rsid w:val="00E41CC2"/>
    <w:rsid w:val="00E428E0"/>
    <w:rsid w:val="00E42A18"/>
    <w:rsid w:val="00E42E90"/>
    <w:rsid w:val="00E44002"/>
    <w:rsid w:val="00E4485A"/>
    <w:rsid w:val="00E44AB4"/>
    <w:rsid w:val="00E46ADE"/>
    <w:rsid w:val="00E471CD"/>
    <w:rsid w:val="00E47BB7"/>
    <w:rsid w:val="00E50512"/>
    <w:rsid w:val="00E516B7"/>
    <w:rsid w:val="00E51848"/>
    <w:rsid w:val="00E54954"/>
    <w:rsid w:val="00E576DC"/>
    <w:rsid w:val="00E57CD1"/>
    <w:rsid w:val="00E62F39"/>
    <w:rsid w:val="00E647B4"/>
    <w:rsid w:val="00E70398"/>
    <w:rsid w:val="00E7309B"/>
    <w:rsid w:val="00E7530B"/>
    <w:rsid w:val="00E77881"/>
    <w:rsid w:val="00E804D6"/>
    <w:rsid w:val="00E80F6D"/>
    <w:rsid w:val="00E82E13"/>
    <w:rsid w:val="00E845BD"/>
    <w:rsid w:val="00E86194"/>
    <w:rsid w:val="00E86B3F"/>
    <w:rsid w:val="00E876CE"/>
    <w:rsid w:val="00E9019B"/>
    <w:rsid w:val="00E90476"/>
    <w:rsid w:val="00E906E6"/>
    <w:rsid w:val="00E91509"/>
    <w:rsid w:val="00E92190"/>
    <w:rsid w:val="00E93CBD"/>
    <w:rsid w:val="00E954D9"/>
    <w:rsid w:val="00E96D74"/>
    <w:rsid w:val="00E973C6"/>
    <w:rsid w:val="00EA15DE"/>
    <w:rsid w:val="00EA1D4B"/>
    <w:rsid w:val="00EA23A5"/>
    <w:rsid w:val="00EA3823"/>
    <w:rsid w:val="00EA4780"/>
    <w:rsid w:val="00EA50E3"/>
    <w:rsid w:val="00EA5919"/>
    <w:rsid w:val="00EA69CD"/>
    <w:rsid w:val="00EA71DE"/>
    <w:rsid w:val="00EA76CE"/>
    <w:rsid w:val="00EA7CD5"/>
    <w:rsid w:val="00EA7F55"/>
    <w:rsid w:val="00EB0E10"/>
    <w:rsid w:val="00EB278F"/>
    <w:rsid w:val="00EB28D6"/>
    <w:rsid w:val="00EB3343"/>
    <w:rsid w:val="00EB33D6"/>
    <w:rsid w:val="00EB3D58"/>
    <w:rsid w:val="00EB7DD6"/>
    <w:rsid w:val="00EC081E"/>
    <w:rsid w:val="00EC0CEB"/>
    <w:rsid w:val="00EC31E8"/>
    <w:rsid w:val="00EC3A0B"/>
    <w:rsid w:val="00EC4949"/>
    <w:rsid w:val="00EC4C6C"/>
    <w:rsid w:val="00EC506A"/>
    <w:rsid w:val="00EC5E4C"/>
    <w:rsid w:val="00EC6A40"/>
    <w:rsid w:val="00EC6F4B"/>
    <w:rsid w:val="00ED010E"/>
    <w:rsid w:val="00ED12BE"/>
    <w:rsid w:val="00ED2715"/>
    <w:rsid w:val="00ED303E"/>
    <w:rsid w:val="00ED30BC"/>
    <w:rsid w:val="00ED327B"/>
    <w:rsid w:val="00ED3CAE"/>
    <w:rsid w:val="00ED3FEE"/>
    <w:rsid w:val="00EE1448"/>
    <w:rsid w:val="00EE1D02"/>
    <w:rsid w:val="00EE2CE5"/>
    <w:rsid w:val="00EE33B0"/>
    <w:rsid w:val="00EE482B"/>
    <w:rsid w:val="00EE4CC1"/>
    <w:rsid w:val="00EE4D0A"/>
    <w:rsid w:val="00EE6B55"/>
    <w:rsid w:val="00EE79DF"/>
    <w:rsid w:val="00EF00BB"/>
    <w:rsid w:val="00EF2A37"/>
    <w:rsid w:val="00EF2CBF"/>
    <w:rsid w:val="00EF2DFC"/>
    <w:rsid w:val="00EF45C7"/>
    <w:rsid w:val="00EF54A3"/>
    <w:rsid w:val="00F00303"/>
    <w:rsid w:val="00F01C11"/>
    <w:rsid w:val="00F027DC"/>
    <w:rsid w:val="00F0655D"/>
    <w:rsid w:val="00F071CF"/>
    <w:rsid w:val="00F117F5"/>
    <w:rsid w:val="00F12FF6"/>
    <w:rsid w:val="00F13912"/>
    <w:rsid w:val="00F1436A"/>
    <w:rsid w:val="00F147DF"/>
    <w:rsid w:val="00F1493E"/>
    <w:rsid w:val="00F14DF7"/>
    <w:rsid w:val="00F150C7"/>
    <w:rsid w:val="00F16A27"/>
    <w:rsid w:val="00F16D4C"/>
    <w:rsid w:val="00F17A45"/>
    <w:rsid w:val="00F206C2"/>
    <w:rsid w:val="00F2098A"/>
    <w:rsid w:val="00F22314"/>
    <w:rsid w:val="00F22781"/>
    <w:rsid w:val="00F22C3B"/>
    <w:rsid w:val="00F244CF"/>
    <w:rsid w:val="00F2503A"/>
    <w:rsid w:val="00F269FC"/>
    <w:rsid w:val="00F30CDF"/>
    <w:rsid w:val="00F31643"/>
    <w:rsid w:val="00F325C0"/>
    <w:rsid w:val="00F33D3C"/>
    <w:rsid w:val="00F33F05"/>
    <w:rsid w:val="00F3462F"/>
    <w:rsid w:val="00F3691B"/>
    <w:rsid w:val="00F37862"/>
    <w:rsid w:val="00F41D35"/>
    <w:rsid w:val="00F43ACD"/>
    <w:rsid w:val="00F452F9"/>
    <w:rsid w:val="00F457B1"/>
    <w:rsid w:val="00F45F05"/>
    <w:rsid w:val="00F467BA"/>
    <w:rsid w:val="00F46AA9"/>
    <w:rsid w:val="00F46CFE"/>
    <w:rsid w:val="00F47502"/>
    <w:rsid w:val="00F50F4E"/>
    <w:rsid w:val="00F517AC"/>
    <w:rsid w:val="00F527F1"/>
    <w:rsid w:val="00F528A1"/>
    <w:rsid w:val="00F53AAF"/>
    <w:rsid w:val="00F54C7D"/>
    <w:rsid w:val="00F5685C"/>
    <w:rsid w:val="00F57CBB"/>
    <w:rsid w:val="00F60BE1"/>
    <w:rsid w:val="00F60C08"/>
    <w:rsid w:val="00F61363"/>
    <w:rsid w:val="00F62B55"/>
    <w:rsid w:val="00F63A5D"/>
    <w:rsid w:val="00F6508D"/>
    <w:rsid w:val="00F656C2"/>
    <w:rsid w:val="00F6645E"/>
    <w:rsid w:val="00F674F0"/>
    <w:rsid w:val="00F678A2"/>
    <w:rsid w:val="00F67A8F"/>
    <w:rsid w:val="00F703D8"/>
    <w:rsid w:val="00F70647"/>
    <w:rsid w:val="00F72032"/>
    <w:rsid w:val="00F742EB"/>
    <w:rsid w:val="00F7439E"/>
    <w:rsid w:val="00F74C19"/>
    <w:rsid w:val="00F7567E"/>
    <w:rsid w:val="00F75EC6"/>
    <w:rsid w:val="00F75F9D"/>
    <w:rsid w:val="00F77500"/>
    <w:rsid w:val="00F81E0E"/>
    <w:rsid w:val="00F82B9B"/>
    <w:rsid w:val="00F8303A"/>
    <w:rsid w:val="00F85786"/>
    <w:rsid w:val="00F85E1D"/>
    <w:rsid w:val="00F85EA0"/>
    <w:rsid w:val="00F87F43"/>
    <w:rsid w:val="00F90B67"/>
    <w:rsid w:val="00F94C84"/>
    <w:rsid w:val="00F95AAD"/>
    <w:rsid w:val="00F95C1D"/>
    <w:rsid w:val="00F9690A"/>
    <w:rsid w:val="00F97DD4"/>
    <w:rsid w:val="00FA03D1"/>
    <w:rsid w:val="00FA0B9C"/>
    <w:rsid w:val="00FA0D18"/>
    <w:rsid w:val="00FA1367"/>
    <w:rsid w:val="00FA35C6"/>
    <w:rsid w:val="00FA3C3A"/>
    <w:rsid w:val="00FA4A65"/>
    <w:rsid w:val="00FA5101"/>
    <w:rsid w:val="00FA734A"/>
    <w:rsid w:val="00FA7851"/>
    <w:rsid w:val="00FA7CAB"/>
    <w:rsid w:val="00FB0E40"/>
    <w:rsid w:val="00FB1DE5"/>
    <w:rsid w:val="00FC0EDB"/>
    <w:rsid w:val="00FC23C5"/>
    <w:rsid w:val="00FC38FA"/>
    <w:rsid w:val="00FC4C4D"/>
    <w:rsid w:val="00FC55D5"/>
    <w:rsid w:val="00FC6944"/>
    <w:rsid w:val="00FC6FFF"/>
    <w:rsid w:val="00FC7B23"/>
    <w:rsid w:val="00FD1A9B"/>
    <w:rsid w:val="00FD1E77"/>
    <w:rsid w:val="00FD35E1"/>
    <w:rsid w:val="00FD3D67"/>
    <w:rsid w:val="00FD4434"/>
    <w:rsid w:val="00FD4ACC"/>
    <w:rsid w:val="00FD4FE0"/>
    <w:rsid w:val="00FD5789"/>
    <w:rsid w:val="00FD5BD3"/>
    <w:rsid w:val="00FD65D9"/>
    <w:rsid w:val="00FD6C1C"/>
    <w:rsid w:val="00FE1995"/>
    <w:rsid w:val="00FE22A2"/>
    <w:rsid w:val="00FE296A"/>
    <w:rsid w:val="00FE37BE"/>
    <w:rsid w:val="00FE38AD"/>
    <w:rsid w:val="00FE3E88"/>
    <w:rsid w:val="00FE470B"/>
    <w:rsid w:val="00FE6E04"/>
    <w:rsid w:val="00FE6FB7"/>
    <w:rsid w:val="00FF18E7"/>
    <w:rsid w:val="00FF19C9"/>
    <w:rsid w:val="00FF2CA1"/>
    <w:rsid w:val="00FF3210"/>
    <w:rsid w:val="00FF3B84"/>
    <w:rsid w:val="00FF4221"/>
    <w:rsid w:val="00FF5603"/>
    <w:rsid w:val="00FF5865"/>
    <w:rsid w:val="00FF66A1"/>
    <w:rsid w:val="00FF6F52"/>
    <w:rsid w:val="015449A1"/>
    <w:rsid w:val="01CACDD3"/>
    <w:rsid w:val="01CD0AF0"/>
    <w:rsid w:val="021347AA"/>
    <w:rsid w:val="02E0E719"/>
    <w:rsid w:val="0306C3BC"/>
    <w:rsid w:val="036BC2B8"/>
    <w:rsid w:val="039D58EA"/>
    <w:rsid w:val="041C913B"/>
    <w:rsid w:val="044F1EBA"/>
    <w:rsid w:val="04BBF41B"/>
    <w:rsid w:val="05540754"/>
    <w:rsid w:val="0555D854"/>
    <w:rsid w:val="055C710F"/>
    <w:rsid w:val="0570C61E"/>
    <w:rsid w:val="0575EE20"/>
    <w:rsid w:val="05E4A835"/>
    <w:rsid w:val="05E60280"/>
    <w:rsid w:val="060B3698"/>
    <w:rsid w:val="06380B8A"/>
    <w:rsid w:val="069942AB"/>
    <w:rsid w:val="06FAF1E9"/>
    <w:rsid w:val="07704274"/>
    <w:rsid w:val="09591F38"/>
    <w:rsid w:val="095CCFED"/>
    <w:rsid w:val="096D4BA1"/>
    <w:rsid w:val="098A9B68"/>
    <w:rsid w:val="0A3A2D0A"/>
    <w:rsid w:val="0B268774"/>
    <w:rsid w:val="0B3F932B"/>
    <w:rsid w:val="0B53B7C7"/>
    <w:rsid w:val="0C3A0D3E"/>
    <w:rsid w:val="0C486C41"/>
    <w:rsid w:val="0C5B28A1"/>
    <w:rsid w:val="0CAAA0E9"/>
    <w:rsid w:val="0CB1C009"/>
    <w:rsid w:val="0D5FE287"/>
    <w:rsid w:val="0DC252D9"/>
    <w:rsid w:val="0ECF89A8"/>
    <w:rsid w:val="0F0769AC"/>
    <w:rsid w:val="1032DFAE"/>
    <w:rsid w:val="11A6CDDC"/>
    <w:rsid w:val="11CF7FD8"/>
    <w:rsid w:val="11E0249F"/>
    <w:rsid w:val="11F4451E"/>
    <w:rsid w:val="12970D34"/>
    <w:rsid w:val="12C2E607"/>
    <w:rsid w:val="12C4E262"/>
    <w:rsid w:val="1352F38D"/>
    <w:rsid w:val="138CDD95"/>
    <w:rsid w:val="13BDEBFF"/>
    <w:rsid w:val="14043397"/>
    <w:rsid w:val="14283F96"/>
    <w:rsid w:val="145524EB"/>
    <w:rsid w:val="1459A02C"/>
    <w:rsid w:val="14645456"/>
    <w:rsid w:val="148BDED8"/>
    <w:rsid w:val="14A215FA"/>
    <w:rsid w:val="14B8D2E2"/>
    <w:rsid w:val="151152D8"/>
    <w:rsid w:val="152D9BE8"/>
    <w:rsid w:val="1555A75B"/>
    <w:rsid w:val="1562AA22"/>
    <w:rsid w:val="158AF35A"/>
    <w:rsid w:val="158CC3ED"/>
    <w:rsid w:val="15C8F5C0"/>
    <w:rsid w:val="15E8D177"/>
    <w:rsid w:val="16116CF1"/>
    <w:rsid w:val="16623182"/>
    <w:rsid w:val="167FE177"/>
    <w:rsid w:val="169F91E9"/>
    <w:rsid w:val="17697553"/>
    <w:rsid w:val="1854EDE6"/>
    <w:rsid w:val="18830528"/>
    <w:rsid w:val="1901E8EA"/>
    <w:rsid w:val="1A45062D"/>
    <w:rsid w:val="1A50EEC7"/>
    <w:rsid w:val="1AA150B3"/>
    <w:rsid w:val="1B0A926D"/>
    <w:rsid w:val="1BB15E19"/>
    <w:rsid w:val="1BB6D3E4"/>
    <w:rsid w:val="1BDB60C3"/>
    <w:rsid w:val="1C0816B1"/>
    <w:rsid w:val="1C1BCAA6"/>
    <w:rsid w:val="1CE6BDFC"/>
    <w:rsid w:val="1CF2C0DE"/>
    <w:rsid w:val="1D02973F"/>
    <w:rsid w:val="1D0B4B48"/>
    <w:rsid w:val="1DB88C8E"/>
    <w:rsid w:val="1E0CCB96"/>
    <w:rsid w:val="1EA94566"/>
    <w:rsid w:val="1F12A3C6"/>
    <w:rsid w:val="1F1F0DAD"/>
    <w:rsid w:val="1F47A3FE"/>
    <w:rsid w:val="1FBC1D8D"/>
    <w:rsid w:val="1FD09E96"/>
    <w:rsid w:val="21A9C2AE"/>
    <w:rsid w:val="21C86F1E"/>
    <w:rsid w:val="21E64D28"/>
    <w:rsid w:val="22DE7F86"/>
    <w:rsid w:val="22E22F77"/>
    <w:rsid w:val="235B8393"/>
    <w:rsid w:val="24278E4B"/>
    <w:rsid w:val="242A5DC8"/>
    <w:rsid w:val="24471EAD"/>
    <w:rsid w:val="248694EE"/>
    <w:rsid w:val="24F0A8D4"/>
    <w:rsid w:val="25327B4A"/>
    <w:rsid w:val="257AFCAB"/>
    <w:rsid w:val="25CB44BC"/>
    <w:rsid w:val="26001C64"/>
    <w:rsid w:val="273273C1"/>
    <w:rsid w:val="27BFD699"/>
    <w:rsid w:val="27C33363"/>
    <w:rsid w:val="27C50046"/>
    <w:rsid w:val="28D26500"/>
    <w:rsid w:val="29197F88"/>
    <w:rsid w:val="29944571"/>
    <w:rsid w:val="29A95D96"/>
    <w:rsid w:val="29D45234"/>
    <w:rsid w:val="29F71393"/>
    <w:rsid w:val="29FE3D4B"/>
    <w:rsid w:val="2A2825AD"/>
    <w:rsid w:val="2ADE6F6A"/>
    <w:rsid w:val="2B465571"/>
    <w:rsid w:val="2BE67CCF"/>
    <w:rsid w:val="2C491EFC"/>
    <w:rsid w:val="2C5386C0"/>
    <w:rsid w:val="2C5726A5"/>
    <w:rsid w:val="2C699489"/>
    <w:rsid w:val="2C8EE5B4"/>
    <w:rsid w:val="2C9CFB0B"/>
    <w:rsid w:val="2CB6E420"/>
    <w:rsid w:val="2D7E9BDC"/>
    <w:rsid w:val="2DBAF063"/>
    <w:rsid w:val="2DCBCD7B"/>
    <w:rsid w:val="2DD223A4"/>
    <w:rsid w:val="2DEFF09B"/>
    <w:rsid w:val="2E282A0F"/>
    <w:rsid w:val="2EAF2A78"/>
    <w:rsid w:val="2ECB7CB8"/>
    <w:rsid w:val="2F02B297"/>
    <w:rsid w:val="2F0C1D89"/>
    <w:rsid w:val="2F15B7F3"/>
    <w:rsid w:val="2FA455FE"/>
    <w:rsid w:val="301A4A9B"/>
    <w:rsid w:val="308438A6"/>
    <w:rsid w:val="30D09CC4"/>
    <w:rsid w:val="30DB7731"/>
    <w:rsid w:val="30F6C585"/>
    <w:rsid w:val="311E9288"/>
    <w:rsid w:val="31295FFF"/>
    <w:rsid w:val="31A05994"/>
    <w:rsid w:val="32087A4F"/>
    <w:rsid w:val="320D6C02"/>
    <w:rsid w:val="322CA96F"/>
    <w:rsid w:val="32430260"/>
    <w:rsid w:val="32435C6F"/>
    <w:rsid w:val="325CD07D"/>
    <w:rsid w:val="327F0CDF"/>
    <w:rsid w:val="328AC1A1"/>
    <w:rsid w:val="337AC175"/>
    <w:rsid w:val="33892DDB"/>
    <w:rsid w:val="339C9BFB"/>
    <w:rsid w:val="33DB7F2C"/>
    <w:rsid w:val="348FD1A1"/>
    <w:rsid w:val="34A5CDB8"/>
    <w:rsid w:val="351A7BD7"/>
    <w:rsid w:val="351D288F"/>
    <w:rsid w:val="355EB66E"/>
    <w:rsid w:val="35724BCC"/>
    <w:rsid w:val="3599670F"/>
    <w:rsid w:val="35E299D4"/>
    <w:rsid w:val="365DE57B"/>
    <w:rsid w:val="3694DBEF"/>
    <w:rsid w:val="36F509A4"/>
    <w:rsid w:val="37ECE186"/>
    <w:rsid w:val="381DDB17"/>
    <w:rsid w:val="388E2C41"/>
    <w:rsid w:val="3979FD91"/>
    <w:rsid w:val="39A0E0F0"/>
    <w:rsid w:val="39CB8442"/>
    <w:rsid w:val="39D48F5A"/>
    <w:rsid w:val="3A01115A"/>
    <w:rsid w:val="3A2E452B"/>
    <w:rsid w:val="3A74E510"/>
    <w:rsid w:val="3A836129"/>
    <w:rsid w:val="3AA38B05"/>
    <w:rsid w:val="3AFBC8D6"/>
    <w:rsid w:val="3B217410"/>
    <w:rsid w:val="3B72A98B"/>
    <w:rsid w:val="3B8F4F5F"/>
    <w:rsid w:val="3BAC2ACF"/>
    <w:rsid w:val="3BBD0589"/>
    <w:rsid w:val="3C078BB1"/>
    <w:rsid w:val="3C752237"/>
    <w:rsid w:val="3CA3075B"/>
    <w:rsid w:val="3D3BC487"/>
    <w:rsid w:val="3D45B646"/>
    <w:rsid w:val="3D822667"/>
    <w:rsid w:val="3DBD7F93"/>
    <w:rsid w:val="3E0B5236"/>
    <w:rsid w:val="3E6A5DF1"/>
    <w:rsid w:val="3E81B19E"/>
    <w:rsid w:val="3EADAEE4"/>
    <w:rsid w:val="3FBB5FBC"/>
    <w:rsid w:val="3FFD4EEE"/>
    <w:rsid w:val="404D5050"/>
    <w:rsid w:val="40B2477F"/>
    <w:rsid w:val="40BF5F65"/>
    <w:rsid w:val="415F686F"/>
    <w:rsid w:val="41D6B4E8"/>
    <w:rsid w:val="42B0A8F5"/>
    <w:rsid w:val="42BBD11A"/>
    <w:rsid w:val="42D52D0C"/>
    <w:rsid w:val="43BA67FF"/>
    <w:rsid w:val="451ECC00"/>
    <w:rsid w:val="4559E0DB"/>
    <w:rsid w:val="4570A4DD"/>
    <w:rsid w:val="45F95933"/>
    <w:rsid w:val="468481FC"/>
    <w:rsid w:val="46983918"/>
    <w:rsid w:val="46C0C72F"/>
    <w:rsid w:val="46EACF59"/>
    <w:rsid w:val="472037FE"/>
    <w:rsid w:val="477C2FEB"/>
    <w:rsid w:val="4834E383"/>
    <w:rsid w:val="48819F0F"/>
    <w:rsid w:val="48FA8D64"/>
    <w:rsid w:val="49A652FD"/>
    <w:rsid w:val="4A13460B"/>
    <w:rsid w:val="4A36E649"/>
    <w:rsid w:val="4AE7AC36"/>
    <w:rsid w:val="4B4660F3"/>
    <w:rsid w:val="4B621F81"/>
    <w:rsid w:val="4B8FE2A1"/>
    <w:rsid w:val="4BC3B894"/>
    <w:rsid w:val="4C0D69A9"/>
    <w:rsid w:val="4C551571"/>
    <w:rsid w:val="4C60DC52"/>
    <w:rsid w:val="4C8AFA3A"/>
    <w:rsid w:val="4C8FE155"/>
    <w:rsid w:val="4C94BF3B"/>
    <w:rsid w:val="4C954088"/>
    <w:rsid w:val="4C9D725F"/>
    <w:rsid w:val="4CB5709C"/>
    <w:rsid w:val="4CDC2D57"/>
    <w:rsid w:val="4D2BACCA"/>
    <w:rsid w:val="4D6B608D"/>
    <w:rsid w:val="4E04F082"/>
    <w:rsid w:val="4E2741BD"/>
    <w:rsid w:val="4E703C88"/>
    <w:rsid w:val="4EFE3788"/>
    <w:rsid w:val="4F2E2A62"/>
    <w:rsid w:val="4F62C1D6"/>
    <w:rsid w:val="4FFF1880"/>
    <w:rsid w:val="5035C4D8"/>
    <w:rsid w:val="51D8A7D0"/>
    <w:rsid w:val="51DC2E20"/>
    <w:rsid w:val="51E0885B"/>
    <w:rsid w:val="521A4EEB"/>
    <w:rsid w:val="529EF73F"/>
    <w:rsid w:val="531D67A5"/>
    <w:rsid w:val="5329B5E1"/>
    <w:rsid w:val="536F7403"/>
    <w:rsid w:val="53CF93C7"/>
    <w:rsid w:val="54684FE7"/>
    <w:rsid w:val="54B19944"/>
    <w:rsid w:val="55126F84"/>
    <w:rsid w:val="5520CAC1"/>
    <w:rsid w:val="55A223AE"/>
    <w:rsid w:val="55CA199A"/>
    <w:rsid w:val="55FFE320"/>
    <w:rsid w:val="569FC3CF"/>
    <w:rsid w:val="57067AFC"/>
    <w:rsid w:val="57087C02"/>
    <w:rsid w:val="576BFDA3"/>
    <w:rsid w:val="57C0AF9F"/>
    <w:rsid w:val="57FFB241"/>
    <w:rsid w:val="5800323C"/>
    <w:rsid w:val="58055773"/>
    <w:rsid w:val="588A9054"/>
    <w:rsid w:val="5896E77D"/>
    <w:rsid w:val="589C18F7"/>
    <w:rsid w:val="589EA6FF"/>
    <w:rsid w:val="5921316C"/>
    <w:rsid w:val="59215CC7"/>
    <w:rsid w:val="594A76C3"/>
    <w:rsid w:val="595AA04B"/>
    <w:rsid w:val="59DFAFA4"/>
    <w:rsid w:val="59EE7D8A"/>
    <w:rsid w:val="5A4F53CA"/>
    <w:rsid w:val="5ABE6CD4"/>
    <w:rsid w:val="5B12BD3A"/>
    <w:rsid w:val="5B367A05"/>
    <w:rsid w:val="5BAEA28A"/>
    <w:rsid w:val="5C4BB2D7"/>
    <w:rsid w:val="5C5EDCA6"/>
    <w:rsid w:val="5CD88297"/>
    <w:rsid w:val="5CF9D555"/>
    <w:rsid w:val="5D8BD014"/>
    <w:rsid w:val="5DDC447B"/>
    <w:rsid w:val="5E06A297"/>
    <w:rsid w:val="5E2BE65F"/>
    <w:rsid w:val="5E30ED42"/>
    <w:rsid w:val="5E4607DE"/>
    <w:rsid w:val="5E8BE4C1"/>
    <w:rsid w:val="5EFFDCA7"/>
    <w:rsid w:val="5F231881"/>
    <w:rsid w:val="5F2FAEBE"/>
    <w:rsid w:val="5F4BF931"/>
    <w:rsid w:val="5FCC0366"/>
    <w:rsid w:val="60DA6BC6"/>
    <w:rsid w:val="60DF379E"/>
    <w:rsid w:val="6108941B"/>
    <w:rsid w:val="610C9AC2"/>
    <w:rsid w:val="6151A2C4"/>
    <w:rsid w:val="6165BF93"/>
    <w:rsid w:val="616DE041"/>
    <w:rsid w:val="621C8B82"/>
    <w:rsid w:val="631187FD"/>
    <w:rsid w:val="633D3C47"/>
    <w:rsid w:val="642297FD"/>
    <w:rsid w:val="644B1C40"/>
    <w:rsid w:val="64E7D88C"/>
    <w:rsid w:val="653136AC"/>
    <w:rsid w:val="656D58BE"/>
    <w:rsid w:val="65DF0FC6"/>
    <w:rsid w:val="65ED5128"/>
    <w:rsid w:val="65EF3ECE"/>
    <w:rsid w:val="6683B222"/>
    <w:rsid w:val="668C4119"/>
    <w:rsid w:val="66C19945"/>
    <w:rsid w:val="66FA7119"/>
    <w:rsid w:val="671A9D42"/>
    <w:rsid w:val="6751408F"/>
    <w:rsid w:val="6756F08B"/>
    <w:rsid w:val="676405FA"/>
    <w:rsid w:val="677385FC"/>
    <w:rsid w:val="6791BBB7"/>
    <w:rsid w:val="67EFF08F"/>
    <w:rsid w:val="6821D72E"/>
    <w:rsid w:val="68B96EF6"/>
    <w:rsid w:val="691AD283"/>
    <w:rsid w:val="695649A7"/>
    <w:rsid w:val="699E846A"/>
    <w:rsid w:val="69C86651"/>
    <w:rsid w:val="6ABAB93B"/>
    <w:rsid w:val="6AD477A8"/>
    <w:rsid w:val="6AEA6D44"/>
    <w:rsid w:val="6B29B3CA"/>
    <w:rsid w:val="6B8455DD"/>
    <w:rsid w:val="6BAB36F2"/>
    <w:rsid w:val="6BD2D79F"/>
    <w:rsid w:val="6BD39CD0"/>
    <w:rsid w:val="6BF85CED"/>
    <w:rsid w:val="6C16D26F"/>
    <w:rsid w:val="6D2C2421"/>
    <w:rsid w:val="6D44AA6E"/>
    <w:rsid w:val="6ED93054"/>
    <w:rsid w:val="6F95049F"/>
    <w:rsid w:val="6FC7F3FF"/>
    <w:rsid w:val="6FDF5C13"/>
    <w:rsid w:val="701FA2D5"/>
    <w:rsid w:val="7055CDE0"/>
    <w:rsid w:val="709D2D47"/>
    <w:rsid w:val="70D00A53"/>
    <w:rsid w:val="7142A484"/>
    <w:rsid w:val="7174E859"/>
    <w:rsid w:val="71E3932E"/>
    <w:rsid w:val="7239A216"/>
    <w:rsid w:val="72649767"/>
    <w:rsid w:val="72FAE7FE"/>
    <w:rsid w:val="733EEA9B"/>
    <w:rsid w:val="733EEE5C"/>
    <w:rsid w:val="73B71DB8"/>
    <w:rsid w:val="74063E4F"/>
    <w:rsid w:val="74F30FDB"/>
    <w:rsid w:val="74F442E8"/>
    <w:rsid w:val="75A6E00D"/>
    <w:rsid w:val="75E0B393"/>
    <w:rsid w:val="75EBAA39"/>
    <w:rsid w:val="763E04D0"/>
    <w:rsid w:val="7663ABED"/>
    <w:rsid w:val="76ABD9BA"/>
    <w:rsid w:val="76B81063"/>
    <w:rsid w:val="776D61B1"/>
    <w:rsid w:val="778A35AB"/>
    <w:rsid w:val="77C9D290"/>
    <w:rsid w:val="77FD1528"/>
    <w:rsid w:val="78577205"/>
    <w:rsid w:val="78CADC18"/>
    <w:rsid w:val="78E33F44"/>
    <w:rsid w:val="791122BA"/>
    <w:rsid w:val="79C884CF"/>
    <w:rsid w:val="7A2F1045"/>
    <w:rsid w:val="7AC03C5B"/>
    <w:rsid w:val="7B316DF9"/>
    <w:rsid w:val="7BFD15DA"/>
    <w:rsid w:val="7C31F2E0"/>
    <w:rsid w:val="7CDD018D"/>
    <w:rsid w:val="7D3D3A8D"/>
    <w:rsid w:val="7E2579FA"/>
    <w:rsid w:val="7E8568DE"/>
    <w:rsid w:val="7EACCCEB"/>
    <w:rsid w:val="7EFF33AF"/>
    <w:rsid w:val="7F4896E7"/>
    <w:rsid w:val="7F7DB3C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AF2654"/>
  <w15:docId w15:val="{543EB3DA-361E-3A46-A35D-DC3EBD2C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5" w:qFormat="1"/>
    <w:lsdException w:name="heading 3" w:uiPriority="9" w:qFormat="1"/>
    <w:lsdException w:name="heading 4" w:uiPriority="6"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4"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10A8"/>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A705AF"/>
    <w:pPr>
      <w:keepNext/>
      <w:spacing w:before="240"/>
      <w:outlineLvl w:val="0"/>
    </w:pPr>
    <w:rPr>
      <w:rFonts w:ascii="Arial" w:hAnsi="Arial" w:cs="Arial"/>
      <w:b/>
      <w:bCs/>
      <w:kern w:val="28"/>
      <w:sz w:val="28"/>
      <w:szCs w:val="32"/>
    </w:rPr>
  </w:style>
  <w:style w:type="paragraph" w:styleId="Heading2">
    <w:name w:val="heading 2"/>
    <w:basedOn w:val="Normal"/>
    <w:next w:val="Normal"/>
    <w:uiPriority w:val="5"/>
    <w:qFormat/>
    <w:rsid w:val="00A705AF"/>
    <w:pPr>
      <w:keepNext/>
      <w:spacing w:before="240"/>
      <w:outlineLvl w:val="1"/>
    </w:pPr>
    <w:rPr>
      <w:rFonts w:ascii="Arial" w:hAnsi="Arial" w:cs="Arial"/>
      <w:b/>
      <w:bCs/>
      <w:i/>
      <w:iCs/>
      <w:szCs w:val="28"/>
    </w:rPr>
  </w:style>
  <w:style w:type="paragraph" w:styleId="Heading3">
    <w:name w:val="heading 3"/>
    <w:aliases w:val="Header 3"/>
    <w:basedOn w:val="Normal"/>
    <w:next w:val="Normal"/>
    <w:link w:val="Heading3Char"/>
    <w:uiPriority w:val="9"/>
    <w:qFormat/>
    <w:rsid w:val="00A705AF"/>
    <w:pPr>
      <w:keepNext/>
      <w:spacing w:before="240"/>
      <w:outlineLvl w:val="2"/>
    </w:pPr>
    <w:rPr>
      <w:rFonts w:ascii="Arial" w:hAnsi="Arial" w:cs="Arial"/>
      <w:bCs/>
      <w:szCs w:val="26"/>
    </w:rPr>
  </w:style>
  <w:style w:type="paragraph" w:styleId="Heading4">
    <w:name w:val="heading 4"/>
    <w:basedOn w:val="Normal"/>
    <w:next w:val="Normal"/>
    <w:uiPriority w:val="6"/>
    <w:qFormat/>
    <w:rsid w:val="00A705AF"/>
    <w:pPr>
      <w:keepNext/>
      <w:spacing w:before="240"/>
      <w:outlineLvl w:val="3"/>
    </w:pPr>
    <w:rPr>
      <w:rFonts w:ascii="Arial" w:hAnsi="Arial"/>
      <w:bCs/>
      <w:sz w:val="28"/>
      <w:szCs w:val="28"/>
    </w:rPr>
  </w:style>
  <w:style w:type="paragraph" w:styleId="Heading5">
    <w:name w:val="heading 5"/>
    <w:basedOn w:val="Normal"/>
    <w:next w:val="Normal"/>
    <w:uiPriority w:val="99"/>
    <w:qFormat/>
    <w:rsid w:val="00A705AF"/>
    <w:pPr>
      <w:keepNext/>
      <w:spacing w:before="240"/>
      <w:outlineLvl w:val="4"/>
    </w:pPr>
    <w:rPr>
      <w:b/>
      <w:bCs/>
      <w:iCs/>
      <w:szCs w:val="26"/>
    </w:rPr>
  </w:style>
  <w:style w:type="paragraph" w:styleId="Heading6">
    <w:name w:val="heading 6"/>
    <w:basedOn w:val="Normal"/>
    <w:next w:val="Normal"/>
    <w:uiPriority w:val="99"/>
    <w:qFormat/>
    <w:rsid w:val="00A705AF"/>
    <w:pPr>
      <w:keepNext/>
      <w:spacing w:before="240"/>
      <w:outlineLvl w:val="5"/>
    </w:pPr>
    <w:rPr>
      <w:b/>
      <w:bCs/>
      <w:i/>
      <w:szCs w:val="22"/>
    </w:rPr>
  </w:style>
  <w:style w:type="paragraph" w:styleId="Heading7">
    <w:name w:val="heading 7"/>
    <w:basedOn w:val="Normal"/>
    <w:next w:val="Normal"/>
    <w:link w:val="Heading7Char"/>
    <w:uiPriority w:val="99"/>
    <w:unhideWhenUsed/>
    <w:rsid w:val="000D0E4E"/>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rsid w:val="000D0E4E"/>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rsid w:val="000D0E4E"/>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14"/>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character" w:customStyle="1" w:styleId="Heading7Char">
    <w:name w:val="Heading 7 Char"/>
    <w:basedOn w:val="DefaultParagraphFont"/>
    <w:link w:val="Heading7"/>
    <w:uiPriority w:val="99"/>
    <w:rsid w:val="000D0E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0D0E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0D0E4E"/>
    <w:rPr>
      <w:rFonts w:asciiTheme="majorHAnsi" w:eastAsiaTheme="majorEastAsia" w:hAnsiTheme="majorHAnsi" w:cstheme="majorBidi"/>
      <w:i/>
      <w:iCs/>
      <w:color w:val="404040" w:themeColor="text1" w:themeTint="BF"/>
      <w:lang w:val="en-US" w:eastAsia="en-US"/>
    </w:rPr>
  </w:style>
  <w:style w:type="paragraph" w:customStyle="1" w:styleId="Tablebullet-orange">
    <w:name w:val="Table bullet - orange"/>
    <w:basedOn w:val="01Trianglebullets"/>
    <w:qFormat/>
    <w:locked/>
    <w:rsid w:val="000D0E4E"/>
    <w:pPr>
      <w:numPr>
        <w:numId w:val="12"/>
      </w:numPr>
      <w:tabs>
        <w:tab w:val="num" w:pos="360"/>
      </w:tabs>
      <w:spacing w:before="40" w:after="40"/>
      <w:ind w:left="283" w:firstLine="0"/>
    </w:pPr>
    <w:rPr>
      <w:sz w:val="18"/>
      <w:szCs w:val="18"/>
    </w:rPr>
  </w:style>
  <w:style w:type="paragraph" w:customStyle="1" w:styleId="Bullet-orange">
    <w:name w:val="Bullet - orange"/>
    <w:basedOn w:val="Bullet-green"/>
    <w:link w:val="Bullet-orangeChar"/>
    <w:uiPriority w:val="14"/>
    <w:qFormat/>
    <w:rsid w:val="000D0E4E"/>
    <w:pPr>
      <w:numPr>
        <w:numId w:val="10"/>
      </w:numPr>
      <w:tabs>
        <w:tab w:val="num" w:pos="360"/>
      </w:tabs>
      <w:ind w:left="431" w:hanging="431"/>
    </w:pPr>
  </w:style>
  <w:style w:type="paragraph" w:customStyle="1" w:styleId="Boldbullet-green">
    <w:name w:val="Bold bullet - green"/>
    <w:basedOn w:val="Bullet-green"/>
    <w:link w:val="Boldbullet-greenChar"/>
    <w:uiPriority w:val="14"/>
    <w:qFormat/>
    <w:rsid w:val="000D0E4E"/>
    <w:rPr>
      <w:b/>
    </w:rPr>
  </w:style>
  <w:style w:type="character" w:customStyle="1" w:styleId="Bullet-orangeChar">
    <w:name w:val="Bullet - orange Char"/>
    <w:basedOn w:val="Bullet-greenChar"/>
    <w:link w:val="Bullet-orange"/>
    <w:uiPriority w:val="14"/>
    <w:rsid w:val="000D0E4E"/>
    <w:rPr>
      <w:rFonts w:asciiTheme="minorHAnsi" w:hAnsiTheme="minorHAnsi"/>
      <w:sz w:val="22"/>
      <w:szCs w:val="24"/>
    </w:rPr>
  </w:style>
  <w:style w:type="paragraph" w:customStyle="1" w:styleId="Header1">
    <w:name w:val="Header 1"/>
    <w:basedOn w:val="Normal"/>
    <w:link w:val="Header1Char"/>
    <w:uiPriority w:val="7"/>
    <w:qFormat/>
    <w:rsid w:val="000D0E4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0D0E4E"/>
    <w:rPr>
      <w:rFonts w:asciiTheme="minorHAnsi" w:hAnsiTheme="minorHAnsi"/>
      <w:b/>
      <w:sz w:val="22"/>
      <w:szCs w:val="24"/>
    </w:rPr>
  </w:style>
  <w:style w:type="paragraph" w:customStyle="1" w:styleId="Header2">
    <w:name w:val="Header 2"/>
    <w:basedOn w:val="Heading2"/>
    <w:next w:val="Normal"/>
    <w:uiPriority w:val="8"/>
    <w:qFormat/>
    <w:rsid w:val="000D0E4E"/>
    <w:pPr>
      <w:spacing w:before="120" w:after="120"/>
    </w:pPr>
    <w:rPr>
      <w:rFonts w:ascii="Calibri" w:eastAsiaTheme="minorHAnsi" w:hAnsi="Calibri" w:cs="Calibri"/>
      <w:i w:val="0"/>
      <w:color w:val="01653F"/>
      <w:sz w:val="26"/>
      <w:szCs w:val="22"/>
      <w:lang w:val="en-US"/>
    </w:rPr>
  </w:style>
  <w:style w:type="character" w:customStyle="1" w:styleId="Header1Char">
    <w:name w:val="Header 1 Char"/>
    <w:basedOn w:val="DefaultParagraphFont"/>
    <w:link w:val="Header1"/>
    <w:uiPriority w:val="7"/>
    <w:rsid w:val="000D0E4E"/>
    <w:rPr>
      <w:rFonts w:ascii="Calibri" w:hAnsi="Calibri" w:cs="Calibri"/>
      <w:b/>
      <w:color w:val="01653F"/>
      <w:sz w:val="40"/>
      <w:szCs w:val="40"/>
      <w:lang w:eastAsia="en-US"/>
    </w:rPr>
  </w:style>
  <w:style w:type="paragraph" w:customStyle="1" w:styleId="Header4">
    <w:name w:val="Header 4"/>
    <w:basedOn w:val="Normal"/>
    <w:next w:val="Normal"/>
    <w:uiPriority w:val="10"/>
    <w:qFormat/>
    <w:rsid w:val="000D0E4E"/>
    <w:pPr>
      <w:spacing w:before="120" w:after="120"/>
    </w:pPr>
    <w:rPr>
      <w:rFonts w:ascii="Calibri" w:hAnsi="Calibri" w:cs="Calibri"/>
      <w:szCs w:val="22"/>
      <w:lang w:val="en-US" w:eastAsia="en-US"/>
    </w:rPr>
  </w:style>
  <w:style w:type="paragraph" w:styleId="Header">
    <w:name w:val="header"/>
    <w:basedOn w:val="Normal"/>
    <w:link w:val="HeaderChar"/>
    <w:uiPriority w:val="99"/>
    <w:unhideWhenUsed/>
    <w:rsid w:val="000D0E4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D0E4E"/>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0D0E4E"/>
    <w:rPr>
      <w:b/>
    </w:rPr>
  </w:style>
  <w:style w:type="paragraph" w:customStyle="1" w:styleId="Bullettext">
    <w:name w:val="Bullet text"/>
    <w:basedOn w:val="Bullet-green"/>
    <w:link w:val="BullettextChar"/>
    <w:uiPriority w:val="14"/>
    <w:qFormat/>
    <w:rsid w:val="000D0E4E"/>
    <w:pPr>
      <w:numPr>
        <w:numId w:val="0"/>
      </w:numPr>
      <w:ind w:left="431"/>
    </w:pPr>
    <w:rPr>
      <w:lang w:val="en-US"/>
    </w:rPr>
  </w:style>
  <w:style w:type="character" w:customStyle="1" w:styleId="Boldbullet-orangeChar">
    <w:name w:val="Bold bullet - orange Char"/>
    <w:basedOn w:val="Bullet-orangeChar"/>
    <w:link w:val="Boldbullet-orange"/>
    <w:uiPriority w:val="14"/>
    <w:rsid w:val="000D0E4E"/>
    <w:rPr>
      <w:rFonts w:asciiTheme="minorHAnsi" w:hAnsiTheme="minorHAnsi"/>
      <w:b/>
      <w:sz w:val="22"/>
      <w:szCs w:val="24"/>
    </w:rPr>
  </w:style>
  <w:style w:type="character" w:customStyle="1" w:styleId="BullettextChar">
    <w:name w:val="Bullet text Char"/>
    <w:basedOn w:val="Bullet-greenChar"/>
    <w:link w:val="Bullettext"/>
    <w:uiPriority w:val="14"/>
    <w:rsid w:val="000D0E4E"/>
    <w:rPr>
      <w:rFonts w:asciiTheme="minorHAnsi" w:hAnsiTheme="minorHAnsi"/>
      <w:sz w:val="22"/>
      <w:szCs w:val="24"/>
      <w:lang w:val="en-US"/>
    </w:rPr>
  </w:style>
  <w:style w:type="table" w:styleId="TableGrid">
    <w:name w:val="Table Grid"/>
    <w:basedOn w:val="TableNormal"/>
    <w:rsid w:val="000D0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D0E4E"/>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0D0E4E"/>
    <w:rPr>
      <w:rFonts w:asciiTheme="minorHAnsi" w:eastAsiaTheme="minorHAnsi" w:hAnsiTheme="minorHAnsi" w:cs="Arial"/>
    </w:rPr>
  </w:style>
  <w:style w:type="character" w:styleId="FootnoteReference">
    <w:name w:val="footnote reference"/>
    <w:qFormat/>
    <w:rsid w:val="000D0E4E"/>
    <w:rPr>
      <w:vertAlign w:val="superscript"/>
    </w:rPr>
  </w:style>
  <w:style w:type="paragraph" w:styleId="TOCHeading">
    <w:name w:val="TOC Heading"/>
    <w:basedOn w:val="Heading1"/>
    <w:next w:val="Normal"/>
    <w:uiPriority w:val="39"/>
    <w:unhideWhenUsed/>
    <w:qFormat/>
    <w:rsid w:val="000D0E4E"/>
    <w:pPr>
      <w:keepNext w:val="0"/>
      <w:spacing w:before="720" w:after="720"/>
      <w:outlineLvl w:val="9"/>
    </w:pPr>
    <w:rPr>
      <w:rFonts w:asciiTheme="minorHAnsi" w:hAnsiTheme="minorHAnsi"/>
      <w:bCs w:val="0"/>
      <w:color w:val="01653F"/>
      <w:kern w:val="0"/>
      <w:sz w:val="40"/>
      <w:szCs w:val="40"/>
    </w:rPr>
  </w:style>
  <w:style w:type="paragraph" w:styleId="TOC1">
    <w:name w:val="toc 1"/>
    <w:basedOn w:val="Normal"/>
    <w:next w:val="Normal"/>
    <w:autoRedefine/>
    <w:uiPriority w:val="39"/>
    <w:qFormat/>
    <w:rsid w:val="00751F6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0D0E4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0D0E4E"/>
    <w:rPr>
      <w:color w:val="0000FF" w:themeColor="hyperlink"/>
      <w:u w:val="single"/>
    </w:rPr>
  </w:style>
  <w:style w:type="paragraph" w:styleId="Footer">
    <w:name w:val="footer"/>
    <w:basedOn w:val="Normal"/>
    <w:link w:val="FooterChar"/>
    <w:uiPriority w:val="99"/>
    <w:rsid w:val="000D0E4E"/>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0D0E4E"/>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rsid w:val="000D0E4E"/>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0D0E4E"/>
    <w:pPr>
      <w:spacing w:before="0" w:after="0"/>
      <w:ind w:left="440" w:hanging="440"/>
    </w:pPr>
    <w:rPr>
      <w:sz w:val="20"/>
      <w:szCs w:val="20"/>
    </w:rPr>
  </w:style>
  <w:style w:type="paragraph" w:styleId="TOC3">
    <w:name w:val="toc 3"/>
    <w:basedOn w:val="TOC2"/>
    <w:next w:val="Normal"/>
    <w:autoRedefine/>
    <w:uiPriority w:val="39"/>
    <w:qFormat/>
    <w:rsid w:val="000D0E4E"/>
    <w:pPr>
      <w:ind w:left="1474" w:hanging="680"/>
    </w:pPr>
  </w:style>
  <w:style w:type="paragraph" w:customStyle="1" w:styleId="DNU5">
    <w:name w:val="DNU5"/>
    <w:basedOn w:val="ListContinue"/>
    <w:link w:val="DNU5Char"/>
    <w:uiPriority w:val="99"/>
    <w:locked/>
    <w:rsid w:val="000D0E4E"/>
    <w:pPr>
      <w:ind w:left="0"/>
    </w:pPr>
  </w:style>
  <w:style w:type="character" w:customStyle="1" w:styleId="DNU5Char">
    <w:name w:val="DNU5 Char"/>
    <w:basedOn w:val="DefaultParagraphFont"/>
    <w:link w:val="DNU5"/>
    <w:uiPriority w:val="99"/>
    <w:rsid w:val="000D0E4E"/>
    <w:rPr>
      <w:rFonts w:asciiTheme="minorHAnsi" w:hAnsiTheme="minorHAnsi"/>
      <w:sz w:val="22"/>
      <w:szCs w:val="24"/>
    </w:rPr>
  </w:style>
  <w:style w:type="paragraph" w:styleId="z-BottomofForm">
    <w:name w:val="HTML Bottom of Form"/>
    <w:basedOn w:val="Normal"/>
    <w:next w:val="Normal"/>
    <w:link w:val="z-BottomofFormChar"/>
    <w:hidden/>
    <w:uiPriority w:val="99"/>
    <w:unhideWhenUsed/>
    <w:rsid w:val="000D0E4E"/>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0D0E4E"/>
    <w:rPr>
      <w:rFonts w:asciiTheme="minorHAnsi" w:eastAsiaTheme="minorHAnsi" w:hAnsiTheme="minorHAnsi" w:cs="Arial"/>
      <w:vanish/>
      <w:sz w:val="16"/>
      <w:szCs w:val="16"/>
    </w:rPr>
  </w:style>
  <w:style w:type="table" w:customStyle="1" w:styleId="TableGrid1">
    <w:name w:val="Table Grid1"/>
    <w:basedOn w:val="TableNormal"/>
    <w:next w:val="TableGrid"/>
    <w:uiPriority w:val="59"/>
    <w:locked/>
    <w:rsid w:val="000D0E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0D0E4E"/>
    <w:pPr>
      <w:spacing w:before="0" w:after="0"/>
    </w:pPr>
  </w:style>
  <w:style w:type="character" w:styleId="CommentReference">
    <w:name w:val="annotation reference"/>
    <w:basedOn w:val="DefaultParagraphFont"/>
    <w:uiPriority w:val="99"/>
    <w:unhideWhenUsed/>
    <w:rsid w:val="000D0E4E"/>
    <w:rPr>
      <w:sz w:val="16"/>
      <w:szCs w:val="16"/>
    </w:rPr>
  </w:style>
  <w:style w:type="paragraph" w:styleId="CommentText">
    <w:name w:val="annotation text"/>
    <w:basedOn w:val="Normal"/>
    <w:link w:val="CommentTextChar"/>
    <w:uiPriority w:val="99"/>
    <w:rsid w:val="000D0E4E"/>
    <w:pPr>
      <w:spacing w:line="240" w:lineRule="auto"/>
    </w:pPr>
    <w:rPr>
      <w:sz w:val="20"/>
      <w:szCs w:val="20"/>
    </w:rPr>
  </w:style>
  <w:style w:type="character" w:customStyle="1" w:styleId="CommentTextChar">
    <w:name w:val="Comment Text Char"/>
    <w:basedOn w:val="DefaultParagraphFont"/>
    <w:link w:val="CommentText"/>
    <w:uiPriority w:val="99"/>
    <w:rsid w:val="000D0E4E"/>
    <w:rPr>
      <w:rFonts w:asciiTheme="minorHAnsi" w:hAnsiTheme="minorHAnsi"/>
    </w:rPr>
  </w:style>
  <w:style w:type="paragraph" w:styleId="CommentSubject">
    <w:name w:val="annotation subject"/>
    <w:basedOn w:val="Normal"/>
    <w:next w:val="Normal"/>
    <w:link w:val="CommentSubjectChar"/>
    <w:unhideWhenUsed/>
    <w:rsid w:val="000D0E4E"/>
    <w:rPr>
      <w:b/>
      <w:bCs/>
      <w:sz w:val="20"/>
      <w:szCs w:val="20"/>
    </w:rPr>
  </w:style>
  <w:style w:type="character" w:customStyle="1" w:styleId="CommentSubjectChar">
    <w:name w:val="Comment Subject Char"/>
    <w:basedOn w:val="CommentTextChar"/>
    <w:link w:val="CommentSubject"/>
    <w:rsid w:val="000D0E4E"/>
    <w:rPr>
      <w:rFonts w:asciiTheme="minorHAnsi" w:hAnsiTheme="minorHAnsi"/>
      <w:b/>
      <w:bCs/>
    </w:rPr>
  </w:style>
  <w:style w:type="table" w:customStyle="1" w:styleId="TableGrid2">
    <w:name w:val="Table Grid2"/>
    <w:basedOn w:val="TableNormal"/>
    <w:next w:val="TableGrid"/>
    <w:locked/>
    <w:rsid w:val="000D0E4E"/>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0D0E4E"/>
    <w:pPr>
      <w:numPr>
        <w:ilvl w:val="1"/>
      </w:numPr>
      <w:spacing w:before="120"/>
      <w:ind w:right="142"/>
    </w:pPr>
    <w:rPr>
      <w:szCs w:val="20"/>
      <w:lang w:val="en-US" w:eastAsia="en-US"/>
    </w:rPr>
  </w:style>
  <w:style w:type="paragraph" w:customStyle="1" w:styleId="DNU8">
    <w:name w:val="DNU8"/>
    <w:basedOn w:val="02dash"/>
    <w:uiPriority w:val="99"/>
    <w:locked/>
    <w:rsid w:val="000D0E4E"/>
    <w:pPr>
      <w:numPr>
        <w:ilvl w:val="2"/>
      </w:numPr>
    </w:pPr>
  </w:style>
  <w:style w:type="paragraph" w:customStyle="1" w:styleId="DNU10">
    <w:name w:val="DNU10"/>
    <w:basedOn w:val="DNU8"/>
    <w:uiPriority w:val="99"/>
    <w:locked/>
    <w:rsid w:val="000D0E4E"/>
    <w:pPr>
      <w:numPr>
        <w:ilvl w:val="3"/>
      </w:numPr>
    </w:pPr>
  </w:style>
  <w:style w:type="paragraph" w:styleId="Bibliography">
    <w:name w:val="Bibliography"/>
    <w:basedOn w:val="Normal"/>
    <w:next w:val="Normal"/>
    <w:uiPriority w:val="37"/>
    <w:unhideWhenUsed/>
    <w:rsid w:val="000D0E4E"/>
  </w:style>
  <w:style w:type="table" w:customStyle="1" w:styleId="PlainTable21">
    <w:name w:val="Plain Table 21"/>
    <w:basedOn w:val="TableNormal"/>
    <w:uiPriority w:val="42"/>
    <w:locked/>
    <w:rsid w:val="000D0E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0D0E4E"/>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0D0E4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0D0E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0D0E4E"/>
    <w:pPr>
      <w:numPr>
        <w:ilvl w:val="1"/>
      </w:numPr>
      <w:spacing w:before="120"/>
      <w:ind w:left="578" w:hanging="578"/>
    </w:pPr>
    <w:rPr>
      <w:rFonts w:asciiTheme="minorHAnsi" w:eastAsiaTheme="minorHAnsi" w:hAnsiTheme="minorHAnsi"/>
      <w:i w:val="0"/>
      <w:color w:val="01653F"/>
      <w:sz w:val="26"/>
      <w:szCs w:val="26"/>
      <w:lang w:val="en-US"/>
    </w:rPr>
  </w:style>
  <w:style w:type="character" w:customStyle="1" w:styleId="DNU6Char">
    <w:name w:val="DNU6 Char"/>
    <w:basedOn w:val="DefaultParagraphFont"/>
    <w:link w:val="DNU6"/>
    <w:uiPriority w:val="99"/>
    <w:rsid w:val="000D0E4E"/>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0D0E4E"/>
    <w:pPr>
      <w:numPr>
        <w:numId w:val="3"/>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0D0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0D0E4E"/>
    <w:pPr>
      <w:numPr>
        <w:numId w:val="4"/>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0D0E4E"/>
    <w:rPr>
      <w:rFonts w:asciiTheme="minorHAnsi" w:eastAsiaTheme="minorHAnsi" w:hAnsiTheme="minorHAnsi" w:cs="Arial"/>
      <w:sz w:val="22"/>
      <w:szCs w:val="22"/>
      <w:lang w:val="en-US" w:eastAsia="en-US"/>
    </w:rPr>
  </w:style>
  <w:style w:type="paragraph" w:styleId="DocumentMap">
    <w:name w:val="Document Map"/>
    <w:basedOn w:val="Normal"/>
    <w:link w:val="DocumentMapChar"/>
    <w:unhideWhenUsed/>
    <w:rsid w:val="000D0E4E"/>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rsid w:val="000D0E4E"/>
    <w:rPr>
      <w:sz w:val="24"/>
      <w:szCs w:val="24"/>
    </w:rPr>
  </w:style>
  <w:style w:type="paragraph" w:customStyle="1" w:styleId="DNU3">
    <w:name w:val="DNU3"/>
    <w:basedOn w:val="Heading3Numbered"/>
    <w:uiPriority w:val="99"/>
    <w:locked/>
    <w:rsid w:val="000D0E4E"/>
    <w:pPr>
      <w:spacing w:before="240"/>
      <w:ind w:left="0" w:firstLine="0"/>
      <w:outlineLvl w:val="3"/>
    </w:pPr>
    <w:rPr>
      <w:color w:val="016500"/>
    </w:rPr>
  </w:style>
  <w:style w:type="paragraph" w:customStyle="1" w:styleId="Bullet2">
    <w:name w:val="Bullet 2"/>
    <w:basedOn w:val="Normal"/>
    <w:link w:val="Bullet2Char"/>
    <w:qFormat/>
    <w:rsid w:val="000D0E4E"/>
    <w:pPr>
      <w:numPr>
        <w:numId w:val="15"/>
      </w:numPr>
      <w:spacing w:before="120"/>
      <w:ind w:right="142"/>
    </w:pPr>
    <w:rPr>
      <w:szCs w:val="20"/>
      <w:lang w:val="en-US" w:eastAsia="en-US"/>
    </w:rPr>
  </w:style>
  <w:style w:type="paragraph" w:styleId="ListContinue">
    <w:name w:val="List Continue"/>
    <w:basedOn w:val="Normal"/>
    <w:unhideWhenUsed/>
    <w:rsid w:val="000D0E4E"/>
    <w:pPr>
      <w:spacing w:after="120"/>
      <w:ind w:left="283"/>
      <w:contextualSpacing/>
    </w:pPr>
  </w:style>
  <w:style w:type="table" w:styleId="TableClassic1">
    <w:name w:val="Table Classic 1"/>
    <w:basedOn w:val="TableNormal"/>
    <w:rsid w:val="000D0E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0D0E4E"/>
    <w:pPr>
      <w:widowControl w:val="0"/>
      <w:pBdr>
        <w:bottom w:val="single" w:sz="16" w:space="11" w:color="BFBFBF"/>
      </w:pBdr>
      <w:autoSpaceDE w:val="0"/>
      <w:autoSpaceDN w:val="0"/>
      <w:adjustRightInd w:val="0"/>
      <w:spacing w:before="720"/>
      <w:textAlignment w:val="center"/>
    </w:pPr>
    <w:rPr>
      <w:rFonts w:ascii="Arial Bold" w:hAnsi="Arial Bold" w:cstheme="minorHAnsi"/>
      <w:smallCaps/>
      <w:kern w:val="0"/>
      <w:sz w:val="20"/>
      <w:szCs w:val="20"/>
    </w:rPr>
  </w:style>
  <w:style w:type="character" w:customStyle="1" w:styleId="DNU7Char">
    <w:name w:val="DNU7 Char"/>
    <w:link w:val="DNU7"/>
    <w:uiPriority w:val="99"/>
    <w:locked/>
    <w:rsid w:val="000D0E4E"/>
    <w:rPr>
      <w:rFonts w:ascii="Arial Bold" w:hAnsi="Arial Bold" w:cstheme="minorHAnsi"/>
      <w:b/>
      <w:bCs/>
      <w:smallCaps/>
    </w:rPr>
  </w:style>
  <w:style w:type="paragraph" w:customStyle="1" w:styleId="DNU2">
    <w:name w:val="DNU2"/>
    <w:basedOn w:val="Heading2"/>
    <w:autoRedefine/>
    <w:uiPriority w:val="99"/>
    <w:locked/>
    <w:rsid w:val="000D0E4E"/>
    <w:pPr>
      <w:spacing w:before="120"/>
      <w:jc w:val="center"/>
    </w:pPr>
    <w:rPr>
      <w:b w:val="0"/>
      <w:color w:val="01653F"/>
      <w:sz w:val="20"/>
    </w:rPr>
  </w:style>
  <w:style w:type="character" w:customStyle="1" w:styleId="Heading3Char">
    <w:name w:val="Heading 3 Char"/>
    <w:aliases w:val="Header 3 Char"/>
    <w:basedOn w:val="DefaultParagraphFont"/>
    <w:link w:val="Heading3"/>
    <w:uiPriority w:val="9"/>
    <w:rsid w:val="000D0E4E"/>
    <w:rPr>
      <w:rFonts w:ascii="Arial" w:hAnsi="Arial" w:cs="Arial"/>
      <w:bCs/>
      <w:sz w:val="24"/>
      <w:szCs w:val="26"/>
      <w:lang w:eastAsia="en-US"/>
    </w:rPr>
  </w:style>
  <w:style w:type="paragraph" w:customStyle="1" w:styleId="Heading3Numbered">
    <w:name w:val="Heading 3 Numbered"/>
    <w:basedOn w:val="Heading2"/>
    <w:uiPriority w:val="5"/>
    <w:qFormat/>
    <w:rsid w:val="000D0E4E"/>
    <w:pPr>
      <w:spacing w:before="120" w:after="120"/>
      <w:ind w:left="720" w:hanging="720"/>
      <w:outlineLvl w:val="2"/>
    </w:pPr>
    <w:rPr>
      <w:rFonts w:asciiTheme="minorHAnsi" w:eastAsiaTheme="minorHAnsi" w:hAnsiTheme="minorHAnsi"/>
      <w:i w:val="0"/>
      <w:szCs w:val="26"/>
      <w:lang w:val="en-US"/>
    </w:rPr>
  </w:style>
  <w:style w:type="paragraph" w:customStyle="1" w:styleId="FigureCaption">
    <w:name w:val="Figure Caption"/>
    <w:basedOn w:val="Caption"/>
    <w:uiPriority w:val="14"/>
    <w:rsid w:val="000D0E4E"/>
    <w:rPr>
      <w:noProof/>
      <w:lang w:val="en-US"/>
    </w:rPr>
  </w:style>
  <w:style w:type="paragraph" w:customStyle="1" w:styleId="DNU4">
    <w:name w:val="DNU4"/>
    <w:basedOn w:val="Normal"/>
    <w:uiPriority w:val="99"/>
    <w:locked/>
    <w:rsid w:val="000D0E4E"/>
    <w:pPr>
      <w:numPr>
        <w:numId w:val="6"/>
      </w:numPr>
      <w:contextualSpacing/>
    </w:pPr>
    <w:rPr>
      <w:rFonts w:eastAsiaTheme="minorHAnsi" w:cs="Arial"/>
      <w:szCs w:val="22"/>
      <w:lang w:val="en-US"/>
    </w:rPr>
  </w:style>
  <w:style w:type="paragraph" w:styleId="Revision">
    <w:name w:val="Revision"/>
    <w:hidden/>
    <w:uiPriority w:val="99"/>
    <w:semiHidden/>
    <w:rsid w:val="000D0E4E"/>
    <w:rPr>
      <w:rFonts w:asciiTheme="minorHAnsi" w:hAnsiTheme="minorHAnsi"/>
      <w:sz w:val="22"/>
      <w:szCs w:val="24"/>
    </w:rPr>
  </w:style>
  <w:style w:type="paragraph" w:customStyle="1" w:styleId="BoxText">
    <w:name w:val="Box Text"/>
    <w:basedOn w:val="Normal"/>
    <w:uiPriority w:val="14"/>
    <w:qFormat/>
    <w:rsid w:val="000D0E4E"/>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0D0E4E"/>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0D0E4E"/>
    <w:pPr>
      <w:numPr>
        <w:ilvl w:val="0"/>
      </w:numPr>
      <w:ind w:left="578" w:hanging="578"/>
    </w:pPr>
    <w:rPr>
      <w:color w:val="auto"/>
    </w:rPr>
  </w:style>
  <w:style w:type="paragraph" w:customStyle="1" w:styleId="TableBullet">
    <w:name w:val="TableBullet"/>
    <w:basedOn w:val="DNU5"/>
    <w:uiPriority w:val="11"/>
    <w:locked/>
    <w:rsid w:val="000D0E4E"/>
    <w:pPr>
      <w:spacing w:before="40" w:after="40" w:line="240" w:lineRule="auto"/>
    </w:pPr>
    <w:rPr>
      <w:rFonts w:cs="Arial"/>
      <w:color w:val="000000" w:themeColor="text1"/>
      <w:sz w:val="18"/>
      <w:szCs w:val="18"/>
    </w:rPr>
  </w:style>
  <w:style w:type="paragraph" w:customStyle="1" w:styleId="DNU">
    <w:name w:val="DNU"/>
    <w:basedOn w:val="DNU5"/>
    <w:uiPriority w:val="99"/>
    <w:locked/>
    <w:rsid w:val="000D0E4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0D0E4E"/>
    <w:pPr>
      <w:numPr>
        <w:numId w:val="7"/>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0" w:firstLine="0"/>
    </w:pPr>
    <w:rPr>
      <w:rFonts w:cs="Arial"/>
      <w:sz w:val="17"/>
      <w:szCs w:val="17"/>
    </w:rPr>
  </w:style>
  <w:style w:type="paragraph" w:customStyle="1" w:styleId="EndNoteBibliography">
    <w:name w:val="EndNote Bibliography"/>
    <w:basedOn w:val="Normal"/>
    <w:link w:val="EndNoteBibliographyChar"/>
    <w:uiPriority w:val="14"/>
    <w:rsid w:val="000D0E4E"/>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0D0E4E"/>
    <w:rPr>
      <w:rFonts w:ascii="Calibri" w:hAnsi="Calibri"/>
      <w:noProof/>
      <w:sz w:val="22"/>
      <w:szCs w:val="24"/>
    </w:rPr>
  </w:style>
  <w:style w:type="character" w:customStyle="1" w:styleId="02dashChar">
    <w:name w:val="02 dash Char"/>
    <w:basedOn w:val="DefaultParagraphFont"/>
    <w:link w:val="02dash"/>
    <w:uiPriority w:val="4"/>
    <w:locked/>
    <w:rsid w:val="000D0E4E"/>
    <w:rPr>
      <w:rFonts w:asciiTheme="minorHAnsi" w:hAnsiTheme="minorHAnsi"/>
      <w:sz w:val="22"/>
      <w:lang w:val="en-US" w:eastAsia="en-US"/>
    </w:rPr>
  </w:style>
  <w:style w:type="numbering" w:customStyle="1" w:styleId="Style2">
    <w:name w:val="Style2"/>
    <w:uiPriority w:val="99"/>
    <w:locked/>
    <w:rsid w:val="000D0E4E"/>
    <w:pPr>
      <w:numPr>
        <w:numId w:val="8"/>
      </w:numPr>
    </w:pPr>
  </w:style>
  <w:style w:type="character" w:customStyle="1" w:styleId="Heading1Char">
    <w:name w:val="Heading 1 Char"/>
    <w:basedOn w:val="DefaultParagraphFont"/>
    <w:link w:val="Heading1"/>
    <w:uiPriority w:val="4"/>
    <w:rsid w:val="000D0E4E"/>
    <w:rPr>
      <w:rFonts w:ascii="Arial" w:hAnsi="Arial" w:cs="Arial"/>
      <w:b/>
      <w:bCs/>
      <w:kern w:val="28"/>
      <w:sz w:val="28"/>
      <w:szCs w:val="32"/>
      <w:lang w:eastAsia="en-US"/>
    </w:rPr>
  </w:style>
  <w:style w:type="paragraph" w:customStyle="1" w:styleId="Bullet-green">
    <w:name w:val="Bullet - green"/>
    <w:basedOn w:val="DNU19"/>
    <w:link w:val="Bullet-greenChar"/>
    <w:uiPriority w:val="14"/>
    <w:qFormat/>
    <w:rsid w:val="000D0E4E"/>
    <w:pPr>
      <w:numPr>
        <w:numId w:val="9"/>
      </w:numPr>
      <w:spacing w:after="120"/>
      <w:contextualSpacing w:val="0"/>
    </w:pPr>
  </w:style>
  <w:style w:type="character" w:customStyle="1" w:styleId="Bullet-greenChar">
    <w:name w:val="Bullet - green Char"/>
    <w:basedOn w:val="DefaultParagraphFont"/>
    <w:link w:val="Bullet-green"/>
    <w:uiPriority w:val="14"/>
    <w:rsid w:val="000D0E4E"/>
    <w:rPr>
      <w:rFonts w:asciiTheme="minorHAnsi" w:hAnsiTheme="minorHAnsi"/>
      <w:sz w:val="22"/>
      <w:szCs w:val="24"/>
    </w:rPr>
  </w:style>
  <w:style w:type="paragraph" w:customStyle="1" w:styleId="Tableheading-black">
    <w:name w:val="Table heading - black"/>
    <w:link w:val="Tableheading-blackChar"/>
    <w:uiPriority w:val="14"/>
    <w:qFormat/>
    <w:rsid w:val="000D0E4E"/>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0D0E4E"/>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0D0E4E"/>
    <w:pPr>
      <w:spacing w:before="140" w:after="40"/>
    </w:pPr>
    <w:rPr>
      <w:rFonts w:eastAsia="Calibri"/>
      <w:sz w:val="18"/>
      <w:szCs w:val="18"/>
    </w:rPr>
  </w:style>
  <w:style w:type="character" w:customStyle="1" w:styleId="TabletextChar">
    <w:name w:val="Table text Char"/>
    <w:basedOn w:val="DefaultParagraphFont"/>
    <w:link w:val="Tabletext"/>
    <w:uiPriority w:val="11"/>
    <w:rsid w:val="000D0E4E"/>
    <w:rPr>
      <w:rFonts w:asciiTheme="minorHAnsi" w:eastAsia="Calibri" w:hAnsiTheme="minorHAnsi"/>
      <w:sz w:val="18"/>
      <w:szCs w:val="18"/>
    </w:rPr>
  </w:style>
  <w:style w:type="character" w:customStyle="1" w:styleId="Bullet2Char">
    <w:name w:val="Bullet 2 Char"/>
    <w:basedOn w:val="DefaultParagraphFont"/>
    <w:link w:val="Bullet2"/>
    <w:locked/>
    <w:rsid w:val="000D0E4E"/>
    <w:rPr>
      <w:rFonts w:asciiTheme="minorHAnsi" w:hAnsiTheme="minorHAnsi"/>
      <w:sz w:val="22"/>
      <w:lang w:val="en-US" w:eastAsia="en-US"/>
    </w:rPr>
  </w:style>
  <w:style w:type="paragraph" w:customStyle="1" w:styleId="CoverH1White">
    <w:name w:val="Cover H1 White"/>
    <w:basedOn w:val="Normal"/>
    <w:uiPriority w:val="14"/>
    <w:qFormat/>
    <w:rsid w:val="000D0E4E"/>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0D0E4E"/>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0D0E4E"/>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customStyle="1" w:styleId="Squarebullet">
    <w:name w:val="Square bullet"/>
    <w:basedOn w:val="Bullet2"/>
    <w:qFormat/>
    <w:rsid w:val="000D0E4E"/>
    <w:pPr>
      <w:numPr>
        <w:numId w:val="11"/>
      </w:numPr>
    </w:pPr>
  </w:style>
  <w:style w:type="paragraph" w:customStyle="1" w:styleId="TOC3Header">
    <w:name w:val="TOC 3 Header"/>
    <w:basedOn w:val="TOC3"/>
    <w:qFormat/>
    <w:rsid w:val="000D0E4E"/>
  </w:style>
  <w:style w:type="paragraph" w:customStyle="1" w:styleId="TOC3Heading">
    <w:name w:val="TOC 3 Heading"/>
    <w:basedOn w:val="TOC3"/>
    <w:qFormat/>
    <w:rsid w:val="000D0E4E"/>
  </w:style>
  <w:style w:type="paragraph" w:styleId="BalloonText">
    <w:name w:val="Balloon Text"/>
    <w:basedOn w:val="Normal"/>
    <w:link w:val="BalloonTextChar"/>
    <w:uiPriority w:val="99"/>
    <w:unhideWhenUsed/>
    <w:rsid w:val="000D0E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D0E4E"/>
    <w:rPr>
      <w:rFonts w:ascii="Segoe UI" w:hAnsi="Segoe UI" w:cs="Segoe UI"/>
      <w:sz w:val="18"/>
      <w:szCs w:val="18"/>
    </w:rPr>
  </w:style>
  <w:style w:type="paragraph" w:customStyle="1" w:styleId="Tableheading-white">
    <w:name w:val="Table heading - white"/>
    <w:basedOn w:val="Tableheading-black"/>
    <w:qFormat/>
    <w:rsid w:val="000D0E4E"/>
    <w:rPr>
      <w:color w:val="FFFFFF" w:themeColor="background1"/>
    </w:rPr>
  </w:style>
  <w:style w:type="paragraph" w:customStyle="1" w:styleId="Tablebullet-green">
    <w:name w:val="Table bullet - green"/>
    <w:basedOn w:val="Tablebullet-orange"/>
    <w:qFormat/>
    <w:rsid w:val="000D0E4E"/>
    <w:pPr>
      <w:numPr>
        <w:numId w:val="13"/>
      </w:numPr>
      <w:tabs>
        <w:tab w:val="num" w:pos="360"/>
      </w:tabs>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0D0E4E"/>
  </w:style>
  <w:style w:type="character" w:customStyle="1" w:styleId="01TrianglebulletsChar">
    <w:name w:val="01 Triangle bullets Char"/>
    <w:basedOn w:val="DefaultParagraphFont"/>
    <w:link w:val="01Trianglebullets"/>
    <w:rsid w:val="000D0E4E"/>
    <w:rPr>
      <w:rFonts w:asciiTheme="minorHAnsi" w:hAnsiTheme="minorHAnsi"/>
      <w:sz w:val="22"/>
      <w:szCs w:val="24"/>
    </w:rPr>
  </w:style>
  <w:style w:type="paragraph" w:customStyle="1" w:styleId="Dash3">
    <w:name w:val="Dash 3"/>
    <w:basedOn w:val="Bullet2"/>
    <w:qFormat/>
    <w:rsid w:val="000D0E4E"/>
    <w:pPr>
      <w:numPr>
        <w:numId w:val="14"/>
      </w:numPr>
      <w:tabs>
        <w:tab w:val="num" w:pos="360"/>
      </w:tabs>
      <w:ind w:left="720"/>
    </w:pPr>
    <w:rPr>
      <w:rFonts w:ascii="Calibri" w:hAnsi="Calibri"/>
    </w:rPr>
  </w:style>
  <w:style w:type="paragraph" w:customStyle="1" w:styleId="TableCaption">
    <w:name w:val="Table Caption"/>
    <w:basedOn w:val="Caption"/>
    <w:qFormat/>
    <w:rsid w:val="000D0E4E"/>
  </w:style>
  <w:style w:type="paragraph" w:customStyle="1" w:styleId="Boxbulletgreen">
    <w:name w:val="Box bullet green"/>
    <w:basedOn w:val="Normal"/>
    <w:qFormat/>
    <w:rsid w:val="000D0E4E"/>
    <w:pPr>
      <w:numPr>
        <w:numId w:val="16"/>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0D0E4E"/>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nhideWhenUsed/>
    <w:rsid w:val="000D0E4E"/>
    <w:pPr>
      <w:spacing w:before="0" w:after="0" w:line="240" w:lineRule="auto"/>
    </w:pPr>
    <w:rPr>
      <w:sz w:val="20"/>
      <w:szCs w:val="20"/>
    </w:rPr>
  </w:style>
  <w:style w:type="character" w:customStyle="1" w:styleId="EndnoteTextChar">
    <w:name w:val="Endnote Text Char"/>
    <w:basedOn w:val="DefaultParagraphFont"/>
    <w:link w:val="EndnoteText"/>
    <w:rsid w:val="000D0E4E"/>
    <w:rPr>
      <w:rFonts w:asciiTheme="minorHAnsi" w:hAnsiTheme="minorHAnsi"/>
    </w:rPr>
  </w:style>
  <w:style w:type="character" w:styleId="EndnoteReference">
    <w:name w:val="endnote reference"/>
    <w:basedOn w:val="DefaultParagraphFont"/>
    <w:unhideWhenUsed/>
    <w:rsid w:val="000D0E4E"/>
    <w:rPr>
      <w:vertAlign w:val="superscript"/>
    </w:rPr>
  </w:style>
  <w:style w:type="paragraph" w:customStyle="1" w:styleId="Tableheading">
    <w:name w:val="Table heading"/>
    <w:link w:val="TableheadingChar"/>
    <w:uiPriority w:val="9"/>
    <w:qFormat/>
    <w:rsid w:val="000D0E4E"/>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0D0E4E"/>
    <w:rPr>
      <w:rFonts w:asciiTheme="minorHAnsi" w:eastAsiaTheme="minorHAnsi" w:hAnsiTheme="minorHAnsi" w:cstheme="minorHAnsi"/>
      <w:b/>
      <w:sz w:val="18"/>
      <w:szCs w:val="22"/>
      <w:lang w:val="en-GB" w:eastAsia="en-US"/>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C11C50"/>
    <w:rPr>
      <w:color w:val="605E5C"/>
      <w:shd w:val="clear" w:color="auto" w:fill="E1DFDD"/>
    </w:rPr>
  </w:style>
  <w:style w:type="character" w:customStyle="1" w:styleId="UnresolvedMention2">
    <w:name w:val="Unresolved Mention2"/>
    <w:basedOn w:val="DefaultParagraphFont"/>
    <w:uiPriority w:val="99"/>
    <w:semiHidden/>
    <w:unhideWhenUsed/>
    <w:rsid w:val="002933A1"/>
    <w:rPr>
      <w:color w:val="605E5C"/>
      <w:shd w:val="clear" w:color="auto" w:fill="E1DFDD"/>
    </w:rPr>
  </w:style>
  <w:style w:type="paragraph" w:customStyle="1" w:styleId="01squarebullet">
    <w:name w:val="01 square bullet"/>
    <w:basedOn w:val="Normal"/>
    <w:uiPriority w:val="3"/>
    <w:qFormat/>
    <w:rsid w:val="00E54954"/>
    <w:pPr>
      <w:spacing w:before="120" w:line="240" w:lineRule="auto"/>
      <w:ind w:left="360" w:right="142" w:hanging="360"/>
    </w:pPr>
    <w:rPr>
      <w:szCs w:val="20"/>
      <w:lang w:val="en-US" w:eastAsia="en-US"/>
    </w:rPr>
  </w:style>
  <w:style w:type="paragraph" w:customStyle="1" w:styleId="Bullet3">
    <w:name w:val="Bullet 3"/>
    <w:basedOn w:val="02dash"/>
    <w:uiPriority w:val="4"/>
    <w:rsid w:val="00AC4969"/>
    <w:pPr>
      <w:numPr>
        <w:ilvl w:val="0"/>
      </w:numPr>
      <w:tabs>
        <w:tab w:val="num" w:pos="280"/>
      </w:tabs>
      <w:spacing w:line="240" w:lineRule="auto"/>
      <w:ind w:left="283" w:hanging="283"/>
    </w:pPr>
    <w:rPr>
      <w:rFonts w:eastAsiaTheme="minorHAnsi"/>
    </w:rPr>
  </w:style>
  <w:style w:type="character" w:customStyle="1" w:styleId="UnresolvedMention3">
    <w:name w:val="Unresolved Mention3"/>
    <w:basedOn w:val="DefaultParagraphFont"/>
    <w:uiPriority w:val="99"/>
    <w:semiHidden/>
    <w:unhideWhenUsed/>
    <w:rsid w:val="000F081C"/>
    <w:rPr>
      <w:color w:val="605E5C"/>
      <w:shd w:val="clear" w:color="auto" w:fill="E1DFDD"/>
    </w:rPr>
  </w:style>
  <w:style w:type="character" w:customStyle="1" w:styleId="UnresolvedMention4">
    <w:name w:val="Unresolved Mention4"/>
    <w:basedOn w:val="DefaultParagraphFont"/>
    <w:uiPriority w:val="99"/>
    <w:semiHidden/>
    <w:unhideWhenUsed/>
    <w:rsid w:val="002D2B45"/>
    <w:rPr>
      <w:color w:val="605E5C"/>
      <w:shd w:val="clear" w:color="auto" w:fill="E1DFDD"/>
    </w:rPr>
  </w:style>
  <w:style w:type="paragraph" w:styleId="NormalWeb">
    <w:name w:val="Normal (Web)"/>
    <w:basedOn w:val="Normal"/>
    <w:uiPriority w:val="99"/>
    <w:unhideWhenUsed/>
    <w:rsid w:val="003904EB"/>
    <w:pPr>
      <w:spacing w:before="100" w:beforeAutospacing="1" w:after="100" w:afterAutospacing="1" w:line="240" w:lineRule="auto"/>
    </w:pPr>
    <w:rPr>
      <w:rFonts w:ascii="Times New Roman" w:hAnsi="Times New Roman"/>
      <w:sz w:val="24"/>
    </w:rPr>
  </w:style>
  <w:style w:type="paragraph" w:customStyle="1" w:styleId="Default">
    <w:name w:val="Default"/>
    <w:rsid w:val="00D460C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230892">
      <w:bodyDiv w:val="1"/>
      <w:marLeft w:val="0"/>
      <w:marRight w:val="0"/>
      <w:marTop w:val="0"/>
      <w:marBottom w:val="0"/>
      <w:divBdr>
        <w:top w:val="none" w:sz="0" w:space="0" w:color="auto"/>
        <w:left w:val="none" w:sz="0" w:space="0" w:color="auto"/>
        <w:bottom w:val="none" w:sz="0" w:space="0" w:color="auto"/>
        <w:right w:val="none" w:sz="0" w:space="0" w:color="auto"/>
      </w:divBdr>
    </w:div>
    <w:div w:id="435759776">
      <w:bodyDiv w:val="1"/>
      <w:marLeft w:val="0"/>
      <w:marRight w:val="0"/>
      <w:marTop w:val="0"/>
      <w:marBottom w:val="0"/>
      <w:divBdr>
        <w:top w:val="none" w:sz="0" w:space="0" w:color="auto"/>
        <w:left w:val="none" w:sz="0" w:space="0" w:color="auto"/>
        <w:bottom w:val="none" w:sz="0" w:space="0" w:color="auto"/>
        <w:right w:val="none" w:sz="0" w:space="0" w:color="auto"/>
      </w:divBdr>
    </w:div>
    <w:div w:id="453407792">
      <w:bodyDiv w:val="1"/>
      <w:marLeft w:val="0"/>
      <w:marRight w:val="0"/>
      <w:marTop w:val="0"/>
      <w:marBottom w:val="0"/>
      <w:divBdr>
        <w:top w:val="none" w:sz="0" w:space="0" w:color="auto"/>
        <w:left w:val="none" w:sz="0" w:space="0" w:color="auto"/>
        <w:bottom w:val="none" w:sz="0" w:space="0" w:color="auto"/>
        <w:right w:val="none" w:sz="0" w:space="0" w:color="auto"/>
      </w:divBdr>
    </w:div>
    <w:div w:id="661350895">
      <w:bodyDiv w:val="1"/>
      <w:marLeft w:val="0"/>
      <w:marRight w:val="0"/>
      <w:marTop w:val="0"/>
      <w:marBottom w:val="0"/>
      <w:divBdr>
        <w:top w:val="none" w:sz="0" w:space="0" w:color="auto"/>
        <w:left w:val="none" w:sz="0" w:space="0" w:color="auto"/>
        <w:bottom w:val="none" w:sz="0" w:space="0" w:color="auto"/>
        <w:right w:val="none" w:sz="0" w:space="0" w:color="auto"/>
      </w:divBdr>
    </w:div>
    <w:div w:id="719088900">
      <w:bodyDiv w:val="1"/>
      <w:marLeft w:val="0"/>
      <w:marRight w:val="0"/>
      <w:marTop w:val="0"/>
      <w:marBottom w:val="0"/>
      <w:divBdr>
        <w:top w:val="none" w:sz="0" w:space="0" w:color="auto"/>
        <w:left w:val="none" w:sz="0" w:space="0" w:color="auto"/>
        <w:bottom w:val="none" w:sz="0" w:space="0" w:color="auto"/>
        <w:right w:val="none" w:sz="0" w:space="0" w:color="auto"/>
      </w:divBdr>
    </w:div>
    <w:div w:id="883979054">
      <w:bodyDiv w:val="1"/>
      <w:marLeft w:val="0"/>
      <w:marRight w:val="0"/>
      <w:marTop w:val="0"/>
      <w:marBottom w:val="0"/>
      <w:divBdr>
        <w:top w:val="none" w:sz="0" w:space="0" w:color="auto"/>
        <w:left w:val="none" w:sz="0" w:space="0" w:color="auto"/>
        <w:bottom w:val="none" w:sz="0" w:space="0" w:color="auto"/>
        <w:right w:val="none" w:sz="0" w:space="0" w:color="auto"/>
      </w:divBdr>
      <w:divsChild>
        <w:div w:id="2027443871">
          <w:marLeft w:val="0"/>
          <w:marRight w:val="0"/>
          <w:marTop w:val="0"/>
          <w:marBottom w:val="0"/>
          <w:divBdr>
            <w:top w:val="none" w:sz="0" w:space="0" w:color="auto"/>
            <w:left w:val="none" w:sz="0" w:space="0" w:color="auto"/>
            <w:bottom w:val="none" w:sz="0" w:space="0" w:color="auto"/>
            <w:right w:val="none" w:sz="0" w:space="0" w:color="auto"/>
          </w:divBdr>
          <w:divsChild>
            <w:div w:id="171192196">
              <w:marLeft w:val="0"/>
              <w:marRight w:val="0"/>
              <w:marTop w:val="0"/>
              <w:marBottom w:val="0"/>
              <w:divBdr>
                <w:top w:val="none" w:sz="0" w:space="0" w:color="auto"/>
                <w:left w:val="none" w:sz="0" w:space="0" w:color="auto"/>
                <w:bottom w:val="none" w:sz="0" w:space="0" w:color="auto"/>
                <w:right w:val="none" w:sz="0" w:space="0" w:color="auto"/>
              </w:divBdr>
              <w:divsChild>
                <w:div w:id="130488041">
                  <w:marLeft w:val="0"/>
                  <w:marRight w:val="0"/>
                  <w:marTop w:val="0"/>
                  <w:marBottom w:val="0"/>
                  <w:divBdr>
                    <w:top w:val="none" w:sz="0" w:space="0" w:color="auto"/>
                    <w:left w:val="none" w:sz="0" w:space="0" w:color="auto"/>
                    <w:bottom w:val="none" w:sz="0" w:space="0" w:color="auto"/>
                    <w:right w:val="none" w:sz="0" w:space="0" w:color="auto"/>
                  </w:divBdr>
                  <w:divsChild>
                    <w:div w:id="1915357785">
                      <w:marLeft w:val="0"/>
                      <w:marRight w:val="0"/>
                      <w:marTop w:val="0"/>
                      <w:marBottom w:val="0"/>
                      <w:divBdr>
                        <w:top w:val="none" w:sz="0" w:space="0" w:color="auto"/>
                        <w:left w:val="none" w:sz="0" w:space="0" w:color="auto"/>
                        <w:bottom w:val="none" w:sz="0" w:space="0" w:color="auto"/>
                        <w:right w:val="none" w:sz="0" w:space="0" w:color="auto"/>
                      </w:divBdr>
                      <w:divsChild>
                        <w:div w:id="660305691">
                          <w:marLeft w:val="0"/>
                          <w:marRight w:val="0"/>
                          <w:marTop w:val="0"/>
                          <w:marBottom w:val="0"/>
                          <w:divBdr>
                            <w:top w:val="none" w:sz="0" w:space="0" w:color="auto"/>
                            <w:left w:val="none" w:sz="0" w:space="0" w:color="auto"/>
                            <w:bottom w:val="none" w:sz="0" w:space="0" w:color="auto"/>
                            <w:right w:val="none" w:sz="0" w:space="0" w:color="auto"/>
                          </w:divBdr>
                          <w:divsChild>
                            <w:div w:id="1645701685">
                              <w:marLeft w:val="0"/>
                              <w:marRight w:val="0"/>
                              <w:marTop w:val="0"/>
                              <w:marBottom w:val="0"/>
                              <w:divBdr>
                                <w:top w:val="none" w:sz="0" w:space="0" w:color="auto"/>
                                <w:left w:val="none" w:sz="0" w:space="0" w:color="auto"/>
                                <w:bottom w:val="none" w:sz="0" w:space="0" w:color="auto"/>
                                <w:right w:val="none" w:sz="0" w:space="0" w:color="auto"/>
                              </w:divBdr>
                              <w:divsChild>
                                <w:div w:id="1205750104">
                                  <w:marLeft w:val="0"/>
                                  <w:marRight w:val="0"/>
                                  <w:marTop w:val="0"/>
                                  <w:marBottom w:val="0"/>
                                  <w:divBdr>
                                    <w:top w:val="none" w:sz="0" w:space="0" w:color="auto"/>
                                    <w:left w:val="none" w:sz="0" w:space="0" w:color="auto"/>
                                    <w:bottom w:val="none" w:sz="0" w:space="0" w:color="auto"/>
                                    <w:right w:val="none" w:sz="0" w:space="0" w:color="auto"/>
                                  </w:divBdr>
                                  <w:divsChild>
                                    <w:div w:id="2119644446">
                                      <w:marLeft w:val="0"/>
                                      <w:marRight w:val="0"/>
                                      <w:marTop w:val="0"/>
                                      <w:marBottom w:val="0"/>
                                      <w:divBdr>
                                        <w:top w:val="none" w:sz="0" w:space="0" w:color="auto"/>
                                        <w:left w:val="none" w:sz="0" w:space="0" w:color="auto"/>
                                        <w:bottom w:val="none" w:sz="0" w:space="0" w:color="auto"/>
                                        <w:right w:val="none" w:sz="0" w:space="0" w:color="auto"/>
                                      </w:divBdr>
                                      <w:divsChild>
                                        <w:div w:id="1700739706">
                                          <w:marLeft w:val="0"/>
                                          <w:marRight w:val="0"/>
                                          <w:marTop w:val="0"/>
                                          <w:marBottom w:val="0"/>
                                          <w:divBdr>
                                            <w:top w:val="none" w:sz="0" w:space="0" w:color="auto"/>
                                            <w:left w:val="none" w:sz="0" w:space="0" w:color="auto"/>
                                            <w:bottom w:val="none" w:sz="0" w:space="0" w:color="auto"/>
                                            <w:right w:val="none" w:sz="0" w:space="0" w:color="auto"/>
                                          </w:divBdr>
                                          <w:divsChild>
                                            <w:div w:id="1759717415">
                                              <w:marLeft w:val="0"/>
                                              <w:marRight w:val="0"/>
                                              <w:marTop w:val="0"/>
                                              <w:marBottom w:val="0"/>
                                              <w:divBdr>
                                                <w:top w:val="none" w:sz="0" w:space="0" w:color="auto"/>
                                                <w:left w:val="none" w:sz="0" w:space="0" w:color="auto"/>
                                                <w:bottom w:val="none" w:sz="0" w:space="0" w:color="auto"/>
                                                <w:right w:val="none" w:sz="0" w:space="0" w:color="auto"/>
                                              </w:divBdr>
                                              <w:divsChild>
                                                <w:div w:id="1919175081">
                                                  <w:marLeft w:val="0"/>
                                                  <w:marRight w:val="0"/>
                                                  <w:marTop w:val="0"/>
                                                  <w:marBottom w:val="0"/>
                                                  <w:divBdr>
                                                    <w:top w:val="none" w:sz="0" w:space="0" w:color="auto"/>
                                                    <w:left w:val="none" w:sz="0" w:space="0" w:color="auto"/>
                                                    <w:bottom w:val="none" w:sz="0" w:space="0" w:color="auto"/>
                                                    <w:right w:val="none" w:sz="0" w:space="0" w:color="auto"/>
                                                  </w:divBdr>
                                                  <w:divsChild>
                                                    <w:div w:id="2006975861">
                                                      <w:marLeft w:val="0"/>
                                                      <w:marRight w:val="0"/>
                                                      <w:marTop w:val="0"/>
                                                      <w:marBottom w:val="0"/>
                                                      <w:divBdr>
                                                        <w:top w:val="none" w:sz="0" w:space="0" w:color="auto"/>
                                                        <w:left w:val="none" w:sz="0" w:space="0" w:color="auto"/>
                                                        <w:bottom w:val="none" w:sz="0" w:space="0" w:color="auto"/>
                                                        <w:right w:val="none" w:sz="0" w:space="0" w:color="auto"/>
                                                      </w:divBdr>
                                                      <w:divsChild>
                                                        <w:div w:id="1245382112">
                                                          <w:marLeft w:val="0"/>
                                                          <w:marRight w:val="0"/>
                                                          <w:marTop w:val="0"/>
                                                          <w:marBottom w:val="0"/>
                                                          <w:divBdr>
                                                            <w:top w:val="none" w:sz="0" w:space="0" w:color="auto"/>
                                                            <w:left w:val="none" w:sz="0" w:space="0" w:color="auto"/>
                                                            <w:bottom w:val="none" w:sz="0" w:space="0" w:color="auto"/>
                                                            <w:right w:val="none" w:sz="0" w:space="0" w:color="auto"/>
                                                          </w:divBdr>
                                                          <w:divsChild>
                                                            <w:div w:id="190458167">
                                                              <w:marLeft w:val="0"/>
                                                              <w:marRight w:val="0"/>
                                                              <w:marTop w:val="0"/>
                                                              <w:marBottom w:val="0"/>
                                                              <w:divBdr>
                                                                <w:top w:val="none" w:sz="0" w:space="0" w:color="auto"/>
                                                                <w:left w:val="none" w:sz="0" w:space="0" w:color="auto"/>
                                                                <w:bottom w:val="none" w:sz="0" w:space="0" w:color="auto"/>
                                                                <w:right w:val="none" w:sz="0" w:space="0" w:color="auto"/>
                                                              </w:divBdr>
                                                            </w:div>
                                                            <w:div w:id="1066144352">
                                                              <w:marLeft w:val="0"/>
                                                              <w:marRight w:val="0"/>
                                                              <w:marTop w:val="0"/>
                                                              <w:marBottom w:val="0"/>
                                                              <w:divBdr>
                                                                <w:top w:val="none" w:sz="0" w:space="0" w:color="auto"/>
                                                                <w:left w:val="none" w:sz="0" w:space="0" w:color="auto"/>
                                                                <w:bottom w:val="none" w:sz="0" w:space="0" w:color="auto"/>
                                                                <w:right w:val="none" w:sz="0" w:space="0" w:color="auto"/>
                                                              </w:divBdr>
                                                            </w:div>
                                                            <w:div w:id="264386712">
                                                              <w:marLeft w:val="0"/>
                                                              <w:marRight w:val="0"/>
                                                              <w:marTop w:val="150"/>
                                                              <w:marBottom w:val="0"/>
                                                              <w:divBdr>
                                                                <w:top w:val="none" w:sz="0" w:space="0" w:color="auto"/>
                                                                <w:left w:val="none" w:sz="0" w:space="0" w:color="auto"/>
                                                                <w:bottom w:val="none" w:sz="0" w:space="0" w:color="auto"/>
                                                                <w:right w:val="none" w:sz="0" w:space="0" w:color="auto"/>
                                                              </w:divBdr>
                                                              <w:divsChild>
                                                                <w:div w:id="1978602633">
                                                                  <w:marLeft w:val="0"/>
                                                                  <w:marRight w:val="0"/>
                                                                  <w:marTop w:val="0"/>
                                                                  <w:marBottom w:val="0"/>
                                                                  <w:divBdr>
                                                                    <w:top w:val="none" w:sz="0" w:space="0" w:color="auto"/>
                                                                    <w:left w:val="none" w:sz="0" w:space="0" w:color="auto"/>
                                                                    <w:bottom w:val="none" w:sz="0" w:space="0" w:color="auto"/>
                                                                    <w:right w:val="none" w:sz="0" w:space="0" w:color="auto"/>
                                                                  </w:divBdr>
                                                                </w:div>
                                                                <w:div w:id="267086709">
                                                                  <w:marLeft w:val="0"/>
                                                                  <w:marRight w:val="0"/>
                                                                  <w:marTop w:val="60"/>
                                                                  <w:marBottom w:val="180"/>
                                                                  <w:divBdr>
                                                                    <w:top w:val="none" w:sz="0" w:space="0" w:color="auto"/>
                                                                    <w:left w:val="none" w:sz="0" w:space="0" w:color="auto"/>
                                                                    <w:bottom w:val="none" w:sz="0" w:space="0" w:color="auto"/>
                                                                    <w:right w:val="none" w:sz="0" w:space="0" w:color="auto"/>
                                                                  </w:divBdr>
                                                                  <w:divsChild>
                                                                    <w:div w:id="1250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275296">
                                                  <w:marLeft w:val="0"/>
                                                  <w:marRight w:val="0"/>
                                                  <w:marTop w:val="0"/>
                                                  <w:marBottom w:val="0"/>
                                                  <w:divBdr>
                                                    <w:top w:val="none" w:sz="0" w:space="0" w:color="auto"/>
                                                    <w:left w:val="none" w:sz="0" w:space="0" w:color="auto"/>
                                                    <w:bottom w:val="none" w:sz="0" w:space="0" w:color="auto"/>
                                                    <w:right w:val="none" w:sz="0" w:space="0" w:color="auto"/>
                                                  </w:divBdr>
                                                  <w:divsChild>
                                                    <w:div w:id="332034524">
                                                      <w:marLeft w:val="0"/>
                                                      <w:marRight w:val="0"/>
                                                      <w:marTop w:val="0"/>
                                                      <w:marBottom w:val="0"/>
                                                      <w:divBdr>
                                                        <w:top w:val="none" w:sz="0" w:space="0" w:color="auto"/>
                                                        <w:left w:val="none" w:sz="0" w:space="0" w:color="auto"/>
                                                        <w:bottom w:val="none" w:sz="0" w:space="0" w:color="auto"/>
                                                        <w:right w:val="none" w:sz="0" w:space="0" w:color="auto"/>
                                                      </w:divBdr>
                                                      <w:divsChild>
                                                        <w:div w:id="1364787831">
                                                          <w:marLeft w:val="0"/>
                                                          <w:marRight w:val="0"/>
                                                          <w:marTop w:val="0"/>
                                                          <w:marBottom w:val="0"/>
                                                          <w:divBdr>
                                                            <w:top w:val="none" w:sz="0" w:space="0" w:color="auto"/>
                                                            <w:left w:val="none" w:sz="0" w:space="0" w:color="auto"/>
                                                            <w:bottom w:val="none" w:sz="0" w:space="0" w:color="auto"/>
                                                            <w:right w:val="none" w:sz="0" w:space="0" w:color="auto"/>
                                                          </w:divBdr>
                                                          <w:divsChild>
                                                            <w:div w:id="1816020922">
                                                              <w:marLeft w:val="0"/>
                                                              <w:marRight w:val="0"/>
                                                              <w:marTop w:val="0"/>
                                                              <w:marBottom w:val="0"/>
                                                              <w:divBdr>
                                                                <w:top w:val="none" w:sz="0" w:space="0" w:color="auto"/>
                                                                <w:left w:val="none" w:sz="0" w:space="0" w:color="auto"/>
                                                                <w:bottom w:val="none" w:sz="0" w:space="0" w:color="auto"/>
                                                                <w:right w:val="none" w:sz="0" w:space="0" w:color="auto"/>
                                                              </w:divBdr>
                                                            </w:div>
                                                            <w:div w:id="198737287">
                                                              <w:marLeft w:val="0"/>
                                                              <w:marRight w:val="0"/>
                                                              <w:marTop w:val="150"/>
                                                              <w:marBottom w:val="0"/>
                                                              <w:divBdr>
                                                                <w:top w:val="none" w:sz="0" w:space="0" w:color="auto"/>
                                                                <w:left w:val="none" w:sz="0" w:space="0" w:color="auto"/>
                                                                <w:bottom w:val="none" w:sz="0" w:space="0" w:color="auto"/>
                                                                <w:right w:val="none" w:sz="0" w:space="0" w:color="auto"/>
                                                              </w:divBdr>
                                                              <w:divsChild>
                                                                <w:div w:id="871455047">
                                                                  <w:marLeft w:val="0"/>
                                                                  <w:marRight w:val="0"/>
                                                                  <w:marTop w:val="60"/>
                                                                  <w:marBottom w:val="180"/>
                                                                  <w:divBdr>
                                                                    <w:top w:val="none" w:sz="0" w:space="0" w:color="auto"/>
                                                                    <w:left w:val="none" w:sz="0" w:space="0" w:color="auto"/>
                                                                    <w:bottom w:val="none" w:sz="0" w:space="0" w:color="auto"/>
                                                                    <w:right w:val="none" w:sz="0" w:space="0" w:color="auto"/>
                                                                  </w:divBdr>
                                                                  <w:divsChild>
                                                                    <w:div w:id="9310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470252">
                                                  <w:marLeft w:val="0"/>
                                                  <w:marRight w:val="0"/>
                                                  <w:marTop w:val="0"/>
                                                  <w:marBottom w:val="0"/>
                                                  <w:divBdr>
                                                    <w:top w:val="none" w:sz="0" w:space="0" w:color="auto"/>
                                                    <w:left w:val="none" w:sz="0" w:space="0" w:color="auto"/>
                                                    <w:bottom w:val="none" w:sz="0" w:space="0" w:color="auto"/>
                                                    <w:right w:val="none" w:sz="0" w:space="0" w:color="auto"/>
                                                  </w:divBdr>
                                                  <w:divsChild>
                                                    <w:div w:id="2097943156">
                                                      <w:marLeft w:val="0"/>
                                                      <w:marRight w:val="0"/>
                                                      <w:marTop w:val="0"/>
                                                      <w:marBottom w:val="0"/>
                                                      <w:divBdr>
                                                        <w:top w:val="none" w:sz="0" w:space="0" w:color="auto"/>
                                                        <w:left w:val="none" w:sz="0" w:space="0" w:color="auto"/>
                                                        <w:bottom w:val="none" w:sz="0" w:space="0" w:color="auto"/>
                                                        <w:right w:val="none" w:sz="0" w:space="0" w:color="auto"/>
                                                      </w:divBdr>
                                                      <w:divsChild>
                                                        <w:div w:id="1013454312">
                                                          <w:marLeft w:val="0"/>
                                                          <w:marRight w:val="0"/>
                                                          <w:marTop w:val="0"/>
                                                          <w:marBottom w:val="0"/>
                                                          <w:divBdr>
                                                            <w:top w:val="none" w:sz="0" w:space="0" w:color="auto"/>
                                                            <w:left w:val="none" w:sz="0" w:space="0" w:color="auto"/>
                                                            <w:bottom w:val="none" w:sz="0" w:space="0" w:color="auto"/>
                                                            <w:right w:val="none" w:sz="0" w:space="0" w:color="auto"/>
                                                          </w:divBdr>
                                                          <w:divsChild>
                                                            <w:div w:id="1842814263">
                                                              <w:marLeft w:val="0"/>
                                                              <w:marRight w:val="0"/>
                                                              <w:marTop w:val="0"/>
                                                              <w:marBottom w:val="0"/>
                                                              <w:divBdr>
                                                                <w:top w:val="none" w:sz="0" w:space="0" w:color="auto"/>
                                                                <w:left w:val="none" w:sz="0" w:space="0" w:color="auto"/>
                                                                <w:bottom w:val="none" w:sz="0" w:space="0" w:color="auto"/>
                                                                <w:right w:val="none" w:sz="0" w:space="0" w:color="auto"/>
                                                              </w:divBdr>
                                                            </w:div>
                                                            <w:div w:id="217254230">
                                                              <w:marLeft w:val="0"/>
                                                              <w:marRight w:val="0"/>
                                                              <w:marTop w:val="150"/>
                                                              <w:marBottom w:val="0"/>
                                                              <w:divBdr>
                                                                <w:top w:val="none" w:sz="0" w:space="0" w:color="auto"/>
                                                                <w:left w:val="none" w:sz="0" w:space="0" w:color="auto"/>
                                                                <w:bottom w:val="none" w:sz="0" w:space="0" w:color="auto"/>
                                                                <w:right w:val="none" w:sz="0" w:space="0" w:color="auto"/>
                                                              </w:divBdr>
                                                              <w:divsChild>
                                                                <w:div w:id="1843550471">
                                                                  <w:marLeft w:val="0"/>
                                                                  <w:marRight w:val="0"/>
                                                                  <w:marTop w:val="60"/>
                                                                  <w:marBottom w:val="180"/>
                                                                  <w:divBdr>
                                                                    <w:top w:val="none" w:sz="0" w:space="0" w:color="auto"/>
                                                                    <w:left w:val="none" w:sz="0" w:space="0" w:color="auto"/>
                                                                    <w:bottom w:val="none" w:sz="0" w:space="0" w:color="auto"/>
                                                                    <w:right w:val="none" w:sz="0" w:space="0" w:color="auto"/>
                                                                  </w:divBdr>
                                                                  <w:divsChild>
                                                                    <w:div w:id="15348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5654">
                                                  <w:marLeft w:val="0"/>
                                                  <w:marRight w:val="0"/>
                                                  <w:marTop w:val="0"/>
                                                  <w:marBottom w:val="0"/>
                                                  <w:divBdr>
                                                    <w:top w:val="none" w:sz="0" w:space="0" w:color="auto"/>
                                                    <w:left w:val="none" w:sz="0" w:space="0" w:color="auto"/>
                                                    <w:bottom w:val="none" w:sz="0" w:space="0" w:color="auto"/>
                                                    <w:right w:val="none" w:sz="0" w:space="0" w:color="auto"/>
                                                  </w:divBdr>
                                                  <w:divsChild>
                                                    <w:div w:id="2059430744">
                                                      <w:marLeft w:val="0"/>
                                                      <w:marRight w:val="0"/>
                                                      <w:marTop w:val="0"/>
                                                      <w:marBottom w:val="0"/>
                                                      <w:divBdr>
                                                        <w:top w:val="none" w:sz="0" w:space="0" w:color="auto"/>
                                                        <w:left w:val="none" w:sz="0" w:space="0" w:color="auto"/>
                                                        <w:bottom w:val="none" w:sz="0" w:space="0" w:color="auto"/>
                                                        <w:right w:val="none" w:sz="0" w:space="0" w:color="auto"/>
                                                      </w:divBdr>
                                                      <w:divsChild>
                                                        <w:div w:id="1981105867">
                                                          <w:marLeft w:val="0"/>
                                                          <w:marRight w:val="0"/>
                                                          <w:marTop w:val="0"/>
                                                          <w:marBottom w:val="0"/>
                                                          <w:divBdr>
                                                            <w:top w:val="none" w:sz="0" w:space="0" w:color="auto"/>
                                                            <w:left w:val="none" w:sz="0" w:space="0" w:color="auto"/>
                                                            <w:bottom w:val="none" w:sz="0" w:space="0" w:color="auto"/>
                                                            <w:right w:val="none" w:sz="0" w:space="0" w:color="auto"/>
                                                          </w:divBdr>
                                                          <w:divsChild>
                                                            <w:div w:id="2109423549">
                                                              <w:marLeft w:val="0"/>
                                                              <w:marRight w:val="0"/>
                                                              <w:marTop w:val="0"/>
                                                              <w:marBottom w:val="0"/>
                                                              <w:divBdr>
                                                                <w:top w:val="none" w:sz="0" w:space="0" w:color="auto"/>
                                                                <w:left w:val="none" w:sz="0" w:space="0" w:color="auto"/>
                                                                <w:bottom w:val="none" w:sz="0" w:space="0" w:color="auto"/>
                                                                <w:right w:val="none" w:sz="0" w:space="0" w:color="auto"/>
                                                              </w:divBdr>
                                                            </w:div>
                                                            <w:div w:id="1425802553">
                                                              <w:marLeft w:val="0"/>
                                                              <w:marRight w:val="0"/>
                                                              <w:marTop w:val="150"/>
                                                              <w:marBottom w:val="0"/>
                                                              <w:divBdr>
                                                                <w:top w:val="none" w:sz="0" w:space="0" w:color="auto"/>
                                                                <w:left w:val="none" w:sz="0" w:space="0" w:color="auto"/>
                                                                <w:bottom w:val="none" w:sz="0" w:space="0" w:color="auto"/>
                                                                <w:right w:val="none" w:sz="0" w:space="0" w:color="auto"/>
                                                              </w:divBdr>
                                                              <w:divsChild>
                                                                <w:div w:id="499276558">
                                                                  <w:marLeft w:val="0"/>
                                                                  <w:marRight w:val="0"/>
                                                                  <w:marTop w:val="60"/>
                                                                  <w:marBottom w:val="180"/>
                                                                  <w:divBdr>
                                                                    <w:top w:val="none" w:sz="0" w:space="0" w:color="auto"/>
                                                                    <w:left w:val="none" w:sz="0" w:space="0" w:color="auto"/>
                                                                    <w:bottom w:val="none" w:sz="0" w:space="0" w:color="auto"/>
                                                                    <w:right w:val="none" w:sz="0" w:space="0" w:color="auto"/>
                                                                  </w:divBdr>
                                                                  <w:divsChild>
                                                                    <w:div w:id="16724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571730">
                                                  <w:marLeft w:val="0"/>
                                                  <w:marRight w:val="0"/>
                                                  <w:marTop w:val="0"/>
                                                  <w:marBottom w:val="0"/>
                                                  <w:divBdr>
                                                    <w:top w:val="none" w:sz="0" w:space="0" w:color="auto"/>
                                                    <w:left w:val="none" w:sz="0" w:space="0" w:color="auto"/>
                                                    <w:bottom w:val="none" w:sz="0" w:space="0" w:color="auto"/>
                                                    <w:right w:val="none" w:sz="0" w:space="0" w:color="auto"/>
                                                  </w:divBdr>
                                                  <w:divsChild>
                                                    <w:div w:id="104006512">
                                                      <w:marLeft w:val="0"/>
                                                      <w:marRight w:val="0"/>
                                                      <w:marTop w:val="0"/>
                                                      <w:marBottom w:val="0"/>
                                                      <w:divBdr>
                                                        <w:top w:val="none" w:sz="0" w:space="0" w:color="auto"/>
                                                        <w:left w:val="none" w:sz="0" w:space="0" w:color="auto"/>
                                                        <w:bottom w:val="none" w:sz="0" w:space="0" w:color="auto"/>
                                                        <w:right w:val="none" w:sz="0" w:space="0" w:color="auto"/>
                                                      </w:divBdr>
                                                      <w:divsChild>
                                                        <w:div w:id="1050491628">
                                                          <w:marLeft w:val="0"/>
                                                          <w:marRight w:val="0"/>
                                                          <w:marTop w:val="0"/>
                                                          <w:marBottom w:val="0"/>
                                                          <w:divBdr>
                                                            <w:top w:val="none" w:sz="0" w:space="0" w:color="auto"/>
                                                            <w:left w:val="none" w:sz="0" w:space="0" w:color="auto"/>
                                                            <w:bottom w:val="none" w:sz="0" w:space="0" w:color="auto"/>
                                                            <w:right w:val="none" w:sz="0" w:space="0" w:color="auto"/>
                                                          </w:divBdr>
                                                          <w:divsChild>
                                                            <w:div w:id="281612817">
                                                              <w:marLeft w:val="0"/>
                                                              <w:marRight w:val="0"/>
                                                              <w:marTop w:val="0"/>
                                                              <w:marBottom w:val="0"/>
                                                              <w:divBdr>
                                                                <w:top w:val="none" w:sz="0" w:space="0" w:color="auto"/>
                                                                <w:left w:val="none" w:sz="0" w:space="0" w:color="auto"/>
                                                                <w:bottom w:val="none" w:sz="0" w:space="0" w:color="auto"/>
                                                                <w:right w:val="none" w:sz="0" w:space="0" w:color="auto"/>
                                                              </w:divBdr>
                                                            </w:div>
                                                            <w:div w:id="1400443243">
                                                              <w:marLeft w:val="0"/>
                                                              <w:marRight w:val="0"/>
                                                              <w:marTop w:val="150"/>
                                                              <w:marBottom w:val="0"/>
                                                              <w:divBdr>
                                                                <w:top w:val="none" w:sz="0" w:space="0" w:color="auto"/>
                                                                <w:left w:val="none" w:sz="0" w:space="0" w:color="auto"/>
                                                                <w:bottom w:val="none" w:sz="0" w:space="0" w:color="auto"/>
                                                                <w:right w:val="none" w:sz="0" w:space="0" w:color="auto"/>
                                                              </w:divBdr>
                                                              <w:divsChild>
                                                                <w:div w:id="979074199">
                                                                  <w:marLeft w:val="0"/>
                                                                  <w:marRight w:val="0"/>
                                                                  <w:marTop w:val="60"/>
                                                                  <w:marBottom w:val="180"/>
                                                                  <w:divBdr>
                                                                    <w:top w:val="none" w:sz="0" w:space="0" w:color="auto"/>
                                                                    <w:left w:val="none" w:sz="0" w:space="0" w:color="auto"/>
                                                                    <w:bottom w:val="none" w:sz="0" w:space="0" w:color="auto"/>
                                                                    <w:right w:val="none" w:sz="0" w:space="0" w:color="auto"/>
                                                                  </w:divBdr>
                                                                  <w:divsChild>
                                                                    <w:div w:id="3695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74318">
                                                  <w:marLeft w:val="0"/>
                                                  <w:marRight w:val="0"/>
                                                  <w:marTop w:val="0"/>
                                                  <w:marBottom w:val="0"/>
                                                  <w:divBdr>
                                                    <w:top w:val="none" w:sz="0" w:space="0" w:color="auto"/>
                                                    <w:left w:val="none" w:sz="0" w:space="0" w:color="auto"/>
                                                    <w:bottom w:val="none" w:sz="0" w:space="0" w:color="auto"/>
                                                    <w:right w:val="none" w:sz="0" w:space="0" w:color="auto"/>
                                                  </w:divBdr>
                                                  <w:divsChild>
                                                    <w:div w:id="1325743497">
                                                      <w:marLeft w:val="0"/>
                                                      <w:marRight w:val="0"/>
                                                      <w:marTop w:val="0"/>
                                                      <w:marBottom w:val="0"/>
                                                      <w:divBdr>
                                                        <w:top w:val="none" w:sz="0" w:space="0" w:color="auto"/>
                                                        <w:left w:val="none" w:sz="0" w:space="0" w:color="auto"/>
                                                        <w:bottom w:val="none" w:sz="0" w:space="0" w:color="auto"/>
                                                        <w:right w:val="none" w:sz="0" w:space="0" w:color="auto"/>
                                                      </w:divBdr>
                                                      <w:divsChild>
                                                        <w:div w:id="178087451">
                                                          <w:marLeft w:val="0"/>
                                                          <w:marRight w:val="0"/>
                                                          <w:marTop w:val="0"/>
                                                          <w:marBottom w:val="0"/>
                                                          <w:divBdr>
                                                            <w:top w:val="none" w:sz="0" w:space="0" w:color="auto"/>
                                                            <w:left w:val="none" w:sz="0" w:space="0" w:color="auto"/>
                                                            <w:bottom w:val="none" w:sz="0" w:space="0" w:color="auto"/>
                                                            <w:right w:val="none" w:sz="0" w:space="0" w:color="auto"/>
                                                          </w:divBdr>
                                                          <w:divsChild>
                                                            <w:div w:id="222328382">
                                                              <w:marLeft w:val="0"/>
                                                              <w:marRight w:val="0"/>
                                                              <w:marTop w:val="0"/>
                                                              <w:marBottom w:val="0"/>
                                                              <w:divBdr>
                                                                <w:top w:val="none" w:sz="0" w:space="0" w:color="auto"/>
                                                                <w:left w:val="none" w:sz="0" w:space="0" w:color="auto"/>
                                                                <w:bottom w:val="none" w:sz="0" w:space="0" w:color="auto"/>
                                                                <w:right w:val="none" w:sz="0" w:space="0" w:color="auto"/>
                                                              </w:divBdr>
                                                            </w:div>
                                                            <w:div w:id="39744574">
                                                              <w:marLeft w:val="0"/>
                                                              <w:marRight w:val="0"/>
                                                              <w:marTop w:val="150"/>
                                                              <w:marBottom w:val="0"/>
                                                              <w:divBdr>
                                                                <w:top w:val="none" w:sz="0" w:space="0" w:color="auto"/>
                                                                <w:left w:val="none" w:sz="0" w:space="0" w:color="auto"/>
                                                                <w:bottom w:val="none" w:sz="0" w:space="0" w:color="auto"/>
                                                                <w:right w:val="none" w:sz="0" w:space="0" w:color="auto"/>
                                                              </w:divBdr>
                                                              <w:divsChild>
                                                                <w:div w:id="1483152803">
                                                                  <w:marLeft w:val="0"/>
                                                                  <w:marRight w:val="0"/>
                                                                  <w:marTop w:val="60"/>
                                                                  <w:marBottom w:val="180"/>
                                                                  <w:divBdr>
                                                                    <w:top w:val="none" w:sz="0" w:space="0" w:color="auto"/>
                                                                    <w:left w:val="none" w:sz="0" w:space="0" w:color="auto"/>
                                                                    <w:bottom w:val="none" w:sz="0" w:space="0" w:color="auto"/>
                                                                    <w:right w:val="none" w:sz="0" w:space="0" w:color="auto"/>
                                                                  </w:divBdr>
                                                                  <w:divsChild>
                                                                    <w:div w:id="121110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4066956">
      <w:bodyDiv w:val="1"/>
      <w:marLeft w:val="0"/>
      <w:marRight w:val="0"/>
      <w:marTop w:val="0"/>
      <w:marBottom w:val="0"/>
      <w:divBdr>
        <w:top w:val="none" w:sz="0" w:space="0" w:color="auto"/>
        <w:left w:val="none" w:sz="0" w:space="0" w:color="auto"/>
        <w:bottom w:val="none" w:sz="0" w:space="0" w:color="auto"/>
        <w:right w:val="none" w:sz="0" w:space="0" w:color="auto"/>
      </w:divBdr>
    </w:div>
    <w:div w:id="1206791573">
      <w:bodyDiv w:val="1"/>
      <w:marLeft w:val="0"/>
      <w:marRight w:val="0"/>
      <w:marTop w:val="0"/>
      <w:marBottom w:val="0"/>
      <w:divBdr>
        <w:top w:val="none" w:sz="0" w:space="0" w:color="auto"/>
        <w:left w:val="none" w:sz="0" w:space="0" w:color="auto"/>
        <w:bottom w:val="none" w:sz="0" w:space="0" w:color="auto"/>
        <w:right w:val="none" w:sz="0" w:space="0" w:color="auto"/>
      </w:divBdr>
    </w:div>
    <w:div w:id="1384906928">
      <w:bodyDiv w:val="1"/>
      <w:marLeft w:val="0"/>
      <w:marRight w:val="0"/>
      <w:marTop w:val="0"/>
      <w:marBottom w:val="0"/>
      <w:divBdr>
        <w:top w:val="none" w:sz="0" w:space="0" w:color="auto"/>
        <w:left w:val="none" w:sz="0" w:space="0" w:color="auto"/>
        <w:bottom w:val="none" w:sz="0" w:space="0" w:color="auto"/>
        <w:right w:val="none" w:sz="0" w:space="0" w:color="auto"/>
      </w:divBdr>
    </w:div>
    <w:div w:id="1577587823">
      <w:bodyDiv w:val="1"/>
      <w:marLeft w:val="0"/>
      <w:marRight w:val="0"/>
      <w:marTop w:val="0"/>
      <w:marBottom w:val="0"/>
      <w:divBdr>
        <w:top w:val="none" w:sz="0" w:space="0" w:color="auto"/>
        <w:left w:val="none" w:sz="0" w:space="0" w:color="auto"/>
        <w:bottom w:val="none" w:sz="0" w:space="0" w:color="auto"/>
        <w:right w:val="none" w:sz="0" w:space="0" w:color="auto"/>
      </w:divBdr>
    </w:div>
    <w:div w:id="1601453198">
      <w:bodyDiv w:val="1"/>
      <w:marLeft w:val="0"/>
      <w:marRight w:val="0"/>
      <w:marTop w:val="0"/>
      <w:marBottom w:val="0"/>
      <w:divBdr>
        <w:top w:val="none" w:sz="0" w:space="0" w:color="auto"/>
        <w:left w:val="none" w:sz="0" w:space="0" w:color="auto"/>
        <w:bottom w:val="none" w:sz="0" w:space="0" w:color="auto"/>
        <w:right w:val="none" w:sz="0" w:space="0" w:color="auto"/>
      </w:divBdr>
    </w:div>
    <w:div w:id="1670864181">
      <w:bodyDiv w:val="1"/>
      <w:marLeft w:val="0"/>
      <w:marRight w:val="0"/>
      <w:marTop w:val="0"/>
      <w:marBottom w:val="0"/>
      <w:divBdr>
        <w:top w:val="none" w:sz="0" w:space="0" w:color="auto"/>
        <w:left w:val="none" w:sz="0" w:space="0" w:color="auto"/>
        <w:bottom w:val="none" w:sz="0" w:space="0" w:color="auto"/>
        <w:right w:val="none" w:sz="0" w:space="0" w:color="auto"/>
      </w:divBdr>
    </w:div>
    <w:div w:id="1726178424">
      <w:bodyDiv w:val="1"/>
      <w:marLeft w:val="0"/>
      <w:marRight w:val="0"/>
      <w:marTop w:val="0"/>
      <w:marBottom w:val="0"/>
      <w:divBdr>
        <w:top w:val="none" w:sz="0" w:space="0" w:color="auto"/>
        <w:left w:val="none" w:sz="0" w:space="0" w:color="auto"/>
        <w:bottom w:val="none" w:sz="0" w:space="0" w:color="auto"/>
        <w:right w:val="none" w:sz="0" w:space="0" w:color="auto"/>
      </w:divBdr>
    </w:div>
    <w:div w:id="1726683551">
      <w:bodyDiv w:val="1"/>
      <w:marLeft w:val="0"/>
      <w:marRight w:val="0"/>
      <w:marTop w:val="0"/>
      <w:marBottom w:val="0"/>
      <w:divBdr>
        <w:top w:val="none" w:sz="0" w:space="0" w:color="auto"/>
        <w:left w:val="none" w:sz="0" w:space="0" w:color="auto"/>
        <w:bottom w:val="none" w:sz="0" w:space="0" w:color="auto"/>
        <w:right w:val="none" w:sz="0" w:space="0" w:color="auto"/>
      </w:divBdr>
    </w:div>
    <w:div w:id="1743213934">
      <w:bodyDiv w:val="1"/>
      <w:marLeft w:val="0"/>
      <w:marRight w:val="0"/>
      <w:marTop w:val="0"/>
      <w:marBottom w:val="0"/>
      <w:divBdr>
        <w:top w:val="none" w:sz="0" w:space="0" w:color="auto"/>
        <w:left w:val="none" w:sz="0" w:space="0" w:color="auto"/>
        <w:bottom w:val="none" w:sz="0" w:space="0" w:color="auto"/>
        <w:right w:val="none" w:sz="0" w:space="0" w:color="auto"/>
      </w:divBdr>
    </w:div>
    <w:div w:id="1843818251">
      <w:bodyDiv w:val="1"/>
      <w:marLeft w:val="0"/>
      <w:marRight w:val="0"/>
      <w:marTop w:val="0"/>
      <w:marBottom w:val="0"/>
      <w:divBdr>
        <w:top w:val="none" w:sz="0" w:space="0" w:color="auto"/>
        <w:left w:val="none" w:sz="0" w:space="0" w:color="auto"/>
        <w:bottom w:val="none" w:sz="0" w:space="0" w:color="auto"/>
        <w:right w:val="none" w:sz="0" w:space="0" w:color="auto"/>
      </w:divBdr>
    </w:div>
    <w:div w:id="1948468937">
      <w:bodyDiv w:val="1"/>
      <w:marLeft w:val="0"/>
      <w:marRight w:val="0"/>
      <w:marTop w:val="0"/>
      <w:marBottom w:val="0"/>
      <w:divBdr>
        <w:top w:val="none" w:sz="0" w:space="0" w:color="auto"/>
        <w:left w:val="none" w:sz="0" w:space="0" w:color="auto"/>
        <w:bottom w:val="none" w:sz="0" w:space="0" w:color="auto"/>
        <w:right w:val="none" w:sz="0" w:space="0" w:color="auto"/>
      </w:divBdr>
    </w:div>
    <w:div w:id="1997762614">
      <w:bodyDiv w:val="1"/>
      <w:marLeft w:val="0"/>
      <w:marRight w:val="0"/>
      <w:marTop w:val="0"/>
      <w:marBottom w:val="0"/>
      <w:divBdr>
        <w:top w:val="none" w:sz="0" w:space="0" w:color="auto"/>
        <w:left w:val="none" w:sz="0" w:space="0" w:color="auto"/>
        <w:bottom w:val="none" w:sz="0" w:space="0" w:color="auto"/>
        <w:right w:val="none" w:sz="0" w:space="0" w:color="auto"/>
      </w:divBdr>
    </w:div>
    <w:div w:id="214442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cbi.nlm.nih.gov/pubmed/?term=Hay%20P%5BAuthor%5D&amp;cauthor=true&amp;cauthor_uid=28552083" TargetMode="External"/><Relationship Id="rId26" Type="http://schemas.openxmlformats.org/officeDocument/2006/relationships/hyperlink" Target="https://www.ncbi.nlm.nih.gov/pubmed/?term=Zipfel%20S%5BAuthor%5D&amp;cauthor=true&amp;cauthor_uid=24131861" TargetMode="External"/><Relationship Id="rId3" Type="http://schemas.openxmlformats.org/officeDocument/2006/relationships/styles" Target="styles.xml"/><Relationship Id="rId21" Type="http://schemas.openxmlformats.org/officeDocument/2006/relationships/hyperlink" Target="http://www.health.gov.au/internet/ministers/publishing.nsf/Content/health-mediarel-yr2018-hunt072.htm" TargetMode="External"/><Relationship Id="rId7" Type="http://schemas.openxmlformats.org/officeDocument/2006/relationships/endnotes" Target="endnotes.xml"/><Relationship Id="rId12" Type="http://schemas.openxmlformats.org/officeDocument/2006/relationships/hyperlink" Target="mailto:mbsreviews@health.gov.au" TargetMode="External"/><Relationship Id="rId17" Type="http://schemas.openxmlformats.org/officeDocument/2006/relationships/hyperlink" Target="https://www.ncbi.nlm.nih.gov/pubmed/?term=Wade%20T%5BAuthor%5D&amp;cauthor=true&amp;cauthor_uid=28552083"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Byrne%20S%5BAuthor%5D&amp;cauthor=true&amp;cauthor_uid=28552083" TargetMode="External"/><Relationship Id="rId20" Type="http://schemas.openxmlformats.org/officeDocument/2006/relationships/hyperlink" Target="http://www.health.gov.au/internet/publications/publishing.nsf/Content/illicit-pubs-needle-return-1-rep-toc~illicit-pubs-needle-return-1-rep-5~illicit-pubs-needle-return-1-rep-5-2"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racgp.org.au/newsGP/Clinical/Identifying-eating-disorders-in-general-practic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butterflyfoundation.org.au/assets/Uploads/Butterfly-report-Paying-the-Price-Executive-Summary.pdf" TargetMode="External"/><Relationship Id="rId23" Type="http://schemas.openxmlformats.org/officeDocument/2006/relationships/hyperlink" Target="https://www.racgp.org.au/education/qicpd-program/" TargetMode="External"/><Relationship Id="rId28" Type="http://schemas.openxmlformats.org/officeDocument/2006/relationships/hyperlink" Target="https://www.ncbi.nlm.nih.gov/pubmed/?term=Gro%C3%9F%20G%5BAuthor%5D&amp;cauthor=true&amp;cauthor_uid=24131861" TargetMode="External"/><Relationship Id="rId10" Type="http://schemas.openxmlformats.org/officeDocument/2006/relationships/footer" Target="footer1.xml"/><Relationship Id="rId19" Type="http://schemas.openxmlformats.org/officeDocument/2006/relationships/hyperlink" Target="http://www.health.gov.au/internet/main/publishing.nsf/Content/PHN-Background"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ihw.gov.au/reports-statistics/health-conditions-disability-deaths/burden-of-disease/overview" TargetMode="External"/><Relationship Id="rId22" Type="http://schemas.openxmlformats.org/officeDocument/2006/relationships/hyperlink" Target="http://www.health.gov.au/internet/main/publishing.nsf/Content/AD7820EAC9F90D90CA25817900186FB2/$File/Fact%20sheet%20-%20BA%20for%20patients.pdf" TargetMode="External"/><Relationship Id="rId27" Type="http://schemas.openxmlformats.org/officeDocument/2006/relationships/hyperlink" Target="https://www.ncbi.nlm.nih.gov/pubmed/?term=Wild%20B%5BAuthor%5D&amp;cauthor=true&amp;cauthor_uid=24131861" TargetMode="External"/><Relationship Id="rId30" Type="http://schemas.openxmlformats.org/officeDocument/2006/relationships/footer" Target="footer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term=Wild%20B%5BAuthor%5D&amp;cauthor=true&amp;cauthor_uid=24131861" TargetMode="External"/><Relationship Id="rId13" Type="http://schemas.openxmlformats.org/officeDocument/2006/relationships/hyperlink" Target="https://www.racgp.org.au/education/qicpd-program/" TargetMode="External"/><Relationship Id="rId3" Type="http://schemas.openxmlformats.org/officeDocument/2006/relationships/hyperlink" Target="http://www.health.gov.au/internet/main/publishing.nsf/Content/PHN-Background" TargetMode="External"/><Relationship Id="rId7" Type="http://schemas.openxmlformats.org/officeDocument/2006/relationships/hyperlink" Target="https://www.ncbi.nlm.nih.gov/pubmed/?term=Zipfel%20S%5BAuthor%5D&amp;cauthor=true&amp;cauthor_uid=24131861" TargetMode="External"/><Relationship Id="rId12" Type="http://schemas.openxmlformats.org/officeDocument/2006/relationships/hyperlink" Target="https://thebutterflyfoundation.org.au/assets/Uploads/Butterfly-report-Paying-the-Price-Executive-Summary.pdf" TargetMode="External"/><Relationship Id="rId2" Type="http://schemas.openxmlformats.org/officeDocument/2006/relationships/hyperlink" Target="http://www.health.gov.au/internet/main/publishing.nsf/Content/AD7820EAC9F90D90CA25817900186FB2/$File/Fact%20sheet%20-%20BA%20for%20patients.pdf" TargetMode="External"/><Relationship Id="rId16" Type="http://schemas.openxmlformats.org/officeDocument/2006/relationships/hyperlink" Target="https://insideoutinstitute.org.au/assets/eating%20disorders;%20an%20information%20pack%20for%20general%20practitioners.pdf" TargetMode="External"/><Relationship Id="rId1" Type="http://schemas.openxmlformats.org/officeDocument/2006/relationships/hyperlink" Target="http://www.health.gov.au/internet/ministers/publishing.nsf/Content/health-mediarel-yr2018-hunt072.htm" TargetMode="External"/><Relationship Id="rId6" Type="http://schemas.openxmlformats.org/officeDocument/2006/relationships/hyperlink" Target="https://www.ncbi.nlm.nih.gov/pubmed/?term=Hay%20P%5BAuthor%5D&amp;cauthor=true&amp;cauthor_uid=28552083" TargetMode="External"/><Relationship Id="rId11" Type="http://schemas.openxmlformats.org/officeDocument/2006/relationships/hyperlink" Target="https://www.aihw.gov.au/reports-statistics/health-conditions-disability-deaths/burden-of-disease/overview" TargetMode="External"/><Relationship Id="rId5" Type="http://schemas.openxmlformats.org/officeDocument/2006/relationships/hyperlink" Target="https://www.ncbi.nlm.nih.gov/pubmed/?term=Wade%20T%5BAuthor%5D&amp;cauthor=true&amp;cauthor_uid=28552083" TargetMode="External"/><Relationship Id="rId15" Type="http://schemas.openxmlformats.org/officeDocument/2006/relationships/hyperlink" Target="https://www.health.nsw.gov.au/healthone/Pages/Multidisciplinary-Team-Care.aspx" TargetMode="External"/><Relationship Id="rId10" Type="http://schemas.openxmlformats.org/officeDocument/2006/relationships/hyperlink" Target="http://www.health.gov.au/internet/publications/publishing.nsf/Content/illicit-pubs-needle-return-1-rep-toc~illicit-pubs-needle-return-1-rep-5~illicit-pubs-needle-return-1-rep-5-2" TargetMode="External"/><Relationship Id="rId4" Type="http://schemas.openxmlformats.org/officeDocument/2006/relationships/hyperlink" Target="https://www.ncbi.nlm.nih.gov/pubmed/?term=Byrne%20S%5BAuthor%5D&amp;cauthor=true&amp;cauthor_uid=28552083" TargetMode="External"/><Relationship Id="rId9" Type="http://schemas.openxmlformats.org/officeDocument/2006/relationships/hyperlink" Target="https://www.ncbi.nlm.nih.gov/pubmed/?term=Gro%C3%9F%20G%5BAuthor%5D&amp;cauthor=true&amp;cauthor_uid=24131861" TargetMode="External"/><Relationship Id="rId14" Type="http://schemas.openxmlformats.org/officeDocument/2006/relationships/hyperlink" Target="https://www.eatingdisorders.org.au/eating-disorders/what-is-an-eating-disorder/classifying-eating-disorders/dsm-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2BE1C79D-040F-42B4-A080-0D2319296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24468</Words>
  <Characters>138738</Characters>
  <Application>Microsoft Office Word</Application>
  <DocSecurity>0</DocSecurity>
  <Lines>2951</Lines>
  <Paragraphs>1095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Eating Disorders Working Group</dc:title>
  <dc:subject>MBS Review Taskforce</dc:subject>
  <dc:creator>MBS Review, Medicare</dc:creator>
  <cp:keywords/>
  <dc:description/>
  <cp:lastModifiedBy>emma kennedy</cp:lastModifiedBy>
  <cp:revision>10</cp:revision>
  <cp:lastPrinted>2018-08-29T00:51:00Z</cp:lastPrinted>
  <dcterms:created xsi:type="dcterms:W3CDTF">2019-01-15T05:42:00Z</dcterms:created>
  <dcterms:modified xsi:type="dcterms:W3CDTF">2021-05-28T05:49:00Z</dcterms:modified>
  <cp:category/>
</cp:coreProperties>
</file>