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5A9E" w14:textId="594E41AA" w:rsidR="008B01BD" w:rsidRDefault="008B01BD" w:rsidP="008B01BD">
      <w:pPr>
        <w:pStyle w:val="Title"/>
        <w:spacing w:before="8760" w:after="116"/>
        <w:jc w:val="right"/>
      </w:pPr>
      <w:bookmarkStart w:id="0" w:name="_Toc432437392"/>
      <w:r>
        <w:t xml:space="preserve">Nudge </w:t>
      </w:r>
      <w:r w:rsidRPr="00D06831">
        <w:t xml:space="preserve">vs </w:t>
      </w:r>
      <w:r w:rsidRPr="009A5B22">
        <w:t>Superbugs</w:t>
      </w:r>
      <w:r>
        <w:t>: 12 months on</w:t>
      </w:r>
    </w:p>
    <w:p w14:paraId="007D053E" w14:textId="77777777" w:rsidR="008B01BD" w:rsidRDefault="008B01BD" w:rsidP="008B01BD">
      <w:pPr>
        <w:pStyle w:val="Subtitle"/>
        <w:jc w:val="center"/>
      </w:pPr>
    </w:p>
    <w:p w14:paraId="573EDB95" w14:textId="77777777" w:rsidR="008B01BD" w:rsidRPr="00F00E6E" w:rsidRDefault="008B01BD" w:rsidP="008B01BD">
      <w:pPr>
        <w:pStyle w:val="Subtitle"/>
        <w:rPr>
          <w:sz w:val="36"/>
          <w:szCs w:val="36"/>
        </w:rPr>
      </w:pPr>
    </w:p>
    <w:p w14:paraId="091E9934" w14:textId="452004D6" w:rsidR="006242E1" w:rsidRDefault="008B01BD" w:rsidP="008B01BD">
      <w:pPr>
        <w:pStyle w:val="Subtitle"/>
        <w:jc w:val="right"/>
      </w:pPr>
      <w:r>
        <w:rPr>
          <w:b/>
          <w:sz w:val="28"/>
          <w:szCs w:val="28"/>
        </w:rPr>
        <w:t>June 2020</w:t>
      </w:r>
    </w:p>
    <w:p w14:paraId="5C79FEC7" w14:textId="38A140F7" w:rsidR="008253C4" w:rsidRDefault="008253C4" w:rsidP="00087D4E">
      <w:pPr>
        <w:sectPr w:rsidR="008253C4" w:rsidSect="008A1E10">
          <w:headerReference w:type="even" r:id="rId8"/>
          <w:headerReference w:type="default" r:id="rId9"/>
          <w:footerReference w:type="even" r:id="rId10"/>
          <w:footerReference w:type="default" r:id="rId11"/>
          <w:headerReference w:type="first" r:id="rId12"/>
          <w:footerReference w:type="first" r:id="rId13"/>
          <w:pgSz w:w="11906" w:h="16838" w:code="9"/>
          <w:pgMar w:top="2126" w:right="720" w:bottom="567" w:left="720" w:header="567" w:footer="567" w:gutter="0"/>
          <w:pgNumType w:start="0"/>
          <w:cols w:space="708"/>
          <w:titlePg/>
          <w:docGrid w:linePitch="360"/>
        </w:sectPr>
      </w:pPr>
    </w:p>
    <w:p w14:paraId="3D06E404" w14:textId="77777777" w:rsidR="008D6A5C" w:rsidRPr="001365F6" w:rsidRDefault="008D6A5C" w:rsidP="00281514">
      <w:pPr>
        <w:pStyle w:val="Heading1"/>
      </w:pPr>
      <w:bookmarkStart w:id="1" w:name="_Toc536527635"/>
      <w:bookmarkStart w:id="2" w:name="_Toc513196439"/>
      <w:bookmarkStart w:id="3" w:name="_Toc536527637"/>
      <w:bookmarkEnd w:id="0"/>
      <w:r w:rsidRPr="001365F6">
        <w:lastRenderedPageBreak/>
        <w:t>About this report</w:t>
      </w:r>
    </w:p>
    <w:p w14:paraId="4C6632FC" w14:textId="2A35548E" w:rsidR="008D6A5C" w:rsidRPr="009C19E1" w:rsidRDefault="008D6A5C" w:rsidP="008D6A5C">
      <w:r>
        <w:t xml:space="preserve">This </w:t>
      </w:r>
      <w:r w:rsidRPr="009C19E1">
        <w:t>is a</w:t>
      </w:r>
      <w:r w:rsidR="006324C8">
        <w:t>n</w:t>
      </w:r>
      <w:r w:rsidRPr="009C19E1">
        <w:t xml:space="preserve"> </w:t>
      </w:r>
      <w:r w:rsidR="006324C8">
        <w:t>update</w:t>
      </w:r>
      <w:r w:rsidR="006324C8" w:rsidRPr="009C19E1">
        <w:t xml:space="preserve"> </w:t>
      </w:r>
      <w:r w:rsidRPr="009C19E1">
        <w:t xml:space="preserve">report to </w:t>
      </w:r>
      <w:proofErr w:type="gramStart"/>
      <w:r w:rsidRPr="003D6111">
        <w:rPr>
          <w:i/>
        </w:rPr>
        <w:t>Nudge</w:t>
      </w:r>
      <w:proofErr w:type="gramEnd"/>
      <w:r w:rsidRPr="003D6111">
        <w:rPr>
          <w:i/>
        </w:rPr>
        <w:t xml:space="preserve"> vs Superbugs: A behavioural economics trial to </w:t>
      </w:r>
      <w:r w:rsidRPr="00542AE7">
        <w:rPr>
          <w:i/>
        </w:rPr>
        <w:t>reduce the overprescribing of antibiotics</w:t>
      </w:r>
      <w:r w:rsidR="00F33758">
        <w:rPr>
          <w:i/>
        </w:rPr>
        <w:t xml:space="preserve"> </w:t>
      </w:r>
      <w:r w:rsidR="00F33758">
        <w:t>(Australian Government 2018)</w:t>
      </w:r>
      <w:r w:rsidR="00F33758" w:rsidRPr="009C19E1">
        <w:t>.</w:t>
      </w:r>
      <w:r w:rsidRPr="009C19E1">
        <w:t xml:space="preserve"> </w:t>
      </w:r>
      <w:r w:rsidR="0009095B">
        <w:t>It</w:t>
      </w:r>
      <w:r w:rsidRPr="009C19E1">
        <w:t xml:space="preserve"> </w:t>
      </w:r>
      <w:r w:rsidR="00956135">
        <w:t>builds on</w:t>
      </w:r>
      <w:r w:rsidRPr="009C19E1">
        <w:t xml:space="preserve"> the </w:t>
      </w:r>
      <w:r w:rsidR="00956135">
        <w:t xml:space="preserve">six-month results provided in the initial report and details the continued </w:t>
      </w:r>
      <w:r>
        <w:t>effect</w:t>
      </w:r>
      <w:r w:rsidR="00956135">
        <w:t xml:space="preserve"> of</w:t>
      </w:r>
      <w:r>
        <w:t xml:space="preserve"> providing </w:t>
      </w:r>
      <w:r w:rsidR="00700298">
        <w:t>g</w:t>
      </w:r>
      <w:r w:rsidR="00700298" w:rsidRPr="00FD2C01">
        <w:t xml:space="preserve">eneral practitioners </w:t>
      </w:r>
      <w:r w:rsidR="00700298">
        <w:t>(</w:t>
      </w:r>
      <w:r w:rsidRPr="005F6444">
        <w:t>GPs</w:t>
      </w:r>
      <w:r w:rsidR="00700298">
        <w:t>)</w:t>
      </w:r>
      <w:r w:rsidRPr="005F6444">
        <w:t xml:space="preserve"> </w:t>
      </w:r>
      <w:r>
        <w:t xml:space="preserve">with </w:t>
      </w:r>
      <w:r w:rsidRPr="005F6444">
        <w:t xml:space="preserve">peer comparison feedback </w:t>
      </w:r>
      <w:r w:rsidR="00D16E58">
        <w:t xml:space="preserve">on </w:t>
      </w:r>
      <w:r>
        <w:t xml:space="preserve">reducing antibiotic prescribing over 12 and 15 months. </w:t>
      </w:r>
    </w:p>
    <w:bookmarkEnd w:id="1"/>
    <w:p w14:paraId="5B6A01D3" w14:textId="098BE6A0" w:rsidR="00F33758" w:rsidRPr="00D222BE" w:rsidRDefault="00F33758" w:rsidP="00F33758">
      <w:r>
        <w:t>More d</w:t>
      </w:r>
      <w:r w:rsidRPr="005F6444">
        <w:t xml:space="preserve">etailed information about the trial </w:t>
      </w:r>
      <w:r>
        <w:t xml:space="preserve">and initial </w:t>
      </w:r>
      <w:r w:rsidRPr="005F6444">
        <w:t>six-month</w:t>
      </w:r>
      <w:r>
        <w:t xml:space="preserve"> results is available in the original report. </w:t>
      </w:r>
    </w:p>
    <w:p w14:paraId="536B6641" w14:textId="77777777" w:rsidR="00F31582" w:rsidRPr="00F31582" w:rsidRDefault="00F31582" w:rsidP="00281514">
      <w:pPr>
        <w:pStyle w:val="Heading1"/>
      </w:pPr>
      <w:r w:rsidRPr="00F31582">
        <w:t>The problem</w:t>
      </w:r>
    </w:p>
    <w:p w14:paraId="189A1EF2" w14:textId="5F8C3108" w:rsidR="00FD2C01" w:rsidRPr="00FD2C01" w:rsidRDefault="00FD2C01" w:rsidP="00FD2C01">
      <w:bookmarkStart w:id="4" w:name="_Toc536527636"/>
      <w:r w:rsidRPr="00FD2C01">
        <w:t>Antimicrobial resistance (AMR) is one of the biggest threats to human health today and is an increasing concern in Australia and around the world. A</w:t>
      </w:r>
      <w:r w:rsidR="00F33758">
        <w:t xml:space="preserve"> report commissioned by the UK G</w:t>
      </w:r>
      <w:r w:rsidRPr="00FD2C01">
        <w:t>overnment estimates, if we fail to act</w:t>
      </w:r>
      <w:r w:rsidR="00B36A67">
        <w:t>,</w:t>
      </w:r>
      <w:r w:rsidRPr="00FD2C01">
        <w:t xml:space="preserve"> by 2050 AMR will </w:t>
      </w:r>
      <w:r w:rsidR="00956135">
        <w:t>lead to the death of</w:t>
      </w:r>
      <w:r w:rsidRPr="00FD2C01">
        <w:t xml:space="preserve"> 10 mil</w:t>
      </w:r>
      <w:r w:rsidR="00F84957">
        <w:t>lion people globally every year</w:t>
      </w:r>
      <w:r w:rsidR="0009095B">
        <w:t>. But this is not just a problem for the future – it is happening now. It is estimated at least 700,000 people around the world die each year from</w:t>
      </w:r>
      <w:r w:rsidR="00445B70">
        <w:t xml:space="preserve"> antibiotic resistant</w:t>
      </w:r>
      <w:r w:rsidR="0009095B">
        <w:t xml:space="preserve"> infections</w:t>
      </w:r>
      <w:r w:rsidR="00700298">
        <w:t>.</w:t>
      </w:r>
      <w:r w:rsidR="00A92226">
        <w:rPr>
          <w:rStyle w:val="FootnoteReference"/>
        </w:rPr>
        <w:footnoteReference w:id="2"/>
      </w:r>
    </w:p>
    <w:p w14:paraId="6BA1ECBF" w14:textId="1A4F1FA6" w:rsidR="00FD2C01" w:rsidRPr="00FD2C01" w:rsidRDefault="00FD2C01" w:rsidP="00FD2C01">
      <w:r w:rsidRPr="00FD2C01">
        <w:t xml:space="preserve">One of the key drivers of AMR is antibiotic </w:t>
      </w:r>
      <w:r w:rsidR="00A678E0" w:rsidRPr="00FD2C01">
        <w:t>use</w:t>
      </w:r>
      <w:r w:rsidR="00A678E0">
        <w:t>, which remains high</w:t>
      </w:r>
      <w:r w:rsidRPr="00FD2C01">
        <w:t xml:space="preserve"> in Australia</w:t>
      </w:r>
      <w:r w:rsidR="00156D74" w:rsidRPr="00156D74">
        <w:t xml:space="preserve"> </w:t>
      </w:r>
      <w:r w:rsidR="00156D74">
        <w:t>per capita</w:t>
      </w:r>
      <w:r w:rsidR="00156D74" w:rsidRPr="00FD2C01">
        <w:t>.</w:t>
      </w:r>
      <w:r w:rsidR="00156D74">
        <w:rPr>
          <w:rStyle w:val="FootnoteReference"/>
        </w:rPr>
        <w:footnoteReference w:id="3"/>
      </w:r>
      <w:r w:rsidRPr="00FD2C01">
        <w:t xml:space="preserve"> </w:t>
      </w:r>
      <w:r w:rsidR="007D4F39">
        <w:t>I</w:t>
      </w:r>
      <w:r w:rsidRPr="00FD2C01">
        <w:t xml:space="preserve">t is important </w:t>
      </w:r>
      <w:r w:rsidR="00956135">
        <w:t xml:space="preserve">we take </w:t>
      </w:r>
      <w:r w:rsidRPr="00FD2C01">
        <w:t xml:space="preserve">action to improve stewardship across all sectors where antibiotics are used, including human health, animal health and agriculture. </w:t>
      </w:r>
    </w:p>
    <w:p w14:paraId="6BD9A76C" w14:textId="5813B322" w:rsidR="00B04D79" w:rsidRDefault="00B04D79" w:rsidP="00FD2C01">
      <w:r w:rsidRPr="00FD2C01">
        <w:t xml:space="preserve">GPs prescribe more antibiotics </w:t>
      </w:r>
      <w:r>
        <w:t>than other health professionals,</w:t>
      </w:r>
      <w:r w:rsidRPr="00FD2C01">
        <w:t xml:space="preserve"> </w:t>
      </w:r>
      <w:r>
        <w:t>d</w:t>
      </w:r>
      <w:r w:rsidRPr="00FD2C01">
        <w:t xml:space="preserve">ue to the large numbers of patients seen in general practice, and the </w:t>
      </w:r>
      <w:r>
        <w:t>types of illnesses they treat.</w:t>
      </w:r>
      <w:r w:rsidRPr="00FD2C01">
        <w:t xml:space="preserve"> </w:t>
      </w:r>
    </w:p>
    <w:p w14:paraId="7DB59E0A" w14:textId="268DDDF2" w:rsidR="00FD2C01" w:rsidRDefault="00FD2C01" w:rsidP="00FD2C01">
      <w:r w:rsidRPr="00FD2C01">
        <w:t xml:space="preserve">GPs are sometimes </w:t>
      </w:r>
      <w:r w:rsidR="00A678E0">
        <w:t>caught</w:t>
      </w:r>
      <w:r w:rsidRPr="00FD2C01">
        <w:t xml:space="preserve"> between patients demanding antibiotics, time pressures and managing uncertainty in diagnosing an infection</w:t>
      </w:r>
      <w:r w:rsidR="0009095B">
        <w:t>. This</w:t>
      </w:r>
      <w:r w:rsidRPr="00FD2C01">
        <w:t xml:space="preserve"> can result in increased antibiotic prescribing. </w:t>
      </w:r>
      <w:r w:rsidR="0009095B">
        <w:t>It al</w:t>
      </w:r>
      <w:r w:rsidR="0009095B" w:rsidRPr="00FD2C01">
        <w:t>s</w:t>
      </w:r>
      <w:r w:rsidR="0009095B">
        <w:t>o</w:t>
      </w:r>
      <w:r w:rsidRPr="00FD2C01">
        <w:t xml:space="preserve"> mean</w:t>
      </w:r>
      <w:r>
        <w:t>s</w:t>
      </w:r>
      <w:r w:rsidRPr="00FD2C01">
        <w:t xml:space="preserve"> GPs have an important role to play as partners in combating AMR. </w:t>
      </w:r>
    </w:p>
    <w:bookmarkEnd w:id="4"/>
    <w:p w14:paraId="3F25883A" w14:textId="77777777" w:rsidR="00956135" w:rsidRPr="00715DF3" w:rsidRDefault="00956135" w:rsidP="00281514">
      <w:pPr>
        <w:pStyle w:val="Heading1"/>
      </w:pPr>
      <w:r w:rsidRPr="00715DF3">
        <w:t>What we did</w:t>
      </w:r>
    </w:p>
    <w:p w14:paraId="5B6573CF" w14:textId="20FDC3EF" w:rsidR="00FD2C01" w:rsidRPr="00FD2C01" w:rsidRDefault="00FD2C01" w:rsidP="00FD2C01">
      <w:r>
        <w:t xml:space="preserve">We applied behavioural insights to the design of letters sent by the Australian Government’s Chief Medical Officer (CMO) to high-prescribing GPs. The letters aimed to prompt GPs to reflect on whether </w:t>
      </w:r>
      <w:r w:rsidR="00576E3A">
        <w:t>they could</w:t>
      </w:r>
      <w:r>
        <w:t xml:space="preserve"> reduce prescribing when appropriate and safe.</w:t>
      </w:r>
    </w:p>
    <w:p w14:paraId="64DE85DD" w14:textId="390F2635" w:rsidR="00A678E0" w:rsidRDefault="00156D74" w:rsidP="00A678E0">
      <w:r>
        <w:t>The letters</w:t>
      </w:r>
      <w:r w:rsidR="00A678E0">
        <w:t xml:space="preserve"> provided GPs with information on how their prescribing compared to their peers</w:t>
      </w:r>
      <w:r w:rsidR="0009095B">
        <w:t>,</w:t>
      </w:r>
      <w:r w:rsidR="00A678E0">
        <w:t xml:space="preserve"> to help inform future prescribing. Simple </w:t>
      </w:r>
      <w:r>
        <w:t>peer comparison</w:t>
      </w:r>
      <w:r w:rsidR="00A678E0">
        <w:t xml:space="preserve"> feedback like this can be powerful because </w:t>
      </w:r>
      <w:r w:rsidR="00816DA9">
        <w:t>as humans we</w:t>
      </w:r>
      <w:r w:rsidR="00A678E0">
        <w:t xml:space="preserve"> often look to others to guide our own choices. </w:t>
      </w:r>
    </w:p>
    <w:p w14:paraId="5A4EEC6B" w14:textId="618E70A1" w:rsidR="00156D74" w:rsidRDefault="00156D74" w:rsidP="00F31582">
      <w:r>
        <w:t>We undertook a cluster randomised controlled trial (RCT) involving 6,649 GPs whose prescri</w:t>
      </w:r>
      <w:r w:rsidR="00C615FD">
        <w:t>ption</w:t>
      </w:r>
      <w:r>
        <w:t xml:space="preserve"> rates were in the top 30 per cent for their region to test the impact of these letters.</w:t>
      </w:r>
      <w:r w:rsidRPr="00156D74">
        <w:t xml:space="preserve"> </w:t>
      </w:r>
      <w:r>
        <w:t>Four groups of GPs received different versions of the letter.</w:t>
      </w:r>
    </w:p>
    <w:p w14:paraId="0A07E740" w14:textId="70CCF24D" w:rsidR="0026764F" w:rsidRDefault="00F31582" w:rsidP="00F31582">
      <w:r>
        <w:t xml:space="preserve">In three versions of the letter, we compared GPs’ </w:t>
      </w:r>
      <w:r w:rsidR="00D16E58">
        <w:t xml:space="preserve">antibiotic </w:t>
      </w:r>
      <w:r>
        <w:t>prescri</w:t>
      </w:r>
      <w:r w:rsidR="00C615FD">
        <w:t>ption</w:t>
      </w:r>
      <w:r>
        <w:t xml:space="preserve"> rates with those of other GPs in their region. A fourth letter contained only education messages about AMR and antibiotic prescribing.</w:t>
      </w:r>
      <w:r w:rsidR="00F91417">
        <w:t xml:space="preserve"> A fifth group received no letter</w:t>
      </w:r>
      <w:r w:rsidR="0018114D">
        <w:t>.</w:t>
      </w:r>
      <w:r w:rsidR="00F91417">
        <w:t xml:space="preserve"> </w:t>
      </w:r>
    </w:p>
    <w:p w14:paraId="638B2B9E" w14:textId="7D276C34" w:rsidR="00956135" w:rsidRDefault="00956135" w:rsidP="00281514">
      <w:pPr>
        <w:pStyle w:val="Heading1"/>
      </w:pPr>
      <w:bookmarkStart w:id="5" w:name="_Toc536527638"/>
      <w:bookmarkEnd w:id="2"/>
      <w:bookmarkEnd w:id="3"/>
      <w:r>
        <w:lastRenderedPageBreak/>
        <w:t>Results over time</w:t>
      </w:r>
    </w:p>
    <w:p w14:paraId="0C859B81" w14:textId="7336781E" w:rsidR="00727E7F" w:rsidRDefault="00F10622" w:rsidP="00727E7F">
      <w:pPr>
        <w:pStyle w:val="Intro"/>
      </w:pPr>
      <w:r>
        <w:t xml:space="preserve">Peer comparison letters </w:t>
      </w:r>
      <w:r w:rsidR="00212936">
        <w:t xml:space="preserve">had </w:t>
      </w:r>
      <w:r w:rsidR="00212936" w:rsidRPr="005236E9">
        <w:t>a long</w:t>
      </w:r>
      <w:r w:rsidR="00212936" w:rsidRPr="005236E9">
        <w:noBreakHyphen/>
        <w:t xml:space="preserve">term impact, helping GPs reduce antibiotic </w:t>
      </w:r>
      <w:r w:rsidR="00212936" w:rsidRPr="00762ADD">
        <w:t xml:space="preserve">prescribing by </w:t>
      </w:r>
      <w:r w:rsidR="004C5DB2">
        <w:t>9.0</w:t>
      </w:r>
      <w:r w:rsidR="00212936" w:rsidRPr="00762ADD">
        <w:t xml:space="preserve"> per</w:t>
      </w:r>
      <w:r w:rsidR="00212936" w:rsidRPr="005236E9">
        <w:t xml:space="preserve"> cent over the year and, at their peak</w:t>
      </w:r>
      <w:r w:rsidR="00212936" w:rsidRPr="00762ADD">
        <w:t>, by 13.6 per</w:t>
      </w:r>
      <w:r w:rsidR="00212936" w:rsidRPr="005236E9">
        <w:t xml:space="preserve"> cent</w:t>
      </w:r>
      <w:r w:rsidR="00212936" w:rsidRPr="00212936">
        <w:t>.</w:t>
      </w:r>
    </w:p>
    <w:p w14:paraId="5AB1447E" w14:textId="352EA933" w:rsidR="0055082A" w:rsidRDefault="00AA7A4B" w:rsidP="00956135">
      <w:r>
        <w:t>Most cases of upper respiratory tract infections in Australia occur during the winter months (June</w:t>
      </w:r>
      <w:r>
        <w:noBreakHyphen/>
        <w:t xml:space="preserve">September). In anticipation of this, we chose to send the letters on 9 June 2017, at the beginning of the cold and flu season. </w:t>
      </w:r>
      <w:r w:rsidR="0055082A">
        <w:t xml:space="preserve">In the year prior to </w:t>
      </w:r>
      <w:r w:rsidR="00956135">
        <w:t>sending the letters</w:t>
      </w:r>
      <w:r w:rsidR="0055082A">
        <w:t>, the prescription rates for the five groups were almost identical</w:t>
      </w:r>
      <w:r w:rsidR="002F1715" w:rsidRPr="002F1715">
        <w:t xml:space="preserve"> </w:t>
      </w:r>
      <w:r w:rsidR="002F1715" w:rsidRPr="00956135">
        <w:t xml:space="preserve">for the group of </w:t>
      </w:r>
      <w:r w:rsidR="002F1715">
        <w:t>eight</w:t>
      </w:r>
      <w:r w:rsidR="002F1715" w:rsidRPr="00956135">
        <w:t xml:space="preserve"> commonly prescribed antibiotics monitored</w:t>
      </w:r>
      <w:r w:rsidR="002F1715">
        <w:t xml:space="preserve">. </w:t>
      </w:r>
      <w:r w:rsidR="0055082A">
        <w:t xml:space="preserve">Following the letters there </w:t>
      </w:r>
      <w:r w:rsidR="003461D3">
        <w:t xml:space="preserve">was </w:t>
      </w:r>
      <w:r w:rsidR="0055082A">
        <w:t xml:space="preserve">a striking reduction in the </w:t>
      </w:r>
      <w:r w:rsidR="003461D3">
        <w:t xml:space="preserve">monthly </w:t>
      </w:r>
      <w:r w:rsidR="0055082A">
        <w:t xml:space="preserve">prescription rate </w:t>
      </w:r>
      <w:r w:rsidR="003461D3">
        <w:t>for each o</w:t>
      </w:r>
      <w:r w:rsidR="00F10622">
        <w:t>f</w:t>
      </w:r>
      <w:r w:rsidR="003461D3">
        <w:t xml:space="preserve"> </w:t>
      </w:r>
      <w:r w:rsidR="0055082A">
        <w:t>the three peer comparison groups</w:t>
      </w:r>
      <w:r w:rsidR="00F10622">
        <w:t>,</w:t>
      </w:r>
      <w:r w:rsidR="00F10622" w:rsidRPr="00F10622">
        <w:t xml:space="preserve"> </w:t>
      </w:r>
      <w:r w:rsidR="00F10622">
        <w:t>which persists over the</w:t>
      </w:r>
      <w:r w:rsidR="00C15EA9">
        <w:t xml:space="preserve"> </w:t>
      </w:r>
      <w:r w:rsidR="005D5962">
        <w:t>twelve months</w:t>
      </w:r>
      <w:r w:rsidR="00231C76">
        <w:t xml:space="preserve"> of the trial</w:t>
      </w:r>
      <w:r w:rsidR="005D5962">
        <w:t xml:space="preserve">. </w:t>
      </w:r>
      <w:r w:rsidR="00480153">
        <w:t>While t</w:t>
      </w:r>
      <w:r w:rsidR="00372760">
        <w:t>he impact</w:t>
      </w:r>
      <w:r w:rsidR="00C15EA9">
        <w:t xml:space="preserve"> of the</w:t>
      </w:r>
      <w:r w:rsidR="00B076E1">
        <w:t xml:space="preserve"> peer comparison</w:t>
      </w:r>
      <w:r w:rsidR="00C15EA9">
        <w:t xml:space="preserve"> letters decrease</w:t>
      </w:r>
      <w:r w:rsidR="00372760">
        <w:t>s</w:t>
      </w:r>
      <w:r w:rsidR="00C15EA9">
        <w:t xml:space="preserve"> over this time</w:t>
      </w:r>
      <w:r w:rsidR="005D5962">
        <w:t>,</w:t>
      </w:r>
      <w:r w:rsidR="00C15EA9">
        <w:t xml:space="preserve"> </w:t>
      </w:r>
      <w:r w:rsidR="00480153">
        <w:t xml:space="preserve">at the start of </w:t>
      </w:r>
      <w:r w:rsidR="00231C76">
        <w:t xml:space="preserve">the </w:t>
      </w:r>
      <w:r w:rsidR="00480153">
        <w:t xml:space="preserve">next </w:t>
      </w:r>
      <w:r w:rsidR="00231C76">
        <w:t>cold and flu season</w:t>
      </w:r>
      <w:r w:rsidR="00B076E1">
        <w:t>,</w:t>
      </w:r>
      <w:r w:rsidR="00C15EA9">
        <w:t xml:space="preserve"> in June 2018</w:t>
      </w:r>
      <w:r w:rsidR="00231C76">
        <w:t>,</w:t>
      </w:r>
      <w:r w:rsidR="005D5962">
        <w:t xml:space="preserve"> </w:t>
      </w:r>
      <w:r w:rsidR="00480153">
        <w:t xml:space="preserve">the effect of the letters </w:t>
      </w:r>
      <w:r w:rsidR="005D5962">
        <w:t xml:space="preserve">shows signs </w:t>
      </w:r>
      <w:r w:rsidR="00231C76">
        <w:t>of strengthening</w:t>
      </w:r>
      <w:r w:rsidR="005D5962">
        <w:t xml:space="preserve"> </w:t>
      </w:r>
      <w:r w:rsidR="0055082A">
        <w:t xml:space="preserve">(see </w:t>
      </w:r>
      <w:r w:rsidR="0055082A" w:rsidRPr="00956135">
        <w:t>Figure 1</w:t>
      </w:r>
      <w:r w:rsidR="0055082A" w:rsidRPr="0024293D">
        <w:t>)</w:t>
      </w:r>
      <w:r w:rsidR="0055082A">
        <w:t>.</w:t>
      </w:r>
      <w:r w:rsidR="003A74E3">
        <w:rPr>
          <w:rStyle w:val="FootnoteReference"/>
        </w:rPr>
        <w:footnoteReference w:id="4"/>
      </w:r>
    </w:p>
    <w:p w14:paraId="7CAE3C43" w14:textId="6DDB4922" w:rsidR="00956135" w:rsidRDefault="004E2443" w:rsidP="00416984">
      <w:pPr>
        <w:pStyle w:val="FigureHeading"/>
        <w:rPr>
          <w:noProof/>
        </w:rPr>
      </w:pPr>
      <w:r>
        <w:t>Figure 1</w:t>
      </w:r>
      <w:r w:rsidR="00700298">
        <w:t>:</w:t>
      </w:r>
      <w:r>
        <w:t xml:space="preserve"> </w:t>
      </w:r>
      <w:r w:rsidR="00956135">
        <w:t>Antibiotic p</w:t>
      </w:r>
      <w:r w:rsidRPr="00D97941">
        <w:t>rescription rates</w:t>
      </w:r>
      <w:r w:rsidR="00416984">
        <w:t>,</w:t>
      </w:r>
      <w:r w:rsidRPr="00D97941">
        <w:t xml:space="preserve"> June 2016 to </w:t>
      </w:r>
      <w:r w:rsidR="00416984">
        <w:t>September</w:t>
      </w:r>
      <w:r w:rsidR="00416984" w:rsidRPr="00D97941">
        <w:t xml:space="preserve"> </w:t>
      </w:r>
      <w:r w:rsidRPr="00D97941">
        <w:t>201</w:t>
      </w:r>
      <w:r>
        <w:t>8</w:t>
      </w:r>
      <w:r w:rsidR="00F70250" w:rsidRPr="00F70250">
        <w:rPr>
          <w:noProof/>
        </w:rPr>
        <w:t xml:space="preserve"> </w:t>
      </w:r>
    </w:p>
    <w:p w14:paraId="2B3A27DD" w14:textId="4CE7D4F8" w:rsidR="00B23B79" w:rsidRPr="00B23B79" w:rsidRDefault="00B23B79" w:rsidP="00B23B79">
      <w:pPr>
        <w:rPr>
          <w:lang w:eastAsia="en-US"/>
        </w:rPr>
      </w:pPr>
      <w:r>
        <w:rPr>
          <w:noProof/>
        </w:rPr>
        <w:drawing>
          <wp:inline distT="0" distB="0" distL="0" distR="0" wp14:anchorId="74E21D22" wp14:editId="0E124085">
            <wp:extent cx="5704205" cy="3175635"/>
            <wp:effectExtent l="0" t="0" r="0" b="5715"/>
            <wp:docPr id="10" name="Picture 10" descr="Line graph comparing prescription rates in the pre-intervention period (June 2016 to June 2017) to the post-intervention period (June 2017 to December 2017) for the the five treatment groups.&#10;&#10;The graph shows that there are peaks and troughs in antibiotic prescribing from the seasonal effects of summer and winter. In the year before the letters were sent. the prescription rates for the five groups were almost identical. Striking reductions for the three peer comparison groups can be seen shortly after the letters were sent. These effects persist over the twelve months of the trial and show signs of strengthening at the start of the next flu season (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1.png"/>
                    <pic:cNvPicPr/>
                  </pic:nvPicPr>
                  <pic:blipFill>
                    <a:blip r:embed="rId14">
                      <a:extLst>
                        <a:ext uri="{28A0092B-C50C-407E-A947-70E740481C1C}">
                          <a14:useLocalDpi xmlns:a14="http://schemas.microsoft.com/office/drawing/2010/main" val="0"/>
                        </a:ext>
                      </a:extLst>
                    </a:blip>
                    <a:stretch>
                      <a:fillRect/>
                    </a:stretch>
                  </pic:blipFill>
                  <pic:spPr>
                    <a:xfrm>
                      <a:off x="0" y="0"/>
                      <a:ext cx="5704205" cy="3175635"/>
                    </a:xfrm>
                    <a:prstGeom prst="rect">
                      <a:avLst/>
                    </a:prstGeom>
                  </pic:spPr>
                </pic:pic>
              </a:graphicData>
            </a:graphic>
          </wp:inline>
        </w:drawing>
      </w:r>
    </w:p>
    <w:p w14:paraId="5EBF7D9B" w14:textId="24AD99E2" w:rsidR="002C64A5" w:rsidRDefault="005F716B" w:rsidP="00416984">
      <w:pPr>
        <w:pStyle w:val="SourceNotesText"/>
      </w:pPr>
      <w:r>
        <w:t xml:space="preserve">Sample size n=6,649. </w:t>
      </w:r>
      <w:r w:rsidR="00D435DB">
        <w:t xml:space="preserve">This chart presents </w:t>
      </w:r>
      <w:r w:rsidR="00416984">
        <w:t xml:space="preserve">prescription rates </w:t>
      </w:r>
      <w:r w:rsidR="00D435DB">
        <w:t xml:space="preserve">for those </w:t>
      </w:r>
      <w:r w:rsidR="00416984">
        <w:t xml:space="preserve">GPs </w:t>
      </w:r>
      <w:r w:rsidR="00D435DB">
        <w:t>and the eight</w:t>
      </w:r>
      <w:r w:rsidR="00D435DB" w:rsidRPr="00956135">
        <w:t xml:space="preserve"> commonly prescribed antibiotics</w:t>
      </w:r>
      <w:r w:rsidR="00D435DB">
        <w:t xml:space="preserve"> in this trial. The prescription rate reflects the number of </w:t>
      </w:r>
      <w:r w:rsidR="009554A0">
        <w:t xml:space="preserve">scripts </w:t>
      </w:r>
      <w:r w:rsidR="009554A0" w:rsidRPr="009554A0">
        <w:rPr>
          <w:i/>
        </w:rPr>
        <w:t>filled</w:t>
      </w:r>
      <w:r w:rsidR="00D435DB">
        <w:t xml:space="preserve">, which reflects patient behaviour as well as GP prescribing decisions. </w:t>
      </w:r>
    </w:p>
    <w:p w14:paraId="28E6AD3E" w14:textId="77777777" w:rsidR="007C51DD" w:rsidRPr="007C51DD" w:rsidRDefault="00416984" w:rsidP="007C51DD">
      <w:pPr>
        <w:pStyle w:val="Heading2"/>
        <w:rPr>
          <w:color w:val="2C276C" w:themeColor="accent1"/>
        </w:rPr>
      </w:pPr>
      <w:r w:rsidRPr="007C51DD">
        <w:rPr>
          <w:color w:val="2C276C" w:themeColor="accent1"/>
        </w:rPr>
        <w:t xml:space="preserve">Cumulative effect </w:t>
      </w:r>
      <w:r w:rsidR="002521D0" w:rsidRPr="007C51DD">
        <w:rPr>
          <w:color w:val="2C276C" w:themeColor="accent1"/>
        </w:rPr>
        <w:t>ove</w:t>
      </w:r>
      <w:r w:rsidR="002C64A5" w:rsidRPr="007C51DD">
        <w:rPr>
          <w:color w:val="2C276C" w:themeColor="accent1"/>
        </w:rPr>
        <w:t>r six months</w:t>
      </w:r>
    </w:p>
    <w:p w14:paraId="079C90C4" w14:textId="47C95D8E" w:rsidR="002521D0" w:rsidRDefault="00794AE1" w:rsidP="00794AE1">
      <w:r>
        <w:t xml:space="preserve">In the initial </w:t>
      </w:r>
      <w:r w:rsidR="00204982">
        <w:t>report</w:t>
      </w:r>
      <w:r>
        <w:t xml:space="preserve">, we found </w:t>
      </w:r>
      <w:r w:rsidR="00AF39B2">
        <w:t>high</w:t>
      </w:r>
      <w:r w:rsidR="00AF39B2">
        <w:noBreakHyphen/>
        <w:t>prescribing GPs who received the</w:t>
      </w:r>
      <w:r>
        <w:t xml:space="preserve"> peer comparison letters</w:t>
      </w:r>
      <w:r w:rsidR="00AF39B2">
        <w:t xml:space="preserve"> substantially reduced their </w:t>
      </w:r>
      <w:r>
        <w:t>prescribing</w:t>
      </w:r>
      <w:r w:rsidR="00F10622">
        <w:t xml:space="preserve"> over the following six months</w:t>
      </w:r>
      <w:r>
        <w:t>. Compared</w:t>
      </w:r>
      <w:r w:rsidRPr="000500D6">
        <w:t xml:space="preserve"> to GPs who did not receive a letter, the peer comparison letters </w:t>
      </w:r>
      <w:r>
        <w:t>caused</w:t>
      </w:r>
      <w:r w:rsidRPr="000500D6">
        <w:t xml:space="preserve"> </w:t>
      </w:r>
      <w:r w:rsidRPr="00762ADD">
        <w:t xml:space="preserve">a </w:t>
      </w:r>
      <w:r w:rsidR="005236E9" w:rsidRPr="00762ADD">
        <w:t>9.3</w:t>
      </w:r>
      <w:r w:rsidRPr="00762ADD">
        <w:t xml:space="preserve"> to 12.4 per</w:t>
      </w:r>
      <w:r w:rsidRPr="000500D6">
        <w:t xml:space="preserve"> cent reduction in </w:t>
      </w:r>
      <w:r w:rsidR="002F1715">
        <w:t xml:space="preserve">antibiotic </w:t>
      </w:r>
      <w:r w:rsidRPr="000500D6">
        <w:t>prescription rates</w:t>
      </w:r>
      <w:r>
        <w:t xml:space="preserve"> over the six months, with the </w:t>
      </w:r>
      <w:r w:rsidRPr="00A9143C">
        <w:rPr>
          <w:i/>
        </w:rPr>
        <w:t>peer comparison with graph</w:t>
      </w:r>
      <w:r w:rsidRPr="000500D6">
        <w:t xml:space="preserve"> </w:t>
      </w:r>
      <w:r>
        <w:t xml:space="preserve">letter performing </w:t>
      </w:r>
      <w:r w:rsidRPr="000500D6">
        <w:t>best</w:t>
      </w:r>
      <w:r w:rsidR="00F10622">
        <w:t>.</w:t>
      </w:r>
      <w:r w:rsidR="00F10622">
        <w:rPr>
          <w:rStyle w:val="FootnoteReference"/>
        </w:rPr>
        <w:footnoteReference w:id="5"/>
      </w:r>
      <w:r w:rsidRPr="000500D6">
        <w:t xml:space="preserve"> </w:t>
      </w:r>
      <w:r>
        <w:t xml:space="preserve">In </w:t>
      </w:r>
      <w:r>
        <w:lastRenderedPageBreak/>
        <w:t>contrast, s</w:t>
      </w:r>
      <w:r w:rsidRPr="00C3506A">
        <w:t xml:space="preserve">ending doctors </w:t>
      </w:r>
      <w:r w:rsidRPr="00762ADD">
        <w:t xml:space="preserve">a letter containing educational material without the peer comparison cut prescriptions by only </w:t>
      </w:r>
      <w:r w:rsidR="00F10622" w:rsidRPr="00762ADD">
        <w:t>2.4 per cent</w:t>
      </w:r>
      <w:r w:rsidR="00D569CB" w:rsidRPr="00762ADD">
        <w:t xml:space="preserve"> on average</w:t>
      </w:r>
      <w:r w:rsidR="00D569CB" w:rsidRPr="00F10622">
        <w:t xml:space="preserve"> over the six months.</w:t>
      </w:r>
    </w:p>
    <w:p w14:paraId="58EC9D7B" w14:textId="7F1BAFCF" w:rsidR="002521D0" w:rsidRPr="00416984" w:rsidRDefault="00416984" w:rsidP="00416984">
      <w:pPr>
        <w:pStyle w:val="Heading2"/>
        <w:rPr>
          <w:color w:val="2C276C" w:themeColor="accent1"/>
        </w:rPr>
      </w:pPr>
      <w:r>
        <w:rPr>
          <w:color w:val="2C276C" w:themeColor="accent1"/>
        </w:rPr>
        <w:t xml:space="preserve">Cumulative effect </w:t>
      </w:r>
      <w:r w:rsidR="002521D0" w:rsidRPr="00416984">
        <w:rPr>
          <w:color w:val="2C276C" w:themeColor="accent1"/>
        </w:rPr>
        <w:t>over twelve months</w:t>
      </w:r>
    </w:p>
    <w:p w14:paraId="15BC7EAB" w14:textId="70D1F412" w:rsidR="006E3BFD" w:rsidRDefault="00794AE1" w:rsidP="00794AE1">
      <w:r w:rsidRPr="008B511C">
        <w:t xml:space="preserve">We can now report </w:t>
      </w:r>
      <w:r>
        <w:t>the peer comparison</w:t>
      </w:r>
      <w:r w:rsidRPr="008B511C">
        <w:t xml:space="preserve"> letters had a persistent effect for a </w:t>
      </w:r>
      <w:r>
        <w:t>further six months. Over the full twelve months, t</w:t>
      </w:r>
      <w:r w:rsidR="009419C9">
        <w:t>he average</w:t>
      </w:r>
      <w:r w:rsidR="00F10622">
        <w:t xml:space="preserve"> prescri</w:t>
      </w:r>
      <w:r w:rsidR="00C615FD">
        <w:t>ption</w:t>
      </w:r>
      <w:r w:rsidR="009419C9">
        <w:t xml:space="preserve"> </w:t>
      </w:r>
      <w:r>
        <w:t xml:space="preserve">rate in the no-letter group was </w:t>
      </w:r>
      <w:r w:rsidR="005236E9" w:rsidRPr="005236E9">
        <w:t>98.5</w:t>
      </w:r>
      <w:r w:rsidR="005236E9">
        <w:t xml:space="preserve"> </w:t>
      </w:r>
      <w:r>
        <w:t xml:space="preserve">scripts per 1,000 consults. </w:t>
      </w:r>
      <w:r w:rsidRPr="002D7B11">
        <w:t>The three peer comparison letters caused a</w:t>
      </w:r>
      <w:r>
        <w:t>n</w:t>
      </w:r>
      <w:r w:rsidRPr="002D7B11">
        <w:t xml:space="preserve"> </w:t>
      </w:r>
      <w:r w:rsidRPr="005236E9">
        <w:t>8.4</w:t>
      </w:r>
      <w:r w:rsidR="00126B1C">
        <w:t xml:space="preserve"> to </w:t>
      </w:r>
      <w:r w:rsidRPr="005236E9">
        <w:t>9.4</w:t>
      </w:r>
      <w:r w:rsidRPr="002D7B11">
        <w:t xml:space="preserve"> per cent </w:t>
      </w:r>
      <w:r w:rsidR="009419C9">
        <w:t xml:space="preserve">average </w:t>
      </w:r>
      <w:r w:rsidRPr="002D7B11">
        <w:t>reduction</w:t>
      </w:r>
      <w:r>
        <w:t xml:space="preserve">, </w:t>
      </w:r>
      <w:r w:rsidR="00385C53">
        <w:t>all of which were statistically significantly different from the control group</w:t>
      </w:r>
      <w:r w:rsidR="00DC1FCD" w:rsidRPr="002D7B11">
        <w:t>.</w:t>
      </w:r>
      <w:r w:rsidR="00404DB9">
        <w:rPr>
          <w:rStyle w:val="FootnoteReference"/>
        </w:rPr>
        <w:footnoteReference w:id="6"/>
      </w:r>
      <w:r w:rsidR="00DC1FCD" w:rsidRPr="002D7B11">
        <w:t xml:space="preserve"> </w:t>
      </w:r>
      <w:r w:rsidR="00DC1FCD">
        <w:t xml:space="preserve"> </w:t>
      </w:r>
    </w:p>
    <w:p w14:paraId="55F8324B" w14:textId="50026343" w:rsidR="006E3BFD" w:rsidRDefault="006E3BFD" w:rsidP="006E3BFD">
      <w:pPr>
        <w:keepNext/>
      </w:pPr>
      <w:r>
        <w:t>Because the three</w:t>
      </w:r>
      <w:r w:rsidR="005D0EB9">
        <w:t xml:space="preserve"> </w:t>
      </w:r>
      <w:r>
        <w:t>peer comparison letters had very similar effect</w:t>
      </w:r>
      <w:r w:rsidR="005D0EB9">
        <w:t>s</w:t>
      </w:r>
      <w:r>
        <w:t xml:space="preserve"> over six and twelve months, we now combine the three letters for ease of reporting. Together, the three peer comparison letters reduced prescription </w:t>
      </w:r>
      <w:r w:rsidRPr="00762ADD">
        <w:t xml:space="preserve">rates by </w:t>
      </w:r>
      <w:r w:rsidR="004C5DB2">
        <w:t>9.0</w:t>
      </w:r>
      <w:r w:rsidR="007C51DD">
        <w:t xml:space="preserve"> </w:t>
      </w:r>
      <w:r w:rsidRPr="00762ADD">
        <w:t>per cent o</w:t>
      </w:r>
      <w:r>
        <w:t xml:space="preserve">ver the twelve-month period. </w:t>
      </w:r>
    </w:p>
    <w:p w14:paraId="029D300C" w14:textId="77777777" w:rsidR="004E2443" w:rsidRPr="00416984" w:rsidRDefault="004E2443" w:rsidP="00416984">
      <w:pPr>
        <w:pStyle w:val="FigureHeading"/>
      </w:pPr>
      <w:r w:rsidRPr="00416984">
        <w:t>Figure 2: Cumulative 12-month effects of intervention by letter group</w:t>
      </w:r>
    </w:p>
    <w:p w14:paraId="53F1CB01" w14:textId="6D0B61B0" w:rsidR="00B23B79" w:rsidRDefault="00B23B79" w:rsidP="00C15D77">
      <w:pPr>
        <w:rPr>
          <w:rFonts w:asciiTheme="majorHAnsi" w:hAnsiTheme="majorHAnsi"/>
          <w:b/>
          <w:color w:val="2C276C" w:themeColor="accent1"/>
          <w:sz w:val="24"/>
          <w:szCs w:val="44"/>
        </w:rPr>
      </w:pPr>
      <w:r>
        <w:rPr>
          <w:rFonts w:asciiTheme="majorHAnsi" w:hAnsiTheme="majorHAnsi"/>
          <w:b/>
          <w:noProof/>
          <w:color w:val="2C276C" w:themeColor="accent1"/>
          <w:sz w:val="24"/>
          <w:szCs w:val="44"/>
        </w:rPr>
        <w:drawing>
          <wp:inline distT="0" distB="0" distL="0" distR="0" wp14:anchorId="68AF8C21" wp14:editId="0F174748">
            <wp:extent cx="5704205" cy="3108325"/>
            <wp:effectExtent l="0" t="0" r="0" b="0"/>
            <wp:docPr id="12" name="Picture 12" descr="Bar graph showing prescribing rates and the percentage difference from the no-letter group over 12 months for the education-only letter and the three peer comparison letters both individually and pooled together. GPs in the no letter control group had 98.5 scripts filled per 1,000 consults whereas this rate fell to 89.8 scripts filled for the combined peer comparison group, a reduction of 9.0 per cent (p&lt;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2.png"/>
                    <pic:cNvPicPr/>
                  </pic:nvPicPr>
                  <pic:blipFill>
                    <a:blip r:embed="rId15">
                      <a:extLst>
                        <a:ext uri="{28A0092B-C50C-407E-A947-70E740481C1C}">
                          <a14:useLocalDpi xmlns:a14="http://schemas.microsoft.com/office/drawing/2010/main" val="0"/>
                        </a:ext>
                      </a:extLst>
                    </a:blip>
                    <a:stretch>
                      <a:fillRect/>
                    </a:stretch>
                  </pic:blipFill>
                  <pic:spPr>
                    <a:xfrm>
                      <a:off x="0" y="0"/>
                      <a:ext cx="5704205" cy="3108325"/>
                    </a:xfrm>
                    <a:prstGeom prst="rect">
                      <a:avLst/>
                    </a:prstGeom>
                  </pic:spPr>
                </pic:pic>
              </a:graphicData>
            </a:graphic>
          </wp:inline>
        </w:drawing>
      </w:r>
    </w:p>
    <w:p w14:paraId="403ED313" w14:textId="0EB3AD71" w:rsidR="00FE362F" w:rsidRDefault="00D435DB" w:rsidP="00FE362F">
      <w:pPr>
        <w:pStyle w:val="SourceNotesText"/>
      </w:pPr>
      <w:r>
        <w:t>Sample size n=6,6</w:t>
      </w:r>
      <w:r w:rsidR="00126B1C">
        <w:t>08</w:t>
      </w:r>
      <w:r>
        <w:t>. This chart shows prescri</w:t>
      </w:r>
      <w:r w:rsidR="00C615FD">
        <w:t>ption</w:t>
      </w:r>
      <w:r>
        <w:t xml:space="preserve"> rates </w:t>
      </w:r>
      <w:r w:rsidR="00230CDD">
        <w:t xml:space="preserve">and the percentage difference from the no-letter group </w:t>
      </w:r>
      <w:r>
        <w:t xml:space="preserve">over 12 months for </w:t>
      </w:r>
      <w:r w:rsidR="00230CDD">
        <w:t xml:space="preserve">the education-only letter and the three peer comparison letters </w:t>
      </w:r>
      <w:r w:rsidR="00BC725E">
        <w:t xml:space="preserve">both individually and </w:t>
      </w:r>
      <w:r w:rsidR="00230CDD">
        <w:t>pooled together</w:t>
      </w:r>
      <w:r>
        <w:t>. GPs in the no</w:t>
      </w:r>
      <w:r>
        <w:noBreakHyphen/>
        <w:t xml:space="preserve">letter control group had 98.5 scripts filled per 1,000 consults whereas this rate fell to </w:t>
      </w:r>
      <w:r w:rsidR="00AA6651">
        <w:t>89.</w:t>
      </w:r>
      <w:r w:rsidR="000742E8">
        <w:t>8</w:t>
      </w:r>
      <w:r>
        <w:t xml:space="preserve"> scripts filled for the </w:t>
      </w:r>
      <w:r w:rsidR="000742E8">
        <w:t xml:space="preserve">combined </w:t>
      </w:r>
      <w:r>
        <w:t>peer</w:t>
      </w:r>
      <w:r w:rsidR="000742E8">
        <w:t xml:space="preserve"> </w:t>
      </w:r>
      <w:r>
        <w:t>comparison group</w:t>
      </w:r>
      <w:r w:rsidR="007064F2">
        <w:t xml:space="preserve">, a reduction of </w:t>
      </w:r>
      <w:r w:rsidR="004C5DB2">
        <w:t xml:space="preserve">9.0 </w:t>
      </w:r>
      <w:r w:rsidR="007064F2">
        <w:t>per cent</w:t>
      </w:r>
      <w:r>
        <w:t xml:space="preserve"> (p</w:t>
      </w:r>
      <w:r w:rsidR="00AA6651">
        <w:rPr>
          <w:rFonts w:cstheme="minorHAnsi"/>
          <w:color w:val="auto"/>
          <w:szCs w:val="18"/>
        </w:rPr>
        <w:t>&lt;0.000001</w:t>
      </w:r>
      <w:r>
        <w:t xml:space="preserve">). See Appendix for </w:t>
      </w:r>
      <w:r w:rsidR="00AA6651">
        <w:t>the complete table</w:t>
      </w:r>
      <w:r>
        <w:t xml:space="preserve"> of estimates, p-values and confidence intervals.  </w:t>
      </w:r>
    </w:p>
    <w:p w14:paraId="7859B476" w14:textId="62B3BD84" w:rsidR="00727E7F" w:rsidRPr="00C15D77" w:rsidRDefault="00FE362F" w:rsidP="001867FB">
      <w:pPr>
        <w:spacing w:before="240"/>
        <w:rPr>
          <w:rFonts w:asciiTheme="majorHAnsi" w:hAnsiTheme="majorHAnsi"/>
          <w:b/>
          <w:color w:val="2C276C" w:themeColor="accent1"/>
          <w:sz w:val="24"/>
          <w:szCs w:val="44"/>
        </w:rPr>
      </w:pPr>
      <w:r>
        <w:rPr>
          <w:rFonts w:asciiTheme="majorHAnsi" w:hAnsiTheme="majorHAnsi"/>
          <w:b/>
          <w:color w:val="2C276C" w:themeColor="accent1"/>
          <w:sz w:val="24"/>
          <w:szCs w:val="44"/>
        </w:rPr>
        <w:t>Monthly effects</w:t>
      </w:r>
    </w:p>
    <w:p w14:paraId="01AB234D" w14:textId="26F25182" w:rsidR="00794AE1" w:rsidRDefault="00794AE1" w:rsidP="00794AE1">
      <w:r>
        <w:t xml:space="preserve">Figure </w:t>
      </w:r>
      <w:r w:rsidR="0055082A">
        <w:t>3</w:t>
      </w:r>
      <w:r>
        <w:t xml:space="preserve"> presents the percentage reduction in </w:t>
      </w:r>
      <w:r w:rsidR="001E102A">
        <w:t xml:space="preserve">monthly </w:t>
      </w:r>
      <w:r>
        <w:t>prescription rates attributable to the three peer comparison letters over time.</w:t>
      </w:r>
      <w:r w:rsidRPr="008E754D">
        <w:t xml:space="preserve"> </w:t>
      </w:r>
      <w:r>
        <w:t xml:space="preserve">At their most effective, in August 2017, the peer comparison letters </w:t>
      </w:r>
      <w:r w:rsidR="00D0567A">
        <w:t>reduced prescriptions by around 13.6</w:t>
      </w:r>
      <w:r>
        <w:t xml:space="preserve"> per cent.</w:t>
      </w:r>
    </w:p>
    <w:p w14:paraId="1EC87F45" w14:textId="75D9C2E9" w:rsidR="004E2443" w:rsidRDefault="004E2443" w:rsidP="00416984">
      <w:pPr>
        <w:pStyle w:val="FigureHeading"/>
      </w:pPr>
      <w:r>
        <w:lastRenderedPageBreak/>
        <w:t>Figure 3</w:t>
      </w:r>
      <w:r w:rsidR="00700298">
        <w:t>:</w:t>
      </w:r>
      <w:r>
        <w:t xml:space="preserve"> Monthly effects of </w:t>
      </w:r>
      <w:r w:rsidR="00A453B8">
        <w:t xml:space="preserve">the </w:t>
      </w:r>
      <w:r w:rsidR="00FE362F">
        <w:t xml:space="preserve">peer comparison </w:t>
      </w:r>
      <w:r>
        <w:t xml:space="preserve">letters compared to </w:t>
      </w:r>
      <w:r w:rsidR="00700298">
        <w:t xml:space="preserve">the </w:t>
      </w:r>
      <w:r>
        <w:t>control group</w:t>
      </w:r>
    </w:p>
    <w:p w14:paraId="08132586" w14:textId="7C2B7BA1" w:rsidR="00B23B79" w:rsidRDefault="00B23B79" w:rsidP="00B23B79">
      <w:r>
        <w:rPr>
          <w:noProof/>
        </w:rPr>
        <w:drawing>
          <wp:inline distT="0" distB="0" distL="0" distR="0" wp14:anchorId="2B32BD43" wp14:editId="6B7C1F58">
            <wp:extent cx="5704205" cy="2860040"/>
            <wp:effectExtent l="0" t="0" r="0" b="0"/>
            <wp:docPr id="13" name="Picture 13" descr="This bar graph shows the difference in reduction in prescibing rates (number of scripts filled per 1,000 consults) between the control group and the three peer-comparison groups combined. For example, in August 2017, the prescribing rate was 13.6 per cent lower for the peer comparison groups than for the control group (p&lt;0.0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3png.png"/>
                    <pic:cNvPicPr/>
                  </pic:nvPicPr>
                  <pic:blipFill>
                    <a:blip r:embed="rId16">
                      <a:extLst>
                        <a:ext uri="{28A0092B-C50C-407E-A947-70E740481C1C}">
                          <a14:useLocalDpi xmlns:a14="http://schemas.microsoft.com/office/drawing/2010/main" val="0"/>
                        </a:ext>
                      </a:extLst>
                    </a:blip>
                    <a:stretch>
                      <a:fillRect/>
                    </a:stretch>
                  </pic:blipFill>
                  <pic:spPr>
                    <a:xfrm>
                      <a:off x="0" y="0"/>
                      <a:ext cx="5704205" cy="2860040"/>
                    </a:xfrm>
                    <a:prstGeom prst="rect">
                      <a:avLst/>
                    </a:prstGeom>
                  </pic:spPr>
                </pic:pic>
              </a:graphicData>
            </a:graphic>
          </wp:inline>
        </w:drawing>
      </w:r>
    </w:p>
    <w:p w14:paraId="419ADBFF" w14:textId="2E32DFCA" w:rsidR="00FE362F" w:rsidRDefault="00705DC3" w:rsidP="00705DC3">
      <w:pPr>
        <w:pStyle w:val="SourceNotesText"/>
      </w:pPr>
      <w:r>
        <w:t xml:space="preserve">This chart shows the </w:t>
      </w:r>
      <w:r w:rsidR="002452CB">
        <w:t xml:space="preserve">difference </w:t>
      </w:r>
      <w:r>
        <w:t>in prescri</w:t>
      </w:r>
      <w:r w:rsidR="00C615FD">
        <w:t>ption</w:t>
      </w:r>
      <w:r>
        <w:t xml:space="preserve"> rates </w:t>
      </w:r>
      <w:r w:rsidR="002452CB">
        <w:t>(number of scripts filled per 1,000</w:t>
      </w:r>
      <w:r w:rsidR="004C5657">
        <w:t> </w:t>
      </w:r>
      <w:r w:rsidR="002452CB">
        <w:t>consults) between the control group and the three peer</w:t>
      </w:r>
      <w:r w:rsidR="00700298">
        <w:t xml:space="preserve"> </w:t>
      </w:r>
      <w:r w:rsidR="002452CB">
        <w:t>comparison groups</w:t>
      </w:r>
      <w:r w:rsidR="007B34F2">
        <w:t xml:space="preserve"> combined</w:t>
      </w:r>
      <w:r>
        <w:t xml:space="preserve">. For example, </w:t>
      </w:r>
      <w:r w:rsidR="002452CB">
        <w:t>in August 2017, the prescribing rate was 13.6 per cent lower for the peer</w:t>
      </w:r>
      <w:r w:rsidR="00700298">
        <w:t xml:space="preserve"> </w:t>
      </w:r>
      <w:r w:rsidR="002452CB">
        <w:t xml:space="preserve">comparison groups </w:t>
      </w:r>
      <w:r w:rsidR="005D0EB9">
        <w:t xml:space="preserve">than </w:t>
      </w:r>
      <w:r w:rsidR="00A27F08">
        <w:t>for</w:t>
      </w:r>
      <w:r w:rsidR="002452CB">
        <w:t xml:space="preserve"> the control group</w:t>
      </w:r>
      <w:r>
        <w:t xml:space="preserve"> (p</w:t>
      </w:r>
      <w:r w:rsidR="004C5657">
        <w:rPr>
          <w:rFonts w:cstheme="minorHAnsi"/>
          <w:color w:val="auto"/>
          <w:szCs w:val="18"/>
        </w:rPr>
        <w:t>&lt;0.000001</w:t>
      </w:r>
      <w:r>
        <w:t>). See Appendix for tables of estimates, p-values and confidence intervals.</w:t>
      </w:r>
    </w:p>
    <w:p w14:paraId="1AC05FD0" w14:textId="592B7D30" w:rsidR="00DB1EA0" w:rsidRDefault="00DB1EA0" w:rsidP="00DB1EA0">
      <w:r>
        <w:t xml:space="preserve">At the end of </w:t>
      </w:r>
      <w:r w:rsidRPr="007B6DE1">
        <w:t>the 2017 cold and flu season</w:t>
      </w:r>
      <w:r>
        <w:t xml:space="preserve">, the effectiveness of the peer comparison letters began to decline. This can be seen between October 2017 and January 2018, after which the </w:t>
      </w:r>
      <w:r w:rsidR="001E102A">
        <w:t xml:space="preserve">monthly </w:t>
      </w:r>
      <w:r>
        <w:t xml:space="preserve">effect of the letters plateaued at around </w:t>
      </w:r>
      <w:r w:rsidRPr="001E102A">
        <w:t>5</w:t>
      </w:r>
      <w:r w:rsidR="00F91417">
        <w:t xml:space="preserve"> to </w:t>
      </w:r>
      <w:r w:rsidR="001E102A" w:rsidRPr="001E102A">
        <w:t>7</w:t>
      </w:r>
      <w:r>
        <w:t> per cent. During this period, the difference between all three peer comparison letters and the control remain</w:t>
      </w:r>
      <w:r w:rsidR="002550EC">
        <w:t>s</w:t>
      </w:r>
      <w:r>
        <w:t xml:space="preserve"> statistically significant.  </w:t>
      </w:r>
    </w:p>
    <w:p w14:paraId="3AFAF211" w14:textId="1CEFEE4D" w:rsidR="00DB64CA" w:rsidRDefault="00794AE1" w:rsidP="00794AE1">
      <w:pPr>
        <w:rPr>
          <w:rFonts w:asciiTheme="majorHAnsi" w:hAnsiTheme="majorHAnsi"/>
          <w:b/>
          <w:color w:val="2C276C" w:themeColor="accent1"/>
          <w:sz w:val="24"/>
          <w:szCs w:val="44"/>
        </w:rPr>
      </w:pPr>
      <w:r>
        <w:t xml:space="preserve">At the end of the twelve-month period, the three letters continued to have an impact, with </w:t>
      </w:r>
      <w:r w:rsidR="001E102A">
        <w:t xml:space="preserve">a </w:t>
      </w:r>
      <w:r>
        <w:t>statistically significant reduction</w:t>
      </w:r>
      <w:r w:rsidR="001E102A">
        <w:t xml:space="preserve"> </w:t>
      </w:r>
      <w:r w:rsidR="00BF1DC6">
        <w:t xml:space="preserve">in </w:t>
      </w:r>
      <w:r w:rsidR="009554A0">
        <w:t xml:space="preserve">antibiotic </w:t>
      </w:r>
      <w:r w:rsidR="00BF1DC6">
        <w:t>prescri</w:t>
      </w:r>
      <w:r w:rsidR="00C615FD">
        <w:t>ption</w:t>
      </w:r>
      <w:r w:rsidR="00BF1DC6">
        <w:t xml:space="preserve"> rates</w:t>
      </w:r>
      <w:r w:rsidR="00542AE7">
        <w:t xml:space="preserve"> </w:t>
      </w:r>
      <w:r w:rsidR="001E102A">
        <w:t>of about 6.4 per cent.</w:t>
      </w:r>
    </w:p>
    <w:p w14:paraId="2F9F96D5" w14:textId="2181B6B6" w:rsidR="006A3C07" w:rsidRPr="006A3C07" w:rsidRDefault="00727E7F" w:rsidP="006A3C07">
      <w:pPr>
        <w:pStyle w:val="Heading2"/>
        <w:rPr>
          <w:color w:val="2C276C" w:themeColor="accent1"/>
        </w:rPr>
      </w:pPr>
      <w:r w:rsidRPr="006A3C07">
        <w:rPr>
          <w:color w:val="2C276C" w:themeColor="accent1"/>
        </w:rPr>
        <w:t>Impact on the total number of scripts fil</w:t>
      </w:r>
      <w:bookmarkStart w:id="6" w:name="_GoBack"/>
      <w:bookmarkEnd w:id="6"/>
      <w:r w:rsidRPr="006A3C07">
        <w:rPr>
          <w:color w:val="2C276C" w:themeColor="accent1"/>
        </w:rPr>
        <w:t>led</w:t>
      </w:r>
      <w:r w:rsidR="006A3C07" w:rsidRPr="006A3C07">
        <w:rPr>
          <w:color w:val="2C276C" w:themeColor="accent1"/>
        </w:rPr>
        <w:t xml:space="preserve"> </w:t>
      </w:r>
    </w:p>
    <w:p w14:paraId="476A6EE3" w14:textId="4EA46711" w:rsidR="007D4F39" w:rsidRDefault="00416984" w:rsidP="005D7FC3">
      <w:r>
        <w:t>W</w:t>
      </w:r>
      <w:r w:rsidRPr="00762ADD">
        <w:t>e estimate</w:t>
      </w:r>
      <w:r>
        <w:t xml:space="preserve"> the</w:t>
      </w:r>
      <w:r w:rsidRPr="00762ADD">
        <w:t xml:space="preserve"> four letters </w:t>
      </w:r>
      <w:r>
        <w:t>together (</w:t>
      </w:r>
      <w:r w:rsidR="00FE362F">
        <w:t>the peer</w:t>
      </w:r>
      <w:r w:rsidR="00700298">
        <w:t xml:space="preserve"> </w:t>
      </w:r>
      <w:r>
        <w:t xml:space="preserve">comparison letters and the </w:t>
      </w:r>
      <w:r w:rsidR="00FE362F">
        <w:t>education</w:t>
      </w:r>
      <w:r w:rsidR="00FE362F">
        <w:noBreakHyphen/>
      </w:r>
      <w:r>
        <w:t xml:space="preserve">only letter) </w:t>
      </w:r>
      <w:r w:rsidRPr="00762ADD">
        <w:t xml:space="preserve">reduced the number of scripts being filled by about </w:t>
      </w:r>
      <w:r w:rsidR="00FE362F">
        <w:t>190,000</w:t>
      </w:r>
      <w:r>
        <w:rPr>
          <w:lang w:val="en-US"/>
        </w:rPr>
        <w:t xml:space="preserve"> </w:t>
      </w:r>
      <w:r w:rsidRPr="00762ADD">
        <w:t>over the twelve-month period</w:t>
      </w:r>
      <w:r w:rsidR="00FE362F">
        <w:t>.</w:t>
      </w:r>
      <w:r w:rsidR="007D4F39">
        <w:t xml:space="preserve"> </w:t>
      </w:r>
    </w:p>
    <w:p w14:paraId="2E0B9B30" w14:textId="7C313882" w:rsidR="00416984" w:rsidRDefault="007D4F39" w:rsidP="005D7FC3">
      <w:r>
        <w:t>I</w:t>
      </w:r>
      <w:r w:rsidR="00416984" w:rsidRPr="00762ADD">
        <w:t xml:space="preserve">f we had sent </w:t>
      </w:r>
      <w:r w:rsidR="00445B70">
        <w:t>any</w:t>
      </w:r>
      <w:r w:rsidR="00416984" w:rsidRPr="00762ADD">
        <w:t xml:space="preserve"> of the </w:t>
      </w:r>
      <w:r w:rsidR="00FE362F">
        <w:t>peer</w:t>
      </w:r>
      <w:r w:rsidR="00700298">
        <w:t xml:space="preserve"> </w:t>
      </w:r>
      <w:r w:rsidR="00416984" w:rsidRPr="00762ADD">
        <w:t xml:space="preserve">comparison </w:t>
      </w:r>
      <w:r w:rsidR="00416984">
        <w:t>letters</w:t>
      </w:r>
      <w:r w:rsidR="00A76D96">
        <w:t xml:space="preserve"> </w:t>
      </w:r>
      <w:r w:rsidR="00416984" w:rsidRPr="00762ADD">
        <w:t xml:space="preserve">to all </w:t>
      </w:r>
      <w:r w:rsidR="00FE362F">
        <w:t>high</w:t>
      </w:r>
      <w:r w:rsidR="00FE362F">
        <w:noBreakHyphen/>
        <w:t xml:space="preserve">prescribing </w:t>
      </w:r>
      <w:r w:rsidR="00416984">
        <w:t xml:space="preserve">GPs </w:t>
      </w:r>
      <w:r w:rsidR="00416984" w:rsidRPr="00762ADD">
        <w:t xml:space="preserve">(including the control group), we estimate </w:t>
      </w:r>
      <w:r w:rsidR="00FE362F">
        <w:t xml:space="preserve">we could have helped </w:t>
      </w:r>
      <w:r w:rsidR="00416984">
        <w:t>GPs to</w:t>
      </w:r>
      <w:r w:rsidR="00416984" w:rsidRPr="00762ADD">
        <w:t xml:space="preserve"> prevent about</w:t>
      </w:r>
      <w:r w:rsidR="00FE362F">
        <w:t xml:space="preserve"> 280,000</w:t>
      </w:r>
      <w:r w:rsidR="00681AC5">
        <w:rPr>
          <w:lang w:val="en-US"/>
        </w:rPr>
        <w:t> </w:t>
      </w:r>
      <w:r w:rsidR="00416984">
        <w:t>prescriptions</w:t>
      </w:r>
      <w:r w:rsidR="00FE362F">
        <w:t xml:space="preserve"> being filled</w:t>
      </w:r>
      <w:r w:rsidR="00416984">
        <w:t xml:space="preserve">. </w:t>
      </w:r>
    </w:p>
    <w:p w14:paraId="62F961CB" w14:textId="77777777" w:rsidR="00875663" w:rsidRPr="006E3BFD" w:rsidRDefault="00875663" w:rsidP="00875663">
      <w:pPr>
        <w:pStyle w:val="Heading2"/>
        <w:rPr>
          <w:color w:val="2C276C" w:themeColor="accent1"/>
        </w:rPr>
      </w:pPr>
      <w:r w:rsidRPr="00794AE1">
        <w:rPr>
          <w:color w:val="2C276C" w:themeColor="accent1"/>
        </w:rPr>
        <w:t>Salience of letters during cold and flu season</w:t>
      </w:r>
    </w:p>
    <w:p w14:paraId="14299219" w14:textId="72AF4674" w:rsidR="00875663" w:rsidRDefault="00875663" w:rsidP="00875663">
      <w:r>
        <w:t>As the</w:t>
      </w:r>
      <w:r w:rsidRPr="007B6DE1">
        <w:t xml:space="preserve"> 2018 cold and flu season</w:t>
      </w:r>
      <w:r>
        <w:t xml:space="preserve"> began</w:t>
      </w:r>
      <w:r w:rsidRPr="007B6DE1">
        <w:t xml:space="preserve">, </w:t>
      </w:r>
      <w:r>
        <w:t xml:space="preserve">the effect of the three letters increased to </w:t>
      </w:r>
      <w:r w:rsidRPr="001E102A">
        <w:t>around 8.2 per</w:t>
      </w:r>
      <w:r>
        <w:t xml:space="preserve"> cent in June 2018</w:t>
      </w:r>
      <w:r w:rsidRPr="007B6DE1">
        <w:t xml:space="preserve">. </w:t>
      </w:r>
    </w:p>
    <w:p w14:paraId="735978DF" w14:textId="4D957F88" w:rsidR="003E4A3C" w:rsidRDefault="00875663" w:rsidP="007B5DC0">
      <w:r>
        <w:t>This suggests</w:t>
      </w:r>
      <w:r w:rsidR="00700298">
        <w:t>,</w:t>
      </w:r>
      <w:r>
        <w:t xml:space="preserve"> </w:t>
      </w:r>
      <w:r w:rsidRPr="00F318A6">
        <w:t xml:space="preserve">when given </w:t>
      </w:r>
      <w:r>
        <w:t xml:space="preserve">peer comparison </w:t>
      </w:r>
      <w:r w:rsidRPr="00F318A6">
        <w:t xml:space="preserve">information, </w:t>
      </w:r>
      <w:r w:rsidR="00F91417">
        <w:t xml:space="preserve">some </w:t>
      </w:r>
      <w:r w:rsidRPr="00F318A6">
        <w:t>GPs are able to initiate and sustain a change i</w:t>
      </w:r>
      <w:r>
        <w:t>n antibiotic prescribing habits and these new habits have the most pronounced effect on prescri</w:t>
      </w:r>
      <w:r w:rsidR="00C615FD">
        <w:t>ption</w:t>
      </w:r>
      <w:r>
        <w:t xml:space="preserve"> rates during peak antibiotic prescribing periods. </w:t>
      </w:r>
      <w:r w:rsidR="003E4A3C">
        <w:br w:type="page"/>
      </w:r>
    </w:p>
    <w:p w14:paraId="689B7261" w14:textId="56E7423A" w:rsidR="004D3AF3" w:rsidRPr="004D3AF3" w:rsidRDefault="004D3AF3" w:rsidP="00281514">
      <w:pPr>
        <w:pStyle w:val="Heading1"/>
      </w:pPr>
      <w:r w:rsidRPr="004D3AF3">
        <w:lastRenderedPageBreak/>
        <w:t>Discussion and Conclusion</w:t>
      </w:r>
      <w:bookmarkEnd w:id="5"/>
    </w:p>
    <w:p w14:paraId="3654989F" w14:textId="6FF78CCF" w:rsidR="00E73484" w:rsidRDefault="00782BEC" w:rsidP="00D57194">
      <w:r>
        <w:t>Our trial shows p</w:t>
      </w:r>
      <w:r w:rsidR="00E73484" w:rsidRPr="00741B42">
        <w:t>roviding</w:t>
      </w:r>
      <w:r w:rsidR="00876545">
        <w:t xml:space="preserve"> high-prescribing</w:t>
      </w:r>
      <w:r w:rsidR="00E73484" w:rsidRPr="00741B42">
        <w:t xml:space="preserve"> </w:t>
      </w:r>
      <w:r w:rsidR="00DB1EA0" w:rsidRPr="00741B42">
        <w:t xml:space="preserve">Australian GPs </w:t>
      </w:r>
      <w:r w:rsidR="00E73484" w:rsidRPr="00741B42">
        <w:t xml:space="preserve">with peer comparison information can have </w:t>
      </w:r>
      <w:r w:rsidR="00D57194">
        <w:t xml:space="preserve">a </w:t>
      </w:r>
      <w:r w:rsidR="00FE362F">
        <w:t xml:space="preserve">substantial </w:t>
      </w:r>
      <w:r w:rsidR="00D57194">
        <w:t>effect</w:t>
      </w:r>
      <w:r w:rsidR="00E73484" w:rsidRPr="00741B42">
        <w:t xml:space="preserve"> on antibiotic prescribing</w:t>
      </w:r>
      <w:r w:rsidR="00E20DB2" w:rsidRPr="00741B42">
        <w:t>.</w:t>
      </w:r>
      <w:r w:rsidR="00E20DB2">
        <w:t xml:space="preserve"> </w:t>
      </w:r>
      <w:r w:rsidR="004D6D23">
        <w:t xml:space="preserve">These results add to a large body of evidence </w:t>
      </w:r>
      <w:r w:rsidR="007D4F39">
        <w:t>showing</w:t>
      </w:r>
      <w:r w:rsidR="004D6D23">
        <w:t xml:space="preserve"> peer comparison can be a powerful behavioural tool for policy makers. </w:t>
      </w:r>
      <w:r w:rsidR="0061506B">
        <w:t>P</w:t>
      </w:r>
      <w:r w:rsidR="00D57194">
        <w:t>roviding GPs with p</w:t>
      </w:r>
      <w:r w:rsidR="00E73484" w:rsidRPr="00741B42">
        <w:t xml:space="preserve">eer comparison </w:t>
      </w:r>
      <w:r w:rsidR="00D57194">
        <w:t>enabled them to initiate and sustain behavioural change more effectively than</w:t>
      </w:r>
      <w:r w:rsidR="00E73484" w:rsidRPr="00741B42">
        <w:t xml:space="preserve"> </w:t>
      </w:r>
      <w:r w:rsidR="00876545">
        <w:t xml:space="preserve">just </w:t>
      </w:r>
      <w:r w:rsidR="00BC3400">
        <w:t xml:space="preserve">education about AMR. </w:t>
      </w:r>
      <w:r w:rsidR="0061506B" w:rsidRPr="0061506B">
        <w:t>Encouragingly</w:t>
      </w:r>
      <w:r w:rsidR="002550EC">
        <w:t>,</w:t>
      </w:r>
      <w:r w:rsidR="0061506B" w:rsidRPr="0061506B">
        <w:t xml:space="preserve"> 15 months after</w:t>
      </w:r>
      <w:r w:rsidR="0049051B">
        <w:t xml:space="preserve"> providing</w:t>
      </w:r>
      <w:r w:rsidR="0061506B" w:rsidRPr="0061506B">
        <w:t xml:space="preserve"> the letters to GPs</w:t>
      </w:r>
      <w:r w:rsidR="0049051B">
        <w:t>,</w:t>
      </w:r>
      <w:r w:rsidR="0061506B" w:rsidRPr="0061506B">
        <w:t xml:space="preserve"> </w:t>
      </w:r>
      <w:r w:rsidR="00875663">
        <w:t xml:space="preserve">the </w:t>
      </w:r>
      <w:r w:rsidR="00875663" w:rsidRPr="0061506B">
        <w:t>impact</w:t>
      </w:r>
      <w:r w:rsidR="00875663">
        <w:t xml:space="preserve"> of providing peer comparison information</w:t>
      </w:r>
      <w:r w:rsidR="00875663">
        <w:rPr>
          <w:rStyle w:val="CommentReference"/>
        </w:rPr>
        <w:t xml:space="preserve"> </w:t>
      </w:r>
      <w:r w:rsidR="0061506B" w:rsidRPr="0061506B">
        <w:t>has been sustained.</w:t>
      </w:r>
    </w:p>
    <w:p w14:paraId="43CAA823" w14:textId="6065D0BF" w:rsidR="004A7320" w:rsidRDefault="00782BEC" w:rsidP="00BF65A2">
      <w:r w:rsidRPr="00A2504B">
        <w:t xml:space="preserve">Antibiotic prescriptions increase during the winter months, due to the cold and flu season. While antibiotics do not work for colds and flus, more people get sick with both viral and bacterial infections in the winter months and more antibiotics are prescribed. The letters were sent </w:t>
      </w:r>
      <w:r w:rsidR="00FE362F" w:rsidRPr="00A2504B">
        <w:t>in</w:t>
      </w:r>
      <w:r w:rsidRPr="00A2504B">
        <w:t xml:space="preserve"> June 2017 to coincide with the yearly spike in antibiotic use. </w:t>
      </w:r>
      <w:r w:rsidRPr="00A2504B">
        <w:rPr>
          <w:rFonts w:cs="Arial"/>
          <w:szCs w:val="22"/>
        </w:rPr>
        <w:t xml:space="preserve">In </w:t>
      </w:r>
      <w:r w:rsidR="00E20DB2" w:rsidRPr="00A2504B">
        <w:rPr>
          <w:rFonts w:cs="Arial"/>
          <w:szCs w:val="22"/>
        </w:rPr>
        <w:t>general,</w:t>
      </w:r>
      <w:r w:rsidRPr="00A2504B">
        <w:rPr>
          <w:rFonts w:cs="Arial"/>
          <w:szCs w:val="22"/>
        </w:rPr>
        <w:t xml:space="preserve"> the 2017 influenza season saw the highest levels of</w:t>
      </w:r>
      <w:r w:rsidR="00E72389" w:rsidRPr="00A2504B">
        <w:rPr>
          <w:rFonts w:cs="Arial"/>
          <w:szCs w:val="22"/>
        </w:rPr>
        <w:t xml:space="preserve"> influenza-like illness </w:t>
      </w:r>
      <w:r w:rsidRPr="00A2504B">
        <w:rPr>
          <w:rFonts w:cs="Arial"/>
          <w:szCs w:val="22"/>
        </w:rPr>
        <w:t>since 2009</w:t>
      </w:r>
      <w:r w:rsidR="00E44871" w:rsidRPr="00A2504B">
        <w:rPr>
          <w:rFonts w:cs="Arial"/>
          <w:szCs w:val="22"/>
        </w:rPr>
        <w:t xml:space="preserve">, increasing the potential to reduce </w:t>
      </w:r>
      <w:r w:rsidR="00E625E2" w:rsidRPr="00A2504B">
        <w:rPr>
          <w:rFonts w:cs="Arial"/>
          <w:szCs w:val="22"/>
        </w:rPr>
        <w:t>overprescribing of antibiotics</w:t>
      </w:r>
      <w:r w:rsidR="00E44871" w:rsidRPr="00A2504B">
        <w:rPr>
          <w:rFonts w:cs="Arial"/>
          <w:szCs w:val="22"/>
        </w:rPr>
        <w:t>.</w:t>
      </w:r>
      <w:r w:rsidR="00E20DB2" w:rsidRPr="00A2504B">
        <w:rPr>
          <w:rFonts w:cs="Arial"/>
          <w:szCs w:val="22"/>
        </w:rPr>
        <w:t xml:space="preserve"> C</w:t>
      </w:r>
      <w:r w:rsidRPr="00A2504B">
        <w:t xml:space="preserve">omparatively the 2018 flu season saw very low levels of </w:t>
      </w:r>
      <w:r w:rsidR="00E72389" w:rsidRPr="00A2504B">
        <w:rPr>
          <w:rFonts w:cs="Arial"/>
          <w:szCs w:val="22"/>
        </w:rPr>
        <w:t xml:space="preserve">influenza-like </w:t>
      </w:r>
      <w:r w:rsidR="0006184F" w:rsidRPr="00A2504B">
        <w:rPr>
          <w:rFonts w:cs="Arial"/>
          <w:szCs w:val="22"/>
        </w:rPr>
        <w:t>illness</w:t>
      </w:r>
      <w:r w:rsidR="00BC3A60" w:rsidRPr="00A2504B">
        <w:rPr>
          <w:rFonts w:cs="Arial"/>
          <w:szCs w:val="22"/>
        </w:rPr>
        <w:t>.</w:t>
      </w:r>
      <w:r w:rsidR="0006184F" w:rsidRPr="00A2504B">
        <w:rPr>
          <w:rFonts w:cs="Arial"/>
          <w:szCs w:val="22"/>
        </w:rPr>
        <w:t xml:space="preserve"> </w:t>
      </w:r>
      <w:r w:rsidR="00A2504B" w:rsidRPr="00A2504B">
        <w:t xml:space="preserve">In spite of this, the peer comparison letters had a substantial effect across both seasons. </w:t>
      </w:r>
    </w:p>
    <w:p w14:paraId="431438AB" w14:textId="7779B91E" w:rsidR="005F3F01" w:rsidRDefault="00C847CE" w:rsidP="003E4A3C">
      <w:pPr>
        <w:rPr>
          <w:rFonts w:cs="Arial"/>
        </w:rPr>
      </w:pPr>
      <w:r>
        <w:t xml:space="preserve">Our trial shows </w:t>
      </w:r>
      <w:r w:rsidR="00E625E2">
        <w:t xml:space="preserve">the </w:t>
      </w:r>
      <w:r w:rsidR="00EF1E61">
        <w:t>value</w:t>
      </w:r>
      <w:r w:rsidR="00E625E2">
        <w:t xml:space="preserve"> of </w:t>
      </w:r>
      <w:r>
        <w:t xml:space="preserve">simple peer comparison letters </w:t>
      </w:r>
      <w:r w:rsidR="00E625E2">
        <w:t>as</w:t>
      </w:r>
      <w:r>
        <w:t xml:space="preserve"> </w:t>
      </w:r>
      <w:r>
        <w:rPr>
          <w:rFonts w:cs="Arial"/>
        </w:rPr>
        <w:t xml:space="preserve">part of the </w:t>
      </w:r>
      <w:r>
        <w:t>bigger strategy to combat AMR</w:t>
      </w:r>
      <w:r w:rsidR="00EF1E61">
        <w:t xml:space="preserve"> across all sectors</w:t>
      </w:r>
      <w:r w:rsidR="00BC3400">
        <w:rPr>
          <w:rFonts w:cs="Arial"/>
        </w:rPr>
        <w:t>. The</w:t>
      </w:r>
      <w:r w:rsidR="007D4F39">
        <w:rPr>
          <w:rFonts w:cs="Arial"/>
        </w:rPr>
        <w:t xml:space="preserve"> results</w:t>
      </w:r>
      <w:r w:rsidR="00BC3400">
        <w:rPr>
          <w:rFonts w:cs="Arial"/>
        </w:rPr>
        <w:t xml:space="preserve"> suggest antibiotic stewardship programs can maximise their effects by using peer comparison feedback at the individual-level to assist doctors to reflect on their prescribing practices.</w:t>
      </w:r>
      <w:r w:rsidR="003E4A3C" w:rsidRPr="003E4A3C">
        <w:rPr>
          <w:rFonts w:cs="Arial"/>
        </w:rPr>
        <w:t xml:space="preserve"> </w:t>
      </w:r>
    </w:p>
    <w:p w14:paraId="37125760" w14:textId="0939D385" w:rsidR="003E4A3C" w:rsidRPr="00FE362F" w:rsidRDefault="003E4A3C" w:rsidP="00FE362F">
      <w:pPr>
        <w:pStyle w:val="Heading2"/>
        <w:rPr>
          <w:color w:val="2C276C" w:themeColor="accent1"/>
        </w:rPr>
      </w:pPr>
      <w:r w:rsidRPr="00FE362F">
        <w:rPr>
          <w:color w:val="2C276C" w:themeColor="accent1"/>
        </w:rPr>
        <w:t>Future directions</w:t>
      </w:r>
    </w:p>
    <w:p w14:paraId="48E741CC" w14:textId="07C0FF36" w:rsidR="00241AED" w:rsidRDefault="009B3AD0" w:rsidP="00241AED">
      <w:pPr>
        <w:rPr>
          <w:rFonts w:cs="Arial"/>
        </w:rPr>
      </w:pPr>
      <w:r w:rsidRPr="009B3AD0">
        <w:rPr>
          <w:rFonts w:cs="Arial"/>
        </w:rPr>
        <w:t xml:space="preserve">These </w:t>
      </w:r>
      <w:r>
        <w:rPr>
          <w:rFonts w:cs="Arial"/>
        </w:rPr>
        <w:t xml:space="preserve">results </w:t>
      </w:r>
      <w:r w:rsidR="00006D12">
        <w:rPr>
          <w:rFonts w:cs="Arial"/>
        </w:rPr>
        <w:t>will</w:t>
      </w:r>
      <w:r w:rsidRPr="009B3AD0">
        <w:rPr>
          <w:rFonts w:cs="Arial"/>
        </w:rPr>
        <w:t xml:space="preserve"> help inform future efforts to reduce the risk of AMR caused by the </w:t>
      </w:r>
      <w:r w:rsidR="00EF76B7">
        <w:rPr>
          <w:rFonts w:cs="Arial"/>
        </w:rPr>
        <w:t xml:space="preserve">overprescribing </w:t>
      </w:r>
      <w:r w:rsidRPr="009B3AD0">
        <w:rPr>
          <w:rFonts w:cs="Arial"/>
        </w:rPr>
        <w:t>of antibiotics</w:t>
      </w:r>
      <w:r>
        <w:rPr>
          <w:rFonts w:cs="Arial"/>
        </w:rPr>
        <w:t xml:space="preserve">. </w:t>
      </w:r>
      <w:r w:rsidR="00EF1E61">
        <w:rPr>
          <w:rFonts w:cs="Arial"/>
        </w:rPr>
        <w:t>The Department of Health is</w:t>
      </w:r>
      <w:r w:rsidR="00241AED" w:rsidRPr="0006184F">
        <w:rPr>
          <w:rFonts w:cs="Arial"/>
        </w:rPr>
        <w:t xml:space="preserve"> </w:t>
      </w:r>
      <w:r w:rsidR="0006184F">
        <w:rPr>
          <w:rFonts w:cs="Arial"/>
        </w:rPr>
        <w:t>considering</w:t>
      </w:r>
      <w:r w:rsidR="00EF76B7">
        <w:rPr>
          <w:rFonts w:cs="Arial"/>
        </w:rPr>
        <w:t xml:space="preserve"> the </w:t>
      </w:r>
      <w:r w:rsidR="00EF1E61">
        <w:rPr>
          <w:rFonts w:cs="Arial"/>
        </w:rPr>
        <w:t xml:space="preserve">approach to implementing the </w:t>
      </w:r>
      <w:r w:rsidR="00E36D35">
        <w:rPr>
          <w:rFonts w:cs="Arial"/>
        </w:rPr>
        <w:t xml:space="preserve">peer comparison </w:t>
      </w:r>
      <w:r w:rsidR="00EF1E61">
        <w:rPr>
          <w:rFonts w:cs="Arial"/>
        </w:rPr>
        <w:t xml:space="preserve">letters and whether </w:t>
      </w:r>
      <w:r w:rsidR="00EF76B7">
        <w:rPr>
          <w:rFonts w:cs="Arial"/>
        </w:rPr>
        <w:t xml:space="preserve">GPs </w:t>
      </w:r>
      <w:r w:rsidR="00EF1E61">
        <w:rPr>
          <w:rFonts w:cs="Arial"/>
        </w:rPr>
        <w:t xml:space="preserve">would benefit from receiving </w:t>
      </w:r>
      <w:r w:rsidR="00E36D35">
        <w:rPr>
          <w:rFonts w:cs="Arial"/>
        </w:rPr>
        <w:t xml:space="preserve">this </w:t>
      </w:r>
      <w:r w:rsidR="00EF1E61">
        <w:rPr>
          <w:rFonts w:cs="Arial"/>
        </w:rPr>
        <w:t>information</w:t>
      </w:r>
      <w:r w:rsidR="00241AED">
        <w:rPr>
          <w:rFonts w:cs="Arial"/>
        </w:rPr>
        <w:t xml:space="preserve"> on an annual or twice-yearly basis. </w:t>
      </w:r>
    </w:p>
    <w:p w14:paraId="4B4B63AF" w14:textId="26D92A11" w:rsidR="007761C2" w:rsidRPr="00D31FF6" w:rsidRDefault="00E76209" w:rsidP="00D31FF6">
      <w:pPr>
        <w:rPr>
          <w:rFonts w:cs="Arial"/>
        </w:rPr>
      </w:pPr>
      <w:r>
        <w:rPr>
          <w:rFonts w:cs="Arial"/>
        </w:rPr>
        <w:t xml:space="preserve">It </w:t>
      </w:r>
      <w:r w:rsidR="008D38B0">
        <w:rPr>
          <w:rFonts w:cs="Arial"/>
        </w:rPr>
        <w:t>may</w:t>
      </w:r>
      <w:r>
        <w:rPr>
          <w:rFonts w:cs="Arial"/>
        </w:rPr>
        <w:t xml:space="preserve"> </w:t>
      </w:r>
      <w:r w:rsidR="00EF1E61">
        <w:rPr>
          <w:rFonts w:cs="Arial"/>
        </w:rPr>
        <w:t>be worth testing whether</w:t>
      </w:r>
      <w:r w:rsidR="00241AED">
        <w:rPr>
          <w:rFonts w:cs="Arial"/>
        </w:rPr>
        <w:t xml:space="preserve"> </w:t>
      </w:r>
      <w:r w:rsidR="00241AED" w:rsidRPr="0006184F">
        <w:rPr>
          <w:rFonts w:cs="Arial"/>
        </w:rPr>
        <w:t xml:space="preserve">follow-up letters </w:t>
      </w:r>
      <w:r w:rsidR="00EF1E61">
        <w:rPr>
          <w:rFonts w:cs="Arial"/>
        </w:rPr>
        <w:t xml:space="preserve">can </w:t>
      </w:r>
      <w:r w:rsidR="00241AED" w:rsidRPr="0006184F">
        <w:rPr>
          <w:rFonts w:cs="Arial"/>
        </w:rPr>
        <w:t>have the same impact</w:t>
      </w:r>
      <w:r w:rsidR="00EF1E61">
        <w:rPr>
          <w:rFonts w:cs="Arial"/>
        </w:rPr>
        <w:t xml:space="preserve"> and </w:t>
      </w:r>
      <w:r w:rsidR="00241AED" w:rsidRPr="0006184F">
        <w:rPr>
          <w:rFonts w:cs="Arial"/>
        </w:rPr>
        <w:t xml:space="preserve">how often they should be sent, </w:t>
      </w:r>
      <w:r w:rsidR="00EF1E61">
        <w:rPr>
          <w:rFonts w:cs="Arial"/>
        </w:rPr>
        <w:t>or</w:t>
      </w:r>
      <w:r w:rsidR="00EF1E61" w:rsidRPr="0006184F">
        <w:rPr>
          <w:rFonts w:cs="Arial"/>
        </w:rPr>
        <w:t xml:space="preserve"> </w:t>
      </w:r>
      <w:r w:rsidR="00241AED" w:rsidRPr="0006184F">
        <w:rPr>
          <w:rFonts w:cs="Arial"/>
        </w:rPr>
        <w:t xml:space="preserve">whether repeat exposure reduces the effect. Follow-up letters could </w:t>
      </w:r>
      <w:r w:rsidR="00EF1E61">
        <w:rPr>
          <w:rFonts w:cs="Arial"/>
        </w:rPr>
        <w:t xml:space="preserve">also </w:t>
      </w:r>
      <w:r w:rsidR="00241AED" w:rsidRPr="0006184F">
        <w:rPr>
          <w:rFonts w:cs="Arial"/>
        </w:rPr>
        <w:t>test the effect of including feedback on whether the doctor has increased or decreased their prescri</w:t>
      </w:r>
      <w:r w:rsidR="00C615FD">
        <w:rPr>
          <w:rFonts w:cs="Arial"/>
        </w:rPr>
        <w:t>ption</w:t>
      </w:r>
      <w:r w:rsidR="00241AED" w:rsidRPr="0006184F">
        <w:rPr>
          <w:rFonts w:cs="Arial"/>
        </w:rPr>
        <w:t xml:space="preserve"> rates over time.</w:t>
      </w:r>
      <w:r w:rsidR="007761C2">
        <w:br w:type="page"/>
      </w:r>
    </w:p>
    <w:p w14:paraId="4295DFFB" w14:textId="3F0E3B42" w:rsidR="007761C2" w:rsidRDefault="007761C2" w:rsidP="007761C2">
      <w:pPr>
        <w:pStyle w:val="Heading1"/>
      </w:pPr>
      <w:r>
        <w:lastRenderedPageBreak/>
        <w:t>Appendi</w:t>
      </w:r>
      <w:r w:rsidR="00CD5F9D">
        <w:t>x</w:t>
      </w:r>
    </w:p>
    <w:p w14:paraId="38AF6D5D" w14:textId="77777777" w:rsidR="00CD5F9D" w:rsidRDefault="00CD5F9D" w:rsidP="003056CC">
      <w:r>
        <w:t>The details of the letters we sent, the trial design, and trial limitations are set out in the initial report (Australian Government 2018). This Appendix:</w:t>
      </w:r>
    </w:p>
    <w:p w14:paraId="3A1A943A" w14:textId="2276053C" w:rsidR="00CD5F9D" w:rsidRDefault="00CD5F9D" w:rsidP="00CD5F9D">
      <w:pPr>
        <w:pStyle w:val="ListParagraph"/>
        <w:numPr>
          <w:ilvl w:val="0"/>
          <w:numId w:val="32"/>
        </w:numPr>
      </w:pPr>
      <w:r>
        <w:t>reviews some key points from the trial design</w:t>
      </w:r>
      <w:r w:rsidR="005B578E">
        <w:t>,</w:t>
      </w:r>
    </w:p>
    <w:p w14:paraId="66A6A631" w14:textId="04162DE0" w:rsidR="00CD5F9D" w:rsidRDefault="005B578E" w:rsidP="00CD5F9D">
      <w:pPr>
        <w:pStyle w:val="ListParagraph"/>
        <w:numPr>
          <w:ilvl w:val="0"/>
          <w:numId w:val="32"/>
        </w:numPr>
      </w:pPr>
      <w:r>
        <w:t xml:space="preserve">details </w:t>
      </w:r>
      <w:r w:rsidR="00CD5F9D">
        <w:t xml:space="preserve">one </w:t>
      </w:r>
      <w:r>
        <w:t>further limitation that emerged in the re-analysis undertaken for this report, and</w:t>
      </w:r>
    </w:p>
    <w:p w14:paraId="7BF6FC1A" w14:textId="0059A1A1" w:rsidR="00CD5F9D" w:rsidRDefault="00CD5F9D" w:rsidP="00CD5F9D">
      <w:pPr>
        <w:pStyle w:val="ListParagraph"/>
        <w:numPr>
          <w:ilvl w:val="0"/>
          <w:numId w:val="32"/>
        </w:numPr>
      </w:pPr>
      <w:r>
        <w:t xml:space="preserve">presents the statistical tables underlying the </w:t>
      </w:r>
      <w:r w:rsidR="008B193B">
        <w:t>‘</w:t>
      </w:r>
      <w:r>
        <w:t xml:space="preserve">Results </w:t>
      </w:r>
      <w:r w:rsidR="008B193B">
        <w:t xml:space="preserve">over time’ </w:t>
      </w:r>
      <w:r>
        <w:t>section</w:t>
      </w:r>
    </w:p>
    <w:p w14:paraId="7DA87154" w14:textId="178C7FAB" w:rsidR="00CD5F9D" w:rsidRPr="007D0756" w:rsidRDefault="00CD5F9D" w:rsidP="00CD5F9D">
      <w:pPr>
        <w:pStyle w:val="Heading2"/>
        <w:rPr>
          <w:color w:val="2C276C" w:themeColor="accent1"/>
        </w:rPr>
      </w:pPr>
      <w:r>
        <w:rPr>
          <w:color w:val="2C276C" w:themeColor="accent1"/>
        </w:rPr>
        <w:t>Trial design</w:t>
      </w:r>
    </w:p>
    <w:p w14:paraId="0F025B44" w14:textId="19CD2D6F" w:rsidR="00F573FD" w:rsidRDefault="00D12B6F" w:rsidP="003056CC">
      <w:r>
        <w:t>We conducted a cluster</w:t>
      </w:r>
      <w:r w:rsidR="00700298">
        <w:t xml:space="preserve"> </w:t>
      </w:r>
      <w:r>
        <w:t xml:space="preserve">randomised </w:t>
      </w:r>
      <w:r w:rsidR="00700298">
        <w:t xml:space="preserve">controlled </w:t>
      </w:r>
      <w:r>
        <w:t>trial. The</w:t>
      </w:r>
      <w:r w:rsidR="00F573FD">
        <w:t xml:space="preserve"> trial was approved through BETA’s ethics process following guidelines outlined in the </w:t>
      </w:r>
      <w:r w:rsidR="00F573FD">
        <w:rPr>
          <w:i/>
        </w:rPr>
        <w:t xml:space="preserve">National Statement on Ethical Conduct in Human Research </w:t>
      </w:r>
      <w:r w:rsidR="00F573FD" w:rsidRPr="00AF39B2">
        <w:t xml:space="preserve">and </w:t>
      </w:r>
      <w:r w:rsidR="00F573FD">
        <w:t>preregistered on BETA’s website and the American Economic Association trial registry.</w:t>
      </w:r>
    </w:p>
    <w:p w14:paraId="4D498C95" w14:textId="27C9A820" w:rsidR="002770A1" w:rsidRDefault="002770A1" w:rsidP="003056CC">
      <w:r>
        <w:t>The units of randomisation (clusters) were clinics containing GPs who were ‘high prescribers’ relative to other GPs in their region</w:t>
      </w:r>
      <w:r w:rsidR="00D12B6F">
        <w:t>. When selecting the trial sample, t</w:t>
      </w:r>
      <w:r w:rsidRPr="002770A1">
        <w:t>her</w:t>
      </w:r>
      <w:r>
        <w:t>e was a small number of GPs</w:t>
      </w:r>
      <w:r w:rsidRPr="002770A1">
        <w:t xml:space="preserve"> with </w:t>
      </w:r>
      <w:r w:rsidR="00D12B6F">
        <w:t>prescri</w:t>
      </w:r>
      <w:r w:rsidR="00C615FD">
        <w:t>ption</w:t>
      </w:r>
      <w:r w:rsidR="00D12B6F">
        <w:t xml:space="preserve"> rates </w:t>
      </w:r>
      <w:r w:rsidRPr="002770A1">
        <w:t>well above the average prescription rate</w:t>
      </w:r>
      <w:r>
        <w:t xml:space="preserve">. </w:t>
      </w:r>
      <w:r w:rsidRPr="002770A1">
        <w:t xml:space="preserve">To deal with this, we removed the top </w:t>
      </w:r>
      <w:r w:rsidR="00D12B6F">
        <w:t>two</w:t>
      </w:r>
      <w:r w:rsidRPr="002770A1">
        <w:t xml:space="preserve"> per cent of prescribers.</w:t>
      </w:r>
      <w:r>
        <w:t xml:space="preserve"> After this exclusion, we selected the top 30</w:t>
      </w:r>
      <w:r w:rsidR="001220ED">
        <w:t> per cent</w:t>
      </w:r>
      <w:r>
        <w:t xml:space="preserve"> of remaining GPs for inclusion in the trial.</w:t>
      </w:r>
      <w:r w:rsidR="00AF121D">
        <w:t xml:space="preserve"> </w:t>
      </w:r>
      <w:r>
        <w:t xml:space="preserve">The GPs in clusters assigned to treatments received individually addressed letters. </w:t>
      </w:r>
      <w:r w:rsidR="00AF121D">
        <w:t>Letters were</w:t>
      </w:r>
      <w:r>
        <w:t xml:space="preserve"> sent to GPs on 9 June 2017.</w:t>
      </w:r>
    </w:p>
    <w:p w14:paraId="531BA829" w14:textId="4D98FE06" w:rsidR="00CD5F9D" w:rsidDel="002770A1" w:rsidRDefault="00AF121D" w:rsidP="003056CC">
      <w:r>
        <w:t>The data used in this report measures the</w:t>
      </w:r>
      <w:r w:rsidR="002770A1">
        <w:t xml:space="preserve"> number of antibiotic scripts prescribed by GPs that were taken to a pharmacy and filled</w:t>
      </w:r>
      <w:r>
        <w:t>. We focused</w:t>
      </w:r>
      <w:r w:rsidR="002770A1">
        <w:t xml:space="preserve"> on eight commonly prescribed antibiotics. As the number of consults delivered by GPs varies and affects the number of prescriptions, we </w:t>
      </w:r>
      <w:r>
        <w:t>report our outcome as</w:t>
      </w:r>
      <w:r w:rsidR="002770A1">
        <w:t xml:space="preserve"> the number of antibiotic scripts filled per 1,000 consults for each GP. </w:t>
      </w:r>
    </w:p>
    <w:p w14:paraId="7140CC0C" w14:textId="77777777" w:rsidR="00CD5F9D" w:rsidRPr="007D0756" w:rsidRDefault="00CD5F9D" w:rsidP="00CD5F9D">
      <w:pPr>
        <w:pStyle w:val="Heading2"/>
        <w:rPr>
          <w:color w:val="2C276C" w:themeColor="accent1"/>
        </w:rPr>
      </w:pPr>
      <w:r>
        <w:rPr>
          <w:color w:val="2C276C" w:themeColor="accent1"/>
        </w:rPr>
        <w:t>Limitations</w:t>
      </w:r>
    </w:p>
    <w:p w14:paraId="5DE0DFA5" w14:textId="4AF65F53" w:rsidR="00CD5F9D" w:rsidRDefault="00CD5F9D" w:rsidP="00CD5F9D">
      <w:r>
        <w:t>The six</w:t>
      </w:r>
      <w:r w:rsidR="001220ED">
        <w:noBreakHyphen/>
      </w:r>
      <w:r>
        <w:t>month results</w:t>
      </w:r>
      <w:r w:rsidRPr="00CF47FB">
        <w:t xml:space="preserve"> </w:t>
      </w:r>
      <w:r>
        <w:t xml:space="preserve">in this report </w:t>
      </w:r>
      <w:r w:rsidRPr="00CF47FB">
        <w:t>are slightly different from the results presented in the first report.</w:t>
      </w:r>
      <w:r>
        <w:t xml:space="preserve"> This is due to the dynamic nature of </w:t>
      </w:r>
      <w:r w:rsidR="00700298">
        <w:t xml:space="preserve">Medicare Benefits </w:t>
      </w:r>
      <w:r w:rsidR="008B193B">
        <w:t>Schedule</w:t>
      </w:r>
      <w:r w:rsidR="00700298">
        <w:t xml:space="preserve"> (</w:t>
      </w:r>
      <w:r>
        <w:t>MBS</w:t>
      </w:r>
      <w:r w:rsidR="00700298">
        <w:t>)</w:t>
      </w:r>
      <w:r>
        <w:t xml:space="preserve"> and </w:t>
      </w:r>
      <w:r w:rsidR="00700298">
        <w:t>Pharmaceutical Benefits Scheme (</w:t>
      </w:r>
      <w:r>
        <w:t>PBS</w:t>
      </w:r>
      <w:r w:rsidR="00700298">
        <w:t>)</w:t>
      </w:r>
      <w:r>
        <w:t xml:space="preserve"> data. </w:t>
      </w:r>
      <w:r w:rsidRPr="003E4A3C">
        <w:t>As MBS and PBS claims can be submitted and adjusted any time after delivery of the service, there is often a period of delay between the date of service and date of processing and/or date of lodgement. Analysis has shown 98 per cent of claims for MBS and PBS are received within 90</w:t>
      </w:r>
      <w:r w:rsidR="001220ED">
        <w:t> </w:t>
      </w:r>
      <w:r w:rsidRPr="003E4A3C">
        <w:t xml:space="preserve">days following the date of service. For completeness of the dataset, analysis should only be conducted three months following the date of service. </w:t>
      </w:r>
    </w:p>
    <w:p w14:paraId="1EF1029A" w14:textId="77777777" w:rsidR="00D12B6F" w:rsidRDefault="00D12B6F">
      <w:pPr>
        <w:spacing w:before="0" w:after="0" w:line="240" w:lineRule="auto"/>
        <w:rPr>
          <w:rFonts w:asciiTheme="majorHAnsi" w:hAnsiTheme="majorHAnsi"/>
          <w:b/>
          <w:color w:val="2C276C" w:themeColor="accent1"/>
          <w:sz w:val="24"/>
          <w:szCs w:val="44"/>
        </w:rPr>
      </w:pPr>
      <w:r>
        <w:rPr>
          <w:color w:val="2C276C" w:themeColor="accent1"/>
        </w:rPr>
        <w:br w:type="page"/>
      </w:r>
    </w:p>
    <w:p w14:paraId="5814F21A" w14:textId="50BA879A" w:rsidR="005B578E" w:rsidRDefault="005B578E" w:rsidP="005B578E">
      <w:pPr>
        <w:pStyle w:val="Heading2"/>
        <w:rPr>
          <w:color w:val="2C276C" w:themeColor="accent1"/>
        </w:rPr>
      </w:pPr>
      <w:r>
        <w:rPr>
          <w:color w:val="2C276C" w:themeColor="accent1"/>
        </w:rPr>
        <w:lastRenderedPageBreak/>
        <w:t>Statistical tables</w:t>
      </w:r>
    </w:p>
    <w:p w14:paraId="4AAE82E2" w14:textId="656770A8" w:rsidR="009A3DDA" w:rsidRDefault="00D12B6F" w:rsidP="00D12B6F">
      <w:pPr>
        <w:pStyle w:val="FigureHeading"/>
      </w:pPr>
      <w:bookmarkStart w:id="7" w:name="_Ref514068253"/>
      <w:r w:rsidRPr="00DD29B8">
        <w:t xml:space="preserve">Table </w:t>
      </w:r>
      <w:bookmarkEnd w:id="7"/>
      <w:r w:rsidR="00551326">
        <w:rPr>
          <w:noProof/>
        </w:rPr>
        <w:t>1</w:t>
      </w:r>
      <w:r w:rsidRPr="00DD29B8">
        <w:t xml:space="preserve">: </w:t>
      </w:r>
      <w:r w:rsidR="008348DB">
        <w:t>P</w:t>
      </w:r>
      <w:r w:rsidR="009A3DDA">
        <w:t>rescription rates</w:t>
      </w:r>
      <w:r w:rsidR="008348DB">
        <w:t xml:space="preserve"> pooled over six and twelve months</w:t>
      </w:r>
    </w:p>
    <w:p w14:paraId="1D494770" w14:textId="7F0B4512" w:rsidR="00D12B6F" w:rsidRPr="00DD29B8" w:rsidRDefault="009A3DDA" w:rsidP="00D31FF6">
      <w:pPr>
        <w:pStyle w:val="FigureHeading"/>
        <w:spacing w:line="560" w:lineRule="atLeast"/>
      </w:pPr>
      <w:r>
        <w:t>Pooled over twelve months</w:t>
      </w:r>
      <w:r w:rsidR="00D12B6F" w:rsidRPr="00DD29B8">
        <w:t xml:space="preserve"> </w:t>
      </w:r>
      <w:r w:rsidR="00D12B6F" w:rsidRPr="00DD29B8">
        <w:tab/>
      </w:r>
    </w:p>
    <w:tbl>
      <w:tblPr>
        <w:tblStyle w:val="DefaultTable"/>
        <w:tblW w:w="8926"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709"/>
        <w:gridCol w:w="1559"/>
        <w:gridCol w:w="2127"/>
        <w:gridCol w:w="1417"/>
        <w:gridCol w:w="1418"/>
      </w:tblGrid>
      <w:tr w:rsidR="00C3709A" w:rsidRPr="009041AF" w14:paraId="576B91DB" w14:textId="77777777" w:rsidTr="00CB5C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1F4651E1" w14:textId="77777777" w:rsidR="00C3709A" w:rsidRPr="00E443FB" w:rsidRDefault="00C3709A" w:rsidP="00530BC4">
            <w:pPr>
              <w:spacing w:before="0" w:after="0" w:line="240" w:lineRule="auto"/>
              <w:rPr>
                <w:rFonts w:cstheme="minorHAnsi"/>
                <w:sz w:val="18"/>
                <w:szCs w:val="20"/>
              </w:rPr>
            </w:pPr>
          </w:p>
        </w:tc>
        <w:tc>
          <w:tcPr>
            <w:tcW w:w="70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67BFF56F" w14:textId="1670659B" w:rsidR="00C3709A" w:rsidRPr="00E443FB" w:rsidRDefault="00CB5C8E"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i/>
                <w:color w:val="FFFFFF" w:themeColor="background1"/>
                <w:sz w:val="18"/>
                <w:szCs w:val="20"/>
              </w:rPr>
            </w:pPr>
            <w:r>
              <w:rPr>
                <w:rFonts w:cstheme="minorHAnsi"/>
                <w:i/>
                <w:color w:val="FFFFFF" w:themeColor="background1"/>
                <w:sz w:val="18"/>
                <w:szCs w:val="20"/>
              </w:rPr>
              <w:t>n</w:t>
            </w:r>
          </w:p>
        </w:tc>
        <w:tc>
          <w:tcPr>
            <w:tcW w:w="155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4A379537" w14:textId="4300466C" w:rsidR="00C3709A" w:rsidRPr="00E443FB" w:rsidRDefault="00CB5C8E" w:rsidP="00CB5C8E">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Scripts per 1,000 consults (mean)</w:t>
            </w:r>
          </w:p>
        </w:tc>
        <w:tc>
          <w:tcPr>
            <w:tcW w:w="212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51643C6A" w14:textId="3A62FA99" w:rsidR="00C3709A" w:rsidRPr="00E443FB" w:rsidRDefault="00C3709A"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sidR="00A444AD">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vAlign w:val="center"/>
          </w:tcPr>
          <w:p w14:paraId="0D6E9BC2" w14:textId="77777777" w:rsidR="00C3709A" w:rsidRPr="00E443FB" w:rsidRDefault="00C3709A"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p-value</w:t>
            </w:r>
          </w:p>
        </w:tc>
        <w:tc>
          <w:tcPr>
            <w:tcW w:w="1418"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675A0E82" w14:textId="04EE83C4" w:rsidR="00C3709A" w:rsidRPr="00E443FB" w:rsidRDefault="00C3709A"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C3709A">
              <w:rPr>
                <w:rFonts w:cstheme="minorHAnsi"/>
                <w:color w:val="FFFFFF" w:themeColor="background1"/>
                <w:sz w:val="18"/>
                <w:szCs w:val="20"/>
              </w:rPr>
              <w:t>Percent change from control</w:t>
            </w:r>
          </w:p>
        </w:tc>
      </w:tr>
      <w:tr w:rsidR="00C3709A" w:rsidRPr="009041AF" w14:paraId="50A94C0A"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54C752ED" w14:textId="00DF89BF" w:rsidR="00C3709A" w:rsidRPr="00DD29B8" w:rsidRDefault="00C3709A" w:rsidP="00D96F15">
            <w:pPr>
              <w:spacing w:before="0" w:after="0" w:line="240" w:lineRule="auto"/>
              <w:rPr>
                <w:rFonts w:cstheme="minorHAnsi"/>
                <w:b/>
                <w:color w:val="3F3F3F"/>
                <w:sz w:val="18"/>
                <w:szCs w:val="20"/>
              </w:rPr>
            </w:pPr>
            <w:r w:rsidRPr="00DD29B8">
              <w:rPr>
                <w:rFonts w:cstheme="minorHAnsi"/>
                <w:b/>
                <w:color w:val="3F3F3F"/>
                <w:sz w:val="18"/>
                <w:szCs w:val="20"/>
              </w:rPr>
              <w:t xml:space="preserve">Control </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7DC53C2A" w14:textId="643E94F3" w:rsidR="00C3709A" w:rsidRPr="00D96F15" w:rsidRDefault="00703A4C"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1,335</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2A210F2" w14:textId="2B5CFE64"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98.5</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6E70C6CA" w14:textId="1DE6A276"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7871A08"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14FE9F6B"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r>
      <w:tr w:rsidR="00651C0C" w:rsidRPr="009041AF" w14:paraId="2B526139"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9D6EFA2" w14:textId="2E92B90B"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Education-only</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15B3BEB8" w14:textId="4ABE66D1"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1,306</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2BA85A68" w14:textId="46DD2493"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95.6</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4A11F25" w14:textId="09181285"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-2.9 (-5.5 to -0.3)</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6434C6B3" w14:textId="22ECB2E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0.028</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57B7AF65" w14:textId="0E761EE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-3</w:t>
            </w:r>
            <w:r w:rsidR="00DD15C8">
              <w:rPr>
                <w:rFonts w:cstheme="minorHAnsi"/>
                <w:color w:val="auto"/>
                <w:sz w:val="18"/>
                <w:szCs w:val="18"/>
              </w:rPr>
              <w:t>.0</w:t>
            </w:r>
            <w:r w:rsidRPr="00D96F15">
              <w:rPr>
                <w:rFonts w:cstheme="minorHAnsi"/>
                <w:color w:val="auto"/>
                <w:sz w:val="18"/>
                <w:szCs w:val="18"/>
              </w:rPr>
              <w:t>%</w:t>
            </w:r>
          </w:p>
        </w:tc>
      </w:tr>
      <w:tr w:rsidR="00651C0C" w:rsidRPr="009041AF" w14:paraId="39B7CD93"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1268897F" w14:textId="393F3899"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Education with peer comparison</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4F6F930B" w14:textId="7D41B6E1"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1,300</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0668F8E6" w14:textId="68C74CE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90.3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4213240" w14:textId="2660ADCE"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-8.3 (-11 to -5.6)</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0891788D" w14:textId="03E49FFC"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FCA6EA5" w14:textId="591FF08A"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-8.4%</w:t>
            </w:r>
          </w:p>
        </w:tc>
      </w:tr>
      <w:tr w:rsidR="00651C0C" w:rsidRPr="009041AF" w14:paraId="3DB130AF"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B56585E" w14:textId="5874C7D3"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Peer comparison</w:t>
            </w:r>
            <w:r w:rsidRPr="00DD29B8" w:rsidDel="00B20C36">
              <w:rPr>
                <w:rFonts w:cstheme="minorHAnsi"/>
                <w:b/>
                <w:color w:val="3F3F3F"/>
                <w:sz w:val="18"/>
                <w:szCs w:val="20"/>
              </w:rPr>
              <w:t xml:space="preserve"> </w:t>
            </w:r>
            <w:r w:rsidRPr="00DD29B8">
              <w:rPr>
                <w:rFonts w:cstheme="minorHAnsi"/>
                <w:b/>
                <w:color w:val="3F3F3F"/>
                <w:sz w:val="18"/>
                <w:szCs w:val="20"/>
              </w:rPr>
              <w:t xml:space="preserve"> with delayed prescribing</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1A88F16E" w14:textId="6413FCBB"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1,341</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2A2D64A" w14:textId="1F83EF5D"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89.7</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C0399BF" w14:textId="2C2DDD1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-8.8 (-11.6 to -6</w:t>
            </w:r>
            <w:r w:rsidR="00DD15C8">
              <w:rPr>
                <w:rFonts w:cstheme="minorHAnsi"/>
                <w:color w:val="auto"/>
                <w:sz w:val="18"/>
                <w:szCs w:val="18"/>
              </w:rPr>
              <w:t>.0</w:t>
            </w:r>
            <w:r w:rsidRPr="00D96F15">
              <w:rPr>
                <w:rFonts w:cstheme="minorHAnsi"/>
                <w:color w:val="auto"/>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8BA7FBE" w14:textId="0D93BFA7"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05C37472" w14:textId="04040EFA"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w:t>
            </w:r>
          </w:p>
        </w:tc>
      </w:tr>
      <w:tr w:rsidR="00651C0C" w:rsidRPr="009041AF" w14:paraId="3E77E2F9"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1A58656" w14:textId="3FB2C92E"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Peer comparison</w:t>
            </w:r>
            <w:r w:rsidRPr="00DD29B8" w:rsidDel="00B20C36">
              <w:rPr>
                <w:rFonts w:cstheme="minorHAnsi"/>
                <w:b/>
                <w:color w:val="3F3F3F"/>
                <w:sz w:val="18"/>
                <w:szCs w:val="20"/>
              </w:rPr>
              <w:t xml:space="preserve"> </w:t>
            </w:r>
            <w:r w:rsidRPr="00DD29B8">
              <w:rPr>
                <w:rFonts w:cstheme="minorHAnsi"/>
                <w:b/>
                <w:color w:val="3F3F3F"/>
                <w:sz w:val="18"/>
                <w:szCs w:val="20"/>
              </w:rPr>
              <w:t xml:space="preserve"> with graph</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61F6623" w14:textId="4CCF3DC4"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1,326</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0D9E1ED7" w14:textId="238278C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611D495" w14:textId="38C66C92"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-9.3 (-12.3 to -6.2)</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5150DA0" w14:textId="56B1DD0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3B8A77D" w14:textId="354317A2"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-9.4%</w:t>
            </w:r>
          </w:p>
        </w:tc>
      </w:tr>
      <w:tr w:rsidR="00C3709A" w:rsidRPr="009041AF" w14:paraId="7F96E010"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EAE3D7" w:themeFill="accent4" w:themeFillTint="33"/>
            <w:noWrap/>
            <w:vAlign w:val="center"/>
          </w:tcPr>
          <w:p w14:paraId="42DA16F1" w14:textId="031D239A" w:rsidR="00C3709A" w:rsidRPr="00DD29B8" w:rsidRDefault="00C3709A" w:rsidP="00D96F15">
            <w:pPr>
              <w:spacing w:before="0" w:after="0" w:line="240" w:lineRule="auto"/>
              <w:rPr>
                <w:rFonts w:cstheme="minorHAnsi"/>
                <w:b/>
                <w:color w:val="3F3F3F"/>
                <w:sz w:val="18"/>
                <w:szCs w:val="20"/>
              </w:rPr>
            </w:pPr>
            <w:r>
              <w:rPr>
                <w:rFonts w:cstheme="minorHAnsi"/>
                <w:b/>
                <w:color w:val="3F3F3F"/>
                <w:sz w:val="18"/>
                <w:szCs w:val="20"/>
              </w:rPr>
              <w:t>Three peer comparison letters combined</w:t>
            </w:r>
          </w:p>
        </w:tc>
        <w:tc>
          <w:tcPr>
            <w:tcW w:w="709" w:type="dxa"/>
            <w:tcBorders>
              <w:top w:val="single" w:sz="4" w:space="0" w:color="142E3A" w:themeColor="text2"/>
              <w:bottom w:val="single" w:sz="4" w:space="0" w:color="142E3A" w:themeColor="text2"/>
            </w:tcBorders>
            <w:shd w:val="clear" w:color="auto" w:fill="EAE3D7" w:themeFill="accent4" w:themeFillTint="33"/>
            <w:noWrap/>
            <w:vAlign w:val="center"/>
          </w:tcPr>
          <w:p w14:paraId="43AF056D" w14:textId="3AAB100F" w:rsidR="00C3709A" w:rsidRPr="00D96F15" w:rsidRDefault="00DD15C8" w:rsidP="00DD15C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3,967</w:t>
            </w:r>
          </w:p>
        </w:tc>
        <w:tc>
          <w:tcPr>
            <w:tcW w:w="1559" w:type="dxa"/>
            <w:tcBorders>
              <w:top w:val="single" w:sz="4" w:space="0" w:color="142E3A" w:themeColor="text2"/>
              <w:bottom w:val="single" w:sz="4" w:space="0" w:color="142E3A" w:themeColor="text2"/>
            </w:tcBorders>
            <w:shd w:val="clear" w:color="auto" w:fill="EAE3D7" w:themeFill="accent4" w:themeFillTint="33"/>
            <w:noWrap/>
            <w:vAlign w:val="center"/>
          </w:tcPr>
          <w:p w14:paraId="2C6FF353" w14:textId="6C3A5E3E" w:rsidR="00C3709A"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89.8</w:t>
            </w:r>
          </w:p>
        </w:tc>
        <w:tc>
          <w:tcPr>
            <w:tcW w:w="2127" w:type="dxa"/>
            <w:tcBorders>
              <w:top w:val="single" w:sz="4" w:space="0" w:color="142E3A" w:themeColor="text2"/>
              <w:bottom w:val="single" w:sz="4" w:space="0" w:color="142E3A" w:themeColor="text2"/>
            </w:tcBorders>
            <w:shd w:val="clear" w:color="auto" w:fill="EAE3D7" w:themeFill="accent4" w:themeFillTint="33"/>
            <w:noWrap/>
            <w:vAlign w:val="center"/>
          </w:tcPr>
          <w:p w14:paraId="1A1E3711" w14:textId="77777777" w:rsidR="00E53DAF"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-8.8 (-11.1 to -6.5)</w:t>
            </w:r>
          </w:p>
          <w:p w14:paraId="5DD690FD"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EAE3D7" w:themeFill="accent4" w:themeFillTint="33"/>
            <w:vAlign w:val="center"/>
          </w:tcPr>
          <w:p w14:paraId="0B8531F3" w14:textId="7A0428A1" w:rsidR="00C3709A" w:rsidRPr="00D96F15" w:rsidRDefault="00651C0C"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EAE3D7" w:themeFill="accent4" w:themeFillTint="33"/>
            <w:noWrap/>
            <w:vAlign w:val="center"/>
          </w:tcPr>
          <w:p w14:paraId="0FD9EA4F" w14:textId="709D62F9" w:rsidR="00C3709A"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-9.0%</w:t>
            </w:r>
          </w:p>
        </w:tc>
      </w:tr>
    </w:tbl>
    <w:p w14:paraId="37FAAE70" w14:textId="533A22E9" w:rsidR="00F51B07" w:rsidRDefault="005C32F0" w:rsidP="005C32F0">
      <w:pPr>
        <w:pStyle w:val="SourceNotesText"/>
      </w:pPr>
      <w:r w:rsidRPr="00052946">
        <w:t xml:space="preserve">Note: Means and treatment effects are </w:t>
      </w:r>
      <w:r w:rsidR="008B193B">
        <w:t xml:space="preserve">measured </w:t>
      </w:r>
      <w:r>
        <w:t xml:space="preserve">in </w:t>
      </w:r>
      <w:r w:rsidRPr="00052946">
        <w:t xml:space="preserve">scripts filled per 1,000 consults. </w:t>
      </w:r>
      <w:proofErr w:type="gramStart"/>
      <w:r w:rsidRPr="00E7475A">
        <w:rPr>
          <w:i/>
        </w:rPr>
        <w:t>n</w:t>
      </w:r>
      <w:proofErr w:type="gramEnd"/>
      <w:r w:rsidRPr="00052946">
        <w:t xml:space="preserve"> is the group sample size taking into account exclusions and missing data. Adjusted </w:t>
      </w:r>
      <w:r>
        <w:t>means, treatment estimates, 95 per cent </w:t>
      </w:r>
      <w:r w:rsidR="008B193B">
        <w:t>confidence interval (</w:t>
      </w:r>
      <w:r>
        <w:t>CI</w:t>
      </w:r>
      <w:r w:rsidR="008B193B">
        <w:t>)</w:t>
      </w:r>
      <w:r w:rsidRPr="00052946">
        <w:t xml:space="preserve"> and p-value are from a linear regression model adjusted for GPs</w:t>
      </w:r>
      <w:r>
        <w:t>’</w:t>
      </w:r>
      <w:r w:rsidRPr="00052946">
        <w:t xml:space="preserve"> previous prescription </w:t>
      </w:r>
      <w:r w:rsidRPr="005C32F0">
        <w:t>rate</w:t>
      </w:r>
      <w:r w:rsidRPr="00052946">
        <w:t xml:space="preserve">, age and sex. </w:t>
      </w:r>
      <w:r>
        <w:t xml:space="preserve">We used </w:t>
      </w:r>
      <w:r w:rsidRPr="00052946">
        <w:t xml:space="preserve">robust standard errors </w:t>
      </w:r>
      <w:r>
        <w:t xml:space="preserve">(CR2) </w:t>
      </w:r>
      <w:r w:rsidRPr="00052946">
        <w:t>with a degrees of freedom adjustment.</w:t>
      </w:r>
    </w:p>
    <w:p w14:paraId="06505DBD" w14:textId="2C7C4F4B" w:rsidR="00551326" w:rsidRPr="00DD29B8" w:rsidRDefault="009A3DDA" w:rsidP="00551326">
      <w:pPr>
        <w:pStyle w:val="FigureHeading"/>
      </w:pPr>
      <w:r>
        <w:t>Pooled over six months</w:t>
      </w:r>
    </w:p>
    <w:tbl>
      <w:tblPr>
        <w:tblStyle w:val="DefaultTable"/>
        <w:tblW w:w="8926"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709"/>
        <w:gridCol w:w="1559"/>
        <w:gridCol w:w="2127"/>
        <w:gridCol w:w="1417"/>
        <w:gridCol w:w="1418"/>
      </w:tblGrid>
      <w:tr w:rsidR="00F51B07" w:rsidRPr="009041AF" w14:paraId="2EDD830C" w14:textId="77777777" w:rsidTr="00CB5C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76FC312E" w14:textId="77777777" w:rsidR="00F51B07" w:rsidRPr="00E443FB" w:rsidRDefault="00F51B07" w:rsidP="00AD5A4D">
            <w:pPr>
              <w:spacing w:before="0" w:after="0" w:line="240" w:lineRule="auto"/>
              <w:rPr>
                <w:rFonts w:cstheme="minorHAnsi"/>
                <w:sz w:val="18"/>
                <w:szCs w:val="20"/>
              </w:rPr>
            </w:pPr>
          </w:p>
        </w:tc>
        <w:tc>
          <w:tcPr>
            <w:tcW w:w="70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43F7A912" w14:textId="7C9FA088" w:rsidR="00F51B07" w:rsidRPr="00E443FB" w:rsidRDefault="00CB5C8E"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i/>
                <w:color w:val="FFFFFF" w:themeColor="background1"/>
                <w:sz w:val="18"/>
                <w:szCs w:val="20"/>
              </w:rPr>
            </w:pPr>
            <w:r>
              <w:rPr>
                <w:rFonts w:cstheme="minorHAnsi"/>
                <w:i/>
                <w:color w:val="FFFFFF" w:themeColor="background1"/>
                <w:sz w:val="18"/>
                <w:szCs w:val="20"/>
              </w:rPr>
              <w:t>n</w:t>
            </w:r>
          </w:p>
        </w:tc>
        <w:tc>
          <w:tcPr>
            <w:tcW w:w="155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0F1DFF05" w14:textId="7722F29C" w:rsidR="00F51B07" w:rsidRPr="00E443FB" w:rsidRDefault="00CB5C8E" w:rsidP="00CB5C8E">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Scripts per 1,000 consults (mean)</w:t>
            </w:r>
          </w:p>
        </w:tc>
        <w:tc>
          <w:tcPr>
            <w:tcW w:w="212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0CCD1060" w14:textId="7987396D" w:rsidR="00F51B07" w:rsidRPr="00E443FB" w:rsidRDefault="00F51B07"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sidR="00A444AD">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vAlign w:val="center"/>
          </w:tcPr>
          <w:p w14:paraId="31F9F723" w14:textId="77777777" w:rsidR="00F51B07" w:rsidRPr="00E443FB" w:rsidRDefault="00F51B07"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p-value</w:t>
            </w:r>
          </w:p>
        </w:tc>
        <w:tc>
          <w:tcPr>
            <w:tcW w:w="1418"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5D8ABF66" w14:textId="77777777" w:rsidR="00F51B07" w:rsidRPr="00E443FB" w:rsidRDefault="00F51B07"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C3709A">
              <w:rPr>
                <w:rFonts w:cstheme="minorHAnsi"/>
                <w:color w:val="FFFFFF" w:themeColor="background1"/>
                <w:sz w:val="18"/>
                <w:szCs w:val="20"/>
              </w:rPr>
              <w:t>Percent change from control</w:t>
            </w:r>
          </w:p>
        </w:tc>
      </w:tr>
      <w:tr w:rsidR="008348DB" w:rsidRPr="009041AF" w14:paraId="7E1E575C"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2F938C8" w14:textId="777777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 xml:space="preserve">Control </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2E0406D5" w14:textId="1FA8DD59" w:rsidR="008348DB" w:rsidRPr="009503AA" w:rsidRDefault="00CB5C8E" w:rsidP="00A57EA6">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1,33</w:t>
            </w:r>
            <w:r w:rsidR="00A57EA6">
              <w:rPr>
                <w:rFonts w:cstheme="minorHAnsi"/>
                <w:color w:val="auto"/>
                <w:sz w:val="18"/>
                <w:szCs w:val="18"/>
              </w:rPr>
              <w:t>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6B86D95E" w14:textId="220B371C"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110</w:t>
            </w:r>
            <w:r w:rsidR="00DD15C8">
              <w:rPr>
                <w:rFonts w:cstheme="minorHAnsi"/>
                <w:sz w:val="18"/>
                <w:szCs w:val="18"/>
              </w:rPr>
              <w:t>.0</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2F4DE0A3"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9AF9FD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194A22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r>
      <w:tr w:rsidR="008348DB" w:rsidRPr="009041AF" w14:paraId="6E64402F"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6D0A5B68" w14:textId="2A8625C6"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Education-only</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41618FB4" w14:textId="1AE0EA79"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1,305</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56D2CE05" w14:textId="20B68F9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107.3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03689A7" w14:textId="1C806333" w:rsidR="008348DB" w:rsidRPr="009503AA" w:rsidRDefault="000D6703" w:rsidP="000D670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-2.7 (-5.7 to 0.3)</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74BC4D3" w14:textId="7E92379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30CAC7EB" w14:textId="48F48F05"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-2.4%</w:t>
            </w:r>
          </w:p>
        </w:tc>
      </w:tr>
      <w:tr w:rsidR="008348DB" w:rsidRPr="009041AF" w14:paraId="78B9C69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16FF45A9" w14:textId="108401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Education with peer comparison</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A201E2A" w14:textId="4173EF80"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1,302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D320CD3" w14:textId="5D8F96B4"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99.7</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2422ACC8" w14:textId="678394A4" w:rsidR="008348DB" w:rsidRPr="009503AA" w:rsidRDefault="000D6703"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-10.3 (-13.8 to -6.8)</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614B3BF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1E492FC1" w14:textId="3B8A2083"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-9.3%</w:t>
            </w:r>
          </w:p>
        </w:tc>
      </w:tr>
      <w:tr w:rsidR="008348DB" w:rsidRPr="009041AF" w14:paraId="09CE7410"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0A049A00" w14:textId="2D0707B1"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Peer comparison</w:t>
            </w:r>
            <w:r w:rsidRPr="009503AA" w:rsidDel="00B20C36">
              <w:rPr>
                <w:rFonts w:cstheme="minorHAnsi"/>
                <w:b/>
                <w:color w:val="3F3F3F"/>
                <w:sz w:val="18"/>
                <w:szCs w:val="18"/>
              </w:rPr>
              <w:t xml:space="preserve"> </w:t>
            </w:r>
            <w:r w:rsidRPr="009503AA">
              <w:rPr>
                <w:rFonts w:cstheme="minorHAnsi"/>
                <w:b/>
                <w:color w:val="3F3F3F"/>
                <w:sz w:val="18"/>
                <w:szCs w:val="18"/>
              </w:rPr>
              <w:t xml:space="preserve"> with delayed prescribing</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6D94B150" w14:textId="2ACC1F5D"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1,339</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7C63368E" w14:textId="46F1ECB9"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98.2</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530E664" w14:textId="335865F1" w:rsidR="008348DB" w:rsidRPr="009503AA" w:rsidRDefault="000D6703"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-11.8 (-14.7 to -8.9)</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40034718"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58CB4978" w14:textId="3968DBBB"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-10.7%</w:t>
            </w:r>
          </w:p>
        </w:tc>
      </w:tr>
      <w:tr w:rsidR="008348DB" w:rsidRPr="009041AF" w14:paraId="1B36DD3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04739C4" w14:textId="41249944"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Peer comparison</w:t>
            </w:r>
            <w:r w:rsidRPr="009503AA" w:rsidDel="00B20C36">
              <w:rPr>
                <w:rFonts w:cstheme="minorHAnsi"/>
                <w:b/>
                <w:color w:val="3F3F3F"/>
                <w:sz w:val="18"/>
                <w:szCs w:val="18"/>
              </w:rPr>
              <w:t xml:space="preserve"> </w:t>
            </w:r>
            <w:r w:rsidRPr="009503AA">
              <w:rPr>
                <w:rFonts w:cstheme="minorHAnsi"/>
                <w:b/>
                <w:color w:val="3F3F3F"/>
                <w:sz w:val="18"/>
                <w:szCs w:val="18"/>
              </w:rPr>
              <w:t xml:space="preserve"> with graph</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77FF7A2" w14:textId="4DDA720D"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1,322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634BDD1D" w14:textId="5F932AA3"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96.4</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06E8483" w14:textId="2C219DFC"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-13.6 (-16.6 to -10.7)</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ADE93C5"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27D7C1E9" w14:textId="1E1D9DE6"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-12.4%</w:t>
            </w:r>
          </w:p>
        </w:tc>
      </w:tr>
      <w:tr w:rsidR="008348DB" w:rsidRPr="009041AF" w14:paraId="56F6B51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EAE3D7" w:themeFill="accent4" w:themeFillTint="33"/>
            <w:noWrap/>
            <w:vAlign w:val="center"/>
          </w:tcPr>
          <w:p w14:paraId="22D14B18" w14:textId="777777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Three peer comparison letters combined</w:t>
            </w:r>
          </w:p>
        </w:tc>
        <w:tc>
          <w:tcPr>
            <w:tcW w:w="709" w:type="dxa"/>
            <w:tcBorders>
              <w:top w:val="single" w:sz="4" w:space="0" w:color="142E3A" w:themeColor="text2"/>
              <w:bottom w:val="single" w:sz="4" w:space="0" w:color="142E3A" w:themeColor="text2"/>
            </w:tcBorders>
            <w:shd w:val="clear" w:color="auto" w:fill="EAE3D7" w:themeFill="accent4" w:themeFillTint="33"/>
            <w:noWrap/>
            <w:vAlign w:val="center"/>
          </w:tcPr>
          <w:p w14:paraId="523A8F77" w14:textId="693CD4A1"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3,963</w:t>
            </w:r>
          </w:p>
        </w:tc>
        <w:tc>
          <w:tcPr>
            <w:tcW w:w="1559" w:type="dxa"/>
            <w:tcBorders>
              <w:top w:val="single" w:sz="4" w:space="0" w:color="142E3A" w:themeColor="text2"/>
              <w:bottom w:val="single" w:sz="4" w:space="0" w:color="142E3A" w:themeColor="text2"/>
            </w:tcBorders>
            <w:shd w:val="clear" w:color="auto" w:fill="EAE3D7" w:themeFill="accent4" w:themeFillTint="33"/>
            <w:noWrap/>
            <w:vAlign w:val="center"/>
          </w:tcPr>
          <w:p w14:paraId="2B9EA777" w14:textId="35ED1EA9"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98.1</w:t>
            </w:r>
          </w:p>
        </w:tc>
        <w:tc>
          <w:tcPr>
            <w:tcW w:w="2127" w:type="dxa"/>
            <w:tcBorders>
              <w:top w:val="single" w:sz="4" w:space="0" w:color="142E3A" w:themeColor="text2"/>
              <w:bottom w:val="single" w:sz="4" w:space="0" w:color="142E3A" w:themeColor="text2"/>
            </w:tcBorders>
            <w:shd w:val="clear" w:color="auto" w:fill="EAE3D7" w:themeFill="accent4" w:themeFillTint="33"/>
            <w:noWrap/>
            <w:vAlign w:val="center"/>
          </w:tcPr>
          <w:p w14:paraId="7C44DF22" w14:textId="1437ECAF"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-12</w:t>
            </w:r>
            <w:r w:rsidR="00DD15C8">
              <w:rPr>
                <w:rFonts w:cstheme="minorHAnsi"/>
                <w:color w:val="auto"/>
                <w:sz w:val="18"/>
                <w:szCs w:val="18"/>
              </w:rPr>
              <w:t>.0</w:t>
            </w:r>
            <w:r w:rsidRPr="009503AA">
              <w:rPr>
                <w:rFonts w:cstheme="minorHAnsi"/>
                <w:color w:val="auto"/>
                <w:sz w:val="18"/>
                <w:szCs w:val="18"/>
              </w:rPr>
              <w:t xml:space="preserve"> (-14.5 to -9.4)</w:t>
            </w:r>
          </w:p>
        </w:tc>
        <w:tc>
          <w:tcPr>
            <w:tcW w:w="1417" w:type="dxa"/>
            <w:tcBorders>
              <w:top w:val="single" w:sz="4" w:space="0" w:color="142E3A" w:themeColor="text2"/>
              <w:bottom w:val="single" w:sz="4" w:space="0" w:color="142E3A" w:themeColor="text2"/>
            </w:tcBorders>
            <w:shd w:val="clear" w:color="auto" w:fill="EAE3D7" w:themeFill="accent4" w:themeFillTint="33"/>
            <w:vAlign w:val="center"/>
          </w:tcPr>
          <w:p w14:paraId="7931048D"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EAE3D7" w:themeFill="accent4" w:themeFillTint="33"/>
            <w:noWrap/>
            <w:vAlign w:val="center"/>
          </w:tcPr>
          <w:p w14:paraId="68887B7F" w14:textId="5B373352"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-10.9%</w:t>
            </w:r>
          </w:p>
        </w:tc>
      </w:tr>
    </w:tbl>
    <w:p w14:paraId="08D469BF" w14:textId="02435719" w:rsidR="00551326" w:rsidRPr="00052946" w:rsidRDefault="00551326" w:rsidP="00551326">
      <w:pPr>
        <w:pStyle w:val="SourceNotesText"/>
      </w:pPr>
      <w:r w:rsidRPr="00052946">
        <w:t xml:space="preserve">Note: Means and treatment effects are </w:t>
      </w:r>
      <w:r w:rsidR="008B193B">
        <w:t xml:space="preserve">measured </w:t>
      </w:r>
      <w:r>
        <w:t xml:space="preserve">in </w:t>
      </w:r>
      <w:r w:rsidRPr="00052946">
        <w:t xml:space="preserve">scripts filled per 1,000 consults. </w:t>
      </w:r>
      <w:proofErr w:type="gramStart"/>
      <w:r w:rsidRPr="00052946">
        <w:rPr>
          <w:i/>
        </w:rPr>
        <w:t>n</w:t>
      </w:r>
      <w:proofErr w:type="gramEnd"/>
      <w:r w:rsidRPr="00052946">
        <w:t xml:space="preserve"> is the group sample size taking into account exclusions and missing data. Adjusted </w:t>
      </w:r>
      <w:r>
        <w:t>means, treatment estimates, 95 per cent CI</w:t>
      </w:r>
      <w:r w:rsidRPr="00052946">
        <w:t xml:space="preserve"> and p-value are from a linear regression model adjusted for GPs</w:t>
      </w:r>
      <w:r>
        <w:t>’</w:t>
      </w:r>
      <w:r w:rsidRPr="00052946">
        <w:t xml:space="preserve"> previous prescription </w:t>
      </w:r>
      <w:r w:rsidRPr="00E443FB">
        <w:rPr>
          <w:color w:val="3F3F3F"/>
        </w:rPr>
        <w:t>rate</w:t>
      </w:r>
      <w:r w:rsidRPr="00052946">
        <w:t xml:space="preserve">, age and sex. </w:t>
      </w:r>
      <w:r>
        <w:t xml:space="preserve">We used </w:t>
      </w:r>
      <w:r w:rsidRPr="00052946">
        <w:t xml:space="preserve">robust standard errors </w:t>
      </w:r>
      <w:r>
        <w:t xml:space="preserve">(CR2) </w:t>
      </w:r>
      <w:r w:rsidRPr="00052946">
        <w:t xml:space="preserve">with a degrees of freedom adjustment. </w:t>
      </w:r>
    </w:p>
    <w:p w14:paraId="5A2E784E" w14:textId="77777777" w:rsidR="00F51B07" w:rsidRDefault="00F51B07">
      <w:pPr>
        <w:spacing w:before="0" w:after="0" w:line="240" w:lineRule="auto"/>
        <w:rPr>
          <w:b/>
          <w:color w:val="auto"/>
        </w:rPr>
      </w:pPr>
      <w:r>
        <w:br w:type="page"/>
      </w:r>
    </w:p>
    <w:p w14:paraId="064C8654" w14:textId="24A648DB" w:rsidR="00F406EB" w:rsidRPr="00DD29B8" w:rsidRDefault="00F406EB" w:rsidP="00F406EB">
      <w:pPr>
        <w:pStyle w:val="FigureHeading"/>
      </w:pPr>
      <w:r w:rsidRPr="00DD29B8">
        <w:lastRenderedPageBreak/>
        <w:t xml:space="preserve">Table </w:t>
      </w:r>
      <w:r w:rsidR="00555C74">
        <w:rPr>
          <w:noProof/>
        </w:rPr>
        <w:t>2</w:t>
      </w:r>
      <w:r w:rsidRPr="00DD29B8">
        <w:t xml:space="preserve">: </w:t>
      </w:r>
      <w:r>
        <w:t>Prescription rates by month</w:t>
      </w:r>
      <w:r w:rsidRPr="00DD29B8">
        <w:t xml:space="preserve"> </w:t>
      </w:r>
      <w:r w:rsidRPr="00DD29B8">
        <w:tab/>
      </w:r>
    </w:p>
    <w:tbl>
      <w:tblPr>
        <w:tblStyle w:val="DefaultTable"/>
        <w:tblW w:w="9493"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1186"/>
        <w:gridCol w:w="1441"/>
        <w:gridCol w:w="2193"/>
        <w:gridCol w:w="1417"/>
        <w:gridCol w:w="1560"/>
      </w:tblGrid>
      <w:tr w:rsidR="00F406EB" w:rsidRPr="009041AF" w14:paraId="6B6EDD97" w14:textId="46E2ADAF" w:rsidTr="000C42F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hideMark/>
          </w:tcPr>
          <w:p w14:paraId="40C9FF7C" w14:textId="77777777" w:rsidR="00F406EB" w:rsidRPr="00E443FB" w:rsidRDefault="00F406EB" w:rsidP="00530BC4">
            <w:pPr>
              <w:spacing w:before="0" w:after="0" w:line="240" w:lineRule="auto"/>
              <w:rPr>
                <w:rFonts w:cstheme="minorHAnsi"/>
                <w:sz w:val="18"/>
                <w:szCs w:val="20"/>
              </w:rPr>
            </w:pPr>
          </w:p>
        </w:tc>
        <w:tc>
          <w:tcPr>
            <w:tcW w:w="118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1383821A" w14:textId="3981C9CB" w:rsidR="00F406EB" w:rsidRPr="00F406EB" w:rsidRDefault="00F406EB"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Control</w:t>
            </w:r>
            <w:r w:rsidR="00A444AD">
              <w:rPr>
                <w:rFonts w:cstheme="minorHAnsi"/>
                <w:color w:val="FFFFFF" w:themeColor="background1"/>
                <w:sz w:val="18"/>
                <w:szCs w:val="20"/>
              </w:rPr>
              <w:t xml:space="preserve"> (mean)</w:t>
            </w:r>
          </w:p>
        </w:tc>
        <w:tc>
          <w:tcPr>
            <w:tcW w:w="1441"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21A72ECD" w14:textId="4C880188" w:rsidR="00F406EB" w:rsidRDefault="00AD5A4D"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 xml:space="preserve">Three </w:t>
            </w:r>
            <w:r w:rsidR="00F406EB">
              <w:rPr>
                <w:rFonts w:cstheme="minorHAnsi"/>
                <w:color w:val="FFFFFF" w:themeColor="background1"/>
                <w:sz w:val="18"/>
                <w:szCs w:val="20"/>
              </w:rPr>
              <w:t>peer comparison letters combined</w:t>
            </w:r>
            <w:r w:rsidR="00A444AD">
              <w:rPr>
                <w:rFonts w:cstheme="minorHAnsi"/>
                <w:color w:val="FFFFFF" w:themeColor="background1"/>
                <w:sz w:val="18"/>
                <w:szCs w:val="20"/>
              </w:rPr>
              <w:t xml:space="preserve"> (mean)</w:t>
            </w:r>
          </w:p>
        </w:tc>
        <w:tc>
          <w:tcPr>
            <w:tcW w:w="2193"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45EF899C" w14:textId="1C9F9131" w:rsidR="00F406EB" w:rsidRDefault="00A444AD"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06A72159" w14:textId="33819D48" w:rsidR="00F406EB" w:rsidRDefault="00555C74"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Pr>
                <w:rFonts w:cstheme="minorHAnsi"/>
                <w:color w:val="FFFFFF" w:themeColor="background1"/>
                <w:sz w:val="18"/>
                <w:szCs w:val="20"/>
              </w:rPr>
              <w:t>c</w:t>
            </w:r>
            <w:r w:rsidRPr="00E84B49">
              <w:rPr>
                <w:rFonts w:cstheme="minorHAnsi"/>
                <w:color w:val="FFFFFF" w:themeColor="background1"/>
                <w:sz w:val="18"/>
                <w:szCs w:val="20"/>
              </w:rPr>
              <w:t xml:space="preserve">ontrol </w:t>
            </w:r>
            <w:r w:rsidR="00F406EB">
              <w:rPr>
                <w:rFonts w:cstheme="minorHAnsi"/>
                <w:color w:val="FFFFFF" w:themeColor="background1"/>
                <w:sz w:val="18"/>
                <w:szCs w:val="20"/>
              </w:rPr>
              <w:t>Percentage difference</w:t>
            </w:r>
          </w:p>
        </w:tc>
        <w:tc>
          <w:tcPr>
            <w:tcW w:w="1560"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012DF688" w14:textId="2FD71DAA" w:rsidR="00F406EB" w:rsidRDefault="00F406EB"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p-value</w:t>
            </w:r>
          </w:p>
        </w:tc>
      </w:tr>
      <w:tr w:rsidR="00A444AD" w:rsidRPr="009041AF" w14:paraId="3A36616E" w14:textId="4D620082"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98CBC78" w14:textId="0602C8F9"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Jul (month 1)</w:t>
            </w:r>
          </w:p>
        </w:tc>
        <w:tc>
          <w:tcPr>
            <w:tcW w:w="1186" w:type="dxa"/>
            <w:tcBorders>
              <w:top w:val="single" w:sz="4" w:space="0" w:color="142E3A" w:themeColor="text2"/>
              <w:bottom w:val="single" w:sz="4" w:space="0" w:color="142E3A" w:themeColor="text2"/>
            </w:tcBorders>
            <w:shd w:val="clear" w:color="auto" w:fill="FFFFFF" w:themeFill="background1"/>
          </w:tcPr>
          <w:p w14:paraId="3070EBB4" w14:textId="574DB32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114.6</w:t>
            </w:r>
          </w:p>
        </w:tc>
        <w:tc>
          <w:tcPr>
            <w:tcW w:w="1441" w:type="dxa"/>
            <w:tcBorders>
              <w:top w:val="single" w:sz="4" w:space="0" w:color="142E3A" w:themeColor="text2"/>
              <w:bottom w:val="single" w:sz="4" w:space="0" w:color="142E3A" w:themeColor="text2"/>
            </w:tcBorders>
            <w:shd w:val="clear" w:color="auto" w:fill="FFFFFF" w:themeFill="background1"/>
          </w:tcPr>
          <w:p w14:paraId="5525C727" w14:textId="008681C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102.7</w:t>
            </w:r>
          </w:p>
        </w:tc>
        <w:tc>
          <w:tcPr>
            <w:tcW w:w="2193" w:type="dxa"/>
            <w:tcBorders>
              <w:top w:val="single" w:sz="4" w:space="0" w:color="142E3A" w:themeColor="text2"/>
              <w:bottom w:val="single" w:sz="4" w:space="0" w:color="142E3A" w:themeColor="text2"/>
            </w:tcBorders>
            <w:shd w:val="clear" w:color="auto" w:fill="FFFFFF" w:themeFill="background1"/>
          </w:tcPr>
          <w:p w14:paraId="15D9C0EC" w14:textId="266D14D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-11.9 (-14.8 to -8.9)</w:t>
            </w:r>
          </w:p>
        </w:tc>
        <w:tc>
          <w:tcPr>
            <w:tcW w:w="1417" w:type="dxa"/>
            <w:tcBorders>
              <w:top w:val="single" w:sz="4" w:space="0" w:color="142E3A" w:themeColor="text2"/>
              <w:bottom w:val="single" w:sz="4" w:space="0" w:color="142E3A" w:themeColor="text2"/>
            </w:tcBorders>
            <w:shd w:val="clear" w:color="auto" w:fill="FFFFFF" w:themeFill="background1"/>
          </w:tcPr>
          <w:p w14:paraId="287CDA91" w14:textId="0656E2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3BA5644" w14:textId="41AC37F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7ECB4EFD" w14:textId="5E8C3CC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34496FF" w14:textId="615A24D7"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Aug </w:t>
            </w:r>
          </w:p>
        </w:tc>
        <w:tc>
          <w:tcPr>
            <w:tcW w:w="1186" w:type="dxa"/>
            <w:tcBorders>
              <w:top w:val="single" w:sz="4" w:space="0" w:color="142E3A" w:themeColor="text2"/>
              <w:bottom w:val="single" w:sz="4" w:space="0" w:color="142E3A" w:themeColor="text2"/>
            </w:tcBorders>
            <w:shd w:val="clear" w:color="auto" w:fill="FFFFFF" w:themeFill="background1"/>
          </w:tcPr>
          <w:p w14:paraId="1CEFD424" w14:textId="740C61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119</w:t>
            </w:r>
            <w:r w:rsidR="00DD15C8">
              <w:rPr>
                <w:sz w:val="18"/>
                <w:szCs w:val="18"/>
              </w:rPr>
              <w:t>.0</w:t>
            </w:r>
          </w:p>
        </w:tc>
        <w:tc>
          <w:tcPr>
            <w:tcW w:w="1441" w:type="dxa"/>
            <w:tcBorders>
              <w:top w:val="single" w:sz="4" w:space="0" w:color="142E3A" w:themeColor="text2"/>
              <w:bottom w:val="single" w:sz="4" w:space="0" w:color="142E3A" w:themeColor="text2"/>
            </w:tcBorders>
            <w:shd w:val="clear" w:color="auto" w:fill="FFFFFF" w:themeFill="background1"/>
          </w:tcPr>
          <w:p w14:paraId="7019F8E9" w14:textId="432E64D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102.8</w:t>
            </w:r>
          </w:p>
        </w:tc>
        <w:tc>
          <w:tcPr>
            <w:tcW w:w="2193" w:type="dxa"/>
            <w:tcBorders>
              <w:top w:val="single" w:sz="4" w:space="0" w:color="142E3A" w:themeColor="text2"/>
              <w:bottom w:val="single" w:sz="4" w:space="0" w:color="142E3A" w:themeColor="text2"/>
            </w:tcBorders>
            <w:shd w:val="clear" w:color="auto" w:fill="FFFFFF" w:themeFill="background1"/>
          </w:tcPr>
          <w:p w14:paraId="4A192728" w14:textId="6A48A87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-16.2 (-19.1 to -13.2)</w:t>
            </w:r>
          </w:p>
        </w:tc>
        <w:tc>
          <w:tcPr>
            <w:tcW w:w="1417" w:type="dxa"/>
            <w:tcBorders>
              <w:top w:val="single" w:sz="4" w:space="0" w:color="142E3A" w:themeColor="text2"/>
              <w:bottom w:val="single" w:sz="4" w:space="0" w:color="142E3A" w:themeColor="text2"/>
            </w:tcBorders>
            <w:shd w:val="clear" w:color="auto" w:fill="FFFFFF" w:themeFill="background1"/>
          </w:tcPr>
          <w:p w14:paraId="33C17D39" w14:textId="6E42843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-13.6</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5048279" w14:textId="1F649DA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5C1C3D9D" w14:textId="590E302D"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8A233E6" w14:textId="1FA6B91A"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Sep </w:t>
            </w:r>
          </w:p>
        </w:tc>
        <w:tc>
          <w:tcPr>
            <w:tcW w:w="1186" w:type="dxa"/>
            <w:tcBorders>
              <w:top w:val="single" w:sz="4" w:space="0" w:color="142E3A" w:themeColor="text2"/>
              <w:bottom w:val="single" w:sz="4" w:space="0" w:color="142E3A" w:themeColor="text2"/>
            </w:tcBorders>
            <w:shd w:val="clear" w:color="auto" w:fill="FFFFFF" w:themeFill="background1"/>
          </w:tcPr>
          <w:p w14:paraId="18FB8CE0" w14:textId="3DA5F8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123.2</w:t>
            </w:r>
          </w:p>
        </w:tc>
        <w:tc>
          <w:tcPr>
            <w:tcW w:w="1441" w:type="dxa"/>
            <w:tcBorders>
              <w:top w:val="single" w:sz="4" w:space="0" w:color="142E3A" w:themeColor="text2"/>
              <w:bottom w:val="single" w:sz="4" w:space="0" w:color="142E3A" w:themeColor="text2"/>
            </w:tcBorders>
            <w:shd w:val="clear" w:color="auto" w:fill="FFFFFF" w:themeFill="background1"/>
          </w:tcPr>
          <w:p w14:paraId="508DD36C" w14:textId="65DEB3D7"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107.2</w:t>
            </w:r>
          </w:p>
        </w:tc>
        <w:tc>
          <w:tcPr>
            <w:tcW w:w="2193" w:type="dxa"/>
            <w:tcBorders>
              <w:top w:val="single" w:sz="4" w:space="0" w:color="142E3A" w:themeColor="text2"/>
              <w:bottom w:val="single" w:sz="4" w:space="0" w:color="142E3A" w:themeColor="text2"/>
            </w:tcBorders>
            <w:shd w:val="clear" w:color="auto" w:fill="FFFFFF" w:themeFill="background1"/>
          </w:tcPr>
          <w:p w14:paraId="17F82962" w14:textId="45C7AC1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-16</w:t>
            </w:r>
            <w:r w:rsidR="00DD15C8">
              <w:rPr>
                <w:sz w:val="18"/>
                <w:szCs w:val="18"/>
              </w:rPr>
              <w:t>.0</w:t>
            </w:r>
            <w:r w:rsidRPr="000145A7">
              <w:rPr>
                <w:sz w:val="18"/>
                <w:szCs w:val="18"/>
              </w:rPr>
              <w:t xml:space="preserve"> (-19.3 to -12.7)</w:t>
            </w:r>
          </w:p>
        </w:tc>
        <w:tc>
          <w:tcPr>
            <w:tcW w:w="1417" w:type="dxa"/>
            <w:tcBorders>
              <w:top w:val="single" w:sz="4" w:space="0" w:color="142E3A" w:themeColor="text2"/>
              <w:bottom w:val="single" w:sz="4" w:space="0" w:color="142E3A" w:themeColor="text2"/>
            </w:tcBorders>
            <w:shd w:val="clear" w:color="auto" w:fill="FFFFFF" w:themeFill="background1"/>
          </w:tcPr>
          <w:p w14:paraId="5D88EA51" w14:textId="315D4C4B"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-13</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05B0E7C" w14:textId="27BA257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39C3507C" w14:textId="10476040"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274A958" w14:textId="691D0F8A"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Oct </w:t>
            </w:r>
          </w:p>
        </w:tc>
        <w:tc>
          <w:tcPr>
            <w:tcW w:w="1186" w:type="dxa"/>
            <w:tcBorders>
              <w:top w:val="single" w:sz="4" w:space="0" w:color="142E3A" w:themeColor="text2"/>
              <w:bottom w:val="single" w:sz="4" w:space="0" w:color="142E3A" w:themeColor="text2"/>
            </w:tcBorders>
            <w:shd w:val="clear" w:color="auto" w:fill="FFFFFF" w:themeFill="background1"/>
          </w:tcPr>
          <w:p w14:paraId="21D152C8" w14:textId="233BFD7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113.5</w:t>
            </w:r>
          </w:p>
        </w:tc>
        <w:tc>
          <w:tcPr>
            <w:tcW w:w="1441" w:type="dxa"/>
            <w:tcBorders>
              <w:top w:val="single" w:sz="4" w:space="0" w:color="142E3A" w:themeColor="text2"/>
              <w:bottom w:val="single" w:sz="4" w:space="0" w:color="142E3A" w:themeColor="text2"/>
            </w:tcBorders>
            <w:shd w:val="clear" w:color="auto" w:fill="FFFFFF" w:themeFill="background1"/>
          </w:tcPr>
          <w:p w14:paraId="28245745" w14:textId="2BA6257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101.6</w:t>
            </w:r>
          </w:p>
        </w:tc>
        <w:tc>
          <w:tcPr>
            <w:tcW w:w="2193" w:type="dxa"/>
            <w:tcBorders>
              <w:top w:val="single" w:sz="4" w:space="0" w:color="142E3A" w:themeColor="text2"/>
              <w:bottom w:val="single" w:sz="4" w:space="0" w:color="142E3A" w:themeColor="text2"/>
            </w:tcBorders>
            <w:shd w:val="clear" w:color="auto" w:fill="FFFFFF" w:themeFill="background1"/>
          </w:tcPr>
          <w:p w14:paraId="2333E00D" w14:textId="03A63E9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-12</w:t>
            </w:r>
            <w:r w:rsidR="00DD15C8">
              <w:rPr>
                <w:sz w:val="18"/>
                <w:szCs w:val="18"/>
              </w:rPr>
              <w:t>.0</w:t>
            </w:r>
            <w:r w:rsidRPr="000145A7">
              <w:rPr>
                <w:sz w:val="18"/>
                <w:szCs w:val="18"/>
              </w:rPr>
              <w:t xml:space="preserve"> (-15.4 to -8.5)</w:t>
            </w:r>
          </w:p>
        </w:tc>
        <w:tc>
          <w:tcPr>
            <w:tcW w:w="1417" w:type="dxa"/>
            <w:tcBorders>
              <w:top w:val="single" w:sz="4" w:space="0" w:color="142E3A" w:themeColor="text2"/>
              <w:bottom w:val="single" w:sz="4" w:space="0" w:color="142E3A" w:themeColor="text2"/>
            </w:tcBorders>
            <w:shd w:val="clear" w:color="auto" w:fill="FFFFFF" w:themeFill="background1"/>
          </w:tcPr>
          <w:p w14:paraId="43C407D5" w14:textId="3FE7E4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-10.5</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D442961" w14:textId="2D7049E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5F05137A"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6D7B2EB0" w14:textId="0E8B9E79"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Nov</w:t>
            </w:r>
          </w:p>
        </w:tc>
        <w:tc>
          <w:tcPr>
            <w:tcW w:w="1186" w:type="dxa"/>
            <w:tcBorders>
              <w:top w:val="single" w:sz="4" w:space="0" w:color="142E3A" w:themeColor="text2"/>
              <w:bottom w:val="single" w:sz="4" w:space="0" w:color="142E3A" w:themeColor="text2"/>
            </w:tcBorders>
            <w:shd w:val="clear" w:color="auto" w:fill="FFFFFF" w:themeFill="background1"/>
          </w:tcPr>
          <w:p w14:paraId="29BB07E8" w14:textId="4F771DA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93.8</w:t>
            </w:r>
          </w:p>
        </w:tc>
        <w:tc>
          <w:tcPr>
            <w:tcW w:w="1441" w:type="dxa"/>
            <w:tcBorders>
              <w:top w:val="single" w:sz="4" w:space="0" w:color="142E3A" w:themeColor="text2"/>
              <w:bottom w:val="single" w:sz="4" w:space="0" w:color="142E3A" w:themeColor="text2"/>
            </w:tcBorders>
            <w:shd w:val="clear" w:color="auto" w:fill="FFFFFF" w:themeFill="background1"/>
          </w:tcPr>
          <w:p w14:paraId="072B0D67" w14:textId="1FF7D7F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86.3</w:t>
            </w:r>
          </w:p>
        </w:tc>
        <w:tc>
          <w:tcPr>
            <w:tcW w:w="2193" w:type="dxa"/>
            <w:tcBorders>
              <w:top w:val="single" w:sz="4" w:space="0" w:color="142E3A" w:themeColor="text2"/>
              <w:bottom w:val="single" w:sz="4" w:space="0" w:color="142E3A" w:themeColor="text2"/>
            </w:tcBorders>
            <w:shd w:val="clear" w:color="auto" w:fill="FFFFFF" w:themeFill="background1"/>
          </w:tcPr>
          <w:p w14:paraId="19ADCBC9" w14:textId="531F1A9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-7.5 (-10.1 to -5</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3B6FADAB" w14:textId="31C9FA8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666562F" w14:textId="2FACC5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1DE501BF"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000F1F0" w14:textId="0ABD7DA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Dec (month 6)</w:t>
            </w:r>
          </w:p>
        </w:tc>
        <w:tc>
          <w:tcPr>
            <w:tcW w:w="1186" w:type="dxa"/>
            <w:tcBorders>
              <w:top w:val="single" w:sz="4" w:space="0" w:color="142E3A" w:themeColor="text2"/>
              <w:bottom w:val="single" w:sz="4" w:space="0" w:color="142E3A" w:themeColor="text2"/>
            </w:tcBorders>
            <w:shd w:val="clear" w:color="auto" w:fill="FFFFFF" w:themeFill="background1"/>
          </w:tcPr>
          <w:p w14:paraId="7F4E4FA3" w14:textId="27B8CF8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90.1</w:t>
            </w:r>
          </w:p>
        </w:tc>
        <w:tc>
          <w:tcPr>
            <w:tcW w:w="1441" w:type="dxa"/>
            <w:tcBorders>
              <w:top w:val="single" w:sz="4" w:space="0" w:color="142E3A" w:themeColor="text2"/>
              <w:bottom w:val="single" w:sz="4" w:space="0" w:color="142E3A" w:themeColor="text2"/>
            </w:tcBorders>
            <w:shd w:val="clear" w:color="auto" w:fill="FFFFFF" w:themeFill="background1"/>
          </w:tcPr>
          <w:p w14:paraId="7A521D0B" w14:textId="0225E0A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82.9</w:t>
            </w:r>
          </w:p>
        </w:tc>
        <w:tc>
          <w:tcPr>
            <w:tcW w:w="2193" w:type="dxa"/>
            <w:tcBorders>
              <w:top w:val="single" w:sz="4" w:space="0" w:color="142E3A" w:themeColor="text2"/>
              <w:bottom w:val="single" w:sz="4" w:space="0" w:color="142E3A" w:themeColor="text2"/>
            </w:tcBorders>
            <w:shd w:val="clear" w:color="auto" w:fill="FFFFFF" w:themeFill="background1"/>
          </w:tcPr>
          <w:p w14:paraId="3B312083" w14:textId="0B1F10C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-7.2 (-10.2 to -4.3)</w:t>
            </w:r>
          </w:p>
        </w:tc>
        <w:tc>
          <w:tcPr>
            <w:tcW w:w="1417" w:type="dxa"/>
            <w:tcBorders>
              <w:top w:val="single" w:sz="4" w:space="0" w:color="142E3A" w:themeColor="text2"/>
              <w:bottom w:val="single" w:sz="4" w:space="0" w:color="142E3A" w:themeColor="text2"/>
            </w:tcBorders>
            <w:shd w:val="clear" w:color="auto" w:fill="FFFFFF" w:themeFill="background1"/>
          </w:tcPr>
          <w:p w14:paraId="66B9229F" w14:textId="3C63F65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67721037" w14:textId="4F43CE1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0.00000</w:t>
            </w:r>
            <w:r w:rsidR="006965CB">
              <w:rPr>
                <w:rFonts w:cstheme="minorHAnsi"/>
                <w:color w:val="auto"/>
                <w:sz w:val="18"/>
                <w:szCs w:val="18"/>
              </w:rPr>
              <w:t>2</w:t>
            </w:r>
          </w:p>
        </w:tc>
      </w:tr>
      <w:tr w:rsidR="00A444AD" w:rsidRPr="009041AF" w14:paraId="78B72D34"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60B600A3" w14:textId="6E033D1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Jan</w:t>
            </w:r>
          </w:p>
        </w:tc>
        <w:tc>
          <w:tcPr>
            <w:tcW w:w="1186" w:type="dxa"/>
            <w:tcBorders>
              <w:top w:val="single" w:sz="4" w:space="0" w:color="142E3A" w:themeColor="text2"/>
              <w:bottom w:val="single" w:sz="4" w:space="0" w:color="142E3A" w:themeColor="text2"/>
            </w:tcBorders>
            <w:shd w:val="clear" w:color="auto" w:fill="FFFFFF" w:themeFill="background1"/>
          </w:tcPr>
          <w:p w14:paraId="41435C1C" w14:textId="77FE5BA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95.5</w:t>
            </w:r>
          </w:p>
        </w:tc>
        <w:tc>
          <w:tcPr>
            <w:tcW w:w="1441" w:type="dxa"/>
            <w:tcBorders>
              <w:top w:val="single" w:sz="4" w:space="0" w:color="142E3A" w:themeColor="text2"/>
              <w:bottom w:val="single" w:sz="4" w:space="0" w:color="142E3A" w:themeColor="text2"/>
            </w:tcBorders>
            <w:shd w:val="clear" w:color="auto" w:fill="FFFFFF" w:themeFill="background1"/>
          </w:tcPr>
          <w:p w14:paraId="50317CE1" w14:textId="02271A3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90.4</w:t>
            </w:r>
          </w:p>
        </w:tc>
        <w:tc>
          <w:tcPr>
            <w:tcW w:w="2193" w:type="dxa"/>
            <w:tcBorders>
              <w:top w:val="single" w:sz="4" w:space="0" w:color="142E3A" w:themeColor="text2"/>
              <w:bottom w:val="single" w:sz="4" w:space="0" w:color="142E3A" w:themeColor="text2"/>
            </w:tcBorders>
            <w:shd w:val="clear" w:color="auto" w:fill="FFFFFF" w:themeFill="background1"/>
          </w:tcPr>
          <w:p w14:paraId="1590B45C" w14:textId="4861F13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-5.1 (-8.6 to -1.5)</w:t>
            </w:r>
          </w:p>
        </w:tc>
        <w:tc>
          <w:tcPr>
            <w:tcW w:w="1417" w:type="dxa"/>
            <w:tcBorders>
              <w:top w:val="single" w:sz="4" w:space="0" w:color="142E3A" w:themeColor="text2"/>
              <w:bottom w:val="single" w:sz="4" w:space="0" w:color="142E3A" w:themeColor="text2"/>
            </w:tcBorders>
            <w:shd w:val="clear" w:color="auto" w:fill="FFFFFF" w:themeFill="background1"/>
          </w:tcPr>
          <w:p w14:paraId="6B63E11F" w14:textId="42F8223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71C048D6" w14:textId="3AA4E85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w:t>
            </w:r>
            <w:r w:rsidR="006965CB">
              <w:rPr>
                <w:rFonts w:cstheme="minorHAnsi"/>
                <w:color w:val="auto"/>
                <w:sz w:val="18"/>
                <w:szCs w:val="18"/>
              </w:rPr>
              <w:t>5</w:t>
            </w:r>
          </w:p>
        </w:tc>
      </w:tr>
      <w:tr w:rsidR="00A444AD" w:rsidRPr="009041AF" w14:paraId="7FB9A66E"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27124645" w14:textId="3C00B1AE"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Feb</w:t>
            </w:r>
          </w:p>
        </w:tc>
        <w:tc>
          <w:tcPr>
            <w:tcW w:w="1186" w:type="dxa"/>
            <w:tcBorders>
              <w:top w:val="single" w:sz="4" w:space="0" w:color="142E3A" w:themeColor="text2"/>
              <w:bottom w:val="single" w:sz="4" w:space="0" w:color="142E3A" w:themeColor="text2"/>
            </w:tcBorders>
            <w:shd w:val="clear" w:color="auto" w:fill="FFFFFF" w:themeFill="background1"/>
          </w:tcPr>
          <w:p w14:paraId="031E844F" w14:textId="740F58A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79.9</w:t>
            </w:r>
          </w:p>
        </w:tc>
        <w:tc>
          <w:tcPr>
            <w:tcW w:w="1441" w:type="dxa"/>
            <w:tcBorders>
              <w:top w:val="single" w:sz="4" w:space="0" w:color="142E3A" w:themeColor="text2"/>
              <w:bottom w:val="single" w:sz="4" w:space="0" w:color="142E3A" w:themeColor="text2"/>
            </w:tcBorders>
            <w:shd w:val="clear" w:color="auto" w:fill="FFFFFF" w:themeFill="background1"/>
          </w:tcPr>
          <w:p w14:paraId="44C689DD" w14:textId="312488E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74.4</w:t>
            </w:r>
          </w:p>
        </w:tc>
        <w:tc>
          <w:tcPr>
            <w:tcW w:w="2193" w:type="dxa"/>
            <w:tcBorders>
              <w:top w:val="single" w:sz="4" w:space="0" w:color="142E3A" w:themeColor="text2"/>
              <w:bottom w:val="single" w:sz="4" w:space="0" w:color="142E3A" w:themeColor="text2"/>
            </w:tcBorders>
            <w:shd w:val="clear" w:color="auto" w:fill="FFFFFF" w:themeFill="background1"/>
          </w:tcPr>
          <w:p w14:paraId="0FA3C1DA" w14:textId="7A48A5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-5.5 (-8.4 to -2.7)</w:t>
            </w:r>
          </w:p>
        </w:tc>
        <w:tc>
          <w:tcPr>
            <w:tcW w:w="1417" w:type="dxa"/>
            <w:tcBorders>
              <w:top w:val="single" w:sz="4" w:space="0" w:color="142E3A" w:themeColor="text2"/>
              <w:bottom w:val="single" w:sz="4" w:space="0" w:color="142E3A" w:themeColor="text2"/>
            </w:tcBorders>
            <w:shd w:val="clear" w:color="auto" w:fill="FFFFFF" w:themeFill="background1"/>
          </w:tcPr>
          <w:p w14:paraId="18507528" w14:textId="56BB77E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-6.9</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61AB3268" w14:textId="271AAEB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w:t>
            </w:r>
            <w:r w:rsidR="006965CB">
              <w:rPr>
                <w:rFonts w:cstheme="minorHAnsi"/>
                <w:color w:val="auto"/>
                <w:sz w:val="18"/>
                <w:szCs w:val="18"/>
              </w:rPr>
              <w:t>2</w:t>
            </w:r>
          </w:p>
        </w:tc>
      </w:tr>
      <w:tr w:rsidR="00A444AD" w:rsidRPr="009041AF" w14:paraId="6B676865"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32D11588" w14:textId="2661660C"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Mar</w:t>
            </w:r>
          </w:p>
        </w:tc>
        <w:tc>
          <w:tcPr>
            <w:tcW w:w="1186" w:type="dxa"/>
            <w:tcBorders>
              <w:top w:val="single" w:sz="4" w:space="0" w:color="142E3A" w:themeColor="text2"/>
              <w:bottom w:val="single" w:sz="4" w:space="0" w:color="142E3A" w:themeColor="text2"/>
            </w:tcBorders>
            <w:shd w:val="clear" w:color="auto" w:fill="FFFFFF" w:themeFill="background1"/>
          </w:tcPr>
          <w:p w14:paraId="1A33D295" w14:textId="0BC80A9C"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82.6</w:t>
            </w:r>
          </w:p>
        </w:tc>
        <w:tc>
          <w:tcPr>
            <w:tcW w:w="1441" w:type="dxa"/>
            <w:tcBorders>
              <w:top w:val="single" w:sz="4" w:space="0" w:color="142E3A" w:themeColor="text2"/>
              <w:bottom w:val="single" w:sz="4" w:space="0" w:color="142E3A" w:themeColor="text2"/>
            </w:tcBorders>
            <w:shd w:val="clear" w:color="auto" w:fill="FFFFFF" w:themeFill="background1"/>
          </w:tcPr>
          <w:p w14:paraId="51225F3E" w14:textId="61A4816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77.3</w:t>
            </w:r>
          </w:p>
        </w:tc>
        <w:tc>
          <w:tcPr>
            <w:tcW w:w="2193" w:type="dxa"/>
            <w:tcBorders>
              <w:top w:val="single" w:sz="4" w:space="0" w:color="142E3A" w:themeColor="text2"/>
              <w:bottom w:val="single" w:sz="4" w:space="0" w:color="142E3A" w:themeColor="text2"/>
            </w:tcBorders>
            <w:shd w:val="clear" w:color="auto" w:fill="FFFFFF" w:themeFill="background1"/>
          </w:tcPr>
          <w:p w14:paraId="2EACA172" w14:textId="6B348ED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-5.3 (-8.1 to -2.5)</w:t>
            </w:r>
          </w:p>
        </w:tc>
        <w:tc>
          <w:tcPr>
            <w:tcW w:w="1417" w:type="dxa"/>
            <w:tcBorders>
              <w:top w:val="single" w:sz="4" w:space="0" w:color="142E3A" w:themeColor="text2"/>
              <w:bottom w:val="single" w:sz="4" w:space="0" w:color="142E3A" w:themeColor="text2"/>
            </w:tcBorders>
            <w:shd w:val="clear" w:color="auto" w:fill="FFFFFF" w:themeFill="background1"/>
          </w:tcPr>
          <w:p w14:paraId="2FBA56AD" w14:textId="1117CFC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-6.5</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A9BF089" w14:textId="7FEB4D96"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0.0002</w:t>
            </w:r>
          </w:p>
        </w:tc>
      </w:tr>
      <w:tr w:rsidR="00A444AD" w:rsidRPr="009041AF" w14:paraId="3B5B4B7D"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DD378B4" w14:textId="6F87DC4F"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Apr</w:t>
            </w:r>
          </w:p>
        </w:tc>
        <w:tc>
          <w:tcPr>
            <w:tcW w:w="1186" w:type="dxa"/>
            <w:tcBorders>
              <w:top w:val="single" w:sz="4" w:space="0" w:color="142E3A" w:themeColor="text2"/>
              <w:bottom w:val="single" w:sz="4" w:space="0" w:color="142E3A" w:themeColor="text2"/>
            </w:tcBorders>
            <w:shd w:val="clear" w:color="auto" w:fill="FFFFFF" w:themeFill="background1"/>
          </w:tcPr>
          <w:p w14:paraId="14CA71C0" w14:textId="144BA85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90.7</w:t>
            </w:r>
          </w:p>
        </w:tc>
        <w:tc>
          <w:tcPr>
            <w:tcW w:w="1441" w:type="dxa"/>
            <w:tcBorders>
              <w:top w:val="single" w:sz="4" w:space="0" w:color="142E3A" w:themeColor="text2"/>
              <w:bottom w:val="single" w:sz="4" w:space="0" w:color="142E3A" w:themeColor="text2"/>
            </w:tcBorders>
            <w:shd w:val="clear" w:color="auto" w:fill="FFFFFF" w:themeFill="background1"/>
          </w:tcPr>
          <w:p w14:paraId="357A9CDB" w14:textId="7F05BBF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84.1</w:t>
            </w:r>
          </w:p>
        </w:tc>
        <w:tc>
          <w:tcPr>
            <w:tcW w:w="2193" w:type="dxa"/>
            <w:tcBorders>
              <w:top w:val="single" w:sz="4" w:space="0" w:color="142E3A" w:themeColor="text2"/>
              <w:bottom w:val="single" w:sz="4" w:space="0" w:color="142E3A" w:themeColor="text2"/>
            </w:tcBorders>
            <w:shd w:val="clear" w:color="auto" w:fill="FFFFFF" w:themeFill="background1"/>
          </w:tcPr>
          <w:p w14:paraId="3BE049B0" w14:textId="4555C1B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-6.6 (-9.7 to -3.6)</w:t>
            </w:r>
          </w:p>
        </w:tc>
        <w:tc>
          <w:tcPr>
            <w:tcW w:w="1417" w:type="dxa"/>
            <w:tcBorders>
              <w:top w:val="single" w:sz="4" w:space="0" w:color="142E3A" w:themeColor="text2"/>
              <w:bottom w:val="single" w:sz="4" w:space="0" w:color="142E3A" w:themeColor="text2"/>
            </w:tcBorders>
            <w:shd w:val="clear" w:color="auto" w:fill="FFFFFF" w:themeFill="background1"/>
          </w:tcPr>
          <w:p w14:paraId="2677AD65" w14:textId="01039E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5843C7F8" w14:textId="2C5F0407"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0.00002</w:t>
            </w:r>
          </w:p>
        </w:tc>
      </w:tr>
      <w:tr w:rsidR="00A444AD" w:rsidRPr="009041AF" w14:paraId="409B8EC0"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520B95D" w14:textId="52BED088"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May</w:t>
            </w:r>
          </w:p>
        </w:tc>
        <w:tc>
          <w:tcPr>
            <w:tcW w:w="1186" w:type="dxa"/>
            <w:tcBorders>
              <w:top w:val="single" w:sz="4" w:space="0" w:color="142E3A" w:themeColor="text2"/>
              <w:bottom w:val="single" w:sz="4" w:space="0" w:color="142E3A" w:themeColor="text2"/>
            </w:tcBorders>
            <w:shd w:val="clear" w:color="auto" w:fill="FFFFFF" w:themeFill="background1"/>
          </w:tcPr>
          <w:p w14:paraId="63740956" w14:textId="3586B94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78.3</w:t>
            </w:r>
          </w:p>
        </w:tc>
        <w:tc>
          <w:tcPr>
            <w:tcW w:w="1441" w:type="dxa"/>
            <w:tcBorders>
              <w:top w:val="single" w:sz="4" w:space="0" w:color="142E3A" w:themeColor="text2"/>
              <w:bottom w:val="single" w:sz="4" w:space="0" w:color="142E3A" w:themeColor="text2"/>
            </w:tcBorders>
            <w:shd w:val="clear" w:color="auto" w:fill="FFFFFF" w:themeFill="background1"/>
          </w:tcPr>
          <w:p w14:paraId="75971F4D" w14:textId="1A08C14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73.3</w:t>
            </w:r>
          </w:p>
        </w:tc>
        <w:tc>
          <w:tcPr>
            <w:tcW w:w="2193" w:type="dxa"/>
            <w:tcBorders>
              <w:top w:val="single" w:sz="4" w:space="0" w:color="142E3A" w:themeColor="text2"/>
              <w:bottom w:val="single" w:sz="4" w:space="0" w:color="142E3A" w:themeColor="text2"/>
            </w:tcBorders>
            <w:shd w:val="clear" w:color="auto" w:fill="FFFFFF" w:themeFill="background1"/>
          </w:tcPr>
          <w:p w14:paraId="4198BEDD" w14:textId="689475C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w:t>
            </w:r>
            <w:r w:rsidR="00DD15C8">
              <w:rPr>
                <w:sz w:val="18"/>
                <w:szCs w:val="18"/>
              </w:rPr>
              <w:t>.0</w:t>
            </w:r>
            <w:r w:rsidRPr="000145A7">
              <w:rPr>
                <w:sz w:val="18"/>
                <w:szCs w:val="18"/>
              </w:rPr>
              <w:t xml:space="preserve"> (-7.9 to -2</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1BDF01B9" w14:textId="360AEBF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-6.4</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5551DD17" w14:textId="2AC3278E"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0.001</w:t>
            </w:r>
          </w:p>
        </w:tc>
      </w:tr>
      <w:tr w:rsidR="00A444AD" w:rsidRPr="009041AF" w14:paraId="4BD1E5B0"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72665A15" w14:textId="2C6EA603"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Jun (month 12)</w:t>
            </w:r>
          </w:p>
        </w:tc>
        <w:tc>
          <w:tcPr>
            <w:tcW w:w="1186" w:type="dxa"/>
            <w:tcBorders>
              <w:top w:val="single" w:sz="4" w:space="0" w:color="142E3A" w:themeColor="text2"/>
              <w:bottom w:val="single" w:sz="4" w:space="0" w:color="142E3A" w:themeColor="text2"/>
            </w:tcBorders>
            <w:shd w:val="clear" w:color="auto" w:fill="FFFFFF" w:themeFill="background1"/>
          </w:tcPr>
          <w:p w14:paraId="5B9AD6EE" w14:textId="0C7E82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91.5</w:t>
            </w:r>
          </w:p>
        </w:tc>
        <w:tc>
          <w:tcPr>
            <w:tcW w:w="1441" w:type="dxa"/>
            <w:tcBorders>
              <w:top w:val="single" w:sz="4" w:space="0" w:color="142E3A" w:themeColor="text2"/>
              <w:bottom w:val="single" w:sz="4" w:space="0" w:color="142E3A" w:themeColor="text2"/>
            </w:tcBorders>
            <w:shd w:val="clear" w:color="auto" w:fill="FFFFFF" w:themeFill="background1"/>
          </w:tcPr>
          <w:p w14:paraId="5E3459AD" w14:textId="7C4BB9D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84</w:t>
            </w:r>
            <w:r w:rsidR="00DD15C8">
              <w:rPr>
                <w:sz w:val="18"/>
                <w:szCs w:val="18"/>
              </w:rPr>
              <w:t>.0</w:t>
            </w:r>
          </w:p>
        </w:tc>
        <w:tc>
          <w:tcPr>
            <w:tcW w:w="2193" w:type="dxa"/>
            <w:tcBorders>
              <w:top w:val="single" w:sz="4" w:space="0" w:color="142E3A" w:themeColor="text2"/>
              <w:bottom w:val="single" w:sz="4" w:space="0" w:color="142E3A" w:themeColor="text2"/>
            </w:tcBorders>
            <w:shd w:val="clear" w:color="auto" w:fill="FFFFFF" w:themeFill="background1"/>
          </w:tcPr>
          <w:p w14:paraId="19612D4C" w14:textId="6C7673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-7.5 (-11</w:t>
            </w:r>
            <w:r w:rsidR="00DD15C8">
              <w:rPr>
                <w:sz w:val="18"/>
                <w:szCs w:val="18"/>
              </w:rPr>
              <w:t>.0</w:t>
            </w:r>
            <w:r w:rsidRPr="000145A7">
              <w:rPr>
                <w:sz w:val="18"/>
                <w:szCs w:val="18"/>
              </w:rPr>
              <w:t xml:space="preserve"> to -4</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40138238" w14:textId="5399C04C"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7776E5E" w14:textId="1228A6E3"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0.00003</w:t>
            </w:r>
          </w:p>
        </w:tc>
      </w:tr>
      <w:tr w:rsidR="00A444AD" w:rsidRPr="009041AF" w14:paraId="563BEC2D"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9CB6A16" w14:textId="2D65CF47"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Jul</w:t>
            </w:r>
          </w:p>
        </w:tc>
        <w:tc>
          <w:tcPr>
            <w:tcW w:w="1186" w:type="dxa"/>
            <w:tcBorders>
              <w:top w:val="single" w:sz="4" w:space="0" w:color="142E3A" w:themeColor="text2"/>
              <w:bottom w:val="single" w:sz="4" w:space="0" w:color="142E3A" w:themeColor="text2"/>
            </w:tcBorders>
            <w:shd w:val="clear" w:color="auto" w:fill="FFFFFF" w:themeFill="background1"/>
          </w:tcPr>
          <w:p w14:paraId="6BB1C5CD" w14:textId="6C6DD50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101.4</w:t>
            </w:r>
          </w:p>
        </w:tc>
        <w:tc>
          <w:tcPr>
            <w:tcW w:w="1441" w:type="dxa"/>
            <w:tcBorders>
              <w:top w:val="single" w:sz="4" w:space="0" w:color="142E3A" w:themeColor="text2"/>
              <w:bottom w:val="single" w:sz="4" w:space="0" w:color="142E3A" w:themeColor="text2"/>
            </w:tcBorders>
            <w:shd w:val="clear" w:color="auto" w:fill="FFFFFF" w:themeFill="background1"/>
          </w:tcPr>
          <w:p w14:paraId="1DFE3453" w14:textId="352A800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95.4</w:t>
            </w:r>
          </w:p>
        </w:tc>
        <w:tc>
          <w:tcPr>
            <w:tcW w:w="2193" w:type="dxa"/>
            <w:tcBorders>
              <w:top w:val="single" w:sz="4" w:space="0" w:color="142E3A" w:themeColor="text2"/>
              <w:bottom w:val="single" w:sz="4" w:space="0" w:color="142E3A" w:themeColor="text2"/>
            </w:tcBorders>
            <w:shd w:val="clear" w:color="auto" w:fill="FFFFFF" w:themeFill="background1"/>
          </w:tcPr>
          <w:p w14:paraId="3C2A0887" w14:textId="7E535A8B"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-5.9 (-8.9 to -2.9)</w:t>
            </w:r>
          </w:p>
        </w:tc>
        <w:tc>
          <w:tcPr>
            <w:tcW w:w="1417" w:type="dxa"/>
            <w:tcBorders>
              <w:top w:val="single" w:sz="4" w:space="0" w:color="142E3A" w:themeColor="text2"/>
              <w:bottom w:val="single" w:sz="4" w:space="0" w:color="142E3A" w:themeColor="text2"/>
            </w:tcBorders>
            <w:shd w:val="clear" w:color="auto" w:fill="FFFFFF" w:themeFill="background1"/>
          </w:tcPr>
          <w:p w14:paraId="3395FB9C" w14:textId="43342E6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-5.8</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BE25DF9" w14:textId="5E473B1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0.00001</w:t>
            </w:r>
          </w:p>
        </w:tc>
      </w:tr>
      <w:tr w:rsidR="00A444AD" w:rsidRPr="009041AF" w14:paraId="65D206EE"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87C514E" w14:textId="27F1FFF8"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Aug</w:t>
            </w:r>
          </w:p>
        </w:tc>
        <w:tc>
          <w:tcPr>
            <w:tcW w:w="1186" w:type="dxa"/>
            <w:tcBorders>
              <w:top w:val="single" w:sz="4" w:space="0" w:color="142E3A" w:themeColor="text2"/>
              <w:bottom w:val="single" w:sz="4" w:space="0" w:color="142E3A" w:themeColor="text2"/>
            </w:tcBorders>
            <w:shd w:val="clear" w:color="auto" w:fill="FFFFFF" w:themeFill="background1"/>
          </w:tcPr>
          <w:p w14:paraId="644800B0" w14:textId="4C9281D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102.8</w:t>
            </w:r>
          </w:p>
        </w:tc>
        <w:tc>
          <w:tcPr>
            <w:tcW w:w="1441" w:type="dxa"/>
            <w:tcBorders>
              <w:top w:val="single" w:sz="4" w:space="0" w:color="142E3A" w:themeColor="text2"/>
              <w:bottom w:val="single" w:sz="4" w:space="0" w:color="142E3A" w:themeColor="text2"/>
            </w:tcBorders>
            <w:shd w:val="clear" w:color="auto" w:fill="FFFFFF" w:themeFill="background1"/>
          </w:tcPr>
          <w:p w14:paraId="394F5A99" w14:textId="3A7DFBD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95.9</w:t>
            </w:r>
          </w:p>
        </w:tc>
        <w:tc>
          <w:tcPr>
            <w:tcW w:w="2193" w:type="dxa"/>
            <w:tcBorders>
              <w:top w:val="single" w:sz="4" w:space="0" w:color="142E3A" w:themeColor="text2"/>
              <w:bottom w:val="single" w:sz="4" w:space="0" w:color="142E3A" w:themeColor="text2"/>
            </w:tcBorders>
            <w:shd w:val="clear" w:color="auto" w:fill="FFFFFF" w:themeFill="background1"/>
          </w:tcPr>
          <w:p w14:paraId="34536052" w14:textId="5C4318E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-6.9 (-10.3 to -3.5)</w:t>
            </w:r>
          </w:p>
        </w:tc>
        <w:tc>
          <w:tcPr>
            <w:tcW w:w="1417" w:type="dxa"/>
            <w:tcBorders>
              <w:top w:val="single" w:sz="4" w:space="0" w:color="142E3A" w:themeColor="text2"/>
              <w:bottom w:val="single" w:sz="4" w:space="0" w:color="142E3A" w:themeColor="text2"/>
            </w:tcBorders>
            <w:shd w:val="clear" w:color="auto" w:fill="FFFFFF" w:themeFill="background1"/>
          </w:tcPr>
          <w:p w14:paraId="7DA3013A" w14:textId="3DE7DFF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-6.7</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71730D4C" w14:textId="387DF833"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0.00008</w:t>
            </w:r>
          </w:p>
        </w:tc>
      </w:tr>
      <w:tr w:rsidR="00A444AD" w:rsidRPr="009041AF" w14:paraId="19DB7B0C"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05449906" w14:textId="662EA90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Sep (month 15)</w:t>
            </w:r>
          </w:p>
        </w:tc>
        <w:tc>
          <w:tcPr>
            <w:tcW w:w="1186" w:type="dxa"/>
            <w:tcBorders>
              <w:top w:val="single" w:sz="4" w:space="0" w:color="142E3A" w:themeColor="text2"/>
              <w:bottom w:val="single" w:sz="4" w:space="0" w:color="142E3A" w:themeColor="text2"/>
            </w:tcBorders>
            <w:shd w:val="clear" w:color="auto" w:fill="FFFFFF" w:themeFill="background1"/>
          </w:tcPr>
          <w:p w14:paraId="33AF26F0" w14:textId="27D76CB7"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107</w:t>
            </w:r>
            <w:r w:rsidR="00DD15C8">
              <w:rPr>
                <w:sz w:val="18"/>
                <w:szCs w:val="18"/>
              </w:rPr>
              <w:t>.0</w:t>
            </w:r>
          </w:p>
        </w:tc>
        <w:tc>
          <w:tcPr>
            <w:tcW w:w="1441" w:type="dxa"/>
            <w:tcBorders>
              <w:top w:val="single" w:sz="4" w:space="0" w:color="142E3A" w:themeColor="text2"/>
              <w:bottom w:val="single" w:sz="4" w:space="0" w:color="142E3A" w:themeColor="text2"/>
            </w:tcBorders>
            <w:shd w:val="clear" w:color="auto" w:fill="FFFFFF" w:themeFill="background1"/>
          </w:tcPr>
          <w:p w14:paraId="6175A206" w14:textId="0E33072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98.8</w:t>
            </w:r>
          </w:p>
        </w:tc>
        <w:tc>
          <w:tcPr>
            <w:tcW w:w="2193" w:type="dxa"/>
            <w:tcBorders>
              <w:top w:val="single" w:sz="4" w:space="0" w:color="142E3A" w:themeColor="text2"/>
              <w:bottom w:val="single" w:sz="4" w:space="0" w:color="142E3A" w:themeColor="text2"/>
            </w:tcBorders>
            <w:shd w:val="clear" w:color="auto" w:fill="FFFFFF" w:themeFill="background1"/>
          </w:tcPr>
          <w:p w14:paraId="78D59C0A" w14:textId="55FF6BE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 (-11.9 to -4.5)</w:t>
            </w:r>
          </w:p>
        </w:tc>
        <w:tc>
          <w:tcPr>
            <w:tcW w:w="1417" w:type="dxa"/>
            <w:tcBorders>
              <w:top w:val="single" w:sz="4" w:space="0" w:color="142E3A" w:themeColor="text2"/>
              <w:bottom w:val="single" w:sz="4" w:space="0" w:color="142E3A" w:themeColor="text2"/>
            </w:tcBorders>
            <w:shd w:val="clear" w:color="auto" w:fill="FFFFFF" w:themeFill="background1"/>
          </w:tcPr>
          <w:p w14:paraId="35D01FFF" w14:textId="2A6C4DA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-7.7</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0C6856ED" w14:textId="23DB9D90"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w:t>
            </w:r>
            <w:r w:rsidR="00A444AD" w:rsidRPr="000145A7">
              <w:rPr>
                <w:rFonts w:cstheme="minorHAnsi"/>
                <w:color w:val="auto"/>
                <w:sz w:val="18"/>
                <w:szCs w:val="18"/>
              </w:rPr>
              <w:t>1</w:t>
            </w:r>
          </w:p>
        </w:tc>
      </w:tr>
    </w:tbl>
    <w:p w14:paraId="4DFCB185" w14:textId="0B8F0991" w:rsidR="008D6A5C" w:rsidRPr="00D31FF6" w:rsidRDefault="008B193B" w:rsidP="00D31FF6">
      <w:pPr>
        <w:pStyle w:val="SourceNotesText"/>
      </w:pPr>
      <w:r>
        <w:t xml:space="preserve">Note: </w:t>
      </w:r>
      <w:r w:rsidR="00AD5A4D">
        <w:t xml:space="preserve">The control and “three peer comparison letters combined” means </w:t>
      </w:r>
      <w:r w:rsidR="00AD5A4D" w:rsidRPr="00AD5A4D">
        <w:t>are</w:t>
      </w:r>
      <w:r w:rsidR="00AD5A4D">
        <w:t xml:space="preserve"> adjusted and</w:t>
      </w:r>
      <w:r w:rsidR="00AD5A4D" w:rsidRPr="00AD5A4D">
        <w:t xml:space="preserve"> </w:t>
      </w:r>
      <w:r w:rsidR="00AD5A4D">
        <w:t xml:space="preserve">reported as </w:t>
      </w:r>
      <w:r w:rsidR="00AD5A4D" w:rsidRPr="00AD5A4D">
        <w:t>scripts filled per 1,000 consults. These estimates, 95 per cent CI and p-values are from a linear regression model adjusted for GPs’ previous prescription rate, age and se</w:t>
      </w:r>
      <w:r w:rsidR="00AD5A4D">
        <w:t>x.</w:t>
      </w:r>
      <w:r w:rsidR="00AD5A4D" w:rsidRPr="00AD5A4D">
        <w:t xml:space="preserve"> Regressions were estimated individually for each month.</w:t>
      </w:r>
      <w:r w:rsidR="008D6A5C">
        <w:rPr>
          <w:color w:val="FFFFFF" w:themeColor="background1"/>
          <w:highlight w:val="darkGreen"/>
        </w:rPr>
        <w:br w:type="page"/>
      </w:r>
    </w:p>
    <w:p w14:paraId="5C55B787" w14:textId="11ED822F" w:rsidR="008D6A5C" w:rsidRPr="00507269" w:rsidRDefault="002F6295" w:rsidP="008D6A5C">
      <w:pPr>
        <w:rPr>
          <w:color w:val="FFFFFF" w:themeColor="background1"/>
        </w:rPr>
      </w:pPr>
      <w:r w:rsidRPr="005D17D0">
        <w:rPr>
          <w:noProof/>
        </w:rPr>
        <w:lastRenderedPageBreak/>
        <mc:AlternateContent>
          <mc:Choice Requires="wps">
            <w:drawing>
              <wp:anchor distT="0" distB="0" distL="114300" distR="114300" simplePos="0" relativeHeight="251656191" behindDoc="1" locked="0" layoutInCell="1" allowOverlap="1" wp14:anchorId="75D0BDF9" wp14:editId="729CB7D3">
                <wp:simplePos x="0" y="0"/>
                <wp:positionH relativeFrom="page">
                  <wp:align>left</wp:align>
                </wp:positionH>
                <wp:positionV relativeFrom="page">
                  <wp:align>bottom</wp:align>
                </wp:positionV>
                <wp:extent cx="7559675" cy="10691495"/>
                <wp:effectExtent l="0" t="0" r="3175" b="0"/>
                <wp:wrapNone/>
                <wp:docPr id="3" name="Rectangle 3" descr="&quot; &quot;"/>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1A2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2FBD9" id="Rectangle 3" o:spid="_x0000_s1026" alt="&quot; &quot;" style="position:absolute;margin-left:0;margin-top:0;width:595.25pt;height:841.85pt;z-index:-25166028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" fillcolor="#1a2a39" stroked="f" strokeweight="2pt">
                <w10:wrap anchorx="page" anchory="page"/>
              </v:rect>
            </w:pict>
          </mc:Fallback>
        </mc:AlternateContent>
      </w:r>
      <w:r w:rsidR="008D6A5C" w:rsidRPr="00507269">
        <w:rPr>
          <w:color w:val="FFFFFF" w:themeColor="background1"/>
        </w:rPr>
        <w:t>© Commonwealth of Australia 20</w:t>
      </w:r>
      <w:r w:rsidR="00812B30">
        <w:rPr>
          <w:color w:val="FFFFFF" w:themeColor="background1"/>
        </w:rPr>
        <w:t>20</w:t>
      </w:r>
    </w:p>
    <w:p w14:paraId="7C2F3775" w14:textId="2283921C" w:rsidR="008D6A5C" w:rsidRPr="009200A0" w:rsidRDefault="009200A0" w:rsidP="00116064">
      <w:pPr>
        <w:rPr>
          <w:color w:val="FFFFFF" w:themeColor="background1"/>
        </w:rPr>
      </w:pPr>
      <w:r w:rsidRPr="009200A0">
        <w:rPr>
          <w:color w:val="FFFFFF" w:themeColor="background1"/>
        </w:rPr>
        <w:t>978-1-925363-90-6 N</w:t>
      </w:r>
      <w:r w:rsidR="008D6A5C" w:rsidRPr="009200A0">
        <w:rPr>
          <w:color w:val="FFFFFF" w:themeColor="background1"/>
        </w:rPr>
        <w:t xml:space="preserve">udge vs Superbugs: </w:t>
      </w:r>
      <w:r w:rsidR="008B193B">
        <w:rPr>
          <w:color w:val="FFFFFF" w:themeColor="background1"/>
        </w:rPr>
        <w:t>12 months on</w:t>
      </w:r>
      <w:r w:rsidR="00116064">
        <w:rPr>
          <w:color w:val="FFFFFF" w:themeColor="background1"/>
        </w:rPr>
        <w:t xml:space="preserve"> </w:t>
      </w:r>
      <w:r w:rsidR="008D6A5C" w:rsidRPr="009200A0">
        <w:rPr>
          <w:color w:val="FFFFFF" w:themeColor="background1"/>
        </w:rPr>
        <w:t>(</w:t>
      </w:r>
      <w:r w:rsidR="00DD59B7" w:rsidRPr="009200A0">
        <w:rPr>
          <w:color w:val="FFFFFF" w:themeColor="background1"/>
        </w:rPr>
        <w:t>online</w:t>
      </w:r>
      <w:r w:rsidR="008D6A5C" w:rsidRPr="009200A0">
        <w:rPr>
          <w:color w:val="FFFFFF" w:themeColor="background1"/>
        </w:rPr>
        <w:t>)</w:t>
      </w:r>
    </w:p>
    <w:p w14:paraId="2EED181E" w14:textId="2AB20C3F" w:rsidR="008D6A5C" w:rsidRPr="00507269" w:rsidRDefault="008D6A5C" w:rsidP="009D4D9B">
      <w:pPr>
        <w:pStyle w:val="Heading2"/>
        <w:rPr>
          <w:color w:val="FFFFFF" w:themeColor="background1"/>
        </w:rPr>
      </w:pPr>
      <w:r w:rsidRPr="00507269">
        <w:rPr>
          <w:color w:val="FFFFFF" w:themeColor="background1"/>
        </w:rPr>
        <w:t>Copyright Notice</w:t>
      </w:r>
    </w:p>
    <w:p w14:paraId="4980ACB8" w14:textId="3222054A" w:rsidR="008D6A5C" w:rsidRDefault="008D6A5C" w:rsidP="008D6A5C">
      <w:pPr>
        <w:rPr>
          <w:color w:val="FFFFFF" w:themeColor="background1"/>
        </w:rPr>
      </w:pPr>
      <w:r w:rsidRPr="00507269">
        <w:rPr>
          <w:color w:val="FFFFFF" w:themeColor="background1"/>
        </w:rPr>
        <w:t xml:space="preserve">With the exception of the Commonwealth Coat of Arms, this work is licensed under a Creative Commons Attribution 4.0 International license (CC BY 4.0) </w:t>
      </w:r>
      <w:hyperlink r:id="rId17" w:history="1">
        <w:r>
          <w:rPr>
            <w:rStyle w:val="Hyperlink"/>
            <w:color w:val="FFFFFF" w:themeColor="background1"/>
          </w:rPr>
          <w:t>https://creativecommons.org/licenses/by/4.0/deed.en</w:t>
        </w:r>
      </w:hyperlink>
    </w:p>
    <w:p w14:paraId="671B1219" w14:textId="4DB49382" w:rsidR="008D6A5C" w:rsidRDefault="008D6A5C" w:rsidP="008D6A5C">
      <w:r>
        <w:rPr>
          <w:noProof/>
        </w:rPr>
        <w:drawing>
          <wp:inline distT="0" distB="0" distL="0" distR="0" wp14:anchorId="14922F36" wp14:editId="461BE2EC">
            <wp:extent cx="771146" cy="307849"/>
            <wp:effectExtent l="0" t="0" r="0" b="0"/>
            <wp:docPr id="6" name="Picture 6" descr="Visual of 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29BA3E7B" w14:textId="77777777" w:rsidR="008D6A5C" w:rsidRDefault="008D6A5C">
      <w:pPr>
        <w:spacing w:before="0" w:after="0" w:line="240" w:lineRule="auto"/>
        <w:rPr>
          <w:rFonts w:ascii="Times New Roman" w:hAnsi="Times New Roman"/>
          <w:color w:val="auto"/>
          <w:szCs w:val="20"/>
        </w:rPr>
      </w:pPr>
    </w:p>
    <w:p w14:paraId="34287FF4" w14:textId="77777777" w:rsidR="008D6A5C" w:rsidRPr="00507269" w:rsidRDefault="008D6A5C" w:rsidP="009D4D9B">
      <w:pPr>
        <w:pStyle w:val="Heading2"/>
        <w:rPr>
          <w:b w:val="0"/>
          <w:color w:val="FFFFFF" w:themeColor="background1"/>
        </w:rPr>
      </w:pPr>
      <w:r w:rsidRPr="00507269">
        <w:rPr>
          <w:color w:val="FFFFFF" w:themeColor="background1"/>
        </w:rPr>
        <w:t>Third party copyright</w:t>
      </w:r>
    </w:p>
    <w:p w14:paraId="10C18697" w14:textId="77777777" w:rsidR="008D6A5C" w:rsidRDefault="008D6A5C" w:rsidP="008D6A5C">
      <w:pPr>
        <w:rPr>
          <w:color w:val="FFFFFF" w:themeColor="background1"/>
        </w:rPr>
      </w:pPr>
      <w:r w:rsidRPr="00507269">
        <w:rPr>
          <w:color w:val="FFFFFF" w:themeColor="background1"/>
        </w:rPr>
        <w:t>Wherever a third party holds copyright in this material, the copyright remains with that party. Their permission may be required to use the material. Please contact them directly.</w:t>
      </w:r>
    </w:p>
    <w:p w14:paraId="2F8A0A3E" w14:textId="77777777" w:rsidR="008D6A5C" w:rsidRDefault="008D6A5C">
      <w:pPr>
        <w:spacing w:before="0" w:after="0" w:line="240" w:lineRule="auto"/>
        <w:rPr>
          <w:rFonts w:ascii="Times New Roman" w:hAnsi="Times New Roman"/>
          <w:color w:val="auto"/>
          <w:szCs w:val="20"/>
        </w:rPr>
      </w:pPr>
    </w:p>
    <w:p w14:paraId="62EB3449" w14:textId="77777777" w:rsidR="008D6A5C" w:rsidRPr="00507269" w:rsidRDefault="008D6A5C" w:rsidP="009D4D9B">
      <w:pPr>
        <w:pStyle w:val="Heading2"/>
        <w:rPr>
          <w:color w:val="FFFFFF" w:themeColor="background1"/>
        </w:rPr>
      </w:pPr>
      <w:r w:rsidRPr="00507269">
        <w:rPr>
          <w:color w:val="FFFFFF" w:themeColor="background1"/>
        </w:rPr>
        <w:t>Attribution</w:t>
      </w:r>
    </w:p>
    <w:p w14:paraId="7441B626" w14:textId="68F2FCD6" w:rsidR="008D6A5C" w:rsidRDefault="008D6A5C" w:rsidP="008D6A5C">
      <w:pPr>
        <w:rPr>
          <w:color w:val="FFFFFF" w:themeColor="background1"/>
        </w:rPr>
      </w:pPr>
      <w:r w:rsidRPr="00507269">
        <w:rPr>
          <w:color w:val="FFFFFF" w:themeColor="background1"/>
        </w:rPr>
        <w:t xml:space="preserve">This publication should be attributed as follows: </w:t>
      </w:r>
      <w:r w:rsidRPr="00F82405">
        <w:rPr>
          <w:color w:val="FFFFFF" w:themeColor="background1"/>
        </w:rPr>
        <w:t xml:space="preserve">Nudge vs Superbugs: </w:t>
      </w:r>
      <w:r w:rsidR="00651BB3">
        <w:rPr>
          <w:color w:val="FFFFFF" w:themeColor="background1"/>
        </w:rPr>
        <w:t>12 months on</w:t>
      </w:r>
    </w:p>
    <w:p w14:paraId="6B550540" w14:textId="77777777" w:rsidR="008D6A5C" w:rsidRDefault="008D6A5C">
      <w:pPr>
        <w:spacing w:before="0" w:after="0" w:line="240" w:lineRule="auto"/>
        <w:rPr>
          <w:rFonts w:ascii="Times New Roman" w:hAnsi="Times New Roman"/>
          <w:color w:val="auto"/>
          <w:szCs w:val="20"/>
        </w:rPr>
      </w:pPr>
    </w:p>
    <w:p w14:paraId="1E307E43" w14:textId="77777777" w:rsidR="008D6A5C" w:rsidRPr="00507269" w:rsidRDefault="008D6A5C" w:rsidP="009D4D9B">
      <w:pPr>
        <w:pStyle w:val="Heading2"/>
        <w:rPr>
          <w:color w:val="FFFFFF" w:themeColor="background1"/>
        </w:rPr>
      </w:pPr>
      <w:r w:rsidRPr="00507269">
        <w:rPr>
          <w:color w:val="FFFFFF" w:themeColor="background1"/>
        </w:rPr>
        <w:t>Use of the Coat of Arms</w:t>
      </w:r>
    </w:p>
    <w:p w14:paraId="4568A156" w14:textId="1019A129" w:rsidR="008D6A5C" w:rsidRPr="00507269" w:rsidRDefault="008D6A5C" w:rsidP="008D6A5C">
      <w:pPr>
        <w:rPr>
          <w:rStyle w:val="Hyperlink"/>
          <w:color w:val="FFFFFF" w:themeColor="background1"/>
        </w:rPr>
      </w:pPr>
      <w:r w:rsidRPr="00507269">
        <w:rPr>
          <w:color w:val="FFFFFF" w:themeColor="background1"/>
        </w:rPr>
        <w:t xml:space="preserve">The terms under which the Coat of Arms can be used are detailed on the following website: </w:t>
      </w:r>
      <w:hyperlink r:id="rId19" w:history="1">
        <w:r w:rsidR="00DD59B7" w:rsidRPr="002F6295">
          <w:rPr>
            <w:rStyle w:val="Hyperlink"/>
            <w:rFonts w:ascii="Verdana" w:hAnsi="Verdana"/>
            <w:color w:val="FFFFFF" w:themeColor="background1"/>
            <w:szCs w:val="20"/>
          </w:rPr>
          <w:t>https://www.pmc.gov.au/government/commonwealth-coat-arms</w:t>
        </w:r>
      </w:hyperlink>
    </w:p>
    <w:p w14:paraId="17F5C3A6" w14:textId="77777777" w:rsidR="008D6A5C" w:rsidRDefault="008D6A5C">
      <w:pPr>
        <w:spacing w:before="0" w:after="0" w:line="240" w:lineRule="auto"/>
        <w:rPr>
          <w:rFonts w:ascii="Times New Roman" w:hAnsi="Times New Roman"/>
          <w:color w:val="auto"/>
          <w:szCs w:val="20"/>
        </w:rPr>
      </w:pPr>
    </w:p>
    <w:p w14:paraId="3A2378B8" w14:textId="77777777" w:rsidR="008D6A5C" w:rsidRPr="00507269" w:rsidRDefault="008D6A5C" w:rsidP="009D4D9B">
      <w:pPr>
        <w:pStyle w:val="Heading2"/>
        <w:rPr>
          <w:color w:val="FFFFFF" w:themeColor="background1"/>
        </w:rPr>
      </w:pPr>
      <w:r w:rsidRPr="00507269">
        <w:rPr>
          <w:color w:val="FFFFFF" w:themeColor="background1"/>
        </w:rPr>
        <w:t>Other uses</w:t>
      </w:r>
    </w:p>
    <w:p w14:paraId="7DDAFBD6" w14:textId="77777777" w:rsidR="008D6A5C" w:rsidRPr="00507269" w:rsidRDefault="008D6A5C" w:rsidP="008D6A5C">
      <w:pPr>
        <w:rPr>
          <w:color w:val="FFFFFF" w:themeColor="background1"/>
        </w:rPr>
      </w:pPr>
      <w:r w:rsidRPr="00507269">
        <w:rPr>
          <w:color w:val="FFFFFF" w:themeColor="background1"/>
        </w:rPr>
        <w:t>Enquiries regarding this license and any other use of this document are welcome at:</w:t>
      </w:r>
    </w:p>
    <w:p w14:paraId="54FC4E81" w14:textId="77777777" w:rsidR="008D6A5C" w:rsidRPr="00507269" w:rsidRDefault="008D6A5C" w:rsidP="008D6A5C">
      <w:pPr>
        <w:rPr>
          <w:color w:val="FFFFFF" w:themeColor="background1"/>
        </w:rPr>
      </w:pPr>
      <w:r w:rsidRPr="00507269">
        <w:rPr>
          <w:color w:val="FFFFFF" w:themeColor="background1"/>
        </w:rPr>
        <w:t>Managing Director</w:t>
      </w:r>
      <w:r w:rsidRPr="00507269">
        <w:rPr>
          <w:color w:val="FFFFFF" w:themeColor="background1"/>
        </w:rPr>
        <w:br/>
        <w:t>Behavioural Economics Team of the Australian Government</w:t>
      </w:r>
      <w:r w:rsidRPr="00507269">
        <w:rPr>
          <w:color w:val="FFFFFF" w:themeColor="background1"/>
        </w:rPr>
        <w:br/>
        <w:t>Department of the Prime Minister and Cabinet</w:t>
      </w:r>
      <w:r w:rsidRPr="00507269">
        <w:rPr>
          <w:color w:val="FFFFFF" w:themeColor="background1"/>
        </w:rPr>
        <w:br/>
        <w:t>Barton ACT 2600</w:t>
      </w:r>
      <w:r w:rsidRPr="00507269">
        <w:rPr>
          <w:color w:val="FFFFFF" w:themeColor="background1"/>
        </w:rPr>
        <w:br/>
        <w:t>Email: beta@pmc.gov.au</w:t>
      </w:r>
    </w:p>
    <w:p w14:paraId="6E5C9E2D" w14:textId="77777777" w:rsidR="008D6A5C" w:rsidRDefault="008D6A5C" w:rsidP="008D6A5C">
      <w:pPr>
        <w:rPr>
          <w:color w:val="FFFFFF" w:themeColor="background1"/>
        </w:rPr>
      </w:pPr>
      <w:r w:rsidRPr="00507269">
        <w:rPr>
          <w:color w:val="FFFFFF" w:themeColor="background1"/>
        </w:rPr>
        <w:t xml:space="preserve">The views expressed in this paper are those of the authors and do not necessarily reflect those of the </w:t>
      </w:r>
      <w:r>
        <w:rPr>
          <w:color w:val="FFFFFF" w:themeColor="background1"/>
        </w:rPr>
        <w:t xml:space="preserve">Department of Health, the </w:t>
      </w:r>
      <w:r w:rsidRPr="00507269">
        <w:rPr>
          <w:color w:val="FFFFFF" w:themeColor="background1"/>
        </w:rPr>
        <w:t>Department of the Prime Minister and Cabinet or the Australian Government.</w:t>
      </w:r>
    </w:p>
    <w:p w14:paraId="5D3F1424" w14:textId="77777777" w:rsidR="008D6A5C" w:rsidRPr="00507269" w:rsidRDefault="008D6A5C" w:rsidP="008D6A5C">
      <w:pPr>
        <w:rPr>
          <w:color w:val="FFFFFF" w:themeColor="background1"/>
        </w:rPr>
      </w:pPr>
    </w:p>
    <w:p w14:paraId="7BA3267C" w14:textId="2B3D25A0" w:rsidR="008D6A5C" w:rsidRPr="00D06831" w:rsidRDefault="008D6A5C" w:rsidP="008D6A5C">
      <w:pPr>
        <w:pStyle w:val="WhiteHeading2"/>
      </w:pPr>
      <w:r w:rsidRPr="00D06831">
        <w:t>Project Team</w:t>
      </w:r>
    </w:p>
    <w:p w14:paraId="3D086978" w14:textId="1DE8A640" w:rsidR="008D6A5C" w:rsidRPr="004161D2" w:rsidRDefault="008D6A5C" w:rsidP="008D6A5C">
      <w:pPr>
        <w:rPr>
          <w:color w:val="FFFFFF" w:themeColor="background1"/>
        </w:rPr>
      </w:pPr>
      <w:r w:rsidRPr="004161D2">
        <w:rPr>
          <w:color w:val="FFFFFF" w:themeColor="background1"/>
        </w:rPr>
        <w:t xml:space="preserve">The trial described in this report was a collaborative effort between the </w:t>
      </w:r>
      <w:r w:rsidR="00812B30" w:rsidRPr="00812B30">
        <w:rPr>
          <w:color w:val="FFFFFF" w:themeColor="background1"/>
        </w:rPr>
        <w:t>Behavioural Insights and Evaluation Section</w:t>
      </w:r>
      <w:r w:rsidRPr="004161D2">
        <w:rPr>
          <w:color w:val="FFFFFF" w:themeColor="background1"/>
        </w:rPr>
        <w:t xml:space="preserve"> (Department of Health) and the Behavioural Economics Team of the Australian Government</w:t>
      </w:r>
      <w:r>
        <w:rPr>
          <w:color w:val="FFFFFF" w:themeColor="background1"/>
        </w:rPr>
        <w:t xml:space="preserve"> (Department of the Prime Minister and Cabinet)</w:t>
      </w:r>
      <w:r w:rsidRPr="004161D2">
        <w:rPr>
          <w:color w:val="FFFFFF" w:themeColor="background1"/>
        </w:rPr>
        <w:t>.</w:t>
      </w:r>
    </w:p>
    <w:tbl>
      <w:tblPr>
        <w:tblStyle w:val="TableGrid"/>
        <w:tblW w:w="76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oject Team "/>
        <w:tblDescription w:val="Showing the staff of the Behavioural Economics &amp; Research Team and the Behavioural Economics Team of the Australian Government who collaborated on the project."/>
      </w:tblPr>
      <w:tblGrid>
        <w:gridCol w:w="3544"/>
        <w:gridCol w:w="4136"/>
      </w:tblGrid>
      <w:tr w:rsidR="008D6A5C" w:rsidRPr="004161D2" w14:paraId="01D0490F" w14:textId="77777777" w:rsidTr="002C64A5">
        <w:trPr>
          <w:tblHeader/>
        </w:trPr>
        <w:tc>
          <w:tcPr>
            <w:tcW w:w="3544" w:type="dxa"/>
            <w:tcBorders>
              <w:right w:val="single" w:sz="4" w:space="0" w:color="FFFFFF" w:themeColor="background1"/>
            </w:tcBorders>
          </w:tcPr>
          <w:p w14:paraId="06C2F531" w14:textId="5C03DA49" w:rsidR="008D6A5C" w:rsidRPr="003D2DE8" w:rsidRDefault="00812B30" w:rsidP="002C64A5">
            <w:pPr>
              <w:spacing w:before="39" w:after="39"/>
              <w:rPr>
                <w:b/>
                <w:color w:val="FFFFFF" w:themeColor="background1"/>
              </w:rPr>
            </w:pPr>
            <w:r w:rsidRPr="00812B30">
              <w:rPr>
                <w:b/>
                <w:color w:val="FFFFFF" w:themeColor="background1"/>
              </w:rPr>
              <w:lastRenderedPageBreak/>
              <w:t>Behavioural Insights and Evaluation Section</w:t>
            </w:r>
            <w:r w:rsidR="008D6A5C" w:rsidRPr="003D2DE8">
              <w:rPr>
                <w:b/>
                <w:color w:val="FFFFFF" w:themeColor="background1"/>
              </w:rPr>
              <w:br/>
            </w:r>
            <w:r w:rsidR="008D6A5C" w:rsidRPr="003D2DE8">
              <w:rPr>
                <w:color w:val="FFFFFF" w:themeColor="background1"/>
              </w:rPr>
              <w:t>www.health.gov.au/bert</w:t>
            </w:r>
          </w:p>
          <w:p w14:paraId="00450F0E" w14:textId="77777777" w:rsidR="008D6A5C" w:rsidRPr="004C5DB2" w:rsidRDefault="008D6A5C" w:rsidP="002C64A5">
            <w:pPr>
              <w:spacing w:before="39" w:after="39"/>
              <w:rPr>
                <w:color w:val="FFFFFF" w:themeColor="background1"/>
              </w:rPr>
            </w:pPr>
          </w:p>
          <w:p w14:paraId="745F2CAD" w14:textId="77777777" w:rsidR="008D6A5C" w:rsidRPr="004C5DB2" w:rsidRDefault="008D6A5C" w:rsidP="002C64A5">
            <w:pPr>
              <w:spacing w:before="39" w:after="39"/>
              <w:rPr>
                <w:color w:val="FFFFFF" w:themeColor="background1"/>
              </w:rPr>
            </w:pPr>
            <w:r w:rsidRPr="004C5DB2">
              <w:rPr>
                <w:color w:val="FFFFFF" w:themeColor="background1"/>
              </w:rPr>
              <w:t xml:space="preserve">Ms </w:t>
            </w:r>
            <w:proofErr w:type="spellStart"/>
            <w:r w:rsidRPr="004C5DB2">
              <w:rPr>
                <w:color w:val="FFFFFF" w:themeColor="background1"/>
              </w:rPr>
              <w:t>Tiali</w:t>
            </w:r>
            <w:proofErr w:type="spellEnd"/>
            <w:r w:rsidRPr="004C5DB2">
              <w:rPr>
                <w:color w:val="FFFFFF" w:themeColor="background1"/>
              </w:rPr>
              <w:t xml:space="preserve"> Goodchild</w:t>
            </w:r>
          </w:p>
          <w:p w14:paraId="0241E994" w14:textId="77777777" w:rsidR="008D6A5C" w:rsidRDefault="008D6A5C" w:rsidP="002C64A5">
            <w:pPr>
              <w:spacing w:before="39" w:after="39"/>
              <w:rPr>
                <w:color w:val="FFFFFF" w:themeColor="background1"/>
              </w:rPr>
            </w:pPr>
            <w:r w:rsidRPr="004C5DB2">
              <w:rPr>
                <w:color w:val="FFFFFF" w:themeColor="background1"/>
              </w:rPr>
              <w:t xml:space="preserve">Mr Robert </w:t>
            </w:r>
            <w:proofErr w:type="spellStart"/>
            <w:r w:rsidRPr="004C5DB2">
              <w:rPr>
                <w:color w:val="FFFFFF" w:themeColor="background1"/>
              </w:rPr>
              <w:t>Kinnell</w:t>
            </w:r>
            <w:proofErr w:type="spellEnd"/>
            <w:r w:rsidRPr="004C5DB2">
              <w:rPr>
                <w:color w:val="FFFFFF" w:themeColor="background1"/>
              </w:rPr>
              <w:t xml:space="preserve"> MAPS</w:t>
            </w:r>
          </w:p>
          <w:p w14:paraId="15085B41" w14:textId="77777777" w:rsidR="00241811" w:rsidRPr="00241811" w:rsidRDefault="00241811" w:rsidP="00241811">
            <w:pPr>
              <w:spacing w:before="39" w:after="39"/>
              <w:rPr>
                <w:color w:val="FFFFFF" w:themeColor="background1"/>
              </w:rPr>
            </w:pPr>
            <w:r w:rsidRPr="00241811">
              <w:rPr>
                <w:color w:val="FFFFFF" w:themeColor="background1"/>
              </w:rPr>
              <w:t xml:space="preserve">Ms Erin Thomas </w:t>
            </w:r>
          </w:p>
          <w:p w14:paraId="35AA96E0" w14:textId="63F004F2" w:rsidR="008D6A5C" w:rsidRDefault="008D6A5C" w:rsidP="002C64A5">
            <w:pPr>
              <w:spacing w:before="39" w:after="39"/>
              <w:rPr>
                <w:color w:val="FFFFFF" w:themeColor="background1"/>
              </w:rPr>
            </w:pPr>
            <w:r w:rsidRPr="004C5DB2">
              <w:rPr>
                <w:color w:val="FFFFFF" w:themeColor="background1"/>
              </w:rPr>
              <w:t xml:space="preserve">Ms Lilia Arcos </w:t>
            </w:r>
            <w:proofErr w:type="spellStart"/>
            <w:r w:rsidRPr="004C5DB2">
              <w:rPr>
                <w:color w:val="FFFFFF" w:themeColor="background1"/>
              </w:rPr>
              <w:t>Holzinger</w:t>
            </w:r>
            <w:proofErr w:type="spellEnd"/>
          </w:p>
          <w:p w14:paraId="09FA96A1" w14:textId="7CD948D9" w:rsidR="0049051B" w:rsidRPr="004C5DB2" w:rsidRDefault="0049051B" w:rsidP="002C64A5">
            <w:pPr>
              <w:spacing w:before="39" w:after="39"/>
              <w:rPr>
                <w:color w:val="FFFFFF" w:themeColor="background1"/>
              </w:rPr>
            </w:pPr>
            <w:r w:rsidRPr="004C5DB2">
              <w:rPr>
                <w:color w:val="FFFFFF" w:themeColor="background1"/>
              </w:rPr>
              <w:t xml:space="preserve">Ms Naomi Armstrong </w:t>
            </w:r>
          </w:p>
          <w:p w14:paraId="6C6AED7C" w14:textId="77777777" w:rsidR="008D6A5C" w:rsidRPr="004161D2" w:rsidRDefault="008D6A5C" w:rsidP="002C64A5">
            <w:pPr>
              <w:spacing w:before="39" w:after="39"/>
              <w:rPr>
                <w:color w:val="FFFFFF" w:themeColor="background1"/>
                <w:szCs w:val="20"/>
              </w:rPr>
            </w:pPr>
          </w:p>
        </w:tc>
        <w:tc>
          <w:tcPr>
            <w:tcW w:w="4136" w:type="dxa"/>
            <w:tcBorders>
              <w:top w:val="nil"/>
              <w:left w:val="single" w:sz="4" w:space="0" w:color="FFFFFF" w:themeColor="background1"/>
              <w:bottom w:val="nil"/>
            </w:tcBorders>
          </w:tcPr>
          <w:p w14:paraId="5D25A448" w14:textId="77777777" w:rsidR="008D6A5C" w:rsidRPr="003D2DE8" w:rsidRDefault="008D6A5C" w:rsidP="002C64A5">
            <w:pPr>
              <w:spacing w:before="39" w:after="39"/>
              <w:ind w:left="58"/>
              <w:rPr>
                <w:color w:val="FFFFFF" w:themeColor="background1"/>
              </w:rPr>
            </w:pPr>
            <w:r w:rsidRPr="003D2DE8">
              <w:rPr>
                <w:b/>
                <w:color w:val="FFFFFF" w:themeColor="background1"/>
              </w:rPr>
              <w:t xml:space="preserve">Behavioural Economics Team of </w:t>
            </w:r>
            <w:r>
              <w:rPr>
                <w:b/>
                <w:color w:val="FFFFFF" w:themeColor="background1"/>
              </w:rPr>
              <w:br/>
            </w:r>
            <w:r w:rsidRPr="003D2DE8">
              <w:rPr>
                <w:b/>
                <w:color w:val="FFFFFF" w:themeColor="background1"/>
              </w:rPr>
              <w:t>the Australian Government (BETA)</w:t>
            </w:r>
            <w:r w:rsidRPr="003D2DE8">
              <w:rPr>
                <w:color w:val="FFFFFF" w:themeColor="background1"/>
              </w:rPr>
              <w:br/>
              <w:t>www.pmc.gov.au/beta</w:t>
            </w:r>
          </w:p>
          <w:p w14:paraId="081C5020" w14:textId="77777777" w:rsidR="008D6A5C" w:rsidRPr="003D2DE8" w:rsidRDefault="008D6A5C" w:rsidP="002C64A5">
            <w:pPr>
              <w:spacing w:before="39" w:after="39"/>
              <w:ind w:left="58"/>
              <w:rPr>
                <w:color w:val="FFFFFF" w:themeColor="background1"/>
              </w:rPr>
            </w:pPr>
          </w:p>
          <w:p w14:paraId="413A99AA" w14:textId="77777777" w:rsidR="008D6A5C" w:rsidRPr="003D2DE8" w:rsidRDefault="008D6A5C" w:rsidP="002C64A5">
            <w:pPr>
              <w:spacing w:before="39" w:after="39"/>
              <w:ind w:left="58"/>
              <w:rPr>
                <w:color w:val="FFFFFF" w:themeColor="background1"/>
              </w:rPr>
            </w:pPr>
            <w:r w:rsidRPr="003D2DE8">
              <w:rPr>
                <w:color w:val="FFFFFF" w:themeColor="background1"/>
              </w:rPr>
              <w:t>Prof Michael Hiscox</w:t>
            </w:r>
          </w:p>
          <w:p w14:paraId="0025F7E3" w14:textId="77777777" w:rsidR="008D6A5C" w:rsidRPr="003D2DE8" w:rsidRDefault="008D6A5C" w:rsidP="002C64A5">
            <w:pPr>
              <w:spacing w:before="39" w:after="39"/>
              <w:ind w:left="58"/>
              <w:rPr>
                <w:color w:val="FFFFFF" w:themeColor="background1"/>
              </w:rPr>
            </w:pPr>
            <w:r w:rsidRPr="003D2DE8">
              <w:rPr>
                <w:color w:val="FFFFFF" w:themeColor="background1"/>
              </w:rPr>
              <w:t>Dr Scott Copley</w:t>
            </w:r>
          </w:p>
          <w:p w14:paraId="4BA36CDF" w14:textId="77777777" w:rsidR="008D6A5C" w:rsidRPr="003D2DE8" w:rsidRDefault="008D6A5C" w:rsidP="002C64A5">
            <w:pPr>
              <w:spacing w:before="39" w:after="39"/>
              <w:ind w:left="58"/>
              <w:rPr>
                <w:color w:val="FFFFFF" w:themeColor="background1"/>
              </w:rPr>
            </w:pPr>
            <w:r w:rsidRPr="003D2DE8">
              <w:rPr>
                <w:color w:val="FFFFFF" w:themeColor="background1"/>
              </w:rPr>
              <w:t>Dr Jacqui Brewer</w:t>
            </w:r>
          </w:p>
          <w:p w14:paraId="579483B3" w14:textId="77777777" w:rsidR="008D6A5C" w:rsidRPr="003D2DE8" w:rsidRDefault="008D6A5C" w:rsidP="002C64A5">
            <w:pPr>
              <w:spacing w:before="39" w:after="39"/>
              <w:ind w:left="58"/>
              <w:rPr>
                <w:color w:val="FFFFFF" w:themeColor="background1"/>
              </w:rPr>
            </w:pPr>
            <w:r w:rsidRPr="003D2DE8">
              <w:rPr>
                <w:color w:val="FFFFFF" w:themeColor="background1"/>
              </w:rPr>
              <w:t>Ms Amy Fulham</w:t>
            </w:r>
          </w:p>
          <w:p w14:paraId="778D4656" w14:textId="77777777" w:rsidR="008D6A5C" w:rsidRPr="004161D2" w:rsidRDefault="008D6A5C" w:rsidP="002C64A5">
            <w:pPr>
              <w:spacing w:before="39" w:after="39"/>
              <w:rPr>
                <w:color w:val="FFFFFF" w:themeColor="background1"/>
                <w:szCs w:val="20"/>
              </w:rPr>
            </w:pPr>
          </w:p>
        </w:tc>
      </w:tr>
    </w:tbl>
    <w:p w14:paraId="2E8F62A6" w14:textId="1CEAFE58" w:rsidR="008D6A5C" w:rsidRPr="004161D2" w:rsidRDefault="002F6295" w:rsidP="009D4D9B">
      <w:pPr>
        <w:pStyle w:val="Heading2"/>
        <w:rPr>
          <w:color w:val="FFFFFF" w:themeColor="background1"/>
        </w:rPr>
      </w:pPr>
      <w:r w:rsidRPr="005D17D0">
        <w:rPr>
          <w:noProof/>
        </w:rPr>
        <mc:AlternateContent>
          <mc:Choice Requires="wps">
            <w:drawing>
              <wp:anchor distT="0" distB="0" distL="114300" distR="114300" simplePos="0" relativeHeight="251660289" behindDoc="1" locked="0" layoutInCell="1" allowOverlap="1" wp14:anchorId="1C2D3DA0" wp14:editId="096051E0">
                <wp:simplePos x="0" y="0"/>
                <wp:positionH relativeFrom="page">
                  <wp:posOffset>-3286</wp:posOffset>
                </wp:positionH>
                <wp:positionV relativeFrom="page">
                  <wp:posOffset>-9552</wp:posOffset>
                </wp:positionV>
                <wp:extent cx="7559675" cy="10691495"/>
                <wp:effectExtent l="0" t="0" r="3175" b="0"/>
                <wp:wrapNone/>
                <wp:docPr id="11" name="Rectangle 11" descr="&quot; &quot;"/>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1A2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3D8E2" id="Rectangle 11" o:spid="_x0000_s1026" alt="&quot; &quot;" style="position:absolute;margin-left:-.25pt;margin-top:-.75pt;width:595.25pt;height:841.8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" fillcolor="#1a2a39" stroked="f" strokeweight="2pt">
                <w10:wrap anchorx="page" anchory="page"/>
              </v:rect>
            </w:pict>
          </mc:Fallback>
        </mc:AlternateContent>
      </w:r>
      <w:r w:rsidR="008D6A5C" w:rsidRPr="004161D2">
        <w:rPr>
          <w:color w:val="FFFFFF" w:themeColor="background1"/>
        </w:rPr>
        <w:t>Acknowledgments</w:t>
      </w:r>
    </w:p>
    <w:p w14:paraId="4DC83580" w14:textId="1569F50F" w:rsidR="008D6A5C" w:rsidRPr="004161D2" w:rsidRDefault="008D6A5C" w:rsidP="008D6A5C">
      <w:pPr>
        <w:rPr>
          <w:color w:val="FFFFFF" w:themeColor="background1"/>
        </w:rPr>
      </w:pPr>
      <w:r w:rsidRPr="004161D2">
        <w:rPr>
          <w:color w:val="FFFFFF" w:themeColor="background1"/>
        </w:rPr>
        <w:t>The project team would like to thank Professor Brendan Murphy, Australia’s Chief Medical Officer</w:t>
      </w:r>
      <w:r>
        <w:rPr>
          <w:color w:val="FFFFFF" w:themeColor="background1"/>
        </w:rPr>
        <w:t>,</w:t>
      </w:r>
      <w:r w:rsidRPr="004161D2">
        <w:rPr>
          <w:color w:val="FFFFFF" w:themeColor="background1"/>
        </w:rPr>
        <w:t xml:space="preserve"> Mr</w:t>
      </w:r>
      <w:r w:rsidR="00B36A67">
        <w:rPr>
          <w:color w:val="FFFFFF" w:themeColor="background1"/>
        </w:rPr>
        <w:t> </w:t>
      </w:r>
      <w:r w:rsidRPr="004161D2">
        <w:rPr>
          <w:color w:val="FFFFFF" w:themeColor="background1"/>
        </w:rPr>
        <w:t xml:space="preserve">Simon </w:t>
      </w:r>
      <w:proofErr w:type="spellStart"/>
      <w:r w:rsidRPr="004161D2">
        <w:rPr>
          <w:color w:val="FFFFFF" w:themeColor="background1"/>
        </w:rPr>
        <w:t>Cotterell</w:t>
      </w:r>
      <w:proofErr w:type="spellEnd"/>
      <w:r w:rsidRPr="004161D2">
        <w:rPr>
          <w:color w:val="FFFFFF" w:themeColor="background1"/>
        </w:rPr>
        <w:t xml:space="preserve"> PSM, First Assistant Secretary of the Provider Benefits Integrity Division</w:t>
      </w:r>
      <w:r w:rsidR="00B36A67">
        <w:rPr>
          <w:color w:val="FFFFFF" w:themeColor="background1"/>
        </w:rPr>
        <w:t xml:space="preserve"> and Ms Sharon Appleyard, </w:t>
      </w:r>
      <w:r w:rsidR="00B36A67" w:rsidRPr="004161D2">
        <w:rPr>
          <w:color w:val="FFFFFF" w:themeColor="background1"/>
        </w:rPr>
        <w:t xml:space="preserve">First Assistant Secretary of the </w:t>
      </w:r>
      <w:r w:rsidR="00B36A67">
        <w:rPr>
          <w:color w:val="FFFFFF" w:themeColor="background1"/>
        </w:rPr>
        <w:t>Office of Health Protection</w:t>
      </w:r>
      <w:r w:rsidRPr="004161D2">
        <w:rPr>
          <w:color w:val="FFFFFF" w:themeColor="background1"/>
        </w:rPr>
        <w:t>. Without their valuable support and assistance</w:t>
      </w:r>
      <w:r w:rsidR="007D4F39">
        <w:rPr>
          <w:color w:val="FFFFFF" w:themeColor="background1"/>
        </w:rPr>
        <w:t xml:space="preserve"> </w:t>
      </w:r>
      <w:r w:rsidRPr="004161D2">
        <w:rPr>
          <w:color w:val="FFFFFF" w:themeColor="background1"/>
        </w:rPr>
        <w:t>this project would not have happened.</w:t>
      </w:r>
    </w:p>
    <w:p w14:paraId="14B94D03" w14:textId="77777777" w:rsidR="008D6A5C" w:rsidRPr="004161D2" w:rsidRDefault="008D6A5C" w:rsidP="008D6A5C">
      <w:pPr>
        <w:rPr>
          <w:color w:val="FFFFFF" w:themeColor="background1"/>
        </w:rPr>
      </w:pPr>
      <w:r w:rsidRPr="004161D2">
        <w:rPr>
          <w:color w:val="FFFFFF" w:themeColor="background1"/>
        </w:rPr>
        <w:t>Thank you also to:</w:t>
      </w:r>
    </w:p>
    <w:p w14:paraId="23CC39F1" w14:textId="77777777" w:rsidR="008D6A5C" w:rsidRPr="004161D2" w:rsidRDefault="008D6A5C" w:rsidP="008D6A5C">
      <w:pPr>
        <w:rPr>
          <w:color w:val="FFFFFF" w:themeColor="background1"/>
        </w:rPr>
      </w:pPr>
      <w:r>
        <w:rPr>
          <w:color w:val="FFFFFF" w:themeColor="background1"/>
        </w:rPr>
        <w:t>National Prescribing Service</w:t>
      </w:r>
      <w:r w:rsidRPr="004161D2">
        <w:rPr>
          <w:color w:val="FFFFFF" w:themeColor="background1"/>
        </w:rPr>
        <w:t xml:space="preserve"> MedicineWise for their assistance, and the use of posters, website material and the Respiratory Tract Infection Action Plan.</w:t>
      </w:r>
    </w:p>
    <w:p w14:paraId="6CD7A1D3" w14:textId="3A7223BB" w:rsidR="008D6A5C" w:rsidRPr="004161D2" w:rsidRDefault="008D6A5C" w:rsidP="008D6A5C">
      <w:pPr>
        <w:rPr>
          <w:color w:val="FFFFFF" w:themeColor="background1"/>
        </w:rPr>
      </w:pPr>
      <w:r w:rsidRPr="004161D2">
        <w:rPr>
          <w:color w:val="FFFFFF" w:themeColor="background1"/>
        </w:rPr>
        <w:t>The Medical Advisers from Provider Benefits Integrity Division</w:t>
      </w:r>
      <w:r w:rsidRPr="004161D2" w:rsidDel="00A6293D">
        <w:rPr>
          <w:color w:val="FFFFFF" w:themeColor="background1"/>
        </w:rPr>
        <w:t xml:space="preserve"> </w:t>
      </w:r>
      <w:r w:rsidRPr="004161D2">
        <w:rPr>
          <w:color w:val="FFFFFF" w:themeColor="background1"/>
        </w:rPr>
        <w:t>for their advice and assistance, with special thanks to Dr David Rankin.</w:t>
      </w:r>
    </w:p>
    <w:p w14:paraId="2767FC3D" w14:textId="77777777" w:rsidR="008D6A5C" w:rsidRPr="004161D2" w:rsidRDefault="008D6A5C" w:rsidP="008D6A5C">
      <w:pPr>
        <w:rPr>
          <w:color w:val="FFFFFF" w:themeColor="background1"/>
        </w:rPr>
      </w:pPr>
      <w:r w:rsidRPr="004161D2">
        <w:rPr>
          <w:color w:val="FFFFFF" w:themeColor="background1"/>
        </w:rPr>
        <w:t>Mr Scott Pryor from Provider Benefits Integrity Division</w:t>
      </w:r>
      <w:r>
        <w:rPr>
          <w:color w:val="FFFFFF" w:themeColor="background1"/>
        </w:rPr>
        <w:t>’s</w:t>
      </w:r>
      <w:r w:rsidRPr="004161D2" w:rsidDel="00A6293D">
        <w:rPr>
          <w:color w:val="FFFFFF" w:themeColor="background1"/>
        </w:rPr>
        <w:t xml:space="preserve"> </w:t>
      </w:r>
      <w:r w:rsidRPr="004161D2">
        <w:rPr>
          <w:color w:val="FFFFFF" w:themeColor="background1"/>
        </w:rPr>
        <w:t>data analytics team.</w:t>
      </w:r>
    </w:p>
    <w:p w14:paraId="5B4468E1" w14:textId="77777777" w:rsidR="008D6A5C" w:rsidRPr="004161D2" w:rsidRDefault="008D6A5C" w:rsidP="008D6A5C">
      <w:pPr>
        <w:rPr>
          <w:color w:val="FFFFFF" w:themeColor="background1"/>
        </w:rPr>
      </w:pPr>
      <w:r w:rsidRPr="004161D2">
        <w:rPr>
          <w:color w:val="FFFFFF" w:themeColor="background1"/>
        </w:rPr>
        <w:t>Our other colleagues in the Department of Health with special thanks to the Office of Health Protection, Health Call Centre staff, and the Technology Assessment and Access Division.</w:t>
      </w:r>
    </w:p>
    <w:p w14:paraId="6A786CD5" w14:textId="77777777" w:rsidR="008D6A5C" w:rsidRDefault="008D6A5C" w:rsidP="008D6A5C">
      <w:pPr>
        <w:rPr>
          <w:color w:val="FFFFFF" w:themeColor="background1"/>
        </w:rPr>
      </w:pPr>
      <w:r w:rsidRPr="004161D2">
        <w:rPr>
          <w:color w:val="FFFFFF" w:themeColor="background1"/>
        </w:rPr>
        <w:t>We would also like to acknowledge those organisations we consulted on the project including the Australian Medical Association, Royal Australian College of General Practitioners and the Australian College of Rural and Remote Medicine.</w:t>
      </w:r>
    </w:p>
    <w:p w14:paraId="775EF821" w14:textId="1A5A3A6E" w:rsidR="008D6A5C" w:rsidRDefault="008D6A5C" w:rsidP="008D6A5C">
      <w:pPr>
        <w:spacing w:before="0" w:after="0" w:line="240" w:lineRule="auto"/>
        <w:rPr>
          <w:rFonts w:ascii="Times New Roman" w:hAnsi="Times New Roman"/>
          <w:color w:val="auto"/>
          <w:szCs w:val="20"/>
        </w:rPr>
      </w:pPr>
    </w:p>
    <w:sectPr w:rsidR="008D6A5C" w:rsidSect="00156D74">
      <w:headerReference w:type="default" r:id="rId20"/>
      <w:footerReference w:type="default" r:id="rId21"/>
      <w:pgSz w:w="11906" w:h="16838" w:code="9"/>
      <w:pgMar w:top="1028" w:right="1676" w:bottom="539" w:left="1247" w:header="540"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537C" w14:textId="77777777" w:rsidR="002C33FF" w:rsidRDefault="002C33FF">
      <w:r>
        <w:separator/>
      </w:r>
    </w:p>
  </w:endnote>
  <w:endnote w:type="continuationSeparator" w:id="0">
    <w:p w14:paraId="42EEAE7D" w14:textId="77777777" w:rsidR="002C33FF" w:rsidRDefault="002C33FF">
      <w:r>
        <w:continuationSeparator/>
      </w:r>
    </w:p>
  </w:endnote>
  <w:endnote w:type="continuationNotice" w:id="1">
    <w:p w14:paraId="3B566A40" w14:textId="77777777" w:rsidR="002C33FF" w:rsidRDefault="002C33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Open 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D8AC" w14:textId="77777777" w:rsidR="0057176E" w:rsidRDefault="00571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6378" w14:textId="77777777" w:rsidR="0057176E" w:rsidRDefault="00571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807B" w14:textId="3BC0DFAB" w:rsidR="000A2978" w:rsidRDefault="000A2978" w:rsidP="00646904">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EEFA" w14:textId="450F2216" w:rsidR="000A2978" w:rsidRPr="00156D74" w:rsidRDefault="000A2978" w:rsidP="00156D74">
    <w:pPr>
      <w:pStyle w:val="Footer"/>
    </w:pPr>
    <w:r w:rsidRPr="00156D74">
      <w:tab/>
    </w:r>
    <w:r w:rsidRPr="00156D74">
      <w:tab/>
    </w:r>
    <w:r w:rsidRPr="00156D74">
      <w:tab/>
    </w:r>
    <w:r w:rsidRPr="00156D74">
      <w:fldChar w:fldCharType="begin"/>
    </w:r>
    <w:r w:rsidRPr="00156D74">
      <w:instrText xml:space="preserve"> PAGE   \* MERGEFORMAT </w:instrText>
    </w:r>
    <w:r w:rsidRPr="00156D74">
      <w:fldChar w:fldCharType="separate"/>
    </w:r>
    <w:r w:rsidR="0057176E">
      <w:t>1</w:t>
    </w:r>
    <w:r w:rsidRPr="00156D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38E5" w14:textId="77777777" w:rsidR="002C33FF" w:rsidRDefault="002C33FF">
      <w:r>
        <w:separator/>
      </w:r>
    </w:p>
  </w:footnote>
  <w:footnote w:type="continuationSeparator" w:id="0">
    <w:p w14:paraId="0EAEEEC8" w14:textId="77777777" w:rsidR="002C33FF" w:rsidRDefault="002C33FF">
      <w:r>
        <w:continuationSeparator/>
      </w:r>
    </w:p>
  </w:footnote>
  <w:footnote w:type="continuationNotice" w:id="1">
    <w:p w14:paraId="10AA4730" w14:textId="77777777" w:rsidR="002C33FF" w:rsidRDefault="002C33FF">
      <w:pPr>
        <w:spacing w:before="0" w:after="0" w:line="240" w:lineRule="auto"/>
      </w:pPr>
    </w:p>
  </w:footnote>
  <w:footnote w:id="2">
    <w:p w14:paraId="1798FE84" w14:textId="1265921B" w:rsidR="000A2978" w:rsidRDefault="000A2978">
      <w:pPr>
        <w:pStyle w:val="FootnoteText"/>
      </w:pPr>
      <w:r w:rsidRPr="00513833">
        <w:rPr>
          <w:rStyle w:val="FootnoteReference"/>
          <w:sz w:val="20"/>
        </w:rPr>
        <w:footnoteRef/>
      </w:r>
      <w:r w:rsidRPr="00513833">
        <w:rPr>
          <w:sz w:val="20"/>
        </w:rPr>
        <w:t xml:space="preserve"> </w:t>
      </w:r>
      <w:r w:rsidRPr="00513833">
        <w:rPr>
          <w:sz w:val="16"/>
        </w:rPr>
        <w:t>The Review on Antimicrobial Resistance, Antimicrobial Resistance: Tackling a crisis for the health and wealth of nations. 2014</w:t>
      </w:r>
    </w:p>
  </w:footnote>
  <w:footnote w:id="3">
    <w:p w14:paraId="1E77FF3F" w14:textId="6E04AA64" w:rsidR="000A2978" w:rsidRPr="00AF6846" w:rsidRDefault="000A2978" w:rsidP="00156D74">
      <w:pPr>
        <w:pStyle w:val="FootnoteText"/>
        <w:rPr>
          <w:sz w:val="16"/>
          <w:szCs w:val="16"/>
          <w:lang w:val="en-US"/>
        </w:rPr>
      </w:pPr>
      <w:r w:rsidRPr="00AF6846">
        <w:rPr>
          <w:rStyle w:val="FootnoteReference"/>
          <w:sz w:val="20"/>
        </w:rPr>
        <w:footnoteRef/>
      </w:r>
      <w:r w:rsidRPr="00AF6846">
        <w:rPr>
          <w:rStyle w:val="FootnoteReference"/>
          <w:sz w:val="20"/>
        </w:rPr>
        <w:t xml:space="preserve"> </w:t>
      </w:r>
      <w:r w:rsidRPr="00156D74">
        <w:rPr>
          <w:sz w:val="16"/>
        </w:rPr>
        <w:t>Australian Commission on Safety and Quality in Health Care (ACSQHC). AURA 2017: second Australian report on antimicrobial use and resistance in human health. Sydney: ACSQHC; 2017.</w:t>
      </w:r>
    </w:p>
  </w:footnote>
  <w:footnote w:id="4">
    <w:p w14:paraId="2DB1A582" w14:textId="1B4AEE36" w:rsidR="000A2978" w:rsidRPr="003A74E3" w:rsidRDefault="000A2978" w:rsidP="003A74E3">
      <w:pPr>
        <w:pStyle w:val="FootnoteText"/>
        <w:rPr>
          <w:lang w:val="en-US"/>
        </w:rPr>
      </w:pPr>
      <w:r w:rsidRPr="00513833">
        <w:rPr>
          <w:rStyle w:val="FootnoteReference"/>
          <w:sz w:val="20"/>
        </w:rPr>
        <w:footnoteRef/>
      </w:r>
      <w:r w:rsidRPr="00513833">
        <w:rPr>
          <w:sz w:val="16"/>
        </w:rPr>
        <w:t xml:space="preserve"> We report results for the twelve</w:t>
      </w:r>
      <w:r>
        <w:rPr>
          <w:sz w:val="16"/>
        </w:rPr>
        <w:t>-</w:t>
      </w:r>
      <w:r w:rsidRPr="00513833">
        <w:rPr>
          <w:sz w:val="16"/>
        </w:rPr>
        <w:t>month trial period (July 2017 to June 2018) and the three</w:t>
      </w:r>
      <w:r>
        <w:rPr>
          <w:sz w:val="16"/>
        </w:rPr>
        <w:t>-</w:t>
      </w:r>
      <w:r w:rsidRPr="00513833">
        <w:rPr>
          <w:sz w:val="16"/>
        </w:rPr>
        <w:t>month post-trial period (July to September 2018) separately. This reflects our pre-analysis plan, in which we committed to a twelve</w:t>
      </w:r>
      <w:r>
        <w:rPr>
          <w:sz w:val="16"/>
        </w:rPr>
        <w:t>-</w:t>
      </w:r>
      <w:r w:rsidRPr="00513833">
        <w:rPr>
          <w:sz w:val="16"/>
        </w:rPr>
        <w:t>month primary analysis. The additional three month post-trial analyses should therefore be considered exploratory.</w:t>
      </w:r>
    </w:p>
  </w:footnote>
  <w:footnote w:id="5">
    <w:p w14:paraId="509D7C35" w14:textId="77777777" w:rsidR="000A2978" w:rsidRPr="00513833" w:rsidRDefault="000A2978" w:rsidP="00F10622">
      <w:pPr>
        <w:pStyle w:val="FootnoteText"/>
        <w:rPr>
          <w:sz w:val="16"/>
          <w:lang w:val="en-US"/>
        </w:rPr>
      </w:pPr>
      <w:r w:rsidRPr="00513833">
        <w:rPr>
          <w:rStyle w:val="FootnoteReference"/>
          <w:sz w:val="20"/>
        </w:rPr>
        <w:footnoteRef/>
      </w:r>
      <w:r>
        <w:t xml:space="preserve"> </w:t>
      </w:r>
      <w:r w:rsidRPr="00513833">
        <w:rPr>
          <w:sz w:val="16"/>
          <w:lang w:val="en-US"/>
        </w:rPr>
        <w:t>The six-month results presented here are slightly different from the results presented in the first report. This is because we received an updated dataset and have re-run the analysis on this basis. The overall pattern and qualitative findings of results are the same.</w:t>
      </w:r>
    </w:p>
  </w:footnote>
  <w:footnote w:id="6">
    <w:p w14:paraId="49F2079B" w14:textId="1DC4BDC4" w:rsidR="000A2978" w:rsidRPr="001867FB" w:rsidRDefault="000A2978">
      <w:pPr>
        <w:pStyle w:val="FootnoteText"/>
        <w:rPr>
          <w:vertAlign w:val="superscript"/>
        </w:rPr>
      </w:pPr>
      <w:r w:rsidRPr="00513833">
        <w:rPr>
          <w:rStyle w:val="FootnoteReference"/>
          <w:sz w:val="20"/>
        </w:rPr>
        <w:footnoteRef/>
      </w:r>
      <w:r w:rsidRPr="00513833">
        <w:rPr>
          <w:rStyle w:val="FootnoteReference"/>
          <w:sz w:val="20"/>
        </w:rPr>
        <w:t xml:space="preserve"> </w:t>
      </w:r>
      <w:r w:rsidRPr="00513833">
        <w:rPr>
          <w:rStyle w:val="FootnoteReference"/>
          <w:sz w:val="16"/>
          <w:vertAlign w:val="baseline"/>
        </w:rPr>
        <w:t>There is ongoing academic debate about how (or whether) to test for statistical significance (Wasserstein and Lazar, 2016). When we state a result is ‘statistically significant’, this means we judge the result to be a real effect, not a chance finding. Our assessment is based on, amongst other things, the ‘p-value’, the effect size, consistency with past evidence and theory, and any deviations from our pre-analysis plan. Wasserstein, R.L. and Lazar, N.A., 2016. The ASA’s statement on p-values: context, process, and purpose. The American Statistician, 70(2), pp.129-133.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B383" w14:textId="77777777" w:rsidR="0057176E" w:rsidRDefault="00571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9B4B" w14:textId="77777777" w:rsidR="0057176E" w:rsidRDefault="00571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3757" w14:textId="04268488" w:rsidR="000A2978" w:rsidRDefault="000A2978">
    <w:pPr>
      <w:pStyle w:val="Header"/>
    </w:pPr>
    <w:r>
      <w:rPr>
        <w:noProof/>
      </w:rPr>
      <w:drawing>
        <wp:anchor distT="0" distB="0" distL="114300" distR="114300" simplePos="0" relativeHeight="251658240" behindDoc="1" locked="0" layoutInCell="1" allowOverlap="1" wp14:anchorId="5679A44E" wp14:editId="35CB3361">
          <wp:simplePos x="0" y="0"/>
          <wp:positionH relativeFrom="column">
            <wp:posOffset>-519430</wp:posOffset>
          </wp:positionH>
          <wp:positionV relativeFrom="paragraph">
            <wp:posOffset>-345966</wp:posOffset>
          </wp:positionV>
          <wp:extent cx="7605244" cy="10746956"/>
          <wp:effectExtent l="0" t="0" r="0" b="0"/>
          <wp:wrapNone/>
          <wp:docPr id="16" name="Picture 16"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5244" cy="10746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3BD2" w14:textId="77777777" w:rsidR="000A2978" w:rsidRDefault="000A2978" w:rsidP="00646904">
    <w:pPr>
      <w:pStyle w:val="Header"/>
    </w:pPr>
  </w:p>
  <w:p w14:paraId="2E94BF4A" w14:textId="7A3088F3" w:rsidR="000A2978" w:rsidRPr="00646904" w:rsidRDefault="000A2978" w:rsidP="00646904">
    <w:pPr>
      <w:pStyle w:val="Header"/>
    </w:pPr>
    <w:r w:rsidRPr="003D2DE8">
      <w:t>Nudge vs superbugs</w:t>
    </w:r>
    <w:r>
      <w:t>: 12 months on</w:t>
    </w:r>
    <w:r w:rsidRPr="003D2D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1A3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CCE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A148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DA10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722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CDD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EBEA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B0AC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7043B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9E08B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E91FE4"/>
    <w:multiLevelType w:val="hybridMultilevel"/>
    <w:tmpl w:val="698A3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4F0389"/>
    <w:multiLevelType w:val="hybridMultilevel"/>
    <w:tmpl w:val="CC42AB64"/>
    <w:lvl w:ilvl="0" w:tplc="A41A1F5A">
      <w:start w:val="1"/>
      <w:numFmt w:val="bullet"/>
      <w:pStyle w:val="GreyBodyFrameBullet"/>
      <w:lvlText w:val=""/>
      <w:lvlJc w:val="left"/>
      <w:pPr>
        <w:ind w:left="5724" w:hanging="360"/>
      </w:pPr>
      <w:rPr>
        <w:rFonts w:ascii="Symbol" w:hAnsi="Symbol" w:hint="default"/>
      </w:rPr>
    </w:lvl>
    <w:lvl w:ilvl="1" w:tplc="0C090003" w:tentative="1">
      <w:start w:val="1"/>
      <w:numFmt w:val="bullet"/>
      <w:lvlText w:val="o"/>
      <w:lvlJc w:val="left"/>
      <w:pPr>
        <w:ind w:left="6444" w:hanging="360"/>
      </w:pPr>
      <w:rPr>
        <w:rFonts w:ascii="Courier New" w:hAnsi="Courier New" w:cs="Courier New" w:hint="default"/>
      </w:rPr>
    </w:lvl>
    <w:lvl w:ilvl="2" w:tplc="0C090005" w:tentative="1">
      <w:start w:val="1"/>
      <w:numFmt w:val="bullet"/>
      <w:lvlText w:val=""/>
      <w:lvlJc w:val="left"/>
      <w:pPr>
        <w:ind w:left="7164" w:hanging="360"/>
      </w:pPr>
      <w:rPr>
        <w:rFonts w:ascii="Wingdings" w:hAnsi="Wingdings" w:hint="default"/>
      </w:rPr>
    </w:lvl>
    <w:lvl w:ilvl="3" w:tplc="0C090001" w:tentative="1">
      <w:start w:val="1"/>
      <w:numFmt w:val="bullet"/>
      <w:lvlText w:val=""/>
      <w:lvlJc w:val="left"/>
      <w:pPr>
        <w:ind w:left="7884" w:hanging="360"/>
      </w:pPr>
      <w:rPr>
        <w:rFonts w:ascii="Symbol" w:hAnsi="Symbol" w:hint="default"/>
      </w:rPr>
    </w:lvl>
    <w:lvl w:ilvl="4" w:tplc="0C090003" w:tentative="1">
      <w:start w:val="1"/>
      <w:numFmt w:val="bullet"/>
      <w:lvlText w:val="o"/>
      <w:lvlJc w:val="left"/>
      <w:pPr>
        <w:ind w:left="8604" w:hanging="360"/>
      </w:pPr>
      <w:rPr>
        <w:rFonts w:ascii="Courier New" w:hAnsi="Courier New" w:cs="Courier New" w:hint="default"/>
      </w:rPr>
    </w:lvl>
    <w:lvl w:ilvl="5" w:tplc="0C090005" w:tentative="1">
      <w:start w:val="1"/>
      <w:numFmt w:val="bullet"/>
      <w:lvlText w:val=""/>
      <w:lvlJc w:val="left"/>
      <w:pPr>
        <w:ind w:left="9324" w:hanging="360"/>
      </w:pPr>
      <w:rPr>
        <w:rFonts w:ascii="Wingdings" w:hAnsi="Wingdings" w:hint="default"/>
      </w:rPr>
    </w:lvl>
    <w:lvl w:ilvl="6" w:tplc="0C090001" w:tentative="1">
      <w:start w:val="1"/>
      <w:numFmt w:val="bullet"/>
      <w:lvlText w:val=""/>
      <w:lvlJc w:val="left"/>
      <w:pPr>
        <w:ind w:left="10044" w:hanging="360"/>
      </w:pPr>
      <w:rPr>
        <w:rFonts w:ascii="Symbol" w:hAnsi="Symbol" w:hint="default"/>
      </w:rPr>
    </w:lvl>
    <w:lvl w:ilvl="7" w:tplc="0C090003" w:tentative="1">
      <w:start w:val="1"/>
      <w:numFmt w:val="bullet"/>
      <w:lvlText w:val="o"/>
      <w:lvlJc w:val="left"/>
      <w:pPr>
        <w:ind w:left="10764" w:hanging="360"/>
      </w:pPr>
      <w:rPr>
        <w:rFonts w:ascii="Courier New" w:hAnsi="Courier New" w:cs="Courier New" w:hint="default"/>
      </w:rPr>
    </w:lvl>
    <w:lvl w:ilvl="8" w:tplc="0C090005" w:tentative="1">
      <w:start w:val="1"/>
      <w:numFmt w:val="bullet"/>
      <w:lvlText w:val=""/>
      <w:lvlJc w:val="left"/>
      <w:pPr>
        <w:ind w:left="11484" w:hanging="360"/>
      </w:pPr>
      <w:rPr>
        <w:rFonts w:ascii="Wingdings" w:hAnsi="Wingdings" w:hint="default"/>
      </w:rPr>
    </w:lvl>
  </w:abstractNum>
  <w:abstractNum w:abstractNumId="13" w15:restartNumberingAfterBreak="0">
    <w:nsid w:val="0F722891"/>
    <w:multiLevelType w:val="hybridMultilevel"/>
    <w:tmpl w:val="E1008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1B0C05"/>
    <w:multiLevelType w:val="hybridMultilevel"/>
    <w:tmpl w:val="79648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0B041F"/>
    <w:multiLevelType w:val="hybridMultilevel"/>
    <w:tmpl w:val="3C9EC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AA2C1D"/>
    <w:multiLevelType w:val="hybridMultilevel"/>
    <w:tmpl w:val="57B076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686742"/>
    <w:multiLevelType w:val="hybridMultilevel"/>
    <w:tmpl w:val="36B2B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9629B6"/>
    <w:multiLevelType w:val="hybridMultilevel"/>
    <w:tmpl w:val="130E80E2"/>
    <w:lvl w:ilvl="0" w:tplc="C50E4592">
      <w:start w:val="1"/>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AD1567E"/>
    <w:multiLevelType w:val="hybridMultilevel"/>
    <w:tmpl w:val="AB70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51B77"/>
    <w:multiLevelType w:val="hybridMultilevel"/>
    <w:tmpl w:val="30BE5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7F4141"/>
    <w:multiLevelType w:val="hybridMultilevel"/>
    <w:tmpl w:val="F4C2522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A43429"/>
    <w:multiLevelType w:val="hybridMultilevel"/>
    <w:tmpl w:val="694644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ED016A"/>
    <w:multiLevelType w:val="hybridMultilevel"/>
    <w:tmpl w:val="FB8E303C"/>
    <w:lvl w:ilvl="0" w:tplc="57E67816">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4" w15:restartNumberingAfterBreak="0">
    <w:nsid w:val="55AD2006"/>
    <w:multiLevelType w:val="hybridMultilevel"/>
    <w:tmpl w:val="710A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20035"/>
    <w:multiLevelType w:val="hybridMultilevel"/>
    <w:tmpl w:val="2BAA6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C756F7"/>
    <w:multiLevelType w:val="hybridMultilevel"/>
    <w:tmpl w:val="2788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24CD8"/>
    <w:multiLevelType w:val="hybridMultilevel"/>
    <w:tmpl w:val="7AD0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85036"/>
    <w:multiLevelType w:val="hybridMultilevel"/>
    <w:tmpl w:val="D134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31F58"/>
    <w:multiLevelType w:val="hybridMultilevel"/>
    <w:tmpl w:val="61381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67598C"/>
    <w:multiLevelType w:val="hybridMultilevel"/>
    <w:tmpl w:val="9216C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DD623B"/>
    <w:multiLevelType w:val="hybridMultilevel"/>
    <w:tmpl w:val="7458AD5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26"/>
  </w:num>
  <w:num w:numId="4">
    <w:abstractNumId w:val="27"/>
  </w:num>
  <w:num w:numId="5">
    <w:abstractNumId w:val="13"/>
  </w:num>
  <w:num w:numId="6">
    <w:abstractNumId w:val="11"/>
  </w:num>
  <w:num w:numId="7">
    <w:abstractNumId w:val="14"/>
  </w:num>
  <w:num w:numId="8">
    <w:abstractNumId w:val="12"/>
  </w:num>
  <w:num w:numId="9">
    <w:abstractNumId w:val="29"/>
  </w:num>
  <w:num w:numId="10">
    <w:abstractNumId w:val="21"/>
  </w:num>
  <w:num w:numId="11">
    <w:abstractNumId w:val="24"/>
  </w:num>
  <w:num w:numId="12">
    <w:abstractNumId w:val="19"/>
  </w:num>
  <w:num w:numId="13">
    <w:abstractNumId w:val="28"/>
  </w:num>
  <w:num w:numId="14">
    <w:abstractNumId w:val="20"/>
  </w:num>
  <w:num w:numId="15">
    <w:abstractNumId w:val="17"/>
  </w:num>
  <w:num w:numId="16">
    <w:abstractNumId w:val="16"/>
  </w:num>
  <w:num w:numId="17">
    <w:abstractNumId w:val="15"/>
  </w:num>
  <w:num w:numId="18">
    <w:abstractNumId w:val="25"/>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30"/>
  </w:num>
  <w:num w:numId="29">
    <w:abstractNumId w:val="23"/>
  </w:num>
  <w:num w:numId="30">
    <w:abstractNumId w:val="18"/>
  </w:num>
  <w:num w:numId="31">
    <w:abstractNumId w:val="22"/>
  </w:num>
  <w:num w:numId="3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activeWritingStyle w:appName="MSWord" w:lang="es-AR" w:vendorID="64" w:dllVersion="6" w:nlCheck="1" w:checkStyle="0"/>
  <w:activeWritingStyle w:appName="MSWord" w:lang="en-AU" w:vendorID="64" w:dllVersion="6" w:nlCheck="1" w:checkStyle="1"/>
  <w:activeWritingStyle w:appName="MSWord" w:lang="en-US" w:vendorID="64" w:dllVersion="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19F9"/>
    <w:rsid w:val="0000406E"/>
    <w:rsid w:val="00004553"/>
    <w:rsid w:val="00004AF4"/>
    <w:rsid w:val="000052BA"/>
    <w:rsid w:val="00005364"/>
    <w:rsid w:val="00005785"/>
    <w:rsid w:val="00005A84"/>
    <w:rsid w:val="00006876"/>
    <w:rsid w:val="00006D12"/>
    <w:rsid w:val="000079AD"/>
    <w:rsid w:val="00007D1F"/>
    <w:rsid w:val="00010D84"/>
    <w:rsid w:val="00010F15"/>
    <w:rsid w:val="00011CE3"/>
    <w:rsid w:val="0001265F"/>
    <w:rsid w:val="000145A7"/>
    <w:rsid w:val="000153CE"/>
    <w:rsid w:val="000176B5"/>
    <w:rsid w:val="00017CD2"/>
    <w:rsid w:val="00017FC9"/>
    <w:rsid w:val="00022D71"/>
    <w:rsid w:val="00022E9C"/>
    <w:rsid w:val="00023432"/>
    <w:rsid w:val="00024EF0"/>
    <w:rsid w:val="00025631"/>
    <w:rsid w:val="00025C46"/>
    <w:rsid w:val="0002783D"/>
    <w:rsid w:val="00027B26"/>
    <w:rsid w:val="00027F08"/>
    <w:rsid w:val="00030705"/>
    <w:rsid w:val="0003181B"/>
    <w:rsid w:val="00031E7D"/>
    <w:rsid w:val="000327CE"/>
    <w:rsid w:val="00032861"/>
    <w:rsid w:val="00032B77"/>
    <w:rsid w:val="00034D96"/>
    <w:rsid w:val="000367BC"/>
    <w:rsid w:val="00036F57"/>
    <w:rsid w:val="00037862"/>
    <w:rsid w:val="00037DDF"/>
    <w:rsid w:val="00037F3D"/>
    <w:rsid w:val="00040CF7"/>
    <w:rsid w:val="00041F16"/>
    <w:rsid w:val="00042285"/>
    <w:rsid w:val="00043256"/>
    <w:rsid w:val="00045A89"/>
    <w:rsid w:val="00046F8E"/>
    <w:rsid w:val="00047524"/>
    <w:rsid w:val="0005040E"/>
    <w:rsid w:val="0005087D"/>
    <w:rsid w:val="000508BB"/>
    <w:rsid w:val="00050F9E"/>
    <w:rsid w:val="000518A0"/>
    <w:rsid w:val="000547EF"/>
    <w:rsid w:val="000552FC"/>
    <w:rsid w:val="000554FB"/>
    <w:rsid w:val="00055616"/>
    <w:rsid w:val="00055C00"/>
    <w:rsid w:val="00056004"/>
    <w:rsid w:val="000564AB"/>
    <w:rsid w:val="0006075A"/>
    <w:rsid w:val="000616FE"/>
    <w:rsid w:val="00061755"/>
    <w:rsid w:val="0006184F"/>
    <w:rsid w:val="00061C84"/>
    <w:rsid w:val="00062484"/>
    <w:rsid w:val="00062E3C"/>
    <w:rsid w:val="00063129"/>
    <w:rsid w:val="00064EE9"/>
    <w:rsid w:val="00065022"/>
    <w:rsid w:val="00065A5E"/>
    <w:rsid w:val="00066CB9"/>
    <w:rsid w:val="00067DBE"/>
    <w:rsid w:val="00070681"/>
    <w:rsid w:val="0007097B"/>
    <w:rsid w:val="00070F67"/>
    <w:rsid w:val="000720F6"/>
    <w:rsid w:val="00072DA5"/>
    <w:rsid w:val="000742E8"/>
    <w:rsid w:val="00080A09"/>
    <w:rsid w:val="00081CEB"/>
    <w:rsid w:val="000825D7"/>
    <w:rsid w:val="00082AA4"/>
    <w:rsid w:val="00082CF6"/>
    <w:rsid w:val="00083082"/>
    <w:rsid w:val="0008378E"/>
    <w:rsid w:val="00083F36"/>
    <w:rsid w:val="00086D9F"/>
    <w:rsid w:val="00087B2C"/>
    <w:rsid w:val="00087D4E"/>
    <w:rsid w:val="00087DBD"/>
    <w:rsid w:val="00090718"/>
    <w:rsid w:val="0009095B"/>
    <w:rsid w:val="00090C1A"/>
    <w:rsid w:val="00090D3D"/>
    <w:rsid w:val="00091B4E"/>
    <w:rsid w:val="00091CD7"/>
    <w:rsid w:val="00093DD5"/>
    <w:rsid w:val="000947B2"/>
    <w:rsid w:val="00095C85"/>
    <w:rsid w:val="000A03DD"/>
    <w:rsid w:val="000A1A09"/>
    <w:rsid w:val="000A2978"/>
    <w:rsid w:val="000A347F"/>
    <w:rsid w:val="000A3A03"/>
    <w:rsid w:val="000A47A8"/>
    <w:rsid w:val="000A48B2"/>
    <w:rsid w:val="000A5817"/>
    <w:rsid w:val="000A73FB"/>
    <w:rsid w:val="000A7CC8"/>
    <w:rsid w:val="000B0129"/>
    <w:rsid w:val="000B218A"/>
    <w:rsid w:val="000B306B"/>
    <w:rsid w:val="000B4C8B"/>
    <w:rsid w:val="000C014D"/>
    <w:rsid w:val="000C29B4"/>
    <w:rsid w:val="000C2F36"/>
    <w:rsid w:val="000C31C1"/>
    <w:rsid w:val="000C3741"/>
    <w:rsid w:val="000C3B26"/>
    <w:rsid w:val="000C42F9"/>
    <w:rsid w:val="000C5B14"/>
    <w:rsid w:val="000C5CD8"/>
    <w:rsid w:val="000C7A69"/>
    <w:rsid w:val="000D0827"/>
    <w:rsid w:val="000D1158"/>
    <w:rsid w:val="000D1C60"/>
    <w:rsid w:val="000D3C1F"/>
    <w:rsid w:val="000D4703"/>
    <w:rsid w:val="000D4E62"/>
    <w:rsid w:val="000D5BF5"/>
    <w:rsid w:val="000D63DD"/>
    <w:rsid w:val="000D6703"/>
    <w:rsid w:val="000D7BC7"/>
    <w:rsid w:val="000E0CB7"/>
    <w:rsid w:val="000E12D4"/>
    <w:rsid w:val="000E16A1"/>
    <w:rsid w:val="000E2DEA"/>
    <w:rsid w:val="000E39EF"/>
    <w:rsid w:val="000E44AB"/>
    <w:rsid w:val="000E51CE"/>
    <w:rsid w:val="000E620E"/>
    <w:rsid w:val="000E6463"/>
    <w:rsid w:val="000F2063"/>
    <w:rsid w:val="000F2425"/>
    <w:rsid w:val="000F2891"/>
    <w:rsid w:val="000F3820"/>
    <w:rsid w:val="000F3A1B"/>
    <w:rsid w:val="000F3C43"/>
    <w:rsid w:val="000F3D28"/>
    <w:rsid w:val="000F3F6A"/>
    <w:rsid w:val="000F4960"/>
    <w:rsid w:val="000F63C4"/>
    <w:rsid w:val="000F6C42"/>
    <w:rsid w:val="000F6F4F"/>
    <w:rsid w:val="000F7463"/>
    <w:rsid w:val="00100200"/>
    <w:rsid w:val="0010070F"/>
    <w:rsid w:val="00100B46"/>
    <w:rsid w:val="00100D65"/>
    <w:rsid w:val="0010263D"/>
    <w:rsid w:val="00102824"/>
    <w:rsid w:val="0010300A"/>
    <w:rsid w:val="00103A9D"/>
    <w:rsid w:val="00103EF3"/>
    <w:rsid w:val="00104674"/>
    <w:rsid w:val="001058A6"/>
    <w:rsid w:val="001059E8"/>
    <w:rsid w:val="001060D0"/>
    <w:rsid w:val="001074AC"/>
    <w:rsid w:val="001131F0"/>
    <w:rsid w:val="001139C7"/>
    <w:rsid w:val="00114EBC"/>
    <w:rsid w:val="00115689"/>
    <w:rsid w:val="00115C30"/>
    <w:rsid w:val="00116064"/>
    <w:rsid w:val="001163BD"/>
    <w:rsid w:val="00116776"/>
    <w:rsid w:val="00117B60"/>
    <w:rsid w:val="00120463"/>
    <w:rsid w:val="001215E8"/>
    <w:rsid w:val="001220ED"/>
    <w:rsid w:val="001239B3"/>
    <w:rsid w:val="0012427E"/>
    <w:rsid w:val="001244E3"/>
    <w:rsid w:val="001247E0"/>
    <w:rsid w:val="001252F6"/>
    <w:rsid w:val="00125753"/>
    <w:rsid w:val="00126750"/>
    <w:rsid w:val="00126B1C"/>
    <w:rsid w:val="001271A1"/>
    <w:rsid w:val="00130119"/>
    <w:rsid w:val="00131941"/>
    <w:rsid w:val="00131C0F"/>
    <w:rsid w:val="001325BF"/>
    <w:rsid w:val="00132E7A"/>
    <w:rsid w:val="00132F0D"/>
    <w:rsid w:val="00133713"/>
    <w:rsid w:val="00135B7E"/>
    <w:rsid w:val="001365F6"/>
    <w:rsid w:val="00137498"/>
    <w:rsid w:val="00140211"/>
    <w:rsid w:val="00140979"/>
    <w:rsid w:val="00140FC9"/>
    <w:rsid w:val="001413C5"/>
    <w:rsid w:val="0014231B"/>
    <w:rsid w:val="00142956"/>
    <w:rsid w:val="00142D10"/>
    <w:rsid w:val="0014322D"/>
    <w:rsid w:val="001432B0"/>
    <w:rsid w:val="001436E5"/>
    <w:rsid w:val="00144868"/>
    <w:rsid w:val="001452BC"/>
    <w:rsid w:val="00150D2A"/>
    <w:rsid w:val="00150E25"/>
    <w:rsid w:val="00150EA9"/>
    <w:rsid w:val="00151650"/>
    <w:rsid w:val="00152B85"/>
    <w:rsid w:val="00152F88"/>
    <w:rsid w:val="00154AC1"/>
    <w:rsid w:val="00154FF8"/>
    <w:rsid w:val="00155B98"/>
    <w:rsid w:val="001561C9"/>
    <w:rsid w:val="00156CBD"/>
    <w:rsid w:val="00156D74"/>
    <w:rsid w:val="00157001"/>
    <w:rsid w:val="00157709"/>
    <w:rsid w:val="00160AAA"/>
    <w:rsid w:val="00160B66"/>
    <w:rsid w:val="00160E91"/>
    <w:rsid w:val="00160F3C"/>
    <w:rsid w:val="00161A1C"/>
    <w:rsid w:val="00161BD9"/>
    <w:rsid w:val="001630FE"/>
    <w:rsid w:val="00163954"/>
    <w:rsid w:val="00165626"/>
    <w:rsid w:val="00165832"/>
    <w:rsid w:val="00165901"/>
    <w:rsid w:val="00166272"/>
    <w:rsid w:val="00166889"/>
    <w:rsid w:val="001671D2"/>
    <w:rsid w:val="00167CF4"/>
    <w:rsid w:val="00167CFD"/>
    <w:rsid w:val="00170BE9"/>
    <w:rsid w:val="0017147C"/>
    <w:rsid w:val="0017194E"/>
    <w:rsid w:val="0017249B"/>
    <w:rsid w:val="001726AA"/>
    <w:rsid w:val="001727A4"/>
    <w:rsid w:val="0017371E"/>
    <w:rsid w:val="00175863"/>
    <w:rsid w:val="0017630F"/>
    <w:rsid w:val="00177EC4"/>
    <w:rsid w:val="0018114D"/>
    <w:rsid w:val="00181533"/>
    <w:rsid w:val="001824C8"/>
    <w:rsid w:val="00182698"/>
    <w:rsid w:val="00182D0A"/>
    <w:rsid w:val="001854E9"/>
    <w:rsid w:val="001864FD"/>
    <w:rsid w:val="001867FB"/>
    <w:rsid w:val="00190084"/>
    <w:rsid w:val="00191457"/>
    <w:rsid w:val="001919C9"/>
    <w:rsid w:val="001936A7"/>
    <w:rsid w:val="001943DD"/>
    <w:rsid w:val="001944E1"/>
    <w:rsid w:val="00196826"/>
    <w:rsid w:val="00196BAC"/>
    <w:rsid w:val="00197FDD"/>
    <w:rsid w:val="001A009A"/>
    <w:rsid w:val="001A0BF0"/>
    <w:rsid w:val="001A13F6"/>
    <w:rsid w:val="001A2D78"/>
    <w:rsid w:val="001A4FF5"/>
    <w:rsid w:val="001A6C37"/>
    <w:rsid w:val="001A7249"/>
    <w:rsid w:val="001A7CE6"/>
    <w:rsid w:val="001B28EE"/>
    <w:rsid w:val="001B385A"/>
    <w:rsid w:val="001B3904"/>
    <w:rsid w:val="001B3AEC"/>
    <w:rsid w:val="001B3E8D"/>
    <w:rsid w:val="001B4ECF"/>
    <w:rsid w:val="001B5259"/>
    <w:rsid w:val="001B53B8"/>
    <w:rsid w:val="001B60D4"/>
    <w:rsid w:val="001B6138"/>
    <w:rsid w:val="001B6F28"/>
    <w:rsid w:val="001C05CA"/>
    <w:rsid w:val="001C2762"/>
    <w:rsid w:val="001C48D9"/>
    <w:rsid w:val="001C4F4F"/>
    <w:rsid w:val="001C4F58"/>
    <w:rsid w:val="001C5B14"/>
    <w:rsid w:val="001C6BA1"/>
    <w:rsid w:val="001C6F22"/>
    <w:rsid w:val="001D039E"/>
    <w:rsid w:val="001D141C"/>
    <w:rsid w:val="001D2904"/>
    <w:rsid w:val="001D2BCE"/>
    <w:rsid w:val="001D3D4C"/>
    <w:rsid w:val="001D62E1"/>
    <w:rsid w:val="001D652D"/>
    <w:rsid w:val="001D693F"/>
    <w:rsid w:val="001D6EDF"/>
    <w:rsid w:val="001D6F9E"/>
    <w:rsid w:val="001E01B2"/>
    <w:rsid w:val="001E0B61"/>
    <w:rsid w:val="001E0CE3"/>
    <w:rsid w:val="001E102A"/>
    <w:rsid w:val="001E1DA6"/>
    <w:rsid w:val="001E38FB"/>
    <w:rsid w:val="001E5057"/>
    <w:rsid w:val="001E52C2"/>
    <w:rsid w:val="001E5850"/>
    <w:rsid w:val="001E60B3"/>
    <w:rsid w:val="001E6A27"/>
    <w:rsid w:val="001F01CF"/>
    <w:rsid w:val="001F0BA6"/>
    <w:rsid w:val="001F0BE1"/>
    <w:rsid w:val="001F101A"/>
    <w:rsid w:val="001F1968"/>
    <w:rsid w:val="001F1C27"/>
    <w:rsid w:val="001F24EF"/>
    <w:rsid w:val="001F3825"/>
    <w:rsid w:val="001F56C7"/>
    <w:rsid w:val="001F74AF"/>
    <w:rsid w:val="00200EC8"/>
    <w:rsid w:val="00201837"/>
    <w:rsid w:val="00203039"/>
    <w:rsid w:val="00203754"/>
    <w:rsid w:val="00203F6A"/>
    <w:rsid w:val="00204641"/>
    <w:rsid w:val="00204982"/>
    <w:rsid w:val="00204B17"/>
    <w:rsid w:val="00206798"/>
    <w:rsid w:val="002069D2"/>
    <w:rsid w:val="002076F4"/>
    <w:rsid w:val="00207B99"/>
    <w:rsid w:val="002111E1"/>
    <w:rsid w:val="00211DA2"/>
    <w:rsid w:val="002124A8"/>
    <w:rsid w:val="00212936"/>
    <w:rsid w:val="0021347E"/>
    <w:rsid w:val="00213693"/>
    <w:rsid w:val="002138C7"/>
    <w:rsid w:val="00215137"/>
    <w:rsid w:val="00215479"/>
    <w:rsid w:val="00215559"/>
    <w:rsid w:val="00215CCB"/>
    <w:rsid w:val="00216CF5"/>
    <w:rsid w:val="0022037B"/>
    <w:rsid w:val="00221202"/>
    <w:rsid w:val="00222C8D"/>
    <w:rsid w:val="002240BE"/>
    <w:rsid w:val="002256A8"/>
    <w:rsid w:val="00225C97"/>
    <w:rsid w:val="002274EC"/>
    <w:rsid w:val="00230CDD"/>
    <w:rsid w:val="00230E6B"/>
    <w:rsid w:val="00231992"/>
    <w:rsid w:val="00231C76"/>
    <w:rsid w:val="002322C7"/>
    <w:rsid w:val="00232B97"/>
    <w:rsid w:val="00232F52"/>
    <w:rsid w:val="0023343D"/>
    <w:rsid w:val="0023523A"/>
    <w:rsid w:val="0023757C"/>
    <w:rsid w:val="00237C47"/>
    <w:rsid w:val="002402E4"/>
    <w:rsid w:val="002404D9"/>
    <w:rsid w:val="00240A07"/>
    <w:rsid w:val="002417E6"/>
    <w:rsid w:val="00241811"/>
    <w:rsid w:val="00241AED"/>
    <w:rsid w:val="002421A0"/>
    <w:rsid w:val="0024293D"/>
    <w:rsid w:val="00242B98"/>
    <w:rsid w:val="002445A1"/>
    <w:rsid w:val="00244A27"/>
    <w:rsid w:val="002452CB"/>
    <w:rsid w:val="00246CDE"/>
    <w:rsid w:val="00246FE6"/>
    <w:rsid w:val="002470E3"/>
    <w:rsid w:val="002471EF"/>
    <w:rsid w:val="00250AFC"/>
    <w:rsid w:val="00250C58"/>
    <w:rsid w:val="0025145F"/>
    <w:rsid w:val="002517D6"/>
    <w:rsid w:val="0025207D"/>
    <w:rsid w:val="002521D0"/>
    <w:rsid w:val="0025255E"/>
    <w:rsid w:val="002535AE"/>
    <w:rsid w:val="00254DE9"/>
    <w:rsid w:val="002550EC"/>
    <w:rsid w:val="00256447"/>
    <w:rsid w:val="00257AE6"/>
    <w:rsid w:val="002615D3"/>
    <w:rsid w:val="0026268A"/>
    <w:rsid w:val="00262845"/>
    <w:rsid w:val="00262DA5"/>
    <w:rsid w:val="00263460"/>
    <w:rsid w:val="00263A08"/>
    <w:rsid w:val="002672F1"/>
    <w:rsid w:val="0026764F"/>
    <w:rsid w:val="00271414"/>
    <w:rsid w:val="00271922"/>
    <w:rsid w:val="00273412"/>
    <w:rsid w:val="0027373F"/>
    <w:rsid w:val="00273FCB"/>
    <w:rsid w:val="00274ACF"/>
    <w:rsid w:val="002764A2"/>
    <w:rsid w:val="002770A1"/>
    <w:rsid w:val="002771D6"/>
    <w:rsid w:val="00277388"/>
    <w:rsid w:val="00277BB1"/>
    <w:rsid w:val="00277C8F"/>
    <w:rsid w:val="00277F9E"/>
    <w:rsid w:val="002803AC"/>
    <w:rsid w:val="00281514"/>
    <w:rsid w:val="0028159B"/>
    <w:rsid w:val="00282534"/>
    <w:rsid w:val="00282671"/>
    <w:rsid w:val="00282861"/>
    <w:rsid w:val="00283047"/>
    <w:rsid w:val="002843E2"/>
    <w:rsid w:val="00286AAD"/>
    <w:rsid w:val="00287BAA"/>
    <w:rsid w:val="0029180D"/>
    <w:rsid w:val="002926CC"/>
    <w:rsid w:val="00293489"/>
    <w:rsid w:val="0029400C"/>
    <w:rsid w:val="00294202"/>
    <w:rsid w:val="002947D0"/>
    <w:rsid w:val="00295B30"/>
    <w:rsid w:val="00296191"/>
    <w:rsid w:val="00296F5E"/>
    <w:rsid w:val="002A0852"/>
    <w:rsid w:val="002A1F6F"/>
    <w:rsid w:val="002A30F0"/>
    <w:rsid w:val="002A38A4"/>
    <w:rsid w:val="002A5E4B"/>
    <w:rsid w:val="002A61A1"/>
    <w:rsid w:val="002A6DF5"/>
    <w:rsid w:val="002B197D"/>
    <w:rsid w:val="002B387E"/>
    <w:rsid w:val="002B39D4"/>
    <w:rsid w:val="002B46D6"/>
    <w:rsid w:val="002B5B84"/>
    <w:rsid w:val="002B6406"/>
    <w:rsid w:val="002B6809"/>
    <w:rsid w:val="002C23BE"/>
    <w:rsid w:val="002C3251"/>
    <w:rsid w:val="002C33FF"/>
    <w:rsid w:val="002C4231"/>
    <w:rsid w:val="002C5F07"/>
    <w:rsid w:val="002C6082"/>
    <w:rsid w:val="002C64A5"/>
    <w:rsid w:val="002C7080"/>
    <w:rsid w:val="002C7510"/>
    <w:rsid w:val="002D00B0"/>
    <w:rsid w:val="002D0753"/>
    <w:rsid w:val="002D1659"/>
    <w:rsid w:val="002D2364"/>
    <w:rsid w:val="002D2E16"/>
    <w:rsid w:val="002D2F76"/>
    <w:rsid w:val="002D4E86"/>
    <w:rsid w:val="002D5401"/>
    <w:rsid w:val="002D6050"/>
    <w:rsid w:val="002D6C4B"/>
    <w:rsid w:val="002D6E3E"/>
    <w:rsid w:val="002E1D31"/>
    <w:rsid w:val="002E21D6"/>
    <w:rsid w:val="002E2CDA"/>
    <w:rsid w:val="002E45A0"/>
    <w:rsid w:val="002E45D5"/>
    <w:rsid w:val="002E45F0"/>
    <w:rsid w:val="002E73EE"/>
    <w:rsid w:val="002E7778"/>
    <w:rsid w:val="002F0A2A"/>
    <w:rsid w:val="002F1715"/>
    <w:rsid w:val="002F6295"/>
    <w:rsid w:val="002F7252"/>
    <w:rsid w:val="003026CB"/>
    <w:rsid w:val="00304B3E"/>
    <w:rsid w:val="00304D97"/>
    <w:rsid w:val="003056CC"/>
    <w:rsid w:val="003071E5"/>
    <w:rsid w:val="00307CBB"/>
    <w:rsid w:val="0031180A"/>
    <w:rsid w:val="00313127"/>
    <w:rsid w:val="00313304"/>
    <w:rsid w:val="003133C5"/>
    <w:rsid w:val="003155F4"/>
    <w:rsid w:val="00320309"/>
    <w:rsid w:val="0032083E"/>
    <w:rsid w:val="0032107F"/>
    <w:rsid w:val="00321D1E"/>
    <w:rsid w:val="00322B54"/>
    <w:rsid w:val="00324D3A"/>
    <w:rsid w:val="0032530E"/>
    <w:rsid w:val="003254F8"/>
    <w:rsid w:val="00325A61"/>
    <w:rsid w:val="00326976"/>
    <w:rsid w:val="00326D12"/>
    <w:rsid w:val="003279E4"/>
    <w:rsid w:val="003301AE"/>
    <w:rsid w:val="003302D4"/>
    <w:rsid w:val="00330A57"/>
    <w:rsid w:val="00330ACB"/>
    <w:rsid w:val="00330F46"/>
    <w:rsid w:val="00331006"/>
    <w:rsid w:val="003311D7"/>
    <w:rsid w:val="00331B9E"/>
    <w:rsid w:val="00331C1F"/>
    <w:rsid w:val="00332232"/>
    <w:rsid w:val="0033231F"/>
    <w:rsid w:val="00332A9B"/>
    <w:rsid w:val="00332B8B"/>
    <w:rsid w:val="003333D2"/>
    <w:rsid w:val="0033521E"/>
    <w:rsid w:val="0033603F"/>
    <w:rsid w:val="003363B4"/>
    <w:rsid w:val="003364C7"/>
    <w:rsid w:val="0033711F"/>
    <w:rsid w:val="00337420"/>
    <w:rsid w:val="00337CA2"/>
    <w:rsid w:val="00340112"/>
    <w:rsid w:val="003404A4"/>
    <w:rsid w:val="003418E4"/>
    <w:rsid w:val="003434FD"/>
    <w:rsid w:val="00344613"/>
    <w:rsid w:val="003461D3"/>
    <w:rsid w:val="00346843"/>
    <w:rsid w:val="00347104"/>
    <w:rsid w:val="00350421"/>
    <w:rsid w:val="00350852"/>
    <w:rsid w:val="0035096E"/>
    <w:rsid w:val="0035129C"/>
    <w:rsid w:val="0035219F"/>
    <w:rsid w:val="003554A6"/>
    <w:rsid w:val="0035572D"/>
    <w:rsid w:val="00355CB5"/>
    <w:rsid w:val="00355D01"/>
    <w:rsid w:val="00360B81"/>
    <w:rsid w:val="00361E59"/>
    <w:rsid w:val="0036411E"/>
    <w:rsid w:val="00364DCE"/>
    <w:rsid w:val="00365226"/>
    <w:rsid w:val="00366283"/>
    <w:rsid w:val="0036777E"/>
    <w:rsid w:val="003701FA"/>
    <w:rsid w:val="003715E1"/>
    <w:rsid w:val="0037194B"/>
    <w:rsid w:val="00372760"/>
    <w:rsid w:val="003727DD"/>
    <w:rsid w:val="00372A26"/>
    <w:rsid w:val="00372B55"/>
    <w:rsid w:val="00372EC7"/>
    <w:rsid w:val="0037484C"/>
    <w:rsid w:val="003749CD"/>
    <w:rsid w:val="00374A6C"/>
    <w:rsid w:val="00374AC4"/>
    <w:rsid w:val="003756AD"/>
    <w:rsid w:val="00375F6F"/>
    <w:rsid w:val="003771D5"/>
    <w:rsid w:val="00382718"/>
    <w:rsid w:val="0038288F"/>
    <w:rsid w:val="00382B3B"/>
    <w:rsid w:val="00383E45"/>
    <w:rsid w:val="003859CF"/>
    <w:rsid w:val="00385C53"/>
    <w:rsid w:val="00385ED2"/>
    <w:rsid w:val="003866D6"/>
    <w:rsid w:val="0038714A"/>
    <w:rsid w:val="00387551"/>
    <w:rsid w:val="00391159"/>
    <w:rsid w:val="00391DFA"/>
    <w:rsid w:val="00391F86"/>
    <w:rsid w:val="003923FB"/>
    <w:rsid w:val="003931C7"/>
    <w:rsid w:val="00393F00"/>
    <w:rsid w:val="003945C0"/>
    <w:rsid w:val="00395739"/>
    <w:rsid w:val="003958CE"/>
    <w:rsid w:val="003A25A7"/>
    <w:rsid w:val="003A2870"/>
    <w:rsid w:val="003A74E3"/>
    <w:rsid w:val="003B087E"/>
    <w:rsid w:val="003B3BF6"/>
    <w:rsid w:val="003B49E9"/>
    <w:rsid w:val="003B52CE"/>
    <w:rsid w:val="003B535C"/>
    <w:rsid w:val="003B5F0C"/>
    <w:rsid w:val="003C07B9"/>
    <w:rsid w:val="003C149C"/>
    <w:rsid w:val="003C2120"/>
    <w:rsid w:val="003C221C"/>
    <w:rsid w:val="003C26E7"/>
    <w:rsid w:val="003C29B1"/>
    <w:rsid w:val="003C39FF"/>
    <w:rsid w:val="003C47C0"/>
    <w:rsid w:val="003C4BB1"/>
    <w:rsid w:val="003C4CE8"/>
    <w:rsid w:val="003C63A3"/>
    <w:rsid w:val="003C7D0E"/>
    <w:rsid w:val="003D016F"/>
    <w:rsid w:val="003D030E"/>
    <w:rsid w:val="003D040D"/>
    <w:rsid w:val="003D0D8C"/>
    <w:rsid w:val="003D17E9"/>
    <w:rsid w:val="003D1F49"/>
    <w:rsid w:val="003D2061"/>
    <w:rsid w:val="003D44B0"/>
    <w:rsid w:val="003D543B"/>
    <w:rsid w:val="003D6111"/>
    <w:rsid w:val="003D64CD"/>
    <w:rsid w:val="003D6AE7"/>
    <w:rsid w:val="003D7E3D"/>
    <w:rsid w:val="003E02C5"/>
    <w:rsid w:val="003E1FE3"/>
    <w:rsid w:val="003E2366"/>
    <w:rsid w:val="003E23AC"/>
    <w:rsid w:val="003E32A7"/>
    <w:rsid w:val="003E4A3C"/>
    <w:rsid w:val="003E533E"/>
    <w:rsid w:val="003E5804"/>
    <w:rsid w:val="003E73AF"/>
    <w:rsid w:val="003E74AE"/>
    <w:rsid w:val="003F0C1A"/>
    <w:rsid w:val="003F129E"/>
    <w:rsid w:val="003F1A33"/>
    <w:rsid w:val="003F3072"/>
    <w:rsid w:val="003F31E6"/>
    <w:rsid w:val="003F31E9"/>
    <w:rsid w:val="003F4360"/>
    <w:rsid w:val="003F47B3"/>
    <w:rsid w:val="003F60B1"/>
    <w:rsid w:val="003F7729"/>
    <w:rsid w:val="00400BA7"/>
    <w:rsid w:val="00401057"/>
    <w:rsid w:val="00401F23"/>
    <w:rsid w:val="004024E4"/>
    <w:rsid w:val="00404584"/>
    <w:rsid w:val="00404DB9"/>
    <w:rsid w:val="0040501F"/>
    <w:rsid w:val="004061B4"/>
    <w:rsid w:val="00406289"/>
    <w:rsid w:val="00406578"/>
    <w:rsid w:val="00406A0F"/>
    <w:rsid w:val="004074EF"/>
    <w:rsid w:val="0040784D"/>
    <w:rsid w:val="004102A9"/>
    <w:rsid w:val="004102C3"/>
    <w:rsid w:val="0041307C"/>
    <w:rsid w:val="004135E5"/>
    <w:rsid w:val="00413699"/>
    <w:rsid w:val="00413F89"/>
    <w:rsid w:val="004151C2"/>
    <w:rsid w:val="004161D2"/>
    <w:rsid w:val="004167B4"/>
    <w:rsid w:val="004167BC"/>
    <w:rsid w:val="00416984"/>
    <w:rsid w:val="004202BF"/>
    <w:rsid w:val="0042032D"/>
    <w:rsid w:val="004225DC"/>
    <w:rsid w:val="0042315E"/>
    <w:rsid w:val="00423A41"/>
    <w:rsid w:val="00423C50"/>
    <w:rsid w:val="00425000"/>
    <w:rsid w:val="00425CEC"/>
    <w:rsid w:val="00425FBA"/>
    <w:rsid w:val="00427C7D"/>
    <w:rsid w:val="00427DED"/>
    <w:rsid w:val="00430D7E"/>
    <w:rsid w:val="00431B5F"/>
    <w:rsid w:val="00432332"/>
    <w:rsid w:val="00432368"/>
    <w:rsid w:val="00433641"/>
    <w:rsid w:val="00433B04"/>
    <w:rsid w:val="0043441F"/>
    <w:rsid w:val="00436478"/>
    <w:rsid w:val="0043784D"/>
    <w:rsid w:val="00440256"/>
    <w:rsid w:val="00440E22"/>
    <w:rsid w:val="00443322"/>
    <w:rsid w:val="00444193"/>
    <w:rsid w:val="00444DB4"/>
    <w:rsid w:val="0044547D"/>
    <w:rsid w:val="00445B70"/>
    <w:rsid w:val="00446F93"/>
    <w:rsid w:val="0044704D"/>
    <w:rsid w:val="00451A74"/>
    <w:rsid w:val="0045238A"/>
    <w:rsid w:val="004552AB"/>
    <w:rsid w:val="004553FF"/>
    <w:rsid w:val="00455DD3"/>
    <w:rsid w:val="0045622C"/>
    <w:rsid w:val="00464787"/>
    <w:rsid w:val="00464B05"/>
    <w:rsid w:val="00464B51"/>
    <w:rsid w:val="00464FB1"/>
    <w:rsid w:val="0046632E"/>
    <w:rsid w:val="00467185"/>
    <w:rsid w:val="00467736"/>
    <w:rsid w:val="0047050C"/>
    <w:rsid w:val="00471BFD"/>
    <w:rsid w:val="00472A45"/>
    <w:rsid w:val="00473930"/>
    <w:rsid w:val="00473B31"/>
    <w:rsid w:val="00474154"/>
    <w:rsid w:val="004745C5"/>
    <w:rsid w:val="00474D25"/>
    <w:rsid w:val="004750DB"/>
    <w:rsid w:val="00476861"/>
    <w:rsid w:val="00477522"/>
    <w:rsid w:val="00480153"/>
    <w:rsid w:val="00480F21"/>
    <w:rsid w:val="0048108E"/>
    <w:rsid w:val="004821BA"/>
    <w:rsid w:val="00484971"/>
    <w:rsid w:val="00484F6D"/>
    <w:rsid w:val="0048537F"/>
    <w:rsid w:val="004853FB"/>
    <w:rsid w:val="004866A3"/>
    <w:rsid w:val="004874E5"/>
    <w:rsid w:val="00487885"/>
    <w:rsid w:val="0049051B"/>
    <w:rsid w:val="00490755"/>
    <w:rsid w:val="00490A65"/>
    <w:rsid w:val="0049116C"/>
    <w:rsid w:val="00491968"/>
    <w:rsid w:val="004930C9"/>
    <w:rsid w:val="00493F62"/>
    <w:rsid w:val="00494832"/>
    <w:rsid w:val="00494F8A"/>
    <w:rsid w:val="004957C2"/>
    <w:rsid w:val="00495AF1"/>
    <w:rsid w:val="00496A29"/>
    <w:rsid w:val="00497A89"/>
    <w:rsid w:val="004A0525"/>
    <w:rsid w:val="004A2352"/>
    <w:rsid w:val="004A4CED"/>
    <w:rsid w:val="004A4D74"/>
    <w:rsid w:val="004A5ABB"/>
    <w:rsid w:val="004A5C48"/>
    <w:rsid w:val="004A5F56"/>
    <w:rsid w:val="004A6BE6"/>
    <w:rsid w:val="004A7320"/>
    <w:rsid w:val="004A7590"/>
    <w:rsid w:val="004A7E28"/>
    <w:rsid w:val="004B032A"/>
    <w:rsid w:val="004B047F"/>
    <w:rsid w:val="004B0828"/>
    <w:rsid w:val="004B0AA2"/>
    <w:rsid w:val="004B0DBB"/>
    <w:rsid w:val="004B2D56"/>
    <w:rsid w:val="004B3234"/>
    <w:rsid w:val="004B3304"/>
    <w:rsid w:val="004B3346"/>
    <w:rsid w:val="004B3DF1"/>
    <w:rsid w:val="004B41A1"/>
    <w:rsid w:val="004B4436"/>
    <w:rsid w:val="004B4BC0"/>
    <w:rsid w:val="004B5555"/>
    <w:rsid w:val="004C0484"/>
    <w:rsid w:val="004C0F90"/>
    <w:rsid w:val="004C1637"/>
    <w:rsid w:val="004C2542"/>
    <w:rsid w:val="004C259B"/>
    <w:rsid w:val="004C2659"/>
    <w:rsid w:val="004C26D6"/>
    <w:rsid w:val="004C2E86"/>
    <w:rsid w:val="004C32A0"/>
    <w:rsid w:val="004C5657"/>
    <w:rsid w:val="004C5DB2"/>
    <w:rsid w:val="004C6B4C"/>
    <w:rsid w:val="004C777E"/>
    <w:rsid w:val="004D0468"/>
    <w:rsid w:val="004D0C54"/>
    <w:rsid w:val="004D16A4"/>
    <w:rsid w:val="004D31DB"/>
    <w:rsid w:val="004D3AF3"/>
    <w:rsid w:val="004D50C7"/>
    <w:rsid w:val="004D67DC"/>
    <w:rsid w:val="004D6D23"/>
    <w:rsid w:val="004E127A"/>
    <w:rsid w:val="004E2443"/>
    <w:rsid w:val="004E3A2E"/>
    <w:rsid w:val="004E6682"/>
    <w:rsid w:val="004E6D8A"/>
    <w:rsid w:val="004F0411"/>
    <w:rsid w:val="004F15EF"/>
    <w:rsid w:val="004F1A55"/>
    <w:rsid w:val="004F22FE"/>
    <w:rsid w:val="004F4797"/>
    <w:rsid w:val="004F6E03"/>
    <w:rsid w:val="004F774D"/>
    <w:rsid w:val="004F7DE7"/>
    <w:rsid w:val="005006C5"/>
    <w:rsid w:val="005010BC"/>
    <w:rsid w:val="005013B0"/>
    <w:rsid w:val="005015E4"/>
    <w:rsid w:val="005017A6"/>
    <w:rsid w:val="00501FCC"/>
    <w:rsid w:val="0050251A"/>
    <w:rsid w:val="0050291D"/>
    <w:rsid w:val="00503187"/>
    <w:rsid w:val="00506147"/>
    <w:rsid w:val="005064CD"/>
    <w:rsid w:val="00506C00"/>
    <w:rsid w:val="00507269"/>
    <w:rsid w:val="00507365"/>
    <w:rsid w:val="00507ECA"/>
    <w:rsid w:val="0051005D"/>
    <w:rsid w:val="005107AE"/>
    <w:rsid w:val="00511016"/>
    <w:rsid w:val="005122FB"/>
    <w:rsid w:val="00512A22"/>
    <w:rsid w:val="00512FF9"/>
    <w:rsid w:val="00513833"/>
    <w:rsid w:val="005159B3"/>
    <w:rsid w:val="005161A8"/>
    <w:rsid w:val="0051704A"/>
    <w:rsid w:val="00520799"/>
    <w:rsid w:val="00521170"/>
    <w:rsid w:val="00522613"/>
    <w:rsid w:val="00522C03"/>
    <w:rsid w:val="00522FC5"/>
    <w:rsid w:val="00523110"/>
    <w:rsid w:val="005236E9"/>
    <w:rsid w:val="005238D1"/>
    <w:rsid w:val="00525EA4"/>
    <w:rsid w:val="005276B7"/>
    <w:rsid w:val="0052791F"/>
    <w:rsid w:val="00530BC4"/>
    <w:rsid w:val="00532A8D"/>
    <w:rsid w:val="00532CFF"/>
    <w:rsid w:val="00534727"/>
    <w:rsid w:val="00534CEE"/>
    <w:rsid w:val="00534D3D"/>
    <w:rsid w:val="00535E16"/>
    <w:rsid w:val="00536880"/>
    <w:rsid w:val="00537EE0"/>
    <w:rsid w:val="005401CD"/>
    <w:rsid w:val="00540AD0"/>
    <w:rsid w:val="00542AE7"/>
    <w:rsid w:val="00543A76"/>
    <w:rsid w:val="00544044"/>
    <w:rsid w:val="00544D91"/>
    <w:rsid w:val="00545BDA"/>
    <w:rsid w:val="00546BA5"/>
    <w:rsid w:val="00546E93"/>
    <w:rsid w:val="005475C6"/>
    <w:rsid w:val="00547738"/>
    <w:rsid w:val="0055082A"/>
    <w:rsid w:val="00551326"/>
    <w:rsid w:val="005522F3"/>
    <w:rsid w:val="005523D1"/>
    <w:rsid w:val="00552B1C"/>
    <w:rsid w:val="0055388D"/>
    <w:rsid w:val="0055532E"/>
    <w:rsid w:val="00555BC3"/>
    <w:rsid w:val="00555C74"/>
    <w:rsid w:val="00555D4C"/>
    <w:rsid w:val="00555DB4"/>
    <w:rsid w:val="00557C8E"/>
    <w:rsid w:val="00561B2B"/>
    <w:rsid w:val="005629A4"/>
    <w:rsid w:val="00562D64"/>
    <w:rsid w:val="0056357E"/>
    <w:rsid w:val="00564952"/>
    <w:rsid w:val="0056645F"/>
    <w:rsid w:val="0057176E"/>
    <w:rsid w:val="00571AB1"/>
    <w:rsid w:val="005728F4"/>
    <w:rsid w:val="00576E3A"/>
    <w:rsid w:val="00577E1C"/>
    <w:rsid w:val="0058027E"/>
    <w:rsid w:val="00580DB1"/>
    <w:rsid w:val="005814AC"/>
    <w:rsid w:val="00582878"/>
    <w:rsid w:val="005837CA"/>
    <w:rsid w:val="00584676"/>
    <w:rsid w:val="00584923"/>
    <w:rsid w:val="005854B7"/>
    <w:rsid w:val="0058685C"/>
    <w:rsid w:val="0058692F"/>
    <w:rsid w:val="00586ADF"/>
    <w:rsid w:val="00586BF2"/>
    <w:rsid w:val="00587AB1"/>
    <w:rsid w:val="0059070B"/>
    <w:rsid w:val="0059283C"/>
    <w:rsid w:val="00593738"/>
    <w:rsid w:val="00594834"/>
    <w:rsid w:val="00595082"/>
    <w:rsid w:val="00597594"/>
    <w:rsid w:val="00597893"/>
    <w:rsid w:val="005A0D95"/>
    <w:rsid w:val="005A0E1D"/>
    <w:rsid w:val="005A224B"/>
    <w:rsid w:val="005A22B2"/>
    <w:rsid w:val="005A3939"/>
    <w:rsid w:val="005A5759"/>
    <w:rsid w:val="005A5EAE"/>
    <w:rsid w:val="005B02E6"/>
    <w:rsid w:val="005B0738"/>
    <w:rsid w:val="005B11D7"/>
    <w:rsid w:val="005B1225"/>
    <w:rsid w:val="005B17D8"/>
    <w:rsid w:val="005B1D82"/>
    <w:rsid w:val="005B4077"/>
    <w:rsid w:val="005B578E"/>
    <w:rsid w:val="005B58B0"/>
    <w:rsid w:val="005B5A1D"/>
    <w:rsid w:val="005B65E5"/>
    <w:rsid w:val="005C1559"/>
    <w:rsid w:val="005C1EF6"/>
    <w:rsid w:val="005C28B0"/>
    <w:rsid w:val="005C29FF"/>
    <w:rsid w:val="005C2A6A"/>
    <w:rsid w:val="005C2F01"/>
    <w:rsid w:val="005C32F0"/>
    <w:rsid w:val="005C508B"/>
    <w:rsid w:val="005C5F3C"/>
    <w:rsid w:val="005C6C96"/>
    <w:rsid w:val="005D00C6"/>
    <w:rsid w:val="005D01BE"/>
    <w:rsid w:val="005D0EB9"/>
    <w:rsid w:val="005D1177"/>
    <w:rsid w:val="005D17D0"/>
    <w:rsid w:val="005D1D13"/>
    <w:rsid w:val="005D254A"/>
    <w:rsid w:val="005D48E8"/>
    <w:rsid w:val="005D4FFE"/>
    <w:rsid w:val="005D5460"/>
    <w:rsid w:val="005D5962"/>
    <w:rsid w:val="005D66D7"/>
    <w:rsid w:val="005D676A"/>
    <w:rsid w:val="005D7814"/>
    <w:rsid w:val="005D7E2D"/>
    <w:rsid w:val="005D7FC3"/>
    <w:rsid w:val="005E0385"/>
    <w:rsid w:val="005E08CD"/>
    <w:rsid w:val="005E09F9"/>
    <w:rsid w:val="005E37E8"/>
    <w:rsid w:val="005E4342"/>
    <w:rsid w:val="005E52B8"/>
    <w:rsid w:val="005E5BAC"/>
    <w:rsid w:val="005E74C5"/>
    <w:rsid w:val="005F0152"/>
    <w:rsid w:val="005F219D"/>
    <w:rsid w:val="005F2437"/>
    <w:rsid w:val="005F318A"/>
    <w:rsid w:val="005F31E3"/>
    <w:rsid w:val="005F34F5"/>
    <w:rsid w:val="005F3F01"/>
    <w:rsid w:val="005F6444"/>
    <w:rsid w:val="005F716B"/>
    <w:rsid w:val="005F7623"/>
    <w:rsid w:val="005F7710"/>
    <w:rsid w:val="005F7719"/>
    <w:rsid w:val="006004F7"/>
    <w:rsid w:val="00603261"/>
    <w:rsid w:val="00603590"/>
    <w:rsid w:val="006065B2"/>
    <w:rsid w:val="00607597"/>
    <w:rsid w:val="00610150"/>
    <w:rsid w:val="00610F93"/>
    <w:rsid w:val="0061269B"/>
    <w:rsid w:val="006127CC"/>
    <w:rsid w:val="00613EBD"/>
    <w:rsid w:val="00614661"/>
    <w:rsid w:val="0061506B"/>
    <w:rsid w:val="00616579"/>
    <w:rsid w:val="0061674C"/>
    <w:rsid w:val="006176CF"/>
    <w:rsid w:val="0061795A"/>
    <w:rsid w:val="00622BFC"/>
    <w:rsid w:val="00623A7B"/>
    <w:rsid w:val="006242E1"/>
    <w:rsid w:val="00624396"/>
    <w:rsid w:val="006243C6"/>
    <w:rsid w:val="006273BC"/>
    <w:rsid w:val="00627C94"/>
    <w:rsid w:val="006305EF"/>
    <w:rsid w:val="00630A63"/>
    <w:rsid w:val="006316FD"/>
    <w:rsid w:val="00632009"/>
    <w:rsid w:val="006321E6"/>
    <w:rsid w:val="006324C8"/>
    <w:rsid w:val="00632938"/>
    <w:rsid w:val="00632A27"/>
    <w:rsid w:val="00632C64"/>
    <w:rsid w:val="00632D70"/>
    <w:rsid w:val="00633CF1"/>
    <w:rsid w:val="00635970"/>
    <w:rsid w:val="00635A6C"/>
    <w:rsid w:val="00637091"/>
    <w:rsid w:val="0064053F"/>
    <w:rsid w:val="00640A75"/>
    <w:rsid w:val="006420D0"/>
    <w:rsid w:val="00642839"/>
    <w:rsid w:val="00642D72"/>
    <w:rsid w:val="006444F2"/>
    <w:rsid w:val="006457F8"/>
    <w:rsid w:val="00645CCB"/>
    <w:rsid w:val="00646904"/>
    <w:rsid w:val="0064700E"/>
    <w:rsid w:val="006472A3"/>
    <w:rsid w:val="006474E0"/>
    <w:rsid w:val="006478CB"/>
    <w:rsid w:val="0065061F"/>
    <w:rsid w:val="00650B88"/>
    <w:rsid w:val="00651BB3"/>
    <w:rsid w:val="00651C0C"/>
    <w:rsid w:val="00652044"/>
    <w:rsid w:val="0065205B"/>
    <w:rsid w:val="00652C58"/>
    <w:rsid w:val="006530EF"/>
    <w:rsid w:val="00655273"/>
    <w:rsid w:val="006554DD"/>
    <w:rsid w:val="00660951"/>
    <w:rsid w:val="006636E2"/>
    <w:rsid w:val="0066433F"/>
    <w:rsid w:val="00664C4E"/>
    <w:rsid w:val="0066573D"/>
    <w:rsid w:val="00666273"/>
    <w:rsid w:val="00667E1E"/>
    <w:rsid w:val="00667FA9"/>
    <w:rsid w:val="00670475"/>
    <w:rsid w:val="00672291"/>
    <w:rsid w:val="0067233D"/>
    <w:rsid w:val="00672444"/>
    <w:rsid w:val="00672B2E"/>
    <w:rsid w:val="00673B61"/>
    <w:rsid w:val="006745AE"/>
    <w:rsid w:val="00675B9A"/>
    <w:rsid w:val="00676870"/>
    <w:rsid w:val="00676AF3"/>
    <w:rsid w:val="00676BF5"/>
    <w:rsid w:val="00677895"/>
    <w:rsid w:val="00677BEF"/>
    <w:rsid w:val="006814A3"/>
    <w:rsid w:val="00681AC5"/>
    <w:rsid w:val="00682AFC"/>
    <w:rsid w:val="00683344"/>
    <w:rsid w:val="00683B4F"/>
    <w:rsid w:val="00684FC9"/>
    <w:rsid w:val="00685ED3"/>
    <w:rsid w:val="0069072B"/>
    <w:rsid w:val="00690992"/>
    <w:rsid w:val="00690BBC"/>
    <w:rsid w:val="00691163"/>
    <w:rsid w:val="0069174B"/>
    <w:rsid w:val="00693279"/>
    <w:rsid w:val="00693340"/>
    <w:rsid w:val="00694B88"/>
    <w:rsid w:val="006965CB"/>
    <w:rsid w:val="00697D42"/>
    <w:rsid w:val="006A04C7"/>
    <w:rsid w:val="006A11CB"/>
    <w:rsid w:val="006A28C5"/>
    <w:rsid w:val="006A32BA"/>
    <w:rsid w:val="006A3C07"/>
    <w:rsid w:val="006A4287"/>
    <w:rsid w:val="006A7052"/>
    <w:rsid w:val="006A73FF"/>
    <w:rsid w:val="006A7672"/>
    <w:rsid w:val="006B05E3"/>
    <w:rsid w:val="006B09BC"/>
    <w:rsid w:val="006B172D"/>
    <w:rsid w:val="006B26FF"/>
    <w:rsid w:val="006B49F9"/>
    <w:rsid w:val="006B6D5D"/>
    <w:rsid w:val="006B76B0"/>
    <w:rsid w:val="006B7B5A"/>
    <w:rsid w:val="006C0801"/>
    <w:rsid w:val="006C0C2C"/>
    <w:rsid w:val="006C0D40"/>
    <w:rsid w:val="006C1C74"/>
    <w:rsid w:val="006C1CE6"/>
    <w:rsid w:val="006C1EAA"/>
    <w:rsid w:val="006C216F"/>
    <w:rsid w:val="006C402D"/>
    <w:rsid w:val="006C45D4"/>
    <w:rsid w:val="006C545A"/>
    <w:rsid w:val="006C6438"/>
    <w:rsid w:val="006C6B62"/>
    <w:rsid w:val="006D11BD"/>
    <w:rsid w:val="006D1ADA"/>
    <w:rsid w:val="006D2042"/>
    <w:rsid w:val="006D26C3"/>
    <w:rsid w:val="006D66E3"/>
    <w:rsid w:val="006D6BBA"/>
    <w:rsid w:val="006D75BA"/>
    <w:rsid w:val="006D7855"/>
    <w:rsid w:val="006E010C"/>
    <w:rsid w:val="006E1003"/>
    <w:rsid w:val="006E16BF"/>
    <w:rsid w:val="006E18F0"/>
    <w:rsid w:val="006E2C89"/>
    <w:rsid w:val="006E3301"/>
    <w:rsid w:val="006E38AF"/>
    <w:rsid w:val="006E3BFD"/>
    <w:rsid w:val="006E4F93"/>
    <w:rsid w:val="006E6CFB"/>
    <w:rsid w:val="006E74CD"/>
    <w:rsid w:val="006F10FE"/>
    <w:rsid w:val="006F1174"/>
    <w:rsid w:val="006F257C"/>
    <w:rsid w:val="006F32BE"/>
    <w:rsid w:val="006F3A6A"/>
    <w:rsid w:val="006F5656"/>
    <w:rsid w:val="006F5755"/>
    <w:rsid w:val="006F5980"/>
    <w:rsid w:val="006F639D"/>
    <w:rsid w:val="00700135"/>
    <w:rsid w:val="0070023A"/>
    <w:rsid w:val="00700298"/>
    <w:rsid w:val="007007E5"/>
    <w:rsid w:val="007008C8"/>
    <w:rsid w:val="0070212F"/>
    <w:rsid w:val="00702233"/>
    <w:rsid w:val="007034D5"/>
    <w:rsid w:val="00703A4C"/>
    <w:rsid w:val="00703F25"/>
    <w:rsid w:val="00704C40"/>
    <w:rsid w:val="00705180"/>
    <w:rsid w:val="00705DC3"/>
    <w:rsid w:val="007064F2"/>
    <w:rsid w:val="00706763"/>
    <w:rsid w:val="007105D4"/>
    <w:rsid w:val="00710A39"/>
    <w:rsid w:val="00711605"/>
    <w:rsid w:val="00711DF6"/>
    <w:rsid w:val="00715DF3"/>
    <w:rsid w:val="00716FBC"/>
    <w:rsid w:val="00717090"/>
    <w:rsid w:val="00720739"/>
    <w:rsid w:val="00720777"/>
    <w:rsid w:val="007210D0"/>
    <w:rsid w:val="00721153"/>
    <w:rsid w:val="0072253E"/>
    <w:rsid w:val="00723E1F"/>
    <w:rsid w:val="00723E90"/>
    <w:rsid w:val="0072443D"/>
    <w:rsid w:val="007247E5"/>
    <w:rsid w:val="007248B7"/>
    <w:rsid w:val="007254CA"/>
    <w:rsid w:val="007267D2"/>
    <w:rsid w:val="00727E7F"/>
    <w:rsid w:val="0073011B"/>
    <w:rsid w:val="00730ADE"/>
    <w:rsid w:val="00730C6C"/>
    <w:rsid w:val="00730CF8"/>
    <w:rsid w:val="00731A90"/>
    <w:rsid w:val="00732608"/>
    <w:rsid w:val="00732FBA"/>
    <w:rsid w:val="00733251"/>
    <w:rsid w:val="00734083"/>
    <w:rsid w:val="00734C86"/>
    <w:rsid w:val="00736DCA"/>
    <w:rsid w:val="0073716C"/>
    <w:rsid w:val="00737257"/>
    <w:rsid w:val="00741B42"/>
    <w:rsid w:val="00742A88"/>
    <w:rsid w:val="00743009"/>
    <w:rsid w:val="00745744"/>
    <w:rsid w:val="00745C47"/>
    <w:rsid w:val="00745E49"/>
    <w:rsid w:val="0075003D"/>
    <w:rsid w:val="00750FA7"/>
    <w:rsid w:val="00751D97"/>
    <w:rsid w:val="00752C55"/>
    <w:rsid w:val="007562D4"/>
    <w:rsid w:val="00756474"/>
    <w:rsid w:val="00756507"/>
    <w:rsid w:val="00756D65"/>
    <w:rsid w:val="007573FA"/>
    <w:rsid w:val="00757897"/>
    <w:rsid w:val="00757ECC"/>
    <w:rsid w:val="00757EF9"/>
    <w:rsid w:val="007612DE"/>
    <w:rsid w:val="00761DBF"/>
    <w:rsid w:val="00761FCF"/>
    <w:rsid w:val="00762ADD"/>
    <w:rsid w:val="00763537"/>
    <w:rsid w:val="00764339"/>
    <w:rsid w:val="00765503"/>
    <w:rsid w:val="00767B7E"/>
    <w:rsid w:val="007705E9"/>
    <w:rsid w:val="00771D7D"/>
    <w:rsid w:val="00773B2A"/>
    <w:rsid w:val="007745B7"/>
    <w:rsid w:val="007750C8"/>
    <w:rsid w:val="007761C2"/>
    <w:rsid w:val="00776538"/>
    <w:rsid w:val="00776545"/>
    <w:rsid w:val="0077657D"/>
    <w:rsid w:val="007802BE"/>
    <w:rsid w:val="0078039C"/>
    <w:rsid w:val="00780EEF"/>
    <w:rsid w:val="0078134C"/>
    <w:rsid w:val="00781838"/>
    <w:rsid w:val="00781C47"/>
    <w:rsid w:val="00781E53"/>
    <w:rsid w:val="00782315"/>
    <w:rsid w:val="00782BEC"/>
    <w:rsid w:val="0078367D"/>
    <w:rsid w:val="007837C7"/>
    <w:rsid w:val="00783BB6"/>
    <w:rsid w:val="00784B44"/>
    <w:rsid w:val="00785465"/>
    <w:rsid w:val="00785701"/>
    <w:rsid w:val="007859D6"/>
    <w:rsid w:val="00787656"/>
    <w:rsid w:val="00791767"/>
    <w:rsid w:val="0079217B"/>
    <w:rsid w:val="0079268A"/>
    <w:rsid w:val="00794859"/>
    <w:rsid w:val="00794AE1"/>
    <w:rsid w:val="00794CB2"/>
    <w:rsid w:val="00795D73"/>
    <w:rsid w:val="00795FB1"/>
    <w:rsid w:val="00796467"/>
    <w:rsid w:val="00796EE6"/>
    <w:rsid w:val="00797C88"/>
    <w:rsid w:val="007A0DD5"/>
    <w:rsid w:val="007A1013"/>
    <w:rsid w:val="007A199A"/>
    <w:rsid w:val="007A232C"/>
    <w:rsid w:val="007A235B"/>
    <w:rsid w:val="007A2E26"/>
    <w:rsid w:val="007A3B68"/>
    <w:rsid w:val="007A3D6E"/>
    <w:rsid w:val="007A4CA9"/>
    <w:rsid w:val="007A4D02"/>
    <w:rsid w:val="007A562C"/>
    <w:rsid w:val="007A60B4"/>
    <w:rsid w:val="007A7D19"/>
    <w:rsid w:val="007A7EC2"/>
    <w:rsid w:val="007B042D"/>
    <w:rsid w:val="007B05BB"/>
    <w:rsid w:val="007B0642"/>
    <w:rsid w:val="007B092A"/>
    <w:rsid w:val="007B34F2"/>
    <w:rsid w:val="007B5DC0"/>
    <w:rsid w:val="007B671A"/>
    <w:rsid w:val="007B6E0A"/>
    <w:rsid w:val="007B764C"/>
    <w:rsid w:val="007C058D"/>
    <w:rsid w:val="007C118A"/>
    <w:rsid w:val="007C15D8"/>
    <w:rsid w:val="007C45DC"/>
    <w:rsid w:val="007C51DD"/>
    <w:rsid w:val="007C53A5"/>
    <w:rsid w:val="007C58D1"/>
    <w:rsid w:val="007C636F"/>
    <w:rsid w:val="007D06CF"/>
    <w:rsid w:val="007D0FC7"/>
    <w:rsid w:val="007D13F1"/>
    <w:rsid w:val="007D2655"/>
    <w:rsid w:val="007D39EB"/>
    <w:rsid w:val="007D4F39"/>
    <w:rsid w:val="007D5515"/>
    <w:rsid w:val="007D5CF4"/>
    <w:rsid w:val="007D633C"/>
    <w:rsid w:val="007E0B23"/>
    <w:rsid w:val="007E2E4E"/>
    <w:rsid w:val="007E314E"/>
    <w:rsid w:val="007E35C0"/>
    <w:rsid w:val="007E4103"/>
    <w:rsid w:val="007E5ACB"/>
    <w:rsid w:val="007E5F5E"/>
    <w:rsid w:val="007E63D6"/>
    <w:rsid w:val="007E7238"/>
    <w:rsid w:val="007E7319"/>
    <w:rsid w:val="007E74E1"/>
    <w:rsid w:val="007E77A8"/>
    <w:rsid w:val="007F0B8E"/>
    <w:rsid w:val="007F30C2"/>
    <w:rsid w:val="007F491C"/>
    <w:rsid w:val="007F6B7B"/>
    <w:rsid w:val="007F7CEB"/>
    <w:rsid w:val="00800D07"/>
    <w:rsid w:val="008025F3"/>
    <w:rsid w:val="00803BF8"/>
    <w:rsid w:val="00804465"/>
    <w:rsid w:val="008061C9"/>
    <w:rsid w:val="008066D8"/>
    <w:rsid w:val="00806AC7"/>
    <w:rsid w:val="008074BB"/>
    <w:rsid w:val="00807574"/>
    <w:rsid w:val="00810B34"/>
    <w:rsid w:val="00811A18"/>
    <w:rsid w:val="008121AF"/>
    <w:rsid w:val="00812B30"/>
    <w:rsid w:val="00812E18"/>
    <w:rsid w:val="00813711"/>
    <w:rsid w:val="00816DA9"/>
    <w:rsid w:val="00821E64"/>
    <w:rsid w:val="008253B6"/>
    <w:rsid w:val="008253C4"/>
    <w:rsid w:val="008263C2"/>
    <w:rsid w:val="00827759"/>
    <w:rsid w:val="008307DB"/>
    <w:rsid w:val="00831965"/>
    <w:rsid w:val="00831A7E"/>
    <w:rsid w:val="00833398"/>
    <w:rsid w:val="008348DB"/>
    <w:rsid w:val="00835AB7"/>
    <w:rsid w:val="00835D9D"/>
    <w:rsid w:val="00835FC9"/>
    <w:rsid w:val="008368F8"/>
    <w:rsid w:val="008370E3"/>
    <w:rsid w:val="00837E31"/>
    <w:rsid w:val="0084051C"/>
    <w:rsid w:val="008405B8"/>
    <w:rsid w:val="00840EB0"/>
    <w:rsid w:val="008418FA"/>
    <w:rsid w:val="00842959"/>
    <w:rsid w:val="00842BB4"/>
    <w:rsid w:val="00843390"/>
    <w:rsid w:val="00844BCF"/>
    <w:rsid w:val="00845586"/>
    <w:rsid w:val="0085209F"/>
    <w:rsid w:val="0085235A"/>
    <w:rsid w:val="0085243A"/>
    <w:rsid w:val="00853417"/>
    <w:rsid w:val="00854138"/>
    <w:rsid w:val="00854410"/>
    <w:rsid w:val="008544DF"/>
    <w:rsid w:val="00854E87"/>
    <w:rsid w:val="008556C0"/>
    <w:rsid w:val="00855FB3"/>
    <w:rsid w:val="00856095"/>
    <w:rsid w:val="008602B6"/>
    <w:rsid w:val="00860AAD"/>
    <w:rsid w:val="008617E8"/>
    <w:rsid w:val="00861AA6"/>
    <w:rsid w:val="00864F53"/>
    <w:rsid w:val="00865972"/>
    <w:rsid w:val="00866139"/>
    <w:rsid w:val="008708F3"/>
    <w:rsid w:val="00871354"/>
    <w:rsid w:val="00872F0D"/>
    <w:rsid w:val="00873611"/>
    <w:rsid w:val="00873C8F"/>
    <w:rsid w:val="008745FE"/>
    <w:rsid w:val="00874FB3"/>
    <w:rsid w:val="00875663"/>
    <w:rsid w:val="00876545"/>
    <w:rsid w:val="00876E2F"/>
    <w:rsid w:val="00877B1A"/>
    <w:rsid w:val="00877F7C"/>
    <w:rsid w:val="00880BE3"/>
    <w:rsid w:val="00881359"/>
    <w:rsid w:val="00881EC3"/>
    <w:rsid w:val="00882093"/>
    <w:rsid w:val="00882588"/>
    <w:rsid w:val="0088398E"/>
    <w:rsid w:val="00884ADE"/>
    <w:rsid w:val="008856CF"/>
    <w:rsid w:val="00885864"/>
    <w:rsid w:val="00885D07"/>
    <w:rsid w:val="008860B7"/>
    <w:rsid w:val="00890A1D"/>
    <w:rsid w:val="00890BCB"/>
    <w:rsid w:val="008926C0"/>
    <w:rsid w:val="0089281A"/>
    <w:rsid w:val="00893025"/>
    <w:rsid w:val="00893559"/>
    <w:rsid w:val="008936FC"/>
    <w:rsid w:val="0089383B"/>
    <w:rsid w:val="008940EF"/>
    <w:rsid w:val="0089534B"/>
    <w:rsid w:val="0089616F"/>
    <w:rsid w:val="008961BE"/>
    <w:rsid w:val="008A0232"/>
    <w:rsid w:val="008A0704"/>
    <w:rsid w:val="008A1E10"/>
    <w:rsid w:val="008A1F58"/>
    <w:rsid w:val="008A42BF"/>
    <w:rsid w:val="008A6977"/>
    <w:rsid w:val="008A714C"/>
    <w:rsid w:val="008B01BD"/>
    <w:rsid w:val="008B0470"/>
    <w:rsid w:val="008B05E7"/>
    <w:rsid w:val="008B06C5"/>
    <w:rsid w:val="008B164E"/>
    <w:rsid w:val="008B193B"/>
    <w:rsid w:val="008B3846"/>
    <w:rsid w:val="008B42E9"/>
    <w:rsid w:val="008B4F06"/>
    <w:rsid w:val="008B502A"/>
    <w:rsid w:val="008B57D8"/>
    <w:rsid w:val="008B65CF"/>
    <w:rsid w:val="008B7A65"/>
    <w:rsid w:val="008C03A3"/>
    <w:rsid w:val="008C0934"/>
    <w:rsid w:val="008C1219"/>
    <w:rsid w:val="008C123E"/>
    <w:rsid w:val="008C137D"/>
    <w:rsid w:val="008C1BF6"/>
    <w:rsid w:val="008C22DD"/>
    <w:rsid w:val="008C3141"/>
    <w:rsid w:val="008C315E"/>
    <w:rsid w:val="008C369E"/>
    <w:rsid w:val="008C3DFD"/>
    <w:rsid w:val="008C3ED0"/>
    <w:rsid w:val="008C5DA5"/>
    <w:rsid w:val="008C5E94"/>
    <w:rsid w:val="008D196A"/>
    <w:rsid w:val="008D1FF4"/>
    <w:rsid w:val="008D27BC"/>
    <w:rsid w:val="008D38B0"/>
    <w:rsid w:val="008D5551"/>
    <w:rsid w:val="008D62BC"/>
    <w:rsid w:val="008D645B"/>
    <w:rsid w:val="008D6A5C"/>
    <w:rsid w:val="008E0234"/>
    <w:rsid w:val="008E0A1B"/>
    <w:rsid w:val="008E3B70"/>
    <w:rsid w:val="008E3EF2"/>
    <w:rsid w:val="008E51C9"/>
    <w:rsid w:val="008E5246"/>
    <w:rsid w:val="008E5BEB"/>
    <w:rsid w:val="008E5D8A"/>
    <w:rsid w:val="008E6306"/>
    <w:rsid w:val="008F0865"/>
    <w:rsid w:val="008F12E0"/>
    <w:rsid w:val="008F329E"/>
    <w:rsid w:val="008F6355"/>
    <w:rsid w:val="008F65DB"/>
    <w:rsid w:val="008F68F7"/>
    <w:rsid w:val="008F75FF"/>
    <w:rsid w:val="008F7948"/>
    <w:rsid w:val="009005A6"/>
    <w:rsid w:val="009006CF"/>
    <w:rsid w:val="00900C71"/>
    <w:rsid w:val="00902A1C"/>
    <w:rsid w:val="009037B6"/>
    <w:rsid w:val="00903D04"/>
    <w:rsid w:val="0090520D"/>
    <w:rsid w:val="009068FC"/>
    <w:rsid w:val="00906CBE"/>
    <w:rsid w:val="00910024"/>
    <w:rsid w:val="00910384"/>
    <w:rsid w:val="00910638"/>
    <w:rsid w:val="00910B8B"/>
    <w:rsid w:val="009125F5"/>
    <w:rsid w:val="00913055"/>
    <w:rsid w:val="0091643D"/>
    <w:rsid w:val="00916E33"/>
    <w:rsid w:val="00916F06"/>
    <w:rsid w:val="009173BB"/>
    <w:rsid w:val="009200A0"/>
    <w:rsid w:val="0092093B"/>
    <w:rsid w:val="00922341"/>
    <w:rsid w:val="00923AB8"/>
    <w:rsid w:val="00926347"/>
    <w:rsid w:val="00926D2E"/>
    <w:rsid w:val="00927A51"/>
    <w:rsid w:val="00927AF8"/>
    <w:rsid w:val="00930669"/>
    <w:rsid w:val="00931E32"/>
    <w:rsid w:val="00932C33"/>
    <w:rsid w:val="00937C63"/>
    <w:rsid w:val="009419C9"/>
    <w:rsid w:val="009427A1"/>
    <w:rsid w:val="00942FFE"/>
    <w:rsid w:val="009444F0"/>
    <w:rsid w:val="009459D7"/>
    <w:rsid w:val="00946171"/>
    <w:rsid w:val="00947B1B"/>
    <w:rsid w:val="009503AA"/>
    <w:rsid w:val="00950CA2"/>
    <w:rsid w:val="00951BC4"/>
    <w:rsid w:val="00952126"/>
    <w:rsid w:val="00952192"/>
    <w:rsid w:val="00953E4A"/>
    <w:rsid w:val="009551E0"/>
    <w:rsid w:val="009554A0"/>
    <w:rsid w:val="00956135"/>
    <w:rsid w:val="009563F9"/>
    <w:rsid w:val="0095654E"/>
    <w:rsid w:val="00956F3C"/>
    <w:rsid w:val="00960D38"/>
    <w:rsid w:val="00962068"/>
    <w:rsid w:val="009658EA"/>
    <w:rsid w:val="00965C6E"/>
    <w:rsid w:val="00967234"/>
    <w:rsid w:val="0096784A"/>
    <w:rsid w:val="00970598"/>
    <w:rsid w:val="00970678"/>
    <w:rsid w:val="00971C34"/>
    <w:rsid w:val="00972488"/>
    <w:rsid w:val="009726D0"/>
    <w:rsid w:val="0097421D"/>
    <w:rsid w:val="00976117"/>
    <w:rsid w:val="00976A23"/>
    <w:rsid w:val="00977D7C"/>
    <w:rsid w:val="00977FAF"/>
    <w:rsid w:val="009800BC"/>
    <w:rsid w:val="009816F6"/>
    <w:rsid w:val="009824D7"/>
    <w:rsid w:val="00982B08"/>
    <w:rsid w:val="00982E47"/>
    <w:rsid w:val="009835A8"/>
    <w:rsid w:val="0098438B"/>
    <w:rsid w:val="009843BA"/>
    <w:rsid w:val="00985958"/>
    <w:rsid w:val="009873C6"/>
    <w:rsid w:val="009878E2"/>
    <w:rsid w:val="00987D1A"/>
    <w:rsid w:val="00987D26"/>
    <w:rsid w:val="009900F0"/>
    <w:rsid w:val="00990B9B"/>
    <w:rsid w:val="00991370"/>
    <w:rsid w:val="00991769"/>
    <w:rsid w:val="00991ACA"/>
    <w:rsid w:val="009928B5"/>
    <w:rsid w:val="00993236"/>
    <w:rsid w:val="00993BC8"/>
    <w:rsid w:val="00993D8C"/>
    <w:rsid w:val="009946F9"/>
    <w:rsid w:val="00994E3D"/>
    <w:rsid w:val="0099646A"/>
    <w:rsid w:val="0099655A"/>
    <w:rsid w:val="00997138"/>
    <w:rsid w:val="009A0CFA"/>
    <w:rsid w:val="009A112C"/>
    <w:rsid w:val="009A2525"/>
    <w:rsid w:val="009A297E"/>
    <w:rsid w:val="009A3DDA"/>
    <w:rsid w:val="009A5726"/>
    <w:rsid w:val="009A5CD5"/>
    <w:rsid w:val="009A6127"/>
    <w:rsid w:val="009A65CD"/>
    <w:rsid w:val="009A769E"/>
    <w:rsid w:val="009B0A2B"/>
    <w:rsid w:val="009B0C98"/>
    <w:rsid w:val="009B0CC1"/>
    <w:rsid w:val="009B161B"/>
    <w:rsid w:val="009B25A0"/>
    <w:rsid w:val="009B3AD0"/>
    <w:rsid w:val="009B4572"/>
    <w:rsid w:val="009B5572"/>
    <w:rsid w:val="009B6478"/>
    <w:rsid w:val="009B69F0"/>
    <w:rsid w:val="009B6CAB"/>
    <w:rsid w:val="009B713C"/>
    <w:rsid w:val="009B75E2"/>
    <w:rsid w:val="009C0F18"/>
    <w:rsid w:val="009C11F3"/>
    <w:rsid w:val="009C12C6"/>
    <w:rsid w:val="009C19E1"/>
    <w:rsid w:val="009C2555"/>
    <w:rsid w:val="009C705A"/>
    <w:rsid w:val="009C7778"/>
    <w:rsid w:val="009C7A3C"/>
    <w:rsid w:val="009C7EE6"/>
    <w:rsid w:val="009D06AE"/>
    <w:rsid w:val="009D09E2"/>
    <w:rsid w:val="009D1E42"/>
    <w:rsid w:val="009D2751"/>
    <w:rsid w:val="009D282B"/>
    <w:rsid w:val="009D44E7"/>
    <w:rsid w:val="009D4D9B"/>
    <w:rsid w:val="009D5C24"/>
    <w:rsid w:val="009D7148"/>
    <w:rsid w:val="009D7BA2"/>
    <w:rsid w:val="009E02FD"/>
    <w:rsid w:val="009E0710"/>
    <w:rsid w:val="009E0ED8"/>
    <w:rsid w:val="009E4C74"/>
    <w:rsid w:val="009E56CC"/>
    <w:rsid w:val="009E59F1"/>
    <w:rsid w:val="009E62B6"/>
    <w:rsid w:val="009F0A1A"/>
    <w:rsid w:val="009F0C9E"/>
    <w:rsid w:val="009F1418"/>
    <w:rsid w:val="009F1AA3"/>
    <w:rsid w:val="009F21DE"/>
    <w:rsid w:val="009F26CA"/>
    <w:rsid w:val="009F35DA"/>
    <w:rsid w:val="009F4034"/>
    <w:rsid w:val="009F43D0"/>
    <w:rsid w:val="009F7C04"/>
    <w:rsid w:val="00A000F0"/>
    <w:rsid w:val="00A00568"/>
    <w:rsid w:val="00A00884"/>
    <w:rsid w:val="00A00EEB"/>
    <w:rsid w:val="00A020CE"/>
    <w:rsid w:val="00A02439"/>
    <w:rsid w:val="00A02B24"/>
    <w:rsid w:val="00A02F62"/>
    <w:rsid w:val="00A02F80"/>
    <w:rsid w:val="00A02FA3"/>
    <w:rsid w:val="00A030C3"/>
    <w:rsid w:val="00A03E52"/>
    <w:rsid w:val="00A04803"/>
    <w:rsid w:val="00A06516"/>
    <w:rsid w:val="00A06D66"/>
    <w:rsid w:val="00A10147"/>
    <w:rsid w:val="00A10894"/>
    <w:rsid w:val="00A10EDE"/>
    <w:rsid w:val="00A11331"/>
    <w:rsid w:val="00A12348"/>
    <w:rsid w:val="00A12A09"/>
    <w:rsid w:val="00A131E6"/>
    <w:rsid w:val="00A13843"/>
    <w:rsid w:val="00A146A5"/>
    <w:rsid w:val="00A14E71"/>
    <w:rsid w:val="00A17466"/>
    <w:rsid w:val="00A204B3"/>
    <w:rsid w:val="00A20576"/>
    <w:rsid w:val="00A21457"/>
    <w:rsid w:val="00A21593"/>
    <w:rsid w:val="00A221F7"/>
    <w:rsid w:val="00A22C21"/>
    <w:rsid w:val="00A22FF1"/>
    <w:rsid w:val="00A243B2"/>
    <w:rsid w:val="00A2504B"/>
    <w:rsid w:val="00A2573E"/>
    <w:rsid w:val="00A2604E"/>
    <w:rsid w:val="00A27F08"/>
    <w:rsid w:val="00A3119A"/>
    <w:rsid w:val="00A318B2"/>
    <w:rsid w:val="00A31CCE"/>
    <w:rsid w:val="00A327D5"/>
    <w:rsid w:val="00A33C95"/>
    <w:rsid w:val="00A33E8F"/>
    <w:rsid w:val="00A34295"/>
    <w:rsid w:val="00A345C4"/>
    <w:rsid w:val="00A34FF3"/>
    <w:rsid w:val="00A35351"/>
    <w:rsid w:val="00A361C7"/>
    <w:rsid w:val="00A36723"/>
    <w:rsid w:val="00A368B6"/>
    <w:rsid w:val="00A368DA"/>
    <w:rsid w:val="00A40935"/>
    <w:rsid w:val="00A40CD1"/>
    <w:rsid w:val="00A4267C"/>
    <w:rsid w:val="00A42DD8"/>
    <w:rsid w:val="00A43140"/>
    <w:rsid w:val="00A432F3"/>
    <w:rsid w:val="00A4404A"/>
    <w:rsid w:val="00A444AD"/>
    <w:rsid w:val="00A453B8"/>
    <w:rsid w:val="00A45776"/>
    <w:rsid w:val="00A46DF5"/>
    <w:rsid w:val="00A50001"/>
    <w:rsid w:val="00A5065E"/>
    <w:rsid w:val="00A50D33"/>
    <w:rsid w:val="00A5149A"/>
    <w:rsid w:val="00A53650"/>
    <w:rsid w:val="00A536ED"/>
    <w:rsid w:val="00A53E3D"/>
    <w:rsid w:val="00A53E51"/>
    <w:rsid w:val="00A54136"/>
    <w:rsid w:val="00A545AE"/>
    <w:rsid w:val="00A5462E"/>
    <w:rsid w:val="00A5498C"/>
    <w:rsid w:val="00A550D4"/>
    <w:rsid w:val="00A55755"/>
    <w:rsid w:val="00A55A93"/>
    <w:rsid w:val="00A56319"/>
    <w:rsid w:val="00A57183"/>
    <w:rsid w:val="00A57EA6"/>
    <w:rsid w:val="00A60693"/>
    <w:rsid w:val="00A6196D"/>
    <w:rsid w:val="00A619C0"/>
    <w:rsid w:val="00A61ADF"/>
    <w:rsid w:val="00A62012"/>
    <w:rsid w:val="00A624CB"/>
    <w:rsid w:val="00A6293D"/>
    <w:rsid w:val="00A62AC0"/>
    <w:rsid w:val="00A64067"/>
    <w:rsid w:val="00A64ECA"/>
    <w:rsid w:val="00A65B33"/>
    <w:rsid w:val="00A678E0"/>
    <w:rsid w:val="00A67C3F"/>
    <w:rsid w:val="00A73406"/>
    <w:rsid w:val="00A75118"/>
    <w:rsid w:val="00A763C7"/>
    <w:rsid w:val="00A76BD2"/>
    <w:rsid w:val="00A76D96"/>
    <w:rsid w:val="00A80A6F"/>
    <w:rsid w:val="00A8267D"/>
    <w:rsid w:val="00A82E14"/>
    <w:rsid w:val="00A846D1"/>
    <w:rsid w:val="00A8688E"/>
    <w:rsid w:val="00A8722B"/>
    <w:rsid w:val="00A901E9"/>
    <w:rsid w:val="00A917B6"/>
    <w:rsid w:val="00A91831"/>
    <w:rsid w:val="00A91B3B"/>
    <w:rsid w:val="00A91F65"/>
    <w:rsid w:val="00A92226"/>
    <w:rsid w:val="00A923EB"/>
    <w:rsid w:val="00A93B4F"/>
    <w:rsid w:val="00A948A5"/>
    <w:rsid w:val="00A94F7A"/>
    <w:rsid w:val="00A95254"/>
    <w:rsid w:val="00A95D3B"/>
    <w:rsid w:val="00A97341"/>
    <w:rsid w:val="00AA0081"/>
    <w:rsid w:val="00AA0941"/>
    <w:rsid w:val="00AA2463"/>
    <w:rsid w:val="00AA2879"/>
    <w:rsid w:val="00AA3623"/>
    <w:rsid w:val="00AA4702"/>
    <w:rsid w:val="00AA4959"/>
    <w:rsid w:val="00AA4E4D"/>
    <w:rsid w:val="00AA5AF1"/>
    <w:rsid w:val="00AA5E38"/>
    <w:rsid w:val="00AA6651"/>
    <w:rsid w:val="00AA7460"/>
    <w:rsid w:val="00AA7A4B"/>
    <w:rsid w:val="00AB09ED"/>
    <w:rsid w:val="00AB2AAD"/>
    <w:rsid w:val="00AB3DC0"/>
    <w:rsid w:val="00AB4B68"/>
    <w:rsid w:val="00AB4CBB"/>
    <w:rsid w:val="00AB57A9"/>
    <w:rsid w:val="00AB5A68"/>
    <w:rsid w:val="00AB7F83"/>
    <w:rsid w:val="00AC125E"/>
    <w:rsid w:val="00AC31D6"/>
    <w:rsid w:val="00AC32E2"/>
    <w:rsid w:val="00AC3701"/>
    <w:rsid w:val="00AC45DF"/>
    <w:rsid w:val="00AC474D"/>
    <w:rsid w:val="00AC4DFD"/>
    <w:rsid w:val="00AC4F47"/>
    <w:rsid w:val="00AC5663"/>
    <w:rsid w:val="00AC5791"/>
    <w:rsid w:val="00AC58FD"/>
    <w:rsid w:val="00AD0F6D"/>
    <w:rsid w:val="00AD1166"/>
    <w:rsid w:val="00AD179C"/>
    <w:rsid w:val="00AD19D2"/>
    <w:rsid w:val="00AD1A96"/>
    <w:rsid w:val="00AD3042"/>
    <w:rsid w:val="00AD3544"/>
    <w:rsid w:val="00AD4770"/>
    <w:rsid w:val="00AD540C"/>
    <w:rsid w:val="00AD5A4D"/>
    <w:rsid w:val="00AD6E76"/>
    <w:rsid w:val="00AD7610"/>
    <w:rsid w:val="00AD793A"/>
    <w:rsid w:val="00AE0120"/>
    <w:rsid w:val="00AE071E"/>
    <w:rsid w:val="00AE3038"/>
    <w:rsid w:val="00AE3458"/>
    <w:rsid w:val="00AE3D4A"/>
    <w:rsid w:val="00AE3F4C"/>
    <w:rsid w:val="00AE5956"/>
    <w:rsid w:val="00AE619F"/>
    <w:rsid w:val="00AE7A88"/>
    <w:rsid w:val="00AF060F"/>
    <w:rsid w:val="00AF121D"/>
    <w:rsid w:val="00AF13D2"/>
    <w:rsid w:val="00AF1B2C"/>
    <w:rsid w:val="00AF2A56"/>
    <w:rsid w:val="00AF39B2"/>
    <w:rsid w:val="00AF3A03"/>
    <w:rsid w:val="00AF440A"/>
    <w:rsid w:val="00AF4A14"/>
    <w:rsid w:val="00AF51D1"/>
    <w:rsid w:val="00AF63AB"/>
    <w:rsid w:val="00B00DB9"/>
    <w:rsid w:val="00B01784"/>
    <w:rsid w:val="00B01F1E"/>
    <w:rsid w:val="00B022B4"/>
    <w:rsid w:val="00B0283B"/>
    <w:rsid w:val="00B03507"/>
    <w:rsid w:val="00B0388B"/>
    <w:rsid w:val="00B03BEE"/>
    <w:rsid w:val="00B04418"/>
    <w:rsid w:val="00B04D79"/>
    <w:rsid w:val="00B0517E"/>
    <w:rsid w:val="00B05D5F"/>
    <w:rsid w:val="00B076E1"/>
    <w:rsid w:val="00B107A7"/>
    <w:rsid w:val="00B10B50"/>
    <w:rsid w:val="00B11314"/>
    <w:rsid w:val="00B113E3"/>
    <w:rsid w:val="00B1156A"/>
    <w:rsid w:val="00B1213D"/>
    <w:rsid w:val="00B138E3"/>
    <w:rsid w:val="00B13FB5"/>
    <w:rsid w:val="00B144B8"/>
    <w:rsid w:val="00B15159"/>
    <w:rsid w:val="00B178FA"/>
    <w:rsid w:val="00B17D8E"/>
    <w:rsid w:val="00B204F1"/>
    <w:rsid w:val="00B207C3"/>
    <w:rsid w:val="00B20C36"/>
    <w:rsid w:val="00B21443"/>
    <w:rsid w:val="00B22468"/>
    <w:rsid w:val="00B23267"/>
    <w:rsid w:val="00B2333E"/>
    <w:rsid w:val="00B23906"/>
    <w:rsid w:val="00B23B79"/>
    <w:rsid w:val="00B23F96"/>
    <w:rsid w:val="00B257BF"/>
    <w:rsid w:val="00B27149"/>
    <w:rsid w:val="00B31D45"/>
    <w:rsid w:val="00B33007"/>
    <w:rsid w:val="00B34BB7"/>
    <w:rsid w:val="00B35636"/>
    <w:rsid w:val="00B35B4D"/>
    <w:rsid w:val="00B362F0"/>
    <w:rsid w:val="00B36652"/>
    <w:rsid w:val="00B36A67"/>
    <w:rsid w:val="00B40B55"/>
    <w:rsid w:val="00B417DC"/>
    <w:rsid w:val="00B419E1"/>
    <w:rsid w:val="00B425AB"/>
    <w:rsid w:val="00B425F8"/>
    <w:rsid w:val="00B434A3"/>
    <w:rsid w:val="00B43729"/>
    <w:rsid w:val="00B44917"/>
    <w:rsid w:val="00B449B7"/>
    <w:rsid w:val="00B45279"/>
    <w:rsid w:val="00B464E3"/>
    <w:rsid w:val="00B47090"/>
    <w:rsid w:val="00B532D1"/>
    <w:rsid w:val="00B5463D"/>
    <w:rsid w:val="00B57925"/>
    <w:rsid w:val="00B5796E"/>
    <w:rsid w:val="00B57D5D"/>
    <w:rsid w:val="00B57F7C"/>
    <w:rsid w:val="00B601BB"/>
    <w:rsid w:val="00B602A5"/>
    <w:rsid w:val="00B60FCD"/>
    <w:rsid w:val="00B618BB"/>
    <w:rsid w:val="00B61A34"/>
    <w:rsid w:val="00B61B33"/>
    <w:rsid w:val="00B61E3E"/>
    <w:rsid w:val="00B63862"/>
    <w:rsid w:val="00B64050"/>
    <w:rsid w:val="00B6432A"/>
    <w:rsid w:val="00B660FA"/>
    <w:rsid w:val="00B66971"/>
    <w:rsid w:val="00B67822"/>
    <w:rsid w:val="00B67A79"/>
    <w:rsid w:val="00B67E1C"/>
    <w:rsid w:val="00B70113"/>
    <w:rsid w:val="00B710BE"/>
    <w:rsid w:val="00B72335"/>
    <w:rsid w:val="00B72D62"/>
    <w:rsid w:val="00B74E71"/>
    <w:rsid w:val="00B767AF"/>
    <w:rsid w:val="00B76999"/>
    <w:rsid w:val="00B7749D"/>
    <w:rsid w:val="00B80511"/>
    <w:rsid w:val="00B80798"/>
    <w:rsid w:val="00B80876"/>
    <w:rsid w:val="00B8094A"/>
    <w:rsid w:val="00B82249"/>
    <w:rsid w:val="00B82B69"/>
    <w:rsid w:val="00B82C3C"/>
    <w:rsid w:val="00B82DE6"/>
    <w:rsid w:val="00B831CD"/>
    <w:rsid w:val="00B846F6"/>
    <w:rsid w:val="00B85329"/>
    <w:rsid w:val="00B91112"/>
    <w:rsid w:val="00B91B73"/>
    <w:rsid w:val="00B91B9D"/>
    <w:rsid w:val="00B92540"/>
    <w:rsid w:val="00B928CB"/>
    <w:rsid w:val="00B92989"/>
    <w:rsid w:val="00B9346F"/>
    <w:rsid w:val="00B96549"/>
    <w:rsid w:val="00B973B8"/>
    <w:rsid w:val="00B973CA"/>
    <w:rsid w:val="00B97D29"/>
    <w:rsid w:val="00BA0046"/>
    <w:rsid w:val="00BA1B71"/>
    <w:rsid w:val="00BA1E82"/>
    <w:rsid w:val="00BA3176"/>
    <w:rsid w:val="00BA3BCF"/>
    <w:rsid w:val="00BA5E20"/>
    <w:rsid w:val="00BA607C"/>
    <w:rsid w:val="00BA6734"/>
    <w:rsid w:val="00BB3E2A"/>
    <w:rsid w:val="00BB48A7"/>
    <w:rsid w:val="00BB4BD4"/>
    <w:rsid w:val="00BB4ED6"/>
    <w:rsid w:val="00BB6C5C"/>
    <w:rsid w:val="00BB7121"/>
    <w:rsid w:val="00BC0479"/>
    <w:rsid w:val="00BC1341"/>
    <w:rsid w:val="00BC1651"/>
    <w:rsid w:val="00BC16F5"/>
    <w:rsid w:val="00BC18FF"/>
    <w:rsid w:val="00BC1A06"/>
    <w:rsid w:val="00BC287D"/>
    <w:rsid w:val="00BC2A38"/>
    <w:rsid w:val="00BC3275"/>
    <w:rsid w:val="00BC3400"/>
    <w:rsid w:val="00BC3A60"/>
    <w:rsid w:val="00BC46EB"/>
    <w:rsid w:val="00BC57FE"/>
    <w:rsid w:val="00BC643B"/>
    <w:rsid w:val="00BC725E"/>
    <w:rsid w:val="00BD09DF"/>
    <w:rsid w:val="00BD174C"/>
    <w:rsid w:val="00BD2A41"/>
    <w:rsid w:val="00BD32E5"/>
    <w:rsid w:val="00BD36C4"/>
    <w:rsid w:val="00BD4731"/>
    <w:rsid w:val="00BD4BC6"/>
    <w:rsid w:val="00BD6E1A"/>
    <w:rsid w:val="00BD732F"/>
    <w:rsid w:val="00BD79DE"/>
    <w:rsid w:val="00BE05E0"/>
    <w:rsid w:val="00BE1095"/>
    <w:rsid w:val="00BE12FE"/>
    <w:rsid w:val="00BE150A"/>
    <w:rsid w:val="00BE448D"/>
    <w:rsid w:val="00BE4776"/>
    <w:rsid w:val="00BE5614"/>
    <w:rsid w:val="00BE6767"/>
    <w:rsid w:val="00BE686C"/>
    <w:rsid w:val="00BE730D"/>
    <w:rsid w:val="00BE78EC"/>
    <w:rsid w:val="00BF1DC6"/>
    <w:rsid w:val="00BF1DCE"/>
    <w:rsid w:val="00BF46EE"/>
    <w:rsid w:val="00BF4914"/>
    <w:rsid w:val="00BF560C"/>
    <w:rsid w:val="00BF56B6"/>
    <w:rsid w:val="00BF607B"/>
    <w:rsid w:val="00BF646E"/>
    <w:rsid w:val="00BF65A2"/>
    <w:rsid w:val="00BF740D"/>
    <w:rsid w:val="00C022EC"/>
    <w:rsid w:val="00C02E1D"/>
    <w:rsid w:val="00C03BC2"/>
    <w:rsid w:val="00C04235"/>
    <w:rsid w:val="00C0613C"/>
    <w:rsid w:val="00C1045C"/>
    <w:rsid w:val="00C10D05"/>
    <w:rsid w:val="00C13970"/>
    <w:rsid w:val="00C13DF9"/>
    <w:rsid w:val="00C144C1"/>
    <w:rsid w:val="00C14AC8"/>
    <w:rsid w:val="00C14FBA"/>
    <w:rsid w:val="00C15484"/>
    <w:rsid w:val="00C15D77"/>
    <w:rsid w:val="00C15EA1"/>
    <w:rsid w:val="00C15EA9"/>
    <w:rsid w:val="00C166A0"/>
    <w:rsid w:val="00C16CFB"/>
    <w:rsid w:val="00C174DB"/>
    <w:rsid w:val="00C17A8E"/>
    <w:rsid w:val="00C17DEE"/>
    <w:rsid w:val="00C22C7F"/>
    <w:rsid w:val="00C2378F"/>
    <w:rsid w:val="00C23EC0"/>
    <w:rsid w:val="00C2417E"/>
    <w:rsid w:val="00C24F70"/>
    <w:rsid w:val="00C25615"/>
    <w:rsid w:val="00C25DC2"/>
    <w:rsid w:val="00C26A06"/>
    <w:rsid w:val="00C2761C"/>
    <w:rsid w:val="00C30B10"/>
    <w:rsid w:val="00C324A0"/>
    <w:rsid w:val="00C32C75"/>
    <w:rsid w:val="00C33479"/>
    <w:rsid w:val="00C36424"/>
    <w:rsid w:val="00C3709A"/>
    <w:rsid w:val="00C40096"/>
    <w:rsid w:val="00C40ED2"/>
    <w:rsid w:val="00C41F10"/>
    <w:rsid w:val="00C432DD"/>
    <w:rsid w:val="00C43AA2"/>
    <w:rsid w:val="00C4423A"/>
    <w:rsid w:val="00C44565"/>
    <w:rsid w:val="00C46151"/>
    <w:rsid w:val="00C46402"/>
    <w:rsid w:val="00C47CA6"/>
    <w:rsid w:val="00C501FE"/>
    <w:rsid w:val="00C53577"/>
    <w:rsid w:val="00C53656"/>
    <w:rsid w:val="00C53FCF"/>
    <w:rsid w:val="00C55CEA"/>
    <w:rsid w:val="00C560A3"/>
    <w:rsid w:val="00C56957"/>
    <w:rsid w:val="00C5781E"/>
    <w:rsid w:val="00C5784B"/>
    <w:rsid w:val="00C615FD"/>
    <w:rsid w:val="00C62475"/>
    <w:rsid w:val="00C639FF"/>
    <w:rsid w:val="00C63CB4"/>
    <w:rsid w:val="00C63FAC"/>
    <w:rsid w:val="00C6442A"/>
    <w:rsid w:val="00C64684"/>
    <w:rsid w:val="00C64D15"/>
    <w:rsid w:val="00C65DB8"/>
    <w:rsid w:val="00C66088"/>
    <w:rsid w:val="00C66DC6"/>
    <w:rsid w:val="00C67C4C"/>
    <w:rsid w:val="00C70C74"/>
    <w:rsid w:val="00C7414B"/>
    <w:rsid w:val="00C74B5D"/>
    <w:rsid w:val="00C74F74"/>
    <w:rsid w:val="00C7554B"/>
    <w:rsid w:val="00C75702"/>
    <w:rsid w:val="00C76C26"/>
    <w:rsid w:val="00C76D1F"/>
    <w:rsid w:val="00C80951"/>
    <w:rsid w:val="00C81F91"/>
    <w:rsid w:val="00C8205E"/>
    <w:rsid w:val="00C8223A"/>
    <w:rsid w:val="00C82EB5"/>
    <w:rsid w:val="00C83333"/>
    <w:rsid w:val="00C83D25"/>
    <w:rsid w:val="00C841C1"/>
    <w:rsid w:val="00C847CE"/>
    <w:rsid w:val="00C8599F"/>
    <w:rsid w:val="00C85CF2"/>
    <w:rsid w:val="00C86810"/>
    <w:rsid w:val="00C87966"/>
    <w:rsid w:val="00C87B62"/>
    <w:rsid w:val="00C902DE"/>
    <w:rsid w:val="00C916AE"/>
    <w:rsid w:val="00C93AAA"/>
    <w:rsid w:val="00C94048"/>
    <w:rsid w:val="00C94DFC"/>
    <w:rsid w:val="00C95FCD"/>
    <w:rsid w:val="00C96FB3"/>
    <w:rsid w:val="00C97188"/>
    <w:rsid w:val="00C97A46"/>
    <w:rsid w:val="00CA025C"/>
    <w:rsid w:val="00CA0639"/>
    <w:rsid w:val="00CA11D0"/>
    <w:rsid w:val="00CA1D3C"/>
    <w:rsid w:val="00CA2E02"/>
    <w:rsid w:val="00CA416D"/>
    <w:rsid w:val="00CA4CCF"/>
    <w:rsid w:val="00CA4ECF"/>
    <w:rsid w:val="00CA54D7"/>
    <w:rsid w:val="00CA583A"/>
    <w:rsid w:val="00CA5EC6"/>
    <w:rsid w:val="00CB055C"/>
    <w:rsid w:val="00CB07E0"/>
    <w:rsid w:val="00CB38E1"/>
    <w:rsid w:val="00CB3CC2"/>
    <w:rsid w:val="00CB500F"/>
    <w:rsid w:val="00CB5744"/>
    <w:rsid w:val="00CB5B2C"/>
    <w:rsid w:val="00CB5C8E"/>
    <w:rsid w:val="00CB60DF"/>
    <w:rsid w:val="00CB7022"/>
    <w:rsid w:val="00CB7BC5"/>
    <w:rsid w:val="00CC0CE3"/>
    <w:rsid w:val="00CC141E"/>
    <w:rsid w:val="00CC21AC"/>
    <w:rsid w:val="00CC4167"/>
    <w:rsid w:val="00CC478B"/>
    <w:rsid w:val="00CC586D"/>
    <w:rsid w:val="00CC60F7"/>
    <w:rsid w:val="00CC6202"/>
    <w:rsid w:val="00CC7DBC"/>
    <w:rsid w:val="00CD05FA"/>
    <w:rsid w:val="00CD0632"/>
    <w:rsid w:val="00CD0750"/>
    <w:rsid w:val="00CD15E3"/>
    <w:rsid w:val="00CD1715"/>
    <w:rsid w:val="00CD1837"/>
    <w:rsid w:val="00CD1BA3"/>
    <w:rsid w:val="00CD1C0C"/>
    <w:rsid w:val="00CD1D23"/>
    <w:rsid w:val="00CD3612"/>
    <w:rsid w:val="00CD3E69"/>
    <w:rsid w:val="00CD4224"/>
    <w:rsid w:val="00CD4B07"/>
    <w:rsid w:val="00CD588D"/>
    <w:rsid w:val="00CD5EF8"/>
    <w:rsid w:val="00CD5F9D"/>
    <w:rsid w:val="00CD612A"/>
    <w:rsid w:val="00CD6B7D"/>
    <w:rsid w:val="00CD7D29"/>
    <w:rsid w:val="00CE0847"/>
    <w:rsid w:val="00CE0B6C"/>
    <w:rsid w:val="00CE11D0"/>
    <w:rsid w:val="00CE28DB"/>
    <w:rsid w:val="00CE2EEA"/>
    <w:rsid w:val="00CE4708"/>
    <w:rsid w:val="00CE4C50"/>
    <w:rsid w:val="00CE5924"/>
    <w:rsid w:val="00CE6858"/>
    <w:rsid w:val="00CE7450"/>
    <w:rsid w:val="00CE770C"/>
    <w:rsid w:val="00CF1476"/>
    <w:rsid w:val="00CF19AB"/>
    <w:rsid w:val="00CF3C64"/>
    <w:rsid w:val="00CF47FB"/>
    <w:rsid w:val="00CF50BE"/>
    <w:rsid w:val="00CF538C"/>
    <w:rsid w:val="00CF7625"/>
    <w:rsid w:val="00CF7EF9"/>
    <w:rsid w:val="00D00026"/>
    <w:rsid w:val="00D00E6B"/>
    <w:rsid w:val="00D015B4"/>
    <w:rsid w:val="00D031BE"/>
    <w:rsid w:val="00D0451D"/>
    <w:rsid w:val="00D0506A"/>
    <w:rsid w:val="00D0567A"/>
    <w:rsid w:val="00D05F59"/>
    <w:rsid w:val="00D0640F"/>
    <w:rsid w:val="00D0643D"/>
    <w:rsid w:val="00D10FA1"/>
    <w:rsid w:val="00D1289C"/>
    <w:rsid w:val="00D12B6F"/>
    <w:rsid w:val="00D1314E"/>
    <w:rsid w:val="00D142D3"/>
    <w:rsid w:val="00D1666F"/>
    <w:rsid w:val="00D16E58"/>
    <w:rsid w:val="00D17DAE"/>
    <w:rsid w:val="00D2071A"/>
    <w:rsid w:val="00D21227"/>
    <w:rsid w:val="00D222BE"/>
    <w:rsid w:val="00D229C2"/>
    <w:rsid w:val="00D22EDA"/>
    <w:rsid w:val="00D22F44"/>
    <w:rsid w:val="00D23BD8"/>
    <w:rsid w:val="00D23F89"/>
    <w:rsid w:val="00D25177"/>
    <w:rsid w:val="00D25622"/>
    <w:rsid w:val="00D274F2"/>
    <w:rsid w:val="00D30F73"/>
    <w:rsid w:val="00D30F97"/>
    <w:rsid w:val="00D313A0"/>
    <w:rsid w:val="00D31931"/>
    <w:rsid w:val="00D31FF6"/>
    <w:rsid w:val="00D33397"/>
    <w:rsid w:val="00D33663"/>
    <w:rsid w:val="00D35443"/>
    <w:rsid w:val="00D36787"/>
    <w:rsid w:val="00D36B2E"/>
    <w:rsid w:val="00D36FE0"/>
    <w:rsid w:val="00D373FA"/>
    <w:rsid w:val="00D378F3"/>
    <w:rsid w:val="00D40799"/>
    <w:rsid w:val="00D41A06"/>
    <w:rsid w:val="00D42A57"/>
    <w:rsid w:val="00D42ABF"/>
    <w:rsid w:val="00D42F40"/>
    <w:rsid w:val="00D435DB"/>
    <w:rsid w:val="00D45B67"/>
    <w:rsid w:val="00D5034A"/>
    <w:rsid w:val="00D5062A"/>
    <w:rsid w:val="00D50E51"/>
    <w:rsid w:val="00D50E75"/>
    <w:rsid w:val="00D51F49"/>
    <w:rsid w:val="00D53EDC"/>
    <w:rsid w:val="00D558E6"/>
    <w:rsid w:val="00D55EE8"/>
    <w:rsid w:val="00D562CB"/>
    <w:rsid w:val="00D569CB"/>
    <w:rsid w:val="00D569D1"/>
    <w:rsid w:val="00D56AD8"/>
    <w:rsid w:val="00D56C05"/>
    <w:rsid w:val="00D57194"/>
    <w:rsid w:val="00D5785A"/>
    <w:rsid w:val="00D57A29"/>
    <w:rsid w:val="00D6212A"/>
    <w:rsid w:val="00D62E64"/>
    <w:rsid w:val="00D63293"/>
    <w:rsid w:val="00D6375F"/>
    <w:rsid w:val="00D6416E"/>
    <w:rsid w:val="00D6433F"/>
    <w:rsid w:val="00D64353"/>
    <w:rsid w:val="00D64C48"/>
    <w:rsid w:val="00D6680B"/>
    <w:rsid w:val="00D66BAC"/>
    <w:rsid w:val="00D67867"/>
    <w:rsid w:val="00D709C0"/>
    <w:rsid w:val="00D70FDF"/>
    <w:rsid w:val="00D7229A"/>
    <w:rsid w:val="00D72F4F"/>
    <w:rsid w:val="00D731C4"/>
    <w:rsid w:val="00D74385"/>
    <w:rsid w:val="00D74EB4"/>
    <w:rsid w:val="00D7656C"/>
    <w:rsid w:val="00D77EB2"/>
    <w:rsid w:val="00D801FC"/>
    <w:rsid w:val="00D80A27"/>
    <w:rsid w:val="00D8403A"/>
    <w:rsid w:val="00D85BE0"/>
    <w:rsid w:val="00D8676F"/>
    <w:rsid w:val="00D86A7D"/>
    <w:rsid w:val="00D87F9F"/>
    <w:rsid w:val="00D87FD7"/>
    <w:rsid w:val="00D90C3C"/>
    <w:rsid w:val="00D90F6D"/>
    <w:rsid w:val="00D91466"/>
    <w:rsid w:val="00D915ED"/>
    <w:rsid w:val="00D91BEE"/>
    <w:rsid w:val="00D91DE4"/>
    <w:rsid w:val="00D91EEF"/>
    <w:rsid w:val="00D92300"/>
    <w:rsid w:val="00D92D7F"/>
    <w:rsid w:val="00D93E9F"/>
    <w:rsid w:val="00D94AFC"/>
    <w:rsid w:val="00D950E6"/>
    <w:rsid w:val="00D96062"/>
    <w:rsid w:val="00D96F15"/>
    <w:rsid w:val="00D97047"/>
    <w:rsid w:val="00D9730E"/>
    <w:rsid w:val="00D974E4"/>
    <w:rsid w:val="00D97941"/>
    <w:rsid w:val="00DA0467"/>
    <w:rsid w:val="00DA3619"/>
    <w:rsid w:val="00DA3E38"/>
    <w:rsid w:val="00DB0B88"/>
    <w:rsid w:val="00DB1652"/>
    <w:rsid w:val="00DB1EA0"/>
    <w:rsid w:val="00DB2171"/>
    <w:rsid w:val="00DB3B6D"/>
    <w:rsid w:val="00DB3DDD"/>
    <w:rsid w:val="00DB40FE"/>
    <w:rsid w:val="00DB4A7B"/>
    <w:rsid w:val="00DB508F"/>
    <w:rsid w:val="00DB50EF"/>
    <w:rsid w:val="00DB5773"/>
    <w:rsid w:val="00DB58A6"/>
    <w:rsid w:val="00DB64CA"/>
    <w:rsid w:val="00DB6B99"/>
    <w:rsid w:val="00DC001A"/>
    <w:rsid w:val="00DC1FCD"/>
    <w:rsid w:val="00DC25FB"/>
    <w:rsid w:val="00DC5FA4"/>
    <w:rsid w:val="00DC66CD"/>
    <w:rsid w:val="00DC6991"/>
    <w:rsid w:val="00DD15C8"/>
    <w:rsid w:val="00DD22BB"/>
    <w:rsid w:val="00DD29B8"/>
    <w:rsid w:val="00DD3DFE"/>
    <w:rsid w:val="00DD4F44"/>
    <w:rsid w:val="00DD59B7"/>
    <w:rsid w:val="00DD59B8"/>
    <w:rsid w:val="00DD686C"/>
    <w:rsid w:val="00DD6DDA"/>
    <w:rsid w:val="00DD7E0C"/>
    <w:rsid w:val="00DE0449"/>
    <w:rsid w:val="00DE05CE"/>
    <w:rsid w:val="00DE071C"/>
    <w:rsid w:val="00DE1A1A"/>
    <w:rsid w:val="00DE2AC3"/>
    <w:rsid w:val="00DE2E40"/>
    <w:rsid w:val="00DE3496"/>
    <w:rsid w:val="00DE3598"/>
    <w:rsid w:val="00DE3FBD"/>
    <w:rsid w:val="00DE43F5"/>
    <w:rsid w:val="00DE65FB"/>
    <w:rsid w:val="00DE779B"/>
    <w:rsid w:val="00DF0CC3"/>
    <w:rsid w:val="00DF234F"/>
    <w:rsid w:val="00DF2992"/>
    <w:rsid w:val="00DF420A"/>
    <w:rsid w:val="00DF6E9A"/>
    <w:rsid w:val="00DF717C"/>
    <w:rsid w:val="00E02472"/>
    <w:rsid w:val="00E04069"/>
    <w:rsid w:val="00E0418E"/>
    <w:rsid w:val="00E041F0"/>
    <w:rsid w:val="00E1069A"/>
    <w:rsid w:val="00E106BB"/>
    <w:rsid w:val="00E128D8"/>
    <w:rsid w:val="00E130C3"/>
    <w:rsid w:val="00E13CAC"/>
    <w:rsid w:val="00E14943"/>
    <w:rsid w:val="00E14AF2"/>
    <w:rsid w:val="00E17EDF"/>
    <w:rsid w:val="00E201CC"/>
    <w:rsid w:val="00E2082D"/>
    <w:rsid w:val="00E20DB2"/>
    <w:rsid w:val="00E211DA"/>
    <w:rsid w:val="00E21A47"/>
    <w:rsid w:val="00E221E2"/>
    <w:rsid w:val="00E23023"/>
    <w:rsid w:val="00E2330D"/>
    <w:rsid w:val="00E24303"/>
    <w:rsid w:val="00E279C0"/>
    <w:rsid w:val="00E27A16"/>
    <w:rsid w:val="00E27C39"/>
    <w:rsid w:val="00E320C4"/>
    <w:rsid w:val="00E35261"/>
    <w:rsid w:val="00E36D35"/>
    <w:rsid w:val="00E372CD"/>
    <w:rsid w:val="00E40F7B"/>
    <w:rsid w:val="00E414B2"/>
    <w:rsid w:val="00E43E48"/>
    <w:rsid w:val="00E443FB"/>
    <w:rsid w:val="00E44871"/>
    <w:rsid w:val="00E46D60"/>
    <w:rsid w:val="00E47C33"/>
    <w:rsid w:val="00E47F58"/>
    <w:rsid w:val="00E50608"/>
    <w:rsid w:val="00E5121D"/>
    <w:rsid w:val="00E53DAF"/>
    <w:rsid w:val="00E54283"/>
    <w:rsid w:val="00E54542"/>
    <w:rsid w:val="00E54BFC"/>
    <w:rsid w:val="00E55248"/>
    <w:rsid w:val="00E552E8"/>
    <w:rsid w:val="00E56D9D"/>
    <w:rsid w:val="00E60E2E"/>
    <w:rsid w:val="00E60FF2"/>
    <w:rsid w:val="00E616ED"/>
    <w:rsid w:val="00E61A43"/>
    <w:rsid w:val="00E625E2"/>
    <w:rsid w:val="00E62BDB"/>
    <w:rsid w:val="00E62E36"/>
    <w:rsid w:val="00E66D1C"/>
    <w:rsid w:val="00E71A2D"/>
    <w:rsid w:val="00E72389"/>
    <w:rsid w:val="00E72FB3"/>
    <w:rsid w:val="00E73484"/>
    <w:rsid w:val="00E73C25"/>
    <w:rsid w:val="00E7475A"/>
    <w:rsid w:val="00E74A73"/>
    <w:rsid w:val="00E75814"/>
    <w:rsid w:val="00E76209"/>
    <w:rsid w:val="00E77BCB"/>
    <w:rsid w:val="00E823C1"/>
    <w:rsid w:val="00E82DB7"/>
    <w:rsid w:val="00E83C85"/>
    <w:rsid w:val="00E8439A"/>
    <w:rsid w:val="00E8458C"/>
    <w:rsid w:val="00E84B49"/>
    <w:rsid w:val="00E8579C"/>
    <w:rsid w:val="00E859A6"/>
    <w:rsid w:val="00E861E7"/>
    <w:rsid w:val="00E865FE"/>
    <w:rsid w:val="00E86F5C"/>
    <w:rsid w:val="00E8790B"/>
    <w:rsid w:val="00E907FF"/>
    <w:rsid w:val="00E911BC"/>
    <w:rsid w:val="00E91408"/>
    <w:rsid w:val="00E91759"/>
    <w:rsid w:val="00E91AEC"/>
    <w:rsid w:val="00E93413"/>
    <w:rsid w:val="00E93D82"/>
    <w:rsid w:val="00E95064"/>
    <w:rsid w:val="00E9654B"/>
    <w:rsid w:val="00E96C10"/>
    <w:rsid w:val="00EA0A2A"/>
    <w:rsid w:val="00EA13E4"/>
    <w:rsid w:val="00EA18DB"/>
    <w:rsid w:val="00EA2FBA"/>
    <w:rsid w:val="00EA36F6"/>
    <w:rsid w:val="00EA439C"/>
    <w:rsid w:val="00EA4DC5"/>
    <w:rsid w:val="00EA5664"/>
    <w:rsid w:val="00EA66DF"/>
    <w:rsid w:val="00EA6ADC"/>
    <w:rsid w:val="00EB13A7"/>
    <w:rsid w:val="00EB14DF"/>
    <w:rsid w:val="00EB1A4D"/>
    <w:rsid w:val="00EB2779"/>
    <w:rsid w:val="00EB3A07"/>
    <w:rsid w:val="00EB3D07"/>
    <w:rsid w:val="00EB5539"/>
    <w:rsid w:val="00EB67A3"/>
    <w:rsid w:val="00EC16E9"/>
    <w:rsid w:val="00EC3771"/>
    <w:rsid w:val="00EC3F31"/>
    <w:rsid w:val="00EC52E7"/>
    <w:rsid w:val="00EC74FB"/>
    <w:rsid w:val="00EC7E0E"/>
    <w:rsid w:val="00ED0E63"/>
    <w:rsid w:val="00ED358B"/>
    <w:rsid w:val="00ED3698"/>
    <w:rsid w:val="00ED4206"/>
    <w:rsid w:val="00ED4794"/>
    <w:rsid w:val="00ED49FD"/>
    <w:rsid w:val="00ED64A3"/>
    <w:rsid w:val="00ED6C7F"/>
    <w:rsid w:val="00ED6FAB"/>
    <w:rsid w:val="00ED7992"/>
    <w:rsid w:val="00ED7B59"/>
    <w:rsid w:val="00EE265C"/>
    <w:rsid w:val="00EE33F3"/>
    <w:rsid w:val="00EE486D"/>
    <w:rsid w:val="00EE5231"/>
    <w:rsid w:val="00EE54C0"/>
    <w:rsid w:val="00EE553B"/>
    <w:rsid w:val="00EE56B3"/>
    <w:rsid w:val="00EE5C63"/>
    <w:rsid w:val="00EE6895"/>
    <w:rsid w:val="00EE6BBF"/>
    <w:rsid w:val="00EF0A44"/>
    <w:rsid w:val="00EF1E61"/>
    <w:rsid w:val="00EF3500"/>
    <w:rsid w:val="00EF416F"/>
    <w:rsid w:val="00EF48EC"/>
    <w:rsid w:val="00EF6426"/>
    <w:rsid w:val="00EF76B7"/>
    <w:rsid w:val="00F00449"/>
    <w:rsid w:val="00F007D7"/>
    <w:rsid w:val="00F0095C"/>
    <w:rsid w:val="00F00E6E"/>
    <w:rsid w:val="00F01129"/>
    <w:rsid w:val="00F01CCA"/>
    <w:rsid w:val="00F01F2C"/>
    <w:rsid w:val="00F02104"/>
    <w:rsid w:val="00F02132"/>
    <w:rsid w:val="00F0309E"/>
    <w:rsid w:val="00F03FE4"/>
    <w:rsid w:val="00F0438F"/>
    <w:rsid w:val="00F04EF6"/>
    <w:rsid w:val="00F05AAF"/>
    <w:rsid w:val="00F05AE4"/>
    <w:rsid w:val="00F06826"/>
    <w:rsid w:val="00F06C17"/>
    <w:rsid w:val="00F07327"/>
    <w:rsid w:val="00F10622"/>
    <w:rsid w:val="00F10EED"/>
    <w:rsid w:val="00F11B06"/>
    <w:rsid w:val="00F121B2"/>
    <w:rsid w:val="00F138B4"/>
    <w:rsid w:val="00F13C82"/>
    <w:rsid w:val="00F1632B"/>
    <w:rsid w:val="00F2021D"/>
    <w:rsid w:val="00F202CA"/>
    <w:rsid w:val="00F223A7"/>
    <w:rsid w:val="00F232F4"/>
    <w:rsid w:val="00F24A4B"/>
    <w:rsid w:val="00F25F00"/>
    <w:rsid w:val="00F266D3"/>
    <w:rsid w:val="00F26837"/>
    <w:rsid w:val="00F26A64"/>
    <w:rsid w:val="00F31582"/>
    <w:rsid w:val="00F318A6"/>
    <w:rsid w:val="00F322AE"/>
    <w:rsid w:val="00F323E5"/>
    <w:rsid w:val="00F328AC"/>
    <w:rsid w:val="00F329A4"/>
    <w:rsid w:val="00F334CB"/>
    <w:rsid w:val="00F33758"/>
    <w:rsid w:val="00F337BF"/>
    <w:rsid w:val="00F33B84"/>
    <w:rsid w:val="00F33DB5"/>
    <w:rsid w:val="00F3495A"/>
    <w:rsid w:val="00F34A74"/>
    <w:rsid w:val="00F34E2C"/>
    <w:rsid w:val="00F36A7F"/>
    <w:rsid w:val="00F370BC"/>
    <w:rsid w:val="00F37143"/>
    <w:rsid w:val="00F406EB"/>
    <w:rsid w:val="00F40F47"/>
    <w:rsid w:val="00F41703"/>
    <w:rsid w:val="00F42196"/>
    <w:rsid w:val="00F45B72"/>
    <w:rsid w:val="00F45E01"/>
    <w:rsid w:val="00F47082"/>
    <w:rsid w:val="00F47E54"/>
    <w:rsid w:val="00F47EEA"/>
    <w:rsid w:val="00F50562"/>
    <w:rsid w:val="00F507BF"/>
    <w:rsid w:val="00F50A92"/>
    <w:rsid w:val="00F50B0B"/>
    <w:rsid w:val="00F50D01"/>
    <w:rsid w:val="00F50DC5"/>
    <w:rsid w:val="00F51B07"/>
    <w:rsid w:val="00F52148"/>
    <w:rsid w:val="00F53D48"/>
    <w:rsid w:val="00F5506D"/>
    <w:rsid w:val="00F56BC1"/>
    <w:rsid w:val="00F573FD"/>
    <w:rsid w:val="00F5776E"/>
    <w:rsid w:val="00F618C4"/>
    <w:rsid w:val="00F62FFE"/>
    <w:rsid w:val="00F65774"/>
    <w:rsid w:val="00F65A34"/>
    <w:rsid w:val="00F65F4C"/>
    <w:rsid w:val="00F70250"/>
    <w:rsid w:val="00F70CBF"/>
    <w:rsid w:val="00F71A60"/>
    <w:rsid w:val="00F725DA"/>
    <w:rsid w:val="00F7536E"/>
    <w:rsid w:val="00F75652"/>
    <w:rsid w:val="00F76137"/>
    <w:rsid w:val="00F77055"/>
    <w:rsid w:val="00F7782D"/>
    <w:rsid w:val="00F8168B"/>
    <w:rsid w:val="00F81CF2"/>
    <w:rsid w:val="00F81F93"/>
    <w:rsid w:val="00F82AB8"/>
    <w:rsid w:val="00F84957"/>
    <w:rsid w:val="00F857D1"/>
    <w:rsid w:val="00F8605D"/>
    <w:rsid w:val="00F86FD9"/>
    <w:rsid w:val="00F90F8C"/>
    <w:rsid w:val="00F91417"/>
    <w:rsid w:val="00F91992"/>
    <w:rsid w:val="00F91C33"/>
    <w:rsid w:val="00F91DCC"/>
    <w:rsid w:val="00F9323F"/>
    <w:rsid w:val="00F940D2"/>
    <w:rsid w:val="00F943FE"/>
    <w:rsid w:val="00F94460"/>
    <w:rsid w:val="00F95814"/>
    <w:rsid w:val="00F95CE9"/>
    <w:rsid w:val="00F97100"/>
    <w:rsid w:val="00F97A64"/>
    <w:rsid w:val="00F97BEE"/>
    <w:rsid w:val="00FA01D9"/>
    <w:rsid w:val="00FA29DA"/>
    <w:rsid w:val="00FA43DF"/>
    <w:rsid w:val="00FA49D6"/>
    <w:rsid w:val="00FA4E57"/>
    <w:rsid w:val="00FA58D2"/>
    <w:rsid w:val="00FA7626"/>
    <w:rsid w:val="00FB0401"/>
    <w:rsid w:val="00FB0A39"/>
    <w:rsid w:val="00FB2EBF"/>
    <w:rsid w:val="00FB4F74"/>
    <w:rsid w:val="00FB671C"/>
    <w:rsid w:val="00FB6D7A"/>
    <w:rsid w:val="00FB7989"/>
    <w:rsid w:val="00FC0DF0"/>
    <w:rsid w:val="00FC0FBB"/>
    <w:rsid w:val="00FC1DFB"/>
    <w:rsid w:val="00FC1EF2"/>
    <w:rsid w:val="00FC2B7F"/>
    <w:rsid w:val="00FC3343"/>
    <w:rsid w:val="00FC33BA"/>
    <w:rsid w:val="00FC35AB"/>
    <w:rsid w:val="00FC6134"/>
    <w:rsid w:val="00FC654D"/>
    <w:rsid w:val="00FC77CF"/>
    <w:rsid w:val="00FC7ACF"/>
    <w:rsid w:val="00FC7F67"/>
    <w:rsid w:val="00FD0555"/>
    <w:rsid w:val="00FD06F5"/>
    <w:rsid w:val="00FD190B"/>
    <w:rsid w:val="00FD259E"/>
    <w:rsid w:val="00FD2C01"/>
    <w:rsid w:val="00FD4B23"/>
    <w:rsid w:val="00FD4F97"/>
    <w:rsid w:val="00FD5961"/>
    <w:rsid w:val="00FE08E1"/>
    <w:rsid w:val="00FE2663"/>
    <w:rsid w:val="00FE2904"/>
    <w:rsid w:val="00FE2B3B"/>
    <w:rsid w:val="00FE362F"/>
    <w:rsid w:val="00FE37B8"/>
    <w:rsid w:val="00FE3EFA"/>
    <w:rsid w:val="00FE4030"/>
    <w:rsid w:val="00FE5C56"/>
    <w:rsid w:val="00FE5E20"/>
    <w:rsid w:val="00FE7AAC"/>
    <w:rsid w:val="00FE7B06"/>
    <w:rsid w:val="00FE7E98"/>
    <w:rsid w:val="00FE7F91"/>
    <w:rsid w:val="00FF06BC"/>
    <w:rsid w:val="00FF20AC"/>
    <w:rsid w:val="00FF3801"/>
    <w:rsid w:val="00FF3A27"/>
    <w:rsid w:val="00FF3B27"/>
    <w:rsid w:val="00FF46CA"/>
    <w:rsid w:val="00FF4E8D"/>
    <w:rsid w:val="00FF58A3"/>
    <w:rsid w:val="00FF5CFA"/>
    <w:rsid w:val="00FF628B"/>
    <w:rsid w:val="00FF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6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82"/>
    <w:pPr>
      <w:spacing w:before="120" w:after="120" w:line="320" w:lineRule="atLeast"/>
    </w:pPr>
    <w:rPr>
      <w:rFonts w:asciiTheme="minorHAnsi" w:hAnsiTheme="minorHAnsi"/>
      <w:color w:val="000000" w:themeColor="text1"/>
      <w:szCs w:val="24"/>
    </w:rPr>
  </w:style>
  <w:style w:type="paragraph" w:styleId="Heading1">
    <w:name w:val="heading 1"/>
    <w:aliases w:val="Small H1"/>
    <w:basedOn w:val="Normal"/>
    <w:next w:val="Normal"/>
    <w:autoRedefine/>
    <w:uiPriority w:val="2"/>
    <w:qFormat/>
    <w:rsid w:val="00281514"/>
    <w:pPr>
      <w:keepNext/>
      <w:keepLines/>
      <w:pBdr>
        <w:bottom w:val="single" w:sz="24" w:space="4" w:color="00ADEF"/>
      </w:pBdr>
      <w:spacing w:line="240" w:lineRule="auto"/>
      <w:outlineLvl w:val="0"/>
    </w:pPr>
    <w:rPr>
      <w:rFonts w:asciiTheme="majorHAnsi" w:hAnsiTheme="majorHAnsi"/>
      <w:b/>
      <w:color w:val="auto"/>
      <w:sz w:val="52"/>
      <w:szCs w:val="44"/>
    </w:rPr>
  </w:style>
  <w:style w:type="paragraph" w:styleId="Heading2">
    <w:name w:val="heading 2"/>
    <w:basedOn w:val="Normal"/>
    <w:next w:val="Normal"/>
    <w:link w:val="Heading2Char"/>
    <w:uiPriority w:val="3"/>
    <w:qFormat/>
    <w:rsid w:val="007E5ACB"/>
    <w:pPr>
      <w:keepNext/>
      <w:keepLines/>
      <w:spacing w:before="240"/>
      <w:contextualSpacing/>
      <w:outlineLvl w:val="1"/>
    </w:pPr>
    <w:rPr>
      <w:rFonts w:asciiTheme="majorHAnsi" w:hAnsiTheme="majorHAnsi"/>
      <w:b/>
      <w:color w:val="117478" w:themeColor="accent3"/>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link w:val="FooterChar"/>
    <w:autoRedefine/>
    <w:uiPriority w:val="99"/>
    <w:qFormat/>
    <w:rsid w:val="00156D74"/>
    <w:pPr>
      <w:pBdr>
        <w:bottom w:val="single" w:sz="24" w:space="10" w:color="00ADEF"/>
      </w:pBdr>
      <w:tabs>
        <w:tab w:val="clear" w:pos="10319"/>
        <w:tab w:val="left" w:pos="935"/>
        <w:tab w:val="left" w:pos="1571"/>
        <w:tab w:val="right" w:pos="9570"/>
      </w:tabs>
      <w:ind w:right="-697"/>
      <w:contextualSpacing/>
    </w:pPr>
    <w:rPr>
      <w:noProof/>
    </w:rPr>
  </w:style>
  <w:style w:type="character" w:styleId="Hyperlink">
    <w:name w:val="Hyperlink"/>
    <w:basedOn w:val="DefaultParagraphFont"/>
    <w:uiPriority w:val="99"/>
    <w:rsid w:val="007A232C"/>
    <w:rPr>
      <w:color w:val="2158A8"/>
      <w:u w:val="single"/>
    </w:rPr>
  </w:style>
  <w:style w:type="character" w:customStyle="1" w:styleId="Heading5Char">
    <w:name w:val="Heading 5 Char"/>
    <w:basedOn w:val="DefaultParagraphFont"/>
    <w:link w:val="Heading5"/>
    <w:uiPriority w:val="99"/>
    <w:semiHidden/>
    <w:rsid w:val="00160B66"/>
    <w:rPr>
      <w:rFonts w:ascii="Arial" w:hAnsi="Arial"/>
      <w:b/>
      <w:color w:val="000000"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7E5ACB"/>
    <w:rPr>
      <w:rFonts w:asciiTheme="majorHAnsi" w:hAnsiTheme="majorHAnsi"/>
      <w:b/>
      <w:color w:val="117478" w:themeColor="accent3"/>
      <w:sz w:val="24"/>
      <w:szCs w:val="44"/>
    </w:rPr>
  </w:style>
  <w:style w:type="paragraph" w:styleId="TOC1">
    <w:name w:val="toc 1"/>
    <w:basedOn w:val="Normal"/>
    <w:next w:val="Normal"/>
    <w:autoRedefine/>
    <w:uiPriority w:val="39"/>
    <w:rsid w:val="008A1F58"/>
    <w:pPr>
      <w:pBdr>
        <w:top w:val="single" w:sz="24" w:space="6" w:color="00ADEF"/>
        <w:between w:val="single" w:sz="24" w:space="6" w:color="00ADEF"/>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AA4959"/>
    <w:pPr>
      <w:tabs>
        <w:tab w:val="right" w:pos="6577"/>
      </w:tabs>
      <w:spacing w:before="60" w:after="60" w:line="240" w:lineRule="auto"/>
      <w:ind w:left="284" w:right="1758"/>
    </w:pPr>
    <w:rPr>
      <w:b/>
      <w:noProof/>
      <w:color w:val="FFFFFF" w:themeColor="background1"/>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qFormat/>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6D6E71" w:themeColor="accent6"/>
          <w:bottom w:val="single" w:sz="4" w:space="0" w:color="6D6E71" w:themeColor="accent6"/>
        </w:tcBorders>
        <w:shd w:val="clear" w:color="auto" w:fill="6D6E71"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qFormat/>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6D6E71"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2076F4"/>
    <w:pPr>
      <w:spacing w:before="60" w:after="60" w:line="240" w:lineRule="auto"/>
    </w:pPr>
    <w:rPr>
      <w:b/>
      <w:color w:val="FFFFFF" w:themeColor="background1"/>
    </w:rPr>
  </w:style>
  <w:style w:type="paragraph" w:customStyle="1" w:styleId="FigureHeading">
    <w:name w:val="Figure Heading"/>
    <w:basedOn w:val="Normal"/>
    <w:next w:val="Normal"/>
    <w:uiPriority w:val="48"/>
    <w:qFormat/>
    <w:rsid w:val="00D35443"/>
    <w:pPr>
      <w:keepNext/>
      <w:keepLines/>
      <w:tabs>
        <w:tab w:val="left" w:pos="907"/>
      </w:tabs>
      <w:spacing w:before="240"/>
      <w:contextualSpacing/>
    </w:pPr>
    <w:rPr>
      <w:b/>
      <w:color w:val="auto"/>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3F129E"/>
    <w:pPr>
      <w:pBdr>
        <w:bottom w:val="single" w:sz="24" w:space="31" w:color="00ADEF"/>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3F129E"/>
    <w:pPr>
      <w:spacing w:before="240"/>
      <w:contextualSpacing/>
    </w:pPr>
    <w:rPr>
      <w:b/>
      <w:color w:val="254B59"/>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057A7" w:themeColor="accent2"/>
      <w:sz w:val="16"/>
    </w:rPr>
  </w:style>
  <w:style w:type="paragraph" w:customStyle="1" w:styleId="LargeH1">
    <w:name w:val="Large H1"/>
    <w:basedOn w:val="Heading1"/>
    <w:next w:val="Normal"/>
    <w:uiPriority w:val="2"/>
    <w:qFormat/>
    <w:rsid w:val="003F129E"/>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142E3A"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142E3A"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TitleL2">
    <w:name w:val="Title L2"/>
    <w:basedOn w:val="Title"/>
    <w:qFormat/>
    <w:rsid w:val="00BA3BCF"/>
    <w:pPr>
      <w:spacing w:after="480"/>
      <w:outlineLvl w:val="9"/>
    </w:pPr>
    <w:rPr>
      <w:b w:val="0"/>
      <w:bCs w:val="0"/>
      <w:sz w:val="40"/>
      <w:szCs w:val="40"/>
    </w:rPr>
  </w:style>
  <w:style w:type="paragraph" w:customStyle="1" w:styleId="Boxheader">
    <w:name w:val="Box header"/>
    <w:basedOn w:val="Normal"/>
    <w:rsid w:val="00890BCB"/>
    <w:pPr>
      <w:pBdr>
        <w:top w:val="single" w:sz="24" w:space="1" w:color="142E3A" w:themeColor="text2"/>
        <w:left w:val="single" w:sz="24" w:space="4" w:color="142E3A" w:themeColor="text2"/>
        <w:bottom w:val="single" w:sz="24" w:space="1" w:color="142E3A" w:themeColor="text2"/>
        <w:right w:val="single" w:sz="24" w:space="4" w:color="142E3A" w:themeColor="text2"/>
      </w:pBdr>
      <w:shd w:val="clear" w:color="auto" w:fill="142E3A" w:themeFill="text2"/>
      <w:spacing w:before="0" w:after="0" w:line="216" w:lineRule="auto"/>
    </w:pPr>
    <w:rPr>
      <w:rFonts w:asciiTheme="majorHAnsi" w:hAnsiTheme="majorHAnsi"/>
      <w:b/>
      <w:color w:val="FFFFFF" w:themeColor="background1"/>
      <w:szCs w:val="20"/>
      <w:shd w:val="clear" w:color="auto" w:fill="004052"/>
      <w:lang w:eastAsia="en-US"/>
    </w:rPr>
  </w:style>
  <w:style w:type="paragraph" w:customStyle="1" w:styleId="boxnormal">
    <w:name w:val="box normal"/>
    <w:basedOn w:val="Normal"/>
    <w:rsid w:val="00890BCB"/>
    <w:pPr>
      <w:pBdr>
        <w:top w:val="single" w:sz="24" w:space="1" w:color="C6EAFA"/>
        <w:left w:val="single" w:sz="24" w:space="4" w:color="C6EAFA"/>
        <w:bottom w:val="single" w:sz="24" w:space="1" w:color="C6EAFA"/>
        <w:right w:val="single" w:sz="24" w:space="4" w:color="C6EAFA"/>
      </w:pBdr>
      <w:shd w:val="clear" w:color="auto" w:fill="F2F2F2" w:themeFill="background1" w:themeFillShade="F2"/>
      <w:spacing w:before="0" w:after="60" w:line="216" w:lineRule="auto"/>
    </w:pPr>
    <w:rPr>
      <w:color w:val="auto"/>
      <w:szCs w:val="20"/>
      <w:lang w:eastAsia="en-US"/>
    </w:rPr>
  </w:style>
  <w:style w:type="paragraph" w:customStyle="1" w:styleId="sourcecontent">
    <w:name w:val="source content"/>
    <w:basedOn w:val="Normal"/>
    <w:qFormat/>
    <w:rsid w:val="00B5463D"/>
    <w:pPr>
      <w:spacing w:before="0" w:after="60" w:line="216" w:lineRule="auto"/>
    </w:pPr>
    <w:rPr>
      <w:rFonts w:ascii="Segoe UI" w:hAnsi="Segoe UI" w:cs="Segoe UI"/>
      <w:color w:val="auto"/>
      <w:sz w:val="16"/>
      <w:szCs w:val="20"/>
      <w:lang w:eastAsia="en-US"/>
    </w:rPr>
  </w:style>
  <w:style w:type="paragraph" w:customStyle="1" w:styleId="Tableheading0">
    <w:name w:val="Table heading"/>
    <w:basedOn w:val="Heading1"/>
    <w:qFormat/>
    <w:rsid w:val="00B5463D"/>
    <w:pPr>
      <w:keepLines w:val="0"/>
      <w:pBdr>
        <w:bottom w:val="none" w:sz="0" w:space="0" w:color="auto"/>
      </w:pBdr>
      <w:spacing w:after="0" w:line="216" w:lineRule="auto"/>
      <w:jc w:val="center"/>
    </w:pPr>
    <w:rPr>
      <w:rFonts w:ascii="Rockwell" w:hAnsi="Rockwell" w:cs="Arial"/>
      <w:bCs/>
      <w:color w:val="004052"/>
      <w:kern w:val="28"/>
      <w:sz w:val="28"/>
      <w:szCs w:val="32"/>
      <w:lang w:eastAsia="en-US"/>
    </w:rPr>
  </w:style>
  <w:style w:type="paragraph" w:customStyle="1" w:styleId="Tabletext0">
    <w:name w:val="Table text"/>
    <w:basedOn w:val="Normal"/>
    <w:qFormat/>
    <w:rsid w:val="0033231F"/>
    <w:pPr>
      <w:spacing w:after="80" w:line="240" w:lineRule="auto"/>
    </w:pPr>
    <w:rPr>
      <w:rFonts w:cs="Segoe UI"/>
      <w:color w:val="auto"/>
      <w:szCs w:val="20"/>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3E23AC"/>
    <w:rPr>
      <w:rFonts w:asciiTheme="minorHAnsi" w:hAnsiTheme="minorHAnsi"/>
      <w:color w:val="000000" w:themeColor="text1"/>
      <w:sz w:val="22"/>
      <w:szCs w:val="24"/>
    </w:rPr>
  </w:style>
  <w:style w:type="paragraph" w:styleId="Caption">
    <w:name w:val="caption"/>
    <w:basedOn w:val="Normal"/>
    <w:next w:val="Normal"/>
    <w:unhideWhenUsed/>
    <w:qFormat/>
    <w:rsid w:val="00066CB9"/>
    <w:pPr>
      <w:spacing w:before="0" w:after="200" w:line="240" w:lineRule="auto"/>
    </w:pPr>
    <w:rPr>
      <w:rFonts w:ascii="Calibri" w:hAnsi="Calibri"/>
      <w:b/>
      <w:bCs/>
      <w:color w:val="2C276C" w:themeColor="accent1"/>
      <w:sz w:val="18"/>
      <w:szCs w:val="18"/>
      <w:lang w:eastAsia="en-US"/>
    </w:rPr>
  </w:style>
  <w:style w:type="table" w:styleId="LightShading-Accent6">
    <w:name w:val="Light Shading Accent 6"/>
    <w:basedOn w:val="TableNormal"/>
    <w:uiPriority w:val="60"/>
    <w:rsid w:val="00066CB9"/>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paragraph" w:styleId="Revision">
    <w:name w:val="Revision"/>
    <w:hidden/>
    <w:uiPriority w:val="99"/>
    <w:semiHidden/>
    <w:rsid w:val="00597893"/>
    <w:rPr>
      <w:rFonts w:asciiTheme="minorHAnsi" w:hAnsiTheme="minorHAnsi"/>
      <w:color w:val="000000" w:themeColor="text1"/>
      <w:sz w:val="22"/>
      <w:szCs w:val="24"/>
    </w:rPr>
  </w:style>
  <w:style w:type="table" w:styleId="LightList">
    <w:name w:val="Light List"/>
    <w:basedOn w:val="TableNormal"/>
    <w:uiPriority w:val="61"/>
    <w:rsid w:val="00A563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tblPr>
    <w:tcPr>
      <w:shd w:val="clear" w:color="auto" w:fill="666666" w:themeFill="text1" w:themeFillTint="99"/>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ta-citation-journal-name2">
    <w:name w:val="meta-citation-journal-name2"/>
    <w:basedOn w:val="DefaultParagraphFont"/>
    <w:rsid w:val="00A55755"/>
    <w:rPr>
      <w:i/>
      <w:iCs/>
    </w:rPr>
  </w:style>
  <w:style w:type="character" w:customStyle="1" w:styleId="meta-citation">
    <w:name w:val="meta-citation"/>
    <w:basedOn w:val="DefaultParagraphFont"/>
    <w:rsid w:val="00A55755"/>
  </w:style>
  <w:style w:type="paragraph" w:styleId="BodyText">
    <w:name w:val="Body Text"/>
    <w:basedOn w:val="Normal"/>
    <w:link w:val="BodyTextChar"/>
    <w:uiPriority w:val="1"/>
    <w:qFormat/>
    <w:rsid w:val="00C2417E"/>
    <w:pPr>
      <w:widowControl w:val="0"/>
      <w:spacing w:before="60" w:after="160" w:line="312" w:lineRule="auto"/>
    </w:pPr>
    <w:rPr>
      <w:rFonts w:ascii="Calibri Light" w:eastAsia="Calibri Light" w:hAnsi="Calibri Light" w:cstheme="minorBidi"/>
      <w:color w:val="082E28" w:themeColor="background2" w:themeShade="40"/>
      <w:szCs w:val="20"/>
      <w:lang w:val="en-US" w:eastAsia="en-US"/>
    </w:rPr>
  </w:style>
  <w:style w:type="character" w:customStyle="1" w:styleId="BodyTextChar">
    <w:name w:val="Body Text Char"/>
    <w:basedOn w:val="DefaultParagraphFont"/>
    <w:link w:val="BodyText"/>
    <w:uiPriority w:val="1"/>
    <w:rsid w:val="00C2417E"/>
    <w:rPr>
      <w:rFonts w:ascii="Calibri Light" w:eastAsia="Calibri Light" w:hAnsi="Calibri Light" w:cstheme="minorBidi"/>
      <w:color w:val="082E28" w:themeColor="background2" w:themeShade="40"/>
      <w:lang w:val="en-US" w:eastAsia="en-US"/>
    </w:rPr>
  </w:style>
  <w:style w:type="character" w:customStyle="1" w:styleId="reference-text">
    <w:name w:val="reference-text"/>
    <w:basedOn w:val="DefaultParagraphFont"/>
    <w:rsid w:val="00C2417E"/>
  </w:style>
  <w:style w:type="paragraph" w:customStyle="1" w:styleId="Body">
    <w:name w:val="Body"/>
    <w:basedOn w:val="Normal"/>
    <w:uiPriority w:val="99"/>
    <w:rsid w:val="00C2417E"/>
    <w:pPr>
      <w:suppressAutoHyphens/>
      <w:autoSpaceDE w:val="0"/>
      <w:autoSpaceDN w:val="0"/>
      <w:adjustRightInd w:val="0"/>
      <w:spacing w:before="0" w:after="170" w:line="340" w:lineRule="atLeast"/>
      <w:textAlignment w:val="center"/>
    </w:pPr>
    <w:rPr>
      <w:rFonts w:ascii="Calibri Light" w:eastAsiaTheme="minorHAnsi" w:hAnsi="Calibri Light" w:cs="Calibri Light"/>
      <w:color w:val="000000"/>
      <w:szCs w:val="20"/>
      <w:lang w:val="en-US" w:eastAsia="en-US"/>
    </w:rPr>
  </w:style>
  <w:style w:type="paragraph" w:customStyle="1" w:styleId="TableHeading1">
    <w:name w:val="Table Heading 1"/>
    <w:basedOn w:val="NoSpacing"/>
    <w:link w:val="TableHeading1Char"/>
    <w:qFormat/>
    <w:rsid w:val="00C2417E"/>
    <w:rPr>
      <w:rFonts w:asciiTheme="majorHAnsi" w:hAnsiTheme="majorHAnsi" w:cstheme="minorBidi"/>
      <w:color w:val="FFFFFF" w:themeColor="background1"/>
      <w:szCs w:val="22"/>
      <w:lang w:val="en-US" w:eastAsia="en-US"/>
    </w:rPr>
  </w:style>
  <w:style w:type="character" w:customStyle="1" w:styleId="NoSpacingChar">
    <w:name w:val="No Spacing Char"/>
    <w:basedOn w:val="DefaultParagraphFont"/>
    <w:link w:val="NoSpacing"/>
    <w:uiPriority w:val="1"/>
    <w:rsid w:val="00C2417E"/>
    <w:rPr>
      <w:rFonts w:ascii="Arial" w:hAnsi="Arial"/>
      <w:sz w:val="22"/>
      <w:szCs w:val="24"/>
    </w:rPr>
  </w:style>
  <w:style w:type="character" w:customStyle="1" w:styleId="TableHeading1Char">
    <w:name w:val="Table Heading 1 Char"/>
    <w:basedOn w:val="NoSpacingChar"/>
    <w:link w:val="TableHeading1"/>
    <w:rsid w:val="00C2417E"/>
    <w:rPr>
      <w:rFonts w:asciiTheme="majorHAnsi" w:hAnsiTheme="majorHAnsi" w:cstheme="minorBidi"/>
      <w:color w:val="FFFFFF" w:themeColor="background1"/>
      <w:sz w:val="22"/>
      <w:szCs w:val="22"/>
      <w:lang w:val="en-US" w:eastAsia="en-US"/>
    </w:rPr>
  </w:style>
  <w:style w:type="table" w:customStyle="1" w:styleId="EssentialTable2">
    <w:name w:val="Essential Table 2"/>
    <w:basedOn w:val="TableNormal"/>
    <w:uiPriority w:val="99"/>
    <w:rsid w:val="00E201CC"/>
    <w:rPr>
      <w:rFonts w:asciiTheme="minorHAnsi" w:eastAsiaTheme="minorEastAsia" w:hAnsiTheme="minorHAnsi" w:cstheme="minorBidi"/>
      <w:szCs w:val="22"/>
      <w:lang w:val="en-US" w:eastAsia="en-US"/>
    </w:rPr>
    <w:tblPr>
      <w:tblStyleRowBandSize w:val="1"/>
      <w:tblStyleColBandSize w:val="1"/>
      <w:tblCellMar>
        <w:top w:w="85" w:type="dxa"/>
        <w:bottom w:w="85" w:type="dxa"/>
      </w:tblCellMar>
    </w:tblPr>
    <w:tcPr>
      <w:shd w:val="clear" w:color="auto" w:fill="F2F2F2" w:themeFill="background1" w:themeFillShade="F2"/>
    </w:tcPr>
    <w:tblStylePr w:type="firstRow">
      <w:pPr>
        <w:wordWrap/>
        <w:jc w:val="left"/>
      </w:pPr>
      <w:rPr>
        <w:rFonts w:asciiTheme="majorHAnsi" w:hAnsiTheme="majorHAnsi"/>
        <w:b/>
        <w:i w:val="0"/>
        <w:sz w:val="20"/>
      </w:rPr>
      <w:tblPr/>
      <w:tcPr>
        <w:tcBorders>
          <w:top w:val="nil"/>
          <w:left w:val="nil"/>
          <w:bottom w:val="nil"/>
          <w:right w:val="nil"/>
          <w:insideH w:val="nil"/>
          <w:insideV w:val="nil"/>
          <w:tl2br w:val="nil"/>
          <w:tr2bl w:val="nil"/>
        </w:tcBorders>
        <w:shd w:val="clear" w:color="auto" w:fill="142E3A" w:themeFill="text2"/>
      </w:tcPr>
    </w:tblStylePr>
    <w:tblStylePr w:type="firstCol">
      <w:pPr>
        <w:jc w:val="left"/>
      </w:pPr>
      <w:rPr>
        <w:b/>
      </w:rPr>
      <w:tblPr>
        <w:tblCellMar>
          <w:top w:w="57" w:type="dxa"/>
          <w:left w:w="108" w:type="dxa"/>
          <w:bottom w:w="57" w:type="dxa"/>
          <w:right w:w="108" w:type="dxa"/>
        </w:tblCellMar>
      </w:tblPr>
      <w:tcPr>
        <w:vAlign w:val="center"/>
      </w:tcPr>
    </w:tblStylePr>
    <w:tblStylePr w:type="band1Horz">
      <w:tblPr/>
      <w:tcPr>
        <w:shd w:val="clear" w:color="auto" w:fill="F2F2F2" w:themeFill="background1" w:themeFillShade="F2"/>
      </w:tcPr>
    </w:tblStylePr>
    <w:tblStylePr w:type="nwCell">
      <w:tblPr/>
      <w:tcPr>
        <w:tcBorders>
          <w:top w:val="nil"/>
          <w:left w:val="nil"/>
          <w:bottom w:val="nil"/>
          <w:right w:val="nil"/>
          <w:insideH w:val="nil"/>
          <w:insideV w:val="nil"/>
        </w:tcBorders>
        <w:shd w:val="clear" w:color="auto" w:fill="FFFFFF" w:themeFill="background1"/>
      </w:tcPr>
    </w:tblStylePr>
  </w:style>
  <w:style w:type="paragraph" w:customStyle="1" w:styleId="GreyBodyFrameBullet">
    <w:name w:val="Grey Body Frame Bullet"/>
    <w:basedOn w:val="Normal"/>
    <w:uiPriority w:val="1"/>
    <w:qFormat/>
    <w:rsid w:val="00C2417E"/>
    <w:pPr>
      <w:widowControl w:val="0"/>
      <w:numPr>
        <w:numId w:val="8"/>
      </w:numPr>
      <w:pBdr>
        <w:top w:val="single" w:sz="48" w:space="1" w:color="20B9A3" w:themeColor="background2"/>
        <w:left w:val="single" w:sz="48" w:space="4" w:color="20B9A3" w:themeColor="background2"/>
        <w:bottom w:val="single" w:sz="48" w:space="1" w:color="20B9A3" w:themeColor="background2"/>
        <w:right w:val="single" w:sz="48" w:space="4" w:color="20B9A3" w:themeColor="background2"/>
      </w:pBdr>
      <w:shd w:val="clear" w:color="auto" w:fill="20B9A3" w:themeFill="background2"/>
      <w:spacing w:before="60" w:after="28" w:line="312" w:lineRule="auto"/>
      <w:ind w:left="357" w:hanging="357"/>
    </w:pPr>
    <w:rPr>
      <w:rFonts w:ascii="Calibri Light" w:eastAsia="Calibri Light" w:hAnsi="Calibri Light" w:cstheme="minorBidi"/>
      <w:color w:val="082E28" w:themeColor="background2" w:themeShade="40"/>
      <w:szCs w:val="20"/>
      <w:lang w:val="en-US" w:eastAsia="en-US"/>
    </w:rPr>
  </w:style>
  <w:style w:type="paragraph" w:customStyle="1" w:styleId="EndNoteBibliographyTitle">
    <w:name w:val="EndNote Bibliography Title"/>
    <w:basedOn w:val="Normal"/>
    <w:link w:val="EndNoteBibliographyTitleChar"/>
    <w:rsid w:val="00C2417E"/>
    <w:pPr>
      <w:spacing w:after="0"/>
      <w:jc w:val="center"/>
    </w:pPr>
    <w:rPr>
      <w:rFonts w:ascii="Helvetica" w:hAnsi="Helvetica" w:cs="Helvetica"/>
      <w:noProof/>
    </w:rPr>
  </w:style>
  <w:style w:type="character" w:customStyle="1" w:styleId="EndNoteBibliographyTitleChar">
    <w:name w:val="EndNote Bibliography Title Char"/>
    <w:basedOn w:val="DefaultParagraphFont"/>
    <w:link w:val="EndNoteBibliographyTitle"/>
    <w:rsid w:val="00C2417E"/>
    <w:rPr>
      <w:rFonts w:ascii="Helvetica" w:hAnsi="Helvetica" w:cs="Helvetica"/>
      <w:noProof/>
      <w:color w:val="000000" w:themeColor="text1"/>
      <w:sz w:val="22"/>
      <w:szCs w:val="24"/>
    </w:rPr>
  </w:style>
  <w:style w:type="paragraph" w:customStyle="1" w:styleId="EndNoteBibliography">
    <w:name w:val="EndNote Bibliography"/>
    <w:basedOn w:val="Normal"/>
    <w:link w:val="EndNoteBibliographyChar"/>
    <w:rsid w:val="00C2417E"/>
    <w:pPr>
      <w:spacing w:line="240" w:lineRule="atLeast"/>
    </w:pPr>
    <w:rPr>
      <w:rFonts w:ascii="Helvetica" w:hAnsi="Helvetica" w:cs="Helvetica"/>
      <w:noProof/>
    </w:rPr>
  </w:style>
  <w:style w:type="character" w:customStyle="1" w:styleId="EndNoteBibliographyChar">
    <w:name w:val="EndNote Bibliography Char"/>
    <w:basedOn w:val="DefaultParagraphFont"/>
    <w:link w:val="EndNoteBibliography"/>
    <w:rsid w:val="00C2417E"/>
    <w:rPr>
      <w:rFonts w:ascii="Helvetica" w:hAnsi="Helvetica" w:cs="Helvetica"/>
      <w:noProof/>
      <w:color w:val="000000" w:themeColor="text1"/>
      <w:sz w:val="22"/>
      <w:szCs w:val="24"/>
    </w:rPr>
  </w:style>
  <w:style w:type="paragraph" w:customStyle="1" w:styleId="Whoweare-Body">
    <w:name w:val="Who we are - Body"/>
    <w:basedOn w:val="Normal"/>
    <w:link w:val="Whoweare-BodyChar"/>
    <w:uiPriority w:val="1"/>
    <w:qFormat/>
    <w:rsid w:val="00CB500F"/>
    <w:pPr>
      <w:keepNext/>
      <w:keepLines/>
      <w:widowControl w:val="0"/>
      <w:pBdr>
        <w:top w:val="single" w:sz="48" w:space="1" w:color="004052"/>
        <w:left w:val="single" w:sz="48" w:space="4" w:color="004052"/>
        <w:bottom w:val="single" w:sz="48" w:space="1" w:color="004052"/>
        <w:right w:val="single" w:sz="48" w:space="4" w:color="004052"/>
      </w:pBdr>
      <w:shd w:val="clear" w:color="auto" w:fill="004052"/>
      <w:spacing w:before="40" w:after="240" w:line="326" w:lineRule="auto"/>
      <w:outlineLvl w:val="4"/>
    </w:pPr>
    <w:rPr>
      <w:rFonts w:ascii="Calibri Light" w:eastAsiaTheme="majorEastAsia" w:hAnsi="Calibri Light" w:cstheme="majorBidi"/>
      <w:b/>
      <w:color w:val="FFFFFF" w:themeColor="background1"/>
      <w:spacing w:val="-4"/>
      <w:lang w:val="en-US" w:eastAsia="en-US"/>
    </w:rPr>
  </w:style>
  <w:style w:type="character" w:customStyle="1" w:styleId="Whoweare-BodyChar">
    <w:name w:val="Who we are - Body Char"/>
    <w:basedOn w:val="DefaultParagraphFont"/>
    <w:link w:val="Whoweare-Body"/>
    <w:uiPriority w:val="1"/>
    <w:rsid w:val="00CB500F"/>
    <w:rPr>
      <w:rFonts w:ascii="Calibri Light" w:eastAsiaTheme="majorEastAsia" w:hAnsi="Calibri Light" w:cstheme="majorBidi"/>
      <w:b/>
      <w:color w:val="FFFFFF" w:themeColor="background1"/>
      <w:spacing w:val="-4"/>
      <w:szCs w:val="24"/>
      <w:shd w:val="clear" w:color="auto" w:fill="004052"/>
      <w:lang w:val="en-US" w:eastAsia="en-US"/>
    </w:rPr>
  </w:style>
  <w:style w:type="paragraph" w:styleId="NormalWeb">
    <w:name w:val="Normal (Web)"/>
    <w:basedOn w:val="Normal"/>
    <w:uiPriority w:val="99"/>
    <w:semiHidden/>
    <w:unhideWhenUsed/>
    <w:rsid w:val="00C2417E"/>
    <w:pPr>
      <w:spacing w:before="100" w:beforeAutospacing="1" w:after="100" w:afterAutospacing="1" w:line="240" w:lineRule="auto"/>
    </w:pPr>
    <w:rPr>
      <w:rFonts w:ascii="Times New Roman" w:hAnsi="Times New Roman"/>
      <w:color w:val="auto"/>
      <w:sz w:val="24"/>
    </w:rPr>
  </w:style>
  <w:style w:type="character" w:styleId="PlaceholderText">
    <w:name w:val="Placeholder Text"/>
    <w:basedOn w:val="DefaultParagraphFont"/>
    <w:uiPriority w:val="99"/>
    <w:semiHidden/>
    <w:rsid w:val="00C2417E"/>
    <w:rPr>
      <w:color w:val="808080"/>
    </w:rPr>
  </w:style>
  <w:style w:type="table" w:customStyle="1" w:styleId="ListTable3-Accent51">
    <w:name w:val="List Table 3 - Accent 51"/>
    <w:basedOn w:val="TableNormal"/>
    <w:uiPriority w:val="48"/>
    <w:rsid w:val="00C2417E"/>
    <w:rPr>
      <w:rFonts w:asciiTheme="minorHAnsi" w:eastAsiaTheme="minorHAnsi" w:hAnsiTheme="minorHAnsi" w:cstheme="minorBidi"/>
      <w:sz w:val="22"/>
      <w:szCs w:val="22"/>
      <w:lang w:eastAsia="en-US"/>
    </w:rPr>
    <w:tblPr>
      <w:tblStyleRowBandSize w:val="1"/>
      <w:tblStyleColBandSize w:val="1"/>
      <w:tblBorders>
        <w:top w:val="single" w:sz="4" w:space="0" w:color="9D2033" w:themeColor="accent5"/>
        <w:left w:val="single" w:sz="4" w:space="0" w:color="9D2033" w:themeColor="accent5"/>
        <w:bottom w:val="single" w:sz="4" w:space="0" w:color="9D2033" w:themeColor="accent5"/>
        <w:right w:val="single" w:sz="4" w:space="0" w:color="9D2033" w:themeColor="accent5"/>
      </w:tblBorders>
    </w:tblPr>
    <w:tblStylePr w:type="firstRow">
      <w:rPr>
        <w:b/>
        <w:bCs/>
        <w:color w:val="FFFFFF" w:themeColor="background1"/>
      </w:rPr>
      <w:tblPr/>
      <w:tcPr>
        <w:shd w:val="clear" w:color="auto" w:fill="9D2033" w:themeFill="accent5"/>
      </w:tcPr>
    </w:tblStylePr>
    <w:tblStylePr w:type="lastRow">
      <w:rPr>
        <w:b/>
        <w:bCs/>
      </w:rPr>
      <w:tblPr/>
      <w:tcPr>
        <w:tcBorders>
          <w:top w:val="double" w:sz="4" w:space="0" w:color="9D20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2033" w:themeColor="accent5"/>
          <w:right w:val="single" w:sz="4" w:space="0" w:color="9D2033" w:themeColor="accent5"/>
        </w:tcBorders>
      </w:tcPr>
    </w:tblStylePr>
    <w:tblStylePr w:type="band1Horz">
      <w:tblPr/>
      <w:tcPr>
        <w:tcBorders>
          <w:top w:val="single" w:sz="4" w:space="0" w:color="9D2033" w:themeColor="accent5"/>
          <w:bottom w:val="single" w:sz="4" w:space="0" w:color="9D20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2033" w:themeColor="accent5"/>
          <w:left w:val="nil"/>
        </w:tcBorders>
      </w:tcPr>
    </w:tblStylePr>
    <w:tblStylePr w:type="swCell">
      <w:tblPr/>
      <w:tcPr>
        <w:tcBorders>
          <w:top w:val="double" w:sz="4" w:space="0" w:color="9D2033" w:themeColor="accent5"/>
          <w:right w:val="nil"/>
        </w:tcBorders>
      </w:tcPr>
    </w:tblStylePr>
  </w:style>
  <w:style w:type="table" w:customStyle="1" w:styleId="GridTable4-Accent51">
    <w:name w:val="Grid Table 4 - Accent 51"/>
    <w:basedOn w:val="TableNormal"/>
    <w:uiPriority w:val="49"/>
    <w:rsid w:val="00C2417E"/>
    <w:rPr>
      <w:rFonts w:asciiTheme="minorHAnsi" w:eastAsiaTheme="minorHAnsi" w:hAnsiTheme="minorHAnsi" w:cstheme="minorBidi"/>
      <w:sz w:val="22"/>
      <w:szCs w:val="22"/>
      <w:lang w:eastAsia="en-US"/>
    </w:rPr>
    <w:tblPr>
      <w:tblStyleRowBandSize w:val="1"/>
      <w:tblStyleColBandSize w:val="1"/>
      <w:tblBorders>
        <w:top w:val="single" w:sz="4" w:space="0" w:color="DE5F71" w:themeColor="accent5" w:themeTint="99"/>
        <w:left w:val="single" w:sz="4" w:space="0" w:color="DE5F71" w:themeColor="accent5" w:themeTint="99"/>
        <w:bottom w:val="single" w:sz="4" w:space="0" w:color="DE5F71" w:themeColor="accent5" w:themeTint="99"/>
        <w:right w:val="single" w:sz="4" w:space="0" w:color="DE5F71" w:themeColor="accent5" w:themeTint="99"/>
        <w:insideH w:val="single" w:sz="4" w:space="0" w:color="DE5F71" w:themeColor="accent5" w:themeTint="99"/>
        <w:insideV w:val="single" w:sz="4" w:space="0" w:color="DE5F71" w:themeColor="accent5" w:themeTint="99"/>
      </w:tblBorders>
    </w:tblPr>
    <w:tblStylePr w:type="firstRow">
      <w:rPr>
        <w:b/>
        <w:bCs/>
        <w:color w:val="FFFFFF" w:themeColor="background1"/>
      </w:rPr>
      <w:tblPr/>
      <w:tcPr>
        <w:tcBorders>
          <w:top w:val="single" w:sz="4" w:space="0" w:color="9D2033" w:themeColor="accent5"/>
          <w:left w:val="single" w:sz="4" w:space="0" w:color="9D2033" w:themeColor="accent5"/>
          <w:bottom w:val="single" w:sz="4" w:space="0" w:color="9D2033" w:themeColor="accent5"/>
          <w:right w:val="single" w:sz="4" w:space="0" w:color="9D2033" w:themeColor="accent5"/>
          <w:insideH w:val="nil"/>
          <w:insideV w:val="nil"/>
        </w:tcBorders>
        <w:shd w:val="clear" w:color="auto" w:fill="9D2033" w:themeFill="accent5"/>
      </w:tcPr>
    </w:tblStylePr>
    <w:tblStylePr w:type="lastRow">
      <w:rPr>
        <w:b/>
        <w:bCs/>
      </w:rPr>
      <w:tblPr/>
      <w:tcPr>
        <w:tcBorders>
          <w:top w:val="double" w:sz="4" w:space="0" w:color="9D2033" w:themeColor="accent5"/>
        </w:tcBorders>
      </w:tcPr>
    </w:tblStylePr>
    <w:tblStylePr w:type="firstCol">
      <w:rPr>
        <w:b/>
        <w:bCs/>
      </w:rPr>
    </w:tblStylePr>
    <w:tblStylePr w:type="lastCol">
      <w:rPr>
        <w:b/>
        <w:bCs/>
      </w:rPr>
    </w:tblStylePr>
    <w:tblStylePr w:type="band1Vert">
      <w:tblPr/>
      <w:tcPr>
        <w:shd w:val="clear" w:color="auto" w:fill="F4C9CF" w:themeFill="accent5" w:themeFillTint="33"/>
      </w:tcPr>
    </w:tblStylePr>
    <w:tblStylePr w:type="band1Horz">
      <w:tblPr/>
      <w:tcPr>
        <w:shd w:val="clear" w:color="auto" w:fill="F4C9CF" w:themeFill="accent5" w:themeFillTint="33"/>
      </w:tcPr>
    </w:tblStylePr>
  </w:style>
  <w:style w:type="table" w:customStyle="1" w:styleId="ListTable3-Accent11">
    <w:name w:val="List Table 3 - Accent 11"/>
    <w:basedOn w:val="TableNormal"/>
    <w:uiPriority w:val="48"/>
    <w:rsid w:val="00C2417E"/>
    <w:rPr>
      <w:rFonts w:asciiTheme="minorHAnsi" w:eastAsiaTheme="minorHAnsi" w:hAnsiTheme="minorHAnsi" w:cstheme="minorBidi"/>
      <w:sz w:val="22"/>
      <w:szCs w:val="22"/>
      <w:lang w:eastAsia="en-US"/>
    </w:rPr>
    <w:tblPr>
      <w:tblStyleRowBandSize w:val="1"/>
      <w:tblStyleColBandSize w:val="1"/>
      <w:tblBorders>
        <w:top w:val="single" w:sz="4" w:space="0" w:color="2C276C" w:themeColor="accent1"/>
        <w:left w:val="single" w:sz="4" w:space="0" w:color="2C276C" w:themeColor="accent1"/>
        <w:bottom w:val="single" w:sz="4" w:space="0" w:color="2C276C" w:themeColor="accent1"/>
        <w:right w:val="single" w:sz="4" w:space="0" w:color="2C276C" w:themeColor="accent1"/>
      </w:tblBorders>
    </w:tblPr>
    <w:tblStylePr w:type="firstRow">
      <w:rPr>
        <w:b/>
        <w:bCs/>
        <w:color w:val="FFFFFF" w:themeColor="background1"/>
      </w:rPr>
      <w:tblPr/>
      <w:tcPr>
        <w:shd w:val="clear" w:color="auto" w:fill="2C276C" w:themeFill="accent1"/>
      </w:tcPr>
    </w:tblStylePr>
    <w:tblStylePr w:type="lastRow">
      <w:rPr>
        <w:b/>
        <w:bCs/>
      </w:rPr>
      <w:tblPr/>
      <w:tcPr>
        <w:tcBorders>
          <w:top w:val="double" w:sz="4" w:space="0" w:color="2C27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76C" w:themeColor="accent1"/>
          <w:right w:val="single" w:sz="4" w:space="0" w:color="2C276C" w:themeColor="accent1"/>
        </w:tcBorders>
      </w:tcPr>
    </w:tblStylePr>
    <w:tblStylePr w:type="band1Horz">
      <w:tblPr/>
      <w:tcPr>
        <w:tcBorders>
          <w:top w:val="single" w:sz="4" w:space="0" w:color="2C276C" w:themeColor="accent1"/>
          <w:bottom w:val="single" w:sz="4" w:space="0" w:color="2C27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76C" w:themeColor="accent1"/>
          <w:left w:val="nil"/>
        </w:tcBorders>
      </w:tcPr>
    </w:tblStylePr>
    <w:tblStylePr w:type="swCell">
      <w:tblPr/>
      <w:tcPr>
        <w:tcBorders>
          <w:top w:val="double" w:sz="4" w:space="0" w:color="2C276C" w:themeColor="accent1"/>
          <w:right w:val="nil"/>
        </w:tcBorders>
      </w:tcPr>
    </w:tblStylePr>
  </w:style>
  <w:style w:type="paragraph" w:customStyle="1" w:styleId="TableACCHead">
    <w:name w:val="Table ACC Head"/>
    <w:basedOn w:val="Normal"/>
    <w:uiPriority w:val="1"/>
    <w:qFormat/>
    <w:rsid w:val="00C2417E"/>
    <w:pPr>
      <w:widowControl w:val="0"/>
      <w:spacing w:before="0" w:after="0" w:line="240" w:lineRule="auto"/>
      <w:jc w:val="center"/>
    </w:pPr>
    <w:rPr>
      <w:rFonts w:ascii="Calibri" w:eastAsia="Calibri Light" w:hAnsi="Calibri" w:cs="Calibri Light"/>
      <w:b/>
      <w:bCs/>
      <w:color w:val="323E4F"/>
      <w:szCs w:val="22"/>
      <w:lang w:val="en-US" w:eastAsia="en-US"/>
    </w:rPr>
  </w:style>
  <w:style w:type="paragraph" w:customStyle="1" w:styleId="TableACCBody">
    <w:name w:val="Table ACC Body"/>
    <w:basedOn w:val="TableACCHead"/>
    <w:uiPriority w:val="1"/>
    <w:qFormat/>
    <w:rsid w:val="00C2417E"/>
    <w:pPr>
      <w:widowControl/>
    </w:pPr>
    <w:rPr>
      <w:b w:val="0"/>
      <w:lang w:val="en-AU"/>
    </w:rPr>
  </w:style>
  <w:style w:type="paragraph" w:customStyle="1" w:styleId="TableACCBodyLeftBold">
    <w:name w:val="Table ACC Body Left Bold"/>
    <w:basedOn w:val="TableACCBody"/>
    <w:uiPriority w:val="1"/>
    <w:qFormat/>
    <w:rsid w:val="00C2417E"/>
    <w:pPr>
      <w:jc w:val="left"/>
    </w:pPr>
    <w:rPr>
      <w:b/>
    </w:rPr>
  </w:style>
  <w:style w:type="character" w:customStyle="1" w:styleId="TABLEACCReversed">
    <w:name w:val="TABLE ACC Reversed"/>
    <w:basedOn w:val="DefaultParagraphFont"/>
    <w:uiPriority w:val="1"/>
    <w:qFormat/>
    <w:rsid w:val="00C2417E"/>
    <w:rPr>
      <w:color w:val="FFFFFF"/>
    </w:rPr>
  </w:style>
  <w:style w:type="table" w:customStyle="1" w:styleId="ListTable3-Accent12">
    <w:name w:val="List Table 3 - Accent 12"/>
    <w:basedOn w:val="TableNormal"/>
    <w:uiPriority w:val="48"/>
    <w:rsid w:val="003071E5"/>
    <w:rPr>
      <w:rFonts w:asciiTheme="minorHAnsi" w:eastAsiaTheme="minorHAnsi" w:hAnsiTheme="minorHAnsi" w:cstheme="minorBidi"/>
      <w:sz w:val="22"/>
      <w:szCs w:val="22"/>
      <w:lang w:eastAsia="en-US"/>
    </w:rPr>
    <w:tblPr>
      <w:tblStyleRowBandSize w:val="1"/>
      <w:tblStyleColBandSize w:val="1"/>
    </w:tblPr>
    <w:tblStylePr w:type="firstRow">
      <w:rPr>
        <w:b/>
        <w:bCs/>
        <w:color w:val="FFFFFF" w:themeColor="background1"/>
      </w:rPr>
      <w:tblPr/>
      <w:tcPr>
        <w:tcBorders>
          <w:insideH w:val="single" w:sz="4" w:space="0" w:color="auto"/>
          <w:insideV w:val="single" w:sz="4" w:space="0" w:color="auto"/>
        </w:tcBorders>
        <w:shd w:val="clear" w:color="auto" w:fill="142E3A" w:themeFill="text2"/>
      </w:tcPr>
    </w:tblStylePr>
    <w:tblStylePr w:type="lastRow">
      <w:rPr>
        <w:b/>
        <w:bCs/>
      </w:rPr>
      <w:tblPr/>
      <w:tcPr>
        <w:tcBorders>
          <w:top w:val="double" w:sz="4" w:space="0" w:color="2C27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76C" w:themeColor="accent1"/>
          <w:right w:val="single" w:sz="4" w:space="0" w:color="2C276C" w:themeColor="accent1"/>
        </w:tcBorders>
      </w:tcPr>
    </w:tblStylePr>
    <w:tblStylePr w:type="band1Horz">
      <w:tblPr/>
      <w:tcPr>
        <w:tcBorders>
          <w:top w:val="single" w:sz="4" w:space="0" w:color="2C276C" w:themeColor="accent1"/>
          <w:bottom w:val="single" w:sz="4" w:space="0" w:color="2C27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76C" w:themeColor="accent1"/>
          <w:left w:val="nil"/>
        </w:tcBorders>
      </w:tcPr>
    </w:tblStylePr>
    <w:tblStylePr w:type="swCell">
      <w:tblPr/>
      <w:tcPr>
        <w:tcBorders>
          <w:top w:val="double" w:sz="4" w:space="0" w:color="2C276C" w:themeColor="accent1"/>
          <w:right w:val="nil"/>
        </w:tcBorders>
      </w:tcPr>
    </w:tblStylePr>
  </w:style>
  <w:style w:type="character" w:customStyle="1" w:styleId="HeaderChar">
    <w:name w:val="Header Char"/>
    <w:basedOn w:val="DefaultParagraphFont"/>
    <w:link w:val="Header"/>
    <w:uiPriority w:val="99"/>
    <w:rsid w:val="00103A9D"/>
    <w:rPr>
      <w:rFonts w:asciiTheme="minorHAnsi" w:hAnsiTheme="minorHAnsi"/>
      <w:color w:val="000000" w:themeColor="text1"/>
      <w:sz w:val="14"/>
      <w:szCs w:val="24"/>
    </w:rPr>
  </w:style>
  <w:style w:type="character" w:customStyle="1" w:styleId="FooterChar">
    <w:name w:val="Footer Char"/>
    <w:basedOn w:val="DefaultParagraphFont"/>
    <w:link w:val="Footer"/>
    <w:uiPriority w:val="99"/>
    <w:rsid w:val="00156D74"/>
    <w:rPr>
      <w:rFonts w:asciiTheme="minorHAnsi" w:hAnsiTheme="minorHAnsi"/>
      <w:noProof/>
      <w:color w:val="000000" w:themeColor="text1"/>
      <w:sz w:val="14"/>
      <w:szCs w:val="24"/>
    </w:rPr>
  </w:style>
  <w:style w:type="paragraph" w:customStyle="1" w:styleId="WhiteLargeH1">
    <w:name w:val="White Large H1"/>
    <w:basedOn w:val="LargeH1"/>
    <w:rsid w:val="00646904"/>
    <w:rPr>
      <w:color w:val="FFFFFF" w:themeColor="background1"/>
    </w:rPr>
  </w:style>
  <w:style w:type="paragraph" w:customStyle="1" w:styleId="WhiteHeading2">
    <w:name w:val="White Heading 2"/>
    <w:basedOn w:val="Heading2"/>
    <w:rsid w:val="005D17D0"/>
    <w:pPr>
      <w:spacing w:before="360" w:line="280" w:lineRule="atLeast"/>
    </w:pPr>
    <w:rPr>
      <w:color w:val="FFFFFF" w:themeColor="background1"/>
    </w:rPr>
  </w:style>
  <w:style w:type="paragraph" w:customStyle="1" w:styleId="WhiteNormal">
    <w:name w:val="White Normal"/>
    <w:basedOn w:val="Normal"/>
    <w:rsid w:val="005D17D0"/>
    <w:pPr>
      <w:keepLines/>
      <w:spacing w:line="280" w:lineRule="atLeast"/>
    </w:pPr>
    <w:rPr>
      <w:color w:val="FFFFFF" w:themeColor="background1"/>
    </w:rPr>
  </w:style>
  <w:style w:type="paragraph" w:customStyle="1" w:styleId="Heading2TOC">
    <w:name w:val="Heading 2 TOC"/>
    <w:basedOn w:val="Heading2"/>
    <w:qFormat/>
    <w:rsid w:val="007E5ACB"/>
  </w:style>
  <w:style w:type="paragraph" w:styleId="TOC3">
    <w:name w:val="toc 3"/>
    <w:basedOn w:val="Normal"/>
    <w:next w:val="Normal"/>
    <w:autoRedefine/>
    <w:uiPriority w:val="39"/>
    <w:rsid w:val="009A5726"/>
    <w:pPr>
      <w:ind w:left="400"/>
    </w:pPr>
  </w:style>
  <w:style w:type="paragraph" w:styleId="TOC4">
    <w:name w:val="toc 4"/>
    <w:basedOn w:val="Normal"/>
    <w:next w:val="Normal"/>
    <w:autoRedefine/>
    <w:semiHidden/>
    <w:rsid w:val="009A5726"/>
    <w:pPr>
      <w:ind w:left="600"/>
    </w:pPr>
  </w:style>
  <w:style w:type="paragraph" w:styleId="TOC5">
    <w:name w:val="toc 5"/>
    <w:basedOn w:val="Normal"/>
    <w:next w:val="Normal"/>
    <w:autoRedefine/>
    <w:semiHidden/>
    <w:rsid w:val="009A5726"/>
    <w:pPr>
      <w:ind w:left="800"/>
    </w:pPr>
  </w:style>
  <w:style w:type="paragraph" w:styleId="TOC6">
    <w:name w:val="toc 6"/>
    <w:basedOn w:val="Normal"/>
    <w:next w:val="Normal"/>
    <w:autoRedefine/>
    <w:semiHidden/>
    <w:rsid w:val="009A5726"/>
    <w:pPr>
      <w:ind w:left="1000"/>
    </w:pPr>
  </w:style>
  <w:style w:type="paragraph" w:styleId="TOC7">
    <w:name w:val="toc 7"/>
    <w:basedOn w:val="Normal"/>
    <w:next w:val="Normal"/>
    <w:autoRedefine/>
    <w:semiHidden/>
    <w:rsid w:val="009A5726"/>
    <w:pPr>
      <w:ind w:left="1200"/>
    </w:pPr>
  </w:style>
  <w:style w:type="paragraph" w:styleId="TOC8">
    <w:name w:val="toc 8"/>
    <w:basedOn w:val="Normal"/>
    <w:next w:val="Normal"/>
    <w:autoRedefine/>
    <w:semiHidden/>
    <w:rsid w:val="009A5726"/>
    <w:pPr>
      <w:ind w:left="1400"/>
    </w:pPr>
  </w:style>
  <w:style w:type="paragraph" w:styleId="TOC9">
    <w:name w:val="toc 9"/>
    <w:basedOn w:val="Normal"/>
    <w:next w:val="Normal"/>
    <w:autoRedefine/>
    <w:semiHidden/>
    <w:rsid w:val="009A5726"/>
    <w:pPr>
      <w:ind w:left="1600"/>
    </w:pPr>
  </w:style>
  <w:style w:type="paragraph" w:customStyle="1" w:styleId="Textbox">
    <w:name w:val="Text box"/>
    <w:basedOn w:val="SourceNotesText"/>
    <w:qFormat/>
    <w:rsid w:val="00AF1B2C"/>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0"/>
    </w:pPr>
    <w:rPr>
      <w:sz w:val="20"/>
    </w:rPr>
  </w:style>
  <w:style w:type="paragraph" w:customStyle="1" w:styleId="Pa15">
    <w:name w:val="Pa15"/>
    <w:basedOn w:val="Normal"/>
    <w:next w:val="Normal"/>
    <w:uiPriority w:val="99"/>
    <w:rsid w:val="00DB2171"/>
    <w:pPr>
      <w:autoSpaceDE w:val="0"/>
      <w:autoSpaceDN w:val="0"/>
      <w:adjustRightInd w:val="0"/>
      <w:spacing w:before="0" w:after="0" w:line="211" w:lineRule="atLeast"/>
    </w:pPr>
    <w:rPr>
      <w:rFonts w:ascii="Open Sans" w:hAnsi="Open Sans"/>
      <w:color w:val="auto"/>
      <w:sz w:val="24"/>
    </w:rPr>
  </w:style>
  <w:style w:type="paragraph" w:customStyle="1" w:styleId="Default">
    <w:name w:val="Default"/>
    <w:rsid w:val="002418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0895">
      <w:bodyDiv w:val="1"/>
      <w:marLeft w:val="0"/>
      <w:marRight w:val="0"/>
      <w:marTop w:val="0"/>
      <w:marBottom w:val="0"/>
      <w:divBdr>
        <w:top w:val="none" w:sz="0" w:space="0" w:color="auto"/>
        <w:left w:val="none" w:sz="0" w:space="0" w:color="auto"/>
        <w:bottom w:val="none" w:sz="0" w:space="0" w:color="auto"/>
        <w:right w:val="none" w:sz="0" w:space="0" w:color="auto"/>
      </w:divBdr>
    </w:div>
    <w:div w:id="340665242">
      <w:bodyDiv w:val="1"/>
      <w:marLeft w:val="0"/>
      <w:marRight w:val="0"/>
      <w:marTop w:val="0"/>
      <w:marBottom w:val="0"/>
      <w:divBdr>
        <w:top w:val="none" w:sz="0" w:space="0" w:color="auto"/>
        <w:left w:val="none" w:sz="0" w:space="0" w:color="auto"/>
        <w:bottom w:val="none" w:sz="0" w:space="0" w:color="auto"/>
        <w:right w:val="none" w:sz="0" w:space="0" w:color="auto"/>
      </w:divBdr>
    </w:div>
    <w:div w:id="70355507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86200861">
      <w:bodyDiv w:val="1"/>
      <w:marLeft w:val="0"/>
      <w:marRight w:val="0"/>
      <w:marTop w:val="0"/>
      <w:marBottom w:val="0"/>
      <w:divBdr>
        <w:top w:val="none" w:sz="0" w:space="0" w:color="auto"/>
        <w:left w:val="none" w:sz="0" w:space="0" w:color="auto"/>
        <w:bottom w:val="none" w:sz="0" w:space="0" w:color="auto"/>
        <w:right w:val="none" w:sz="0" w:space="0" w:color="auto"/>
      </w:divBdr>
    </w:div>
    <w:div w:id="102170929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1658390">
      <w:bodyDiv w:val="1"/>
      <w:marLeft w:val="0"/>
      <w:marRight w:val="0"/>
      <w:marTop w:val="0"/>
      <w:marBottom w:val="0"/>
      <w:divBdr>
        <w:top w:val="none" w:sz="0" w:space="0" w:color="auto"/>
        <w:left w:val="none" w:sz="0" w:space="0" w:color="auto"/>
        <w:bottom w:val="none" w:sz="0" w:space="0" w:color="auto"/>
        <w:right w:val="none" w:sz="0" w:space="0" w:color="auto"/>
      </w:divBdr>
    </w:div>
    <w:div w:id="1581135194">
      <w:bodyDiv w:val="1"/>
      <w:marLeft w:val="0"/>
      <w:marRight w:val="0"/>
      <w:marTop w:val="0"/>
      <w:marBottom w:val="0"/>
      <w:divBdr>
        <w:top w:val="none" w:sz="0" w:space="0" w:color="auto"/>
        <w:left w:val="none" w:sz="0" w:space="0" w:color="auto"/>
        <w:bottom w:val="none" w:sz="0" w:space="0" w:color="auto"/>
        <w:right w:val="none" w:sz="0" w:space="0" w:color="auto"/>
      </w:divBdr>
    </w:div>
    <w:div w:id="2010332833">
      <w:bodyDiv w:val="1"/>
      <w:marLeft w:val="0"/>
      <w:marRight w:val="0"/>
      <w:marTop w:val="0"/>
      <w:marBottom w:val="0"/>
      <w:divBdr>
        <w:top w:val="none" w:sz="0" w:space="0" w:color="auto"/>
        <w:left w:val="none" w:sz="0" w:space="0" w:color="auto"/>
        <w:bottom w:val="none" w:sz="0" w:space="0" w:color="auto"/>
        <w:right w:val="none" w:sz="0" w:space="0" w:color="auto"/>
      </w:divBdr>
    </w:div>
    <w:div w:id="204000834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791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deed.e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pmc.gov.au/government/commonwealth-coat-a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C BETA Guidance Note Technical Greens 1">
      <a:dk1>
        <a:srgbClr val="000000"/>
      </a:dk1>
      <a:lt1>
        <a:srgbClr val="FFFFFF"/>
      </a:lt1>
      <a:dk2>
        <a:srgbClr val="142E3A"/>
      </a:dk2>
      <a:lt2>
        <a:srgbClr val="20B9A3"/>
      </a:lt2>
      <a:accent1>
        <a:srgbClr val="2C276C"/>
      </a:accent1>
      <a:accent2>
        <a:srgbClr val="2057A7"/>
      </a:accent2>
      <a:accent3>
        <a:srgbClr val="117478"/>
      </a:accent3>
      <a:accent4>
        <a:srgbClr val="8D7349"/>
      </a:accent4>
      <a:accent5>
        <a:srgbClr val="9D2033"/>
      </a:accent5>
      <a:accent6>
        <a:srgbClr val="6D6E71"/>
      </a:accent6>
      <a:hlink>
        <a:srgbClr val="20B9A3"/>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ONe14</b:Tag>
    <b:SourceType>Report</b:SourceType>
    <b:Guid>{5809B723-2B62-43AE-AE9A-596975DF3693}</b:Guid>
    <b:Title>The Review on Antimicrobial Resistance,  Antimicrobial Resistance: Tackling a crisis for the health and wealth of nations</b:Title>
    <b:Year>2014</b:Year>
    <b:Author>
      <b:Author>
        <b:NameList>
          <b:Person>
            <b:Last>O'Neill</b:Last>
            <b:First>Jim</b:First>
          </b:Person>
        </b:NameList>
      </b:Author>
    </b:Author>
    <b:RefOrder>1</b:RefOrder>
  </b:Source>
</b:Sources>
</file>

<file path=customXml/itemProps1.xml><?xml version="1.0" encoding="utf-8"?>
<ds:datastoreItem xmlns:ds="http://schemas.openxmlformats.org/officeDocument/2006/customXml" ds:itemID="{313B429E-DBAB-4C48-85D2-FAA67B00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16153</Characters>
  <Application>Microsoft Office Word</Application>
  <DocSecurity>0</DocSecurity>
  <Lines>475</Lines>
  <Paragraphs>324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Nudge versus Superbugs 12 months on</dc:title>
  <dc:subject/>
  <dc:creator/>
  <cp:keywords/>
  <dc:description/>
  <cp:lastModifiedBy/>
  <cp:revision>1</cp:revision>
  <dcterms:created xsi:type="dcterms:W3CDTF">2020-06-23T04:41:00Z</dcterms:created>
  <dcterms:modified xsi:type="dcterms:W3CDTF">2020-06-23T04:41:00Z</dcterms:modified>
  <cp:category/>
</cp:coreProperties>
</file>