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2A86F" w14:textId="77777777" w:rsidR="006D0E4A" w:rsidRDefault="006D0E4A" w:rsidP="006D0E4A">
      <w:pPr>
        <w:spacing w:after="480"/>
        <w:jc w:val="center"/>
        <w:rPr>
          <w:noProof/>
          <w:sz w:val="28"/>
          <w:szCs w:val="28"/>
        </w:rPr>
      </w:pPr>
      <w:bookmarkStart w:id="0" w:name="imageHolder"/>
      <w:bookmarkEnd w:id="0"/>
      <w:r w:rsidRPr="00D912DB">
        <w:rPr>
          <w:noProof/>
          <w:sz w:val="28"/>
          <w:szCs w:val="28"/>
          <w:lang w:eastAsia="en-AU"/>
        </w:rPr>
        <w:drawing>
          <wp:inline distT="0" distB="0" distL="0" distR="0" wp14:anchorId="5F28BF3B" wp14:editId="59659A75">
            <wp:extent cx="1688400" cy="1119600"/>
            <wp:effectExtent l="0" t="0" r="7620" b="4445"/>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a:stretch>
                      <a:fillRect/>
                    </a:stretch>
                  </pic:blipFill>
                  <pic:spPr>
                    <a:xfrm>
                      <a:off x="0" y="0"/>
                      <a:ext cx="1688400" cy="1119600"/>
                    </a:xfrm>
                    <a:prstGeom prst="rect">
                      <a:avLst/>
                    </a:prstGeom>
                  </pic:spPr>
                </pic:pic>
              </a:graphicData>
            </a:graphic>
          </wp:inline>
        </w:drawing>
      </w:r>
    </w:p>
    <w:p w14:paraId="4A948091" w14:textId="77777777" w:rsidR="006D0E4A" w:rsidRPr="007250C2" w:rsidRDefault="006D0E4A" w:rsidP="006D0E4A">
      <w:pPr>
        <w:pStyle w:val="Header"/>
        <w:tabs>
          <w:tab w:val="left" w:pos="720"/>
        </w:tabs>
        <w:rPr>
          <w:rFonts w:asciiTheme="minorHAnsi" w:hAnsiTheme="minorHAnsi" w:cstheme="minorHAnsi"/>
          <w:sz w:val="22"/>
          <w:lang w:val="en"/>
        </w:rPr>
      </w:pPr>
      <w:bookmarkStart w:id="1" w:name="Title"/>
      <w:bookmarkEnd w:id="1"/>
      <w:r w:rsidRPr="007250C2">
        <w:rPr>
          <w:rFonts w:asciiTheme="minorHAnsi" w:hAnsiTheme="minorHAnsi" w:cstheme="minorHAnsi"/>
          <w:sz w:val="22"/>
          <w:lang w:val="en"/>
        </w:rPr>
        <w:t xml:space="preserve">The Hon Mark </w:t>
      </w:r>
      <w:proofErr w:type="spellStart"/>
      <w:r w:rsidRPr="007250C2">
        <w:rPr>
          <w:rFonts w:asciiTheme="minorHAnsi" w:hAnsiTheme="minorHAnsi" w:cstheme="minorHAnsi"/>
          <w:sz w:val="22"/>
          <w:lang w:val="en"/>
        </w:rPr>
        <w:t>Coulton</w:t>
      </w:r>
      <w:proofErr w:type="spellEnd"/>
      <w:r w:rsidRPr="007250C2">
        <w:rPr>
          <w:rFonts w:asciiTheme="minorHAnsi" w:hAnsiTheme="minorHAnsi" w:cstheme="minorHAnsi"/>
          <w:sz w:val="22"/>
          <w:lang w:val="en"/>
        </w:rPr>
        <w:t xml:space="preserve"> MP</w:t>
      </w:r>
    </w:p>
    <w:p w14:paraId="3E151723" w14:textId="77777777" w:rsidR="006D0E4A" w:rsidRPr="007250C2" w:rsidRDefault="006D0E4A" w:rsidP="006D0E4A">
      <w:pPr>
        <w:pStyle w:val="Header"/>
        <w:tabs>
          <w:tab w:val="left" w:pos="720"/>
        </w:tabs>
        <w:rPr>
          <w:rFonts w:asciiTheme="minorHAnsi" w:hAnsiTheme="minorHAnsi" w:cstheme="minorHAnsi"/>
          <w:sz w:val="22"/>
          <w:lang w:val="en"/>
        </w:rPr>
      </w:pPr>
      <w:r w:rsidRPr="007250C2">
        <w:rPr>
          <w:rFonts w:asciiTheme="minorHAnsi" w:hAnsiTheme="minorHAnsi" w:cstheme="minorHAnsi"/>
          <w:sz w:val="22"/>
          <w:lang w:val="en"/>
        </w:rPr>
        <w:t>Minister for Regional Health, Regional Communications and Local Government</w:t>
      </w:r>
    </w:p>
    <w:p w14:paraId="4A257919" w14:textId="77777777" w:rsidR="006D0E4A" w:rsidRPr="007250C2" w:rsidRDefault="006D0E4A" w:rsidP="006D0E4A">
      <w:pPr>
        <w:pStyle w:val="Header"/>
        <w:tabs>
          <w:tab w:val="left" w:pos="720"/>
        </w:tabs>
        <w:rPr>
          <w:rFonts w:asciiTheme="minorHAnsi" w:hAnsiTheme="minorHAnsi" w:cstheme="minorHAnsi"/>
          <w:sz w:val="22"/>
          <w:lang w:val="en"/>
        </w:rPr>
      </w:pPr>
      <w:r w:rsidRPr="007250C2">
        <w:rPr>
          <w:rFonts w:asciiTheme="minorHAnsi" w:hAnsiTheme="minorHAnsi" w:cstheme="minorHAnsi"/>
          <w:sz w:val="22"/>
          <w:lang w:val="en"/>
        </w:rPr>
        <w:t>PO Box 6022</w:t>
      </w:r>
      <w:r w:rsidRPr="007250C2">
        <w:rPr>
          <w:rFonts w:asciiTheme="minorHAnsi" w:hAnsiTheme="minorHAnsi" w:cstheme="minorHAnsi"/>
          <w:sz w:val="22"/>
          <w:lang w:val="en"/>
        </w:rPr>
        <w:br/>
        <w:t>House of Representatives</w:t>
      </w:r>
      <w:r w:rsidRPr="007250C2">
        <w:rPr>
          <w:rFonts w:asciiTheme="minorHAnsi" w:hAnsiTheme="minorHAnsi" w:cstheme="minorHAnsi"/>
          <w:sz w:val="22"/>
          <w:lang w:val="en"/>
        </w:rPr>
        <w:br/>
        <w:t>Parliament House</w:t>
      </w:r>
      <w:r w:rsidRPr="007250C2">
        <w:rPr>
          <w:rFonts w:asciiTheme="minorHAnsi" w:hAnsiTheme="minorHAnsi" w:cstheme="minorHAnsi"/>
          <w:sz w:val="22"/>
          <w:lang w:val="en"/>
        </w:rPr>
        <w:br/>
        <w:t>Canberra ACT 2600</w:t>
      </w:r>
    </w:p>
    <w:p w14:paraId="10D8B947" w14:textId="77777777" w:rsidR="006D0E4A" w:rsidRDefault="006D0E4A" w:rsidP="003D31CA">
      <w:pPr>
        <w:spacing w:after="0"/>
        <w:rPr>
          <w:lang w:val="en"/>
        </w:rPr>
      </w:pPr>
      <w:r>
        <w:rPr>
          <w:lang w:val="en"/>
        </w:rPr>
        <w:t>Dear Minister</w:t>
      </w:r>
    </w:p>
    <w:p w14:paraId="2DA408EF" w14:textId="77777777" w:rsidR="006D0E4A" w:rsidRPr="00BC55F7" w:rsidRDefault="006D0E4A" w:rsidP="00BC55F7">
      <w:pPr>
        <w:pStyle w:val="Title"/>
      </w:pPr>
      <w:r w:rsidRPr="00BC55F7">
        <w:t>Update from the Hearing Services Program Review Expert Panel – Final Interim Advice</w:t>
      </w:r>
    </w:p>
    <w:p w14:paraId="722CB91D" w14:textId="77777777" w:rsidR="00BC55F7" w:rsidRDefault="00735D29" w:rsidP="00735D29">
      <w:pPr>
        <w:spacing w:after="0"/>
      </w:pPr>
      <w:r>
        <w:rPr>
          <w:lang w:val="en"/>
        </w:rPr>
        <w:t>We refer to your letter of 16 October 2020 to</w:t>
      </w:r>
      <w:r w:rsidR="005E77A1">
        <w:rPr>
          <w:lang w:val="en"/>
        </w:rPr>
        <w:t xml:space="preserve"> us as</w:t>
      </w:r>
      <w:r>
        <w:rPr>
          <w:lang w:val="en"/>
        </w:rPr>
        <w:t xml:space="preserve"> the Hearing Service</w:t>
      </w:r>
      <w:r w:rsidR="00BC55F7">
        <w:rPr>
          <w:lang w:val="en"/>
        </w:rPr>
        <w:t xml:space="preserve">s Program Review Expert Panel. </w:t>
      </w:r>
      <w:r>
        <w:rPr>
          <w:lang w:val="en"/>
        </w:rPr>
        <w:t>The letter requested we explore, as a priority, issues relating to the implementation of changes to the Hearing Services Program</w:t>
      </w:r>
      <w:r>
        <w:t xml:space="preserve"> (the Program) announced in the 2020 Federal Budget.  Our final advice on implementation issues, together with a summary of the limited stakeholder feedback that </w:t>
      </w:r>
      <w:r w:rsidR="005E77A1">
        <w:t>we</w:t>
      </w:r>
      <w:r>
        <w:t xml:space="preserve"> received is provided </w:t>
      </w:r>
      <w:r w:rsidR="00BC55F7">
        <w:t xml:space="preserve">below. </w:t>
      </w:r>
    </w:p>
    <w:p w14:paraId="1250ADC5" w14:textId="47AF2391" w:rsidR="00735D29" w:rsidRDefault="00735D29" w:rsidP="00735D29">
      <w:pPr>
        <w:spacing w:after="0"/>
      </w:pPr>
      <w:r>
        <w:t xml:space="preserve">On 4 December 2020, we released the </w:t>
      </w:r>
      <w:hyperlink r:id="rId9" w:history="1">
        <w:r w:rsidRPr="00952A2E">
          <w:rPr>
            <w:rStyle w:val="Hyperlink"/>
            <w:i/>
            <w:lang w:val="en"/>
          </w:rPr>
          <w:t xml:space="preserve">Hearing Services Review Interim Advice to Government – </w:t>
        </w:r>
        <w:r w:rsidRPr="00952A2E">
          <w:rPr>
            <w:rStyle w:val="Hyperlink"/>
            <w:i/>
          </w:rPr>
          <w:t>Implementation of Hearing Services Program Changes</w:t>
        </w:r>
      </w:hyperlink>
      <w:r w:rsidRPr="00F36D64">
        <w:rPr>
          <w:i/>
        </w:rPr>
        <w:t xml:space="preserve"> </w:t>
      </w:r>
      <w:r w:rsidRPr="00E20A4B">
        <w:t>(</w:t>
      </w:r>
      <w:r w:rsidRPr="00952A2E">
        <w:t>Attachment A</w:t>
      </w:r>
      <w:r w:rsidRPr="00E20A4B">
        <w:t xml:space="preserve">) </w:t>
      </w:r>
      <w:r>
        <w:t>on the Department of Health website for public consultation, with the period for respons</w:t>
      </w:r>
      <w:r w:rsidR="00952A2E">
        <w:t>es closing on 18 January 2021.</w:t>
      </w:r>
    </w:p>
    <w:p w14:paraId="45D73488" w14:textId="172CCE07" w:rsidR="00735D29" w:rsidRDefault="00735D29" w:rsidP="00735D29">
      <w:pPr>
        <w:spacing w:after="0"/>
      </w:pPr>
      <w:r>
        <w:t>While recognising the short time frame and the holiday period, we received limited but useful feedback on the Government’s announced changes to the Program from key hear</w:t>
      </w:r>
      <w:r w:rsidR="00952A2E">
        <w:t xml:space="preserve">ing sector stakeholder groups. </w:t>
      </w:r>
      <w:r>
        <w:t xml:space="preserve">A total of 16 submissions were received in response to our Interim Advice.  </w:t>
      </w:r>
      <w:r w:rsidR="00D24427">
        <w:t>S</w:t>
      </w:r>
      <w:r>
        <w:t xml:space="preserve">ix submissions received </w:t>
      </w:r>
      <w:r w:rsidR="00D24427">
        <w:t xml:space="preserve">for the first consultation paper </w:t>
      </w:r>
      <w:r>
        <w:t>included broad support for the extension of tele</w:t>
      </w:r>
      <w:r w:rsidR="00952A2E">
        <w:t>-audiology services (Option 4).</w:t>
      </w:r>
    </w:p>
    <w:p w14:paraId="6B238494" w14:textId="77777777" w:rsidR="006D0E4A" w:rsidRDefault="006D0E4A" w:rsidP="006D0E4A">
      <w:pPr>
        <w:spacing w:after="0"/>
      </w:pPr>
      <w:r>
        <w:t>Following consideration of the written submissions, we met with 12 organisations to further understand the issues/concerns raised, including:</w:t>
      </w:r>
    </w:p>
    <w:p w14:paraId="4CA21288" w14:textId="303ECD6F" w:rsidR="006D0E4A" w:rsidRDefault="006D0E4A" w:rsidP="006D0E4A">
      <w:pPr>
        <w:pStyle w:val="ListParagraph"/>
        <w:numPr>
          <w:ilvl w:val="0"/>
          <w:numId w:val="1"/>
        </w:numPr>
        <w:spacing w:after="0"/>
      </w:pPr>
      <w:r>
        <w:t>three consumer representative/advocacy groups;</w:t>
      </w:r>
    </w:p>
    <w:p w14:paraId="00ADD37C" w14:textId="61B0EBD2" w:rsidR="006D0E4A" w:rsidRDefault="007357DF" w:rsidP="006D0E4A">
      <w:pPr>
        <w:pStyle w:val="ListParagraph"/>
        <w:numPr>
          <w:ilvl w:val="0"/>
          <w:numId w:val="1"/>
        </w:numPr>
        <w:spacing w:after="0"/>
      </w:pPr>
      <w:r>
        <w:t>two service providers</w:t>
      </w:r>
      <w:r w:rsidR="006D0E4A">
        <w:t>;</w:t>
      </w:r>
    </w:p>
    <w:p w14:paraId="2796FAFD" w14:textId="46C06021" w:rsidR="006D0E4A" w:rsidRDefault="00EF27F2" w:rsidP="006D0E4A">
      <w:pPr>
        <w:pStyle w:val="ListParagraph"/>
        <w:numPr>
          <w:ilvl w:val="0"/>
          <w:numId w:val="1"/>
        </w:numPr>
        <w:spacing w:after="0"/>
      </w:pPr>
      <w:r>
        <w:t>the manufacturer</w:t>
      </w:r>
      <w:r w:rsidR="003E40EE">
        <w:t>’</w:t>
      </w:r>
      <w:r w:rsidR="006D0E4A">
        <w:t>s peak body;</w:t>
      </w:r>
    </w:p>
    <w:p w14:paraId="66278590" w14:textId="49C280BF" w:rsidR="006D0E4A" w:rsidRDefault="006D0E4A" w:rsidP="006D0E4A">
      <w:pPr>
        <w:pStyle w:val="ListParagraph"/>
        <w:numPr>
          <w:ilvl w:val="0"/>
          <w:numId w:val="1"/>
        </w:numPr>
        <w:spacing w:after="0"/>
      </w:pPr>
      <w:r>
        <w:t>four industry representative bodies;</w:t>
      </w:r>
    </w:p>
    <w:p w14:paraId="153BDFDC" w14:textId="4FC5D7E2" w:rsidR="006D0E4A" w:rsidRDefault="00EF27F2" w:rsidP="006D0E4A">
      <w:pPr>
        <w:pStyle w:val="ListParagraph"/>
        <w:numPr>
          <w:ilvl w:val="0"/>
          <w:numId w:val="1"/>
        </w:numPr>
        <w:spacing w:after="0"/>
      </w:pPr>
      <w:r>
        <w:t>one professional body</w:t>
      </w:r>
      <w:r w:rsidR="006D0E4A">
        <w:t xml:space="preserve">; and </w:t>
      </w:r>
    </w:p>
    <w:p w14:paraId="3507C45A" w14:textId="04F3104C" w:rsidR="006D0E4A" w:rsidRDefault="006D0E4A" w:rsidP="006D0E4A">
      <w:pPr>
        <w:pStyle w:val="ListParagraph"/>
        <w:numPr>
          <w:ilvl w:val="0"/>
          <w:numId w:val="1"/>
        </w:numPr>
        <w:spacing w:after="0"/>
      </w:pPr>
      <w:proofErr w:type="gramStart"/>
      <w:r>
        <w:lastRenderedPageBreak/>
        <w:t>one</w:t>
      </w:r>
      <w:proofErr w:type="gramEnd"/>
      <w:r>
        <w:t xml:space="preserve"> </w:t>
      </w:r>
      <w:r w:rsidR="003E40EE">
        <w:t>individual research professional</w:t>
      </w:r>
      <w:r>
        <w:t>.</w:t>
      </w:r>
    </w:p>
    <w:p w14:paraId="774EFAEC" w14:textId="14F8232C" w:rsidR="00735D29" w:rsidRPr="0027109E" w:rsidRDefault="00735D29" w:rsidP="00735D29">
      <w:pPr>
        <w:spacing w:after="0"/>
      </w:pPr>
      <w:r>
        <w:t xml:space="preserve">Our Interim Advice outlined five options that could provide temporary measures to support continued service provision and client access through a two year realignment period.  </w:t>
      </w:r>
    </w:p>
    <w:p w14:paraId="289B392A" w14:textId="20BC7313" w:rsidR="00735D29" w:rsidRDefault="00735D29" w:rsidP="00735D29">
      <w:pPr>
        <w:spacing w:after="0"/>
      </w:pPr>
      <w:r>
        <w:t>Subsequent to the rel</w:t>
      </w:r>
      <w:r w:rsidR="00564500">
        <w:t>ease of our Interim Advice, on 5</w:t>
      </w:r>
      <w:r>
        <w:t xml:space="preserve"> February 2021, </w:t>
      </w:r>
      <w:r w:rsidRPr="00B86CB0">
        <w:t>the Department released additional materials</w:t>
      </w:r>
      <w:r>
        <w:t xml:space="preserve"> to the stakeholder community</w:t>
      </w:r>
      <w:r w:rsidR="00EF27F2" w:rsidRPr="00EF27F2">
        <w:t xml:space="preserve"> </w:t>
      </w:r>
      <w:r w:rsidR="00EF27F2">
        <w:t>on the Hearing Services website</w:t>
      </w:r>
      <w:r w:rsidR="00952A2E">
        <w:t xml:space="preserve">. </w:t>
      </w:r>
      <w:r>
        <w:t>The</w:t>
      </w:r>
      <w:r w:rsidRPr="00B86CB0">
        <w:t xml:space="preserve"> Factsheets and </w:t>
      </w:r>
      <w:r>
        <w:t xml:space="preserve">a </w:t>
      </w:r>
      <w:r w:rsidRPr="00B86CB0">
        <w:t>Frequently Asked Questions document clarif</w:t>
      </w:r>
      <w:r>
        <w:t>ied several</w:t>
      </w:r>
      <w:r w:rsidRPr="00B86CB0">
        <w:t xml:space="preserve"> issues and concerns raised by stakeholders regarding the changes </w:t>
      </w:r>
      <w:r>
        <w:t>to the Program</w:t>
      </w:r>
      <w:r w:rsidR="00952A2E">
        <w:t xml:space="preserve">. </w:t>
      </w:r>
      <w:r>
        <w:t>T</w:t>
      </w:r>
      <w:r w:rsidRPr="00B86CB0">
        <w:t xml:space="preserve">he Hearing Services Review Expert Panel secretariat </w:t>
      </w:r>
      <w:r>
        <w:t xml:space="preserve">also </w:t>
      </w:r>
      <w:r w:rsidRPr="00B86CB0">
        <w:t xml:space="preserve">contacted the stakeholders who </w:t>
      </w:r>
      <w:r>
        <w:t xml:space="preserve">had </w:t>
      </w:r>
      <w:r w:rsidRPr="00B86CB0">
        <w:t>provided responses to the Interim Advice</w:t>
      </w:r>
      <w:r w:rsidR="00BC55F7">
        <w:t xml:space="preserve"> to seek any further feedback.</w:t>
      </w:r>
    </w:p>
    <w:p w14:paraId="07A03073" w14:textId="0431C260" w:rsidR="00735D29" w:rsidRPr="00BC55F7" w:rsidRDefault="00EF27F2" w:rsidP="00735D29">
      <w:pPr>
        <w:spacing w:after="0"/>
      </w:pPr>
      <w:r>
        <w:t>Many of the submissions responding to the Interim Advice expressed their gratitude for the opportunity to contribute in the</w:t>
      </w:r>
      <w:r w:rsidR="00952A2E">
        <w:t xml:space="preserve"> consultations on that Advice. </w:t>
      </w:r>
      <w:r>
        <w:t xml:space="preserve">A summary of the views of stakeholders is provided below as well as our views on the preferred options. </w:t>
      </w:r>
    </w:p>
    <w:p w14:paraId="276F5CB5" w14:textId="449D4837" w:rsidR="00735D29" w:rsidRPr="00BC55F7" w:rsidRDefault="00735D29" w:rsidP="00BC55F7">
      <w:pPr>
        <w:pStyle w:val="Heading1"/>
      </w:pPr>
      <w:r w:rsidRPr="00BC55F7">
        <w:t xml:space="preserve">Potential impact of the reduction in </w:t>
      </w:r>
      <w:r w:rsidR="00BC55F7" w:rsidRPr="00BC55F7">
        <w:t>Program revenue</w:t>
      </w:r>
    </w:p>
    <w:p w14:paraId="36BE43A1" w14:textId="276DC6DB" w:rsidR="006D0E4A" w:rsidRDefault="00CA759A" w:rsidP="006D0E4A">
      <w:pPr>
        <w:spacing w:after="0"/>
      </w:pPr>
      <w:r>
        <w:lastRenderedPageBreak/>
        <w:t xml:space="preserve">Our Interim Advice included an analysis of the revenue effects from the proposed changes which showed that provider revenue from the Program was estimated to decrease over the first two years, relative to the forward estimates, by </w:t>
      </w:r>
      <w:r w:rsidRPr="00DF7718">
        <w:t>about 19 percent in FY2021-22</w:t>
      </w:r>
      <w:r>
        <w:t xml:space="preserve"> and</w:t>
      </w:r>
      <w:r w:rsidRPr="00DF7718">
        <w:t xml:space="preserve"> 18 percent in FY2022-23 </w:t>
      </w:r>
      <w:r>
        <w:t xml:space="preserve">and by a smaller </w:t>
      </w:r>
      <w:r w:rsidRPr="00DF7718">
        <w:t>10 percent in FY2023-24</w:t>
      </w:r>
      <w:r w:rsidR="00952A2E">
        <w:t>.</w:t>
      </w:r>
      <w:r>
        <w:t xml:space="preserve"> </w:t>
      </w:r>
      <w:r w:rsidRPr="00DF7718">
        <w:t xml:space="preserve">This </w:t>
      </w:r>
      <w:r>
        <w:t xml:space="preserve">reduction </w:t>
      </w:r>
      <w:r w:rsidRPr="00DF7718">
        <w:t xml:space="preserve">is predominantly the result of (a) </w:t>
      </w:r>
      <w:r>
        <w:t xml:space="preserve">the extension of the Voucher duration, which would reduce the number of </w:t>
      </w:r>
      <w:r w:rsidRPr="00DF7718">
        <w:t>unnecessary refitting services and (b) new restrictions on maintenance payments.</w:t>
      </w:r>
      <w:r>
        <w:t xml:space="preserve">  </w:t>
      </w:r>
      <w:r w:rsidRPr="007138D2">
        <w:t>It was noted that the loss in revenue would vary based on the size of the service provider; how often they do refitting prior to the 5 year mark; and changes to the Program’s maintenance payments, which would have a range of impacts depending on service arrangements.</w:t>
      </w:r>
    </w:p>
    <w:p w14:paraId="3C35390D" w14:textId="77777777" w:rsidR="006D0E4A" w:rsidRPr="00BC55F7" w:rsidRDefault="006D0E4A" w:rsidP="00BC55F7">
      <w:pPr>
        <w:pStyle w:val="Heading2"/>
      </w:pPr>
      <w:r w:rsidRPr="00BC55F7">
        <w:t>General impact of loss of revenue</w:t>
      </w:r>
    </w:p>
    <w:p w14:paraId="394A6741" w14:textId="3FAD178D" w:rsidR="006D0E4A" w:rsidRDefault="006D0E4A" w:rsidP="006D0E4A">
      <w:pPr>
        <w:spacing w:after="0"/>
      </w:pPr>
      <w:r>
        <w:t>While there was</w:t>
      </w:r>
      <w:r w:rsidRPr="00B032F4">
        <w:t xml:space="preserve"> concern</w:t>
      </w:r>
      <w:r>
        <w:t xml:space="preserve"> from some stakeholders</w:t>
      </w:r>
      <w:r w:rsidRPr="00B032F4">
        <w:t xml:space="preserve"> about a reduction in revenue it was not accompanied by </w:t>
      </w:r>
      <w:r w:rsidR="00CA759A">
        <w:t xml:space="preserve">a </w:t>
      </w:r>
      <w:r w:rsidRPr="00B032F4">
        <w:t>strong campaign to reverse the Government’s changes</w:t>
      </w:r>
      <w:r w:rsidR="005E77A1">
        <w:t xml:space="preserve"> to the Program</w:t>
      </w:r>
      <w:r w:rsidRPr="00B032F4">
        <w:t>.</w:t>
      </w:r>
      <w:r w:rsidR="00564500">
        <w:t xml:space="preserve">  In fact, an </w:t>
      </w:r>
      <w:r w:rsidR="00CA759A">
        <w:t>association</w:t>
      </w:r>
      <w:r w:rsidR="00CA759A" w:rsidRPr="00B032F4">
        <w:t xml:space="preserve"> </w:t>
      </w:r>
      <w:r w:rsidR="00564500">
        <w:t xml:space="preserve">for </w:t>
      </w:r>
      <w:r w:rsidRPr="00B032F4">
        <w:t>smalle</w:t>
      </w:r>
      <w:r>
        <w:t>r service provider</w:t>
      </w:r>
      <w:r w:rsidR="00CA759A">
        <w:t>s</w:t>
      </w:r>
      <w:r>
        <w:t xml:space="preserve"> highlighted </w:t>
      </w:r>
      <w:r w:rsidRPr="00652953">
        <w:t xml:space="preserve">that a 5 year period for the voucher was better for clients. </w:t>
      </w:r>
      <w:r>
        <w:t xml:space="preserve"> </w:t>
      </w:r>
      <w:r w:rsidRPr="00652953">
        <w:t xml:space="preserve">This </w:t>
      </w:r>
      <w:r>
        <w:t>organisation</w:t>
      </w:r>
      <w:r w:rsidRPr="00652953">
        <w:t xml:space="preserve"> and </w:t>
      </w:r>
      <w:r>
        <w:t>a small industry representative body</w:t>
      </w:r>
      <w:r w:rsidRPr="00652953">
        <w:t xml:space="preserve"> also noted that they didn’t </w:t>
      </w:r>
      <w:r>
        <w:t>consider that</w:t>
      </w:r>
      <w:r w:rsidRPr="00652953">
        <w:t xml:space="preserve"> their members participated </w:t>
      </w:r>
      <w:r w:rsidRPr="00652953">
        <w:lastRenderedPageBreak/>
        <w:t xml:space="preserve">in the practice of refitting clients every three years. </w:t>
      </w:r>
      <w:r>
        <w:t>The Department was</w:t>
      </w:r>
      <w:r w:rsidRPr="00652953">
        <w:t xml:space="preserve"> able to </w:t>
      </w:r>
      <w:r>
        <w:t>advise</w:t>
      </w:r>
      <w:r w:rsidRPr="00652953">
        <w:t xml:space="preserve"> them that if they are not routinely refitting their clients at 3 or 4 years they will not suffer the same</w:t>
      </w:r>
      <w:r>
        <w:t xml:space="preserve"> reduction in revenue from the P</w:t>
      </w:r>
      <w:r w:rsidRPr="00652953">
        <w:t>rogram that other services that do a high volume of 3</w:t>
      </w:r>
      <w:r w:rsidR="004B46B0">
        <w:t xml:space="preserve"> to </w:t>
      </w:r>
      <w:r w:rsidRPr="00652953">
        <w:t xml:space="preserve">4 year </w:t>
      </w:r>
      <w:proofErr w:type="spellStart"/>
      <w:r w:rsidRPr="00652953">
        <w:t>refittings</w:t>
      </w:r>
      <w:proofErr w:type="spellEnd"/>
      <w:r w:rsidRPr="00652953">
        <w:t xml:space="preserve"> might. </w:t>
      </w:r>
    </w:p>
    <w:p w14:paraId="7667F08B" w14:textId="77777777" w:rsidR="006D0E4A" w:rsidRPr="005A3404" w:rsidRDefault="006D0E4A" w:rsidP="00BC55F7">
      <w:pPr>
        <w:pStyle w:val="Heading2"/>
      </w:pPr>
      <w:r w:rsidRPr="005A3404">
        <w:t>Impact on rural and remote providers</w:t>
      </w:r>
    </w:p>
    <w:p w14:paraId="3C1D4229" w14:textId="7572F32B" w:rsidR="006D0E4A" w:rsidRDefault="00CA759A" w:rsidP="006D0E4A">
      <w:pPr>
        <w:spacing w:after="0"/>
      </w:pPr>
      <w:r>
        <w:t>There was consensus that there are additional expenses in delivering services in rural and remote areas relative to urban regions but there was also recognition that these costs were the same whether experienced by sma</w:t>
      </w:r>
      <w:r w:rsidR="00952A2E">
        <w:t xml:space="preserve">ll or large service providers. </w:t>
      </w:r>
      <w:r w:rsidRPr="008D1E01">
        <w:t xml:space="preserve">The analysis of the data on the </w:t>
      </w:r>
      <w:r>
        <w:t>location</w:t>
      </w:r>
      <w:r w:rsidRPr="008D1E01">
        <w:t xml:space="preserve"> of service providers across the </w:t>
      </w:r>
      <w:r>
        <w:t>Modified Monash Model regions</w:t>
      </w:r>
      <w:r w:rsidR="00EF27F2">
        <w:t xml:space="preserve"> shown in Figure 4 of our</w:t>
      </w:r>
      <w:r>
        <w:t xml:space="preserve"> Interim Advice (p.13) shows that there is no significant difference in the distribution of provider sites by level of revenue from the Program (small or large providers) except in the remote and very remote categories (MM 6 and 7) where Hearing Australia is the predominant service provider. </w:t>
      </w:r>
    </w:p>
    <w:p w14:paraId="4AD8541A" w14:textId="601B9E69" w:rsidR="006D0E4A" w:rsidRDefault="006D0E4A" w:rsidP="006D0E4A">
      <w:pPr>
        <w:spacing w:after="0"/>
      </w:pPr>
      <w:r>
        <w:t xml:space="preserve">The analysis supports the finding that rural and remote areas are broadly serviced by the same range of provider types as metropolitan areas.  Given this, should a small provider become unviable due to the Government’s changes there will likely be a </w:t>
      </w:r>
      <w:r>
        <w:lastRenderedPageBreak/>
        <w:t xml:space="preserve">larger provider in broadly the same area through which consumers could still have access to the Program.  We recognise, however, that a restricted range of providers does have an impact on local competition, on the vibrancy of the small business ecosystem in rural Australia and on local social capital. Option 1 in our Interim Advice proposed a </w:t>
      </w:r>
      <w:r w:rsidRPr="00C335FA">
        <w:t>loading on service items delivered in rural and remote areas (MM 3-7)</w:t>
      </w:r>
      <w:r>
        <w:t xml:space="preserve"> irrespective of the size of the provider</w:t>
      </w:r>
      <w:r w:rsidR="004B46B0">
        <w:t>.</w:t>
      </w:r>
      <w:r>
        <w:t xml:space="preserve"> </w:t>
      </w:r>
      <w:r w:rsidR="004B46B0">
        <w:t xml:space="preserve"> </w:t>
      </w:r>
      <w:r w:rsidR="005E77A1">
        <w:t>We continue to support this option</w:t>
      </w:r>
      <w:r w:rsidR="00735D29">
        <w:t xml:space="preserve"> as one of the ways of ameliorating the transition impacts of the changes to the Program.</w:t>
      </w:r>
    </w:p>
    <w:p w14:paraId="127EF808" w14:textId="2126FFA8" w:rsidR="006D0E4A" w:rsidRDefault="006D0E4A" w:rsidP="006D0E4A">
      <w:pPr>
        <w:spacing w:after="0"/>
      </w:pPr>
      <w:r>
        <w:t xml:space="preserve">The Final Report of our deliberations, due in July 2021, will expand further on the issue of service delivery in rural and remote areas, as well as in other thin markets </w:t>
      </w:r>
      <w:r w:rsidR="00EF27F2">
        <w:t>such as</w:t>
      </w:r>
      <w:r>
        <w:t xml:space="preserve"> residents of aged care homes. </w:t>
      </w:r>
    </w:p>
    <w:p w14:paraId="2BFDFF35" w14:textId="77777777" w:rsidR="006D0E4A" w:rsidRPr="005A3404" w:rsidRDefault="006D0E4A" w:rsidP="00BC55F7">
      <w:pPr>
        <w:pStyle w:val="Heading2"/>
      </w:pPr>
      <w:r w:rsidRPr="005A3404">
        <w:t>Expansion of tele-audiology</w:t>
      </w:r>
    </w:p>
    <w:p w14:paraId="57342E9E" w14:textId="3C7CE63E" w:rsidR="006D0E4A" w:rsidRDefault="006D0E4A" w:rsidP="006D0E4A">
      <w:pPr>
        <w:spacing w:after="0"/>
      </w:pPr>
      <w:r>
        <w:t>The strongest stakeholder support was for the option to expand tele-audiology across the Program overall.  Stakeholders noted that tele-audiology improves access to hearing care professionals to those in remote areas or those unable to attend face-to-face consultations and will pr</w:t>
      </w:r>
      <w:r w:rsidR="00952A2E">
        <w:t xml:space="preserve">ovide flexibility for clients. </w:t>
      </w:r>
      <w:r>
        <w:t xml:space="preserve">However, a consumer representative/advocacy group and a small </w:t>
      </w:r>
      <w:r>
        <w:lastRenderedPageBreak/>
        <w:t>industry representative body</w:t>
      </w:r>
      <w:r w:rsidRPr="00652953">
        <w:t xml:space="preserve"> </w:t>
      </w:r>
      <w:r>
        <w:t xml:space="preserve">highlighted their concern that tele-audiology cannot replace face-to-face consultations and that professional standards are required to ensure appropriate use of these services. </w:t>
      </w:r>
    </w:p>
    <w:p w14:paraId="3233ABC4" w14:textId="3569E244" w:rsidR="006D0E4A" w:rsidRPr="00705E81" w:rsidRDefault="006D0E4A" w:rsidP="006D0E4A">
      <w:pPr>
        <w:spacing w:after="0"/>
      </w:pPr>
      <w:r>
        <w:t>We note that the Government’s investment in the development of professional service and clinical standards for tele-audiolo</w:t>
      </w:r>
      <w:r w:rsidR="00952A2E">
        <w:t xml:space="preserve">gy is in its early stages. </w:t>
      </w:r>
      <w:r>
        <w:t>Accordingly, we consider it would be prudent to consider this option at a later date once there are results from the current investment.  This matter will be further examined in our Final Report.</w:t>
      </w:r>
    </w:p>
    <w:p w14:paraId="03514DB5" w14:textId="77777777" w:rsidR="006D0E4A" w:rsidRPr="00705E81" w:rsidRDefault="006D0E4A" w:rsidP="00BC55F7">
      <w:pPr>
        <w:pStyle w:val="Heading1"/>
      </w:pPr>
      <w:r>
        <w:t>Voucher c</w:t>
      </w:r>
      <w:r w:rsidRPr="00705E81">
        <w:t xml:space="preserve">hange </w:t>
      </w:r>
      <w:r>
        <w:t>from three years to five years</w:t>
      </w:r>
    </w:p>
    <w:p w14:paraId="73F2B799" w14:textId="716D4B92" w:rsidR="006D0E4A" w:rsidRDefault="006D0E4A" w:rsidP="00CA759A">
      <w:r w:rsidRPr="00E20A4B">
        <w:t>Overall</w:t>
      </w:r>
      <w:r>
        <w:t>, stakeholders recognised that m</w:t>
      </w:r>
      <w:r w:rsidRPr="00FA67C2">
        <w:t xml:space="preserve">oving from a three year to a five year Voucher period </w:t>
      </w:r>
      <w:r>
        <w:t xml:space="preserve">was inevitable, </w:t>
      </w:r>
      <w:r w:rsidRPr="00D04DAA">
        <w:t>given the longer life of devices and the impact on clients of being encouraged to regularly get a new device.</w:t>
      </w:r>
      <w:r w:rsidR="00952A2E">
        <w:t xml:space="preserve"> </w:t>
      </w:r>
      <w:r>
        <w:t>A peak industry representative</w:t>
      </w:r>
      <w:r w:rsidR="008F489A">
        <w:t xml:space="preserve"> body</w:t>
      </w:r>
      <w:r>
        <w:t xml:space="preserve"> indicated that the move from a three to a five year voucher would reduce administrative burden and red tape associated with reapplying for a new voucher.</w:t>
      </w:r>
    </w:p>
    <w:p w14:paraId="417A66D6" w14:textId="77777777" w:rsidR="006D0E4A" w:rsidRPr="005A3404" w:rsidRDefault="006D0E4A" w:rsidP="00BC55F7">
      <w:pPr>
        <w:pStyle w:val="Heading2"/>
      </w:pPr>
      <w:r w:rsidRPr="005A3404">
        <w:t>Ongoing access to a full diagnostic hearing assessment</w:t>
      </w:r>
    </w:p>
    <w:p w14:paraId="06205668" w14:textId="7E99C3A5" w:rsidR="006D0E4A" w:rsidRDefault="006D0E4A" w:rsidP="006D0E4A">
      <w:pPr>
        <w:spacing w:after="0"/>
      </w:pPr>
      <w:r>
        <w:lastRenderedPageBreak/>
        <w:t>The same peak industry representative b</w:t>
      </w:r>
      <w:r w:rsidR="008F489A">
        <w:t>ody</w:t>
      </w:r>
      <w:r>
        <w:t xml:space="preserve"> noted that their support was contingent on there being no clinical impact on clients who may need to be refitted during the five year period, including ensuring that a full diagnostic hearing assessment could be performed within the five year period.  We endorse this caveat, given that some clients will experience further significant hearing loss during the five year period and may require a new device to be fitted. </w:t>
      </w:r>
    </w:p>
    <w:p w14:paraId="02032A69" w14:textId="61986519" w:rsidR="006D0E4A" w:rsidRDefault="006D0E4A" w:rsidP="006D0E4A">
      <w:pPr>
        <w:spacing w:after="0"/>
      </w:pPr>
      <w:r>
        <w:t xml:space="preserve">We note that the Program currently has provision for “revalidation” which provides a further full diagnostic assessment (where clinically necessary) and this will continue to </w:t>
      </w:r>
      <w:r w:rsidR="00952A2E">
        <w:t xml:space="preserve">be available for this purpose. </w:t>
      </w:r>
      <w:r>
        <w:t>This was confirmed in the Department’s clarification to stakeholders and was well received.</w:t>
      </w:r>
    </w:p>
    <w:p w14:paraId="4E7E9EE3" w14:textId="77777777" w:rsidR="006D0E4A" w:rsidRPr="005A3404" w:rsidRDefault="006D0E4A" w:rsidP="00BC55F7">
      <w:pPr>
        <w:pStyle w:val="Heading2"/>
      </w:pPr>
      <w:r w:rsidRPr="005A3404">
        <w:t>Timing of implementation of the change in the Voucher period</w:t>
      </w:r>
    </w:p>
    <w:p w14:paraId="6AA252C4" w14:textId="20127D81" w:rsidR="006D0E4A" w:rsidRPr="00A617DA" w:rsidRDefault="006D0E4A" w:rsidP="006D0E4A">
      <w:pPr>
        <w:spacing w:after="0"/>
      </w:pPr>
      <w:r>
        <w:t xml:space="preserve">Industry representative bodies </w:t>
      </w:r>
      <w:r w:rsidRPr="00CA362C">
        <w:t xml:space="preserve">noted that the timing and consequent financial impact </w:t>
      </w:r>
      <w:r>
        <w:t xml:space="preserve">of these changes </w:t>
      </w:r>
      <w:r w:rsidRPr="00CA362C">
        <w:t xml:space="preserve">was </w:t>
      </w:r>
      <w:r>
        <w:t>inopportune</w:t>
      </w:r>
      <w:r w:rsidRPr="00CA362C">
        <w:t xml:space="preserve"> given the difficult trading times during 2020</w:t>
      </w:r>
      <w:r>
        <w:t>.</w:t>
      </w:r>
      <w:r w:rsidRPr="00A617DA">
        <w:t xml:space="preserve"> </w:t>
      </w:r>
      <w:r>
        <w:t xml:space="preserve"> </w:t>
      </w:r>
      <w:r w:rsidRPr="00A617DA">
        <w:t>Departmental data on service act</w:t>
      </w:r>
      <w:r>
        <w:t xml:space="preserve">ivity in 2020 shows the extent of the impact: </w:t>
      </w:r>
      <w:r w:rsidRPr="00A617DA">
        <w:t>approximately 5,000 fewer people commence</w:t>
      </w:r>
      <w:r>
        <w:t>d in the Voucher scheme of the P</w:t>
      </w:r>
      <w:r w:rsidRPr="00A617DA">
        <w:t>rogram from July to December 2020, compa</w:t>
      </w:r>
      <w:r w:rsidR="00952A2E">
        <w:t>red to the same period in 2019.</w:t>
      </w:r>
      <w:r w:rsidRPr="00A617DA">
        <w:t xml:space="preserve"> This is an improvement on the 6-month period, March to September 2020, which had 10,000 fewer people than the same period in 2019.</w:t>
      </w:r>
      <w:r>
        <w:t xml:space="preserve">  More recent data showed that participation numbers are returning to pre-pandemic levels.  </w:t>
      </w:r>
      <w:r w:rsidRPr="00A617DA">
        <w:t xml:space="preserve">This </w:t>
      </w:r>
      <w:r>
        <w:t>is consistent with</w:t>
      </w:r>
      <w:r w:rsidRPr="00A617DA">
        <w:t xml:space="preserve"> broader data</w:t>
      </w:r>
      <w:r>
        <w:t xml:space="preserve"> on Australia’s economy which </w:t>
      </w:r>
      <w:r w:rsidRPr="00A617DA">
        <w:t>show</w:t>
      </w:r>
      <w:r>
        <w:t>s</w:t>
      </w:r>
      <w:r w:rsidRPr="00A617DA">
        <w:t xml:space="preserve"> increasing recovery from the initial impact of the pandemic.  It is anticipated this </w:t>
      </w:r>
      <w:r>
        <w:t xml:space="preserve">recovery </w:t>
      </w:r>
      <w:r w:rsidRPr="00A617DA">
        <w:t>will continue with the roll out of vaccine</w:t>
      </w:r>
      <w:r w:rsidR="00CA759A">
        <w:t>s</w:t>
      </w:r>
      <w:r w:rsidRPr="00A617DA">
        <w:t xml:space="preserve"> and continued management of </w:t>
      </w:r>
      <w:r>
        <w:t xml:space="preserve">COVID-19 </w:t>
      </w:r>
      <w:r w:rsidR="00BC55F7">
        <w:t>outbreaks.</w:t>
      </w:r>
    </w:p>
    <w:p w14:paraId="7E64114F" w14:textId="147E9296" w:rsidR="00735D29" w:rsidRPr="00705E81" w:rsidRDefault="00735D29" w:rsidP="00BC55F7">
      <w:pPr>
        <w:pStyle w:val="Heading1"/>
      </w:pPr>
      <w:r w:rsidRPr="00705E81">
        <w:t xml:space="preserve">Maintenance </w:t>
      </w:r>
      <w:r w:rsidR="00BC55F7">
        <w:t>of devices</w:t>
      </w:r>
    </w:p>
    <w:p w14:paraId="5FF8F4C4" w14:textId="77777777" w:rsidR="00735D29" w:rsidRPr="00D7313A" w:rsidRDefault="00735D29" w:rsidP="00735D29">
      <w:pPr>
        <w:spacing w:after="0"/>
      </w:pPr>
      <w:r>
        <w:t xml:space="preserve">The two maintenance changes announced as part of the changes to the Program (ceasing maintenance payment for the first 12 months and moving from annual to quarterly paid general maintenance payments) were of concern, particularly with the service providers. </w:t>
      </w:r>
    </w:p>
    <w:p w14:paraId="71067A33" w14:textId="1EB497BC" w:rsidR="00735D29" w:rsidRDefault="00735D29" w:rsidP="00735D29">
      <w:pPr>
        <w:spacing w:after="0"/>
      </w:pPr>
      <w:r>
        <w:t>The key concern regarding the first year maintenance fee being removed was that it would lead to a cost shift to clients for the cost of replacem</w:t>
      </w:r>
      <w:r w:rsidR="00952A2E">
        <w:t xml:space="preserve">ent batteries, ear moulds etc. </w:t>
      </w:r>
      <w:bookmarkStart w:id="2" w:name="_GoBack"/>
      <w:bookmarkEnd w:id="2"/>
      <w:r w:rsidR="00CA759A">
        <w:t>Additionally</w:t>
      </w:r>
      <w:r>
        <w:t xml:space="preserve">, the move to pay quarterly maintenance payments to providers was seen by stakeholders as adding red tape to the system creating </w:t>
      </w:r>
      <w:r>
        <w:lastRenderedPageBreak/>
        <w:t xml:space="preserve">increased </w:t>
      </w:r>
      <w:r w:rsidRPr="0030556D">
        <w:t xml:space="preserve">administrative burden </w:t>
      </w:r>
      <w:r>
        <w:t>for providers and clients with little benefit to the Program.</w:t>
      </w:r>
    </w:p>
    <w:p w14:paraId="0BF4CF08" w14:textId="77777777" w:rsidR="00735D29" w:rsidRPr="008654FF" w:rsidRDefault="00735D29" w:rsidP="00735D29">
      <w:pPr>
        <w:spacing w:after="0"/>
      </w:pPr>
      <w:r w:rsidRPr="008654FF">
        <w:t xml:space="preserve">We understand that since the announcement of the </w:t>
      </w:r>
      <w:r>
        <w:t>changes to the Program</w:t>
      </w:r>
      <w:r w:rsidRPr="008654FF">
        <w:t>, the Department</w:t>
      </w:r>
      <w:r>
        <w:t xml:space="preserve">, for operational reasons and taking into consideration </w:t>
      </w:r>
      <w:r w:rsidRPr="008654FF">
        <w:t>the feedback we received from stakeholders</w:t>
      </w:r>
      <w:r>
        <w:t xml:space="preserve">, has adjusted the implementation arrangements </w:t>
      </w:r>
      <w:r w:rsidRPr="008654FF">
        <w:t xml:space="preserve">for the </w:t>
      </w:r>
      <w:r>
        <w:t>changes to the Program in relation to the</w:t>
      </w:r>
      <w:r w:rsidRPr="008654FF">
        <w:t xml:space="preserve"> maint</w:t>
      </w:r>
      <w:r>
        <w:t>enance payments.  We understand</w:t>
      </w:r>
      <w:r w:rsidRPr="008654FF">
        <w:t xml:space="preserve"> </w:t>
      </w:r>
      <w:r w:rsidRPr="00D04DAA">
        <w:t xml:space="preserve">that </w:t>
      </w:r>
      <w:r w:rsidRPr="001A0E10">
        <w:t xml:space="preserve">at this time </w:t>
      </w:r>
      <w:r w:rsidRPr="00D04DAA">
        <w:t xml:space="preserve">the </w:t>
      </w:r>
      <w:r>
        <w:t xml:space="preserve">Department will </w:t>
      </w:r>
      <w:r w:rsidRPr="008654FF">
        <w:t xml:space="preserve">be proceeding with </w:t>
      </w:r>
      <w:r>
        <w:t>the following</w:t>
      </w:r>
      <w:r w:rsidRPr="008654FF">
        <w:t xml:space="preserve">: </w:t>
      </w:r>
    </w:p>
    <w:p w14:paraId="49B72200" w14:textId="77777777" w:rsidR="00735D29" w:rsidRPr="008654FF" w:rsidRDefault="00735D29" w:rsidP="00735D29">
      <w:pPr>
        <w:numPr>
          <w:ilvl w:val="0"/>
          <w:numId w:val="2"/>
        </w:numPr>
        <w:spacing w:after="0"/>
      </w:pPr>
      <w:r w:rsidRPr="008654FF">
        <w:t xml:space="preserve">removing the ability to make a maintenance claim within the 12 month period after a refitting; </w:t>
      </w:r>
    </w:p>
    <w:p w14:paraId="11A02767" w14:textId="77777777" w:rsidR="00735D29" w:rsidRDefault="00735D29" w:rsidP="00735D29">
      <w:pPr>
        <w:numPr>
          <w:ilvl w:val="0"/>
          <w:numId w:val="2"/>
        </w:numPr>
        <w:spacing w:after="0"/>
      </w:pPr>
      <w:r w:rsidRPr="008654FF">
        <w:t>a reduction to the amount paid for a relocation maintenance claim</w:t>
      </w:r>
      <w:r>
        <w:t>;</w:t>
      </w:r>
      <w:r w:rsidRPr="008654FF">
        <w:t xml:space="preserve"> </w:t>
      </w:r>
      <w:r>
        <w:t>and</w:t>
      </w:r>
    </w:p>
    <w:p w14:paraId="4814663F" w14:textId="77A4FEFB" w:rsidR="00735D29" w:rsidRPr="008654FF" w:rsidRDefault="00735D29" w:rsidP="00735D29">
      <w:pPr>
        <w:numPr>
          <w:ilvl w:val="0"/>
          <w:numId w:val="2"/>
        </w:numPr>
        <w:spacing w:after="0"/>
      </w:pPr>
      <w:proofErr w:type="gramStart"/>
      <w:r>
        <w:t>continuation</w:t>
      </w:r>
      <w:proofErr w:type="gramEnd"/>
      <w:r>
        <w:t xml:space="preserve"> of annual payment arrangements (rather than a move to the originally announced </w:t>
      </w:r>
      <w:r w:rsidR="008F489A">
        <w:t>quarterly maintenance payments).</w:t>
      </w:r>
    </w:p>
    <w:p w14:paraId="01873525" w14:textId="77777777" w:rsidR="00735D29" w:rsidRDefault="00735D29" w:rsidP="00735D29">
      <w:pPr>
        <w:spacing w:after="0"/>
      </w:pPr>
      <w:r>
        <w:t>R</w:t>
      </w:r>
      <w:r w:rsidRPr="00374DA8">
        <w:t>ecent</w:t>
      </w:r>
      <w:r>
        <w:t xml:space="preserve"> follow-up</w:t>
      </w:r>
      <w:r w:rsidRPr="00374DA8">
        <w:t xml:space="preserve"> consultation with stakeholders </w:t>
      </w:r>
      <w:r>
        <w:t>indicated that their</w:t>
      </w:r>
      <w:r w:rsidRPr="00374DA8">
        <w:t xml:space="preserve"> concerns </w:t>
      </w:r>
      <w:r>
        <w:t xml:space="preserve">have been </w:t>
      </w:r>
      <w:r w:rsidRPr="00374DA8">
        <w:t>significantly reduced regarding the impact of the</w:t>
      </w:r>
      <w:r>
        <w:t>se</w:t>
      </w:r>
      <w:r w:rsidRPr="00374DA8">
        <w:t xml:space="preserve"> changes.</w:t>
      </w:r>
    </w:p>
    <w:p w14:paraId="01D53A12" w14:textId="77777777" w:rsidR="00735D29" w:rsidRPr="009040E9" w:rsidRDefault="00735D29" w:rsidP="00BC55F7">
      <w:pPr>
        <w:pStyle w:val="Heading1"/>
      </w:pPr>
      <w:r>
        <w:t>Next steps</w:t>
      </w:r>
    </w:p>
    <w:p w14:paraId="6C217205" w14:textId="77777777" w:rsidR="00735D29" w:rsidRDefault="00735D29" w:rsidP="00735D29">
      <w:pPr>
        <w:spacing w:after="0"/>
      </w:pPr>
      <w:r>
        <w:t>We are currently preparing a Draft Report of the Hearing Services Review in line with our Terms of Reference.  We expect to release the draft report for public consultation in May prior to submitting our final report to you in July this year.</w:t>
      </w:r>
    </w:p>
    <w:p w14:paraId="1AB1BBD8" w14:textId="77777777" w:rsidR="006D0E4A" w:rsidRDefault="006D0E4A" w:rsidP="006D0E4A">
      <w:pPr>
        <w:spacing w:after="0"/>
      </w:pPr>
      <w:r>
        <w:t>Yours sincerely</w:t>
      </w:r>
    </w:p>
    <w:p w14:paraId="2F7FFBA0" w14:textId="77777777" w:rsidR="006D0E4A" w:rsidRDefault="006D0E4A" w:rsidP="006D0E4A">
      <w:pPr>
        <w:spacing w:after="0"/>
      </w:pPr>
      <w:r>
        <w:rPr>
          <w:noProof/>
          <w:lang w:eastAsia="en-AU"/>
        </w:rPr>
        <w:drawing>
          <wp:inline distT="0" distB="0" distL="0" distR="0" wp14:anchorId="793F3C14" wp14:editId="671A3683">
            <wp:extent cx="2426980" cy="561975"/>
            <wp:effectExtent l="0" t="0" r="0" b="0"/>
            <wp:docPr id="1" name="Picture 1" descr="Signature Professor Michael Woo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4406" cy="566010"/>
                    </a:xfrm>
                    <a:prstGeom prst="rect">
                      <a:avLst/>
                    </a:prstGeom>
                  </pic:spPr>
                </pic:pic>
              </a:graphicData>
            </a:graphic>
          </wp:inline>
        </w:drawing>
      </w:r>
      <w:r>
        <w:tab/>
      </w:r>
      <w:r>
        <w:tab/>
      </w:r>
      <w:r>
        <w:rPr>
          <w:noProof/>
          <w:lang w:eastAsia="en-AU"/>
        </w:rPr>
        <w:drawing>
          <wp:inline distT="0" distB="0" distL="0" distR="0" wp14:anchorId="74F71522" wp14:editId="7395B827">
            <wp:extent cx="2174884" cy="572770"/>
            <wp:effectExtent l="0" t="0" r="0" b="0"/>
            <wp:docPr id="3" name="Picture 3" descr="Signature Dr Zena Burg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na signature.png"/>
                    <pic:cNvPicPr/>
                  </pic:nvPicPr>
                  <pic:blipFill rotWithShape="1">
                    <a:blip r:embed="rId11">
                      <a:extLst>
                        <a:ext uri="{28A0092B-C50C-407E-A947-70E740481C1C}">
                          <a14:useLocalDpi xmlns:a14="http://schemas.microsoft.com/office/drawing/2010/main" val="0"/>
                        </a:ext>
                      </a:extLst>
                    </a:blip>
                    <a:srcRect t="12392" b="13092"/>
                    <a:stretch/>
                  </pic:blipFill>
                  <pic:spPr bwMode="auto">
                    <a:xfrm>
                      <a:off x="0" y="0"/>
                      <a:ext cx="2264794" cy="596448"/>
                    </a:xfrm>
                    <a:prstGeom prst="rect">
                      <a:avLst/>
                    </a:prstGeom>
                    <a:ln>
                      <a:noFill/>
                    </a:ln>
                    <a:extLst>
                      <a:ext uri="{53640926-AAD7-44D8-BBD7-CCE9431645EC}">
                        <a14:shadowObscured xmlns:a14="http://schemas.microsoft.com/office/drawing/2010/main"/>
                      </a:ext>
                    </a:extLst>
                  </pic:spPr>
                </pic:pic>
              </a:graphicData>
            </a:graphic>
          </wp:inline>
        </w:drawing>
      </w:r>
    </w:p>
    <w:p w14:paraId="5BE4FEC4" w14:textId="77777777" w:rsidR="006D0E4A" w:rsidRDefault="006D0E4A" w:rsidP="006D0E4A">
      <w:pPr>
        <w:spacing w:before="60" w:after="60"/>
        <w:ind w:firstLine="720"/>
      </w:pPr>
      <w:r>
        <w:t xml:space="preserve">Professor Michael Woods </w:t>
      </w:r>
      <w:r>
        <w:tab/>
      </w:r>
      <w:r>
        <w:tab/>
      </w:r>
      <w:r>
        <w:tab/>
      </w:r>
      <w:r>
        <w:tab/>
        <w:t xml:space="preserve">Dr </w:t>
      </w:r>
      <w:proofErr w:type="spellStart"/>
      <w:r>
        <w:t>Zena</w:t>
      </w:r>
      <w:proofErr w:type="spellEnd"/>
      <w:r>
        <w:t xml:space="preserve"> Burgess</w:t>
      </w:r>
    </w:p>
    <w:p w14:paraId="79B611ED" w14:textId="77777777" w:rsidR="006D0E4A" w:rsidRDefault="006D0E4A" w:rsidP="006D0E4A">
      <w:pPr>
        <w:spacing w:before="60" w:after="60"/>
      </w:pPr>
      <w:r w:rsidRPr="000C164E">
        <w:rPr>
          <w:lang w:val="en"/>
        </w:rPr>
        <w:t>Hearing Services Program Review Expert Panel</w:t>
      </w:r>
    </w:p>
    <w:p w14:paraId="58DAB725" w14:textId="77777777" w:rsidR="006D0E4A" w:rsidRPr="005A3404" w:rsidRDefault="006D0E4A" w:rsidP="006D0E4A">
      <w:pPr>
        <w:spacing w:before="60" w:after="60"/>
      </w:pPr>
      <w:r>
        <w:t>25 February 2020</w:t>
      </w:r>
    </w:p>
    <w:p w14:paraId="7159BEAC" w14:textId="77777777" w:rsidR="006D0E4A" w:rsidRPr="00BC55F7" w:rsidRDefault="006D0E4A" w:rsidP="006D0E4A">
      <w:pPr>
        <w:spacing w:before="60" w:after="60"/>
        <w:rPr>
          <w:rStyle w:val="Strong"/>
        </w:rPr>
      </w:pPr>
      <w:r w:rsidRPr="00BC55F7">
        <w:rPr>
          <w:rStyle w:val="Strong"/>
        </w:rPr>
        <w:t>Encl.</w:t>
      </w:r>
    </w:p>
    <w:p w14:paraId="1AF4B3D0" w14:textId="009AA452" w:rsidR="006D0E4A" w:rsidRPr="007250C2" w:rsidRDefault="006D0E4A" w:rsidP="006D0E4A">
      <w:pPr>
        <w:spacing w:before="60" w:after="60"/>
        <w:ind w:left="1440" w:hanging="1440"/>
      </w:pPr>
      <w:r w:rsidRPr="005A3404">
        <w:t>Attachment A</w:t>
      </w:r>
      <w:r>
        <w:t>:</w:t>
      </w:r>
      <w:r w:rsidRPr="007250C2">
        <w:rPr>
          <w:i/>
          <w:lang w:val="en"/>
        </w:rPr>
        <w:t xml:space="preserve"> </w:t>
      </w:r>
      <w:r>
        <w:rPr>
          <w:i/>
          <w:lang w:val="en"/>
        </w:rPr>
        <w:tab/>
      </w:r>
      <w:r w:rsidRPr="00977D61">
        <w:rPr>
          <w:lang w:val="en"/>
        </w:rPr>
        <w:t xml:space="preserve">Hearing Services Review Interim Advice to Government – </w:t>
      </w:r>
      <w:r w:rsidRPr="00977D61">
        <w:t>Implementation of HSP Changes</w:t>
      </w:r>
    </w:p>
    <w:sectPr w:rsidR="006D0E4A" w:rsidRPr="007250C2" w:rsidSect="00BC55F7">
      <w:footerReference w:type="default" r:id="rId12"/>
      <w:pgSz w:w="11906" w:h="16838"/>
      <w:pgMar w:top="709"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5E45" w14:textId="77777777" w:rsidR="00110C51" w:rsidRDefault="004B46B0">
      <w:pPr>
        <w:spacing w:after="0"/>
      </w:pPr>
      <w:r>
        <w:separator/>
      </w:r>
    </w:p>
  </w:endnote>
  <w:endnote w:type="continuationSeparator" w:id="0">
    <w:p w14:paraId="1D19446A" w14:textId="77777777" w:rsidR="00110C51" w:rsidRDefault="004B46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06362"/>
      <w:docPartObj>
        <w:docPartGallery w:val="Page Numbers (Bottom of Page)"/>
        <w:docPartUnique/>
      </w:docPartObj>
    </w:sdtPr>
    <w:sdtEndPr>
      <w:rPr>
        <w:noProof/>
      </w:rPr>
    </w:sdtEndPr>
    <w:sdtContent>
      <w:p w14:paraId="5A58728A" w14:textId="0993A531" w:rsidR="00217F0D" w:rsidRDefault="008E1A34">
        <w:pPr>
          <w:pStyle w:val="Footer"/>
          <w:jc w:val="right"/>
        </w:pPr>
        <w:r>
          <w:fldChar w:fldCharType="begin"/>
        </w:r>
        <w:r>
          <w:instrText xml:space="preserve"> PAGE   \* MERGEFORMAT </w:instrText>
        </w:r>
        <w:r>
          <w:fldChar w:fldCharType="separate"/>
        </w:r>
        <w:r w:rsidR="00952A2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C181" w14:textId="77777777" w:rsidR="00110C51" w:rsidRDefault="004B46B0">
      <w:pPr>
        <w:spacing w:after="0"/>
      </w:pPr>
      <w:r>
        <w:separator/>
      </w:r>
    </w:p>
  </w:footnote>
  <w:footnote w:type="continuationSeparator" w:id="0">
    <w:p w14:paraId="020B3076" w14:textId="77777777" w:rsidR="00110C51" w:rsidRDefault="004B46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8E7"/>
    <w:multiLevelType w:val="hybridMultilevel"/>
    <w:tmpl w:val="04987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802FC5"/>
    <w:multiLevelType w:val="hybridMultilevel"/>
    <w:tmpl w:val="AC500C30"/>
    <w:lvl w:ilvl="0" w:tplc="35CAF8C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DD5808"/>
    <w:multiLevelType w:val="hybridMultilevel"/>
    <w:tmpl w:val="DFE87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4A"/>
    <w:rsid w:val="000E13A7"/>
    <w:rsid w:val="00110C51"/>
    <w:rsid w:val="00391AC9"/>
    <w:rsid w:val="003D31CA"/>
    <w:rsid w:val="003E40EE"/>
    <w:rsid w:val="0041578F"/>
    <w:rsid w:val="00490230"/>
    <w:rsid w:val="004B46B0"/>
    <w:rsid w:val="005173E6"/>
    <w:rsid w:val="00564500"/>
    <w:rsid w:val="005E77A1"/>
    <w:rsid w:val="006D0E4A"/>
    <w:rsid w:val="007357DF"/>
    <w:rsid w:val="00735D29"/>
    <w:rsid w:val="008E1A34"/>
    <w:rsid w:val="008F489A"/>
    <w:rsid w:val="00952A2E"/>
    <w:rsid w:val="00A34F21"/>
    <w:rsid w:val="00BA01D8"/>
    <w:rsid w:val="00BC55F7"/>
    <w:rsid w:val="00CA759A"/>
    <w:rsid w:val="00D24427"/>
    <w:rsid w:val="00E03131"/>
    <w:rsid w:val="00E421D6"/>
    <w:rsid w:val="00ED6AFA"/>
    <w:rsid w:val="00EF2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EBA43"/>
  <w15:chartTrackingRefBased/>
  <w15:docId w15:val="{DC340934-3433-484B-9F22-F84B8498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F7"/>
    <w:pPr>
      <w:spacing w:before="120" w:after="120" w:line="240" w:lineRule="auto"/>
    </w:pPr>
  </w:style>
  <w:style w:type="paragraph" w:styleId="Heading1">
    <w:name w:val="heading 1"/>
    <w:basedOn w:val="Normal"/>
    <w:next w:val="Normal"/>
    <w:link w:val="Heading1Char"/>
    <w:uiPriority w:val="9"/>
    <w:qFormat/>
    <w:rsid w:val="00BC55F7"/>
    <w:pPr>
      <w:spacing w:before="240"/>
      <w:outlineLvl w:val="0"/>
    </w:pPr>
    <w:rPr>
      <w:b/>
    </w:rPr>
  </w:style>
  <w:style w:type="paragraph" w:styleId="Heading2">
    <w:name w:val="heading 2"/>
    <w:basedOn w:val="Normal"/>
    <w:next w:val="Normal"/>
    <w:link w:val="Heading2Char"/>
    <w:uiPriority w:val="9"/>
    <w:unhideWhenUsed/>
    <w:qFormat/>
    <w:rsid w:val="00BC55F7"/>
    <w:pPr>
      <w:spacing w:after="0"/>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0E4A"/>
    <w:pPr>
      <w:tabs>
        <w:tab w:val="center" w:pos="4153"/>
        <w:tab w:val="right" w:pos="8306"/>
      </w:tabs>
      <w:spacing w:after="0"/>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6D0E4A"/>
    <w:rPr>
      <w:rFonts w:ascii="Book Antiqua" w:eastAsia="Times New Roman" w:hAnsi="Book Antiqua" w:cs="Times New Roman"/>
      <w:sz w:val="24"/>
      <w:szCs w:val="24"/>
      <w:lang w:eastAsia="en-AU"/>
    </w:rPr>
  </w:style>
  <w:style w:type="paragraph" w:styleId="ListParagraph">
    <w:name w:val="List Paragraph"/>
    <w:aliases w:val="Recommendation,#List Paragraph,Figure_name,List Paragraph1,Numbered Indented Text,Bullet- First level,List NUmber,Listenabsatz1,lp1,List Paragraph11,List Paragraph2,Bullet List,L"/>
    <w:basedOn w:val="Normal"/>
    <w:link w:val="ListParagraphChar"/>
    <w:uiPriority w:val="34"/>
    <w:qFormat/>
    <w:rsid w:val="006D0E4A"/>
    <w:pPr>
      <w:ind w:left="720"/>
      <w:contextualSpacing/>
    </w:pPr>
  </w:style>
  <w:style w:type="character" w:customStyle="1" w:styleId="ListParagraphChar">
    <w:name w:val="List Paragraph Char"/>
    <w:aliases w:val="Recommendation Char,#List Paragraph Char,Figure_name Char,List Paragraph1 Char,Numbered Indented Text Char,Bullet- First level Char,List NUmber Char,Listenabsatz1 Char,lp1 Char,List Paragraph11 Char,List Paragraph2 Char,L Char"/>
    <w:basedOn w:val="DefaultParagraphFont"/>
    <w:link w:val="ListParagraph"/>
    <w:uiPriority w:val="34"/>
    <w:locked/>
    <w:rsid w:val="006D0E4A"/>
  </w:style>
  <w:style w:type="character" w:styleId="CommentReference">
    <w:name w:val="annotation reference"/>
    <w:basedOn w:val="DefaultParagraphFont"/>
    <w:uiPriority w:val="99"/>
    <w:semiHidden/>
    <w:unhideWhenUsed/>
    <w:rsid w:val="006D0E4A"/>
    <w:rPr>
      <w:sz w:val="16"/>
      <w:szCs w:val="16"/>
    </w:rPr>
  </w:style>
  <w:style w:type="paragraph" w:styleId="CommentText">
    <w:name w:val="annotation text"/>
    <w:basedOn w:val="Normal"/>
    <w:link w:val="CommentTextChar"/>
    <w:uiPriority w:val="99"/>
    <w:semiHidden/>
    <w:unhideWhenUsed/>
    <w:rsid w:val="006D0E4A"/>
    <w:rPr>
      <w:sz w:val="20"/>
      <w:szCs w:val="20"/>
    </w:rPr>
  </w:style>
  <w:style w:type="character" w:customStyle="1" w:styleId="CommentTextChar">
    <w:name w:val="Comment Text Char"/>
    <w:basedOn w:val="DefaultParagraphFont"/>
    <w:link w:val="CommentText"/>
    <w:uiPriority w:val="99"/>
    <w:semiHidden/>
    <w:rsid w:val="006D0E4A"/>
    <w:rPr>
      <w:sz w:val="20"/>
      <w:szCs w:val="20"/>
    </w:rPr>
  </w:style>
  <w:style w:type="paragraph" w:styleId="Footer">
    <w:name w:val="footer"/>
    <w:basedOn w:val="Normal"/>
    <w:link w:val="FooterChar"/>
    <w:uiPriority w:val="99"/>
    <w:unhideWhenUsed/>
    <w:rsid w:val="006D0E4A"/>
    <w:pPr>
      <w:tabs>
        <w:tab w:val="center" w:pos="4513"/>
        <w:tab w:val="right" w:pos="9026"/>
      </w:tabs>
      <w:spacing w:after="0"/>
    </w:pPr>
  </w:style>
  <w:style w:type="character" w:customStyle="1" w:styleId="FooterChar">
    <w:name w:val="Footer Char"/>
    <w:basedOn w:val="DefaultParagraphFont"/>
    <w:link w:val="Footer"/>
    <w:uiPriority w:val="99"/>
    <w:rsid w:val="006D0E4A"/>
  </w:style>
  <w:style w:type="paragraph" w:styleId="BalloonText">
    <w:name w:val="Balloon Text"/>
    <w:basedOn w:val="Normal"/>
    <w:link w:val="BalloonTextChar"/>
    <w:uiPriority w:val="99"/>
    <w:semiHidden/>
    <w:unhideWhenUsed/>
    <w:rsid w:val="006D0E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4A"/>
    <w:rPr>
      <w:rFonts w:ascii="Segoe UI" w:hAnsi="Segoe UI" w:cs="Segoe UI"/>
      <w:sz w:val="18"/>
      <w:szCs w:val="18"/>
    </w:rPr>
  </w:style>
  <w:style w:type="paragraph" w:styleId="Title">
    <w:name w:val="Title"/>
    <w:basedOn w:val="Normal"/>
    <w:next w:val="Normal"/>
    <w:link w:val="TitleChar"/>
    <w:uiPriority w:val="10"/>
    <w:qFormat/>
    <w:rsid w:val="00ED6AFA"/>
    <w:pPr>
      <w:spacing w:before="240" w:after="240"/>
      <w:jc w:val="center"/>
    </w:pPr>
    <w:rPr>
      <w:b/>
      <w:lang w:val="en"/>
    </w:rPr>
  </w:style>
  <w:style w:type="character" w:customStyle="1" w:styleId="TitleChar">
    <w:name w:val="Title Char"/>
    <w:basedOn w:val="DefaultParagraphFont"/>
    <w:link w:val="Title"/>
    <w:uiPriority w:val="10"/>
    <w:rsid w:val="00ED6AFA"/>
    <w:rPr>
      <w:b/>
      <w:lang w:val="en"/>
    </w:rPr>
  </w:style>
  <w:style w:type="character" w:customStyle="1" w:styleId="Heading1Char">
    <w:name w:val="Heading 1 Char"/>
    <w:basedOn w:val="DefaultParagraphFont"/>
    <w:link w:val="Heading1"/>
    <w:uiPriority w:val="9"/>
    <w:rsid w:val="00BC55F7"/>
    <w:rPr>
      <w:b/>
    </w:rPr>
  </w:style>
  <w:style w:type="character" w:customStyle="1" w:styleId="Heading2Char">
    <w:name w:val="Heading 2 Char"/>
    <w:basedOn w:val="DefaultParagraphFont"/>
    <w:link w:val="Heading2"/>
    <w:uiPriority w:val="9"/>
    <w:rsid w:val="00BC55F7"/>
    <w:rPr>
      <w:i/>
    </w:rPr>
  </w:style>
  <w:style w:type="character" w:styleId="Strong">
    <w:name w:val="Strong"/>
    <w:basedOn w:val="DefaultParagraphFont"/>
    <w:uiPriority w:val="22"/>
    <w:qFormat/>
    <w:rsid w:val="00BC55F7"/>
    <w:rPr>
      <w:b/>
      <w:bCs/>
    </w:rPr>
  </w:style>
  <w:style w:type="character" w:styleId="Hyperlink">
    <w:name w:val="Hyperlink"/>
    <w:basedOn w:val="DefaultParagraphFont"/>
    <w:uiPriority w:val="99"/>
    <w:unhideWhenUsed/>
    <w:rsid w:val="00952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ealth.gov.au/resources/publications/hearing-services-review-interim-advice-to-government-implementation-of-hsp-chan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1F38-777E-4F4B-8292-B86A923F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1742</Words>
  <Characters>9618</Characters>
  <Application>Microsoft Office Word</Application>
  <DocSecurity>0</DocSecurity>
  <Lines>157</Lines>
  <Paragraphs>69</Paragraphs>
  <ScaleCrop>false</ScaleCrop>
  <HeadingPairs>
    <vt:vector size="2" baseType="variant">
      <vt:variant>
        <vt:lpstr>Title</vt:lpstr>
      </vt:variant>
      <vt:variant>
        <vt:i4>1</vt:i4>
      </vt:variant>
    </vt:vector>
  </HeadingPairs>
  <TitlesOfParts>
    <vt:vector size="1" baseType="lpstr">
      <vt:lpstr>Update from the Hearing Services Program Review Expert Panel – Final Interim Advice</vt:lpstr>
    </vt:vector>
  </TitlesOfParts>
  <Company>Department of Health</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from the Hearing Services Program Review Expert Panel – Final Interim Advice</dc:title>
  <dc:subject>Ear health</dc:subject>
  <dc:creator>Australian Government Department of Heath</dc:creator>
  <cp:keywords>Ear health; Hearing Health; Hearing Services Program; Review</cp:keywords>
  <dc:description/>
  <cp:lastModifiedBy>MASCHKE, Elvia</cp:lastModifiedBy>
  <cp:revision>4</cp:revision>
  <cp:lastPrinted>2021-02-25T00:54:00Z</cp:lastPrinted>
  <dcterms:created xsi:type="dcterms:W3CDTF">2021-05-19T06:29:00Z</dcterms:created>
  <dcterms:modified xsi:type="dcterms:W3CDTF">2021-05-19T06:31:00Z</dcterms:modified>
</cp:coreProperties>
</file>