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E3B2" w14:textId="77777777" w:rsidR="004D309B" w:rsidRDefault="0046435D" w:rsidP="00774908">
      <w:pPr>
        <w:pStyle w:val="Heading1"/>
      </w:pPr>
      <w:r>
        <w:t xml:space="preserve">Guaranteeing medicare – medical benefits schedule review – </w:t>
      </w:r>
      <w:r w:rsidRPr="00774908">
        <w:t>gynaecology</w:t>
      </w:r>
      <w:r>
        <w:t xml:space="preserve"> services </w:t>
      </w:r>
    </w:p>
    <w:p w14:paraId="6FB7E3B4" w14:textId="77777777" w:rsidR="004D309B" w:rsidRDefault="004D309B" w:rsidP="00774908">
      <w:pPr>
        <w:pStyle w:val="CommentSubject"/>
        <w:rPr>
          <w:lang w:val="en"/>
        </w:rPr>
        <w:sectPr w:rsidR="004D309B" w:rsidSect="00774908">
          <w:footerReference w:type="even" r:id="rId9"/>
          <w:headerReference w:type="first" r:id="rId10"/>
          <w:footerReference w:type="first" r:id="rId11"/>
          <w:pgSz w:w="11906" w:h="16838" w:code="9"/>
          <w:pgMar w:top="2694" w:right="1134" w:bottom="426" w:left="1134" w:header="0" w:footer="176" w:gutter="0"/>
          <w:cols w:space="567"/>
          <w:titlePg/>
          <w:docGrid w:linePitch="360"/>
        </w:sectPr>
      </w:pPr>
      <w:r w:rsidRPr="000D5215">
        <w:t xml:space="preserve">The Australian Government is </w:t>
      </w:r>
      <w:r w:rsidRPr="00AB10E7">
        <w:t xml:space="preserve">making changes to </w:t>
      </w:r>
      <w:r w:rsidR="00BB1C4E">
        <w:t>Medicare-</w:t>
      </w:r>
      <w:r w:rsidRPr="00AB10E7">
        <w:t>funded</w:t>
      </w:r>
      <w:r w:rsidR="0046435D">
        <w:t xml:space="preserve"> gynaecology services to support best practice treatment and improve patient experience and safety. These changes follow </w:t>
      </w:r>
      <w:r w:rsidRPr="00AB10E7">
        <w:t>recommendations from the M</w:t>
      </w:r>
      <w:r w:rsidR="00BB1C4E">
        <w:t xml:space="preserve">edicare </w:t>
      </w:r>
      <w:r w:rsidRPr="00AB10E7">
        <w:t>B</w:t>
      </w:r>
      <w:r w:rsidR="00BB1C4E">
        <w:t xml:space="preserve">enefits </w:t>
      </w:r>
      <w:r w:rsidRPr="00AB10E7">
        <w:t>S</w:t>
      </w:r>
      <w:r w:rsidR="00BB1C4E">
        <w:t>chedule (MBS)</w:t>
      </w:r>
      <w:r w:rsidRPr="00AB10E7">
        <w:t xml:space="preserve"> Review Taskforce</w:t>
      </w:r>
      <w:r w:rsidRPr="000D5215">
        <w:t>.</w:t>
      </w:r>
    </w:p>
    <w:p w14:paraId="6FB7E3B5" w14:textId="77777777" w:rsidR="004D309B" w:rsidRPr="00774908" w:rsidRDefault="004D309B" w:rsidP="00774908">
      <w:pPr>
        <w:pStyle w:val="Heading2"/>
      </w:pPr>
      <w:r w:rsidRPr="00774908">
        <w:t>What are the changes?</w:t>
      </w:r>
    </w:p>
    <w:p w14:paraId="6FB7E3B6" w14:textId="298E5EA9" w:rsidR="0046435D" w:rsidRDefault="0046435D" w:rsidP="00774908">
      <w:r>
        <w:t xml:space="preserve">From </w:t>
      </w:r>
      <w:r w:rsidR="00EE6C26">
        <w:t>1 March 2022, there will be a number of changes to MBS items to better align gynaecology services with contemporary and evidence based treatment</w:t>
      </w:r>
      <w:r w:rsidR="00774908">
        <w:t>.</w:t>
      </w:r>
    </w:p>
    <w:p w14:paraId="6FB7E3B7" w14:textId="77777777" w:rsidR="00D17E20" w:rsidRDefault="00914C19" w:rsidP="00C200F4">
      <w:r>
        <w:t xml:space="preserve">Some of the changes to </w:t>
      </w:r>
      <w:r w:rsidR="00061B97">
        <w:t>gynaecology</w:t>
      </w:r>
      <w:r w:rsidR="00D17E20">
        <w:t xml:space="preserve"> </w:t>
      </w:r>
      <w:r>
        <w:t xml:space="preserve">service </w:t>
      </w:r>
      <w:r w:rsidR="00D17E20">
        <w:t xml:space="preserve">items </w:t>
      </w:r>
      <w:r>
        <w:t xml:space="preserve">include those </w:t>
      </w:r>
      <w:r w:rsidR="00D17E20">
        <w:t>to imp</w:t>
      </w:r>
      <w:r w:rsidR="00061B97">
        <w:t>rove patient access and safety</w:t>
      </w:r>
      <w:r w:rsidR="00D17E20">
        <w:t>,</w:t>
      </w:r>
      <w:r>
        <w:t xml:space="preserve"> by making </w:t>
      </w:r>
      <w:r w:rsidR="00061B97">
        <w:t>changes to</w:t>
      </w:r>
      <w:r w:rsidR="00D17E20">
        <w:t xml:space="preserve"> items for the insertion of intrauterine devices and outpatient diagnostic hysteroscopy</w:t>
      </w:r>
      <w:r w:rsidR="00CA47BA">
        <w:t>,</w:t>
      </w:r>
      <w:r w:rsidR="00D17E20">
        <w:t xml:space="preserve"> along with restructuring gynaecology oncology service items to bet</w:t>
      </w:r>
      <w:r w:rsidR="006A21EA">
        <w:t>ter</w:t>
      </w:r>
      <w:r w:rsidR="00AA4224">
        <w:t xml:space="preserve"> reflect current practice</w:t>
      </w:r>
      <w:r w:rsidR="007A22C1">
        <w:t>. Amendments to assisted reproductive technology include rebating gonadotrophin-stimulated ovulation induction</w:t>
      </w:r>
      <w:r w:rsidR="006A21EA">
        <w:t xml:space="preserve"> </w:t>
      </w:r>
      <w:r w:rsidR="007F796A">
        <w:t xml:space="preserve">which will enable </w:t>
      </w:r>
      <w:r w:rsidR="007A22C1">
        <w:t>the possibility of conceiving naturally and avoiding more invasive treatment, thereby protecting patient safety and promoting higher value care.</w:t>
      </w:r>
    </w:p>
    <w:p w14:paraId="6FB7E3B8" w14:textId="77777777" w:rsidR="00EE6C26" w:rsidRDefault="00D17E20" w:rsidP="00C200F4">
      <w:r>
        <w:t xml:space="preserve">A range of other changes will be made to simplify the items and improve billing consistency for patients. </w:t>
      </w:r>
    </w:p>
    <w:p w14:paraId="6FB7E3B9" w14:textId="77777777" w:rsidR="004D309B" w:rsidRPr="00692791" w:rsidRDefault="004D309B" w:rsidP="00774908">
      <w:pPr>
        <w:pStyle w:val="Heading2"/>
      </w:pPr>
      <w:r>
        <w:t>Why are these changes being made?</w:t>
      </w:r>
    </w:p>
    <w:p w14:paraId="6FB7E3BA" w14:textId="2659EC7A" w:rsidR="00D15EC8" w:rsidRDefault="00D15EC8" w:rsidP="00C200F4">
      <w:r>
        <w:t>These changes were recommended by the independent MBS review Taskforce, follo</w:t>
      </w:r>
      <w:r w:rsidR="00774908">
        <w:t xml:space="preserve">wing a comprehensive review of </w:t>
      </w:r>
      <w:r>
        <w:t xml:space="preserve">MBS items by clinicians, health system experts and consumers. </w:t>
      </w:r>
      <w:r w:rsidR="006A21EA">
        <w:t>The taskforce reviewed 141 gynaecology services across four specialty areas</w:t>
      </w:r>
      <w:r w:rsidR="0080353C">
        <w:t xml:space="preserve"> including general gynaecology, </w:t>
      </w:r>
      <w:r w:rsidR="00AA4224">
        <w:t>gynae</w:t>
      </w:r>
      <w:r w:rsidR="007A22C1">
        <w:t>cology</w:t>
      </w:r>
      <w:r w:rsidR="00AA4224">
        <w:t xml:space="preserve"> </w:t>
      </w:r>
      <w:r w:rsidR="0080353C">
        <w:t xml:space="preserve">oncology, assisted </w:t>
      </w:r>
      <w:r w:rsidR="007A22C1">
        <w:t>reproductive</w:t>
      </w:r>
      <w:r w:rsidR="00AA4224">
        <w:t xml:space="preserve"> technology and </w:t>
      </w:r>
      <w:proofErr w:type="spellStart"/>
      <w:r w:rsidR="00AA4224">
        <w:t>urogynaecology</w:t>
      </w:r>
      <w:proofErr w:type="spellEnd"/>
      <w:r w:rsidR="007A22C1">
        <w:t xml:space="preserve">. </w:t>
      </w:r>
    </w:p>
    <w:p w14:paraId="6FB7E3BB" w14:textId="77777777" w:rsidR="004D309B" w:rsidRDefault="00D15EC8" w:rsidP="00C200F4">
      <w:r>
        <w:t xml:space="preserve">The </w:t>
      </w:r>
      <w:r w:rsidR="006A21EA">
        <w:t>changes</w:t>
      </w:r>
      <w:r>
        <w:t xml:space="preserve"> better reflect the procedures being performed by practitioners and contemporary best-practice. These changes will also ensure that claims are consistent and appropriate. </w:t>
      </w:r>
    </w:p>
    <w:p w14:paraId="6FB7E3BC" w14:textId="77777777" w:rsidR="004D309B" w:rsidRDefault="004D309B" w:rsidP="00774908">
      <w:pPr>
        <w:pStyle w:val="Heading2"/>
      </w:pPr>
      <w:r>
        <w:t>What does this mean for patients?</w:t>
      </w:r>
    </w:p>
    <w:p w14:paraId="6FB7E3BD" w14:textId="2DBD8CA4" w:rsidR="00EE6C26" w:rsidRDefault="00EE6C26" w:rsidP="004D309B">
      <w:r>
        <w:t xml:space="preserve">Patients will benefit as gynaecology services will be aligned to contemporary care. Providers will be supported to provide best practice treatment, tailored to individual patient needs, which will </w:t>
      </w:r>
      <w:r w:rsidR="00774908">
        <w:t>lead to better health outcomes.</w:t>
      </w:r>
    </w:p>
    <w:p w14:paraId="6FB7E3BE" w14:textId="77777777" w:rsidR="004D309B" w:rsidRDefault="004D309B" w:rsidP="00774908">
      <w:pPr>
        <w:pStyle w:val="Heading2"/>
      </w:pPr>
      <w:r>
        <w:t>What does this mean for providers?</w:t>
      </w:r>
    </w:p>
    <w:p w14:paraId="6FB7E3BF" w14:textId="3D834C08" w:rsidR="00EE6C26" w:rsidRDefault="00EE6C26" w:rsidP="004D309B">
      <w:r>
        <w:t>Providers will benefit as Medicare funding will better align with contemporary clinical pra</w:t>
      </w:r>
      <w:r w:rsidR="00774908">
        <w:t>ctice for gynaecology services.</w:t>
      </w:r>
    </w:p>
    <w:p w14:paraId="6FB7E3C0" w14:textId="77777777" w:rsidR="004D309B" w:rsidRDefault="00EE6C26" w:rsidP="004D309B">
      <w:r>
        <w:t xml:space="preserve">The </w:t>
      </w:r>
      <w:r w:rsidR="00061B97">
        <w:t>consolidation of some</w:t>
      </w:r>
      <w:r>
        <w:t xml:space="preserve"> items will streamline billing practices and support more uniform billing across patients.</w:t>
      </w:r>
    </w:p>
    <w:p w14:paraId="6FB7E3C1" w14:textId="7FE544C7" w:rsidR="00EE6C26" w:rsidRDefault="00EE6C26" w:rsidP="004D309B">
      <w:r>
        <w:t>The Department will work closely with peak bodies when implementing the changes to gynaecology service</w:t>
      </w:r>
      <w:r w:rsidR="00061B97">
        <w:t xml:space="preserve">s </w:t>
      </w:r>
      <w:r>
        <w:t xml:space="preserve">MBS items. Providers will </w:t>
      </w:r>
      <w:proofErr w:type="gramStart"/>
      <w:r>
        <w:t>receive</w:t>
      </w:r>
      <w:proofErr w:type="gramEnd"/>
      <w:r>
        <w:t xml:space="preserve"> further information about the chan</w:t>
      </w:r>
      <w:r w:rsidR="00774908">
        <w:t>ges as implementation proceeds.</w:t>
      </w:r>
    </w:p>
    <w:p w14:paraId="6FB7E3C2" w14:textId="77777777" w:rsidR="004D309B" w:rsidRPr="002F3AE3" w:rsidRDefault="006B556E" w:rsidP="00774908">
      <w:pPr>
        <w:pStyle w:val="Boxshadedcolourbackground"/>
      </w:pPr>
      <w:r>
        <w:t xml:space="preserve">Further detail will </w:t>
      </w:r>
      <w:r w:rsidRPr="00774908">
        <w:t>be</w:t>
      </w:r>
      <w:r>
        <w:t xml:space="preserve"> available on </w:t>
      </w:r>
      <w:bookmarkStart w:id="0" w:name="_GoBack"/>
      <w:r w:rsidR="00D40C25">
        <w:fldChar w:fldCharType="begin"/>
      </w:r>
      <w:r w:rsidR="00D40C25">
        <w:instrText xml:space="preserve"> HYPERLINK "http://www.mbsonline.gov.au" </w:instrText>
      </w:r>
      <w:r w:rsidR="00D40C25">
        <w:fldChar w:fldCharType="separate"/>
      </w:r>
      <w:r w:rsidRPr="005C3171">
        <w:rPr>
          <w:rStyle w:val="Hyperlink"/>
        </w:rPr>
        <w:t>www.mbsonline.gov.au</w:t>
      </w:r>
      <w:r w:rsidR="00D40C25">
        <w:rPr>
          <w:rStyle w:val="Hyperlink"/>
        </w:rPr>
        <w:fldChar w:fldCharType="end"/>
      </w:r>
      <w:bookmarkEnd w:id="0"/>
      <w:r>
        <w:t xml:space="preserve"> </w:t>
      </w:r>
    </w:p>
    <w:sectPr w:rsidR="004D309B" w:rsidRPr="002F3AE3" w:rsidSect="00303134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078" w:right="849" w:bottom="25" w:left="993" w:header="0" w:footer="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E3C6" w14:textId="77777777" w:rsidR="00B55B07" w:rsidRDefault="00B55B07">
      <w:pPr>
        <w:spacing w:after="0" w:line="240" w:lineRule="auto"/>
      </w:pPr>
      <w:r>
        <w:separator/>
      </w:r>
    </w:p>
  </w:endnote>
  <w:endnote w:type="continuationSeparator" w:id="0">
    <w:p w14:paraId="6FB7E3C7" w14:textId="77777777" w:rsidR="00B55B07" w:rsidRDefault="00B5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1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7E3C8" w14:textId="77777777" w:rsidR="004D309B" w:rsidRPr="00CB4C13" w:rsidRDefault="004D309B" w:rsidP="009B3667">
        <w:pPr>
          <w:pStyle w:val="Footerborderabove"/>
          <w:spacing w:after="120"/>
        </w:pPr>
        <w:r>
          <w:t>Brain Cancer</w:t>
        </w:r>
      </w:p>
      <w:p w14:paraId="6FB7E3C9" w14:textId="77777777" w:rsidR="004D309B" w:rsidRPr="009B3667" w:rsidRDefault="004D309B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E3CC" w14:textId="0A29F36F" w:rsidR="004D309B" w:rsidRDefault="004D309B" w:rsidP="00A0121B">
    <w:pPr>
      <w:pStyle w:val="Footer"/>
      <w:tabs>
        <w:tab w:val="left" w:pos="812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959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7E3CF" w14:textId="77777777" w:rsidR="00A072DF" w:rsidRPr="00CB4C13" w:rsidRDefault="00034884" w:rsidP="009B3667">
        <w:pPr>
          <w:pStyle w:val="Footerborderabove"/>
          <w:spacing w:after="120"/>
        </w:pPr>
        <w:r w:rsidRPr="00D91F4A">
          <w:rPr>
            <w:highlight w:val="yellow"/>
          </w:rPr>
          <w:t>INSERT TITLE</w:t>
        </w:r>
      </w:p>
      <w:p w14:paraId="6FB7E3D0" w14:textId="77777777" w:rsidR="00A072DF" w:rsidRPr="009B3667" w:rsidRDefault="00034884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E3D1" w14:textId="77777777" w:rsidR="00A072DF" w:rsidRPr="00A072DF" w:rsidRDefault="00D40C2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7E3C4" w14:textId="77777777" w:rsidR="00B55B07" w:rsidRDefault="00B55B07">
      <w:pPr>
        <w:spacing w:after="0" w:line="240" w:lineRule="auto"/>
      </w:pPr>
      <w:r>
        <w:separator/>
      </w:r>
    </w:p>
  </w:footnote>
  <w:footnote w:type="continuationSeparator" w:id="0">
    <w:p w14:paraId="6FB7E3C5" w14:textId="77777777" w:rsidR="00B55B07" w:rsidRDefault="00B5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E3CA" w14:textId="77777777" w:rsidR="004D309B" w:rsidRDefault="004D309B" w:rsidP="009B3667">
    <w:pPr>
      <w:pStyle w:val="Header"/>
      <w:ind w:left="-1134"/>
    </w:pPr>
    <w:r>
      <w:rPr>
        <w:noProof/>
      </w:rPr>
      <w:drawing>
        <wp:inline distT="0" distB="0" distL="0" distR="0" wp14:anchorId="6FB7E3D2" wp14:editId="6FB7E3D3">
          <wp:extent cx="7560000" cy="1584000"/>
          <wp:effectExtent l="0" t="0" r="3175" b="0"/>
          <wp:docPr id="14" name="Picture 14" descr="Austalian Government Department of Health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E3CD" w14:textId="77777777" w:rsidR="00A072DF" w:rsidRDefault="00D40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E3CE" w14:textId="77777777" w:rsidR="00A072DF" w:rsidRDefault="00D40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7"/>
    <w:rsid w:val="00003743"/>
    <w:rsid w:val="00023160"/>
    <w:rsid w:val="00034884"/>
    <w:rsid w:val="00060D3C"/>
    <w:rsid w:val="00061B97"/>
    <w:rsid w:val="00067456"/>
    <w:rsid w:val="001B3443"/>
    <w:rsid w:val="001C5A61"/>
    <w:rsid w:val="002659B1"/>
    <w:rsid w:val="0027126F"/>
    <w:rsid w:val="002E4583"/>
    <w:rsid w:val="002F3AE3"/>
    <w:rsid w:val="0030786C"/>
    <w:rsid w:val="00352054"/>
    <w:rsid w:val="003B3091"/>
    <w:rsid w:val="003D17F9"/>
    <w:rsid w:val="003F77B5"/>
    <w:rsid w:val="00420551"/>
    <w:rsid w:val="004611FB"/>
    <w:rsid w:val="0046435D"/>
    <w:rsid w:val="004867E2"/>
    <w:rsid w:val="004B64EF"/>
    <w:rsid w:val="004C4835"/>
    <w:rsid w:val="004D009D"/>
    <w:rsid w:val="004D309B"/>
    <w:rsid w:val="004F0E2A"/>
    <w:rsid w:val="00502643"/>
    <w:rsid w:val="00524299"/>
    <w:rsid w:val="00534345"/>
    <w:rsid w:val="006A21EA"/>
    <w:rsid w:val="006B556E"/>
    <w:rsid w:val="00774908"/>
    <w:rsid w:val="007A22C1"/>
    <w:rsid w:val="007D2BD8"/>
    <w:rsid w:val="007F796A"/>
    <w:rsid w:val="0080353C"/>
    <w:rsid w:val="008264EB"/>
    <w:rsid w:val="00881E45"/>
    <w:rsid w:val="00914C19"/>
    <w:rsid w:val="00A13FA1"/>
    <w:rsid w:val="00A4512D"/>
    <w:rsid w:val="00A57FD3"/>
    <w:rsid w:val="00A705AF"/>
    <w:rsid w:val="00AA4224"/>
    <w:rsid w:val="00AB10E7"/>
    <w:rsid w:val="00AD2141"/>
    <w:rsid w:val="00B17C66"/>
    <w:rsid w:val="00B42851"/>
    <w:rsid w:val="00B55B07"/>
    <w:rsid w:val="00B721AB"/>
    <w:rsid w:val="00B82937"/>
    <w:rsid w:val="00BB1C4E"/>
    <w:rsid w:val="00C200F4"/>
    <w:rsid w:val="00C869A2"/>
    <w:rsid w:val="00C91E00"/>
    <w:rsid w:val="00CA47BA"/>
    <w:rsid w:val="00CB5B1A"/>
    <w:rsid w:val="00CE0E61"/>
    <w:rsid w:val="00D15EC8"/>
    <w:rsid w:val="00D17E20"/>
    <w:rsid w:val="00D91C0E"/>
    <w:rsid w:val="00DF06F1"/>
    <w:rsid w:val="00E465C2"/>
    <w:rsid w:val="00E946ED"/>
    <w:rsid w:val="00EA5773"/>
    <w:rsid w:val="00EB0045"/>
    <w:rsid w:val="00EE6C26"/>
    <w:rsid w:val="00F42D4C"/>
    <w:rsid w:val="00F50E8C"/>
    <w:rsid w:val="00F64FA2"/>
    <w:rsid w:val="00FA127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7E3B2"/>
  <w15:docId w15:val="{85DB89F7-FF4E-42EA-8F1F-6FC6512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908"/>
    <w:pPr>
      <w:spacing w:after="200" w:line="300" w:lineRule="auto"/>
    </w:pPr>
    <w:rPr>
      <w:rFonts w:ascii="Arial" w:eastAsiaTheme="majorEastAsia" w:hAnsi="Arial" w:cs="Arial"/>
      <w:sz w:val="22"/>
    </w:rPr>
  </w:style>
  <w:style w:type="paragraph" w:styleId="Heading1">
    <w:name w:val="heading 1"/>
    <w:basedOn w:val="Normal"/>
    <w:next w:val="Normal"/>
    <w:qFormat/>
    <w:rsid w:val="00774908"/>
    <w:pPr>
      <w:pBdr>
        <w:left w:val="single" w:sz="48" w:space="8" w:color="005CAB"/>
      </w:pBdr>
      <w:spacing w:before="120" w:after="120"/>
      <w:ind w:left="284"/>
      <w:outlineLvl w:val="0"/>
    </w:pPr>
    <w:rPr>
      <w:bCs/>
      <w:caps/>
      <w:color w:val="000000" w:themeColor="text1"/>
      <w:sz w:val="32"/>
    </w:rPr>
  </w:style>
  <w:style w:type="paragraph" w:styleId="Heading2">
    <w:name w:val="heading 2"/>
    <w:basedOn w:val="Normal"/>
    <w:next w:val="Normal"/>
    <w:qFormat/>
    <w:rsid w:val="00774908"/>
    <w:pPr>
      <w:spacing w:before="300" w:after="100" w:line="271" w:lineRule="auto"/>
      <w:outlineLvl w:val="1"/>
    </w:pPr>
    <w:rPr>
      <w:rFonts w:eastAsia="Times New Roman"/>
      <w:b/>
      <w:color w:val="005CAB"/>
      <w:sz w:val="24"/>
      <w:szCs w:val="28"/>
      <w:lang w:val="en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B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0E7"/>
    <w:rPr>
      <w:rFonts w:ascii="Arial" w:eastAsiaTheme="majorEastAsia" w:hAnsi="Arial" w:cs="Arial"/>
      <w:sz w:val="21"/>
    </w:rPr>
  </w:style>
  <w:style w:type="paragraph" w:styleId="Footer">
    <w:name w:val="footer"/>
    <w:basedOn w:val="Normal"/>
    <w:link w:val="FooterChar"/>
    <w:uiPriority w:val="99"/>
    <w:rsid w:val="00AB10E7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AB10E7"/>
    <w:rPr>
      <w:rFonts w:ascii="Arial" w:eastAsiaTheme="majorEastAsia" w:hAnsi="Arial" w:cs="Arial"/>
      <w:sz w:val="19"/>
    </w:rPr>
  </w:style>
  <w:style w:type="paragraph" w:customStyle="1" w:styleId="Boxshadedcolourbackground">
    <w:name w:val="Box shaded colour background"/>
    <w:basedOn w:val="Normal"/>
    <w:qFormat/>
    <w:rsid w:val="00774908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2F1FF"/>
      <w:spacing w:before="300" w:line="276" w:lineRule="auto"/>
      <w:ind w:left="170" w:right="170"/>
      <w:jc w:val="center"/>
    </w:pPr>
    <w:rPr>
      <w:rFonts w:eastAsia="Calibri" w:cs="Times New Roman"/>
      <w:bCs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AB10E7"/>
    <w:pPr>
      <w:pBdr>
        <w:top w:val="single" w:sz="8" w:space="6" w:color="005CAB"/>
      </w:pBdr>
    </w:pPr>
  </w:style>
  <w:style w:type="character" w:styleId="Hyperlink">
    <w:name w:val="Hyperlink"/>
    <w:basedOn w:val="DefaultParagraphFont"/>
    <w:uiPriority w:val="99"/>
    <w:unhideWhenUsed/>
    <w:rsid w:val="00AB10E7"/>
    <w:rPr>
      <w:color w:val="0000FF"/>
      <w:u w:val="single"/>
    </w:rPr>
  </w:style>
  <w:style w:type="character" w:styleId="CommentReference">
    <w:name w:val="annotation reference"/>
    <w:basedOn w:val="DefaultParagraphFont"/>
    <w:rsid w:val="00524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2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4299"/>
    <w:rPr>
      <w:rFonts w:ascii="Arial" w:eastAsiaTheme="majorEastAsia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74908"/>
    <w:pPr>
      <w:spacing w:before="240" w:after="120"/>
    </w:pPr>
    <w:rPr>
      <w:bCs/>
      <w:sz w:val="22"/>
    </w:rPr>
  </w:style>
  <w:style w:type="character" w:customStyle="1" w:styleId="CommentSubjectChar">
    <w:name w:val="Comment Subject Char"/>
    <w:basedOn w:val="CommentTextChar"/>
    <w:link w:val="CommentSubject"/>
    <w:rsid w:val="00774908"/>
    <w:rPr>
      <w:rFonts w:ascii="Arial" w:eastAsiaTheme="majorEastAsia" w:hAnsi="Arial" w:cs="Arial"/>
      <w:bCs/>
      <w:sz w:val="22"/>
    </w:rPr>
  </w:style>
  <w:style w:type="paragraph" w:styleId="Revision">
    <w:name w:val="Revision"/>
    <w:hidden/>
    <w:uiPriority w:val="99"/>
    <w:semiHidden/>
    <w:rsid w:val="00524299"/>
    <w:rPr>
      <w:rFonts w:ascii="Arial" w:eastAsiaTheme="majorEastAsia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6" ma:contentTypeDescription="Create a new document." ma:contentTypeScope="" ma:versionID="e482245974c2dba785d0489369650645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4484ebf22f387b83935ca261e6acfa51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"/>
          <xsd:enumeration value="NST"/>
          <xsd:enumeration value="Choic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Props1.xml><?xml version="1.0" encoding="utf-8"?>
<ds:datastoreItem xmlns:ds="http://schemas.openxmlformats.org/officeDocument/2006/customXml" ds:itemID="{85928BC0-2856-4B73-928F-29D6524E4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D6A58-1C3C-4CDF-A3E3-256A23F64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01BC3-FD84-4663-B4B2-389008D65AED}">
  <ds:schemaRefs>
    <ds:schemaRef ds:uri="http://schemas.microsoft.com/office/infopath/2007/PartnerControls"/>
    <ds:schemaRef ds:uri="839094c7-44eb-41ba-bf13-17cd8e527726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f0ad07-0ce2-4345-92b0-b87809ef53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Guaranteeing Medicare - Medical Benefits Schedule review - Gynaecology services</vt:lpstr>
    </vt:vector>
  </TitlesOfParts>
  <Company>Dept Health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Guaranteeing Medicare - Medical Benefits Schedule review - Gynaecology services</dc:title>
  <dc:subject>Medicare</dc:subject>
  <dc:creator>Australian Government Department of Health</dc:creator>
  <cp:keywords>MBS; Medical Benefits Schedule review; Gynaecology; Women's health</cp:keywords>
  <cp:lastModifiedBy>MASCHKE, Elvia</cp:lastModifiedBy>
  <cp:revision>2</cp:revision>
  <cp:lastPrinted>2017-08-04T04:32:00Z</cp:lastPrinted>
  <dcterms:created xsi:type="dcterms:W3CDTF">2021-05-04T00:48:00Z</dcterms:created>
  <dcterms:modified xsi:type="dcterms:W3CDTF">2021-05-04T00:48:00Z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