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F1FD2" w14:textId="77777777" w:rsidR="00596268" w:rsidRPr="00F42FAF" w:rsidRDefault="00596268" w:rsidP="00596268">
      <w:pPr>
        <w:tabs>
          <w:tab w:val="left" w:pos="2550"/>
        </w:tabs>
        <w:spacing w:before="480"/>
        <w:jc w:val="center"/>
        <w:rPr>
          <w:rFonts w:cs="Arial"/>
          <w:b/>
          <w:color w:val="3F4A75" w:themeColor="accent1"/>
          <w:szCs w:val="22"/>
        </w:rPr>
      </w:pPr>
    </w:p>
    <w:p w14:paraId="56746A58" w14:textId="77777777" w:rsidR="00596268" w:rsidRPr="00F42FAF" w:rsidRDefault="00596268" w:rsidP="00596268">
      <w:pPr>
        <w:tabs>
          <w:tab w:val="left" w:pos="2550"/>
        </w:tabs>
        <w:spacing w:before="480"/>
        <w:jc w:val="center"/>
        <w:rPr>
          <w:rFonts w:cs="Arial"/>
          <w:b/>
          <w:color w:val="3F4A75" w:themeColor="accent1"/>
          <w:szCs w:val="22"/>
        </w:rPr>
      </w:pPr>
    </w:p>
    <w:p w14:paraId="4EDEAEE5" w14:textId="66E7300C" w:rsidR="009B3975" w:rsidRDefault="009B3975" w:rsidP="00596268">
      <w:pPr>
        <w:tabs>
          <w:tab w:val="left" w:pos="2550"/>
        </w:tabs>
        <w:spacing w:before="480"/>
        <w:jc w:val="center"/>
        <w:rPr>
          <w:rFonts w:cs="Arial"/>
          <w:b/>
          <w:iCs/>
          <w:color w:val="3F4A75" w:themeColor="accent1"/>
          <w:szCs w:val="22"/>
        </w:rPr>
      </w:pPr>
      <w:r w:rsidRPr="009B3975">
        <w:rPr>
          <w:rFonts w:cs="Arial"/>
          <w:b/>
          <w:iCs/>
          <w:color w:val="3F4A75" w:themeColor="accent1"/>
          <w:szCs w:val="22"/>
        </w:rPr>
        <w:t xml:space="preserve">Phase 1b </w:t>
      </w:r>
      <w:r>
        <w:rPr>
          <w:rFonts w:cs="Arial"/>
          <w:b/>
          <w:iCs/>
          <w:color w:val="3F4A75" w:themeColor="accent1"/>
          <w:szCs w:val="22"/>
        </w:rPr>
        <w:t>o</w:t>
      </w:r>
      <w:r w:rsidRPr="009B3975">
        <w:rPr>
          <w:rFonts w:cs="Arial"/>
          <w:b/>
          <w:iCs/>
          <w:color w:val="3F4A75" w:themeColor="accent1"/>
          <w:szCs w:val="22"/>
        </w:rPr>
        <w:t xml:space="preserve">f </w:t>
      </w:r>
      <w:r>
        <w:rPr>
          <w:rFonts w:cs="Arial"/>
          <w:b/>
          <w:iCs/>
          <w:color w:val="3F4A75" w:themeColor="accent1"/>
          <w:szCs w:val="22"/>
        </w:rPr>
        <w:t>t</w:t>
      </w:r>
      <w:r w:rsidRPr="009B3975">
        <w:rPr>
          <w:rFonts w:cs="Arial"/>
          <w:b/>
          <w:iCs/>
          <w:color w:val="3F4A75" w:themeColor="accent1"/>
          <w:szCs w:val="22"/>
        </w:rPr>
        <w:t xml:space="preserve">he Covid-19 Vaccine Strategy </w:t>
      </w:r>
    </w:p>
    <w:p w14:paraId="0355EE6B" w14:textId="4AF90877" w:rsidR="009B3975" w:rsidRPr="009B3975" w:rsidRDefault="009B3975" w:rsidP="009B3975">
      <w:pPr>
        <w:tabs>
          <w:tab w:val="left" w:pos="2550"/>
        </w:tabs>
        <w:spacing w:before="480"/>
        <w:jc w:val="center"/>
        <w:rPr>
          <w:rFonts w:cs="Arial"/>
          <w:color w:val="3F4A75" w:themeColor="accent1"/>
          <w:szCs w:val="22"/>
        </w:rPr>
      </w:pPr>
      <w:r w:rsidRPr="009B3975">
        <w:rPr>
          <w:rFonts w:cs="Arial"/>
          <w:color w:val="3F4A75" w:themeColor="accent1"/>
          <w:szCs w:val="22"/>
        </w:rPr>
        <w:t>Update 1 to the implementation of the COV</w:t>
      </w:r>
      <w:bookmarkStart w:id="0" w:name="_GoBack"/>
      <w:bookmarkEnd w:id="0"/>
      <w:r w:rsidRPr="009B3975">
        <w:rPr>
          <w:rFonts w:cs="Arial"/>
          <w:color w:val="3F4A75" w:themeColor="accent1"/>
          <w:szCs w:val="22"/>
        </w:rPr>
        <w:t>ID-19 Vaccine Strategy Privacy Impact Assessment</w:t>
      </w:r>
    </w:p>
    <w:p w14:paraId="09773F38" w14:textId="77777777" w:rsidR="00596268" w:rsidRPr="00F42FAF" w:rsidRDefault="00596268" w:rsidP="00596268">
      <w:pPr>
        <w:tabs>
          <w:tab w:val="left" w:pos="2550"/>
        </w:tabs>
        <w:spacing w:before="480"/>
        <w:jc w:val="center"/>
        <w:rPr>
          <w:rFonts w:cs="Arial"/>
          <w:color w:val="3F4A75" w:themeColor="accent1"/>
          <w:szCs w:val="22"/>
        </w:rPr>
      </w:pPr>
      <w:r w:rsidRPr="00F42FAF">
        <w:rPr>
          <w:rFonts w:cs="Arial"/>
          <w:color w:val="3F4A75" w:themeColor="accent1"/>
          <w:szCs w:val="22"/>
        </w:rPr>
        <w:t xml:space="preserve"> </w:t>
      </w:r>
      <w:r w:rsidR="00AA038B" w:rsidRPr="00F42FAF">
        <w:rPr>
          <w:rFonts w:cs="Arial"/>
          <w:color w:val="3F4A75" w:themeColor="accent1"/>
          <w:szCs w:val="22"/>
        </w:rPr>
        <w:t xml:space="preserve">Agency </w:t>
      </w:r>
      <w:r w:rsidRPr="00F42FAF">
        <w:rPr>
          <w:rFonts w:cs="Arial"/>
          <w:color w:val="3F4A75" w:themeColor="accent1"/>
          <w:szCs w:val="22"/>
        </w:rPr>
        <w:t>Response</w:t>
      </w:r>
    </w:p>
    <w:p w14:paraId="3EC0F400" w14:textId="77777777" w:rsidR="00DF66E4" w:rsidRPr="00F42FAF" w:rsidRDefault="00DF66E4" w:rsidP="00596268">
      <w:pPr>
        <w:tabs>
          <w:tab w:val="left" w:pos="2550"/>
        </w:tabs>
        <w:spacing w:before="480"/>
        <w:jc w:val="center"/>
        <w:rPr>
          <w:rFonts w:cs="Arial"/>
          <w:color w:val="3F4A75" w:themeColor="accent1"/>
          <w:szCs w:val="22"/>
        </w:rPr>
      </w:pPr>
    </w:p>
    <w:p w14:paraId="0B5D87BC" w14:textId="77777777" w:rsidR="00F82E4E" w:rsidRPr="00F42FAF" w:rsidRDefault="00F82E4E" w:rsidP="00DF66E4">
      <w:pPr>
        <w:tabs>
          <w:tab w:val="left" w:pos="2550"/>
        </w:tabs>
        <w:jc w:val="center"/>
        <w:rPr>
          <w:rFonts w:cs="Arial"/>
          <w:color w:val="3F4A75" w:themeColor="accent1"/>
          <w:szCs w:val="22"/>
        </w:rPr>
      </w:pPr>
      <w:r w:rsidRPr="00F42FAF">
        <w:rPr>
          <w:rFonts w:cs="Arial"/>
          <w:color w:val="3F4A75" w:themeColor="accent1"/>
          <w:szCs w:val="22"/>
        </w:rPr>
        <w:t xml:space="preserve">Department of </w:t>
      </w:r>
      <w:r w:rsidR="00596268" w:rsidRPr="00F42FAF">
        <w:rPr>
          <w:rFonts w:cs="Arial"/>
          <w:color w:val="3F4A75" w:themeColor="accent1"/>
          <w:szCs w:val="22"/>
        </w:rPr>
        <w:t>Health</w:t>
      </w:r>
    </w:p>
    <w:p w14:paraId="1E2CE1B5" w14:textId="77777777" w:rsidR="00DF66E4" w:rsidRPr="00F42FAF" w:rsidRDefault="00DF66E4" w:rsidP="00DF66E4">
      <w:pPr>
        <w:tabs>
          <w:tab w:val="left" w:pos="2550"/>
        </w:tabs>
        <w:jc w:val="center"/>
        <w:rPr>
          <w:rFonts w:cs="Arial"/>
          <w:color w:val="3F4A75" w:themeColor="accent1"/>
          <w:szCs w:val="22"/>
        </w:rPr>
      </w:pPr>
    </w:p>
    <w:p w14:paraId="3ADBAF40" w14:textId="77777777" w:rsidR="00DF66E4" w:rsidRPr="00F42FAF" w:rsidRDefault="00DF66E4">
      <w:pPr>
        <w:rPr>
          <w:rFonts w:cs="Arial"/>
          <w:color w:val="3F4A75" w:themeColor="accent1"/>
          <w:szCs w:val="22"/>
        </w:rPr>
      </w:pPr>
      <w:r w:rsidRPr="00F42FAF">
        <w:rPr>
          <w:rFonts w:cs="Arial"/>
          <w:color w:val="3F4A75" w:themeColor="accent1"/>
          <w:szCs w:val="22"/>
        </w:rPr>
        <w:br w:type="page"/>
      </w:r>
    </w:p>
    <w:p w14:paraId="18DF0391" w14:textId="77777777" w:rsidR="00DF66E4" w:rsidRPr="00F42FAF" w:rsidRDefault="00DF66E4" w:rsidP="00DF66E4">
      <w:pPr>
        <w:tabs>
          <w:tab w:val="left" w:pos="2550"/>
        </w:tabs>
        <w:jc w:val="center"/>
        <w:rPr>
          <w:rFonts w:cs="Arial"/>
          <w:color w:val="3F4A75" w:themeColor="accent1"/>
          <w:szCs w:val="22"/>
        </w:rPr>
        <w:sectPr w:rsidR="00DF66E4" w:rsidRPr="00F42FAF" w:rsidSect="00D45D94">
          <w:headerReference w:type="first" r:id="rId11"/>
          <w:footerReference w:type="first" r:id="rId12"/>
          <w:type w:val="continuous"/>
          <w:pgSz w:w="11906" w:h="16838"/>
          <w:pgMar w:top="1701" w:right="1418" w:bottom="1418" w:left="1418" w:header="850" w:footer="709" w:gutter="0"/>
          <w:cols w:space="708"/>
          <w:titlePg/>
          <w:docGrid w:linePitch="360"/>
        </w:sectPr>
      </w:pPr>
    </w:p>
    <w:p w14:paraId="3E9898EF" w14:textId="77777777" w:rsidR="00596268" w:rsidRPr="00F42FAF" w:rsidRDefault="00596268" w:rsidP="00596268">
      <w:pPr>
        <w:autoSpaceDE w:val="0"/>
        <w:autoSpaceDN w:val="0"/>
        <w:adjustRightInd w:val="0"/>
        <w:spacing w:before="240" w:after="240"/>
        <w:rPr>
          <w:rFonts w:cs="Arial"/>
          <w:b/>
          <w:color w:val="000000"/>
          <w:szCs w:val="22"/>
        </w:rPr>
      </w:pPr>
      <w:r w:rsidRPr="00F42FAF">
        <w:rPr>
          <w:rFonts w:cs="Arial"/>
          <w:b/>
          <w:color w:val="000000"/>
          <w:szCs w:val="22"/>
        </w:rPr>
        <w:lastRenderedPageBreak/>
        <w:t xml:space="preserve">Copyright </w:t>
      </w:r>
    </w:p>
    <w:p w14:paraId="7F2FD8B2" w14:textId="212C6972" w:rsidR="00596268" w:rsidRPr="00F42FAF" w:rsidRDefault="007A5C4A" w:rsidP="00596268">
      <w:pPr>
        <w:autoSpaceDE w:val="0"/>
        <w:autoSpaceDN w:val="0"/>
        <w:adjustRightInd w:val="0"/>
        <w:spacing w:after="240"/>
        <w:rPr>
          <w:rFonts w:cs="Arial"/>
          <w:szCs w:val="22"/>
        </w:rPr>
      </w:pPr>
      <w:r w:rsidRPr="00F42FAF">
        <w:rPr>
          <w:rFonts w:cs="Arial"/>
          <w:szCs w:val="22"/>
        </w:rPr>
        <w:t>© 2021</w:t>
      </w:r>
      <w:r w:rsidR="00596268" w:rsidRPr="00F42FAF">
        <w:rPr>
          <w:rFonts w:cs="Arial"/>
          <w:szCs w:val="22"/>
        </w:rPr>
        <w:t xml:space="preserve"> Commonwealth of Australia as represented by the Department of Health </w:t>
      </w:r>
    </w:p>
    <w:p w14:paraId="699916A1" w14:textId="77777777" w:rsidR="00596268" w:rsidRPr="00F42FAF" w:rsidRDefault="00596268" w:rsidP="00596268">
      <w:pPr>
        <w:autoSpaceDE w:val="0"/>
        <w:autoSpaceDN w:val="0"/>
        <w:adjustRightInd w:val="0"/>
        <w:spacing w:after="240"/>
        <w:jc w:val="both"/>
        <w:rPr>
          <w:rFonts w:cs="Arial"/>
          <w:szCs w:val="22"/>
          <w:lang w:eastAsia="en-AU"/>
        </w:rPr>
      </w:pPr>
      <w:r w:rsidRPr="00F42FAF">
        <w:rPr>
          <w:rFonts w:cs="Arial"/>
          <w:szCs w:val="22"/>
          <w:lang w:eastAsia="en-AU"/>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14:paraId="310602F8" w14:textId="77777777" w:rsidR="00596268" w:rsidRPr="00F42FAF" w:rsidRDefault="00596268" w:rsidP="00BB758A">
      <w:pPr>
        <w:numPr>
          <w:ilvl w:val="0"/>
          <w:numId w:val="7"/>
        </w:numPr>
        <w:autoSpaceDE w:val="0"/>
        <w:autoSpaceDN w:val="0"/>
        <w:adjustRightInd w:val="0"/>
        <w:spacing w:after="240"/>
        <w:ind w:hanging="720"/>
        <w:jc w:val="both"/>
        <w:rPr>
          <w:rFonts w:cs="Arial"/>
          <w:szCs w:val="22"/>
          <w:lang w:eastAsia="en-AU"/>
        </w:rPr>
      </w:pPr>
      <w:r w:rsidRPr="00F42FAF">
        <w:rPr>
          <w:rFonts w:cs="Arial"/>
          <w:szCs w:val="22"/>
          <w:lang w:eastAsia="en-AU"/>
        </w:rPr>
        <w:t>do not use the copy or reproduction for any commercial purpose; and</w:t>
      </w:r>
    </w:p>
    <w:p w14:paraId="4EACADD3" w14:textId="77777777" w:rsidR="00596268" w:rsidRPr="00F42FAF" w:rsidRDefault="00E1501F" w:rsidP="00BB758A">
      <w:pPr>
        <w:numPr>
          <w:ilvl w:val="0"/>
          <w:numId w:val="7"/>
        </w:numPr>
        <w:autoSpaceDE w:val="0"/>
        <w:autoSpaceDN w:val="0"/>
        <w:adjustRightInd w:val="0"/>
        <w:spacing w:after="240"/>
        <w:ind w:hanging="720"/>
        <w:jc w:val="both"/>
        <w:rPr>
          <w:rFonts w:cs="Arial"/>
          <w:szCs w:val="22"/>
          <w:lang w:eastAsia="en-AU"/>
        </w:rPr>
      </w:pPr>
      <w:r w:rsidRPr="00F42FAF">
        <w:rPr>
          <w:rFonts w:cs="Arial"/>
          <w:szCs w:val="22"/>
          <w:lang w:eastAsia="en-AU"/>
        </w:rPr>
        <w:t>Retain</w:t>
      </w:r>
      <w:r w:rsidR="00596268" w:rsidRPr="00F42FAF">
        <w:rPr>
          <w:rFonts w:cs="Arial"/>
          <w:szCs w:val="22"/>
          <w:lang w:eastAsia="en-AU"/>
        </w:rPr>
        <w:t xml:space="preserve"> this copyright notice and all disclaimer notices as part of that copy or reproduction.</w:t>
      </w:r>
    </w:p>
    <w:p w14:paraId="5195474D" w14:textId="77777777" w:rsidR="00596268" w:rsidRPr="00F42FAF" w:rsidRDefault="00596268" w:rsidP="00596268">
      <w:pPr>
        <w:autoSpaceDE w:val="0"/>
        <w:autoSpaceDN w:val="0"/>
        <w:adjustRightInd w:val="0"/>
        <w:spacing w:after="240"/>
        <w:jc w:val="both"/>
        <w:rPr>
          <w:rFonts w:cs="Arial"/>
          <w:szCs w:val="22"/>
          <w:lang w:eastAsia="en-AU"/>
        </w:rPr>
      </w:pPr>
      <w:r w:rsidRPr="00F42FAF">
        <w:rPr>
          <w:rFonts w:cs="Arial"/>
          <w:szCs w:val="22"/>
          <w:lang w:eastAsia="en-AU"/>
        </w:rPr>
        <w:t xml:space="preserve">Apart from rights as permitted by the </w:t>
      </w:r>
      <w:r w:rsidRPr="00F42FAF">
        <w:rPr>
          <w:rFonts w:cs="Arial"/>
          <w:i/>
          <w:iCs/>
          <w:szCs w:val="22"/>
          <w:lang w:eastAsia="en-AU"/>
        </w:rPr>
        <w:t xml:space="preserve">Copyright Act 1968 </w:t>
      </w:r>
      <w:r w:rsidRPr="00F42FAF">
        <w:rPr>
          <w:rFonts w:cs="Arial"/>
          <w:iCs/>
          <w:szCs w:val="22"/>
          <w:lang w:eastAsia="en-AU"/>
        </w:rPr>
        <w:t>(Cth)</w:t>
      </w:r>
      <w:r w:rsidRPr="00F42FAF">
        <w:rPr>
          <w:rFonts w:cs="Arial"/>
          <w:i/>
          <w:iCs/>
          <w:szCs w:val="22"/>
          <w:lang w:eastAsia="en-AU"/>
        </w:rPr>
        <w:t xml:space="preserve"> </w:t>
      </w:r>
      <w:r w:rsidRPr="00F42FAF">
        <w:rPr>
          <w:rFonts w:cs="Arial"/>
          <w:szCs w:val="22"/>
          <w:lang w:eastAsia="en-AU"/>
        </w:rPr>
        <w:t>or allowed by this copyright notice</w:t>
      </w:r>
      <w:r w:rsidRPr="00F42FAF">
        <w:rPr>
          <w:rFonts w:cs="Arial"/>
          <w:i/>
          <w:iCs/>
          <w:szCs w:val="22"/>
          <w:lang w:eastAsia="en-AU"/>
        </w:rPr>
        <w:t xml:space="preserve">, </w:t>
      </w:r>
      <w:r w:rsidRPr="00F42FAF">
        <w:rPr>
          <w:rFonts w:cs="Arial"/>
          <w:szCs w:val="22"/>
          <w:lang w:eastAsia="en-AU"/>
        </w:rPr>
        <w:t>all other rights are reserved, including (but not limited to) all commercial rights.</w:t>
      </w:r>
    </w:p>
    <w:p w14:paraId="66DD3208" w14:textId="77777777" w:rsidR="00596268" w:rsidRPr="00F42FAF" w:rsidRDefault="00596268" w:rsidP="00596268">
      <w:pPr>
        <w:autoSpaceDE w:val="0"/>
        <w:autoSpaceDN w:val="0"/>
        <w:adjustRightInd w:val="0"/>
        <w:spacing w:after="240"/>
        <w:jc w:val="both"/>
        <w:rPr>
          <w:rFonts w:cs="Arial"/>
          <w:szCs w:val="22"/>
          <w:lang w:eastAsia="en-AU"/>
        </w:rPr>
      </w:pPr>
      <w:r w:rsidRPr="00F42FAF">
        <w:rPr>
          <w:rFonts w:cs="Arial"/>
          <w:szCs w:val="22"/>
          <w:lang w:eastAsia="en-AU"/>
        </w:rPr>
        <w:t>Requests and inquiries concerning reproduction and other rights to use are to be sent to:</w:t>
      </w:r>
    </w:p>
    <w:p w14:paraId="4ED54DAC" w14:textId="77777777" w:rsidR="00596268" w:rsidRPr="00F42FAF" w:rsidRDefault="00596268" w:rsidP="00596268">
      <w:pPr>
        <w:pStyle w:val="Paragraphtext"/>
        <w:spacing w:before="0" w:after="0"/>
        <w:rPr>
          <w:rFonts w:cs="Arial"/>
          <w:color w:val="auto"/>
          <w:sz w:val="22"/>
          <w:szCs w:val="22"/>
          <w:lang w:eastAsia="en-AU"/>
        </w:rPr>
      </w:pPr>
      <w:r w:rsidRPr="00F42FAF">
        <w:rPr>
          <w:rFonts w:cs="Arial"/>
          <w:color w:val="auto"/>
          <w:sz w:val="22"/>
          <w:szCs w:val="22"/>
          <w:lang w:eastAsia="en-AU"/>
        </w:rPr>
        <w:t xml:space="preserve">Communication Branch, </w:t>
      </w:r>
    </w:p>
    <w:p w14:paraId="6811A77C" w14:textId="77777777" w:rsidR="00596268" w:rsidRPr="00F42FAF" w:rsidRDefault="00596268" w:rsidP="00596268">
      <w:pPr>
        <w:pStyle w:val="Paragraphtext"/>
        <w:spacing w:before="0" w:after="0"/>
        <w:rPr>
          <w:rFonts w:cs="Arial"/>
          <w:color w:val="auto"/>
          <w:sz w:val="22"/>
          <w:szCs w:val="22"/>
          <w:lang w:eastAsia="en-AU"/>
        </w:rPr>
      </w:pPr>
      <w:r w:rsidRPr="00F42FAF">
        <w:rPr>
          <w:rFonts w:cs="Arial"/>
          <w:color w:val="auto"/>
          <w:sz w:val="22"/>
          <w:szCs w:val="22"/>
          <w:lang w:eastAsia="en-AU"/>
        </w:rPr>
        <w:t xml:space="preserve">Department of Health, </w:t>
      </w:r>
    </w:p>
    <w:p w14:paraId="08531E63" w14:textId="77777777" w:rsidR="00596268" w:rsidRPr="00F42FAF" w:rsidRDefault="00596268" w:rsidP="00596268">
      <w:pPr>
        <w:pStyle w:val="Paragraphtext"/>
        <w:spacing w:before="0" w:after="0"/>
        <w:rPr>
          <w:rFonts w:cs="Arial"/>
          <w:color w:val="auto"/>
          <w:sz w:val="22"/>
          <w:szCs w:val="22"/>
          <w:lang w:eastAsia="en-AU"/>
        </w:rPr>
      </w:pPr>
      <w:r w:rsidRPr="00F42FAF">
        <w:rPr>
          <w:rFonts w:cs="Arial"/>
          <w:color w:val="auto"/>
          <w:sz w:val="22"/>
          <w:szCs w:val="22"/>
          <w:lang w:eastAsia="en-AU"/>
        </w:rPr>
        <w:t xml:space="preserve">GPO Box 9848, </w:t>
      </w:r>
    </w:p>
    <w:p w14:paraId="77C16360" w14:textId="77777777" w:rsidR="00596268" w:rsidRPr="00F42FAF" w:rsidRDefault="00596268" w:rsidP="00596268">
      <w:pPr>
        <w:pStyle w:val="Paragraphtext"/>
        <w:spacing w:before="0" w:after="0"/>
        <w:rPr>
          <w:rFonts w:cs="Arial"/>
          <w:color w:val="auto"/>
          <w:sz w:val="22"/>
          <w:szCs w:val="22"/>
          <w:lang w:eastAsia="en-AU"/>
        </w:rPr>
      </w:pPr>
      <w:r w:rsidRPr="00F42FAF">
        <w:rPr>
          <w:rFonts w:cs="Arial"/>
          <w:color w:val="auto"/>
          <w:sz w:val="22"/>
          <w:szCs w:val="22"/>
          <w:lang w:eastAsia="en-AU"/>
        </w:rPr>
        <w:t xml:space="preserve">Canberra ACT 2601, </w:t>
      </w:r>
    </w:p>
    <w:p w14:paraId="510E488B" w14:textId="77777777" w:rsidR="00596268" w:rsidRPr="00F42FAF" w:rsidRDefault="00596268" w:rsidP="00DF66E4">
      <w:pPr>
        <w:pStyle w:val="Paragraphtext"/>
        <w:rPr>
          <w:rFonts w:cs="Arial"/>
          <w:bCs/>
          <w:color w:val="3F4A75"/>
          <w:kern w:val="28"/>
          <w:sz w:val="22"/>
          <w:szCs w:val="22"/>
        </w:rPr>
      </w:pPr>
      <w:r w:rsidRPr="00F42FAF">
        <w:rPr>
          <w:rFonts w:cs="Arial"/>
          <w:color w:val="auto"/>
          <w:sz w:val="22"/>
          <w:szCs w:val="22"/>
          <w:lang w:eastAsia="en-AU"/>
        </w:rPr>
        <w:t xml:space="preserve">or via </w:t>
      </w:r>
      <w:r w:rsidRPr="00F42FAF">
        <w:rPr>
          <w:rFonts w:cs="Arial"/>
          <w:color w:val="auto"/>
          <w:sz w:val="22"/>
          <w:szCs w:val="22"/>
          <w:lang w:eastAsia="en-AU"/>
        </w:rPr>
        <w:br/>
        <w:t xml:space="preserve">e-mail to copyright@health.gov.au. </w:t>
      </w:r>
    </w:p>
    <w:p w14:paraId="2C01E147" w14:textId="77777777" w:rsidR="000261B0" w:rsidRPr="00F42FAF" w:rsidRDefault="000261B0">
      <w:pPr>
        <w:rPr>
          <w:rFonts w:cs="Arial"/>
          <w:bCs/>
          <w:color w:val="3F4A75"/>
          <w:kern w:val="28"/>
          <w:szCs w:val="22"/>
        </w:rPr>
      </w:pPr>
      <w:r w:rsidRPr="00F42FAF">
        <w:rPr>
          <w:rFonts w:cs="Arial"/>
          <w:szCs w:val="22"/>
        </w:rPr>
        <w:br w:type="page"/>
      </w:r>
    </w:p>
    <w:p w14:paraId="5F2C2008" w14:textId="77777777" w:rsidR="00062223" w:rsidRPr="00F42FAF" w:rsidRDefault="00062223" w:rsidP="00062223">
      <w:pPr>
        <w:pStyle w:val="Heading1"/>
        <w:rPr>
          <w:sz w:val="22"/>
          <w:szCs w:val="22"/>
        </w:rPr>
      </w:pPr>
      <w:r w:rsidRPr="00F42FAF">
        <w:rPr>
          <w:sz w:val="22"/>
          <w:szCs w:val="22"/>
        </w:rPr>
        <w:lastRenderedPageBreak/>
        <w:t>Context</w:t>
      </w:r>
    </w:p>
    <w:p w14:paraId="3AD5B86F" w14:textId="5FE81C78" w:rsidR="00062223" w:rsidRPr="00F42FAF" w:rsidRDefault="00062223" w:rsidP="00062223">
      <w:pPr>
        <w:pStyle w:val="ListBullet"/>
        <w:numPr>
          <w:ilvl w:val="0"/>
          <w:numId w:val="0"/>
        </w:numPr>
        <w:rPr>
          <w:rFonts w:cs="Arial"/>
          <w:sz w:val="22"/>
          <w:szCs w:val="22"/>
        </w:rPr>
      </w:pPr>
      <w:r w:rsidRPr="00F42FAF">
        <w:rPr>
          <w:rFonts w:cs="Arial"/>
          <w:sz w:val="22"/>
          <w:szCs w:val="22"/>
        </w:rPr>
        <w:t>This document has been prepared by</w:t>
      </w:r>
      <w:r w:rsidR="009928B6" w:rsidRPr="00F42FAF">
        <w:rPr>
          <w:rFonts w:cs="Arial"/>
          <w:sz w:val="22"/>
          <w:szCs w:val="22"/>
        </w:rPr>
        <w:t xml:space="preserve"> the Department of Health (</w:t>
      </w:r>
      <w:r w:rsidR="009928B6" w:rsidRPr="00F42FAF">
        <w:rPr>
          <w:rFonts w:cs="Arial"/>
          <w:b/>
          <w:sz w:val="22"/>
          <w:szCs w:val="22"/>
        </w:rPr>
        <w:t>Health)</w:t>
      </w:r>
      <w:r w:rsidR="009928B6" w:rsidRPr="00F42FAF">
        <w:rPr>
          <w:rFonts w:cs="Arial"/>
          <w:sz w:val="22"/>
          <w:szCs w:val="22"/>
        </w:rPr>
        <w:t xml:space="preserve">.  </w:t>
      </w:r>
      <w:r w:rsidRPr="00F42FAF">
        <w:rPr>
          <w:rFonts w:cs="Arial"/>
          <w:sz w:val="22"/>
          <w:szCs w:val="22"/>
        </w:rPr>
        <w:t xml:space="preserve">It is intended to respond to the recommendations provided by Maddocks in their </w:t>
      </w:r>
      <w:r w:rsidR="00030F5C">
        <w:rPr>
          <w:rFonts w:cs="Arial"/>
          <w:sz w:val="22"/>
          <w:szCs w:val="22"/>
        </w:rPr>
        <w:t xml:space="preserve">Phase 1b Update to the implementation of the COVID-19 Vaccine Strategy implementation </w:t>
      </w:r>
      <w:r w:rsidRPr="00F42FAF">
        <w:rPr>
          <w:rFonts w:cs="Arial"/>
          <w:sz w:val="22"/>
          <w:szCs w:val="22"/>
        </w:rPr>
        <w:t>Privacy Impact Assessment (PIA)</w:t>
      </w:r>
      <w:r w:rsidR="00DF66E4" w:rsidRPr="00F42FAF">
        <w:rPr>
          <w:rFonts w:cs="Arial"/>
          <w:sz w:val="22"/>
          <w:szCs w:val="22"/>
        </w:rPr>
        <w:t xml:space="preserve"> Report dated </w:t>
      </w:r>
      <w:r w:rsidR="000D4B6E" w:rsidRPr="00AF139B">
        <w:rPr>
          <w:rFonts w:cs="Arial"/>
          <w:sz w:val="22"/>
          <w:szCs w:val="22"/>
        </w:rPr>
        <w:t xml:space="preserve">20 </w:t>
      </w:r>
      <w:r w:rsidR="002D7EAF">
        <w:rPr>
          <w:rFonts w:cs="Arial"/>
          <w:sz w:val="22"/>
          <w:szCs w:val="22"/>
        </w:rPr>
        <w:t>March</w:t>
      </w:r>
      <w:r w:rsidR="00AA3A4B" w:rsidRPr="00AF139B">
        <w:rPr>
          <w:rFonts w:cs="Arial"/>
          <w:sz w:val="22"/>
          <w:szCs w:val="22"/>
        </w:rPr>
        <w:t xml:space="preserve"> 2021</w:t>
      </w:r>
      <w:r w:rsidRPr="00AF139B">
        <w:rPr>
          <w:rFonts w:cs="Arial"/>
          <w:sz w:val="22"/>
          <w:szCs w:val="22"/>
        </w:rPr>
        <w:t>.</w:t>
      </w:r>
      <w:r w:rsidRPr="00F42FAF">
        <w:rPr>
          <w:rFonts w:cs="Arial"/>
          <w:sz w:val="22"/>
          <w:szCs w:val="22"/>
        </w:rPr>
        <w:t xml:space="preserve"> </w:t>
      </w:r>
    </w:p>
    <w:p w14:paraId="188BB8C9" w14:textId="540A3431" w:rsidR="00D21770" w:rsidRPr="00F42FAF" w:rsidRDefault="00D21770">
      <w:pPr>
        <w:rPr>
          <w:rFonts w:cs="Arial"/>
          <w:b/>
          <w:color w:val="000000" w:themeColor="text1"/>
          <w:szCs w:val="22"/>
          <w:lang w:val="en-US"/>
        </w:rPr>
      </w:pPr>
      <w:r w:rsidRPr="00F42FAF">
        <w:rPr>
          <w:rFonts w:cs="Arial"/>
          <w:szCs w:val="22"/>
        </w:rPr>
        <w:br w:type="page"/>
      </w:r>
    </w:p>
    <w:tbl>
      <w:tblPr>
        <w:tblStyle w:val="DepartmentofHealthtable"/>
        <w:tblW w:w="0" w:type="auto"/>
        <w:tblLook w:val="04A0" w:firstRow="1" w:lastRow="0" w:firstColumn="1" w:lastColumn="0" w:noHBand="0" w:noVBand="1"/>
      </w:tblPr>
      <w:tblGrid>
        <w:gridCol w:w="2407"/>
        <w:gridCol w:w="6098"/>
      </w:tblGrid>
      <w:tr w:rsidR="00F135DF" w:rsidRPr="004802DF" w14:paraId="1FA6B53F" w14:textId="77777777" w:rsidTr="001E33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3C6C76A6" w14:textId="77777777" w:rsidR="00F135DF" w:rsidRPr="004802DF" w:rsidRDefault="00F135DF" w:rsidP="001E3376">
            <w:pPr>
              <w:pStyle w:val="TableHeaderWhite"/>
              <w:rPr>
                <w:rFonts w:cs="Arial"/>
                <w:sz w:val="20"/>
                <w:szCs w:val="20"/>
              </w:rPr>
            </w:pPr>
            <w:r w:rsidRPr="004802DF">
              <w:rPr>
                <w:rFonts w:cs="Arial"/>
                <w:sz w:val="20"/>
                <w:szCs w:val="20"/>
              </w:rPr>
              <w:t xml:space="preserve">Maddocks Recommendation 1: </w:t>
            </w:r>
          </w:p>
        </w:tc>
        <w:tc>
          <w:tcPr>
            <w:tcW w:w="6098" w:type="dxa"/>
          </w:tcPr>
          <w:p w14:paraId="28109812" w14:textId="2C2CFAF4" w:rsidR="00F135DF" w:rsidRPr="004802DF" w:rsidRDefault="009B3975" w:rsidP="001E3376">
            <w:pPr>
              <w:pStyle w:val="TableHeader"/>
              <w:cnfStyle w:val="100000000000" w:firstRow="1" w:lastRow="0" w:firstColumn="0" w:lastColumn="0" w:oddVBand="0" w:evenVBand="0" w:oddHBand="0" w:evenHBand="0" w:firstRowFirstColumn="0" w:firstRowLastColumn="0" w:lastRowFirstColumn="0" w:lastRowLastColumn="0"/>
              <w:rPr>
                <w:rFonts w:cs="Arial"/>
                <w:sz w:val="20"/>
                <w:szCs w:val="20"/>
              </w:rPr>
            </w:pPr>
            <w:bookmarkStart w:id="1" w:name="_Ref67119630"/>
            <w:r w:rsidRPr="004802DF">
              <w:rPr>
                <w:rFonts w:cs="Arial"/>
                <w:sz w:val="20"/>
                <w:szCs w:val="20"/>
              </w:rPr>
              <w:t>Continued implementation of the Original PIA report recommendations</w:t>
            </w:r>
            <w:bookmarkEnd w:id="1"/>
          </w:p>
        </w:tc>
      </w:tr>
      <w:tr w:rsidR="00F135DF" w:rsidRPr="004802DF" w14:paraId="76B06684" w14:textId="77777777" w:rsidTr="001E3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gridSpan w:val="2"/>
          </w:tcPr>
          <w:p w14:paraId="79ED63D8" w14:textId="77777777" w:rsidR="009B3975" w:rsidRPr="004802DF" w:rsidRDefault="009B3975" w:rsidP="009B3975">
            <w:pPr>
              <w:spacing w:before="240" w:after="240"/>
              <w:rPr>
                <w:rFonts w:cs="Arial"/>
                <w:sz w:val="20"/>
                <w:szCs w:val="20"/>
              </w:rPr>
            </w:pPr>
            <w:r w:rsidRPr="004802DF">
              <w:rPr>
                <w:rFonts w:cs="Arial"/>
                <w:sz w:val="20"/>
                <w:szCs w:val="20"/>
              </w:rPr>
              <w:t xml:space="preserve">We </w:t>
            </w:r>
            <w:r w:rsidRPr="004802DF">
              <w:rPr>
                <w:rFonts w:cs="Arial"/>
                <w:b/>
                <w:sz w:val="20"/>
                <w:szCs w:val="20"/>
              </w:rPr>
              <w:t>recommend</w:t>
            </w:r>
            <w:r w:rsidRPr="004802DF">
              <w:rPr>
                <w:rFonts w:cs="Arial"/>
                <w:sz w:val="20"/>
                <w:szCs w:val="20"/>
              </w:rPr>
              <w:t xml:space="preserve"> that Health continue to work to implement the recommendations in the Original PIA report, as Health indicated it would do in its responses to those recommendations, during Phase 1b.  We particularly highlight the importance of:</w:t>
            </w:r>
          </w:p>
          <w:p w14:paraId="231C3F58" w14:textId="77777777" w:rsidR="009B3975" w:rsidRPr="004802DF" w:rsidRDefault="009B3975" w:rsidP="00BB758A">
            <w:pPr>
              <w:pStyle w:val="ListParagraph"/>
              <w:numPr>
                <w:ilvl w:val="0"/>
                <w:numId w:val="15"/>
              </w:numPr>
              <w:spacing w:before="240" w:after="240"/>
              <w:rPr>
                <w:rFonts w:cs="Arial"/>
                <w:sz w:val="20"/>
                <w:szCs w:val="20"/>
              </w:rPr>
            </w:pPr>
            <w:r w:rsidRPr="004802DF">
              <w:rPr>
                <w:rFonts w:cs="Arial"/>
                <w:sz w:val="20"/>
                <w:szCs w:val="20"/>
              </w:rPr>
              <w:t>Health continuing to adopt a ‘privacy by design’ approach, as Phase 1b and future Phases are rolled out (</w:t>
            </w:r>
            <w:r w:rsidRPr="004802DF">
              <w:rPr>
                <w:rFonts w:cs="Arial"/>
                <w:b/>
                <w:sz w:val="20"/>
                <w:szCs w:val="20"/>
              </w:rPr>
              <w:t>Recommendation 1</w:t>
            </w:r>
            <w:r w:rsidRPr="004802DF">
              <w:rPr>
                <w:rFonts w:cs="Arial"/>
                <w:sz w:val="20"/>
                <w:szCs w:val="20"/>
              </w:rPr>
              <w:t xml:space="preserve"> of the Original PIA report);</w:t>
            </w:r>
          </w:p>
          <w:p w14:paraId="0DB6DFC6" w14:textId="77777777" w:rsidR="009B3975" w:rsidRPr="004802DF" w:rsidRDefault="009B3975" w:rsidP="009B3975">
            <w:pPr>
              <w:pStyle w:val="ListParagraph"/>
              <w:spacing w:before="240" w:after="240"/>
              <w:rPr>
                <w:rFonts w:cs="Arial"/>
                <w:sz w:val="20"/>
                <w:szCs w:val="20"/>
              </w:rPr>
            </w:pPr>
          </w:p>
          <w:p w14:paraId="3BB36960" w14:textId="77777777" w:rsidR="009B3975" w:rsidRPr="004802DF" w:rsidRDefault="009B3975" w:rsidP="00BB758A">
            <w:pPr>
              <w:pStyle w:val="ListParagraph"/>
              <w:numPr>
                <w:ilvl w:val="0"/>
                <w:numId w:val="15"/>
              </w:numPr>
              <w:spacing w:before="240" w:after="240"/>
              <w:rPr>
                <w:rFonts w:cs="Arial"/>
                <w:sz w:val="20"/>
                <w:szCs w:val="20"/>
              </w:rPr>
            </w:pPr>
            <w:r w:rsidRPr="004802DF">
              <w:rPr>
                <w:rFonts w:cs="Arial"/>
                <w:sz w:val="20"/>
                <w:szCs w:val="20"/>
              </w:rPr>
              <w:t>Health continuing to ensure there is open and transparent communication about how personal information will be handled in connection with the Vaccine Strategy (</w:t>
            </w:r>
            <w:r w:rsidRPr="004802DF">
              <w:rPr>
                <w:rFonts w:cs="Arial"/>
                <w:b/>
                <w:sz w:val="20"/>
                <w:szCs w:val="20"/>
              </w:rPr>
              <w:t xml:space="preserve">Recommendation 2 </w:t>
            </w:r>
            <w:r w:rsidRPr="004802DF">
              <w:rPr>
                <w:rFonts w:cs="Arial"/>
                <w:sz w:val="20"/>
                <w:szCs w:val="20"/>
              </w:rPr>
              <w:t>of the Original PIA report);</w:t>
            </w:r>
            <w:r w:rsidRPr="004802DF">
              <w:rPr>
                <w:rFonts w:cs="Arial"/>
                <w:sz w:val="20"/>
                <w:szCs w:val="20"/>
              </w:rPr>
              <w:br/>
            </w:r>
          </w:p>
          <w:p w14:paraId="584BE743" w14:textId="77777777" w:rsidR="009B3975" w:rsidRPr="004802DF" w:rsidRDefault="009B3975" w:rsidP="00BB758A">
            <w:pPr>
              <w:pStyle w:val="ListParagraph"/>
              <w:numPr>
                <w:ilvl w:val="0"/>
                <w:numId w:val="15"/>
              </w:numPr>
              <w:spacing w:before="240" w:after="240"/>
              <w:rPr>
                <w:rFonts w:cs="Arial"/>
                <w:sz w:val="20"/>
                <w:szCs w:val="20"/>
              </w:rPr>
            </w:pPr>
            <w:r w:rsidRPr="004802DF">
              <w:rPr>
                <w:rFonts w:cs="Arial"/>
                <w:sz w:val="20"/>
                <w:szCs w:val="20"/>
              </w:rPr>
              <w:t>Health continuing to seek assurance (including from its legal advisers as appropriate) that the contractual or other administrative arrangements with Health’s Partners and other third parties impose suitable privacy obligations, including in relation to the protection and security of personal information (</w:t>
            </w:r>
            <w:r w:rsidRPr="004802DF">
              <w:rPr>
                <w:rFonts w:cs="Arial"/>
                <w:b/>
                <w:sz w:val="20"/>
                <w:szCs w:val="20"/>
              </w:rPr>
              <w:t>Recommendations 4 and 5</w:t>
            </w:r>
            <w:r w:rsidRPr="004802DF">
              <w:rPr>
                <w:rFonts w:cs="Arial"/>
                <w:sz w:val="20"/>
                <w:szCs w:val="20"/>
              </w:rPr>
              <w:t xml:space="preserve"> of the Original PIA report); and</w:t>
            </w:r>
          </w:p>
          <w:p w14:paraId="119EA403" w14:textId="77777777" w:rsidR="009B3975" w:rsidRPr="004802DF" w:rsidRDefault="009B3975" w:rsidP="009B3975">
            <w:pPr>
              <w:pStyle w:val="ListParagraph"/>
              <w:spacing w:before="240" w:after="240"/>
              <w:rPr>
                <w:rFonts w:cs="Arial"/>
                <w:sz w:val="20"/>
                <w:szCs w:val="20"/>
              </w:rPr>
            </w:pPr>
          </w:p>
          <w:p w14:paraId="1D3433B5" w14:textId="05210C16" w:rsidR="00F135DF" w:rsidRPr="004802DF" w:rsidRDefault="009B3975" w:rsidP="00BB758A">
            <w:pPr>
              <w:pStyle w:val="ListParagraph"/>
              <w:numPr>
                <w:ilvl w:val="0"/>
                <w:numId w:val="15"/>
              </w:numPr>
              <w:spacing w:before="240" w:after="240"/>
              <w:rPr>
                <w:rFonts w:cs="Arial"/>
                <w:sz w:val="20"/>
                <w:szCs w:val="20"/>
              </w:rPr>
            </w:pPr>
            <w:r w:rsidRPr="004802DF">
              <w:rPr>
                <w:rFonts w:cs="Arial"/>
                <w:sz w:val="20"/>
                <w:szCs w:val="20"/>
              </w:rPr>
              <w:t>Vaccine Providers being appropriately trained, and provided with suitable guidance, about their privacy obligations (</w:t>
            </w:r>
            <w:r w:rsidRPr="004802DF">
              <w:rPr>
                <w:rFonts w:cs="Arial"/>
                <w:b/>
                <w:sz w:val="20"/>
                <w:szCs w:val="20"/>
              </w:rPr>
              <w:t>Recommendations 2 and 3</w:t>
            </w:r>
            <w:r w:rsidRPr="004802DF">
              <w:rPr>
                <w:rFonts w:cs="Arial"/>
                <w:sz w:val="20"/>
                <w:szCs w:val="20"/>
              </w:rPr>
              <w:t xml:space="preserve"> of the Original PIA report).</w:t>
            </w:r>
          </w:p>
        </w:tc>
      </w:tr>
      <w:tr w:rsidR="00F135DF" w:rsidRPr="004802DF" w14:paraId="2F22B47B" w14:textId="77777777" w:rsidTr="001E33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6859C5E5" w14:textId="77777777" w:rsidR="00F135DF" w:rsidRPr="004802DF" w:rsidRDefault="00F135DF" w:rsidP="00F537C3">
            <w:pPr>
              <w:pStyle w:val="Tabletextleft"/>
            </w:pPr>
            <w:r w:rsidRPr="004802DF">
              <w:t>Response</w:t>
            </w:r>
          </w:p>
        </w:tc>
        <w:tc>
          <w:tcPr>
            <w:tcW w:w="6098" w:type="dxa"/>
          </w:tcPr>
          <w:p w14:paraId="0A27280E" w14:textId="31AEE244" w:rsidR="00C22FC4" w:rsidRPr="004802DF" w:rsidRDefault="00F135DF" w:rsidP="00A24D2E">
            <w:pPr>
              <w:pStyle w:val="ShortT"/>
              <w:cnfStyle w:val="000000010000" w:firstRow="0" w:lastRow="0" w:firstColumn="0" w:lastColumn="0" w:oddVBand="0" w:evenVBand="0" w:oddHBand="0" w:evenHBand="1" w:firstRowFirstColumn="0" w:firstRowLastColumn="0" w:lastRowFirstColumn="0" w:lastRowLastColumn="0"/>
              <w:rPr>
                <w:rFonts w:ascii="Arial" w:hAnsi="Arial" w:cs="Arial"/>
                <w:b w:val="0"/>
                <w:sz w:val="20"/>
              </w:rPr>
            </w:pPr>
            <w:r w:rsidRPr="004802DF">
              <w:rPr>
                <w:rFonts w:ascii="Arial" w:hAnsi="Arial" w:cs="Arial"/>
                <w:b w:val="0"/>
                <w:sz w:val="20"/>
              </w:rPr>
              <w:t>Agree</w:t>
            </w:r>
            <w:r w:rsidR="001A6B4F" w:rsidRPr="004802DF">
              <w:rPr>
                <w:rFonts w:ascii="Arial" w:hAnsi="Arial" w:cs="Arial"/>
                <w:b w:val="0"/>
                <w:sz w:val="20"/>
              </w:rPr>
              <w:t>d</w:t>
            </w:r>
            <w:r w:rsidRPr="004802DF">
              <w:rPr>
                <w:rFonts w:ascii="Arial" w:hAnsi="Arial" w:cs="Arial"/>
                <w:b w:val="0"/>
                <w:sz w:val="20"/>
              </w:rPr>
              <w:t xml:space="preserve">. </w:t>
            </w:r>
          </w:p>
          <w:p w14:paraId="55818126" w14:textId="77777777" w:rsidR="00702A3F" w:rsidRPr="004802DF" w:rsidRDefault="00702A3F" w:rsidP="00702A3F">
            <w:pPr>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p>
          <w:p w14:paraId="50054AB7" w14:textId="71B33DD8" w:rsidR="00911941" w:rsidRPr="004802DF" w:rsidRDefault="00911941" w:rsidP="00797B03">
            <w:pPr>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4802DF">
              <w:rPr>
                <w:rFonts w:cs="Arial"/>
                <w:sz w:val="20"/>
                <w:szCs w:val="20"/>
                <w:lang w:eastAsia="en-AU"/>
              </w:rPr>
              <w:t xml:space="preserve">Phase 1b </w:t>
            </w:r>
            <w:r w:rsidR="005C63F3">
              <w:rPr>
                <w:rFonts w:cs="Arial"/>
                <w:sz w:val="20"/>
                <w:szCs w:val="20"/>
                <w:lang w:eastAsia="en-AU"/>
              </w:rPr>
              <w:t xml:space="preserve">implementation </w:t>
            </w:r>
            <w:r w:rsidRPr="004802DF">
              <w:rPr>
                <w:rFonts w:cs="Arial"/>
                <w:sz w:val="20"/>
                <w:szCs w:val="20"/>
                <w:lang w:eastAsia="en-AU"/>
              </w:rPr>
              <w:t xml:space="preserve">of the Vaccine Strategy </w:t>
            </w:r>
            <w:r w:rsidR="00E053A9" w:rsidRPr="004802DF">
              <w:rPr>
                <w:rFonts w:cs="Arial"/>
                <w:sz w:val="20"/>
                <w:szCs w:val="20"/>
                <w:lang w:eastAsia="en-AU"/>
              </w:rPr>
              <w:t xml:space="preserve">commenced on 22 March 2021 with </w:t>
            </w:r>
            <w:r w:rsidRPr="004802DF">
              <w:rPr>
                <w:rFonts w:cs="Arial"/>
                <w:sz w:val="20"/>
                <w:szCs w:val="20"/>
                <w:lang w:eastAsia="en-AU"/>
              </w:rPr>
              <w:t>a significantly larger scope</w:t>
            </w:r>
            <w:r w:rsidR="00E053A9" w:rsidRPr="004802DF">
              <w:rPr>
                <w:rFonts w:cs="Arial"/>
                <w:sz w:val="20"/>
                <w:szCs w:val="20"/>
                <w:lang w:eastAsia="en-AU"/>
              </w:rPr>
              <w:t xml:space="preserve"> than Phase 1a. Implementation of Phase 1b includes t</w:t>
            </w:r>
            <w:r w:rsidRPr="004802DF">
              <w:rPr>
                <w:rFonts w:cs="Arial"/>
                <w:sz w:val="20"/>
                <w:szCs w:val="20"/>
                <w:lang w:eastAsia="en-AU"/>
              </w:rPr>
              <w:t xml:space="preserve">he </w:t>
            </w:r>
            <w:r w:rsidR="00E053A9" w:rsidRPr="004802DF">
              <w:rPr>
                <w:rFonts w:cs="Arial"/>
                <w:sz w:val="20"/>
                <w:szCs w:val="20"/>
                <w:lang w:eastAsia="en-AU"/>
              </w:rPr>
              <w:t xml:space="preserve">ongoing inclusion and </w:t>
            </w:r>
            <w:r w:rsidRPr="004802DF">
              <w:rPr>
                <w:rFonts w:cs="Arial"/>
                <w:sz w:val="20"/>
                <w:szCs w:val="20"/>
                <w:lang w:eastAsia="en-AU"/>
              </w:rPr>
              <w:t xml:space="preserve">participation of </w:t>
            </w:r>
            <w:r w:rsidR="00E053A9" w:rsidRPr="004802DF">
              <w:rPr>
                <w:rFonts w:cs="Arial"/>
                <w:sz w:val="20"/>
                <w:szCs w:val="20"/>
                <w:lang w:eastAsia="en-AU"/>
              </w:rPr>
              <w:t xml:space="preserve">over </w:t>
            </w:r>
            <w:r w:rsidR="00E053A9" w:rsidRPr="000E74E8">
              <w:rPr>
                <w:rFonts w:cs="Arial"/>
                <w:color w:val="auto"/>
                <w:sz w:val="20"/>
                <w:szCs w:val="20"/>
                <w:lang w:eastAsia="en-AU"/>
              </w:rPr>
              <w:t>3000</w:t>
            </w:r>
            <w:r w:rsidRPr="000E74E8">
              <w:rPr>
                <w:rFonts w:cs="Arial"/>
                <w:color w:val="auto"/>
                <w:sz w:val="20"/>
                <w:szCs w:val="20"/>
                <w:lang w:eastAsia="en-AU"/>
              </w:rPr>
              <w:t xml:space="preserve"> primary </w:t>
            </w:r>
            <w:r w:rsidRPr="004802DF">
              <w:rPr>
                <w:rFonts w:cs="Arial"/>
                <w:sz w:val="20"/>
                <w:szCs w:val="20"/>
                <w:lang w:eastAsia="en-AU"/>
              </w:rPr>
              <w:t xml:space="preserve">care Vaccine Providers to reach </w:t>
            </w:r>
            <w:r w:rsidR="00E053A9" w:rsidRPr="004802DF">
              <w:rPr>
                <w:rFonts w:cs="Arial"/>
                <w:sz w:val="20"/>
                <w:szCs w:val="20"/>
                <w:lang w:eastAsia="en-AU"/>
              </w:rPr>
              <w:t>approximately</w:t>
            </w:r>
            <w:r w:rsidRPr="004802DF">
              <w:rPr>
                <w:rFonts w:cs="Arial"/>
                <w:sz w:val="20"/>
                <w:szCs w:val="20"/>
                <w:lang w:eastAsia="en-AU"/>
              </w:rPr>
              <w:t xml:space="preserve"> </w:t>
            </w:r>
            <w:r w:rsidR="00E053A9" w:rsidRPr="004802DF">
              <w:rPr>
                <w:rFonts w:cs="Arial"/>
                <w:sz w:val="20"/>
                <w:szCs w:val="20"/>
                <w:lang w:eastAsia="en-AU"/>
              </w:rPr>
              <w:t xml:space="preserve">6 million eligible people across Australia. The scale of vaccine logistics including cold chain compliance for Phase 1b has been similarly expanded. </w:t>
            </w:r>
          </w:p>
          <w:p w14:paraId="0CCD1587" w14:textId="32BF9178" w:rsidR="00911941" w:rsidRPr="004802DF" w:rsidRDefault="00911941" w:rsidP="00797B03">
            <w:pPr>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p>
          <w:p w14:paraId="47AC8A5E" w14:textId="427559B4" w:rsidR="00435948" w:rsidRPr="004802DF" w:rsidRDefault="00DF309C" w:rsidP="00797B03">
            <w:pPr>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4802DF">
              <w:rPr>
                <w:rFonts w:cs="Arial"/>
                <w:sz w:val="20"/>
                <w:szCs w:val="20"/>
                <w:lang w:eastAsia="en-AU"/>
              </w:rPr>
              <w:t>Health has committed to ‘privacy by design’ in all stages o</w:t>
            </w:r>
            <w:r w:rsidR="00911941" w:rsidRPr="004802DF">
              <w:rPr>
                <w:rFonts w:cs="Arial"/>
                <w:sz w:val="20"/>
                <w:szCs w:val="20"/>
                <w:lang w:eastAsia="en-AU"/>
              </w:rPr>
              <w:t>f the COVID-19 vaccine rollout</w:t>
            </w:r>
            <w:r w:rsidR="00E053A9" w:rsidRPr="004802DF">
              <w:rPr>
                <w:rFonts w:cs="Arial"/>
                <w:sz w:val="20"/>
                <w:szCs w:val="20"/>
                <w:lang w:eastAsia="en-AU"/>
              </w:rPr>
              <w:t>,</w:t>
            </w:r>
            <w:r w:rsidR="00911941" w:rsidRPr="004802DF">
              <w:rPr>
                <w:rFonts w:cs="Arial"/>
                <w:sz w:val="20"/>
                <w:szCs w:val="20"/>
                <w:lang w:eastAsia="en-AU"/>
              </w:rPr>
              <w:t xml:space="preserve"> and has </w:t>
            </w:r>
            <w:r w:rsidR="0042156B">
              <w:rPr>
                <w:sz w:val="20"/>
                <w:szCs w:val="20"/>
              </w:rPr>
              <w:t>continued</w:t>
            </w:r>
            <w:r w:rsidR="0042156B" w:rsidRPr="0042156B">
              <w:rPr>
                <w:sz w:val="20"/>
                <w:szCs w:val="20"/>
              </w:rPr>
              <w:t xml:space="preserve"> to work closely with</w:t>
            </w:r>
            <w:r w:rsidR="0042156B">
              <w:rPr>
                <w:sz w:val="20"/>
                <w:szCs w:val="20"/>
              </w:rPr>
              <w:t xml:space="preserve"> </w:t>
            </w:r>
            <w:r w:rsidR="0042156B" w:rsidRPr="0042156B">
              <w:rPr>
                <w:sz w:val="20"/>
                <w:szCs w:val="20"/>
              </w:rPr>
              <w:t xml:space="preserve">Partners and key stakeholders </w:t>
            </w:r>
            <w:r w:rsidR="0042156B">
              <w:rPr>
                <w:sz w:val="20"/>
                <w:szCs w:val="20"/>
              </w:rPr>
              <w:t xml:space="preserve">on this, including in </w:t>
            </w:r>
            <w:r w:rsidR="0042156B" w:rsidRPr="0042156B">
              <w:rPr>
                <w:sz w:val="20"/>
                <w:szCs w:val="20"/>
              </w:rPr>
              <w:t>design, developing and testing</w:t>
            </w:r>
            <w:r w:rsidR="0042156B">
              <w:rPr>
                <w:sz w:val="20"/>
                <w:szCs w:val="20"/>
              </w:rPr>
              <w:t xml:space="preserve"> </w:t>
            </w:r>
            <w:r w:rsidR="0042156B" w:rsidRPr="0042156B">
              <w:rPr>
                <w:sz w:val="20"/>
                <w:szCs w:val="20"/>
              </w:rPr>
              <w:t>cycles.</w:t>
            </w:r>
          </w:p>
          <w:p w14:paraId="766DBA6A" w14:textId="3AC7E87E" w:rsidR="00DF309C" w:rsidRPr="004802DF" w:rsidRDefault="00DF309C" w:rsidP="00797B03">
            <w:pPr>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p>
          <w:p w14:paraId="38AF3337" w14:textId="2132AB60" w:rsidR="00600D66" w:rsidRPr="004802DF" w:rsidRDefault="00600D66" w:rsidP="00797B03">
            <w:pPr>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4802DF">
              <w:rPr>
                <w:rFonts w:cs="Arial"/>
                <w:sz w:val="20"/>
                <w:szCs w:val="20"/>
                <w:lang w:eastAsia="en-AU"/>
              </w:rPr>
              <w:t xml:space="preserve">The publication of the Phase 1b PIA Update reflects Health’s commitment </w:t>
            </w:r>
            <w:r w:rsidR="00797B03" w:rsidRPr="004802DF">
              <w:rPr>
                <w:rFonts w:cs="Arial"/>
                <w:sz w:val="20"/>
                <w:szCs w:val="20"/>
                <w:lang w:eastAsia="en-AU"/>
              </w:rPr>
              <w:t>to open and transparent communication about the handling of personal information in relation to the Vaccine Strategy</w:t>
            </w:r>
            <w:r w:rsidRPr="004802DF">
              <w:rPr>
                <w:rFonts w:cs="Arial"/>
                <w:sz w:val="20"/>
                <w:szCs w:val="20"/>
                <w:lang w:eastAsia="en-AU"/>
              </w:rPr>
              <w:t>.</w:t>
            </w:r>
            <w:r w:rsidR="00797B03" w:rsidRPr="004802DF">
              <w:rPr>
                <w:rFonts w:cs="Arial"/>
                <w:sz w:val="20"/>
                <w:szCs w:val="20"/>
                <w:lang w:eastAsia="en-AU"/>
              </w:rPr>
              <w:t xml:space="preserve"> </w:t>
            </w:r>
          </w:p>
          <w:p w14:paraId="796A5BFC" w14:textId="77777777" w:rsidR="00600D66" w:rsidRPr="004802DF" w:rsidRDefault="00600D66" w:rsidP="00797B03">
            <w:pPr>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p>
          <w:p w14:paraId="42EAE480" w14:textId="6FADED97" w:rsidR="00435948" w:rsidRPr="004802DF" w:rsidRDefault="00AD60C2" w:rsidP="00797B03">
            <w:pPr>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4802DF">
              <w:rPr>
                <w:rFonts w:cs="Arial"/>
                <w:sz w:val="20"/>
                <w:szCs w:val="20"/>
                <w:lang w:eastAsia="en-AU"/>
              </w:rPr>
              <w:t>As with</w:t>
            </w:r>
            <w:r w:rsidR="00600D66" w:rsidRPr="004802DF">
              <w:rPr>
                <w:rFonts w:cs="Arial"/>
                <w:sz w:val="20"/>
                <w:szCs w:val="20"/>
                <w:lang w:eastAsia="en-AU"/>
              </w:rPr>
              <w:t xml:space="preserve"> Phase 1a, </w:t>
            </w:r>
            <w:r w:rsidRPr="004802DF">
              <w:rPr>
                <w:rFonts w:cs="Arial"/>
                <w:sz w:val="20"/>
                <w:szCs w:val="20"/>
                <w:lang w:eastAsia="en-AU"/>
              </w:rPr>
              <w:t>Health implemented a range of privacy protections prior to Phase 1b commencing</w:t>
            </w:r>
            <w:r w:rsidR="00C20BF7">
              <w:rPr>
                <w:rFonts w:cs="Arial"/>
                <w:sz w:val="20"/>
                <w:szCs w:val="20"/>
                <w:lang w:eastAsia="en-AU"/>
              </w:rPr>
              <w:t xml:space="preserve">, and </w:t>
            </w:r>
            <w:r w:rsidR="00167EF5">
              <w:rPr>
                <w:rFonts w:cs="Arial"/>
                <w:sz w:val="20"/>
                <w:szCs w:val="20"/>
                <w:lang w:eastAsia="en-AU"/>
              </w:rPr>
              <w:t>will ensure these are updated as needed</w:t>
            </w:r>
            <w:r w:rsidRPr="004802DF">
              <w:rPr>
                <w:rFonts w:cs="Arial"/>
                <w:sz w:val="20"/>
                <w:szCs w:val="20"/>
                <w:lang w:eastAsia="en-AU"/>
              </w:rPr>
              <w:t xml:space="preserve">. </w:t>
            </w:r>
            <w:r w:rsidR="00892888">
              <w:rPr>
                <w:rFonts w:cs="Arial"/>
                <w:sz w:val="20"/>
                <w:szCs w:val="20"/>
                <w:lang w:eastAsia="en-AU"/>
              </w:rPr>
              <w:t>Health has, among other things:</w:t>
            </w:r>
          </w:p>
          <w:p w14:paraId="2CFF3458" w14:textId="77777777" w:rsidR="00435948" w:rsidRPr="004802DF" w:rsidRDefault="00435948" w:rsidP="00797B03">
            <w:pPr>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p>
          <w:p w14:paraId="14AB75E7" w14:textId="7532EEDF" w:rsidR="00911941" w:rsidRPr="004802DF" w:rsidRDefault="003834F6" w:rsidP="00911941">
            <w:pPr>
              <w:pStyle w:val="ListParagraph"/>
              <w:numPr>
                <w:ilvl w:val="0"/>
                <w:numId w:val="16"/>
              </w:numPr>
              <w:spacing w:after="120"/>
              <w:contextualSpacing w:val="0"/>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Pr>
                <w:rFonts w:cs="Arial"/>
                <w:sz w:val="20"/>
                <w:szCs w:val="20"/>
                <w:lang w:eastAsia="en-AU"/>
              </w:rPr>
              <w:t>Published</w:t>
            </w:r>
            <w:r w:rsidR="002D713A" w:rsidRPr="004802DF">
              <w:rPr>
                <w:rFonts w:cs="Arial"/>
                <w:sz w:val="20"/>
                <w:szCs w:val="20"/>
                <w:lang w:eastAsia="en-AU"/>
              </w:rPr>
              <w:t xml:space="preserve"> Department Privacy Notices for each </w:t>
            </w:r>
            <w:r w:rsidR="00AD60C2" w:rsidRPr="004802DF">
              <w:rPr>
                <w:rFonts w:cs="Arial"/>
                <w:sz w:val="20"/>
                <w:szCs w:val="20"/>
                <w:lang w:eastAsia="en-AU"/>
              </w:rPr>
              <w:t xml:space="preserve">of the </w:t>
            </w:r>
            <w:r w:rsidR="002D713A" w:rsidRPr="004802DF">
              <w:rPr>
                <w:rFonts w:cs="Arial"/>
                <w:sz w:val="20"/>
                <w:szCs w:val="20"/>
                <w:lang w:eastAsia="en-AU"/>
              </w:rPr>
              <w:t>new ICT system</w:t>
            </w:r>
            <w:r w:rsidR="00AD60C2" w:rsidRPr="004802DF">
              <w:rPr>
                <w:rFonts w:cs="Arial"/>
                <w:sz w:val="20"/>
                <w:szCs w:val="20"/>
                <w:lang w:eastAsia="en-AU"/>
              </w:rPr>
              <w:t>s</w:t>
            </w:r>
            <w:r w:rsidR="002D713A" w:rsidRPr="004802DF">
              <w:rPr>
                <w:rFonts w:cs="Arial"/>
                <w:sz w:val="20"/>
                <w:szCs w:val="20"/>
                <w:lang w:eastAsia="en-AU"/>
              </w:rPr>
              <w:t xml:space="preserve"> that has been introduced </w:t>
            </w:r>
            <w:r w:rsidR="00911941" w:rsidRPr="004802DF">
              <w:rPr>
                <w:rFonts w:cs="Arial"/>
                <w:sz w:val="20"/>
                <w:szCs w:val="20"/>
                <w:lang w:eastAsia="en-AU"/>
              </w:rPr>
              <w:t xml:space="preserve">to facilitate the </w:t>
            </w:r>
            <w:r w:rsidR="00E053A9" w:rsidRPr="004802DF">
              <w:rPr>
                <w:rFonts w:cs="Arial"/>
                <w:sz w:val="20"/>
                <w:szCs w:val="20"/>
                <w:lang w:eastAsia="en-AU"/>
              </w:rPr>
              <w:t>safe and secure del</w:t>
            </w:r>
            <w:r w:rsidR="00AD60C2" w:rsidRPr="004802DF">
              <w:rPr>
                <w:rFonts w:cs="Arial"/>
                <w:sz w:val="20"/>
                <w:szCs w:val="20"/>
                <w:lang w:eastAsia="en-AU"/>
              </w:rPr>
              <w:t>ivery of COVID-19 vaccinations:</w:t>
            </w:r>
          </w:p>
          <w:p w14:paraId="2010B777" w14:textId="4AED1D3A" w:rsidR="00911941" w:rsidRPr="004802DF" w:rsidRDefault="002D713A" w:rsidP="00911941">
            <w:pPr>
              <w:pStyle w:val="ListParagraph"/>
              <w:numPr>
                <w:ilvl w:val="1"/>
                <w:numId w:val="16"/>
              </w:numPr>
              <w:spacing w:after="120"/>
              <w:contextualSpacing w:val="0"/>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4802DF">
              <w:rPr>
                <w:rFonts w:cs="Arial"/>
                <w:sz w:val="20"/>
                <w:szCs w:val="20"/>
                <w:lang w:eastAsia="en-AU"/>
              </w:rPr>
              <w:t xml:space="preserve">the </w:t>
            </w:r>
            <w:hyperlink r:id="rId13" w:history="1">
              <w:r w:rsidRPr="004802DF">
                <w:rPr>
                  <w:rStyle w:val="Hyperlink"/>
                  <w:rFonts w:cs="Arial"/>
                  <w:sz w:val="20"/>
                  <w:szCs w:val="20"/>
                  <w:lang w:eastAsia="en-AU"/>
                </w:rPr>
                <w:t>R</w:t>
              </w:r>
              <w:r w:rsidR="004E3C96" w:rsidRPr="004802DF">
                <w:rPr>
                  <w:rStyle w:val="Hyperlink"/>
                  <w:rFonts w:cs="Arial"/>
                  <w:sz w:val="20"/>
                  <w:szCs w:val="20"/>
                  <w:lang w:eastAsia="en-AU"/>
                </w:rPr>
                <w:t xml:space="preserve">egister Your Interest </w:t>
              </w:r>
              <w:r w:rsidR="006D2B2B" w:rsidRPr="004802DF">
                <w:rPr>
                  <w:rStyle w:val="Hyperlink"/>
                  <w:rFonts w:cs="Arial"/>
                  <w:sz w:val="20"/>
                  <w:szCs w:val="20"/>
                  <w:lang w:eastAsia="en-AU"/>
                </w:rPr>
                <w:t>p</w:t>
              </w:r>
              <w:r w:rsidR="004E3C96" w:rsidRPr="004802DF">
                <w:rPr>
                  <w:rStyle w:val="Hyperlink"/>
                  <w:rFonts w:cs="Arial"/>
                  <w:sz w:val="20"/>
                  <w:szCs w:val="20"/>
                  <w:lang w:eastAsia="en-AU"/>
                </w:rPr>
                <w:t>latform</w:t>
              </w:r>
            </w:hyperlink>
            <w:r w:rsidR="006D2B2B" w:rsidRPr="004802DF">
              <w:rPr>
                <w:rFonts w:cs="Arial"/>
                <w:sz w:val="20"/>
                <w:szCs w:val="20"/>
                <w:lang w:eastAsia="en-AU"/>
              </w:rPr>
              <w:t xml:space="preserve"> (RYI)</w:t>
            </w:r>
            <w:r w:rsidR="002F0A58" w:rsidRPr="004802DF">
              <w:rPr>
                <w:rFonts w:cs="Arial"/>
                <w:sz w:val="20"/>
                <w:szCs w:val="20"/>
                <w:lang w:eastAsia="en-AU"/>
              </w:rPr>
              <w:t xml:space="preserve"> for people in phase 2 who would like to be notified when they are eligible to make a vaccine appointment</w:t>
            </w:r>
            <w:r w:rsidR="00911941" w:rsidRPr="004802DF">
              <w:rPr>
                <w:rFonts w:cs="Arial"/>
                <w:sz w:val="20"/>
                <w:szCs w:val="20"/>
                <w:lang w:eastAsia="en-AU"/>
              </w:rPr>
              <w:t>;</w:t>
            </w:r>
          </w:p>
          <w:p w14:paraId="2CAE14FA" w14:textId="38C69691" w:rsidR="00911941" w:rsidRPr="004802DF" w:rsidRDefault="002D713A" w:rsidP="00911941">
            <w:pPr>
              <w:pStyle w:val="ListParagraph"/>
              <w:numPr>
                <w:ilvl w:val="1"/>
                <w:numId w:val="16"/>
              </w:numPr>
              <w:spacing w:after="120"/>
              <w:contextualSpacing w:val="0"/>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4802DF">
              <w:rPr>
                <w:rFonts w:cs="Arial"/>
                <w:sz w:val="20"/>
                <w:szCs w:val="20"/>
                <w:lang w:eastAsia="en-AU"/>
              </w:rPr>
              <w:t xml:space="preserve">the </w:t>
            </w:r>
            <w:hyperlink r:id="rId14" w:history="1">
              <w:r w:rsidRPr="004802DF">
                <w:rPr>
                  <w:rStyle w:val="Hyperlink"/>
                  <w:rFonts w:cs="Arial"/>
                  <w:sz w:val="20"/>
                  <w:szCs w:val="20"/>
                  <w:lang w:eastAsia="en-AU"/>
                </w:rPr>
                <w:t>C</w:t>
              </w:r>
              <w:r w:rsidR="00911941" w:rsidRPr="004802DF">
                <w:rPr>
                  <w:rStyle w:val="Hyperlink"/>
                  <w:rFonts w:cs="Arial"/>
                  <w:sz w:val="20"/>
                  <w:szCs w:val="20"/>
                  <w:lang w:eastAsia="en-AU"/>
                </w:rPr>
                <w:t>OVID-19 Vaccine Administrative</w:t>
              </w:r>
              <w:r w:rsidRPr="004802DF">
                <w:rPr>
                  <w:rStyle w:val="Hyperlink"/>
                  <w:rFonts w:cs="Arial"/>
                  <w:sz w:val="20"/>
                  <w:szCs w:val="20"/>
                  <w:lang w:eastAsia="en-AU"/>
                </w:rPr>
                <w:t xml:space="preserve"> System</w:t>
              </w:r>
            </w:hyperlink>
            <w:r w:rsidRPr="004802DF">
              <w:rPr>
                <w:rFonts w:cs="Arial"/>
                <w:sz w:val="20"/>
                <w:szCs w:val="20"/>
                <w:lang w:eastAsia="en-AU"/>
              </w:rPr>
              <w:t xml:space="preserve"> (CVAS)</w:t>
            </w:r>
            <w:r w:rsidR="002F0A58" w:rsidRPr="004802DF">
              <w:rPr>
                <w:rFonts w:cs="Arial"/>
                <w:sz w:val="20"/>
                <w:szCs w:val="20"/>
                <w:lang w:eastAsia="en-AU"/>
              </w:rPr>
              <w:t xml:space="preserve"> which is the inventory management and COVID-19 vaccine supply system</w:t>
            </w:r>
            <w:r w:rsidR="00911941" w:rsidRPr="004802DF">
              <w:rPr>
                <w:rFonts w:cs="Arial"/>
                <w:sz w:val="20"/>
                <w:szCs w:val="20"/>
                <w:lang w:eastAsia="en-AU"/>
              </w:rPr>
              <w:t>;</w:t>
            </w:r>
          </w:p>
          <w:p w14:paraId="6A5D7D86" w14:textId="654A7096" w:rsidR="00911941" w:rsidRPr="004802DF" w:rsidRDefault="00911941" w:rsidP="00911941">
            <w:pPr>
              <w:pStyle w:val="ListParagraph"/>
              <w:numPr>
                <w:ilvl w:val="1"/>
                <w:numId w:val="16"/>
              </w:numPr>
              <w:spacing w:after="120"/>
              <w:contextualSpacing w:val="0"/>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4802DF">
              <w:rPr>
                <w:rFonts w:cs="Arial"/>
                <w:sz w:val="20"/>
                <w:szCs w:val="20"/>
                <w:lang w:eastAsia="en-AU"/>
              </w:rPr>
              <w:t xml:space="preserve">the </w:t>
            </w:r>
            <w:hyperlink r:id="rId15" w:history="1">
              <w:r w:rsidRPr="004802DF">
                <w:rPr>
                  <w:rStyle w:val="Hyperlink"/>
                  <w:rFonts w:cs="Arial"/>
                  <w:sz w:val="20"/>
                  <w:szCs w:val="20"/>
                  <w:lang w:eastAsia="en-AU"/>
                </w:rPr>
                <w:t>Clinician Vaccine Integrated</w:t>
              </w:r>
              <w:r w:rsidR="002D713A" w:rsidRPr="004802DF">
                <w:rPr>
                  <w:rStyle w:val="Hyperlink"/>
                  <w:rFonts w:cs="Arial"/>
                  <w:sz w:val="20"/>
                  <w:szCs w:val="20"/>
                  <w:lang w:eastAsia="en-AU"/>
                </w:rPr>
                <w:t xml:space="preserve"> Platform</w:t>
              </w:r>
            </w:hyperlink>
            <w:r w:rsidR="002D713A" w:rsidRPr="004802DF">
              <w:rPr>
                <w:rFonts w:cs="Arial"/>
                <w:sz w:val="20"/>
                <w:szCs w:val="20"/>
                <w:lang w:eastAsia="en-AU"/>
              </w:rPr>
              <w:t xml:space="preserve"> (CVIP)</w:t>
            </w:r>
            <w:r w:rsidR="00E053A9" w:rsidRPr="004802DF">
              <w:rPr>
                <w:rFonts w:cs="Arial"/>
                <w:sz w:val="20"/>
                <w:szCs w:val="20"/>
                <w:lang w:eastAsia="en-AU"/>
              </w:rPr>
              <w:t xml:space="preserve">, </w:t>
            </w:r>
            <w:r w:rsidR="002F0A58" w:rsidRPr="004802DF">
              <w:rPr>
                <w:rFonts w:cs="Arial"/>
                <w:sz w:val="20"/>
                <w:szCs w:val="20"/>
                <w:lang w:eastAsia="en-AU"/>
              </w:rPr>
              <w:t xml:space="preserve">which </w:t>
            </w:r>
            <w:r w:rsidR="00546F0E" w:rsidRPr="004802DF">
              <w:rPr>
                <w:rFonts w:cs="Arial"/>
                <w:sz w:val="20"/>
                <w:szCs w:val="20"/>
                <w:lang w:eastAsia="en-AU"/>
              </w:rPr>
              <w:t xml:space="preserve">Patients and </w:t>
            </w:r>
            <w:r w:rsidR="002F0A58" w:rsidRPr="004802DF">
              <w:rPr>
                <w:rFonts w:cs="Arial"/>
                <w:sz w:val="20"/>
                <w:szCs w:val="20"/>
                <w:lang w:eastAsia="en-AU"/>
              </w:rPr>
              <w:t>Vaccine Providers can use to</w:t>
            </w:r>
            <w:r w:rsidR="00AD60C2" w:rsidRPr="004802DF">
              <w:rPr>
                <w:rFonts w:cs="Arial"/>
                <w:sz w:val="20"/>
                <w:szCs w:val="20"/>
                <w:lang w:eastAsia="en-AU"/>
              </w:rPr>
              <w:t xml:space="preserve"> meet</w:t>
            </w:r>
            <w:r w:rsidR="002F0A58" w:rsidRPr="004802DF">
              <w:rPr>
                <w:rFonts w:cs="Arial"/>
                <w:sz w:val="20"/>
                <w:szCs w:val="20"/>
                <w:lang w:eastAsia="en-AU"/>
              </w:rPr>
              <w:t xml:space="preserve"> report</w:t>
            </w:r>
            <w:r w:rsidR="00AD60C2" w:rsidRPr="004802DF">
              <w:rPr>
                <w:rFonts w:cs="Arial"/>
                <w:sz w:val="20"/>
                <w:szCs w:val="20"/>
                <w:lang w:eastAsia="en-AU"/>
              </w:rPr>
              <w:t>ing obligations to t</w:t>
            </w:r>
            <w:r w:rsidR="002F0A58" w:rsidRPr="004802DF">
              <w:rPr>
                <w:rFonts w:cs="Arial"/>
                <w:sz w:val="20"/>
                <w:szCs w:val="20"/>
                <w:lang w:eastAsia="en-AU"/>
              </w:rPr>
              <w:t>he A</w:t>
            </w:r>
            <w:r w:rsidR="00AD60C2" w:rsidRPr="004802DF">
              <w:rPr>
                <w:rFonts w:cs="Arial"/>
                <w:sz w:val="20"/>
                <w:szCs w:val="20"/>
                <w:lang w:eastAsia="en-AU"/>
              </w:rPr>
              <w:t xml:space="preserve">ustralian </w:t>
            </w:r>
            <w:r w:rsidR="002F0A58" w:rsidRPr="004802DF">
              <w:rPr>
                <w:rFonts w:cs="Arial"/>
                <w:sz w:val="20"/>
                <w:szCs w:val="20"/>
                <w:lang w:eastAsia="en-AU"/>
              </w:rPr>
              <w:t>I</w:t>
            </w:r>
            <w:r w:rsidR="00AD60C2" w:rsidRPr="004802DF">
              <w:rPr>
                <w:rFonts w:cs="Arial"/>
                <w:sz w:val="20"/>
                <w:szCs w:val="20"/>
                <w:lang w:eastAsia="en-AU"/>
              </w:rPr>
              <w:t xml:space="preserve">mmunisation </w:t>
            </w:r>
            <w:r w:rsidR="002F0A58" w:rsidRPr="004802DF">
              <w:rPr>
                <w:rFonts w:cs="Arial"/>
                <w:sz w:val="20"/>
                <w:szCs w:val="20"/>
                <w:lang w:eastAsia="en-AU"/>
              </w:rPr>
              <w:t>R</w:t>
            </w:r>
            <w:r w:rsidR="00AD60C2" w:rsidRPr="004802DF">
              <w:rPr>
                <w:rFonts w:cs="Arial"/>
                <w:sz w:val="20"/>
                <w:szCs w:val="20"/>
                <w:lang w:eastAsia="en-AU"/>
              </w:rPr>
              <w:t>egister</w:t>
            </w:r>
            <w:r w:rsidR="002F0A58" w:rsidRPr="004802DF">
              <w:rPr>
                <w:rFonts w:cs="Arial"/>
                <w:sz w:val="20"/>
                <w:szCs w:val="20"/>
                <w:lang w:eastAsia="en-AU"/>
              </w:rPr>
              <w:t xml:space="preserve">. </w:t>
            </w:r>
            <w:hyperlink r:id="rId16" w:history="1">
              <w:r w:rsidRPr="004802DF">
                <w:rPr>
                  <w:rStyle w:val="Hyperlink"/>
                  <w:rFonts w:cs="Arial"/>
                  <w:sz w:val="20"/>
                  <w:szCs w:val="20"/>
                  <w:lang w:eastAsia="en-AU"/>
                </w:rPr>
                <w:t xml:space="preserve">Consumer </w:t>
              </w:r>
              <w:r w:rsidR="00435948" w:rsidRPr="004802DF">
                <w:rPr>
                  <w:rStyle w:val="Hyperlink"/>
                  <w:rFonts w:cs="Arial"/>
                  <w:sz w:val="20"/>
                  <w:szCs w:val="20"/>
                  <w:lang w:eastAsia="en-AU"/>
                </w:rPr>
                <w:t>Terms of Use</w:t>
              </w:r>
            </w:hyperlink>
            <w:r w:rsidR="00435948" w:rsidRPr="004802DF">
              <w:rPr>
                <w:rFonts w:cs="Arial"/>
                <w:sz w:val="20"/>
                <w:szCs w:val="20"/>
                <w:lang w:eastAsia="en-AU"/>
              </w:rPr>
              <w:t xml:space="preserve"> </w:t>
            </w:r>
            <w:r w:rsidRPr="004802DF">
              <w:rPr>
                <w:rFonts w:cs="Arial"/>
                <w:sz w:val="20"/>
                <w:szCs w:val="20"/>
                <w:lang w:eastAsia="en-AU"/>
              </w:rPr>
              <w:t xml:space="preserve">and </w:t>
            </w:r>
            <w:hyperlink r:id="rId17" w:history="1">
              <w:r w:rsidR="00435948" w:rsidRPr="004802DF">
                <w:rPr>
                  <w:rStyle w:val="Hyperlink"/>
                  <w:rFonts w:cs="Arial"/>
                  <w:sz w:val="20"/>
                  <w:szCs w:val="20"/>
                  <w:lang w:eastAsia="en-AU"/>
                </w:rPr>
                <w:t xml:space="preserve">Vaccine </w:t>
              </w:r>
              <w:r w:rsidRPr="004802DF">
                <w:rPr>
                  <w:rStyle w:val="Hyperlink"/>
                  <w:rFonts w:cs="Arial"/>
                  <w:sz w:val="20"/>
                  <w:szCs w:val="20"/>
                  <w:lang w:eastAsia="en-AU"/>
                </w:rPr>
                <w:t>Provider Terms of Use</w:t>
              </w:r>
            </w:hyperlink>
            <w:r w:rsidR="00E053A9" w:rsidRPr="004802DF">
              <w:rPr>
                <w:rFonts w:cs="Arial"/>
                <w:sz w:val="20"/>
                <w:szCs w:val="20"/>
                <w:lang w:eastAsia="en-AU"/>
              </w:rPr>
              <w:t xml:space="preserve"> were also published</w:t>
            </w:r>
            <w:r w:rsidR="004E3C96" w:rsidRPr="004802DF">
              <w:rPr>
                <w:rFonts w:cs="Arial"/>
                <w:sz w:val="20"/>
                <w:szCs w:val="20"/>
                <w:lang w:eastAsia="en-AU"/>
              </w:rPr>
              <w:t xml:space="preserve">; </w:t>
            </w:r>
            <w:r w:rsidRPr="004802DF">
              <w:rPr>
                <w:rFonts w:cs="Arial"/>
                <w:sz w:val="20"/>
                <w:szCs w:val="20"/>
                <w:lang w:eastAsia="en-AU"/>
              </w:rPr>
              <w:t xml:space="preserve">and </w:t>
            </w:r>
          </w:p>
          <w:p w14:paraId="133AC734" w14:textId="3AA72A6D" w:rsidR="002D713A" w:rsidRPr="004802DF" w:rsidRDefault="004E3C96" w:rsidP="00911941">
            <w:pPr>
              <w:pStyle w:val="ListParagraph"/>
              <w:numPr>
                <w:ilvl w:val="1"/>
                <w:numId w:val="16"/>
              </w:numPr>
              <w:spacing w:after="120"/>
              <w:contextualSpacing w:val="0"/>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4802DF">
              <w:rPr>
                <w:rFonts w:cs="Arial"/>
                <w:sz w:val="20"/>
                <w:szCs w:val="20"/>
                <w:lang w:eastAsia="en-AU"/>
              </w:rPr>
              <w:t>the Commonwe</w:t>
            </w:r>
            <w:r w:rsidR="002F0A58" w:rsidRPr="004802DF">
              <w:rPr>
                <w:rFonts w:cs="Arial"/>
                <w:sz w:val="20"/>
                <w:szCs w:val="20"/>
                <w:lang w:eastAsia="en-AU"/>
              </w:rPr>
              <w:t>alth-procured Booking Platform</w:t>
            </w:r>
            <w:r w:rsidR="000551C4">
              <w:rPr>
                <w:rFonts w:cs="Arial"/>
                <w:sz w:val="20"/>
                <w:szCs w:val="20"/>
                <w:lang w:eastAsia="en-AU"/>
              </w:rPr>
              <w:t xml:space="preserve"> (BP)</w:t>
            </w:r>
            <w:r w:rsidR="002F0A58" w:rsidRPr="004802DF">
              <w:rPr>
                <w:rFonts w:cs="Arial"/>
                <w:sz w:val="20"/>
                <w:szCs w:val="20"/>
                <w:lang w:eastAsia="en-AU"/>
              </w:rPr>
              <w:t>, which Vaccine Providers may wish to use if they do not already have an online booking solution. Separate</w:t>
            </w:r>
            <w:r w:rsidR="00435948" w:rsidRPr="004802DF">
              <w:rPr>
                <w:rFonts w:cs="Arial"/>
                <w:sz w:val="20"/>
                <w:szCs w:val="20"/>
                <w:lang w:eastAsia="en-AU"/>
              </w:rPr>
              <w:t xml:space="preserve"> </w:t>
            </w:r>
            <w:r w:rsidR="00E053A9" w:rsidRPr="004802DF">
              <w:rPr>
                <w:rFonts w:cs="Arial"/>
                <w:sz w:val="20"/>
                <w:szCs w:val="20"/>
                <w:lang w:eastAsia="en-AU"/>
              </w:rPr>
              <w:t>Notice</w:t>
            </w:r>
            <w:r w:rsidR="002F0A58" w:rsidRPr="004802DF">
              <w:rPr>
                <w:rFonts w:cs="Arial"/>
                <w:sz w:val="20"/>
                <w:szCs w:val="20"/>
                <w:lang w:eastAsia="en-AU"/>
              </w:rPr>
              <w:t>s</w:t>
            </w:r>
            <w:r w:rsidR="00E053A9" w:rsidRPr="004802DF">
              <w:rPr>
                <w:rFonts w:cs="Arial"/>
                <w:sz w:val="20"/>
                <w:szCs w:val="20"/>
                <w:lang w:eastAsia="en-AU"/>
              </w:rPr>
              <w:t xml:space="preserve"> for </w:t>
            </w:r>
            <w:hyperlink r:id="rId18" w:history="1">
              <w:r w:rsidR="00435948" w:rsidRPr="004802DF">
                <w:rPr>
                  <w:rStyle w:val="Hyperlink"/>
                  <w:rFonts w:cs="Arial"/>
                  <w:sz w:val="20"/>
                  <w:szCs w:val="20"/>
                  <w:lang w:eastAsia="en-AU"/>
                </w:rPr>
                <w:t xml:space="preserve">Vaccine </w:t>
              </w:r>
              <w:r w:rsidR="00E053A9" w:rsidRPr="004802DF">
                <w:rPr>
                  <w:rStyle w:val="Hyperlink"/>
                  <w:rFonts w:cs="Arial"/>
                  <w:sz w:val="20"/>
                  <w:szCs w:val="20"/>
                  <w:lang w:eastAsia="en-AU"/>
                </w:rPr>
                <w:t>Providers</w:t>
              </w:r>
            </w:hyperlink>
            <w:r w:rsidR="00E053A9" w:rsidRPr="004802DF">
              <w:rPr>
                <w:rFonts w:cs="Arial"/>
                <w:sz w:val="20"/>
                <w:szCs w:val="20"/>
                <w:lang w:eastAsia="en-AU"/>
              </w:rPr>
              <w:t xml:space="preserve"> and for </w:t>
            </w:r>
            <w:hyperlink r:id="rId19" w:history="1">
              <w:r w:rsidR="00546F0E" w:rsidRPr="004802DF">
                <w:rPr>
                  <w:rStyle w:val="Hyperlink"/>
                  <w:rFonts w:cs="Arial"/>
                  <w:sz w:val="20"/>
                  <w:szCs w:val="20"/>
                  <w:lang w:eastAsia="en-AU"/>
                </w:rPr>
                <w:t>Patients</w:t>
              </w:r>
            </w:hyperlink>
            <w:r w:rsidR="00435948" w:rsidRPr="004802DF">
              <w:rPr>
                <w:rFonts w:cs="Arial"/>
                <w:sz w:val="20"/>
                <w:szCs w:val="20"/>
                <w:lang w:eastAsia="en-AU"/>
              </w:rPr>
              <w:t xml:space="preserve"> w</w:t>
            </w:r>
            <w:r w:rsidR="002F0A58" w:rsidRPr="004802DF">
              <w:rPr>
                <w:rFonts w:cs="Arial"/>
                <w:sz w:val="20"/>
                <w:szCs w:val="20"/>
                <w:lang w:eastAsia="en-AU"/>
              </w:rPr>
              <w:t>ere</w:t>
            </w:r>
            <w:r w:rsidR="00435948" w:rsidRPr="004802DF">
              <w:rPr>
                <w:rFonts w:cs="Arial"/>
                <w:sz w:val="20"/>
                <w:szCs w:val="20"/>
                <w:lang w:eastAsia="en-AU"/>
              </w:rPr>
              <w:t xml:space="preserve"> published</w:t>
            </w:r>
            <w:r w:rsidRPr="004802DF">
              <w:rPr>
                <w:rFonts w:cs="Arial"/>
                <w:sz w:val="20"/>
                <w:szCs w:val="20"/>
                <w:lang w:eastAsia="en-AU"/>
              </w:rPr>
              <w:t>.</w:t>
            </w:r>
            <w:r w:rsidR="00E053A9" w:rsidRPr="004802DF">
              <w:rPr>
                <w:rFonts w:cs="Arial"/>
                <w:sz w:val="20"/>
                <w:szCs w:val="20"/>
                <w:lang w:eastAsia="en-AU"/>
              </w:rPr>
              <w:t xml:space="preserve"> </w:t>
            </w:r>
          </w:p>
          <w:p w14:paraId="20ADAC6F" w14:textId="5F408568" w:rsidR="004E3C96" w:rsidRPr="004802DF" w:rsidRDefault="00E053A9" w:rsidP="00BB758A">
            <w:pPr>
              <w:pStyle w:val="ListParagraph"/>
              <w:numPr>
                <w:ilvl w:val="0"/>
                <w:numId w:val="16"/>
              </w:numPr>
              <w:spacing w:after="120"/>
              <w:contextualSpacing w:val="0"/>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4802DF">
              <w:rPr>
                <w:rFonts w:cs="Arial"/>
                <w:sz w:val="20"/>
                <w:szCs w:val="20"/>
                <w:lang w:eastAsia="en-AU"/>
              </w:rPr>
              <w:t xml:space="preserve">Worked with </w:t>
            </w:r>
            <w:r w:rsidR="00435948" w:rsidRPr="004802DF">
              <w:rPr>
                <w:rFonts w:cs="Arial"/>
                <w:sz w:val="20"/>
                <w:szCs w:val="20"/>
                <w:lang w:eastAsia="en-AU"/>
              </w:rPr>
              <w:t xml:space="preserve">HealthEngine, our Partner in developing </w:t>
            </w:r>
            <w:r w:rsidRPr="004802DF">
              <w:rPr>
                <w:rFonts w:cs="Arial"/>
                <w:sz w:val="20"/>
                <w:szCs w:val="20"/>
                <w:lang w:eastAsia="en-AU"/>
              </w:rPr>
              <w:t xml:space="preserve">the </w:t>
            </w:r>
            <w:r w:rsidR="000551C4">
              <w:rPr>
                <w:rFonts w:cs="Arial"/>
                <w:sz w:val="20"/>
                <w:szCs w:val="20"/>
                <w:lang w:eastAsia="en-AU"/>
              </w:rPr>
              <w:t>BP</w:t>
            </w:r>
            <w:r w:rsidR="005C63F3">
              <w:rPr>
                <w:rFonts w:cs="Arial"/>
                <w:sz w:val="20"/>
                <w:szCs w:val="20"/>
                <w:lang w:eastAsia="en-AU"/>
              </w:rPr>
              <w:t>,</w:t>
            </w:r>
            <w:r w:rsidR="004E3C96" w:rsidRPr="004802DF">
              <w:rPr>
                <w:rFonts w:cs="Arial"/>
                <w:sz w:val="20"/>
                <w:szCs w:val="20"/>
                <w:lang w:eastAsia="en-AU"/>
              </w:rPr>
              <w:t xml:space="preserve"> to</w:t>
            </w:r>
            <w:r w:rsidR="00E24673">
              <w:rPr>
                <w:rFonts w:cs="Arial"/>
                <w:sz w:val="20"/>
                <w:szCs w:val="20"/>
                <w:lang w:eastAsia="en-AU"/>
              </w:rPr>
              <w:t xml:space="preserve"> prepare a tailored</w:t>
            </w:r>
            <w:r w:rsidR="004E3C96" w:rsidRPr="004802DF">
              <w:rPr>
                <w:rFonts w:cs="Arial"/>
                <w:sz w:val="20"/>
                <w:szCs w:val="20"/>
                <w:lang w:eastAsia="en-AU"/>
              </w:rPr>
              <w:t xml:space="preserve"> </w:t>
            </w:r>
            <w:hyperlink r:id="rId20" w:history="1">
              <w:r w:rsidR="004E3C96" w:rsidRPr="004802DF">
                <w:rPr>
                  <w:rStyle w:val="Hyperlink"/>
                  <w:rFonts w:cs="Arial"/>
                  <w:sz w:val="20"/>
                  <w:szCs w:val="20"/>
                  <w:lang w:eastAsia="en-AU"/>
                </w:rPr>
                <w:t>Privacy Policy</w:t>
              </w:r>
            </w:hyperlink>
            <w:r w:rsidR="004E3C96" w:rsidRPr="004802DF">
              <w:rPr>
                <w:rFonts w:cs="Arial"/>
                <w:sz w:val="20"/>
                <w:szCs w:val="20"/>
                <w:lang w:eastAsia="en-AU"/>
              </w:rPr>
              <w:t xml:space="preserve"> and </w:t>
            </w:r>
            <w:hyperlink r:id="rId21" w:history="1">
              <w:r w:rsidR="004E3C96" w:rsidRPr="004802DF">
                <w:rPr>
                  <w:rStyle w:val="Hyperlink"/>
                  <w:rFonts w:cs="Arial"/>
                  <w:sz w:val="20"/>
                  <w:szCs w:val="20"/>
                  <w:lang w:eastAsia="en-AU"/>
                </w:rPr>
                <w:t>Collection Notice</w:t>
              </w:r>
            </w:hyperlink>
            <w:r w:rsidR="00435948" w:rsidRPr="004802DF">
              <w:rPr>
                <w:rFonts w:cs="Arial"/>
                <w:sz w:val="20"/>
                <w:szCs w:val="20"/>
                <w:lang w:eastAsia="en-AU"/>
              </w:rPr>
              <w:t xml:space="preserve"> that reflects agreed data collection, use and handling obligations </w:t>
            </w:r>
            <w:r w:rsidR="00E24673">
              <w:rPr>
                <w:rFonts w:cs="Arial"/>
                <w:sz w:val="20"/>
                <w:szCs w:val="20"/>
                <w:lang w:eastAsia="en-AU"/>
              </w:rPr>
              <w:t xml:space="preserve">for the BP </w:t>
            </w:r>
            <w:r w:rsidR="00435948" w:rsidRPr="004802DF">
              <w:rPr>
                <w:rFonts w:cs="Arial"/>
                <w:sz w:val="20"/>
                <w:szCs w:val="20"/>
                <w:lang w:eastAsia="en-AU"/>
              </w:rPr>
              <w:t xml:space="preserve">in line with the </w:t>
            </w:r>
            <w:r w:rsidR="00435948" w:rsidRPr="004802DF">
              <w:rPr>
                <w:rFonts w:cs="Arial"/>
                <w:i/>
                <w:sz w:val="20"/>
                <w:szCs w:val="20"/>
                <w:lang w:eastAsia="en-AU"/>
              </w:rPr>
              <w:t>Privacy Act 1988</w:t>
            </w:r>
            <w:r w:rsidR="00CA23D5" w:rsidRPr="004802DF">
              <w:rPr>
                <w:rFonts w:cs="Arial"/>
                <w:sz w:val="20"/>
                <w:szCs w:val="20"/>
                <w:lang w:eastAsia="en-AU"/>
              </w:rPr>
              <w:t>.</w:t>
            </w:r>
            <w:r w:rsidR="00435948" w:rsidRPr="004802DF">
              <w:rPr>
                <w:rFonts w:cs="Arial"/>
                <w:sz w:val="20"/>
                <w:szCs w:val="20"/>
                <w:lang w:eastAsia="en-AU"/>
              </w:rPr>
              <w:t xml:space="preserve"> Tailored Terms and Conditions of Use for </w:t>
            </w:r>
            <w:r w:rsidR="00167EF5">
              <w:rPr>
                <w:rFonts w:cs="Arial"/>
                <w:sz w:val="20"/>
                <w:szCs w:val="20"/>
                <w:lang w:eastAsia="en-AU"/>
              </w:rPr>
              <w:t>C</w:t>
            </w:r>
            <w:r w:rsidR="00435948" w:rsidRPr="004802DF">
              <w:rPr>
                <w:rFonts w:cs="Arial"/>
                <w:sz w:val="20"/>
                <w:szCs w:val="20"/>
                <w:lang w:eastAsia="en-AU"/>
              </w:rPr>
              <w:t>onsumers and Terms and Conditions of Use for Vaccine Providers were also developed.</w:t>
            </w:r>
            <w:r w:rsidR="00E24673">
              <w:rPr>
                <w:rFonts w:cs="Arial"/>
                <w:sz w:val="20"/>
                <w:szCs w:val="20"/>
                <w:lang w:eastAsia="en-AU"/>
              </w:rPr>
              <w:t xml:space="preserve"> These are separate from the arrangements for HealthEngine’s mainstream booking solution.</w:t>
            </w:r>
          </w:p>
          <w:p w14:paraId="49EB87F9" w14:textId="7CB3A076" w:rsidR="002F0A58" w:rsidRPr="004802DF" w:rsidRDefault="00435948" w:rsidP="002F0A58">
            <w:pPr>
              <w:pStyle w:val="ListParagraph"/>
              <w:numPr>
                <w:ilvl w:val="0"/>
                <w:numId w:val="16"/>
              </w:numPr>
              <w:spacing w:after="120"/>
              <w:contextualSpacing w:val="0"/>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4802DF">
              <w:rPr>
                <w:rFonts w:cs="Arial"/>
                <w:sz w:val="20"/>
                <w:szCs w:val="20"/>
                <w:lang w:eastAsia="en-AU"/>
              </w:rPr>
              <w:t xml:space="preserve">Ensured that </w:t>
            </w:r>
            <w:r w:rsidR="002F0A58" w:rsidRPr="004802DF">
              <w:rPr>
                <w:rFonts w:cs="Arial"/>
                <w:sz w:val="20"/>
                <w:szCs w:val="20"/>
                <w:lang w:eastAsia="en-AU"/>
              </w:rPr>
              <w:t>privacy and security considerations were a priority in ICT design. G</w:t>
            </w:r>
            <w:r w:rsidRPr="004802DF">
              <w:rPr>
                <w:rFonts w:cs="Arial"/>
                <w:sz w:val="20"/>
                <w:szCs w:val="20"/>
                <w:lang w:eastAsia="en-AU"/>
              </w:rPr>
              <w:t xml:space="preserve">uidance and links to relevant privacy documents were embedded in the ICT systems as a ‘layered’ approach to facilitating user awareness of privacy protections before information is collected. </w:t>
            </w:r>
          </w:p>
          <w:p w14:paraId="22D6647E" w14:textId="20B2DB25" w:rsidR="00BB758A" w:rsidRPr="004802DF" w:rsidRDefault="00BB758A" w:rsidP="00BB758A">
            <w:pPr>
              <w:pStyle w:val="ListParagraph"/>
              <w:numPr>
                <w:ilvl w:val="0"/>
                <w:numId w:val="16"/>
              </w:numPr>
              <w:spacing w:after="120"/>
              <w:contextualSpacing w:val="0"/>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4802DF">
              <w:rPr>
                <w:rFonts w:cs="Arial"/>
                <w:sz w:val="20"/>
                <w:szCs w:val="20"/>
                <w:lang w:eastAsia="en-AU"/>
              </w:rPr>
              <w:t xml:space="preserve">Continued to add to and update our specific COVID-19 Vaccination Privacy landing page: </w:t>
            </w:r>
            <w:hyperlink r:id="rId22" w:history="1">
              <w:r w:rsidR="00435948" w:rsidRPr="004802DF">
                <w:rPr>
                  <w:rStyle w:val="Hyperlink"/>
                  <w:rFonts w:cs="Arial"/>
                  <w:sz w:val="20"/>
                  <w:szCs w:val="20"/>
                </w:rPr>
                <w:t>www.health.gov.au/covid19-privacy</w:t>
              </w:r>
            </w:hyperlink>
            <w:r w:rsidR="00435948" w:rsidRPr="004802DF">
              <w:rPr>
                <w:rFonts w:cs="Arial"/>
                <w:sz w:val="20"/>
                <w:szCs w:val="20"/>
              </w:rPr>
              <w:t xml:space="preserve">. </w:t>
            </w:r>
            <w:r w:rsidRPr="004802DF">
              <w:rPr>
                <w:rFonts w:cs="Arial"/>
                <w:sz w:val="20"/>
                <w:szCs w:val="20"/>
              </w:rPr>
              <w:t xml:space="preserve"> </w:t>
            </w:r>
          </w:p>
          <w:p w14:paraId="451F8653" w14:textId="68798628" w:rsidR="000D68FF" w:rsidRPr="004802DF" w:rsidRDefault="00600D66" w:rsidP="00A24D2E">
            <w:pPr>
              <w:cnfStyle w:val="000000010000" w:firstRow="0" w:lastRow="0" w:firstColumn="0" w:lastColumn="0" w:oddVBand="0" w:evenVBand="0" w:oddHBand="0" w:evenHBand="1" w:firstRowFirstColumn="0" w:firstRowLastColumn="0" w:lastRowFirstColumn="0" w:lastRowLastColumn="0"/>
              <w:rPr>
                <w:rFonts w:cs="Arial"/>
                <w:sz w:val="20"/>
                <w:szCs w:val="20"/>
                <w:lang w:eastAsia="en-AU"/>
              </w:rPr>
            </w:pPr>
            <w:r w:rsidRPr="004802DF">
              <w:rPr>
                <w:rFonts w:cs="Arial"/>
                <w:sz w:val="20"/>
                <w:szCs w:val="20"/>
                <w:lang w:eastAsia="en-AU"/>
              </w:rPr>
              <w:t>Health has</w:t>
            </w:r>
            <w:r w:rsidR="00797B03" w:rsidRPr="004802DF">
              <w:rPr>
                <w:rFonts w:cs="Arial"/>
                <w:sz w:val="20"/>
                <w:szCs w:val="20"/>
                <w:lang w:eastAsia="en-AU"/>
              </w:rPr>
              <w:t xml:space="preserve"> continued to consult with internal and external legal advisers in relation to </w:t>
            </w:r>
            <w:r w:rsidR="000D68FF" w:rsidRPr="004802DF">
              <w:rPr>
                <w:rFonts w:cs="Arial"/>
                <w:sz w:val="20"/>
                <w:szCs w:val="20"/>
                <w:lang w:eastAsia="en-AU"/>
              </w:rPr>
              <w:t>a</w:t>
            </w:r>
            <w:r w:rsidRPr="004802DF">
              <w:rPr>
                <w:rFonts w:cs="Arial"/>
                <w:sz w:val="20"/>
                <w:szCs w:val="20"/>
                <w:lang w:eastAsia="en-AU"/>
              </w:rPr>
              <w:t>greements and contracts with Partners and third party entities involved in the rollout</w:t>
            </w:r>
            <w:r w:rsidR="000D68FF" w:rsidRPr="004802DF">
              <w:rPr>
                <w:rFonts w:cs="Arial"/>
                <w:sz w:val="20"/>
                <w:szCs w:val="20"/>
                <w:lang w:eastAsia="en-AU"/>
              </w:rPr>
              <w:t>, including obtaining specific advice relating to privacy obligations</w:t>
            </w:r>
            <w:r w:rsidR="002F0A58" w:rsidRPr="004802DF">
              <w:rPr>
                <w:rFonts w:cs="Arial"/>
                <w:sz w:val="20"/>
                <w:szCs w:val="20"/>
                <w:lang w:eastAsia="en-AU"/>
              </w:rPr>
              <w:t xml:space="preserve"> and monitor</w:t>
            </w:r>
            <w:r w:rsidR="004A0B95" w:rsidRPr="004802DF">
              <w:rPr>
                <w:rFonts w:cs="Arial"/>
                <w:sz w:val="20"/>
                <w:szCs w:val="20"/>
                <w:lang w:eastAsia="en-AU"/>
              </w:rPr>
              <w:t>ing compliance with the contracts</w:t>
            </w:r>
            <w:r w:rsidR="000D68FF" w:rsidRPr="004802DF">
              <w:rPr>
                <w:rFonts w:cs="Arial"/>
                <w:sz w:val="20"/>
                <w:szCs w:val="20"/>
                <w:lang w:eastAsia="en-AU"/>
              </w:rPr>
              <w:t xml:space="preserve">.  </w:t>
            </w:r>
          </w:p>
          <w:p w14:paraId="47542FAF" w14:textId="77777777" w:rsidR="000D68FF" w:rsidRPr="004802DF" w:rsidRDefault="000D68FF" w:rsidP="00C22FC4">
            <w:pPr>
              <w:pStyle w:val="CommentText"/>
              <w:cnfStyle w:val="000000010000" w:firstRow="0" w:lastRow="0" w:firstColumn="0" w:lastColumn="0" w:oddVBand="0" w:evenVBand="0" w:oddHBand="0" w:evenHBand="1" w:firstRowFirstColumn="0" w:firstRowLastColumn="0" w:lastRowFirstColumn="0" w:lastRowLastColumn="0"/>
              <w:rPr>
                <w:rFonts w:cs="Arial"/>
              </w:rPr>
            </w:pPr>
          </w:p>
          <w:p w14:paraId="5840DA11" w14:textId="7BE131B6" w:rsidR="000D68FF" w:rsidRPr="004802DF" w:rsidRDefault="00600D66" w:rsidP="00C22FC4">
            <w:pPr>
              <w:pStyle w:val="CommentText"/>
              <w:cnfStyle w:val="000000010000" w:firstRow="0" w:lastRow="0" w:firstColumn="0" w:lastColumn="0" w:oddVBand="0" w:evenVBand="0" w:oddHBand="0" w:evenHBand="1" w:firstRowFirstColumn="0" w:firstRowLastColumn="0" w:lastRowFirstColumn="0" w:lastRowLastColumn="0"/>
              <w:rPr>
                <w:rFonts w:cs="Arial"/>
              </w:rPr>
            </w:pPr>
            <w:r w:rsidRPr="004802DF">
              <w:rPr>
                <w:rFonts w:cs="Arial"/>
              </w:rPr>
              <w:t>T</w:t>
            </w:r>
            <w:r w:rsidR="000D68FF" w:rsidRPr="004802DF">
              <w:rPr>
                <w:rFonts w:cs="Arial"/>
              </w:rPr>
              <w:t xml:space="preserve">raining materials </w:t>
            </w:r>
            <w:r w:rsidRPr="004802DF">
              <w:rPr>
                <w:rFonts w:cs="Arial"/>
              </w:rPr>
              <w:t>used by Va</w:t>
            </w:r>
            <w:r w:rsidR="000D68FF" w:rsidRPr="004802DF">
              <w:rPr>
                <w:rFonts w:cs="Arial"/>
              </w:rPr>
              <w:t>ccinati</w:t>
            </w:r>
            <w:r w:rsidRPr="004802DF">
              <w:rPr>
                <w:rFonts w:cs="Arial"/>
              </w:rPr>
              <w:t>on P</w:t>
            </w:r>
            <w:r w:rsidR="000D68FF" w:rsidRPr="004802DF">
              <w:rPr>
                <w:rFonts w:cs="Arial"/>
              </w:rPr>
              <w:t xml:space="preserve">roviders </w:t>
            </w:r>
            <w:r w:rsidRPr="004802DF">
              <w:rPr>
                <w:rFonts w:cs="Arial"/>
              </w:rPr>
              <w:t>contains</w:t>
            </w:r>
            <w:r w:rsidR="000D68FF" w:rsidRPr="004802DF">
              <w:rPr>
                <w:rFonts w:cs="Arial"/>
              </w:rPr>
              <w:t xml:space="preserve"> </w:t>
            </w:r>
            <w:r w:rsidRPr="004802DF">
              <w:rPr>
                <w:rFonts w:cs="Arial"/>
              </w:rPr>
              <w:t>guidance</w:t>
            </w:r>
            <w:r w:rsidR="000D68FF" w:rsidRPr="004802DF">
              <w:rPr>
                <w:rFonts w:cs="Arial"/>
              </w:rPr>
              <w:t xml:space="preserve"> on privacy</w:t>
            </w:r>
            <w:r w:rsidRPr="004802DF">
              <w:rPr>
                <w:rFonts w:cs="Arial"/>
              </w:rPr>
              <w:t xml:space="preserve"> and a link to the Health website</w:t>
            </w:r>
            <w:r w:rsidR="000D68FF" w:rsidRPr="004802DF">
              <w:rPr>
                <w:rFonts w:cs="Arial"/>
              </w:rPr>
              <w:t xml:space="preserve">. </w:t>
            </w:r>
            <w:r w:rsidRPr="004802DF">
              <w:rPr>
                <w:rFonts w:cs="Arial"/>
              </w:rPr>
              <w:t>T</w:t>
            </w:r>
            <w:r w:rsidR="000D68FF" w:rsidRPr="004802DF">
              <w:rPr>
                <w:rFonts w:cs="Arial"/>
              </w:rPr>
              <w:t xml:space="preserve">he training module on consent </w:t>
            </w:r>
            <w:r w:rsidRPr="004802DF">
              <w:rPr>
                <w:rFonts w:cs="Arial"/>
              </w:rPr>
              <w:t xml:space="preserve">also </w:t>
            </w:r>
            <w:r w:rsidR="00E86789" w:rsidRPr="004802DF">
              <w:rPr>
                <w:rFonts w:cs="Arial"/>
              </w:rPr>
              <w:t>covers</w:t>
            </w:r>
            <w:r w:rsidR="000D68FF" w:rsidRPr="004802DF">
              <w:rPr>
                <w:rFonts w:cs="Arial"/>
              </w:rPr>
              <w:t xml:space="preserve"> the reporting of personal information to the Australian Immunisation Register. </w:t>
            </w:r>
          </w:p>
          <w:p w14:paraId="65EF79DB" w14:textId="7447233D" w:rsidR="00F135DF" w:rsidRPr="004802DF" w:rsidRDefault="00EB3595" w:rsidP="00C22FC4">
            <w:pPr>
              <w:pStyle w:val="CommentText"/>
              <w:cnfStyle w:val="000000010000" w:firstRow="0" w:lastRow="0" w:firstColumn="0" w:lastColumn="0" w:oddVBand="0" w:evenVBand="0" w:oddHBand="0" w:evenHBand="1" w:firstRowFirstColumn="0" w:firstRowLastColumn="0" w:lastRowFirstColumn="0" w:lastRowLastColumn="0"/>
              <w:rPr>
                <w:rFonts w:cs="Arial"/>
              </w:rPr>
            </w:pPr>
            <w:r w:rsidRPr="004802DF">
              <w:rPr>
                <w:rFonts w:cs="Arial"/>
              </w:rPr>
              <w:t xml:space="preserve"> </w:t>
            </w:r>
          </w:p>
        </w:tc>
      </w:tr>
    </w:tbl>
    <w:p w14:paraId="4FB95F55" w14:textId="6570FE95" w:rsidR="00F135DF" w:rsidRPr="004802DF" w:rsidRDefault="00F135DF" w:rsidP="00062223">
      <w:pPr>
        <w:pStyle w:val="Paragraphtext"/>
        <w:rPr>
          <w:rFonts w:cs="Arial"/>
          <w:sz w:val="20"/>
          <w:szCs w:val="20"/>
        </w:rPr>
      </w:pPr>
    </w:p>
    <w:tbl>
      <w:tblPr>
        <w:tblStyle w:val="DepartmentofHealthtable"/>
        <w:tblW w:w="0" w:type="auto"/>
        <w:tblLayout w:type="fixed"/>
        <w:tblLook w:val="04A0" w:firstRow="1" w:lastRow="0" w:firstColumn="1" w:lastColumn="0" w:noHBand="0" w:noVBand="1"/>
      </w:tblPr>
      <w:tblGrid>
        <w:gridCol w:w="2407"/>
        <w:gridCol w:w="6098"/>
      </w:tblGrid>
      <w:tr w:rsidR="00062223" w:rsidRPr="004802DF" w14:paraId="56B4F611" w14:textId="77777777" w:rsidTr="00214E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115A1990" w14:textId="77777777" w:rsidR="00062223" w:rsidRPr="004802DF" w:rsidRDefault="00D21770" w:rsidP="005C63F3">
            <w:pPr>
              <w:pStyle w:val="TableHeaderWhite"/>
              <w:keepNext/>
              <w:rPr>
                <w:rFonts w:cs="Arial"/>
                <w:sz w:val="20"/>
                <w:szCs w:val="20"/>
              </w:rPr>
            </w:pPr>
            <w:r w:rsidRPr="004802DF">
              <w:rPr>
                <w:rFonts w:cs="Arial"/>
                <w:sz w:val="20"/>
                <w:szCs w:val="20"/>
              </w:rPr>
              <w:t xml:space="preserve">Maddocks </w:t>
            </w:r>
            <w:r w:rsidR="00062223" w:rsidRPr="004802DF">
              <w:rPr>
                <w:rFonts w:cs="Arial"/>
                <w:sz w:val="20"/>
                <w:szCs w:val="20"/>
              </w:rPr>
              <w:t xml:space="preserve">Recommendation 2: </w:t>
            </w:r>
          </w:p>
        </w:tc>
        <w:tc>
          <w:tcPr>
            <w:tcW w:w="6098" w:type="dxa"/>
          </w:tcPr>
          <w:p w14:paraId="489351C6" w14:textId="14DCB2D9" w:rsidR="00062223" w:rsidRPr="004802DF" w:rsidRDefault="00BB758A" w:rsidP="005C63F3">
            <w:pPr>
              <w:pStyle w:val="TableHeader"/>
              <w:keepNext/>
              <w:cnfStyle w:val="100000000000" w:firstRow="1" w:lastRow="0" w:firstColumn="0" w:lastColumn="0" w:oddVBand="0" w:evenVBand="0" w:oddHBand="0" w:evenHBand="0" w:firstRowFirstColumn="0" w:firstRowLastColumn="0" w:lastRowFirstColumn="0" w:lastRowLastColumn="0"/>
              <w:rPr>
                <w:rFonts w:cs="Arial"/>
                <w:sz w:val="20"/>
                <w:szCs w:val="20"/>
              </w:rPr>
            </w:pPr>
            <w:r w:rsidRPr="004802DF">
              <w:rPr>
                <w:rFonts w:cs="Arial"/>
                <w:sz w:val="20"/>
                <w:szCs w:val="20"/>
              </w:rPr>
              <w:t>Tailored communication products and processes</w:t>
            </w:r>
          </w:p>
        </w:tc>
      </w:tr>
      <w:tr w:rsidR="00062223" w:rsidRPr="004802DF" w14:paraId="4ADCAA72" w14:textId="77777777" w:rsidTr="00214E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gridSpan w:val="2"/>
          </w:tcPr>
          <w:p w14:paraId="7D497EDB" w14:textId="2BE06143" w:rsidR="00BB758A" w:rsidRPr="004802DF" w:rsidRDefault="00BB758A" w:rsidP="005C63F3">
            <w:pPr>
              <w:pStyle w:val="BodyIndent0"/>
              <w:keepNext/>
              <w:spacing w:before="120" w:after="120"/>
              <w:rPr>
                <w:i w:val="0"/>
                <w:iCs/>
                <w:u w:val="none"/>
              </w:rPr>
            </w:pPr>
            <w:r w:rsidRPr="004802DF">
              <w:rPr>
                <w:i w:val="0"/>
                <w:iCs/>
                <w:u w:val="none"/>
              </w:rPr>
              <w:t xml:space="preserve">We </w:t>
            </w:r>
            <w:r w:rsidRPr="004802DF">
              <w:rPr>
                <w:b/>
                <w:i w:val="0"/>
                <w:iCs/>
                <w:u w:val="none"/>
              </w:rPr>
              <w:t>recommend</w:t>
            </w:r>
            <w:r w:rsidRPr="004802DF">
              <w:rPr>
                <w:i w:val="0"/>
                <w:iCs/>
                <w:u w:val="none"/>
              </w:rPr>
              <w:t xml:space="preserve"> that Health consider implementing, as soon as possible, additional measures designed to ensure that all Australians receiving vaccines or otherwise involved in Phase 1b are able to fully understand how their personal information will be handled. This is particularly important given that Phase 1b will involve greater numbers of Patients who may be vulnerable and need additional support to ensure they are able to understand how their personal information will be handled (and provide consent where applicable). This may include:</w:t>
            </w:r>
          </w:p>
          <w:p w14:paraId="6727ECB2" w14:textId="58CABDC6" w:rsidR="00BB758A" w:rsidRPr="004802DF" w:rsidRDefault="00BB758A" w:rsidP="005C63F3">
            <w:pPr>
              <w:pStyle w:val="BodyIndent0"/>
              <w:keepNext/>
              <w:numPr>
                <w:ilvl w:val="0"/>
                <w:numId w:val="17"/>
              </w:numPr>
              <w:spacing w:before="120" w:after="120"/>
              <w:rPr>
                <w:i w:val="0"/>
                <w:iCs/>
                <w:u w:val="none"/>
              </w:rPr>
            </w:pPr>
            <w:r w:rsidRPr="004802DF">
              <w:rPr>
                <w:i w:val="0"/>
                <w:iCs/>
                <w:u w:val="none"/>
              </w:rPr>
              <w:t>including functionality so that information on all of the new ICT components and in the associated privacy notices can be displayed or provided in other languages; and/or</w:t>
            </w:r>
          </w:p>
          <w:p w14:paraId="01B0571D" w14:textId="77777777" w:rsidR="00BB758A" w:rsidRPr="004802DF" w:rsidRDefault="00BB758A" w:rsidP="005C63F3">
            <w:pPr>
              <w:pStyle w:val="BodyIndent0"/>
              <w:keepNext/>
              <w:numPr>
                <w:ilvl w:val="0"/>
                <w:numId w:val="17"/>
              </w:numPr>
              <w:spacing w:before="120" w:after="120"/>
              <w:rPr>
                <w:i w:val="0"/>
                <w:iCs/>
                <w:u w:val="none"/>
              </w:rPr>
            </w:pPr>
            <w:r w:rsidRPr="004802DF">
              <w:rPr>
                <w:i w:val="0"/>
                <w:iCs/>
                <w:u w:val="none"/>
              </w:rPr>
              <w:t>making interpreting services freely available.</w:t>
            </w:r>
          </w:p>
          <w:p w14:paraId="6F37CDBC" w14:textId="55AACD43" w:rsidR="009E1A42" w:rsidRPr="004802DF" w:rsidRDefault="00BB758A" w:rsidP="005C63F3">
            <w:pPr>
              <w:spacing w:after="240"/>
              <w:rPr>
                <w:rFonts w:cs="Arial"/>
                <w:bCs/>
                <w:sz w:val="20"/>
                <w:szCs w:val="20"/>
              </w:rPr>
            </w:pPr>
            <w:r w:rsidRPr="004802DF">
              <w:rPr>
                <w:rFonts w:cs="Arial"/>
                <w:sz w:val="20"/>
                <w:szCs w:val="20"/>
              </w:rPr>
              <w:t xml:space="preserve">In particular, Health may wish to, in addition to the measures recommended in </w:t>
            </w:r>
            <w:r w:rsidRPr="004802DF">
              <w:rPr>
                <w:rFonts w:cs="Arial"/>
                <w:b/>
                <w:sz w:val="20"/>
                <w:szCs w:val="20"/>
              </w:rPr>
              <w:t>Recommendation 6</w:t>
            </w:r>
            <w:r w:rsidRPr="004802DF">
              <w:rPr>
                <w:rFonts w:cs="Arial"/>
                <w:sz w:val="20"/>
                <w:szCs w:val="20"/>
              </w:rPr>
              <w:t>, commence developing tailored communication and explanatory materials, and/or alternative processes, for children who are aged 15 years or older, to ensure that these older children who are Patients are able to understand and communicate valid consent. Health may also wish to implement alternative processes that are specifically designed for such younger Patients, such as tailored booking services that would provide an opportunity to assess the individual’s capacity to provide consent and to deliver targeted information</w:t>
            </w:r>
          </w:p>
        </w:tc>
      </w:tr>
      <w:tr w:rsidR="00062223" w:rsidRPr="004802DF" w14:paraId="2F5D68BD" w14:textId="77777777" w:rsidTr="00214E8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6BEC2B07" w14:textId="77777777" w:rsidR="00062223" w:rsidRPr="004802DF" w:rsidRDefault="00DF66E4" w:rsidP="00F537C3">
            <w:pPr>
              <w:pStyle w:val="Tabletextleft"/>
            </w:pPr>
            <w:r w:rsidRPr="004802DF">
              <w:t>R</w:t>
            </w:r>
            <w:r w:rsidR="00062223" w:rsidRPr="004802DF">
              <w:t>esponse</w:t>
            </w:r>
          </w:p>
        </w:tc>
        <w:tc>
          <w:tcPr>
            <w:tcW w:w="6098" w:type="dxa"/>
          </w:tcPr>
          <w:p w14:paraId="1A965CD0" w14:textId="77777777" w:rsidR="00E86789" w:rsidRPr="004802DF" w:rsidRDefault="00822FBF" w:rsidP="005C63F3">
            <w:pPr>
              <w:keepNext/>
              <w:cnfStyle w:val="000000010000" w:firstRow="0" w:lastRow="0" w:firstColumn="0" w:lastColumn="0" w:oddVBand="0" w:evenVBand="0" w:oddHBand="0" w:evenHBand="1" w:firstRowFirstColumn="0" w:firstRowLastColumn="0" w:lastRowFirstColumn="0" w:lastRowLastColumn="0"/>
              <w:rPr>
                <w:rFonts w:cs="Arial"/>
                <w:iCs/>
                <w:sz w:val="20"/>
                <w:szCs w:val="20"/>
              </w:rPr>
            </w:pPr>
            <w:r w:rsidRPr="004802DF">
              <w:rPr>
                <w:rFonts w:cs="Arial"/>
                <w:iCs/>
                <w:sz w:val="20"/>
                <w:szCs w:val="20"/>
              </w:rPr>
              <w:t xml:space="preserve">Agreed. </w:t>
            </w:r>
          </w:p>
          <w:p w14:paraId="0282D6C6" w14:textId="77777777" w:rsidR="00E86789" w:rsidRPr="004802DF" w:rsidRDefault="00E86789" w:rsidP="005C63F3">
            <w:pPr>
              <w:keepNext/>
              <w:cnfStyle w:val="000000010000" w:firstRow="0" w:lastRow="0" w:firstColumn="0" w:lastColumn="0" w:oddVBand="0" w:evenVBand="0" w:oddHBand="0" w:evenHBand="1" w:firstRowFirstColumn="0" w:firstRowLastColumn="0" w:lastRowFirstColumn="0" w:lastRowLastColumn="0"/>
              <w:rPr>
                <w:rFonts w:cs="Arial"/>
                <w:iCs/>
                <w:sz w:val="20"/>
                <w:szCs w:val="20"/>
              </w:rPr>
            </w:pPr>
          </w:p>
          <w:p w14:paraId="113CB508" w14:textId="3B1C2D38" w:rsidR="003E43A5" w:rsidRPr="004802DF" w:rsidRDefault="003E43A5" w:rsidP="005C63F3">
            <w:pPr>
              <w:keepNext/>
              <w:cnfStyle w:val="000000010000" w:firstRow="0" w:lastRow="0" w:firstColumn="0" w:lastColumn="0" w:oddVBand="0" w:evenVBand="0" w:oddHBand="0" w:evenHBand="1" w:firstRowFirstColumn="0" w:firstRowLastColumn="0" w:lastRowFirstColumn="0" w:lastRowLastColumn="0"/>
              <w:rPr>
                <w:rFonts w:cs="Arial"/>
                <w:iCs/>
                <w:sz w:val="20"/>
                <w:szCs w:val="20"/>
              </w:rPr>
            </w:pPr>
            <w:r w:rsidRPr="004802DF">
              <w:rPr>
                <w:rFonts w:cs="Arial"/>
                <w:iCs/>
                <w:sz w:val="20"/>
                <w:szCs w:val="20"/>
              </w:rPr>
              <w:t>Health is ensuring that information is widely accessible for a range of audiences.</w:t>
            </w:r>
          </w:p>
          <w:p w14:paraId="4FBEFAA2" w14:textId="77777777" w:rsidR="003E43A5" w:rsidRPr="004802DF" w:rsidRDefault="003E43A5" w:rsidP="005C63F3">
            <w:pPr>
              <w:keepNext/>
              <w:cnfStyle w:val="000000010000" w:firstRow="0" w:lastRow="0" w:firstColumn="0" w:lastColumn="0" w:oddVBand="0" w:evenVBand="0" w:oddHBand="0" w:evenHBand="1" w:firstRowFirstColumn="0" w:firstRowLastColumn="0" w:lastRowFirstColumn="0" w:lastRowLastColumn="0"/>
              <w:rPr>
                <w:rFonts w:cs="Arial"/>
                <w:iCs/>
                <w:sz w:val="20"/>
                <w:szCs w:val="20"/>
              </w:rPr>
            </w:pPr>
          </w:p>
          <w:p w14:paraId="1F77AFC0" w14:textId="179F2813" w:rsidR="00C22FC4" w:rsidRPr="004802DF" w:rsidRDefault="003E43A5" w:rsidP="005C63F3">
            <w:pPr>
              <w:keepNext/>
              <w:cnfStyle w:val="000000010000" w:firstRow="0" w:lastRow="0" w:firstColumn="0" w:lastColumn="0" w:oddVBand="0" w:evenVBand="0" w:oddHBand="0" w:evenHBand="1" w:firstRowFirstColumn="0" w:firstRowLastColumn="0" w:lastRowFirstColumn="0" w:lastRowLastColumn="0"/>
              <w:rPr>
                <w:rFonts w:cs="Arial"/>
                <w:iCs/>
                <w:sz w:val="20"/>
                <w:szCs w:val="20"/>
              </w:rPr>
            </w:pPr>
            <w:r w:rsidRPr="004802DF">
              <w:rPr>
                <w:rFonts w:cs="Arial"/>
                <w:iCs/>
                <w:sz w:val="20"/>
                <w:szCs w:val="20"/>
              </w:rPr>
              <w:t xml:space="preserve">Online privacy documents have been </w:t>
            </w:r>
            <w:r w:rsidR="00E86789" w:rsidRPr="004802DF">
              <w:rPr>
                <w:rFonts w:cs="Arial"/>
                <w:iCs/>
                <w:sz w:val="20"/>
                <w:szCs w:val="20"/>
              </w:rPr>
              <w:t xml:space="preserve">drafted </w:t>
            </w:r>
            <w:r w:rsidR="00474E27" w:rsidRPr="004802DF">
              <w:rPr>
                <w:rFonts w:cs="Arial"/>
                <w:iCs/>
                <w:sz w:val="20"/>
                <w:szCs w:val="20"/>
              </w:rPr>
              <w:t>to be</w:t>
            </w:r>
            <w:r w:rsidR="00600D66" w:rsidRPr="004802DF">
              <w:rPr>
                <w:rFonts w:cs="Arial"/>
                <w:iCs/>
                <w:sz w:val="20"/>
                <w:szCs w:val="20"/>
              </w:rPr>
              <w:t xml:space="preserve"> understood</w:t>
            </w:r>
            <w:r w:rsidR="00E86789" w:rsidRPr="004802DF">
              <w:rPr>
                <w:rFonts w:cs="Arial"/>
                <w:iCs/>
                <w:sz w:val="20"/>
                <w:szCs w:val="20"/>
              </w:rPr>
              <w:t xml:space="preserve"> </w:t>
            </w:r>
            <w:r w:rsidR="00474E27" w:rsidRPr="004802DF">
              <w:rPr>
                <w:rFonts w:cs="Arial"/>
                <w:iCs/>
                <w:sz w:val="20"/>
                <w:szCs w:val="20"/>
              </w:rPr>
              <w:t>by the vast majority of p</w:t>
            </w:r>
            <w:r w:rsidR="00E86789" w:rsidRPr="004802DF">
              <w:rPr>
                <w:rFonts w:cs="Arial"/>
                <w:iCs/>
                <w:sz w:val="20"/>
                <w:szCs w:val="20"/>
              </w:rPr>
              <w:t xml:space="preserve">eople </w:t>
            </w:r>
            <w:r w:rsidR="00474E27" w:rsidRPr="004802DF">
              <w:rPr>
                <w:rFonts w:cs="Arial"/>
                <w:iCs/>
                <w:sz w:val="20"/>
                <w:szCs w:val="20"/>
              </w:rPr>
              <w:t>who speak English</w:t>
            </w:r>
            <w:r w:rsidR="00600D66" w:rsidRPr="004802DF">
              <w:rPr>
                <w:rFonts w:cs="Arial"/>
                <w:iCs/>
                <w:sz w:val="20"/>
                <w:szCs w:val="20"/>
              </w:rPr>
              <w:t xml:space="preserve">. Translations into the 9 languages other than English </w:t>
            </w:r>
            <w:r w:rsidR="00C20BF7">
              <w:rPr>
                <w:rFonts w:cs="Arial"/>
                <w:iCs/>
                <w:sz w:val="20"/>
                <w:szCs w:val="20"/>
              </w:rPr>
              <w:t xml:space="preserve">that are </w:t>
            </w:r>
            <w:r w:rsidR="00600D66" w:rsidRPr="004802DF">
              <w:rPr>
                <w:rFonts w:cs="Arial"/>
                <w:iCs/>
                <w:sz w:val="20"/>
                <w:szCs w:val="20"/>
              </w:rPr>
              <w:t>most frequently spoken in Australia</w:t>
            </w:r>
            <w:r w:rsidRPr="004802DF">
              <w:rPr>
                <w:rStyle w:val="FootnoteReference"/>
                <w:rFonts w:cs="Arial"/>
                <w:iCs/>
                <w:sz w:val="20"/>
                <w:szCs w:val="20"/>
              </w:rPr>
              <w:footnoteReference w:id="2"/>
            </w:r>
            <w:r w:rsidR="00600D66" w:rsidRPr="004802DF">
              <w:rPr>
                <w:rFonts w:cs="Arial"/>
                <w:iCs/>
                <w:sz w:val="20"/>
                <w:szCs w:val="20"/>
              </w:rPr>
              <w:t xml:space="preserve"> have also been undertaken for t</w:t>
            </w:r>
            <w:r w:rsidR="00E86789" w:rsidRPr="004802DF">
              <w:rPr>
                <w:rFonts w:cs="Arial"/>
                <w:iCs/>
                <w:sz w:val="20"/>
                <w:szCs w:val="20"/>
              </w:rPr>
              <w:t xml:space="preserve">he Eligibility Checker and </w:t>
            </w:r>
            <w:r w:rsidR="000551C4">
              <w:rPr>
                <w:rFonts w:cs="Arial"/>
                <w:iCs/>
                <w:sz w:val="20"/>
                <w:szCs w:val="20"/>
              </w:rPr>
              <w:t>RYI</w:t>
            </w:r>
            <w:r w:rsidR="00E86789" w:rsidRPr="004802DF">
              <w:rPr>
                <w:rFonts w:cs="Arial"/>
                <w:iCs/>
                <w:sz w:val="20"/>
                <w:szCs w:val="20"/>
              </w:rPr>
              <w:t xml:space="preserve"> platforms, as well as the </w:t>
            </w:r>
            <w:r w:rsidR="00600D66" w:rsidRPr="004802DF">
              <w:rPr>
                <w:rFonts w:cs="Arial"/>
                <w:iCs/>
                <w:sz w:val="20"/>
                <w:szCs w:val="20"/>
              </w:rPr>
              <w:t>associated Privacy Notice.</w:t>
            </w:r>
            <w:r w:rsidR="002F0A58" w:rsidRPr="004802DF">
              <w:rPr>
                <w:rFonts w:cs="Arial"/>
                <w:iCs/>
                <w:sz w:val="20"/>
                <w:szCs w:val="20"/>
              </w:rPr>
              <w:t xml:space="preserve"> </w:t>
            </w:r>
          </w:p>
          <w:p w14:paraId="207552BF" w14:textId="77777777" w:rsidR="00E86789" w:rsidRPr="004802DF" w:rsidRDefault="00E86789" w:rsidP="005C63F3">
            <w:pPr>
              <w:keepNext/>
              <w:cnfStyle w:val="000000010000" w:firstRow="0" w:lastRow="0" w:firstColumn="0" w:lastColumn="0" w:oddVBand="0" w:evenVBand="0" w:oddHBand="0" w:evenHBand="1" w:firstRowFirstColumn="0" w:firstRowLastColumn="0" w:lastRowFirstColumn="0" w:lastRowLastColumn="0"/>
              <w:rPr>
                <w:rFonts w:cs="Arial"/>
                <w:iCs/>
                <w:sz w:val="20"/>
                <w:szCs w:val="20"/>
              </w:rPr>
            </w:pPr>
          </w:p>
          <w:p w14:paraId="383D9B6F" w14:textId="4FD12A7B" w:rsidR="00546F0E" w:rsidRPr="004802DF" w:rsidRDefault="00600D66" w:rsidP="005C63F3">
            <w:pPr>
              <w:keepNext/>
              <w:cnfStyle w:val="000000010000" w:firstRow="0" w:lastRow="0" w:firstColumn="0" w:lastColumn="0" w:oddVBand="0" w:evenVBand="0" w:oddHBand="0" w:evenHBand="1" w:firstRowFirstColumn="0" w:firstRowLastColumn="0" w:lastRowFirstColumn="0" w:lastRowLastColumn="0"/>
              <w:rPr>
                <w:rFonts w:cs="Arial"/>
                <w:iCs/>
                <w:sz w:val="20"/>
                <w:szCs w:val="20"/>
              </w:rPr>
            </w:pPr>
            <w:r w:rsidRPr="004802DF">
              <w:rPr>
                <w:rFonts w:cs="Arial"/>
                <w:iCs/>
                <w:sz w:val="20"/>
                <w:szCs w:val="20"/>
              </w:rPr>
              <w:t xml:space="preserve">Health is in the process of having </w:t>
            </w:r>
            <w:r w:rsidR="00E86789" w:rsidRPr="004802DF">
              <w:rPr>
                <w:rFonts w:cs="Arial"/>
                <w:iCs/>
                <w:sz w:val="20"/>
                <w:szCs w:val="20"/>
              </w:rPr>
              <w:t xml:space="preserve">other platforms </w:t>
            </w:r>
            <w:r w:rsidRPr="004802DF">
              <w:rPr>
                <w:rFonts w:cs="Arial"/>
                <w:iCs/>
                <w:sz w:val="20"/>
                <w:szCs w:val="20"/>
              </w:rPr>
              <w:t>and notices</w:t>
            </w:r>
            <w:r w:rsidR="002F0A58" w:rsidRPr="004802DF">
              <w:rPr>
                <w:rFonts w:cs="Arial"/>
                <w:iCs/>
                <w:sz w:val="20"/>
                <w:szCs w:val="20"/>
              </w:rPr>
              <w:t xml:space="preserve"> translated, such as the </w:t>
            </w:r>
            <w:r w:rsidR="000551C4">
              <w:rPr>
                <w:rFonts w:cs="Arial"/>
                <w:iCs/>
                <w:sz w:val="20"/>
                <w:szCs w:val="20"/>
              </w:rPr>
              <w:t>BP</w:t>
            </w:r>
            <w:r w:rsidR="002F0A58" w:rsidRPr="004802DF">
              <w:rPr>
                <w:rFonts w:cs="Arial"/>
                <w:iCs/>
                <w:sz w:val="20"/>
                <w:szCs w:val="20"/>
              </w:rPr>
              <w:t xml:space="preserve"> workflow and </w:t>
            </w:r>
            <w:r w:rsidRPr="004802DF">
              <w:rPr>
                <w:rFonts w:cs="Arial"/>
                <w:iCs/>
                <w:sz w:val="20"/>
                <w:szCs w:val="20"/>
              </w:rPr>
              <w:t xml:space="preserve">associated </w:t>
            </w:r>
            <w:r w:rsidR="002F0A58" w:rsidRPr="004802DF">
              <w:rPr>
                <w:rFonts w:cs="Arial"/>
                <w:iCs/>
                <w:sz w:val="20"/>
                <w:szCs w:val="20"/>
              </w:rPr>
              <w:t xml:space="preserve">privacy documents. </w:t>
            </w:r>
          </w:p>
          <w:p w14:paraId="11D3C243" w14:textId="77777777" w:rsidR="00E86789" w:rsidRPr="004802DF" w:rsidRDefault="00E86789" w:rsidP="005C63F3">
            <w:pPr>
              <w:keepNext/>
              <w:cnfStyle w:val="000000010000" w:firstRow="0" w:lastRow="0" w:firstColumn="0" w:lastColumn="0" w:oddVBand="0" w:evenVBand="0" w:oddHBand="0" w:evenHBand="1" w:firstRowFirstColumn="0" w:firstRowLastColumn="0" w:lastRowFirstColumn="0" w:lastRowLastColumn="0"/>
              <w:rPr>
                <w:rFonts w:cs="Arial"/>
                <w:iCs/>
                <w:sz w:val="20"/>
                <w:szCs w:val="20"/>
              </w:rPr>
            </w:pPr>
          </w:p>
          <w:p w14:paraId="685003B2" w14:textId="43D06A9D" w:rsidR="00E86789" w:rsidRPr="004802DF" w:rsidRDefault="00E936AA" w:rsidP="005C63F3">
            <w:pPr>
              <w:keepNext/>
              <w:cnfStyle w:val="000000010000" w:firstRow="0" w:lastRow="0" w:firstColumn="0" w:lastColumn="0" w:oddVBand="0" w:evenVBand="0" w:oddHBand="0" w:evenHBand="1" w:firstRowFirstColumn="0" w:firstRowLastColumn="0" w:lastRowFirstColumn="0" w:lastRowLastColumn="0"/>
              <w:rPr>
                <w:rFonts w:cs="Arial"/>
                <w:iCs/>
                <w:sz w:val="20"/>
                <w:szCs w:val="20"/>
              </w:rPr>
            </w:pPr>
            <w:r w:rsidRPr="004802DF">
              <w:rPr>
                <w:rFonts w:cs="Arial"/>
                <w:iCs/>
                <w:sz w:val="20"/>
                <w:szCs w:val="20"/>
              </w:rPr>
              <w:t>Health has</w:t>
            </w:r>
            <w:r w:rsidR="00E86789" w:rsidRPr="004802DF">
              <w:rPr>
                <w:rFonts w:cs="Arial"/>
                <w:iCs/>
                <w:sz w:val="20"/>
                <w:szCs w:val="20"/>
              </w:rPr>
              <w:t xml:space="preserve"> also </w:t>
            </w:r>
            <w:r w:rsidRPr="004802DF">
              <w:rPr>
                <w:rFonts w:cs="Arial"/>
                <w:iCs/>
                <w:sz w:val="20"/>
                <w:szCs w:val="20"/>
              </w:rPr>
              <w:t>engaged</w:t>
            </w:r>
            <w:r w:rsidR="00E86789" w:rsidRPr="004802DF">
              <w:rPr>
                <w:rFonts w:cs="Arial"/>
                <w:iCs/>
                <w:sz w:val="20"/>
                <w:szCs w:val="20"/>
              </w:rPr>
              <w:t xml:space="preserve"> with the Culturally, Ethnically and Linguistically Diverse COVID</w:t>
            </w:r>
            <w:r w:rsidR="00E86789" w:rsidRPr="004802DF">
              <w:rPr>
                <w:rFonts w:cs="Arial"/>
                <w:iCs/>
                <w:sz w:val="20"/>
                <w:szCs w:val="20"/>
              </w:rPr>
              <w:noBreakHyphen/>
              <w:t>19 Health Advisory Group in relation to the rollout.</w:t>
            </w:r>
            <w:r w:rsidR="003E43A5" w:rsidRPr="004802DF">
              <w:rPr>
                <w:rFonts w:cs="Arial"/>
                <w:iCs/>
                <w:sz w:val="20"/>
                <w:szCs w:val="20"/>
              </w:rPr>
              <w:t xml:space="preserve"> </w:t>
            </w:r>
          </w:p>
          <w:p w14:paraId="3B30A37A" w14:textId="20D6A76B" w:rsidR="00C22FC4" w:rsidRPr="004802DF" w:rsidRDefault="004403DC" w:rsidP="005C63F3">
            <w:pPr>
              <w:pStyle w:val="CommentText"/>
              <w:keepNext/>
              <w:tabs>
                <w:tab w:val="left" w:pos="4620"/>
              </w:tabs>
              <w:cnfStyle w:val="000000010000" w:firstRow="0" w:lastRow="0" w:firstColumn="0" w:lastColumn="0" w:oddVBand="0" w:evenVBand="0" w:oddHBand="0" w:evenHBand="1" w:firstRowFirstColumn="0" w:firstRowLastColumn="0" w:lastRowFirstColumn="0" w:lastRowLastColumn="0"/>
              <w:rPr>
                <w:rFonts w:cs="Arial"/>
                <w:iCs/>
                <w:lang w:eastAsia="en-US"/>
              </w:rPr>
            </w:pPr>
            <w:r w:rsidRPr="004802DF">
              <w:rPr>
                <w:rFonts w:cs="Arial"/>
                <w:iCs/>
                <w:lang w:eastAsia="en-US"/>
              </w:rPr>
              <w:tab/>
            </w:r>
          </w:p>
          <w:p w14:paraId="3DD0468A" w14:textId="6713CE07" w:rsidR="008943DA" w:rsidRPr="004802DF" w:rsidRDefault="004403DC" w:rsidP="005C63F3">
            <w:pPr>
              <w:pStyle w:val="CommentText"/>
              <w:keepNext/>
              <w:cnfStyle w:val="000000010000" w:firstRow="0" w:lastRow="0" w:firstColumn="0" w:lastColumn="0" w:oddVBand="0" w:evenVBand="0" w:oddHBand="0" w:evenHBand="1" w:firstRowFirstColumn="0" w:firstRowLastColumn="0" w:lastRowFirstColumn="0" w:lastRowLastColumn="0"/>
              <w:rPr>
                <w:rFonts w:cs="Arial"/>
                <w:iCs/>
                <w:lang w:eastAsia="en-US"/>
              </w:rPr>
            </w:pPr>
            <w:r w:rsidRPr="00871644">
              <w:rPr>
                <w:rFonts w:cs="Arial"/>
                <w:iCs/>
                <w:lang w:eastAsia="en-US"/>
              </w:rPr>
              <w:t xml:space="preserve">In relation to </w:t>
            </w:r>
            <w:r w:rsidR="00474E27" w:rsidRPr="00871644">
              <w:rPr>
                <w:rFonts w:cs="Arial"/>
                <w:iCs/>
                <w:lang w:eastAsia="en-US"/>
              </w:rPr>
              <w:t>young people aged 16 or 17 years, who meet eligibility criteria for Phase 1b</w:t>
            </w:r>
            <w:r w:rsidRPr="00871644">
              <w:rPr>
                <w:rFonts w:cs="Arial"/>
                <w:iCs/>
                <w:lang w:eastAsia="en-US"/>
              </w:rPr>
              <w:t xml:space="preserve">, </w:t>
            </w:r>
            <w:r w:rsidR="003E43A5" w:rsidRPr="00871644">
              <w:rPr>
                <w:rFonts w:cs="Arial"/>
                <w:iCs/>
                <w:lang w:eastAsia="en-US"/>
              </w:rPr>
              <w:t>Health is</w:t>
            </w:r>
            <w:r w:rsidRPr="00871644">
              <w:rPr>
                <w:rFonts w:cs="Arial"/>
                <w:iCs/>
                <w:lang w:eastAsia="en-US"/>
              </w:rPr>
              <w:t xml:space="preserve"> preparing a tailored pa</w:t>
            </w:r>
            <w:r w:rsidR="00474E27" w:rsidRPr="00871644">
              <w:rPr>
                <w:rFonts w:cs="Arial"/>
                <w:iCs/>
                <w:lang w:eastAsia="en-US"/>
              </w:rPr>
              <w:t xml:space="preserve">thway for </w:t>
            </w:r>
            <w:r w:rsidR="003E43A5" w:rsidRPr="00871644">
              <w:rPr>
                <w:rFonts w:cs="Arial"/>
                <w:iCs/>
                <w:lang w:eastAsia="en-US"/>
              </w:rPr>
              <w:t xml:space="preserve">young people of these ages to make </w:t>
            </w:r>
            <w:r w:rsidR="00474E27" w:rsidRPr="00871644">
              <w:rPr>
                <w:rFonts w:cs="Arial"/>
                <w:iCs/>
                <w:lang w:eastAsia="en-US"/>
              </w:rPr>
              <w:t xml:space="preserve">bookings and receive vaccinations. </w:t>
            </w:r>
            <w:r w:rsidR="003E43A5" w:rsidRPr="00871644">
              <w:rPr>
                <w:rFonts w:cs="Arial"/>
                <w:iCs/>
                <w:lang w:eastAsia="en-US"/>
              </w:rPr>
              <w:t>The</w:t>
            </w:r>
            <w:r w:rsidR="00474E27" w:rsidRPr="00871644">
              <w:rPr>
                <w:rFonts w:cs="Arial"/>
                <w:iCs/>
                <w:lang w:eastAsia="en-US"/>
              </w:rPr>
              <w:t xml:space="preserve"> </w:t>
            </w:r>
            <w:r w:rsidR="000551C4" w:rsidRPr="00871644">
              <w:rPr>
                <w:rFonts w:cs="Arial"/>
                <w:iCs/>
                <w:lang w:eastAsia="en-US"/>
              </w:rPr>
              <w:t>RYI</w:t>
            </w:r>
            <w:r w:rsidR="00474E27" w:rsidRPr="00871644">
              <w:rPr>
                <w:rFonts w:cs="Arial"/>
                <w:iCs/>
                <w:lang w:eastAsia="en-US"/>
              </w:rPr>
              <w:t xml:space="preserve"> </w:t>
            </w:r>
            <w:r w:rsidR="003E43A5" w:rsidRPr="00871644">
              <w:rPr>
                <w:rFonts w:cs="Arial"/>
                <w:iCs/>
                <w:lang w:eastAsia="en-US"/>
              </w:rPr>
              <w:t>is restricted to people aged 18 years and older in Phase 2 at this stage to reflec</w:t>
            </w:r>
            <w:r w:rsidR="008943DA" w:rsidRPr="00871644">
              <w:rPr>
                <w:rFonts w:cs="Arial"/>
                <w:iCs/>
                <w:lang w:eastAsia="en-US"/>
              </w:rPr>
              <w:t>t the expected</w:t>
            </w:r>
            <w:r w:rsidR="005C63F3" w:rsidRPr="00871644">
              <w:rPr>
                <w:rFonts w:cs="Arial"/>
                <w:iCs/>
                <w:lang w:eastAsia="en-US"/>
              </w:rPr>
              <w:t xml:space="preserve"> </w:t>
            </w:r>
            <w:r w:rsidR="008943DA" w:rsidRPr="00871644">
              <w:rPr>
                <w:rFonts w:cs="Arial"/>
                <w:iCs/>
                <w:lang w:eastAsia="en-US"/>
              </w:rPr>
              <w:t xml:space="preserve">continuation of </w:t>
            </w:r>
            <w:r w:rsidR="00E46368">
              <w:rPr>
                <w:rFonts w:cs="Arial"/>
                <w:iCs/>
                <w:lang w:eastAsia="en-US"/>
              </w:rPr>
              <w:t xml:space="preserve">a </w:t>
            </w:r>
            <w:r w:rsidR="003E43A5" w:rsidRPr="00871644">
              <w:rPr>
                <w:rFonts w:cs="Arial"/>
                <w:iCs/>
                <w:lang w:eastAsia="en-US"/>
              </w:rPr>
              <w:t>tailored pathway for people aged 16 and 17 years</w:t>
            </w:r>
            <w:r w:rsidR="008943DA" w:rsidRPr="00871644">
              <w:rPr>
                <w:rFonts w:cs="Arial"/>
                <w:iCs/>
                <w:lang w:eastAsia="en-US"/>
              </w:rPr>
              <w:t xml:space="preserve"> in Phase 2</w:t>
            </w:r>
            <w:r w:rsidR="003E43A5" w:rsidRPr="00871644">
              <w:rPr>
                <w:rFonts w:cs="Arial"/>
                <w:iCs/>
                <w:lang w:eastAsia="en-US"/>
              </w:rPr>
              <w:t>.</w:t>
            </w:r>
            <w:r w:rsidR="003E43A5" w:rsidRPr="004802DF">
              <w:rPr>
                <w:rFonts w:cs="Arial"/>
                <w:iCs/>
                <w:lang w:eastAsia="en-US"/>
              </w:rPr>
              <w:t xml:space="preserve"> </w:t>
            </w:r>
          </w:p>
          <w:p w14:paraId="74773BF5" w14:textId="77777777" w:rsidR="008943DA" w:rsidRPr="004802DF" w:rsidRDefault="008943DA" w:rsidP="005C63F3">
            <w:pPr>
              <w:pStyle w:val="CommentText"/>
              <w:keepNext/>
              <w:cnfStyle w:val="000000010000" w:firstRow="0" w:lastRow="0" w:firstColumn="0" w:lastColumn="0" w:oddVBand="0" w:evenVBand="0" w:oddHBand="0" w:evenHBand="1" w:firstRowFirstColumn="0" w:firstRowLastColumn="0" w:lastRowFirstColumn="0" w:lastRowLastColumn="0"/>
              <w:rPr>
                <w:rFonts w:cs="Arial"/>
                <w:iCs/>
                <w:lang w:eastAsia="en-US"/>
              </w:rPr>
            </w:pPr>
          </w:p>
          <w:p w14:paraId="632C2391" w14:textId="7A2EE795" w:rsidR="00D72323" w:rsidRPr="004802DF" w:rsidRDefault="003E43A5" w:rsidP="005C63F3">
            <w:pPr>
              <w:pStyle w:val="CommentText"/>
              <w:keepNext/>
              <w:cnfStyle w:val="000000010000" w:firstRow="0" w:lastRow="0" w:firstColumn="0" w:lastColumn="0" w:oddVBand="0" w:evenVBand="0" w:oddHBand="0" w:evenHBand="1" w:firstRowFirstColumn="0" w:firstRowLastColumn="0" w:lastRowFirstColumn="0" w:lastRowLastColumn="0"/>
              <w:rPr>
                <w:rFonts w:cs="Arial"/>
                <w:iCs/>
                <w:lang w:eastAsia="en-US"/>
              </w:rPr>
            </w:pPr>
            <w:r w:rsidRPr="004802DF">
              <w:rPr>
                <w:rFonts w:cs="Arial"/>
                <w:iCs/>
                <w:lang w:eastAsia="en-US"/>
              </w:rPr>
              <w:t xml:space="preserve">COVID-19 vaccines are not yet approved for people aged 15 years or under (Phase 3) and therefore use of the ICT systems excludes this phase. Health will consider the most appropriate pathway for Phase 3 as needed.  </w:t>
            </w:r>
          </w:p>
        </w:tc>
      </w:tr>
    </w:tbl>
    <w:p w14:paraId="2D87E630" w14:textId="03D04768" w:rsidR="005579D1" w:rsidRPr="004802DF" w:rsidRDefault="005579D1" w:rsidP="005579D1">
      <w:pPr>
        <w:pStyle w:val="Paragraphtext"/>
        <w:rPr>
          <w:rFonts w:cs="Arial"/>
          <w:sz w:val="20"/>
          <w:szCs w:val="20"/>
        </w:rPr>
      </w:pPr>
    </w:p>
    <w:tbl>
      <w:tblPr>
        <w:tblStyle w:val="DepartmentofHealthtable"/>
        <w:tblW w:w="0" w:type="auto"/>
        <w:tblLook w:val="04A0" w:firstRow="1" w:lastRow="0" w:firstColumn="1" w:lastColumn="0" w:noHBand="0" w:noVBand="1"/>
      </w:tblPr>
      <w:tblGrid>
        <w:gridCol w:w="2552"/>
        <w:gridCol w:w="5953"/>
      </w:tblGrid>
      <w:tr w:rsidR="005579D1" w:rsidRPr="004802DF" w14:paraId="00692B60" w14:textId="77777777" w:rsidTr="00A24D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51969CDF" w14:textId="77777777" w:rsidR="005579D1" w:rsidRPr="004802DF" w:rsidRDefault="005579D1" w:rsidP="006F39BF">
            <w:pPr>
              <w:pStyle w:val="TableHeaderWhite"/>
              <w:rPr>
                <w:rFonts w:cs="Arial"/>
                <w:sz w:val="20"/>
                <w:szCs w:val="20"/>
              </w:rPr>
            </w:pPr>
            <w:r w:rsidRPr="004802DF">
              <w:rPr>
                <w:rFonts w:cs="Arial"/>
                <w:sz w:val="20"/>
                <w:szCs w:val="20"/>
              </w:rPr>
              <w:t xml:space="preserve">Maddocks Recommendation 3: </w:t>
            </w:r>
          </w:p>
        </w:tc>
        <w:tc>
          <w:tcPr>
            <w:tcW w:w="5953" w:type="dxa"/>
          </w:tcPr>
          <w:p w14:paraId="1A0D0443" w14:textId="6D8F9BB7" w:rsidR="005579D1" w:rsidRPr="004802DF" w:rsidRDefault="005B3487" w:rsidP="006F39BF">
            <w:pPr>
              <w:pStyle w:val="TableHeader"/>
              <w:cnfStyle w:val="100000000000" w:firstRow="1" w:lastRow="0" w:firstColumn="0" w:lastColumn="0" w:oddVBand="0" w:evenVBand="0" w:oddHBand="0" w:evenHBand="0" w:firstRowFirstColumn="0" w:firstRowLastColumn="0" w:lastRowFirstColumn="0" w:lastRowLastColumn="0"/>
              <w:rPr>
                <w:rFonts w:cs="Arial"/>
                <w:sz w:val="20"/>
                <w:szCs w:val="20"/>
              </w:rPr>
            </w:pPr>
            <w:r w:rsidRPr="004802DF">
              <w:rPr>
                <w:rFonts w:cs="Arial"/>
                <w:sz w:val="20"/>
                <w:szCs w:val="20"/>
              </w:rPr>
              <w:t xml:space="preserve">Review and update Privacy Notices for the CVAS, the CVIP, the RYI and the BP  </w:t>
            </w:r>
          </w:p>
        </w:tc>
      </w:tr>
      <w:tr w:rsidR="005579D1" w:rsidRPr="004802DF" w14:paraId="7BCE3202" w14:textId="77777777" w:rsidTr="00A24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gridSpan w:val="2"/>
          </w:tcPr>
          <w:p w14:paraId="21FAFADC" w14:textId="77777777" w:rsidR="00BE1731" w:rsidRPr="005C63F3" w:rsidRDefault="00BE1731" w:rsidP="00BE1731">
            <w:pPr>
              <w:keepLines/>
              <w:spacing w:before="240" w:after="240"/>
              <w:rPr>
                <w:sz w:val="20"/>
              </w:rPr>
            </w:pPr>
            <w:r w:rsidRPr="005C63F3">
              <w:rPr>
                <w:sz w:val="20"/>
              </w:rPr>
              <w:t xml:space="preserve">We </w:t>
            </w:r>
            <w:r w:rsidRPr="005C63F3">
              <w:rPr>
                <w:b/>
                <w:bCs/>
                <w:sz w:val="20"/>
              </w:rPr>
              <w:t>recommend</w:t>
            </w:r>
            <w:r w:rsidRPr="005C63F3">
              <w:rPr>
                <w:sz w:val="20"/>
              </w:rPr>
              <w:t xml:space="preserve"> that the Privacy Notice for the CVAS be reviewed and updated to:</w:t>
            </w:r>
          </w:p>
          <w:p w14:paraId="34769347" w14:textId="77777777" w:rsidR="00BE1731" w:rsidRPr="005C63F3" w:rsidRDefault="00BE1731" w:rsidP="00BE1731">
            <w:pPr>
              <w:pStyle w:val="ListParagraph"/>
              <w:keepLines/>
              <w:numPr>
                <w:ilvl w:val="0"/>
                <w:numId w:val="15"/>
              </w:numPr>
              <w:spacing w:before="240" w:after="240"/>
              <w:rPr>
                <w:sz w:val="20"/>
              </w:rPr>
            </w:pPr>
            <w:r w:rsidRPr="005C63F3">
              <w:rPr>
                <w:sz w:val="20"/>
              </w:rPr>
              <w:t xml:space="preserve">reflect preferred terminology now used in respect of the Vaccine Strategy, for consistency with other publicly available information (e.g. ‘Delivery Contacts’ rather than ‘Distribution Contacts’); </w:t>
            </w:r>
            <w:r w:rsidRPr="005C63F3">
              <w:rPr>
                <w:sz w:val="20"/>
              </w:rPr>
              <w:br/>
            </w:r>
          </w:p>
          <w:p w14:paraId="43FCDDF7" w14:textId="77777777" w:rsidR="00BE1731" w:rsidRPr="005C63F3" w:rsidRDefault="00BE1731" w:rsidP="00BE1731">
            <w:pPr>
              <w:pStyle w:val="ListParagraph"/>
              <w:keepLines/>
              <w:numPr>
                <w:ilvl w:val="0"/>
                <w:numId w:val="15"/>
              </w:numPr>
              <w:spacing w:before="240" w:after="240"/>
              <w:rPr>
                <w:sz w:val="20"/>
              </w:rPr>
            </w:pPr>
            <w:r w:rsidRPr="005C63F3">
              <w:rPr>
                <w:sz w:val="20"/>
              </w:rPr>
              <w:t>reflect the additional Delivery Contacts who will now provide personal information when using the CVAS (these could potentially be referred to as ‘Users’ which is a term currently used in the drafting but not defined);</w:t>
            </w:r>
          </w:p>
          <w:p w14:paraId="56DC1808" w14:textId="77777777" w:rsidR="00BE1731" w:rsidRPr="005C63F3" w:rsidRDefault="00BE1731" w:rsidP="00BE1731">
            <w:pPr>
              <w:pStyle w:val="ListParagraph"/>
              <w:keepLines/>
              <w:spacing w:before="240" w:after="240"/>
              <w:rPr>
                <w:sz w:val="20"/>
              </w:rPr>
            </w:pPr>
          </w:p>
          <w:p w14:paraId="5492D9CD" w14:textId="77777777" w:rsidR="00BE1731" w:rsidRPr="005C63F3" w:rsidRDefault="00BE1731" w:rsidP="00BE1731">
            <w:pPr>
              <w:pStyle w:val="ListParagraph"/>
              <w:keepLines/>
              <w:numPr>
                <w:ilvl w:val="0"/>
                <w:numId w:val="15"/>
              </w:numPr>
              <w:rPr>
                <w:bCs/>
                <w:sz w:val="20"/>
              </w:rPr>
            </w:pPr>
            <w:r w:rsidRPr="005C63F3">
              <w:rPr>
                <w:bCs/>
                <w:sz w:val="20"/>
              </w:rPr>
              <w:t xml:space="preserve">reflect the role of PHNs in facilitating the onboarding of Vaccine Providers to the CVAS (including the use of the Notice Contact’s email address to facilitate this onboarding); </w:t>
            </w:r>
          </w:p>
          <w:p w14:paraId="20BA60B8" w14:textId="77777777" w:rsidR="00BE1731" w:rsidRPr="005C63F3" w:rsidRDefault="00BE1731" w:rsidP="00BE1731">
            <w:pPr>
              <w:pStyle w:val="ListParagraph"/>
              <w:keepLines/>
              <w:spacing w:before="240" w:after="240"/>
              <w:rPr>
                <w:sz w:val="20"/>
              </w:rPr>
            </w:pPr>
            <w:r w:rsidRPr="005C63F3">
              <w:rPr>
                <w:sz w:val="20"/>
              </w:rPr>
              <w:t xml:space="preserve"> </w:t>
            </w:r>
          </w:p>
          <w:p w14:paraId="291D451E" w14:textId="77777777" w:rsidR="00BE1731" w:rsidRPr="005C63F3" w:rsidRDefault="00BE1731" w:rsidP="00BE1731">
            <w:pPr>
              <w:pStyle w:val="ListParagraph"/>
              <w:keepLines/>
              <w:numPr>
                <w:ilvl w:val="0"/>
                <w:numId w:val="15"/>
              </w:numPr>
              <w:spacing w:before="240" w:after="240"/>
              <w:rPr>
                <w:sz w:val="20"/>
              </w:rPr>
            </w:pPr>
            <w:r w:rsidRPr="005C63F3">
              <w:rPr>
                <w:sz w:val="20"/>
              </w:rPr>
              <w:t>ensure the role of the Data Partner in handling personal information is clear; and</w:t>
            </w:r>
            <w:r w:rsidRPr="005C63F3">
              <w:rPr>
                <w:sz w:val="20"/>
              </w:rPr>
              <w:br/>
            </w:r>
          </w:p>
          <w:p w14:paraId="62F1544E" w14:textId="77777777" w:rsidR="00BE1731" w:rsidRPr="005C63F3" w:rsidRDefault="00BE1731" w:rsidP="00BE1731">
            <w:pPr>
              <w:pStyle w:val="ListParagraph"/>
              <w:keepLines/>
              <w:numPr>
                <w:ilvl w:val="0"/>
                <w:numId w:val="15"/>
              </w:numPr>
              <w:spacing w:before="240" w:after="240"/>
              <w:rPr>
                <w:sz w:val="20"/>
              </w:rPr>
            </w:pPr>
            <w:r w:rsidRPr="005C63F3">
              <w:rPr>
                <w:sz w:val="20"/>
              </w:rPr>
              <w:t>specify with greater certainty whether any, and if so what, personal information will be disclosed to States and Territory governments (the Privacy Notice specifies that Health ‘may disclose provider (site) information to other entities, such as State or Territory governments, for the purposes of facilitating or monitoring the vaccine rollout’). If no personal information will be disclosed to States and Territories, then the Privacy Notice should expressly state this.</w:t>
            </w:r>
          </w:p>
          <w:p w14:paraId="5F3C2E51" w14:textId="77777777" w:rsidR="00BE1731" w:rsidRPr="005C63F3" w:rsidRDefault="00BE1731" w:rsidP="00BE1731">
            <w:pPr>
              <w:keepLines/>
              <w:spacing w:before="240" w:after="240"/>
              <w:rPr>
                <w:sz w:val="20"/>
              </w:rPr>
            </w:pPr>
            <w:r w:rsidRPr="005C63F3">
              <w:rPr>
                <w:sz w:val="20"/>
              </w:rPr>
              <w:t xml:space="preserve">In addition, we </w:t>
            </w:r>
            <w:r w:rsidRPr="005C63F3">
              <w:rPr>
                <w:b/>
                <w:bCs/>
                <w:sz w:val="20"/>
              </w:rPr>
              <w:t>recommend</w:t>
            </w:r>
            <w:r w:rsidRPr="005C63F3">
              <w:rPr>
                <w:sz w:val="20"/>
              </w:rPr>
              <w:t xml:space="preserve"> that the Privacy Notice for the CVIP also be reviewed and updated so that:</w:t>
            </w:r>
          </w:p>
          <w:p w14:paraId="22C9CE8A" w14:textId="77777777" w:rsidR="00BE1731" w:rsidRPr="005C63F3" w:rsidRDefault="00BE1731" w:rsidP="00BE1731">
            <w:pPr>
              <w:pStyle w:val="ListParagraph"/>
              <w:keepLines/>
              <w:numPr>
                <w:ilvl w:val="0"/>
                <w:numId w:val="15"/>
              </w:numPr>
              <w:spacing w:before="240" w:after="240"/>
              <w:rPr>
                <w:sz w:val="20"/>
              </w:rPr>
            </w:pPr>
            <w:r w:rsidRPr="005C63F3">
              <w:rPr>
                <w:sz w:val="20"/>
              </w:rPr>
              <w:t xml:space="preserve">it adequately informs users how and where their information will be stored. In particular, we think it is important that users are aware that their information will be temporarily stored using cloud infrastructure made available by a third party (Salesforce) before it is provided to the AIR; </w:t>
            </w:r>
            <w:r w:rsidRPr="005C63F3">
              <w:rPr>
                <w:sz w:val="20"/>
              </w:rPr>
              <w:br/>
            </w:r>
          </w:p>
          <w:p w14:paraId="33055A4D" w14:textId="77777777" w:rsidR="00BE1731" w:rsidRPr="005C63F3" w:rsidRDefault="00BE1731" w:rsidP="00BE1731">
            <w:pPr>
              <w:pStyle w:val="ListParagraph"/>
              <w:keepLines/>
              <w:numPr>
                <w:ilvl w:val="0"/>
                <w:numId w:val="15"/>
              </w:numPr>
              <w:spacing w:before="240" w:after="240"/>
              <w:rPr>
                <w:sz w:val="20"/>
              </w:rPr>
            </w:pPr>
            <w:r w:rsidRPr="005C63F3">
              <w:rPr>
                <w:sz w:val="20"/>
              </w:rPr>
              <w:t>separate notices for Patients, and for Vaccine Providers and their personnel (i.e., Vaccinators) are developed; and</w:t>
            </w:r>
          </w:p>
          <w:p w14:paraId="6F661177" w14:textId="77777777" w:rsidR="00BE1731" w:rsidRPr="005C63F3" w:rsidRDefault="00BE1731" w:rsidP="00BE1731">
            <w:pPr>
              <w:pStyle w:val="ListParagraph"/>
              <w:keepLines/>
              <w:spacing w:before="240" w:after="240"/>
              <w:rPr>
                <w:sz w:val="20"/>
              </w:rPr>
            </w:pPr>
          </w:p>
          <w:p w14:paraId="39B8E5BC" w14:textId="77777777" w:rsidR="00BE1731" w:rsidRPr="005C63F3" w:rsidRDefault="00BE1731" w:rsidP="00BE1731">
            <w:pPr>
              <w:pStyle w:val="ListParagraph"/>
              <w:keepLines/>
              <w:numPr>
                <w:ilvl w:val="0"/>
                <w:numId w:val="15"/>
              </w:numPr>
              <w:spacing w:before="240" w:after="240"/>
              <w:rPr>
                <w:sz w:val="20"/>
              </w:rPr>
            </w:pPr>
            <w:r w:rsidRPr="005C63F3">
              <w:rPr>
                <w:sz w:val="20"/>
              </w:rPr>
              <w:t>it appropriately reflects the personal information being collected and stored on the CVIP platform (including when information will be deleted), and all proposed uses and disclosures of that personal information.</w:t>
            </w:r>
          </w:p>
          <w:p w14:paraId="3F5BFCE7" w14:textId="77777777" w:rsidR="00BE1731" w:rsidRPr="005C63F3" w:rsidRDefault="00BE1731" w:rsidP="00BE1731">
            <w:pPr>
              <w:keepLines/>
              <w:spacing w:before="240" w:after="240"/>
              <w:rPr>
                <w:sz w:val="20"/>
              </w:rPr>
            </w:pPr>
            <w:r w:rsidRPr="005C63F3">
              <w:rPr>
                <w:sz w:val="20"/>
              </w:rPr>
              <w:t xml:space="preserve">We also </w:t>
            </w:r>
            <w:r w:rsidRPr="005C63F3">
              <w:rPr>
                <w:bCs/>
                <w:sz w:val="20"/>
              </w:rPr>
              <w:t>r</w:t>
            </w:r>
            <w:r w:rsidRPr="005C63F3">
              <w:rPr>
                <w:b/>
                <w:bCs/>
                <w:sz w:val="20"/>
              </w:rPr>
              <w:t>ecommend</w:t>
            </w:r>
            <w:r w:rsidRPr="005C63F3">
              <w:rPr>
                <w:b/>
                <w:sz w:val="20"/>
              </w:rPr>
              <w:t xml:space="preserve"> </w:t>
            </w:r>
            <w:r w:rsidRPr="005C63F3">
              <w:rPr>
                <w:sz w:val="20"/>
              </w:rPr>
              <w:t>that the Privacy Notice for the RYI solution:</w:t>
            </w:r>
          </w:p>
          <w:p w14:paraId="4702021C" w14:textId="77777777" w:rsidR="00BE1731" w:rsidRPr="005C63F3" w:rsidRDefault="00BE1731" w:rsidP="00BE1731">
            <w:pPr>
              <w:pStyle w:val="ListParagraph"/>
              <w:keepLines/>
              <w:numPr>
                <w:ilvl w:val="0"/>
                <w:numId w:val="15"/>
              </w:numPr>
              <w:spacing w:before="240" w:after="240"/>
              <w:rPr>
                <w:sz w:val="20"/>
              </w:rPr>
            </w:pPr>
            <w:r w:rsidRPr="005C63F3">
              <w:rPr>
                <w:sz w:val="20"/>
              </w:rPr>
              <w:t>be updated to reflect Health’s current understanding that only de-identified information would be provided to States and Territories, and how those entities would be permitted to use that information; and</w:t>
            </w:r>
          </w:p>
          <w:p w14:paraId="3317BDFF" w14:textId="77777777" w:rsidR="00BE1731" w:rsidRPr="005C63F3" w:rsidRDefault="00BE1731" w:rsidP="00BE1731">
            <w:pPr>
              <w:pStyle w:val="ListParagraph"/>
              <w:keepLines/>
              <w:spacing w:before="240" w:after="240"/>
              <w:rPr>
                <w:sz w:val="20"/>
              </w:rPr>
            </w:pPr>
          </w:p>
          <w:p w14:paraId="30E0A09A" w14:textId="77777777" w:rsidR="00BE1731" w:rsidRPr="005C63F3" w:rsidRDefault="00BE1731" w:rsidP="00BE1731">
            <w:pPr>
              <w:pStyle w:val="ListParagraph"/>
              <w:keepLines/>
              <w:numPr>
                <w:ilvl w:val="0"/>
                <w:numId w:val="15"/>
              </w:numPr>
              <w:spacing w:before="240" w:after="240"/>
              <w:rPr>
                <w:sz w:val="20"/>
              </w:rPr>
            </w:pPr>
            <w:r w:rsidRPr="005C63F3">
              <w:rPr>
                <w:sz w:val="20"/>
              </w:rPr>
              <w:t>could perhaps be updated to make it clear that the individual may provide a pseudonym or ‘fake name’, to enhance compliance with APP 2 (although we do not consider this to be critical).</w:t>
            </w:r>
          </w:p>
          <w:p w14:paraId="347DF9EE" w14:textId="77777777" w:rsidR="00BE1731" w:rsidRPr="005C63F3" w:rsidRDefault="00BE1731" w:rsidP="00BE1731">
            <w:pPr>
              <w:keepLines/>
              <w:spacing w:before="240" w:after="240"/>
              <w:rPr>
                <w:sz w:val="20"/>
              </w:rPr>
            </w:pPr>
            <w:r w:rsidRPr="005C63F3">
              <w:rPr>
                <w:sz w:val="20"/>
              </w:rPr>
              <w:t xml:space="preserve">In relation to the BP, we </w:t>
            </w:r>
            <w:r w:rsidRPr="005C63F3">
              <w:rPr>
                <w:b/>
                <w:bCs/>
                <w:sz w:val="20"/>
              </w:rPr>
              <w:t>recommend</w:t>
            </w:r>
            <w:r w:rsidRPr="005C63F3">
              <w:rPr>
                <w:sz w:val="20"/>
              </w:rPr>
              <w:t xml:space="preserve"> that Health consider:</w:t>
            </w:r>
          </w:p>
          <w:p w14:paraId="5FE9EBF6" w14:textId="77777777" w:rsidR="00BE1731" w:rsidRPr="005C63F3" w:rsidRDefault="00BE1731" w:rsidP="00BE1731">
            <w:pPr>
              <w:pStyle w:val="ListParagraph"/>
              <w:keepLines/>
              <w:numPr>
                <w:ilvl w:val="0"/>
                <w:numId w:val="18"/>
              </w:numPr>
              <w:spacing w:before="240" w:after="240"/>
              <w:rPr>
                <w:sz w:val="20"/>
              </w:rPr>
            </w:pPr>
            <w:r w:rsidRPr="005C63F3">
              <w:rPr>
                <w:sz w:val="20"/>
              </w:rPr>
              <w:t>the most appropriate way to communicate to Patients accurate and complete information about how their personal information will be handled by Health and by HealthEngine in connection with the BP, taking into account the need to provide Patients with useful and consistent information whilst considering the risks of Patients experiencing ‘information overload’; and</w:t>
            </w:r>
            <w:r w:rsidRPr="005C63F3">
              <w:rPr>
                <w:sz w:val="20"/>
              </w:rPr>
              <w:br/>
            </w:r>
          </w:p>
          <w:p w14:paraId="3C6B4F4E" w14:textId="23415A78" w:rsidR="009E1A42" w:rsidRPr="005C63F3" w:rsidRDefault="00BE1731" w:rsidP="006F39BF">
            <w:pPr>
              <w:pStyle w:val="ListParagraph"/>
              <w:numPr>
                <w:ilvl w:val="0"/>
                <w:numId w:val="18"/>
              </w:numPr>
              <w:spacing w:before="240" w:after="240"/>
              <w:rPr>
                <w:rFonts w:cs="Arial"/>
                <w:b/>
                <w:sz w:val="20"/>
                <w:szCs w:val="20"/>
              </w:rPr>
            </w:pPr>
            <w:r w:rsidRPr="005C63F3">
              <w:rPr>
                <w:sz w:val="20"/>
              </w:rPr>
              <w:t>some minor adjustments to the HealthEngine BP Privacy Policy to better reflect the method of collection described in this PIA Update report and consistency with the contractual mechanisms for deletion in the HealthEngine Contract.</w:t>
            </w:r>
          </w:p>
        </w:tc>
      </w:tr>
      <w:tr w:rsidR="005579D1" w:rsidRPr="004802DF" w14:paraId="519502E2" w14:textId="77777777" w:rsidTr="00A24D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tcPr>
          <w:p w14:paraId="30616C4A" w14:textId="43D0FCA7" w:rsidR="005579D1" w:rsidRPr="00711B3C" w:rsidRDefault="00711B3C" w:rsidP="00F537C3">
            <w:pPr>
              <w:pStyle w:val="Tabletextleft"/>
            </w:pPr>
            <w:r w:rsidRPr="004802DF">
              <w:t>Response</w:t>
            </w:r>
          </w:p>
        </w:tc>
        <w:tc>
          <w:tcPr>
            <w:tcW w:w="5953" w:type="dxa"/>
          </w:tcPr>
          <w:p w14:paraId="188AC487" w14:textId="40896229" w:rsidR="00600D66" w:rsidRPr="004802DF" w:rsidRDefault="001344B6" w:rsidP="00600D66">
            <w:pPr>
              <w:spacing w:after="160"/>
              <w:cnfStyle w:val="000000010000" w:firstRow="0" w:lastRow="0" w:firstColumn="0" w:lastColumn="0" w:oddVBand="0" w:evenVBand="0" w:oddHBand="0" w:evenHBand="1" w:firstRowFirstColumn="0" w:firstRowLastColumn="0" w:lastRowFirstColumn="0" w:lastRowLastColumn="0"/>
              <w:rPr>
                <w:rFonts w:cs="Arial"/>
                <w:sz w:val="20"/>
                <w:szCs w:val="20"/>
              </w:rPr>
            </w:pPr>
            <w:r w:rsidRPr="004802DF">
              <w:rPr>
                <w:rFonts w:cs="Arial"/>
                <w:sz w:val="20"/>
                <w:szCs w:val="20"/>
              </w:rPr>
              <w:t xml:space="preserve">Agreed. </w:t>
            </w:r>
          </w:p>
          <w:p w14:paraId="173E2B7B" w14:textId="77777777" w:rsidR="00851837" w:rsidRDefault="008943DA" w:rsidP="001344B6">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4802DF">
              <w:rPr>
                <w:rFonts w:cs="Arial"/>
                <w:sz w:val="20"/>
                <w:szCs w:val="20"/>
              </w:rPr>
              <w:t>Health has</w:t>
            </w:r>
            <w:r w:rsidR="004403DC" w:rsidRPr="004802DF">
              <w:rPr>
                <w:rFonts w:cs="Arial"/>
                <w:sz w:val="20"/>
                <w:szCs w:val="20"/>
              </w:rPr>
              <w:t xml:space="preserve"> updated the CVIP Privacy Notice to align with </w:t>
            </w:r>
            <w:r w:rsidR="00600D66" w:rsidRPr="004802DF">
              <w:rPr>
                <w:rFonts w:cs="Arial"/>
                <w:sz w:val="20"/>
                <w:szCs w:val="20"/>
              </w:rPr>
              <w:t xml:space="preserve">the PIA Update </w:t>
            </w:r>
            <w:r w:rsidR="004403DC" w:rsidRPr="004802DF">
              <w:rPr>
                <w:rFonts w:cs="Arial"/>
                <w:sz w:val="20"/>
                <w:szCs w:val="20"/>
              </w:rPr>
              <w:t>recommendations</w:t>
            </w:r>
            <w:r w:rsidR="00167EF5">
              <w:rPr>
                <w:rFonts w:cs="Arial"/>
                <w:sz w:val="20"/>
                <w:szCs w:val="20"/>
              </w:rPr>
              <w:t xml:space="preserve"> and </w:t>
            </w:r>
            <w:r w:rsidR="000A7B6F">
              <w:rPr>
                <w:rFonts w:cs="Arial"/>
                <w:sz w:val="20"/>
                <w:szCs w:val="20"/>
              </w:rPr>
              <w:t xml:space="preserve">will consider whether further updates should be made. </w:t>
            </w:r>
          </w:p>
          <w:p w14:paraId="4FAF4B8C" w14:textId="77777777" w:rsidR="00851837" w:rsidRDefault="00851837" w:rsidP="001344B6">
            <w:pPr>
              <w:cnfStyle w:val="000000010000" w:firstRow="0" w:lastRow="0" w:firstColumn="0" w:lastColumn="0" w:oddVBand="0" w:evenVBand="0" w:oddHBand="0" w:evenHBand="1" w:firstRowFirstColumn="0" w:firstRowLastColumn="0" w:lastRowFirstColumn="0" w:lastRowLastColumn="0"/>
              <w:rPr>
                <w:rFonts w:cs="Arial"/>
                <w:sz w:val="20"/>
                <w:szCs w:val="20"/>
              </w:rPr>
            </w:pPr>
          </w:p>
          <w:p w14:paraId="79797EC0" w14:textId="4716C5CE" w:rsidR="00851837" w:rsidRDefault="008943DA" w:rsidP="001344B6">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4802DF">
              <w:rPr>
                <w:rFonts w:cs="Arial"/>
                <w:sz w:val="20"/>
                <w:szCs w:val="20"/>
              </w:rPr>
              <w:t xml:space="preserve">Health is </w:t>
            </w:r>
            <w:r w:rsidR="004403DC" w:rsidRPr="004802DF">
              <w:rPr>
                <w:rFonts w:cs="Arial"/>
                <w:sz w:val="20"/>
                <w:szCs w:val="20"/>
              </w:rPr>
              <w:t xml:space="preserve">in the process of updating the </w:t>
            </w:r>
            <w:r w:rsidR="00376883" w:rsidRPr="004802DF">
              <w:rPr>
                <w:rFonts w:cs="Arial"/>
                <w:sz w:val="20"/>
                <w:szCs w:val="20"/>
              </w:rPr>
              <w:t>Privacy Notices for</w:t>
            </w:r>
            <w:r w:rsidR="00600D66" w:rsidRPr="004802DF">
              <w:rPr>
                <w:rFonts w:cs="Arial"/>
                <w:sz w:val="20"/>
                <w:szCs w:val="20"/>
              </w:rPr>
              <w:t xml:space="preserve"> the CVAS and th</w:t>
            </w:r>
            <w:r w:rsidRPr="004802DF">
              <w:rPr>
                <w:rFonts w:cs="Arial"/>
                <w:sz w:val="20"/>
                <w:szCs w:val="20"/>
              </w:rPr>
              <w:t xml:space="preserve">e RYI platforms. </w:t>
            </w:r>
          </w:p>
          <w:p w14:paraId="40426A2F" w14:textId="77777777" w:rsidR="00851837" w:rsidRDefault="00851837" w:rsidP="001344B6">
            <w:pPr>
              <w:cnfStyle w:val="000000010000" w:firstRow="0" w:lastRow="0" w:firstColumn="0" w:lastColumn="0" w:oddVBand="0" w:evenVBand="0" w:oddHBand="0" w:evenHBand="1" w:firstRowFirstColumn="0" w:firstRowLastColumn="0" w:lastRowFirstColumn="0" w:lastRowLastColumn="0"/>
              <w:rPr>
                <w:rFonts w:cs="Arial"/>
                <w:sz w:val="20"/>
                <w:szCs w:val="20"/>
              </w:rPr>
            </w:pPr>
          </w:p>
          <w:p w14:paraId="0ACC4E80" w14:textId="6C96AAD1" w:rsidR="00600D66" w:rsidRPr="004802DF" w:rsidRDefault="008943DA" w:rsidP="001344B6">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4802DF">
              <w:rPr>
                <w:rFonts w:cs="Arial"/>
                <w:sz w:val="20"/>
                <w:szCs w:val="20"/>
              </w:rPr>
              <w:t>In relation to the RYI Privacy Notice, Health has considered and decided against specifying that an individual may use a ‘fake name’ or pseudonym in its privacy material as the requirement to complete the First and Last Name fields can also act as a quality assurance mechanism against ‘vandal’ responses. Health does not, however, prevent a pseudonym or ‘fake name’ from being used if the consumer chooses.</w:t>
            </w:r>
            <w:r w:rsidR="00C20BF7">
              <w:rPr>
                <w:rFonts w:cs="Arial"/>
                <w:sz w:val="20"/>
                <w:szCs w:val="20"/>
              </w:rPr>
              <w:t xml:space="preserve"> This is set out in </w:t>
            </w:r>
            <w:r w:rsidR="00167EF5">
              <w:rPr>
                <w:rFonts w:cs="Arial"/>
                <w:sz w:val="20"/>
                <w:szCs w:val="20"/>
              </w:rPr>
              <w:t xml:space="preserve">Health’s </w:t>
            </w:r>
            <w:r w:rsidR="00C20BF7">
              <w:rPr>
                <w:rFonts w:cs="Arial"/>
                <w:sz w:val="20"/>
                <w:szCs w:val="20"/>
              </w:rPr>
              <w:t xml:space="preserve">Privacy Policy which is linked in the </w:t>
            </w:r>
            <w:hyperlink r:id="rId23" w:history="1">
              <w:r w:rsidR="00C20BF7" w:rsidRPr="00851837">
                <w:rPr>
                  <w:rStyle w:val="Hyperlink"/>
                  <w:rFonts w:cs="Arial"/>
                  <w:sz w:val="20"/>
                  <w:szCs w:val="20"/>
                </w:rPr>
                <w:t>RYI Privacy Notice</w:t>
              </w:r>
            </w:hyperlink>
            <w:r w:rsidR="00C20BF7">
              <w:rPr>
                <w:rFonts w:cs="Arial"/>
                <w:sz w:val="20"/>
                <w:szCs w:val="20"/>
              </w:rPr>
              <w:t xml:space="preserve">. </w:t>
            </w:r>
          </w:p>
          <w:p w14:paraId="3237EE7C" w14:textId="77777777" w:rsidR="00600D66" w:rsidRPr="004802DF" w:rsidRDefault="00600D66" w:rsidP="001344B6">
            <w:pPr>
              <w:cnfStyle w:val="000000010000" w:firstRow="0" w:lastRow="0" w:firstColumn="0" w:lastColumn="0" w:oddVBand="0" w:evenVBand="0" w:oddHBand="0" w:evenHBand="1" w:firstRowFirstColumn="0" w:firstRowLastColumn="0" w:lastRowFirstColumn="0" w:lastRowLastColumn="0"/>
              <w:rPr>
                <w:rFonts w:cs="Arial"/>
                <w:sz w:val="20"/>
                <w:szCs w:val="20"/>
              </w:rPr>
            </w:pPr>
          </w:p>
          <w:p w14:paraId="66296246" w14:textId="55EB604D" w:rsidR="00516F7D" w:rsidRDefault="000C0396" w:rsidP="000551C4">
            <w:pP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 xml:space="preserve">Health had implemented a range of privacy protections for the Commonwealth-procured Booking Platform ahead of its launch, including </w:t>
            </w:r>
            <w:r>
              <w:rPr>
                <w:rFonts w:cs="Arial"/>
                <w:sz w:val="20"/>
                <w:szCs w:val="20"/>
                <w:lang w:eastAsia="en-AU"/>
              </w:rPr>
              <w:t>a tailored</w:t>
            </w:r>
            <w:r w:rsidRPr="004802DF">
              <w:rPr>
                <w:rFonts w:cs="Arial"/>
                <w:sz w:val="20"/>
                <w:szCs w:val="20"/>
                <w:lang w:eastAsia="en-AU"/>
              </w:rPr>
              <w:t xml:space="preserve"> </w:t>
            </w:r>
            <w:hyperlink r:id="rId24" w:history="1">
              <w:r w:rsidRPr="004802DF">
                <w:rPr>
                  <w:rStyle w:val="Hyperlink"/>
                  <w:rFonts w:cs="Arial"/>
                  <w:sz w:val="20"/>
                  <w:szCs w:val="20"/>
                  <w:lang w:eastAsia="en-AU"/>
                </w:rPr>
                <w:t>Privacy Policy</w:t>
              </w:r>
            </w:hyperlink>
            <w:r w:rsidRPr="004802DF">
              <w:rPr>
                <w:rFonts w:cs="Arial"/>
                <w:sz w:val="20"/>
                <w:szCs w:val="20"/>
                <w:lang w:eastAsia="en-AU"/>
              </w:rPr>
              <w:t xml:space="preserve"> and </w:t>
            </w:r>
            <w:hyperlink r:id="rId25" w:history="1">
              <w:r w:rsidRPr="004802DF">
                <w:rPr>
                  <w:rStyle w:val="Hyperlink"/>
                  <w:rFonts w:cs="Arial"/>
                  <w:sz w:val="20"/>
                  <w:szCs w:val="20"/>
                  <w:lang w:eastAsia="en-AU"/>
                </w:rPr>
                <w:t>Collection Notice</w:t>
              </w:r>
            </w:hyperlink>
            <w:r w:rsidRPr="004802DF">
              <w:rPr>
                <w:rFonts w:cs="Arial"/>
                <w:sz w:val="20"/>
                <w:szCs w:val="20"/>
                <w:lang w:eastAsia="en-AU"/>
              </w:rPr>
              <w:t xml:space="preserve"> that reflects agreed data collection, use and handling obligations </w:t>
            </w:r>
            <w:r>
              <w:rPr>
                <w:rFonts w:cs="Arial"/>
                <w:sz w:val="20"/>
                <w:szCs w:val="20"/>
                <w:lang w:eastAsia="en-AU"/>
              </w:rPr>
              <w:t xml:space="preserve">for the BP </w:t>
            </w:r>
            <w:r w:rsidRPr="004802DF">
              <w:rPr>
                <w:rFonts w:cs="Arial"/>
                <w:sz w:val="20"/>
                <w:szCs w:val="20"/>
                <w:lang w:eastAsia="en-AU"/>
              </w:rPr>
              <w:t xml:space="preserve">in line with the </w:t>
            </w:r>
            <w:r w:rsidRPr="004802DF">
              <w:rPr>
                <w:rFonts w:cs="Arial"/>
                <w:i/>
                <w:sz w:val="20"/>
                <w:szCs w:val="20"/>
                <w:lang w:eastAsia="en-AU"/>
              </w:rPr>
              <w:t>Privacy Act 1988</w:t>
            </w:r>
            <w:r w:rsidRPr="004802DF">
              <w:rPr>
                <w:rFonts w:cs="Arial"/>
                <w:sz w:val="20"/>
                <w:szCs w:val="20"/>
                <w:lang w:eastAsia="en-AU"/>
              </w:rPr>
              <w:t xml:space="preserve">. Tailored Terms and Conditions of Use for </w:t>
            </w:r>
            <w:r>
              <w:rPr>
                <w:rFonts w:cs="Arial"/>
                <w:sz w:val="20"/>
                <w:szCs w:val="20"/>
                <w:lang w:eastAsia="en-AU"/>
              </w:rPr>
              <w:t>C</w:t>
            </w:r>
            <w:r w:rsidRPr="004802DF">
              <w:rPr>
                <w:rFonts w:cs="Arial"/>
                <w:sz w:val="20"/>
                <w:szCs w:val="20"/>
                <w:lang w:eastAsia="en-AU"/>
              </w:rPr>
              <w:t>onsumers and Terms and Conditions of Use for Vaccine Providers were also developed.</w:t>
            </w:r>
            <w:r>
              <w:rPr>
                <w:rFonts w:cs="Arial"/>
                <w:sz w:val="20"/>
                <w:szCs w:val="20"/>
                <w:lang w:eastAsia="en-AU"/>
              </w:rPr>
              <w:t xml:space="preserve"> These are separate from the arrangements for HealthEngine’s mainstream booking solution. </w:t>
            </w:r>
            <w:r w:rsidR="00851837">
              <w:rPr>
                <w:rFonts w:cs="Arial"/>
                <w:sz w:val="20"/>
                <w:szCs w:val="20"/>
              </w:rPr>
              <w:t>Health has</w:t>
            </w:r>
            <w:r w:rsidR="008943DA" w:rsidRPr="004802DF">
              <w:rPr>
                <w:rFonts w:cs="Arial"/>
                <w:sz w:val="20"/>
                <w:szCs w:val="20"/>
              </w:rPr>
              <w:t xml:space="preserve"> </w:t>
            </w:r>
            <w:r w:rsidR="00851837">
              <w:rPr>
                <w:rFonts w:cs="Arial"/>
                <w:sz w:val="20"/>
                <w:szCs w:val="20"/>
              </w:rPr>
              <w:t>considered</w:t>
            </w:r>
            <w:r w:rsidR="00376883" w:rsidRPr="004802DF">
              <w:rPr>
                <w:rFonts w:cs="Arial"/>
                <w:sz w:val="20"/>
                <w:szCs w:val="20"/>
              </w:rPr>
              <w:t xml:space="preserve"> whether changes should be made to the privacy documents surrounding the BP, taking into account feedback </w:t>
            </w:r>
            <w:r w:rsidR="00600D66" w:rsidRPr="004802DF">
              <w:rPr>
                <w:rFonts w:cs="Arial"/>
                <w:sz w:val="20"/>
                <w:szCs w:val="20"/>
              </w:rPr>
              <w:t xml:space="preserve">from the PIA process, including engagement with </w:t>
            </w:r>
            <w:r w:rsidR="00376883" w:rsidRPr="004802DF">
              <w:rPr>
                <w:rFonts w:cs="Arial"/>
                <w:sz w:val="20"/>
                <w:szCs w:val="20"/>
              </w:rPr>
              <w:t xml:space="preserve">the OAIC. </w:t>
            </w:r>
            <w:r w:rsidR="008943DA" w:rsidRPr="004802DF">
              <w:rPr>
                <w:rFonts w:cs="Arial"/>
                <w:sz w:val="20"/>
                <w:szCs w:val="20"/>
              </w:rPr>
              <w:t xml:space="preserve">In order to prevent ‘information’ overload, a ‘snapshot’ Privacy Summary is available to </w:t>
            </w:r>
            <w:r w:rsidR="00B2516F">
              <w:rPr>
                <w:rFonts w:cs="Arial"/>
                <w:sz w:val="20"/>
                <w:szCs w:val="20"/>
              </w:rPr>
              <w:t>c</w:t>
            </w:r>
            <w:r w:rsidR="008943DA" w:rsidRPr="004802DF">
              <w:rPr>
                <w:rFonts w:cs="Arial"/>
                <w:sz w:val="20"/>
                <w:szCs w:val="20"/>
              </w:rPr>
              <w:t xml:space="preserve">onsumers in the </w:t>
            </w:r>
            <w:r w:rsidR="000551C4">
              <w:rPr>
                <w:rFonts w:cs="Arial"/>
                <w:sz w:val="20"/>
                <w:szCs w:val="20"/>
              </w:rPr>
              <w:t>BP</w:t>
            </w:r>
            <w:r w:rsidR="008943DA" w:rsidRPr="004802DF">
              <w:rPr>
                <w:rFonts w:cs="Arial"/>
                <w:sz w:val="20"/>
                <w:szCs w:val="20"/>
              </w:rPr>
              <w:t xml:space="preserve"> confirming key information in relation to their privacy.</w:t>
            </w:r>
          </w:p>
          <w:p w14:paraId="4DE03861" w14:textId="77777777" w:rsidR="00516F7D" w:rsidRDefault="00516F7D" w:rsidP="000551C4">
            <w:pPr>
              <w:cnfStyle w:val="000000010000" w:firstRow="0" w:lastRow="0" w:firstColumn="0" w:lastColumn="0" w:oddVBand="0" w:evenVBand="0" w:oddHBand="0" w:evenHBand="1" w:firstRowFirstColumn="0" w:firstRowLastColumn="0" w:lastRowFirstColumn="0" w:lastRowLastColumn="0"/>
              <w:rPr>
                <w:rFonts w:cs="Arial"/>
                <w:sz w:val="20"/>
                <w:szCs w:val="20"/>
              </w:rPr>
            </w:pPr>
          </w:p>
          <w:p w14:paraId="351A6B59" w14:textId="6211D54F" w:rsidR="00A9439D" w:rsidRPr="004802DF" w:rsidRDefault="00516F7D" w:rsidP="00E057F7">
            <w:pPr>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Health will continue to take a ‘privacy by design’ approach</w:t>
            </w:r>
            <w:r w:rsidR="00E057F7">
              <w:rPr>
                <w:rFonts w:cs="Arial"/>
                <w:sz w:val="20"/>
                <w:szCs w:val="20"/>
              </w:rPr>
              <w:t xml:space="preserve"> and </w:t>
            </w:r>
            <w:r>
              <w:rPr>
                <w:rFonts w:cs="Arial"/>
                <w:sz w:val="20"/>
                <w:szCs w:val="20"/>
              </w:rPr>
              <w:t xml:space="preserve">will </w:t>
            </w:r>
            <w:r w:rsidR="00E057F7">
              <w:rPr>
                <w:rFonts w:cs="Arial"/>
                <w:sz w:val="20"/>
                <w:szCs w:val="20"/>
              </w:rPr>
              <w:t>continue to engage with relevant stakeholders to implement any additional</w:t>
            </w:r>
            <w:r>
              <w:rPr>
                <w:rFonts w:cs="Arial"/>
                <w:sz w:val="20"/>
                <w:szCs w:val="20"/>
              </w:rPr>
              <w:t xml:space="preserve"> privacy protections </w:t>
            </w:r>
            <w:r w:rsidR="00E057F7">
              <w:rPr>
                <w:rFonts w:cs="Arial"/>
                <w:sz w:val="20"/>
                <w:szCs w:val="20"/>
              </w:rPr>
              <w:t>that may be needed</w:t>
            </w:r>
            <w:r w:rsidR="000702F2">
              <w:rPr>
                <w:rFonts w:cs="Arial"/>
                <w:sz w:val="20"/>
                <w:szCs w:val="20"/>
              </w:rPr>
              <w:t xml:space="preserve"> as the rollout progresses</w:t>
            </w:r>
            <w:r>
              <w:rPr>
                <w:rFonts w:cs="Arial"/>
                <w:sz w:val="20"/>
                <w:szCs w:val="20"/>
              </w:rPr>
              <w:t xml:space="preserve">. </w:t>
            </w:r>
          </w:p>
        </w:tc>
      </w:tr>
    </w:tbl>
    <w:p w14:paraId="5C9C71DD" w14:textId="48D171FA" w:rsidR="00D21770" w:rsidRPr="004802DF" w:rsidRDefault="00D21770" w:rsidP="00D21770">
      <w:pPr>
        <w:pStyle w:val="Paragraphtext"/>
        <w:rPr>
          <w:rFonts w:cs="Arial"/>
          <w:sz w:val="20"/>
          <w:szCs w:val="20"/>
        </w:rPr>
      </w:pPr>
    </w:p>
    <w:tbl>
      <w:tblPr>
        <w:tblStyle w:val="DepartmentofHealthtable"/>
        <w:tblW w:w="0" w:type="auto"/>
        <w:tblLook w:val="04A0" w:firstRow="1" w:lastRow="0" w:firstColumn="1" w:lastColumn="0" w:noHBand="0" w:noVBand="1"/>
      </w:tblPr>
      <w:tblGrid>
        <w:gridCol w:w="2407"/>
        <w:gridCol w:w="6098"/>
      </w:tblGrid>
      <w:tr w:rsidR="00D21770" w:rsidRPr="004802DF" w14:paraId="10966D1C" w14:textId="77777777" w:rsidTr="00A24D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78C91C59" w14:textId="77777777" w:rsidR="00D21770" w:rsidRPr="004802DF" w:rsidRDefault="00D21770" w:rsidP="003837AD">
            <w:pPr>
              <w:pStyle w:val="TableHeaderWhite"/>
              <w:keepNext/>
              <w:rPr>
                <w:rFonts w:cs="Arial"/>
                <w:sz w:val="20"/>
                <w:szCs w:val="20"/>
              </w:rPr>
            </w:pPr>
            <w:r w:rsidRPr="004802DF">
              <w:rPr>
                <w:rFonts w:cs="Arial"/>
                <w:sz w:val="20"/>
                <w:szCs w:val="20"/>
              </w:rPr>
              <w:t xml:space="preserve">Maddocks Recommendation 4: </w:t>
            </w:r>
          </w:p>
        </w:tc>
        <w:tc>
          <w:tcPr>
            <w:tcW w:w="6098" w:type="dxa"/>
          </w:tcPr>
          <w:p w14:paraId="56518634" w14:textId="67518298" w:rsidR="00D21770" w:rsidRPr="004802DF" w:rsidRDefault="005B3487" w:rsidP="003837AD">
            <w:pPr>
              <w:pStyle w:val="TableHeader"/>
              <w:keepNext/>
              <w:cnfStyle w:val="100000000000" w:firstRow="1" w:lastRow="0" w:firstColumn="0" w:lastColumn="0" w:oddVBand="0" w:evenVBand="0" w:oddHBand="0" w:evenHBand="0" w:firstRowFirstColumn="0" w:firstRowLastColumn="0" w:lastRowFirstColumn="0" w:lastRowLastColumn="0"/>
              <w:rPr>
                <w:rFonts w:cs="Arial"/>
                <w:sz w:val="20"/>
                <w:szCs w:val="20"/>
              </w:rPr>
            </w:pPr>
            <w:r w:rsidRPr="004802DF">
              <w:rPr>
                <w:rFonts w:cs="Arial"/>
                <w:sz w:val="20"/>
                <w:szCs w:val="20"/>
              </w:rPr>
              <w:t>Contractual arrangements with third party entities</w:t>
            </w:r>
          </w:p>
        </w:tc>
      </w:tr>
      <w:tr w:rsidR="00D21770" w:rsidRPr="004802DF" w14:paraId="16CE38B4" w14:textId="77777777" w:rsidTr="00A24D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5" w:type="dxa"/>
            <w:gridSpan w:val="2"/>
          </w:tcPr>
          <w:p w14:paraId="7186B388" w14:textId="77777777" w:rsidR="005B3487" w:rsidRPr="004802DF" w:rsidRDefault="005B3487" w:rsidP="005B3487">
            <w:pPr>
              <w:keepNext/>
              <w:spacing w:before="240" w:after="240"/>
              <w:rPr>
                <w:rFonts w:cs="Arial"/>
                <w:sz w:val="20"/>
                <w:szCs w:val="20"/>
              </w:rPr>
            </w:pPr>
            <w:r w:rsidRPr="004802DF">
              <w:rPr>
                <w:rFonts w:cs="Arial"/>
                <w:sz w:val="20"/>
                <w:szCs w:val="20"/>
              </w:rPr>
              <w:t xml:space="preserve">We </w:t>
            </w:r>
            <w:r w:rsidRPr="004802DF">
              <w:rPr>
                <w:rFonts w:cs="Arial"/>
                <w:b/>
                <w:sz w:val="20"/>
                <w:szCs w:val="20"/>
              </w:rPr>
              <w:t>recommend</w:t>
            </w:r>
            <w:r w:rsidRPr="004802DF">
              <w:rPr>
                <w:rFonts w:cs="Arial"/>
                <w:sz w:val="20"/>
                <w:szCs w:val="20"/>
              </w:rPr>
              <w:t xml:space="preserve"> that Health ensure (including through seeking assurance from its legal adviser, as appropriate) that the robust general privacy and security obligations in its contractual arrangements with the Data Partner, and with other third parties involved in accessing or otherwise handling personal information in Phase 1b, continue to remain suitable.</w:t>
            </w:r>
          </w:p>
          <w:p w14:paraId="57A26097" w14:textId="77777777" w:rsidR="005B3487" w:rsidRPr="004802DF" w:rsidRDefault="005B3487" w:rsidP="005B3487">
            <w:pPr>
              <w:keepNext/>
              <w:spacing w:before="240" w:after="240"/>
              <w:rPr>
                <w:rFonts w:cs="Arial"/>
                <w:sz w:val="20"/>
                <w:szCs w:val="20"/>
              </w:rPr>
            </w:pPr>
            <w:r w:rsidRPr="004802DF">
              <w:rPr>
                <w:rFonts w:cs="Arial"/>
                <w:sz w:val="20"/>
                <w:szCs w:val="20"/>
              </w:rPr>
              <w:t xml:space="preserve">We also </w:t>
            </w:r>
            <w:r w:rsidRPr="00F537C3">
              <w:rPr>
                <w:rFonts w:cs="Arial"/>
                <w:b/>
                <w:sz w:val="20"/>
                <w:szCs w:val="20"/>
              </w:rPr>
              <w:t>recommend</w:t>
            </w:r>
            <w:r w:rsidRPr="004802DF">
              <w:rPr>
                <w:rFonts w:cs="Arial"/>
                <w:sz w:val="20"/>
                <w:szCs w:val="20"/>
              </w:rPr>
              <w:t xml:space="preserve"> that Health consider supplementing already robust privacy and security protections in the HealthEngine Contract, by making amendments as necessary or appropriate to clarify:</w:t>
            </w:r>
          </w:p>
          <w:p w14:paraId="0B60682F" w14:textId="437F0F75" w:rsidR="005B3487" w:rsidRPr="004802DF" w:rsidRDefault="005B3487" w:rsidP="005B3487">
            <w:pPr>
              <w:pStyle w:val="ListParagraph"/>
              <w:keepNext/>
              <w:numPr>
                <w:ilvl w:val="0"/>
                <w:numId w:val="15"/>
              </w:numPr>
              <w:spacing w:before="240" w:after="240"/>
              <w:rPr>
                <w:rFonts w:cs="Arial"/>
                <w:b/>
                <w:bCs/>
                <w:sz w:val="20"/>
                <w:szCs w:val="20"/>
              </w:rPr>
            </w:pPr>
            <w:r w:rsidRPr="004802DF">
              <w:rPr>
                <w:rFonts w:cs="Arial"/>
                <w:sz w:val="20"/>
                <w:szCs w:val="20"/>
              </w:rPr>
              <w:t>that HealthEngine must hold any information collected in connection with the BP separately from any other information it collects as part of its BAU practices (such as through the usual online booking services it provides to other health professionals); and</w:t>
            </w:r>
            <w:r w:rsidRPr="004802DF">
              <w:rPr>
                <w:rFonts w:cs="Arial"/>
                <w:sz w:val="20"/>
                <w:szCs w:val="20"/>
              </w:rPr>
              <w:br/>
            </w:r>
          </w:p>
          <w:p w14:paraId="0C899910" w14:textId="500CC075" w:rsidR="005B3487" w:rsidRPr="004802DF" w:rsidRDefault="009E401D" w:rsidP="005B3487">
            <w:pPr>
              <w:pStyle w:val="ListParagraph"/>
              <w:keepNext/>
              <w:numPr>
                <w:ilvl w:val="0"/>
                <w:numId w:val="15"/>
              </w:numPr>
              <w:spacing w:before="240" w:after="240"/>
              <w:rPr>
                <w:rFonts w:cs="Arial"/>
                <w:b/>
                <w:bCs/>
                <w:sz w:val="20"/>
                <w:szCs w:val="20"/>
              </w:rPr>
            </w:pPr>
            <w:r w:rsidRPr="009E401D">
              <w:rPr>
                <w:color w:val="auto"/>
                <w:sz w:val="20"/>
                <w:szCs w:val="20"/>
                <w:lang w:eastAsia="en-AU"/>
              </w:rPr>
              <w:t xml:space="preserve">whether or not the contractual obligations (including the protections in relation to privacy and security) sufficiently apply to information collected by HealthEngine in connection with the BP; </w:t>
            </w:r>
            <w:r w:rsidR="005B3487" w:rsidRPr="009E401D">
              <w:rPr>
                <w:rFonts w:cs="Arial"/>
                <w:sz w:val="20"/>
                <w:szCs w:val="20"/>
              </w:rPr>
              <w:t>and</w:t>
            </w:r>
            <w:r w:rsidR="005B3487" w:rsidRPr="004802DF">
              <w:rPr>
                <w:rFonts w:cs="Arial"/>
                <w:sz w:val="20"/>
                <w:szCs w:val="20"/>
              </w:rPr>
              <w:br/>
            </w:r>
          </w:p>
          <w:p w14:paraId="15C1A0F4" w14:textId="77777777" w:rsidR="005B3487" w:rsidRPr="004802DF" w:rsidRDefault="005B3487" w:rsidP="005B3487">
            <w:pPr>
              <w:pStyle w:val="ListParagraph"/>
              <w:keepNext/>
              <w:numPr>
                <w:ilvl w:val="0"/>
                <w:numId w:val="15"/>
              </w:numPr>
              <w:spacing w:before="240" w:after="240"/>
              <w:rPr>
                <w:rFonts w:cs="Arial"/>
                <w:b/>
                <w:bCs/>
                <w:sz w:val="20"/>
                <w:szCs w:val="20"/>
              </w:rPr>
            </w:pPr>
            <w:r w:rsidRPr="004802DF">
              <w:rPr>
                <w:rFonts w:cs="Arial"/>
                <w:sz w:val="20"/>
                <w:szCs w:val="20"/>
              </w:rPr>
              <w:t>the points at which HealthEngine is required to delete or destroy information collected through the BP (or return it to Health).</w:t>
            </w:r>
          </w:p>
          <w:p w14:paraId="58462A36" w14:textId="40487593" w:rsidR="00A24D2E" w:rsidRPr="004802DF" w:rsidRDefault="005B3487" w:rsidP="003A5E77">
            <w:pPr>
              <w:spacing w:before="120" w:after="120"/>
              <w:rPr>
                <w:rFonts w:cs="Arial"/>
                <w:iCs/>
                <w:sz w:val="20"/>
                <w:szCs w:val="20"/>
              </w:rPr>
            </w:pPr>
            <w:r w:rsidRPr="004802DF">
              <w:rPr>
                <w:rFonts w:cs="Arial"/>
                <w:sz w:val="20"/>
                <w:szCs w:val="20"/>
              </w:rPr>
              <w:t>We also note that it will be important for Health to ensure that it has appropriate monitoring and auditing processes in place, to ensure HealthEngine complies with its strong privacy and security obligations under the HealthEngine Contract.</w:t>
            </w:r>
          </w:p>
        </w:tc>
      </w:tr>
      <w:tr w:rsidR="00D21770" w:rsidRPr="004802DF" w14:paraId="2A20E8EA" w14:textId="77777777" w:rsidTr="00A24D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5C2AF5FC" w14:textId="77777777" w:rsidR="00F537C3" w:rsidRPr="00F537C3" w:rsidRDefault="00DF66E4" w:rsidP="00F537C3">
            <w:pPr>
              <w:pStyle w:val="Tabletextleft"/>
            </w:pPr>
            <w:r w:rsidRPr="00F537C3">
              <w:t>R</w:t>
            </w:r>
            <w:r w:rsidR="00D21770" w:rsidRPr="00F537C3">
              <w:t>esponse</w:t>
            </w:r>
          </w:p>
          <w:p w14:paraId="267B566F" w14:textId="21AF465C" w:rsidR="00D21770" w:rsidRPr="00F537C3" w:rsidRDefault="00D21770" w:rsidP="00F537C3">
            <w:pPr>
              <w:pStyle w:val="Tabletextleft"/>
            </w:pPr>
          </w:p>
        </w:tc>
        <w:tc>
          <w:tcPr>
            <w:tcW w:w="6098" w:type="dxa"/>
          </w:tcPr>
          <w:p w14:paraId="4B9D8558" w14:textId="77777777" w:rsidR="00F537C3" w:rsidRPr="00F537C3" w:rsidRDefault="00F537C3" w:rsidP="00F537C3">
            <w:pPr>
              <w:shd w:val="clear" w:color="auto" w:fill="FFFFFF"/>
              <w:spacing w:after="120"/>
              <w:cnfStyle w:val="000000010000" w:firstRow="0" w:lastRow="0" w:firstColumn="0" w:lastColumn="0" w:oddVBand="0" w:evenVBand="0" w:oddHBand="0" w:evenHBand="1" w:firstRowFirstColumn="0" w:firstRowLastColumn="0" w:lastRowFirstColumn="0" w:lastRowLastColumn="0"/>
              <w:rPr>
                <w:rFonts w:cs="Arial"/>
                <w:sz w:val="20"/>
                <w:szCs w:val="20"/>
              </w:rPr>
            </w:pPr>
            <w:r w:rsidRPr="00F537C3">
              <w:rPr>
                <w:rFonts w:cs="Arial"/>
                <w:sz w:val="20"/>
                <w:szCs w:val="20"/>
              </w:rPr>
              <w:t xml:space="preserve">Agree in principle. </w:t>
            </w:r>
          </w:p>
          <w:p w14:paraId="6009C4E7" w14:textId="77777777" w:rsidR="00F537C3" w:rsidRDefault="00F537C3" w:rsidP="00F537C3">
            <w:pPr>
              <w:pStyle w:val="ListParagraph"/>
              <w:shd w:val="clear" w:color="auto" w:fill="FFFFFF"/>
              <w:spacing w:after="120"/>
              <w:ind w:left="0"/>
              <w:contextualSpacing w:val="0"/>
              <w:cnfStyle w:val="000000010000" w:firstRow="0" w:lastRow="0" w:firstColumn="0" w:lastColumn="0" w:oddVBand="0" w:evenVBand="0" w:oddHBand="0" w:evenHBand="1" w:firstRowFirstColumn="0" w:firstRowLastColumn="0" w:lastRowFirstColumn="0" w:lastRowLastColumn="0"/>
              <w:rPr>
                <w:rFonts w:cs="Arial"/>
                <w:sz w:val="20"/>
                <w:szCs w:val="20"/>
              </w:rPr>
            </w:pPr>
            <w:r w:rsidRPr="00F537C3">
              <w:rPr>
                <w:rFonts w:cs="Arial"/>
                <w:sz w:val="20"/>
                <w:szCs w:val="20"/>
              </w:rPr>
              <w:t xml:space="preserve">Health has robust contractual privacy clauses with its Partners, including in its contract with HealthEngine for the BP. Health has ensured that the BP has been designed and functions as a stand-alone system, without interoperability with HealthEngine’s mainstream platform. Health owns the data from the BP, including personal information, and has ensured it will only be used for the purpose of facilitating COVID-19 vaccinations. Data from the BP is protected by the Privacy Act and strict privacy provisions in Health’s contract with their cloud service provider. </w:t>
            </w:r>
          </w:p>
          <w:p w14:paraId="7FED0385" w14:textId="4012065C" w:rsidR="00F537C3" w:rsidRDefault="00F537C3" w:rsidP="00F537C3">
            <w:pPr>
              <w:pStyle w:val="ListParagraph"/>
              <w:shd w:val="clear" w:color="auto" w:fill="FFFFFF"/>
              <w:spacing w:after="120"/>
              <w:ind w:left="0"/>
              <w:contextualSpacing w:val="0"/>
              <w:cnfStyle w:val="000000010000" w:firstRow="0" w:lastRow="0" w:firstColumn="0" w:lastColumn="0" w:oddVBand="0" w:evenVBand="0" w:oddHBand="0" w:evenHBand="1" w:firstRowFirstColumn="0" w:firstRowLastColumn="0" w:lastRowFirstColumn="0" w:lastRowLastColumn="0"/>
              <w:rPr>
                <w:rFonts w:cs="Arial"/>
                <w:sz w:val="20"/>
                <w:szCs w:val="20"/>
              </w:rPr>
            </w:pPr>
            <w:r w:rsidRPr="00F537C3">
              <w:rPr>
                <w:rFonts w:cs="Arial"/>
                <w:sz w:val="20"/>
                <w:szCs w:val="20"/>
              </w:rPr>
              <w:t xml:space="preserve">Health will, consistent with the contract, request the data be returned and/or deleted from HealthEngine’s holdings. </w:t>
            </w:r>
            <w:r w:rsidRPr="004802DF">
              <w:rPr>
                <w:rFonts w:cs="Arial"/>
                <w:sz w:val="20"/>
                <w:szCs w:val="20"/>
              </w:rPr>
              <w:t xml:space="preserve">Privacy materials developed for the </w:t>
            </w:r>
            <w:r>
              <w:rPr>
                <w:rFonts w:cs="Arial"/>
                <w:sz w:val="20"/>
                <w:szCs w:val="20"/>
              </w:rPr>
              <w:t>BP</w:t>
            </w:r>
            <w:r w:rsidRPr="004802DF">
              <w:rPr>
                <w:rFonts w:cs="Arial"/>
                <w:sz w:val="20"/>
                <w:szCs w:val="20"/>
              </w:rPr>
              <w:t xml:space="preserve"> reflect these arrangements and Health considers that additional contractual revisions </w:t>
            </w:r>
            <w:r>
              <w:rPr>
                <w:rFonts w:cs="Arial"/>
                <w:sz w:val="20"/>
                <w:szCs w:val="20"/>
              </w:rPr>
              <w:t xml:space="preserve">(beyond formal amendments contemplated under the current terms of the contract) </w:t>
            </w:r>
            <w:r w:rsidRPr="004802DF">
              <w:rPr>
                <w:rFonts w:cs="Arial"/>
                <w:sz w:val="20"/>
                <w:szCs w:val="20"/>
              </w:rPr>
              <w:t xml:space="preserve">are not warranted. </w:t>
            </w:r>
          </w:p>
          <w:p w14:paraId="42ACF76F" w14:textId="7FED57C1" w:rsidR="00F537C3" w:rsidRPr="004802DF" w:rsidRDefault="00F537C3" w:rsidP="00F537C3">
            <w:pPr>
              <w:pStyle w:val="ListParagraph"/>
              <w:shd w:val="clear" w:color="auto" w:fill="FFFFFF"/>
              <w:spacing w:after="120"/>
              <w:ind w:left="0"/>
              <w:contextualSpacing w:val="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The OAIC provided comments for Health to consider in relation to arrangements for the BP. Following this PIA, Health will engage with appropriate stakeholders and the OAIC on the further steps that will be put into place at the time of the decommissioning of the BP.</w:t>
            </w:r>
          </w:p>
          <w:p w14:paraId="15D6921F" w14:textId="10E37F27" w:rsidR="00A20168" w:rsidRPr="004802DF" w:rsidRDefault="0004790E" w:rsidP="00D05E02">
            <w:pPr>
              <w:pStyle w:val="ListParagraph"/>
              <w:shd w:val="clear" w:color="auto" w:fill="FFFFFF"/>
              <w:spacing w:after="120"/>
              <w:ind w:left="0"/>
              <w:contextualSpacing w:val="0"/>
              <w:cnfStyle w:val="000000010000" w:firstRow="0" w:lastRow="0" w:firstColumn="0" w:lastColumn="0" w:oddVBand="0" w:evenVBand="0" w:oddHBand="0" w:evenHBand="1" w:firstRowFirstColumn="0" w:firstRowLastColumn="0" w:lastRowFirstColumn="0" w:lastRowLastColumn="0"/>
              <w:rPr>
                <w:rFonts w:cs="Arial"/>
                <w:sz w:val="20"/>
                <w:szCs w:val="20"/>
              </w:rPr>
            </w:pPr>
            <w:r w:rsidRPr="004802DF">
              <w:rPr>
                <w:rFonts w:cs="Arial"/>
                <w:sz w:val="20"/>
                <w:szCs w:val="20"/>
              </w:rPr>
              <w:t>Health</w:t>
            </w:r>
            <w:r w:rsidR="0042156B">
              <w:rPr>
                <w:rFonts w:cs="Arial"/>
                <w:sz w:val="20"/>
                <w:szCs w:val="20"/>
              </w:rPr>
              <w:t>’s</w:t>
            </w:r>
            <w:r w:rsidRPr="004802DF">
              <w:rPr>
                <w:rFonts w:cs="Arial"/>
                <w:sz w:val="20"/>
                <w:szCs w:val="20"/>
              </w:rPr>
              <w:t xml:space="preserve"> </w:t>
            </w:r>
            <w:r w:rsidR="003A5E77" w:rsidRPr="004802DF">
              <w:rPr>
                <w:rFonts w:cs="Arial"/>
                <w:sz w:val="20"/>
                <w:szCs w:val="20"/>
              </w:rPr>
              <w:t xml:space="preserve">contract managers </w:t>
            </w:r>
            <w:r w:rsidR="0042156B">
              <w:rPr>
                <w:rFonts w:cs="Arial"/>
                <w:sz w:val="20"/>
                <w:szCs w:val="20"/>
              </w:rPr>
              <w:t>will</w:t>
            </w:r>
            <w:r w:rsidR="003A5E77" w:rsidRPr="004802DF">
              <w:rPr>
                <w:rFonts w:cs="Arial"/>
                <w:sz w:val="20"/>
                <w:szCs w:val="20"/>
              </w:rPr>
              <w:t xml:space="preserve"> ensure that appropriate auditing and monitoring processes are in place</w:t>
            </w:r>
            <w:r w:rsidRPr="004802DF">
              <w:rPr>
                <w:rFonts w:cs="Arial"/>
                <w:sz w:val="20"/>
                <w:szCs w:val="20"/>
              </w:rPr>
              <w:t xml:space="preserve"> for compliance against the contract</w:t>
            </w:r>
            <w:r w:rsidR="003A5E77" w:rsidRPr="004802DF">
              <w:rPr>
                <w:rFonts w:cs="Arial"/>
                <w:sz w:val="20"/>
                <w:szCs w:val="20"/>
              </w:rPr>
              <w:t xml:space="preserve">. </w:t>
            </w:r>
          </w:p>
          <w:p w14:paraId="31A2FE79" w14:textId="77777777" w:rsidR="00FE112B" w:rsidRDefault="0042156B" w:rsidP="00FE112B">
            <w:pPr>
              <w:pStyle w:val="ListParagraph"/>
              <w:shd w:val="clear" w:color="auto" w:fill="FFFFFF"/>
              <w:spacing w:after="120"/>
              <w:ind w:left="0"/>
              <w:contextualSpacing w:val="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C</w:t>
            </w:r>
            <w:r w:rsidR="00A20168" w:rsidRPr="004802DF">
              <w:rPr>
                <w:rFonts w:cs="Arial"/>
                <w:sz w:val="20"/>
                <w:szCs w:val="20"/>
              </w:rPr>
              <w:t>ontract</w:t>
            </w:r>
            <w:r>
              <w:rPr>
                <w:rFonts w:cs="Arial"/>
                <w:sz w:val="20"/>
                <w:szCs w:val="20"/>
              </w:rPr>
              <w:t>s with the</w:t>
            </w:r>
            <w:r w:rsidR="00A20168" w:rsidRPr="004802DF">
              <w:rPr>
                <w:rFonts w:cs="Arial"/>
                <w:sz w:val="20"/>
                <w:szCs w:val="20"/>
              </w:rPr>
              <w:t xml:space="preserve"> Data Partner </w:t>
            </w:r>
            <w:r>
              <w:rPr>
                <w:rFonts w:cs="Arial"/>
                <w:sz w:val="20"/>
                <w:szCs w:val="20"/>
              </w:rPr>
              <w:t>and HealthEngine also require</w:t>
            </w:r>
            <w:r w:rsidR="00A20168" w:rsidRPr="004802DF">
              <w:rPr>
                <w:rFonts w:cs="Arial"/>
                <w:sz w:val="20"/>
                <w:szCs w:val="20"/>
              </w:rPr>
              <w:t xml:space="preserve"> the provision </w:t>
            </w:r>
            <w:r>
              <w:rPr>
                <w:rFonts w:cs="Arial"/>
                <w:sz w:val="20"/>
                <w:szCs w:val="20"/>
              </w:rPr>
              <w:t>of Data Protection Plans. Health is</w:t>
            </w:r>
            <w:r w:rsidR="00A20168" w:rsidRPr="004802DF">
              <w:rPr>
                <w:rFonts w:cs="Arial"/>
                <w:sz w:val="20"/>
                <w:szCs w:val="20"/>
              </w:rPr>
              <w:t xml:space="preserve"> currently reviewing the plans received to date. </w:t>
            </w:r>
          </w:p>
          <w:p w14:paraId="34EE041F" w14:textId="428EFE2A" w:rsidR="00A20168" w:rsidRPr="004802DF" w:rsidRDefault="00FE112B" w:rsidP="00F537C3">
            <w:pPr>
              <w:pStyle w:val="ListParagraph"/>
              <w:shd w:val="clear" w:color="auto" w:fill="FFFFFF"/>
              <w:spacing w:after="120"/>
              <w:ind w:left="0"/>
              <w:contextualSpacing w:val="0"/>
              <w:cnfStyle w:val="000000010000" w:firstRow="0" w:lastRow="0" w:firstColumn="0" w:lastColumn="0" w:oddVBand="0" w:evenVBand="0" w:oddHBand="0" w:evenHBand="1" w:firstRowFirstColumn="0" w:firstRowLastColumn="0" w:lastRowFirstColumn="0" w:lastRowLastColumn="0"/>
              <w:rPr>
                <w:rFonts w:cs="Arial"/>
                <w:sz w:val="20"/>
                <w:szCs w:val="20"/>
              </w:rPr>
            </w:pPr>
            <w:r w:rsidRPr="004802DF">
              <w:rPr>
                <w:rFonts w:cs="Arial"/>
                <w:sz w:val="20"/>
                <w:szCs w:val="20"/>
              </w:rPr>
              <w:t xml:space="preserve">As in Phase 1a, Health will continue to engage </w:t>
            </w:r>
            <w:r w:rsidR="00F976E3">
              <w:rPr>
                <w:rFonts w:cs="Arial"/>
                <w:sz w:val="20"/>
                <w:szCs w:val="20"/>
              </w:rPr>
              <w:t>with relevant stakeholders</w:t>
            </w:r>
            <w:r w:rsidR="008D2C0B">
              <w:rPr>
                <w:rFonts w:cs="Arial"/>
                <w:sz w:val="20"/>
                <w:szCs w:val="20"/>
              </w:rPr>
              <w:t>,</w:t>
            </w:r>
            <w:r w:rsidR="00F976E3">
              <w:rPr>
                <w:rFonts w:cs="Arial"/>
                <w:sz w:val="20"/>
                <w:szCs w:val="20"/>
              </w:rPr>
              <w:t xml:space="preserve"> as appropriate</w:t>
            </w:r>
            <w:r w:rsidR="008D2C0B">
              <w:rPr>
                <w:rFonts w:cs="Arial"/>
                <w:sz w:val="20"/>
                <w:szCs w:val="20"/>
              </w:rPr>
              <w:t>,</w:t>
            </w:r>
            <w:r w:rsidR="00F976E3">
              <w:rPr>
                <w:rFonts w:cs="Arial"/>
                <w:sz w:val="20"/>
                <w:szCs w:val="20"/>
              </w:rPr>
              <w:t xml:space="preserve"> </w:t>
            </w:r>
            <w:r w:rsidRPr="004802DF">
              <w:rPr>
                <w:rFonts w:cs="Arial"/>
                <w:sz w:val="20"/>
                <w:szCs w:val="20"/>
              </w:rPr>
              <w:t>in relation to contractual arrangements with Partners and third party entities involved in the COVID-19 vaccine rollout.</w:t>
            </w:r>
            <w:r w:rsidR="00F537C3">
              <w:t xml:space="preserve"> </w:t>
            </w:r>
          </w:p>
        </w:tc>
      </w:tr>
    </w:tbl>
    <w:p w14:paraId="0D061366" w14:textId="416B7A6D" w:rsidR="000D4B6E" w:rsidRPr="004802DF" w:rsidRDefault="000D4B6E" w:rsidP="001F2F78">
      <w:pPr>
        <w:rPr>
          <w:rFonts w:cs="Arial"/>
          <w:sz w:val="20"/>
          <w:szCs w:val="20"/>
        </w:rPr>
      </w:pPr>
    </w:p>
    <w:p w14:paraId="0A2B5D29" w14:textId="77777777" w:rsidR="00466622" w:rsidRPr="004802DF" w:rsidRDefault="00466622">
      <w:pPr>
        <w:rPr>
          <w:rFonts w:cs="Arial"/>
          <w:sz w:val="20"/>
          <w:szCs w:val="20"/>
        </w:rPr>
      </w:pPr>
    </w:p>
    <w:tbl>
      <w:tblPr>
        <w:tblStyle w:val="DepartmentofHealthtable"/>
        <w:tblW w:w="0" w:type="auto"/>
        <w:tblLook w:val="04A0" w:firstRow="1" w:lastRow="0" w:firstColumn="1" w:lastColumn="0" w:noHBand="0" w:noVBand="1"/>
      </w:tblPr>
      <w:tblGrid>
        <w:gridCol w:w="2410"/>
        <w:gridCol w:w="2032"/>
        <w:gridCol w:w="4628"/>
      </w:tblGrid>
      <w:tr w:rsidR="00D21770" w:rsidRPr="004802DF" w14:paraId="6FBC90CC" w14:textId="77777777" w:rsidTr="006635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42" w:type="dxa"/>
            <w:gridSpan w:val="2"/>
          </w:tcPr>
          <w:p w14:paraId="3CA1AF88" w14:textId="77777777" w:rsidR="00D21770" w:rsidRPr="004802DF" w:rsidRDefault="000261B0" w:rsidP="00A24D39">
            <w:pPr>
              <w:pStyle w:val="TableHeaderWhite"/>
              <w:rPr>
                <w:rFonts w:cs="Arial"/>
                <w:sz w:val="20"/>
                <w:szCs w:val="20"/>
              </w:rPr>
            </w:pPr>
            <w:r w:rsidRPr="004802DF">
              <w:rPr>
                <w:rFonts w:cs="Arial"/>
                <w:sz w:val="20"/>
                <w:szCs w:val="20"/>
              </w:rPr>
              <w:br w:type="page"/>
            </w:r>
            <w:r w:rsidR="00D21770" w:rsidRPr="004802DF">
              <w:rPr>
                <w:rFonts w:cs="Arial"/>
                <w:sz w:val="20"/>
                <w:szCs w:val="20"/>
              </w:rPr>
              <w:t xml:space="preserve">Maddocks Recommendation 5: </w:t>
            </w:r>
          </w:p>
        </w:tc>
        <w:tc>
          <w:tcPr>
            <w:tcW w:w="4628" w:type="dxa"/>
          </w:tcPr>
          <w:p w14:paraId="21D7D2BE" w14:textId="128BC55A" w:rsidR="00D21770" w:rsidRPr="004802DF" w:rsidRDefault="00663593" w:rsidP="00A24D39">
            <w:pPr>
              <w:pStyle w:val="TableHeader"/>
              <w:cnfStyle w:val="100000000000" w:firstRow="1" w:lastRow="0" w:firstColumn="0" w:lastColumn="0" w:oddVBand="0" w:evenVBand="0" w:oddHBand="0" w:evenHBand="0" w:firstRowFirstColumn="0" w:firstRowLastColumn="0" w:lastRowFirstColumn="0" w:lastRowLastColumn="0"/>
              <w:rPr>
                <w:rFonts w:cs="Arial"/>
                <w:sz w:val="20"/>
                <w:szCs w:val="20"/>
              </w:rPr>
            </w:pPr>
            <w:bookmarkStart w:id="2" w:name="_Ref67122323"/>
            <w:r w:rsidRPr="004802DF">
              <w:rPr>
                <w:rFonts w:cs="Arial"/>
                <w:sz w:val="20"/>
                <w:szCs w:val="20"/>
              </w:rPr>
              <w:t>Transmission of personal information between ICT systems and entities participating in Phase 1b</w:t>
            </w:r>
            <w:bookmarkEnd w:id="2"/>
          </w:p>
        </w:tc>
      </w:tr>
      <w:tr w:rsidR="00D21770" w:rsidRPr="004802DF" w14:paraId="50554712" w14:textId="77777777" w:rsidTr="006635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0" w:type="dxa"/>
            <w:gridSpan w:val="3"/>
          </w:tcPr>
          <w:p w14:paraId="1E369226" w14:textId="77777777" w:rsidR="00663593" w:rsidRPr="004802DF" w:rsidRDefault="00663593" w:rsidP="00663593">
            <w:pPr>
              <w:spacing w:before="120" w:after="120"/>
              <w:rPr>
                <w:rFonts w:cs="Arial"/>
                <w:sz w:val="20"/>
                <w:szCs w:val="20"/>
              </w:rPr>
            </w:pPr>
            <w:r w:rsidRPr="004802DF">
              <w:rPr>
                <w:rFonts w:cs="Arial"/>
                <w:sz w:val="20"/>
                <w:szCs w:val="20"/>
              </w:rPr>
              <w:t xml:space="preserve">We </w:t>
            </w:r>
            <w:r w:rsidRPr="004802DF">
              <w:rPr>
                <w:rFonts w:cs="Arial"/>
                <w:b/>
                <w:sz w:val="20"/>
                <w:szCs w:val="20"/>
              </w:rPr>
              <w:t>recommend</w:t>
            </w:r>
            <w:r w:rsidRPr="004802DF">
              <w:rPr>
                <w:rFonts w:cs="Arial"/>
                <w:sz w:val="20"/>
                <w:szCs w:val="20"/>
              </w:rPr>
              <w:t xml:space="preserve"> that Health take steps to ensure, including by undertaking appropriate testing, that when personal information is transferred between ICT systems or components, or otherwise between different entities participating in Phase 1b:</w:t>
            </w:r>
          </w:p>
          <w:p w14:paraId="1E49D91B" w14:textId="6F28F053" w:rsidR="00663593" w:rsidRPr="004802DF" w:rsidRDefault="00663593" w:rsidP="00663593">
            <w:pPr>
              <w:pStyle w:val="ListParagraph"/>
              <w:numPr>
                <w:ilvl w:val="0"/>
                <w:numId w:val="20"/>
              </w:numPr>
              <w:spacing w:before="120" w:after="120"/>
              <w:ind w:left="1077"/>
              <w:contextualSpacing w:val="0"/>
              <w:rPr>
                <w:rFonts w:cs="Arial"/>
                <w:sz w:val="20"/>
                <w:szCs w:val="20"/>
              </w:rPr>
            </w:pPr>
            <w:r w:rsidRPr="004802DF">
              <w:rPr>
                <w:rFonts w:cs="Arial"/>
                <w:sz w:val="20"/>
                <w:szCs w:val="20"/>
              </w:rPr>
              <w:t>the information is appropriately protected from misuse, interference and loss, and from unauthorised access, modification or disclosure (this will assist Health to comply with its obligations under APP 11); and</w:t>
            </w:r>
          </w:p>
          <w:p w14:paraId="121A920A" w14:textId="54136CC9" w:rsidR="00663593" w:rsidRPr="004802DF" w:rsidRDefault="00663593" w:rsidP="00663593">
            <w:pPr>
              <w:pStyle w:val="ListParagraph"/>
              <w:numPr>
                <w:ilvl w:val="0"/>
                <w:numId w:val="20"/>
              </w:numPr>
              <w:spacing w:before="120" w:after="120"/>
              <w:rPr>
                <w:rFonts w:cs="Arial"/>
                <w:sz w:val="20"/>
                <w:szCs w:val="20"/>
              </w:rPr>
            </w:pPr>
            <w:r w:rsidRPr="004802DF">
              <w:rPr>
                <w:rFonts w:cs="Arial"/>
                <w:sz w:val="20"/>
                <w:szCs w:val="20"/>
              </w:rPr>
              <w:t>the quality of information transferred is not reduced during the transmission,  (</w:t>
            </w:r>
            <w:r w:rsidR="00BE1731">
              <w:rPr>
                <w:rFonts w:cs="Arial"/>
                <w:sz w:val="20"/>
                <w:szCs w:val="20"/>
              </w:rPr>
              <w:t>for example</w:t>
            </w:r>
            <w:r w:rsidRPr="004802DF">
              <w:rPr>
                <w:rFonts w:cs="Arial"/>
                <w:sz w:val="20"/>
                <w:szCs w:val="20"/>
              </w:rPr>
              <w:t xml:space="preserve"> through unintentional changes or omissions) (this will assist Health to comply with its obligations under APP 10). </w:t>
            </w:r>
          </w:p>
          <w:p w14:paraId="300BD0C8" w14:textId="20614A13" w:rsidR="00D21770" w:rsidRPr="004802DF" w:rsidRDefault="00663593" w:rsidP="00663593">
            <w:pPr>
              <w:spacing w:before="120" w:after="120"/>
              <w:rPr>
                <w:rFonts w:cs="Arial"/>
                <w:sz w:val="20"/>
                <w:szCs w:val="20"/>
              </w:rPr>
            </w:pPr>
            <w:r w:rsidRPr="004802DF">
              <w:rPr>
                <w:rFonts w:cs="Arial"/>
                <w:sz w:val="20"/>
                <w:szCs w:val="20"/>
              </w:rPr>
              <w:t xml:space="preserve">In particular, we </w:t>
            </w:r>
            <w:r w:rsidRPr="004802DF">
              <w:rPr>
                <w:rFonts w:cs="Arial"/>
                <w:b/>
                <w:sz w:val="20"/>
                <w:szCs w:val="20"/>
              </w:rPr>
              <w:t>recommend</w:t>
            </w:r>
            <w:r w:rsidRPr="004802DF">
              <w:rPr>
                <w:rFonts w:cs="Arial"/>
                <w:sz w:val="20"/>
                <w:szCs w:val="20"/>
              </w:rPr>
              <w:t xml:space="preserve"> that the temporary arrangements established for the transfer of information (which includes personal information) from the CVAS to the Logistics and Distribution Partners be re-examined as soon as possible, to reduce the enhanced potential for loss or unauthorised access.</w:t>
            </w:r>
          </w:p>
        </w:tc>
      </w:tr>
      <w:tr w:rsidR="00FA0556" w:rsidRPr="004802DF" w14:paraId="085DB5F2" w14:textId="77777777" w:rsidTr="0066359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72946324" w14:textId="77777777" w:rsidR="00FA0556" w:rsidRPr="004802DF" w:rsidRDefault="00CD15DA" w:rsidP="00F537C3">
            <w:pPr>
              <w:pStyle w:val="Tabletextleft"/>
            </w:pPr>
            <w:r w:rsidRPr="004802DF">
              <w:t>R</w:t>
            </w:r>
            <w:r w:rsidR="00FA0556" w:rsidRPr="004802DF">
              <w:t>esponse</w:t>
            </w:r>
          </w:p>
        </w:tc>
        <w:tc>
          <w:tcPr>
            <w:tcW w:w="6660" w:type="dxa"/>
            <w:gridSpan w:val="2"/>
          </w:tcPr>
          <w:p w14:paraId="02F9180E" w14:textId="2D0FAC41" w:rsidR="003A4E57" w:rsidRPr="0070133D" w:rsidRDefault="00A52F46" w:rsidP="00F537C3">
            <w:pPr>
              <w:pStyle w:val="Tabletextleft"/>
              <w:cnfStyle w:val="000000010000" w:firstRow="0" w:lastRow="0" w:firstColumn="0" w:lastColumn="0" w:oddVBand="0" w:evenVBand="0" w:oddHBand="0" w:evenHBand="1" w:firstRowFirstColumn="0" w:firstRowLastColumn="0" w:lastRowFirstColumn="0" w:lastRowLastColumn="0"/>
              <w:rPr>
                <w:b w:val="0"/>
                <w:color w:val="auto"/>
                <w:sz w:val="20"/>
              </w:rPr>
            </w:pPr>
            <w:r w:rsidRPr="0070133D">
              <w:rPr>
                <w:b w:val="0"/>
                <w:color w:val="auto"/>
                <w:sz w:val="20"/>
              </w:rPr>
              <w:t xml:space="preserve">Agreed. </w:t>
            </w:r>
          </w:p>
          <w:p w14:paraId="7CCDEF7C" w14:textId="1EC523D5" w:rsidR="00974C13" w:rsidRDefault="00974C13" w:rsidP="00F537C3">
            <w:pPr>
              <w:pStyle w:val="Tabletextleft"/>
              <w:cnfStyle w:val="000000010000" w:firstRow="0" w:lastRow="0" w:firstColumn="0" w:lastColumn="0" w:oddVBand="0" w:evenVBand="0" w:oddHBand="0" w:evenHBand="1" w:firstRowFirstColumn="0" w:firstRowLastColumn="0" w:lastRowFirstColumn="0" w:lastRowLastColumn="0"/>
              <w:rPr>
                <w:b w:val="0"/>
                <w:color w:val="auto"/>
                <w:sz w:val="20"/>
              </w:rPr>
            </w:pPr>
            <w:r>
              <w:rPr>
                <w:b w:val="0"/>
                <w:color w:val="auto"/>
                <w:sz w:val="20"/>
              </w:rPr>
              <w:t>Health has undertaken the d</w:t>
            </w:r>
            <w:r w:rsidRPr="000C0396">
              <w:rPr>
                <w:b w:val="0"/>
                <w:color w:val="auto"/>
                <w:sz w:val="20"/>
              </w:rPr>
              <w:t>e</w:t>
            </w:r>
            <w:r>
              <w:rPr>
                <w:b w:val="0"/>
                <w:color w:val="auto"/>
                <w:sz w:val="20"/>
              </w:rPr>
              <w:t>sign of digital and ICT systems</w:t>
            </w:r>
            <w:r w:rsidRPr="000C0396">
              <w:rPr>
                <w:b w:val="0"/>
                <w:color w:val="auto"/>
                <w:sz w:val="20"/>
              </w:rPr>
              <w:t xml:space="preserve"> wor</w:t>
            </w:r>
            <w:r>
              <w:rPr>
                <w:b w:val="0"/>
                <w:color w:val="auto"/>
                <w:sz w:val="20"/>
              </w:rPr>
              <w:t>king in a federated environment, and so acknowledges that there are transition points when individuals move out of the Health-developed and managed systems into those managed by other entities, such as jurisdictions or commercial organisations. As part of implementing ‘privacy by design’, Health aims to transfer only required personal or sensitive information under the ‘data minimisation’ principle</w:t>
            </w:r>
            <w:r w:rsidR="00116283">
              <w:rPr>
                <w:b w:val="0"/>
                <w:color w:val="auto"/>
                <w:sz w:val="20"/>
              </w:rPr>
              <w:t xml:space="preserve"> and in compliance with the Privacy Act</w:t>
            </w:r>
            <w:r>
              <w:rPr>
                <w:b w:val="0"/>
                <w:color w:val="auto"/>
                <w:sz w:val="20"/>
              </w:rPr>
              <w:t>.</w:t>
            </w:r>
          </w:p>
          <w:p w14:paraId="54E14882" w14:textId="0BFC69CA" w:rsidR="000C0396" w:rsidRPr="0070133D" w:rsidRDefault="00974C13" w:rsidP="00F537C3">
            <w:pPr>
              <w:pStyle w:val="Tabletextleft"/>
              <w:cnfStyle w:val="000000010000" w:firstRow="0" w:lastRow="0" w:firstColumn="0" w:lastColumn="0" w:oddVBand="0" w:evenVBand="0" w:oddHBand="0" w:evenHBand="1" w:firstRowFirstColumn="0" w:firstRowLastColumn="0" w:lastRowFirstColumn="0" w:lastRowLastColumn="0"/>
              <w:rPr>
                <w:b w:val="0"/>
                <w:color w:val="auto"/>
                <w:sz w:val="20"/>
              </w:rPr>
            </w:pPr>
            <w:r>
              <w:rPr>
                <w:b w:val="0"/>
                <w:color w:val="auto"/>
                <w:sz w:val="20"/>
              </w:rPr>
              <w:t>Nevertheless, in developing ICT solutions, c</w:t>
            </w:r>
            <w:r w:rsidR="00A20168" w:rsidRPr="0070133D">
              <w:rPr>
                <w:b w:val="0"/>
                <w:color w:val="auto"/>
                <w:sz w:val="20"/>
              </w:rPr>
              <w:t>o</w:t>
            </w:r>
            <w:r w:rsidR="0042156B" w:rsidRPr="0070133D">
              <w:rPr>
                <w:b w:val="0"/>
                <w:color w:val="auto"/>
                <w:sz w:val="20"/>
              </w:rPr>
              <w:t xml:space="preserve">ntractual obligations </w:t>
            </w:r>
            <w:r w:rsidR="005E066A">
              <w:rPr>
                <w:b w:val="0"/>
                <w:color w:val="auto"/>
                <w:sz w:val="20"/>
              </w:rPr>
              <w:t>with Health’</w:t>
            </w:r>
            <w:r w:rsidR="0042156B" w:rsidRPr="0070133D">
              <w:rPr>
                <w:b w:val="0"/>
                <w:color w:val="auto"/>
                <w:sz w:val="20"/>
              </w:rPr>
              <w:t>s P</w:t>
            </w:r>
            <w:r w:rsidR="00A20168" w:rsidRPr="0070133D">
              <w:rPr>
                <w:b w:val="0"/>
                <w:color w:val="auto"/>
                <w:sz w:val="20"/>
              </w:rPr>
              <w:t xml:space="preserve">artners </w:t>
            </w:r>
            <w:r w:rsidR="0042156B" w:rsidRPr="0070133D">
              <w:rPr>
                <w:b w:val="0"/>
                <w:color w:val="auto"/>
                <w:sz w:val="20"/>
              </w:rPr>
              <w:t xml:space="preserve">in the COVID-19 vaccine rollout </w:t>
            </w:r>
            <w:r w:rsidR="00A20168" w:rsidRPr="0070133D">
              <w:rPr>
                <w:b w:val="0"/>
                <w:color w:val="auto"/>
                <w:sz w:val="20"/>
              </w:rPr>
              <w:t>oblige them</w:t>
            </w:r>
            <w:r w:rsidR="00711B3C" w:rsidRPr="0070133D">
              <w:rPr>
                <w:b w:val="0"/>
                <w:color w:val="auto"/>
                <w:sz w:val="20"/>
              </w:rPr>
              <w:t>,</w:t>
            </w:r>
            <w:r w:rsidR="0042156B" w:rsidRPr="0070133D">
              <w:rPr>
                <w:b w:val="0"/>
                <w:color w:val="auto"/>
                <w:sz w:val="20"/>
              </w:rPr>
              <w:t xml:space="preserve"> in turn</w:t>
            </w:r>
            <w:r w:rsidR="00711B3C" w:rsidRPr="0070133D">
              <w:rPr>
                <w:b w:val="0"/>
                <w:color w:val="auto"/>
                <w:sz w:val="20"/>
              </w:rPr>
              <w:t>,</w:t>
            </w:r>
            <w:r w:rsidR="00A20168" w:rsidRPr="0070133D">
              <w:rPr>
                <w:b w:val="0"/>
                <w:color w:val="auto"/>
                <w:sz w:val="20"/>
              </w:rPr>
              <w:t xml:space="preserve"> to ensure that personal information is appropriately protected from unauthorised access, use or disclosure and other misuse. </w:t>
            </w:r>
          </w:p>
          <w:p w14:paraId="37E1159A" w14:textId="075831D0" w:rsidR="0042156B" w:rsidRPr="0070133D" w:rsidRDefault="0042156B" w:rsidP="00F537C3">
            <w:pPr>
              <w:pStyle w:val="Tabletextleft"/>
              <w:cnfStyle w:val="000000010000" w:firstRow="0" w:lastRow="0" w:firstColumn="0" w:lastColumn="0" w:oddVBand="0" w:evenVBand="0" w:oddHBand="0" w:evenHBand="1" w:firstRowFirstColumn="0" w:firstRowLastColumn="0" w:lastRowFirstColumn="0" w:lastRowLastColumn="0"/>
              <w:rPr>
                <w:b w:val="0"/>
                <w:color w:val="auto"/>
                <w:sz w:val="20"/>
              </w:rPr>
            </w:pPr>
            <w:r w:rsidRPr="0070133D">
              <w:rPr>
                <w:b w:val="0"/>
                <w:color w:val="auto"/>
                <w:sz w:val="20"/>
              </w:rPr>
              <w:t xml:space="preserve">Robust processes are in place for carrying out testing and quality assurance of systems developed to identify security vulnerabilities and ensure appropriate security arrangements are in place. </w:t>
            </w:r>
          </w:p>
          <w:p w14:paraId="53B34D49" w14:textId="1410D436" w:rsidR="00A20168" w:rsidRDefault="0042156B" w:rsidP="00F537C3">
            <w:pPr>
              <w:pStyle w:val="Tabletextleft"/>
              <w:cnfStyle w:val="000000010000" w:firstRow="0" w:lastRow="0" w:firstColumn="0" w:lastColumn="0" w:oddVBand="0" w:evenVBand="0" w:oddHBand="0" w:evenHBand="1" w:firstRowFirstColumn="0" w:firstRowLastColumn="0" w:lastRowFirstColumn="0" w:lastRowLastColumn="0"/>
              <w:rPr>
                <w:b w:val="0"/>
                <w:color w:val="auto"/>
                <w:sz w:val="20"/>
              </w:rPr>
            </w:pPr>
            <w:r w:rsidRPr="0070133D">
              <w:rPr>
                <w:b w:val="0"/>
                <w:color w:val="auto"/>
                <w:sz w:val="20"/>
              </w:rPr>
              <w:t>In implementation of the new ICT systems developed for Phase 1b, Health has completed various processes and engaged relevant expertise through the Chief Information Security Officer, including resources from the Australian Cyber Security Centre (ACSC), a security assessor certified through the ACSC Information Security Registered Assessors Program (IRAP) and independent assurance services to ensure that the systems meet the requirements of the Protective Security Policy Framework. There are various artefacts developed including Security Plans, Threat Assessments, Data Protection Plans, Incident Response Plan</w:t>
            </w:r>
            <w:r w:rsidR="006C5FDB" w:rsidRPr="0070133D">
              <w:rPr>
                <w:b w:val="0"/>
                <w:color w:val="auto"/>
                <w:sz w:val="20"/>
              </w:rPr>
              <w:t>s</w:t>
            </w:r>
            <w:r w:rsidRPr="0070133D">
              <w:rPr>
                <w:b w:val="0"/>
                <w:color w:val="auto"/>
                <w:sz w:val="20"/>
              </w:rPr>
              <w:t>, Penetration Test Report</w:t>
            </w:r>
            <w:r w:rsidR="006C5FDB" w:rsidRPr="0070133D">
              <w:rPr>
                <w:b w:val="0"/>
                <w:color w:val="auto"/>
                <w:sz w:val="20"/>
              </w:rPr>
              <w:t>s</w:t>
            </w:r>
            <w:r w:rsidRPr="0070133D">
              <w:rPr>
                <w:b w:val="0"/>
                <w:color w:val="auto"/>
                <w:sz w:val="20"/>
              </w:rPr>
              <w:t xml:space="preserve"> and a Final Security Report. </w:t>
            </w:r>
          </w:p>
          <w:p w14:paraId="64A9DC94" w14:textId="73809BE7" w:rsidR="000C0396" w:rsidRPr="0070133D" w:rsidRDefault="000C0396" w:rsidP="00F537C3">
            <w:pPr>
              <w:pStyle w:val="Tabletextleft"/>
              <w:cnfStyle w:val="000000010000" w:firstRow="0" w:lastRow="0" w:firstColumn="0" w:lastColumn="0" w:oddVBand="0" w:evenVBand="0" w:oddHBand="0" w:evenHBand="1" w:firstRowFirstColumn="0" w:firstRowLastColumn="0" w:lastRowFirstColumn="0" w:lastRowLastColumn="0"/>
              <w:rPr>
                <w:b w:val="0"/>
                <w:color w:val="auto"/>
                <w:sz w:val="20"/>
              </w:rPr>
            </w:pPr>
          </w:p>
          <w:p w14:paraId="41AC419B" w14:textId="6C3C53B4" w:rsidR="003837AD" w:rsidRPr="00711B3C" w:rsidRDefault="0042156B" w:rsidP="00F537C3">
            <w:pPr>
              <w:pStyle w:val="Tabletextleft"/>
              <w:cnfStyle w:val="000000010000" w:firstRow="0" w:lastRow="0" w:firstColumn="0" w:lastColumn="0" w:oddVBand="0" w:evenVBand="0" w:oddHBand="0" w:evenHBand="1" w:firstRowFirstColumn="0" w:firstRowLastColumn="0" w:lastRowFirstColumn="0" w:lastRowLastColumn="0"/>
            </w:pPr>
            <w:r w:rsidRPr="0070133D">
              <w:rPr>
                <w:b w:val="0"/>
                <w:color w:val="auto"/>
                <w:sz w:val="20"/>
              </w:rPr>
              <w:t xml:space="preserve">Health notes the </w:t>
            </w:r>
            <w:r w:rsidR="009D724B" w:rsidRPr="0070133D">
              <w:rPr>
                <w:b w:val="0"/>
                <w:color w:val="auto"/>
                <w:sz w:val="20"/>
              </w:rPr>
              <w:t xml:space="preserve">particular recommendation in relation </w:t>
            </w:r>
            <w:r w:rsidR="00996090" w:rsidRPr="0070133D">
              <w:rPr>
                <w:b w:val="0"/>
                <w:color w:val="auto"/>
                <w:sz w:val="20"/>
              </w:rPr>
              <w:t>to</w:t>
            </w:r>
            <w:r w:rsidRPr="0070133D">
              <w:rPr>
                <w:b w:val="0"/>
                <w:color w:val="auto"/>
                <w:sz w:val="20"/>
              </w:rPr>
              <w:t xml:space="preserve"> the CVAS. </w:t>
            </w:r>
            <w:r w:rsidR="00996090" w:rsidRPr="0070133D">
              <w:rPr>
                <w:b w:val="0"/>
                <w:color w:val="auto"/>
                <w:sz w:val="20"/>
              </w:rPr>
              <w:t>Further system design for</w:t>
            </w:r>
            <w:r w:rsidR="009D724B" w:rsidRPr="0070133D">
              <w:rPr>
                <w:b w:val="0"/>
                <w:color w:val="auto"/>
                <w:sz w:val="20"/>
              </w:rPr>
              <w:t xml:space="preserve"> </w:t>
            </w:r>
            <w:r w:rsidR="00996090" w:rsidRPr="0070133D">
              <w:rPr>
                <w:b w:val="0"/>
                <w:color w:val="auto"/>
                <w:sz w:val="20"/>
              </w:rPr>
              <w:t>a</w:t>
            </w:r>
            <w:r w:rsidR="009D724B" w:rsidRPr="0070133D">
              <w:rPr>
                <w:b w:val="0"/>
                <w:color w:val="auto"/>
                <w:sz w:val="20"/>
              </w:rPr>
              <w:t xml:space="preserve"> </w:t>
            </w:r>
            <w:r w:rsidR="00996090" w:rsidRPr="0070133D">
              <w:rPr>
                <w:b w:val="0"/>
                <w:color w:val="auto"/>
                <w:sz w:val="20"/>
              </w:rPr>
              <w:t xml:space="preserve">secure automated transfer of information from the CVAS to the Logistics and Distribution Partners’ delivery dispatch systems has already commenced, with the intent of replacing </w:t>
            </w:r>
            <w:r w:rsidR="009D724B" w:rsidRPr="0070133D">
              <w:rPr>
                <w:b w:val="0"/>
                <w:color w:val="auto"/>
                <w:sz w:val="20"/>
              </w:rPr>
              <w:t>temporary arrangement</w:t>
            </w:r>
            <w:r w:rsidR="00996090" w:rsidRPr="0070133D">
              <w:rPr>
                <w:b w:val="0"/>
                <w:color w:val="auto"/>
                <w:sz w:val="20"/>
              </w:rPr>
              <w:t>s and mitigating associated risks as soon as possible</w:t>
            </w:r>
            <w:r w:rsidR="009D724B" w:rsidRPr="0070133D">
              <w:rPr>
                <w:b w:val="0"/>
                <w:color w:val="auto"/>
                <w:sz w:val="20"/>
              </w:rPr>
              <w:t xml:space="preserve">. </w:t>
            </w:r>
          </w:p>
        </w:tc>
      </w:tr>
    </w:tbl>
    <w:p w14:paraId="074F5CFB" w14:textId="7A4296B9" w:rsidR="00A41F71" w:rsidRPr="004802DF" w:rsidRDefault="00A41F71" w:rsidP="00D21770">
      <w:pPr>
        <w:pStyle w:val="Paragraphtext"/>
        <w:rPr>
          <w:rFonts w:cs="Arial"/>
          <w:sz w:val="20"/>
          <w:szCs w:val="20"/>
        </w:rPr>
      </w:pPr>
    </w:p>
    <w:tbl>
      <w:tblPr>
        <w:tblStyle w:val="DepartmentofHealthtable"/>
        <w:tblW w:w="9072" w:type="dxa"/>
        <w:tblLook w:val="04A0" w:firstRow="1" w:lastRow="0" w:firstColumn="1" w:lastColumn="0" w:noHBand="0" w:noVBand="1"/>
      </w:tblPr>
      <w:tblGrid>
        <w:gridCol w:w="2407"/>
        <w:gridCol w:w="6665"/>
      </w:tblGrid>
      <w:tr w:rsidR="000D4B6E" w:rsidRPr="004802DF" w14:paraId="02E7A259" w14:textId="77777777" w:rsidTr="009D72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36801EAE" w14:textId="77777777" w:rsidR="000D4B6E" w:rsidRPr="004802DF" w:rsidRDefault="000D4B6E" w:rsidP="001E3376">
            <w:pPr>
              <w:pStyle w:val="TableHeaderWhite"/>
              <w:rPr>
                <w:rFonts w:cs="Arial"/>
                <w:sz w:val="20"/>
                <w:szCs w:val="20"/>
              </w:rPr>
            </w:pPr>
            <w:r w:rsidRPr="004802DF">
              <w:rPr>
                <w:rFonts w:cs="Arial"/>
                <w:sz w:val="20"/>
                <w:szCs w:val="20"/>
              </w:rPr>
              <w:t xml:space="preserve">Maddocks Recommendation 6: </w:t>
            </w:r>
          </w:p>
        </w:tc>
        <w:tc>
          <w:tcPr>
            <w:tcW w:w="6665" w:type="dxa"/>
          </w:tcPr>
          <w:p w14:paraId="6C25D84B" w14:textId="2DD38CBE" w:rsidR="000D4B6E" w:rsidRPr="004802DF" w:rsidRDefault="00663593" w:rsidP="001E3376">
            <w:pPr>
              <w:pStyle w:val="TableHeader"/>
              <w:cnfStyle w:val="100000000000" w:firstRow="1" w:lastRow="0" w:firstColumn="0" w:lastColumn="0" w:oddVBand="0" w:evenVBand="0" w:oddHBand="0" w:evenHBand="0" w:firstRowFirstColumn="0" w:firstRowLastColumn="0" w:lastRowFirstColumn="0" w:lastRowLastColumn="0"/>
              <w:rPr>
                <w:rFonts w:cs="Arial"/>
                <w:sz w:val="20"/>
                <w:szCs w:val="20"/>
              </w:rPr>
            </w:pPr>
            <w:bookmarkStart w:id="3" w:name="_Ref67132533"/>
            <w:bookmarkStart w:id="4" w:name="_Ref67320988"/>
            <w:r w:rsidRPr="004802DF">
              <w:rPr>
                <w:rFonts w:cs="Arial"/>
                <w:sz w:val="20"/>
                <w:szCs w:val="20"/>
              </w:rPr>
              <w:t>Consider further development of wording on the RYI solution</w:t>
            </w:r>
            <w:bookmarkEnd w:id="3"/>
            <w:bookmarkEnd w:id="4"/>
            <w:r w:rsidRPr="004802DF">
              <w:rPr>
                <w:rFonts w:cs="Arial"/>
                <w:sz w:val="20"/>
                <w:szCs w:val="20"/>
              </w:rPr>
              <w:t xml:space="preserve"> webpage</w:t>
            </w:r>
          </w:p>
        </w:tc>
      </w:tr>
      <w:tr w:rsidR="000D4B6E" w:rsidRPr="004802DF" w14:paraId="529C4BED" w14:textId="77777777" w:rsidTr="009D72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14:paraId="6D669604" w14:textId="77777777" w:rsidR="009E401D" w:rsidRDefault="00663593" w:rsidP="009E401D">
            <w:pPr>
              <w:spacing w:before="240" w:after="240"/>
              <w:rPr>
                <w:rFonts w:cs="Arial"/>
                <w:bCs/>
                <w:sz w:val="20"/>
                <w:szCs w:val="20"/>
              </w:rPr>
            </w:pPr>
            <w:r w:rsidRPr="004802DF">
              <w:rPr>
                <w:rFonts w:cs="Arial"/>
                <w:bCs/>
                <w:sz w:val="20"/>
                <w:szCs w:val="20"/>
              </w:rPr>
              <w:t xml:space="preserve">We </w:t>
            </w:r>
            <w:r w:rsidRPr="004802DF">
              <w:rPr>
                <w:rFonts w:cs="Arial"/>
                <w:b/>
                <w:sz w:val="20"/>
                <w:szCs w:val="20"/>
              </w:rPr>
              <w:t>recommend</w:t>
            </w:r>
            <w:r w:rsidRPr="004802DF">
              <w:rPr>
                <w:rFonts w:cs="Arial"/>
                <w:bCs/>
                <w:sz w:val="20"/>
                <w:szCs w:val="20"/>
              </w:rPr>
              <w:t xml:space="preserve"> that Health consider whether there is potential to further improve the RYI solution at a future time. For example, Health could consider including on the RYI solution webpage:</w:t>
            </w:r>
          </w:p>
          <w:p w14:paraId="74AAB40B" w14:textId="415C7323" w:rsidR="00663593" w:rsidRDefault="00663593" w:rsidP="009E401D">
            <w:pPr>
              <w:pStyle w:val="ListParagraph"/>
              <w:numPr>
                <w:ilvl w:val="0"/>
                <w:numId w:val="22"/>
              </w:numPr>
              <w:spacing w:before="240" w:after="240"/>
              <w:rPr>
                <w:rFonts w:cs="Arial"/>
                <w:bCs/>
                <w:sz w:val="20"/>
                <w:szCs w:val="20"/>
              </w:rPr>
            </w:pPr>
            <w:r w:rsidRPr="009E401D">
              <w:rPr>
                <w:rFonts w:cs="Arial"/>
                <w:bCs/>
                <w:sz w:val="20"/>
                <w:szCs w:val="20"/>
              </w:rPr>
              <w:t xml:space="preserve">a mechanism or place for a person submitting information on behalf of another person to confirm that they have authority to provide consent on behalf of the relevant individual (e.g. by requiring individuals to confirm words to the effect of </w:t>
            </w:r>
            <w:r w:rsidRPr="009E401D">
              <w:rPr>
                <w:rFonts w:cs="Arial"/>
                <w:bCs/>
                <w:i/>
                <w:iCs/>
                <w:sz w:val="20"/>
                <w:szCs w:val="20"/>
              </w:rPr>
              <w:t>‘I acknowledge that I am the legal guardian of, or have consent to provide the information of, the individual identified in the information I have supplied’</w:t>
            </w:r>
            <w:r w:rsidR="009E401D" w:rsidRPr="009E401D">
              <w:rPr>
                <w:rFonts w:cs="Arial"/>
                <w:bCs/>
                <w:sz w:val="20"/>
                <w:szCs w:val="20"/>
              </w:rPr>
              <w:t>); and/or</w:t>
            </w:r>
          </w:p>
          <w:p w14:paraId="3CE1E6B5" w14:textId="77777777" w:rsidR="009E401D" w:rsidRPr="009E401D" w:rsidRDefault="009E401D" w:rsidP="009E401D">
            <w:pPr>
              <w:pStyle w:val="ListParagraph"/>
              <w:spacing w:before="240" w:after="240"/>
              <w:rPr>
                <w:rFonts w:cs="Arial"/>
                <w:bCs/>
                <w:sz w:val="20"/>
                <w:szCs w:val="20"/>
              </w:rPr>
            </w:pPr>
          </w:p>
          <w:p w14:paraId="53C9FE49" w14:textId="77777777" w:rsidR="00663593" w:rsidRPr="004802DF" w:rsidRDefault="00663593" w:rsidP="00663593">
            <w:pPr>
              <w:pStyle w:val="ListParagraph"/>
              <w:numPr>
                <w:ilvl w:val="0"/>
                <w:numId w:val="13"/>
              </w:numPr>
              <w:spacing w:before="240" w:after="240"/>
              <w:rPr>
                <w:rFonts w:cs="Arial"/>
                <w:bCs/>
                <w:sz w:val="20"/>
                <w:szCs w:val="20"/>
              </w:rPr>
            </w:pPr>
            <w:r w:rsidRPr="004802DF">
              <w:rPr>
                <w:rFonts w:cs="Arial"/>
                <w:bCs/>
                <w:sz w:val="20"/>
                <w:szCs w:val="20"/>
              </w:rPr>
              <w:t>a ‘pop-up’ message beside each field that needs to be completed, which explains why the collection of the information is reasonably necessary.</w:t>
            </w:r>
          </w:p>
          <w:p w14:paraId="072D0CC4" w14:textId="1DBAED8D" w:rsidR="00663593" w:rsidRPr="004802DF" w:rsidRDefault="00663593" w:rsidP="00663593">
            <w:pPr>
              <w:spacing w:before="240" w:after="240"/>
              <w:rPr>
                <w:rFonts w:cs="Arial"/>
                <w:sz w:val="20"/>
                <w:szCs w:val="20"/>
              </w:rPr>
            </w:pPr>
            <w:r w:rsidRPr="004802DF">
              <w:rPr>
                <w:rFonts w:cs="Arial"/>
                <w:bCs/>
                <w:sz w:val="20"/>
                <w:szCs w:val="20"/>
              </w:rPr>
              <w:t>We do acknowledge the need for Health to balance the privacy benefits of such developments against the costs of implementation and the risk of ‘information overload’ for users.</w:t>
            </w:r>
          </w:p>
          <w:p w14:paraId="664F714D" w14:textId="77777777" w:rsidR="00663593" w:rsidRPr="004802DF" w:rsidRDefault="00663593" w:rsidP="00663593">
            <w:pPr>
              <w:spacing w:before="240" w:after="240"/>
              <w:rPr>
                <w:rFonts w:cs="Arial"/>
                <w:bCs/>
                <w:sz w:val="20"/>
                <w:szCs w:val="20"/>
              </w:rPr>
            </w:pPr>
            <w:r w:rsidRPr="004802DF">
              <w:rPr>
                <w:rFonts w:cs="Arial"/>
                <w:bCs/>
                <w:sz w:val="20"/>
                <w:szCs w:val="20"/>
              </w:rPr>
              <w:t xml:space="preserve">In addition, we </w:t>
            </w:r>
            <w:r w:rsidRPr="006D6238">
              <w:rPr>
                <w:rFonts w:cs="Arial"/>
                <w:b/>
                <w:sz w:val="20"/>
                <w:szCs w:val="20"/>
              </w:rPr>
              <w:t>recommend</w:t>
            </w:r>
            <w:r w:rsidRPr="004802DF">
              <w:rPr>
                <w:rFonts w:cs="Arial"/>
                <w:sz w:val="20"/>
                <w:szCs w:val="20"/>
              </w:rPr>
              <w:t xml:space="preserve"> </w:t>
            </w:r>
            <w:r w:rsidRPr="004802DF">
              <w:rPr>
                <w:rFonts w:cs="Arial"/>
                <w:bCs/>
                <w:sz w:val="20"/>
                <w:szCs w:val="20"/>
              </w:rPr>
              <w:t>that:</w:t>
            </w:r>
          </w:p>
          <w:p w14:paraId="354FFD4D" w14:textId="77777777" w:rsidR="00663593" w:rsidRPr="004802DF" w:rsidRDefault="00663593" w:rsidP="00663593">
            <w:pPr>
              <w:pStyle w:val="ListParagraph"/>
              <w:numPr>
                <w:ilvl w:val="0"/>
                <w:numId w:val="13"/>
              </w:numPr>
              <w:spacing w:before="240" w:after="120"/>
              <w:ind w:left="714" w:hanging="357"/>
              <w:contextualSpacing w:val="0"/>
              <w:rPr>
                <w:rFonts w:eastAsia="Calibri Light" w:cs="Arial"/>
                <w:b/>
                <w:bCs/>
                <w:color w:val="auto"/>
                <w:sz w:val="20"/>
                <w:szCs w:val="20"/>
                <w:lang w:eastAsia="en-AU"/>
              </w:rPr>
            </w:pPr>
            <w:r w:rsidRPr="004802DF">
              <w:rPr>
                <w:rFonts w:cs="Arial"/>
                <w:bCs/>
                <w:sz w:val="20"/>
                <w:szCs w:val="20"/>
              </w:rPr>
              <w:t>individuals are provided with a mechanism to update or correct their information, and to ‘opt-out’ of receiving a notification if they choose (for example, it may be that the phone line and email address for Health privacy enquiries, as set out in the Privacy Notice, could be used); and</w:t>
            </w:r>
          </w:p>
          <w:p w14:paraId="133AD223" w14:textId="3BE3B52B" w:rsidR="000D4B6E" w:rsidRPr="004802DF" w:rsidRDefault="00663593" w:rsidP="00663593">
            <w:pPr>
              <w:pStyle w:val="ListParagraph"/>
              <w:numPr>
                <w:ilvl w:val="0"/>
                <w:numId w:val="13"/>
              </w:numPr>
              <w:spacing w:before="240" w:after="240"/>
              <w:rPr>
                <w:rFonts w:eastAsia="Calibri Light" w:cs="Arial"/>
                <w:b/>
                <w:bCs/>
                <w:color w:val="auto"/>
                <w:sz w:val="20"/>
                <w:szCs w:val="20"/>
                <w:lang w:eastAsia="en-AU"/>
              </w:rPr>
            </w:pPr>
            <w:r w:rsidRPr="004802DF">
              <w:rPr>
                <w:rFonts w:cs="Arial"/>
                <w:bCs/>
                <w:sz w:val="20"/>
                <w:szCs w:val="20"/>
              </w:rPr>
              <w:t>once those mechanisms are put in place, the Privacy Notice for the RYI solution (and also the wording on the RYI solution webpage) be updated to reflect those mechanisms.</w:t>
            </w:r>
          </w:p>
        </w:tc>
      </w:tr>
      <w:tr w:rsidR="000D4B6E" w:rsidRPr="004802DF" w14:paraId="0D5378F0" w14:textId="77777777" w:rsidTr="009D724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51199A50" w14:textId="77777777" w:rsidR="000D4B6E" w:rsidRPr="004802DF" w:rsidRDefault="000D4B6E" w:rsidP="00F537C3">
            <w:pPr>
              <w:pStyle w:val="Tabletextleft"/>
            </w:pPr>
            <w:r w:rsidRPr="004802DF">
              <w:t>Response</w:t>
            </w:r>
          </w:p>
        </w:tc>
        <w:tc>
          <w:tcPr>
            <w:tcW w:w="6665" w:type="dxa"/>
          </w:tcPr>
          <w:p w14:paraId="4BA8C590" w14:textId="4178E3F1" w:rsidR="000D4B6E" w:rsidRPr="004802DF" w:rsidRDefault="007E24BE" w:rsidP="000D4B6E">
            <w:pPr>
              <w:cnfStyle w:val="000000010000" w:firstRow="0" w:lastRow="0" w:firstColumn="0" w:lastColumn="0" w:oddVBand="0" w:evenVBand="0" w:oddHBand="0" w:evenHBand="1" w:firstRowFirstColumn="0" w:firstRowLastColumn="0" w:lastRowFirstColumn="0" w:lastRowLastColumn="0"/>
              <w:rPr>
                <w:rFonts w:cs="Arial"/>
                <w:sz w:val="20"/>
                <w:szCs w:val="20"/>
              </w:rPr>
            </w:pPr>
            <w:r w:rsidRPr="004802DF">
              <w:rPr>
                <w:rFonts w:cs="Arial"/>
                <w:sz w:val="20"/>
                <w:szCs w:val="20"/>
              </w:rPr>
              <w:t xml:space="preserve">We agree in principle with this recommendation. </w:t>
            </w:r>
          </w:p>
          <w:p w14:paraId="55CD6240" w14:textId="77777777" w:rsidR="007E24BE" w:rsidRPr="004802DF" w:rsidRDefault="007E24BE" w:rsidP="000D4B6E">
            <w:pPr>
              <w:cnfStyle w:val="000000010000" w:firstRow="0" w:lastRow="0" w:firstColumn="0" w:lastColumn="0" w:oddVBand="0" w:evenVBand="0" w:oddHBand="0" w:evenHBand="1" w:firstRowFirstColumn="0" w:firstRowLastColumn="0" w:lastRowFirstColumn="0" w:lastRowLastColumn="0"/>
              <w:rPr>
                <w:rFonts w:cs="Arial"/>
                <w:sz w:val="20"/>
                <w:szCs w:val="20"/>
              </w:rPr>
            </w:pPr>
          </w:p>
          <w:p w14:paraId="4D13F248" w14:textId="60CADCA1" w:rsidR="007E24BE" w:rsidRDefault="007E24BE" w:rsidP="007E24BE">
            <w:pPr>
              <w:spacing w:after="240"/>
              <w:cnfStyle w:val="000000010000" w:firstRow="0" w:lastRow="0" w:firstColumn="0" w:lastColumn="0" w:oddVBand="0" w:evenVBand="0" w:oddHBand="0" w:evenHBand="1" w:firstRowFirstColumn="0" w:firstRowLastColumn="0" w:lastRowFirstColumn="0" w:lastRowLastColumn="0"/>
              <w:rPr>
                <w:rFonts w:cs="Arial"/>
                <w:sz w:val="20"/>
                <w:szCs w:val="20"/>
              </w:rPr>
            </w:pPr>
            <w:r w:rsidRPr="004802DF">
              <w:rPr>
                <w:rFonts w:cs="Arial"/>
                <w:sz w:val="20"/>
                <w:szCs w:val="20"/>
              </w:rPr>
              <w:t xml:space="preserve">With respect to children, </w:t>
            </w:r>
            <w:r w:rsidR="00711B3C">
              <w:rPr>
                <w:rFonts w:cs="Arial"/>
                <w:sz w:val="20"/>
                <w:szCs w:val="20"/>
              </w:rPr>
              <w:t xml:space="preserve">at present, </w:t>
            </w:r>
            <w:r w:rsidRPr="004802DF">
              <w:rPr>
                <w:rFonts w:cs="Arial"/>
                <w:sz w:val="20"/>
                <w:szCs w:val="20"/>
              </w:rPr>
              <w:t xml:space="preserve">an individual </w:t>
            </w:r>
            <w:r w:rsidR="00996090">
              <w:rPr>
                <w:rFonts w:cs="Arial"/>
                <w:sz w:val="20"/>
                <w:szCs w:val="20"/>
              </w:rPr>
              <w:t>can only be registered via the RYI platform</w:t>
            </w:r>
            <w:r w:rsidRPr="004802DF">
              <w:rPr>
                <w:rFonts w:cs="Arial"/>
                <w:sz w:val="20"/>
                <w:szCs w:val="20"/>
              </w:rPr>
              <w:t xml:space="preserve"> </w:t>
            </w:r>
            <w:r w:rsidR="00996090">
              <w:rPr>
                <w:rFonts w:cs="Arial"/>
                <w:sz w:val="20"/>
                <w:szCs w:val="20"/>
              </w:rPr>
              <w:t>i</w:t>
            </w:r>
            <w:r w:rsidRPr="004802DF">
              <w:rPr>
                <w:rFonts w:cs="Arial"/>
                <w:sz w:val="20"/>
                <w:szCs w:val="20"/>
              </w:rPr>
              <w:t xml:space="preserve">f they are 18 years or older. </w:t>
            </w:r>
            <w:r w:rsidR="00996090">
              <w:rPr>
                <w:rFonts w:cs="Arial"/>
                <w:sz w:val="20"/>
                <w:szCs w:val="20"/>
              </w:rPr>
              <w:t xml:space="preserve">For those who enter an age under 18 years in the precursor system, the Eligibility Checker, an option to then Register Your Interest will not appear. </w:t>
            </w:r>
          </w:p>
          <w:p w14:paraId="3842DC30" w14:textId="079795E8" w:rsidR="002B0962" w:rsidRDefault="002B0962" w:rsidP="007E24BE">
            <w:pPr>
              <w:spacing w:after="24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 xml:space="preserve">Health is also conscious that the user experience of the RYI platform should not be </w:t>
            </w:r>
            <w:r w:rsidRPr="004802DF">
              <w:rPr>
                <w:rFonts w:cs="Arial"/>
                <w:sz w:val="20"/>
                <w:szCs w:val="20"/>
              </w:rPr>
              <w:t>onerous.</w:t>
            </w:r>
            <w:r>
              <w:rPr>
                <w:rFonts w:cs="Arial"/>
                <w:sz w:val="20"/>
                <w:szCs w:val="20"/>
              </w:rPr>
              <w:t xml:space="preserve"> Instead of an additional verification mechanism, Health has provided guidance on its RYI webpage that submissions on behalf of someone else should only be done by a legal guardian or with the person’s consent.</w:t>
            </w:r>
          </w:p>
          <w:p w14:paraId="4F798BAB" w14:textId="2C8FC312" w:rsidR="007E24BE" w:rsidRPr="004802DF" w:rsidRDefault="00F27D8A" w:rsidP="007E24BE">
            <w:pPr>
              <w:spacing w:after="24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 xml:space="preserve">In relation to </w:t>
            </w:r>
            <w:r w:rsidR="002B0962">
              <w:rPr>
                <w:rFonts w:cs="Arial"/>
                <w:sz w:val="20"/>
                <w:szCs w:val="20"/>
              </w:rPr>
              <w:t>pop-up messages</w:t>
            </w:r>
            <w:r>
              <w:rPr>
                <w:rFonts w:cs="Arial"/>
                <w:sz w:val="20"/>
                <w:szCs w:val="20"/>
              </w:rPr>
              <w:t xml:space="preserve">, </w:t>
            </w:r>
            <w:r w:rsidR="00996090">
              <w:rPr>
                <w:rFonts w:cs="Arial"/>
                <w:sz w:val="20"/>
                <w:szCs w:val="20"/>
              </w:rPr>
              <w:t xml:space="preserve">Health agrees that it is important for all persons using the RYI platform to understand why the requested information fields are published. </w:t>
            </w:r>
            <w:r w:rsidR="002B0962">
              <w:rPr>
                <w:rFonts w:cs="Arial"/>
                <w:sz w:val="20"/>
                <w:szCs w:val="20"/>
              </w:rPr>
              <w:t xml:space="preserve">However, </w:t>
            </w:r>
            <w:r w:rsidR="00996090">
              <w:rPr>
                <w:rFonts w:cs="Arial"/>
                <w:sz w:val="20"/>
                <w:szCs w:val="20"/>
              </w:rPr>
              <w:t>Health notes</w:t>
            </w:r>
            <w:r w:rsidR="007E24BE" w:rsidRPr="004802DF">
              <w:rPr>
                <w:rFonts w:cs="Arial"/>
                <w:sz w:val="20"/>
                <w:szCs w:val="20"/>
              </w:rPr>
              <w:t xml:space="preserve"> that an individual </w:t>
            </w:r>
            <w:r w:rsidR="00996090">
              <w:rPr>
                <w:rFonts w:cs="Arial"/>
                <w:sz w:val="20"/>
                <w:szCs w:val="20"/>
              </w:rPr>
              <w:t>should</w:t>
            </w:r>
            <w:r w:rsidR="007E24BE" w:rsidRPr="004802DF">
              <w:rPr>
                <w:rFonts w:cs="Arial"/>
                <w:sz w:val="20"/>
                <w:szCs w:val="20"/>
              </w:rPr>
              <w:t xml:space="preserve"> be able to reasonably infer </w:t>
            </w:r>
            <w:r w:rsidR="00996090">
              <w:rPr>
                <w:rFonts w:cs="Arial"/>
                <w:sz w:val="20"/>
                <w:szCs w:val="20"/>
              </w:rPr>
              <w:t>the rationale behind the fields requested</w:t>
            </w:r>
            <w:r w:rsidR="00167EF5">
              <w:rPr>
                <w:rFonts w:cs="Arial"/>
                <w:sz w:val="20"/>
                <w:szCs w:val="20"/>
              </w:rPr>
              <w:t>, such as names and contact details</w:t>
            </w:r>
            <w:r w:rsidR="006D2B2B" w:rsidRPr="004802DF">
              <w:rPr>
                <w:rFonts w:cs="Arial"/>
                <w:sz w:val="20"/>
                <w:szCs w:val="20"/>
              </w:rPr>
              <w:t xml:space="preserve">. </w:t>
            </w:r>
            <w:r w:rsidR="00167EF5">
              <w:rPr>
                <w:rFonts w:cs="Arial"/>
                <w:sz w:val="20"/>
                <w:szCs w:val="20"/>
              </w:rPr>
              <w:t>T</w:t>
            </w:r>
            <w:r w:rsidR="006D2B2B" w:rsidRPr="004802DF">
              <w:rPr>
                <w:rFonts w:cs="Arial"/>
                <w:sz w:val="20"/>
                <w:szCs w:val="20"/>
              </w:rPr>
              <w:t xml:space="preserve">he questions in the Eligibility Checker (which we only collect if the individual goes on to RYI) include </w:t>
            </w:r>
            <w:r w:rsidR="00996090">
              <w:rPr>
                <w:rFonts w:cs="Arial"/>
                <w:sz w:val="20"/>
                <w:szCs w:val="20"/>
              </w:rPr>
              <w:t>relevant information for phase eligibility</w:t>
            </w:r>
            <w:r>
              <w:rPr>
                <w:rFonts w:cs="Arial"/>
                <w:sz w:val="20"/>
                <w:szCs w:val="20"/>
              </w:rPr>
              <w:t xml:space="preserve"> </w:t>
            </w:r>
            <w:r w:rsidR="006D2B2B" w:rsidRPr="004802DF">
              <w:rPr>
                <w:rFonts w:cs="Arial"/>
                <w:sz w:val="20"/>
                <w:szCs w:val="20"/>
              </w:rPr>
              <w:t>to receive a vaccine.</w:t>
            </w:r>
            <w:r w:rsidR="00167EF5">
              <w:rPr>
                <w:rFonts w:cs="Arial"/>
                <w:sz w:val="20"/>
                <w:szCs w:val="20"/>
              </w:rPr>
              <w:t xml:space="preserve"> </w:t>
            </w:r>
          </w:p>
          <w:p w14:paraId="63DB0054" w14:textId="2EC8984E" w:rsidR="00F27D8A" w:rsidRDefault="00F27D8A" w:rsidP="00F27D8A">
            <w:pPr>
              <w:spacing w:after="24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Health has focused on collecting key information only</w:t>
            </w:r>
            <w:r w:rsidR="00167EF5">
              <w:rPr>
                <w:rFonts w:cs="Arial"/>
                <w:sz w:val="20"/>
                <w:szCs w:val="20"/>
              </w:rPr>
              <w:t xml:space="preserve"> to ensure that notifications can be sent to the right people at the right time. </w:t>
            </w:r>
          </w:p>
          <w:p w14:paraId="5BB01647" w14:textId="205D81C8" w:rsidR="00F27D8A" w:rsidRPr="004802DF" w:rsidRDefault="00F27D8A" w:rsidP="00711B3C">
            <w:pPr>
              <w:spacing w:after="240"/>
              <w:cnfStyle w:val="000000010000" w:firstRow="0" w:lastRow="0" w:firstColumn="0" w:lastColumn="0" w:oddVBand="0" w:evenVBand="0" w:oddHBand="0" w:evenHBand="1" w:firstRowFirstColumn="0" w:firstRowLastColumn="0" w:lastRowFirstColumn="0" w:lastRowLastColumn="0"/>
              <w:rPr>
                <w:rFonts w:cs="Arial"/>
                <w:sz w:val="20"/>
                <w:szCs w:val="20"/>
              </w:rPr>
            </w:pPr>
            <w:r>
              <w:rPr>
                <w:rFonts w:cs="Arial"/>
                <w:sz w:val="20"/>
                <w:szCs w:val="20"/>
              </w:rPr>
              <w:t xml:space="preserve">As the RYI platform is intended for a point in time notification, Health is not considering options to correct or amend information. However, Health </w:t>
            </w:r>
            <w:r w:rsidR="00711B3C">
              <w:rPr>
                <w:rFonts w:cs="Arial"/>
                <w:sz w:val="20"/>
                <w:szCs w:val="20"/>
              </w:rPr>
              <w:t>is implementing an</w:t>
            </w:r>
            <w:r>
              <w:rPr>
                <w:rFonts w:cs="Arial"/>
                <w:sz w:val="20"/>
                <w:szCs w:val="20"/>
              </w:rPr>
              <w:t xml:space="preserve"> ‘opt-out’ mechanism </w:t>
            </w:r>
            <w:r w:rsidR="00711B3C">
              <w:rPr>
                <w:rFonts w:cs="Arial"/>
                <w:sz w:val="20"/>
                <w:szCs w:val="20"/>
              </w:rPr>
              <w:t xml:space="preserve">for potential recipients of notifications for RYI </w:t>
            </w:r>
            <w:r>
              <w:rPr>
                <w:rFonts w:cs="Arial"/>
                <w:sz w:val="20"/>
                <w:szCs w:val="20"/>
              </w:rPr>
              <w:t xml:space="preserve">and </w:t>
            </w:r>
            <w:r w:rsidR="00711B3C">
              <w:rPr>
                <w:rFonts w:cs="Arial"/>
                <w:sz w:val="20"/>
                <w:szCs w:val="20"/>
              </w:rPr>
              <w:t>is updating</w:t>
            </w:r>
            <w:r>
              <w:rPr>
                <w:rFonts w:cs="Arial"/>
                <w:sz w:val="20"/>
                <w:szCs w:val="20"/>
              </w:rPr>
              <w:t xml:space="preserve"> the Privacy N</w:t>
            </w:r>
            <w:r w:rsidR="00711B3C">
              <w:rPr>
                <w:rFonts w:cs="Arial"/>
                <w:sz w:val="20"/>
                <w:szCs w:val="20"/>
              </w:rPr>
              <w:t>otice accordingly</w:t>
            </w:r>
            <w:r>
              <w:rPr>
                <w:rFonts w:cs="Arial"/>
                <w:sz w:val="20"/>
                <w:szCs w:val="20"/>
              </w:rPr>
              <w:t xml:space="preserve">. </w:t>
            </w:r>
          </w:p>
        </w:tc>
      </w:tr>
    </w:tbl>
    <w:p w14:paraId="0C4CD2E4" w14:textId="54C97C0D" w:rsidR="000D4B6E" w:rsidRPr="004802DF" w:rsidRDefault="000D4B6E" w:rsidP="00D21770">
      <w:pPr>
        <w:pStyle w:val="Paragraphtext"/>
        <w:rPr>
          <w:rFonts w:cs="Arial"/>
          <w:sz w:val="20"/>
          <w:szCs w:val="20"/>
        </w:rPr>
      </w:pPr>
    </w:p>
    <w:p w14:paraId="72A73075" w14:textId="77777777" w:rsidR="000D4B6E" w:rsidRPr="004802DF" w:rsidRDefault="000D4B6E" w:rsidP="00D21770">
      <w:pPr>
        <w:pStyle w:val="Paragraphtext"/>
        <w:rPr>
          <w:rFonts w:cs="Arial"/>
          <w:sz w:val="20"/>
          <w:szCs w:val="20"/>
        </w:rPr>
      </w:pPr>
    </w:p>
    <w:tbl>
      <w:tblPr>
        <w:tblStyle w:val="DepartmentofHealthtable"/>
        <w:tblW w:w="9072" w:type="dxa"/>
        <w:tblLook w:val="04A0" w:firstRow="1" w:lastRow="0" w:firstColumn="1" w:lastColumn="0" w:noHBand="0" w:noVBand="1"/>
      </w:tblPr>
      <w:tblGrid>
        <w:gridCol w:w="2407"/>
        <w:gridCol w:w="6665"/>
      </w:tblGrid>
      <w:tr w:rsidR="00D21770" w:rsidRPr="004802DF" w14:paraId="170E1057" w14:textId="77777777" w:rsidTr="00E40C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0E222AB7" w14:textId="7A3898B3" w:rsidR="00D21770" w:rsidRPr="004802DF" w:rsidRDefault="000D4B6E" w:rsidP="00A24D39">
            <w:pPr>
              <w:pStyle w:val="TableHeaderWhite"/>
              <w:rPr>
                <w:rFonts w:cs="Arial"/>
                <w:sz w:val="20"/>
                <w:szCs w:val="20"/>
              </w:rPr>
            </w:pPr>
            <w:r w:rsidRPr="004802DF">
              <w:rPr>
                <w:rFonts w:cs="Arial"/>
                <w:sz w:val="20"/>
                <w:szCs w:val="20"/>
              </w:rPr>
              <w:t>Maddocks Recommendation 7</w:t>
            </w:r>
            <w:r w:rsidR="00D21770" w:rsidRPr="004802DF">
              <w:rPr>
                <w:rFonts w:cs="Arial"/>
                <w:sz w:val="20"/>
                <w:szCs w:val="20"/>
              </w:rPr>
              <w:t xml:space="preserve">: </w:t>
            </w:r>
          </w:p>
        </w:tc>
        <w:tc>
          <w:tcPr>
            <w:tcW w:w="6665" w:type="dxa"/>
          </w:tcPr>
          <w:p w14:paraId="4FCD6E52" w14:textId="3C78A8B1" w:rsidR="00D21770" w:rsidRPr="004802DF" w:rsidRDefault="00663593" w:rsidP="00A24D39">
            <w:pPr>
              <w:pStyle w:val="TableHeader"/>
              <w:cnfStyle w:val="100000000000" w:firstRow="1" w:lastRow="0" w:firstColumn="0" w:lastColumn="0" w:oddVBand="0" w:evenVBand="0" w:oddHBand="0" w:evenHBand="0" w:firstRowFirstColumn="0" w:firstRowLastColumn="0" w:lastRowFirstColumn="0" w:lastRowLastColumn="0"/>
              <w:rPr>
                <w:rFonts w:cs="Arial"/>
                <w:sz w:val="20"/>
                <w:szCs w:val="20"/>
              </w:rPr>
            </w:pPr>
            <w:bookmarkStart w:id="5" w:name="_Ref67134676"/>
            <w:r w:rsidRPr="004802DF">
              <w:rPr>
                <w:rFonts w:cs="Arial"/>
                <w:sz w:val="20"/>
                <w:szCs w:val="20"/>
              </w:rPr>
              <w:t>Arrangements with the Notification Provider for the RYI solution</w:t>
            </w:r>
            <w:bookmarkEnd w:id="5"/>
          </w:p>
        </w:tc>
      </w:tr>
      <w:tr w:rsidR="00D21770" w:rsidRPr="004802DF" w14:paraId="05DEB063" w14:textId="77777777" w:rsidTr="00E40C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14:paraId="46D9073A" w14:textId="77777777" w:rsidR="00663593" w:rsidRPr="004802DF" w:rsidRDefault="00663593" w:rsidP="00663593">
            <w:pPr>
              <w:spacing w:before="240" w:after="240"/>
              <w:rPr>
                <w:rFonts w:cs="Arial"/>
                <w:bCs/>
                <w:sz w:val="20"/>
                <w:szCs w:val="20"/>
              </w:rPr>
            </w:pPr>
            <w:r w:rsidRPr="004802DF">
              <w:rPr>
                <w:rFonts w:cs="Arial"/>
                <w:bCs/>
                <w:sz w:val="20"/>
                <w:szCs w:val="20"/>
              </w:rPr>
              <w:t xml:space="preserve">We </w:t>
            </w:r>
            <w:r w:rsidRPr="004802DF">
              <w:rPr>
                <w:rFonts w:cs="Arial"/>
                <w:b/>
                <w:sz w:val="20"/>
                <w:szCs w:val="20"/>
              </w:rPr>
              <w:t>recommend</w:t>
            </w:r>
            <w:r w:rsidRPr="004802DF">
              <w:rPr>
                <w:rFonts w:cs="Arial"/>
                <w:bCs/>
                <w:sz w:val="20"/>
                <w:szCs w:val="20"/>
              </w:rPr>
              <w:t xml:space="preserve"> that</w:t>
            </w:r>
            <w:r w:rsidRPr="004802DF">
              <w:rPr>
                <w:rFonts w:cs="Arial"/>
                <w:sz w:val="20"/>
                <w:szCs w:val="20"/>
              </w:rPr>
              <w:t xml:space="preserve"> </w:t>
            </w:r>
            <w:r w:rsidRPr="004802DF">
              <w:rPr>
                <w:rFonts w:cs="Arial"/>
                <w:bCs/>
                <w:sz w:val="20"/>
                <w:szCs w:val="20"/>
              </w:rPr>
              <w:t>Health ensure that:</w:t>
            </w:r>
          </w:p>
          <w:p w14:paraId="2BB18A11" w14:textId="77777777" w:rsidR="00663593" w:rsidRPr="004802DF" w:rsidRDefault="00663593" w:rsidP="00663593">
            <w:pPr>
              <w:pStyle w:val="ListParagraph"/>
              <w:numPr>
                <w:ilvl w:val="0"/>
                <w:numId w:val="13"/>
              </w:numPr>
              <w:spacing w:before="240" w:after="240"/>
              <w:rPr>
                <w:rFonts w:cs="Arial"/>
                <w:bCs/>
                <w:sz w:val="20"/>
                <w:szCs w:val="20"/>
              </w:rPr>
            </w:pPr>
            <w:r w:rsidRPr="004802DF">
              <w:rPr>
                <w:rFonts w:cs="Arial"/>
                <w:bCs/>
                <w:sz w:val="20"/>
                <w:szCs w:val="20"/>
              </w:rPr>
              <w:t>it selects, or has selected, an appropriate entity to be the Notification Provider, who should be subject to the obligations of an ‘agency’ under the Privacy Act (either in its own right or through imposition of appropriate contractual obligations), and who has appropriate security mechanisms in place to protect the collected personal information; and</w:t>
            </w:r>
            <w:r w:rsidRPr="004802DF">
              <w:rPr>
                <w:rFonts w:cs="Arial"/>
                <w:bCs/>
                <w:sz w:val="20"/>
                <w:szCs w:val="20"/>
              </w:rPr>
              <w:br/>
            </w:r>
          </w:p>
          <w:p w14:paraId="6035AA9A" w14:textId="1A3F3331" w:rsidR="00D21770" w:rsidRPr="004802DF" w:rsidRDefault="00663593" w:rsidP="00663593">
            <w:pPr>
              <w:pStyle w:val="ListParagraph"/>
              <w:numPr>
                <w:ilvl w:val="0"/>
                <w:numId w:val="13"/>
              </w:numPr>
              <w:spacing w:before="240" w:after="240"/>
              <w:rPr>
                <w:rFonts w:cs="Arial"/>
                <w:b/>
                <w:bCs/>
                <w:sz w:val="20"/>
                <w:szCs w:val="20"/>
              </w:rPr>
            </w:pPr>
            <w:r w:rsidRPr="004802DF">
              <w:rPr>
                <w:rFonts w:cs="Arial"/>
                <w:bCs/>
                <w:sz w:val="20"/>
                <w:szCs w:val="20"/>
              </w:rPr>
              <w:t>the contractual or other documented arrangements between Health and the Notification Provider contain appropriate obligations in relation to the handling of personal information. The contractual or other arrangements should include requirements for the Notification Provider to act as if it is an ‘agency’ for</w:t>
            </w:r>
            <w:r w:rsidR="00BE1731">
              <w:rPr>
                <w:rFonts w:cs="Arial"/>
                <w:bCs/>
                <w:sz w:val="20"/>
                <w:szCs w:val="20"/>
              </w:rPr>
              <w:t xml:space="preserve"> the</w:t>
            </w:r>
            <w:r w:rsidRPr="004802DF">
              <w:rPr>
                <w:rFonts w:cs="Arial"/>
                <w:bCs/>
                <w:sz w:val="20"/>
                <w:szCs w:val="20"/>
              </w:rPr>
              <w:t xml:space="preserve"> purposes of the Privacy Act (if it is not an APP entity), and must comply with obligations under the Privacy Act. For example, the arrangements could require the Notification Provider to use particular (strong) security arrangements, confirm that</w:t>
            </w:r>
            <w:r w:rsidR="00BE1731">
              <w:rPr>
                <w:rFonts w:cs="Arial"/>
                <w:bCs/>
                <w:sz w:val="20"/>
                <w:szCs w:val="20"/>
              </w:rPr>
              <w:t xml:space="preserve"> the</w:t>
            </w:r>
            <w:r w:rsidRPr="004802DF">
              <w:rPr>
                <w:rFonts w:cs="Arial"/>
                <w:bCs/>
                <w:sz w:val="20"/>
                <w:szCs w:val="20"/>
              </w:rPr>
              <w:t xml:space="preserve"> use and disclosure of the information will only be for the purpose provided, confirm that access will be on a need-to-know basis, and require early notification of any actual or suspected data breach.</w:t>
            </w:r>
          </w:p>
        </w:tc>
      </w:tr>
      <w:tr w:rsidR="00D21770" w:rsidRPr="004802DF" w14:paraId="2A7B10A5" w14:textId="77777777" w:rsidTr="00E40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1C6C6557" w14:textId="4817D48A" w:rsidR="00D21770" w:rsidRPr="004802DF" w:rsidRDefault="00CD15DA" w:rsidP="00F537C3">
            <w:pPr>
              <w:pStyle w:val="Tabletextleft"/>
            </w:pPr>
            <w:r w:rsidRPr="004802DF">
              <w:t>R</w:t>
            </w:r>
            <w:r w:rsidR="00D21770" w:rsidRPr="004802DF">
              <w:t>esponse</w:t>
            </w:r>
          </w:p>
        </w:tc>
        <w:tc>
          <w:tcPr>
            <w:tcW w:w="6665" w:type="dxa"/>
          </w:tcPr>
          <w:p w14:paraId="23E7E715" w14:textId="078EEBC3" w:rsidR="0036017C" w:rsidRPr="006D6238" w:rsidRDefault="00E40C39" w:rsidP="00F537C3">
            <w:pPr>
              <w:pStyle w:val="Tabletextleft"/>
              <w:cnfStyle w:val="000000010000" w:firstRow="0" w:lastRow="0" w:firstColumn="0" w:lastColumn="0" w:oddVBand="0" w:evenVBand="0" w:oddHBand="0" w:evenHBand="1" w:firstRowFirstColumn="0" w:firstRowLastColumn="0" w:lastRowFirstColumn="0" w:lastRowLastColumn="0"/>
              <w:rPr>
                <w:b w:val="0"/>
                <w:color w:val="auto"/>
                <w:sz w:val="20"/>
                <w:szCs w:val="20"/>
              </w:rPr>
            </w:pPr>
            <w:r w:rsidRPr="006D6238">
              <w:rPr>
                <w:b w:val="0"/>
                <w:color w:val="auto"/>
                <w:sz w:val="20"/>
                <w:szCs w:val="20"/>
              </w:rPr>
              <w:t>Agreed.</w:t>
            </w:r>
          </w:p>
          <w:p w14:paraId="5841F61F" w14:textId="77777777" w:rsidR="005A2AA8" w:rsidRPr="006D6238" w:rsidRDefault="00A00F9B" w:rsidP="00F537C3">
            <w:pPr>
              <w:pStyle w:val="Tabletextleft"/>
              <w:cnfStyle w:val="000000010000" w:firstRow="0" w:lastRow="0" w:firstColumn="0" w:lastColumn="0" w:oddVBand="0" w:evenVBand="0" w:oddHBand="0" w:evenHBand="1" w:firstRowFirstColumn="0" w:firstRowLastColumn="0" w:lastRowFirstColumn="0" w:lastRowLastColumn="0"/>
              <w:rPr>
                <w:b w:val="0"/>
                <w:color w:val="auto"/>
                <w:sz w:val="20"/>
                <w:szCs w:val="20"/>
              </w:rPr>
            </w:pPr>
            <w:r w:rsidRPr="006D6238">
              <w:rPr>
                <w:b w:val="0"/>
                <w:color w:val="auto"/>
                <w:sz w:val="20"/>
                <w:szCs w:val="20"/>
              </w:rPr>
              <w:t xml:space="preserve">Health has sought input from relevant stakeholders in relation to selecting the most appropriate Notification Provider. This process </w:t>
            </w:r>
            <w:r w:rsidR="005A2AA8" w:rsidRPr="006D6238">
              <w:rPr>
                <w:b w:val="0"/>
                <w:color w:val="auto"/>
                <w:sz w:val="20"/>
                <w:szCs w:val="20"/>
              </w:rPr>
              <w:t xml:space="preserve">has </w:t>
            </w:r>
            <w:r w:rsidRPr="006D6238">
              <w:rPr>
                <w:b w:val="0"/>
                <w:color w:val="auto"/>
                <w:sz w:val="20"/>
                <w:szCs w:val="20"/>
              </w:rPr>
              <w:t xml:space="preserve">included considering the Department’s privacy and security requirements, </w:t>
            </w:r>
            <w:r w:rsidR="005A2AA8" w:rsidRPr="006D6238">
              <w:rPr>
                <w:b w:val="0"/>
                <w:color w:val="auto"/>
                <w:sz w:val="20"/>
                <w:szCs w:val="20"/>
              </w:rPr>
              <w:t>as well as</w:t>
            </w:r>
            <w:r w:rsidR="000702F2" w:rsidRPr="006D6238">
              <w:rPr>
                <w:b w:val="0"/>
                <w:color w:val="auto"/>
                <w:sz w:val="20"/>
                <w:szCs w:val="20"/>
              </w:rPr>
              <w:t xml:space="preserve"> </w:t>
            </w:r>
            <w:r w:rsidRPr="006D6238">
              <w:rPr>
                <w:b w:val="0"/>
                <w:color w:val="auto"/>
                <w:sz w:val="20"/>
                <w:szCs w:val="20"/>
              </w:rPr>
              <w:t xml:space="preserve">privacy considerations and the advice sought from the OAIC for RYI. </w:t>
            </w:r>
          </w:p>
          <w:p w14:paraId="4E5A79E2" w14:textId="01139DBE" w:rsidR="000702F2" w:rsidRPr="006D6238" w:rsidRDefault="00A00F9B" w:rsidP="00F537C3">
            <w:pPr>
              <w:pStyle w:val="Tabletextleft"/>
              <w:cnfStyle w:val="000000010000" w:firstRow="0" w:lastRow="0" w:firstColumn="0" w:lastColumn="0" w:oddVBand="0" w:evenVBand="0" w:oddHBand="0" w:evenHBand="1" w:firstRowFirstColumn="0" w:firstRowLastColumn="0" w:lastRowFirstColumn="0" w:lastRowLastColumn="0"/>
              <w:rPr>
                <w:b w:val="0"/>
                <w:color w:val="auto"/>
                <w:sz w:val="20"/>
                <w:szCs w:val="20"/>
              </w:rPr>
            </w:pPr>
            <w:r w:rsidRPr="006D6238">
              <w:rPr>
                <w:b w:val="0"/>
                <w:color w:val="auto"/>
                <w:sz w:val="20"/>
                <w:szCs w:val="20"/>
              </w:rPr>
              <w:t xml:space="preserve">Health has carefully considered the above recommendations in relation to the selection of </w:t>
            </w:r>
            <w:r w:rsidR="005A2AA8" w:rsidRPr="006D6238">
              <w:rPr>
                <w:b w:val="0"/>
                <w:color w:val="auto"/>
                <w:sz w:val="20"/>
                <w:szCs w:val="20"/>
              </w:rPr>
              <w:t>‘</w:t>
            </w:r>
            <w:hyperlink r:id="rId26" w:history="1">
              <w:r w:rsidR="005A2AA8" w:rsidRPr="006D6238">
                <w:rPr>
                  <w:rStyle w:val="Hyperlink"/>
                  <w:b w:val="0"/>
                  <w:color w:val="auto"/>
                  <w:sz w:val="20"/>
                  <w:szCs w:val="20"/>
                </w:rPr>
                <w:t>Notify’</w:t>
              </w:r>
            </w:hyperlink>
            <w:r w:rsidR="005A2AA8" w:rsidRPr="006D6238">
              <w:rPr>
                <w:b w:val="0"/>
                <w:color w:val="auto"/>
                <w:sz w:val="20"/>
                <w:szCs w:val="20"/>
              </w:rPr>
              <w:t xml:space="preserve">, an online notifications service developed by </w:t>
            </w:r>
            <w:r w:rsidRPr="006D6238">
              <w:rPr>
                <w:b w:val="0"/>
                <w:color w:val="auto"/>
                <w:sz w:val="20"/>
                <w:szCs w:val="20"/>
              </w:rPr>
              <w:t>the Digital Transformation Agency (DTA).</w:t>
            </w:r>
            <w:r w:rsidR="005A2AA8" w:rsidRPr="006D6238">
              <w:rPr>
                <w:b w:val="0"/>
                <w:color w:val="auto"/>
                <w:sz w:val="20"/>
                <w:szCs w:val="20"/>
              </w:rPr>
              <w:t xml:space="preserve"> Government entities are able to use notify to securely send messages via email or mobile number to users.</w:t>
            </w:r>
            <w:r w:rsidR="00E24673" w:rsidRPr="006D6238">
              <w:rPr>
                <w:b w:val="0"/>
                <w:color w:val="auto"/>
                <w:sz w:val="20"/>
                <w:szCs w:val="20"/>
              </w:rPr>
              <w:t xml:space="preserve"> Existing privacy protections for Notify are outlined in their </w:t>
            </w:r>
            <w:hyperlink r:id="rId27" w:history="1">
              <w:r w:rsidR="00E24673" w:rsidRPr="006D6238">
                <w:rPr>
                  <w:rStyle w:val="Hyperlink"/>
                  <w:b w:val="0"/>
                  <w:sz w:val="20"/>
                  <w:szCs w:val="20"/>
                </w:rPr>
                <w:t>privacy statement</w:t>
              </w:r>
            </w:hyperlink>
            <w:r w:rsidR="00E24673" w:rsidRPr="006D6238">
              <w:rPr>
                <w:b w:val="0"/>
                <w:color w:val="auto"/>
                <w:sz w:val="20"/>
                <w:szCs w:val="20"/>
              </w:rPr>
              <w:t>.</w:t>
            </w:r>
            <w:r w:rsidR="005A2AA8" w:rsidRPr="006D6238">
              <w:rPr>
                <w:b w:val="0"/>
                <w:color w:val="auto"/>
                <w:sz w:val="20"/>
                <w:szCs w:val="20"/>
              </w:rPr>
              <w:t xml:space="preserve"> </w:t>
            </w:r>
            <w:r w:rsidRPr="006D6238">
              <w:rPr>
                <w:b w:val="0"/>
                <w:color w:val="auto"/>
                <w:sz w:val="20"/>
                <w:szCs w:val="20"/>
              </w:rPr>
              <w:t xml:space="preserve"> </w:t>
            </w:r>
          </w:p>
          <w:p w14:paraId="3C367563" w14:textId="2FB503AB" w:rsidR="00A00F9B" w:rsidRPr="006D6238" w:rsidRDefault="00A00F9B" w:rsidP="00F537C3">
            <w:pPr>
              <w:pStyle w:val="Tabletextleft"/>
              <w:cnfStyle w:val="000000010000" w:firstRow="0" w:lastRow="0" w:firstColumn="0" w:lastColumn="0" w:oddVBand="0" w:evenVBand="0" w:oddHBand="0" w:evenHBand="1" w:firstRowFirstColumn="0" w:firstRowLastColumn="0" w:lastRowFirstColumn="0" w:lastRowLastColumn="0"/>
              <w:rPr>
                <w:b w:val="0"/>
                <w:color w:val="auto"/>
                <w:sz w:val="20"/>
                <w:szCs w:val="20"/>
              </w:rPr>
            </w:pPr>
            <w:r w:rsidRPr="006D6238">
              <w:rPr>
                <w:b w:val="0"/>
                <w:color w:val="auto"/>
                <w:sz w:val="20"/>
                <w:szCs w:val="20"/>
              </w:rPr>
              <w:t>While the DTA is presently Health’s only contracted partner and delivery channel for notifications, if Health needs to contract another Notification provider, Health will engage a Notification provider with equally strong privacy and data security protections, and if necessary engage relevant stakeholders in that process.</w:t>
            </w:r>
          </w:p>
          <w:p w14:paraId="7B0C85EF" w14:textId="4A0D4DA2" w:rsidR="009627FE" w:rsidRPr="000702F2" w:rsidRDefault="009627FE" w:rsidP="00F537C3">
            <w:pPr>
              <w:pStyle w:val="Tabletextleft"/>
              <w:cnfStyle w:val="000000010000" w:firstRow="0" w:lastRow="0" w:firstColumn="0" w:lastColumn="0" w:oddVBand="0" w:evenVBand="0" w:oddHBand="0" w:evenHBand="1" w:firstRowFirstColumn="0" w:firstRowLastColumn="0" w:lastRowFirstColumn="0" w:lastRowLastColumn="0"/>
            </w:pPr>
          </w:p>
        </w:tc>
      </w:tr>
    </w:tbl>
    <w:p w14:paraId="4E3A564B" w14:textId="5A2EC0B9" w:rsidR="005E7EA6" w:rsidRPr="004802DF" w:rsidRDefault="005E7EA6" w:rsidP="00D21770">
      <w:pPr>
        <w:rPr>
          <w:rFonts w:cs="Arial"/>
          <w:sz w:val="20"/>
          <w:szCs w:val="20"/>
        </w:rPr>
      </w:pPr>
    </w:p>
    <w:p w14:paraId="20141C15" w14:textId="77777777" w:rsidR="00D07AB2" w:rsidRPr="004802DF" w:rsidRDefault="00D07AB2" w:rsidP="00D21770">
      <w:pPr>
        <w:rPr>
          <w:rFonts w:cs="Arial"/>
          <w:sz w:val="20"/>
          <w:szCs w:val="20"/>
        </w:rPr>
      </w:pPr>
    </w:p>
    <w:tbl>
      <w:tblPr>
        <w:tblStyle w:val="DepartmentofHealthtable"/>
        <w:tblW w:w="9072" w:type="dxa"/>
        <w:tblLook w:val="04A0" w:firstRow="1" w:lastRow="0" w:firstColumn="1" w:lastColumn="0" w:noHBand="0" w:noVBand="1"/>
      </w:tblPr>
      <w:tblGrid>
        <w:gridCol w:w="2407"/>
        <w:gridCol w:w="6665"/>
      </w:tblGrid>
      <w:tr w:rsidR="00797B03" w:rsidRPr="004802DF" w14:paraId="4FC4C850" w14:textId="77777777" w:rsidTr="00AC1C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0E0CB666" w14:textId="599ED7E5" w:rsidR="00797B03" w:rsidRPr="004802DF" w:rsidRDefault="00797B03" w:rsidP="00F27D8A">
            <w:pPr>
              <w:pStyle w:val="TableHeaderWhite"/>
              <w:rPr>
                <w:rFonts w:cs="Arial"/>
                <w:sz w:val="20"/>
                <w:szCs w:val="20"/>
              </w:rPr>
            </w:pPr>
            <w:r w:rsidRPr="004802DF">
              <w:rPr>
                <w:rFonts w:cs="Arial"/>
                <w:sz w:val="20"/>
                <w:szCs w:val="20"/>
              </w:rPr>
              <w:t xml:space="preserve">Maddocks Recommendation 8: </w:t>
            </w:r>
          </w:p>
        </w:tc>
        <w:tc>
          <w:tcPr>
            <w:tcW w:w="6665" w:type="dxa"/>
          </w:tcPr>
          <w:p w14:paraId="18BE18A9" w14:textId="0C4ADC8E" w:rsidR="00797B03" w:rsidRPr="004802DF" w:rsidRDefault="00797B03" w:rsidP="00797B03">
            <w:pPr>
              <w:pStyle w:val="TableHeader"/>
              <w:cnfStyle w:val="100000000000" w:firstRow="1" w:lastRow="0" w:firstColumn="0" w:lastColumn="0" w:oddVBand="0" w:evenVBand="0" w:oddHBand="0" w:evenHBand="0" w:firstRowFirstColumn="0" w:firstRowLastColumn="0" w:lastRowFirstColumn="0" w:lastRowLastColumn="0"/>
              <w:rPr>
                <w:rFonts w:cs="Arial"/>
                <w:sz w:val="20"/>
                <w:szCs w:val="20"/>
              </w:rPr>
            </w:pPr>
            <w:r w:rsidRPr="004802DF">
              <w:rPr>
                <w:rFonts w:cs="Arial"/>
                <w:sz w:val="20"/>
                <w:szCs w:val="20"/>
              </w:rPr>
              <w:t>Consider further development of information provided to individuals in relation to the BP</w:t>
            </w:r>
          </w:p>
        </w:tc>
      </w:tr>
      <w:tr w:rsidR="00797B03" w:rsidRPr="004802DF" w14:paraId="5F49DC40" w14:textId="77777777" w:rsidTr="00AC1C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14:paraId="05958DBE" w14:textId="1FD37827" w:rsidR="00797B03" w:rsidRPr="004802DF" w:rsidRDefault="00797B03" w:rsidP="00797B03">
            <w:pPr>
              <w:spacing w:before="240" w:after="240"/>
              <w:rPr>
                <w:rFonts w:cs="Arial"/>
                <w:sz w:val="20"/>
                <w:szCs w:val="20"/>
              </w:rPr>
            </w:pPr>
            <w:r w:rsidRPr="004802DF">
              <w:rPr>
                <w:rFonts w:cs="Arial"/>
                <w:bCs/>
                <w:sz w:val="20"/>
                <w:szCs w:val="20"/>
              </w:rPr>
              <w:t xml:space="preserve">We </w:t>
            </w:r>
            <w:r w:rsidRPr="004802DF">
              <w:rPr>
                <w:rFonts w:cs="Arial"/>
                <w:b/>
                <w:sz w:val="20"/>
                <w:szCs w:val="20"/>
              </w:rPr>
              <w:t>recommend</w:t>
            </w:r>
            <w:r w:rsidRPr="004802DF">
              <w:rPr>
                <w:rFonts w:cs="Arial"/>
                <w:bCs/>
                <w:sz w:val="20"/>
                <w:szCs w:val="20"/>
              </w:rPr>
              <w:t xml:space="preserve"> that Health consider whether there is potential to further improve the BP solution at a later stage. For example, Health could consider:</w:t>
            </w:r>
          </w:p>
          <w:p w14:paraId="556B6E31" w14:textId="2AE455B0" w:rsidR="00797B03" w:rsidRPr="004802DF" w:rsidRDefault="00797B03" w:rsidP="00797B03">
            <w:pPr>
              <w:pStyle w:val="ListParagraph"/>
              <w:numPr>
                <w:ilvl w:val="0"/>
                <w:numId w:val="13"/>
              </w:numPr>
              <w:spacing w:before="240" w:after="240"/>
              <w:rPr>
                <w:rFonts w:cs="Arial"/>
                <w:bCs/>
                <w:sz w:val="20"/>
                <w:szCs w:val="20"/>
              </w:rPr>
            </w:pPr>
            <w:r w:rsidRPr="004802DF">
              <w:rPr>
                <w:rFonts w:cs="Arial"/>
                <w:bCs/>
                <w:sz w:val="20"/>
                <w:szCs w:val="20"/>
              </w:rPr>
              <w:t>ensuring the BP displays the Collection Notice and Health’s Privacy Notice for Vaccine Providers to users accessing the BP on behalf of a Vaccine Provider, before any personal information is required to be provided;</w:t>
            </w:r>
            <w:r w:rsidRPr="004802DF">
              <w:rPr>
                <w:rFonts w:cs="Arial"/>
                <w:bCs/>
                <w:sz w:val="20"/>
                <w:szCs w:val="20"/>
              </w:rPr>
              <w:br/>
            </w:r>
          </w:p>
          <w:p w14:paraId="156F222C" w14:textId="2698F153" w:rsidR="00797B03" w:rsidRPr="004802DF" w:rsidRDefault="00797B03" w:rsidP="00797B03">
            <w:pPr>
              <w:pStyle w:val="ListParagraph"/>
              <w:numPr>
                <w:ilvl w:val="0"/>
                <w:numId w:val="13"/>
              </w:numPr>
              <w:spacing w:before="240" w:after="240"/>
              <w:rPr>
                <w:rFonts w:cs="Arial"/>
                <w:bCs/>
                <w:sz w:val="20"/>
                <w:szCs w:val="20"/>
              </w:rPr>
            </w:pPr>
            <w:r w:rsidRPr="004802DF">
              <w:rPr>
                <w:rFonts w:cs="Arial"/>
                <w:bCs/>
                <w:sz w:val="20"/>
                <w:szCs w:val="20"/>
              </w:rPr>
              <w:t>issuing Vaccine Providers with guidance on how to ensure that their nominated personnel (such as their Primary Contact) provide their consent to their information being collected, used and disclosed by HealthEngine; and</w:t>
            </w:r>
            <w:r w:rsidRPr="004802DF">
              <w:rPr>
                <w:rFonts w:cs="Arial"/>
                <w:bCs/>
                <w:sz w:val="20"/>
                <w:szCs w:val="20"/>
              </w:rPr>
              <w:br/>
            </w:r>
          </w:p>
          <w:p w14:paraId="7F7FA780" w14:textId="3969299E" w:rsidR="00797B03" w:rsidRPr="004802DF" w:rsidRDefault="00797B03" w:rsidP="00797B03">
            <w:pPr>
              <w:pStyle w:val="ListParagraph"/>
              <w:numPr>
                <w:ilvl w:val="0"/>
                <w:numId w:val="13"/>
              </w:numPr>
              <w:spacing w:before="240" w:after="240"/>
              <w:rPr>
                <w:rFonts w:cs="Arial"/>
                <w:b/>
                <w:bCs/>
                <w:sz w:val="20"/>
                <w:szCs w:val="20"/>
              </w:rPr>
            </w:pPr>
            <w:r w:rsidRPr="004802DF">
              <w:rPr>
                <w:rFonts w:cs="Arial"/>
                <w:bCs/>
                <w:sz w:val="20"/>
                <w:szCs w:val="20"/>
              </w:rPr>
              <w:t>ensuring that the BP displays to Patients all of the relevant information about how their personal information will be handled, before they either</w:t>
            </w:r>
            <w:r w:rsidRPr="004802DF">
              <w:rPr>
                <w:rFonts w:cs="Arial"/>
                <w:sz w:val="20"/>
                <w:szCs w:val="20"/>
              </w:rPr>
              <w:t xml:space="preserve"> </w:t>
            </w:r>
            <w:r w:rsidRPr="004802DF">
              <w:rPr>
                <w:rFonts w:cs="Arial"/>
                <w:bCs/>
                <w:sz w:val="20"/>
                <w:szCs w:val="20"/>
              </w:rPr>
              <w:t>log into or create a HealthEngine account,</w:t>
            </w:r>
            <w:r w:rsidRPr="004802DF">
              <w:rPr>
                <w:rFonts w:cs="Arial"/>
                <w:sz w:val="20"/>
                <w:szCs w:val="20"/>
              </w:rPr>
              <w:t xml:space="preserve"> </w:t>
            </w:r>
            <w:r w:rsidRPr="004802DF">
              <w:rPr>
                <w:rFonts w:cs="Arial"/>
                <w:bCs/>
                <w:sz w:val="20"/>
                <w:szCs w:val="20"/>
              </w:rPr>
              <w:t>in order to book an appointment to receive the COVID-19 vaccine.</w:t>
            </w:r>
          </w:p>
        </w:tc>
      </w:tr>
      <w:tr w:rsidR="00797B03" w:rsidRPr="004802DF" w14:paraId="1C6D2A92" w14:textId="77777777" w:rsidTr="00AC1C5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2F935BBE" w14:textId="77777777" w:rsidR="00797B03" w:rsidRPr="004802DF" w:rsidRDefault="00797B03" w:rsidP="00F537C3">
            <w:pPr>
              <w:pStyle w:val="Tabletextleft"/>
            </w:pPr>
            <w:r w:rsidRPr="004802DF">
              <w:t>Response</w:t>
            </w:r>
          </w:p>
        </w:tc>
        <w:tc>
          <w:tcPr>
            <w:tcW w:w="6665" w:type="dxa"/>
          </w:tcPr>
          <w:p w14:paraId="43334F5B" w14:textId="310689BB" w:rsidR="00797B03" w:rsidRPr="00492D48" w:rsidRDefault="00797B03" w:rsidP="00F537C3">
            <w:pPr>
              <w:pStyle w:val="Tabletextleft"/>
              <w:cnfStyle w:val="000000010000" w:firstRow="0" w:lastRow="0" w:firstColumn="0" w:lastColumn="0" w:oddVBand="0" w:evenVBand="0" w:oddHBand="0" w:evenHBand="1" w:firstRowFirstColumn="0" w:firstRowLastColumn="0" w:lastRowFirstColumn="0" w:lastRowLastColumn="0"/>
              <w:rPr>
                <w:b w:val="0"/>
                <w:bCs/>
                <w:color w:val="000000" w:themeColor="text1"/>
                <w:sz w:val="20"/>
                <w:szCs w:val="20"/>
              </w:rPr>
            </w:pPr>
            <w:r w:rsidRPr="00492D48">
              <w:rPr>
                <w:b w:val="0"/>
                <w:bCs/>
                <w:color w:val="000000" w:themeColor="text1"/>
                <w:sz w:val="20"/>
                <w:szCs w:val="20"/>
              </w:rPr>
              <w:t xml:space="preserve">Agreed. </w:t>
            </w:r>
          </w:p>
          <w:p w14:paraId="098BEDC9" w14:textId="6239642C" w:rsidR="00AC1C57" w:rsidRPr="00804443" w:rsidRDefault="00AC1C57" w:rsidP="00F537C3">
            <w:pPr>
              <w:pStyle w:val="Tabletextleft"/>
              <w:cnfStyle w:val="000000010000" w:firstRow="0" w:lastRow="0" w:firstColumn="0" w:lastColumn="0" w:oddVBand="0" w:evenVBand="0" w:oddHBand="0" w:evenHBand="1" w:firstRowFirstColumn="0" w:firstRowLastColumn="0" w:lastRowFirstColumn="0" w:lastRowLastColumn="0"/>
              <w:rPr>
                <w:b w:val="0"/>
                <w:bCs/>
                <w:color w:val="000000" w:themeColor="text1"/>
                <w:sz w:val="20"/>
                <w:szCs w:val="20"/>
              </w:rPr>
            </w:pPr>
            <w:r w:rsidRPr="00804443">
              <w:rPr>
                <w:b w:val="0"/>
                <w:bCs/>
                <w:color w:val="000000" w:themeColor="text1"/>
                <w:sz w:val="20"/>
                <w:szCs w:val="20"/>
              </w:rPr>
              <w:t xml:space="preserve">In relation to </w:t>
            </w:r>
            <w:r w:rsidR="006B77D7" w:rsidRPr="00804443">
              <w:rPr>
                <w:b w:val="0"/>
                <w:bCs/>
                <w:color w:val="000000" w:themeColor="text1"/>
                <w:sz w:val="20"/>
                <w:szCs w:val="20"/>
              </w:rPr>
              <w:t xml:space="preserve">Vaccine </w:t>
            </w:r>
            <w:r w:rsidRPr="00804443">
              <w:rPr>
                <w:b w:val="0"/>
                <w:bCs/>
                <w:color w:val="000000" w:themeColor="text1"/>
                <w:sz w:val="20"/>
                <w:szCs w:val="20"/>
              </w:rPr>
              <w:t xml:space="preserve">Providers, a link to the Department’s COVID-19 </w:t>
            </w:r>
            <w:hyperlink r:id="rId28" w:history="1">
              <w:r w:rsidRPr="00116283">
                <w:rPr>
                  <w:rStyle w:val="Hyperlink"/>
                  <w:b w:val="0"/>
                  <w:bCs/>
                  <w:sz w:val="20"/>
                  <w:szCs w:val="20"/>
                </w:rPr>
                <w:t>privacy page</w:t>
              </w:r>
            </w:hyperlink>
            <w:r w:rsidRPr="00492D48">
              <w:rPr>
                <w:b w:val="0"/>
                <w:bCs/>
                <w:color w:val="000000" w:themeColor="text1"/>
                <w:sz w:val="20"/>
                <w:szCs w:val="20"/>
              </w:rPr>
              <w:t xml:space="preserve"> is provided in the Services Form that providers are required to sig</w:t>
            </w:r>
            <w:r w:rsidR="00A964E7" w:rsidRPr="00804443">
              <w:rPr>
                <w:b w:val="0"/>
                <w:bCs/>
                <w:color w:val="000000" w:themeColor="text1"/>
                <w:sz w:val="20"/>
                <w:szCs w:val="20"/>
              </w:rPr>
              <w:t xml:space="preserve">n before signing up to the </w:t>
            </w:r>
            <w:r w:rsidR="000551C4" w:rsidRPr="00804443">
              <w:rPr>
                <w:b w:val="0"/>
                <w:bCs/>
                <w:color w:val="000000" w:themeColor="text1"/>
                <w:sz w:val="20"/>
                <w:szCs w:val="20"/>
              </w:rPr>
              <w:t>BP</w:t>
            </w:r>
            <w:r w:rsidRPr="00804443">
              <w:rPr>
                <w:b w:val="0"/>
                <w:bCs/>
                <w:color w:val="000000" w:themeColor="text1"/>
                <w:sz w:val="20"/>
                <w:szCs w:val="20"/>
              </w:rPr>
              <w:t>.</w:t>
            </w:r>
          </w:p>
          <w:p w14:paraId="165A2C96" w14:textId="7C5556F0" w:rsidR="00797B03" w:rsidRPr="00116283" w:rsidRDefault="00D05E02" w:rsidP="00F537C3">
            <w:pPr>
              <w:pStyle w:val="Tabletextleft"/>
              <w:cnfStyle w:val="000000010000" w:firstRow="0" w:lastRow="0" w:firstColumn="0" w:lastColumn="0" w:oddVBand="0" w:evenVBand="0" w:oddHBand="0" w:evenHBand="1" w:firstRowFirstColumn="0" w:firstRowLastColumn="0" w:lastRowFirstColumn="0" w:lastRowLastColumn="0"/>
              <w:rPr>
                <w:sz w:val="20"/>
                <w:szCs w:val="20"/>
              </w:rPr>
            </w:pPr>
            <w:r w:rsidRPr="00492D48">
              <w:rPr>
                <w:b w:val="0"/>
                <w:bCs/>
                <w:color w:val="000000" w:themeColor="text1"/>
                <w:sz w:val="20"/>
                <w:szCs w:val="20"/>
              </w:rPr>
              <w:t xml:space="preserve">In relation to </w:t>
            </w:r>
            <w:r w:rsidR="006B77D7" w:rsidRPr="00492D48">
              <w:rPr>
                <w:b w:val="0"/>
                <w:bCs/>
                <w:color w:val="000000" w:themeColor="text1"/>
                <w:sz w:val="20"/>
                <w:szCs w:val="20"/>
              </w:rPr>
              <w:t>Patients</w:t>
            </w:r>
            <w:r w:rsidR="00A964E7" w:rsidRPr="00492D48">
              <w:rPr>
                <w:b w:val="0"/>
                <w:bCs/>
                <w:color w:val="000000" w:themeColor="text1"/>
                <w:sz w:val="20"/>
                <w:szCs w:val="20"/>
              </w:rPr>
              <w:t xml:space="preserve">, </w:t>
            </w:r>
            <w:r w:rsidR="00AC1C57" w:rsidRPr="00492D48">
              <w:rPr>
                <w:b w:val="0"/>
                <w:bCs/>
                <w:color w:val="000000" w:themeColor="text1"/>
                <w:sz w:val="20"/>
                <w:szCs w:val="20"/>
              </w:rPr>
              <w:t xml:space="preserve">HealthEngine’s Privacy Policy and Collection Notice are linked before a patient’s personal information is collected – that is, just before a patient clicks ‘continue’ to submit their information. HealthEngine’s Privacy Policy </w:t>
            </w:r>
            <w:r w:rsidRPr="00492D48">
              <w:rPr>
                <w:b w:val="0"/>
                <w:bCs/>
                <w:color w:val="000000" w:themeColor="text1"/>
                <w:sz w:val="20"/>
                <w:szCs w:val="20"/>
              </w:rPr>
              <w:t>also references Health’</w:t>
            </w:r>
            <w:r w:rsidR="00B711BF" w:rsidRPr="00492D48">
              <w:rPr>
                <w:b w:val="0"/>
                <w:bCs/>
                <w:color w:val="000000" w:themeColor="text1"/>
                <w:sz w:val="20"/>
                <w:szCs w:val="20"/>
              </w:rPr>
              <w:t>s</w:t>
            </w:r>
            <w:r w:rsidRPr="00492D48">
              <w:rPr>
                <w:b w:val="0"/>
                <w:bCs/>
                <w:color w:val="000000" w:themeColor="text1"/>
                <w:sz w:val="20"/>
                <w:szCs w:val="20"/>
              </w:rPr>
              <w:t xml:space="preserve"> Privacy Notices.</w:t>
            </w:r>
            <w:r w:rsidRPr="00116283">
              <w:rPr>
                <w:sz w:val="20"/>
                <w:szCs w:val="20"/>
              </w:rPr>
              <w:t xml:space="preserve"> </w:t>
            </w:r>
          </w:p>
        </w:tc>
      </w:tr>
    </w:tbl>
    <w:p w14:paraId="5CD5B850" w14:textId="77777777" w:rsidR="00797B03" w:rsidRPr="004802DF" w:rsidRDefault="00797B03" w:rsidP="00D21770">
      <w:pPr>
        <w:rPr>
          <w:rFonts w:cs="Arial"/>
          <w:sz w:val="20"/>
          <w:szCs w:val="20"/>
        </w:rPr>
      </w:pPr>
    </w:p>
    <w:tbl>
      <w:tblPr>
        <w:tblStyle w:val="DepartmentofHealthtable"/>
        <w:tblW w:w="9072" w:type="dxa"/>
        <w:tblLook w:val="04A0" w:firstRow="1" w:lastRow="0" w:firstColumn="1" w:lastColumn="0" w:noHBand="0" w:noVBand="1"/>
      </w:tblPr>
      <w:tblGrid>
        <w:gridCol w:w="2407"/>
        <w:gridCol w:w="6665"/>
      </w:tblGrid>
      <w:tr w:rsidR="00797B03" w:rsidRPr="004802DF" w14:paraId="7936E4D2" w14:textId="77777777" w:rsidTr="00D05E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3D8D67E2" w14:textId="03A498C7" w:rsidR="00797B03" w:rsidRPr="004802DF" w:rsidRDefault="00797B03" w:rsidP="00F27D8A">
            <w:pPr>
              <w:pStyle w:val="TableHeaderWhite"/>
              <w:rPr>
                <w:rFonts w:cs="Arial"/>
                <w:sz w:val="20"/>
                <w:szCs w:val="20"/>
              </w:rPr>
            </w:pPr>
            <w:r w:rsidRPr="004802DF">
              <w:rPr>
                <w:rFonts w:cs="Arial"/>
                <w:sz w:val="20"/>
                <w:szCs w:val="20"/>
              </w:rPr>
              <w:t xml:space="preserve">Maddocks Recommendation 9: </w:t>
            </w:r>
          </w:p>
        </w:tc>
        <w:tc>
          <w:tcPr>
            <w:tcW w:w="6665" w:type="dxa"/>
          </w:tcPr>
          <w:p w14:paraId="74D70DBC" w14:textId="0D5B2BD8" w:rsidR="00797B03" w:rsidRPr="004802DF" w:rsidRDefault="00797B03" w:rsidP="0096733A">
            <w:pPr>
              <w:pStyle w:val="TableHeader"/>
              <w:cnfStyle w:val="100000000000" w:firstRow="1" w:lastRow="0" w:firstColumn="0" w:lastColumn="0" w:oddVBand="0" w:evenVBand="0" w:oddHBand="0" w:evenHBand="0" w:firstRowFirstColumn="0" w:firstRowLastColumn="0" w:lastRowFirstColumn="0" w:lastRowLastColumn="0"/>
              <w:rPr>
                <w:rFonts w:cs="Arial"/>
                <w:sz w:val="20"/>
                <w:szCs w:val="20"/>
              </w:rPr>
            </w:pPr>
            <w:bookmarkStart w:id="6" w:name="_Ref67122669"/>
            <w:r w:rsidRPr="004802DF">
              <w:rPr>
                <w:rFonts w:cs="Arial"/>
                <w:sz w:val="20"/>
                <w:szCs w:val="20"/>
              </w:rPr>
              <w:t xml:space="preserve">Implementation of recommendations from the separate CVIP </w:t>
            </w:r>
            <w:bookmarkEnd w:id="6"/>
            <w:r w:rsidR="0096733A">
              <w:rPr>
                <w:rFonts w:cs="Arial"/>
                <w:sz w:val="20"/>
                <w:szCs w:val="20"/>
              </w:rPr>
              <w:t xml:space="preserve">privacy assurance process </w:t>
            </w:r>
          </w:p>
        </w:tc>
      </w:tr>
      <w:tr w:rsidR="00797B03" w:rsidRPr="004802DF" w14:paraId="67AE115C" w14:textId="77777777" w:rsidTr="00D05E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2" w:type="dxa"/>
            <w:gridSpan w:val="2"/>
          </w:tcPr>
          <w:p w14:paraId="14F92CEA" w14:textId="77777777" w:rsidR="0096733A" w:rsidRDefault="0096733A" w:rsidP="0044199A">
            <w:pPr>
              <w:rPr>
                <w:rFonts w:cs="Arial"/>
                <w:bCs/>
                <w:sz w:val="20"/>
                <w:szCs w:val="20"/>
              </w:rPr>
            </w:pPr>
          </w:p>
          <w:p w14:paraId="559CA8BE" w14:textId="77777777" w:rsidR="0096733A" w:rsidRPr="0096733A" w:rsidRDefault="0096733A" w:rsidP="0096733A">
            <w:pPr>
              <w:contextualSpacing/>
              <w:rPr>
                <w:color w:val="auto"/>
                <w:sz w:val="20"/>
                <w:szCs w:val="20"/>
                <w:lang w:eastAsia="en-AU"/>
              </w:rPr>
            </w:pPr>
            <w:r w:rsidRPr="0096733A">
              <w:rPr>
                <w:color w:val="auto"/>
                <w:sz w:val="20"/>
                <w:szCs w:val="20"/>
                <w:lang w:eastAsia="en-AU"/>
              </w:rPr>
              <w:t xml:space="preserve">We </w:t>
            </w:r>
            <w:r w:rsidRPr="00765DDB">
              <w:rPr>
                <w:b/>
                <w:color w:val="auto"/>
                <w:sz w:val="20"/>
                <w:szCs w:val="20"/>
                <w:lang w:eastAsia="en-AU"/>
              </w:rPr>
              <w:t>recommend</w:t>
            </w:r>
            <w:r w:rsidRPr="0096733A">
              <w:rPr>
                <w:color w:val="auto"/>
                <w:sz w:val="20"/>
                <w:szCs w:val="20"/>
                <w:lang w:eastAsia="en-AU"/>
              </w:rPr>
              <w:t xml:space="preserve"> that Health continue to work with the ADHA to ensure the CVIP has strong privacy protections in its design and supporting contracts, as recommended through ADHA’s privacy assurance processes (conducted in parallel with this PIA Update process), including:</w:t>
            </w:r>
            <w:r w:rsidRPr="0096733A" w:rsidDel="007152BF">
              <w:rPr>
                <w:color w:val="auto"/>
                <w:sz w:val="20"/>
                <w:szCs w:val="20"/>
                <w:lang w:eastAsia="en-AU"/>
              </w:rPr>
              <w:t xml:space="preserve"> </w:t>
            </w:r>
          </w:p>
          <w:p w14:paraId="5AC9047E" w14:textId="77777777" w:rsidR="0096733A" w:rsidRPr="0096733A" w:rsidRDefault="0096733A" w:rsidP="0096733A">
            <w:pPr>
              <w:contextualSpacing/>
              <w:rPr>
                <w:bCs/>
                <w:color w:val="auto"/>
                <w:sz w:val="20"/>
                <w:szCs w:val="20"/>
                <w:lang w:eastAsia="en-AU"/>
              </w:rPr>
            </w:pPr>
          </w:p>
          <w:p w14:paraId="76026679" w14:textId="77777777" w:rsidR="0096733A" w:rsidRPr="0096733A" w:rsidRDefault="0096733A" w:rsidP="0096733A">
            <w:pPr>
              <w:numPr>
                <w:ilvl w:val="0"/>
                <w:numId w:val="21"/>
              </w:numPr>
              <w:contextualSpacing/>
              <w:rPr>
                <w:color w:val="auto"/>
                <w:sz w:val="20"/>
                <w:szCs w:val="20"/>
                <w:lang w:eastAsia="en-AU"/>
              </w:rPr>
            </w:pPr>
            <w:r w:rsidRPr="0096733A">
              <w:rPr>
                <w:color w:val="auto"/>
                <w:sz w:val="20"/>
                <w:szCs w:val="20"/>
                <w:lang w:eastAsia="en-AU"/>
              </w:rPr>
              <w:t xml:space="preserve">additional clarity of information in the relevant privacy documents provided to Patients and Vaccine Providers using the CVIP (consistent with </w:t>
            </w:r>
            <w:r w:rsidRPr="00765DDB">
              <w:rPr>
                <w:b/>
                <w:sz w:val="20"/>
                <w:szCs w:val="20"/>
                <w:lang w:eastAsia="en-AU"/>
              </w:rPr>
              <w:fldChar w:fldCharType="begin"/>
            </w:r>
            <w:r w:rsidRPr="00765DDB">
              <w:rPr>
                <w:b/>
                <w:color w:val="auto"/>
                <w:sz w:val="20"/>
                <w:szCs w:val="20"/>
                <w:lang w:eastAsia="en-AU"/>
              </w:rPr>
              <w:instrText xml:space="preserve"> REF _Ref68767542 \r \h  \* MERGEFORMAT </w:instrText>
            </w:r>
            <w:r w:rsidRPr="00765DDB">
              <w:rPr>
                <w:b/>
                <w:sz w:val="20"/>
                <w:szCs w:val="20"/>
                <w:lang w:eastAsia="en-AU"/>
              </w:rPr>
            </w:r>
            <w:r w:rsidRPr="00765DDB">
              <w:rPr>
                <w:b/>
                <w:sz w:val="20"/>
                <w:szCs w:val="20"/>
                <w:lang w:eastAsia="en-AU"/>
              </w:rPr>
              <w:fldChar w:fldCharType="separate"/>
            </w:r>
            <w:r w:rsidRPr="00765DDB">
              <w:rPr>
                <w:b/>
                <w:color w:val="auto"/>
                <w:sz w:val="20"/>
                <w:szCs w:val="20"/>
                <w:lang w:eastAsia="en-AU"/>
              </w:rPr>
              <w:t>Recommendation 3</w:t>
            </w:r>
            <w:r w:rsidRPr="00765DDB">
              <w:rPr>
                <w:b/>
                <w:sz w:val="20"/>
                <w:szCs w:val="20"/>
                <w:lang w:eastAsia="en-AU"/>
              </w:rPr>
              <w:fldChar w:fldCharType="end"/>
            </w:r>
            <w:r w:rsidRPr="0096733A">
              <w:rPr>
                <w:color w:val="auto"/>
                <w:sz w:val="20"/>
                <w:szCs w:val="20"/>
                <w:lang w:eastAsia="en-AU"/>
              </w:rPr>
              <w:t>);</w:t>
            </w:r>
          </w:p>
          <w:p w14:paraId="55222DE9" w14:textId="77777777" w:rsidR="0096733A" w:rsidRPr="0096733A" w:rsidRDefault="0096733A" w:rsidP="0096733A">
            <w:pPr>
              <w:contextualSpacing/>
              <w:rPr>
                <w:color w:val="auto"/>
                <w:sz w:val="20"/>
                <w:szCs w:val="20"/>
                <w:lang w:eastAsia="en-AU"/>
              </w:rPr>
            </w:pPr>
          </w:p>
          <w:p w14:paraId="1B482A86" w14:textId="77777777" w:rsidR="0096733A" w:rsidRPr="0096733A" w:rsidRDefault="0096733A" w:rsidP="0096733A">
            <w:pPr>
              <w:numPr>
                <w:ilvl w:val="0"/>
                <w:numId w:val="21"/>
              </w:numPr>
              <w:contextualSpacing/>
              <w:rPr>
                <w:color w:val="auto"/>
                <w:sz w:val="20"/>
                <w:szCs w:val="20"/>
                <w:lang w:eastAsia="en-AU"/>
              </w:rPr>
            </w:pPr>
            <w:r w:rsidRPr="0096733A">
              <w:rPr>
                <w:color w:val="auto"/>
                <w:sz w:val="20"/>
                <w:szCs w:val="20"/>
                <w:lang w:eastAsia="en-AU"/>
              </w:rPr>
              <w:t xml:space="preserve">engagement with the OAIC on privacy considerations and publication of the outcome of the privacy assurance processes for the CVIP App (consistent with </w:t>
            </w:r>
            <w:r w:rsidRPr="00765DDB">
              <w:rPr>
                <w:b/>
                <w:color w:val="auto"/>
                <w:sz w:val="20"/>
                <w:szCs w:val="20"/>
                <w:lang w:eastAsia="en-AU"/>
              </w:rPr>
              <w:t>Recommendation 2</w:t>
            </w:r>
            <w:r w:rsidRPr="0096733A">
              <w:rPr>
                <w:color w:val="auto"/>
                <w:sz w:val="20"/>
                <w:szCs w:val="20"/>
                <w:lang w:eastAsia="en-AU"/>
              </w:rPr>
              <w:t xml:space="preserve"> of the Original PIA report);</w:t>
            </w:r>
          </w:p>
          <w:p w14:paraId="3A941937" w14:textId="77777777" w:rsidR="0096733A" w:rsidRPr="0096733A" w:rsidRDefault="0096733A" w:rsidP="0096733A">
            <w:pPr>
              <w:contextualSpacing/>
              <w:rPr>
                <w:color w:val="auto"/>
                <w:sz w:val="20"/>
                <w:szCs w:val="20"/>
                <w:lang w:eastAsia="en-AU"/>
              </w:rPr>
            </w:pPr>
          </w:p>
          <w:p w14:paraId="5E983835" w14:textId="77777777" w:rsidR="0096733A" w:rsidRPr="0096733A" w:rsidRDefault="0096733A" w:rsidP="0096733A">
            <w:pPr>
              <w:numPr>
                <w:ilvl w:val="0"/>
                <w:numId w:val="21"/>
              </w:numPr>
              <w:contextualSpacing/>
              <w:rPr>
                <w:color w:val="auto"/>
                <w:sz w:val="20"/>
                <w:szCs w:val="20"/>
                <w:lang w:eastAsia="en-AU"/>
              </w:rPr>
            </w:pPr>
            <w:r w:rsidRPr="0096733A">
              <w:rPr>
                <w:color w:val="auto"/>
                <w:sz w:val="20"/>
                <w:szCs w:val="20"/>
                <w:lang w:eastAsia="en-AU"/>
              </w:rPr>
              <w:t xml:space="preserve">robust contractual obligations for the security of information with third parties (consistent with </w:t>
            </w:r>
            <w:r w:rsidRPr="00765DDB">
              <w:rPr>
                <w:b/>
                <w:sz w:val="20"/>
                <w:szCs w:val="20"/>
                <w:lang w:eastAsia="en-AU"/>
              </w:rPr>
              <w:fldChar w:fldCharType="begin"/>
            </w:r>
            <w:r w:rsidRPr="00765DDB">
              <w:rPr>
                <w:b/>
                <w:color w:val="auto"/>
                <w:sz w:val="20"/>
                <w:szCs w:val="20"/>
                <w:lang w:eastAsia="en-AU"/>
              </w:rPr>
              <w:instrText xml:space="preserve"> REF _Ref67121147 \r \h  \* MERGEFORMAT </w:instrText>
            </w:r>
            <w:r w:rsidRPr="00765DDB">
              <w:rPr>
                <w:b/>
                <w:sz w:val="20"/>
                <w:szCs w:val="20"/>
                <w:lang w:eastAsia="en-AU"/>
              </w:rPr>
            </w:r>
            <w:r w:rsidRPr="00765DDB">
              <w:rPr>
                <w:b/>
                <w:sz w:val="20"/>
                <w:szCs w:val="20"/>
                <w:lang w:eastAsia="en-AU"/>
              </w:rPr>
              <w:fldChar w:fldCharType="separate"/>
            </w:r>
            <w:r w:rsidRPr="00765DDB">
              <w:rPr>
                <w:b/>
                <w:color w:val="auto"/>
                <w:sz w:val="20"/>
                <w:szCs w:val="20"/>
                <w:lang w:eastAsia="en-AU"/>
              </w:rPr>
              <w:t>Recommendation 4</w:t>
            </w:r>
            <w:r w:rsidRPr="00765DDB">
              <w:rPr>
                <w:b/>
                <w:sz w:val="20"/>
                <w:szCs w:val="20"/>
                <w:lang w:eastAsia="en-AU"/>
              </w:rPr>
              <w:fldChar w:fldCharType="end"/>
            </w:r>
            <w:r w:rsidRPr="0096733A">
              <w:rPr>
                <w:color w:val="auto"/>
                <w:sz w:val="20"/>
                <w:szCs w:val="20"/>
                <w:lang w:eastAsia="en-AU"/>
              </w:rPr>
              <w:t>);</w:t>
            </w:r>
          </w:p>
          <w:p w14:paraId="10B1324E" w14:textId="77777777" w:rsidR="0096733A" w:rsidRPr="0096733A" w:rsidRDefault="0096733A" w:rsidP="0096733A">
            <w:pPr>
              <w:contextualSpacing/>
              <w:rPr>
                <w:color w:val="auto"/>
                <w:sz w:val="20"/>
                <w:szCs w:val="20"/>
                <w:lang w:eastAsia="en-AU"/>
              </w:rPr>
            </w:pPr>
          </w:p>
          <w:p w14:paraId="5C0BB24B" w14:textId="77777777" w:rsidR="0096733A" w:rsidRPr="0096733A" w:rsidRDefault="0096733A" w:rsidP="0096733A">
            <w:pPr>
              <w:numPr>
                <w:ilvl w:val="0"/>
                <w:numId w:val="21"/>
              </w:numPr>
              <w:contextualSpacing/>
              <w:rPr>
                <w:color w:val="auto"/>
                <w:sz w:val="20"/>
                <w:szCs w:val="20"/>
                <w:lang w:eastAsia="en-AU"/>
              </w:rPr>
            </w:pPr>
            <w:r w:rsidRPr="0096733A">
              <w:rPr>
                <w:color w:val="auto"/>
                <w:sz w:val="20"/>
                <w:szCs w:val="20"/>
                <w:lang w:eastAsia="en-AU"/>
              </w:rPr>
              <w:t>implementation of the principle of ‘data minimisation’ so that the CVIP App only collects the minimum amount of information necessary for the purposes of transferring it to the AIR; and</w:t>
            </w:r>
          </w:p>
          <w:p w14:paraId="3BAAFC7A" w14:textId="77777777" w:rsidR="0096733A" w:rsidRPr="0096733A" w:rsidRDefault="0096733A" w:rsidP="0096733A">
            <w:pPr>
              <w:pStyle w:val="ListParagraph"/>
              <w:rPr>
                <w:color w:val="auto"/>
                <w:sz w:val="20"/>
                <w:szCs w:val="20"/>
                <w:lang w:eastAsia="en-AU"/>
              </w:rPr>
            </w:pPr>
          </w:p>
          <w:p w14:paraId="29A49AAE" w14:textId="77777777" w:rsidR="0044199A" w:rsidRPr="0096733A" w:rsidRDefault="0096733A" w:rsidP="0096733A">
            <w:pPr>
              <w:numPr>
                <w:ilvl w:val="0"/>
                <w:numId w:val="21"/>
              </w:numPr>
              <w:contextualSpacing/>
              <w:rPr>
                <w:color w:val="auto"/>
                <w:sz w:val="20"/>
                <w:szCs w:val="20"/>
                <w:lang w:eastAsia="en-AU"/>
              </w:rPr>
            </w:pPr>
            <w:r w:rsidRPr="0096733A">
              <w:rPr>
                <w:color w:val="auto"/>
                <w:sz w:val="20"/>
                <w:szCs w:val="20"/>
                <w:lang w:eastAsia="en-AU"/>
              </w:rPr>
              <w:t xml:space="preserve">progressing additional privacy assurance processes, particularly if the responsibility for administration of the CVIP App is transferred from Health to another Commonwealth entity, such as the ADHA (consistent with </w:t>
            </w:r>
            <w:r w:rsidRPr="00765DDB">
              <w:rPr>
                <w:b/>
                <w:color w:val="auto"/>
                <w:sz w:val="20"/>
                <w:szCs w:val="20"/>
                <w:lang w:eastAsia="en-AU"/>
              </w:rPr>
              <w:t>Recommendation 1</w:t>
            </w:r>
            <w:r w:rsidRPr="0096733A">
              <w:rPr>
                <w:color w:val="auto"/>
                <w:sz w:val="20"/>
                <w:szCs w:val="20"/>
                <w:lang w:eastAsia="en-AU"/>
              </w:rPr>
              <w:t xml:space="preserve"> of the Original PIA report).</w:t>
            </w:r>
          </w:p>
          <w:p w14:paraId="55B3A42C" w14:textId="47C3C009" w:rsidR="0096733A" w:rsidRPr="0096733A" w:rsidRDefault="0096733A" w:rsidP="0096733A">
            <w:pPr>
              <w:contextualSpacing/>
              <w:rPr>
                <w:color w:val="auto"/>
                <w:sz w:val="20"/>
                <w:szCs w:val="20"/>
                <w:highlight w:val="cyan"/>
                <w:lang w:eastAsia="en-AU"/>
              </w:rPr>
            </w:pPr>
          </w:p>
        </w:tc>
      </w:tr>
      <w:tr w:rsidR="00797B03" w:rsidRPr="004802DF" w14:paraId="35F00331" w14:textId="77777777" w:rsidTr="00D05E0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7" w:type="dxa"/>
          </w:tcPr>
          <w:p w14:paraId="1BDCED69" w14:textId="77777777" w:rsidR="00797B03" w:rsidRPr="004802DF" w:rsidRDefault="00797B03" w:rsidP="00F537C3">
            <w:pPr>
              <w:pStyle w:val="Tabletextleft"/>
            </w:pPr>
            <w:r w:rsidRPr="004802DF">
              <w:t>Response</w:t>
            </w:r>
          </w:p>
        </w:tc>
        <w:tc>
          <w:tcPr>
            <w:tcW w:w="6665" w:type="dxa"/>
          </w:tcPr>
          <w:p w14:paraId="2BF6274F" w14:textId="01853FFA" w:rsidR="008F6D71" w:rsidRPr="00765DDB" w:rsidRDefault="008F6D71" w:rsidP="00F537C3">
            <w:pPr>
              <w:pStyle w:val="Tabletextleft"/>
              <w:cnfStyle w:val="000000010000" w:firstRow="0" w:lastRow="0" w:firstColumn="0" w:lastColumn="0" w:oddVBand="0" w:evenVBand="0" w:oddHBand="0" w:evenHBand="1" w:firstRowFirstColumn="0" w:firstRowLastColumn="0" w:lastRowFirstColumn="0" w:lastRowLastColumn="0"/>
              <w:rPr>
                <w:b w:val="0"/>
                <w:color w:val="auto"/>
                <w:sz w:val="20"/>
              </w:rPr>
            </w:pPr>
            <w:r w:rsidRPr="00765DDB">
              <w:rPr>
                <w:b w:val="0"/>
                <w:color w:val="auto"/>
                <w:sz w:val="20"/>
              </w:rPr>
              <w:t xml:space="preserve">Agreed. </w:t>
            </w:r>
          </w:p>
          <w:p w14:paraId="796BC32A" w14:textId="49330257" w:rsidR="008F6D71" w:rsidRPr="00765DDB" w:rsidRDefault="002B0962" w:rsidP="00F537C3">
            <w:pPr>
              <w:pStyle w:val="Tabletextleft"/>
              <w:cnfStyle w:val="000000010000" w:firstRow="0" w:lastRow="0" w:firstColumn="0" w:lastColumn="0" w:oddVBand="0" w:evenVBand="0" w:oddHBand="0" w:evenHBand="1" w:firstRowFirstColumn="0" w:firstRowLastColumn="0" w:lastRowFirstColumn="0" w:lastRowLastColumn="0"/>
              <w:rPr>
                <w:b w:val="0"/>
                <w:color w:val="auto"/>
                <w:sz w:val="20"/>
              </w:rPr>
            </w:pPr>
            <w:r w:rsidRPr="00765DDB">
              <w:rPr>
                <w:b w:val="0"/>
                <w:color w:val="auto"/>
                <w:sz w:val="20"/>
              </w:rPr>
              <w:t xml:space="preserve">The CVIP Privacy Notice </w:t>
            </w:r>
            <w:r w:rsidR="006B77D7" w:rsidRPr="00765DDB">
              <w:rPr>
                <w:b w:val="0"/>
                <w:color w:val="auto"/>
                <w:sz w:val="20"/>
              </w:rPr>
              <w:t>has</w:t>
            </w:r>
            <w:r w:rsidRPr="00765DDB">
              <w:rPr>
                <w:b w:val="0"/>
                <w:color w:val="auto"/>
                <w:sz w:val="20"/>
              </w:rPr>
              <w:t xml:space="preserve"> separate sections for providers and consumers to ensure clarity and relevance of information for each group</w:t>
            </w:r>
            <w:r w:rsidR="00FE112B" w:rsidRPr="00765DDB">
              <w:rPr>
                <w:b w:val="0"/>
                <w:color w:val="auto"/>
                <w:sz w:val="20"/>
              </w:rPr>
              <w:t>. The Privacy Notice is displayed at the ‘check yourself in’ page at the start of the process the page includes links to the CVIP Privacy policy and Terms of Use</w:t>
            </w:r>
            <w:r w:rsidRPr="00765DDB">
              <w:rPr>
                <w:b w:val="0"/>
                <w:color w:val="auto"/>
                <w:sz w:val="20"/>
              </w:rPr>
              <w:t xml:space="preserve">. Further updates are under consideration </w:t>
            </w:r>
            <w:r w:rsidR="0096733A" w:rsidRPr="00765DDB">
              <w:rPr>
                <w:b w:val="0"/>
                <w:color w:val="auto"/>
                <w:sz w:val="20"/>
              </w:rPr>
              <w:t xml:space="preserve">in line with Recommendation 3. </w:t>
            </w:r>
          </w:p>
          <w:p w14:paraId="5831B4AE" w14:textId="77777777" w:rsidR="006B77D7" w:rsidRPr="00765DDB" w:rsidRDefault="006B77D7" w:rsidP="00F537C3">
            <w:pPr>
              <w:pStyle w:val="Tabletextleft"/>
              <w:cnfStyle w:val="000000010000" w:firstRow="0" w:lastRow="0" w:firstColumn="0" w:lastColumn="0" w:oddVBand="0" w:evenVBand="0" w:oddHBand="0" w:evenHBand="1" w:firstRowFirstColumn="0" w:firstRowLastColumn="0" w:lastRowFirstColumn="0" w:lastRowLastColumn="0"/>
              <w:rPr>
                <w:b w:val="0"/>
                <w:color w:val="auto"/>
                <w:sz w:val="20"/>
              </w:rPr>
            </w:pPr>
            <w:r w:rsidRPr="00765DDB">
              <w:rPr>
                <w:b w:val="0"/>
                <w:color w:val="auto"/>
                <w:sz w:val="20"/>
              </w:rPr>
              <w:t>Health will continue to implement ‘privacy by design,’ including progressing additional assurance processes in the event that the responsibility for CVIP transfers to another Commonwealth entity. Any changes will also be reflected in the published privacy documents.</w:t>
            </w:r>
          </w:p>
          <w:p w14:paraId="71E7D5BB" w14:textId="11612E16" w:rsidR="008F6D71" w:rsidRPr="00765DDB" w:rsidRDefault="002B0962" w:rsidP="00F537C3">
            <w:pPr>
              <w:pStyle w:val="Tabletextleft"/>
              <w:cnfStyle w:val="000000010000" w:firstRow="0" w:lastRow="0" w:firstColumn="0" w:lastColumn="0" w:oddVBand="0" w:evenVBand="0" w:oddHBand="0" w:evenHBand="1" w:firstRowFirstColumn="0" w:firstRowLastColumn="0" w:lastRowFirstColumn="0" w:lastRowLastColumn="0"/>
              <w:rPr>
                <w:b w:val="0"/>
                <w:color w:val="auto"/>
                <w:sz w:val="20"/>
              </w:rPr>
            </w:pPr>
            <w:r w:rsidRPr="00765DDB">
              <w:rPr>
                <w:b w:val="0"/>
                <w:color w:val="auto"/>
                <w:sz w:val="20"/>
              </w:rPr>
              <w:t xml:space="preserve">Health has engaged with the OAIC ahead of the publication of the Phase 1b COVID-19 Vaccine Strategy PIA Update, and will continue to do so </w:t>
            </w:r>
            <w:r w:rsidR="008F6D71" w:rsidRPr="00765DDB">
              <w:rPr>
                <w:b w:val="0"/>
                <w:color w:val="auto"/>
                <w:sz w:val="20"/>
              </w:rPr>
              <w:t xml:space="preserve">in relation to </w:t>
            </w:r>
            <w:r w:rsidRPr="00765DDB">
              <w:rPr>
                <w:b w:val="0"/>
                <w:color w:val="auto"/>
                <w:sz w:val="20"/>
              </w:rPr>
              <w:t>any further</w:t>
            </w:r>
            <w:r w:rsidR="008F6D71" w:rsidRPr="00765DDB">
              <w:rPr>
                <w:b w:val="0"/>
                <w:color w:val="auto"/>
                <w:sz w:val="20"/>
              </w:rPr>
              <w:t xml:space="preserve"> privacy as</w:t>
            </w:r>
            <w:r w:rsidR="00027B68" w:rsidRPr="00765DDB">
              <w:rPr>
                <w:b w:val="0"/>
                <w:color w:val="auto"/>
                <w:sz w:val="20"/>
              </w:rPr>
              <w:t xml:space="preserve">surance processes for the CVIP. </w:t>
            </w:r>
          </w:p>
          <w:p w14:paraId="34B973E0" w14:textId="39E5D9D4" w:rsidR="008F6D71" w:rsidRPr="00765DDB" w:rsidRDefault="002B0962" w:rsidP="00F537C3">
            <w:pPr>
              <w:pStyle w:val="Tabletextleft"/>
              <w:cnfStyle w:val="000000010000" w:firstRow="0" w:lastRow="0" w:firstColumn="0" w:lastColumn="0" w:oddVBand="0" w:evenVBand="0" w:oddHBand="0" w:evenHBand="1" w:firstRowFirstColumn="0" w:firstRowLastColumn="0" w:lastRowFirstColumn="0" w:lastRowLastColumn="0"/>
              <w:rPr>
                <w:b w:val="0"/>
                <w:color w:val="auto"/>
                <w:sz w:val="20"/>
              </w:rPr>
            </w:pPr>
            <w:r w:rsidRPr="00765DDB">
              <w:rPr>
                <w:b w:val="0"/>
                <w:color w:val="auto"/>
                <w:sz w:val="20"/>
              </w:rPr>
              <w:t>Health’s</w:t>
            </w:r>
            <w:r w:rsidR="008F6D71" w:rsidRPr="00765DDB">
              <w:rPr>
                <w:b w:val="0"/>
                <w:color w:val="auto"/>
                <w:sz w:val="20"/>
              </w:rPr>
              <w:t xml:space="preserve"> internal and external legal advisers </w:t>
            </w:r>
            <w:r w:rsidRPr="00765DDB">
              <w:rPr>
                <w:b w:val="0"/>
                <w:color w:val="auto"/>
                <w:sz w:val="20"/>
              </w:rPr>
              <w:t xml:space="preserve">are also engaged </w:t>
            </w:r>
            <w:r w:rsidR="006B77D7" w:rsidRPr="00765DDB">
              <w:rPr>
                <w:b w:val="0"/>
                <w:color w:val="auto"/>
                <w:sz w:val="20"/>
              </w:rPr>
              <w:t xml:space="preserve">in ensuring that </w:t>
            </w:r>
            <w:r w:rsidR="008F6D71" w:rsidRPr="00765DDB">
              <w:rPr>
                <w:b w:val="0"/>
                <w:color w:val="auto"/>
                <w:sz w:val="20"/>
              </w:rPr>
              <w:t>the contractual arrangements underpinning the CVIP</w:t>
            </w:r>
            <w:r w:rsidR="006B77D7" w:rsidRPr="00765DDB">
              <w:rPr>
                <w:b w:val="0"/>
                <w:color w:val="auto"/>
                <w:sz w:val="20"/>
              </w:rPr>
              <w:t xml:space="preserve"> meet robust privacy and security requirements</w:t>
            </w:r>
            <w:r w:rsidR="008F6D71" w:rsidRPr="00765DDB">
              <w:rPr>
                <w:b w:val="0"/>
                <w:color w:val="auto"/>
                <w:sz w:val="20"/>
              </w:rPr>
              <w:t xml:space="preserve">. </w:t>
            </w:r>
          </w:p>
          <w:p w14:paraId="593734C3" w14:textId="6D7321D4" w:rsidR="006B77D7" w:rsidRPr="006B77D7" w:rsidRDefault="006B77D7" w:rsidP="00AA52CE">
            <w:pPr>
              <w:pStyle w:val="Tabletextleft"/>
              <w:cnfStyle w:val="000000010000" w:firstRow="0" w:lastRow="0" w:firstColumn="0" w:lastColumn="0" w:oddVBand="0" w:evenVBand="0" w:oddHBand="0" w:evenHBand="1" w:firstRowFirstColumn="0" w:firstRowLastColumn="0" w:lastRowFirstColumn="0" w:lastRowLastColumn="0"/>
            </w:pPr>
            <w:r w:rsidRPr="00765DDB">
              <w:rPr>
                <w:b w:val="0"/>
                <w:color w:val="auto"/>
                <w:sz w:val="20"/>
              </w:rPr>
              <w:t xml:space="preserve">Health can confirm that the principle of ‘data minimisation’ continues to be implemented in the design and ongoing management of the CVIP and associated business processes. Information collected during the course of a vaccination appointment is </w:t>
            </w:r>
            <w:r w:rsidR="00AA52CE">
              <w:rPr>
                <w:b w:val="0"/>
                <w:color w:val="auto"/>
                <w:sz w:val="20"/>
              </w:rPr>
              <w:t>intended</w:t>
            </w:r>
            <w:r w:rsidR="00AA52CE" w:rsidRPr="00765DDB">
              <w:rPr>
                <w:b w:val="0"/>
                <w:color w:val="auto"/>
                <w:sz w:val="20"/>
              </w:rPr>
              <w:t xml:space="preserve"> </w:t>
            </w:r>
            <w:r w:rsidRPr="00765DDB">
              <w:rPr>
                <w:b w:val="0"/>
                <w:color w:val="auto"/>
                <w:sz w:val="20"/>
              </w:rPr>
              <w:t>for the purpose of meeting reporting obligations to the Australian Immunisation Register.</w:t>
            </w:r>
            <w:r w:rsidR="00AA52CE">
              <w:rPr>
                <w:b w:val="0"/>
                <w:color w:val="auto"/>
                <w:sz w:val="20"/>
              </w:rPr>
              <w:t xml:space="preserve"> If there are further system developments, Health will consult with the appropriate stakeholders to ensure ongoing privacy protections.</w:t>
            </w:r>
            <w:r>
              <w:t xml:space="preserve"> </w:t>
            </w:r>
          </w:p>
        </w:tc>
      </w:tr>
    </w:tbl>
    <w:p w14:paraId="01D0AD1A" w14:textId="2A66CB7C" w:rsidR="00797B03" w:rsidRPr="00F42FAF" w:rsidRDefault="00797B03" w:rsidP="00D21770">
      <w:pPr>
        <w:rPr>
          <w:rFonts w:cs="Arial"/>
          <w:szCs w:val="22"/>
        </w:rPr>
      </w:pPr>
    </w:p>
    <w:sectPr w:rsidR="00797B03" w:rsidRPr="00F42FAF" w:rsidSect="00D45D94">
      <w:headerReference w:type="even" r:id="rId29"/>
      <w:headerReference w:type="default" r:id="rId30"/>
      <w:footerReference w:type="default" r:id="rId31"/>
      <w:headerReference w:type="first" r:id="rId32"/>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B733E" w14:textId="77777777" w:rsidR="00F27D8A" w:rsidRDefault="00F27D8A" w:rsidP="006B56BB">
      <w:r>
        <w:separator/>
      </w:r>
    </w:p>
    <w:p w14:paraId="35E0CF6A" w14:textId="77777777" w:rsidR="00F27D8A" w:rsidRDefault="00F27D8A"/>
  </w:endnote>
  <w:endnote w:type="continuationSeparator" w:id="0">
    <w:p w14:paraId="6FFBB8AC" w14:textId="77777777" w:rsidR="00F27D8A" w:rsidRDefault="00F27D8A" w:rsidP="006B56BB">
      <w:r>
        <w:continuationSeparator/>
      </w:r>
    </w:p>
    <w:p w14:paraId="26E8A0C9" w14:textId="77777777" w:rsidR="00F27D8A" w:rsidRDefault="00F27D8A"/>
  </w:endnote>
  <w:endnote w:type="continuationNotice" w:id="1">
    <w:p w14:paraId="04A789E0" w14:textId="77777777" w:rsidR="00F27D8A" w:rsidRDefault="00F27D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A958D" w14:textId="5C7C7178" w:rsidR="00F27D8A" w:rsidRDefault="00F27D8A" w:rsidP="009B3975">
    <w:pPr>
      <w:pStyle w:val="Headertext"/>
      <w:spacing w:after="180"/>
      <w:jc w:val="left"/>
    </w:pPr>
    <w:r w:rsidRPr="009B3975">
      <w:rPr>
        <w:i/>
      </w:rPr>
      <w:t xml:space="preserve">Update 1 to the implementation of the COVID-19 Vaccine Strategy Privacy Impact Assessment </w:t>
    </w:r>
    <w:r>
      <w:t>– Agency Response</w:t>
    </w:r>
  </w:p>
  <w:p w14:paraId="2D19FE9B" w14:textId="2EADC42B" w:rsidR="00F27D8A" w:rsidRPr="00BB758A" w:rsidRDefault="00F27D8A" w:rsidP="00BB758A">
    <w:pPr>
      <w:pStyle w:val="Footer"/>
      <w:rPr>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BC66A" w14:textId="77777777" w:rsidR="00F27D8A" w:rsidRDefault="00F27D8A" w:rsidP="000548B9">
    <w:pPr>
      <w:pStyle w:val="Header"/>
    </w:pPr>
    <w:r>
      <w:rPr>
        <w:noProof/>
        <w:lang w:eastAsia="en-AU"/>
      </w:rPr>
      <w:drawing>
        <wp:anchor distT="0" distB="0" distL="114300" distR="114300" simplePos="0" relativeHeight="251660288" behindDoc="1" locked="0" layoutInCell="1" allowOverlap="1" wp14:anchorId="26E1DB56" wp14:editId="43B3DB5A">
          <wp:simplePos x="0" y="0"/>
          <wp:positionH relativeFrom="page">
            <wp:align>center</wp:align>
          </wp:positionH>
          <wp:positionV relativeFrom="page">
            <wp:align>top</wp:align>
          </wp:positionV>
          <wp:extent cx="7560000" cy="1033200"/>
          <wp:effectExtent l="0" t="0" r="3175" b="0"/>
          <wp:wrapNone/>
          <wp:docPr id="2" name="Picture 2"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rotWithShape="1">
                  <a:blip r:embed="rId1" cstate="print">
                    <a:extLst>
                      <a:ext uri="{28A0092B-C50C-407E-A947-70E740481C1C}">
                        <a14:useLocalDpi xmlns:a14="http://schemas.microsoft.com/office/drawing/2010/main" val="0"/>
                      </a:ext>
                    </a:extLst>
                  </a:blip>
                  <a:srcRect b="90353"/>
                  <a:stretch/>
                </pic:blipFill>
                <pic:spPr bwMode="auto">
                  <a:xfrm>
                    <a:off x="0" y="0"/>
                    <a:ext cx="7560000" cy="103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C37B01E" w14:textId="77777777" w:rsidR="00F27D8A" w:rsidRDefault="00F27D8A" w:rsidP="000548B9"/>
  <w:p w14:paraId="6F6C400B" w14:textId="6EE41337" w:rsidR="00F27D8A" w:rsidRDefault="00F27D8A" w:rsidP="000548B9">
    <w:pPr>
      <w:pStyle w:val="Headertext"/>
      <w:spacing w:after="180"/>
      <w:jc w:val="left"/>
    </w:pPr>
    <w:r>
      <w:rPr>
        <w:i/>
      </w:rPr>
      <w:t>Phase 1b Update</w:t>
    </w:r>
    <w:r w:rsidRPr="009B3975">
      <w:rPr>
        <w:i/>
      </w:rPr>
      <w:t xml:space="preserve"> to the implementation of the COVID-19 Vaccine Strategy</w:t>
    </w:r>
    <w:r w:rsidR="00030F5C">
      <w:rPr>
        <w:i/>
      </w:rPr>
      <w:t xml:space="preserve"> </w:t>
    </w:r>
    <w:r w:rsidRPr="009B3975">
      <w:rPr>
        <w:i/>
      </w:rPr>
      <w:t xml:space="preserve">Privacy Impact Assessment </w:t>
    </w:r>
    <w:r>
      <w:t>– Agency Response</w:t>
    </w:r>
  </w:p>
  <w:p w14:paraId="29F46667" w14:textId="36CF5D51" w:rsidR="00F27D8A" w:rsidRPr="00BB758A" w:rsidRDefault="00F27D8A" w:rsidP="000548B9">
    <w:pPr>
      <w:pStyle w:val="Footer"/>
      <w:tabs>
        <w:tab w:val="clear" w:pos="4513"/>
        <w:tab w:val="center" w:pos="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4FFE0" w14:textId="77777777" w:rsidR="00F27D8A" w:rsidRDefault="00F27D8A" w:rsidP="006B56BB">
      <w:r>
        <w:separator/>
      </w:r>
    </w:p>
    <w:p w14:paraId="5E093E17" w14:textId="77777777" w:rsidR="00F27D8A" w:rsidRDefault="00F27D8A"/>
  </w:footnote>
  <w:footnote w:type="continuationSeparator" w:id="0">
    <w:p w14:paraId="4A4060EF" w14:textId="77777777" w:rsidR="00F27D8A" w:rsidRDefault="00F27D8A" w:rsidP="006B56BB">
      <w:r>
        <w:continuationSeparator/>
      </w:r>
    </w:p>
    <w:p w14:paraId="22D38007" w14:textId="77777777" w:rsidR="00F27D8A" w:rsidRDefault="00F27D8A"/>
  </w:footnote>
  <w:footnote w:type="continuationNotice" w:id="1">
    <w:p w14:paraId="771331E0" w14:textId="77777777" w:rsidR="00F27D8A" w:rsidRDefault="00F27D8A"/>
  </w:footnote>
  <w:footnote w:id="2">
    <w:p w14:paraId="366DF12C" w14:textId="77777777" w:rsidR="00F27D8A" w:rsidRDefault="00F27D8A" w:rsidP="003E43A5">
      <w:pPr>
        <w:pStyle w:val="FootnoteText"/>
      </w:pPr>
      <w:r>
        <w:rPr>
          <w:rStyle w:val="FootnoteReference"/>
        </w:rPr>
        <w:footnoteRef/>
      </w:r>
      <w:r>
        <w:t xml:space="preserve"> These include Arabic, Greek, Italian, Korean, Punjabi, Simplified Chinese, Traditional Chinese, Turkish, and Vietnamese.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DBD66" w14:textId="40D3B53A" w:rsidR="00F27D8A" w:rsidRDefault="00F27D8A">
    <w:pPr>
      <w:pStyle w:val="Header"/>
    </w:pPr>
    <w:r>
      <w:rPr>
        <w:noProof/>
        <w:lang w:eastAsia="en-AU"/>
      </w:rPr>
      <w:drawing>
        <wp:anchor distT="0" distB="0" distL="114300" distR="114300" simplePos="0" relativeHeight="251658240" behindDoc="1" locked="0" layoutInCell="1" allowOverlap="1" wp14:anchorId="1D9183FC" wp14:editId="72810DDF">
          <wp:simplePos x="0" y="0"/>
          <wp:positionH relativeFrom="page">
            <wp:align>center</wp:align>
          </wp:positionH>
          <wp:positionV relativeFrom="page">
            <wp:align>top</wp:align>
          </wp:positionV>
          <wp:extent cx="7560000" cy="1033200"/>
          <wp:effectExtent l="0" t="0" r="3175" b="0"/>
          <wp:wrapNone/>
          <wp:docPr id="3" name="Picture 3"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rotWithShape="1">
                  <a:blip r:embed="rId1" cstate="print">
                    <a:extLst>
                      <a:ext uri="{28A0092B-C50C-407E-A947-70E740481C1C}">
                        <a14:useLocalDpi xmlns:a14="http://schemas.microsoft.com/office/drawing/2010/main" val="0"/>
                      </a:ext>
                    </a:extLst>
                  </a:blip>
                  <a:srcRect b="90353"/>
                  <a:stretch/>
                </pic:blipFill>
                <pic:spPr bwMode="auto">
                  <a:xfrm>
                    <a:off x="0" y="0"/>
                    <a:ext cx="7560000" cy="103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E35B0" w14:textId="00E86138" w:rsidR="00F27D8A" w:rsidRDefault="00F27D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349C1" w14:textId="640F3F3B" w:rsidR="00F27D8A" w:rsidRPr="000548B9" w:rsidRDefault="00F27D8A" w:rsidP="000548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B5EF5" w14:textId="68E3A972" w:rsidR="00F27D8A" w:rsidRDefault="00F27D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6CF4"/>
    <w:multiLevelType w:val="hybridMultilevel"/>
    <w:tmpl w:val="12D245A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 w15:restartNumberingAfterBreak="0">
    <w:nsid w:val="02245648"/>
    <w:multiLevelType w:val="multilevel"/>
    <w:tmpl w:val="F7260A78"/>
    <w:lvl w:ilvl="0">
      <w:start w:val="1"/>
      <w:numFmt w:val="decimal"/>
      <w:pStyle w:val="Numpara1"/>
      <w:lvlText w:val="%1."/>
      <w:lvlJc w:val="left"/>
      <w:pPr>
        <w:ind w:left="851" w:hanging="851"/>
      </w:pPr>
      <w:rPr>
        <w:rFonts w:hint="default"/>
        <w:sz w:val="20"/>
        <w:szCs w:val="20"/>
      </w:rPr>
    </w:lvl>
    <w:lvl w:ilvl="1">
      <w:start w:val="1"/>
      <w:numFmt w:val="decimal"/>
      <w:pStyle w:val="Numpara2"/>
      <w:lvlText w:val="%1.%2"/>
      <w:lvlJc w:val="left"/>
      <w:pPr>
        <w:ind w:left="851" w:hanging="851"/>
      </w:pPr>
      <w:rPr>
        <w:rFonts w:hint="default"/>
        <w:b w:val="0"/>
        <w:sz w:val="20"/>
        <w:szCs w:val="20"/>
      </w:rPr>
    </w:lvl>
    <w:lvl w:ilvl="2">
      <w:start w:val="1"/>
      <w:numFmt w:val="decimal"/>
      <w:pStyle w:val="Numpara3"/>
      <w:lvlText w:val="%1.%2.%3"/>
      <w:lvlJc w:val="left"/>
      <w:pPr>
        <w:ind w:left="1701" w:hanging="850"/>
      </w:pPr>
      <w:rPr>
        <w:rFonts w:hint="default"/>
        <w:sz w:val="20"/>
        <w:szCs w:val="20"/>
      </w:rPr>
    </w:lvl>
    <w:lvl w:ilvl="3">
      <w:start w:val="1"/>
      <w:numFmt w:val="lowerLetter"/>
      <w:pStyle w:val="Numpara4"/>
      <w:lvlText w:val="(%4)"/>
      <w:lvlJc w:val="left"/>
      <w:pPr>
        <w:ind w:left="2268" w:hanging="567"/>
      </w:pPr>
      <w:rPr>
        <w:rFonts w:hint="default"/>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tabs>
          <w:tab w:val="num" w:pos="3402"/>
        </w:tabs>
        <w:ind w:left="3402" w:hanging="567"/>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744" w:firstLine="29025"/>
      </w:pPr>
      <w:rPr>
        <w:rFonts w:hint="default"/>
      </w:rPr>
    </w:lvl>
    <w:lvl w:ilvl="8">
      <w:start w:val="1"/>
      <w:numFmt w:val="none"/>
      <w:lvlText w:val=""/>
      <w:lvlJc w:val="left"/>
      <w:pPr>
        <w:tabs>
          <w:tab w:val="num" w:pos="-31680"/>
        </w:tabs>
        <w:ind w:left="-32767" w:firstLine="32767"/>
      </w:pPr>
      <w:rPr>
        <w:rFonts w:hint="default"/>
      </w:rPr>
    </w:lvl>
  </w:abstractNum>
  <w:abstractNum w:abstractNumId="2"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17C6967"/>
    <w:multiLevelType w:val="hybridMultilevel"/>
    <w:tmpl w:val="BE401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E26155"/>
    <w:multiLevelType w:val="hybridMultilevel"/>
    <w:tmpl w:val="8C24D9CC"/>
    <w:lvl w:ilvl="0" w:tplc="1F2E761C">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1E1435"/>
    <w:multiLevelType w:val="hybridMultilevel"/>
    <w:tmpl w:val="D4287EBA"/>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3F7620"/>
    <w:multiLevelType w:val="hybridMultilevel"/>
    <w:tmpl w:val="E7460F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9" w15:restartNumberingAfterBreak="0">
    <w:nsid w:val="2B9E0F8C"/>
    <w:multiLevelType w:val="hybridMultilevel"/>
    <w:tmpl w:val="1D128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CC4FEE"/>
    <w:multiLevelType w:val="multilevel"/>
    <w:tmpl w:val="D152B506"/>
    <w:lvl w:ilvl="0">
      <w:start w:val="1"/>
      <w:numFmt w:val="decimal"/>
      <w:pStyle w:val="ClauseLevel1"/>
      <w:lvlText w:val="Recommendation %1"/>
      <w:lvlJc w:val="left"/>
      <w:pPr>
        <w:ind w:left="3970" w:hanging="2552"/>
      </w:pPr>
      <w:rPr>
        <w:rFonts w:hint="default"/>
        <w:b/>
        <w:i w:val="0"/>
        <w:color w:val="FFFFFF" w:themeColor="background1"/>
        <w:sz w:val="22"/>
        <w:szCs w:val="22"/>
        <w:u w:val="single"/>
      </w:rPr>
    </w:lvl>
    <w:lvl w:ilvl="1">
      <w:start w:val="1"/>
      <w:numFmt w:val="decimal"/>
      <w:pStyle w:val="ClauseLevel2"/>
      <w:lvlText w:val="%1.%2."/>
      <w:lvlJc w:val="left"/>
      <w:pPr>
        <w:tabs>
          <w:tab w:val="num" w:pos="6521"/>
        </w:tabs>
        <w:ind w:left="6521" w:hanging="1134"/>
      </w:pPr>
      <w:rPr>
        <w:rFonts w:asciiTheme="minorHAnsi" w:hAnsiTheme="minorHAnsi" w:cstheme="minorHAnsi" w:hint="default"/>
        <w:b w:val="0"/>
        <w:i w:val="0"/>
        <w:sz w:val="22"/>
        <w:szCs w:val="22"/>
      </w:rPr>
    </w:lvl>
    <w:lvl w:ilvl="2">
      <w:start w:val="1"/>
      <w:numFmt w:val="lowerLetter"/>
      <w:pStyle w:val="ClauseLevel3"/>
      <w:lvlText w:val="(%3)"/>
      <w:lvlJc w:val="left"/>
      <w:pPr>
        <w:tabs>
          <w:tab w:val="num" w:pos="1559"/>
        </w:tabs>
        <w:ind w:left="1559" w:hanging="1134"/>
      </w:pPr>
      <w:rPr>
        <w:rFonts w:asciiTheme="minorHAnsi" w:eastAsia="Calibri Light" w:hAnsiTheme="minorHAnsi" w:cstheme="minorHAnsi" w:hint="default"/>
        <w:b w:val="0"/>
        <w:sz w:val="22"/>
        <w:szCs w:val="22"/>
      </w:rPr>
    </w:lvl>
    <w:lvl w:ilvl="3">
      <w:start w:val="1"/>
      <w:numFmt w:val="lowerRoman"/>
      <w:lvlText w:val="(%4)"/>
      <w:lvlJc w:val="left"/>
      <w:pPr>
        <w:tabs>
          <w:tab w:val="num" w:pos="1276"/>
        </w:tabs>
        <w:ind w:left="1276" w:hanging="425"/>
      </w:pPr>
      <w:rPr>
        <w:rFonts w:asciiTheme="minorHAnsi" w:eastAsia="Calibri Light" w:hAnsiTheme="minorHAnsi" w:cstheme="minorHAnsi" w:hint="default"/>
      </w:rPr>
    </w:lvl>
    <w:lvl w:ilvl="4">
      <w:start w:val="1"/>
      <w:numFmt w:val="lowerRoman"/>
      <w:lvlText w:val="%5."/>
      <w:lvlJc w:val="left"/>
      <w:pPr>
        <w:tabs>
          <w:tab w:val="num" w:pos="1985"/>
        </w:tabs>
        <w:ind w:left="1985" w:hanging="426"/>
      </w:pPr>
      <w:rPr>
        <w:rFonts w:hint="default"/>
        <w:b w:val="0"/>
      </w:rPr>
    </w:lvl>
    <w:lvl w:ilvl="5">
      <w:start w:val="1"/>
      <w:numFmt w:val="lowerRoman"/>
      <w:lvlText w:val="%6."/>
      <w:lvlJc w:val="right"/>
      <w:pPr>
        <w:tabs>
          <w:tab w:val="num" w:pos="2410"/>
        </w:tabs>
        <w:ind w:left="2410" w:hanging="425"/>
      </w:pPr>
      <w:rPr>
        <w:rFonts w:hint="default"/>
      </w:rPr>
    </w:lvl>
    <w:lvl w:ilvl="6">
      <w:start w:val="1"/>
      <w:numFmt w:val="upperLetter"/>
      <w:lvlText w:val="%7."/>
      <w:lvlJc w:val="left"/>
      <w:pPr>
        <w:tabs>
          <w:tab w:val="num" w:pos="1985"/>
        </w:tabs>
        <w:ind w:left="1985" w:hanging="426"/>
      </w:pPr>
      <w:rPr>
        <w:rFonts w:hint="default"/>
      </w:rPr>
    </w:lvl>
    <w:lvl w:ilvl="7">
      <w:start w:val="1"/>
      <w:numFmt w:val="upperLetter"/>
      <w:lvlText w:val="%8."/>
      <w:lvlJc w:val="left"/>
      <w:pPr>
        <w:tabs>
          <w:tab w:val="num" w:pos="1985"/>
        </w:tabs>
        <w:ind w:left="1985" w:hanging="426"/>
      </w:pPr>
      <w:rPr>
        <w:rFonts w:hint="default"/>
      </w:rPr>
    </w:lvl>
    <w:lvl w:ilvl="8">
      <w:start w:val="1"/>
      <w:numFmt w:val="upperLetter"/>
      <w:lvlText w:val="%9."/>
      <w:lvlJc w:val="left"/>
      <w:pPr>
        <w:tabs>
          <w:tab w:val="num" w:pos="1985"/>
        </w:tabs>
        <w:ind w:left="1985" w:hanging="426"/>
      </w:pPr>
      <w:rPr>
        <w:rFonts w:hint="default"/>
      </w:rPr>
    </w:lvl>
  </w:abstractNum>
  <w:abstractNum w:abstractNumId="11"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46FF7177"/>
    <w:multiLevelType w:val="hybridMultilevel"/>
    <w:tmpl w:val="54C6B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B726FB"/>
    <w:multiLevelType w:val="hybridMultilevel"/>
    <w:tmpl w:val="5B7047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4C436CD"/>
    <w:multiLevelType w:val="hybridMultilevel"/>
    <w:tmpl w:val="2620E0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59FF4D9E"/>
    <w:multiLevelType w:val="hybridMultilevel"/>
    <w:tmpl w:val="C7D84C50"/>
    <w:lvl w:ilvl="0" w:tplc="0C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960272"/>
    <w:multiLevelType w:val="hybridMultilevel"/>
    <w:tmpl w:val="DF242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1150AA2"/>
    <w:multiLevelType w:val="hybridMultilevel"/>
    <w:tmpl w:val="13342566"/>
    <w:lvl w:ilvl="0" w:tplc="0C090001">
      <w:start w:val="1"/>
      <w:numFmt w:val="bullet"/>
      <w:lvlText w:val=""/>
      <w:lvlJc w:val="left"/>
      <w:pPr>
        <w:ind w:left="883" w:hanging="360"/>
      </w:pPr>
      <w:rPr>
        <w:rFonts w:ascii="Symbol" w:hAnsi="Symbol" w:hint="default"/>
      </w:rPr>
    </w:lvl>
    <w:lvl w:ilvl="1" w:tplc="0C090003" w:tentative="1">
      <w:start w:val="1"/>
      <w:numFmt w:val="bullet"/>
      <w:lvlText w:val="o"/>
      <w:lvlJc w:val="left"/>
      <w:pPr>
        <w:ind w:left="1603" w:hanging="360"/>
      </w:pPr>
      <w:rPr>
        <w:rFonts w:ascii="Courier New" w:hAnsi="Courier New" w:cs="Courier New" w:hint="default"/>
      </w:rPr>
    </w:lvl>
    <w:lvl w:ilvl="2" w:tplc="0C090005" w:tentative="1">
      <w:start w:val="1"/>
      <w:numFmt w:val="bullet"/>
      <w:lvlText w:val=""/>
      <w:lvlJc w:val="left"/>
      <w:pPr>
        <w:ind w:left="2323" w:hanging="360"/>
      </w:pPr>
      <w:rPr>
        <w:rFonts w:ascii="Wingdings" w:hAnsi="Wingdings" w:hint="default"/>
      </w:rPr>
    </w:lvl>
    <w:lvl w:ilvl="3" w:tplc="0C090001" w:tentative="1">
      <w:start w:val="1"/>
      <w:numFmt w:val="bullet"/>
      <w:lvlText w:val=""/>
      <w:lvlJc w:val="left"/>
      <w:pPr>
        <w:ind w:left="3043" w:hanging="360"/>
      </w:pPr>
      <w:rPr>
        <w:rFonts w:ascii="Symbol" w:hAnsi="Symbol" w:hint="default"/>
      </w:rPr>
    </w:lvl>
    <w:lvl w:ilvl="4" w:tplc="0C090003" w:tentative="1">
      <w:start w:val="1"/>
      <w:numFmt w:val="bullet"/>
      <w:lvlText w:val="o"/>
      <w:lvlJc w:val="left"/>
      <w:pPr>
        <w:ind w:left="3763" w:hanging="360"/>
      </w:pPr>
      <w:rPr>
        <w:rFonts w:ascii="Courier New" w:hAnsi="Courier New" w:cs="Courier New" w:hint="default"/>
      </w:rPr>
    </w:lvl>
    <w:lvl w:ilvl="5" w:tplc="0C090005" w:tentative="1">
      <w:start w:val="1"/>
      <w:numFmt w:val="bullet"/>
      <w:lvlText w:val=""/>
      <w:lvlJc w:val="left"/>
      <w:pPr>
        <w:ind w:left="4483" w:hanging="360"/>
      </w:pPr>
      <w:rPr>
        <w:rFonts w:ascii="Wingdings" w:hAnsi="Wingdings" w:hint="default"/>
      </w:rPr>
    </w:lvl>
    <w:lvl w:ilvl="6" w:tplc="0C090001" w:tentative="1">
      <w:start w:val="1"/>
      <w:numFmt w:val="bullet"/>
      <w:lvlText w:val=""/>
      <w:lvlJc w:val="left"/>
      <w:pPr>
        <w:ind w:left="5203" w:hanging="360"/>
      </w:pPr>
      <w:rPr>
        <w:rFonts w:ascii="Symbol" w:hAnsi="Symbol" w:hint="default"/>
      </w:rPr>
    </w:lvl>
    <w:lvl w:ilvl="7" w:tplc="0C090003" w:tentative="1">
      <w:start w:val="1"/>
      <w:numFmt w:val="bullet"/>
      <w:lvlText w:val="o"/>
      <w:lvlJc w:val="left"/>
      <w:pPr>
        <w:ind w:left="5923" w:hanging="360"/>
      </w:pPr>
      <w:rPr>
        <w:rFonts w:ascii="Courier New" w:hAnsi="Courier New" w:cs="Courier New" w:hint="default"/>
      </w:rPr>
    </w:lvl>
    <w:lvl w:ilvl="8" w:tplc="0C090005" w:tentative="1">
      <w:start w:val="1"/>
      <w:numFmt w:val="bullet"/>
      <w:lvlText w:val=""/>
      <w:lvlJc w:val="left"/>
      <w:pPr>
        <w:ind w:left="6643" w:hanging="360"/>
      </w:pPr>
      <w:rPr>
        <w:rFonts w:ascii="Wingdings" w:hAnsi="Wingdings" w:hint="default"/>
      </w:rPr>
    </w:lvl>
  </w:abstractNum>
  <w:abstractNum w:abstractNumId="20" w15:restartNumberingAfterBreak="0">
    <w:nsid w:val="7D4B041E"/>
    <w:multiLevelType w:val="hybridMultilevel"/>
    <w:tmpl w:val="7F2C5A70"/>
    <w:lvl w:ilvl="0" w:tplc="88C8C88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4"/>
  </w:num>
  <w:num w:numId="2">
    <w:abstractNumId w:val="18"/>
  </w:num>
  <w:num w:numId="3">
    <w:abstractNumId w:val="2"/>
  </w:num>
  <w:num w:numId="4">
    <w:abstractNumId w:val="21"/>
  </w:num>
  <w:num w:numId="5">
    <w:abstractNumId w:val="4"/>
  </w:num>
  <w:num w:numId="6">
    <w:abstractNumId w:val="11"/>
  </w:num>
  <w:num w:numId="7">
    <w:abstractNumId w:val="20"/>
  </w:num>
  <w:num w:numId="8">
    <w:abstractNumId w:val="1"/>
  </w:num>
  <w:num w:numId="9">
    <w:abstractNumId w:val="8"/>
  </w:num>
  <w:num w:numId="10">
    <w:abstractNumId w:val="10"/>
  </w:num>
  <w:num w:numId="11">
    <w:abstractNumId w:val="7"/>
  </w:num>
  <w:num w:numId="12">
    <w:abstractNumId w:val="15"/>
  </w:num>
  <w:num w:numId="13">
    <w:abstractNumId w:val="3"/>
  </w:num>
  <w:num w:numId="14">
    <w:abstractNumId w:val="17"/>
  </w:num>
  <w:num w:numId="15">
    <w:abstractNumId w:val="13"/>
  </w:num>
  <w:num w:numId="16">
    <w:abstractNumId w:val="12"/>
  </w:num>
  <w:num w:numId="17">
    <w:abstractNumId w:val="16"/>
  </w:num>
  <w:num w:numId="18">
    <w:abstractNumId w:val="0"/>
  </w:num>
  <w:num w:numId="19">
    <w:abstractNumId w:val="6"/>
  </w:num>
  <w:num w:numId="20">
    <w:abstractNumId w:val="5"/>
  </w:num>
  <w:num w:numId="21">
    <w:abstractNumId w:val="19"/>
  </w:num>
  <w:num w:numId="22">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7A"/>
    <w:rsid w:val="00003743"/>
    <w:rsid w:val="000047B4"/>
    <w:rsid w:val="00005712"/>
    <w:rsid w:val="00007FD8"/>
    <w:rsid w:val="000117F8"/>
    <w:rsid w:val="0002169A"/>
    <w:rsid w:val="00026139"/>
    <w:rsid w:val="000261B0"/>
    <w:rsid w:val="00027071"/>
    <w:rsid w:val="00027601"/>
    <w:rsid w:val="00027B68"/>
    <w:rsid w:val="00030F5C"/>
    <w:rsid w:val="00033321"/>
    <w:rsid w:val="000338E5"/>
    <w:rsid w:val="00033ECC"/>
    <w:rsid w:val="0003422F"/>
    <w:rsid w:val="00034D02"/>
    <w:rsid w:val="00046FF0"/>
    <w:rsid w:val="0004790E"/>
    <w:rsid w:val="00050176"/>
    <w:rsid w:val="00050180"/>
    <w:rsid w:val="00053300"/>
    <w:rsid w:val="000548B9"/>
    <w:rsid w:val="000551C4"/>
    <w:rsid w:val="000607E2"/>
    <w:rsid w:val="000618BE"/>
    <w:rsid w:val="00062223"/>
    <w:rsid w:val="00062B65"/>
    <w:rsid w:val="00067456"/>
    <w:rsid w:val="000702F2"/>
    <w:rsid w:val="00071506"/>
    <w:rsid w:val="0007154F"/>
    <w:rsid w:val="00076BA3"/>
    <w:rsid w:val="00081AB1"/>
    <w:rsid w:val="00090316"/>
    <w:rsid w:val="00093981"/>
    <w:rsid w:val="00093CD9"/>
    <w:rsid w:val="00096FBE"/>
    <w:rsid w:val="000A6E31"/>
    <w:rsid w:val="000A7B6F"/>
    <w:rsid w:val="000B067A"/>
    <w:rsid w:val="000B1540"/>
    <w:rsid w:val="000B33FD"/>
    <w:rsid w:val="000B384A"/>
    <w:rsid w:val="000B4ABA"/>
    <w:rsid w:val="000B59DA"/>
    <w:rsid w:val="000C0396"/>
    <w:rsid w:val="000C13D4"/>
    <w:rsid w:val="000C4B16"/>
    <w:rsid w:val="000C50C3"/>
    <w:rsid w:val="000D21F6"/>
    <w:rsid w:val="000D42C3"/>
    <w:rsid w:val="000D4500"/>
    <w:rsid w:val="000D4B6E"/>
    <w:rsid w:val="000D4FE5"/>
    <w:rsid w:val="000D68FF"/>
    <w:rsid w:val="000D7AEA"/>
    <w:rsid w:val="000E01A9"/>
    <w:rsid w:val="000E0347"/>
    <w:rsid w:val="000E2C66"/>
    <w:rsid w:val="000E6E7D"/>
    <w:rsid w:val="000E72B3"/>
    <w:rsid w:val="000E74E8"/>
    <w:rsid w:val="000F123C"/>
    <w:rsid w:val="000F2FED"/>
    <w:rsid w:val="00106163"/>
    <w:rsid w:val="0010616D"/>
    <w:rsid w:val="00110478"/>
    <w:rsid w:val="00116283"/>
    <w:rsid w:val="0011711B"/>
    <w:rsid w:val="00117F8A"/>
    <w:rsid w:val="00121B9B"/>
    <w:rsid w:val="00122ADC"/>
    <w:rsid w:val="00130F59"/>
    <w:rsid w:val="00133EC0"/>
    <w:rsid w:val="001344B6"/>
    <w:rsid w:val="00134B59"/>
    <w:rsid w:val="00141CE5"/>
    <w:rsid w:val="00144908"/>
    <w:rsid w:val="001571C7"/>
    <w:rsid w:val="00161094"/>
    <w:rsid w:val="0016284F"/>
    <w:rsid w:val="001629E9"/>
    <w:rsid w:val="00167EF5"/>
    <w:rsid w:val="00172A55"/>
    <w:rsid w:val="001758CD"/>
    <w:rsid w:val="00176158"/>
    <w:rsid w:val="0017665C"/>
    <w:rsid w:val="00177AD2"/>
    <w:rsid w:val="001815A8"/>
    <w:rsid w:val="001840FA"/>
    <w:rsid w:val="00190079"/>
    <w:rsid w:val="0019622E"/>
    <w:rsid w:val="001966A7"/>
    <w:rsid w:val="001A4627"/>
    <w:rsid w:val="001A4979"/>
    <w:rsid w:val="001A6B4F"/>
    <w:rsid w:val="001B15D3"/>
    <w:rsid w:val="001B3443"/>
    <w:rsid w:val="001C0326"/>
    <w:rsid w:val="001C192F"/>
    <w:rsid w:val="001C3C42"/>
    <w:rsid w:val="001C6A73"/>
    <w:rsid w:val="001D5ED2"/>
    <w:rsid w:val="001D7869"/>
    <w:rsid w:val="001E1365"/>
    <w:rsid w:val="001E3376"/>
    <w:rsid w:val="001E437B"/>
    <w:rsid w:val="001E750C"/>
    <w:rsid w:val="001F2F78"/>
    <w:rsid w:val="002026CD"/>
    <w:rsid w:val="002033FC"/>
    <w:rsid w:val="00203793"/>
    <w:rsid w:val="002044BB"/>
    <w:rsid w:val="00204B2B"/>
    <w:rsid w:val="00210B09"/>
    <w:rsid w:val="00210C9E"/>
    <w:rsid w:val="00211840"/>
    <w:rsid w:val="00213666"/>
    <w:rsid w:val="00214E86"/>
    <w:rsid w:val="00220E5F"/>
    <w:rsid w:val="002212B5"/>
    <w:rsid w:val="00226668"/>
    <w:rsid w:val="00233809"/>
    <w:rsid w:val="00240046"/>
    <w:rsid w:val="00240CFD"/>
    <w:rsid w:val="00245280"/>
    <w:rsid w:val="002453CF"/>
    <w:rsid w:val="0024797F"/>
    <w:rsid w:val="00247B50"/>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6EDA"/>
    <w:rsid w:val="00297151"/>
    <w:rsid w:val="002A247C"/>
    <w:rsid w:val="002A3ED5"/>
    <w:rsid w:val="002A5457"/>
    <w:rsid w:val="002B075A"/>
    <w:rsid w:val="002B0962"/>
    <w:rsid w:val="002B20E6"/>
    <w:rsid w:val="002B42A3"/>
    <w:rsid w:val="002B4729"/>
    <w:rsid w:val="002C04FA"/>
    <w:rsid w:val="002C0CDD"/>
    <w:rsid w:val="002D3649"/>
    <w:rsid w:val="002D713A"/>
    <w:rsid w:val="002D7EAF"/>
    <w:rsid w:val="002E1A1D"/>
    <w:rsid w:val="002E4081"/>
    <w:rsid w:val="002E446F"/>
    <w:rsid w:val="002E5B78"/>
    <w:rsid w:val="002F0A58"/>
    <w:rsid w:val="002F11D6"/>
    <w:rsid w:val="002F3AE3"/>
    <w:rsid w:val="00301F8D"/>
    <w:rsid w:val="00302D37"/>
    <w:rsid w:val="0030464B"/>
    <w:rsid w:val="0030786C"/>
    <w:rsid w:val="00315817"/>
    <w:rsid w:val="003233DE"/>
    <w:rsid w:val="0032466B"/>
    <w:rsid w:val="003251E5"/>
    <w:rsid w:val="00327B44"/>
    <w:rsid w:val="003330EB"/>
    <w:rsid w:val="00334180"/>
    <w:rsid w:val="00336605"/>
    <w:rsid w:val="003415FD"/>
    <w:rsid w:val="003429F0"/>
    <w:rsid w:val="003460E2"/>
    <w:rsid w:val="0035097A"/>
    <w:rsid w:val="003540A4"/>
    <w:rsid w:val="0036017C"/>
    <w:rsid w:val="00360E4E"/>
    <w:rsid w:val="00363C01"/>
    <w:rsid w:val="00370AAA"/>
    <w:rsid w:val="00372BBB"/>
    <w:rsid w:val="00375F77"/>
    <w:rsid w:val="00376883"/>
    <w:rsid w:val="00377A78"/>
    <w:rsid w:val="0038021D"/>
    <w:rsid w:val="00381BBE"/>
    <w:rsid w:val="00382903"/>
    <w:rsid w:val="003834F6"/>
    <w:rsid w:val="003837AD"/>
    <w:rsid w:val="003846FF"/>
    <w:rsid w:val="00385AD4"/>
    <w:rsid w:val="00387924"/>
    <w:rsid w:val="00390BF2"/>
    <w:rsid w:val="00392430"/>
    <w:rsid w:val="003928B8"/>
    <w:rsid w:val="0039384D"/>
    <w:rsid w:val="00395C23"/>
    <w:rsid w:val="003A1B5E"/>
    <w:rsid w:val="003A2E4F"/>
    <w:rsid w:val="003A4438"/>
    <w:rsid w:val="003A4E57"/>
    <w:rsid w:val="003A5013"/>
    <w:rsid w:val="003A5078"/>
    <w:rsid w:val="003A5E77"/>
    <w:rsid w:val="003A62DD"/>
    <w:rsid w:val="003A775A"/>
    <w:rsid w:val="003B0DAB"/>
    <w:rsid w:val="003B213A"/>
    <w:rsid w:val="003B3A24"/>
    <w:rsid w:val="003B43AD"/>
    <w:rsid w:val="003C0FEC"/>
    <w:rsid w:val="003C15B8"/>
    <w:rsid w:val="003C2AC8"/>
    <w:rsid w:val="003C6D36"/>
    <w:rsid w:val="003D17F9"/>
    <w:rsid w:val="003D2D88"/>
    <w:rsid w:val="003D41EA"/>
    <w:rsid w:val="003D4850"/>
    <w:rsid w:val="003D535A"/>
    <w:rsid w:val="003E32D1"/>
    <w:rsid w:val="003E43A5"/>
    <w:rsid w:val="003E5265"/>
    <w:rsid w:val="003F0955"/>
    <w:rsid w:val="003F631B"/>
    <w:rsid w:val="003F6FE1"/>
    <w:rsid w:val="00400F00"/>
    <w:rsid w:val="00401D48"/>
    <w:rsid w:val="0040270E"/>
    <w:rsid w:val="00403AD6"/>
    <w:rsid w:val="00404F8B"/>
    <w:rsid w:val="00405256"/>
    <w:rsid w:val="00405FE4"/>
    <w:rsid w:val="00406DF2"/>
    <w:rsid w:val="00410031"/>
    <w:rsid w:val="004115A2"/>
    <w:rsid w:val="00414B8F"/>
    <w:rsid w:val="00415C81"/>
    <w:rsid w:val="00416731"/>
    <w:rsid w:val="0042156B"/>
    <w:rsid w:val="00424B25"/>
    <w:rsid w:val="00424E25"/>
    <w:rsid w:val="004272C5"/>
    <w:rsid w:val="0043169E"/>
    <w:rsid w:val="00432378"/>
    <w:rsid w:val="00435948"/>
    <w:rsid w:val="00436248"/>
    <w:rsid w:val="004403DC"/>
    <w:rsid w:val="00440D65"/>
    <w:rsid w:val="0044109C"/>
    <w:rsid w:val="0044199A"/>
    <w:rsid w:val="004435E6"/>
    <w:rsid w:val="00447E31"/>
    <w:rsid w:val="00453923"/>
    <w:rsid w:val="00454B9B"/>
    <w:rsid w:val="004555FF"/>
    <w:rsid w:val="00457858"/>
    <w:rsid w:val="00460B0B"/>
    <w:rsid w:val="00461023"/>
    <w:rsid w:val="00462FAC"/>
    <w:rsid w:val="00464631"/>
    <w:rsid w:val="00464B79"/>
    <w:rsid w:val="0046610D"/>
    <w:rsid w:val="00466622"/>
    <w:rsid w:val="00467BBF"/>
    <w:rsid w:val="0047098D"/>
    <w:rsid w:val="00472F85"/>
    <w:rsid w:val="00474E27"/>
    <w:rsid w:val="004802DF"/>
    <w:rsid w:val="00483687"/>
    <w:rsid w:val="00483A67"/>
    <w:rsid w:val="004867E2"/>
    <w:rsid w:val="00487C61"/>
    <w:rsid w:val="004929A9"/>
    <w:rsid w:val="00492D48"/>
    <w:rsid w:val="00492F8B"/>
    <w:rsid w:val="004A0B95"/>
    <w:rsid w:val="004A5A31"/>
    <w:rsid w:val="004A7F08"/>
    <w:rsid w:val="004C2FEC"/>
    <w:rsid w:val="004C6BCF"/>
    <w:rsid w:val="004D58BF"/>
    <w:rsid w:val="004E3C96"/>
    <w:rsid w:val="004E4335"/>
    <w:rsid w:val="004E5ACF"/>
    <w:rsid w:val="004F13EE"/>
    <w:rsid w:val="004F2022"/>
    <w:rsid w:val="004F7C05"/>
    <w:rsid w:val="00501C94"/>
    <w:rsid w:val="00504BC3"/>
    <w:rsid w:val="00506432"/>
    <w:rsid w:val="005115CC"/>
    <w:rsid w:val="0051242B"/>
    <w:rsid w:val="00513792"/>
    <w:rsid w:val="00514270"/>
    <w:rsid w:val="00515D20"/>
    <w:rsid w:val="00516681"/>
    <w:rsid w:val="00516F7D"/>
    <w:rsid w:val="0052051D"/>
    <w:rsid w:val="00545A01"/>
    <w:rsid w:val="00545EE6"/>
    <w:rsid w:val="00546F0E"/>
    <w:rsid w:val="005550E7"/>
    <w:rsid w:val="005564FB"/>
    <w:rsid w:val="005572C7"/>
    <w:rsid w:val="005579D1"/>
    <w:rsid w:val="00564E3F"/>
    <w:rsid w:val="005650ED"/>
    <w:rsid w:val="005727E5"/>
    <w:rsid w:val="00574178"/>
    <w:rsid w:val="00575754"/>
    <w:rsid w:val="00591E20"/>
    <w:rsid w:val="00595408"/>
    <w:rsid w:val="00595E84"/>
    <w:rsid w:val="00596268"/>
    <w:rsid w:val="005A0C59"/>
    <w:rsid w:val="005A2AA8"/>
    <w:rsid w:val="005A48EB"/>
    <w:rsid w:val="005A631B"/>
    <w:rsid w:val="005A6CFB"/>
    <w:rsid w:val="005A6F08"/>
    <w:rsid w:val="005B3487"/>
    <w:rsid w:val="005B5BB0"/>
    <w:rsid w:val="005C37AA"/>
    <w:rsid w:val="005C5560"/>
    <w:rsid w:val="005C5AEB"/>
    <w:rsid w:val="005C5DAA"/>
    <w:rsid w:val="005C63F3"/>
    <w:rsid w:val="005E066A"/>
    <w:rsid w:val="005E0A3F"/>
    <w:rsid w:val="005E22C7"/>
    <w:rsid w:val="005E4907"/>
    <w:rsid w:val="005E6883"/>
    <w:rsid w:val="005E772F"/>
    <w:rsid w:val="005E7B1B"/>
    <w:rsid w:val="005E7EA6"/>
    <w:rsid w:val="005F4ECA"/>
    <w:rsid w:val="005F7043"/>
    <w:rsid w:val="00600D66"/>
    <w:rsid w:val="006041BE"/>
    <w:rsid w:val="006043C7"/>
    <w:rsid w:val="006047C5"/>
    <w:rsid w:val="00607B27"/>
    <w:rsid w:val="00624B52"/>
    <w:rsid w:val="0062637C"/>
    <w:rsid w:val="00631DF4"/>
    <w:rsid w:val="00634175"/>
    <w:rsid w:val="006408AC"/>
    <w:rsid w:val="006437F1"/>
    <w:rsid w:val="006511B6"/>
    <w:rsid w:val="00652742"/>
    <w:rsid w:val="00655898"/>
    <w:rsid w:val="00656B80"/>
    <w:rsid w:val="00657FF8"/>
    <w:rsid w:val="00663593"/>
    <w:rsid w:val="00664708"/>
    <w:rsid w:val="00665486"/>
    <w:rsid w:val="00670D99"/>
    <w:rsid w:val="00670E2B"/>
    <w:rsid w:val="006734BB"/>
    <w:rsid w:val="006771A9"/>
    <w:rsid w:val="00681A34"/>
    <w:rsid w:val="00681CD1"/>
    <w:rsid w:val="006821EB"/>
    <w:rsid w:val="00683DF9"/>
    <w:rsid w:val="006A0488"/>
    <w:rsid w:val="006A2733"/>
    <w:rsid w:val="006A3744"/>
    <w:rsid w:val="006B2286"/>
    <w:rsid w:val="006B2D22"/>
    <w:rsid w:val="006B56BB"/>
    <w:rsid w:val="006B77D7"/>
    <w:rsid w:val="006C1787"/>
    <w:rsid w:val="006C5FDB"/>
    <w:rsid w:val="006C77A8"/>
    <w:rsid w:val="006D03CF"/>
    <w:rsid w:val="006D2B2B"/>
    <w:rsid w:val="006D4098"/>
    <w:rsid w:val="006D6238"/>
    <w:rsid w:val="006D7681"/>
    <w:rsid w:val="006D7B2E"/>
    <w:rsid w:val="006E02EA"/>
    <w:rsid w:val="006E0968"/>
    <w:rsid w:val="006E2AF6"/>
    <w:rsid w:val="006E782E"/>
    <w:rsid w:val="006F39BF"/>
    <w:rsid w:val="00701275"/>
    <w:rsid w:val="0070133D"/>
    <w:rsid w:val="00702A3F"/>
    <w:rsid w:val="00703D6B"/>
    <w:rsid w:val="00707F56"/>
    <w:rsid w:val="00711B3C"/>
    <w:rsid w:val="00713558"/>
    <w:rsid w:val="00720D08"/>
    <w:rsid w:val="007243D8"/>
    <w:rsid w:val="007263B9"/>
    <w:rsid w:val="00727498"/>
    <w:rsid w:val="007334F8"/>
    <w:rsid w:val="007339CD"/>
    <w:rsid w:val="0073466C"/>
    <w:rsid w:val="007359D8"/>
    <w:rsid w:val="00735A1F"/>
    <w:rsid w:val="007362D4"/>
    <w:rsid w:val="00740A34"/>
    <w:rsid w:val="00745BB9"/>
    <w:rsid w:val="00751A23"/>
    <w:rsid w:val="007628AD"/>
    <w:rsid w:val="00765DDB"/>
    <w:rsid w:val="0076672A"/>
    <w:rsid w:val="007728E3"/>
    <w:rsid w:val="00775E45"/>
    <w:rsid w:val="00776E74"/>
    <w:rsid w:val="00785169"/>
    <w:rsid w:val="007906E7"/>
    <w:rsid w:val="007954AB"/>
    <w:rsid w:val="00797B03"/>
    <w:rsid w:val="007A14C5"/>
    <w:rsid w:val="007A1A40"/>
    <w:rsid w:val="007A3E38"/>
    <w:rsid w:val="007A4A10"/>
    <w:rsid w:val="007A5C4A"/>
    <w:rsid w:val="007B1760"/>
    <w:rsid w:val="007C6D9C"/>
    <w:rsid w:val="007C7DDB"/>
    <w:rsid w:val="007D2CC7"/>
    <w:rsid w:val="007D673D"/>
    <w:rsid w:val="007E24BE"/>
    <w:rsid w:val="007E563E"/>
    <w:rsid w:val="007F1571"/>
    <w:rsid w:val="007F2220"/>
    <w:rsid w:val="007F4B3E"/>
    <w:rsid w:val="007F588A"/>
    <w:rsid w:val="00804443"/>
    <w:rsid w:val="00807E97"/>
    <w:rsid w:val="00812077"/>
    <w:rsid w:val="00812434"/>
    <w:rsid w:val="008127AF"/>
    <w:rsid w:val="00812B46"/>
    <w:rsid w:val="00815700"/>
    <w:rsid w:val="0081596C"/>
    <w:rsid w:val="00817B70"/>
    <w:rsid w:val="00821730"/>
    <w:rsid w:val="00822EA6"/>
    <w:rsid w:val="00822FBF"/>
    <w:rsid w:val="008264EB"/>
    <w:rsid w:val="00826B8F"/>
    <w:rsid w:val="00831E8A"/>
    <w:rsid w:val="00835C76"/>
    <w:rsid w:val="00843049"/>
    <w:rsid w:val="00851837"/>
    <w:rsid w:val="0085209B"/>
    <w:rsid w:val="008544DF"/>
    <w:rsid w:val="0085585A"/>
    <w:rsid w:val="00856635"/>
    <w:rsid w:val="00856B66"/>
    <w:rsid w:val="00861A5F"/>
    <w:rsid w:val="008644AD"/>
    <w:rsid w:val="00864AE7"/>
    <w:rsid w:val="0086552C"/>
    <w:rsid w:val="00865735"/>
    <w:rsid w:val="00865DDB"/>
    <w:rsid w:val="00867538"/>
    <w:rsid w:val="0086777E"/>
    <w:rsid w:val="008679DC"/>
    <w:rsid w:val="00871644"/>
    <w:rsid w:val="00871945"/>
    <w:rsid w:val="00873D90"/>
    <w:rsid w:val="00873FC8"/>
    <w:rsid w:val="00884C63"/>
    <w:rsid w:val="00885908"/>
    <w:rsid w:val="008864B7"/>
    <w:rsid w:val="00892888"/>
    <w:rsid w:val="008943DA"/>
    <w:rsid w:val="0089677E"/>
    <w:rsid w:val="00896E8C"/>
    <w:rsid w:val="008A25F8"/>
    <w:rsid w:val="008A6934"/>
    <w:rsid w:val="008A7438"/>
    <w:rsid w:val="008B1334"/>
    <w:rsid w:val="008B6024"/>
    <w:rsid w:val="008C0278"/>
    <w:rsid w:val="008C24E9"/>
    <w:rsid w:val="008C3577"/>
    <w:rsid w:val="008D0533"/>
    <w:rsid w:val="008D2C0B"/>
    <w:rsid w:val="008D42CB"/>
    <w:rsid w:val="008D48C9"/>
    <w:rsid w:val="008D5B79"/>
    <w:rsid w:val="008D6381"/>
    <w:rsid w:val="008E0C77"/>
    <w:rsid w:val="008E1E37"/>
    <w:rsid w:val="008E4C74"/>
    <w:rsid w:val="008E625F"/>
    <w:rsid w:val="008F264D"/>
    <w:rsid w:val="008F330F"/>
    <w:rsid w:val="008F6D71"/>
    <w:rsid w:val="00903115"/>
    <w:rsid w:val="009074E1"/>
    <w:rsid w:val="009112F7"/>
    <w:rsid w:val="00911941"/>
    <w:rsid w:val="009122AF"/>
    <w:rsid w:val="009127BC"/>
    <w:rsid w:val="00912D54"/>
    <w:rsid w:val="0091389F"/>
    <w:rsid w:val="009208F7"/>
    <w:rsid w:val="00922517"/>
    <w:rsid w:val="00922722"/>
    <w:rsid w:val="00923AEA"/>
    <w:rsid w:val="00923BB8"/>
    <w:rsid w:val="009261E6"/>
    <w:rsid w:val="009268E1"/>
    <w:rsid w:val="00930A2B"/>
    <w:rsid w:val="00945E7F"/>
    <w:rsid w:val="009557C1"/>
    <w:rsid w:val="00956882"/>
    <w:rsid w:val="00957782"/>
    <w:rsid w:val="00960D6E"/>
    <w:rsid w:val="009621E6"/>
    <w:rsid w:val="009627FE"/>
    <w:rsid w:val="00962BE9"/>
    <w:rsid w:val="009648DD"/>
    <w:rsid w:val="0096733A"/>
    <w:rsid w:val="00972BC1"/>
    <w:rsid w:val="00974B59"/>
    <w:rsid w:val="00974C13"/>
    <w:rsid w:val="0098340B"/>
    <w:rsid w:val="00986830"/>
    <w:rsid w:val="009924C3"/>
    <w:rsid w:val="009928B6"/>
    <w:rsid w:val="00993102"/>
    <w:rsid w:val="00996090"/>
    <w:rsid w:val="009B3975"/>
    <w:rsid w:val="009C1550"/>
    <w:rsid w:val="009C2498"/>
    <w:rsid w:val="009C4A39"/>
    <w:rsid w:val="009C6964"/>
    <w:rsid w:val="009C6F10"/>
    <w:rsid w:val="009D148F"/>
    <w:rsid w:val="009D3D70"/>
    <w:rsid w:val="009D724B"/>
    <w:rsid w:val="009E1A42"/>
    <w:rsid w:val="009E401D"/>
    <w:rsid w:val="009E695F"/>
    <w:rsid w:val="009E6F7E"/>
    <w:rsid w:val="009E7A57"/>
    <w:rsid w:val="009F4F6A"/>
    <w:rsid w:val="00A00F9B"/>
    <w:rsid w:val="00A04084"/>
    <w:rsid w:val="00A04EB8"/>
    <w:rsid w:val="00A16E36"/>
    <w:rsid w:val="00A20168"/>
    <w:rsid w:val="00A24961"/>
    <w:rsid w:val="00A24B10"/>
    <w:rsid w:val="00A24D2E"/>
    <w:rsid w:val="00A24D39"/>
    <w:rsid w:val="00A25DEC"/>
    <w:rsid w:val="00A2796C"/>
    <w:rsid w:val="00A30DA5"/>
    <w:rsid w:val="00A30E9B"/>
    <w:rsid w:val="00A33E68"/>
    <w:rsid w:val="00A36C0C"/>
    <w:rsid w:val="00A41F71"/>
    <w:rsid w:val="00A4512D"/>
    <w:rsid w:val="00A50244"/>
    <w:rsid w:val="00A52F46"/>
    <w:rsid w:val="00A54E9E"/>
    <w:rsid w:val="00A56F17"/>
    <w:rsid w:val="00A57755"/>
    <w:rsid w:val="00A627D7"/>
    <w:rsid w:val="00A656C7"/>
    <w:rsid w:val="00A6659B"/>
    <w:rsid w:val="00A705AF"/>
    <w:rsid w:val="00A72454"/>
    <w:rsid w:val="00A75163"/>
    <w:rsid w:val="00A77696"/>
    <w:rsid w:val="00A77E8F"/>
    <w:rsid w:val="00A80557"/>
    <w:rsid w:val="00A8135C"/>
    <w:rsid w:val="00A81D33"/>
    <w:rsid w:val="00A849C5"/>
    <w:rsid w:val="00A8730D"/>
    <w:rsid w:val="00A930AE"/>
    <w:rsid w:val="00A937D1"/>
    <w:rsid w:val="00A9439D"/>
    <w:rsid w:val="00A964E7"/>
    <w:rsid w:val="00AA038B"/>
    <w:rsid w:val="00AA049F"/>
    <w:rsid w:val="00AA1A95"/>
    <w:rsid w:val="00AA260F"/>
    <w:rsid w:val="00AA3A4B"/>
    <w:rsid w:val="00AA52CE"/>
    <w:rsid w:val="00AB1EE7"/>
    <w:rsid w:val="00AB4B37"/>
    <w:rsid w:val="00AB5762"/>
    <w:rsid w:val="00AB7763"/>
    <w:rsid w:val="00AC1C57"/>
    <w:rsid w:val="00AC2679"/>
    <w:rsid w:val="00AC4BE4"/>
    <w:rsid w:val="00AC6BF9"/>
    <w:rsid w:val="00AD05E6"/>
    <w:rsid w:val="00AD0D3F"/>
    <w:rsid w:val="00AD60C2"/>
    <w:rsid w:val="00AD6F7D"/>
    <w:rsid w:val="00AE1D7D"/>
    <w:rsid w:val="00AE2A8B"/>
    <w:rsid w:val="00AE3F64"/>
    <w:rsid w:val="00AE58CD"/>
    <w:rsid w:val="00AE65D0"/>
    <w:rsid w:val="00AF139B"/>
    <w:rsid w:val="00AF7386"/>
    <w:rsid w:val="00AF7934"/>
    <w:rsid w:val="00B00B81"/>
    <w:rsid w:val="00B04580"/>
    <w:rsid w:val="00B04B09"/>
    <w:rsid w:val="00B0577C"/>
    <w:rsid w:val="00B07734"/>
    <w:rsid w:val="00B0796A"/>
    <w:rsid w:val="00B10C70"/>
    <w:rsid w:val="00B16A51"/>
    <w:rsid w:val="00B17ECC"/>
    <w:rsid w:val="00B2516F"/>
    <w:rsid w:val="00B25440"/>
    <w:rsid w:val="00B25CFC"/>
    <w:rsid w:val="00B26517"/>
    <w:rsid w:val="00B315CC"/>
    <w:rsid w:val="00B32222"/>
    <w:rsid w:val="00B3618D"/>
    <w:rsid w:val="00B36233"/>
    <w:rsid w:val="00B42851"/>
    <w:rsid w:val="00B43F31"/>
    <w:rsid w:val="00B45AC7"/>
    <w:rsid w:val="00B522E8"/>
    <w:rsid w:val="00B5372F"/>
    <w:rsid w:val="00B554B8"/>
    <w:rsid w:val="00B6077C"/>
    <w:rsid w:val="00B61129"/>
    <w:rsid w:val="00B6722E"/>
    <w:rsid w:val="00B67D98"/>
    <w:rsid w:val="00B67E7F"/>
    <w:rsid w:val="00B7080B"/>
    <w:rsid w:val="00B711BF"/>
    <w:rsid w:val="00B75A04"/>
    <w:rsid w:val="00B7643A"/>
    <w:rsid w:val="00B839B2"/>
    <w:rsid w:val="00B86081"/>
    <w:rsid w:val="00B92362"/>
    <w:rsid w:val="00B94252"/>
    <w:rsid w:val="00B9715A"/>
    <w:rsid w:val="00BA14BE"/>
    <w:rsid w:val="00BA2732"/>
    <w:rsid w:val="00BA293D"/>
    <w:rsid w:val="00BA49BC"/>
    <w:rsid w:val="00BA56B7"/>
    <w:rsid w:val="00BA7A1E"/>
    <w:rsid w:val="00BA7CA9"/>
    <w:rsid w:val="00BB2F6C"/>
    <w:rsid w:val="00BB3875"/>
    <w:rsid w:val="00BB43EA"/>
    <w:rsid w:val="00BB5860"/>
    <w:rsid w:val="00BB6AAD"/>
    <w:rsid w:val="00BB758A"/>
    <w:rsid w:val="00BC30FD"/>
    <w:rsid w:val="00BC4A19"/>
    <w:rsid w:val="00BC4E6D"/>
    <w:rsid w:val="00BD0617"/>
    <w:rsid w:val="00BD2796"/>
    <w:rsid w:val="00BD2E9B"/>
    <w:rsid w:val="00BE1731"/>
    <w:rsid w:val="00BE1804"/>
    <w:rsid w:val="00BE304B"/>
    <w:rsid w:val="00BE4C4B"/>
    <w:rsid w:val="00BF36FD"/>
    <w:rsid w:val="00C00930"/>
    <w:rsid w:val="00C060AD"/>
    <w:rsid w:val="00C0670D"/>
    <w:rsid w:val="00C113BF"/>
    <w:rsid w:val="00C14E49"/>
    <w:rsid w:val="00C15A33"/>
    <w:rsid w:val="00C20BF7"/>
    <w:rsid w:val="00C2176E"/>
    <w:rsid w:val="00C22FC4"/>
    <w:rsid w:val="00C23430"/>
    <w:rsid w:val="00C27D67"/>
    <w:rsid w:val="00C45673"/>
    <w:rsid w:val="00C4631F"/>
    <w:rsid w:val="00C50491"/>
    <w:rsid w:val="00C50E16"/>
    <w:rsid w:val="00C55258"/>
    <w:rsid w:val="00C82EEB"/>
    <w:rsid w:val="00C971DC"/>
    <w:rsid w:val="00CA16B7"/>
    <w:rsid w:val="00CA23D5"/>
    <w:rsid w:val="00CA48BB"/>
    <w:rsid w:val="00CA4BE3"/>
    <w:rsid w:val="00CA62AE"/>
    <w:rsid w:val="00CB1F21"/>
    <w:rsid w:val="00CB2A1A"/>
    <w:rsid w:val="00CB4E5D"/>
    <w:rsid w:val="00CB5B1A"/>
    <w:rsid w:val="00CB6252"/>
    <w:rsid w:val="00CB6C09"/>
    <w:rsid w:val="00CC1F32"/>
    <w:rsid w:val="00CC220B"/>
    <w:rsid w:val="00CC5C43"/>
    <w:rsid w:val="00CC60A7"/>
    <w:rsid w:val="00CC7675"/>
    <w:rsid w:val="00CD02AE"/>
    <w:rsid w:val="00CD15DA"/>
    <w:rsid w:val="00CD2A4F"/>
    <w:rsid w:val="00CE03CA"/>
    <w:rsid w:val="00CE22F1"/>
    <w:rsid w:val="00CE278F"/>
    <w:rsid w:val="00CE50F2"/>
    <w:rsid w:val="00CE6502"/>
    <w:rsid w:val="00CF02FC"/>
    <w:rsid w:val="00CF1A99"/>
    <w:rsid w:val="00CF2F3B"/>
    <w:rsid w:val="00CF7D3C"/>
    <w:rsid w:val="00D05E02"/>
    <w:rsid w:val="00D07AB2"/>
    <w:rsid w:val="00D07DED"/>
    <w:rsid w:val="00D10771"/>
    <w:rsid w:val="00D1371B"/>
    <w:rsid w:val="00D13A39"/>
    <w:rsid w:val="00D147EB"/>
    <w:rsid w:val="00D15B5A"/>
    <w:rsid w:val="00D21770"/>
    <w:rsid w:val="00D226EB"/>
    <w:rsid w:val="00D245E2"/>
    <w:rsid w:val="00D271AC"/>
    <w:rsid w:val="00D34667"/>
    <w:rsid w:val="00D37FC7"/>
    <w:rsid w:val="00D401E1"/>
    <w:rsid w:val="00D4069A"/>
    <w:rsid w:val="00D408B4"/>
    <w:rsid w:val="00D40A32"/>
    <w:rsid w:val="00D45D94"/>
    <w:rsid w:val="00D524C8"/>
    <w:rsid w:val="00D53F4B"/>
    <w:rsid w:val="00D574CF"/>
    <w:rsid w:val="00D60E25"/>
    <w:rsid w:val="00D614D3"/>
    <w:rsid w:val="00D63B4F"/>
    <w:rsid w:val="00D70E24"/>
    <w:rsid w:val="00D72323"/>
    <w:rsid w:val="00D72B61"/>
    <w:rsid w:val="00D76C28"/>
    <w:rsid w:val="00D775C0"/>
    <w:rsid w:val="00D85AC4"/>
    <w:rsid w:val="00D90FB2"/>
    <w:rsid w:val="00D95D89"/>
    <w:rsid w:val="00D97922"/>
    <w:rsid w:val="00DA3091"/>
    <w:rsid w:val="00DA3D1D"/>
    <w:rsid w:val="00DB0138"/>
    <w:rsid w:val="00DB1261"/>
    <w:rsid w:val="00DB42F8"/>
    <w:rsid w:val="00DB6286"/>
    <w:rsid w:val="00DB645F"/>
    <w:rsid w:val="00DB76E9"/>
    <w:rsid w:val="00DB7CD3"/>
    <w:rsid w:val="00DC0A67"/>
    <w:rsid w:val="00DC1D5E"/>
    <w:rsid w:val="00DC2313"/>
    <w:rsid w:val="00DC5220"/>
    <w:rsid w:val="00DC71B4"/>
    <w:rsid w:val="00DC7910"/>
    <w:rsid w:val="00DD2061"/>
    <w:rsid w:val="00DD3A57"/>
    <w:rsid w:val="00DD4D25"/>
    <w:rsid w:val="00DD7DAB"/>
    <w:rsid w:val="00DE3355"/>
    <w:rsid w:val="00DF03C5"/>
    <w:rsid w:val="00DF309C"/>
    <w:rsid w:val="00DF486F"/>
    <w:rsid w:val="00DF5B5B"/>
    <w:rsid w:val="00DF66E4"/>
    <w:rsid w:val="00DF69A4"/>
    <w:rsid w:val="00DF7619"/>
    <w:rsid w:val="00DF7852"/>
    <w:rsid w:val="00E042D8"/>
    <w:rsid w:val="00E053A9"/>
    <w:rsid w:val="00E057F7"/>
    <w:rsid w:val="00E07EE7"/>
    <w:rsid w:val="00E1103B"/>
    <w:rsid w:val="00E1501F"/>
    <w:rsid w:val="00E17B44"/>
    <w:rsid w:val="00E17B49"/>
    <w:rsid w:val="00E24673"/>
    <w:rsid w:val="00E27FEA"/>
    <w:rsid w:val="00E30A42"/>
    <w:rsid w:val="00E317E6"/>
    <w:rsid w:val="00E35CF2"/>
    <w:rsid w:val="00E4086F"/>
    <w:rsid w:val="00E40C39"/>
    <w:rsid w:val="00E43B3C"/>
    <w:rsid w:val="00E44A64"/>
    <w:rsid w:val="00E46368"/>
    <w:rsid w:val="00E50188"/>
    <w:rsid w:val="00E50F49"/>
    <w:rsid w:val="00E515CB"/>
    <w:rsid w:val="00E51CBE"/>
    <w:rsid w:val="00E52260"/>
    <w:rsid w:val="00E5619F"/>
    <w:rsid w:val="00E6368B"/>
    <w:rsid w:val="00E639B6"/>
    <w:rsid w:val="00E6434B"/>
    <w:rsid w:val="00E6463D"/>
    <w:rsid w:val="00E72E9B"/>
    <w:rsid w:val="00E75298"/>
    <w:rsid w:val="00E76B28"/>
    <w:rsid w:val="00E775B9"/>
    <w:rsid w:val="00E8164C"/>
    <w:rsid w:val="00E849DA"/>
    <w:rsid w:val="00E85499"/>
    <w:rsid w:val="00E86789"/>
    <w:rsid w:val="00E90BA9"/>
    <w:rsid w:val="00E936AA"/>
    <w:rsid w:val="00E94245"/>
    <w:rsid w:val="00E9462E"/>
    <w:rsid w:val="00E97106"/>
    <w:rsid w:val="00EA470E"/>
    <w:rsid w:val="00EA47A7"/>
    <w:rsid w:val="00EA546E"/>
    <w:rsid w:val="00EA57EB"/>
    <w:rsid w:val="00EA6AA4"/>
    <w:rsid w:val="00EB3226"/>
    <w:rsid w:val="00EB3595"/>
    <w:rsid w:val="00EB46C8"/>
    <w:rsid w:val="00EB46F5"/>
    <w:rsid w:val="00EC1015"/>
    <w:rsid w:val="00EC213A"/>
    <w:rsid w:val="00EC6603"/>
    <w:rsid w:val="00EC7744"/>
    <w:rsid w:val="00ED0DAD"/>
    <w:rsid w:val="00ED0F46"/>
    <w:rsid w:val="00ED2373"/>
    <w:rsid w:val="00ED3B3F"/>
    <w:rsid w:val="00EE2273"/>
    <w:rsid w:val="00EE3E8A"/>
    <w:rsid w:val="00EE7259"/>
    <w:rsid w:val="00EF64F6"/>
    <w:rsid w:val="00EF6ECA"/>
    <w:rsid w:val="00F024E1"/>
    <w:rsid w:val="00F06C10"/>
    <w:rsid w:val="00F1096F"/>
    <w:rsid w:val="00F12589"/>
    <w:rsid w:val="00F12595"/>
    <w:rsid w:val="00F12A21"/>
    <w:rsid w:val="00F134D9"/>
    <w:rsid w:val="00F135DF"/>
    <w:rsid w:val="00F1403D"/>
    <w:rsid w:val="00F1463F"/>
    <w:rsid w:val="00F204AA"/>
    <w:rsid w:val="00F21302"/>
    <w:rsid w:val="00F27D8A"/>
    <w:rsid w:val="00F321DE"/>
    <w:rsid w:val="00F33777"/>
    <w:rsid w:val="00F3604C"/>
    <w:rsid w:val="00F40648"/>
    <w:rsid w:val="00F42FAF"/>
    <w:rsid w:val="00F47DA2"/>
    <w:rsid w:val="00F519FC"/>
    <w:rsid w:val="00F537C3"/>
    <w:rsid w:val="00F6239D"/>
    <w:rsid w:val="00F67CFD"/>
    <w:rsid w:val="00F715D2"/>
    <w:rsid w:val="00F7274F"/>
    <w:rsid w:val="00F76FA8"/>
    <w:rsid w:val="00F82E4E"/>
    <w:rsid w:val="00F83D0E"/>
    <w:rsid w:val="00F9023A"/>
    <w:rsid w:val="00F9039C"/>
    <w:rsid w:val="00F93CBB"/>
    <w:rsid w:val="00F93F08"/>
    <w:rsid w:val="00F94CED"/>
    <w:rsid w:val="00F976E3"/>
    <w:rsid w:val="00FA0556"/>
    <w:rsid w:val="00FA2CEE"/>
    <w:rsid w:val="00FA318C"/>
    <w:rsid w:val="00FB1DC6"/>
    <w:rsid w:val="00FB6C29"/>
    <w:rsid w:val="00FB6F92"/>
    <w:rsid w:val="00FC026E"/>
    <w:rsid w:val="00FC5124"/>
    <w:rsid w:val="00FD2F85"/>
    <w:rsid w:val="00FD4731"/>
    <w:rsid w:val="00FE112B"/>
    <w:rsid w:val="00FE23CC"/>
    <w:rsid w:val="00FE75A5"/>
    <w:rsid w:val="00FF0AB0"/>
    <w:rsid w:val="00FF28AC"/>
    <w:rsid w:val="00FF7B10"/>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4ED37CDC"/>
  <w15:docId w15:val="{5E1CA74A-C0E0-42AA-96B6-2F5DEEA59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uiPriority="9" w:qFormat="1"/>
    <w:lsdException w:name="heading 4" w:uiPriority="9" w:qFormat="1"/>
    <w:lsdException w:name="heading 5" w:uiPriority="9"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1A23"/>
    <w:rPr>
      <w:rFonts w:ascii="Arial" w:hAnsi="Arial"/>
      <w:sz w:val="22"/>
      <w:szCs w:val="24"/>
      <w:lang w:eastAsia="en-US"/>
    </w:rPr>
  </w:style>
  <w:style w:type="paragraph" w:styleId="Heading1">
    <w:name w:val="heading 1"/>
    <w:aliases w:val="h1,Para1,Para 1,Main,Top 1,ParaLevel1,Level 1 Para,Level 1 Para1,Level 1 Para2,Level 1 Para3,Level 1 Para4,Level 1 Para11,Level 1 Para21,Level 1 Para31,Level 1 Para5,Level 1 Para12,Level 1 Para22,Level 1 Para32,Level 1 Para6,Level 1 Para13,1."/>
    <w:basedOn w:val="Normal"/>
    <w:next w:val="Normal"/>
    <w:qFormat/>
    <w:rsid w:val="009127BC"/>
    <w:pPr>
      <w:keepNext/>
      <w:spacing w:before="240" w:after="60"/>
      <w:outlineLvl w:val="0"/>
    </w:pPr>
    <w:rPr>
      <w:rFonts w:cs="Arial"/>
      <w:bCs/>
      <w:color w:val="3F4A75"/>
      <w:kern w:val="28"/>
      <w:sz w:val="36"/>
      <w:szCs w:val="36"/>
    </w:rPr>
  </w:style>
  <w:style w:type="paragraph" w:styleId="Heading2">
    <w:name w:val="heading 2"/>
    <w:aliases w:val="Para2,Head hdbk,Top 2,h2,H2,h2 main heading,B Sub/Bold,B Sub/Bold1,B Sub/Bold2,B Sub/Bold11,h2 main heading1,h2 main heading2,B Sub/Bold3,B Sub/Bold12,h2 main heading3,B Sub/Bold4,B Sub/Bold13,SubPara,MA,Heading 2 DSDN,Para 2,new heading two,h"/>
    <w:next w:val="Paragraphtext"/>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uiPriority w:val="9"/>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uiPriority w:val="9"/>
    <w:qFormat/>
    <w:rsid w:val="00027071"/>
    <w:pPr>
      <w:keepNext/>
      <w:spacing w:before="240" w:after="60"/>
      <w:outlineLvl w:val="3"/>
    </w:pPr>
    <w:rPr>
      <w:b/>
      <w:bCs/>
      <w:i/>
      <w:color w:val="414141"/>
      <w:sz w:val="24"/>
      <w:szCs w:val="28"/>
    </w:rPr>
  </w:style>
  <w:style w:type="paragraph" w:styleId="Heading5">
    <w:name w:val="heading 5"/>
    <w:basedOn w:val="Normal"/>
    <w:next w:val="Normal"/>
    <w:uiPriority w:val="9"/>
    <w:qFormat/>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A56F17"/>
    <w:pPr>
      <w:numPr>
        <w:numId w:val="6"/>
      </w:numPr>
    </w:pPr>
  </w:style>
  <w:style w:type="paragraph" w:styleId="ListBullet">
    <w:name w:val="List Bullet"/>
    <w:basedOn w:val="Normal"/>
    <w:qFormat/>
    <w:rsid w:val="00A56F17"/>
    <w:pPr>
      <w:numPr>
        <w:numId w:val="5"/>
      </w:numPr>
      <w:spacing w:before="60" w:after="60"/>
    </w:pPr>
    <w:rPr>
      <w:color w:val="000000" w:themeColor="text1"/>
      <w:sz w:val="21"/>
    </w:rPr>
  </w:style>
  <w:style w:type="paragraph" w:styleId="ListParagraph">
    <w:name w:val="List Paragraph"/>
    <w:aliases w:val="Figure_name,List Paragraph1,Numbered Indented Text,Bullet- First level,List NUmber,Listenabsatz1,lp1,List Paragraph11,Style 2,TOC style,List Paragraph2,Number_1,SGLText List Paragraph,new,Colorful List - Accent 11,Recommendation,L,CV text"/>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uiPriority w:val="99"/>
    <w:qFormat/>
    <w:locked/>
    <w:rsid w:val="00F537C3"/>
    <w:pPr>
      <w:spacing w:before="60" w:after="120"/>
    </w:pPr>
    <w:rPr>
      <w:rFonts w:ascii="Arial" w:hAnsi="Arial" w:cs="Arial"/>
      <w:b/>
      <w:color w:val="002060"/>
      <w:sz w:val="21"/>
      <w:szCs w:val="22"/>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uiPriority w:val="99"/>
    <w:rsid w:val="00A24961"/>
    <w:rPr>
      <w:sz w:val="20"/>
      <w:szCs w:val="20"/>
    </w:rPr>
  </w:style>
  <w:style w:type="character" w:customStyle="1" w:styleId="FootnoteTextChar">
    <w:name w:val="Footnote Text Char"/>
    <w:basedOn w:val="DefaultParagraphFont"/>
    <w:link w:val="FootnoteText"/>
    <w:uiPriority w:val="99"/>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styleId="CommentReference">
    <w:name w:val="annotation reference"/>
    <w:basedOn w:val="DefaultParagraphFont"/>
    <w:uiPriority w:val="99"/>
    <w:unhideWhenUsed/>
    <w:rsid w:val="00062223"/>
    <w:rPr>
      <w:sz w:val="16"/>
      <w:szCs w:val="16"/>
    </w:rPr>
  </w:style>
  <w:style w:type="paragraph" w:styleId="CommentText">
    <w:name w:val="annotation text"/>
    <w:basedOn w:val="Normal"/>
    <w:link w:val="CommentTextChar"/>
    <w:uiPriority w:val="99"/>
    <w:unhideWhenUsed/>
    <w:rsid w:val="00062223"/>
    <w:rPr>
      <w:sz w:val="20"/>
      <w:szCs w:val="20"/>
      <w:lang w:eastAsia="en-AU"/>
    </w:rPr>
  </w:style>
  <w:style w:type="character" w:customStyle="1" w:styleId="CommentTextChar">
    <w:name w:val="Comment Text Char"/>
    <w:basedOn w:val="DefaultParagraphFont"/>
    <w:link w:val="CommentText"/>
    <w:uiPriority w:val="99"/>
    <w:rsid w:val="00062223"/>
    <w:rPr>
      <w:rFonts w:ascii="Arial" w:hAnsi="Arial"/>
    </w:rPr>
  </w:style>
  <w:style w:type="paragraph" w:customStyle="1" w:styleId="Numpara1">
    <w:name w:val="Numpara1"/>
    <w:basedOn w:val="Normal"/>
    <w:link w:val="Numpara1Char"/>
    <w:qFormat/>
    <w:rsid w:val="00D21770"/>
    <w:pPr>
      <w:numPr>
        <w:numId w:val="8"/>
      </w:numPr>
      <w:shd w:val="clear" w:color="auto" w:fill="00598F" w:themeFill="accent3" w:themeFillShade="BF"/>
      <w:spacing w:before="240" w:after="240"/>
    </w:pPr>
    <w:rPr>
      <w:rFonts w:cs="Arial"/>
      <w:b/>
      <w:szCs w:val="22"/>
    </w:rPr>
  </w:style>
  <w:style w:type="paragraph" w:customStyle="1" w:styleId="Numpara2">
    <w:name w:val="Numpara2"/>
    <w:basedOn w:val="Normal"/>
    <w:qFormat/>
    <w:rsid w:val="00D21770"/>
    <w:pPr>
      <w:numPr>
        <w:ilvl w:val="1"/>
        <w:numId w:val="8"/>
      </w:numPr>
      <w:spacing w:before="240"/>
    </w:pPr>
    <w:rPr>
      <w:rFonts w:cs="Arial"/>
      <w:sz w:val="20"/>
      <w:szCs w:val="22"/>
    </w:rPr>
  </w:style>
  <w:style w:type="paragraph" w:customStyle="1" w:styleId="Numpara3">
    <w:name w:val="Numpara3"/>
    <w:basedOn w:val="Normal"/>
    <w:qFormat/>
    <w:rsid w:val="00D21770"/>
    <w:pPr>
      <w:numPr>
        <w:ilvl w:val="2"/>
        <w:numId w:val="8"/>
      </w:numPr>
      <w:spacing w:before="240"/>
    </w:pPr>
    <w:rPr>
      <w:rFonts w:cs="Arial"/>
      <w:sz w:val="20"/>
      <w:szCs w:val="22"/>
    </w:rPr>
  </w:style>
  <w:style w:type="paragraph" w:customStyle="1" w:styleId="Numpara4">
    <w:name w:val="Numpara4"/>
    <w:basedOn w:val="Normal"/>
    <w:qFormat/>
    <w:rsid w:val="00D21770"/>
    <w:pPr>
      <w:numPr>
        <w:ilvl w:val="3"/>
        <w:numId w:val="8"/>
      </w:numPr>
      <w:spacing w:before="240"/>
    </w:pPr>
    <w:rPr>
      <w:rFonts w:cs="Arial"/>
      <w:sz w:val="20"/>
      <w:szCs w:val="22"/>
    </w:rPr>
  </w:style>
  <w:style w:type="character" w:customStyle="1" w:styleId="Numpara1Char">
    <w:name w:val="Numpara1 Char"/>
    <w:basedOn w:val="DefaultParagraphFont"/>
    <w:link w:val="Numpara1"/>
    <w:rsid w:val="00D21770"/>
    <w:rPr>
      <w:rFonts w:ascii="Arial" w:hAnsi="Arial" w:cs="Arial"/>
      <w:b/>
      <w:sz w:val="22"/>
      <w:szCs w:val="22"/>
      <w:shd w:val="clear" w:color="auto" w:fill="00598F" w:themeFill="accent3" w:themeFillShade="BF"/>
      <w:lang w:eastAsia="en-US"/>
    </w:rPr>
  </w:style>
  <w:style w:type="character" w:customStyle="1" w:styleId="ListParagraphChar">
    <w:name w:val="List Paragraph Char"/>
    <w:aliases w:val="Figure_name Char,List Paragraph1 Char,Numbered Indented Text Char,Bullet- First level Char,List NUmber Char,Listenabsatz1 Char,lp1 Char,List Paragraph11 Char,Style 2 Char,TOC style Char,List Paragraph2 Char,Number_1 Char,new Char"/>
    <w:basedOn w:val="DefaultParagraphFont"/>
    <w:link w:val="ListParagraph"/>
    <w:uiPriority w:val="34"/>
    <w:qFormat/>
    <w:locked/>
    <w:rsid w:val="001E437B"/>
    <w:rPr>
      <w:rFonts w:ascii="Arial" w:hAnsi="Arial"/>
      <w:sz w:val="22"/>
      <w:szCs w:val="24"/>
      <w:lang w:eastAsia="en-US"/>
    </w:rPr>
  </w:style>
  <w:style w:type="paragraph" w:styleId="CommentSubject">
    <w:name w:val="annotation subject"/>
    <w:basedOn w:val="CommentText"/>
    <w:next w:val="CommentText"/>
    <w:link w:val="CommentSubjectChar"/>
    <w:semiHidden/>
    <w:unhideWhenUsed/>
    <w:rsid w:val="001E437B"/>
    <w:rPr>
      <w:b/>
      <w:bCs/>
      <w:lang w:eastAsia="en-US"/>
    </w:rPr>
  </w:style>
  <w:style w:type="character" w:customStyle="1" w:styleId="CommentSubjectChar">
    <w:name w:val="Comment Subject Char"/>
    <w:basedOn w:val="CommentTextChar"/>
    <w:link w:val="CommentSubject"/>
    <w:semiHidden/>
    <w:rsid w:val="001E437B"/>
    <w:rPr>
      <w:rFonts w:ascii="Arial" w:hAnsi="Arial"/>
      <w:b/>
      <w:bCs/>
      <w:lang w:eastAsia="en-US"/>
    </w:rPr>
  </w:style>
  <w:style w:type="paragraph" w:customStyle="1" w:styleId="Headingpara2">
    <w:name w:val="Headingpara2"/>
    <w:basedOn w:val="Heading2"/>
    <w:qFormat/>
    <w:rsid w:val="001E437B"/>
    <w:pPr>
      <w:keepNext w:val="0"/>
      <w:numPr>
        <w:ilvl w:val="1"/>
      </w:numPr>
      <w:spacing w:after="0"/>
      <w:ind w:left="851" w:hanging="851"/>
    </w:pPr>
    <w:rPr>
      <w:rFonts w:cstheme="minorBidi"/>
      <w:bCs w:val="0"/>
      <w:iCs w:val="0"/>
      <w:color w:val="auto"/>
      <w:sz w:val="20"/>
      <w:szCs w:val="20"/>
    </w:rPr>
  </w:style>
  <w:style w:type="character" w:styleId="FootnoteReference">
    <w:name w:val="footnote reference"/>
    <w:basedOn w:val="DefaultParagraphFont"/>
    <w:uiPriority w:val="99"/>
    <w:rsid w:val="00BD2796"/>
    <w:rPr>
      <w:vertAlign w:val="superscript"/>
    </w:rPr>
  </w:style>
  <w:style w:type="table" w:styleId="PlainTable1">
    <w:name w:val="Plain Table 1"/>
    <w:basedOn w:val="TableNormal"/>
    <w:uiPriority w:val="41"/>
    <w:rsid w:val="00564E3F"/>
    <w:rPr>
      <w:rFonts w:ascii="Arial" w:hAnsi="Arial"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lainParagraph">
    <w:name w:val="Plain Paragraph"/>
    <w:aliases w:val="PP"/>
    <w:basedOn w:val="Normal"/>
    <w:link w:val="PlainParagraphChar"/>
    <w:qFormat/>
    <w:rsid w:val="00D07AB2"/>
    <w:pPr>
      <w:spacing w:before="140" w:after="140" w:line="280" w:lineRule="atLeast"/>
    </w:pPr>
    <w:rPr>
      <w:rFonts w:cs="Arial"/>
      <w:szCs w:val="22"/>
      <w:lang w:eastAsia="en-AU"/>
    </w:rPr>
  </w:style>
  <w:style w:type="character" w:customStyle="1" w:styleId="PlainParagraphChar">
    <w:name w:val="Plain Paragraph Char"/>
    <w:aliases w:val="PP Char"/>
    <w:basedOn w:val="DefaultParagraphFont"/>
    <w:link w:val="PlainParagraph"/>
    <w:rsid w:val="00D07AB2"/>
    <w:rPr>
      <w:rFonts w:ascii="Arial" w:hAnsi="Arial" w:cs="Arial"/>
      <w:sz w:val="22"/>
      <w:szCs w:val="22"/>
    </w:rPr>
  </w:style>
  <w:style w:type="paragraph" w:customStyle="1" w:styleId="Dot1">
    <w:name w:val="Dot1"/>
    <w:aliases w:val="DOT"/>
    <w:basedOn w:val="Normal"/>
    <w:link w:val="Dot1Char"/>
    <w:uiPriority w:val="2"/>
    <w:qFormat/>
    <w:rsid w:val="00D07AB2"/>
    <w:pPr>
      <w:numPr>
        <w:ilvl w:val="1"/>
        <w:numId w:val="9"/>
      </w:numPr>
      <w:spacing w:after="140" w:line="280" w:lineRule="atLeast"/>
    </w:pPr>
    <w:rPr>
      <w:rFonts w:cs="Arial"/>
      <w:szCs w:val="22"/>
      <w:lang w:eastAsia="en-AU"/>
    </w:rPr>
  </w:style>
  <w:style w:type="character" w:customStyle="1" w:styleId="Dot1Char">
    <w:name w:val="Dot1 Char"/>
    <w:aliases w:val="DOT Char"/>
    <w:basedOn w:val="DefaultParagraphFont"/>
    <w:link w:val="Dot1"/>
    <w:uiPriority w:val="2"/>
    <w:rsid w:val="00D07AB2"/>
    <w:rPr>
      <w:rFonts w:ascii="Arial" w:hAnsi="Arial" w:cs="Arial"/>
      <w:sz w:val="22"/>
      <w:szCs w:val="22"/>
    </w:rPr>
  </w:style>
  <w:style w:type="paragraph" w:styleId="Revision">
    <w:name w:val="Revision"/>
    <w:hidden/>
    <w:uiPriority w:val="99"/>
    <w:semiHidden/>
    <w:rsid w:val="00E1501F"/>
    <w:rPr>
      <w:rFonts w:ascii="Arial" w:hAnsi="Arial"/>
      <w:sz w:val="22"/>
      <w:szCs w:val="24"/>
      <w:lang w:eastAsia="en-US"/>
    </w:rPr>
  </w:style>
  <w:style w:type="paragraph" w:customStyle="1" w:styleId="ClauseLevel1">
    <w:name w:val="Clause Level 1"/>
    <w:next w:val="ClauseLevel2"/>
    <w:uiPriority w:val="99"/>
    <w:rsid w:val="003928B8"/>
    <w:pPr>
      <w:keepNext/>
      <w:numPr>
        <w:numId w:val="10"/>
      </w:numPr>
      <w:spacing w:before="200" w:after="200" w:line="280" w:lineRule="atLeast"/>
      <w:ind w:left="2410" w:hanging="2410"/>
      <w:outlineLvl w:val="0"/>
    </w:pPr>
    <w:rPr>
      <w:rFonts w:asciiTheme="majorHAnsi" w:eastAsia="Calibri Light" w:hAnsiTheme="majorHAnsi" w:cstheme="majorHAnsi"/>
      <w:b/>
      <w:bCs/>
      <w:sz w:val="22"/>
      <w:szCs w:val="22"/>
    </w:rPr>
  </w:style>
  <w:style w:type="paragraph" w:customStyle="1" w:styleId="ClauseLevel2">
    <w:name w:val="Clause Level 2"/>
    <w:aliases w:val="C2"/>
    <w:next w:val="ClauseLevel3"/>
    <w:link w:val="ClauseLevel2Char"/>
    <w:uiPriority w:val="19"/>
    <w:qFormat/>
    <w:rsid w:val="003928B8"/>
    <w:pPr>
      <w:keepNext/>
      <w:numPr>
        <w:ilvl w:val="1"/>
        <w:numId w:val="10"/>
      </w:numPr>
      <w:spacing w:before="200" w:line="280" w:lineRule="atLeast"/>
      <w:outlineLvl w:val="1"/>
    </w:pPr>
    <w:rPr>
      <w:rFonts w:ascii="CG Times (WN)" w:eastAsia="Calibri Light" w:hAnsi="CG Times (WN)" w:cs="Arial"/>
      <w:b/>
      <w:sz w:val="22"/>
      <w:szCs w:val="22"/>
    </w:rPr>
  </w:style>
  <w:style w:type="paragraph" w:customStyle="1" w:styleId="ClauseLevel3">
    <w:name w:val="Clause Level 3"/>
    <w:aliases w:val="C3"/>
    <w:link w:val="ClauseLevel3Char"/>
    <w:uiPriority w:val="19"/>
    <w:qFormat/>
    <w:rsid w:val="003928B8"/>
    <w:pPr>
      <w:numPr>
        <w:ilvl w:val="2"/>
        <w:numId w:val="10"/>
      </w:numPr>
      <w:spacing w:before="140" w:after="140" w:line="280" w:lineRule="atLeast"/>
    </w:pPr>
    <w:rPr>
      <w:rFonts w:ascii="CG Times (WN)" w:eastAsia="Calibri Light" w:hAnsi="CG Times (WN)" w:cs="Arial"/>
      <w:sz w:val="22"/>
      <w:szCs w:val="22"/>
    </w:rPr>
  </w:style>
  <w:style w:type="character" w:customStyle="1" w:styleId="ClauseLevel3Char">
    <w:name w:val="Clause Level 3 Char"/>
    <w:link w:val="ClauseLevel3"/>
    <w:uiPriority w:val="19"/>
    <w:locked/>
    <w:rsid w:val="003928B8"/>
    <w:rPr>
      <w:rFonts w:ascii="CG Times (WN)" w:eastAsia="Calibri Light" w:hAnsi="CG Times (WN)" w:cs="Arial"/>
      <w:sz w:val="22"/>
      <w:szCs w:val="22"/>
    </w:rPr>
  </w:style>
  <w:style w:type="paragraph" w:customStyle="1" w:styleId="BodyIndent0">
    <w:name w:val="Body Indent 0"/>
    <w:basedOn w:val="Normal"/>
    <w:qFormat/>
    <w:rsid w:val="00A24D2E"/>
    <w:pPr>
      <w:spacing w:before="240" w:after="240"/>
    </w:pPr>
    <w:rPr>
      <w:rFonts w:cs="Arial"/>
      <w:i/>
      <w:sz w:val="20"/>
      <w:szCs w:val="20"/>
      <w:u w:val="single"/>
    </w:rPr>
  </w:style>
  <w:style w:type="paragraph" w:customStyle="1" w:styleId="ShortT">
    <w:name w:val="ShortT"/>
    <w:basedOn w:val="Normal"/>
    <w:next w:val="Normal"/>
    <w:qFormat/>
    <w:rsid w:val="00A24D2E"/>
    <w:rPr>
      <w:rFonts w:ascii="Times New Roman" w:hAnsi="Times New Roman"/>
      <w:b/>
      <w:sz w:val="40"/>
      <w:szCs w:val="20"/>
      <w:lang w:eastAsia="en-AU"/>
    </w:rPr>
  </w:style>
  <w:style w:type="character" w:customStyle="1" w:styleId="ClauseLevel2Char">
    <w:name w:val="Clause Level 2 Char"/>
    <w:basedOn w:val="DefaultParagraphFont"/>
    <w:link w:val="ClauseLevel2"/>
    <w:uiPriority w:val="19"/>
    <w:rsid w:val="000D4B6E"/>
    <w:rPr>
      <w:rFonts w:ascii="CG Times (WN)" w:eastAsia="Calibri Light" w:hAnsi="CG Times (WN)" w:cs="Arial"/>
      <w:b/>
      <w:sz w:val="22"/>
      <w:szCs w:val="22"/>
    </w:rPr>
  </w:style>
  <w:style w:type="paragraph" w:customStyle="1" w:styleId="Default">
    <w:name w:val="Default"/>
    <w:rsid w:val="00D95D89"/>
    <w:pPr>
      <w:autoSpaceDE w:val="0"/>
      <w:autoSpaceDN w:val="0"/>
      <w:adjustRightInd w:val="0"/>
    </w:pPr>
    <w:rPr>
      <w:rFonts w:ascii="Arial" w:hAnsi="Arial" w:cs="Arial"/>
      <w:color w:val="000000"/>
      <w:sz w:val="24"/>
      <w:szCs w:val="24"/>
    </w:rPr>
  </w:style>
  <w:style w:type="paragraph" w:customStyle="1" w:styleId="ClauseLevel5">
    <w:name w:val="Clause Level 5"/>
    <w:basedOn w:val="Normal"/>
    <w:uiPriority w:val="99"/>
    <w:rsid w:val="00663593"/>
    <w:pPr>
      <w:spacing w:after="140" w:line="280" w:lineRule="atLeast"/>
    </w:pPr>
    <w:rPr>
      <w:rFonts w:cs="Arial"/>
      <w:szCs w:val="22"/>
      <w:lang w:eastAsia="en-AU"/>
    </w:rPr>
  </w:style>
  <w:style w:type="paragraph" w:customStyle="1" w:styleId="covTitle">
    <w:name w:val="covTitle"/>
    <w:basedOn w:val="Normal"/>
    <w:next w:val="Normal"/>
    <w:qFormat/>
    <w:rsid w:val="00797B03"/>
    <w:pPr>
      <w:spacing w:before="3600"/>
      <w:ind w:left="397"/>
    </w:pPr>
    <w:rPr>
      <w:b/>
      <w:sz w:val="34"/>
      <w:szCs w:val="20"/>
      <w:lang w:eastAsia="en-AU"/>
    </w:rPr>
  </w:style>
  <w:style w:type="character" w:styleId="FollowedHyperlink">
    <w:name w:val="FollowedHyperlink"/>
    <w:basedOn w:val="DefaultParagraphFont"/>
    <w:semiHidden/>
    <w:unhideWhenUsed/>
    <w:rsid w:val="00C20B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389964267">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614214357">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779420647">
      <w:bodyDiv w:val="1"/>
      <w:marLeft w:val="0"/>
      <w:marRight w:val="0"/>
      <w:marTop w:val="0"/>
      <w:marBottom w:val="0"/>
      <w:divBdr>
        <w:top w:val="none" w:sz="0" w:space="0" w:color="auto"/>
        <w:left w:val="none" w:sz="0" w:space="0" w:color="auto"/>
        <w:bottom w:val="none" w:sz="0" w:space="0" w:color="auto"/>
        <w:right w:val="none" w:sz="0" w:space="0" w:color="auto"/>
      </w:divBdr>
    </w:div>
    <w:div w:id="973871915">
      <w:bodyDiv w:val="1"/>
      <w:marLeft w:val="0"/>
      <w:marRight w:val="0"/>
      <w:marTop w:val="0"/>
      <w:marBottom w:val="0"/>
      <w:divBdr>
        <w:top w:val="none" w:sz="0" w:space="0" w:color="auto"/>
        <w:left w:val="none" w:sz="0" w:space="0" w:color="auto"/>
        <w:bottom w:val="none" w:sz="0" w:space="0" w:color="auto"/>
        <w:right w:val="none" w:sz="0" w:space="0" w:color="auto"/>
      </w:divBdr>
    </w:div>
    <w:div w:id="1100834554">
      <w:bodyDiv w:val="1"/>
      <w:marLeft w:val="0"/>
      <w:marRight w:val="0"/>
      <w:marTop w:val="0"/>
      <w:marBottom w:val="0"/>
      <w:divBdr>
        <w:top w:val="none" w:sz="0" w:space="0" w:color="auto"/>
        <w:left w:val="none" w:sz="0" w:space="0" w:color="auto"/>
        <w:bottom w:val="none" w:sz="0" w:space="0" w:color="auto"/>
        <w:right w:val="none" w:sz="0" w:space="0" w:color="auto"/>
      </w:divBdr>
    </w:div>
    <w:div w:id="1126041667">
      <w:bodyDiv w:val="1"/>
      <w:marLeft w:val="0"/>
      <w:marRight w:val="0"/>
      <w:marTop w:val="0"/>
      <w:marBottom w:val="0"/>
      <w:divBdr>
        <w:top w:val="none" w:sz="0" w:space="0" w:color="auto"/>
        <w:left w:val="none" w:sz="0" w:space="0" w:color="auto"/>
        <w:bottom w:val="none" w:sz="0" w:space="0" w:color="auto"/>
        <w:right w:val="none" w:sz="0" w:space="0" w:color="auto"/>
      </w:divBdr>
    </w:div>
    <w:div w:id="1152604452">
      <w:bodyDiv w:val="1"/>
      <w:marLeft w:val="0"/>
      <w:marRight w:val="0"/>
      <w:marTop w:val="0"/>
      <w:marBottom w:val="0"/>
      <w:divBdr>
        <w:top w:val="none" w:sz="0" w:space="0" w:color="auto"/>
        <w:left w:val="none" w:sz="0" w:space="0" w:color="auto"/>
        <w:bottom w:val="none" w:sz="0" w:space="0" w:color="auto"/>
        <w:right w:val="none" w:sz="0" w:space="0" w:color="auto"/>
      </w:divBdr>
    </w:div>
    <w:div w:id="1170676853">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332097431">
      <w:bodyDiv w:val="1"/>
      <w:marLeft w:val="0"/>
      <w:marRight w:val="0"/>
      <w:marTop w:val="0"/>
      <w:marBottom w:val="0"/>
      <w:divBdr>
        <w:top w:val="none" w:sz="0" w:space="0" w:color="auto"/>
        <w:left w:val="none" w:sz="0" w:space="0" w:color="auto"/>
        <w:bottom w:val="none" w:sz="0" w:space="0" w:color="auto"/>
        <w:right w:val="none" w:sz="0" w:space="0" w:color="auto"/>
      </w:divBdr>
    </w:div>
    <w:div w:id="1426727049">
      <w:bodyDiv w:val="1"/>
      <w:marLeft w:val="0"/>
      <w:marRight w:val="0"/>
      <w:marTop w:val="0"/>
      <w:marBottom w:val="0"/>
      <w:divBdr>
        <w:top w:val="none" w:sz="0" w:space="0" w:color="auto"/>
        <w:left w:val="none" w:sz="0" w:space="0" w:color="auto"/>
        <w:bottom w:val="none" w:sz="0" w:space="0" w:color="auto"/>
        <w:right w:val="none" w:sz="0" w:space="0" w:color="auto"/>
      </w:divBdr>
    </w:div>
    <w:div w:id="1477335704">
      <w:bodyDiv w:val="1"/>
      <w:marLeft w:val="0"/>
      <w:marRight w:val="0"/>
      <w:marTop w:val="0"/>
      <w:marBottom w:val="0"/>
      <w:divBdr>
        <w:top w:val="none" w:sz="0" w:space="0" w:color="auto"/>
        <w:left w:val="none" w:sz="0" w:space="0" w:color="auto"/>
        <w:bottom w:val="none" w:sz="0" w:space="0" w:color="auto"/>
        <w:right w:val="none" w:sz="0" w:space="0" w:color="auto"/>
      </w:divBdr>
    </w:div>
    <w:div w:id="1580359951">
      <w:bodyDiv w:val="1"/>
      <w:marLeft w:val="0"/>
      <w:marRight w:val="0"/>
      <w:marTop w:val="0"/>
      <w:marBottom w:val="0"/>
      <w:divBdr>
        <w:top w:val="none" w:sz="0" w:space="0" w:color="auto"/>
        <w:left w:val="none" w:sz="0" w:space="0" w:color="auto"/>
        <w:bottom w:val="none" w:sz="0" w:space="0" w:color="auto"/>
        <w:right w:val="none" w:sz="0" w:space="0" w:color="auto"/>
      </w:divBdr>
    </w:div>
    <w:div w:id="193843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using-our-websites/privacy/privacy-notice-register-of-interest-covid-19-vaccinations" TargetMode="External"/><Relationship Id="rId18" Type="http://schemas.openxmlformats.org/officeDocument/2006/relationships/hyperlink" Target="https://www.health.gov.au/privacy-notice-covid-19-vaccine-booking-platform" TargetMode="External"/><Relationship Id="rId26" Type="http://schemas.openxmlformats.org/officeDocument/2006/relationships/hyperlink" Target="http://notify.gov.au/" TargetMode="External"/><Relationship Id="rId3" Type="http://schemas.openxmlformats.org/officeDocument/2006/relationships/customXml" Target="../customXml/item3.xml"/><Relationship Id="rId21" Type="http://schemas.openxmlformats.org/officeDocument/2006/relationships/hyperlink" Target="https://healthengine.com.au/legal/commonwealth/collection.php?cid=par:hea:cbp::cbp::::mar21"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health.gov.au/resources/publications/clinician-vaccine-integrated-platform-application-terms-of-use" TargetMode="External"/><Relationship Id="rId25" Type="http://schemas.openxmlformats.org/officeDocument/2006/relationships/hyperlink" Target="https://healthengine.com.au/legal/commonwealth/collection.php?cid=par:hea:cbp::cbp::::mar21"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gov.au/resources/publications/clinician-vaccine-integrated-platform-check-yourself-in-form-terms-of-use" TargetMode="External"/><Relationship Id="rId20" Type="http://schemas.openxmlformats.org/officeDocument/2006/relationships/hyperlink" Target="https://healthengine.com.au/legal/commonwealth/privacy.php?cid=par:hea:cbp::cbp::::mar21"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healthengine.com.au/legal/commonwealth/privacy.php?cid=par:hea:cbp::cbp::::mar21" TargetMode="External"/><Relationship Id="rId32"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s://www.health.gov.au/using-our-websites/privacy/collection-notice-for-the-clinician-vaccine-integrated-platform-cvip" TargetMode="External"/><Relationship Id="rId23" Type="http://schemas.openxmlformats.org/officeDocument/2006/relationships/hyperlink" Target="https://www.health.gov.au/using-our-websites/privacy/privacy-notice-register-of-interest-covid-19-vaccinations" TargetMode="External"/><Relationship Id="rId28" Type="http://schemas.openxmlformats.org/officeDocument/2006/relationships/hyperlink" Target="http://www.health.gov.au/covid19-privacy" TargetMode="External"/><Relationship Id="rId10" Type="http://schemas.openxmlformats.org/officeDocument/2006/relationships/endnotes" Target="endnotes.xml"/><Relationship Id="rId19" Type="http://schemas.openxmlformats.org/officeDocument/2006/relationships/hyperlink" Target="https://www.health.gov.au/privacy-notice-for-consumers-using-the-commonwealth-procured-booking-platform-for-covid-19-vaccination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using-our-websites/privacy/privacy-notice-cvas" TargetMode="External"/><Relationship Id="rId22" Type="http://schemas.openxmlformats.org/officeDocument/2006/relationships/hyperlink" Target="http://www.health.gov.au/covid19-privacy" TargetMode="External"/><Relationship Id="rId27" Type="http://schemas.openxmlformats.org/officeDocument/2006/relationships/hyperlink" Target="https://notify.gov.au/privacy" TargetMode="External"/><Relationship Id="rId30"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9e62685be2c405f85feeb7d59bccd54 xmlns="b26f12c0-2397-4242-8c80-fd768a193b91">
      <Terms xmlns="http://schemas.microsoft.com/office/infopath/2007/PartnerControls"/>
    </k9e62685be2c405f85feeb7d59bccd54>
    <TaxCatchAll xmlns="b26f12c0-2397-4242-8c80-fd768a193b91"/>
  </documentManagement>
</p:properti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C6417-ADBB-487B-9091-DC3471F064BF}">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terms/"/>
    <ds:schemaRef ds:uri="b26f12c0-2397-4242-8c80-fd768a193b91"/>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640B23EB-32CF-4398-B4F2-E241692A4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EE300BB9-77B6-4D6D-91F6-F9BBB176D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4444</Words>
  <Characters>26909</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Update 1 to the implementation of the COVID-19 Vaccine Strategy Privacy Impact Assessment</vt:lpstr>
    </vt:vector>
  </TitlesOfParts>
  <Company/>
  <LinksUpToDate>false</LinksUpToDate>
  <CharactersWithSpaces>31291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 1 to the implementation of the COVID-19 Vaccine Strategy Privacy Impact Assessment</dc:title>
  <dc:subject>COVID-19 vaccine</dc:subject>
  <dc:creator>Department of Health</dc:creator>
  <cp:keywords/>
  <cp:lastModifiedBy>KENNEDY, Emma</cp:lastModifiedBy>
  <cp:revision>4</cp:revision>
  <cp:lastPrinted>2021-03-30T21:39:00Z</cp:lastPrinted>
  <dcterms:created xsi:type="dcterms:W3CDTF">2021-05-10T10:41:00Z</dcterms:created>
  <dcterms:modified xsi:type="dcterms:W3CDTF">2021-05-11T04:28:00Z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0x010100D187BEFF042AB247BFDAEBCEDD44B1C00095B49DA94573E042B2F386EB369D3E46</vt:lpwstr>
  </property>
  <property fmtid="{D5CDD505-2E9C-101B-9397-08002B2CF9AE}" pid="5" name="checkforsharepointfields">
    <vt:lpwstr>True</vt:lpwstr>
  </property>
  <property fmtid="{D5CDD505-2E9C-101B-9397-08002B2CF9AE}" pid="6" name="Template Filename">
    <vt:lpwstr/>
  </property>
  <property fmtid="{D5CDD505-2E9C-101B-9397-08002B2CF9AE}" pid="7" name="ObjectiveRef">
    <vt:lpwstr>Removed</vt:lpwstr>
  </property>
  <property fmtid="{D5CDD505-2E9C-101B-9397-08002B2CF9AE}" pid="8" name="LeadingLawyers">
    <vt:lpwstr>Removed</vt:lpwstr>
  </property>
  <property fmtid="{D5CDD505-2E9C-101B-9397-08002B2CF9AE}" pid="9" name="WSFooter">
    <vt:lpwstr>40882177</vt:lpwstr>
  </property>
</Properties>
</file>