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3E" w:rsidRDefault="00146E3E" w:rsidP="009B45BF">
      <w:pPr>
        <w:pStyle w:val="Heading1"/>
      </w:pPr>
      <w:bookmarkStart w:id="0" w:name="_GoBack"/>
      <w:bookmarkEnd w:id="0"/>
    </w:p>
    <w:p w:rsidR="006E7E3B" w:rsidRPr="009B45BF" w:rsidRDefault="00146E3E" w:rsidP="008D6923">
      <w:pPr>
        <w:pStyle w:val="Heading1"/>
        <w:spacing w:after="480" w:line="240" w:lineRule="auto"/>
      </w:pPr>
      <w:r>
        <w:t xml:space="preserve">Disability Provider </w:t>
      </w:r>
      <w:r w:rsidRPr="009338FD">
        <w:t>Al</w:t>
      </w:r>
      <w:r>
        <w:t>ert</w:t>
      </w:r>
    </w:p>
    <w:p w:rsidR="006E7E3B" w:rsidRDefault="00DA5DF7" w:rsidP="00DF582B">
      <w:pPr>
        <w:spacing w:before="0" w:after="240"/>
        <w:rPr>
          <w:color w:val="3665AE"/>
        </w:rPr>
      </w:pPr>
      <w:r>
        <w:rPr>
          <w:color w:val="3665AE"/>
        </w:rPr>
        <w:t>1</w:t>
      </w:r>
      <w:r w:rsidR="00CB3DC1">
        <w:rPr>
          <w:color w:val="3665AE"/>
        </w:rPr>
        <w:t>3</w:t>
      </w:r>
      <w:r w:rsidRPr="009338FD">
        <w:rPr>
          <w:color w:val="3665AE"/>
        </w:rPr>
        <w:t xml:space="preserve"> </w:t>
      </w:r>
      <w:r>
        <w:rPr>
          <w:color w:val="3665AE"/>
        </w:rPr>
        <w:t xml:space="preserve">May </w:t>
      </w:r>
      <w:r w:rsidR="00146E3E" w:rsidRPr="009338FD">
        <w:rPr>
          <w:color w:val="3665AE"/>
        </w:rPr>
        <w:t>2021</w:t>
      </w:r>
    </w:p>
    <w:p w:rsidR="00341A67" w:rsidRDefault="00617B36" w:rsidP="008D6923">
      <w:r>
        <w:t>The r</w:t>
      </w:r>
      <w:r w:rsidR="002379F3" w:rsidRPr="00D03BC6">
        <w:t>ollout of the COVID-19 vaccine</w:t>
      </w:r>
      <w:r w:rsidR="00C543AC" w:rsidRPr="00D03BC6">
        <w:t xml:space="preserve"> </w:t>
      </w:r>
      <w:r w:rsidR="00341A67">
        <w:t>has ramped up, with ASPEN continuing the rollout of the COVID-19 vaccine for p</w:t>
      </w:r>
      <w:r w:rsidR="00341A67" w:rsidRPr="0079419C">
        <w:t xml:space="preserve">eople with disability </w:t>
      </w:r>
      <w:r w:rsidR="00230342">
        <w:t xml:space="preserve">who are </w:t>
      </w:r>
      <w:r w:rsidR="00230342" w:rsidRPr="0079419C">
        <w:t>eligible under phase 1</w:t>
      </w:r>
      <w:r w:rsidR="00230342">
        <w:t>a</w:t>
      </w:r>
      <w:r w:rsidR="00230342" w:rsidRPr="0079419C">
        <w:t xml:space="preserve"> </w:t>
      </w:r>
      <w:r w:rsidR="00230342">
        <w:t xml:space="preserve">and who </w:t>
      </w:r>
      <w:r w:rsidR="00341A67" w:rsidRPr="0079419C">
        <w:t>liv</w:t>
      </w:r>
      <w:r w:rsidR="00230342">
        <w:t>e</w:t>
      </w:r>
      <w:r w:rsidR="00341A67" w:rsidRPr="0079419C">
        <w:t xml:space="preserve"> in residential accommodation </w:t>
      </w:r>
      <w:r w:rsidR="00230342">
        <w:t>housing</w:t>
      </w:r>
      <w:r w:rsidR="00230342" w:rsidRPr="0079419C">
        <w:t xml:space="preserve"> </w:t>
      </w:r>
      <w:r w:rsidR="00341A67" w:rsidRPr="0079419C">
        <w:t>two or more people</w:t>
      </w:r>
      <w:r w:rsidR="00341A67">
        <w:t>.</w:t>
      </w:r>
      <w:r w:rsidR="00341A67" w:rsidRPr="0079419C">
        <w:t xml:space="preserve"> </w:t>
      </w:r>
    </w:p>
    <w:p w:rsidR="00617B36" w:rsidRDefault="00C543AC" w:rsidP="008D6923">
      <w:r w:rsidRPr="00D03BC6">
        <w:t>ASPEN</w:t>
      </w:r>
      <w:r w:rsidR="00DA5DF7">
        <w:t xml:space="preserve"> commenced on 26 April</w:t>
      </w:r>
      <w:r w:rsidR="002379F3" w:rsidRPr="00D03BC6">
        <w:t xml:space="preserve"> </w:t>
      </w:r>
      <w:r w:rsidR="00DA5DF7">
        <w:t>in</w:t>
      </w:r>
      <w:r w:rsidR="002379F3" w:rsidRPr="00D03BC6">
        <w:t xml:space="preserve"> the Australian Capital Territory and Northern Territory. </w:t>
      </w:r>
      <w:r w:rsidR="00DA5DF7" w:rsidRPr="00DA5DF7">
        <w:t>Focus will move to other states, initially South Australia, Western Australia and Victoria from mid-May.</w:t>
      </w:r>
    </w:p>
    <w:p w:rsidR="00B643D6" w:rsidRDefault="002379F3" w:rsidP="008D6923">
      <w:pPr>
        <w:rPr>
          <w:rFonts w:eastAsiaTheme="majorEastAsia" w:cstheme="majorBidi"/>
          <w:color w:val="3665AE"/>
          <w:sz w:val="36"/>
          <w:szCs w:val="36"/>
        </w:rPr>
      </w:pPr>
      <w:r w:rsidRPr="00D03BC6">
        <w:t>The Australian Government is</w:t>
      </w:r>
      <w:r w:rsidR="00C543AC" w:rsidRPr="00D03BC6">
        <w:t xml:space="preserve"> </w:t>
      </w:r>
      <w:r w:rsidR="00617B36">
        <w:t xml:space="preserve">also </w:t>
      </w:r>
      <w:r w:rsidR="00C543AC" w:rsidRPr="00D03BC6">
        <w:t>negotiati</w:t>
      </w:r>
      <w:r w:rsidR="00BE64A2" w:rsidRPr="00D03BC6">
        <w:t>ng</w:t>
      </w:r>
      <w:r w:rsidR="00C543AC" w:rsidRPr="00D03BC6">
        <w:t xml:space="preserve"> with more </w:t>
      </w:r>
      <w:r w:rsidR="00617B36">
        <w:t xml:space="preserve">vaccine </w:t>
      </w:r>
      <w:r w:rsidRPr="00D03BC6">
        <w:t>provider</w:t>
      </w:r>
      <w:r w:rsidR="00C543AC" w:rsidRPr="00D03BC6">
        <w:t xml:space="preserve">s to support </w:t>
      </w:r>
      <w:r w:rsidR="00DA5DF7">
        <w:t xml:space="preserve">further expansion. </w:t>
      </w:r>
      <w:r w:rsidR="00D03BC6" w:rsidRPr="00D03BC6">
        <w:t xml:space="preserve">The </w:t>
      </w:r>
      <w:r w:rsidR="008D6923">
        <w:t>Department of Health</w:t>
      </w:r>
      <w:r w:rsidRPr="00D03BC6">
        <w:t xml:space="preserve"> will </w:t>
      </w:r>
      <w:r w:rsidR="00D03BC6" w:rsidRPr="00D03BC6">
        <w:t xml:space="preserve">continue to </w:t>
      </w:r>
      <w:r w:rsidRPr="00D03BC6">
        <w:t>provide update</w:t>
      </w:r>
      <w:r w:rsidR="00D03BC6" w:rsidRPr="00D03BC6">
        <w:t>s</w:t>
      </w:r>
      <w:r w:rsidRPr="00D03BC6">
        <w:t xml:space="preserve"> </w:t>
      </w:r>
      <w:r w:rsidR="00DA5DF7">
        <w:t>as</w:t>
      </w:r>
      <w:r w:rsidR="00C543AC" w:rsidRPr="00D03BC6">
        <w:t xml:space="preserve"> providers are </w:t>
      </w:r>
      <w:r w:rsidR="00D03BC6" w:rsidRPr="00D03BC6">
        <w:t>engaged</w:t>
      </w:r>
      <w:r w:rsidR="00C543AC" w:rsidRPr="00D03BC6">
        <w:t>.</w:t>
      </w:r>
      <w:r w:rsidR="00C543AC" w:rsidRPr="006657F0">
        <w:rPr>
          <w:rFonts w:eastAsiaTheme="majorEastAsia" w:cstheme="majorBidi"/>
          <w:color w:val="3665AE"/>
          <w:sz w:val="36"/>
          <w:szCs w:val="36"/>
        </w:rPr>
        <w:t xml:space="preserve"> </w:t>
      </w:r>
    </w:p>
    <w:p w:rsidR="00A74D75" w:rsidRPr="008D6923" w:rsidRDefault="00A74D75" w:rsidP="008D6923">
      <w:pPr>
        <w:pStyle w:val="Heading2"/>
      </w:pPr>
      <w:r w:rsidRPr="008D6923">
        <w:t>Update on how disability workers can</w:t>
      </w:r>
      <w:r w:rsidR="00DA5DF7" w:rsidRPr="008D6923">
        <w:t xml:space="preserve"> </w:t>
      </w:r>
      <w:r w:rsidRPr="008D6923">
        <w:t>access</w:t>
      </w:r>
      <w:r w:rsidR="00DA5DF7" w:rsidRPr="008D6923">
        <w:t xml:space="preserve"> </w:t>
      </w:r>
      <w:r w:rsidRPr="008D6923">
        <w:t xml:space="preserve">the vaccine </w:t>
      </w:r>
    </w:p>
    <w:p w:rsidR="00B677C2" w:rsidRDefault="00C54A0B" w:rsidP="00A74D75">
      <w:r w:rsidRPr="00C54A0B">
        <w:t>The Australian Government is making it as easy as possible for workers in residential disability settings to get vaccinated quickly and safely.</w:t>
      </w:r>
    </w:p>
    <w:p w:rsidR="00C54A0B" w:rsidRDefault="00C54A0B" w:rsidP="00A74D75">
      <w:r>
        <w:t xml:space="preserve">Several options for vaccination are available to workers to access the COVID-19 vaccine.  </w:t>
      </w:r>
    </w:p>
    <w:p w:rsidR="00C54A0B" w:rsidRDefault="00C54A0B" w:rsidP="00C54A0B">
      <w:r>
        <w:t xml:space="preserve">Some options are on-site at the residential disability setting where you work. Others are at locations you can visit outside of your workplace. </w:t>
      </w:r>
    </w:p>
    <w:p w:rsidR="00B00CD2" w:rsidRDefault="00B00CD2" w:rsidP="00C54A0B">
      <w:r w:rsidRPr="00B00CD2">
        <w:rPr>
          <w:b/>
        </w:rPr>
        <w:t>For disability workers aged under 50 years</w:t>
      </w:r>
      <w:r w:rsidR="007B10CA">
        <w:t>, these options</w:t>
      </w:r>
      <w:r>
        <w:t xml:space="preserve"> include dedicated Pfizer COVID-19 vaccination clinics. These clinics have been established in response to advice from the </w:t>
      </w:r>
      <w:r w:rsidRPr="00A74D75">
        <w:t>Australian Technical Advisory Group on Immunisation (ATAGI)</w:t>
      </w:r>
      <w:r>
        <w:t xml:space="preserve">, which recommends the Pfizer COVID-19 vaccine for </w:t>
      </w:r>
      <w:r w:rsidR="00170826">
        <w:t xml:space="preserve">adults </w:t>
      </w:r>
      <w:r>
        <w:t xml:space="preserve">aged under 50 years. </w:t>
      </w:r>
    </w:p>
    <w:p w:rsidR="00B00CD2" w:rsidRDefault="00B00CD2" w:rsidP="00C54A0B">
      <w:r>
        <w:t xml:space="preserve">These clinics are being led by the Australian Government in partnership with an established vaccine provider, Sonic Healthcare. </w:t>
      </w:r>
    </w:p>
    <w:p w:rsidR="00B00CD2" w:rsidRPr="00B00CD2" w:rsidRDefault="00B00CD2" w:rsidP="00B00CD2">
      <w:r w:rsidRPr="007B10CA">
        <w:t>T</w:t>
      </w:r>
      <w:r w:rsidRPr="007B10CA">
        <w:rPr>
          <w:bCs/>
        </w:rPr>
        <w:t>he</w:t>
      </w:r>
      <w:r w:rsidRPr="00B00CD2">
        <w:rPr>
          <w:b/>
          <w:bCs/>
        </w:rPr>
        <w:t xml:space="preserve"> </w:t>
      </w:r>
      <w:r w:rsidRPr="00B00CD2">
        <w:rPr>
          <w:bCs/>
        </w:rPr>
        <w:t xml:space="preserve">first </w:t>
      </w:r>
      <w:r>
        <w:rPr>
          <w:bCs/>
        </w:rPr>
        <w:t>Sonic HealthCare Pfizer clinics</w:t>
      </w:r>
      <w:r w:rsidRPr="00B00CD2">
        <w:rPr>
          <w:bCs/>
        </w:rPr>
        <w:t xml:space="preserve"> will be in Sydney, New South Wales: </w:t>
      </w:r>
    </w:p>
    <w:p w:rsidR="00B00CD2" w:rsidRDefault="00B00CD2" w:rsidP="00B00CD2">
      <w:pPr>
        <w:pStyle w:val="ListParagraph"/>
        <w:numPr>
          <w:ilvl w:val="0"/>
          <w:numId w:val="52"/>
        </w:numPr>
      </w:pPr>
      <w:r w:rsidRPr="00B00CD2">
        <w:rPr>
          <w:b/>
          <w:bCs/>
        </w:rPr>
        <w:t xml:space="preserve">Blacktown </w:t>
      </w:r>
      <w:r w:rsidRPr="00B00CD2">
        <w:t>– open</w:t>
      </w:r>
      <w:r>
        <w:t>ed</w:t>
      </w:r>
      <w:r w:rsidRPr="00B00CD2">
        <w:t xml:space="preserve"> </w:t>
      </w:r>
      <w:r w:rsidRPr="00B00CD2">
        <w:rPr>
          <w:b/>
          <w:bCs/>
        </w:rPr>
        <w:t>Monday 3 May</w:t>
      </w:r>
      <w:r>
        <w:rPr>
          <w:b/>
          <w:bCs/>
        </w:rPr>
        <w:t xml:space="preserve"> – </w:t>
      </w:r>
      <w:r w:rsidRPr="00B00CD2">
        <w:rPr>
          <w:bCs/>
        </w:rPr>
        <w:t>open</w:t>
      </w:r>
      <w:r>
        <w:rPr>
          <w:b/>
          <w:bCs/>
        </w:rPr>
        <w:t xml:space="preserve"> </w:t>
      </w:r>
      <w:r w:rsidRPr="00B00CD2">
        <w:t>from 8am to 6pm, seven days a week</w:t>
      </w:r>
    </w:p>
    <w:p w:rsidR="00B00CD2" w:rsidRDefault="00B00CD2" w:rsidP="00B00CD2">
      <w:pPr>
        <w:pStyle w:val="ListParagraph"/>
        <w:numPr>
          <w:ilvl w:val="0"/>
          <w:numId w:val="52"/>
        </w:numPr>
      </w:pPr>
      <w:r w:rsidRPr="00B00CD2">
        <w:rPr>
          <w:b/>
          <w:bCs/>
        </w:rPr>
        <w:t xml:space="preserve">Campbelltown </w:t>
      </w:r>
      <w:r w:rsidRPr="00B00CD2">
        <w:t>– open</w:t>
      </w:r>
      <w:r w:rsidR="006B4A5C">
        <w:t>ed</w:t>
      </w:r>
      <w:r w:rsidRPr="00B00CD2">
        <w:t xml:space="preserve"> </w:t>
      </w:r>
      <w:r w:rsidRPr="00B00CD2">
        <w:rPr>
          <w:b/>
          <w:bCs/>
        </w:rPr>
        <w:t xml:space="preserve">Monday 10 May </w:t>
      </w:r>
      <w:r w:rsidRPr="00B00CD2">
        <w:t xml:space="preserve">from 8am to 6pm, seven days a week </w:t>
      </w:r>
    </w:p>
    <w:p w:rsidR="00B00CD2" w:rsidRDefault="00B00CD2" w:rsidP="00B00CD2">
      <w:pPr>
        <w:pStyle w:val="ListParagraph"/>
        <w:numPr>
          <w:ilvl w:val="0"/>
          <w:numId w:val="52"/>
        </w:numPr>
      </w:pPr>
      <w:r w:rsidRPr="00B00CD2">
        <w:rPr>
          <w:b/>
          <w:bCs/>
        </w:rPr>
        <w:t xml:space="preserve">Sydney CBD </w:t>
      </w:r>
      <w:r w:rsidRPr="00B00CD2">
        <w:t>– open</w:t>
      </w:r>
      <w:r w:rsidR="00170826">
        <w:t>s</w:t>
      </w:r>
      <w:r w:rsidRPr="00B00CD2">
        <w:t xml:space="preserve"> </w:t>
      </w:r>
      <w:r w:rsidRPr="00B00CD2">
        <w:rPr>
          <w:b/>
          <w:bCs/>
        </w:rPr>
        <w:t xml:space="preserve">Monday 24 May </w:t>
      </w:r>
      <w:r w:rsidRPr="00B00CD2">
        <w:t xml:space="preserve">from 8am to 6pm, seven days a week </w:t>
      </w:r>
    </w:p>
    <w:p w:rsidR="00B00CD2" w:rsidRDefault="00B00CD2" w:rsidP="00B00CD2">
      <w:pPr>
        <w:pStyle w:val="ListParagraph"/>
        <w:numPr>
          <w:ilvl w:val="0"/>
          <w:numId w:val="52"/>
        </w:numPr>
      </w:pPr>
      <w:r w:rsidRPr="00B00CD2">
        <w:rPr>
          <w:b/>
          <w:bCs/>
        </w:rPr>
        <w:lastRenderedPageBreak/>
        <w:t xml:space="preserve">Macquarie Park </w:t>
      </w:r>
      <w:r w:rsidRPr="00B00CD2">
        <w:t>– open</w:t>
      </w:r>
      <w:r w:rsidR="00170826">
        <w:t>s</w:t>
      </w:r>
      <w:r w:rsidRPr="00B00CD2">
        <w:t xml:space="preserve"> </w:t>
      </w:r>
      <w:r w:rsidRPr="00B00CD2">
        <w:rPr>
          <w:b/>
          <w:bCs/>
        </w:rPr>
        <w:t xml:space="preserve">Monday 24 May </w:t>
      </w:r>
      <w:r w:rsidRPr="00B00CD2">
        <w:t xml:space="preserve">from 2pm to 10pm Monday – Friday, and 8am to 6pm Saturday and Sunday. </w:t>
      </w:r>
    </w:p>
    <w:p w:rsidR="00A74D75" w:rsidRPr="00A74D75" w:rsidRDefault="00B00CD2" w:rsidP="006B4A5C">
      <w:pPr>
        <w:spacing w:before="0" w:after="0" w:line="240" w:lineRule="auto"/>
        <w:contextualSpacing/>
        <w:rPr>
          <w:b/>
          <w:lang w:val="en" w:eastAsia="en-AU"/>
        </w:rPr>
      </w:pPr>
      <w:r>
        <w:t xml:space="preserve">Bookings can be made via the </w:t>
      </w:r>
      <w:hyperlink r:id="rId8" w:history="1">
        <w:r w:rsidRPr="00B00CD2">
          <w:rPr>
            <w:rStyle w:val="Hyperlink"/>
          </w:rPr>
          <w:t>Sonic Healthcare vaccinations website</w:t>
        </w:r>
      </w:hyperlink>
      <w:r w:rsidRPr="00B00CD2">
        <w:t>.</w:t>
      </w:r>
      <w:r w:rsidR="00A74D75" w:rsidRPr="00A74D75">
        <w:rPr>
          <w:b/>
          <w:lang w:val="en" w:eastAsia="en-AU"/>
        </w:rPr>
        <w:br/>
      </w:r>
    </w:p>
    <w:p w:rsidR="00705ACB" w:rsidRDefault="00705ACB" w:rsidP="000C6AF3">
      <w:r w:rsidRPr="00513B47">
        <w:rPr>
          <w:b/>
        </w:rPr>
        <w:t>Disability w</w:t>
      </w:r>
      <w:r w:rsidR="00A74D75" w:rsidRPr="00513B47">
        <w:rPr>
          <w:b/>
        </w:rPr>
        <w:t>orkers aged 50 and over</w:t>
      </w:r>
      <w:r w:rsidR="00A74D75">
        <w:t xml:space="preserve"> can access the </w:t>
      </w:r>
      <w:r w:rsidR="00951C10">
        <w:t>AstraZeneca</w:t>
      </w:r>
      <w:r w:rsidR="00A74D75">
        <w:t xml:space="preserve"> vaccine at their local GP</w:t>
      </w:r>
      <w:r w:rsidR="006824E1">
        <w:t xml:space="preserve"> clinic</w:t>
      </w:r>
      <w:r w:rsidR="00A74D75">
        <w:t xml:space="preserve">, </w:t>
      </w:r>
      <w:r w:rsidR="006824E1">
        <w:t xml:space="preserve">Commonwealth Vaccination Centre (previously </w:t>
      </w:r>
      <w:r w:rsidR="00A74D75">
        <w:t>GP</w:t>
      </w:r>
      <w:r w:rsidR="00951C10">
        <w:t xml:space="preserve">-led </w:t>
      </w:r>
      <w:r w:rsidR="00A74D75">
        <w:t>Respiratory Clinic</w:t>
      </w:r>
      <w:r w:rsidR="006824E1">
        <w:t>s)</w:t>
      </w:r>
      <w:r w:rsidR="00A74D75">
        <w:t xml:space="preserve"> or Aboriginal Community Controlled Health Service (ACCHS). </w:t>
      </w:r>
      <w:r w:rsidR="00951C10">
        <w:t>P</w:t>
      </w:r>
      <w:r>
        <w:t xml:space="preserve">articipating clinics </w:t>
      </w:r>
      <w:r w:rsidR="00951C10">
        <w:t>can be found on</w:t>
      </w:r>
      <w:r>
        <w:t xml:space="preserve"> the </w:t>
      </w:r>
      <w:hyperlink r:id="rId9" w:history="1">
        <w:r w:rsidRPr="00951C10">
          <w:rPr>
            <w:rStyle w:val="Hyperlink"/>
          </w:rPr>
          <w:t>eligibility checker</w:t>
        </w:r>
      </w:hyperlink>
      <w:r w:rsidR="00951C10">
        <w:t>.</w:t>
      </w:r>
      <w:r>
        <w:t xml:space="preserve"> </w:t>
      </w:r>
    </w:p>
    <w:p w:rsidR="00705ACB" w:rsidRPr="000C6AF3" w:rsidRDefault="00705ACB" w:rsidP="000C6AF3">
      <w:r>
        <w:t>All disability workers can visit</w:t>
      </w:r>
      <w:r w:rsidR="00951C10">
        <w:t xml:space="preserve"> their</w:t>
      </w:r>
      <w:r>
        <w:t xml:space="preserve"> state </w:t>
      </w:r>
      <w:r w:rsidR="00951C10">
        <w:t xml:space="preserve">or </w:t>
      </w:r>
      <w:r>
        <w:t>territory government</w:t>
      </w:r>
      <w:r w:rsidR="00170826">
        <w:t>-</w:t>
      </w:r>
      <w:r>
        <w:t xml:space="preserve">run clinics to access the vaccine </w:t>
      </w:r>
      <w:r w:rsidR="00951C10">
        <w:t xml:space="preserve">recommended </w:t>
      </w:r>
      <w:r>
        <w:t xml:space="preserve">for their age. </w:t>
      </w:r>
      <w:r w:rsidR="00951C10">
        <w:t>Visit</w:t>
      </w:r>
      <w:r>
        <w:t xml:space="preserve"> your state or territory health department website for more information. </w:t>
      </w:r>
    </w:p>
    <w:p w:rsidR="00784879" w:rsidRDefault="00784879" w:rsidP="00DA5DF7">
      <w:pPr>
        <w:rPr>
          <w:rFonts w:eastAsiaTheme="majorEastAsia" w:cstheme="majorBidi"/>
          <w:b/>
          <w:color w:val="3665AE"/>
          <w:sz w:val="36"/>
          <w:szCs w:val="36"/>
        </w:rPr>
      </w:pPr>
      <w:r>
        <w:rPr>
          <w:rFonts w:eastAsiaTheme="majorEastAsia" w:cstheme="majorBidi"/>
          <w:b/>
          <w:color w:val="3665AE"/>
          <w:sz w:val="36"/>
          <w:szCs w:val="36"/>
        </w:rPr>
        <w:t xml:space="preserve">Disability provider updates on vaccination status of </w:t>
      </w:r>
      <w:r w:rsidR="00671562">
        <w:rPr>
          <w:rFonts w:eastAsiaTheme="majorEastAsia" w:cstheme="majorBidi"/>
          <w:b/>
          <w:color w:val="3665AE"/>
          <w:sz w:val="36"/>
          <w:szCs w:val="36"/>
        </w:rPr>
        <w:t>its</w:t>
      </w:r>
      <w:r>
        <w:rPr>
          <w:rFonts w:eastAsiaTheme="majorEastAsia" w:cstheme="majorBidi"/>
          <w:b/>
          <w:color w:val="3665AE"/>
          <w:sz w:val="36"/>
          <w:szCs w:val="36"/>
        </w:rPr>
        <w:t xml:space="preserve"> residents </w:t>
      </w:r>
    </w:p>
    <w:p w:rsidR="00784879" w:rsidRDefault="00784879" w:rsidP="00DA5DF7">
      <w:pPr>
        <w:rPr>
          <w:rFonts w:eastAsiaTheme="majorEastAsia" w:cstheme="majorBidi"/>
          <w:b/>
          <w:color w:val="3665AE"/>
          <w:sz w:val="36"/>
          <w:szCs w:val="36"/>
        </w:rPr>
      </w:pPr>
      <w:r>
        <w:t>The Department of Health is developing a template for disability prov</w:t>
      </w:r>
      <w:r w:rsidR="00671562">
        <w:t>iders to provide weekly update</w:t>
      </w:r>
      <w:r w:rsidR="006F0E9F">
        <w:t xml:space="preserve">s on the status of vaccination </w:t>
      </w:r>
      <w:r w:rsidR="00170826">
        <w:t>relating to their</w:t>
      </w:r>
      <w:r w:rsidR="00671562">
        <w:t xml:space="preserve"> residents. </w:t>
      </w:r>
      <w:r w:rsidR="00BD16F9">
        <w:t>This will be an ongoing process until all residents are vaccinated (or identified as choosing not to be vaccinated).</w:t>
      </w:r>
      <w:r w:rsidR="00671562">
        <w:t xml:space="preserve">This template will be provided shortly. </w:t>
      </w:r>
    </w:p>
    <w:p w:rsidR="006B4A5C" w:rsidRDefault="006B4A5C" w:rsidP="00DA5DF7">
      <w:pPr>
        <w:rPr>
          <w:rFonts w:eastAsiaTheme="majorEastAsia" w:cstheme="majorBidi"/>
          <w:b/>
          <w:color w:val="3665AE"/>
          <w:sz w:val="36"/>
          <w:szCs w:val="36"/>
        </w:rPr>
      </w:pPr>
      <w:r>
        <w:rPr>
          <w:rFonts w:eastAsiaTheme="majorEastAsia" w:cstheme="majorBidi"/>
          <w:b/>
          <w:color w:val="3665AE"/>
          <w:sz w:val="36"/>
          <w:szCs w:val="36"/>
        </w:rPr>
        <w:t>Benefits to getting the COVID-19 vaccine</w:t>
      </w:r>
    </w:p>
    <w:p w:rsidR="006B4A5C" w:rsidRPr="00C27CE8" w:rsidRDefault="006B4A5C" w:rsidP="006B4A5C">
      <w:pPr>
        <w:rPr>
          <w:rFonts w:eastAsiaTheme="majorEastAsia" w:cstheme="majorBidi"/>
        </w:rPr>
      </w:pPr>
      <w:r w:rsidRPr="00C27CE8">
        <w:rPr>
          <w:rFonts w:eastAsiaTheme="majorEastAsia" w:cstheme="majorBidi"/>
        </w:rPr>
        <w:t>Making safe and effective COVID-19 vaccines available to all Australians is a k</w:t>
      </w:r>
      <w:r w:rsidR="007B10CA">
        <w:rPr>
          <w:rFonts w:eastAsiaTheme="majorEastAsia" w:cstheme="majorBidi"/>
        </w:rPr>
        <w:t>ey priority of the Australian, state and t</w:t>
      </w:r>
      <w:r w:rsidRPr="00C27CE8">
        <w:rPr>
          <w:rFonts w:eastAsiaTheme="majorEastAsia" w:cstheme="majorBidi"/>
        </w:rPr>
        <w:t xml:space="preserve">erritory governments. </w:t>
      </w:r>
      <w:r w:rsidR="00C27CE8" w:rsidRPr="00C27CE8">
        <w:rPr>
          <w:rFonts w:eastAsiaTheme="majorEastAsia" w:cstheme="majorBidi"/>
        </w:rPr>
        <w:t>Getting vaccinated against COVID-19 is a safe and effective way of protecting you, your family and the community.</w:t>
      </w:r>
    </w:p>
    <w:p w:rsidR="00C27CE8" w:rsidRPr="00C27CE8" w:rsidRDefault="00C27CE8" w:rsidP="00C27CE8">
      <w:pPr>
        <w:rPr>
          <w:rFonts w:eastAsiaTheme="majorEastAsia" w:cstheme="majorBidi"/>
        </w:rPr>
      </w:pPr>
      <w:r w:rsidRPr="00C27CE8">
        <w:rPr>
          <w:rFonts w:eastAsiaTheme="majorEastAsia" w:cstheme="majorBidi"/>
        </w:rPr>
        <w:t xml:space="preserve">When you decide to receive a vaccine it’s important you understand the benefits and risks associated with both: </w:t>
      </w:r>
    </w:p>
    <w:p w:rsidR="00C27CE8" w:rsidRPr="00C27CE8" w:rsidRDefault="00C27CE8" w:rsidP="00C27CE8">
      <w:pPr>
        <w:pStyle w:val="ListParagraph"/>
        <w:numPr>
          <w:ilvl w:val="0"/>
          <w:numId w:val="53"/>
        </w:numPr>
        <w:rPr>
          <w:rFonts w:eastAsiaTheme="majorEastAsia" w:cstheme="majorBidi"/>
        </w:rPr>
      </w:pPr>
      <w:r w:rsidRPr="00C27CE8">
        <w:rPr>
          <w:rFonts w:eastAsiaTheme="majorEastAsia" w:cstheme="majorBidi"/>
        </w:rPr>
        <w:t xml:space="preserve">receiving the vaccine, and </w:t>
      </w:r>
    </w:p>
    <w:p w:rsidR="00C27CE8" w:rsidRPr="00C27CE8" w:rsidRDefault="00C27CE8" w:rsidP="00C27CE8">
      <w:pPr>
        <w:pStyle w:val="ListParagraph"/>
        <w:numPr>
          <w:ilvl w:val="0"/>
          <w:numId w:val="53"/>
        </w:numPr>
        <w:rPr>
          <w:rFonts w:eastAsiaTheme="majorEastAsia" w:cstheme="majorBidi"/>
        </w:rPr>
      </w:pPr>
      <w:proofErr w:type="gramStart"/>
      <w:r w:rsidRPr="00C27CE8">
        <w:rPr>
          <w:rFonts w:eastAsiaTheme="majorEastAsia" w:cstheme="majorBidi"/>
        </w:rPr>
        <w:t>not</w:t>
      </w:r>
      <w:proofErr w:type="gramEnd"/>
      <w:r w:rsidRPr="00C27CE8">
        <w:rPr>
          <w:rFonts w:eastAsiaTheme="majorEastAsia" w:cstheme="majorBidi"/>
        </w:rPr>
        <w:t xml:space="preserve"> receiving the vaccine. </w:t>
      </w:r>
    </w:p>
    <w:p w:rsidR="00C27CE8" w:rsidRDefault="00C27CE8" w:rsidP="00C27CE8">
      <w:pPr>
        <w:rPr>
          <w:rFonts w:eastAsiaTheme="majorEastAsia" w:cstheme="majorBidi"/>
        </w:rPr>
      </w:pPr>
      <w:r w:rsidRPr="00C27CE8">
        <w:rPr>
          <w:rFonts w:eastAsiaTheme="majorEastAsia" w:cstheme="majorBidi"/>
        </w:rPr>
        <w:t xml:space="preserve">It is also important that you are aware of side effects that may occur. Understanding these benefits and risks </w:t>
      </w:r>
      <w:r w:rsidR="006A0710">
        <w:rPr>
          <w:rFonts w:eastAsiaTheme="majorEastAsia" w:cstheme="majorBidi"/>
        </w:rPr>
        <w:t>will</w:t>
      </w:r>
      <w:r w:rsidR="006A0710" w:rsidRPr="00C27CE8">
        <w:rPr>
          <w:rFonts w:eastAsiaTheme="majorEastAsia" w:cstheme="majorBidi"/>
        </w:rPr>
        <w:t xml:space="preserve"> </w:t>
      </w:r>
      <w:r w:rsidRPr="00C27CE8">
        <w:rPr>
          <w:rFonts w:eastAsiaTheme="majorEastAsia" w:cstheme="majorBidi"/>
        </w:rPr>
        <w:t xml:space="preserve">help you to make an informed decision. </w:t>
      </w:r>
    </w:p>
    <w:p w:rsidR="005654B3" w:rsidRPr="00C27CE8" w:rsidRDefault="005654B3" w:rsidP="00C27CE8">
      <w:pPr>
        <w:rPr>
          <w:rFonts w:eastAsiaTheme="majorEastAsia" w:cstheme="majorBidi"/>
        </w:rPr>
      </w:pPr>
      <w:r w:rsidRPr="005654B3">
        <w:rPr>
          <w:rFonts w:eastAsiaTheme="majorEastAsia" w:cstheme="majorBidi"/>
        </w:rPr>
        <w:t>In people 50 years and over, ATAGI continue</w:t>
      </w:r>
      <w:r w:rsidR="006A0710">
        <w:rPr>
          <w:rFonts w:eastAsiaTheme="majorEastAsia" w:cstheme="majorBidi"/>
        </w:rPr>
        <w:t>s</w:t>
      </w:r>
      <w:r w:rsidRPr="005654B3">
        <w:rPr>
          <w:rFonts w:eastAsiaTheme="majorEastAsia" w:cstheme="majorBidi"/>
        </w:rPr>
        <w:t xml:space="preserve"> to advise that the benefit</w:t>
      </w:r>
      <w:r w:rsidR="006A0710">
        <w:rPr>
          <w:rFonts w:eastAsiaTheme="majorEastAsia" w:cstheme="majorBidi"/>
        </w:rPr>
        <w:t>s</w:t>
      </w:r>
      <w:r w:rsidRPr="005654B3">
        <w:rPr>
          <w:rFonts w:eastAsiaTheme="majorEastAsia" w:cstheme="majorBidi"/>
        </w:rPr>
        <w:t xml:space="preserve"> of vaccination with </w:t>
      </w:r>
      <w:r w:rsidR="006A0710">
        <w:rPr>
          <w:rFonts w:eastAsiaTheme="majorEastAsia" w:cstheme="majorBidi"/>
        </w:rPr>
        <w:t xml:space="preserve">the </w:t>
      </w:r>
      <w:r w:rsidRPr="005654B3">
        <w:rPr>
          <w:rFonts w:eastAsiaTheme="majorEastAsia" w:cstheme="majorBidi"/>
        </w:rPr>
        <w:t>AstraZeneca COVID</w:t>
      </w:r>
      <w:r w:rsidR="006A0710">
        <w:rPr>
          <w:rFonts w:eastAsiaTheme="majorEastAsia" w:cstheme="majorBidi"/>
        </w:rPr>
        <w:t>-19</w:t>
      </w:r>
      <w:r w:rsidRPr="005654B3">
        <w:rPr>
          <w:rFonts w:eastAsiaTheme="majorEastAsia" w:cstheme="majorBidi"/>
        </w:rPr>
        <w:t xml:space="preserve"> vaccine outweigh the risks associated with vaccination. This is due to the ongoing potential for COVID-19 outbreaks, the widespread susceptibility of the Australian population, and the strong relationship of severe COVID-19 and mortality with increasing age.</w:t>
      </w:r>
    </w:p>
    <w:p w:rsidR="00C27CE8" w:rsidRPr="00C27CE8" w:rsidRDefault="00C27CE8" w:rsidP="00C27CE8">
      <w:pPr>
        <w:rPr>
          <w:rFonts w:eastAsiaTheme="majorEastAsia" w:cstheme="majorBidi"/>
        </w:rPr>
      </w:pPr>
      <w:r w:rsidRPr="00C27CE8">
        <w:rPr>
          <w:rFonts w:eastAsiaTheme="majorEastAsia" w:cstheme="majorBidi"/>
        </w:rPr>
        <w:t>If you’re unsure, it’s a good idea to speak with your GP or other health professional. They can help you make a decision that is right for your personal situation.</w:t>
      </w:r>
    </w:p>
    <w:p w:rsidR="00C27CE8" w:rsidRPr="00C27CE8" w:rsidRDefault="00C27CE8" w:rsidP="006B4A5C">
      <w:pPr>
        <w:rPr>
          <w:rFonts w:eastAsiaTheme="majorEastAsia" w:cstheme="majorBidi"/>
        </w:rPr>
      </w:pPr>
      <w:r w:rsidRPr="00C27CE8">
        <w:rPr>
          <w:rFonts w:eastAsiaTheme="majorEastAsia" w:cstheme="majorBidi"/>
        </w:rPr>
        <w:t xml:space="preserve">A </w:t>
      </w:r>
      <w:hyperlink r:id="rId10" w:history="1">
        <w:r w:rsidRPr="00C27CE8">
          <w:rPr>
            <w:rStyle w:val="Hyperlink"/>
            <w:rFonts w:eastAsiaTheme="majorEastAsia" w:cstheme="majorBidi"/>
            <w:color w:val="auto"/>
          </w:rPr>
          <w:t>decision guide</w:t>
        </w:r>
      </w:hyperlink>
      <w:r w:rsidRPr="00C27CE8">
        <w:rPr>
          <w:rFonts w:eastAsiaTheme="majorEastAsia" w:cstheme="majorBidi"/>
        </w:rPr>
        <w:t xml:space="preserve"> is also available to help you make an informed choice about getting vaccinated.</w:t>
      </w:r>
    </w:p>
    <w:p w:rsidR="00513B47" w:rsidRDefault="007B10CA" w:rsidP="00DA5DF7">
      <w:pPr>
        <w:rPr>
          <w:rFonts w:eastAsiaTheme="majorEastAsia" w:cstheme="majorBidi"/>
          <w:b/>
          <w:color w:val="3665AE"/>
          <w:sz w:val="36"/>
          <w:szCs w:val="36"/>
        </w:rPr>
      </w:pPr>
      <w:r>
        <w:rPr>
          <w:rFonts w:eastAsiaTheme="majorEastAsia" w:cstheme="majorBidi"/>
          <w:b/>
          <w:color w:val="3665AE"/>
          <w:sz w:val="36"/>
          <w:szCs w:val="36"/>
        </w:rPr>
        <w:t>Social media content for f</w:t>
      </w:r>
      <w:r w:rsidR="00DA5DF7" w:rsidRPr="00513B47">
        <w:rPr>
          <w:rFonts w:eastAsiaTheme="majorEastAsia" w:cstheme="majorBidi"/>
          <w:b/>
          <w:color w:val="3665AE"/>
          <w:sz w:val="36"/>
          <w:szCs w:val="36"/>
        </w:rPr>
        <w:t xml:space="preserve">lu and COVID-19 vaccinations </w:t>
      </w:r>
    </w:p>
    <w:p w:rsidR="007B10CA" w:rsidRDefault="007B10CA" w:rsidP="00DA5DF7">
      <w:pPr>
        <w:rPr>
          <w:b/>
          <w:bCs/>
        </w:rPr>
      </w:pPr>
    </w:p>
    <w:p w:rsidR="00DA5DF7" w:rsidRPr="00DA5DF7" w:rsidRDefault="00DA5DF7" w:rsidP="00DA5DF7">
      <w:r w:rsidRPr="00DA5DF7">
        <w:rPr>
          <w:b/>
          <w:bCs/>
        </w:rPr>
        <w:t xml:space="preserve">Instagram </w:t>
      </w:r>
    </w:p>
    <w:p w:rsidR="00DA5DF7" w:rsidRPr="00DA5DF7" w:rsidRDefault="00DA5DF7" w:rsidP="00DA5DF7">
      <w:r w:rsidRPr="00DA5DF7">
        <w:t xml:space="preserve">The seasonal flu vaccine is now available. You should wait at least 14 days between getting the seasonal flu vaccine and a dose of the #COVID19 vaccine. </w:t>
      </w:r>
    </w:p>
    <w:p w:rsidR="00DA5DF7" w:rsidRPr="00DA5DF7" w:rsidRDefault="00DA5DF7" w:rsidP="00DA5DF7">
      <w:r w:rsidRPr="00DA5DF7">
        <w:t>It is important to plan when you will get your flu vaccine and COVID-19 vaccine with your doctor.</w:t>
      </w:r>
    </w:p>
    <w:p w:rsidR="00DA5DF7" w:rsidRPr="00DA5DF7" w:rsidRDefault="00DA5DF7" w:rsidP="00DA5DF7">
      <w:r w:rsidRPr="00DA5DF7">
        <w:t>#vaccines #COVID-19vaccines</w:t>
      </w:r>
    </w:p>
    <w:p w:rsidR="00DA5DF7" w:rsidRPr="00DA5DF7" w:rsidRDefault="00DA5DF7" w:rsidP="00DA5DF7">
      <w:r w:rsidRPr="00DA5DF7">
        <w:rPr>
          <w:b/>
          <w:bCs/>
        </w:rPr>
        <w:t xml:space="preserve">Facebook </w:t>
      </w:r>
    </w:p>
    <w:p w:rsidR="00DA5DF7" w:rsidRPr="00DA5DF7" w:rsidRDefault="00DA5DF7" w:rsidP="00DA5DF7">
      <w:r w:rsidRPr="00DA5DF7">
        <w:t xml:space="preserve">The seasonal flu vaccine is now available. You should wait at least 14 days between getting the seasonal flu vaccine and a dose of the #COVID19 vaccine. </w:t>
      </w:r>
    </w:p>
    <w:p w:rsidR="00DA5DF7" w:rsidRPr="00DA5DF7" w:rsidRDefault="00DA5DF7" w:rsidP="00DA5DF7">
      <w:r w:rsidRPr="00DA5DF7">
        <w:t>It is important to plan when you will get your flu vaccine and COVID-19 vaccine with your doctor</w:t>
      </w:r>
      <w:r w:rsidR="006A0710">
        <w:t>.</w:t>
      </w:r>
    </w:p>
    <w:p w:rsidR="00DA5DF7" w:rsidRPr="00DA5DF7" w:rsidRDefault="00DA5DF7" w:rsidP="00DA5DF7">
      <w:r w:rsidRPr="00DA5DF7">
        <w:t xml:space="preserve">To find out more about COVID-19 vaccines, visit the Department of Health website: </w:t>
      </w:r>
      <w:hyperlink r:id="rId11" w:history="1">
        <w:r w:rsidRPr="00DA5DF7">
          <w:rPr>
            <w:rStyle w:val="Hyperlink"/>
          </w:rPr>
          <w:t>https://www.health.gov.au/initiatives-and-programs/covid-19-vaccines/getting-vaccinated-for-covid-19/information-for-people-with-disability-about-covid-19-vaccines</w:t>
        </w:r>
      </w:hyperlink>
      <w:r w:rsidR="008D6923">
        <w:rPr>
          <w:rStyle w:val="Hyperlink"/>
        </w:rPr>
        <w:t xml:space="preserve"> </w:t>
      </w:r>
      <w:r w:rsidRPr="00DA5DF7">
        <w:t xml:space="preserve">  </w:t>
      </w:r>
    </w:p>
    <w:p w:rsidR="00DA5DF7" w:rsidRPr="00DA5DF7" w:rsidRDefault="00DA5DF7" w:rsidP="00DA5DF7">
      <w:r w:rsidRPr="00DA5DF7">
        <w:rPr>
          <w:b/>
          <w:bCs/>
        </w:rPr>
        <w:t>Twitter/LinkedIn</w:t>
      </w:r>
    </w:p>
    <w:p w:rsidR="00DA5DF7" w:rsidRPr="00DA5DF7" w:rsidRDefault="00DA5DF7" w:rsidP="00DA5DF7">
      <w:r w:rsidRPr="00DA5DF7">
        <w:t xml:space="preserve">The seasonal flu vaccine is now available. You should wait at least 14 days between the seasonal flu vaccine and a dose of the #COVID19 vaccine. </w:t>
      </w:r>
    </w:p>
    <w:p w:rsidR="00DA5DF7" w:rsidRPr="00DA5DF7" w:rsidRDefault="00DA5DF7" w:rsidP="00DA5DF7">
      <w:r w:rsidRPr="00DA5DF7">
        <w:t>Make sure you plan when you will get your flu vaccine and COVID-19 vaccine with your doctor.</w:t>
      </w:r>
    </w:p>
    <w:p w:rsidR="00DA5DF7" w:rsidRPr="00DA5DF7" w:rsidRDefault="00DA5DF7" w:rsidP="00DA5DF7">
      <w:r w:rsidRPr="00DA5DF7">
        <w:t>#covid19vaccines #coronavirus</w:t>
      </w:r>
    </w:p>
    <w:p w:rsidR="00914E45" w:rsidRPr="00593D5F" w:rsidRDefault="00D03BC6" w:rsidP="00914E45">
      <w:pPr>
        <w:pStyle w:val="Heading2"/>
      </w:pPr>
      <w:r>
        <w:t>Webpage u</w:t>
      </w:r>
      <w:r w:rsidR="00914E45">
        <w:t xml:space="preserve">pdates for people with disability </w:t>
      </w:r>
    </w:p>
    <w:p w:rsidR="00C543AC" w:rsidRDefault="00D03BC6" w:rsidP="00914E45">
      <w:r>
        <w:t>The department’s</w:t>
      </w:r>
      <w:r w:rsidR="00914E45">
        <w:t xml:space="preserve"> </w:t>
      </w:r>
      <w:r w:rsidR="00C543AC" w:rsidRPr="00914E45">
        <w:t xml:space="preserve">webpage </w:t>
      </w:r>
      <w:hyperlink r:id="rId12" w:history="1">
        <w:r w:rsidR="00C543AC" w:rsidRPr="001C7EFE">
          <w:rPr>
            <w:rStyle w:val="Hyperlink"/>
          </w:rPr>
          <w:t>Information for people with disability about COVID-19 vaccines</w:t>
        </w:r>
      </w:hyperlink>
      <w:r w:rsidR="00C543AC" w:rsidRPr="00914E45">
        <w:t xml:space="preserve"> has been updated. </w:t>
      </w:r>
      <w:r w:rsidR="006B4A5C">
        <w:t xml:space="preserve"> </w:t>
      </w:r>
      <w:r w:rsidR="00B643D6">
        <w:t xml:space="preserve"> </w:t>
      </w:r>
      <w:r w:rsidR="00914E45">
        <w:t xml:space="preserve"> </w:t>
      </w:r>
      <w:r w:rsidR="00B643D6">
        <w:t xml:space="preserve"> </w:t>
      </w:r>
    </w:p>
    <w:p w:rsidR="001C7EFE" w:rsidRDefault="001C7EFE" w:rsidP="001C7EFE">
      <w:r>
        <w:t xml:space="preserve">A new </w:t>
      </w:r>
      <w:hyperlink r:id="rId13" w:history="1">
        <w:r w:rsidRPr="001C7EFE">
          <w:rPr>
            <w:rStyle w:val="Hyperlink"/>
          </w:rPr>
          <w:t>AstraZeneca Easy Read</w:t>
        </w:r>
      </w:hyperlink>
      <w:r>
        <w:t xml:space="preserve"> has also been added to the webpage.    </w:t>
      </w:r>
    </w:p>
    <w:p w:rsidR="009864AD" w:rsidRPr="0087715C" w:rsidRDefault="00A143A5" w:rsidP="009E4347">
      <w:pPr>
        <w:pStyle w:val="Heading2"/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eastAsia="Times New Roman"/>
          <w:sz w:val="28"/>
          <w:szCs w:val="28"/>
          <w:lang w:val="en" w:eastAsia="en-AU"/>
        </w:rPr>
      </w:pPr>
      <w:r w:rsidRPr="0087715C">
        <w:rPr>
          <w:rFonts w:eastAsia="Times New Roman"/>
          <w:sz w:val="28"/>
          <w:szCs w:val="28"/>
          <w:lang w:val="en" w:eastAsia="en-AU"/>
        </w:rPr>
        <w:t>For m</w:t>
      </w:r>
      <w:r w:rsidR="000D360D" w:rsidRPr="0087715C">
        <w:rPr>
          <w:rFonts w:eastAsia="Times New Roman"/>
          <w:sz w:val="28"/>
          <w:szCs w:val="28"/>
          <w:lang w:val="en" w:eastAsia="en-AU"/>
        </w:rPr>
        <w:t xml:space="preserve">ore information </w:t>
      </w:r>
      <w:r w:rsidRPr="0087715C">
        <w:rPr>
          <w:rFonts w:eastAsia="Times New Roman"/>
          <w:sz w:val="28"/>
          <w:szCs w:val="28"/>
          <w:lang w:val="en" w:eastAsia="en-AU"/>
        </w:rPr>
        <w:t xml:space="preserve">call </w:t>
      </w:r>
      <w:r w:rsidR="000D360D" w:rsidRPr="0087715C">
        <w:rPr>
          <w:rFonts w:eastAsia="Times New Roman"/>
          <w:sz w:val="28"/>
          <w:szCs w:val="28"/>
          <w:lang w:val="en" w:eastAsia="en-AU"/>
        </w:rPr>
        <w:t xml:space="preserve">the National Coronavirus and </w:t>
      </w:r>
      <w:r w:rsidR="009E4347">
        <w:rPr>
          <w:rFonts w:eastAsia="Times New Roman"/>
          <w:sz w:val="28"/>
          <w:szCs w:val="28"/>
          <w:lang w:val="en" w:eastAsia="en-AU"/>
        </w:rPr>
        <w:br/>
      </w:r>
      <w:r w:rsidR="000D360D" w:rsidRPr="0087715C">
        <w:rPr>
          <w:rFonts w:eastAsia="Times New Roman"/>
          <w:sz w:val="28"/>
          <w:szCs w:val="28"/>
          <w:lang w:val="en" w:eastAsia="en-AU"/>
        </w:rPr>
        <w:t>COVID-19 Vaccination Helpline on 1800 020 080.</w:t>
      </w:r>
    </w:p>
    <w:p w:rsidR="00346A88" w:rsidRDefault="002379F3">
      <w:pPr>
        <w:spacing w:before="0" w:after="0" w:line="240" w:lineRule="auto"/>
        <w:rPr>
          <w:rFonts w:eastAsiaTheme="majorEastAsia" w:cstheme="majorBidi"/>
          <w:b/>
          <w:color w:val="3665AE"/>
          <w:sz w:val="36"/>
          <w:szCs w:val="36"/>
        </w:rPr>
      </w:pPr>
      <w:r>
        <w:t xml:space="preserve"> </w:t>
      </w:r>
    </w:p>
    <w:p w:rsidR="0042061C" w:rsidRPr="00D45169" w:rsidRDefault="0042061C" w:rsidP="00EF287D">
      <w:pPr>
        <w:pStyle w:val="ListParagraph"/>
        <w:ind w:left="644"/>
        <w:rPr>
          <w:b/>
        </w:rPr>
      </w:pPr>
    </w:p>
    <w:sectPr w:rsidR="0042061C" w:rsidRPr="00D45169" w:rsidSect="00C61C7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5B" w:rsidRDefault="0078385B" w:rsidP="00CE7D4D">
      <w:r>
        <w:separator/>
      </w:r>
    </w:p>
  </w:endnote>
  <w:endnote w:type="continuationSeparator" w:id="0">
    <w:p w:rsidR="0078385B" w:rsidRDefault="0078385B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3839D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173C4C17" wp14:editId="7F3FC6EC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5B" w:rsidRDefault="0078385B" w:rsidP="00CE7D4D">
      <w:r>
        <w:separator/>
      </w:r>
    </w:p>
  </w:footnote>
  <w:footnote w:type="continuationSeparator" w:id="0">
    <w:p w:rsidR="0078385B" w:rsidRDefault="0078385B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3FBCF692" wp14:editId="4F4C05B2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32836285" wp14:editId="75674E85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0C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3E1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0EE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E4C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27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2F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A84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048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942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F1426"/>
    <w:multiLevelType w:val="hybridMultilevel"/>
    <w:tmpl w:val="81F408CE"/>
    <w:lvl w:ilvl="0" w:tplc="7BC6DA7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904AF"/>
    <w:multiLevelType w:val="hybridMultilevel"/>
    <w:tmpl w:val="20E090E6"/>
    <w:lvl w:ilvl="0" w:tplc="DED40D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B7ACA"/>
    <w:multiLevelType w:val="hybridMultilevel"/>
    <w:tmpl w:val="E5E6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396551"/>
    <w:multiLevelType w:val="hybridMultilevel"/>
    <w:tmpl w:val="379CC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4A4FE5"/>
    <w:multiLevelType w:val="hybridMultilevel"/>
    <w:tmpl w:val="7D5C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776CB4"/>
    <w:multiLevelType w:val="hybridMultilevel"/>
    <w:tmpl w:val="A4525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25F27"/>
    <w:multiLevelType w:val="hybridMultilevel"/>
    <w:tmpl w:val="334E7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6B47B5"/>
    <w:multiLevelType w:val="hybridMultilevel"/>
    <w:tmpl w:val="CFBCD5AC"/>
    <w:lvl w:ilvl="0" w:tplc="C93469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811CF6"/>
    <w:multiLevelType w:val="hybridMultilevel"/>
    <w:tmpl w:val="5942D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C4584"/>
    <w:multiLevelType w:val="hybridMultilevel"/>
    <w:tmpl w:val="3A9CC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8D505C"/>
    <w:multiLevelType w:val="hybridMultilevel"/>
    <w:tmpl w:val="4EB25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D2B0E"/>
    <w:multiLevelType w:val="hybridMultilevel"/>
    <w:tmpl w:val="E97AA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44AEA"/>
    <w:multiLevelType w:val="hybridMultilevel"/>
    <w:tmpl w:val="70F04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C8739D"/>
    <w:multiLevelType w:val="hybridMultilevel"/>
    <w:tmpl w:val="40F2D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0455D"/>
    <w:multiLevelType w:val="hybridMultilevel"/>
    <w:tmpl w:val="7F50A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776AF4"/>
    <w:multiLevelType w:val="multilevel"/>
    <w:tmpl w:val="C44C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DA7DC8"/>
    <w:multiLevelType w:val="hybridMultilevel"/>
    <w:tmpl w:val="84EE1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60888"/>
    <w:multiLevelType w:val="hybridMultilevel"/>
    <w:tmpl w:val="028AE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B20CE0"/>
    <w:multiLevelType w:val="hybridMultilevel"/>
    <w:tmpl w:val="1A663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8B51E8"/>
    <w:multiLevelType w:val="hybridMultilevel"/>
    <w:tmpl w:val="E73A1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696426"/>
    <w:multiLevelType w:val="hybridMultilevel"/>
    <w:tmpl w:val="DF74E0D6"/>
    <w:lvl w:ilvl="0" w:tplc="62C0B7C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B28A5"/>
    <w:multiLevelType w:val="hybridMultilevel"/>
    <w:tmpl w:val="1E446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DD4EE0"/>
    <w:multiLevelType w:val="hybridMultilevel"/>
    <w:tmpl w:val="3BF6C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5E0526"/>
    <w:multiLevelType w:val="hybridMultilevel"/>
    <w:tmpl w:val="486CE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0362E6"/>
    <w:multiLevelType w:val="hybridMultilevel"/>
    <w:tmpl w:val="C7D84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43130A"/>
    <w:multiLevelType w:val="hybridMultilevel"/>
    <w:tmpl w:val="1098F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55050F"/>
    <w:multiLevelType w:val="hybridMultilevel"/>
    <w:tmpl w:val="ED14C7EE"/>
    <w:lvl w:ilvl="0" w:tplc="6B8C519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01102"/>
    <w:multiLevelType w:val="multilevel"/>
    <w:tmpl w:val="7D5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D92161"/>
    <w:multiLevelType w:val="hybridMultilevel"/>
    <w:tmpl w:val="BA18C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53169"/>
    <w:multiLevelType w:val="hybridMultilevel"/>
    <w:tmpl w:val="7DA2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66AA"/>
    <w:multiLevelType w:val="hybridMultilevel"/>
    <w:tmpl w:val="ADD4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174888"/>
    <w:multiLevelType w:val="hybridMultilevel"/>
    <w:tmpl w:val="79149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40337"/>
    <w:multiLevelType w:val="hybridMultilevel"/>
    <w:tmpl w:val="1212A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30350"/>
    <w:multiLevelType w:val="hybridMultilevel"/>
    <w:tmpl w:val="7B04B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118A6"/>
    <w:multiLevelType w:val="hybridMultilevel"/>
    <w:tmpl w:val="A3242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320E85"/>
    <w:multiLevelType w:val="hybridMultilevel"/>
    <w:tmpl w:val="82D47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C51DB5"/>
    <w:multiLevelType w:val="hybridMultilevel"/>
    <w:tmpl w:val="A134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1"/>
  </w:num>
  <w:num w:numId="14">
    <w:abstractNumId w:val="38"/>
  </w:num>
  <w:num w:numId="15">
    <w:abstractNumId w:val="10"/>
  </w:num>
  <w:num w:numId="16">
    <w:abstractNumId w:val="49"/>
  </w:num>
  <w:num w:numId="17">
    <w:abstractNumId w:val="33"/>
  </w:num>
  <w:num w:numId="18">
    <w:abstractNumId w:val="14"/>
  </w:num>
  <w:num w:numId="19">
    <w:abstractNumId w:val="22"/>
  </w:num>
  <w:num w:numId="20">
    <w:abstractNumId w:val="51"/>
  </w:num>
  <w:num w:numId="21">
    <w:abstractNumId w:val="42"/>
  </w:num>
  <w:num w:numId="22">
    <w:abstractNumId w:val="46"/>
  </w:num>
  <w:num w:numId="23">
    <w:abstractNumId w:val="16"/>
  </w:num>
  <w:num w:numId="24">
    <w:abstractNumId w:val="50"/>
  </w:num>
  <w:num w:numId="25">
    <w:abstractNumId w:val="17"/>
  </w:num>
  <w:num w:numId="26">
    <w:abstractNumId w:val="40"/>
  </w:num>
  <w:num w:numId="27">
    <w:abstractNumId w:val="25"/>
  </w:num>
  <w:num w:numId="28">
    <w:abstractNumId w:val="35"/>
  </w:num>
  <w:num w:numId="29">
    <w:abstractNumId w:val="13"/>
  </w:num>
  <w:num w:numId="30">
    <w:abstractNumId w:val="23"/>
  </w:num>
  <w:num w:numId="31">
    <w:abstractNumId w:val="28"/>
  </w:num>
  <w:num w:numId="32">
    <w:abstractNumId w:val="37"/>
  </w:num>
  <w:num w:numId="33">
    <w:abstractNumId w:val="30"/>
  </w:num>
  <w:num w:numId="34">
    <w:abstractNumId w:val="24"/>
  </w:num>
  <w:num w:numId="35">
    <w:abstractNumId w:val="44"/>
  </w:num>
  <w:num w:numId="36">
    <w:abstractNumId w:val="48"/>
  </w:num>
  <w:num w:numId="37">
    <w:abstractNumId w:val="34"/>
  </w:num>
  <w:num w:numId="38">
    <w:abstractNumId w:val="36"/>
  </w:num>
  <w:num w:numId="39">
    <w:abstractNumId w:val="18"/>
  </w:num>
  <w:num w:numId="40">
    <w:abstractNumId w:val="39"/>
  </w:num>
  <w:num w:numId="41">
    <w:abstractNumId w:val="26"/>
  </w:num>
  <w:num w:numId="42">
    <w:abstractNumId w:val="27"/>
  </w:num>
  <w:num w:numId="43">
    <w:abstractNumId w:val="20"/>
  </w:num>
  <w:num w:numId="44">
    <w:abstractNumId w:val="12"/>
  </w:num>
  <w:num w:numId="45">
    <w:abstractNumId w:val="11"/>
  </w:num>
  <w:num w:numId="46">
    <w:abstractNumId w:val="31"/>
  </w:num>
  <w:num w:numId="47">
    <w:abstractNumId w:val="15"/>
  </w:num>
  <w:num w:numId="48">
    <w:abstractNumId w:val="19"/>
  </w:num>
  <w:num w:numId="49">
    <w:abstractNumId w:val="52"/>
  </w:num>
  <w:num w:numId="50">
    <w:abstractNumId w:val="32"/>
  </w:num>
  <w:num w:numId="51">
    <w:abstractNumId w:val="29"/>
  </w:num>
  <w:num w:numId="52">
    <w:abstractNumId w:val="47"/>
  </w:num>
  <w:num w:numId="53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5E"/>
    <w:rsid w:val="00000197"/>
    <w:rsid w:val="00005C6B"/>
    <w:rsid w:val="00007A3C"/>
    <w:rsid w:val="00025C4A"/>
    <w:rsid w:val="00031E66"/>
    <w:rsid w:val="00045CAE"/>
    <w:rsid w:val="00052742"/>
    <w:rsid w:val="0005282D"/>
    <w:rsid w:val="00071CA6"/>
    <w:rsid w:val="00082485"/>
    <w:rsid w:val="000824E2"/>
    <w:rsid w:val="000921EC"/>
    <w:rsid w:val="000B0742"/>
    <w:rsid w:val="000B3C9B"/>
    <w:rsid w:val="000B6604"/>
    <w:rsid w:val="000C2FEC"/>
    <w:rsid w:val="000C6AF3"/>
    <w:rsid w:val="000C7484"/>
    <w:rsid w:val="000C7CEC"/>
    <w:rsid w:val="000D083B"/>
    <w:rsid w:val="000D177F"/>
    <w:rsid w:val="000D360D"/>
    <w:rsid w:val="000D5955"/>
    <w:rsid w:val="000D787F"/>
    <w:rsid w:val="000E449A"/>
    <w:rsid w:val="000E7174"/>
    <w:rsid w:val="000F5D35"/>
    <w:rsid w:val="000F71A5"/>
    <w:rsid w:val="00115015"/>
    <w:rsid w:val="00116CA8"/>
    <w:rsid w:val="0013264D"/>
    <w:rsid w:val="00140D3C"/>
    <w:rsid w:val="00141433"/>
    <w:rsid w:val="00146E3E"/>
    <w:rsid w:val="00170826"/>
    <w:rsid w:val="00177561"/>
    <w:rsid w:val="001778A2"/>
    <w:rsid w:val="0018013C"/>
    <w:rsid w:val="00183F41"/>
    <w:rsid w:val="00193F1A"/>
    <w:rsid w:val="00195361"/>
    <w:rsid w:val="001A2AB8"/>
    <w:rsid w:val="001A76C1"/>
    <w:rsid w:val="001A77AA"/>
    <w:rsid w:val="001B2076"/>
    <w:rsid w:val="001B3624"/>
    <w:rsid w:val="001B51DF"/>
    <w:rsid w:val="001C0320"/>
    <w:rsid w:val="001C0346"/>
    <w:rsid w:val="001C2A5D"/>
    <w:rsid w:val="001C7EFE"/>
    <w:rsid w:val="001D105B"/>
    <w:rsid w:val="001D44BE"/>
    <w:rsid w:val="00204305"/>
    <w:rsid w:val="002050DA"/>
    <w:rsid w:val="002147B1"/>
    <w:rsid w:val="00221E5E"/>
    <w:rsid w:val="00225063"/>
    <w:rsid w:val="00230342"/>
    <w:rsid w:val="00232C41"/>
    <w:rsid w:val="00236CB1"/>
    <w:rsid w:val="002379F3"/>
    <w:rsid w:val="002465F5"/>
    <w:rsid w:val="00252DD3"/>
    <w:rsid w:val="0026396B"/>
    <w:rsid w:val="00265D30"/>
    <w:rsid w:val="00266FE4"/>
    <w:rsid w:val="00270C76"/>
    <w:rsid w:val="002712C0"/>
    <w:rsid w:val="00274442"/>
    <w:rsid w:val="00275270"/>
    <w:rsid w:val="0027687D"/>
    <w:rsid w:val="00277408"/>
    <w:rsid w:val="00282489"/>
    <w:rsid w:val="0029274E"/>
    <w:rsid w:val="002A6113"/>
    <w:rsid w:val="002B15DE"/>
    <w:rsid w:val="002F6867"/>
    <w:rsid w:val="003011C4"/>
    <w:rsid w:val="00306ED1"/>
    <w:rsid w:val="0032665A"/>
    <w:rsid w:val="00331635"/>
    <w:rsid w:val="00331E56"/>
    <w:rsid w:val="003353BF"/>
    <w:rsid w:val="00341A67"/>
    <w:rsid w:val="00342D9F"/>
    <w:rsid w:val="00342DA6"/>
    <w:rsid w:val="00344917"/>
    <w:rsid w:val="00346A88"/>
    <w:rsid w:val="00353FE4"/>
    <w:rsid w:val="00354C4C"/>
    <w:rsid w:val="00356F58"/>
    <w:rsid w:val="00367A58"/>
    <w:rsid w:val="0037538C"/>
    <w:rsid w:val="00375EC1"/>
    <w:rsid w:val="003839DE"/>
    <w:rsid w:val="00383F88"/>
    <w:rsid w:val="003869F9"/>
    <w:rsid w:val="003900E7"/>
    <w:rsid w:val="0039034D"/>
    <w:rsid w:val="00397029"/>
    <w:rsid w:val="003A3F78"/>
    <w:rsid w:val="003A42A7"/>
    <w:rsid w:val="003C1A65"/>
    <w:rsid w:val="003C5AC0"/>
    <w:rsid w:val="003C6770"/>
    <w:rsid w:val="003C78E5"/>
    <w:rsid w:val="003D2564"/>
    <w:rsid w:val="003D2BCA"/>
    <w:rsid w:val="003D7721"/>
    <w:rsid w:val="003F1AD2"/>
    <w:rsid w:val="003F2FBF"/>
    <w:rsid w:val="003F560D"/>
    <w:rsid w:val="003F75AF"/>
    <w:rsid w:val="0040177B"/>
    <w:rsid w:val="00404F5F"/>
    <w:rsid w:val="00411D9C"/>
    <w:rsid w:val="004152C3"/>
    <w:rsid w:val="00416204"/>
    <w:rsid w:val="0042061C"/>
    <w:rsid w:val="00423187"/>
    <w:rsid w:val="004314F7"/>
    <w:rsid w:val="004355E0"/>
    <w:rsid w:val="00435E89"/>
    <w:rsid w:val="004471EF"/>
    <w:rsid w:val="00450393"/>
    <w:rsid w:val="00464379"/>
    <w:rsid w:val="004662DF"/>
    <w:rsid w:val="0047050F"/>
    <w:rsid w:val="00470865"/>
    <w:rsid w:val="00470F08"/>
    <w:rsid w:val="004715CD"/>
    <w:rsid w:val="00472A24"/>
    <w:rsid w:val="00473E38"/>
    <w:rsid w:val="004756C3"/>
    <w:rsid w:val="00485A2F"/>
    <w:rsid w:val="00493E88"/>
    <w:rsid w:val="004A000E"/>
    <w:rsid w:val="004A214F"/>
    <w:rsid w:val="004A6D37"/>
    <w:rsid w:val="004C0D70"/>
    <w:rsid w:val="004C6F2D"/>
    <w:rsid w:val="004E3E3F"/>
    <w:rsid w:val="004E4082"/>
    <w:rsid w:val="004F3946"/>
    <w:rsid w:val="004F5BF7"/>
    <w:rsid w:val="004F6612"/>
    <w:rsid w:val="00505008"/>
    <w:rsid w:val="00505C52"/>
    <w:rsid w:val="00506436"/>
    <w:rsid w:val="00507E57"/>
    <w:rsid w:val="00510EC1"/>
    <w:rsid w:val="00513B47"/>
    <w:rsid w:val="005146D3"/>
    <w:rsid w:val="00514F87"/>
    <w:rsid w:val="005175F9"/>
    <w:rsid w:val="00517CF4"/>
    <w:rsid w:val="00531FBB"/>
    <w:rsid w:val="00537635"/>
    <w:rsid w:val="0054748B"/>
    <w:rsid w:val="0055039E"/>
    <w:rsid w:val="00553EF8"/>
    <w:rsid w:val="0055520B"/>
    <w:rsid w:val="005559FC"/>
    <w:rsid w:val="00555DBE"/>
    <w:rsid w:val="0056044B"/>
    <w:rsid w:val="005605AD"/>
    <w:rsid w:val="005654B3"/>
    <w:rsid w:val="00566CF1"/>
    <w:rsid w:val="00567B41"/>
    <w:rsid w:val="005708B5"/>
    <w:rsid w:val="00577798"/>
    <w:rsid w:val="00577962"/>
    <w:rsid w:val="00581D09"/>
    <w:rsid w:val="00587069"/>
    <w:rsid w:val="005901F5"/>
    <w:rsid w:val="00591CDA"/>
    <w:rsid w:val="00593D5F"/>
    <w:rsid w:val="005944D1"/>
    <w:rsid w:val="00597A33"/>
    <w:rsid w:val="005A298F"/>
    <w:rsid w:val="005A4FA9"/>
    <w:rsid w:val="005A6F0C"/>
    <w:rsid w:val="005A7E8A"/>
    <w:rsid w:val="005B39BB"/>
    <w:rsid w:val="005B6774"/>
    <w:rsid w:val="005B7E15"/>
    <w:rsid w:val="005D2987"/>
    <w:rsid w:val="005E05A3"/>
    <w:rsid w:val="005E0AB9"/>
    <w:rsid w:val="005E67B8"/>
    <w:rsid w:val="005F6C21"/>
    <w:rsid w:val="005F7722"/>
    <w:rsid w:val="00611606"/>
    <w:rsid w:val="0061300D"/>
    <w:rsid w:val="00614B45"/>
    <w:rsid w:val="00617B36"/>
    <w:rsid w:val="0063059B"/>
    <w:rsid w:val="0063459E"/>
    <w:rsid w:val="00644B12"/>
    <w:rsid w:val="006604F9"/>
    <w:rsid w:val="00663DCB"/>
    <w:rsid w:val="00665291"/>
    <w:rsid w:val="00665549"/>
    <w:rsid w:val="006657F0"/>
    <w:rsid w:val="0066726A"/>
    <w:rsid w:val="00671562"/>
    <w:rsid w:val="00673492"/>
    <w:rsid w:val="0068136F"/>
    <w:rsid w:val="006824E1"/>
    <w:rsid w:val="00682713"/>
    <w:rsid w:val="006A0710"/>
    <w:rsid w:val="006A1D14"/>
    <w:rsid w:val="006A24C6"/>
    <w:rsid w:val="006A6DA1"/>
    <w:rsid w:val="006B2519"/>
    <w:rsid w:val="006B2887"/>
    <w:rsid w:val="006B4A08"/>
    <w:rsid w:val="006B4A5C"/>
    <w:rsid w:val="006C6DB3"/>
    <w:rsid w:val="006D7DC9"/>
    <w:rsid w:val="006E7E3B"/>
    <w:rsid w:val="006F0E9F"/>
    <w:rsid w:val="006F0FF1"/>
    <w:rsid w:val="006F3C33"/>
    <w:rsid w:val="007004A6"/>
    <w:rsid w:val="00702FDF"/>
    <w:rsid w:val="00703903"/>
    <w:rsid w:val="00705ACB"/>
    <w:rsid w:val="00706151"/>
    <w:rsid w:val="00711812"/>
    <w:rsid w:val="00716EE6"/>
    <w:rsid w:val="00723AC7"/>
    <w:rsid w:val="00727D33"/>
    <w:rsid w:val="007318BB"/>
    <w:rsid w:val="00731E3A"/>
    <w:rsid w:val="00732F26"/>
    <w:rsid w:val="00735EB1"/>
    <w:rsid w:val="0073755F"/>
    <w:rsid w:val="007479FE"/>
    <w:rsid w:val="00747EBC"/>
    <w:rsid w:val="00751BBE"/>
    <w:rsid w:val="007837E4"/>
    <w:rsid w:val="0078385B"/>
    <w:rsid w:val="0078435A"/>
    <w:rsid w:val="00784879"/>
    <w:rsid w:val="007901B8"/>
    <w:rsid w:val="00793261"/>
    <w:rsid w:val="0079419C"/>
    <w:rsid w:val="00796ECA"/>
    <w:rsid w:val="007A1A4A"/>
    <w:rsid w:val="007A213E"/>
    <w:rsid w:val="007B10CA"/>
    <w:rsid w:val="007B207A"/>
    <w:rsid w:val="007B3156"/>
    <w:rsid w:val="007B5298"/>
    <w:rsid w:val="007C319E"/>
    <w:rsid w:val="007D0CD8"/>
    <w:rsid w:val="007E2463"/>
    <w:rsid w:val="007E36C5"/>
    <w:rsid w:val="007E37F9"/>
    <w:rsid w:val="007E49EA"/>
    <w:rsid w:val="007F1C2D"/>
    <w:rsid w:val="007F5CC3"/>
    <w:rsid w:val="00800130"/>
    <w:rsid w:val="008062C1"/>
    <w:rsid w:val="008078AC"/>
    <w:rsid w:val="0081274F"/>
    <w:rsid w:val="008169CC"/>
    <w:rsid w:val="008201FF"/>
    <w:rsid w:val="00822CD2"/>
    <w:rsid w:val="00822D26"/>
    <w:rsid w:val="00825C40"/>
    <w:rsid w:val="00835A53"/>
    <w:rsid w:val="008375A5"/>
    <w:rsid w:val="0084078C"/>
    <w:rsid w:val="00842B7B"/>
    <w:rsid w:val="00845C2F"/>
    <w:rsid w:val="008467D9"/>
    <w:rsid w:val="00852F0B"/>
    <w:rsid w:val="00853260"/>
    <w:rsid w:val="008541BB"/>
    <w:rsid w:val="0085680E"/>
    <w:rsid w:val="008631C8"/>
    <w:rsid w:val="00871532"/>
    <w:rsid w:val="0087715C"/>
    <w:rsid w:val="008805C4"/>
    <w:rsid w:val="00882362"/>
    <w:rsid w:val="0088239E"/>
    <w:rsid w:val="00885EC5"/>
    <w:rsid w:val="008A2BA8"/>
    <w:rsid w:val="008A628E"/>
    <w:rsid w:val="008B2EC7"/>
    <w:rsid w:val="008D6923"/>
    <w:rsid w:val="008F1A76"/>
    <w:rsid w:val="008F22B2"/>
    <w:rsid w:val="0090006F"/>
    <w:rsid w:val="00902A69"/>
    <w:rsid w:val="00914E45"/>
    <w:rsid w:val="00925BE3"/>
    <w:rsid w:val="00930D98"/>
    <w:rsid w:val="009338FD"/>
    <w:rsid w:val="0094001F"/>
    <w:rsid w:val="00943B6D"/>
    <w:rsid w:val="00943D9B"/>
    <w:rsid w:val="00951C10"/>
    <w:rsid w:val="009605E2"/>
    <w:rsid w:val="009631A7"/>
    <w:rsid w:val="00966110"/>
    <w:rsid w:val="009760B5"/>
    <w:rsid w:val="009864AD"/>
    <w:rsid w:val="00986A36"/>
    <w:rsid w:val="0099503B"/>
    <w:rsid w:val="0099536D"/>
    <w:rsid w:val="00997A88"/>
    <w:rsid w:val="009B01E9"/>
    <w:rsid w:val="009B18CA"/>
    <w:rsid w:val="009B45BF"/>
    <w:rsid w:val="009B6151"/>
    <w:rsid w:val="009B6D16"/>
    <w:rsid w:val="009C60A4"/>
    <w:rsid w:val="009C78E5"/>
    <w:rsid w:val="009D2355"/>
    <w:rsid w:val="009D633F"/>
    <w:rsid w:val="009E4347"/>
    <w:rsid w:val="009E43AF"/>
    <w:rsid w:val="009E5615"/>
    <w:rsid w:val="009E7C5E"/>
    <w:rsid w:val="00A044AC"/>
    <w:rsid w:val="00A07A3D"/>
    <w:rsid w:val="00A143A5"/>
    <w:rsid w:val="00A153F1"/>
    <w:rsid w:val="00A22D89"/>
    <w:rsid w:val="00A2309A"/>
    <w:rsid w:val="00A23BF9"/>
    <w:rsid w:val="00A35853"/>
    <w:rsid w:val="00A43384"/>
    <w:rsid w:val="00A63166"/>
    <w:rsid w:val="00A7468E"/>
    <w:rsid w:val="00A74D75"/>
    <w:rsid w:val="00A76983"/>
    <w:rsid w:val="00A81AFF"/>
    <w:rsid w:val="00A84077"/>
    <w:rsid w:val="00AA1BF5"/>
    <w:rsid w:val="00AA21D9"/>
    <w:rsid w:val="00AA2F07"/>
    <w:rsid w:val="00AB048F"/>
    <w:rsid w:val="00AC33EC"/>
    <w:rsid w:val="00AC7925"/>
    <w:rsid w:val="00AE38E1"/>
    <w:rsid w:val="00AE71FF"/>
    <w:rsid w:val="00B00CD2"/>
    <w:rsid w:val="00B0263B"/>
    <w:rsid w:val="00B04E6C"/>
    <w:rsid w:val="00B13920"/>
    <w:rsid w:val="00B151E1"/>
    <w:rsid w:val="00B1716B"/>
    <w:rsid w:val="00B174A8"/>
    <w:rsid w:val="00B25B8C"/>
    <w:rsid w:val="00B34278"/>
    <w:rsid w:val="00B43E2C"/>
    <w:rsid w:val="00B44149"/>
    <w:rsid w:val="00B44519"/>
    <w:rsid w:val="00B53C13"/>
    <w:rsid w:val="00B63EE7"/>
    <w:rsid w:val="00B63F52"/>
    <w:rsid w:val="00B643D6"/>
    <w:rsid w:val="00B677C2"/>
    <w:rsid w:val="00B8167B"/>
    <w:rsid w:val="00B8215E"/>
    <w:rsid w:val="00B8301C"/>
    <w:rsid w:val="00B83EA7"/>
    <w:rsid w:val="00B8652A"/>
    <w:rsid w:val="00B873F0"/>
    <w:rsid w:val="00BA1FCB"/>
    <w:rsid w:val="00BC2437"/>
    <w:rsid w:val="00BC3EEE"/>
    <w:rsid w:val="00BD16F9"/>
    <w:rsid w:val="00BD4A6E"/>
    <w:rsid w:val="00BD54C3"/>
    <w:rsid w:val="00BD7DFC"/>
    <w:rsid w:val="00BE16B7"/>
    <w:rsid w:val="00BE64A2"/>
    <w:rsid w:val="00BF7DC4"/>
    <w:rsid w:val="00C161C4"/>
    <w:rsid w:val="00C16484"/>
    <w:rsid w:val="00C17EB9"/>
    <w:rsid w:val="00C20FD4"/>
    <w:rsid w:val="00C2515D"/>
    <w:rsid w:val="00C27CE8"/>
    <w:rsid w:val="00C339AB"/>
    <w:rsid w:val="00C35221"/>
    <w:rsid w:val="00C543AC"/>
    <w:rsid w:val="00C54434"/>
    <w:rsid w:val="00C549EC"/>
    <w:rsid w:val="00C54A0B"/>
    <w:rsid w:val="00C56635"/>
    <w:rsid w:val="00C603F8"/>
    <w:rsid w:val="00C6095F"/>
    <w:rsid w:val="00C61C7E"/>
    <w:rsid w:val="00C70C51"/>
    <w:rsid w:val="00C74FB6"/>
    <w:rsid w:val="00C74FEA"/>
    <w:rsid w:val="00C83A9E"/>
    <w:rsid w:val="00C90B00"/>
    <w:rsid w:val="00C96A3B"/>
    <w:rsid w:val="00CA0F1D"/>
    <w:rsid w:val="00CA69F5"/>
    <w:rsid w:val="00CB3DC1"/>
    <w:rsid w:val="00CC29AF"/>
    <w:rsid w:val="00CC5155"/>
    <w:rsid w:val="00CC581B"/>
    <w:rsid w:val="00CE4946"/>
    <w:rsid w:val="00CE6E32"/>
    <w:rsid w:val="00CE7D4D"/>
    <w:rsid w:val="00CF24C3"/>
    <w:rsid w:val="00D033C4"/>
    <w:rsid w:val="00D03BC6"/>
    <w:rsid w:val="00D04151"/>
    <w:rsid w:val="00D24736"/>
    <w:rsid w:val="00D40098"/>
    <w:rsid w:val="00D4113C"/>
    <w:rsid w:val="00D4348D"/>
    <w:rsid w:val="00D45169"/>
    <w:rsid w:val="00D4728F"/>
    <w:rsid w:val="00D500CA"/>
    <w:rsid w:val="00D564D7"/>
    <w:rsid w:val="00D66289"/>
    <w:rsid w:val="00D712FF"/>
    <w:rsid w:val="00D75D1B"/>
    <w:rsid w:val="00D801B7"/>
    <w:rsid w:val="00D850E1"/>
    <w:rsid w:val="00D85C7C"/>
    <w:rsid w:val="00D9134F"/>
    <w:rsid w:val="00D94458"/>
    <w:rsid w:val="00D970B6"/>
    <w:rsid w:val="00DA5DF7"/>
    <w:rsid w:val="00DB1C1A"/>
    <w:rsid w:val="00DB244E"/>
    <w:rsid w:val="00DB6F55"/>
    <w:rsid w:val="00DC53C2"/>
    <w:rsid w:val="00DD7677"/>
    <w:rsid w:val="00DD788E"/>
    <w:rsid w:val="00DE3210"/>
    <w:rsid w:val="00DF582B"/>
    <w:rsid w:val="00DF5AD7"/>
    <w:rsid w:val="00E01BF7"/>
    <w:rsid w:val="00E05EBF"/>
    <w:rsid w:val="00E06DAA"/>
    <w:rsid w:val="00E07EE8"/>
    <w:rsid w:val="00E101E8"/>
    <w:rsid w:val="00E12E6C"/>
    <w:rsid w:val="00E14A41"/>
    <w:rsid w:val="00E23AF8"/>
    <w:rsid w:val="00E25672"/>
    <w:rsid w:val="00E37552"/>
    <w:rsid w:val="00E40DB4"/>
    <w:rsid w:val="00E42ADD"/>
    <w:rsid w:val="00E42DE2"/>
    <w:rsid w:val="00E52CE1"/>
    <w:rsid w:val="00E55537"/>
    <w:rsid w:val="00E564FD"/>
    <w:rsid w:val="00E56E6E"/>
    <w:rsid w:val="00E74B17"/>
    <w:rsid w:val="00E909C7"/>
    <w:rsid w:val="00EB264A"/>
    <w:rsid w:val="00EB34C7"/>
    <w:rsid w:val="00EC1AD9"/>
    <w:rsid w:val="00EC3098"/>
    <w:rsid w:val="00EC3224"/>
    <w:rsid w:val="00EC323C"/>
    <w:rsid w:val="00EC7DA6"/>
    <w:rsid w:val="00ED2012"/>
    <w:rsid w:val="00ED3034"/>
    <w:rsid w:val="00ED3094"/>
    <w:rsid w:val="00ED554C"/>
    <w:rsid w:val="00EE2DBA"/>
    <w:rsid w:val="00EF287D"/>
    <w:rsid w:val="00EF397F"/>
    <w:rsid w:val="00EF4313"/>
    <w:rsid w:val="00EF77EF"/>
    <w:rsid w:val="00F023B4"/>
    <w:rsid w:val="00F11039"/>
    <w:rsid w:val="00F25A4F"/>
    <w:rsid w:val="00F30766"/>
    <w:rsid w:val="00F34922"/>
    <w:rsid w:val="00F34A50"/>
    <w:rsid w:val="00F432F8"/>
    <w:rsid w:val="00F5672C"/>
    <w:rsid w:val="00F61DEC"/>
    <w:rsid w:val="00F77B13"/>
    <w:rsid w:val="00F922F3"/>
    <w:rsid w:val="00F94722"/>
    <w:rsid w:val="00F94950"/>
    <w:rsid w:val="00F95601"/>
    <w:rsid w:val="00F95E86"/>
    <w:rsid w:val="00FA4C77"/>
    <w:rsid w:val="00FB5B94"/>
    <w:rsid w:val="00FC2B79"/>
    <w:rsid w:val="00FC40CC"/>
    <w:rsid w:val="00FD14A0"/>
    <w:rsid w:val="00FD38E6"/>
    <w:rsid w:val="00FD5848"/>
    <w:rsid w:val="00FE32D5"/>
    <w:rsid w:val="00FE7990"/>
    <w:rsid w:val="00FF0CE8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02A69"/>
    <w:pPr>
      <w:keepNext/>
      <w:keepLines/>
      <w:spacing w:before="24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2A69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nicvaccinations.com.au/" TargetMode="External"/><Relationship Id="rId13" Type="http://schemas.openxmlformats.org/officeDocument/2006/relationships/hyperlink" Target="https://www.health.gov.au/resources/publications/covid-19-vaccination-the-astrazeneca-vaccine-easy-re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gov.au/initiatives-and-programs/covid-19-vaccines/getting-vaccinated-for-covid-19/information-for-people-with-disability-about-covid-19-vaccin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initiatives-and-programs/covid-19-vaccines/getting-vaccinated-for-covid-19/information-for-people-with-disability-about-covid-19-vaccin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ealth.gov.au/resources/publications/covid-19-vaccination-weighing-up-the-potential-benefits-against-risk-of-harm-from-covid-19-vaccine-astrazene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apps-and-tools/covid-19-vaccine-eligibility-checke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10D7-4668-442F-AE30-841A9A3F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13 May 2021</vt:lpstr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13 May 2021</dc:title>
  <dc:subject>Communicable diseases; Disability; Emergency health management</dc:subject>
  <dc:creator>Australian Government Department of Health</dc:creator>
  <cp:keywords>covid-19; coronavirus; vaccines; disability</cp:keywords>
  <dc:description/>
  <cp:lastModifiedBy>KENNEDY, Emma</cp:lastModifiedBy>
  <cp:revision>3</cp:revision>
  <cp:lastPrinted>2021-02-23T09:57:00Z</cp:lastPrinted>
  <dcterms:created xsi:type="dcterms:W3CDTF">2021-05-13T06:52:00Z</dcterms:created>
  <dcterms:modified xsi:type="dcterms:W3CDTF">2021-05-13T07:08:00Z</dcterms:modified>
</cp:coreProperties>
</file>