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80" w:rsidRDefault="000C5F5E" w:rsidP="002200B1">
      <w:pPr>
        <w:pStyle w:val="Header"/>
        <w:tabs>
          <w:tab w:val="clear" w:pos="4153"/>
          <w:tab w:val="clear" w:pos="8306"/>
        </w:tabs>
        <w:spacing w:line="288" w:lineRule="auto"/>
      </w:pPr>
      <w:bookmarkStart w:id="0" w:name="RecipNameAddr"/>
      <w:bookmarkEnd w:id="0"/>
      <w:r>
        <w:rPr>
          <w:noProof/>
          <w:lang w:eastAsia="en-AU"/>
        </w:rPr>
        <mc:AlternateContent>
          <mc:Choice Requires="wps">
            <w:drawing>
              <wp:anchor distT="0" distB="0" distL="114300" distR="114300" simplePos="0" relativeHeight="251658240" behindDoc="0" locked="0" layoutInCell="1" allowOverlap="1" wp14:anchorId="0CD6D517" wp14:editId="28B98C14">
                <wp:simplePos x="0" y="0"/>
                <wp:positionH relativeFrom="column">
                  <wp:posOffset>-409575</wp:posOffset>
                </wp:positionH>
                <wp:positionV relativeFrom="paragraph">
                  <wp:posOffset>67311</wp:posOffset>
                </wp:positionV>
                <wp:extent cx="6629400" cy="6381750"/>
                <wp:effectExtent l="19050" t="19050" r="38100" b="38100"/>
                <wp:wrapNone/>
                <wp:docPr id="3" name="Text Box 2" title="Blue border box containing information on the content of the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381750"/>
                        </a:xfrm>
                        <a:prstGeom prst="rect">
                          <a:avLst/>
                        </a:prstGeom>
                        <a:solidFill>
                          <a:srgbClr val="FFFFFF"/>
                        </a:solidFill>
                        <a:ln w="57150" cmpd="thickThin">
                          <a:solidFill>
                            <a:srgbClr val="3366FF"/>
                          </a:solidFill>
                          <a:miter lim="800000"/>
                          <a:headEnd/>
                          <a:tailEnd/>
                        </a:ln>
                      </wps:spPr>
                      <wps:txbx>
                        <w:txbxContent>
                          <w:p w:rsidR="00CD037C" w:rsidDel="00DB705A" w:rsidRDefault="00CD037C" w:rsidP="003C293F">
                            <w:pPr>
                              <w:pStyle w:val="FrontPage-Heading1"/>
                            </w:pPr>
                            <w:r>
                              <w:t xml:space="preserve">MINISTERIAL GUIDELINES </w:t>
                            </w:r>
                            <w:r w:rsidRPr="00DB705A">
                              <w:t xml:space="preserve">FOR THE CHILD DENTAL BENEFITS SCHEDULE: </w:t>
                            </w:r>
                            <w:r>
                              <w:br/>
                            </w:r>
                            <w:r w:rsidRPr="00DB705A">
                              <w:t xml:space="preserve">EXTENUATING CIRCUMSTANCES FOR INFORMED FINANCIAL CONSENT </w:t>
                            </w:r>
                          </w:p>
                          <w:p w:rsidR="00CD037C" w:rsidRPr="00B158B5" w:rsidRDefault="00CD037C" w:rsidP="00AC2991">
                            <w:pPr>
                              <w:spacing w:before="120"/>
                              <w:jc w:val="center"/>
                              <w:rPr>
                                <w:rFonts w:ascii="Arial" w:hAnsi="Arial" w:cs="Arial"/>
                                <w:i/>
                                <w:sz w:val="32"/>
                                <w:szCs w:val="32"/>
                                <w:lang w:val="en-US"/>
                              </w:rPr>
                            </w:pPr>
                            <w:r>
                              <w:rPr>
                                <w:rFonts w:ascii="Arial" w:hAnsi="Arial" w:cs="Arial"/>
                                <w:i/>
                                <w:sz w:val="32"/>
                                <w:szCs w:val="32"/>
                                <w:lang w:val="en-US"/>
                              </w:rPr>
                              <w:t>Issued by the Minister for Health</w:t>
                            </w:r>
                          </w:p>
                          <w:p w:rsidR="00CD037C" w:rsidRPr="007C214F" w:rsidRDefault="00CD037C" w:rsidP="003C293F">
                            <w:pPr>
                              <w:pStyle w:val="FrontPage-Heading2"/>
                            </w:pPr>
                            <w:r>
                              <w:t>Dental Benefits Act 2008</w:t>
                            </w:r>
                          </w:p>
                          <w:p w:rsidR="00CD037C" w:rsidRPr="005B5FC6" w:rsidRDefault="00CD037C" w:rsidP="003C293F">
                            <w:pPr>
                              <w:pStyle w:val="FrontPage-Heading3"/>
                            </w:pPr>
                            <w:r w:rsidRPr="005B5FC6">
                              <w:t>Dental Benefits Rules 2013</w:t>
                            </w:r>
                          </w:p>
                          <w:p w:rsidR="00CD037C" w:rsidRDefault="00CD037C" w:rsidP="003C293F">
                            <w:pPr>
                              <w:pStyle w:val="FrontPage-Heading3"/>
                            </w:pPr>
                            <w:r>
                              <w:t>Rule 15 (6) and Rule 15 (7)</w:t>
                            </w:r>
                          </w:p>
                          <w:p w:rsidR="00CD037C" w:rsidRPr="00C657F0" w:rsidRDefault="00CD037C" w:rsidP="003C293F">
                            <w:pPr>
                              <w:pStyle w:val="FrontPage-Heading4"/>
                            </w:pPr>
                            <w:r>
                              <w:t>These Ministerial Guidelines set out the extenuating circumstances in which dental providers will be exempt from complying with certain conditions outlined in the informed financial consent requirements of Rule 15 of the Dental Benefits Rules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Blue border box containing information on the content of the document" style="position:absolute;margin-left:-32.25pt;margin-top:5.3pt;width:522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" strokecolor="#36f" strokeweight="4.5pt">
                <v:stroke linestyle="thickThin"/>
                <v:textbox>
                  <w:txbxContent>
                    <w:p w:rsidR="00CD037C" w:rsidDel="00DB705A" w:rsidRDefault="00CD037C" w:rsidP="003C293F">
                      <w:pPr>
                        <w:pStyle w:val="FrontPage-Heading1"/>
                      </w:pPr>
                      <w:r>
                        <w:t xml:space="preserve">MINISTERIAL GUIDELINES </w:t>
                      </w:r>
                      <w:r w:rsidRPr="00DB705A">
                        <w:t xml:space="preserve">FOR THE CHILD DENTAL BENEFITS SCHEDULE: </w:t>
                      </w:r>
                      <w:r>
                        <w:br/>
                      </w:r>
                      <w:r w:rsidRPr="00DB705A">
                        <w:t xml:space="preserve">EXTENUATING CIRCUMSTANCES FOR INFORMED FINANCIAL CONSENT </w:t>
                      </w:r>
                    </w:p>
                    <w:p w:rsidR="00CD037C" w:rsidRPr="00B158B5" w:rsidRDefault="00CD037C" w:rsidP="00AC2991">
                      <w:pPr>
                        <w:spacing w:before="120"/>
                        <w:jc w:val="center"/>
                        <w:rPr>
                          <w:rFonts w:ascii="Arial" w:hAnsi="Arial" w:cs="Arial"/>
                          <w:i/>
                          <w:sz w:val="32"/>
                          <w:szCs w:val="32"/>
                          <w:lang w:val="en-US"/>
                        </w:rPr>
                      </w:pPr>
                      <w:r>
                        <w:rPr>
                          <w:rFonts w:ascii="Arial" w:hAnsi="Arial" w:cs="Arial"/>
                          <w:i/>
                          <w:sz w:val="32"/>
                          <w:szCs w:val="32"/>
                          <w:lang w:val="en-US"/>
                        </w:rPr>
                        <w:t>Issued by the Minister for Health</w:t>
                      </w:r>
                    </w:p>
                    <w:p w:rsidR="00CD037C" w:rsidRPr="007C214F" w:rsidRDefault="00CD037C" w:rsidP="003C293F">
                      <w:pPr>
                        <w:pStyle w:val="FrontPage-Heading2"/>
                      </w:pPr>
                      <w:r>
                        <w:t>Dental Benefits Act 2008</w:t>
                      </w:r>
                    </w:p>
                    <w:p w:rsidR="00CD037C" w:rsidRPr="005B5FC6" w:rsidRDefault="00CD037C" w:rsidP="003C293F">
                      <w:pPr>
                        <w:pStyle w:val="FrontPage-Heading3"/>
                      </w:pPr>
                      <w:r w:rsidRPr="005B5FC6">
                        <w:t>Dental Benefits Rules 2013</w:t>
                      </w:r>
                    </w:p>
                    <w:p w:rsidR="00CD037C" w:rsidRDefault="00CD037C" w:rsidP="003C293F">
                      <w:pPr>
                        <w:pStyle w:val="FrontPage-Heading3"/>
                      </w:pPr>
                      <w:r>
                        <w:t>Rule 15 (6) and Rule 15 (7)</w:t>
                      </w:r>
                    </w:p>
                    <w:p w:rsidR="00CD037C" w:rsidRPr="00C657F0" w:rsidRDefault="00CD037C" w:rsidP="003C293F">
                      <w:pPr>
                        <w:pStyle w:val="FrontPage-Heading4"/>
                      </w:pPr>
                      <w:r>
                        <w:t>These Ministerial Guidelines set out the extenuating circumstances in which dental providers will be exempt from complying with certain conditions outlined in the informed financial consent requirements of Rule 15 of the Dental Benefits Rules 2013.</w:t>
                      </w:r>
                    </w:p>
                  </w:txbxContent>
                </v:textbox>
              </v:shape>
            </w:pict>
          </mc:Fallback>
        </mc:AlternateContent>
      </w:r>
    </w:p>
    <w:p w:rsidR="00935A80" w:rsidRDefault="00935A80" w:rsidP="002200B1">
      <w:pPr>
        <w:pStyle w:val="Header"/>
        <w:tabs>
          <w:tab w:val="clear" w:pos="4153"/>
          <w:tab w:val="clear" w:pos="8306"/>
        </w:tabs>
        <w:spacing w:line="288" w:lineRule="auto"/>
      </w:pPr>
    </w:p>
    <w:p w:rsidR="00935A80" w:rsidRDefault="00935A80" w:rsidP="002200B1">
      <w:pPr>
        <w:spacing w:line="288" w:lineRule="auto"/>
      </w:pPr>
    </w:p>
    <w:p w:rsidR="00935A80" w:rsidRDefault="00935A80" w:rsidP="002200B1">
      <w:pPr>
        <w:spacing w:line="288" w:lineRule="auto"/>
      </w:pPr>
    </w:p>
    <w:p w:rsidR="00935A80" w:rsidRDefault="00935A80" w:rsidP="002200B1">
      <w:pPr>
        <w:spacing w:line="288" w:lineRule="auto"/>
      </w:pPr>
      <w:bookmarkStart w:id="1" w:name="Start"/>
      <w:bookmarkEnd w:id="1"/>
    </w:p>
    <w:p w:rsidR="000C5F5E" w:rsidRDefault="000C5F5E" w:rsidP="002200B1">
      <w:pPr>
        <w:spacing w:line="288" w:lineRule="auto"/>
      </w:pPr>
    </w:p>
    <w:p w:rsidR="000C5F5E" w:rsidRPr="000C5F5E" w:rsidRDefault="000C5F5E" w:rsidP="002200B1">
      <w:pPr>
        <w:spacing w:line="288" w:lineRule="auto"/>
      </w:pPr>
    </w:p>
    <w:p w:rsidR="000C5F5E" w:rsidRPr="000C5F5E" w:rsidRDefault="000C5F5E" w:rsidP="002200B1">
      <w:pPr>
        <w:spacing w:line="288" w:lineRule="auto"/>
      </w:pPr>
    </w:p>
    <w:p w:rsidR="000C5F5E" w:rsidRPr="000C5F5E" w:rsidRDefault="000C5F5E" w:rsidP="002200B1">
      <w:pPr>
        <w:spacing w:line="288" w:lineRule="auto"/>
      </w:pPr>
    </w:p>
    <w:p w:rsidR="000C5F5E" w:rsidRPr="000C5F5E" w:rsidRDefault="000C5F5E" w:rsidP="002200B1">
      <w:pPr>
        <w:spacing w:line="288" w:lineRule="auto"/>
      </w:pPr>
    </w:p>
    <w:p w:rsidR="000C5F5E" w:rsidRPr="000C5F5E" w:rsidRDefault="000C5F5E" w:rsidP="002200B1">
      <w:pPr>
        <w:spacing w:line="288" w:lineRule="auto"/>
      </w:pPr>
    </w:p>
    <w:p w:rsidR="000C5F5E" w:rsidRPr="000C5F5E" w:rsidRDefault="000C5F5E" w:rsidP="002200B1">
      <w:pPr>
        <w:spacing w:line="288" w:lineRule="auto"/>
      </w:pPr>
    </w:p>
    <w:p w:rsidR="000C5F5E" w:rsidRPr="000C5F5E" w:rsidRDefault="000C5F5E" w:rsidP="002200B1">
      <w:pPr>
        <w:spacing w:line="288" w:lineRule="auto"/>
      </w:pPr>
    </w:p>
    <w:p w:rsidR="000C5F5E" w:rsidRPr="000C5F5E" w:rsidRDefault="000C5F5E" w:rsidP="002200B1">
      <w:pPr>
        <w:spacing w:line="288" w:lineRule="auto"/>
      </w:pPr>
    </w:p>
    <w:p w:rsidR="000C5F5E" w:rsidRPr="000C5F5E" w:rsidRDefault="000C5F5E" w:rsidP="002200B1">
      <w:pPr>
        <w:spacing w:line="288" w:lineRule="auto"/>
      </w:pPr>
    </w:p>
    <w:p w:rsidR="000C5F5E" w:rsidRPr="000C5F5E" w:rsidRDefault="000C5F5E" w:rsidP="002200B1">
      <w:pPr>
        <w:spacing w:line="288" w:lineRule="auto"/>
      </w:pPr>
    </w:p>
    <w:p w:rsidR="000C5F5E" w:rsidRPr="000C5F5E" w:rsidRDefault="000C5F5E" w:rsidP="002200B1">
      <w:pPr>
        <w:spacing w:line="288" w:lineRule="auto"/>
      </w:pPr>
    </w:p>
    <w:p w:rsidR="000C5F5E" w:rsidRPr="000C5F5E" w:rsidRDefault="000C5F5E" w:rsidP="002200B1">
      <w:pPr>
        <w:spacing w:line="288" w:lineRule="auto"/>
      </w:pPr>
    </w:p>
    <w:p w:rsidR="000C5F5E" w:rsidRPr="000C5F5E" w:rsidRDefault="000C5F5E" w:rsidP="002200B1">
      <w:pPr>
        <w:spacing w:line="288" w:lineRule="auto"/>
      </w:pPr>
    </w:p>
    <w:p w:rsidR="000C5F5E" w:rsidRDefault="000C5F5E" w:rsidP="002200B1">
      <w:pPr>
        <w:spacing w:line="288" w:lineRule="auto"/>
      </w:pPr>
    </w:p>
    <w:p w:rsidR="000C5F5E" w:rsidRDefault="000C5F5E" w:rsidP="002200B1">
      <w:pPr>
        <w:spacing w:line="288" w:lineRule="auto"/>
      </w:pPr>
      <w:r>
        <w:br w:type="page"/>
      </w:r>
    </w:p>
    <w:sdt>
      <w:sdtPr>
        <w:rPr>
          <w:rFonts w:ascii="Times New Roman" w:eastAsia="Times New Roman" w:hAnsi="Times New Roman" w:cs="Times New Roman"/>
          <w:b w:val="0"/>
          <w:bCs w:val="0"/>
          <w:color w:val="auto"/>
          <w:sz w:val="24"/>
          <w:szCs w:val="20"/>
          <w:lang w:val="en-AU" w:eastAsia="en-US"/>
        </w:rPr>
        <w:id w:val="1901172666"/>
        <w:docPartObj>
          <w:docPartGallery w:val="Table of Contents"/>
          <w:docPartUnique/>
        </w:docPartObj>
      </w:sdtPr>
      <w:sdtEndPr>
        <w:rPr>
          <w:noProof/>
        </w:rPr>
      </w:sdtEndPr>
      <w:sdtContent>
        <w:p w:rsidR="00F31E9F" w:rsidRDefault="00F31E9F" w:rsidP="002200B1">
          <w:pPr>
            <w:pStyle w:val="TOCHeading"/>
            <w:spacing w:line="288" w:lineRule="auto"/>
          </w:pPr>
          <w:r>
            <w:t>Table of Contents</w:t>
          </w:r>
        </w:p>
        <w:p w:rsidR="00245D55" w:rsidRDefault="00F31E9F">
          <w:pPr>
            <w:pStyle w:val="TOC1"/>
            <w:tabs>
              <w:tab w:val="right" w:leader="dot" w:pos="9016"/>
            </w:tabs>
            <w:rPr>
              <w:noProof/>
              <w:lang w:val="en-AU" w:eastAsia="en-AU"/>
            </w:rPr>
          </w:pPr>
          <w:r>
            <w:fldChar w:fldCharType="begin"/>
          </w:r>
          <w:r>
            <w:instrText xml:space="preserve"> TOC \o "1-3" \h \z \u </w:instrText>
          </w:r>
          <w:r>
            <w:fldChar w:fldCharType="separate"/>
          </w:r>
          <w:hyperlink w:anchor="_Toc373743555" w:history="1">
            <w:r w:rsidR="00245D55" w:rsidRPr="00374EC0">
              <w:rPr>
                <w:rStyle w:val="Hyperlink"/>
                <w:noProof/>
              </w:rPr>
              <w:t>Purpose</w:t>
            </w:r>
            <w:r w:rsidR="00245D55">
              <w:rPr>
                <w:noProof/>
                <w:webHidden/>
              </w:rPr>
              <w:tab/>
            </w:r>
            <w:r w:rsidR="00245D55">
              <w:rPr>
                <w:noProof/>
                <w:webHidden/>
              </w:rPr>
              <w:fldChar w:fldCharType="begin"/>
            </w:r>
            <w:r w:rsidR="00245D55">
              <w:rPr>
                <w:noProof/>
                <w:webHidden/>
              </w:rPr>
              <w:instrText xml:space="preserve"> PAGEREF _Toc373743555 \h </w:instrText>
            </w:r>
            <w:r w:rsidR="00245D55">
              <w:rPr>
                <w:noProof/>
                <w:webHidden/>
              </w:rPr>
            </w:r>
            <w:r w:rsidR="00245D55">
              <w:rPr>
                <w:noProof/>
                <w:webHidden/>
              </w:rPr>
              <w:fldChar w:fldCharType="separate"/>
            </w:r>
            <w:r w:rsidR="00CD037C">
              <w:rPr>
                <w:noProof/>
                <w:webHidden/>
              </w:rPr>
              <w:t>3</w:t>
            </w:r>
            <w:r w:rsidR="00245D55">
              <w:rPr>
                <w:noProof/>
                <w:webHidden/>
              </w:rPr>
              <w:fldChar w:fldCharType="end"/>
            </w:r>
          </w:hyperlink>
        </w:p>
        <w:p w:rsidR="00245D55" w:rsidRDefault="00CD037C">
          <w:pPr>
            <w:pStyle w:val="TOC1"/>
            <w:tabs>
              <w:tab w:val="right" w:leader="dot" w:pos="9016"/>
            </w:tabs>
            <w:rPr>
              <w:noProof/>
              <w:lang w:val="en-AU" w:eastAsia="en-AU"/>
            </w:rPr>
          </w:pPr>
          <w:hyperlink w:anchor="_Toc373743556" w:history="1">
            <w:r w:rsidR="00245D55" w:rsidRPr="00374EC0">
              <w:rPr>
                <w:rStyle w:val="Hyperlink"/>
                <w:noProof/>
              </w:rPr>
              <w:t>Introduction</w:t>
            </w:r>
            <w:r w:rsidR="00245D55">
              <w:rPr>
                <w:noProof/>
                <w:webHidden/>
              </w:rPr>
              <w:tab/>
            </w:r>
            <w:r w:rsidR="00245D55">
              <w:rPr>
                <w:noProof/>
                <w:webHidden/>
              </w:rPr>
              <w:fldChar w:fldCharType="begin"/>
            </w:r>
            <w:r w:rsidR="00245D55">
              <w:rPr>
                <w:noProof/>
                <w:webHidden/>
              </w:rPr>
              <w:instrText xml:space="preserve"> PAGEREF _Toc373743556 \h </w:instrText>
            </w:r>
            <w:r w:rsidR="00245D55">
              <w:rPr>
                <w:noProof/>
                <w:webHidden/>
              </w:rPr>
            </w:r>
            <w:r w:rsidR="00245D55">
              <w:rPr>
                <w:noProof/>
                <w:webHidden/>
              </w:rPr>
              <w:fldChar w:fldCharType="separate"/>
            </w:r>
            <w:r>
              <w:rPr>
                <w:noProof/>
                <w:webHidden/>
              </w:rPr>
              <w:t>3</w:t>
            </w:r>
            <w:r w:rsidR="00245D55">
              <w:rPr>
                <w:noProof/>
                <w:webHidden/>
              </w:rPr>
              <w:fldChar w:fldCharType="end"/>
            </w:r>
          </w:hyperlink>
        </w:p>
        <w:p w:rsidR="00245D55" w:rsidRDefault="00CD037C">
          <w:pPr>
            <w:pStyle w:val="TOC1"/>
            <w:tabs>
              <w:tab w:val="right" w:leader="dot" w:pos="9016"/>
            </w:tabs>
            <w:rPr>
              <w:noProof/>
              <w:lang w:val="en-AU" w:eastAsia="en-AU"/>
            </w:rPr>
          </w:pPr>
          <w:hyperlink w:anchor="_Toc373743557" w:history="1">
            <w:r w:rsidR="00245D55" w:rsidRPr="00374EC0">
              <w:rPr>
                <w:rStyle w:val="Hyperlink"/>
                <w:noProof/>
              </w:rPr>
              <w:t>Informed Financial Consent</w:t>
            </w:r>
            <w:r w:rsidR="00245D55">
              <w:rPr>
                <w:noProof/>
                <w:webHidden/>
              </w:rPr>
              <w:tab/>
            </w:r>
            <w:r w:rsidR="00245D55">
              <w:rPr>
                <w:noProof/>
                <w:webHidden/>
              </w:rPr>
              <w:fldChar w:fldCharType="begin"/>
            </w:r>
            <w:r w:rsidR="00245D55">
              <w:rPr>
                <w:noProof/>
                <w:webHidden/>
              </w:rPr>
              <w:instrText xml:space="preserve"> PAGEREF _Toc373743557 \h </w:instrText>
            </w:r>
            <w:r w:rsidR="00245D55">
              <w:rPr>
                <w:noProof/>
                <w:webHidden/>
              </w:rPr>
            </w:r>
            <w:r w:rsidR="00245D55">
              <w:rPr>
                <w:noProof/>
                <w:webHidden/>
              </w:rPr>
              <w:fldChar w:fldCharType="separate"/>
            </w:r>
            <w:r>
              <w:rPr>
                <w:noProof/>
                <w:webHidden/>
              </w:rPr>
              <w:t>4</w:t>
            </w:r>
            <w:r w:rsidR="00245D55">
              <w:rPr>
                <w:noProof/>
                <w:webHidden/>
              </w:rPr>
              <w:fldChar w:fldCharType="end"/>
            </w:r>
          </w:hyperlink>
        </w:p>
        <w:p w:rsidR="00245D55" w:rsidRDefault="00CD037C">
          <w:pPr>
            <w:pStyle w:val="TOC2"/>
            <w:tabs>
              <w:tab w:val="right" w:leader="dot" w:pos="9016"/>
            </w:tabs>
            <w:rPr>
              <w:noProof/>
              <w:lang w:val="en-AU" w:eastAsia="en-AU"/>
            </w:rPr>
          </w:pPr>
          <w:hyperlink w:anchor="_Toc373743558" w:history="1">
            <w:r w:rsidR="00245D55" w:rsidRPr="00374EC0">
              <w:rPr>
                <w:rStyle w:val="Hyperlink"/>
                <w:i/>
                <w:noProof/>
              </w:rPr>
              <w:t>Informed Financial Consent Requirements</w:t>
            </w:r>
            <w:r w:rsidR="00245D55">
              <w:rPr>
                <w:noProof/>
                <w:webHidden/>
              </w:rPr>
              <w:tab/>
            </w:r>
            <w:r w:rsidR="00245D55">
              <w:rPr>
                <w:noProof/>
                <w:webHidden/>
              </w:rPr>
              <w:fldChar w:fldCharType="begin"/>
            </w:r>
            <w:r w:rsidR="00245D55">
              <w:rPr>
                <w:noProof/>
                <w:webHidden/>
              </w:rPr>
              <w:instrText xml:space="preserve"> PAGEREF _Toc373743558 \h </w:instrText>
            </w:r>
            <w:r w:rsidR="00245D55">
              <w:rPr>
                <w:noProof/>
                <w:webHidden/>
              </w:rPr>
            </w:r>
            <w:r w:rsidR="00245D55">
              <w:rPr>
                <w:noProof/>
                <w:webHidden/>
              </w:rPr>
              <w:fldChar w:fldCharType="separate"/>
            </w:r>
            <w:r>
              <w:rPr>
                <w:noProof/>
                <w:webHidden/>
              </w:rPr>
              <w:t>4</w:t>
            </w:r>
            <w:r w:rsidR="00245D55">
              <w:rPr>
                <w:noProof/>
                <w:webHidden/>
              </w:rPr>
              <w:fldChar w:fldCharType="end"/>
            </w:r>
          </w:hyperlink>
        </w:p>
        <w:p w:rsidR="00245D55" w:rsidRDefault="00CD037C">
          <w:pPr>
            <w:pStyle w:val="TOC2"/>
            <w:tabs>
              <w:tab w:val="right" w:leader="dot" w:pos="9016"/>
            </w:tabs>
            <w:rPr>
              <w:noProof/>
              <w:lang w:val="en-AU" w:eastAsia="en-AU"/>
            </w:rPr>
          </w:pPr>
          <w:hyperlink w:anchor="_Toc373743559" w:history="1">
            <w:r w:rsidR="00245D55" w:rsidRPr="00374EC0">
              <w:rPr>
                <w:rStyle w:val="Hyperlink"/>
                <w:i/>
                <w:noProof/>
              </w:rPr>
              <w:t>Billing Arrangements</w:t>
            </w:r>
            <w:r w:rsidR="00245D55">
              <w:rPr>
                <w:noProof/>
                <w:webHidden/>
              </w:rPr>
              <w:tab/>
            </w:r>
            <w:r w:rsidR="00245D55">
              <w:rPr>
                <w:noProof/>
                <w:webHidden/>
              </w:rPr>
              <w:fldChar w:fldCharType="begin"/>
            </w:r>
            <w:r w:rsidR="00245D55">
              <w:rPr>
                <w:noProof/>
                <w:webHidden/>
              </w:rPr>
              <w:instrText xml:space="preserve"> PAGEREF _Toc373743559 \h </w:instrText>
            </w:r>
            <w:r w:rsidR="00245D55">
              <w:rPr>
                <w:noProof/>
                <w:webHidden/>
              </w:rPr>
            </w:r>
            <w:r w:rsidR="00245D55">
              <w:rPr>
                <w:noProof/>
                <w:webHidden/>
              </w:rPr>
              <w:fldChar w:fldCharType="separate"/>
            </w:r>
            <w:r>
              <w:rPr>
                <w:noProof/>
                <w:webHidden/>
              </w:rPr>
              <w:t>4</w:t>
            </w:r>
            <w:r w:rsidR="00245D55">
              <w:rPr>
                <w:noProof/>
                <w:webHidden/>
              </w:rPr>
              <w:fldChar w:fldCharType="end"/>
            </w:r>
          </w:hyperlink>
        </w:p>
        <w:p w:rsidR="00245D55" w:rsidRDefault="00CD037C">
          <w:pPr>
            <w:pStyle w:val="TOC2"/>
            <w:tabs>
              <w:tab w:val="right" w:leader="dot" w:pos="9016"/>
            </w:tabs>
            <w:rPr>
              <w:noProof/>
              <w:lang w:val="en-AU" w:eastAsia="en-AU"/>
            </w:rPr>
          </w:pPr>
          <w:hyperlink w:anchor="_Toc373743560" w:history="1">
            <w:r w:rsidR="00245D55" w:rsidRPr="00374EC0">
              <w:rPr>
                <w:rStyle w:val="Hyperlink"/>
                <w:i/>
                <w:noProof/>
              </w:rPr>
              <w:t>Requirements for Documenting Consent</w:t>
            </w:r>
            <w:r w:rsidR="00245D55">
              <w:rPr>
                <w:noProof/>
                <w:webHidden/>
              </w:rPr>
              <w:tab/>
            </w:r>
            <w:r w:rsidR="00245D55">
              <w:rPr>
                <w:noProof/>
                <w:webHidden/>
              </w:rPr>
              <w:fldChar w:fldCharType="begin"/>
            </w:r>
            <w:r w:rsidR="00245D55">
              <w:rPr>
                <w:noProof/>
                <w:webHidden/>
              </w:rPr>
              <w:instrText xml:space="preserve"> PAGEREF _Toc373743560 \h </w:instrText>
            </w:r>
            <w:r w:rsidR="00245D55">
              <w:rPr>
                <w:noProof/>
                <w:webHidden/>
              </w:rPr>
            </w:r>
            <w:r w:rsidR="00245D55">
              <w:rPr>
                <w:noProof/>
                <w:webHidden/>
              </w:rPr>
              <w:fldChar w:fldCharType="separate"/>
            </w:r>
            <w:r>
              <w:rPr>
                <w:noProof/>
                <w:webHidden/>
              </w:rPr>
              <w:t>5</w:t>
            </w:r>
            <w:r w:rsidR="00245D55">
              <w:rPr>
                <w:noProof/>
                <w:webHidden/>
              </w:rPr>
              <w:fldChar w:fldCharType="end"/>
            </w:r>
          </w:hyperlink>
        </w:p>
        <w:p w:rsidR="00245D55" w:rsidRDefault="00CD037C">
          <w:pPr>
            <w:pStyle w:val="TOC2"/>
            <w:tabs>
              <w:tab w:val="right" w:leader="dot" w:pos="9016"/>
            </w:tabs>
            <w:rPr>
              <w:noProof/>
              <w:lang w:val="en-AU" w:eastAsia="en-AU"/>
            </w:rPr>
          </w:pPr>
          <w:hyperlink w:anchor="_Toc373743561" w:history="1">
            <w:r w:rsidR="00245D55" w:rsidRPr="00374EC0">
              <w:rPr>
                <w:rStyle w:val="Hyperlink"/>
                <w:i/>
                <w:noProof/>
              </w:rPr>
              <w:t>Extenuating Circumstances</w:t>
            </w:r>
            <w:r w:rsidR="00245D55">
              <w:rPr>
                <w:noProof/>
                <w:webHidden/>
              </w:rPr>
              <w:tab/>
            </w:r>
            <w:r w:rsidR="00245D55">
              <w:rPr>
                <w:noProof/>
                <w:webHidden/>
              </w:rPr>
              <w:fldChar w:fldCharType="begin"/>
            </w:r>
            <w:r w:rsidR="00245D55">
              <w:rPr>
                <w:noProof/>
                <w:webHidden/>
              </w:rPr>
              <w:instrText xml:space="preserve"> PAGEREF _Toc373743561 \h </w:instrText>
            </w:r>
            <w:r w:rsidR="00245D55">
              <w:rPr>
                <w:noProof/>
                <w:webHidden/>
              </w:rPr>
            </w:r>
            <w:r w:rsidR="00245D55">
              <w:rPr>
                <w:noProof/>
                <w:webHidden/>
              </w:rPr>
              <w:fldChar w:fldCharType="separate"/>
            </w:r>
            <w:r>
              <w:rPr>
                <w:noProof/>
                <w:webHidden/>
              </w:rPr>
              <w:t>5</w:t>
            </w:r>
            <w:r w:rsidR="00245D55">
              <w:rPr>
                <w:noProof/>
                <w:webHidden/>
              </w:rPr>
              <w:fldChar w:fldCharType="end"/>
            </w:r>
          </w:hyperlink>
        </w:p>
        <w:p w:rsidR="00245D55" w:rsidRDefault="00CD037C">
          <w:pPr>
            <w:pStyle w:val="TOC1"/>
            <w:tabs>
              <w:tab w:val="right" w:leader="dot" w:pos="9016"/>
            </w:tabs>
            <w:rPr>
              <w:noProof/>
              <w:lang w:val="en-AU" w:eastAsia="en-AU"/>
            </w:rPr>
          </w:pPr>
          <w:hyperlink w:anchor="_Toc373743562" w:history="1">
            <w:r w:rsidR="00245D55" w:rsidRPr="00374EC0">
              <w:rPr>
                <w:rStyle w:val="Hyperlink"/>
                <w:noProof/>
              </w:rPr>
              <w:t>Extenuating Circumstances</w:t>
            </w:r>
            <w:r w:rsidR="00245D55">
              <w:rPr>
                <w:noProof/>
                <w:webHidden/>
              </w:rPr>
              <w:tab/>
            </w:r>
            <w:r w:rsidR="00245D55">
              <w:rPr>
                <w:noProof/>
                <w:webHidden/>
              </w:rPr>
              <w:fldChar w:fldCharType="begin"/>
            </w:r>
            <w:r w:rsidR="00245D55">
              <w:rPr>
                <w:noProof/>
                <w:webHidden/>
              </w:rPr>
              <w:instrText xml:space="preserve"> PAGEREF _Toc373743562 \h </w:instrText>
            </w:r>
            <w:r w:rsidR="00245D55">
              <w:rPr>
                <w:noProof/>
                <w:webHidden/>
              </w:rPr>
            </w:r>
            <w:r w:rsidR="00245D55">
              <w:rPr>
                <w:noProof/>
                <w:webHidden/>
              </w:rPr>
              <w:fldChar w:fldCharType="separate"/>
            </w:r>
            <w:r>
              <w:rPr>
                <w:noProof/>
                <w:webHidden/>
              </w:rPr>
              <w:t>6</w:t>
            </w:r>
            <w:r w:rsidR="00245D55">
              <w:rPr>
                <w:noProof/>
                <w:webHidden/>
              </w:rPr>
              <w:fldChar w:fldCharType="end"/>
            </w:r>
          </w:hyperlink>
        </w:p>
        <w:p w:rsidR="00245D55" w:rsidRDefault="00CD037C">
          <w:pPr>
            <w:pStyle w:val="TOC2"/>
            <w:tabs>
              <w:tab w:val="left" w:pos="880"/>
              <w:tab w:val="right" w:leader="dot" w:pos="9016"/>
            </w:tabs>
            <w:rPr>
              <w:noProof/>
              <w:lang w:val="en-AU" w:eastAsia="en-AU"/>
            </w:rPr>
          </w:pPr>
          <w:hyperlink w:anchor="_Toc373743563" w:history="1">
            <w:r w:rsidR="00245D55" w:rsidRPr="00374EC0">
              <w:rPr>
                <w:rStyle w:val="Hyperlink"/>
                <w:b/>
                <w:noProof/>
              </w:rPr>
              <w:t>(1)</w:t>
            </w:r>
            <w:r w:rsidR="00245D55">
              <w:rPr>
                <w:noProof/>
                <w:lang w:val="en-AU" w:eastAsia="en-AU"/>
              </w:rPr>
              <w:tab/>
            </w:r>
            <w:r w:rsidR="00245D55" w:rsidRPr="00374EC0">
              <w:rPr>
                <w:rStyle w:val="Hyperlink"/>
                <w:b/>
                <w:i/>
                <w:noProof/>
              </w:rPr>
              <w:t>Emergency services provided outside of normal practice</w:t>
            </w:r>
            <w:r w:rsidR="00245D55">
              <w:rPr>
                <w:noProof/>
                <w:webHidden/>
              </w:rPr>
              <w:tab/>
            </w:r>
            <w:r w:rsidR="00245D55">
              <w:rPr>
                <w:noProof/>
                <w:webHidden/>
              </w:rPr>
              <w:fldChar w:fldCharType="begin"/>
            </w:r>
            <w:r w:rsidR="00245D55">
              <w:rPr>
                <w:noProof/>
                <w:webHidden/>
              </w:rPr>
              <w:instrText xml:space="preserve"> PAGEREF _Toc373743563 \h </w:instrText>
            </w:r>
            <w:r w:rsidR="00245D55">
              <w:rPr>
                <w:noProof/>
                <w:webHidden/>
              </w:rPr>
            </w:r>
            <w:r w:rsidR="00245D55">
              <w:rPr>
                <w:noProof/>
                <w:webHidden/>
              </w:rPr>
              <w:fldChar w:fldCharType="separate"/>
            </w:r>
            <w:r>
              <w:rPr>
                <w:noProof/>
                <w:webHidden/>
              </w:rPr>
              <w:t>6</w:t>
            </w:r>
            <w:r w:rsidR="00245D55">
              <w:rPr>
                <w:noProof/>
                <w:webHidden/>
              </w:rPr>
              <w:fldChar w:fldCharType="end"/>
            </w:r>
          </w:hyperlink>
        </w:p>
        <w:p w:rsidR="00245D55" w:rsidRDefault="00CD037C">
          <w:pPr>
            <w:pStyle w:val="TOC2"/>
            <w:tabs>
              <w:tab w:val="left" w:pos="880"/>
              <w:tab w:val="right" w:leader="dot" w:pos="9016"/>
            </w:tabs>
            <w:rPr>
              <w:noProof/>
              <w:lang w:val="en-AU" w:eastAsia="en-AU"/>
            </w:rPr>
          </w:pPr>
          <w:hyperlink w:anchor="_Toc373743564" w:history="1">
            <w:r w:rsidR="00245D55" w:rsidRPr="00374EC0">
              <w:rPr>
                <w:rStyle w:val="Hyperlink"/>
                <w:b/>
                <w:noProof/>
              </w:rPr>
              <w:t>(2)</w:t>
            </w:r>
            <w:r w:rsidR="00245D55">
              <w:rPr>
                <w:noProof/>
                <w:lang w:val="en-AU" w:eastAsia="en-AU"/>
              </w:rPr>
              <w:tab/>
            </w:r>
            <w:r w:rsidR="00245D55" w:rsidRPr="00374EC0">
              <w:rPr>
                <w:rStyle w:val="Hyperlink"/>
                <w:b/>
                <w:i/>
                <w:noProof/>
              </w:rPr>
              <w:t>Failure of patients to disclose their intention to use CDBS benefits to the provider or practice on the day of service</w:t>
            </w:r>
            <w:r w:rsidR="00245D55">
              <w:rPr>
                <w:noProof/>
                <w:webHidden/>
              </w:rPr>
              <w:tab/>
            </w:r>
            <w:r w:rsidR="00245D55">
              <w:rPr>
                <w:noProof/>
                <w:webHidden/>
              </w:rPr>
              <w:fldChar w:fldCharType="begin"/>
            </w:r>
            <w:r w:rsidR="00245D55">
              <w:rPr>
                <w:noProof/>
                <w:webHidden/>
              </w:rPr>
              <w:instrText xml:space="preserve"> PAGEREF _Toc373743564 \h </w:instrText>
            </w:r>
            <w:r w:rsidR="00245D55">
              <w:rPr>
                <w:noProof/>
                <w:webHidden/>
              </w:rPr>
            </w:r>
            <w:r w:rsidR="00245D55">
              <w:rPr>
                <w:noProof/>
                <w:webHidden/>
              </w:rPr>
              <w:fldChar w:fldCharType="separate"/>
            </w:r>
            <w:r>
              <w:rPr>
                <w:noProof/>
                <w:webHidden/>
              </w:rPr>
              <w:t>6</w:t>
            </w:r>
            <w:r w:rsidR="00245D55">
              <w:rPr>
                <w:noProof/>
                <w:webHidden/>
              </w:rPr>
              <w:fldChar w:fldCharType="end"/>
            </w:r>
          </w:hyperlink>
        </w:p>
        <w:p w:rsidR="00245D55" w:rsidRDefault="00CD037C">
          <w:pPr>
            <w:pStyle w:val="TOC2"/>
            <w:tabs>
              <w:tab w:val="left" w:pos="880"/>
              <w:tab w:val="right" w:leader="dot" w:pos="9016"/>
            </w:tabs>
            <w:rPr>
              <w:noProof/>
              <w:lang w:val="en-AU" w:eastAsia="en-AU"/>
            </w:rPr>
          </w:pPr>
          <w:hyperlink w:anchor="_Toc373743565" w:history="1">
            <w:r w:rsidR="00245D55" w:rsidRPr="00374EC0">
              <w:rPr>
                <w:rStyle w:val="Hyperlink"/>
                <w:b/>
                <w:noProof/>
              </w:rPr>
              <w:t>(3)</w:t>
            </w:r>
            <w:r w:rsidR="00245D55">
              <w:rPr>
                <w:noProof/>
                <w:lang w:val="en-AU" w:eastAsia="en-AU"/>
              </w:rPr>
              <w:tab/>
            </w:r>
            <w:r w:rsidR="00245D55" w:rsidRPr="00374EC0">
              <w:rPr>
                <w:rStyle w:val="Hyperlink"/>
                <w:b/>
                <w:i/>
                <w:noProof/>
              </w:rPr>
              <w:t>Refusal to sign</w:t>
            </w:r>
            <w:r w:rsidR="00245D55">
              <w:rPr>
                <w:noProof/>
                <w:webHidden/>
              </w:rPr>
              <w:tab/>
            </w:r>
            <w:r w:rsidR="00245D55">
              <w:rPr>
                <w:noProof/>
                <w:webHidden/>
              </w:rPr>
              <w:fldChar w:fldCharType="begin"/>
            </w:r>
            <w:r w:rsidR="00245D55">
              <w:rPr>
                <w:noProof/>
                <w:webHidden/>
              </w:rPr>
              <w:instrText xml:space="preserve"> PAGEREF _Toc373743565 \h </w:instrText>
            </w:r>
            <w:r w:rsidR="00245D55">
              <w:rPr>
                <w:noProof/>
                <w:webHidden/>
              </w:rPr>
            </w:r>
            <w:r w:rsidR="00245D55">
              <w:rPr>
                <w:noProof/>
                <w:webHidden/>
              </w:rPr>
              <w:fldChar w:fldCharType="separate"/>
            </w:r>
            <w:r>
              <w:rPr>
                <w:noProof/>
                <w:webHidden/>
              </w:rPr>
              <w:t>7</w:t>
            </w:r>
            <w:r w:rsidR="00245D55">
              <w:rPr>
                <w:noProof/>
                <w:webHidden/>
              </w:rPr>
              <w:fldChar w:fldCharType="end"/>
            </w:r>
          </w:hyperlink>
        </w:p>
        <w:p w:rsidR="00245D55" w:rsidRDefault="00CD037C">
          <w:pPr>
            <w:pStyle w:val="TOC2"/>
            <w:tabs>
              <w:tab w:val="left" w:pos="880"/>
              <w:tab w:val="right" w:leader="dot" w:pos="9016"/>
            </w:tabs>
            <w:rPr>
              <w:noProof/>
              <w:lang w:val="en-AU" w:eastAsia="en-AU"/>
            </w:rPr>
          </w:pPr>
          <w:hyperlink w:anchor="_Toc373743566" w:history="1">
            <w:r w:rsidR="00245D55" w:rsidRPr="00374EC0">
              <w:rPr>
                <w:rStyle w:val="Hyperlink"/>
                <w:b/>
                <w:noProof/>
              </w:rPr>
              <w:t>(4)</w:t>
            </w:r>
            <w:r w:rsidR="00245D55">
              <w:rPr>
                <w:noProof/>
                <w:lang w:val="en-AU" w:eastAsia="en-AU"/>
              </w:rPr>
              <w:tab/>
            </w:r>
            <w:r w:rsidR="00245D55" w:rsidRPr="00374EC0">
              <w:rPr>
                <w:rStyle w:val="Hyperlink"/>
                <w:b/>
                <w:i/>
                <w:noProof/>
              </w:rPr>
              <w:t>Administrative error</w:t>
            </w:r>
            <w:r w:rsidR="00245D55">
              <w:rPr>
                <w:noProof/>
                <w:webHidden/>
              </w:rPr>
              <w:tab/>
            </w:r>
            <w:r w:rsidR="00245D55">
              <w:rPr>
                <w:noProof/>
                <w:webHidden/>
              </w:rPr>
              <w:fldChar w:fldCharType="begin"/>
            </w:r>
            <w:r w:rsidR="00245D55">
              <w:rPr>
                <w:noProof/>
                <w:webHidden/>
              </w:rPr>
              <w:instrText xml:space="preserve"> PAGEREF _Toc373743566 \h </w:instrText>
            </w:r>
            <w:r w:rsidR="00245D55">
              <w:rPr>
                <w:noProof/>
                <w:webHidden/>
              </w:rPr>
            </w:r>
            <w:r w:rsidR="00245D55">
              <w:rPr>
                <w:noProof/>
                <w:webHidden/>
              </w:rPr>
              <w:fldChar w:fldCharType="separate"/>
            </w:r>
            <w:r>
              <w:rPr>
                <w:noProof/>
                <w:webHidden/>
              </w:rPr>
              <w:t>7</w:t>
            </w:r>
            <w:r w:rsidR="00245D55">
              <w:rPr>
                <w:noProof/>
                <w:webHidden/>
              </w:rPr>
              <w:fldChar w:fldCharType="end"/>
            </w:r>
          </w:hyperlink>
        </w:p>
        <w:p w:rsidR="00245D55" w:rsidRDefault="00CD037C">
          <w:pPr>
            <w:pStyle w:val="TOC2"/>
            <w:tabs>
              <w:tab w:val="left" w:pos="880"/>
              <w:tab w:val="right" w:leader="dot" w:pos="9016"/>
            </w:tabs>
            <w:rPr>
              <w:noProof/>
              <w:lang w:val="en-AU" w:eastAsia="en-AU"/>
            </w:rPr>
          </w:pPr>
          <w:hyperlink w:anchor="_Toc373743567" w:history="1">
            <w:r w:rsidR="00245D55" w:rsidRPr="00374EC0">
              <w:rPr>
                <w:rStyle w:val="Hyperlink"/>
                <w:b/>
                <w:noProof/>
              </w:rPr>
              <w:t>(5)</w:t>
            </w:r>
            <w:r w:rsidR="00245D55">
              <w:rPr>
                <w:noProof/>
                <w:lang w:val="en-AU" w:eastAsia="en-AU"/>
              </w:rPr>
              <w:tab/>
            </w:r>
            <w:r w:rsidR="00245D55" w:rsidRPr="00374EC0">
              <w:rPr>
                <w:rStyle w:val="Hyperlink"/>
                <w:b/>
                <w:i/>
                <w:noProof/>
              </w:rPr>
              <w:t>Incapacity/death of patient before signing</w:t>
            </w:r>
            <w:r w:rsidR="00245D55">
              <w:rPr>
                <w:noProof/>
                <w:webHidden/>
              </w:rPr>
              <w:tab/>
            </w:r>
            <w:r w:rsidR="00245D55">
              <w:rPr>
                <w:noProof/>
                <w:webHidden/>
              </w:rPr>
              <w:fldChar w:fldCharType="begin"/>
            </w:r>
            <w:r w:rsidR="00245D55">
              <w:rPr>
                <w:noProof/>
                <w:webHidden/>
              </w:rPr>
              <w:instrText xml:space="preserve"> PAGEREF _Toc373743567 \h </w:instrText>
            </w:r>
            <w:r w:rsidR="00245D55">
              <w:rPr>
                <w:noProof/>
                <w:webHidden/>
              </w:rPr>
            </w:r>
            <w:r w:rsidR="00245D55">
              <w:rPr>
                <w:noProof/>
                <w:webHidden/>
              </w:rPr>
              <w:fldChar w:fldCharType="separate"/>
            </w:r>
            <w:r>
              <w:rPr>
                <w:noProof/>
                <w:webHidden/>
              </w:rPr>
              <w:t>7</w:t>
            </w:r>
            <w:r w:rsidR="00245D55">
              <w:rPr>
                <w:noProof/>
                <w:webHidden/>
              </w:rPr>
              <w:fldChar w:fldCharType="end"/>
            </w:r>
          </w:hyperlink>
        </w:p>
        <w:p w:rsidR="00245D55" w:rsidRDefault="00CD037C">
          <w:pPr>
            <w:pStyle w:val="TOC2"/>
            <w:tabs>
              <w:tab w:val="left" w:pos="880"/>
              <w:tab w:val="right" w:leader="dot" w:pos="9016"/>
            </w:tabs>
            <w:rPr>
              <w:noProof/>
              <w:lang w:val="en-AU" w:eastAsia="en-AU"/>
            </w:rPr>
          </w:pPr>
          <w:hyperlink w:anchor="_Toc373743568" w:history="1">
            <w:r w:rsidR="00245D55" w:rsidRPr="00374EC0">
              <w:rPr>
                <w:rStyle w:val="Hyperlink"/>
                <w:b/>
                <w:noProof/>
              </w:rPr>
              <w:t>(6)</w:t>
            </w:r>
            <w:r w:rsidR="00245D55">
              <w:rPr>
                <w:noProof/>
                <w:lang w:val="en-AU" w:eastAsia="en-AU"/>
              </w:rPr>
              <w:tab/>
            </w:r>
            <w:r w:rsidR="00245D55" w:rsidRPr="00374EC0">
              <w:rPr>
                <w:rStyle w:val="Hyperlink"/>
                <w:b/>
                <w:i/>
                <w:noProof/>
              </w:rPr>
              <w:t>Person executing the patient consent form does not have authority to sign</w:t>
            </w:r>
            <w:r w:rsidR="00245D55">
              <w:rPr>
                <w:noProof/>
                <w:webHidden/>
              </w:rPr>
              <w:tab/>
            </w:r>
            <w:r w:rsidR="00245D55">
              <w:rPr>
                <w:noProof/>
                <w:webHidden/>
              </w:rPr>
              <w:fldChar w:fldCharType="begin"/>
            </w:r>
            <w:r w:rsidR="00245D55">
              <w:rPr>
                <w:noProof/>
                <w:webHidden/>
              </w:rPr>
              <w:instrText xml:space="preserve"> PAGEREF _Toc373743568 \h </w:instrText>
            </w:r>
            <w:r w:rsidR="00245D55">
              <w:rPr>
                <w:noProof/>
                <w:webHidden/>
              </w:rPr>
            </w:r>
            <w:r w:rsidR="00245D55">
              <w:rPr>
                <w:noProof/>
                <w:webHidden/>
              </w:rPr>
              <w:fldChar w:fldCharType="separate"/>
            </w:r>
            <w:r>
              <w:rPr>
                <w:noProof/>
                <w:webHidden/>
              </w:rPr>
              <w:t>8</w:t>
            </w:r>
            <w:r w:rsidR="00245D55">
              <w:rPr>
                <w:noProof/>
                <w:webHidden/>
              </w:rPr>
              <w:fldChar w:fldCharType="end"/>
            </w:r>
          </w:hyperlink>
        </w:p>
        <w:p w:rsidR="00245D55" w:rsidRDefault="00CD037C">
          <w:pPr>
            <w:pStyle w:val="TOC1"/>
            <w:tabs>
              <w:tab w:val="right" w:leader="dot" w:pos="9016"/>
            </w:tabs>
            <w:rPr>
              <w:noProof/>
              <w:lang w:val="en-AU" w:eastAsia="en-AU"/>
            </w:rPr>
          </w:pPr>
          <w:hyperlink w:anchor="_Toc373743569" w:history="1">
            <w:r w:rsidR="00245D55" w:rsidRPr="00374EC0">
              <w:rPr>
                <w:rStyle w:val="Hyperlink"/>
                <w:noProof/>
              </w:rPr>
              <w:t>Recording Extenuating Circumstances</w:t>
            </w:r>
            <w:r w:rsidR="00245D55">
              <w:rPr>
                <w:noProof/>
                <w:webHidden/>
              </w:rPr>
              <w:tab/>
            </w:r>
            <w:r w:rsidR="00245D55">
              <w:rPr>
                <w:noProof/>
                <w:webHidden/>
              </w:rPr>
              <w:fldChar w:fldCharType="begin"/>
            </w:r>
            <w:r w:rsidR="00245D55">
              <w:rPr>
                <w:noProof/>
                <w:webHidden/>
              </w:rPr>
              <w:instrText xml:space="preserve"> PAGEREF _Toc373743569 \h </w:instrText>
            </w:r>
            <w:r w:rsidR="00245D55">
              <w:rPr>
                <w:noProof/>
                <w:webHidden/>
              </w:rPr>
            </w:r>
            <w:r w:rsidR="00245D55">
              <w:rPr>
                <w:noProof/>
                <w:webHidden/>
              </w:rPr>
              <w:fldChar w:fldCharType="separate"/>
            </w:r>
            <w:r>
              <w:rPr>
                <w:noProof/>
                <w:webHidden/>
              </w:rPr>
              <w:t>8</w:t>
            </w:r>
            <w:r w:rsidR="00245D55">
              <w:rPr>
                <w:noProof/>
                <w:webHidden/>
              </w:rPr>
              <w:fldChar w:fldCharType="end"/>
            </w:r>
          </w:hyperlink>
        </w:p>
        <w:p w:rsidR="00245D55" w:rsidRDefault="00CD037C">
          <w:pPr>
            <w:pStyle w:val="TOC2"/>
            <w:tabs>
              <w:tab w:val="right" w:leader="dot" w:pos="9016"/>
            </w:tabs>
            <w:rPr>
              <w:noProof/>
              <w:lang w:val="en-AU" w:eastAsia="en-AU"/>
            </w:rPr>
          </w:pPr>
          <w:hyperlink w:anchor="_Toc373743570" w:history="1">
            <w:r w:rsidR="00245D55" w:rsidRPr="00374EC0">
              <w:rPr>
                <w:rStyle w:val="Hyperlink"/>
                <w:i/>
                <w:noProof/>
              </w:rPr>
              <w:t xml:space="preserve">Additional Reporting Requirements for Extenuating Circumstance </w:t>
            </w:r>
            <w:r w:rsidR="00245D55" w:rsidRPr="00245D55">
              <w:rPr>
                <w:rStyle w:val="Hyperlink"/>
                <w:b/>
                <w:i/>
                <w:noProof/>
              </w:rPr>
              <w:t>(2)</w:t>
            </w:r>
            <w:r w:rsidR="00245D55" w:rsidRPr="00374EC0">
              <w:rPr>
                <w:rStyle w:val="Hyperlink"/>
                <w:i/>
                <w:noProof/>
              </w:rPr>
              <w:t xml:space="preserve"> - ‘Failure of patients to disclose their intention to use CDBS benefits to the dental provider or practice on the day of service’</w:t>
            </w:r>
            <w:r w:rsidR="00245D55">
              <w:rPr>
                <w:noProof/>
                <w:webHidden/>
              </w:rPr>
              <w:tab/>
            </w:r>
            <w:r w:rsidR="00245D55">
              <w:rPr>
                <w:noProof/>
                <w:webHidden/>
              </w:rPr>
              <w:fldChar w:fldCharType="begin"/>
            </w:r>
            <w:r w:rsidR="00245D55">
              <w:rPr>
                <w:noProof/>
                <w:webHidden/>
              </w:rPr>
              <w:instrText xml:space="preserve"> PAGEREF _Toc373743570 \h </w:instrText>
            </w:r>
            <w:r w:rsidR="00245D55">
              <w:rPr>
                <w:noProof/>
                <w:webHidden/>
              </w:rPr>
            </w:r>
            <w:r w:rsidR="00245D55">
              <w:rPr>
                <w:noProof/>
                <w:webHidden/>
              </w:rPr>
              <w:fldChar w:fldCharType="separate"/>
            </w:r>
            <w:r>
              <w:rPr>
                <w:noProof/>
                <w:webHidden/>
              </w:rPr>
              <w:t>9</w:t>
            </w:r>
            <w:r w:rsidR="00245D55">
              <w:rPr>
                <w:noProof/>
                <w:webHidden/>
              </w:rPr>
              <w:fldChar w:fldCharType="end"/>
            </w:r>
          </w:hyperlink>
        </w:p>
        <w:p w:rsidR="00245D55" w:rsidRDefault="00CD037C">
          <w:pPr>
            <w:pStyle w:val="TOC2"/>
            <w:tabs>
              <w:tab w:val="right" w:leader="dot" w:pos="9016"/>
            </w:tabs>
            <w:rPr>
              <w:noProof/>
              <w:lang w:val="en-AU" w:eastAsia="en-AU"/>
            </w:rPr>
          </w:pPr>
          <w:hyperlink w:anchor="_Toc373743571" w:history="1">
            <w:r w:rsidR="00245D55" w:rsidRPr="00374EC0">
              <w:rPr>
                <w:rStyle w:val="Hyperlink"/>
                <w:i/>
                <w:noProof/>
              </w:rPr>
              <w:t xml:space="preserve">Additional Reporting Requirements for Extenuating Circumstance </w:t>
            </w:r>
            <w:r w:rsidR="00245D55" w:rsidRPr="00245D55">
              <w:rPr>
                <w:rStyle w:val="Hyperlink"/>
                <w:b/>
                <w:i/>
                <w:noProof/>
              </w:rPr>
              <w:t>(6)</w:t>
            </w:r>
            <w:r w:rsidR="00245D55" w:rsidRPr="00374EC0">
              <w:rPr>
                <w:rStyle w:val="Hyperlink"/>
                <w:i/>
                <w:noProof/>
              </w:rPr>
              <w:t xml:space="preserve"> - ‘Person executing the patient consent form does not have authority to sign’</w:t>
            </w:r>
            <w:r w:rsidR="00245D55">
              <w:rPr>
                <w:noProof/>
                <w:webHidden/>
              </w:rPr>
              <w:tab/>
            </w:r>
            <w:r w:rsidR="00245D55">
              <w:rPr>
                <w:noProof/>
                <w:webHidden/>
              </w:rPr>
              <w:fldChar w:fldCharType="begin"/>
            </w:r>
            <w:r w:rsidR="00245D55">
              <w:rPr>
                <w:noProof/>
                <w:webHidden/>
              </w:rPr>
              <w:instrText xml:space="preserve"> PAGEREF _Toc373743571 \h </w:instrText>
            </w:r>
            <w:r w:rsidR="00245D55">
              <w:rPr>
                <w:noProof/>
                <w:webHidden/>
              </w:rPr>
            </w:r>
            <w:r w:rsidR="00245D55">
              <w:rPr>
                <w:noProof/>
                <w:webHidden/>
              </w:rPr>
              <w:fldChar w:fldCharType="separate"/>
            </w:r>
            <w:r>
              <w:rPr>
                <w:noProof/>
                <w:webHidden/>
              </w:rPr>
              <w:t>9</w:t>
            </w:r>
            <w:r w:rsidR="00245D55">
              <w:rPr>
                <w:noProof/>
                <w:webHidden/>
              </w:rPr>
              <w:fldChar w:fldCharType="end"/>
            </w:r>
          </w:hyperlink>
        </w:p>
        <w:p w:rsidR="00245D55" w:rsidRDefault="00CD037C">
          <w:pPr>
            <w:pStyle w:val="TOC1"/>
            <w:tabs>
              <w:tab w:val="right" w:leader="dot" w:pos="9016"/>
            </w:tabs>
            <w:rPr>
              <w:noProof/>
              <w:lang w:val="en-AU" w:eastAsia="en-AU"/>
            </w:rPr>
          </w:pPr>
          <w:hyperlink w:anchor="_Toc373743572" w:history="1">
            <w:r w:rsidR="00245D55" w:rsidRPr="00374EC0">
              <w:rPr>
                <w:rStyle w:val="Hyperlink"/>
                <w:noProof/>
              </w:rPr>
              <w:t>Assessment of Extenuating Circumstances</w:t>
            </w:r>
            <w:r w:rsidR="00245D55">
              <w:rPr>
                <w:noProof/>
                <w:webHidden/>
              </w:rPr>
              <w:tab/>
            </w:r>
            <w:r w:rsidR="00245D55">
              <w:rPr>
                <w:noProof/>
                <w:webHidden/>
              </w:rPr>
              <w:fldChar w:fldCharType="begin"/>
            </w:r>
            <w:r w:rsidR="00245D55">
              <w:rPr>
                <w:noProof/>
                <w:webHidden/>
              </w:rPr>
              <w:instrText xml:space="preserve"> PAGEREF _Toc373743572 \h </w:instrText>
            </w:r>
            <w:r w:rsidR="00245D55">
              <w:rPr>
                <w:noProof/>
                <w:webHidden/>
              </w:rPr>
            </w:r>
            <w:r w:rsidR="00245D55">
              <w:rPr>
                <w:noProof/>
                <w:webHidden/>
              </w:rPr>
              <w:fldChar w:fldCharType="separate"/>
            </w:r>
            <w:r>
              <w:rPr>
                <w:noProof/>
                <w:webHidden/>
              </w:rPr>
              <w:t>10</w:t>
            </w:r>
            <w:r w:rsidR="00245D55">
              <w:rPr>
                <w:noProof/>
                <w:webHidden/>
              </w:rPr>
              <w:fldChar w:fldCharType="end"/>
            </w:r>
          </w:hyperlink>
        </w:p>
        <w:p w:rsidR="00245D55" w:rsidRDefault="00CD037C">
          <w:pPr>
            <w:pStyle w:val="TOC1"/>
            <w:tabs>
              <w:tab w:val="right" w:leader="dot" w:pos="9016"/>
            </w:tabs>
            <w:rPr>
              <w:noProof/>
              <w:lang w:val="en-AU" w:eastAsia="en-AU"/>
            </w:rPr>
          </w:pPr>
          <w:hyperlink w:anchor="_Toc373743573" w:history="1">
            <w:r w:rsidR="00245D55" w:rsidRPr="00374EC0">
              <w:rPr>
                <w:rStyle w:val="Hyperlink"/>
                <w:noProof/>
              </w:rPr>
              <w:t>Process of Review</w:t>
            </w:r>
            <w:r w:rsidR="00245D55">
              <w:rPr>
                <w:noProof/>
                <w:webHidden/>
              </w:rPr>
              <w:tab/>
            </w:r>
            <w:r w:rsidR="00245D55">
              <w:rPr>
                <w:noProof/>
                <w:webHidden/>
              </w:rPr>
              <w:fldChar w:fldCharType="begin"/>
            </w:r>
            <w:r w:rsidR="00245D55">
              <w:rPr>
                <w:noProof/>
                <w:webHidden/>
              </w:rPr>
              <w:instrText xml:space="preserve"> PAGEREF _Toc373743573 \h </w:instrText>
            </w:r>
            <w:r w:rsidR="00245D55">
              <w:rPr>
                <w:noProof/>
                <w:webHidden/>
              </w:rPr>
            </w:r>
            <w:r w:rsidR="00245D55">
              <w:rPr>
                <w:noProof/>
                <w:webHidden/>
              </w:rPr>
              <w:fldChar w:fldCharType="separate"/>
            </w:r>
            <w:r>
              <w:rPr>
                <w:noProof/>
                <w:webHidden/>
              </w:rPr>
              <w:t>10</w:t>
            </w:r>
            <w:r w:rsidR="00245D55">
              <w:rPr>
                <w:noProof/>
                <w:webHidden/>
              </w:rPr>
              <w:fldChar w:fldCharType="end"/>
            </w:r>
          </w:hyperlink>
        </w:p>
        <w:p w:rsidR="00F31E9F" w:rsidRDefault="00F31E9F" w:rsidP="002200B1">
          <w:pPr>
            <w:spacing w:line="288" w:lineRule="auto"/>
          </w:pPr>
          <w:r>
            <w:rPr>
              <w:b/>
              <w:bCs/>
              <w:noProof/>
            </w:rPr>
            <w:fldChar w:fldCharType="end"/>
          </w:r>
        </w:p>
      </w:sdtContent>
    </w:sdt>
    <w:p w:rsidR="00A303F3" w:rsidRDefault="00A303F3" w:rsidP="002200B1">
      <w:pPr>
        <w:spacing w:line="288" w:lineRule="auto"/>
        <w:rPr>
          <w:b/>
        </w:rPr>
        <w:sectPr w:rsidR="00A303F3">
          <w:headerReference w:type="default" r:id="rId9"/>
          <w:footerReference w:type="default" r:id="rId10"/>
          <w:headerReference w:type="first" r:id="rId11"/>
          <w:footerReference w:type="first" r:id="rId12"/>
          <w:pgSz w:w="11906" w:h="16838" w:code="9"/>
          <w:pgMar w:top="1440" w:right="1440" w:bottom="1440" w:left="1440" w:header="1440" w:footer="249" w:gutter="0"/>
          <w:cols w:space="720"/>
          <w:titlePg/>
        </w:sectPr>
      </w:pPr>
    </w:p>
    <w:p w:rsidR="003D519D" w:rsidRPr="00704958" w:rsidRDefault="003D519D" w:rsidP="002200B1">
      <w:pPr>
        <w:pStyle w:val="Heading1"/>
        <w:spacing w:before="0" w:after="360" w:line="288" w:lineRule="auto"/>
        <w:rPr>
          <w:sz w:val="32"/>
          <w:szCs w:val="32"/>
        </w:rPr>
      </w:pPr>
      <w:bookmarkStart w:id="2" w:name="_Toc373743555"/>
      <w:r w:rsidRPr="00704958">
        <w:rPr>
          <w:sz w:val="32"/>
          <w:szCs w:val="32"/>
        </w:rPr>
        <w:t>Purpose</w:t>
      </w:r>
      <w:bookmarkEnd w:id="2"/>
    </w:p>
    <w:p w:rsidR="00DB705A" w:rsidRDefault="003D519D" w:rsidP="002200B1">
      <w:pPr>
        <w:spacing w:line="288" w:lineRule="auto"/>
      </w:pPr>
      <w:r>
        <w:t>These Ministerial Guidelines specify the extenuating circumstances determined by the Minister for Health in accordance with Rule</w:t>
      </w:r>
      <w:r w:rsidR="00086EDE">
        <w:t>s</w:t>
      </w:r>
      <w:r>
        <w:t xml:space="preserve"> 15 (6) and (7) </w:t>
      </w:r>
      <w:r w:rsidR="00D9410B">
        <w:t>of</w:t>
      </w:r>
      <w:r w:rsidR="006E61A0">
        <w:t xml:space="preserve"> the Dental Benefits Rules 2013</w:t>
      </w:r>
      <w:r w:rsidR="0003536D">
        <w:t xml:space="preserve"> </w:t>
      </w:r>
      <w:r w:rsidR="00D9410B">
        <w:t>(the Rules).</w:t>
      </w:r>
    </w:p>
    <w:p w:rsidR="00DB705A" w:rsidRDefault="00DB705A" w:rsidP="002200B1">
      <w:pPr>
        <w:spacing w:line="288" w:lineRule="auto"/>
      </w:pPr>
    </w:p>
    <w:p w:rsidR="00104F31" w:rsidRDefault="00DB705A" w:rsidP="002200B1">
      <w:pPr>
        <w:spacing w:line="288" w:lineRule="auto"/>
      </w:pPr>
      <w:r w:rsidRPr="00DB705A">
        <w:t>The</w:t>
      </w:r>
      <w:r w:rsidR="00316BC2">
        <w:t xml:space="preserve">se </w:t>
      </w:r>
      <w:r w:rsidR="00707401">
        <w:t>Gui</w:t>
      </w:r>
      <w:r w:rsidR="00897153">
        <w:t>d</w:t>
      </w:r>
      <w:r w:rsidR="00707401">
        <w:t>elines are</w:t>
      </w:r>
      <w:r w:rsidRPr="00DB705A">
        <w:t xml:space="preserve"> intended to add flexibility to the compliance requirements for dental practitioners providing services under the Child Dental Benefits Schedule (CDBS)</w:t>
      </w:r>
      <w:r w:rsidR="00842C81">
        <w:t>.  T</w:t>
      </w:r>
      <w:r w:rsidR="00707401">
        <w:t>he</w:t>
      </w:r>
      <w:r w:rsidR="00316BC2">
        <w:t xml:space="preserve"> Guidelines </w:t>
      </w:r>
      <w:r w:rsidR="0041287A">
        <w:t xml:space="preserve">define </w:t>
      </w:r>
      <w:r w:rsidR="00316BC2">
        <w:t>s</w:t>
      </w:r>
      <w:r w:rsidR="007C7EF4">
        <w:t xml:space="preserve">ituations </w:t>
      </w:r>
      <w:r w:rsidR="00316BC2">
        <w:t xml:space="preserve">where </w:t>
      </w:r>
      <w:r w:rsidR="00707401">
        <w:t xml:space="preserve">CDBS benefits may still be payable where </w:t>
      </w:r>
      <w:r w:rsidR="00316BC2">
        <w:t xml:space="preserve">a dental provider has not met the requirements of the Rules due to circumstances </w:t>
      </w:r>
      <w:r w:rsidR="007C7EF4">
        <w:t>beyond the</w:t>
      </w:r>
      <w:r w:rsidR="00316BC2">
        <w:t>ir</w:t>
      </w:r>
      <w:r w:rsidR="007C7EF4">
        <w:t xml:space="preserve"> control</w:t>
      </w:r>
      <w:r w:rsidR="00104F31" w:rsidRPr="00DB705A">
        <w:t>.</w:t>
      </w:r>
    </w:p>
    <w:p w:rsidR="007C0400" w:rsidRDefault="007C0400" w:rsidP="002200B1">
      <w:pPr>
        <w:spacing w:line="288" w:lineRule="auto"/>
      </w:pPr>
    </w:p>
    <w:p w:rsidR="00DB705A" w:rsidRDefault="003D519D" w:rsidP="002200B1">
      <w:pPr>
        <w:spacing w:line="288" w:lineRule="auto"/>
      </w:pPr>
      <w:r>
        <w:t xml:space="preserve">These </w:t>
      </w:r>
      <w:r w:rsidR="00DB705A">
        <w:t>G</w:t>
      </w:r>
      <w:r>
        <w:t xml:space="preserve">uidelines apply to all service items listed in the Schedule of Services </w:t>
      </w:r>
      <w:r w:rsidR="00D9410B">
        <w:t xml:space="preserve">in the Rules and are the source for determining whether extenuating circumstances apply to cases where a </w:t>
      </w:r>
      <w:r w:rsidR="00E962D1">
        <w:t>dental provider</w:t>
      </w:r>
      <w:r w:rsidR="00D9410B">
        <w:t xml:space="preserve"> has failed to record medical and informed financial consent to treatment</w:t>
      </w:r>
      <w:r w:rsidR="00857FE5">
        <w:t xml:space="preserve"> when required</w:t>
      </w:r>
      <w:r w:rsidR="00DB705A" w:rsidRPr="00DB705A">
        <w:t xml:space="preserve">, as </w:t>
      </w:r>
      <w:r w:rsidR="0003536D">
        <w:t>prescribed</w:t>
      </w:r>
      <w:r w:rsidR="00DB705A" w:rsidRPr="00DB705A">
        <w:t xml:space="preserve"> under the Rules</w:t>
      </w:r>
      <w:r w:rsidR="00D9410B">
        <w:t>.</w:t>
      </w:r>
      <w:r w:rsidR="00DB705A" w:rsidRPr="00DB705A">
        <w:t xml:space="preserve"> </w:t>
      </w:r>
    </w:p>
    <w:p w:rsidR="000C5F5E" w:rsidRPr="00704958" w:rsidRDefault="001D018C" w:rsidP="002200B1">
      <w:pPr>
        <w:pStyle w:val="Heading1"/>
        <w:spacing w:after="360" w:line="288" w:lineRule="auto"/>
        <w:rPr>
          <w:sz w:val="32"/>
          <w:szCs w:val="32"/>
        </w:rPr>
      </w:pPr>
      <w:bookmarkStart w:id="3" w:name="_Toc373743556"/>
      <w:r w:rsidRPr="00704958">
        <w:rPr>
          <w:sz w:val="32"/>
          <w:szCs w:val="32"/>
        </w:rPr>
        <w:t>Introduction</w:t>
      </w:r>
      <w:bookmarkEnd w:id="3"/>
    </w:p>
    <w:p w:rsidR="001D018C" w:rsidRDefault="001D018C" w:rsidP="002200B1">
      <w:pPr>
        <w:spacing w:line="288" w:lineRule="auto"/>
      </w:pPr>
      <w:r>
        <w:t xml:space="preserve">The </w:t>
      </w:r>
      <w:r>
        <w:rPr>
          <w:i/>
        </w:rPr>
        <w:t xml:space="preserve">Dental Benefits Act 2008 </w:t>
      </w:r>
      <w:r>
        <w:t xml:space="preserve">(the </w:t>
      </w:r>
      <w:r w:rsidR="00DB705A">
        <w:t xml:space="preserve">DB </w:t>
      </w:r>
      <w:r>
        <w:t xml:space="preserve">Act) and its subordinate </w:t>
      </w:r>
      <w:r w:rsidR="00D9410B">
        <w:t xml:space="preserve">Rules </w:t>
      </w:r>
      <w:r>
        <w:t xml:space="preserve">establish the </w:t>
      </w:r>
      <w:r w:rsidR="008B15D0">
        <w:t xml:space="preserve">CDBS </w:t>
      </w:r>
      <w:r>
        <w:t xml:space="preserve">– a program aimed at </w:t>
      </w:r>
      <w:r w:rsidR="00104F31">
        <w:t>providing</w:t>
      </w:r>
      <w:r>
        <w:t xml:space="preserve"> access to dental services for children.  Under the CDBS</w:t>
      </w:r>
      <w:r w:rsidR="00DB705A">
        <w:t>,</w:t>
      </w:r>
      <w:r>
        <w:t xml:space="preserve"> children aged 2-17 years in families receiving Family Tax Benefit Part A </w:t>
      </w:r>
      <w:r w:rsidR="007C0400">
        <w:t>(</w:t>
      </w:r>
      <w:r>
        <w:t>and certain other government payments</w:t>
      </w:r>
      <w:r w:rsidR="007C0400">
        <w:t>)</w:t>
      </w:r>
      <w:r w:rsidR="00857FE5">
        <w:t xml:space="preserve"> </w:t>
      </w:r>
      <w:r>
        <w:t xml:space="preserve">will have access of </w:t>
      </w:r>
      <w:r w:rsidR="004E2068">
        <w:t xml:space="preserve">up to $1,000 in dental benefits, capped </w:t>
      </w:r>
      <w:r>
        <w:t>over two calendar years</w:t>
      </w:r>
      <w:r w:rsidR="004E2068">
        <w:t>,</w:t>
      </w:r>
      <w:r>
        <w:t xml:space="preserve"> for basic prevention and treatment services. </w:t>
      </w:r>
    </w:p>
    <w:p w:rsidR="00025A85" w:rsidRDefault="00025A85" w:rsidP="002200B1">
      <w:pPr>
        <w:spacing w:line="288" w:lineRule="auto"/>
      </w:pPr>
    </w:p>
    <w:p w:rsidR="00933DD5" w:rsidRDefault="00DC30AB" w:rsidP="002200B1">
      <w:pPr>
        <w:spacing w:line="288" w:lineRule="auto"/>
      </w:pPr>
      <w:r>
        <w:t>I</w:t>
      </w:r>
      <w:r w:rsidR="00156E60">
        <w:t xml:space="preserve">t is important that the </w:t>
      </w:r>
      <w:r w:rsidR="00EC0095">
        <w:t xml:space="preserve">CDBS </w:t>
      </w:r>
      <w:r w:rsidR="00156E60">
        <w:t xml:space="preserve">facilitates open communication between </w:t>
      </w:r>
      <w:r w:rsidR="00933DD5">
        <w:t xml:space="preserve">dental </w:t>
      </w:r>
      <w:r w:rsidR="00156E60">
        <w:t>provider</w:t>
      </w:r>
      <w:r w:rsidR="007C0400">
        <w:t>s</w:t>
      </w:r>
      <w:r w:rsidR="00156E60">
        <w:t xml:space="preserve"> and patients and their families</w:t>
      </w:r>
      <w:r w:rsidR="00933DD5">
        <w:t xml:space="preserve"> about the costs of </w:t>
      </w:r>
      <w:r w:rsidR="00025A85">
        <w:t>service</w:t>
      </w:r>
      <w:r w:rsidR="00933DD5">
        <w:t>s</w:t>
      </w:r>
      <w:r w:rsidR="00025A85">
        <w:t>.</w:t>
      </w:r>
    </w:p>
    <w:p w:rsidR="00933DD5" w:rsidRDefault="00933DD5" w:rsidP="002200B1">
      <w:pPr>
        <w:spacing w:line="288" w:lineRule="auto"/>
      </w:pPr>
    </w:p>
    <w:p w:rsidR="00933DD5" w:rsidRDefault="00025A85" w:rsidP="002200B1">
      <w:pPr>
        <w:spacing w:line="288" w:lineRule="auto"/>
      </w:pPr>
      <w:r>
        <w:t xml:space="preserve">Ensuring that patients and their families are informed of proposed CDBS treatment, costs and payment procedures gives </w:t>
      </w:r>
      <w:r w:rsidR="004E2068">
        <w:t>them</w:t>
      </w:r>
      <w:r>
        <w:t xml:space="preserve"> the opportunity to plan for any out-of-pocket costs they may be charged.</w:t>
      </w:r>
    </w:p>
    <w:p w:rsidR="00933DD5" w:rsidRDefault="00933DD5" w:rsidP="002200B1">
      <w:pPr>
        <w:spacing w:line="288" w:lineRule="auto"/>
      </w:pPr>
    </w:p>
    <w:p w:rsidR="001D018C" w:rsidRDefault="00025A85" w:rsidP="002200B1">
      <w:pPr>
        <w:spacing w:line="288" w:lineRule="auto"/>
      </w:pPr>
      <w:r>
        <w:t>The</w:t>
      </w:r>
      <w:r w:rsidR="009E2D90">
        <w:t xml:space="preserve"> program’s </w:t>
      </w:r>
      <w:r>
        <w:t xml:space="preserve">informed financial consent requirements </w:t>
      </w:r>
      <w:r w:rsidR="009E2D90">
        <w:t>aim</w:t>
      </w:r>
      <w:r>
        <w:t xml:space="preserve"> to facilitate </w:t>
      </w:r>
      <w:r w:rsidR="00104F31">
        <w:t xml:space="preserve">discussion of proposed treatment and costs </w:t>
      </w:r>
      <w:r w:rsidR="00D866DC">
        <w:t xml:space="preserve">and </w:t>
      </w:r>
      <w:r>
        <w:t xml:space="preserve">ensure patients are fully informed before progressing with a course of care. </w:t>
      </w:r>
    </w:p>
    <w:p w:rsidR="00A93BE8" w:rsidRDefault="00A93BE8" w:rsidP="002200B1">
      <w:pPr>
        <w:spacing w:line="288" w:lineRule="auto"/>
      </w:pPr>
    </w:p>
    <w:p w:rsidR="00A93BE8" w:rsidRDefault="00A93BE8" w:rsidP="002200B1">
      <w:pPr>
        <w:spacing w:line="288" w:lineRule="auto"/>
      </w:pPr>
      <w:r>
        <w:t xml:space="preserve">If a dental provider fails to satisfy the informed financial consent requirements, then the services </w:t>
      </w:r>
      <w:r w:rsidR="00D0646A">
        <w:t xml:space="preserve">provided </w:t>
      </w:r>
      <w:r>
        <w:t>cannot be deemed ‘eligible CDBS service</w:t>
      </w:r>
      <w:r w:rsidR="00D0646A">
        <w:t>s</w:t>
      </w:r>
      <w:r>
        <w:t xml:space="preserve">’ and the dental provider </w:t>
      </w:r>
      <w:r w:rsidR="00842C81">
        <w:t>will</w:t>
      </w:r>
      <w:r>
        <w:t xml:space="preserve"> be required to pay back to the </w:t>
      </w:r>
      <w:r w:rsidR="004E2068">
        <w:t>Australian Government</w:t>
      </w:r>
      <w:r>
        <w:t xml:space="preserve"> all amounts of assigned benefits paid for non</w:t>
      </w:r>
      <w:r w:rsidR="00D0646A">
        <w:noBreakHyphen/>
      </w:r>
      <w:r>
        <w:t>compliant services.</w:t>
      </w:r>
    </w:p>
    <w:p w:rsidR="00A93BE8" w:rsidRDefault="00A93BE8" w:rsidP="002200B1">
      <w:pPr>
        <w:spacing w:line="288" w:lineRule="auto"/>
      </w:pPr>
    </w:p>
    <w:p w:rsidR="00A93BE8" w:rsidRDefault="00A93BE8" w:rsidP="002200B1">
      <w:pPr>
        <w:spacing w:line="288" w:lineRule="auto"/>
      </w:pPr>
      <w:r>
        <w:t xml:space="preserve">However, </w:t>
      </w:r>
      <w:r w:rsidR="00104F31">
        <w:t>where the</w:t>
      </w:r>
      <w:r w:rsidR="00A958E0">
        <w:t xml:space="preserve">re are circumstances outside </w:t>
      </w:r>
      <w:r w:rsidR="00104F31">
        <w:t xml:space="preserve">the control of the </w:t>
      </w:r>
      <w:r w:rsidR="00A958E0">
        <w:t xml:space="preserve">dental provider that prevent compliance with the requirements, </w:t>
      </w:r>
      <w:r w:rsidR="00D0646A">
        <w:t>it</w:t>
      </w:r>
      <w:r w:rsidR="00D0646A" w:rsidRPr="009C0C56">
        <w:t xml:space="preserve"> is in the best interest of the patient and </w:t>
      </w:r>
      <w:r w:rsidR="00F465E8">
        <w:t xml:space="preserve">the </w:t>
      </w:r>
      <w:r w:rsidR="00D0646A">
        <w:t xml:space="preserve">dental </w:t>
      </w:r>
      <w:r w:rsidR="00D0646A" w:rsidRPr="009C0C56">
        <w:t xml:space="preserve">provider that benefits </w:t>
      </w:r>
      <w:r w:rsidR="00D0646A">
        <w:t xml:space="preserve">are </w:t>
      </w:r>
      <w:r w:rsidR="00D0646A" w:rsidRPr="009C0C56">
        <w:t xml:space="preserve">paid for </w:t>
      </w:r>
      <w:r w:rsidR="00D0646A">
        <w:t>CDBS</w:t>
      </w:r>
      <w:r w:rsidR="00D0646A" w:rsidRPr="009C0C56">
        <w:t xml:space="preserve"> services</w:t>
      </w:r>
      <w:r w:rsidR="00D0646A">
        <w:t>.</w:t>
      </w:r>
    </w:p>
    <w:p w:rsidR="00D46528" w:rsidRDefault="00D46528" w:rsidP="002200B1">
      <w:pPr>
        <w:spacing w:line="288" w:lineRule="auto"/>
      </w:pPr>
    </w:p>
    <w:p w:rsidR="00842C81" w:rsidRDefault="00A93BE8" w:rsidP="002200B1">
      <w:pPr>
        <w:spacing w:line="288" w:lineRule="auto"/>
      </w:pPr>
      <w:r>
        <w:t xml:space="preserve">The </w:t>
      </w:r>
      <w:r w:rsidR="00D0646A">
        <w:t xml:space="preserve">Guidelines </w:t>
      </w:r>
      <w:r>
        <w:t xml:space="preserve">will </w:t>
      </w:r>
      <w:r w:rsidR="00D0646A">
        <w:t xml:space="preserve">exempt </w:t>
      </w:r>
      <w:r>
        <w:t xml:space="preserve">cases of non-compliance with Rule 15 where the dental provider has obtained consent but, due to </w:t>
      </w:r>
      <w:r w:rsidR="00BB0F50">
        <w:t xml:space="preserve">certain </w:t>
      </w:r>
      <w:r w:rsidR="004E2068">
        <w:t>circumstances generally</w:t>
      </w:r>
      <w:r>
        <w:t xml:space="preserve"> outside of the</w:t>
      </w:r>
      <w:r w:rsidR="00A958E0">
        <w:t>ir</w:t>
      </w:r>
      <w:r>
        <w:t xml:space="preserve"> control, the dental provider has failed to record this consent in writing.</w:t>
      </w:r>
    </w:p>
    <w:p w:rsidR="00842C81" w:rsidRDefault="00842C81" w:rsidP="002200B1">
      <w:pPr>
        <w:spacing w:line="288" w:lineRule="auto"/>
      </w:pPr>
    </w:p>
    <w:p w:rsidR="00D0646A" w:rsidRDefault="00A93BE8" w:rsidP="002200B1">
      <w:pPr>
        <w:spacing w:line="288" w:lineRule="auto"/>
      </w:pPr>
      <w:r>
        <w:t xml:space="preserve">An exception to obtaining </w:t>
      </w:r>
      <w:r w:rsidR="00EC0095">
        <w:t xml:space="preserve">informed financial </w:t>
      </w:r>
      <w:r>
        <w:t xml:space="preserve">consent prior to treatment can only occur in cases where a patient is not known to be a </w:t>
      </w:r>
      <w:r w:rsidRPr="00A75751">
        <w:t>CDBS</w:t>
      </w:r>
      <w:r>
        <w:t xml:space="preserve"> patient on the day of treatment (see </w:t>
      </w:r>
      <w:r w:rsidR="00D0646A">
        <w:t xml:space="preserve">Extenuating Circumstance </w:t>
      </w:r>
      <w:r w:rsidR="00A958E0" w:rsidRPr="00704958">
        <w:rPr>
          <w:b/>
        </w:rPr>
        <w:t>(</w:t>
      </w:r>
      <w:r w:rsidR="00A04DFB" w:rsidRPr="00704958">
        <w:rPr>
          <w:b/>
        </w:rPr>
        <w:t>2</w:t>
      </w:r>
      <w:r w:rsidR="00A958E0" w:rsidRPr="00704958">
        <w:rPr>
          <w:b/>
        </w:rPr>
        <w:t>)</w:t>
      </w:r>
      <w:r w:rsidRPr="00704958">
        <w:rPr>
          <w:b/>
        </w:rPr>
        <w:t xml:space="preserve"> </w:t>
      </w:r>
      <w:r>
        <w:t>below).</w:t>
      </w:r>
    </w:p>
    <w:p w:rsidR="00D0646A" w:rsidRDefault="00D0646A" w:rsidP="002200B1">
      <w:pPr>
        <w:spacing w:line="288" w:lineRule="auto"/>
      </w:pPr>
    </w:p>
    <w:p w:rsidR="00A93BE8" w:rsidRDefault="00A93BE8" w:rsidP="002200B1">
      <w:pPr>
        <w:spacing w:line="288" w:lineRule="auto"/>
      </w:pPr>
      <w:r>
        <w:t xml:space="preserve">Rule 15 does not provide legal authority for providers to breach any other legal requirements or guidelines on consent to treatment.  </w:t>
      </w:r>
    </w:p>
    <w:p w:rsidR="000C5F5E" w:rsidRPr="00704958" w:rsidRDefault="00C657F0" w:rsidP="002200B1">
      <w:pPr>
        <w:pStyle w:val="Heading1"/>
        <w:spacing w:after="360" w:line="288" w:lineRule="auto"/>
      </w:pPr>
      <w:bookmarkStart w:id="4" w:name="_Toc373743557"/>
      <w:r w:rsidRPr="00704958">
        <w:rPr>
          <w:sz w:val="32"/>
          <w:szCs w:val="32"/>
        </w:rPr>
        <w:t>Informed Financial Consent</w:t>
      </w:r>
      <w:bookmarkEnd w:id="4"/>
      <w:r w:rsidR="001D018C" w:rsidRPr="00704958">
        <w:t xml:space="preserve"> </w:t>
      </w:r>
    </w:p>
    <w:p w:rsidR="003D519D" w:rsidRPr="00704958" w:rsidRDefault="004E43BA" w:rsidP="00D87020">
      <w:pPr>
        <w:pStyle w:val="Subtitle"/>
        <w:rPr>
          <w:b/>
        </w:rPr>
      </w:pPr>
      <w:bookmarkStart w:id="5" w:name="_Toc373743558"/>
      <w:r w:rsidRPr="00704958">
        <w:t xml:space="preserve">Informed Financial Consent </w:t>
      </w:r>
      <w:r w:rsidR="0003536D" w:rsidRPr="00704958">
        <w:t>Requirements</w:t>
      </w:r>
      <w:bookmarkEnd w:id="5"/>
    </w:p>
    <w:p w:rsidR="00E962D1" w:rsidRDefault="000073C0" w:rsidP="002200B1">
      <w:pPr>
        <w:spacing w:line="288" w:lineRule="auto"/>
      </w:pPr>
      <w:r>
        <w:t xml:space="preserve">The informed financial consent requirements are outlined in Rule 15 </w:t>
      </w:r>
      <w:r w:rsidR="006D34F7">
        <w:t>of the Rules.</w:t>
      </w:r>
    </w:p>
    <w:p w:rsidR="00E962D1" w:rsidRDefault="00E962D1" w:rsidP="002200B1">
      <w:pPr>
        <w:spacing w:line="288" w:lineRule="auto"/>
      </w:pPr>
    </w:p>
    <w:p w:rsidR="00A93BE8" w:rsidRDefault="00E962D1" w:rsidP="002200B1">
      <w:pPr>
        <w:spacing w:line="288" w:lineRule="auto"/>
      </w:pPr>
      <w:r>
        <w:t>If dental providers wish to participate in the CDBS,</w:t>
      </w:r>
      <w:r>
        <w:rPr>
          <w:i/>
        </w:rPr>
        <w:t xml:space="preserve"> </w:t>
      </w:r>
      <w:r>
        <w:t xml:space="preserve">it is a requirement of the program </w:t>
      </w:r>
      <w:r w:rsidR="00A93BE8">
        <w:t xml:space="preserve">that </w:t>
      </w:r>
      <w:r w:rsidR="00A958E0">
        <w:t>they</w:t>
      </w:r>
      <w:r w:rsidR="006D34F7" w:rsidRPr="00E962D1">
        <w:t xml:space="preserve"> </w:t>
      </w:r>
      <w:r w:rsidR="000073C0" w:rsidRPr="00E962D1">
        <w:t xml:space="preserve">obtain consent to medical treatment and costs before progressing with </w:t>
      </w:r>
      <w:r w:rsidR="006D34F7" w:rsidRPr="00E962D1">
        <w:t xml:space="preserve">any </w:t>
      </w:r>
      <w:r w:rsidR="000073C0" w:rsidRPr="00E962D1">
        <w:t>treatment</w:t>
      </w:r>
      <w:r w:rsidR="00857FE5" w:rsidRPr="00E962D1">
        <w:t>.</w:t>
      </w:r>
    </w:p>
    <w:p w:rsidR="00A93BE8" w:rsidRDefault="00A93BE8" w:rsidP="002200B1">
      <w:pPr>
        <w:spacing w:line="288" w:lineRule="auto"/>
      </w:pPr>
    </w:p>
    <w:p w:rsidR="000073C0" w:rsidRDefault="00933DD5" w:rsidP="002200B1">
      <w:pPr>
        <w:spacing w:line="288" w:lineRule="auto"/>
      </w:pPr>
      <w:r w:rsidRPr="00E962D1">
        <w:t>Dental providers</w:t>
      </w:r>
      <w:r w:rsidR="00857FE5" w:rsidRPr="00E962D1">
        <w:t xml:space="preserve"> must </w:t>
      </w:r>
      <w:r w:rsidR="00DB705A" w:rsidRPr="00E962D1">
        <w:t xml:space="preserve">also document </w:t>
      </w:r>
      <w:r w:rsidR="00424CB9" w:rsidRPr="00E962D1">
        <w:t xml:space="preserve">this consent in writing on an appropriate patient consent form.  </w:t>
      </w:r>
      <w:r w:rsidR="00572BC8" w:rsidRPr="00E962D1">
        <w:t xml:space="preserve">To do this, the provider needs to obtain a signature </w:t>
      </w:r>
      <w:r w:rsidR="00E962D1">
        <w:t xml:space="preserve">from the </w:t>
      </w:r>
      <w:r w:rsidR="00EA18EE" w:rsidRPr="00E962D1">
        <w:t xml:space="preserve">patient or </w:t>
      </w:r>
      <w:r w:rsidR="00E962D1">
        <w:t xml:space="preserve">patient’s </w:t>
      </w:r>
      <w:r w:rsidR="00572BC8" w:rsidRPr="00E962D1">
        <w:t>guardian (</w:t>
      </w:r>
      <w:r w:rsidR="00E962D1">
        <w:t xml:space="preserve">that is, </w:t>
      </w:r>
      <w:r w:rsidR="00EA18EE" w:rsidRPr="00E962D1">
        <w:t xml:space="preserve">a person with authority to </w:t>
      </w:r>
      <w:r w:rsidR="001C4BD3" w:rsidRPr="00E962D1">
        <w:t>consent on the patient’s behalf</w:t>
      </w:r>
      <w:r w:rsidR="00572BC8" w:rsidRPr="00E962D1">
        <w:t>)</w:t>
      </w:r>
      <w:r w:rsidR="00EA18EE" w:rsidRPr="00E962D1">
        <w:t xml:space="preserve"> </w:t>
      </w:r>
      <w:r w:rsidR="00572BC8" w:rsidRPr="00E962D1">
        <w:t>on</w:t>
      </w:r>
      <w:r w:rsidR="00EA18EE" w:rsidRPr="00E962D1">
        <w:t xml:space="preserve"> the patient consent form</w:t>
      </w:r>
      <w:r w:rsidR="00E962D1">
        <w:t>, which affirms that</w:t>
      </w:r>
      <w:r w:rsidR="00EA18EE" w:rsidRPr="00E962D1">
        <w:t xml:space="preserve"> treatment and costs were discussed</w:t>
      </w:r>
      <w:r w:rsidR="00857FE5" w:rsidRPr="00E962D1">
        <w:t xml:space="preserve"> </w:t>
      </w:r>
      <w:r w:rsidR="004E2068">
        <w:t xml:space="preserve">and agreed </w:t>
      </w:r>
      <w:r w:rsidR="00857FE5" w:rsidRPr="00E962D1">
        <w:t>prior to treatment</w:t>
      </w:r>
      <w:r w:rsidR="00EA18EE" w:rsidRPr="00E962D1">
        <w:t>.</w:t>
      </w:r>
    </w:p>
    <w:p w:rsidR="000073C0" w:rsidRDefault="000073C0" w:rsidP="002200B1">
      <w:pPr>
        <w:spacing w:line="288" w:lineRule="auto"/>
      </w:pPr>
    </w:p>
    <w:p w:rsidR="003D519D" w:rsidRPr="00704958" w:rsidRDefault="004E43BA" w:rsidP="00D87020">
      <w:pPr>
        <w:pStyle w:val="Subtitle"/>
        <w:rPr>
          <w:b/>
        </w:rPr>
      </w:pPr>
      <w:bookmarkStart w:id="6" w:name="_Toc373743559"/>
      <w:r w:rsidRPr="00704958">
        <w:t>Billing Arrangements</w:t>
      </w:r>
      <w:bookmarkEnd w:id="6"/>
    </w:p>
    <w:p w:rsidR="00E93DFA" w:rsidRDefault="00E93DFA" w:rsidP="002200B1">
      <w:pPr>
        <w:spacing w:line="288" w:lineRule="auto"/>
      </w:pPr>
      <w:r>
        <w:t>The dental provider may choose to set their own fees</w:t>
      </w:r>
      <w:r w:rsidR="004E2068">
        <w:t xml:space="preserve">, which </w:t>
      </w:r>
      <w:r>
        <w:t>may exceed the benefit</w:t>
      </w:r>
      <w:r w:rsidR="002F323B">
        <w:t>s</w:t>
      </w:r>
      <w:r w:rsidR="00BB0F50">
        <w:t xml:space="preserve"> </w:t>
      </w:r>
      <w:r>
        <w:t xml:space="preserve">listed in Schedule 1 of the Rules.  In these circumstances, patients and their families will incur out-of-pocket costs and be required to personally meet the </w:t>
      </w:r>
      <w:r w:rsidR="00BB0F50">
        <w:t xml:space="preserve">additional </w:t>
      </w:r>
      <w:r>
        <w:t xml:space="preserve">costs incurred </w:t>
      </w:r>
      <w:r w:rsidR="00BB0F50">
        <w:t>above</w:t>
      </w:r>
      <w:r>
        <w:t xml:space="preserve"> the be</w:t>
      </w:r>
      <w:r w:rsidR="00BB0F50">
        <w:t>nefit amount</w:t>
      </w:r>
      <w:r>
        <w:t xml:space="preserve"> for each service item.  </w:t>
      </w:r>
    </w:p>
    <w:p w:rsidR="00E962D1" w:rsidRDefault="00E93DFA" w:rsidP="002200B1">
      <w:pPr>
        <w:spacing w:line="288" w:lineRule="auto"/>
      </w:pPr>
      <w:r>
        <w:t>Alternatively, d</w:t>
      </w:r>
      <w:r w:rsidR="00933DD5">
        <w:t>ental providers</w:t>
      </w:r>
      <w:r w:rsidR="00B01ABF">
        <w:t xml:space="preserve"> may</w:t>
      </w:r>
      <w:r w:rsidR="00857FE5">
        <w:t xml:space="preserve"> choose to bulk</w:t>
      </w:r>
      <w:r w:rsidR="00A958E0">
        <w:t xml:space="preserve"> </w:t>
      </w:r>
      <w:r w:rsidR="00857FE5">
        <w:t>bill CDBS</w:t>
      </w:r>
      <w:r w:rsidR="00EA18EE">
        <w:t xml:space="preserve"> patient</w:t>
      </w:r>
      <w:r w:rsidR="00857FE5">
        <w:t>s</w:t>
      </w:r>
      <w:r>
        <w:t xml:space="preserve">.  </w:t>
      </w:r>
      <w:r w:rsidR="00A93BE8">
        <w:t>Bulk b</w:t>
      </w:r>
      <w:r w:rsidR="00E962D1">
        <w:t xml:space="preserve">illing is </w:t>
      </w:r>
      <w:r w:rsidR="00E962D1" w:rsidRPr="00E962D1">
        <w:t xml:space="preserve">where the patient assigns the available benefit for the service to the dental </w:t>
      </w:r>
      <w:r w:rsidR="00E962D1">
        <w:t>provider</w:t>
      </w:r>
      <w:r w:rsidR="00E962D1" w:rsidRPr="00E962D1">
        <w:t xml:space="preserve"> and the dental </w:t>
      </w:r>
      <w:r w:rsidR="00E962D1">
        <w:t>provider</w:t>
      </w:r>
      <w:r w:rsidR="00E962D1" w:rsidRPr="00E962D1">
        <w:t xml:space="preserve"> accepts the </w:t>
      </w:r>
      <w:r w:rsidR="00E962D1">
        <w:t xml:space="preserve">benefit </w:t>
      </w:r>
      <w:r w:rsidR="00A958E0">
        <w:t xml:space="preserve">payable </w:t>
      </w:r>
      <w:r w:rsidR="00E962D1">
        <w:t>for each service in Schedule 1 of the Rules</w:t>
      </w:r>
      <w:r w:rsidR="00E962D1" w:rsidRPr="00E962D1">
        <w:t xml:space="preserve"> as full payment.  As the dental </w:t>
      </w:r>
      <w:r w:rsidR="00E962D1">
        <w:t>provider</w:t>
      </w:r>
      <w:r w:rsidR="00E962D1" w:rsidRPr="00E962D1">
        <w:t xml:space="preserve"> accepts the available benefit as full payment, a co-payment cannot be charged to the patient.</w:t>
      </w:r>
    </w:p>
    <w:p w:rsidR="00E962D1" w:rsidRDefault="00E962D1" w:rsidP="002200B1">
      <w:pPr>
        <w:spacing w:line="288" w:lineRule="auto"/>
      </w:pPr>
    </w:p>
    <w:p w:rsidR="00EA18EE" w:rsidRDefault="00E962D1" w:rsidP="002200B1">
      <w:pPr>
        <w:spacing w:line="288" w:lineRule="auto"/>
      </w:pPr>
      <w:r>
        <w:t>In order to bulk</w:t>
      </w:r>
      <w:r w:rsidR="00D866DC">
        <w:t xml:space="preserve"> </w:t>
      </w:r>
      <w:r>
        <w:t xml:space="preserve">bill CDBS services, an agreement must be made between the dental provider and patient (or patient’s guardian) for benefits to be assigned to the dental provider in accordance with s12 of the </w:t>
      </w:r>
      <w:r w:rsidR="00EC0095">
        <w:t xml:space="preserve">DB </w:t>
      </w:r>
      <w:r>
        <w:t>Act.</w:t>
      </w:r>
    </w:p>
    <w:p w:rsidR="001C4BD3" w:rsidRDefault="001C4BD3" w:rsidP="002200B1">
      <w:pPr>
        <w:spacing w:line="288" w:lineRule="auto"/>
      </w:pPr>
    </w:p>
    <w:p w:rsidR="00B01ABF" w:rsidRPr="00181DD4" w:rsidRDefault="00897153" w:rsidP="00D87020">
      <w:pPr>
        <w:pStyle w:val="Subtitle"/>
        <w:rPr>
          <w:b/>
        </w:rPr>
      </w:pPr>
      <w:bookmarkStart w:id="7" w:name="_Toc373743560"/>
      <w:r>
        <w:t>Requirements for Documenting Consent</w:t>
      </w:r>
      <w:bookmarkEnd w:id="7"/>
      <w:r>
        <w:t xml:space="preserve"> </w:t>
      </w:r>
    </w:p>
    <w:p w:rsidR="00E93DFA" w:rsidRDefault="00E93DFA" w:rsidP="002200B1">
      <w:pPr>
        <w:spacing w:line="288" w:lineRule="auto"/>
      </w:pPr>
      <w:r>
        <w:t>Dental providers</w:t>
      </w:r>
      <w:r w:rsidRPr="00B01ABF">
        <w:t xml:space="preserve"> must use the Non-Bulk Billing </w:t>
      </w:r>
      <w:r w:rsidR="00A93BE8">
        <w:t xml:space="preserve">Patient Consent </w:t>
      </w:r>
      <w:r w:rsidRPr="00B01ABF">
        <w:t xml:space="preserve">Form </w:t>
      </w:r>
      <w:r w:rsidR="00A93BE8">
        <w:t xml:space="preserve">to document cases where </w:t>
      </w:r>
      <w:r w:rsidRPr="00B01ABF">
        <w:t>they choose to set their own fees ab</w:t>
      </w:r>
      <w:r>
        <w:t xml:space="preserve">ove the schedule benefit.  </w:t>
      </w:r>
      <w:r w:rsidRPr="00B01ABF">
        <w:t xml:space="preserve">In such </w:t>
      </w:r>
      <w:r w:rsidR="00A93BE8">
        <w:t>cases</w:t>
      </w:r>
      <w:r w:rsidRPr="00B01ABF">
        <w:t xml:space="preserve">, the </w:t>
      </w:r>
      <w:r>
        <w:t>dental provider</w:t>
      </w:r>
      <w:r w:rsidRPr="00B01ABF">
        <w:t xml:space="preserve"> must ensure patients and their families </w:t>
      </w:r>
      <w:r>
        <w:t>are</w:t>
      </w:r>
      <w:r w:rsidRPr="00B01ABF">
        <w:t xml:space="preserve"> made aware of the likely out</w:t>
      </w:r>
      <w:r w:rsidR="00A93BE8">
        <w:noBreakHyphen/>
      </w:r>
      <w:r w:rsidRPr="00B01ABF">
        <w:t>of</w:t>
      </w:r>
      <w:r w:rsidR="00A93BE8">
        <w:noBreakHyphen/>
      </w:r>
      <w:r w:rsidRPr="00B01ABF">
        <w:t xml:space="preserve">pocket costs they will be charged for </w:t>
      </w:r>
      <w:r>
        <w:t>CDBS</w:t>
      </w:r>
      <w:r w:rsidRPr="00B01ABF">
        <w:t xml:space="preserve"> service</w:t>
      </w:r>
      <w:r>
        <w:t>s</w:t>
      </w:r>
      <w:r w:rsidR="001D2E69">
        <w:t xml:space="preserve"> on the day</w:t>
      </w:r>
      <w:r>
        <w:t>.  The Non</w:t>
      </w:r>
      <w:r w:rsidR="00BB0F50">
        <w:noBreakHyphen/>
      </w:r>
      <w:r>
        <w:t xml:space="preserve">Bulk Billing </w:t>
      </w:r>
      <w:r w:rsidR="00A93BE8">
        <w:t xml:space="preserve">Patient Consent </w:t>
      </w:r>
      <w:r>
        <w:t>Form must be</w:t>
      </w:r>
      <w:r w:rsidRPr="00B01ABF">
        <w:t xml:space="preserve"> executed on each day of service provision under the program.</w:t>
      </w:r>
    </w:p>
    <w:p w:rsidR="00E93DFA" w:rsidRPr="00B01ABF" w:rsidRDefault="00E93DFA" w:rsidP="002200B1">
      <w:pPr>
        <w:spacing w:line="288" w:lineRule="auto"/>
      </w:pPr>
    </w:p>
    <w:p w:rsidR="00E93DFA" w:rsidRDefault="00B01ABF" w:rsidP="002200B1">
      <w:pPr>
        <w:spacing w:line="288" w:lineRule="auto"/>
      </w:pPr>
      <w:r w:rsidRPr="00B01ABF">
        <w:t xml:space="preserve">When </w:t>
      </w:r>
      <w:r w:rsidR="00933DD5">
        <w:t>dental providers</w:t>
      </w:r>
      <w:r>
        <w:t xml:space="preserve"> choose to bulk</w:t>
      </w:r>
      <w:r w:rsidR="00D866DC">
        <w:t xml:space="preserve"> </w:t>
      </w:r>
      <w:r w:rsidRPr="00B01ABF">
        <w:t xml:space="preserve">bill </w:t>
      </w:r>
      <w:r>
        <w:t xml:space="preserve">CDBS services </w:t>
      </w:r>
      <w:r w:rsidR="00857FE5">
        <w:t xml:space="preserve">they must ensure a Bulk </w:t>
      </w:r>
      <w:r w:rsidRPr="00B01ABF">
        <w:t xml:space="preserve">Billed Patient Consent Form is executed on the first day of service </w:t>
      </w:r>
      <w:r w:rsidR="00E93DFA">
        <w:t xml:space="preserve">in a </w:t>
      </w:r>
      <w:r w:rsidRPr="00B01ABF">
        <w:t>calendar year.</w:t>
      </w:r>
      <w:r>
        <w:t xml:space="preserve">  </w:t>
      </w:r>
      <w:r w:rsidRPr="00B01ABF">
        <w:t xml:space="preserve">For each day of service provision thereafter, the </w:t>
      </w:r>
      <w:r w:rsidR="00E962D1">
        <w:t>dental provider</w:t>
      </w:r>
      <w:r w:rsidRPr="00B01ABF">
        <w:t xml:space="preserve"> must advise </w:t>
      </w:r>
      <w:r w:rsidR="00E93DFA">
        <w:t xml:space="preserve">the </w:t>
      </w:r>
      <w:r w:rsidRPr="00B01ABF">
        <w:t>patient or the patient’s guardian of the likely treatment and bulk billing arrangements before commencing treatment.</w:t>
      </w:r>
    </w:p>
    <w:p w:rsidR="00E93DFA" w:rsidRDefault="00E93DFA" w:rsidP="002200B1">
      <w:pPr>
        <w:spacing w:line="288" w:lineRule="auto"/>
      </w:pPr>
    </w:p>
    <w:p w:rsidR="00E93DFA" w:rsidRDefault="00B01ABF" w:rsidP="002200B1">
      <w:pPr>
        <w:spacing w:line="288" w:lineRule="auto"/>
      </w:pPr>
      <w:r w:rsidRPr="00B01ABF">
        <w:t xml:space="preserve">However, </w:t>
      </w:r>
      <w:r w:rsidR="00B35A66">
        <w:t xml:space="preserve">consent does not have to be recorded on </w:t>
      </w:r>
      <w:r w:rsidR="00897153">
        <w:t>a Bulk Billed P</w:t>
      </w:r>
      <w:r w:rsidR="00B35A66">
        <w:t xml:space="preserve">atient </w:t>
      </w:r>
      <w:r w:rsidR="00897153">
        <w:t>C</w:t>
      </w:r>
      <w:r w:rsidR="00B35A66">
        <w:t xml:space="preserve">onsent </w:t>
      </w:r>
      <w:r w:rsidR="00897153">
        <w:t>F</w:t>
      </w:r>
      <w:r w:rsidR="00B35A66">
        <w:t>orm</w:t>
      </w:r>
      <w:r w:rsidR="00857FE5">
        <w:t xml:space="preserve"> at </w:t>
      </w:r>
      <w:r w:rsidRPr="00B01ABF">
        <w:t>subsequent appointments</w:t>
      </w:r>
      <w:r w:rsidR="00B35A66">
        <w:t xml:space="preserve"> because</w:t>
      </w:r>
      <w:r w:rsidRPr="00B01ABF">
        <w:t xml:space="preserve"> </w:t>
      </w:r>
      <w:r w:rsidR="00B35A66">
        <w:t>t</w:t>
      </w:r>
      <w:r w:rsidR="00E93DFA">
        <w:t>he patient consent form from the first visit will apply for the entire calendar year as long as the patient is bulk billed.</w:t>
      </w:r>
    </w:p>
    <w:p w:rsidR="00B01ABF" w:rsidRDefault="00B01ABF" w:rsidP="002200B1">
      <w:pPr>
        <w:spacing w:line="288" w:lineRule="auto"/>
      </w:pPr>
    </w:p>
    <w:p w:rsidR="00C657F0" w:rsidRPr="00181DD4" w:rsidRDefault="004E43BA" w:rsidP="00D87020">
      <w:pPr>
        <w:pStyle w:val="Subtitle"/>
        <w:rPr>
          <w:b/>
        </w:rPr>
      </w:pPr>
      <w:bookmarkStart w:id="8" w:name="_Toc373743561"/>
      <w:r w:rsidRPr="00181DD4">
        <w:t>Extenuating Circumstances</w:t>
      </w:r>
      <w:bookmarkEnd w:id="8"/>
    </w:p>
    <w:p w:rsidR="00BB0F50" w:rsidRDefault="00C657F0" w:rsidP="002200B1">
      <w:pPr>
        <w:spacing w:line="288" w:lineRule="auto"/>
      </w:pPr>
      <w:r>
        <w:t xml:space="preserve">Rule 15 </w:t>
      </w:r>
      <w:r w:rsidR="005C7BB4">
        <w:t>(6) of the Rules</w:t>
      </w:r>
      <w:r w:rsidR="003D519D">
        <w:t xml:space="preserve"> provides an</w:t>
      </w:r>
      <w:r>
        <w:t xml:space="preserve"> exe</w:t>
      </w:r>
      <w:r w:rsidR="003D519D">
        <w:t xml:space="preserve">mption for </w:t>
      </w:r>
      <w:r w:rsidR="00933DD5">
        <w:t>dental providers</w:t>
      </w:r>
      <w:r w:rsidR="003D519D">
        <w:t xml:space="preserve"> who have obtained medical and informed financial consent to treatment but failed to properly record this consent in writing </w:t>
      </w:r>
      <w:r w:rsidR="00933DD5" w:rsidRPr="00933DD5">
        <w:t>if an</w:t>
      </w:r>
      <w:r w:rsidR="00933DD5">
        <w:t xml:space="preserve"> ‘extenuating circumstance’</w:t>
      </w:r>
      <w:r w:rsidR="00933DD5" w:rsidRPr="00933DD5">
        <w:t xml:space="preserve"> applies in respect of </w:t>
      </w:r>
      <w:r w:rsidR="00933DD5">
        <w:t>CDBS</w:t>
      </w:r>
      <w:r w:rsidR="00933DD5" w:rsidRPr="00933DD5">
        <w:t xml:space="preserve"> service</w:t>
      </w:r>
      <w:r w:rsidR="00933DD5">
        <w:t>s</w:t>
      </w:r>
      <w:r w:rsidR="003D519D">
        <w:t>.</w:t>
      </w:r>
    </w:p>
    <w:p w:rsidR="00BB0F50" w:rsidRDefault="00BB0F50" w:rsidP="002200B1">
      <w:pPr>
        <w:spacing w:line="288" w:lineRule="auto"/>
      </w:pPr>
    </w:p>
    <w:p w:rsidR="00791E8E" w:rsidRDefault="003D519D" w:rsidP="002200B1">
      <w:pPr>
        <w:spacing w:line="288" w:lineRule="auto"/>
      </w:pPr>
      <w:r>
        <w:t xml:space="preserve">Rule 15 (7) provides for the extenuating circumstances to be determined in writing by the Minister for Health. </w:t>
      </w:r>
    </w:p>
    <w:p w:rsidR="005C7BB4" w:rsidRPr="00181DD4" w:rsidRDefault="005C7BB4" w:rsidP="002200B1">
      <w:pPr>
        <w:pStyle w:val="Heading1"/>
        <w:spacing w:after="360" w:line="288" w:lineRule="auto"/>
        <w:rPr>
          <w:sz w:val="32"/>
          <w:szCs w:val="32"/>
        </w:rPr>
      </w:pPr>
      <w:bookmarkStart w:id="9" w:name="_Toc373743562"/>
      <w:r w:rsidRPr="00181DD4">
        <w:rPr>
          <w:sz w:val="32"/>
          <w:szCs w:val="32"/>
        </w:rPr>
        <w:t>Extenuating Circumstances</w:t>
      </w:r>
      <w:bookmarkEnd w:id="9"/>
    </w:p>
    <w:p w:rsidR="00AC3A35" w:rsidRPr="00AC3A35" w:rsidRDefault="00AC3A35" w:rsidP="002200B1">
      <w:pPr>
        <w:spacing w:line="288" w:lineRule="auto"/>
      </w:pPr>
      <w:r>
        <w:t xml:space="preserve">In accordance with subrule 15 (7), the Minister for Health determines the following circumstances as extenuating circumstances for the purposes of the </w:t>
      </w:r>
      <w:r w:rsidR="00EC0095">
        <w:t>i</w:t>
      </w:r>
      <w:r>
        <w:t xml:space="preserve">nformed </w:t>
      </w:r>
      <w:r w:rsidR="00EC0095">
        <w:t>f</w:t>
      </w:r>
      <w:r>
        <w:t xml:space="preserve">inancial </w:t>
      </w:r>
      <w:r w:rsidR="00EC0095">
        <w:t>c</w:t>
      </w:r>
      <w:r>
        <w:t>onsent</w:t>
      </w:r>
      <w:r w:rsidR="006B7AE3">
        <w:t xml:space="preserve"> </w:t>
      </w:r>
      <w:r w:rsidR="001D2E69">
        <w:t>R</w:t>
      </w:r>
      <w:r w:rsidR="00857FE5">
        <w:t>ule</w:t>
      </w:r>
      <w:r>
        <w:t>.</w:t>
      </w:r>
    </w:p>
    <w:p w:rsidR="00514548" w:rsidRDefault="00514548" w:rsidP="002200B1">
      <w:pPr>
        <w:pStyle w:val="ListParagraph"/>
        <w:spacing w:line="288" w:lineRule="auto"/>
        <w:ind w:left="0"/>
        <w:contextualSpacing w:val="0"/>
      </w:pPr>
    </w:p>
    <w:p w:rsidR="00F27D91" w:rsidRPr="00D87020" w:rsidRDefault="00F27D91" w:rsidP="00BD353A">
      <w:pPr>
        <w:pStyle w:val="ListParagraph"/>
        <w:numPr>
          <w:ilvl w:val="0"/>
          <w:numId w:val="7"/>
        </w:numPr>
        <w:spacing w:after="120" w:line="288" w:lineRule="auto"/>
        <w:ind w:left="357" w:hanging="357"/>
        <w:contextualSpacing w:val="0"/>
        <w:outlineLvl w:val="1"/>
        <w:rPr>
          <w:b/>
          <w:i/>
        </w:rPr>
      </w:pPr>
      <w:bookmarkStart w:id="10" w:name="_Toc369090370"/>
      <w:bookmarkStart w:id="11" w:name="_Toc373743563"/>
      <w:r w:rsidRPr="00D87020">
        <w:rPr>
          <w:b/>
          <w:i/>
        </w:rPr>
        <w:t>Emergency services provided outside of normal practice</w:t>
      </w:r>
      <w:bookmarkEnd w:id="10"/>
      <w:bookmarkEnd w:id="11"/>
    </w:p>
    <w:p w:rsidR="00F27D91" w:rsidRDefault="00F27D91" w:rsidP="002200B1">
      <w:pPr>
        <w:pStyle w:val="ListParagraph"/>
        <w:spacing w:line="288" w:lineRule="auto"/>
        <w:ind w:left="0"/>
        <w:contextualSpacing w:val="0"/>
      </w:pPr>
      <w:r>
        <w:t xml:space="preserve">This extenuating circumstance applies to cases where a </w:t>
      </w:r>
      <w:r w:rsidR="004E2068">
        <w:t xml:space="preserve">dental </w:t>
      </w:r>
      <w:r>
        <w:t xml:space="preserve">provider renders </w:t>
      </w:r>
      <w:r w:rsidRPr="000135D6">
        <w:t>emergency CDBS services</w:t>
      </w:r>
      <w:r>
        <w:t xml:space="preserve"> outside their normal practice routine </w:t>
      </w:r>
      <w:r w:rsidR="00707401">
        <w:t xml:space="preserve">(that is, outside </w:t>
      </w:r>
      <w:r w:rsidR="00553C5A">
        <w:t xml:space="preserve">the dentist’s </w:t>
      </w:r>
      <w:r w:rsidR="00707401">
        <w:t xml:space="preserve">normal operating hours and/or in a different location), </w:t>
      </w:r>
      <w:r>
        <w:t xml:space="preserve">and as a result the </w:t>
      </w:r>
      <w:r w:rsidR="004E2068">
        <w:t xml:space="preserve">dental </w:t>
      </w:r>
      <w:r>
        <w:t>provider does not execute the appropriate patient consent form on th</w:t>
      </w:r>
      <w:r w:rsidR="006D4E8F">
        <w:t>e same day as service provision.</w:t>
      </w:r>
    </w:p>
    <w:p w:rsidR="00F27D91" w:rsidRDefault="00F27D91" w:rsidP="002200B1">
      <w:pPr>
        <w:pStyle w:val="ListParagraph"/>
        <w:spacing w:line="288" w:lineRule="auto"/>
        <w:ind w:left="0"/>
        <w:contextualSpacing w:val="0"/>
      </w:pPr>
    </w:p>
    <w:p w:rsidR="00F27D91" w:rsidRDefault="00F27D91" w:rsidP="002200B1">
      <w:pPr>
        <w:pStyle w:val="ListParagraph"/>
        <w:spacing w:line="288" w:lineRule="auto"/>
        <w:ind w:left="0"/>
        <w:contextualSpacing w:val="0"/>
      </w:pPr>
      <w:r>
        <w:t>For example, this would cover a case where emergency treatment is provided a</w:t>
      </w:r>
      <w:r w:rsidRPr="00697606">
        <w:t>fter hours</w:t>
      </w:r>
      <w:r w:rsidR="004E2068">
        <w:t>,</w:t>
      </w:r>
      <w:r>
        <w:t xml:space="preserve"> </w:t>
      </w:r>
      <w:r w:rsidR="0071059E">
        <w:t>where the late hour of service led</w:t>
      </w:r>
      <w:r>
        <w:t xml:space="preserve"> </w:t>
      </w:r>
      <w:r w:rsidRPr="00697606">
        <w:t xml:space="preserve">to the relevant consent form not being signed on the same day as the service. </w:t>
      </w:r>
      <w:r>
        <w:t xml:space="preserve"> This extenuating circumstance would also apply to cases where a </w:t>
      </w:r>
      <w:r w:rsidR="004E2068">
        <w:t xml:space="preserve">dental </w:t>
      </w:r>
      <w:r>
        <w:t xml:space="preserve">provider has been called to provide emergency </w:t>
      </w:r>
      <w:r w:rsidR="00271661">
        <w:t xml:space="preserve">CDBS services </w:t>
      </w:r>
      <w:r>
        <w:t xml:space="preserve">at a location </w:t>
      </w:r>
      <w:r w:rsidR="00271661">
        <w:t>that is</w:t>
      </w:r>
      <w:r w:rsidR="00897153">
        <w:t xml:space="preserve"> not</w:t>
      </w:r>
      <w:r w:rsidR="00271661">
        <w:t xml:space="preserve"> their usual practice </w:t>
      </w:r>
      <w:r w:rsidR="004E2068">
        <w:t xml:space="preserve">where </w:t>
      </w:r>
      <w:r>
        <w:t xml:space="preserve">the </w:t>
      </w:r>
      <w:r w:rsidR="004E2068">
        <w:t xml:space="preserve">dental </w:t>
      </w:r>
      <w:r>
        <w:t>provider does not have access to resources to execute a patient consent form on the day of service.</w:t>
      </w:r>
      <w:r w:rsidRPr="00697606">
        <w:t xml:space="preserve"> </w:t>
      </w:r>
    </w:p>
    <w:p w:rsidR="002200B1" w:rsidRPr="00697606" w:rsidRDefault="002200B1" w:rsidP="002200B1">
      <w:pPr>
        <w:pStyle w:val="ListParagraph"/>
        <w:spacing w:line="288" w:lineRule="auto"/>
        <w:ind w:left="0"/>
        <w:contextualSpacing w:val="0"/>
      </w:pPr>
    </w:p>
    <w:p w:rsidR="00C41C16" w:rsidRPr="00D87020" w:rsidRDefault="00C41C16" w:rsidP="002200B1">
      <w:pPr>
        <w:pStyle w:val="ListParagraph"/>
        <w:keepNext/>
        <w:keepLines/>
        <w:numPr>
          <w:ilvl w:val="0"/>
          <w:numId w:val="7"/>
        </w:numPr>
        <w:tabs>
          <w:tab w:val="left" w:pos="426"/>
        </w:tabs>
        <w:spacing w:after="120" w:line="288" w:lineRule="auto"/>
        <w:ind w:left="0" w:firstLine="0"/>
        <w:contextualSpacing w:val="0"/>
        <w:outlineLvl w:val="1"/>
        <w:rPr>
          <w:b/>
          <w:i/>
        </w:rPr>
      </w:pPr>
      <w:bookmarkStart w:id="12" w:name="_Toc373743564"/>
      <w:r w:rsidRPr="00D87020">
        <w:rPr>
          <w:b/>
          <w:i/>
        </w:rPr>
        <w:t>Failure of patients to disclose their intention to use CDBS benefits to the provider or practice on the day of service</w:t>
      </w:r>
      <w:bookmarkEnd w:id="12"/>
    </w:p>
    <w:p w:rsidR="00933DD5" w:rsidRDefault="00C41C16" w:rsidP="002200B1">
      <w:pPr>
        <w:pStyle w:val="ListParagraph"/>
        <w:spacing w:line="288" w:lineRule="auto"/>
        <w:ind w:left="0"/>
        <w:contextualSpacing w:val="0"/>
      </w:pPr>
      <w:r>
        <w:t xml:space="preserve">This extenuating circumstance </w:t>
      </w:r>
      <w:r w:rsidR="00463357">
        <w:t xml:space="preserve">applies to </w:t>
      </w:r>
      <w:r>
        <w:t>CDBS service provision where the patient or patient’s guardian fails to disclose to the provider at the time of service that they intend to claim their CDBS entitlements.</w:t>
      </w:r>
    </w:p>
    <w:p w:rsidR="00897153" w:rsidRDefault="00897153" w:rsidP="002200B1">
      <w:pPr>
        <w:pStyle w:val="ListParagraph"/>
        <w:spacing w:line="288" w:lineRule="auto"/>
        <w:ind w:left="0"/>
        <w:contextualSpacing w:val="0"/>
      </w:pPr>
    </w:p>
    <w:p w:rsidR="00463357" w:rsidRDefault="00463357" w:rsidP="002200B1">
      <w:pPr>
        <w:pStyle w:val="ListParagraph"/>
        <w:spacing w:line="288" w:lineRule="auto"/>
        <w:ind w:left="0"/>
        <w:contextualSpacing w:val="0"/>
      </w:pPr>
      <w:r>
        <w:t>In these situations</w:t>
      </w:r>
      <w:r w:rsidR="00F465E8">
        <w:t>,</w:t>
      </w:r>
      <w:r>
        <w:t xml:space="preserve"> the patient is</w:t>
      </w:r>
      <w:r w:rsidRPr="00E500B7">
        <w:t xml:space="preserve"> still eligible to claim benefits</w:t>
      </w:r>
      <w:r>
        <w:t xml:space="preserve"> (provided an appropriate invoice with CDBS item numbers is </w:t>
      </w:r>
      <w:r w:rsidR="001D2E69">
        <w:t>made available</w:t>
      </w:r>
      <w:r>
        <w:t>)</w:t>
      </w:r>
      <w:r w:rsidRPr="00E500B7">
        <w:t xml:space="preserve">, but </w:t>
      </w:r>
      <w:r w:rsidR="00F465E8">
        <w:t xml:space="preserve">they </w:t>
      </w:r>
      <w:r w:rsidRPr="00E500B7">
        <w:t xml:space="preserve">will not have signed the </w:t>
      </w:r>
      <w:r w:rsidR="00F465E8">
        <w:t xml:space="preserve">patient </w:t>
      </w:r>
      <w:r w:rsidRPr="00E500B7">
        <w:t>consent form on the day of treatment.</w:t>
      </w:r>
    </w:p>
    <w:p w:rsidR="00C41C16" w:rsidRDefault="00C41C16" w:rsidP="002200B1">
      <w:pPr>
        <w:pStyle w:val="ListParagraph"/>
        <w:spacing w:line="288" w:lineRule="auto"/>
        <w:ind w:left="0"/>
        <w:contextualSpacing w:val="0"/>
      </w:pPr>
    </w:p>
    <w:p w:rsidR="00F465E8" w:rsidRDefault="00C41C16" w:rsidP="002200B1">
      <w:pPr>
        <w:pStyle w:val="ListParagraph"/>
        <w:spacing w:line="288" w:lineRule="auto"/>
        <w:ind w:left="0"/>
        <w:contextualSpacing w:val="0"/>
      </w:pPr>
      <w:r>
        <w:t xml:space="preserve">This </w:t>
      </w:r>
      <w:r w:rsidR="00463357">
        <w:t xml:space="preserve">would </w:t>
      </w:r>
      <w:r>
        <w:t>include circumstances where t</w:t>
      </w:r>
      <w:r w:rsidRPr="00E500B7">
        <w:t xml:space="preserve">he patient </w:t>
      </w:r>
      <w:r w:rsidR="00F465E8">
        <w:t xml:space="preserve">receives </w:t>
      </w:r>
      <w:r w:rsidRPr="00E500B7">
        <w:t>service</w:t>
      </w:r>
      <w:r>
        <w:t>s</w:t>
      </w:r>
      <w:r w:rsidRPr="00E500B7">
        <w:t xml:space="preserve"> </w:t>
      </w:r>
      <w:r>
        <w:t>on one day,</w:t>
      </w:r>
      <w:r w:rsidRPr="00E500B7">
        <w:t xml:space="preserve"> </w:t>
      </w:r>
      <w:r>
        <w:t xml:space="preserve">and only on a later day </w:t>
      </w:r>
      <w:r w:rsidR="00E962D1">
        <w:t xml:space="preserve">is the dental provider </w:t>
      </w:r>
      <w:r w:rsidR="00463357">
        <w:t xml:space="preserve">advised that the patient seeks </w:t>
      </w:r>
      <w:r>
        <w:t>to claim CDBS benefits for the services provided previously.</w:t>
      </w:r>
    </w:p>
    <w:p w:rsidR="00F465E8" w:rsidRDefault="00F465E8" w:rsidP="002200B1">
      <w:pPr>
        <w:pStyle w:val="ListParagraph"/>
        <w:spacing w:line="288" w:lineRule="auto"/>
        <w:ind w:left="0"/>
        <w:contextualSpacing w:val="0"/>
      </w:pPr>
    </w:p>
    <w:p w:rsidR="00C41C16" w:rsidRDefault="00463357" w:rsidP="002200B1">
      <w:pPr>
        <w:pStyle w:val="ListParagraph"/>
        <w:spacing w:line="288" w:lineRule="auto"/>
        <w:ind w:left="0"/>
        <w:contextualSpacing w:val="0"/>
      </w:pPr>
      <w:r w:rsidRPr="00E1146E">
        <w:t xml:space="preserve">This extenuating circumstance would also include those cases where a family </w:t>
      </w:r>
      <w:r w:rsidR="00E1146E" w:rsidRPr="00E1146E">
        <w:t>may not find out their child is eligible for the CDBS until later in the calendar year and after the date of service (such as when they begin to receive their Family Tax Benefit Part-A entitlement later in the calendar year or choose to claim</w:t>
      </w:r>
      <w:r w:rsidRPr="00E1146E">
        <w:t xml:space="preserve"> the entitlement as a l</w:t>
      </w:r>
      <w:r w:rsidR="00E1146E" w:rsidRPr="00E1146E">
        <w:t>ump sum)</w:t>
      </w:r>
      <w:r w:rsidRPr="00E1146E">
        <w:t>.</w:t>
      </w:r>
    </w:p>
    <w:p w:rsidR="002200B1" w:rsidRDefault="002200B1" w:rsidP="002200B1">
      <w:pPr>
        <w:pStyle w:val="ListParagraph"/>
        <w:spacing w:line="288" w:lineRule="auto"/>
        <w:ind w:left="0"/>
        <w:contextualSpacing w:val="0"/>
      </w:pPr>
    </w:p>
    <w:p w:rsidR="00C41C16" w:rsidRPr="00D87020" w:rsidRDefault="00C41C16" w:rsidP="002200B1">
      <w:pPr>
        <w:pStyle w:val="ListParagraph"/>
        <w:keepNext/>
        <w:keepLines/>
        <w:numPr>
          <w:ilvl w:val="0"/>
          <w:numId w:val="7"/>
        </w:numPr>
        <w:spacing w:after="120" w:line="288" w:lineRule="auto"/>
        <w:ind w:left="0" w:firstLine="0"/>
        <w:contextualSpacing w:val="0"/>
        <w:outlineLvl w:val="1"/>
        <w:rPr>
          <w:b/>
          <w:i/>
        </w:rPr>
      </w:pPr>
      <w:bookmarkStart w:id="13" w:name="_Toc373743565"/>
      <w:r w:rsidRPr="00D87020">
        <w:rPr>
          <w:b/>
          <w:i/>
        </w:rPr>
        <w:t>Refusal to sign</w:t>
      </w:r>
      <w:bookmarkEnd w:id="13"/>
    </w:p>
    <w:p w:rsidR="00E962D1" w:rsidRDefault="008F6C44" w:rsidP="002200B1">
      <w:pPr>
        <w:spacing w:line="288" w:lineRule="auto"/>
      </w:pPr>
      <w:r>
        <w:t>This extenuating circumstance</w:t>
      </w:r>
      <w:r w:rsidR="00EE69C7">
        <w:t xml:space="preserve"> covers cases where a </w:t>
      </w:r>
      <w:r w:rsidR="00C41C16">
        <w:t xml:space="preserve">patient </w:t>
      </w:r>
      <w:r w:rsidR="00EE69C7">
        <w:t xml:space="preserve">or the patient’s guardian </w:t>
      </w:r>
      <w:r w:rsidR="00C41C16">
        <w:t xml:space="preserve">consents to treatment and </w:t>
      </w:r>
      <w:r w:rsidR="00EE69C7">
        <w:t xml:space="preserve">costs before receiving services, </w:t>
      </w:r>
      <w:r w:rsidR="002200B1">
        <w:t>but</w:t>
      </w:r>
      <w:r w:rsidR="00C41C16">
        <w:t xml:space="preserve"> for reason</w:t>
      </w:r>
      <w:r w:rsidR="00EE69C7">
        <w:t>s</w:t>
      </w:r>
      <w:r w:rsidR="00C41C16">
        <w:t xml:space="preserve"> outside the </w:t>
      </w:r>
      <w:r w:rsidR="00E962D1">
        <w:t xml:space="preserve">dental </w:t>
      </w:r>
      <w:r w:rsidR="00C41C16">
        <w:t xml:space="preserve">provider’s control, refuses to sign the </w:t>
      </w:r>
      <w:r w:rsidR="00F465E8">
        <w:t xml:space="preserve">patient </w:t>
      </w:r>
      <w:r w:rsidR="00C41C16">
        <w:t xml:space="preserve">consent form </w:t>
      </w:r>
      <w:r w:rsidR="00BC1878">
        <w:t>before</w:t>
      </w:r>
      <w:r w:rsidR="00EE69C7">
        <w:t xml:space="preserve"> the </w:t>
      </w:r>
      <w:r w:rsidR="00BC1878">
        <w:t>end of the visit</w:t>
      </w:r>
      <w:r w:rsidR="00EE69C7">
        <w:t>.</w:t>
      </w:r>
    </w:p>
    <w:p w:rsidR="00E962D1" w:rsidRDefault="00E962D1" w:rsidP="002200B1">
      <w:pPr>
        <w:spacing w:line="288" w:lineRule="auto"/>
      </w:pPr>
    </w:p>
    <w:p w:rsidR="00C41C16" w:rsidRDefault="00EE69C7" w:rsidP="002200B1">
      <w:pPr>
        <w:spacing w:line="288" w:lineRule="auto"/>
      </w:pPr>
      <w:r>
        <w:t xml:space="preserve">For example, </w:t>
      </w:r>
      <w:r w:rsidR="008F6C44">
        <w:t>the patient or patient guardian</w:t>
      </w:r>
      <w:r w:rsidR="00C41C16">
        <w:t xml:space="preserve"> </w:t>
      </w:r>
      <w:r w:rsidR="00E962D1">
        <w:t xml:space="preserve">may consent verbally at the beginning of a visit, but at the end of the visit </w:t>
      </w:r>
      <w:r w:rsidR="00C41C16">
        <w:t xml:space="preserve">may be unhappy </w:t>
      </w:r>
      <w:r w:rsidR="00E962D1">
        <w:t xml:space="preserve">with </w:t>
      </w:r>
      <w:r>
        <w:t xml:space="preserve">the </w:t>
      </w:r>
      <w:r w:rsidR="00C41C16">
        <w:t>services provided</w:t>
      </w:r>
      <w:r w:rsidR="00E962D1">
        <w:t>,</w:t>
      </w:r>
      <w:r w:rsidR="00C41C16">
        <w:t xml:space="preserve"> or reconsider the financial implication</w:t>
      </w:r>
      <w:r>
        <w:t>s once payment is required</w:t>
      </w:r>
      <w:r w:rsidR="00E962D1">
        <w:t>,</w:t>
      </w:r>
      <w:r w:rsidR="008F6C44">
        <w:t xml:space="preserve"> and refuse to sign the appropriate patient consent form</w:t>
      </w:r>
      <w:r w:rsidR="00C41C16">
        <w:t>.</w:t>
      </w:r>
    </w:p>
    <w:p w:rsidR="00C41C16" w:rsidRDefault="00C41C16" w:rsidP="002200B1">
      <w:pPr>
        <w:spacing w:line="288" w:lineRule="auto"/>
      </w:pPr>
    </w:p>
    <w:p w:rsidR="00F27D91" w:rsidRPr="00D87020" w:rsidRDefault="00F27D91" w:rsidP="002200B1">
      <w:pPr>
        <w:pStyle w:val="ListParagraph"/>
        <w:numPr>
          <w:ilvl w:val="0"/>
          <w:numId w:val="7"/>
        </w:numPr>
        <w:spacing w:after="120" w:line="288" w:lineRule="auto"/>
        <w:ind w:left="357" w:hanging="357"/>
        <w:contextualSpacing w:val="0"/>
        <w:outlineLvl w:val="1"/>
        <w:rPr>
          <w:b/>
          <w:i/>
        </w:rPr>
      </w:pPr>
      <w:bookmarkStart w:id="14" w:name="_Toc369090372"/>
      <w:bookmarkStart w:id="15" w:name="_Toc373743566"/>
      <w:r w:rsidRPr="00D87020">
        <w:rPr>
          <w:b/>
          <w:i/>
        </w:rPr>
        <w:t>Administrative error</w:t>
      </w:r>
      <w:bookmarkEnd w:id="14"/>
      <w:bookmarkEnd w:id="15"/>
    </w:p>
    <w:p w:rsidR="00F27D91" w:rsidRDefault="00F27D91" w:rsidP="002200B1">
      <w:pPr>
        <w:spacing w:line="288" w:lineRule="auto"/>
      </w:pPr>
      <w:r w:rsidRPr="00096CE2">
        <w:t xml:space="preserve">To avoid administrative errors, it is important that practices have appropriate procedures in place to ensure that staff involved in treating </w:t>
      </w:r>
      <w:r>
        <w:t>CDBS</w:t>
      </w:r>
      <w:r w:rsidRPr="00096CE2">
        <w:t xml:space="preserve"> patients and processing </w:t>
      </w:r>
      <w:r>
        <w:t>CDBS</w:t>
      </w:r>
      <w:r w:rsidRPr="00096CE2">
        <w:t xml:space="preserve"> paperwork know</w:t>
      </w:r>
      <w:r>
        <w:t xml:space="preserve"> </w:t>
      </w:r>
      <w:r w:rsidRPr="00096CE2">
        <w:t xml:space="preserve">how to meet </w:t>
      </w:r>
      <w:r>
        <w:t>their</w:t>
      </w:r>
      <w:r w:rsidRPr="00096CE2">
        <w:t xml:space="preserve"> obligations.  For example,</w:t>
      </w:r>
      <w:r>
        <w:t xml:space="preserve"> </w:t>
      </w:r>
      <w:r w:rsidRPr="00096CE2">
        <w:t xml:space="preserve">when </w:t>
      </w:r>
      <w:r>
        <w:t>a CDBS</w:t>
      </w:r>
      <w:r w:rsidRPr="00096CE2">
        <w:t xml:space="preserve"> patient </w:t>
      </w:r>
      <w:r>
        <w:t>arrives at a clinic</w:t>
      </w:r>
      <w:r w:rsidR="00842C81">
        <w:t>,</w:t>
      </w:r>
      <w:r>
        <w:t xml:space="preserve"> </w:t>
      </w:r>
      <w:r w:rsidRPr="00096CE2">
        <w:t xml:space="preserve">a receptionist </w:t>
      </w:r>
      <w:r>
        <w:t xml:space="preserve">may ask them about </w:t>
      </w:r>
      <w:r w:rsidRPr="00096CE2">
        <w:t xml:space="preserve">their </w:t>
      </w:r>
      <w:r>
        <w:t xml:space="preserve">eligibility and </w:t>
      </w:r>
      <w:r w:rsidRPr="00096CE2">
        <w:t>intent</w:t>
      </w:r>
      <w:r>
        <w:t>ion</w:t>
      </w:r>
      <w:r w:rsidRPr="00096CE2">
        <w:t xml:space="preserve"> to claim </w:t>
      </w:r>
      <w:r>
        <w:t>CDBS</w:t>
      </w:r>
      <w:r w:rsidRPr="00096CE2">
        <w:t xml:space="preserve"> entitlements</w:t>
      </w:r>
      <w:r>
        <w:t xml:space="preserve"> and then </w:t>
      </w:r>
      <w:r w:rsidRPr="00096CE2">
        <w:t>communicat</w:t>
      </w:r>
      <w:r>
        <w:t xml:space="preserve">e </w:t>
      </w:r>
      <w:r w:rsidRPr="00096CE2">
        <w:t>this to relevant staff so that the proper informed financial consent can be obtained and record</w:t>
      </w:r>
      <w:r>
        <w:t>ed</w:t>
      </w:r>
      <w:r w:rsidRPr="00096CE2">
        <w:t xml:space="preserve">. </w:t>
      </w:r>
    </w:p>
    <w:p w:rsidR="00F27D91" w:rsidRDefault="00F27D91" w:rsidP="002200B1">
      <w:pPr>
        <w:spacing w:line="288" w:lineRule="auto"/>
      </w:pPr>
    </w:p>
    <w:p w:rsidR="00F27D91" w:rsidRDefault="00F27D91" w:rsidP="002200B1">
      <w:pPr>
        <w:spacing w:line="288" w:lineRule="auto"/>
      </w:pPr>
      <w:r>
        <w:t>However, there may be circumstances beyond the practice’s normal operations that are exceptional – for example, where a practice’s IT system was inoperative or where there has been a genuine administrative oversight (such as new staff being untrained in the CDBS’s requirements in the first few days of work).  For an administrative error to satisfy the extenuating circumstance, the provider must be able to:</w:t>
      </w:r>
    </w:p>
    <w:p w:rsidR="00F27D91" w:rsidRDefault="00F27D91" w:rsidP="002200B1">
      <w:pPr>
        <w:pStyle w:val="ListParagraph"/>
        <w:numPr>
          <w:ilvl w:val="0"/>
          <w:numId w:val="8"/>
        </w:numPr>
        <w:spacing w:line="288" w:lineRule="auto"/>
        <w:contextualSpacing w:val="0"/>
      </w:pPr>
      <w:r>
        <w:t xml:space="preserve">prove that the administrative error that occurred was outside the practice’s ordinary business processes and procedures; </w:t>
      </w:r>
    </w:p>
    <w:p w:rsidR="00F27D91" w:rsidRDefault="00F27D91" w:rsidP="002200B1">
      <w:pPr>
        <w:pStyle w:val="ListParagraph"/>
        <w:numPr>
          <w:ilvl w:val="0"/>
          <w:numId w:val="8"/>
        </w:numPr>
        <w:spacing w:line="288" w:lineRule="auto"/>
        <w:contextualSpacing w:val="0"/>
      </w:pPr>
      <w:r>
        <w:t>produce evidence that reasonable steps were taken to rectify the problem</w:t>
      </w:r>
      <w:r w:rsidR="00900AA9">
        <w:t xml:space="preserve"> and</w:t>
      </w:r>
      <w:r>
        <w:t xml:space="preserve"> </w:t>
      </w:r>
      <w:r w:rsidR="00F931A1">
        <w:t>to prevent it happening again</w:t>
      </w:r>
      <w:r w:rsidR="004E2068">
        <w:t>;</w:t>
      </w:r>
      <w:r>
        <w:t xml:space="preserve"> and</w:t>
      </w:r>
    </w:p>
    <w:p w:rsidR="00F27D91" w:rsidRDefault="00F27D91" w:rsidP="002200B1">
      <w:pPr>
        <w:pStyle w:val="ListParagraph"/>
        <w:numPr>
          <w:ilvl w:val="0"/>
          <w:numId w:val="8"/>
        </w:numPr>
        <w:spacing w:line="288" w:lineRule="auto"/>
        <w:contextualSpacing w:val="0"/>
      </w:pPr>
      <w:r>
        <w:t>show that their response and corrective action was conducted within a reasonable period from the date of error.</w:t>
      </w:r>
    </w:p>
    <w:p w:rsidR="00AC2FAE" w:rsidRDefault="00AC2FAE" w:rsidP="002200B1">
      <w:pPr>
        <w:spacing w:line="288" w:lineRule="auto"/>
      </w:pPr>
    </w:p>
    <w:p w:rsidR="00C41C16" w:rsidRPr="00D87020" w:rsidRDefault="00C41C16" w:rsidP="002200B1">
      <w:pPr>
        <w:pStyle w:val="ListParagraph"/>
        <w:keepNext/>
        <w:keepLines/>
        <w:numPr>
          <w:ilvl w:val="0"/>
          <w:numId w:val="7"/>
        </w:numPr>
        <w:spacing w:after="120" w:line="288" w:lineRule="auto"/>
        <w:ind w:left="0" w:firstLine="0"/>
        <w:contextualSpacing w:val="0"/>
        <w:outlineLvl w:val="1"/>
        <w:rPr>
          <w:b/>
          <w:i/>
        </w:rPr>
      </w:pPr>
      <w:bookmarkStart w:id="16" w:name="_Toc373743567"/>
      <w:r w:rsidRPr="00D87020">
        <w:rPr>
          <w:b/>
          <w:i/>
        </w:rPr>
        <w:t>Incapacity/death of patient before signing</w:t>
      </w:r>
      <w:bookmarkEnd w:id="16"/>
    </w:p>
    <w:p w:rsidR="00AC2FAE" w:rsidRDefault="00EE69C7" w:rsidP="002200B1">
      <w:pPr>
        <w:spacing w:line="288" w:lineRule="auto"/>
      </w:pPr>
      <w:r>
        <w:t>This extenuating circumstance applies to cases where the services and costs have been agreed to</w:t>
      </w:r>
      <w:r w:rsidR="00F465E8">
        <w:t>,</w:t>
      </w:r>
      <w:r>
        <w:t xml:space="preserve"> but due to incapacity or death the patient or patient’s guardian is unable to sign the patient consent form</w:t>
      </w:r>
      <w:r w:rsidR="008F6C44">
        <w:t xml:space="preserve"> when required</w:t>
      </w:r>
      <w:r>
        <w:t>.</w:t>
      </w:r>
    </w:p>
    <w:p w:rsidR="00AC2FAE" w:rsidRDefault="00AC2FAE" w:rsidP="002200B1">
      <w:pPr>
        <w:spacing w:line="288" w:lineRule="auto"/>
      </w:pPr>
    </w:p>
    <w:p w:rsidR="00C41C16" w:rsidRPr="00D87020" w:rsidRDefault="00C41C16" w:rsidP="002200B1">
      <w:pPr>
        <w:pStyle w:val="ListParagraph"/>
        <w:keepNext/>
        <w:keepLines/>
        <w:numPr>
          <w:ilvl w:val="0"/>
          <w:numId w:val="7"/>
        </w:numPr>
        <w:spacing w:after="120" w:line="288" w:lineRule="auto"/>
        <w:ind w:left="0" w:firstLine="0"/>
        <w:contextualSpacing w:val="0"/>
        <w:outlineLvl w:val="1"/>
        <w:rPr>
          <w:b/>
          <w:i/>
        </w:rPr>
      </w:pPr>
      <w:bookmarkStart w:id="17" w:name="_Toc373743568"/>
      <w:r w:rsidRPr="00D87020">
        <w:rPr>
          <w:b/>
          <w:i/>
        </w:rPr>
        <w:t>Person executing the patient consent form does not have authority to sign</w:t>
      </w:r>
      <w:bookmarkEnd w:id="17"/>
    </w:p>
    <w:p w:rsidR="00E962D1" w:rsidRDefault="00C41C16" w:rsidP="002200B1">
      <w:pPr>
        <w:spacing w:line="288" w:lineRule="auto"/>
      </w:pPr>
      <w:r>
        <w:t xml:space="preserve">This extenuating circumstance </w:t>
      </w:r>
      <w:r w:rsidR="00EE69C7">
        <w:t>applies</w:t>
      </w:r>
      <w:r>
        <w:t xml:space="preserve"> when, unbeknown to the</w:t>
      </w:r>
      <w:r w:rsidR="00E962D1">
        <w:t xml:space="preserve"> dental</w:t>
      </w:r>
      <w:r>
        <w:t xml:space="preserve"> provider, a person not authorised or legally able to consent to the child’s treatment or treatment costs signs the pat</w:t>
      </w:r>
      <w:r w:rsidR="00EE69C7">
        <w:t>ient consent form.</w:t>
      </w:r>
    </w:p>
    <w:p w:rsidR="00E962D1" w:rsidRDefault="00E962D1" w:rsidP="002200B1">
      <w:pPr>
        <w:spacing w:line="288" w:lineRule="auto"/>
      </w:pPr>
    </w:p>
    <w:p w:rsidR="00C41C16" w:rsidRDefault="00EE69C7" w:rsidP="002200B1">
      <w:pPr>
        <w:spacing w:line="288" w:lineRule="auto"/>
      </w:pPr>
      <w:r>
        <w:t xml:space="preserve">For </w:t>
      </w:r>
      <w:r w:rsidR="00C41C16">
        <w:t xml:space="preserve">example, </w:t>
      </w:r>
      <w:r w:rsidR="008F6C44">
        <w:t xml:space="preserve">this may arise </w:t>
      </w:r>
      <w:r w:rsidR="00C41C16">
        <w:t>where there are shared informal care arrangements for children or unclear shared-care arrangements.</w:t>
      </w:r>
      <w:r>
        <w:t xml:space="preserve">  </w:t>
      </w:r>
      <w:r w:rsidR="00DE3535">
        <w:t xml:space="preserve">In order for this extenuating circumstance to apply, the </w:t>
      </w:r>
      <w:r w:rsidR="00E962D1">
        <w:t xml:space="preserve">dental </w:t>
      </w:r>
      <w:r w:rsidR="00C41C16">
        <w:t xml:space="preserve">provider </w:t>
      </w:r>
      <w:r w:rsidR="00DE3535">
        <w:t xml:space="preserve">must be found to have </w:t>
      </w:r>
      <w:r w:rsidR="00C41C16">
        <w:t xml:space="preserve">acted in good faith and complied with their requirements for obtaining and recording consent.  </w:t>
      </w:r>
    </w:p>
    <w:p w:rsidR="00AE5DC3" w:rsidRPr="00181DD4" w:rsidRDefault="00AE5DC3" w:rsidP="002200B1">
      <w:pPr>
        <w:pStyle w:val="Heading1"/>
        <w:spacing w:after="360" w:line="288" w:lineRule="auto"/>
        <w:rPr>
          <w:sz w:val="32"/>
          <w:szCs w:val="32"/>
        </w:rPr>
      </w:pPr>
      <w:bookmarkStart w:id="18" w:name="_Toc373743569"/>
      <w:r w:rsidRPr="00181DD4">
        <w:rPr>
          <w:sz w:val="32"/>
          <w:szCs w:val="32"/>
        </w:rPr>
        <w:t>Recording Extenuating Circumstances</w:t>
      </w:r>
      <w:bookmarkEnd w:id="18"/>
    </w:p>
    <w:p w:rsidR="00553C5A" w:rsidRDefault="00553C5A" w:rsidP="002200B1">
      <w:pPr>
        <w:spacing w:line="288" w:lineRule="auto"/>
      </w:pPr>
      <w:r>
        <w:t xml:space="preserve">Dental providers must be able to provide sufficient evidence of an extenuating circumstance to the Department of Human Services </w:t>
      </w:r>
      <w:r w:rsidR="00AC2FAE">
        <w:t xml:space="preserve">(DHS) </w:t>
      </w:r>
      <w:r>
        <w:t xml:space="preserve">if they wish to claim that one or more of the above circumstances applies </w:t>
      </w:r>
      <w:r w:rsidR="00897153">
        <w:t xml:space="preserve">to a case </w:t>
      </w:r>
      <w:r w:rsidR="00AC2FAE">
        <w:t xml:space="preserve">of </w:t>
      </w:r>
      <w:r w:rsidR="00897153">
        <w:t xml:space="preserve">not meeting the requirements </w:t>
      </w:r>
      <w:r w:rsidR="00BD353A">
        <w:t xml:space="preserve">to document </w:t>
      </w:r>
      <w:r w:rsidR="00897153">
        <w:t xml:space="preserve">informed financial consent. </w:t>
      </w:r>
      <w:r w:rsidR="00900AA9">
        <w:t xml:space="preserve"> If DHS cannot determine whether an extenuating circumstance applies, then the services are ‘ineligible services</w:t>
      </w:r>
      <w:r w:rsidR="00BD353A">
        <w:t>’</w:t>
      </w:r>
      <w:r w:rsidR="00900AA9">
        <w:t xml:space="preserve"> under the Rules and providers will be required to pay back benefits paid for </w:t>
      </w:r>
      <w:r w:rsidR="00897153">
        <w:t xml:space="preserve">the </w:t>
      </w:r>
      <w:r w:rsidR="00900AA9">
        <w:t>non-compliant services.</w:t>
      </w:r>
    </w:p>
    <w:p w:rsidR="00553C5A" w:rsidRDefault="00553C5A" w:rsidP="002200B1">
      <w:pPr>
        <w:spacing w:line="288" w:lineRule="auto"/>
      </w:pPr>
    </w:p>
    <w:p w:rsidR="00553C5A" w:rsidRDefault="00933DD5" w:rsidP="002200B1">
      <w:pPr>
        <w:spacing w:line="288" w:lineRule="auto"/>
      </w:pPr>
      <w:r>
        <w:t>Dental providers</w:t>
      </w:r>
      <w:r w:rsidR="00AE5DC3">
        <w:t xml:space="preserve"> must </w:t>
      </w:r>
      <w:r w:rsidR="00F465E8">
        <w:t xml:space="preserve">create and </w:t>
      </w:r>
      <w:r w:rsidR="00AE5DC3">
        <w:t>retain appropr</w:t>
      </w:r>
      <w:r w:rsidR="00E47A02">
        <w:t>iate records to substantiate that an</w:t>
      </w:r>
      <w:r w:rsidR="00AE5DC3">
        <w:t xml:space="preserve"> extenuating circumstance</w:t>
      </w:r>
      <w:r w:rsidR="00E47A02">
        <w:t xml:space="preserve"> existed </w:t>
      </w:r>
      <w:r w:rsidR="00F465E8">
        <w:t>for</w:t>
      </w:r>
      <w:r w:rsidR="00E47A02">
        <w:t xml:space="preserve"> the provision of CDBS </w:t>
      </w:r>
      <w:r w:rsidR="000729E6">
        <w:t>services</w:t>
      </w:r>
      <w:r w:rsidR="00E47A02">
        <w:t xml:space="preserve">.  These records must be kept on file for a period of four years. </w:t>
      </w:r>
    </w:p>
    <w:p w:rsidR="00553C5A" w:rsidRDefault="00553C5A" w:rsidP="002200B1">
      <w:pPr>
        <w:spacing w:line="288" w:lineRule="auto"/>
      </w:pPr>
    </w:p>
    <w:p w:rsidR="006F1969" w:rsidRDefault="006F1969" w:rsidP="002200B1">
      <w:pPr>
        <w:spacing w:line="288" w:lineRule="auto"/>
      </w:pPr>
      <w:r>
        <w:t>Fo</w:t>
      </w:r>
      <w:r w:rsidR="000729E6">
        <w:t>r each extenuating circumstance</w:t>
      </w:r>
      <w:r>
        <w:t xml:space="preserve">, the </w:t>
      </w:r>
      <w:r w:rsidR="00E962D1">
        <w:t xml:space="preserve">dental </w:t>
      </w:r>
      <w:r>
        <w:t>provider must record the followin</w:t>
      </w:r>
      <w:r w:rsidR="000729E6">
        <w:t>g details on their patient file</w:t>
      </w:r>
      <w:r>
        <w:t>:</w:t>
      </w:r>
    </w:p>
    <w:p w:rsidR="006F1969" w:rsidRDefault="00BB0F50" w:rsidP="002200B1">
      <w:pPr>
        <w:pStyle w:val="ListParagraph"/>
        <w:numPr>
          <w:ilvl w:val="0"/>
          <w:numId w:val="11"/>
        </w:numPr>
        <w:spacing w:line="288" w:lineRule="auto"/>
        <w:contextualSpacing w:val="0"/>
      </w:pPr>
      <w:r>
        <w:t>the date of service.</w:t>
      </w:r>
    </w:p>
    <w:p w:rsidR="00C77938" w:rsidRDefault="00C77938" w:rsidP="002200B1">
      <w:pPr>
        <w:pStyle w:val="ListParagraph"/>
        <w:numPr>
          <w:ilvl w:val="0"/>
          <w:numId w:val="11"/>
        </w:numPr>
        <w:spacing w:line="288" w:lineRule="auto"/>
        <w:contextualSpacing w:val="0"/>
      </w:pPr>
      <w:r>
        <w:t xml:space="preserve">the date at which the </w:t>
      </w:r>
      <w:r w:rsidR="00E962D1">
        <w:t>dental provider</w:t>
      </w:r>
      <w:r>
        <w:t xml:space="preserve"> </w:t>
      </w:r>
      <w:r w:rsidR="00347DF8">
        <w:t>realised that the patient consent form had not been signed and/or had not recorded the consent to treatment and costs</w:t>
      </w:r>
      <w:r w:rsidR="00BB0F50">
        <w:t>.</w:t>
      </w:r>
    </w:p>
    <w:p w:rsidR="000729E6" w:rsidRDefault="000729E6" w:rsidP="002200B1">
      <w:pPr>
        <w:pStyle w:val="ListParagraph"/>
        <w:numPr>
          <w:ilvl w:val="0"/>
          <w:numId w:val="11"/>
        </w:numPr>
        <w:spacing w:line="288" w:lineRule="auto"/>
        <w:contextualSpacing w:val="0"/>
      </w:pPr>
      <w:r>
        <w:t>the reasons why a patient consent form was not execu</w:t>
      </w:r>
      <w:r w:rsidR="00BB0F50">
        <w:t>ted;</w:t>
      </w:r>
    </w:p>
    <w:p w:rsidR="00F27D91" w:rsidRDefault="004E2068" w:rsidP="002200B1">
      <w:pPr>
        <w:pStyle w:val="ListParagraph"/>
        <w:numPr>
          <w:ilvl w:val="1"/>
          <w:numId w:val="12"/>
        </w:numPr>
        <w:spacing w:line="288" w:lineRule="auto"/>
        <w:ind w:left="1134" w:hanging="425"/>
        <w:contextualSpacing w:val="0"/>
      </w:pPr>
      <w:r>
        <w:t>in</w:t>
      </w:r>
      <w:r w:rsidR="00F27D91">
        <w:t xml:space="preserve"> the </w:t>
      </w:r>
      <w:r>
        <w:t xml:space="preserve">extenuating circumstance of </w:t>
      </w:r>
      <w:r w:rsidR="00F27D91">
        <w:t xml:space="preserve">emergency services </w:t>
      </w:r>
      <w:r>
        <w:t xml:space="preserve">being provided </w:t>
      </w:r>
      <w:r w:rsidR="00F27D91">
        <w:t xml:space="preserve">outside </w:t>
      </w:r>
      <w:r>
        <w:t xml:space="preserve">the </w:t>
      </w:r>
      <w:r w:rsidR="00F27D91">
        <w:t>normal practice, the</w:t>
      </w:r>
      <w:r>
        <w:t xml:space="preserve"> dental</w:t>
      </w:r>
      <w:r w:rsidR="00F27D91">
        <w:t xml:space="preserve"> provider must also document the reasons underlying the ‘emergency’ treatment – i.e. details on why the required treatment </w:t>
      </w:r>
      <w:r>
        <w:t>was</w:t>
      </w:r>
      <w:r w:rsidR="00F27D91">
        <w:t xml:space="preserve"> classed as ‘emergency’ </w:t>
      </w:r>
      <w:r>
        <w:t>and was different from the normal practice</w:t>
      </w:r>
      <w:r w:rsidR="00F27D91">
        <w:t xml:space="preserve">. </w:t>
      </w:r>
    </w:p>
    <w:p w:rsidR="00C77938" w:rsidRDefault="00BB0F50" w:rsidP="002200B1">
      <w:pPr>
        <w:pStyle w:val="ListParagraph"/>
        <w:numPr>
          <w:ilvl w:val="1"/>
          <w:numId w:val="12"/>
        </w:numPr>
        <w:spacing w:line="288" w:lineRule="auto"/>
        <w:ind w:left="1134" w:hanging="425"/>
        <w:contextualSpacing w:val="0"/>
      </w:pPr>
      <w:r>
        <w:t>i</w:t>
      </w:r>
      <w:r w:rsidR="00C77938">
        <w:t xml:space="preserve">n extenuating circumstances where the patient fails to disclose their intention to claim CDBS benefits, the </w:t>
      </w:r>
      <w:r w:rsidR="00E962D1">
        <w:t>dental provider</w:t>
      </w:r>
      <w:r w:rsidR="00C77938">
        <w:t xml:space="preserve"> must also record the reasons underlying the non-disclosure.  </w:t>
      </w:r>
      <w:r w:rsidR="00AB1530">
        <w:t xml:space="preserve">For example, </w:t>
      </w:r>
      <w:r w:rsidR="00514548">
        <w:t>reasons may include</w:t>
      </w:r>
      <w:r w:rsidR="00C77938">
        <w:t xml:space="preserve"> whether </w:t>
      </w:r>
      <w:r w:rsidR="00C77938" w:rsidRPr="00CB70F6">
        <w:t xml:space="preserve">the patient had previously </w:t>
      </w:r>
      <w:r w:rsidR="00C77938">
        <w:t xml:space="preserve">declined to use CDBS benefits or chose to pay their bill by a </w:t>
      </w:r>
      <w:r w:rsidR="00C77938" w:rsidRPr="00EA215F">
        <w:t>different method</w:t>
      </w:r>
      <w:r w:rsidR="00C77938">
        <w:t xml:space="preserve">. </w:t>
      </w:r>
    </w:p>
    <w:p w:rsidR="00C77938" w:rsidRDefault="00C77938" w:rsidP="002200B1">
      <w:pPr>
        <w:pStyle w:val="ListParagraph"/>
        <w:numPr>
          <w:ilvl w:val="0"/>
          <w:numId w:val="11"/>
        </w:numPr>
        <w:spacing w:line="288" w:lineRule="auto"/>
        <w:contextualSpacing w:val="0"/>
      </w:pPr>
      <w:r>
        <w:t xml:space="preserve">a </w:t>
      </w:r>
      <w:r w:rsidR="00F465E8">
        <w:t>record</w:t>
      </w:r>
      <w:r>
        <w:t xml:space="preserve"> that consent to treatment and treatment costs was obtai</w:t>
      </w:r>
      <w:r w:rsidR="00BB0F50">
        <w:t>ned before commencing treatment.</w:t>
      </w:r>
    </w:p>
    <w:p w:rsidR="00C77938" w:rsidRDefault="000729E6" w:rsidP="002200B1">
      <w:pPr>
        <w:pStyle w:val="ListParagraph"/>
        <w:numPr>
          <w:ilvl w:val="0"/>
          <w:numId w:val="11"/>
        </w:numPr>
        <w:spacing w:line="288" w:lineRule="auto"/>
        <w:contextualSpacing w:val="0"/>
      </w:pPr>
      <w:r>
        <w:t xml:space="preserve">the steps taken to rectify the </w:t>
      </w:r>
      <w:r w:rsidR="00F24D96">
        <w:t xml:space="preserve">non-compliance </w:t>
      </w:r>
      <w:r>
        <w:t>issue</w:t>
      </w:r>
      <w:r w:rsidR="004E2068">
        <w:t xml:space="preserve"> for the particular circumstance and, in the exceptional circumstances of administrative errors, steps taken to avoid the non-compliance issue arising in the future (</w:t>
      </w:r>
      <w:r w:rsidR="00BD353A">
        <w:t xml:space="preserve">for example, </w:t>
      </w:r>
      <w:r w:rsidR="004E2068">
        <w:t>t</w:t>
      </w:r>
      <w:r w:rsidR="00F27D91">
        <w:t xml:space="preserve">his </w:t>
      </w:r>
      <w:r w:rsidR="004E2068">
        <w:t>w</w:t>
      </w:r>
      <w:r w:rsidR="00F27D91">
        <w:t>ould include</w:t>
      </w:r>
      <w:r w:rsidR="004E2068">
        <w:t xml:space="preserve"> </w:t>
      </w:r>
      <w:r w:rsidR="00F27D91">
        <w:t xml:space="preserve">recording the date </w:t>
      </w:r>
      <w:r w:rsidR="004E2068">
        <w:t xml:space="preserve">and details of </w:t>
      </w:r>
      <w:r w:rsidR="00F27D91">
        <w:t xml:space="preserve">IT or operational services </w:t>
      </w:r>
      <w:r w:rsidR="00CD037C">
        <w:t>changes</w:t>
      </w:r>
      <w:r w:rsidR="00BD353A">
        <w:t xml:space="preserve"> </w:t>
      </w:r>
      <w:r w:rsidR="00F27D91">
        <w:t xml:space="preserve">or staff training </w:t>
      </w:r>
      <w:r w:rsidR="004E2068">
        <w:t>undertaken</w:t>
      </w:r>
      <w:r w:rsidR="00F27D91">
        <w:t xml:space="preserve"> to </w:t>
      </w:r>
      <w:r w:rsidR="004E2068">
        <w:t>remedy</w:t>
      </w:r>
      <w:r w:rsidR="00F27D91">
        <w:t xml:space="preserve"> administrative errors</w:t>
      </w:r>
      <w:r w:rsidR="004E2068">
        <w:t>)</w:t>
      </w:r>
      <w:r w:rsidR="00F27D91">
        <w:t>.</w:t>
      </w:r>
    </w:p>
    <w:p w:rsidR="002200B1" w:rsidRDefault="002200B1" w:rsidP="002200B1">
      <w:pPr>
        <w:spacing w:line="288" w:lineRule="auto"/>
      </w:pPr>
    </w:p>
    <w:p w:rsidR="00514548" w:rsidRPr="004E138E" w:rsidRDefault="00514548" w:rsidP="00D87020">
      <w:pPr>
        <w:pStyle w:val="Subtitle"/>
        <w:rPr>
          <w:b/>
        </w:rPr>
      </w:pPr>
      <w:bookmarkStart w:id="19" w:name="_Toc373743570"/>
      <w:r w:rsidRPr="004E138E">
        <w:t xml:space="preserve">Additional Reporting Requirements for Extenuating Circumstance </w:t>
      </w:r>
      <w:r w:rsidR="006B6AD8" w:rsidRPr="004E138E">
        <w:t>(</w:t>
      </w:r>
      <w:r w:rsidR="00A04DFB" w:rsidRPr="004E138E">
        <w:t>2</w:t>
      </w:r>
      <w:r w:rsidR="006B6AD8" w:rsidRPr="004E138E">
        <w:t>)</w:t>
      </w:r>
      <w:r w:rsidR="00AB1530" w:rsidRPr="004E138E">
        <w:t xml:space="preserve"> </w:t>
      </w:r>
      <w:r w:rsidRPr="004E138E">
        <w:t xml:space="preserve">- ‘Failure </w:t>
      </w:r>
      <w:r w:rsidR="006B6AD8" w:rsidRPr="004E138E">
        <w:t>of</w:t>
      </w:r>
      <w:r w:rsidRPr="004E138E">
        <w:t xml:space="preserve"> </w:t>
      </w:r>
      <w:r w:rsidR="00784C64" w:rsidRPr="004E138E">
        <w:t xml:space="preserve">patients to disclose their intention to use CDBS benefits to the </w:t>
      </w:r>
      <w:r w:rsidR="00E962D1" w:rsidRPr="004E138E">
        <w:t>dental provider</w:t>
      </w:r>
      <w:r w:rsidR="00784C64" w:rsidRPr="004E138E">
        <w:t xml:space="preserve"> or practice on the day of service</w:t>
      </w:r>
      <w:r w:rsidRPr="004E138E">
        <w:t>’</w:t>
      </w:r>
      <w:bookmarkEnd w:id="19"/>
    </w:p>
    <w:p w:rsidR="0010232F" w:rsidRDefault="00F24D96" w:rsidP="002200B1">
      <w:pPr>
        <w:tabs>
          <w:tab w:val="left" w:pos="8340"/>
        </w:tabs>
        <w:spacing w:line="288" w:lineRule="auto"/>
      </w:pPr>
      <w:r>
        <w:t xml:space="preserve">For extenuating circumstance </w:t>
      </w:r>
      <w:r w:rsidR="006B6AD8">
        <w:rPr>
          <w:b/>
        </w:rPr>
        <w:t>(2)</w:t>
      </w:r>
      <w:r>
        <w:t xml:space="preserve">, the </w:t>
      </w:r>
      <w:r w:rsidR="00E962D1">
        <w:t>dental provider</w:t>
      </w:r>
      <w:r w:rsidR="006B6AD8">
        <w:t xml:space="preserve"> would</w:t>
      </w:r>
      <w:r>
        <w:t xml:space="preserve"> need to </w:t>
      </w:r>
      <w:r w:rsidR="00842C81">
        <w:t>issue to the patient an</w:t>
      </w:r>
      <w:r w:rsidR="006B6AD8">
        <w:t xml:space="preserve"> </w:t>
      </w:r>
      <w:r>
        <w:t xml:space="preserve">invoice with CDBS item numbers and particulars in order for the patient to claim CDBS benefits for previously rendered services. </w:t>
      </w:r>
    </w:p>
    <w:p w:rsidR="0010232F" w:rsidRDefault="0010232F" w:rsidP="002200B1">
      <w:pPr>
        <w:tabs>
          <w:tab w:val="left" w:pos="8340"/>
        </w:tabs>
        <w:spacing w:line="288" w:lineRule="auto"/>
      </w:pPr>
    </w:p>
    <w:p w:rsidR="00784C64" w:rsidRDefault="00077B2B" w:rsidP="002200B1">
      <w:pPr>
        <w:tabs>
          <w:tab w:val="left" w:pos="8340"/>
        </w:tabs>
        <w:spacing w:line="288" w:lineRule="auto"/>
      </w:pPr>
      <w:r>
        <w:t>The</w:t>
      </w:r>
      <w:r w:rsidR="00F24D96">
        <w:t xml:space="preserve"> </w:t>
      </w:r>
      <w:r w:rsidR="00933DD5">
        <w:t>dental provider</w:t>
      </w:r>
      <w:r w:rsidR="00F24D96">
        <w:t xml:space="preserve"> will also need to keep </w:t>
      </w:r>
      <w:r w:rsidR="0010232F">
        <w:t xml:space="preserve">a </w:t>
      </w:r>
      <w:r w:rsidR="00F24D96">
        <w:t>record</w:t>
      </w:r>
      <w:r w:rsidR="0010232F">
        <w:t xml:space="preserve"> of</w:t>
      </w:r>
      <w:r w:rsidR="00F24D96">
        <w:t xml:space="preserve"> </w:t>
      </w:r>
      <w:r w:rsidR="00245D55">
        <w:t>both invoices</w:t>
      </w:r>
      <w:r w:rsidR="006B6AD8">
        <w:t>.</w:t>
      </w:r>
    </w:p>
    <w:p w:rsidR="00784C64" w:rsidRDefault="00784C64" w:rsidP="002200B1">
      <w:pPr>
        <w:tabs>
          <w:tab w:val="left" w:pos="8340"/>
        </w:tabs>
        <w:spacing w:line="288" w:lineRule="auto"/>
      </w:pPr>
    </w:p>
    <w:p w:rsidR="00FE46F3" w:rsidRDefault="00FE46F3" w:rsidP="002200B1">
      <w:pPr>
        <w:tabs>
          <w:tab w:val="left" w:pos="8340"/>
        </w:tabs>
        <w:spacing w:line="288" w:lineRule="auto"/>
      </w:pPr>
      <w:r>
        <w:t xml:space="preserve">The </w:t>
      </w:r>
      <w:r w:rsidR="00E962D1">
        <w:t>dental provider</w:t>
      </w:r>
      <w:r>
        <w:t xml:space="preserve"> should also advise the patient that they are not entitled to claim both CDBS and PHI benefits for the same </w:t>
      </w:r>
      <w:r w:rsidR="00784C64">
        <w:t xml:space="preserve">service </w:t>
      </w:r>
      <w:r>
        <w:t>item under the Rules.</w:t>
      </w:r>
    </w:p>
    <w:p w:rsidR="006F1969" w:rsidRDefault="006F1969" w:rsidP="002200B1">
      <w:pPr>
        <w:tabs>
          <w:tab w:val="left" w:pos="8340"/>
        </w:tabs>
        <w:spacing w:line="288" w:lineRule="auto"/>
      </w:pPr>
    </w:p>
    <w:p w:rsidR="00514548" w:rsidRPr="004E138E" w:rsidRDefault="00514548" w:rsidP="00D87020">
      <w:pPr>
        <w:pStyle w:val="Subtitle"/>
        <w:rPr>
          <w:b/>
        </w:rPr>
      </w:pPr>
      <w:bookmarkStart w:id="20" w:name="_Toc373743571"/>
      <w:r w:rsidRPr="004E138E">
        <w:t xml:space="preserve">Additional Reporting Requirements for Extenuating Circumstance </w:t>
      </w:r>
      <w:r w:rsidR="006B6AD8" w:rsidRPr="004E138E">
        <w:t>(</w:t>
      </w:r>
      <w:r w:rsidR="00A04DFB" w:rsidRPr="004E138E">
        <w:t>6</w:t>
      </w:r>
      <w:r w:rsidR="006B6AD8" w:rsidRPr="004E138E">
        <w:t>)</w:t>
      </w:r>
      <w:r w:rsidRPr="004E138E">
        <w:t xml:space="preserve"> - </w:t>
      </w:r>
      <w:r w:rsidR="00BB0F50" w:rsidRPr="004E138E">
        <w:t>‘Person</w:t>
      </w:r>
      <w:r w:rsidRPr="004E138E">
        <w:t xml:space="preserve"> executing the patient consent form does not have authority to sign’</w:t>
      </w:r>
      <w:bookmarkEnd w:id="20"/>
      <w:r w:rsidRPr="004E138E">
        <w:t xml:space="preserve"> </w:t>
      </w:r>
    </w:p>
    <w:p w:rsidR="00077B2B" w:rsidRDefault="00FE46F3" w:rsidP="002200B1">
      <w:pPr>
        <w:spacing w:line="288" w:lineRule="auto"/>
      </w:pPr>
      <w:r>
        <w:t xml:space="preserve">With regard to extenuating circumstance </w:t>
      </w:r>
      <w:r w:rsidR="006B6AD8" w:rsidRPr="00181DD4">
        <w:rPr>
          <w:b/>
        </w:rPr>
        <w:t>(6)</w:t>
      </w:r>
      <w:r w:rsidR="00DF1333">
        <w:t xml:space="preserve">, </w:t>
      </w:r>
      <w:r w:rsidR="00077B2B">
        <w:t xml:space="preserve">it may be that </w:t>
      </w:r>
      <w:r w:rsidR="00DF1333">
        <w:t xml:space="preserve">the </w:t>
      </w:r>
      <w:r w:rsidR="00E962D1">
        <w:t>dental provider</w:t>
      </w:r>
      <w:r w:rsidR="00DF1333">
        <w:t xml:space="preserve"> only become</w:t>
      </w:r>
      <w:r w:rsidR="00077B2B">
        <w:t>s</w:t>
      </w:r>
      <w:r w:rsidR="00DF1333">
        <w:t xml:space="preserve"> aware </w:t>
      </w:r>
      <w:r w:rsidR="00077B2B">
        <w:t>after audit activities are under</w:t>
      </w:r>
      <w:r w:rsidR="002200B1">
        <w:t xml:space="preserve"> </w:t>
      </w:r>
      <w:r w:rsidR="00077B2B">
        <w:t xml:space="preserve">way </w:t>
      </w:r>
      <w:r w:rsidR="00DF1333">
        <w:t>that the person who signed the patient consent form did not have authority to execute the form</w:t>
      </w:r>
      <w:r w:rsidR="00077B2B">
        <w:t>.</w:t>
      </w:r>
      <w:r w:rsidR="00DF1333">
        <w:t xml:space="preserve">   </w:t>
      </w:r>
    </w:p>
    <w:p w:rsidR="00BE4CA2" w:rsidRDefault="00BE4CA2" w:rsidP="002200B1">
      <w:pPr>
        <w:spacing w:line="288" w:lineRule="auto"/>
      </w:pPr>
    </w:p>
    <w:p w:rsidR="00077B2B" w:rsidRDefault="00DF1333" w:rsidP="002200B1">
      <w:pPr>
        <w:spacing w:line="288" w:lineRule="auto"/>
      </w:pPr>
      <w:r>
        <w:t>In these circumstances</w:t>
      </w:r>
      <w:r w:rsidR="00077B2B">
        <w:t>,</w:t>
      </w:r>
      <w:r>
        <w:t xml:space="preserve"> the </w:t>
      </w:r>
      <w:r w:rsidR="00E962D1">
        <w:t>dental provider</w:t>
      </w:r>
      <w:r>
        <w:t xml:space="preserve"> </w:t>
      </w:r>
      <w:r w:rsidR="00077B2B">
        <w:t xml:space="preserve">will have </w:t>
      </w:r>
      <w:r>
        <w:t xml:space="preserve">informed the patient of the costs and treatment and recorded this consent through a patient consent form.  </w:t>
      </w:r>
      <w:r w:rsidR="00077B2B">
        <w:t>The dental provider does not need to execute a new patient consent form for these past services.</w:t>
      </w:r>
      <w:r>
        <w:t xml:space="preserve"> </w:t>
      </w:r>
    </w:p>
    <w:p w:rsidR="00077B2B" w:rsidRDefault="00077B2B" w:rsidP="002200B1">
      <w:pPr>
        <w:spacing w:line="288" w:lineRule="auto"/>
      </w:pPr>
    </w:p>
    <w:p w:rsidR="00FE46F3" w:rsidRDefault="00DF1333" w:rsidP="002200B1">
      <w:pPr>
        <w:spacing w:line="288" w:lineRule="auto"/>
      </w:pPr>
      <w:r>
        <w:t>If</w:t>
      </w:r>
      <w:r w:rsidR="006B6AD8">
        <w:t>,</w:t>
      </w:r>
      <w:r>
        <w:t xml:space="preserve"> however, </w:t>
      </w:r>
      <w:r w:rsidR="00784C64">
        <w:t xml:space="preserve">the </w:t>
      </w:r>
      <w:r w:rsidR="00E962D1">
        <w:t>dental provider</w:t>
      </w:r>
      <w:r w:rsidR="00784C64">
        <w:t xml:space="preserve"> </w:t>
      </w:r>
      <w:r w:rsidR="00077B2B">
        <w:t>is aware of the incor</w:t>
      </w:r>
      <w:r w:rsidR="000174AA">
        <w:t>r</w:t>
      </w:r>
      <w:r w:rsidR="00077B2B">
        <w:t xml:space="preserve">ect signature of a </w:t>
      </w:r>
      <w:r w:rsidR="00C64FB4">
        <w:t xml:space="preserve">previous </w:t>
      </w:r>
      <w:r w:rsidR="00077B2B">
        <w:t xml:space="preserve">form and </w:t>
      </w:r>
      <w:r w:rsidR="00784C64">
        <w:t>renders</w:t>
      </w:r>
      <w:r w:rsidR="00FE46F3">
        <w:t xml:space="preserve"> services to the patient again in the future, they must take reasonable steps t</w:t>
      </w:r>
      <w:r w:rsidR="00FE46F3" w:rsidRPr="00EA215F">
        <w:t xml:space="preserve">o ensure that the signature obtained </w:t>
      </w:r>
      <w:r w:rsidR="00FE46F3">
        <w:t xml:space="preserve">on </w:t>
      </w:r>
      <w:r w:rsidR="00077B2B">
        <w:t xml:space="preserve">a new patient consent </w:t>
      </w:r>
      <w:r w:rsidR="00FE46F3">
        <w:t xml:space="preserve">form </w:t>
      </w:r>
      <w:r w:rsidR="00FE46F3" w:rsidRPr="00EA215F">
        <w:t xml:space="preserve">is from a person </w:t>
      </w:r>
      <w:r w:rsidR="00842C81">
        <w:t>who</w:t>
      </w:r>
      <w:r w:rsidR="00FE46F3">
        <w:t xml:space="preserve"> has authority to execute the form.  </w:t>
      </w:r>
      <w:r w:rsidR="00077B2B">
        <w:t xml:space="preserve">These steps must be noted in the patient file as part of documenting the extenuating circumstance. </w:t>
      </w:r>
    </w:p>
    <w:p w:rsidR="00AC2FAE" w:rsidRDefault="00AC2FAE" w:rsidP="002200B1">
      <w:pPr>
        <w:spacing w:line="288" w:lineRule="auto"/>
      </w:pPr>
    </w:p>
    <w:p w:rsidR="006F1969" w:rsidRPr="008635BC" w:rsidRDefault="006F1969" w:rsidP="002200B1">
      <w:pPr>
        <w:pStyle w:val="Heading1"/>
        <w:spacing w:after="360" w:line="288" w:lineRule="auto"/>
        <w:rPr>
          <w:sz w:val="32"/>
          <w:szCs w:val="32"/>
        </w:rPr>
      </w:pPr>
      <w:bookmarkStart w:id="21" w:name="_Toc373743572"/>
      <w:r w:rsidRPr="008635BC">
        <w:rPr>
          <w:sz w:val="32"/>
          <w:szCs w:val="32"/>
        </w:rPr>
        <w:t>Assessment of Extenuating Circum</w:t>
      </w:r>
      <w:r w:rsidR="00D51420" w:rsidRPr="008635BC">
        <w:rPr>
          <w:sz w:val="32"/>
          <w:szCs w:val="32"/>
        </w:rPr>
        <w:t>s</w:t>
      </w:r>
      <w:r w:rsidRPr="008635BC">
        <w:rPr>
          <w:sz w:val="32"/>
          <w:szCs w:val="32"/>
        </w:rPr>
        <w:t>tances</w:t>
      </w:r>
      <w:bookmarkEnd w:id="21"/>
    </w:p>
    <w:p w:rsidR="00077B2B" w:rsidRDefault="00A77499" w:rsidP="002200B1">
      <w:pPr>
        <w:pStyle w:val="ListParagraph"/>
        <w:spacing w:line="288" w:lineRule="auto"/>
        <w:ind w:left="0"/>
        <w:contextualSpacing w:val="0"/>
      </w:pPr>
      <w:r>
        <w:t xml:space="preserve">The Department of Health </w:t>
      </w:r>
      <w:r w:rsidR="00077B2B">
        <w:t xml:space="preserve">is responsible for </w:t>
      </w:r>
      <w:r>
        <w:t>the policy and legislation for the CDBS</w:t>
      </w:r>
      <w:r w:rsidR="00077B2B">
        <w:t>.</w:t>
      </w:r>
    </w:p>
    <w:p w:rsidR="00077B2B" w:rsidRDefault="00077B2B" w:rsidP="002200B1">
      <w:pPr>
        <w:pStyle w:val="ListParagraph"/>
        <w:spacing w:line="288" w:lineRule="auto"/>
        <w:ind w:left="0"/>
        <w:contextualSpacing w:val="0"/>
      </w:pPr>
    </w:p>
    <w:p w:rsidR="00A77499" w:rsidRDefault="00077B2B" w:rsidP="002200B1">
      <w:pPr>
        <w:pStyle w:val="ListParagraph"/>
        <w:spacing w:line="288" w:lineRule="auto"/>
        <w:ind w:left="0"/>
        <w:contextualSpacing w:val="0"/>
      </w:pPr>
      <w:r>
        <w:t>The</w:t>
      </w:r>
      <w:r w:rsidR="00A77499">
        <w:t xml:space="preserve"> Department of Human Services </w:t>
      </w:r>
      <w:r w:rsidR="00BC1878">
        <w:t xml:space="preserve">(DHS) </w:t>
      </w:r>
      <w:r>
        <w:t>is</w:t>
      </w:r>
      <w:r w:rsidR="00A77499">
        <w:t xml:space="preserve"> responsible for the program’s </w:t>
      </w:r>
      <w:r w:rsidR="00BB0F50">
        <w:t xml:space="preserve">administration. </w:t>
      </w:r>
      <w:r w:rsidR="00A77499">
        <w:t>As part of the program’s administration, DHS manage</w:t>
      </w:r>
      <w:r>
        <w:t>s</w:t>
      </w:r>
      <w:r w:rsidR="00A77499">
        <w:t xml:space="preserve"> the program’s compliance framework and auditing processes</w:t>
      </w:r>
      <w:r>
        <w:t>,</w:t>
      </w:r>
      <w:r w:rsidR="00A77499">
        <w:t xml:space="preserve"> which include </w:t>
      </w:r>
      <w:r>
        <w:t xml:space="preserve">investigating non-compliance with legislation and </w:t>
      </w:r>
      <w:r w:rsidR="00A77499">
        <w:t>making determinations on whether extenuating circumstances apply to cases of non-compliance.</w:t>
      </w:r>
    </w:p>
    <w:p w:rsidR="00A77499" w:rsidRDefault="00A77499" w:rsidP="002200B1">
      <w:pPr>
        <w:pStyle w:val="ListParagraph"/>
        <w:spacing w:line="288" w:lineRule="auto"/>
        <w:ind w:left="0"/>
        <w:contextualSpacing w:val="0"/>
      </w:pPr>
    </w:p>
    <w:p w:rsidR="00E94CAA" w:rsidRDefault="00A77499" w:rsidP="002200B1">
      <w:pPr>
        <w:pStyle w:val="ListParagraph"/>
        <w:spacing w:line="288" w:lineRule="auto"/>
        <w:ind w:left="0"/>
        <w:contextualSpacing w:val="0"/>
      </w:pPr>
      <w:r>
        <w:t xml:space="preserve">In making these determinations, DHS </w:t>
      </w:r>
      <w:r w:rsidR="00E94CAA">
        <w:t>is</w:t>
      </w:r>
      <w:r>
        <w:t xml:space="preserve"> required to follow these </w:t>
      </w:r>
      <w:r w:rsidR="00572BC8">
        <w:t>Guid</w:t>
      </w:r>
      <w:r>
        <w:t>elines and assess e</w:t>
      </w:r>
      <w:r w:rsidR="00D51420">
        <w:t xml:space="preserve">ach potential extenuating circumstance on a case by case basis.  </w:t>
      </w:r>
      <w:r>
        <w:t>DHS</w:t>
      </w:r>
      <w:r w:rsidR="00D51420">
        <w:t xml:space="preserve"> consider</w:t>
      </w:r>
      <w:r w:rsidR="00E94CAA">
        <w:t>s</w:t>
      </w:r>
      <w:r w:rsidR="00D51420">
        <w:t xml:space="preserve"> the full range of </w:t>
      </w:r>
      <w:r w:rsidR="00AC2FAE">
        <w:t xml:space="preserve">evidence </w:t>
      </w:r>
      <w:r w:rsidR="00D51420">
        <w:t xml:space="preserve">of each case to determine whether the case falls within one of the extenuating circumstances above and whether the </w:t>
      </w:r>
      <w:r w:rsidR="00E962D1">
        <w:t>dental provider</w:t>
      </w:r>
      <w:r w:rsidR="00D51420">
        <w:t xml:space="preserve"> has properly record</w:t>
      </w:r>
      <w:r w:rsidR="008A3FE5">
        <w:t>ed</w:t>
      </w:r>
      <w:r w:rsidR="00D51420">
        <w:t xml:space="preserve"> the details of the case</w:t>
      </w:r>
      <w:r w:rsidR="008A3FE5">
        <w:t xml:space="preserve"> in their patient files.</w:t>
      </w:r>
    </w:p>
    <w:p w:rsidR="00C06BA0" w:rsidRDefault="00C06BA0" w:rsidP="002200B1">
      <w:pPr>
        <w:pStyle w:val="ListParagraph"/>
        <w:spacing w:line="288" w:lineRule="auto"/>
        <w:ind w:left="0"/>
        <w:contextualSpacing w:val="0"/>
      </w:pPr>
    </w:p>
    <w:p w:rsidR="00AE5DC3" w:rsidRPr="005217D8" w:rsidRDefault="008A3FE5" w:rsidP="002200B1">
      <w:pPr>
        <w:pStyle w:val="ListParagraph"/>
        <w:spacing w:line="288" w:lineRule="auto"/>
        <w:ind w:left="0"/>
        <w:contextualSpacing w:val="0"/>
      </w:pPr>
      <w:r>
        <w:t xml:space="preserve">To assist </w:t>
      </w:r>
      <w:r w:rsidR="00A77499">
        <w:t>DHS in this role, it is</w:t>
      </w:r>
      <w:r>
        <w:t xml:space="preserve"> in the </w:t>
      </w:r>
      <w:r w:rsidR="00E962D1">
        <w:t>dental provider</w:t>
      </w:r>
      <w:r w:rsidR="00A77499">
        <w:t xml:space="preserve">’s </w:t>
      </w:r>
      <w:r>
        <w:t xml:space="preserve">best interest to take reasonable steps to rectify any problems that may arise with their </w:t>
      </w:r>
      <w:r w:rsidR="00A77499">
        <w:t>informed financial consent paperwork</w:t>
      </w:r>
      <w:r>
        <w:t xml:space="preserve"> </w:t>
      </w:r>
      <w:r w:rsidR="00C06BA0">
        <w:t xml:space="preserve">and administrative record keeping </w:t>
      </w:r>
      <w:r>
        <w:t xml:space="preserve">as soon as possible </w:t>
      </w:r>
      <w:r w:rsidR="00784C64">
        <w:t>after</w:t>
      </w:r>
      <w:r w:rsidR="00A77499">
        <w:t xml:space="preserve"> becoming aware of any</w:t>
      </w:r>
      <w:r>
        <w:t xml:space="preserve"> compliance issues. </w:t>
      </w:r>
      <w:r w:rsidR="00D51420">
        <w:t xml:space="preserve"> </w:t>
      </w:r>
    </w:p>
    <w:p w:rsidR="000C5F5E" w:rsidRPr="008635BC" w:rsidRDefault="00877322" w:rsidP="002200B1">
      <w:pPr>
        <w:pStyle w:val="Heading1"/>
        <w:spacing w:after="360" w:line="288" w:lineRule="auto"/>
        <w:rPr>
          <w:sz w:val="32"/>
          <w:szCs w:val="32"/>
        </w:rPr>
      </w:pPr>
      <w:bookmarkStart w:id="22" w:name="_Toc373743573"/>
      <w:r w:rsidRPr="008635BC">
        <w:rPr>
          <w:sz w:val="32"/>
          <w:szCs w:val="32"/>
        </w:rPr>
        <w:t>Process of Review</w:t>
      </w:r>
      <w:bookmarkEnd w:id="22"/>
    </w:p>
    <w:p w:rsidR="004C1F03" w:rsidRDefault="00197AAD" w:rsidP="002200B1">
      <w:pPr>
        <w:spacing w:line="288" w:lineRule="auto"/>
      </w:pPr>
      <w:r>
        <w:t xml:space="preserve">As the CDBS continues to operate and the audit processes </w:t>
      </w:r>
      <w:r w:rsidR="00E94CAA">
        <w:t>commence</w:t>
      </w:r>
      <w:r>
        <w:t xml:space="preserve">, these Guidelines will be </w:t>
      </w:r>
      <w:r w:rsidR="00E94CAA">
        <w:t>reviewed</w:t>
      </w:r>
      <w:r w:rsidR="00BE4CA2">
        <w:t>.  Any</w:t>
      </w:r>
      <w:r w:rsidR="00104F31">
        <w:t xml:space="preserve"> n</w:t>
      </w:r>
      <w:r w:rsidR="00E94CAA">
        <w:t xml:space="preserve">eed for refinement </w:t>
      </w:r>
      <w:r w:rsidR="006B6AD8">
        <w:t>of the Guidelines</w:t>
      </w:r>
      <w:r w:rsidR="00E94CAA">
        <w:t xml:space="preserve"> will be assessed </w:t>
      </w:r>
      <w:r>
        <w:t xml:space="preserve">in light of the program’s </w:t>
      </w:r>
      <w:r w:rsidR="00E94CAA">
        <w:t>evaluation framework</w:t>
      </w:r>
      <w:r>
        <w:t>.</w:t>
      </w:r>
    </w:p>
    <w:p w:rsidR="004C1F03" w:rsidRPr="00155504" w:rsidRDefault="004C1F03" w:rsidP="002200B1">
      <w:pPr>
        <w:spacing w:line="288" w:lineRule="auto"/>
      </w:pPr>
    </w:p>
    <w:p w:rsidR="004E2068" w:rsidRDefault="004E2068" w:rsidP="002200B1">
      <w:pPr>
        <w:spacing w:line="288" w:lineRule="auto"/>
      </w:pPr>
      <w:r w:rsidRPr="00155504">
        <w:t xml:space="preserve">With specific reference to the exceptional circumstance of administrative </w:t>
      </w:r>
      <w:r w:rsidR="00155504" w:rsidRPr="00155504">
        <w:t>errors</w:t>
      </w:r>
      <w:r w:rsidRPr="00155504">
        <w:t xml:space="preserve">, this is </w:t>
      </w:r>
      <w:r w:rsidR="00155504">
        <w:t xml:space="preserve">only </w:t>
      </w:r>
      <w:r w:rsidRPr="00155504">
        <w:t xml:space="preserve">meant </w:t>
      </w:r>
      <w:r w:rsidR="00155504" w:rsidRPr="00155504">
        <w:t xml:space="preserve">to cover situations that </w:t>
      </w:r>
      <w:r w:rsidRPr="00155504">
        <w:t>might occur as practices adapt to providing services under the new program.  It will be reviewed in the first twelve months of the program and is expected to be discontinued once CDBS administrative procedures have become embedded in practices.</w:t>
      </w:r>
    </w:p>
    <w:p w:rsidR="00AC2FAE" w:rsidRPr="00155504" w:rsidRDefault="00AC2FAE" w:rsidP="002200B1">
      <w:pPr>
        <w:spacing w:line="288" w:lineRule="auto"/>
      </w:pPr>
    </w:p>
    <w:p w:rsidR="00197AAD" w:rsidRDefault="00933DD5" w:rsidP="002200B1">
      <w:pPr>
        <w:spacing w:line="288" w:lineRule="auto"/>
      </w:pPr>
      <w:r>
        <w:t>Dental providers</w:t>
      </w:r>
      <w:r w:rsidR="00197AAD">
        <w:t xml:space="preserve"> must ensure they are familiar with the extenuating circumstances and recording requirements</w:t>
      </w:r>
      <w:r w:rsidR="004C1F03">
        <w:t xml:space="preserve">, including </w:t>
      </w:r>
      <w:r w:rsidR="00197AAD">
        <w:t>later iterations of these Guidelines</w:t>
      </w:r>
      <w:r w:rsidR="004C1F03">
        <w:t>,</w:t>
      </w:r>
      <w:r w:rsidR="00197AAD">
        <w:t xml:space="preserve"> and </w:t>
      </w:r>
      <w:r w:rsidR="00842C81">
        <w:t xml:space="preserve">must </w:t>
      </w:r>
      <w:r w:rsidR="00197AAD">
        <w:t xml:space="preserve">always act to promote compliance with the informed financial consent requirements of the CDBS. </w:t>
      </w:r>
      <w:r w:rsidR="006B6AD8">
        <w:t xml:space="preserve"> These Ministerial Guidelines and further iterations thereof will be published</w:t>
      </w:r>
      <w:r w:rsidR="003C293F">
        <w:t xml:space="preserve"> and be made available </w:t>
      </w:r>
      <w:r w:rsidR="006B6AD8">
        <w:t xml:space="preserve">on the </w:t>
      </w:r>
      <w:hyperlink r:id="rId13" w:history="1">
        <w:r w:rsidR="006B6AD8" w:rsidRPr="003C293F">
          <w:rPr>
            <w:rStyle w:val="Hyperlink"/>
          </w:rPr>
          <w:t>Department of Health’s website</w:t>
        </w:r>
      </w:hyperlink>
      <w:r w:rsidR="003C293F">
        <w:t>,</w:t>
      </w:r>
      <w:r w:rsidR="006B6AD8">
        <w:t xml:space="preserve"> </w:t>
      </w:r>
      <w:hyperlink r:id="rId14" w:history="1">
        <w:r w:rsidR="003C293F" w:rsidRPr="0085543B">
          <w:rPr>
            <w:rStyle w:val="Hyperlink"/>
            <w:b/>
          </w:rPr>
          <w:t>www.health.gov.au/dental</w:t>
        </w:r>
      </w:hyperlink>
      <w:r w:rsidR="003C293F">
        <w:t>.</w:t>
      </w:r>
    </w:p>
    <w:sectPr w:rsidR="00197AAD" w:rsidSect="004E138E">
      <w:headerReference w:type="default" r:id="rId15"/>
      <w:headerReference w:type="first" r:id="rId16"/>
      <w:footerReference w:type="first" r:id="rId17"/>
      <w:pgSz w:w="11906" w:h="16838" w:code="9"/>
      <w:pgMar w:top="2232" w:right="1440" w:bottom="1440" w:left="1440" w:header="851" w:footer="24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24" w:rsidRDefault="00485724">
      <w:r>
        <w:separator/>
      </w:r>
    </w:p>
  </w:endnote>
  <w:endnote w:type="continuationSeparator" w:id="0">
    <w:p w:rsidR="00485724" w:rsidRDefault="0048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79603"/>
      <w:docPartObj>
        <w:docPartGallery w:val="Page Numbers (Bottom of Page)"/>
        <w:docPartUnique/>
      </w:docPartObj>
    </w:sdtPr>
    <w:sdtEndPr>
      <w:rPr>
        <w:noProof/>
      </w:rPr>
    </w:sdtEndPr>
    <w:sdtContent>
      <w:p w:rsidR="00CD037C" w:rsidRDefault="00CD037C">
        <w:pPr>
          <w:pStyle w:val="Footer"/>
          <w:jc w:val="right"/>
        </w:pPr>
        <w:r>
          <w:fldChar w:fldCharType="begin"/>
        </w:r>
        <w:r>
          <w:instrText xml:space="preserve"> PAGE   \* MERGEFORMAT </w:instrText>
        </w:r>
        <w:r>
          <w:fldChar w:fldCharType="separate"/>
        </w:r>
        <w:r w:rsidR="004168BB">
          <w:rPr>
            <w:noProof/>
          </w:rPr>
          <w:t>10</w:t>
        </w:r>
        <w:r>
          <w:rPr>
            <w:noProof/>
          </w:rPr>
          <w:fldChar w:fldCharType="end"/>
        </w:r>
      </w:p>
    </w:sdtContent>
  </w:sdt>
  <w:p w:rsidR="00CD037C" w:rsidRDefault="00CD03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7C" w:rsidRDefault="00CD037C">
    <w:pPr>
      <w:pStyle w:val="Footer"/>
      <w:jc w:val="right"/>
    </w:pPr>
  </w:p>
  <w:p w:rsidR="00CD037C" w:rsidRDefault="00CD03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898769"/>
      <w:docPartObj>
        <w:docPartGallery w:val="Page Numbers (Bottom of Page)"/>
        <w:docPartUnique/>
      </w:docPartObj>
    </w:sdtPr>
    <w:sdtEndPr>
      <w:rPr>
        <w:noProof/>
      </w:rPr>
    </w:sdtEndPr>
    <w:sdtContent>
      <w:p w:rsidR="00CD037C" w:rsidRDefault="00CD037C">
        <w:pPr>
          <w:pStyle w:val="Footer"/>
          <w:jc w:val="right"/>
        </w:pPr>
        <w:r>
          <w:fldChar w:fldCharType="begin"/>
        </w:r>
        <w:r>
          <w:instrText xml:space="preserve"> PAGE   \* MERGEFORMAT </w:instrText>
        </w:r>
        <w:r>
          <w:fldChar w:fldCharType="separate"/>
        </w:r>
        <w:r w:rsidR="004168BB">
          <w:rPr>
            <w:noProof/>
          </w:rPr>
          <w:t>3</w:t>
        </w:r>
        <w:r>
          <w:rPr>
            <w:noProof/>
          </w:rPr>
          <w:fldChar w:fldCharType="end"/>
        </w:r>
      </w:p>
    </w:sdtContent>
  </w:sdt>
  <w:p w:rsidR="00CD037C" w:rsidRDefault="00CD0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24" w:rsidRDefault="00485724">
      <w:r>
        <w:separator/>
      </w:r>
    </w:p>
  </w:footnote>
  <w:footnote w:type="continuationSeparator" w:id="0">
    <w:p w:rsidR="00485724" w:rsidRDefault="00485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7C" w:rsidRDefault="00CD037C" w:rsidP="00B7003C">
    <w:pPr>
      <w:pStyle w:val="Header"/>
      <w:tabs>
        <w:tab w:val="clear" w:pos="4153"/>
        <w:tab w:val="clear" w:pos="8306"/>
        <w:tab w:val="left" w:pos="98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7C" w:rsidRDefault="00CD037C" w:rsidP="00707401">
    <w:pPr>
      <w:tabs>
        <w:tab w:val="left" w:pos="993"/>
        <w:tab w:val="left" w:pos="1418"/>
        <w:tab w:val="left" w:pos="2694"/>
      </w:tabs>
      <w:jc w:val="center"/>
      <w:rPr>
        <w:rFonts w:ascii="Arial" w:hAnsi="Arial"/>
        <w:position w:val="-6"/>
        <w:sz w:val="20"/>
      </w:rPr>
    </w:pPr>
    <w:r>
      <w:rPr>
        <w:noProof/>
        <w:lang w:eastAsia="en-AU"/>
      </w:rPr>
      <w:drawing>
        <wp:inline distT="0" distB="0" distL="0" distR="0" wp14:anchorId="74EEBA67" wp14:editId="0571FCD4">
          <wp:extent cx="4475332" cy="1078173"/>
          <wp:effectExtent l="0" t="0" r="1905" b="8255"/>
          <wp:docPr id="1" name="Picture 1" title="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ellsi\AppData\Local\Temp\2\notesF6EA92\DH_inline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1766" cy="1084541"/>
                  </a:xfrm>
                  <a:prstGeom prst="rect">
                    <a:avLst/>
                  </a:prstGeom>
                  <a:noFill/>
                  <a:ln>
                    <a:noFill/>
                  </a:ln>
                </pic:spPr>
              </pic:pic>
            </a:graphicData>
          </a:graphic>
        </wp:inline>
      </w:drawing>
    </w:r>
  </w:p>
  <w:p w:rsidR="00CD037C" w:rsidRDefault="00CD037C">
    <w:pPr>
      <w:tabs>
        <w:tab w:val="left" w:pos="1418"/>
      </w:tabs>
      <w:rPr>
        <w:rFonts w:ascii="Arial" w:hAnsi="Arial"/>
        <w:position w:val="-6"/>
        <w:sz w:val="20"/>
      </w:rPr>
    </w:pPr>
  </w:p>
  <w:p w:rsidR="00CD037C" w:rsidRDefault="00CD037C">
    <w:pPr>
      <w:tabs>
        <w:tab w:val="left" w:pos="1418"/>
      </w:tabs>
      <w:rPr>
        <w:rFonts w:ascii="Arial" w:hAnsi="Arial"/>
        <w:position w:val="-6"/>
        <w:sz w:val="18"/>
      </w:rPr>
    </w:pPr>
  </w:p>
  <w:p w:rsidR="00CD037C" w:rsidRDefault="00CD037C">
    <w:pPr>
      <w:tabs>
        <w:tab w:val="left" w:pos="1418"/>
      </w:tabs>
      <w:rPr>
        <w:rFonts w:ascii="Arial" w:hAnsi="Arial"/>
        <w:position w:val="-6"/>
        <w:sz w:val="8"/>
      </w:rPr>
    </w:pPr>
  </w:p>
  <w:p w:rsidR="00CD037C" w:rsidRDefault="00CD037C">
    <w:pPr>
      <w:tabs>
        <w:tab w:val="left" w:pos="1418"/>
      </w:tabs>
      <w:rPr>
        <w:sz w:val="16"/>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7C" w:rsidRPr="004E138E" w:rsidRDefault="00CD037C" w:rsidP="00B7003C">
    <w:pPr>
      <w:tabs>
        <w:tab w:val="left" w:pos="1418"/>
      </w:tabs>
      <w:rPr>
        <w:color w:val="A6A6A6" w:themeColor="background1" w:themeShade="A6"/>
        <w:sz w:val="28"/>
        <w:szCs w:val="28"/>
      </w:rPr>
    </w:pPr>
    <w:r w:rsidRPr="004E138E">
      <w:rPr>
        <w:color w:val="A6A6A6" w:themeColor="background1" w:themeShade="A6"/>
        <w:sz w:val="28"/>
        <w:szCs w:val="28"/>
        <w:lang w:val="en-US"/>
      </w:rPr>
      <w:t xml:space="preserve">Ministerial Guidelines for the Child Dental Benefits Schedule: </w:t>
    </w:r>
    <w:r w:rsidRPr="004E138E">
      <w:rPr>
        <w:color w:val="A6A6A6" w:themeColor="background1" w:themeShade="A6"/>
        <w:sz w:val="28"/>
        <w:szCs w:val="28"/>
        <w:lang w:val="en-US"/>
      </w:rPr>
      <w:br/>
      <w:t>Extenuating Circumstances for Informed Financial Consent</w:t>
    </w:r>
  </w:p>
  <w:p w:rsidR="00CD037C" w:rsidRDefault="00CD037C" w:rsidP="00B7003C">
    <w:pPr>
      <w:pStyle w:val="Header"/>
      <w:tabs>
        <w:tab w:val="clear" w:pos="4153"/>
        <w:tab w:val="clear" w:pos="8306"/>
        <w:tab w:val="left" w:pos="989"/>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7C" w:rsidRPr="00B7003C" w:rsidRDefault="00CD037C">
    <w:pPr>
      <w:tabs>
        <w:tab w:val="left" w:pos="1418"/>
      </w:tabs>
      <w:rPr>
        <w:color w:val="A6A6A6" w:themeColor="background1" w:themeShade="A6"/>
        <w:sz w:val="28"/>
        <w:szCs w:val="28"/>
      </w:rPr>
    </w:pPr>
    <w:r w:rsidRPr="00B7003C">
      <w:rPr>
        <w:color w:val="A6A6A6" w:themeColor="background1" w:themeShade="A6"/>
        <w:sz w:val="28"/>
        <w:szCs w:val="28"/>
        <w:lang w:val="en-US"/>
      </w:rPr>
      <w:t xml:space="preserve">Ministerial Guidelines for the Child Dental Benefits Schedule: </w:t>
    </w:r>
    <w:r w:rsidRPr="00B7003C">
      <w:rPr>
        <w:color w:val="A6A6A6" w:themeColor="background1" w:themeShade="A6"/>
        <w:sz w:val="28"/>
        <w:szCs w:val="28"/>
        <w:lang w:val="en-US"/>
      </w:rPr>
      <w:br/>
      <w:t>Extenuating Circumstances for Informed Financial Consent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E99"/>
    <w:multiLevelType w:val="hybridMultilevel"/>
    <w:tmpl w:val="B12A2072"/>
    <w:lvl w:ilvl="0" w:tplc="A8B0D76C">
      <w:start w:val="1"/>
      <w:numFmt w:val="decimal"/>
      <w:lvlText w:val="%1."/>
      <w:lvlJc w:val="left"/>
      <w:pPr>
        <w:ind w:left="720" w:hanging="360"/>
      </w:pPr>
      <w:rPr>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79309B"/>
    <w:multiLevelType w:val="hybridMultilevel"/>
    <w:tmpl w:val="9946BAFC"/>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480C61"/>
    <w:multiLevelType w:val="hybridMultilevel"/>
    <w:tmpl w:val="D892EA42"/>
    <w:lvl w:ilvl="0" w:tplc="4DAE6C40">
      <w:start w:val="2"/>
      <w:numFmt w:val="decimal"/>
      <w:lvlText w:val="%1."/>
      <w:lvlJc w:val="left"/>
      <w:pPr>
        <w:tabs>
          <w:tab w:val="num" w:pos="360"/>
        </w:tabs>
        <w:ind w:left="360" w:hanging="360"/>
      </w:pPr>
      <w:rPr>
        <w:rFonts w:hint="default"/>
        <w:b w:val="0"/>
      </w:rPr>
    </w:lvl>
    <w:lvl w:ilvl="1" w:tplc="A622DD90">
      <w:start w:val="1"/>
      <w:numFmt w:val="lowerLetter"/>
      <w:lvlText w:val="%2."/>
      <w:lvlJc w:val="left"/>
      <w:pPr>
        <w:tabs>
          <w:tab w:val="num" w:pos="1440"/>
        </w:tabs>
        <w:ind w:left="1440" w:hanging="360"/>
      </w:pPr>
      <w:rPr>
        <w:b w:val="0"/>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9FD3B03"/>
    <w:multiLevelType w:val="hybridMultilevel"/>
    <w:tmpl w:val="E0BE60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3A04E9"/>
    <w:multiLevelType w:val="hybridMultilevel"/>
    <w:tmpl w:val="070E0A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33376FB8"/>
    <w:multiLevelType w:val="hybridMultilevel"/>
    <w:tmpl w:val="8D64A4FA"/>
    <w:lvl w:ilvl="0" w:tplc="A8B0D76C">
      <w:start w:val="1"/>
      <w:numFmt w:val="decimal"/>
      <w:lvlText w:val="%1."/>
      <w:lvlJc w:val="left"/>
      <w:pPr>
        <w:ind w:left="1287" w:hanging="360"/>
      </w:pPr>
      <w:rPr>
        <w:b/>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nsid w:val="41203843"/>
    <w:multiLevelType w:val="hybridMultilevel"/>
    <w:tmpl w:val="F964F446"/>
    <w:lvl w:ilvl="0" w:tplc="0C09000F">
      <w:start w:val="1"/>
      <w:numFmt w:val="decimal"/>
      <w:lvlText w:val="%1."/>
      <w:lvlJc w:val="left"/>
      <w:pPr>
        <w:ind w:left="2988" w:hanging="360"/>
      </w:pPr>
      <w:rPr>
        <w:rFonts w:hint="default"/>
      </w:rPr>
    </w:lvl>
    <w:lvl w:ilvl="1" w:tplc="0C090003">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7">
    <w:nsid w:val="436657CB"/>
    <w:multiLevelType w:val="hybridMultilevel"/>
    <w:tmpl w:val="27D47EB4"/>
    <w:lvl w:ilvl="0" w:tplc="8B0CCD04">
      <w:start w:val="1"/>
      <w:numFmt w:val="decimal"/>
      <w:lvlText w:val="(%1)"/>
      <w:lvlJc w:val="left"/>
      <w:pPr>
        <w:ind w:left="780" w:hanging="360"/>
      </w:pPr>
      <w:rPr>
        <w:rFonts w:hint="default"/>
        <w:b/>
        <w:i w:val="0"/>
      </w:rPr>
    </w:lvl>
    <w:lvl w:ilvl="1" w:tplc="0C090017">
      <w:start w:val="1"/>
      <w:numFmt w:val="lowerLetter"/>
      <w:lvlText w:val="%2)"/>
      <w:lvlJc w:val="left"/>
      <w:pPr>
        <w:ind w:left="1500" w:hanging="360"/>
      </w:pPr>
      <w:rPr>
        <w:rFonts w:hint="default"/>
        <w:b/>
        <w:i w:val="0"/>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43BF2EBA"/>
    <w:multiLevelType w:val="hybridMultilevel"/>
    <w:tmpl w:val="AFD2896E"/>
    <w:lvl w:ilvl="0" w:tplc="8B0CCD04">
      <w:start w:val="1"/>
      <w:numFmt w:val="decimal"/>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584C1699"/>
    <w:multiLevelType w:val="hybridMultilevel"/>
    <w:tmpl w:val="336C0A6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A7D2AED"/>
    <w:multiLevelType w:val="hybridMultilevel"/>
    <w:tmpl w:val="EADC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A6F45F1"/>
    <w:multiLevelType w:val="hybridMultilevel"/>
    <w:tmpl w:val="8CA891A8"/>
    <w:lvl w:ilvl="0" w:tplc="A8B0D76C">
      <w:start w:val="1"/>
      <w:numFmt w:val="decimal"/>
      <w:lvlText w:val="%1."/>
      <w:lvlJc w:val="left"/>
      <w:pPr>
        <w:ind w:left="720" w:hanging="360"/>
      </w:pPr>
      <w:rPr>
        <w:b/>
        <w:i w:val="0"/>
      </w:rPr>
    </w:lvl>
    <w:lvl w:ilvl="1" w:tplc="54943550">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0"/>
  </w:num>
  <w:num w:numId="5">
    <w:abstractNumId w:val="5"/>
  </w:num>
  <w:num w:numId="6">
    <w:abstractNumId w:val="7"/>
  </w:num>
  <w:num w:numId="7">
    <w:abstractNumId w:val="8"/>
  </w:num>
  <w:num w:numId="8">
    <w:abstractNumId w:val="4"/>
  </w:num>
  <w:num w:numId="9">
    <w:abstractNumId w:val="2"/>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F1"/>
    <w:rsid w:val="000023A4"/>
    <w:rsid w:val="000073C0"/>
    <w:rsid w:val="00007C06"/>
    <w:rsid w:val="000135D6"/>
    <w:rsid w:val="000174AA"/>
    <w:rsid w:val="00025A85"/>
    <w:rsid w:val="0003536D"/>
    <w:rsid w:val="00055431"/>
    <w:rsid w:val="000729E6"/>
    <w:rsid w:val="00077B2B"/>
    <w:rsid w:val="00086EDE"/>
    <w:rsid w:val="000C5F5E"/>
    <w:rsid w:val="000D3443"/>
    <w:rsid w:val="000E7143"/>
    <w:rsid w:val="0010232F"/>
    <w:rsid w:val="00104F31"/>
    <w:rsid w:val="001076CE"/>
    <w:rsid w:val="00127956"/>
    <w:rsid w:val="00134B68"/>
    <w:rsid w:val="00140621"/>
    <w:rsid w:val="00155504"/>
    <w:rsid w:val="00156E60"/>
    <w:rsid w:val="001605F4"/>
    <w:rsid w:val="00181DD4"/>
    <w:rsid w:val="00191036"/>
    <w:rsid w:val="00197AAD"/>
    <w:rsid w:val="001A6DF3"/>
    <w:rsid w:val="001C4BD3"/>
    <w:rsid w:val="001D018C"/>
    <w:rsid w:val="001D2E69"/>
    <w:rsid w:val="001E1FB4"/>
    <w:rsid w:val="001E58BF"/>
    <w:rsid w:val="001F2D52"/>
    <w:rsid w:val="002200B1"/>
    <w:rsid w:val="00245D55"/>
    <w:rsid w:val="00257AA2"/>
    <w:rsid w:val="00271661"/>
    <w:rsid w:val="002D0E90"/>
    <w:rsid w:val="002D71EC"/>
    <w:rsid w:val="002F323B"/>
    <w:rsid w:val="003028A3"/>
    <w:rsid w:val="00316BC2"/>
    <w:rsid w:val="00323162"/>
    <w:rsid w:val="00347DF8"/>
    <w:rsid w:val="00392AE6"/>
    <w:rsid w:val="00394894"/>
    <w:rsid w:val="003B2586"/>
    <w:rsid w:val="003C293F"/>
    <w:rsid w:val="003D519D"/>
    <w:rsid w:val="00400315"/>
    <w:rsid w:val="004029ED"/>
    <w:rsid w:val="00405C5A"/>
    <w:rsid w:val="00411B80"/>
    <w:rsid w:val="0041287A"/>
    <w:rsid w:val="00412D50"/>
    <w:rsid w:val="004168BB"/>
    <w:rsid w:val="00424CB9"/>
    <w:rsid w:val="00426E8C"/>
    <w:rsid w:val="0044754E"/>
    <w:rsid w:val="00454612"/>
    <w:rsid w:val="00463357"/>
    <w:rsid w:val="00485724"/>
    <w:rsid w:val="004C1F03"/>
    <w:rsid w:val="004E138E"/>
    <w:rsid w:val="004E2068"/>
    <w:rsid w:val="004E43BA"/>
    <w:rsid w:val="00514548"/>
    <w:rsid w:val="00530D87"/>
    <w:rsid w:val="00541124"/>
    <w:rsid w:val="00553C5A"/>
    <w:rsid w:val="00554142"/>
    <w:rsid w:val="00572BC8"/>
    <w:rsid w:val="00583AF3"/>
    <w:rsid w:val="005941D4"/>
    <w:rsid w:val="005B5FC6"/>
    <w:rsid w:val="005C7BB4"/>
    <w:rsid w:val="00605395"/>
    <w:rsid w:val="0061355F"/>
    <w:rsid w:val="00636F16"/>
    <w:rsid w:val="00686554"/>
    <w:rsid w:val="006A6CC1"/>
    <w:rsid w:val="006B4007"/>
    <w:rsid w:val="006B6AD8"/>
    <w:rsid w:val="006B7AE3"/>
    <w:rsid w:val="006C1A3B"/>
    <w:rsid w:val="006C1F05"/>
    <w:rsid w:val="006D22C0"/>
    <w:rsid w:val="006D34F7"/>
    <w:rsid w:val="006D4E8F"/>
    <w:rsid w:val="006E61A0"/>
    <w:rsid w:val="006F1969"/>
    <w:rsid w:val="00704958"/>
    <w:rsid w:val="00707401"/>
    <w:rsid w:val="0071059E"/>
    <w:rsid w:val="0071335C"/>
    <w:rsid w:val="00727D09"/>
    <w:rsid w:val="007553B7"/>
    <w:rsid w:val="00784C64"/>
    <w:rsid w:val="00791E8E"/>
    <w:rsid w:val="00792250"/>
    <w:rsid w:val="0079333D"/>
    <w:rsid w:val="007C0400"/>
    <w:rsid w:val="007C214F"/>
    <w:rsid w:val="007C7EF4"/>
    <w:rsid w:val="00842C81"/>
    <w:rsid w:val="008520C2"/>
    <w:rsid w:val="00857FE5"/>
    <w:rsid w:val="008635BC"/>
    <w:rsid w:val="00875F72"/>
    <w:rsid w:val="00877322"/>
    <w:rsid w:val="00897153"/>
    <w:rsid w:val="008A0018"/>
    <w:rsid w:val="008A3FE5"/>
    <w:rsid w:val="008B0D10"/>
    <w:rsid w:val="008B15D0"/>
    <w:rsid w:val="008F6C44"/>
    <w:rsid w:val="00900AA9"/>
    <w:rsid w:val="0090445E"/>
    <w:rsid w:val="00914177"/>
    <w:rsid w:val="00933DD5"/>
    <w:rsid w:val="0093527D"/>
    <w:rsid w:val="00935A80"/>
    <w:rsid w:val="00954DEE"/>
    <w:rsid w:val="009B684A"/>
    <w:rsid w:val="009E2D90"/>
    <w:rsid w:val="00A021AB"/>
    <w:rsid w:val="00A04DFB"/>
    <w:rsid w:val="00A303F3"/>
    <w:rsid w:val="00A43607"/>
    <w:rsid w:val="00A77499"/>
    <w:rsid w:val="00A85103"/>
    <w:rsid w:val="00A93BE8"/>
    <w:rsid w:val="00A958E0"/>
    <w:rsid w:val="00AA4B13"/>
    <w:rsid w:val="00AB1419"/>
    <w:rsid w:val="00AB1530"/>
    <w:rsid w:val="00AC2991"/>
    <w:rsid w:val="00AC2FAE"/>
    <w:rsid w:val="00AC3A35"/>
    <w:rsid w:val="00AE5DC3"/>
    <w:rsid w:val="00B00753"/>
    <w:rsid w:val="00B01ABF"/>
    <w:rsid w:val="00B158B5"/>
    <w:rsid w:val="00B348A0"/>
    <w:rsid w:val="00B35A66"/>
    <w:rsid w:val="00B6378E"/>
    <w:rsid w:val="00B7003C"/>
    <w:rsid w:val="00BB0F50"/>
    <w:rsid w:val="00BC1878"/>
    <w:rsid w:val="00BD353A"/>
    <w:rsid w:val="00BD4FE4"/>
    <w:rsid w:val="00BE4CA2"/>
    <w:rsid w:val="00C05C43"/>
    <w:rsid w:val="00C06BA0"/>
    <w:rsid w:val="00C0761F"/>
    <w:rsid w:val="00C14BA7"/>
    <w:rsid w:val="00C22284"/>
    <w:rsid w:val="00C41C16"/>
    <w:rsid w:val="00C63DA5"/>
    <w:rsid w:val="00C64FB4"/>
    <w:rsid w:val="00C657F0"/>
    <w:rsid w:val="00C66E7A"/>
    <w:rsid w:val="00C77938"/>
    <w:rsid w:val="00C809C1"/>
    <w:rsid w:val="00CC1B41"/>
    <w:rsid w:val="00CD005C"/>
    <w:rsid w:val="00CD037C"/>
    <w:rsid w:val="00D0646A"/>
    <w:rsid w:val="00D1404C"/>
    <w:rsid w:val="00D240F1"/>
    <w:rsid w:val="00D33320"/>
    <w:rsid w:val="00D46528"/>
    <w:rsid w:val="00D51420"/>
    <w:rsid w:val="00D866DC"/>
    <w:rsid w:val="00D87020"/>
    <w:rsid w:val="00D940ED"/>
    <w:rsid w:val="00D9410B"/>
    <w:rsid w:val="00DA494A"/>
    <w:rsid w:val="00DB705A"/>
    <w:rsid w:val="00DC30AB"/>
    <w:rsid w:val="00DD26B8"/>
    <w:rsid w:val="00DE3535"/>
    <w:rsid w:val="00DF1333"/>
    <w:rsid w:val="00DF5B5F"/>
    <w:rsid w:val="00E1146E"/>
    <w:rsid w:val="00E47A02"/>
    <w:rsid w:val="00E64A95"/>
    <w:rsid w:val="00E70991"/>
    <w:rsid w:val="00E93DFA"/>
    <w:rsid w:val="00E94CAA"/>
    <w:rsid w:val="00E962D1"/>
    <w:rsid w:val="00EA18EE"/>
    <w:rsid w:val="00EC0095"/>
    <w:rsid w:val="00EE69C7"/>
    <w:rsid w:val="00F02FD3"/>
    <w:rsid w:val="00F0338E"/>
    <w:rsid w:val="00F24811"/>
    <w:rsid w:val="00F24D96"/>
    <w:rsid w:val="00F27D91"/>
    <w:rsid w:val="00F31E9F"/>
    <w:rsid w:val="00F465E8"/>
    <w:rsid w:val="00F47464"/>
    <w:rsid w:val="00F53202"/>
    <w:rsid w:val="00F677DB"/>
    <w:rsid w:val="00F71F04"/>
    <w:rsid w:val="00F76275"/>
    <w:rsid w:val="00F918BB"/>
    <w:rsid w:val="00F931A1"/>
    <w:rsid w:val="00FC07E1"/>
    <w:rsid w:val="00FC3CE7"/>
    <w:rsid w:val="00FE4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rsid w:val="00F31E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31E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C657F0"/>
    <w:pPr>
      <w:ind w:left="720"/>
      <w:contextualSpacing/>
    </w:pPr>
  </w:style>
  <w:style w:type="paragraph" w:styleId="BalloonText">
    <w:name w:val="Balloon Text"/>
    <w:basedOn w:val="Normal"/>
    <w:link w:val="BalloonTextChar"/>
    <w:rsid w:val="00411B80"/>
    <w:rPr>
      <w:rFonts w:ascii="Tahoma" w:hAnsi="Tahoma" w:cs="Tahoma"/>
      <w:sz w:val="16"/>
      <w:szCs w:val="16"/>
      <w:lang w:val="en-US"/>
    </w:rPr>
  </w:style>
  <w:style w:type="character" w:customStyle="1" w:styleId="BalloonTextChar">
    <w:name w:val="Balloon Text Char"/>
    <w:basedOn w:val="DefaultParagraphFont"/>
    <w:link w:val="BalloonText"/>
    <w:rsid w:val="00411B80"/>
    <w:rPr>
      <w:rFonts w:ascii="Tahoma" w:hAnsi="Tahoma" w:cs="Tahoma"/>
      <w:sz w:val="16"/>
      <w:szCs w:val="16"/>
      <w:lang w:val="en-US" w:eastAsia="en-US"/>
    </w:rPr>
  </w:style>
  <w:style w:type="character" w:customStyle="1" w:styleId="Heading1Char">
    <w:name w:val="Heading 1 Char"/>
    <w:basedOn w:val="DefaultParagraphFont"/>
    <w:link w:val="Heading1"/>
    <w:rsid w:val="00F31E9F"/>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F31E9F"/>
    <w:pPr>
      <w:spacing w:line="276" w:lineRule="auto"/>
      <w:outlineLvl w:val="9"/>
    </w:pPr>
    <w:rPr>
      <w:lang w:val="en-US" w:eastAsia="ja-JP"/>
    </w:rPr>
  </w:style>
  <w:style w:type="paragraph" w:styleId="TOC2">
    <w:name w:val="toc 2"/>
    <w:basedOn w:val="Normal"/>
    <w:next w:val="Normal"/>
    <w:autoRedefine/>
    <w:uiPriority w:val="39"/>
    <w:unhideWhenUsed/>
    <w:qFormat/>
    <w:rsid w:val="00F31E9F"/>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F31E9F"/>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F31E9F"/>
    <w:pPr>
      <w:spacing w:after="100" w:line="276" w:lineRule="auto"/>
      <w:ind w:left="440"/>
    </w:pPr>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semiHidden/>
    <w:rsid w:val="00F31E9F"/>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F31E9F"/>
    <w:rPr>
      <w:color w:val="0000FF" w:themeColor="hyperlink"/>
      <w:u w:val="single"/>
    </w:rPr>
  </w:style>
  <w:style w:type="character" w:customStyle="1" w:styleId="FooterChar">
    <w:name w:val="Footer Char"/>
    <w:basedOn w:val="DefaultParagraphFont"/>
    <w:link w:val="Footer"/>
    <w:uiPriority w:val="99"/>
    <w:rsid w:val="00140621"/>
    <w:rPr>
      <w:sz w:val="24"/>
      <w:lang w:eastAsia="en-US"/>
    </w:rPr>
  </w:style>
  <w:style w:type="character" w:styleId="CommentReference">
    <w:name w:val="annotation reference"/>
    <w:basedOn w:val="DefaultParagraphFont"/>
    <w:rsid w:val="00F465E8"/>
    <w:rPr>
      <w:sz w:val="16"/>
      <w:szCs w:val="16"/>
    </w:rPr>
  </w:style>
  <w:style w:type="paragraph" w:styleId="CommentText">
    <w:name w:val="annotation text"/>
    <w:basedOn w:val="Normal"/>
    <w:link w:val="CommentTextChar"/>
    <w:rsid w:val="00F465E8"/>
    <w:rPr>
      <w:sz w:val="20"/>
    </w:rPr>
  </w:style>
  <w:style w:type="character" w:customStyle="1" w:styleId="CommentTextChar">
    <w:name w:val="Comment Text Char"/>
    <w:basedOn w:val="DefaultParagraphFont"/>
    <w:link w:val="CommentText"/>
    <w:rsid w:val="00F465E8"/>
    <w:rPr>
      <w:lang w:eastAsia="en-US"/>
    </w:rPr>
  </w:style>
  <w:style w:type="paragraph" w:styleId="CommentSubject">
    <w:name w:val="annotation subject"/>
    <w:basedOn w:val="CommentText"/>
    <w:next w:val="CommentText"/>
    <w:link w:val="CommentSubjectChar"/>
    <w:rsid w:val="00F465E8"/>
    <w:rPr>
      <w:b/>
      <w:bCs/>
    </w:rPr>
  </w:style>
  <w:style w:type="character" w:customStyle="1" w:styleId="CommentSubjectChar">
    <w:name w:val="Comment Subject Char"/>
    <w:basedOn w:val="CommentTextChar"/>
    <w:link w:val="CommentSubject"/>
    <w:rsid w:val="00F465E8"/>
    <w:rPr>
      <w:b/>
      <w:bCs/>
      <w:lang w:eastAsia="en-US"/>
    </w:rPr>
  </w:style>
  <w:style w:type="paragraph" w:styleId="Revision">
    <w:name w:val="Revision"/>
    <w:hidden/>
    <w:uiPriority w:val="99"/>
    <w:semiHidden/>
    <w:rsid w:val="00553C5A"/>
    <w:rPr>
      <w:sz w:val="24"/>
      <w:lang w:eastAsia="en-US"/>
    </w:rPr>
  </w:style>
  <w:style w:type="paragraph" w:styleId="Subtitle">
    <w:name w:val="Subtitle"/>
    <w:basedOn w:val="Normal"/>
    <w:next w:val="Normal"/>
    <w:link w:val="SubtitleChar"/>
    <w:qFormat/>
    <w:rsid w:val="00D87020"/>
    <w:pPr>
      <w:numPr>
        <w:ilvl w:val="1"/>
      </w:numPr>
      <w:spacing w:before="120" w:after="120"/>
    </w:pPr>
    <w:rPr>
      <w:rFonts w:asciiTheme="majorHAnsi" w:eastAsiaTheme="majorEastAsia" w:hAnsiTheme="majorHAnsi" w:cstheme="majorBidi"/>
      <w:i/>
      <w:iCs/>
      <w:color w:val="4F81BD" w:themeColor="accent1"/>
      <w:spacing w:val="15"/>
      <w:sz w:val="26"/>
      <w:szCs w:val="24"/>
    </w:rPr>
  </w:style>
  <w:style w:type="character" w:customStyle="1" w:styleId="SubtitleChar">
    <w:name w:val="Subtitle Char"/>
    <w:basedOn w:val="DefaultParagraphFont"/>
    <w:link w:val="Subtitle"/>
    <w:rsid w:val="00D87020"/>
    <w:rPr>
      <w:rFonts w:asciiTheme="majorHAnsi" w:eastAsiaTheme="majorEastAsia" w:hAnsiTheme="majorHAnsi" w:cstheme="majorBidi"/>
      <w:i/>
      <w:iCs/>
      <w:color w:val="4F81BD" w:themeColor="accent1"/>
      <w:spacing w:val="15"/>
      <w:sz w:val="26"/>
      <w:szCs w:val="24"/>
      <w:lang w:eastAsia="en-US"/>
    </w:rPr>
  </w:style>
  <w:style w:type="paragraph" w:customStyle="1" w:styleId="FrontPage-Heading1">
    <w:name w:val="FrontPage-Heading 1"/>
    <w:basedOn w:val="Normal"/>
    <w:qFormat/>
    <w:rsid w:val="003C293F"/>
    <w:pPr>
      <w:spacing w:before="120"/>
      <w:jc w:val="center"/>
    </w:pPr>
    <w:rPr>
      <w:rFonts w:ascii="Arial" w:hAnsi="Arial" w:cs="Arial"/>
      <w:b/>
      <w:sz w:val="56"/>
      <w:szCs w:val="56"/>
      <w:lang w:val="en-US"/>
    </w:rPr>
  </w:style>
  <w:style w:type="paragraph" w:customStyle="1" w:styleId="FrontPage-Heading2">
    <w:name w:val="FrontPage-Heading 2"/>
    <w:basedOn w:val="Normal"/>
    <w:qFormat/>
    <w:rsid w:val="003C293F"/>
    <w:pPr>
      <w:spacing w:before="240"/>
      <w:jc w:val="center"/>
    </w:pPr>
    <w:rPr>
      <w:rFonts w:ascii="Arial" w:hAnsi="Arial" w:cs="Arial"/>
      <w:b/>
      <w:i/>
      <w:sz w:val="48"/>
      <w:szCs w:val="48"/>
      <w:lang w:val="en-US"/>
    </w:rPr>
  </w:style>
  <w:style w:type="paragraph" w:customStyle="1" w:styleId="FrontPage-Heading3">
    <w:name w:val="FrontPage-Heading 3"/>
    <w:basedOn w:val="Normal"/>
    <w:qFormat/>
    <w:rsid w:val="003C293F"/>
    <w:pPr>
      <w:spacing w:before="240"/>
      <w:jc w:val="center"/>
    </w:pPr>
    <w:rPr>
      <w:rFonts w:ascii="Arial" w:hAnsi="Arial" w:cs="Arial"/>
      <w:b/>
      <w:sz w:val="48"/>
      <w:szCs w:val="48"/>
      <w:lang w:val="en-US"/>
    </w:rPr>
  </w:style>
  <w:style w:type="paragraph" w:customStyle="1" w:styleId="FrontPage-Heading4">
    <w:name w:val="FrontPage-Heading 4"/>
    <w:basedOn w:val="Normal"/>
    <w:qFormat/>
    <w:rsid w:val="003C293F"/>
    <w:pPr>
      <w:spacing w:before="240"/>
      <w:jc w:val="center"/>
    </w:pPr>
    <w:rPr>
      <w:rFonts w:ascii="Arial" w:hAnsi="Arial" w:cs="Arial"/>
      <w:b/>
      <w:sz w:val="36"/>
      <w:szCs w:val="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rsid w:val="00F31E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31E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C657F0"/>
    <w:pPr>
      <w:ind w:left="720"/>
      <w:contextualSpacing/>
    </w:pPr>
  </w:style>
  <w:style w:type="paragraph" w:styleId="BalloonText">
    <w:name w:val="Balloon Text"/>
    <w:basedOn w:val="Normal"/>
    <w:link w:val="BalloonTextChar"/>
    <w:rsid w:val="00411B80"/>
    <w:rPr>
      <w:rFonts w:ascii="Tahoma" w:hAnsi="Tahoma" w:cs="Tahoma"/>
      <w:sz w:val="16"/>
      <w:szCs w:val="16"/>
      <w:lang w:val="en-US"/>
    </w:rPr>
  </w:style>
  <w:style w:type="character" w:customStyle="1" w:styleId="BalloonTextChar">
    <w:name w:val="Balloon Text Char"/>
    <w:basedOn w:val="DefaultParagraphFont"/>
    <w:link w:val="BalloonText"/>
    <w:rsid w:val="00411B80"/>
    <w:rPr>
      <w:rFonts w:ascii="Tahoma" w:hAnsi="Tahoma" w:cs="Tahoma"/>
      <w:sz w:val="16"/>
      <w:szCs w:val="16"/>
      <w:lang w:val="en-US" w:eastAsia="en-US"/>
    </w:rPr>
  </w:style>
  <w:style w:type="character" w:customStyle="1" w:styleId="Heading1Char">
    <w:name w:val="Heading 1 Char"/>
    <w:basedOn w:val="DefaultParagraphFont"/>
    <w:link w:val="Heading1"/>
    <w:rsid w:val="00F31E9F"/>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F31E9F"/>
    <w:pPr>
      <w:spacing w:line="276" w:lineRule="auto"/>
      <w:outlineLvl w:val="9"/>
    </w:pPr>
    <w:rPr>
      <w:lang w:val="en-US" w:eastAsia="ja-JP"/>
    </w:rPr>
  </w:style>
  <w:style w:type="paragraph" w:styleId="TOC2">
    <w:name w:val="toc 2"/>
    <w:basedOn w:val="Normal"/>
    <w:next w:val="Normal"/>
    <w:autoRedefine/>
    <w:uiPriority w:val="39"/>
    <w:unhideWhenUsed/>
    <w:qFormat/>
    <w:rsid w:val="00F31E9F"/>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F31E9F"/>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F31E9F"/>
    <w:pPr>
      <w:spacing w:after="100" w:line="276" w:lineRule="auto"/>
      <w:ind w:left="440"/>
    </w:pPr>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semiHidden/>
    <w:rsid w:val="00F31E9F"/>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F31E9F"/>
    <w:rPr>
      <w:color w:val="0000FF" w:themeColor="hyperlink"/>
      <w:u w:val="single"/>
    </w:rPr>
  </w:style>
  <w:style w:type="character" w:customStyle="1" w:styleId="FooterChar">
    <w:name w:val="Footer Char"/>
    <w:basedOn w:val="DefaultParagraphFont"/>
    <w:link w:val="Footer"/>
    <w:uiPriority w:val="99"/>
    <w:rsid w:val="00140621"/>
    <w:rPr>
      <w:sz w:val="24"/>
      <w:lang w:eastAsia="en-US"/>
    </w:rPr>
  </w:style>
  <w:style w:type="character" w:styleId="CommentReference">
    <w:name w:val="annotation reference"/>
    <w:basedOn w:val="DefaultParagraphFont"/>
    <w:rsid w:val="00F465E8"/>
    <w:rPr>
      <w:sz w:val="16"/>
      <w:szCs w:val="16"/>
    </w:rPr>
  </w:style>
  <w:style w:type="paragraph" w:styleId="CommentText">
    <w:name w:val="annotation text"/>
    <w:basedOn w:val="Normal"/>
    <w:link w:val="CommentTextChar"/>
    <w:rsid w:val="00F465E8"/>
    <w:rPr>
      <w:sz w:val="20"/>
    </w:rPr>
  </w:style>
  <w:style w:type="character" w:customStyle="1" w:styleId="CommentTextChar">
    <w:name w:val="Comment Text Char"/>
    <w:basedOn w:val="DefaultParagraphFont"/>
    <w:link w:val="CommentText"/>
    <w:rsid w:val="00F465E8"/>
    <w:rPr>
      <w:lang w:eastAsia="en-US"/>
    </w:rPr>
  </w:style>
  <w:style w:type="paragraph" w:styleId="CommentSubject">
    <w:name w:val="annotation subject"/>
    <w:basedOn w:val="CommentText"/>
    <w:next w:val="CommentText"/>
    <w:link w:val="CommentSubjectChar"/>
    <w:rsid w:val="00F465E8"/>
    <w:rPr>
      <w:b/>
      <w:bCs/>
    </w:rPr>
  </w:style>
  <w:style w:type="character" w:customStyle="1" w:styleId="CommentSubjectChar">
    <w:name w:val="Comment Subject Char"/>
    <w:basedOn w:val="CommentTextChar"/>
    <w:link w:val="CommentSubject"/>
    <w:rsid w:val="00F465E8"/>
    <w:rPr>
      <w:b/>
      <w:bCs/>
      <w:lang w:eastAsia="en-US"/>
    </w:rPr>
  </w:style>
  <w:style w:type="paragraph" w:styleId="Revision">
    <w:name w:val="Revision"/>
    <w:hidden/>
    <w:uiPriority w:val="99"/>
    <w:semiHidden/>
    <w:rsid w:val="00553C5A"/>
    <w:rPr>
      <w:sz w:val="24"/>
      <w:lang w:eastAsia="en-US"/>
    </w:rPr>
  </w:style>
  <w:style w:type="paragraph" w:styleId="Subtitle">
    <w:name w:val="Subtitle"/>
    <w:basedOn w:val="Normal"/>
    <w:next w:val="Normal"/>
    <w:link w:val="SubtitleChar"/>
    <w:qFormat/>
    <w:rsid w:val="00D87020"/>
    <w:pPr>
      <w:numPr>
        <w:ilvl w:val="1"/>
      </w:numPr>
      <w:spacing w:before="120" w:after="120"/>
    </w:pPr>
    <w:rPr>
      <w:rFonts w:asciiTheme="majorHAnsi" w:eastAsiaTheme="majorEastAsia" w:hAnsiTheme="majorHAnsi" w:cstheme="majorBidi"/>
      <w:i/>
      <w:iCs/>
      <w:color w:val="4F81BD" w:themeColor="accent1"/>
      <w:spacing w:val="15"/>
      <w:sz w:val="26"/>
      <w:szCs w:val="24"/>
    </w:rPr>
  </w:style>
  <w:style w:type="character" w:customStyle="1" w:styleId="SubtitleChar">
    <w:name w:val="Subtitle Char"/>
    <w:basedOn w:val="DefaultParagraphFont"/>
    <w:link w:val="Subtitle"/>
    <w:rsid w:val="00D87020"/>
    <w:rPr>
      <w:rFonts w:asciiTheme="majorHAnsi" w:eastAsiaTheme="majorEastAsia" w:hAnsiTheme="majorHAnsi" w:cstheme="majorBidi"/>
      <w:i/>
      <w:iCs/>
      <w:color w:val="4F81BD" w:themeColor="accent1"/>
      <w:spacing w:val="15"/>
      <w:sz w:val="26"/>
      <w:szCs w:val="24"/>
      <w:lang w:eastAsia="en-US"/>
    </w:rPr>
  </w:style>
  <w:style w:type="paragraph" w:customStyle="1" w:styleId="FrontPage-Heading1">
    <w:name w:val="FrontPage-Heading 1"/>
    <w:basedOn w:val="Normal"/>
    <w:qFormat/>
    <w:rsid w:val="003C293F"/>
    <w:pPr>
      <w:spacing w:before="120"/>
      <w:jc w:val="center"/>
    </w:pPr>
    <w:rPr>
      <w:rFonts w:ascii="Arial" w:hAnsi="Arial" w:cs="Arial"/>
      <w:b/>
      <w:sz w:val="56"/>
      <w:szCs w:val="56"/>
      <w:lang w:val="en-US"/>
    </w:rPr>
  </w:style>
  <w:style w:type="paragraph" w:customStyle="1" w:styleId="FrontPage-Heading2">
    <w:name w:val="FrontPage-Heading 2"/>
    <w:basedOn w:val="Normal"/>
    <w:qFormat/>
    <w:rsid w:val="003C293F"/>
    <w:pPr>
      <w:spacing w:before="240"/>
      <w:jc w:val="center"/>
    </w:pPr>
    <w:rPr>
      <w:rFonts w:ascii="Arial" w:hAnsi="Arial" w:cs="Arial"/>
      <w:b/>
      <w:i/>
      <w:sz w:val="48"/>
      <w:szCs w:val="48"/>
      <w:lang w:val="en-US"/>
    </w:rPr>
  </w:style>
  <w:style w:type="paragraph" w:customStyle="1" w:styleId="FrontPage-Heading3">
    <w:name w:val="FrontPage-Heading 3"/>
    <w:basedOn w:val="Normal"/>
    <w:qFormat/>
    <w:rsid w:val="003C293F"/>
    <w:pPr>
      <w:spacing w:before="240"/>
      <w:jc w:val="center"/>
    </w:pPr>
    <w:rPr>
      <w:rFonts w:ascii="Arial" w:hAnsi="Arial" w:cs="Arial"/>
      <w:b/>
      <w:sz w:val="48"/>
      <w:szCs w:val="48"/>
      <w:lang w:val="en-US"/>
    </w:rPr>
  </w:style>
  <w:style w:type="paragraph" w:customStyle="1" w:styleId="FrontPage-Heading4">
    <w:name w:val="FrontPage-Heading 4"/>
    <w:basedOn w:val="Normal"/>
    <w:qFormat/>
    <w:rsid w:val="003C293F"/>
    <w:pPr>
      <w:spacing w:before="240"/>
      <w:jc w:val="center"/>
    </w:pPr>
    <w:rPr>
      <w:rFonts w:ascii="Arial" w:hAnsi="Arial" w:cs="Arial"/>
      <w:b/>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gov.au/den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ealth.gov.au/dent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Letterhead\Departmenta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B773A-9E1A-4554-917B-2767E822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Departmental letterhead.dot</Template>
  <TotalTime>44</TotalTime>
  <Pages>1</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Departmental Letterhead for blank paper</vt:lpstr>
    </vt:vector>
  </TitlesOfParts>
  <Company>Department of Health and Ageing</Company>
  <LinksUpToDate>false</LinksUpToDate>
  <CharactersWithSpaces>19597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Letterhead for blank paper</dc:title>
  <dc:creator>Kelly Siobhan</dc:creator>
  <cp:lastModifiedBy>Kelly Siobhan</cp:lastModifiedBy>
  <cp:revision>7</cp:revision>
  <cp:lastPrinted>2014-02-04T03:24:00Z</cp:lastPrinted>
  <dcterms:created xsi:type="dcterms:W3CDTF">2013-12-18T23:48:00Z</dcterms:created>
  <dcterms:modified xsi:type="dcterms:W3CDTF">2013-12-19T03:20:00Z</dcterms:modified>
  <cp:category>Letterhead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1.06</vt:lpwstr>
  </property>
  <property fmtid="{D5CDD505-2E9C-101B-9397-08002B2CF9AE}" pid="3" name="PerDepartment">
    <vt:lpwstr>Acute Care Division</vt:lpwstr>
  </property>
  <property fmtid="{D5CDD505-2E9C-101B-9397-08002B2CF9AE}" pid="4" name="PerOfficeStreetAddress">
    <vt:lpwstr>GPO Box 9848</vt:lpwstr>
  </property>
  <property fmtid="{D5CDD505-2E9C-101B-9397-08002B2CF9AE}" pid="5" name="PerOfficePhoneNumber">
    <vt:lpwstr>(02) 4968 9488</vt:lpwstr>
  </property>
  <property fmtid="{D5CDD505-2E9C-101B-9397-08002B2CF9AE}" pid="6" name="PerOfficeFaxPhoneNumber">
    <vt:lpwstr>(02) 6289 9077</vt:lpwstr>
  </property>
  <property fmtid="{D5CDD505-2E9C-101B-9397-08002B2CF9AE}" pid="7" name="Answer1">
    <vt:lpwstr>[Salutation]</vt:lpwstr>
  </property>
  <property fmtid="{D5CDD505-2E9C-101B-9397-08002B2CF9AE}" pid="8" name="Answer2">
    <vt:lpwstr>[Subject]</vt:lpwstr>
  </property>
  <property fmtid="{D5CDD505-2E9C-101B-9397-08002B2CF9AE}" pid="9" name="Author">
    <vt:lpwstr>[Author]</vt:lpwstr>
  </property>
  <property fmtid="{D5CDD505-2E9C-101B-9397-08002B2CF9AE}" pid="10" name="DMSDOCTYPE">
    <vt:lpwstr/>
  </property>
  <property fmtid="{D5CDD505-2E9C-101B-9397-08002B2CF9AE}" pid="11" name="PerPostState">
    <vt:lpwstr>ACT</vt:lpwstr>
  </property>
  <property fmtid="{D5CDD505-2E9C-101B-9397-08002B2CF9AE}" pid="12" name="PerPostPostCode">
    <vt:lpwstr>2601</vt:lpwstr>
  </property>
  <property fmtid="{D5CDD505-2E9C-101B-9397-08002B2CF9AE}" pid="13" name="PerPostCity">
    <vt:lpwstr>Canberra</vt:lpwstr>
  </property>
  <property fmtid="{D5CDD505-2E9C-101B-9397-08002B2CF9AE}" pid="14" name="RecipNameAddr">
    <vt:lpwstr> </vt:lpwstr>
  </property>
  <property fmtid="{D5CDD505-2E9C-101B-9397-08002B2CF9AE}" pid="15" name="Recipient">
    <vt:lpwstr> </vt:lpwstr>
  </property>
  <property fmtid="{D5CDD505-2E9C-101B-9397-08002B2CF9AE}" pid="16" name="Address">
    <vt:lpwstr> </vt:lpwstr>
  </property>
  <property fmtid="{D5CDD505-2E9C-101B-9397-08002B2CF9AE}" pid="17" name="PerMDP">
    <vt:lpwstr>505</vt:lpwstr>
  </property>
  <property fmtid="{D5CDD505-2E9C-101B-9397-08002B2CF9AE}" pid="18" name="LINKTEK-LINK-ID">
    <vt:lpwstr>7BD6-01B5-2B83-02E4</vt:lpwstr>
  </property>
  <property fmtid="{D5CDD505-2E9C-101B-9397-08002B2CF9AE}" pid="19" name="DraftType">
    <vt:lpwstr/>
  </property>
  <property fmtid="{D5CDD505-2E9C-101B-9397-08002B2CF9AE}" pid="20" name="WPLUSServerName">
    <vt:lpwstr/>
  </property>
  <property fmtid="{D5CDD505-2E9C-101B-9397-08002B2CF9AE}" pid="21" name="WPLUSDataBaseName">
    <vt:lpwstr/>
  </property>
  <property fmtid="{D5CDD505-2E9C-101B-9397-08002B2CF9AE}" pid="22" name="WPLUSDocumentUNID">
    <vt:lpwstr/>
  </property>
  <property fmtid="{D5CDD505-2E9C-101B-9397-08002B2CF9AE}" pid="23" name="NeverSavedToNT">
    <vt:lpwstr/>
  </property>
</Properties>
</file>