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518C9" w14:textId="36EAE4C4" w:rsidR="005F1827" w:rsidRPr="00926040" w:rsidRDefault="00926040" w:rsidP="00926040">
      <w:pPr>
        <w:pStyle w:val="Title"/>
      </w:pPr>
      <w:bookmarkStart w:id="0" w:name="_GoBack"/>
      <w:bookmarkEnd w:id="0"/>
      <w:r w:rsidRPr="00926040">
        <w:t>ATAGI</w:t>
      </w:r>
      <w:r w:rsidR="006F0A75">
        <w:t xml:space="preserve"> 2021</w:t>
      </w:r>
      <w:r w:rsidRPr="00926040">
        <w:t xml:space="preserve"> annual statement on immunisation</w:t>
      </w:r>
    </w:p>
    <w:p w14:paraId="784DCA75" w14:textId="6D728522" w:rsidR="00926040" w:rsidRPr="00926040" w:rsidRDefault="00D24DC7" w:rsidP="00926040">
      <w:pPr>
        <w:pStyle w:val="ReportDate"/>
      </w:pPr>
      <w:r>
        <w:t>April</w:t>
      </w:r>
      <w:r w:rsidR="00926040" w:rsidRPr="00926040">
        <w:t xml:space="preserve"> 2021</w:t>
      </w:r>
    </w:p>
    <w:p w14:paraId="1ECECD03" w14:textId="30666160" w:rsidR="00151A28" w:rsidRDefault="00862550">
      <w:pPr>
        <w:pStyle w:val="TOC1"/>
        <w:rPr>
          <w:rFonts w:asciiTheme="minorHAnsi" w:eastAsiaTheme="minorEastAsia" w:hAnsiTheme="minorHAnsi" w:cstheme="minorBidi"/>
          <w:b w:val="0"/>
          <w:bCs w:val="0"/>
          <w:color w:val="auto"/>
          <w:sz w:val="24"/>
          <w:szCs w:val="24"/>
          <w:lang w:eastAsia="en-GB"/>
        </w:rPr>
      </w:pPr>
      <w:r>
        <w:rPr>
          <w:b w:val="0"/>
          <w:bCs w:val="0"/>
        </w:rPr>
        <w:fldChar w:fldCharType="begin"/>
      </w:r>
      <w:r>
        <w:rPr>
          <w:b w:val="0"/>
          <w:bCs w:val="0"/>
        </w:rPr>
        <w:instrText xml:space="preserve"> TOC \o "1-2" \h \z \u </w:instrText>
      </w:r>
      <w:r>
        <w:rPr>
          <w:b w:val="0"/>
          <w:bCs w:val="0"/>
        </w:rPr>
        <w:fldChar w:fldCharType="separate"/>
      </w:r>
      <w:hyperlink w:anchor="_Toc72165377" w:history="1">
        <w:r w:rsidR="00151A28" w:rsidRPr="00B930CB">
          <w:rPr>
            <w:rStyle w:val="Hyperlink"/>
          </w:rPr>
          <w:t>About ATAGI</w:t>
        </w:r>
        <w:r w:rsidR="00151A28">
          <w:rPr>
            <w:webHidden/>
          </w:rPr>
          <w:tab/>
        </w:r>
        <w:r w:rsidR="00151A28">
          <w:rPr>
            <w:webHidden/>
          </w:rPr>
          <w:fldChar w:fldCharType="begin"/>
        </w:r>
        <w:r w:rsidR="00151A28">
          <w:rPr>
            <w:webHidden/>
          </w:rPr>
          <w:instrText xml:space="preserve"> PAGEREF _Toc72165377 \h </w:instrText>
        </w:r>
        <w:r w:rsidR="00151A28">
          <w:rPr>
            <w:webHidden/>
          </w:rPr>
        </w:r>
        <w:r w:rsidR="00151A28">
          <w:rPr>
            <w:webHidden/>
          </w:rPr>
          <w:fldChar w:fldCharType="separate"/>
        </w:r>
        <w:r w:rsidR="00151A28">
          <w:rPr>
            <w:webHidden/>
          </w:rPr>
          <w:t>2</w:t>
        </w:r>
        <w:r w:rsidR="00151A28">
          <w:rPr>
            <w:webHidden/>
          </w:rPr>
          <w:fldChar w:fldCharType="end"/>
        </w:r>
      </w:hyperlink>
    </w:p>
    <w:p w14:paraId="7E9BBBE3" w14:textId="49547A81" w:rsidR="00151A28" w:rsidRDefault="00AB476D">
      <w:pPr>
        <w:pStyle w:val="TOC1"/>
        <w:rPr>
          <w:rFonts w:asciiTheme="minorHAnsi" w:eastAsiaTheme="minorEastAsia" w:hAnsiTheme="minorHAnsi" w:cstheme="minorBidi"/>
          <w:b w:val="0"/>
          <w:bCs w:val="0"/>
          <w:color w:val="auto"/>
          <w:sz w:val="24"/>
          <w:szCs w:val="24"/>
          <w:lang w:eastAsia="en-GB"/>
        </w:rPr>
      </w:pPr>
      <w:hyperlink w:anchor="_Toc72165378" w:history="1">
        <w:r w:rsidR="00151A28" w:rsidRPr="00B930CB">
          <w:rPr>
            <w:rStyle w:val="Hyperlink"/>
          </w:rPr>
          <w:t>Summary</w:t>
        </w:r>
        <w:r w:rsidR="00151A28">
          <w:rPr>
            <w:webHidden/>
          </w:rPr>
          <w:tab/>
        </w:r>
        <w:r w:rsidR="00151A28">
          <w:rPr>
            <w:webHidden/>
          </w:rPr>
          <w:fldChar w:fldCharType="begin"/>
        </w:r>
        <w:r w:rsidR="00151A28">
          <w:rPr>
            <w:webHidden/>
          </w:rPr>
          <w:instrText xml:space="preserve"> PAGEREF _Toc72165378 \h </w:instrText>
        </w:r>
        <w:r w:rsidR="00151A28">
          <w:rPr>
            <w:webHidden/>
          </w:rPr>
        </w:r>
        <w:r w:rsidR="00151A28">
          <w:rPr>
            <w:webHidden/>
          </w:rPr>
          <w:fldChar w:fldCharType="separate"/>
        </w:r>
        <w:r w:rsidR="00151A28">
          <w:rPr>
            <w:webHidden/>
          </w:rPr>
          <w:t>3</w:t>
        </w:r>
        <w:r w:rsidR="00151A28">
          <w:rPr>
            <w:webHidden/>
          </w:rPr>
          <w:fldChar w:fldCharType="end"/>
        </w:r>
      </w:hyperlink>
    </w:p>
    <w:p w14:paraId="3783DE77" w14:textId="7E0CC969" w:rsidR="00151A28" w:rsidRDefault="00AB476D">
      <w:pPr>
        <w:pStyle w:val="TOC2"/>
        <w:rPr>
          <w:rFonts w:asciiTheme="minorHAnsi" w:eastAsiaTheme="minorEastAsia" w:hAnsiTheme="minorHAnsi" w:cstheme="minorBidi"/>
          <w:noProof/>
          <w:color w:val="auto"/>
          <w:sz w:val="24"/>
          <w:szCs w:val="24"/>
          <w:lang w:eastAsia="en-GB"/>
        </w:rPr>
      </w:pPr>
      <w:hyperlink w:anchor="_Toc72165379" w:history="1">
        <w:r w:rsidR="00151A28" w:rsidRPr="00B930CB">
          <w:rPr>
            <w:rStyle w:val="Hyperlink"/>
            <w:noProof/>
          </w:rPr>
          <w:t>Key successes in immunisation in 2020</w:t>
        </w:r>
        <w:r w:rsidR="00151A28">
          <w:rPr>
            <w:noProof/>
            <w:webHidden/>
          </w:rPr>
          <w:tab/>
        </w:r>
        <w:r w:rsidR="00151A28">
          <w:rPr>
            <w:noProof/>
            <w:webHidden/>
          </w:rPr>
          <w:fldChar w:fldCharType="begin"/>
        </w:r>
        <w:r w:rsidR="00151A28">
          <w:rPr>
            <w:noProof/>
            <w:webHidden/>
          </w:rPr>
          <w:instrText xml:space="preserve"> PAGEREF _Toc72165379 \h </w:instrText>
        </w:r>
        <w:r w:rsidR="00151A28">
          <w:rPr>
            <w:noProof/>
            <w:webHidden/>
          </w:rPr>
        </w:r>
        <w:r w:rsidR="00151A28">
          <w:rPr>
            <w:noProof/>
            <w:webHidden/>
          </w:rPr>
          <w:fldChar w:fldCharType="separate"/>
        </w:r>
        <w:r w:rsidR="00151A28">
          <w:rPr>
            <w:noProof/>
            <w:webHidden/>
          </w:rPr>
          <w:t>3</w:t>
        </w:r>
        <w:r w:rsidR="00151A28">
          <w:rPr>
            <w:noProof/>
            <w:webHidden/>
          </w:rPr>
          <w:fldChar w:fldCharType="end"/>
        </w:r>
      </w:hyperlink>
    </w:p>
    <w:p w14:paraId="58FA3D64" w14:textId="38E60F39" w:rsidR="00151A28" w:rsidRDefault="00AB476D">
      <w:pPr>
        <w:pStyle w:val="TOC2"/>
        <w:rPr>
          <w:rFonts w:asciiTheme="minorHAnsi" w:eastAsiaTheme="minorEastAsia" w:hAnsiTheme="minorHAnsi" w:cstheme="minorBidi"/>
          <w:noProof/>
          <w:color w:val="auto"/>
          <w:sz w:val="24"/>
          <w:szCs w:val="24"/>
          <w:lang w:eastAsia="en-GB"/>
        </w:rPr>
      </w:pPr>
      <w:hyperlink w:anchor="_Toc72165380" w:history="1">
        <w:r w:rsidR="00151A28" w:rsidRPr="00B930CB">
          <w:rPr>
            <w:rStyle w:val="Hyperlink"/>
            <w:noProof/>
          </w:rPr>
          <w:t>Key challenges and priorities for immunisation in Australia in 2021 and beyond</w:t>
        </w:r>
        <w:r w:rsidR="00151A28">
          <w:rPr>
            <w:noProof/>
            <w:webHidden/>
          </w:rPr>
          <w:tab/>
        </w:r>
        <w:r w:rsidR="00151A28">
          <w:rPr>
            <w:noProof/>
            <w:webHidden/>
          </w:rPr>
          <w:fldChar w:fldCharType="begin"/>
        </w:r>
        <w:r w:rsidR="00151A28">
          <w:rPr>
            <w:noProof/>
            <w:webHidden/>
          </w:rPr>
          <w:instrText xml:space="preserve"> PAGEREF _Toc72165380 \h </w:instrText>
        </w:r>
        <w:r w:rsidR="00151A28">
          <w:rPr>
            <w:noProof/>
            <w:webHidden/>
          </w:rPr>
        </w:r>
        <w:r w:rsidR="00151A28">
          <w:rPr>
            <w:noProof/>
            <w:webHidden/>
          </w:rPr>
          <w:fldChar w:fldCharType="separate"/>
        </w:r>
        <w:r w:rsidR="00151A28">
          <w:rPr>
            <w:noProof/>
            <w:webHidden/>
          </w:rPr>
          <w:t>3</w:t>
        </w:r>
        <w:r w:rsidR="00151A28">
          <w:rPr>
            <w:noProof/>
            <w:webHidden/>
          </w:rPr>
          <w:fldChar w:fldCharType="end"/>
        </w:r>
      </w:hyperlink>
    </w:p>
    <w:p w14:paraId="13120E15" w14:textId="65B52144" w:rsidR="00151A28" w:rsidRDefault="00AB476D">
      <w:pPr>
        <w:pStyle w:val="TOC1"/>
        <w:rPr>
          <w:rFonts w:asciiTheme="minorHAnsi" w:eastAsiaTheme="minorEastAsia" w:hAnsiTheme="minorHAnsi" w:cstheme="minorBidi"/>
          <w:b w:val="0"/>
          <w:bCs w:val="0"/>
          <w:color w:val="auto"/>
          <w:sz w:val="24"/>
          <w:szCs w:val="24"/>
          <w:lang w:eastAsia="en-GB"/>
        </w:rPr>
      </w:pPr>
      <w:hyperlink w:anchor="_Toc72165381" w:history="1">
        <w:r w:rsidR="00151A28" w:rsidRPr="00B930CB">
          <w:rPr>
            <w:rStyle w:val="Hyperlink"/>
          </w:rPr>
          <w:t>Immunisation issues in Australia in 2020</w:t>
        </w:r>
        <w:r w:rsidR="00151A28">
          <w:rPr>
            <w:webHidden/>
          </w:rPr>
          <w:tab/>
        </w:r>
        <w:r w:rsidR="00151A28">
          <w:rPr>
            <w:webHidden/>
          </w:rPr>
          <w:fldChar w:fldCharType="begin"/>
        </w:r>
        <w:r w:rsidR="00151A28">
          <w:rPr>
            <w:webHidden/>
          </w:rPr>
          <w:instrText xml:space="preserve"> PAGEREF _Toc72165381 \h </w:instrText>
        </w:r>
        <w:r w:rsidR="00151A28">
          <w:rPr>
            <w:webHidden/>
          </w:rPr>
        </w:r>
        <w:r w:rsidR="00151A28">
          <w:rPr>
            <w:webHidden/>
          </w:rPr>
          <w:fldChar w:fldCharType="separate"/>
        </w:r>
        <w:r w:rsidR="00151A28">
          <w:rPr>
            <w:webHidden/>
          </w:rPr>
          <w:t>4</w:t>
        </w:r>
        <w:r w:rsidR="00151A28">
          <w:rPr>
            <w:webHidden/>
          </w:rPr>
          <w:fldChar w:fldCharType="end"/>
        </w:r>
      </w:hyperlink>
    </w:p>
    <w:p w14:paraId="36B2EC8F" w14:textId="243949F0" w:rsidR="00151A28" w:rsidRDefault="00AB476D">
      <w:pPr>
        <w:pStyle w:val="TOC2"/>
        <w:rPr>
          <w:rFonts w:asciiTheme="minorHAnsi" w:eastAsiaTheme="minorEastAsia" w:hAnsiTheme="minorHAnsi" w:cstheme="minorBidi"/>
          <w:noProof/>
          <w:color w:val="auto"/>
          <w:sz w:val="24"/>
          <w:szCs w:val="24"/>
          <w:lang w:eastAsia="en-GB"/>
        </w:rPr>
      </w:pPr>
      <w:hyperlink w:anchor="_Toc72165382" w:history="1">
        <w:r w:rsidR="00151A28" w:rsidRPr="00B930CB">
          <w:rPr>
            <w:rStyle w:val="Hyperlink"/>
            <w:noProof/>
          </w:rPr>
          <w:t>Prevention and control of vaccine-preventable diseases</w:t>
        </w:r>
        <w:r w:rsidR="00151A28">
          <w:rPr>
            <w:noProof/>
            <w:webHidden/>
          </w:rPr>
          <w:tab/>
        </w:r>
        <w:r w:rsidR="00151A28">
          <w:rPr>
            <w:noProof/>
            <w:webHidden/>
          </w:rPr>
          <w:fldChar w:fldCharType="begin"/>
        </w:r>
        <w:r w:rsidR="00151A28">
          <w:rPr>
            <w:noProof/>
            <w:webHidden/>
          </w:rPr>
          <w:instrText xml:space="preserve"> PAGEREF _Toc72165382 \h </w:instrText>
        </w:r>
        <w:r w:rsidR="00151A28">
          <w:rPr>
            <w:noProof/>
            <w:webHidden/>
          </w:rPr>
        </w:r>
        <w:r w:rsidR="00151A28">
          <w:rPr>
            <w:noProof/>
            <w:webHidden/>
          </w:rPr>
          <w:fldChar w:fldCharType="separate"/>
        </w:r>
        <w:r w:rsidR="00151A28">
          <w:rPr>
            <w:noProof/>
            <w:webHidden/>
          </w:rPr>
          <w:t>4</w:t>
        </w:r>
        <w:r w:rsidR="00151A28">
          <w:rPr>
            <w:noProof/>
            <w:webHidden/>
          </w:rPr>
          <w:fldChar w:fldCharType="end"/>
        </w:r>
      </w:hyperlink>
    </w:p>
    <w:p w14:paraId="0929F4E2" w14:textId="1BB42265" w:rsidR="00151A28" w:rsidRDefault="00AB476D">
      <w:pPr>
        <w:pStyle w:val="TOC2"/>
        <w:rPr>
          <w:rFonts w:asciiTheme="minorHAnsi" w:eastAsiaTheme="minorEastAsia" w:hAnsiTheme="minorHAnsi" w:cstheme="minorBidi"/>
          <w:noProof/>
          <w:color w:val="auto"/>
          <w:sz w:val="24"/>
          <w:szCs w:val="24"/>
          <w:lang w:eastAsia="en-GB"/>
        </w:rPr>
      </w:pPr>
      <w:hyperlink w:anchor="_Toc72165383" w:history="1">
        <w:r w:rsidR="00151A28" w:rsidRPr="00B930CB">
          <w:rPr>
            <w:rStyle w:val="Hyperlink"/>
            <w:noProof/>
          </w:rPr>
          <w:t>National immunisation policy and practice</w:t>
        </w:r>
        <w:r w:rsidR="00151A28">
          <w:rPr>
            <w:noProof/>
            <w:webHidden/>
          </w:rPr>
          <w:tab/>
        </w:r>
        <w:r w:rsidR="00151A28">
          <w:rPr>
            <w:noProof/>
            <w:webHidden/>
          </w:rPr>
          <w:fldChar w:fldCharType="begin"/>
        </w:r>
        <w:r w:rsidR="00151A28">
          <w:rPr>
            <w:noProof/>
            <w:webHidden/>
          </w:rPr>
          <w:instrText xml:space="preserve"> PAGEREF _Toc72165383 \h </w:instrText>
        </w:r>
        <w:r w:rsidR="00151A28">
          <w:rPr>
            <w:noProof/>
            <w:webHidden/>
          </w:rPr>
        </w:r>
        <w:r w:rsidR="00151A28">
          <w:rPr>
            <w:noProof/>
            <w:webHidden/>
          </w:rPr>
          <w:fldChar w:fldCharType="separate"/>
        </w:r>
        <w:r w:rsidR="00151A28">
          <w:rPr>
            <w:noProof/>
            <w:webHidden/>
          </w:rPr>
          <w:t>4</w:t>
        </w:r>
        <w:r w:rsidR="00151A28">
          <w:rPr>
            <w:noProof/>
            <w:webHidden/>
          </w:rPr>
          <w:fldChar w:fldCharType="end"/>
        </w:r>
      </w:hyperlink>
    </w:p>
    <w:p w14:paraId="29A427CB" w14:textId="0BEC5D3A" w:rsidR="00151A28" w:rsidRDefault="00AB476D">
      <w:pPr>
        <w:pStyle w:val="TOC2"/>
        <w:rPr>
          <w:rFonts w:asciiTheme="minorHAnsi" w:eastAsiaTheme="minorEastAsia" w:hAnsiTheme="minorHAnsi" w:cstheme="minorBidi"/>
          <w:noProof/>
          <w:color w:val="auto"/>
          <w:sz w:val="24"/>
          <w:szCs w:val="24"/>
          <w:lang w:eastAsia="en-GB"/>
        </w:rPr>
      </w:pPr>
      <w:hyperlink w:anchor="_Toc72165384" w:history="1">
        <w:r w:rsidR="00151A28" w:rsidRPr="00B930CB">
          <w:rPr>
            <w:rStyle w:val="Hyperlink"/>
            <w:noProof/>
          </w:rPr>
          <w:t>New vaccines</w:t>
        </w:r>
        <w:r w:rsidR="00151A28">
          <w:rPr>
            <w:noProof/>
            <w:webHidden/>
          </w:rPr>
          <w:tab/>
        </w:r>
        <w:r w:rsidR="00151A28">
          <w:rPr>
            <w:noProof/>
            <w:webHidden/>
          </w:rPr>
          <w:fldChar w:fldCharType="begin"/>
        </w:r>
        <w:r w:rsidR="00151A28">
          <w:rPr>
            <w:noProof/>
            <w:webHidden/>
          </w:rPr>
          <w:instrText xml:space="preserve"> PAGEREF _Toc72165384 \h </w:instrText>
        </w:r>
        <w:r w:rsidR="00151A28">
          <w:rPr>
            <w:noProof/>
            <w:webHidden/>
          </w:rPr>
        </w:r>
        <w:r w:rsidR="00151A28">
          <w:rPr>
            <w:noProof/>
            <w:webHidden/>
          </w:rPr>
          <w:fldChar w:fldCharType="separate"/>
        </w:r>
        <w:r w:rsidR="00151A28">
          <w:rPr>
            <w:noProof/>
            <w:webHidden/>
          </w:rPr>
          <w:t>6</w:t>
        </w:r>
        <w:r w:rsidR="00151A28">
          <w:rPr>
            <w:noProof/>
            <w:webHidden/>
          </w:rPr>
          <w:fldChar w:fldCharType="end"/>
        </w:r>
      </w:hyperlink>
    </w:p>
    <w:p w14:paraId="1997583C" w14:textId="18AC2740" w:rsidR="00151A28" w:rsidRDefault="00AB476D">
      <w:pPr>
        <w:pStyle w:val="TOC2"/>
        <w:rPr>
          <w:rFonts w:asciiTheme="minorHAnsi" w:eastAsiaTheme="minorEastAsia" w:hAnsiTheme="minorHAnsi" w:cstheme="minorBidi"/>
          <w:noProof/>
          <w:color w:val="auto"/>
          <w:sz w:val="24"/>
          <w:szCs w:val="24"/>
          <w:lang w:eastAsia="en-GB"/>
        </w:rPr>
      </w:pPr>
      <w:hyperlink w:anchor="_Toc72165385" w:history="1">
        <w:r w:rsidR="00151A28" w:rsidRPr="00B930CB">
          <w:rPr>
            <w:rStyle w:val="Hyperlink"/>
            <w:noProof/>
          </w:rPr>
          <w:t>Vaccine safety</w:t>
        </w:r>
        <w:r w:rsidR="00151A28">
          <w:rPr>
            <w:noProof/>
            <w:webHidden/>
          </w:rPr>
          <w:tab/>
        </w:r>
        <w:r w:rsidR="00151A28">
          <w:rPr>
            <w:noProof/>
            <w:webHidden/>
          </w:rPr>
          <w:fldChar w:fldCharType="begin"/>
        </w:r>
        <w:r w:rsidR="00151A28">
          <w:rPr>
            <w:noProof/>
            <w:webHidden/>
          </w:rPr>
          <w:instrText xml:space="preserve"> PAGEREF _Toc72165385 \h </w:instrText>
        </w:r>
        <w:r w:rsidR="00151A28">
          <w:rPr>
            <w:noProof/>
            <w:webHidden/>
          </w:rPr>
        </w:r>
        <w:r w:rsidR="00151A28">
          <w:rPr>
            <w:noProof/>
            <w:webHidden/>
          </w:rPr>
          <w:fldChar w:fldCharType="separate"/>
        </w:r>
        <w:r w:rsidR="00151A28">
          <w:rPr>
            <w:noProof/>
            <w:webHidden/>
          </w:rPr>
          <w:t>7</w:t>
        </w:r>
        <w:r w:rsidR="00151A28">
          <w:rPr>
            <w:noProof/>
            <w:webHidden/>
          </w:rPr>
          <w:fldChar w:fldCharType="end"/>
        </w:r>
      </w:hyperlink>
    </w:p>
    <w:p w14:paraId="5E20C632" w14:textId="0978EC34" w:rsidR="00151A28" w:rsidRDefault="00AB476D">
      <w:pPr>
        <w:pStyle w:val="TOC1"/>
        <w:rPr>
          <w:rFonts w:asciiTheme="minorHAnsi" w:eastAsiaTheme="minorEastAsia" w:hAnsiTheme="minorHAnsi" w:cstheme="minorBidi"/>
          <w:b w:val="0"/>
          <w:bCs w:val="0"/>
          <w:color w:val="auto"/>
          <w:sz w:val="24"/>
          <w:szCs w:val="24"/>
          <w:lang w:eastAsia="en-GB"/>
        </w:rPr>
      </w:pPr>
      <w:hyperlink w:anchor="_Toc72165386" w:history="1">
        <w:r w:rsidR="00151A28" w:rsidRPr="00B930CB">
          <w:rPr>
            <w:rStyle w:val="Hyperlink"/>
          </w:rPr>
          <w:t>Challenges and priorities for immunisation in Australia in 2021 and beyond</w:t>
        </w:r>
        <w:r w:rsidR="00151A28">
          <w:rPr>
            <w:webHidden/>
          </w:rPr>
          <w:tab/>
        </w:r>
        <w:r w:rsidR="00151A28">
          <w:rPr>
            <w:webHidden/>
          </w:rPr>
          <w:fldChar w:fldCharType="begin"/>
        </w:r>
        <w:r w:rsidR="00151A28">
          <w:rPr>
            <w:webHidden/>
          </w:rPr>
          <w:instrText xml:space="preserve"> PAGEREF _Toc72165386 \h </w:instrText>
        </w:r>
        <w:r w:rsidR="00151A28">
          <w:rPr>
            <w:webHidden/>
          </w:rPr>
        </w:r>
        <w:r w:rsidR="00151A28">
          <w:rPr>
            <w:webHidden/>
          </w:rPr>
          <w:fldChar w:fldCharType="separate"/>
        </w:r>
        <w:r w:rsidR="00151A28">
          <w:rPr>
            <w:webHidden/>
          </w:rPr>
          <w:t>8</w:t>
        </w:r>
        <w:r w:rsidR="00151A28">
          <w:rPr>
            <w:webHidden/>
          </w:rPr>
          <w:fldChar w:fldCharType="end"/>
        </w:r>
      </w:hyperlink>
    </w:p>
    <w:p w14:paraId="2A60422F" w14:textId="1C81A43C" w:rsidR="00151A28" w:rsidRDefault="00AB476D">
      <w:pPr>
        <w:pStyle w:val="TOC2"/>
        <w:rPr>
          <w:rFonts w:asciiTheme="minorHAnsi" w:eastAsiaTheme="minorEastAsia" w:hAnsiTheme="minorHAnsi" w:cstheme="minorBidi"/>
          <w:noProof/>
          <w:color w:val="auto"/>
          <w:sz w:val="24"/>
          <w:szCs w:val="24"/>
          <w:lang w:eastAsia="en-GB"/>
        </w:rPr>
      </w:pPr>
      <w:hyperlink w:anchor="_Toc72165387" w:history="1">
        <w:r w:rsidR="00151A28" w:rsidRPr="00B930CB">
          <w:rPr>
            <w:rStyle w:val="Hyperlink"/>
            <w:noProof/>
          </w:rPr>
          <w:t>Key challenges for prevention and control of vaccine-preventable diseases through immunisation</w:t>
        </w:r>
        <w:r w:rsidR="00151A28">
          <w:rPr>
            <w:noProof/>
            <w:webHidden/>
          </w:rPr>
          <w:tab/>
        </w:r>
        <w:r w:rsidR="00151A28">
          <w:rPr>
            <w:noProof/>
            <w:webHidden/>
          </w:rPr>
          <w:fldChar w:fldCharType="begin"/>
        </w:r>
        <w:r w:rsidR="00151A28">
          <w:rPr>
            <w:noProof/>
            <w:webHidden/>
          </w:rPr>
          <w:instrText xml:space="preserve"> PAGEREF _Toc72165387 \h </w:instrText>
        </w:r>
        <w:r w:rsidR="00151A28">
          <w:rPr>
            <w:noProof/>
            <w:webHidden/>
          </w:rPr>
        </w:r>
        <w:r w:rsidR="00151A28">
          <w:rPr>
            <w:noProof/>
            <w:webHidden/>
          </w:rPr>
          <w:fldChar w:fldCharType="separate"/>
        </w:r>
        <w:r w:rsidR="00151A28">
          <w:rPr>
            <w:noProof/>
            <w:webHidden/>
          </w:rPr>
          <w:t>8</w:t>
        </w:r>
        <w:r w:rsidR="00151A28">
          <w:rPr>
            <w:noProof/>
            <w:webHidden/>
          </w:rPr>
          <w:fldChar w:fldCharType="end"/>
        </w:r>
      </w:hyperlink>
    </w:p>
    <w:p w14:paraId="49D7CCA1" w14:textId="7DC88DF0" w:rsidR="00151A28" w:rsidRDefault="00AB476D">
      <w:pPr>
        <w:pStyle w:val="TOC2"/>
        <w:rPr>
          <w:rFonts w:asciiTheme="minorHAnsi" w:eastAsiaTheme="minorEastAsia" w:hAnsiTheme="minorHAnsi" w:cstheme="minorBidi"/>
          <w:noProof/>
          <w:color w:val="auto"/>
          <w:sz w:val="24"/>
          <w:szCs w:val="24"/>
          <w:lang w:eastAsia="en-GB"/>
        </w:rPr>
      </w:pPr>
      <w:hyperlink w:anchor="_Toc72165388" w:history="1">
        <w:r w:rsidR="00151A28" w:rsidRPr="00B930CB">
          <w:rPr>
            <w:rStyle w:val="Hyperlink"/>
            <w:noProof/>
          </w:rPr>
          <w:t>ATAGI’s priority actions for 2021</w:t>
        </w:r>
        <w:r w:rsidR="00151A28">
          <w:rPr>
            <w:noProof/>
            <w:webHidden/>
          </w:rPr>
          <w:tab/>
        </w:r>
        <w:r w:rsidR="00151A28">
          <w:rPr>
            <w:noProof/>
            <w:webHidden/>
          </w:rPr>
          <w:fldChar w:fldCharType="begin"/>
        </w:r>
        <w:r w:rsidR="00151A28">
          <w:rPr>
            <w:noProof/>
            <w:webHidden/>
          </w:rPr>
          <w:instrText xml:space="preserve"> PAGEREF _Toc72165388 \h </w:instrText>
        </w:r>
        <w:r w:rsidR="00151A28">
          <w:rPr>
            <w:noProof/>
            <w:webHidden/>
          </w:rPr>
        </w:r>
        <w:r w:rsidR="00151A28">
          <w:rPr>
            <w:noProof/>
            <w:webHidden/>
          </w:rPr>
          <w:fldChar w:fldCharType="separate"/>
        </w:r>
        <w:r w:rsidR="00151A28">
          <w:rPr>
            <w:noProof/>
            <w:webHidden/>
          </w:rPr>
          <w:t>8</w:t>
        </w:r>
        <w:r w:rsidR="00151A28">
          <w:rPr>
            <w:noProof/>
            <w:webHidden/>
          </w:rPr>
          <w:fldChar w:fldCharType="end"/>
        </w:r>
      </w:hyperlink>
    </w:p>
    <w:p w14:paraId="4885DF08" w14:textId="76D2283B" w:rsidR="00926040" w:rsidRPr="00926040" w:rsidRDefault="00862550">
      <w:pPr>
        <w:spacing w:after="0"/>
      </w:pPr>
      <w:r>
        <w:rPr>
          <w:b/>
          <w:bCs/>
          <w:noProof/>
        </w:rPr>
        <w:fldChar w:fldCharType="end"/>
      </w:r>
      <w:r w:rsidR="00926040" w:rsidRPr="00926040">
        <w:br w:type="page"/>
      </w:r>
    </w:p>
    <w:p w14:paraId="3706456F" w14:textId="77777777" w:rsidR="004D5E2A" w:rsidRPr="00926040" w:rsidRDefault="004D5E2A" w:rsidP="004D5E2A">
      <w:pPr>
        <w:pStyle w:val="Heading1"/>
      </w:pPr>
      <w:bookmarkStart w:id="1" w:name="_Toc72165377"/>
      <w:r>
        <w:lastRenderedPageBreak/>
        <w:t>About ATAGI</w:t>
      </w:r>
      <w:bookmarkEnd w:id="1"/>
    </w:p>
    <w:p w14:paraId="06A27C62" w14:textId="25B3C7D7" w:rsidR="004D5E2A" w:rsidRDefault="004D5E2A" w:rsidP="004D5E2A">
      <w:r>
        <w:t xml:space="preserve">The </w:t>
      </w:r>
      <w:hyperlink r:id="rId8" w:history="1">
        <w:r w:rsidRPr="00B06FDF">
          <w:rPr>
            <w:rStyle w:val="Hyperlink"/>
          </w:rPr>
          <w:t>Australian Technical Advisory Group on Immunisation (ATAGI)</w:t>
        </w:r>
      </w:hyperlink>
      <w:r>
        <w:t xml:space="preserve"> </w:t>
      </w:r>
      <w:r w:rsidRPr="00B06FDF">
        <w:t>advises the Minister for Health on the National Immunisation Program and other immunisation issues</w:t>
      </w:r>
      <w:r>
        <w:t xml:space="preserve">. </w:t>
      </w:r>
    </w:p>
    <w:p w14:paraId="228A72E7" w14:textId="77777777" w:rsidR="004D5E2A" w:rsidRDefault="004D5E2A" w:rsidP="004D5E2A">
      <w:r>
        <w:t xml:space="preserve">ATAGI’s </w:t>
      </w:r>
      <w:r w:rsidRPr="00926040">
        <w:t xml:space="preserve">vision </w:t>
      </w:r>
      <w:r>
        <w:t xml:space="preserve">is </w:t>
      </w:r>
      <w:r w:rsidRPr="00926040">
        <w:t xml:space="preserve">to protect the Australian population from </w:t>
      </w:r>
      <w:r>
        <w:t>vaccine-preventable diseases (VPDs)</w:t>
      </w:r>
      <w:r w:rsidRPr="00926040">
        <w:t>.</w:t>
      </w:r>
      <w:r>
        <w:t xml:space="preserve"> This is shown in </w:t>
      </w:r>
      <w:hyperlink r:id="rId9" w:history="1">
        <w:r w:rsidRPr="00B06FDF">
          <w:rPr>
            <w:rStyle w:val="Hyperlink"/>
          </w:rPr>
          <w:t>ATAGI’s strategic intent</w:t>
        </w:r>
      </w:hyperlink>
      <w:r>
        <w:t>.</w:t>
      </w:r>
    </w:p>
    <w:p w14:paraId="3466BD58" w14:textId="1D1D8733" w:rsidR="004D5E2A" w:rsidRDefault="004D5E2A" w:rsidP="004D5E2A">
      <w:pPr>
        <w:pStyle w:val="NormalBeforeBullet"/>
      </w:pPr>
      <w:r>
        <w:t>ATAGI’s purpose is to provide evidence-based</w:t>
      </w:r>
      <w:r w:rsidRPr="00926040">
        <w:t xml:space="preserve"> advice </w:t>
      </w:r>
      <w:r>
        <w:t>to the Minister for Health and other key policymakers</w:t>
      </w:r>
      <w:r w:rsidRPr="00926040">
        <w:t xml:space="preserve"> on</w:t>
      </w:r>
      <w:r>
        <w:t>:</w:t>
      </w:r>
      <w:r w:rsidRPr="00926040">
        <w:t xml:space="preserve"> </w:t>
      </w:r>
    </w:p>
    <w:p w14:paraId="647AA000" w14:textId="77777777" w:rsidR="004D5E2A" w:rsidRDefault="004D5E2A" w:rsidP="004D5E2A">
      <w:pPr>
        <w:pStyle w:val="Bullet"/>
      </w:pPr>
      <w:r w:rsidRPr="00926040">
        <w:t>immunisation policies</w:t>
      </w:r>
    </w:p>
    <w:p w14:paraId="4F590155" w14:textId="77777777" w:rsidR="004D5E2A" w:rsidRDefault="004D5E2A" w:rsidP="004D5E2A">
      <w:pPr>
        <w:pStyle w:val="Bullet"/>
      </w:pPr>
      <w:r>
        <w:t xml:space="preserve">immunisation </w:t>
      </w:r>
      <w:r w:rsidRPr="00926040">
        <w:t xml:space="preserve">programs </w:t>
      </w:r>
    </w:p>
    <w:p w14:paraId="2494F1D9" w14:textId="77777777" w:rsidR="004D5E2A" w:rsidRDefault="004D5E2A" w:rsidP="004D5E2A">
      <w:pPr>
        <w:pStyle w:val="BulletLast"/>
      </w:pPr>
      <w:r w:rsidRPr="00926040">
        <w:t xml:space="preserve">future research priorities. </w:t>
      </w:r>
    </w:p>
    <w:p w14:paraId="010ECEC1" w14:textId="77777777" w:rsidR="004D5E2A" w:rsidRDefault="004D5E2A" w:rsidP="004D5E2A">
      <w:pPr>
        <w:pStyle w:val="NormalBeforeBullet"/>
      </w:pPr>
      <w:r w:rsidRPr="00926040">
        <w:t>This includes identifying and prioritising gaps in the immunisation landscape to improve</w:t>
      </w:r>
      <w:r>
        <w:t>:</w:t>
      </w:r>
      <w:r w:rsidRPr="00926040">
        <w:t xml:space="preserve"> </w:t>
      </w:r>
    </w:p>
    <w:p w14:paraId="301E6914" w14:textId="77777777" w:rsidR="004D5E2A" w:rsidRDefault="004D5E2A" w:rsidP="004D5E2A">
      <w:pPr>
        <w:pStyle w:val="Bullet"/>
      </w:pPr>
      <w:r>
        <w:t xml:space="preserve">the </w:t>
      </w:r>
      <w:r w:rsidRPr="00926040">
        <w:t>impact</w:t>
      </w:r>
      <w:r>
        <w:t xml:space="preserve"> of immunisation programs</w:t>
      </w:r>
    </w:p>
    <w:p w14:paraId="19B1E921" w14:textId="77777777" w:rsidR="004D5E2A" w:rsidRDefault="004D5E2A" w:rsidP="004D5E2A">
      <w:pPr>
        <w:pStyle w:val="Bullet"/>
      </w:pPr>
      <w:r w:rsidRPr="00926040">
        <w:t xml:space="preserve">confidence </w:t>
      </w:r>
      <w:r>
        <w:t>in immunisation programs, as well as the vaccines used in the programs</w:t>
      </w:r>
    </w:p>
    <w:p w14:paraId="59495331" w14:textId="0D239E22" w:rsidR="004D5E2A" w:rsidRPr="00926040" w:rsidRDefault="004D5E2A" w:rsidP="004D5E2A">
      <w:pPr>
        <w:pStyle w:val="BulletLast"/>
      </w:pPr>
      <w:r w:rsidRPr="00926040">
        <w:t>equity</w:t>
      </w:r>
      <w:r>
        <w:t xml:space="preserve"> in access to</w:t>
      </w:r>
      <w:r w:rsidR="00CC4AB0">
        <w:t>,</w:t>
      </w:r>
      <w:r>
        <w:t xml:space="preserve"> and outcomes of</w:t>
      </w:r>
      <w:r w:rsidR="00CC4AB0">
        <w:t>,</w:t>
      </w:r>
      <w:r>
        <w:t xml:space="preserve"> immunisation programs</w:t>
      </w:r>
      <w:r w:rsidRPr="00926040">
        <w:t>.</w:t>
      </w:r>
    </w:p>
    <w:p w14:paraId="6D0969D5" w14:textId="143CC838" w:rsidR="004D5E2A" w:rsidRDefault="004D5E2A" w:rsidP="004D5E2A">
      <w:r>
        <w:t xml:space="preserve">ATAGI also develops and publishes the </w:t>
      </w:r>
      <w:hyperlink r:id="rId10" w:history="1">
        <w:r w:rsidRPr="00B45C9F">
          <w:rPr>
            <w:rStyle w:val="Hyperlink"/>
          </w:rPr>
          <w:t>Australian Immunisation Handbook</w:t>
        </w:r>
      </w:hyperlink>
      <w:r>
        <w:t>.</w:t>
      </w:r>
    </w:p>
    <w:p w14:paraId="1D2E0F9C" w14:textId="2166CC7A" w:rsidR="004D5E2A" w:rsidRDefault="004D5E2A" w:rsidP="004D5E2A">
      <w:pPr>
        <w:pStyle w:val="BoxText"/>
      </w:pPr>
      <w:r w:rsidRPr="00926040">
        <w:t xml:space="preserve">The ATAGI 2021 Annual Statement on Immunisation is the first publication </w:t>
      </w:r>
      <w:r w:rsidR="00D24DC7">
        <w:t>in</w:t>
      </w:r>
      <w:r w:rsidRPr="00926040">
        <w:t xml:space="preserve"> this series. </w:t>
      </w:r>
      <w:r>
        <w:t>It</w:t>
      </w:r>
      <w:r w:rsidRPr="00926040">
        <w:t xml:space="preserve"> highlight</w:t>
      </w:r>
      <w:r>
        <w:t>s</w:t>
      </w:r>
      <w:r w:rsidRPr="00926040">
        <w:t xml:space="preserve"> the key successes, trends and challenges </w:t>
      </w:r>
      <w:r>
        <w:t>in</w:t>
      </w:r>
      <w:r w:rsidRPr="00926040">
        <w:t xml:space="preserve"> the use of vaccines and control of VPDs in Australia in 2020</w:t>
      </w:r>
      <w:r>
        <w:t>.</w:t>
      </w:r>
      <w:r w:rsidRPr="00926040">
        <w:t xml:space="preserve"> </w:t>
      </w:r>
      <w:r>
        <w:t>It also</w:t>
      </w:r>
      <w:r w:rsidRPr="00926040">
        <w:t xml:space="preserve"> signal</w:t>
      </w:r>
      <w:r>
        <w:t>s</w:t>
      </w:r>
      <w:r w:rsidRPr="00926040">
        <w:t xml:space="preserve"> </w:t>
      </w:r>
      <w:r>
        <w:t>ATAGI’s</w:t>
      </w:r>
      <w:r w:rsidRPr="00926040">
        <w:t xml:space="preserve"> priority actions for addressing key issues for 2021 and beyond. </w:t>
      </w:r>
    </w:p>
    <w:p w14:paraId="771E54A1" w14:textId="77777777" w:rsidR="00D10C9D" w:rsidRPr="00D10C9D" w:rsidRDefault="00D10C9D" w:rsidP="00D10C9D">
      <w:pPr>
        <w:rPr>
          <w:highlight w:val="yellow"/>
        </w:rPr>
      </w:pPr>
    </w:p>
    <w:p w14:paraId="5ABECBEB" w14:textId="5A75DFFA" w:rsidR="00D24DC7" w:rsidRPr="00D10C9D" w:rsidRDefault="00D24DC7" w:rsidP="00D10C9D">
      <w:pPr>
        <w:rPr>
          <w:b/>
          <w:bCs/>
        </w:rPr>
      </w:pPr>
      <w:r w:rsidRPr="00D10C9D">
        <w:rPr>
          <w:b/>
          <w:bCs/>
        </w:rPr>
        <w:t xml:space="preserve">Copyright </w:t>
      </w:r>
    </w:p>
    <w:p w14:paraId="64A1DCA5" w14:textId="77777777" w:rsidR="00D24DC7" w:rsidRPr="00D10C9D" w:rsidRDefault="00D24DC7" w:rsidP="00D10C9D">
      <w:r w:rsidRPr="00D10C9D">
        <w:t xml:space="preserve">© 2020 Commonwealth of Australia as represented by the Department of Health </w:t>
      </w:r>
    </w:p>
    <w:p w14:paraId="309AA3D2" w14:textId="77777777" w:rsidR="00D24DC7" w:rsidRPr="00D10C9D" w:rsidRDefault="00D24DC7" w:rsidP="00D10C9D">
      <w:pPr>
        <w:pStyle w:val="NormalBeforeBullet"/>
      </w:pPr>
      <w:r w:rsidRPr="00D10C9D">
        <w:t xml:space="preserve">This work is copyright. You may copy, print, download, display and reproduce the whole or part of this work in unaltered form for your own personal use or, if you are part of an organisation, for internal use within your organisation, but only if you or your organisation: </w:t>
      </w:r>
    </w:p>
    <w:p w14:paraId="378B8F20" w14:textId="598EE862" w:rsidR="00D24DC7" w:rsidRPr="00D10C9D" w:rsidRDefault="00D24DC7" w:rsidP="00D10C9D">
      <w:pPr>
        <w:pStyle w:val="Bullet"/>
      </w:pPr>
      <w:r w:rsidRPr="00D10C9D">
        <w:t xml:space="preserve">do not use the copy or reproduction for any commercial purpose; and </w:t>
      </w:r>
    </w:p>
    <w:p w14:paraId="7FFE7E4F" w14:textId="285CF2A3" w:rsidR="00D24DC7" w:rsidRPr="00D10C9D" w:rsidRDefault="00D24DC7" w:rsidP="00D10C9D">
      <w:pPr>
        <w:pStyle w:val="BulletLast"/>
      </w:pPr>
      <w:r w:rsidRPr="00D10C9D">
        <w:t xml:space="preserve">retain this copyright notice and all disclaimer notices as part of that copy or reproduction. </w:t>
      </w:r>
    </w:p>
    <w:p w14:paraId="0914C18B" w14:textId="1D24BE19" w:rsidR="00D24DC7" w:rsidRPr="00D10C9D" w:rsidRDefault="00D24DC7" w:rsidP="00D10C9D">
      <w:r w:rsidRPr="00D10C9D">
        <w:t xml:space="preserve">Apart from rights as permitted by the </w:t>
      </w:r>
      <w:r w:rsidRPr="00D10C9D">
        <w:rPr>
          <w:i/>
          <w:iCs/>
        </w:rPr>
        <w:t>Copyright Act 1968</w:t>
      </w:r>
      <w:r w:rsidRPr="00D10C9D">
        <w:t xml:space="preserve"> (Cwlth) or allowed by this copyright notice, all other rights are reserved, including (but not limited to advise please]) all commercial rights. </w:t>
      </w:r>
    </w:p>
    <w:p w14:paraId="0B1997A3" w14:textId="7C51B707" w:rsidR="004D5E2A" w:rsidRPr="00D10C9D" w:rsidRDefault="00D24DC7" w:rsidP="00D10C9D">
      <w:r w:rsidRPr="00D10C9D">
        <w:t xml:space="preserve">Requests and inquiries concerning reproduction and other rights to use are to be sent to the Communication Branch, Department of Health, GPO Box 9848, Canberra ACT 2601, or via e-mail to copyright@health.gov.au. </w:t>
      </w:r>
      <w:r w:rsidR="004D5E2A" w:rsidRPr="00D10C9D">
        <w:br w:type="page"/>
      </w:r>
    </w:p>
    <w:p w14:paraId="2C57E93C" w14:textId="220C9636" w:rsidR="00926040" w:rsidRPr="00926040" w:rsidRDefault="00926040" w:rsidP="00926040">
      <w:pPr>
        <w:pStyle w:val="Heading1"/>
      </w:pPr>
      <w:bookmarkStart w:id="2" w:name="_Toc72165378"/>
      <w:r w:rsidRPr="001453C5">
        <w:lastRenderedPageBreak/>
        <w:t>Summary</w:t>
      </w:r>
      <w:bookmarkEnd w:id="2"/>
    </w:p>
    <w:p w14:paraId="1CB2BF7B" w14:textId="1209CBA6" w:rsidR="009250DA" w:rsidRDefault="009250DA" w:rsidP="00926040">
      <w:r>
        <w:t>In 2020, many immunisation issues were shaped by t</w:t>
      </w:r>
      <w:r w:rsidR="00862550">
        <w:t>he COVID-19 pandemic</w:t>
      </w:r>
      <w:r>
        <w:t>. COVID</w:t>
      </w:r>
      <w:r w:rsidR="00CC4AB0">
        <w:noBreakHyphen/>
      </w:r>
      <w:r>
        <w:t xml:space="preserve">19 control measures contributed to lower rates of many </w:t>
      </w:r>
      <w:r w:rsidR="00D75F03">
        <w:t>vaccine-preventable diseases (</w:t>
      </w:r>
      <w:r>
        <w:t>VPDs</w:t>
      </w:r>
      <w:r w:rsidR="00D75F03">
        <w:t>)</w:t>
      </w:r>
      <w:r>
        <w:t xml:space="preserve"> in Australia</w:t>
      </w:r>
      <w:r w:rsidR="00244E9B">
        <w:t>.</w:t>
      </w:r>
      <w:r>
        <w:t xml:space="preserve"> </w:t>
      </w:r>
      <w:r w:rsidR="00244E9B">
        <w:t>P</w:t>
      </w:r>
      <w:r>
        <w:t xml:space="preserve">reparation </w:t>
      </w:r>
      <w:r w:rsidR="00244E9B">
        <w:t xml:space="preserve">also </w:t>
      </w:r>
      <w:r>
        <w:t>began for Australia’s COVID</w:t>
      </w:r>
      <w:r w:rsidR="00CC4AB0">
        <w:noBreakHyphen/>
      </w:r>
      <w:r>
        <w:t xml:space="preserve">19 </w:t>
      </w:r>
      <w:r w:rsidR="005B7013">
        <w:t>immunisation</w:t>
      </w:r>
      <w:r>
        <w:t xml:space="preserve"> program, </w:t>
      </w:r>
      <w:r w:rsidR="000A17E7">
        <w:t>which will</w:t>
      </w:r>
      <w:r>
        <w:t xml:space="preserve"> </w:t>
      </w:r>
      <w:r w:rsidR="000A17E7">
        <w:t>start</w:t>
      </w:r>
      <w:r>
        <w:t xml:space="preserve"> in 2021.</w:t>
      </w:r>
    </w:p>
    <w:p w14:paraId="1CD66D4F" w14:textId="65E776F6" w:rsidR="00D405A8" w:rsidRPr="00D405A8" w:rsidRDefault="00D405A8" w:rsidP="00D405A8">
      <w:pPr>
        <w:pStyle w:val="Heading2"/>
      </w:pPr>
      <w:bookmarkStart w:id="3" w:name="_Toc72165379"/>
      <w:r>
        <w:t>Key successes in immunisation in 2020</w:t>
      </w:r>
      <w:bookmarkEnd w:id="3"/>
    </w:p>
    <w:p w14:paraId="457E13D6" w14:textId="5DDEAE11" w:rsidR="00862550" w:rsidRDefault="00CC4AB0" w:rsidP="00D24DC7">
      <w:pPr>
        <w:pStyle w:val="Bullet"/>
      </w:pPr>
      <w:r>
        <w:t>The r</w:t>
      </w:r>
      <w:r w:rsidR="009250DA" w:rsidRPr="00926040">
        <w:t xml:space="preserve">ates of </w:t>
      </w:r>
      <w:r w:rsidR="000A17E7">
        <w:t xml:space="preserve">many </w:t>
      </w:r>
      <w:r w:rsidR="009250DA" w:rsidRPr="00926040">
        <w:t xml:space="preserve">VPDs </w:t>
      </w:r>
      <w:r w:rsidR="000A17E7">
        <w:t>were much lower than usual.</w:t>
      </w:r>
      <w:r w:rsidR="000A17E7" w:rsidRPr="00926040">
        <w:t xml:space="preserve"> </w:t>
      </w:r>
      <w:r w:rsidR="000A17E7">
        <w:t>This included</w:t>
      </w:r>
      <w:r w:rsidR="009250DA" w:rsidRPr="00926040">
        <w:t xml:space="preserve"> </w:t>
      </w:r>
      <w:r w:rsidR="009553A6">
        <w:t xml:space="preserve">influenza, </w:t>
      </w:r>
      <w:r w:rsidR="009250DA" w:rsidRPr="00926040">
        <w:t>measles, meningococcal disease, pneumococcal disease and pertussis</w:t>
      </w:r>
      <w:r w:rsidR="009250DA">
        <w:t>.</w:t>
      </w:r>
      <w:r w:rsidR="00D24DC7">
        <w:t xml:space="preserve"> </w:t>
      </w:r>
      <w:r w:rsidR="00D24DC7" w:rsidRPr="00D24DC7">
        <w:t>Control measures for COVID-19 (such as border closures, physical distancing and hand hygiene) have likely contributed to this</w:t>
      </w:r>
      <w:r w:rsidR="00D24DC7">
        <w:t>.</w:t>
      </w:r>
    </w:p>
    <w:p w14:paraId="643D08C4" w14:textId="5C12176F" w:rsidR="009250DA" w:rsidRDefault="009250DA" w:rsidP="009553A6">
      <w:pPr>
        <w:pStyle w:val="Bullet"/>
      </w:pPr>
      <w:r>
        <w:t xml:space="preserve">A record high number of Australians </w:t>
      </w:r>
      <w:r w:rsidR="000A17E7">
        <w:t>had a</w:t>
      </w:r>
      <w:r>
        <w:t xml:space="preserve"> seasonal influenza</w:t>
      </w:r>
      <w:r w:rsidR="000A17E7">
        <w:t xml:space="preserve"> vaccine</w:t>
      </w:r>
      <w:r>
        <w:t>.</w:t>
      </w:r>
    </w:p>
    <w:p w14:paraId="31849293" w14:textId="7C1F37A0" w:rsidR="009250DA" w:rsidRDefault="009250DA" w:rsidP="009553A6">
      <w:pPr>
        <w:pStyle w:val="Bullet"/>
      </w:pPr>
      <w:r>
        <w:t xml:space="preserve">Australia’s </w:t>
      </w:r>
      <w:r w:rsidR="004F6046">
        <w:t>National Immunisation Program (</w:t>
      </w:r>
      <w:r>
        <w:t>NIP</w:t>
      </w:r>
      <w:r w:rsidR="004F6046">
        <w:t>)</w:t>
      </w:r>
      <w:r>
        <w:t xml:space="preserve"> was expanded to include more vaccines and doses </w:t>
      </w:r>
      <w:r w:rsidR="009553A6">
        <w:t>for people at higher risk of disease.</w:t>
      </w:r>
    </w:p>
    <w:p w14:paraId="65E4683C" w14:textId="0D288890" w:rsidR="009553A6" w:rsidRDefault="009553A6" w:rsidP="009553A6">
      <w:pPr>
        <w:pStyle w:val="Bullet"/>
      </w:pPr>
      <w:r>
        <w:t xml:space="preserve">Australians </w:t>
      </w:r>
      <w:r w:rsidR="000A17E7">
        <w:t>kept having</w:t>
      </w:r>
      <w:r>
        <w:t xml:space="preserve"> their routine immunisations</w:t>
      </w:r>
      <w:r w:rsidR="000A17E7">
        <w:t>.</w:t>
      </w:r>
      <w:r>
        <w:t xml:space="preserve"> </w:t>
      </w:r>
      <w:r w:rsidR="000A17E7">
        <w:t>I</w:t>
      </w:r>
      <w:r>
        <w:t>mmunisation coverage</w:t>
      </w:r>
      <w:r w:rsidR="000A17E7">
        <w:t xml:space="preserve"> was high</w:t>
      </w:r>
      <w:r>
        <w:t xml:space="preserve"> even during </w:t>
      </w:r>
      <w:r w:rsidR="008F12C1">
        <w:t>COVID</w:t>
      </w:r>
      <w:r w:rsidR="008F12C1">
        <w:noBreakHyphen/>
        <w:t>19</w:t>
      </w:r>
      <w:r>
        <w:t xml:space="preserve"> restrictions.</w:t>
      </w:r>
    </w:p>
    <w:p w14:paraId="4CB1D103" w14:textId="63933C88" w:rsidR="009553A6" w:rsidRDefault="009553A6" w:rsidP="009553A6">
      <w:pPr>
        <w:pStyle w:val="BulletLast"/>
      </w:pPr>
      <w:r>
        <w:t>The Australian Immunisation Handbook</w:t>
      </w:r>
      <w:r w:rsidR="00D24DC7">
        <w:t xml:space="preserve"> (the Handbook)</w:t>
      </w:r>
      <w:r>
        <w:t xml:space="preserve"> had several updates to recommendations</w:t>
      </w:r>
      <w:r w:rsidR="000A17E7">
        <w:t>.</w:t>
      </w:r>
      <w:r>
        <w:t xml:space="preserve"> </w:t>
      </w:r>
      <w:r w:rsidR="00571F40">
        <w:t xml:space="preserve">This included important updates to the chapters on pneumococcal disease and zoster (shingles). </w:t>
      </w:r>
      <w:r w:rsidR="000A17E7">
        <w:t>The</w:t>
      </w:r>
      <w:r>
        <w:t xml:space="preserve"> </w:t>
      </w:r>
      <w:r w:rsidR="004F6046">
        <w:t xml:space="preserve">new </w:t>
      </w:r>
      <w:r>
        <w:t>catch-up calculator and Handbook app</w:t>
      </w:r>
      <w:r w:rsidR="000A17E7">
        <w:t xml:space="preserve"> also improved functionality</w:t>
      </w:r>
      <w:r>
        <w:t>.</w:t>
      </w:r>
    </w:p>
    <w:p w14:paraId="2C359557" w14:textId="7BCB9919" w:rsidR="00D405A8" w:rsidRPr="00D405A8" w:rsidRDefault="00D405A8" w:rsidP="00D405A8">
      <w:pPr>
        <w:pStyle w:val="Heading2"/>
      </w:pPr>
      <w:bookmarkStart w:id="4" w:name="_Toc72165380"/>
      <w:r>
        <w:t>Key challenges and priorities for immunisation in Australia in 2021 and beyond</w:t>
      </w:r>
      <w:bookmarkEnd w:id="4"/>
    </w:p>
    <w:p w14:paraId="1AA9D656" w14:textId="22862658" w:rsidR="009553A6" w:rsidRDefault="00F010CB" w:rsidP="009553A6">
      <w:pPr>
        <w:pStyle w:val="Bullet"/>
      </w:pPr>
      <w:r>
        <w:t>I</w:t>
      </w:r>
      <w:r w:rsidR="00A7729C">
        <w:t xml:space="preserve">mplementing </w:t>
      </w:r>
      <w:r w:rsidR="009553A6" w:rsidRPr="00926040">
        <w:t xml:space="preserve">a national </w:t>
      </w:r>
      <w:r w:rsidR="008F12C1">
        <w:t>COVID</w:t>
      </w:r>
      <w:r w:rsidR="008F12C1">
        <w:noBreakHyphen/>
        <w:t>19</w:t>
      </w:r>
      <w:r w:rsidR="009553A6" w:rsidRPr="00926040">
        <w:t xml:space="preserve"> </w:t>
      </w:r>
      <w:r w:rsidR="005B7013">
        <w:t>immunisation</w:t>
      </w:r>
      <w:r w:rsidR="009553A6" w:rsidRPr="00926040">
        <w:t xml:space="preserve"> program, monitoring safety and effectiveness of </w:t>
      </w:r>
      <w:r w:rsidR="008F12C1">
        <w:t>COVID</w:t>
      </w:r>
      <w:r w:rsidR="008F12C1">
        <w:noBreakHyphen/>
        <w:t>19</w:t>
      </w:r>
      <w:r w:rsidR="000A17E7">
        <w:t xml:space="preserve"> vaccines</w:t>
      </w:r>
      <w:r w:rsidR="009553A6">
        <w:t>, and</w:t>
      </w:r>
      <w:r w:rsidR="009553A6" w:rsidRPr="00926040">
        <w:t xml:space="preserve"> </w:t>
      </w:r>
      <w:r w:rsidR="000A17E7">
        <w:t xml:space="preserve">evaluating the </w:t>
      </w:r>
      <w:r w:rsidR="008F12C1">
        <w:t>COVID</w:t>
      </w:r>
      <w:r w:rsidR="008F12C1">
        <w:noBreakHyphen/>
        <w:t>19</w:t>
      </w:r>
      <w:r w:rsidR="002346AD" w:rsidRPr="00926040">
        <w:t xml:space="preserve"> </w:t>
      </w:r>
      <w:r w:rsidR="002346AD">
        <w:t>immunisation</w:t>
      </w:r>
      <w:r w:rsidR="002346AD" w:rsidRPr="00926040">
        <w:t xml:space="preserve"> </w:t>
      </w:r>
      <w:r w:rsidR="009553A6">
        <w:t>program</w:t>
      </w:r>
      <w:r w:rsidR="00D24DC7">
        <w:t>.</w:t>
      </w:r>
    </w:p>
    <w:p w14:paraId="735709D7" w14:textId="0F79B7E4" w:rsidR="00A7729C" w:rsidRDefault="00A6439A" w:rsidP="009553A6">
      <w:pPr>
        <w:pStyle w:val="Bullet"/>
      </w:pPr>
      <w:r>
        <w:t>M</w:t>
      </w:r>
      <w:r w:rsidR="00A7729C">
        <w:t xml:space="preserve">aintaining community confidence in the NIP and the national </w:t>
      </w:r>
      <w:r w:rsidR="008F12C1">
        <w:t>COVID</w:t>
      </w:r>
      <w:r w:rsidR="008F12C1">
        <w:noBreakHyphen/>
        <w:t>19</w:t>
      </w:r>
      <w:r w:rsidR="00A7729C">
        <w:t xml:space="preserve"> </w:t>
      </w:r>
      <w:r w:rsidR="005B7013">
        <w:t>immunisation</w:t>
      </w:r>
      <w:r w:rsidR="00A7729C">
        <w:t xml:space="preserve"> program</w:t>
      </w:r>
      <w:r w:rsidR="00D24DC7">
        <w:t>.</w:t>
      </w:r>
    </w:p>
    <w:p w14:paraId="440E9AF7" w14:textId="4B9068F7" w:rsidR="00A7729C" w:rsidRDefault="00A6439A" w:rsidP="009553A6">
      <w:pPr>
        <w:pStyle w:val="Bullet"/>
      </w:pPr>
      <w:r>
        <w:t>M</w:t>
      </w:r>
      <w:r w:rsidR="00A7729C">
        <w:t xml:space="preserve">aintaining routine vaccination under the NIP to protect against VPDs, </w:t>
      </w:r>
      <w:r w:rsidR="00C15C36">
        <w:t xml:space="preserve">especially </w:t>
      </w:r>
      <w:r w:rsidR="00007BDA">
        <w:t xml:space="preserve">if Australia </w:t>
      </w:r>
      <w:r w:rsidR="007B39D6">
        <w:t>has</w:t>
      </w:r>
      <w:r w:rsidR="00007BDA">
        <w:t xml:space="preserve"> </w:t>
      </w:r>
      <w:r w:rsidR="007B39D6">
        <w:t>more</w:t>
      </w:r>
      <w:r w:rsidR="00007BDA">
        <w:t xml:space="preserve"> outbreaks of </w:t>
      </w:r>
      <w:r w:rsidR="008F12C1">
        <w:t>COVID</w:t>
      </w:r>
      <w:r w:rsidR="008F12C1">
        <w:noBreakHyphen/>
        <w:t>19</w:t>
      </w:r>
      <w:r w:rsidR="0005016F">
        <w:t xml:space="preserve"> </w:t>
      </w:r>
      <w:r w:rsidR="00007BDA">
        <w:t xml:space="preserve">that disrupt </w:t>
      </w:r>
      <w:r w:rsidR="007B39D6">
        <w:t>the way society</w:t>
      </w:r>
      <w:r w:rsidR="00007BDA">
        <w:t xml:space="preserve"> function</w:t>
      </w:r>
      <w:r w:rsidR="007B39D6">
        <w:t>s</w:t>
      </w:r>
      <w:r w:rsidR="00D24DC7">
        <w:t>.</w:t>
      </w:r>
    </w:p>
    <w:p w14:paraId="5B288504" w14:textId="7E179BFA" w:rsidR="00007BDA" w:rsidRDefault="00007BDA" w:rsidP="00007BDA">
      <w:pPr>
        <w:pStyle w:val="Bullet"/>
      </w:pPr>
      <w:r>
        <w:t>Maintaining successful control or elimination of some VPDs, especially if international travel restrictions are lifted</w:t>
      </w:r>
      <w:r w:rsidR="00D24DC7">
        <w:t>.</w:t>
      </w:r>
    </w:p>
    <w:p w14:paraId="3F4263C1" w14:textId="6AC7B443" w:rsidR="00A7729C" w:rsidRDefault="00A6439A" w:rsidP="009553A6">
      <w:pPr>
        <w:pStyle w:val="Bullet"/>
      </w:pPr>
      <w:r>
        <w:t>E</w:t>
      </w:r>
      <w:r w:rsidR="00A7729C">
        <w:t xml:space="preserve">nsuring vaccine safety, particularly </w:t>
      </w:r>
      <w:r w:rsidR="00CE14FD">
        <w:t>for</w:t>
      </w:r>
      <w:r w:rsidR="00A7729C">
        <w:t xml:space="preserve"> live vaccines such as Zostavax</w:t>
      </w:r>
      <w:r w:rsidR="00E226C7">
        <w:t xml:space="preserve"> (shingles vaccine)</w:t>
      </w:r>
      <w:r w:rsidR="00D24DC7">
        <w:t>.</w:t>
      </w:r>
    </w:p>
    <w:p w14:paraId="76D0F1AD" w14:textId="0A5B64A8" w:rsidR="00A7729C" w:rsidRDefault="00A6439A" w:rsidP="0005016F">
      <w:pPr>
        <w:pStyle w:val="Bullet"/>
      </w:pPr>
      <w:r>
        <w:t>E</w:t>
      </w:r>
      <w:r w:rsidR="00A7729C">
        <w:t>nsuring equitable access to NIP-funded vaccines for people at risk of disease</w:t>
      </w:r>
      <w:r w:rsidR="00D24DC7">
        <w:t>.</w:t>
      </w:r>
    </w:p>
    <w:p w14:paraId="4BAB2979" w14:textId="6F312D50" w:rsidR="002346AD" w:rsidRDefault="002346AD" w:rsidP="00A6439A">
      <w:pPr>
        <w:pStyle w:val="BulletLast"/>
      </w:pPr>
      <w:r>
        <w:t>Closing the gap in the incidence of VPDs in Aboriginal and Torres Strait Islander populations</w:t>
      </w:r>
      <w:r w:rsidR="00D24DC7">
        <w:t>.</w:t>
      </w:r>
    </w:p>
    <w:p w14:paraId="718FC0E4" w14:textId="77777777" w:rsidR="006F0A75" w:rsidRDefault="006F0A75">
      <w:pPr>
        <w:spacing w:after="0"/>
        <w:rPr>
          <w:rFonts w:cs="Arial"/>
          <w:b/>
          <w:bCs/>
          <w:kern w:val="32"/>
          <w:sz w:val="40"/>
          <w:szCs w:val="32"/>
        </w:rPr>
      </w:pPr>
      <w:r>
        <w:br w:type="page"/>
      </w:r>
    </w:p>
    <w:p w14:paraId="4866AF03" w14:textId="3A7530ED" w:rsidR="00862550" w:rsidRDefault="00862550" w:rsidP="00862550">
      <w:pPr>
        <w:pStyle w:val="Heading1"/>
      </w:pPr>
      <w:bookmarkStart w:id="5" w:name="_Toc72165381"/>
      <w:r>
        <w:lastRenderedPageBreak/>
        <w:t xml:space="preserve">Immunisation issues in </w:t>
      </w:r>
      <w:r w:rsidR="007A3DD3">
        <w:t xml:space="preserve">Australia in </w:t>
      </w:r>
      <w:r>
        <w:t>2020</w:t>
      </w:r>
      <w:bookmarkEnd w:id="5"/>
    </w:p>
    <w:p w14:paraId="3CE2B4E9" w14:textId="4CA43D50" w:rsidR="00D405A8" w:rsidRPr="00D405A8" w:rsidRDefault="00D405A8" w:rsidP="00D405A8">
      <w:pPr>
        <w:pStyle w:val="Heading2"/>
      </w:pPr>
      <w:bookmarkStart w:id="6" w:name="_Toc72165382"/>
      <w:r w:rsidRPr="001453C5">
        <w:t xml:space="preserve">Prevention and control of </w:t>
      </w:r>
      <w:r>
        <w:t>vaccine-preventable disease</w:t>
      </w:r>
      <w:r w:rsidRPr="001453C5">
        <w:t>s</w:t>
      </w:r>
      <w:bookmarkEnd w:id="6"/>
    </w:p>
    <w:p w14:paraId="7DB3A926" w14:textId="7D4FA4A5" w:rsidR="00926040" w:rsidRDefault="009E6D29" w:rsidP="00926040">
      <w:r>
        <w:t>Rates</w:t>
      </w:r>
      <w:r w:rsidR="00653EFD">
        <w:t xml:space="preserve"> of many VPDs </w:t>
      </w:r>
      <w:r>
        <w:t>were</w:t>
      </w:r>
      <w:r w:rsidR="00653EFD">
        <w:t xml:space="preserve"> lower in 2020, especially those </w:t>
      </w:r>
      <w:r w:rsidR="009F67E4">
        <w:t>that spread</w:t>
      </w:r>
      <w:r w:rsidR="00653EFD">
        <w:t xml:space="preserve"> by the respiratory route. </w:t>
      </w:r>
      <w:r w:rsidR="00FA3570">
        <w:t>C</w:t>
      </w:r>
      <w:r w:rsidR="00653EFD">
        <w:t xml:space="preserve">ontrol measures for </w:t>
      </w:r>
      <w:r w:rsidR="008F12C1">
        <w:t>COVID</w:t>
      </w:r>
      <w:r w:rsidR="008F12C1">
        <w:noBreakHyphen/>
        <w:t>19</w:t>
      </w:r>
      <w:r w:rsidR="00653EFD">
        <w:t xml:space="preserve"> </w:t>
      </w:r>
      <w:r w:rsidR="00FA3570">
        <w:t>(</w:t>
      </w:r>
      <w:r w:rsidR="00653EFD">
        <w:t>such as border closures, physical distancing and hand hygiene</w:t>
      </w:r>
      <w:r w:rsidR="00FA3570">
        <w:t xml:space="preserve">) have likely contributed to </w:t>
      </w:r>
      <w:r>
        <w:t>this</w:t>
      </w:r>
      <w:r w:rsidR="00653EFD">
        <w:t>.</w:t>
      </w:r>
      <w:r w:rsidR="0005016F">
        <w:t xml:space="preserve"> Disruption to usual health care systems </w:t>
      </w:r>
      <w:r w:rsidR="007B39D6">
        <w:t>and</w:t>
      </w:r>
      <w:r w:rsidR="0075181B">
        <w:t xml:space="preserve"> practices </w:t>
      </w:r>
      <w:r w:rsidR="0005016F">
        <w:t xml:space="preserve">may have also contributed to </w:t>
      </w:r>
      <w:r w:rsidR="007E7937">
        <w:t>lower</w:t>
      </w:r>
      <w:r w:rsidR="0005016F">
        <w:t xml:space="preserve"> VPD notifications.</w:t>
      </w:r>
    </w:p>
    <w:p w14:paraId="2DFDAA1A" w14:textId="53D10B97" w:rsidR="00653EFD" w:rsidRDefault="00653EFD" w:rsidP="00862550">
      <w:pPr>
        <w:pStyle w:val="Heading3"/>
      </w:pPr>
      <w:r>
        <w:t>Influenza</w:t>
      </w:r>
    </w:p>
    <w:p w14:paraId="37040D5A" w14:textId="32CFE4E7" w:rsidR="00D405A8" w:rsidRDefault="00D405A8" w:rsidP="00D405A8">
      <w:pPr>
        <w:pStyle w:val="Bullet"/>
      </w:pPr>
      <w:r>
        <w:t>Much lower disease rates throughout 2020 compared with previous years</w:t>
      </w:r>
      <w:r w:rsidR="00D24DC7">
        <w:t>.</w:t>
      </w:r>
    </w:p>
    <w:p w14:paraId="3181130F" w14:textId="6C8D4CA7" w:rsidR="00D405A8" w:rsidRDefault="00D405A8" w:rsidP="00D405A8">
      <w:pPr>
        <w:pStyle w:val="Bullet"/>
      </w:pPr>
      <w:r>
        <w:t>Much lower rate of influenza-associated hospitalisations compared with the previous 5 years</w:t>
      </w:r>
      <w:r w:rsidR="00D24DC7">
        <w:t>.</w:t>
      </w:r>
    </w:p>
    <w:p w14:paraId="3FC4E65D" w14:textId="03C2A19A" w:rsidR="00D405A8" w:rsidRDefault="00D405A8" w:rsidP="00D405A8">
      <w:pPr>
        <w:pStyle w:val="Bullet"/>
      </w:pPr>
      <w:r>
        <w:t>No notable increase in cases during the usual peak winter season</w:t>
      </w:r>
      <w:r w:rsidR="00D24DC7">
        <w:t>.</w:t>
      </w:r>
    </w:p>
    <w:p w14:paraId="7FC6554C" w14:textId="5CBE3908" w:rsidR="00D405A8" w:rsidRDefault="00D405A8" w:rsidP="00D405A8">
      <w:pPr>
        <w:pStyle w:val="Bullet"/>
      </w:pPr>
      <w:r>
        <w:t>Influenza was uncommon in 2020. This made it difficult to assess the effectiveness of influenza vaccines</w:t>
      </w:r>
      <w:r w:rsidR="00D24DC7">
        <w:t>.</w:t>
      </w:r>
    </w:p>
    <w:p w14:paraId="50A67239" w14:textId="089EC891" w:rsidR="00D405A8" w:rsidRPr="00D405A8" w:rsidRDefault="00D405A8" w:rsidP="00D405A8">
      <w:pPr>
        <w:pStyle w:val="BulletLast"/>
      </w:pPr>
      <w:r>
        <w:t xml:space="preserve">More details are in the </w:t>
      </w:r>
      <w:hyperlink r:id="rId11" w:history="1">
        <w:r w:rsidRPr="00E726C9">
          <w:rPr>
            <w:rStyle w:val="Hyperlink"/>
          </w:rPr>
          <w:t>national 2020 influenza season summary</w:t>
        </w:r>
      </w:hyperlink>
      <w:r>
        <w:t xml:space="preserve"> and a study on the </w:t>
      </w:r>
      <w:hyperlink r:id="rId12" w:history="1">
        <w:r w:rsidRPr="00E726C9">
          <w:rPr>
            <w:rStyle w:val="Hyperlink"/>
          </w:rPr>
          <w:t xml:space="preserve">impact of </w:t>
        </w:r>
        <w:r>
          <w:rPr>
            <w:rStyle w:val="Hyperlink"/>
          </w:rPr>
          <w:t>COVID</w:t>
        </w:r>
        <w:r>
          <w:rPr>
            <w:rStyle w:val="Hyperlink"/>
          </w:rPr>
          <w:noBreakHyphen/>
          <w:t>19</w:t>
        </w:r>
        <w:r w:rsidRPr="00E726C9">
          <w:rPr>
            <w:rStyle w:val="Hyperlink"/>
          </w:rPr>
          <w:t xml:space="preserve"> on influenza circulation</w:t>
        </w:r>
      </w:hyperlink>
      <w:r w:rsidR="00D24DC7">
        <w:rPr>
          <w:rStyle w:val="Hyperlink"/>
        </w:rPr>
        <w:t>.</w:t>
      </w:r>
    </w:p>
    <w:p w14:paraId="75B150DD" w14:textId="15B67E6B" w:rsidR="00FA3570" w:rsidRDefault="00FA3570" w:rsidP="00862550">
      <w:pPr>
        <w:pStyle w:val="Heading3"/>
      </w:pPr>
      <w:r>
        <w:t>Measles</w:t>
      </w:r>
    </w:p>
    <w:p w14:paraId="6067A802" w14:textId="4E81224A" w:rsidR="00D405A8" w:rsidRDefault="00D405A8" w:rsidP="00D405A8">
      <w:pPr>
        <w:pStyle w:val="Bullet"/>
      </w:pPr>
      <w:r w:rsidRPr="001453C5">
        <w:t>91%</w:t>
      </w:r>
      <w:r>
        <w:t xml:space="preserve"> decrease in measles notifications </w:t>
      </w:r>
      <w:r w:rsidRPr="001453C5">
        <w:t>in 2020</w:t>
      </w:r>
      <w:r>
        <w:t xml:space="preserve"> compared with 2019</w:t>
      </w:r>
      <w:r w:rsidR="00D24DC7">
        <w:t>.</w:t>
      </w:r>
    </w:p>
    <w:p w14:paraId="03A550E3" w14:textId="4B0D52E3" w:rsidR="00D405A8" w:rsidRDefault="00D405A8" w:rsidP="00D405A8">
      <w:pPr>
        <w:pStyle w:val="Bullet"/>
      </w:pPr>
      <w:r>
        <w:t>No cases reported since February 2020</w:t>
      </w:r>
      <w:r w:rsidR="00D24DC7">
        <w:t>.</w:t>
      </w:r>
    </w:p>
    <w:p w14:paraId="1C271B63" w14:textId="5931BEC8" w:rsidR="00D405A8" w:rsidRPr="00D405A8" w:rsidRDefault="00D405A8" w:rsidP="00D405A8">
      <w:pPr>
        <w:pStyle w:val="BulletLast"/>
      </w:pPr>
      <w:r>
        <w:t>Measles cases in Australia are acquired overseas or linked to overseas travel. The decrease in cases is the result of border closures from March 2020</w:t>
      </w:r>
      <w:r w:rsidR="00D24DC7">
        <w:t>.</w:t>
      </w:r>
    </w:p>
    <w:p w14:paraId="4FC111C6" w14:textId="151C8B31" w:rsidR="009E4445" w:rsidRDefault="009E4445" w:rsidP="00862550">
      <w:pPr>
        <w:pStyle w:val="Heading3"/>
      </w:pPr>
      <w:r>
        <w:t>Meningococcal disease</w:t>
      </w:r>
    </w:p>
    <w:p w14:paraId="08D2E961" w14:textId="6470E335" w:rsidR="00D405A8" w:rsidRPr="00D405A8" w:rsidRDefault="00D405A8" w:rsidP="00D405A8">
      <w:pPr>
        <w:pStyle w:val="BulletLast"/>
      </w:pPr>
      <w:r>
        <w:t xml:space="preserve">90 notifications of invasive meningococcal disease </w:t>
      </w:r>
      <w:r w:rsidRPr="001453C5">
        <w:t>in 2020</w:t>
      </w:r>
      <w:r>
        <w:t>, which was much lower than in 2019 (207 notifications) and lower than the 5-year mean</w:t>
      </w:r>
      <w:r w:rsidR="00D24DC7">
        <w:t>.</w:t>
      </w:r>
    </w:p>
    <w:p w14:paraId="4A4B6E6B" w14:textId="031492BF" w:rsidR="009E4445" w:rsidRDefault="009E4445" w:rsidP="00862550">
      <w:pPr>
        <w:pStyle w:val="Heading3"/>
      </w:pPr>
      <w:r>
        <w:t>Pneumococcal disease</w:t>
      </w:r>
    </w:p>
    <w:p w14:paraId="251EB629" w14:textId="59C95F50" w:rsidR="00D405A8" w:rsidRDefault="00D405A8" w:rsidP="00D405A8">
      <w:pPr>
        <w:pStyle w:val="Bullet"/>
      </w:pPr>
      <w:r w:rsidRPr="001453C5">
        <w:t>48</w:t>
      </w:r>
      <w:r>
        <w:t xml:space="preserve">% decrease in notifications of invasive pneumococcal disease </w:t>
      </w:r>
      <w:r w:rsidRPr="001453C5">
        <w:t>in 2020</w:t>
      </w:r>
      <w:r>
        <w:t xml:space="preserve"> compared with 2019</w:t>
      </w:r>
      <w:r w:rsidR="00D24DC7">
        <w:t>.</w:t>
      </w:r>
    </w:p>
    <w:p w14:paraId="68A1E017" w14:textId="1D5A71F5" w:rsidR="00D405A8" w:rsidRPr="00D405A8" w:rsidRDefault="00D405A8" w:rsidP="00D405A8">
      <w:pPr>
        <w:pStyle w:val="BulletLast"/>
      </w:pPr>
      <w:r>
        <w:t xml:space="preserve">Notifications </w:t>
      </w:r>
      <w:r w:rsidRPr="001453C5">
        <w:t>were 41% lower</w:t>
      </w:r>
      <w:r>
        <w:t xml:space="preserve"> than the 5-year mean</w:t>
      </w:r>
      <w:r w:rsidR="00D24DC7">
        <w:t>.</w:t>
      </w:r>
    </w:p>
    <w:p w14:paraId="17B96582" w14:textId="474E68DA" w:rsidR="009E4445" w:rsidRDefault="009E4445" w:rsidP="00862550">
      <w:pPr>
        <w:pStyle w:val="Heading3"/>
      </w:pPr>
      <w:r>
        <w:t>Pertussis</w:t>
      </w:r>
    </w:p>
    <w:p w14:paraId="0229538C" w14:textId="31D27B14" w:rsidR="00D405A8" w:rsidRDefault="00D405A8" w:rsidP="00D405A8">
      <w:pPr>
        <w:pStyle w:val="BulletLast"/>
      </w:pPr>
      <w:r w:rsidRPr="001453C5">
        <w:t>71%</w:t>
      </w:r>
      <w:r>
        <w:t xml:space="preserve"> decrease in notifications in 2020 compared with 2019</w:t>
      </w:r>
      <w:r w:rsidR="00D24DC7">
        <w:t>.</w:t>
      </w:r>
    </w:p>
    <w:p w14:paraId="6D7CE68C" w14:textId="26194745" w:rsidR="00D405A8" w:rsidRPr="00D405A8" w:rsidRDefault="00D405A8" w:rsidP="00D405A8">
      <w:pPr>
        <w:pStyle w:val="Heading2"/>
      </w:pPr>
      <w:bookmarkStart w:id="7" w:name="_Toc72165383"/>
      <w:r>
        <w:t>N</w:t>
      </w:r>
      <w:r w:rsidRPr="00926040">
        <w:t>ational immunisation policy and practice</w:t>
      </w:r>
      <w:bookmarkEnd w:id="7"/>
    </w:p>
    <w:p w14:paraId="3D3A4915" w14:textId="66DAA64B" w:rsidR="00926040" w:rsidRPr="00926040" w:rsidRDefault="00926040" w:rsidP="00862550">
      <w:pPr>
        <w:pStyle w:val="Heading3"/>
      </w:pPr>
      <w:r w:rsidRPr="00926040">
        <w:t xml:space="preserve">Australian </w:t>
      </w:r>
      <w:r w:rsidR="008F12C1">
        <w:t>COVID</w:t>
      </w:r>
      <w:r w:rsidR="008F12C1">
        <w:noBreakHyphen/>
        <w:t>19</w:t>
      </w:r>
      <w:r w:rsidRPr="00926040">
        <w:t xml:space="preserve"> Vaccination Policy</w:t>
      </w:r>
    </w:p>
    <w:p w14:paraId="17D1770B" w14:textId="200B51D2" w:rsidR="001453C5" w:rsidRDefault="00926040" w:rsidP="003B1DA1">
      <w:pPr>
        <w:shd w:val="clear" w:color="auto" w:fill="FFFFFF"/>
        <w:spacing w:before="100" w:beforeAutospacing="1" w:after="100" w:afterAutospacing="1"/>
        <w:rPr>
          <w:rFonts w:asciiTheme="minorHAnsi" w:hAnsiTheme="minorHAnsi" w:cstheme="minorHAnsi"/>
          <w:color w:val="auto"/>
          <w:szCs w:val="22"/>
        </w:rPr>
      </w:pPr>
      <w:r w:rsidRPr="001453C5">
        <w:rPr>
          <w:rFonts w:asciiTheme="minorHAnsi" w:hAnsiTheme="minorHAnsi" w:cstheme="minorHAnsi"/>
          <w:iCs/>
          <w:szCs w:val="22"/>
        </w:rPr>
        <w:t xml:space="preserve">The </w:t>
      </w:r>
      <w:hyperlink r:id="rId13" w:history="1">
        <w:r w:rsidRPr="001453C5">
          <w:rPr>
            <w:rStyle w:val="Hyperlink"/>
            <w:rFonts w:asciiTheme="minorHAnsi" w:hAnsiTheme="minorHAnsi" w:cstheme="minorHAnsi"/>
            <w:szCs w:val="22"/>
          </w:rPr>
          <w:t xml:space="preserve">Australian </w:t>
        </w:r>
        <w:r w:rsidR="008F12C1">
          <w:rPr>
            <w:rStyle w:val="Hyperlink"/>
            <w:rFonts w:asciiTheme="minorHAnsi" w:hAnsiTheme="minorHAnsi" w:cstheme="minorHAnsi"/>
            <w:szCs w:val="22"/>
          </w:rPr>
          <w:t>COVID</w:t>
        </w:r>
        <w:r w:rsidR="008F12C1">
          <w:rPr>
            <w:rStyle w:val="Hyperlink"/>
            <w:rFonts w:asciiTheme="minorHAnsi" w:hAnsiTheme="minorHAnsi" w:cstheme="minorHAnsi"/>
            <w:szCs w:val="22"/>
          </w:rPr>
          <w:noBreakHyphen/>
          <w:t>19</w:t>
        </w:r>
        <w:r w:rsidRPr="001453C5">
          <w:rPr>
            <w:rStyle w:val="Hyperlink"/>
            <w:rFonts w:asciiTheme="minorHAnsi" w:hAnsiTheme="minorHAnsi" w:cstheme="minorHAnsi"/>
            <w:szCs w:val="22"/>
          </w:rPr>
          <w:t xml:space="preserve"> Vaccination Policy</w:t>
        </w:r>
      </w:hyperlink>
      <w:r w:rsidRPr="001453C5">
        <w:rPr>
          <w:rFonts w:asciiTheme="minorHAnsi" w:hAnsiTheme="minorHAnsi" w:cstheme="minorHAnsi"/>
          <w:color w:val="auto"/>
          <w:szCs w:val="22"/>
        </w:rPr>
        <w:t xml:space="preserve"> </w:t>
      </w:r>
      <w:r w:rsidR="009E4445" w:rsidRPr="001453C5">
        <w:rPr>
          <w:rFonts w:asciiTheme="minorHAnsi" w:hAnsiTheme="minorHAnsi" w:cstheme="minorHAnsi"/>
          <w:color w:val="auto"/>
          <w:szCs w:val="22"/>
        </w:rPr>
        <w:t xml:space="preserve">was published </w:t>
      </w:r>
      <w:r w:rsidRPr="001453C5">
        <w:rPr>
          <w:rFonts w:asciiTheme="minorHAnsi" w:hAnsiTheme="minorHAnsi" w:cstheme="minorHAnsi"/>
          <w:color w:val="auto"/>
          <w:szCs w:val="22"/>
        </w:rPr>
        <w:t>in November 2020</w:t>
      </w:r>
      <w:r w:rsidR="003B2FB6" w:rsidRPr="001453C5">
        <w:rPr>
          <w:rFonts w:asciiTheme="minorHAnsi" w:hAnsiTheme="minorHAnsi" w:cstheme="minorHAnsi"/>
          <w:color w:val="auto"/>
          <w:szCs w:val="22"/>
        </w:rPr>
        <w:t xml:space="preserve"> </w:t>
      </w:r>
      <w:r w:rsidR="003B1DA1" w:rsidRPr="001453C5">
        <w:rPr>
          <w:rFonts w:asciiTheme="minorHAnsi" w:hAnsiTheme="minorHAnsi" w:cstheme="minorHAnsi"/>
          <w:color w:val="auto"/>
          <w:szCs w:val="22"/>
        </w:rPr>
        <w:t xml:space="preserve">and last updated in February 2021. It outlines the approach to providing </w:t>
      </w:r>
      <w:r w:rsidR="008F12C1">
        <w:rPr>
          <w:rFonts w:asciiTheme="minorHAnsi" w:hAnsiTheme="minorHAnsi" w:cstheme="minorHAnsi"/>
          <w:color w:val="auto"/>
          <w:szCs w:val="22"/>
        </w:rPr>
        <w:t>COVID</w:t>
      </w:r>
      <w:r w:rsidR="008F12C1">
        <w:rPr>
          <w:rFonts w:asciiTheme="minorHAnsi" w:hAnsiTheme="minorHAnsi" w:cstheme="minorHAnsi"/>
          <w:color w:val="auto"/>
          <w:szCs w:val="22"/>
        </w:rPr>
        <w:noBreakHyphen/>
        <w:t>19</w:t>
      </w:r>
      <w:r w:rsidR="003B1DA1" w:rsidRPr="001453C5">
        <w:rPr>
          <w:rFonts w:asciiTheme="minorHAnsi" w:hAnsiTheme="minorHAnsi" w:cstheme="minorHAnsi"/>
          <w:color w:val="auto"/>
          <w:szCs w:val="22"/>
        </w:rPr>
        <w:t xml:space="preserve"> vaccines in Australia. The policy describes the shared and separate responsibilities of the Australian</w:t>
      </w:r>
      <w:r w:rsidR="001453C5">
        <w:rPr>
          <w:rFonts w:asciiTheme="minorHAnsi" w:hAnsiTheme="minorHAnsi" w:cstheme="minorHAnsi"/>
          <w:color w:val="auto"/>
          <w:szCs w:val="22"/>
        </w:rPr>
        <w:t xml:space="preserve"> Government and s</w:t>
      </w:r>
      <w:r w:rsidR="003B1DA1" w:rsidRPr="001453C5">
        <w:rPr>
          <w:rFonts w:asciiTheme="minorHAnsi" w:hAnsiTheme="minorHAnsi" w:cstheme="minorHAnsi"/>
          <w:color w:val="auto"/>
          <w:szCs w:val="22"/>
        </w:rPr>
        <w:t xml:space="preserve">tate and </w:t>
      </w:r>
      <w:r w:rsidR="001453C5">
        <w:rPr>
          <w:rFonts w:asciiTheme="minorHAnsi" w:hAnsiTheme="minorHAnsi" w:cstheme="minorHAnsi"/>
          <w:color w:val="auto"/>
          <w:szCs w:val="22"/>
        </w:rPr>
        <w:t>t</w:t>
      </w:r>
      <w:r w:rsidR="003B1DA1" w:rsidRPr="001453C5">
        <w:rPr>
          <w:rFonts w:asciiTheme="minorHAnsi" w:hAnsiTheme="minorHAnsi" w:cstheme="minorHAnsi"/>
          <w:color w:val="auto"/>
          <w:szCs w:val="22"/>
        </w:rPr>
        <w:t xml:space="preserve">erritory governments, as well as other key stakeholders in the </w:t>
      </w:r>
      <w:hyperlink r:id="rId14" w:history="1">
        <w:r w:rsidR="00D24DC7">
          <w:rPr>
            <w:rStyle w:val="Hyperlink"/>
            <w:rFonts w:asciiTheme="minorHAnsi" w:hAnsiTheme="minorHAnsi" w:cstheme="minorHAnsi"/>
            <w:szCs w:val="22"/>
          </w:rPr>
          <w:t>COVID</w:t>
        </w:r>
        <w:r w:rsidR="00D24DC7">
          <w:rPr>
            <w:rStyle w:val="Hyperlink"/>
            <w:rFonts w:asciiTheme="minorHAnsi" w:hAnsiTheme="minorHAnsi" w:cstheme="minorHAnsi"/>
            <w:szCs w:val="22"/>
          </w:rPr>
          <w:noBreakHyphen/>
          <w:t>19 vaccine rollout strategy</w:t>
        </w:r>
      </w:hyperlink>
      <w:r w:rsidR="003B1DA1" w:rsidRPr="001453C5">
        <w:rPr>
          <w:rFonts w:asciiTheme="minorHAnsi" w:hAnsiTheme="minorHAnsi" w:cstheme="minorHAnsi"/>
          <w:color w:val="auto"/>
          <w:szCs w:val="22"/>
        </w:rPr>
        <w:t xml:space="preserve">. </w:t>
      </w:r>
    </w:p>
    <w:p w14:paraId="177DF9FF" w14:textId="162FB3AD" w:rsidR="003B1DA1" w:rsidRPr="00733884" w:rsidRDefault="003B1DA1" w:rsidP="003B1DA1">
      <w:pPr>
        <w:shd w:val="clear" w:color="auto" w:fill="FFFFFF"/>
        <w:spacing w:before="100" w:beforeAutospacing="1" w:after="100" w:afterAutospacing="1"/>
        <w:rPr>
          <w:rFonts w:asciiTheme="minorHAnsi" w:hAnsiTheme="minorHAnsi" w:cstheme="minorHAnsi"/>
          <w:color w:val="auto"/>
          <w:szCs w:val="22"/>
        </w:rPr>
      </w:pPr>
      <w:r w:rsidRPr="001453C5">
        <w:rPr>
          <w:rFonts w:asciiTheme="minorHAnsi" w:hAnsiTheme="minorHAnsi" w:cstheme="minorHAnsi"/>
          <w:color w:val="auto"/>
          <w:szCs w:val="22"/>
        </w:rPr>
        <w:lastRenderedPageBreak/>
        <w:t xml:space="preserve">On 22 February 2021, </w:t>
      </w:r>
      <w:r w:rsidR="0016558A">
        <w:rPr>
          <w:rFonts w:asciiTheme="minorHAnsi" w:hAnsiTheme="minorHAnsi" w:cstheme="minorHAnsi"/>
          <w:color w:val="auto"/>
          <w:szCs w:val="22"/>
        </w:rPr>
        <w:t>the first</w:t>
      </w:r>
      <w:r w:rsidRPr="001453C5">
        <w:rPr>
          <w:rFonts w:asciiTheme="minorHAnsi" w:hAnsiTheme="minorHAnsi" w:cstheme="minorHAnsi"/>
          <w:color w:val="auto"/>
          <w:szCs w:val="22"/>
        </w:rPr>
        <w:t xml:space="preserve"> doses of </w:t>
      </w:r>
      <w:r w:rsidR="00D24DC7">
        <w:rPr>
          <w:rFonts w:asciiTheme="minorHAnsi" w:hAnsiTheme="minorHAnsi" w:cstheme="minorHAnsi"/>
          <w:color w:val="auto"/>
          <w:szCs w:val="22"/>
        </w:rPr>
        <w:t>COVID-19 vaccines</w:t>
      </w:r>
      <w:r w:rsidRPr="001453C5">
        <w:rPr>
          <w:rFonts w:asciiTheme="minorHAnsi" w:hAnsiTheme="minorHAnsi" w:cstheme="minorHAnsi"/>
          <w:color w:val="auto"/>
          <w:szCs w:val="22"/>
        </w:rPr>
        <w:t xml:space="preserve"> </w:t>
      </w:r>
      <w:r w:rsidR="00F52490" w:rsidRPr="001453C5">
        <w:rPr>
          <w:rFonts w:asciiTheme="minorHAnsi" w:hAnsiTheme="minorHAnsi" w:cstheme="minorHAnsi"/>
          <w:color w:val="auto"/>
          <w:szCs w:val="22"/>
        </w:rPr>
        <w:t>were</w:t>
      </w:r>
      <w:r w:rsidRPr="001453C5">
        <w:rPr>
          <w:rFonts w:asciiTheme="minorHAnsi" w:hAnsiTheme="minorHAnsi" w:cstheme="minorHAnsi"/>
          <w:color w:val="auto"/>
          <w:szCs w:val="22"/>
        </w:rPr>
        <w:t xml:space="preserve"> made available for frontline health</w:t>
      </w:r>
      <w:r w:rsidR="001453C5">
        <w:rPr>
          <w:rFonts w:asciiTheme="minorHAnsi" w:hAnsiTheme="minorHAnsi" w:cstheme="minorHAnsi"/>
          <w:color w:val="auto"/>
          <w:szCs w:val="22"/>
        </w:rPr>
        <w:t xml:space="preserve"> </w:t>
      </w:r>
      <w:r w:rsidRPr="001453C5">
        <w:rPr>
          <w:rFonts w:asciiTheme="minorHAnsi" w:hAnsiTheme="minorHAnsi" w:cstheme="minorHAnsi"/>
          <w:color w:val="auto"/>
          <w:szCs w:val="22"/>
        </w:rPr>
        <w:t>care workers</w:t>
      </w:r>
      <w:r w:rsidR="001453C5">
        <w:rPr>
          <w:rFonts w:asciiTheme="minorHAnsi" w:hAnsiTheme="minorHAnsi" w:cstheme="minorHAnsi"/>
          <w:color w:val="auto"/>
          <w:szCs w:val="22"/>
        </w:rPr>
        <w:t>,</w:t>
      </w:r>
      <w:r w:rsidRPr="001453C5">
        <w:rPr>
          <w:rFonts w:asciiTheme="minorHAnsi" w:hAnsiTheme="minorHAnsi" w:cstheme="minorHAnsi"/>
          <w:color w:val="auto"/>
          <w:szCs w:val="22"/>
        </w:rPr>
        <w:t xml:space="preserve"> quarantine and border workers</w:t>
      </w:r>
      <w:r w:rsidR="00F52490" w:rsidRPr="001453C5">
        <w:rPr>
          <w:rFonts w:asciiTheme="minorHAnsi" w:hAnsiTheme="minorHAnsi" w:cstheme="minorHAnsi"/>
          <w:color w:val="auto"/>
          <w:szCs w:val="22"/>
        </w:rPr>
        <w:t>,</w:t>
      </w:r>
      <w:r w:rsidR="001453C5">
        <w:rPr>
          <w:rFonts w:asciiTheme="minorHAnsi" w:hAnsiTheme="minorHAnsi" w:cstheme="minorHAnsi"/>
          <w:color w:val="auto"/>
          <w:szCs w:val="22"/>
        </w:rPr>
        <w:t xml:space="preserve"> and</w:t>
      </w:r>
      <w:r w:rsidR="00F52490" w:rsidRPr="001453C5">
        <w:rPr>
          <w:rFonts w:asciiTheme="minorHAnsi" w:hAnsiTheme="minorHAnsi" w:cstheme="minorHAnsi"/>
          <w:color w:val="auto"/>
          <w:szCs w:val="22"/>
        </w:rPr>
        <w:t xml:space="preserve"> aged care and disability care residents and workers</w:t>
      </w:r>
      <w:r w:rsidRPr="001453C5">
        <w:rPr>
          <w:rFonts w:asciiTheme="minorHAnsi" w:hAnsiTheme="minorHAnsi" w:cstheme="minorHAnsi"/>
          <w:color w:val="auto"/>
          <w:szCs w:val="22"/>
        </w:rPr>
        <w:t>.</w:t>
      </w:r>
      <w:r w:rsidR="00D24DC7">
        <w:rPr>
          <w:rFonts w:asciiTheme="minorHAnsi" w:hAnsiTheme="minorHAnsi" w:cstheme="minorHAnsi"/>
          <w:color w:val="auto"/>
          <w:szCs w:val="22"/>
        </w:rPr>
        <w:t xml:space="preserve"> </w:t>
      </w:r>
      <w:hyperlink r:id="rId15" w:history="1">
        <w:r w:rsidR="00D24DC7" w:rsidRPr="00D24DC7">
          <w:rPr>
            <w:rStyle w:val="Hyperlink"/>
            <w:rFonts w:asciiTheme="minorHAnsi" w:hAnsiTheme="minorHAnsi" w:cstheme="minorHAnsi"/>
            <w:szCs w:val="22"/>
          </w:rPr>
          <w:t>Comirnaty (Pfizer/ BioNTech)</w:t>
        </w:r>
      </w:hyperlink>
      <w:r w:rsidR="00D24DC7" w:rsidRPr="00D24DC7">
        <w:rPr>
          <w:rFonts w:asciiTheme="minorHAnsi" w:hAnsiTheme="minorHAnsi" w:cstheme="minorHAnsi"/>
          <w:color w:val="auto"/>
          <w:szCs w:val="22"/>
        </w:rPr>
        <w:t xml:space="preserve"> and </w:t>
      </w:r>
      <w:hyperlink r:id="rId16" w:history="1">
        <w:r w:rsidR="00D24DC7" w:rsidRPr="00D24DC7">
          <w:rPr>
            <w:rStyle w:val="Hyperlink"/>
            <w:rFonts w:asciiTheme="minorHAnsi" w:hAnsiTheme="minorHAnsi" w:cstheme="minorHAnsi"/>
            <w:szCs w:val="22"/>
          </w:rPr>
          <w:t>Oxford/AstraZeneca</w:t>
        </w:r>
      </w:hyperlink>
      <w:r w:rsidR="00D24DC7" w:rsidRPr="00D24DC7">
        <w:rPr>
          <w:rFonts w:asciiTheme="minorHAnsi" w:hAnsiTheme="minorHAnsi" w:cstheme="minorHAnsi"/>
          <w:color w:val="auto"/>
          <w:szCs w:val="22"/>
        </w:rPr>
        <w:t xml:space="preserve"> COVID-19 vaccines are now being administered nationally</w:t>
      </w:r>
      <w:r w:rsidR="00D24DC7">
        <w:rPr>
          <w:rFonts w:asciiTheme="minorHAnsi" w:hAnsiTheme="minorHAnsi" w:cstheme="minorHAnsi"/>
          <w:color w:val="auto"/>
          <w:szCs w:val="22"/>
        </w:rPr>
        <w:t>.</w:t>
      </w:r>
    </w:p>
    <w:p w14:paraId="2799C54A" w14:textId="0024C291" w:rsidR="00926040" w:rsidRPr="00733884" w:rsidRDefault="00980628" w:rsidP="00733884">
      <w:pPr>
        <w:rPr>
          <w:b/>
          <w:bCs/>
        </w:rPr>
      </w:pPr>
      <w:r w:rsidRPr="00733884">
        <w:rPr>
          <w:b/>
          <w:bCs/>
        </w:rPr>
        <w:t>C</w:t>
      </w:r>
      <w:r w:rsidR="009F67E4" w:rsidRPr="00733884">
        <w:rPr>
          <w:b/>
          <w:bCs/>
        </w:rPr>
        <w:t xml:space="preserve">hanges to the </w:t>
      </w:r>
      <w:r w:rsidR="00926040" w:rsidRPr="00733884">
        <w:rPr>
          <w:b/>
          <w:bCs/>
        </w:rPr>
        <w:t xml:space="preserve">National Immunisation Program </w:t>
      </w:r>
    </w:p>
    <w:p w14:paraId="192D7962" w14:textId="788977D1" w:rsidR="009E6D29" w:rsidRDefault="00A6439A" w:rsidP="00BD5B3C">
      <w:pPr>
        <w:pStyle w:val="NormalBeforeBullet"/>
      </w:pPr>
      <w:r>
        <w:t>An important achievement in 2020 was</w:t>
      </w:r>
      <w:r w:rsidR="00CE5850">
        <w:t xml:space="preserve"> the </w:t>
      </w:r>
      <w:r>
        <w:t xml:space="preserve">expansion of the </w:t>
      </w:r>
      <w:r w:rsidR="00CE5850">
        <w:t>NIP to</w:t>
      </w:r>
      <w:r w:rsidR="009E6D29">
        <w:t>:</w:t>
      </w:r>
      <w:r w:rsidR="00CE5850">
        <w:t xml:space="preserve"> </w:t>
      </w:r>
    </w:p>
    <w:p w14:paraId="35FD0B1F" w14:textId="787DC104" w:rsidR="009E6D29" w:rsidRDefault="00BD5B3C" w:rsidP="00763CB9">
      <w:pPr>
        <w:pStyle w:val="Bullet"/>
      </w:pPr>
      <w:r>
        <w:t xml:space="preserve">make </w:t>
      </w:r>
      <w:r w:rsidR="00244E9B">
        <w:t xml:space="preserve">some </w:t>
      </w:r>
      <w:r>
        <w:t xml:space="preserve">vaccines more readily available </w:t>
      </w:r>
    </w:p>
    <w:p w14:paraId="0B88493D" w14:textId="262D615E" w:rsidR="009E6D29" w:rsidRDefault="00BD5B3C" w:rsidP="00763CB9">
      <w:pPr>
        <w:pStyle w:val="BulletLast"/>
      </w:pPr>
      <w:r>
        <w:t>further improve</w:t>
      </w:r>
      <w:r w:rsidR="00131FD7">
        <w:t xml:space="preserve"> protection</w:t>
      </w:r>
      <w:r w:rsidR="00CE5850">
        <w:t xml:space="preserve"> for people at higher risk of </w:t>
      </w:r>
      <w:r w:rsidR="00447F7A">
        <w:t>some</w:t>
      </w:r>
      <w:r w:rsidR="00CE5850">
        <w:t xml:space="preserve"> diseases. </w:t>
      </w:r>
    </w:p>
    <w:p w14:paraId="6052864A" w14:textId="2094E7AB" w:rsidR="00CE5850" w:rsidRDefault="00CE5850" w:rsidP="00BD5B3C">
      <w:pPr>
        <w:pStyle w:val="NormalBeforeBullet"/>
      </w:pPr>
      <w:r>
        <w:t>Changes included:</w:t>
      </w:r>
    </w:p>
    <w:p w14:paraId="6B70C56B" w14:textId="6ACE9896" w:rsidR="00CE5850" w:rsidRDefault="00AB476D" w:rsidP="00BD5B3C">
      <w:pPr>
        <w:pStyle w:val="Bullet"/>
        <w:rPr>
          <w:iCs/>
        </w:rPr>
      </w:pPr>
      <w:hyperlink r:id="rId17" w:history="1">
        <w:r w:rsidR="00CE5850" w:rsidRPr="00926040">
          <w:rPr>
            <w:rStyle w:val="Hyperlink"/>
            <w:iCs/>
          </w:rPr>
          <w:t>influenza</w:t>
        </w:r>
      </w:hyperlink>
      <w:r w:rsidR="00CE5850" w:rsidRPr="00926040">
        <w:rPr>
          <w:iCs/>
        </w:rPr>
        <w:t xml:space="preserve"> vaccine for all children aged 6 months</w:t>
      </w:r>
      <w:r w:rsidR="00CE5850">
        <w:rPr>
          <w:iCs/>
        </w:rPr>
        <w:t xml:space="preserve"> to 5</w:t>
      </w:r>
      <w:r w:rsidR="00F360CA">
        <w:rPr>
          <w:iCs/>
        </w:rPr>
        <w:t> </w:t>
      </w:r>
      <w:r w:rsidR="00CE5850">
        <w:rPr>
          <w:iCs/>
        </w:rPr>
        <w:t>years</w:t>
      </w:r>
    </w:p>
    <w:p w14:paraId="410FF3FF" w14:textId="49672455" w:rsidR="00CE5850" w:rsidRDefault="00AB476D" w:rsidP="00BD5B3C">
      <w:pPr>
        <w:pStyle w:val="Bullet"/>
        <w:rPr>
          <w:iCs/>
        </w:rPr>
      </w:pPr>
      <w:hyperlink r:id="rId18" w:history="1">
        <w:r w:rsidR="00BD5B3C">
          <w:rPr>
            <w:rStyle w:val="Hyperlink"/>
            <w:iCs/>
          </w:rPr>
          <w:t>pneumococcal vaccines</w:t>
        </w:r>
      </w:hyperlink>
      <w:r w:rsidR="00CE5850">
        <w:rPr>
          <w:iCs/>
        </w:rPr>
        <w:t xml:space="preserve"> for people with increased risk of disease, as well as changes to </w:t>
      </w:r>
      <w:r w:rsidR="00447F7A">
        <w:rPr>
          <w:iCs/>
        </w:rPr>
        <w:t>use</w:t>
      </w:r>
      <w:r w:rsidR="00CE5850">
        <w:rPr>
          <w:iCs/>
        </w:rPr>
        <w:t xml:space="preserve"> these vaccines </w:t>
      </w:r>
      <w:r w:rsidR="00447F7A">
        <w:rPr>
          <w:iCs/>
        </w:rPr>
        <w:t xml:space="preserve">more effectively </w:t>
      </w:r>
      <w:r w:rsidR="00CE5850">
        <w:rPr>
          <w:iCs/>
        </w:rPr>
        <w:t>in people with medical conditions</w:t>
      </w:r>
    </w:p>
    <w:p w14:paraId="623B2085" w14:textId="148B1067" w:rsidR="00F360CA" w:rsidRDefault="00AB476D" w:rsidP="00BD5B3C">
      <w:pPr>
        <w:pStyle w:val="Bullet"/>
        <w:rPr>
          <w:iCs/>
        </w:rPr>
      </w:pPr>
      <w:hyperlink r:id="rId19" w:history="1">
        <w:r w:rsidR="00F360CA" w:rsidRPr="00BD5B3C">
          <w:rPr>
            <w:rStyle w:val="Hyperlink"/>
            <w:iCs/>
          </w:rPr>
          <w:t>meningococcal vaccine</w:t>
        </w:r>
        <w:r w:rsidR="00BD5B3C" w:rsidRPr="00BD5B3C">
          <w:rPr>
            <w:rStyle w:val="Hyperlink"/>
            <w:iCs/>
          </w:rPr>
          <w:t>s</w:t>
        </w:r>
      </w:hyperlink>
      <w:r w:rsidR="00BD5B3C">
        <w:rPr>
          <w:iCs/>
        </w:rPr>
        <w:t xml:space="preserve"> for people with certain medical conditions, and meningococcal B vaccine for </w:t>
      </w:r>
      <w:hyperlink r:id="rId20" w:history="1">
        <w:r w:rsidR="00BD5B3C" w:rsidRPr="00BD5B3C">
          <w:rPr>
            <w:rStyle w:val="Hyperlink"/>
            <w:iCs/>
          </w:rPr>
          <w:t>Aboriginal and Torres Strait Islander children</w:t>
        </w:r>
      </w:hyperlink>
    </w:p>
    <w:p w14:paraId="34841B5C" w14:textId="4FAADE4B" w:rsidR="00BD5B3C" w:rsidRPr="00926040" w:rsidRDefault="00AB476D" w:rsidP="00BD5B3C">
      <w:pPr>
        <w:pStyle w:val="BulletLast"/>
      </w:pPr>
      <w:hyperlink r:id="rId21" w:history="1">
        <w:r w:rsidR="00BD5B3C" w:rsidRPr="00447F7A">
          <w:rPr>
            <w:rStyle w:val="Hyperlink"/>
            <w:i/>
            <w:iCs/>
          </w:rPr>
          <w:t>Haemophilus influenzae</w:t>
        </w:r>
        <w:r w:rsidR="00BD5B3C" w:rsidRPr="00BD5B3C">
          <w:rPr>
            <w:rStyle w:val="Hyperlink"/>
          </w:rPr>
          <w:t xml:space="preserve"> type b (Hib) vaccine</w:t>
        </w:r>
      </w:hyperlink>
      <w:r w:rsidR="00BD5B3C">
        <w:t xml:space="preserve"> for people with risk conditions for this disease.</w:t>
      </w:r>
    </w:p>
    <w:p w14:paraId="1AFC0571" w14:textId="4CC674A0" w:rsidR="00926040" w:rsidRPr="00926040" w:rsidRDefault="004D385E" w:rsidP="00926040">
      <w:pPr>
        <w:rPr>
          <w:iCs/>
        </w:rPr>
      </w:pPr>
      <w:r>
        <w:rPr>
          <w:iCs/>
        </w:rPr>
        <w:t>T</w:t>
      </w:r>
      <w:r w:rsidR="00926040" w:rsidRPr="00926040">
        <w:rPr>
          <w:iCs/>
        </w:rPr>
        <w:t xml:space="preserve">he impact of these changes </w:t>
      </w:r>
      <w:r w:rsidR="00A25720">
        <w:rPr>
          <w:iCs/>
        </w:rPr>
        <w:t xml:space="preserve">should </w:t>
      </w:r>
      <w:r>
        <w:rPr>
          <w:iCs/>
        </w:rPr>
        <w:t>be measured in future evaluations</w:t>
      </w:r>
      <w:r w:rsidR="009E6D29">
        <w:rPr>
          <w:iCs/>
        </w:rPr>
        <w:t>.</w:t>
      </w:r>
      <w:r>
        <w:rPr>
          <w:iCs/>
        </w:rPr>
        <w:t xml:space="preserve"> </w:t>
      </w:r>
      <w:r w:rsidR="009E6D29">
        <w:rPr>
          <w:iCs/>
        </w:rPr>
        <w:t>This will</w:t>
      </w:r>
      <w:r>
        <w:rPr>
          <w:iCs/>
        </w:rPr>
        <w:t xml:space="preserve"> </w:t>
      </w:r>
      <w:r w:rsidR="00926040" w:rsidRPr="00926040">
        <w:rPr>
          <w:iCs/>
        </w:rPr>
        <w:t xml:space="preserve">inform any further changes to the NIP </w:t>
      </w:r>
      <w:r>
        <w:rPr>
          <w:iCs/>
        </w:rPr>
        <w:t>to prevent</w:t>
      </w:r>
      <w:r w:rsidR="00926040" w:rsidRPr="00926040">
        <w:rPr>
          <w:iCs/>
        </w:rPr>
        <w:t xml:space="preserve"> these diseases. </w:t>
      </w:r>
    </w:p>
    <w:p w14:paraId="1C3BDD13" w14:textId="69A62877" w:rsidR="00926040" w:rsidRDefault="009F67E4" w:rsidP="00862550">
      <w:pPr>
        <w:pStyle w:val="Heading3"/>
      </w:pPr>
      <w:r>
        <w:t>I</w:t>
      </w:r>
      <w:r w:rsidR="00926040" w:rsidRPr="00926040">
        <w:t xml:space="preserve">mmunisation coverage </w:t>
      </w:r>
    </w:p>
    <w:p w14:paraId="152A5A0D" w14:textId="6E01EDFE" w:rsidR="0067027F" w:rsidRDefault="0067027F" w:rsidP="00862550">
      <w:pPr>
        <w:pStyle w:val="Heading4"/>
      </w:pPr>
      <w:r>
        <w:t>Influenza</w:t>
      </w:r>
    </w:p>
    <w:p w14:paraId="401B6874" w14:textId="45CEA17F" w:rsidR="0067027F" w:rsidRDefault="00926040" w:rsidP="00926040">
      <w:pPr>
        <w:rPr>
          <w:iCs/>
        </w:rPr>
      </w:pPr>
      <w:r w:rsidRPr="00926040">
        <w:rPr>
          <w:iCs/>
        </w:rPr>
        <w:t xml:space="preserve">A record </w:t>
      </w:r>
      <w:r w:rsidR="0067027F">
        <w:rPr>
          <w:iCs/>
        </w:rPr>
        <w:t xml:space="preserve">high </w:t>
      </w:r>
      <w:r w:rsidRPr="00926040">
        <w:rPr>
          <w:iCs/>
        </w:rPr>
        <w:t>number of</w:t>
      </w:r>
      <w:r w:rsidR="0067027F">
        <w:rPr>
          <w:iCs/>
        </w:rPr>
        <w:t xml:space="preserve"> 17.6 million</w:t>
      </w:r>
      <w:r w:rsidRPr="00926040">
        <w:rPr>
          <w:iCs/>
        </w:rPr>
        <w:t xml:space="preserve"> influenza vaccine doses were distributed for use in Australia</w:t>
      </w:r>
      <w:r w:rsidR="0067027F">
        <w:rPr>
          <w:iCs/>
        </w:rPr>
        <w:t xml:space="preserve"> in 2020</w:t>
      </w:r>
      <w:r w:rsidRPr="00926040">
        <w:rPr>
          <w:iCs/>
        </w:rPr>
        <w:t xml:space="preserve">. </w:t>
      </w:r>
    </w:p>
    <w:p w14:paraId="158C0FB3" w14:textId="7B0313CC" w:rsidR="0067027F" w:rsidRDefault="0067027F" w:rsidP="0067027F">
      <w:pPr>
        <w:pStyle w:val="NormalBeforeBullet"/>
      </w:pPr>
      <w:r>
        <w:t>T</w:t>
      </w:r>
      <w:r w:rsidR="00926040" w:rsidRPr="00926040">
        <w:t>he Australian Immunisation Register (AIR)</w:t>
      </w:r>
      <w:r>
        <w:t xml:space="preserve"> showed that:</w:t>
      </w:r>
    </w:p>
    <w:p w14:paraId="508DA832" w14:textId="7600A5A1" w:rsidR="0067027F" w:rsidRDefault="0067027F" w:rsidP="0067027F">
      <w:pPr>
        <w:pStyle w:val="Bullet"/>
      </w:pPr>
      <w:r>
        <w:t xml:space="preserve">the number of influenza vaccine doses was higher in all age groups in 2020 than in previous years. This may be </w:t>
      </w:r>
      <w:r w:rsidR="00980628">
        <w:t>because</w:t>
      </w:r>
      <w:r>
        <w:t xml:space="preserve"> of strong public health messaging</w:t>
      </w:r>
      <w:r w:rsidR="00D25F9C">
        <w:t xml:space="preserve"> for people to receive influenza vaccine during the </w:t>
      </w:r>
      <w:r w:rsidR="008F12C1">
        <w:t>COVID</w:t>
      </w:r>
      <w:r w:rsidR="008F12C1">
        <w:noBreakHyphen/>
        <w:t>19</w:t>
      </w:r>
      <w:r w:rsidR="00D25F9C">
        <w:t xml:space="preserve"> pandemic</w:t>
      </w:r>
    </w:p>
    <w:p w14:paraId="53776C05" w14:textId="5F67455F" w:rsidR="0067027F" w:rsidRDefault="0067027F" w:rsidP="0067027F">
      <w:pPr>
        <w:pStyle w:val="Bullet"/>
      </w:pPr>
      <w:r>
        <w:t xml:space="preserve">32.5% of the population (8.6 million people) had received </w:t>
      </w:r>
      <w:r w:rsidR="00980628">
        <w:t>an</w:t>
      </w:r>
      <w:r>
        <w:t xml:space="preserve"> influenza vaccine by 31 July 2020, compared with 25.2% at the same time in 2019</w:t>
      </w:r>
    </w:p>
    <w:p w14:paraId="634C0771" w14:textId="0783D881" w:rsidR="0067027F" w:rsidRDefault="0067027F" w:rsidP="008C6E48">
      <w:pPr>
        <w:pStyle w:val="BulletLast"/>
      </w:pPr>
      <w:r>
        <w:t>42.6% of children under 5</w:t>
      </w:r>
      <w:r w:rsidR="008F12C1">
        <w:t> years</w:t>
      </w:r>
      <w:r w:rsidR="00753CC3">
        <w:t xml:space="preserve"> old</w:t>
      </w:r>
      <w:r w:rsidR="008F12C1">
        <w:t xml:space="preserve"> </w:t>
      </w:r>
      <w:r>
        <w:t xml:space="preserve">had received </w:t>
      </w:r>
      <w:r w:rsidR="00980628">
        <w:t>an</w:t>
      </w:r>
      <w:r>
        <w:t xml:space="preserve"> influenza vaccine by 31 July 2020, compared with 38.2% at the same time in 2019.</w:t>
      </w:r>
      <w:r w:rsidR="00980628">
        <w:t xml:space="preserve"> </w:t>
      </w:r>
      <w:r>
        <w:t>Influenza vaccine was also free for children under 5</w:t>
      </w:r>
      <w:r w:rsidR="008F12C1">
        <w:t> years</w:t>
      </w:r>
      <w:r w:rsidR="00753CC3">
        <w:t xml:space="preserve"> old</w:t>
      </w:r>
      <w:r>
        <w:t xml:space="preserve"> for the first time in 2020.</w:t>
      </w:r>
    </w:p>
    <w:p w14:paraId="7F1D171F" w14:textId="6CD8BCC9" w:rsidR="00926040" w:rsidRDefault="00447F7A" w:rsidP="00D25F9C">
      <w:r>
        <w:t>T</w:t>
      </w:r>
      <w:r w:rsidR="0067027F">
        <w:t xml:space="preserve">he </w:t>
      </w:r>
      <w:r>
        <w:t xml:space="preserve">actual </w:t>
      </w:r>
      <w:r w:rsidR="0067027F">
        <w:t>number of doses given is likely to be higher than this</w:t>
      </w:r>
      <w:r>
        <w:t xml:space="preserve"> because the AIR does not currently reflect all doses given</w:t>
      </w:r>
      <w:r w:rsidR="0067027F">
        <w:t>.</w:t>
      </w:r>
    </w:p>
    <w:p w14:paraId="26B4AE32" w14:textId="68157865" w:rsidR="00D25F9C" w:rsidRPr="00D25F9C" w:rsidRDefault="00D25F9C" w:rsidP="00862550">
      <w:pPr>
        <w:pStyle w:val="Heading4"/>
      </w:pPr>
      <w:r>
        <w:t>Other N</w:t>
      </w:r>
      <w:r w:rsidR="00615E8E">
        <w:t>ational Immunisation Program</w:t>
      </w:r>
      <w:r>
        <w:t xml:space="preserve"> vaccines</w:t>
      </w:r>
    </w:p>
    <w:p w14:paraId="4066DA97" w14:textId="4B481F04" w:rsidR="00F828E3" w:rsidRDefault="008F12C1" w:rsidP="00926040">
      <w:r>
        <w:t>COVID</w:t>
      </w:r>
      <w:r>
        <w:noBreakHyphen/>
        <w:t>19</w:t>
      </w:r>
      <w:r w:rsidR="00926040" w:rsidRPr="00926040">
        <w:t xml:space="preserve"> control measures ha</w:t>
      </w:r>
      <w:r w:rsidR="009E4445">
        <w:t>ve</w:t>
      </w:r>
      <w:r w:rsidR="00926040" w:rsidRPr="00926040">
        <w:t xml:space="preserve"> not </w:t>
      </w:r>
      <w:r w:rsidR="00F828E3">
        <w:t>substantially affected</w:t>
      </w:r>
      <w:r w:rsidR="00926040" w:rsidRPr="00926040">
        <w:t xml:space="preserve"> the </w:t>
      </w:r>
      <w:hyperlink r:id="rId22" w:history="1">
        <w:r w:rsidR="00F828E3" w:rsidRPr="00F828E3">
          <w:rPr>
            <w:rStyle w:val="Hyperlink"/>
          </w:rPr>
          <w:t xml:space="preserve">coverage </w:t>
        </w:r>
        <w:r w:rsidR="00926040" w:rsidRPr="00F828E3">
          <w:rPr>
            <w:rStyle w:val="Hyperlink"/>
          </w:rPr>
          <w:t>of routine NIP vaccines in children</w:t>
        </w:r>
      </w:hyperlink>
      <w:r w:rsidR="00926040" w:rsidRPr="00926040">
        <w:t xml:space="preserve">. </w:t>
      </w:r>
      <w:r w:rsidR="00F828E3">
        <w:t xml:space="preserve">Even in Victoria, which had the longest and </w:t>
      </w:r>
      <w:r w:rsidR="00447F7A">
        <w:t>strictest</w:t>
      </w:r>
      <w:r w:rsidR="00F828E3">
        <w:t xml:space="preserve"> </w:t>
      </w:r>
      <w:r>
        <w:t>COVID</w:t>
      </w:r>
      <w:r>
        <w:noBreakHyphen/>
        <w:t>19</w:t>
      </w:r>
      <w:r w:rsidR="00F828E3">
        <w:t xml:space="preserve"> restrictions in Australia, there was no impact on coverage rates in children.</w:t>
      </w:r>
    </w:p>
    <w:p w14:paraId="59ED539F" w14:textId="1A7F6B2E" w:rsidR="00926040" w:rsidRDefault="00926040" w:rsidP="00862550">
      <w:pPr>
        <w:pStyle w:val="Heading3"/>
      </w:pPr>
      <w:bookmarkStart w:id="8" w:name="_Hlk59111517"/>
      <w:r w:rsidRPr="00926040">
        <w:lastRenderedPageBreak/>
        <w:t xml:space="preserve">Important changes to the Australian Immunisation Handbook  </w:t>
      </w:r>
      <w:bookmarkEnd w:id="8"/>
    </w:p>
    <w:p w14:paraId="0F2B842F" w14:textId="7361A434" w:rsidR="009A6E81" w:rsidRDefault="00AB476D" w:rsidP="009A6E81">
      <w:pPr>
        <w:pStyle w:val="Bullet"/>
      </w:pPr>
      <w:hyperlink r:id="rId23" w:history="1">
        <w:r w:rsidR="009A6E81" w:rsidRPr="00753CC3">
          <w:rPr>
            <w:rStyle w:val="Hyperlink"/>
          </w:rPr>
          <w:t>Pneumococcal disease chapter</w:t>
        </w:r>
      </w:hyperlink>
      <w:r w:rsidR="009A6E81">
        <w:t xml:space="preserve"> had major updates</w:t>
      </w:r>
      <w:r w:rsidR="0041505F">
        <w:t>.</w:t>
      </w:r>
      <w:r w:rsidR="009A6E81">
        <w:t xml:space="preserve"> </w:t>
      </w:r>
      <w:r w:rsidR="0041505F">
        <w:t>There are</w:t>
      </w:r>
      <w:r w:rsidR="009A6E81">
        <w:t xml:space="preserve"> new recommendations for</w:t>
      </w:r>
      <w:r w:rsidR="0041505F">
        <w:t xml:space="preserve"> older adults,</w:t>
      </w:r>
      <w:r w:rsidR="009A6E81">
        <w:t xml:space="preserve"> people with risk conditions, </w:t>
      </w:r>
      <w:r w:rsidR="0041505F">
        <w:t xml:space="preserve">and </w:t>
      </w:r>
      <w:r w:rsidR="009A6E81">
        <w:t xml:space="preserve">Aboriginal and Torres Strait Islander people. The list of </w:t>
      </w:r>
      <w:hyperlink r:id="rId24" w:history="1">
        <w:r w:rsidR="009A6E81" w:rsidRPr="009A6E81">
          <w:rPr>
            <w:rStyle w:val="Hyperlink"/>
          </w:rPr>
          <w:t>risk conditions for pneumococcal disease</w:t>
        </w:r>
      </w:hyperlink>
      <w:r w:rsidR="009A6E81">
        <w:t xml:space="preserve"> was also updated.</w:t>
      </w:r>
    </w:p>
    <w:p w14:paraId="70BF1E9F" w14:textId="74E6237E" w:rsidR="0041505F" w:rsidRDefault="00AB476D" w:rsidP="0041505F">
      <w:pPr>
        <w:pStyle w:val="Bullet"/>
      </w:pPr>
      <w:hyperlink r:id="rId25" w:history="1">
        <w:r w:rsidR="0041505F" w:rsidRPr="00753CC3">
          <w:rPr>
            <w:rStyle w:val="Hyperlink"/>
          </w:rPr>
          <w:t>Zoster chapter</w:t>
        </w:r>
      </w:hyperlink>
      <w:r w:rsidR="0041505F">
        <w:t xml:space="preserve"> was updated to help providers decide whether to give the live zoster vaccine (Zostavax) to people who are immunocompromised or on immunosuppressive therapy. There is also new </w:t>
      </w:r>
      <w:hyperlink r:id="rId26" w:history="1">
        <w:r w:rsidR="0041505F" w:rsidRPr="00DA4EA1">
          <w:rPr>
            <w:rStyle w:val="Hyperlink"/>
          </w:rPr>
          <w:t>guidance on pre-vaccination screening</w:t>
        </w:r>
      </w:hyperlink>
      <w:r w:rsidR="0041505F">
        <w:t xml:space="preserve"> and when it is safe to give live zoster vaccine to people on immunosuppressive therapy. </w:t>
      </w:r>
    </w:p>
    <w:p w14:paraId="253F923D" w14:textId="41A06D3C" w:rsidR="009A6E81" w:rsidRDefault="00AB476D" w:rsidP="009A6E81">
      <w:pPr>
        <w:pStyle w:val="Bullet"/>
      </w:pPr>
      <w:hyperlink r:id="rId27" w:history="1">
        <w:r w:rsidR="009A6E81" w:rsidRPr="00753CC3">
          <w:rPr>
            <w:rStyle w:val="Hyperlink"/>
          </w:rPr>
          <w:t>Hepatitis A chapter</w:t>
        </w:r>
      </w:hyperlink>
      <w:r w:rsidR="009A6E81">
        <w:t xml:space="preserve"> was updated</w:t>
      </w:r>
      <w:r w:rsidR="0041505F">
        <w:t>.</w:t>
      </w:r>
      <w:r w:rsidR="009A6E81">
        <w:t xml:space="preserve"> </w:t>
      </w:r>
      <w:r w:rsidR="0041505F">
        <w:t xml:space="preserve">There is a new recommendation for </w:t>
      </w:r>
      <w:r w:rsidR="009A6E81">
        <w:t xml:space="preserve">Aboriginal and Torres Strait Islander children in </w:t>
      </w:r>
      <w:r w:rsidR="0041505F">
        <w:t>some</w:t>
      </w:r>
      <w:r w:rsidR="009A6E81">
        <w:t xml:space="preserve"> states and territories.</w:t>
      </w:r>
    </w:p>
    <w:p w14:paraId="17E49354" w14:textId="41D222D4" w:rsidR="009A6E81" w:rsidRDefault="00AB476D" w:rsidP="009A6E81">
      <w:pPr>
        <w:pStyle w:val="Bullet"/>
      </w:pPr>
      <w:hyperlink r:id="rId28" w:history="1">
        <w:r w:rsidR="009A6E81" w:rsidRPr="00753CC3">
          <w:rPr>
            <w:rStyle w:val="Hyperlink"/>
          </w:rPr>
          <w:t>Vaccination for special risk groups chapter</w:t>
        </w:r>
      </w:hyperlink>
      <w:r w:rsidR="009A6E81">
        <w:t xml:space="preserve"> was updated in line with changes to disease chapters.</w:t>
      </w:r>
    </w:p>
    <w:p w14:paraId="0B9A5169" w14:textId="2A976CB1" w:rsidR="00C962EB" w:rsidRPr="000B330D" w:rsidRDefault="00AB476D" w:rsidP="009A6E81">
      <w:pPr>
        <w:pStyle w:val="Bullet"/>
      </w:pPr>
      <w:hyperlink r:id="rId29" w:history="1">
        <w:r w:rsidR="00C962EB" w:rsidRPr="00753CC3">
          <w:rPr>
            <w:rStyle w:val="Hyperlink"/>
          </w:rPr>
          <w:t>Online catch-up calculator</w:t>
        </w:r>
      </w:hyperlink>
      <w:r w:rsidR="000B330D">
        <w:t xml:space="preserve"> was released</w:t>
      </w:r>
      <w:r w:rsidR="0041505F">
        <w:t>.</w:t>
      </w:r>
      <w:r w:rsidR="000B330D">
        <w:t xml:space="preserve"> </w:t>
      </w:r>
      <w:r w:rsidR="0041505F">
        <w:t>This</w:t>
      </w:r>
      <w:r w:rsidR="000B330D" w:rsidRPr="00926040">
        <w:rPr>
          <w:iCs/>
        </w:rPr>
        <w:t xml:space="preserve"> help</w:t>
      </w:r>
      <w:r w:rsidR="0041505F">
        <w:rPr>
          <w:iCs/>
        </w:rPr>
        <w:t>s</w:t>
      </w:r>
      <w:r w:rsidR="000B330D" w:rsidRPr="00926040">
        <w:rPr>
          <w:iCs/>
        </w:rPr>
        <w:t xml:space="preserve"> immunisation providers plan catch-up schedules for </w:t>
      </w:r>
      <w:r w:rsidR="000B330D">
        <w:rPr>
          <w:iCs/>
        </w:rPr>
        <w:t xml:space="preserve">NIP </w:t>
      </w:r>
      <w:r w:rsidR="000B330D" w:rsidRPr="00926040">
        <w:rPr>
          <w:iCs/>
        </w:rPr>
        <w:t xml:space="preserve">vaccines for children </w:t>
      </w:r>
      <w:r w:rsidR="000B330D">
        <w:rPr>
          <w:iCs/>
        </w:rPr>
        <w:t xml:space="preserve">under </w:t>
      </w:r>
      <w:r w:rsidR="000B330D" w:rsidRPr="00926040">
        <w:rPr>
          <w:iCs/>
        </w:rPr>
        <w:t xml:space="preserve">10 years </w:t>
      </w:r>
      <w:r w:rsidR="0041505F">
        <w:rPr>
          <w:iCs/>
        </w:rPr>
        <w:t>old</w:t>
      </w:r>
      <w:r w:rsidR="000B330D">
        <w:rPr>
          <w:iCs/>
        </w:rPr>
        <w:t>.</w:t>
      </w:r>
    </w:p>
    <w:p w14:paraId="6410D34C" w14:textId="07DE2C74" w:rsidR="000B330D" w:rsidRDefault="00AB476D" w:rsidP="00753CC3">
      <w:pPr>
        <w:pStyle w:val="Bullet"/>
      </w:pPr>
      <w:hyperlink r:id="rId30" w:history="1">
        <w:r w:rsidR="000B330D" w:rsidRPr="00753CC3">
          <w:rPr>
            <w:rStyle w:val="Hyperlink"/>
            <w:iCs/>
          </w:rPr>
          <w:t>Handbook mobile app</w:t>
        </w:r>
      </w:hyperlink>
      <w:r w:rsidR="000B330D">
        <w:rPr>
          <w:iCs/>
        </w:rPr>
        <w:t xml:space="preserve"> was released</w:t>
      </w:r>
      <w:r w:rsidR="0041505F">
        <w:rPr>
          <w:iCs/>
        </w:rPr>
        <w:t>.</w:t>
      </w:r>
      <w:r w:rsidR="000B330D">
        <w:rPr>
          <w:iCs/>
        </w:rPr>
        <w:t xml:space="preserve"> </w:t>
      </w:r>
      <w:r w:rsidR="0041505F">
        <w:rPr>
          <w:iCs/>
        </w:rPr>
        <w:t xml:space="preserve">This </w:t>
      </w:r>
      <w:r w:rsidR="000B330D">
        <w:rPr>
          <w:iCs/>
        </w:rPr>
        <w:t>allow</w:t>
      </w:r>
      <w:r w:rsidR="0041505F">
        <w:rPr>
          <w:iCs/>
        </w:rPr>
        <w:t>s</w:t>
      </w:r>
      <w:r w:rsidR="000B330D">
        <w:rPr>
          <w:iCs/>
        </w:rPr>
        <w:t xml:space="preserve"> providers to access up-to-date Handbook content on their smartphone or tablet, even when offline.</w:t>
      </w:r>
    </w:p>
    <w:p w14:paraId="3427C429" w14:textId="017E64F4" w:rsidR="00926040" w:rsidRPr="00926040" w:rsidRDefault="00926040" w:rsidP="001A6409">
      <w:pPr>
        <w:pStyle w:val="Heading3"/>
      </w:pPr>
      <w:r w:rsidRPr="00926040">
        <w:t xml:space="preserve">Mandatory reporting to the </w:t>
      </w:r>
      <w:r w:rsidR="00244E9B">
        <w:t>Australian Immunisation Register</w:t>
      </w:r>
    </w:p>
    <w:p w14:paraId="53DD5410" w14:textId="715C1CDA" w:rsidR="009E513A" w:rsidRDefault="00637321" w:rsidP="00926040">
      <w:r>
        <w:t xml:space="preserve">In February 2021, the </w:t>
      </w:r>
      <w:hyperlink r:id="rId31" w:history="1">
        <w:r w:rsidRPr="00953AB3">
          <w:rPr>
            <w:rStyle w:val="HyperlinkItalics"/>
          </w:rPr>
          <w:t>Australian Immunisation Register Amendment (Reporting) Act 2021</w:t>
        </w:r>
      </w:hyperlink>
      <w:r>
        <w:t xml:space="preserve"> came into force. This Act</w:t>
      </w:r>
      <w:r w:rsidRPr="00926040">
        <w:t xml:space="preserve"> make</w:t>
      </w:r>
      <w:r>
        <w:t>s</w:t>
      </w:r>
      <w:r w:rsidRPr="00926040">
        <w:t xml:space="preserve"> it mandatory for all immunisation providers to </w:t>
      </w:r>
      <w:r w:rsidRPr="000D6913">
        <w:t>report all administered doses of vaccines to the AIR</w:t>
      </w:r>
      <w:r w:rsidRPr="00926040">
        <w:t>.</w:t>
      </w:r>
    </w:p>
    <w:p w14:paraId="749D362D" w14:textId="3CCCC0D3" w:rsidR="00926040" w:rsidRDefault="00926040" w:rsidP="00926040">
      <w:r w:rsidRPr="00926040">
        <w:t xml:space="preserve">This change will </w:t>
      </w:r>
      <w:r w:rsidR="00F053B5">
        <w:t>help to ensure</w:t>
      </w:r>
      <w:r w:rsidR="000D6913">
        <w:t xml:space="preserve"> that everyone </w:t>
      </w:r>
      <w:r w:rsidR="00F053B5">
        <w:t>has</w:t>
      </w:r>
      <w:r w:rsidR="000D6913">
        <w:t xml:space="preserve"> a complete record of the vaccines they </w:t>
      </w:r>
      <w:r w:rsidR="0041505F">
        <w:t>have</w:t>
      </w:r>
      <w:r w:rsidR="000D6913">
        <w:t xml:space="preserve"> throughout their life. This is important to inform individual vaccination decisions</w:t>
      </w:r>
      <w:r w:rsidR="009E513A">
        <w:t>,</w:t>
      </w:r>
      <w:r w:rsidRPr="00926040">
        <w:t xml:space="preserve"> as well as national management of VPD outbreaks. </w:t>
      </w:r>
    </w:p>
    <w:p w14:paraId="208FDD81" w14:textId="711272E2" w:rsidR="001A6409" w:rsidRPr="00926040" w:rsidRDefault="001A6409" w:rsidP="00926040">
      <w:r>
        <w:t>This change will apply to all immunisation providers, including pharmacists. Pharmacists have had a growing role in providing vaccinations</w:t>
      </w:r>
      <w:r w:rsidR="00D9762B">
        <w:t xml:space="preserve"> in recent years</w:t>
      </w:r>
      <w:r>
        <w:t xml:space="preserve">. </w:t>
      </w:r>
      <w:r>
        <w:rPr>
          <w:iCs/>
        </w:rPr>
        <w:t>This improve</w:t>
      </w:r>
      <w:r w:rsidR="00D24DC7">
        <w:rPr>
          <w:iCs/>
        </w:rPr>
        <w:t>s</w:t>
      </w:r>
      <w:r>
        <w:rPr>
          <w:iCs/>
        </w:rPr>
        <w:t xml:space="preserve"> access to vaccination and expand</w:t>
      </w:r>
      <w:r w:rsidR="00D24DC7">
        <w:rPr>
          <w:iCs/>
        </w:rPr>
        <w:t>s</w:t>
      </w:r>
      <w:r>
        <w:rPr>
          <w:iCs/>
        </w:rPr>
        <w:t xml:space="preserve"> the workforce of immunisation providers. However, a study in 2020 found that many pharmacists were </w:t>
      </w:r>
      <w:hyperlink r:id="rId32" w:history="1">
        <w:r w:rsidR="00D9762B">
          <w:rPr>
            <w:rStyle w:val="Hyperlink"/>
            <w:iCs/>
          </w:rPr>
          <w:t>not reporting vaccinations to the AIR</w:t>
        </w:r>
      </w:hyperlink>
      <w:r>
        <w:rPr>
          <w:iCs/>
        </w:rPr>
        <w:t>.</w:t>
      </w:r>
    </w:p>
    <w:p w14:paraId="4E346205" w14:textId="0877A0C5" w:rsidR="00926040" w:rsidRPr="00926040" w:rsidRDefault="00926040" w:rsidP="001A6409">
      <w:pPr>
        <w:pStyle w:val="Heading3"/>
      </w:pPr>
      <w:r w:rsidRPr="00926040">
        <w:t>‘No Jab, No Pay’ policy</w:t>
      </w:r>
    </w:p>
    <w:p w14:paraId="7BA88C1F" w14:textId="000A33EA" w:rsidR="009E513A" w:rsidRDefault="00926040" w:rsidP="00926040">
      <w:r w:rsidRPr="00926040">
        <w:t>The Australian Government’s ‘No Jab, No Pay’ policy was introduced in 2016</w:t>
      </w:r>
      <w:r w:rsidR="00807E98">
        <w:t>.</w:t>
      </w:r>
      <w:r w:rsidRPr="00926040">
        <w:t xml:space="preserve"> </w:t>
      </w:r>
      <w:r w:rsidR="00807E98">
        <w:t>It aims to increase</w:t>
      </w:r>
      <w:r w:rsidRPr="00926040">
        <w:t xml:space="preserve"> </w:t>
      </w:r>
      <w:r w:rsidR="005B7013">
        <w:t>immunisation</w:t>
      </w:r>
      <w:r w:rsidR="005B7013" w:rsidRPr="00926040">
        <w:t xml:space="preserve"> </w:t>
      </w:r>
      <w:r w:rsidRPr="00926040">
        <w:t xml:space="preserve">coverage in children. </w:t>
      </w:r>
      <w:r w:rsidR="00807E98">
        <w:t>C</w:t>
      </w:r>
      <w:r w:rsidR="000D6913">
        <w:t>hildren must be fully immunised before a family can receive family assistance payments from the government.</w:t>
      </w:r>
    </w:p>
    <w:p w14:paraId="4AA13574" w14:textId="6B6666BB" w:rsidR="00926040" w:rsidRDefault="00E226C7" w:rsidP="00926040">
      <w:r>
        <w:t>A study in 2020</w:t>
      </w:r>
      <w:r w:rsidR="00926040" w:rsidRPr="00926040">
        <w:t xml:space="preserve"> found that </w:t>
      </w:r>
      <w:r w:rsidR="000D6913">
        <w:t>the ‘No Jab, No Pay’ policy</w:t>
      </w:r>
      <w:r w:rsidR="00926040" w:rsidRPr="00926040">
        <w:t xml:space="preserve"> and associated </w:t>
      </w:r>
      <w:r w:rsidR="00807E98">
        <w:t xml:space="preserve">program </w:t>
      </w:r>
      <w:r w:rsidR="00926040" w:rsidRPr="00926040">
        <w:t xml:space="preserve">improvements have </w:t>
      </w:r>
      <w:r w:rsidR="00807E98">
        <w:t>helped</w:t>
      </w:r>
      <w:r w:rsidR="00807E98" w:rsidRPr="00926040">
        <w:t xml:space="preserve"> </w:t>
      </w:r>
      <w:r w:rsidR="00926040" w:rsidRPr="00926040">
        <w:t xml:space="preserve">to </w:t>
      </w:r>
      <w:hyperlink r:id="rId33" w:history="1">
        <w:r w:rsidR="00807E98">
          <w:rPr>
            <w:rStyle w:val="Hyperlink"/>
          </w:rPr>
          <w:t>increase catch-up vaccination</w:t>
        </w:r>
      </w:hyperlink>
      <w:r w:rsidR="00926040" w:rsidRPr="00926040">
        <w:t xml:space="preserve">, particularly in families of lower socioeconomic status. </w:t>
      </w:r>
    </w:p>
    <w:p w14:paraId="5F12FBA6" w14:textId="6BCE32F2" w:rsidR="00D405A8" w:rsidRPr="00D405A8" w:rsidRDefault="00D405A8" w:rsidP="00D405A8">
      <w:pPr>
        <w:pStyle w:val="Heading2"/>
      </w:pPr>
      <w:bookmarkStart w:id="9" w:name="_Toc72165384"/>
      <w:r>
        <w:t>New vaccines</w:t>
      </w:r>
      <w:bookmarkEnd w:id="9"/>
    </w:p>
    <w:p w14:paraId="6C7FAE8C" w14:textId="16B95588" w:rsidR="00926040" w:rsidRPr="00926040" w:rsidRDefault="0086604A" w:rsidP="00926040">
      <w:r>
        <w:t>S</w:t>
      </w:r>
      <w:r w:rsidR="00926040" w:rsidRPr="00926040">
        <w:t xml:space="preserve">everal new vaccines </w:t>
      </w:r>
      <w:r>
        <w:t>were</w:t>
      </w:r>
      <w:r w:rsidRPr="00926040">
        <w:t xml:space="preserve"> </w:t>
      </w:r>
      <w:r w:rsidR="00926040" w:rsidRPr="00926040">
        <w:t xml:space="preserve">registered with </w:t>
      </w:r>
      <w:r>
        <w:t>Australia’s</w:t>
      </w:r>
      <w:r w:rsidRPr="00926040">
        <w:t xml:space="preserve"> </w:t>
      </w:r>
      <w:r w:rsidR="00926040" w:rsidRPr="00926040">
        <w:t xml:space="preserve">Therapeutic Goods Administration (TGA) in </w:t>
      </w:r>
      <w:r>
        <w:t>2020</w:t>
      </w:r>
      <w:r w:rsidR="00926040" w:rsidRPr="00926040">
        <w:t xml:space="preserve">. </w:t>
      </w:r>
    </w:p>
    <w:tbl>
      <w:tblPr>
        <w:tblStyle w:val="TableGrid"/>
        <w:tblW w:w="5000" w:type="pct"/>
        <w:tblLook w:val="04A0" w:firstRow="1" w:lastRow="0" w:firstColumn="1" w:lastColumn="0" w:noHBand="0" w:noVBand="1"/>
        <w:tblCaption w:val="Vaccine Information"/>
        <w:tblDescription w:val="Vaccine brand name Description Protects against Registered for use in ages&#10;Fluzone High-Dose Quadrivalent Inactivated quadrivalent influenza vaccine Influenza  ≥65 years &#10;Flucelvax Quad Quadrivalent influenza vaccine (surface antigen, inactivated) Influenza ≥9 years &#10;MenQuadfi Meningococcal ACWY tetanus toxoid conjugate vaccine Meningococcal disease  ≥12 months &#10;"/>
      </w:tblPr>
      <w:tblGrid>
        <w:gridCol w:w="2080"/>
        <w:gridCol w:w="2892"/>
        <w:gridCol w:w="1911"/>
        <w:gridCol w:w="2133"/>
      </w:tblGrid>
      <w:tr w:rsidR="005B7013" w:rsidRPr="00926040" w14:paraId="12D38299" w14:textId="77777777" w:rsidTr="00151A28">
        <w:trPr>
          <w:tblHeader/>
        </w:trPr>
        <w:tc>
          <w:tcPr>
            <w:tcW w:w="1153" w:type="pct"/>
          </w:tcPr>
          <w:p w14:paraId="7958328F" w14:textId="77777777" w:rsidR="005B7013" w:rsidRPr="00926040" w:rsidRDefault="005B7013" w:rsidP="00926040">
            <w:pPr>
              <w:pStyle w:val="TableHeading"/>
            </w:pPr>
            <w:r w:rsidRPr="00926040">
              <w:lastRenderedPageBreak/>
              <w:t>Vaccine brand name</w:t>
            </w:r>
          </w:p>
        </w:tc>
        <w:tc>
          <w:tcPr>
            <w:tcW w:w="1604" w:type="pct"/>
          </w:tcPr>
          <w:p w14:paraId="479881F9" w14:textId="77777777" w:rsidR="005B7013" w:rsidRPr="00926040" w:rsidRDefault="005B7013" w:rsidP="00926040">
            <w:pPr>
              <w:pStyle w:val="TableHeading"/>
            </w:pPr>
            <w:r w:rsidRPr="00926040">
              <w:t>Description</w:t>
            </w:r>
          </w:p>
        </w:tc>
        <w:tc>
          <w:tcPr>
            <w:tcW w:w="1060" w:type="pct"/>
          </w:tcPr>
          <w:p w14:paraId="40BF0832" w14:textId="2BDE5E45" w:rsidR="005B7013" w:rsidRPr="00926040" w:rsidRDefault="005B7013" w:rsidP="00926040">
            <w:pPr>
              <w:pStyle w:val="TableHeading"/>
            </w:pPr>
            <w:r>
              <w:t>Protects against</w:t>
            </w:r>
          </w:p>
        </w:tc>
        <w:tc>
          <w:tcPr>
            <w:tcW w:w="1183" w:type="pct"/>
          </w:tcPr>
          <w:p w14:paraId="7BAA3EBA" w14:textId="49EE1477" w:rsidR="005B7013" w:rsidRPr="00926040" w:rsidRDefault="005B7013" w:rsidP="00926040">
            <w:pPr>
              <w:pStyle w:val="TableHeading"/>
            </w:pPr>
            <w:r w:rsidRPr="00926040">
              <w:t xml:space="preserve">Registered </w:t>
            </w:r>
            <w:r>
              <w:t xml:space="preserve">for </w:t>
            </w:r>
            <w:r w:rsidRPr="00926040">
              <w:t>use in ages</w:t>
            </w:r>
          </w:p>
        </w:tc>
      </w:tr>
      <w:tr w:rsidR="005B7013" w:rsidRPr="00926040" w14:paraId="16605AA6" w14:textId="77777777" w:rsidTr="005B7013">
        <w:tc>
          <w:tcPr>
            <w:tcW w:w="1153" w:type="pct"/>
          </w:tcPr>
          <w:p w14:paraId="5745D00B" w14:textId="3E3E0ED4" w:rsidR="005B7013" w:rsidRPr="00926040" w:rsidRDefault="005B7013" w:rsidP="00926040">
            <w:pPr>
              <w:pStyle w:val="TableText"/>
            </w:pPr>
            <w:r w:rsidRPr="00926040">
              <w:t xml:space="preserve">Fluzone </w:t>
            </w:r>
            <w:r w:rsidR="00D24DC7" w:rsidRPr="00926040">
              <w:t>High</w:t>
            </w:r>
            <w:r w:rsidR="00D24DC7">
              <w:t>-</w:t>
            </w:r>
            <w:r w:rsidR="00D24DC7" w:rsidRPr="00926040">
              <w:t xml:space="preserve">Dose </w:t>
            </w:r>
            <w:r w:rsidRPr="00926040">
              <w:t>Quadrivalent</w:t>
            </w:r>
          </w:p>
        </w:tc>
        <w:tc>
          <w:tcPr>
            <w:tcW w:w="1604" w:type="pct"/>
          </w:tcPr>
          <w:p w14:paraId="2C4B1322" w14:textId="0CD345E6" w:rsidR="005B7013" w:rsidRPr="00926040" w:rsidRDefault="005B7013" w:rsidP="00926040">
            <w:pPr>
              <w:pStyle w:val="TableText"/>
            </w:pPr>
            <w:r>
              <w:t>I</w:t>
            </w:r>
            <w:r w:rsidRPr="00926040">
              <w:t>nactivated quadrivalent influenza vaccine</w:t>
            </w:r>
          </w:p>
        </w:tc>
        <w:tc>
          <w:tcPr>
            <w:tcW w:w="1060" w:type="pct"/>
          </w:tcPr>
          <w:p w14:paraId="5729D0B9" w14:textId="77777777" w:rsidR="005B7013" w:rsidRPr="00926040" w:rsidRDefault="005B7013" w:rsidP="00926040">
            <w:pPr>
              <w:pStyle w:val="TableText"/>
            </w:pPr>
            <w:r w:rsidRPr="00926040">
              <w:t xml:space="preserve">Influenza </w:t>
            </w:r>
          </w:p>
        </w:tc>
        <w:tc>
          <w:tcPr>
            <w:tcW w:w="1183" w:type="pct"/>
          </w:tcPr>
          <w:p w14:paraId="7A392D15" w14:textId="1AB8A8FD" w:rsidR="005B7013" w:rsidRPr="00926040" w:rsidRDefault="005B7013" w:rsidP="00926040">
            <w:pPr>
              <w:pStyle w:val="TableText"/>
            </w:pPr>
            <w:r w:rsidRPr="00926040">
              <w:t xml:space="preserve">≥65 years </w:t>
            </w:r>
          </w:p>
        </w:tc>
      </w:tr>
      <w:tr w:rsidR="005B7013" w:rsidRPr="00926040" w14:paraId="2DBE7ACA" w14:textId="77777777" w:rsidTr="005B7013">
        <w:tc>
          <w:tcPr>
            <w:tcW w:w="1153" w:type="pct"/>
          </w:tcPr>
          <w:p w14:paraId="09824615" w14:textId="77777777" w:rsidR="005B7013" w:rsidRPr="00926040" w:rsidRDefault="005B7013" w:rsidP="00926040">
            <w:pPr>
              <w:pStyle w:val="TableText"/>
            </w:pPr>
            <w:r w:rsidRPr="00926040">
              <w:t>Flucelvax Quad</w:t>
            </w:r>
          </w:p>
        </w:tc>
        <w:tc>
          <w:tcPr>
            <w:tcW w:w="1604" w:type="pct"/>
          </w:tcPr>
          <w:p w14:paraId="65C75ACF" w14:textId="202D5150" w:rsidR="005B7013" w:rsidRPr="00926040" w:rsidRDefault="005B7013" w:rsidP="00926040">
            <w:pPr>
              <w:pStyle w:val="TableText"/>
            </w:pPr>
            <w:r>
              <w:t>Q</w:t>
            </w:r>
            <w:r w:rsidRPr="00926040">
              <w:t>uadrivalent influenza vaccine (surface antigen, inactivated)</w:t>
            </w:r>
          </w:p>
        </w:tc>
        <w:tc>
          <w:tcPr>
            <w:tcW w:w="1060" w:type="pct"/>
          </w:tcPr>
          <w:p w14:paraId="2BF3A678" w14:textId="77777777" w:rsidR="005B7013" w:rsidRPr="00926040" w:rsidRDefault="005B7013" w:rsidP="00926040">
            <w:pPr>
              <w:pStyle w:val="TableText"/>
            </w:pPr>
            <w:r w:rsidRPr="00926040">
              <w:t>Influenza</w:t>
            </w:r>
          </w:p>
        </w:tc>
        <w:tc>
          <w:tcPr>
            <w:tcW w:w="1183" w:type="pct"/>
          </w:tcPr>
          <w:p w14:paraId="3D461951" w14:textId="3937B3C6" w:rsidR="005B7013" w:rsidRPr="00926040" w:rsidRDefault="005B7013" w:rsidP="00926040">
            <w:pPr>
              <w:pStyle w:val="TableText"/>
            </w:pPr>
            <w:r w:rsidRPr="00926040">
              <w:t xml:space="preserve">≥9 years </w:t>
            </w:r>
          </w:p>
        </w:tc>
      </w:tr>
      <w:tr w:rsidR="005B7013" w:rsidRPr="00926040" w14:paraId="7CECF06A" w14:textId="77777777" w:rsidTr="005B7013">
        <w:tc>
          <w:tcPr>
            <w:tcW w:w="1153" w:type="pct"/>
          </w:tcPr>
          <w:p w14:paraId="7F795964" w14:textId="77777777" w:rsidR="005B7013" w:rsidRPr="00926040" w:rsidRDefault="005B7013" w:rsidP="00926040">
            <w:pPr>
              <w:pStyle w:val="TableText"/>
            </w:pPr>
            <w:r w:rsidRPr="00926040">
              <w:t>MenQuadfi</w:t>
            </w:r>
          </w:p>
        </w:tc>
        <w:tc>
          <w:tcPr>
            <w:tcW w:w="1604" w:type="pct"/>
          </w:tcPr>
          <w:p w14:paraId="6D675281" w14:textId="05952BDA" w:rsidR="005B7013" w:rsidRPr="00926040" w:rsidRDefault="005B7013" w:rsidP="00926040">
            <w:pPr>
              <w:pStyle w:val="TableText"/>
            </w:pPr>
            <w:r>
              <w:t>M</w:t>
            </w:r>
            <w:r w:rsidRPr="00926040">
              <w:t>eningococcal ACWY tetanus toxoid conjugate vaccine</w:t>
            </w:r>
          </w:p>
        </w:tc>
        <w:tc>
          <w:tcPr>
            <w:tcW w:w="1060" w:type="pct"/>
          </w:tcPr>
          <w:p w14:paraId="2FD4FE66" w14:textId="052CF2B6" w:rsidR="005B7013" w:rsidRPr="00926040" w:rsidRDefault="005B7013" w:rsidP="00926040">
            <w:pPr>
              <w:pStyle w:val="TableText"/>
            </w:pPr>
            <w:r w:rsidRPr="00926040">
              <w:t>Meningococcal</w:t>
            </w:r>
            <w:r>
              <w:t xml:space="preserve"> disease</w:t>
            </w:r>
            <w:r w:rsidRPr="00926040">
              <w:t xml:space="preserve"> </w:t>
            </w:r>
          </w:p>
        </w:tc>
        <w:tc>
          <w:tcPr>
            <w:tcW w:w="1183" w:type="pct"/>
          </w:tcPr>
          <w:p w14:paraId="19305950" w14:textId="28F87FCF" w:rsidR="005B7013" w:rsidRPr="00926040" w:rsidRDefault="005B7013" w:rsidP="00926040">
            <w:pPr>
              <w:pStyle w:val="TableText"/>
            </w:pPr>
            <w:r w:rsidRPr="00926040">
              <w:t xml:space="preserve">≥12 months </w:t>
            </w:r>
          </w:p>
        </w:tc>
      </w:tr>
    </w:tbl>
    <w:p w14:paraId="28D005F9" w14:textId="77777777" w:rsidR="00926040" w:rsidRPr="00926040" w:rsidRDefault="00926040" w:rsidP="00D405A8">
      <w:pPr>
        <w:pStyle w:val="TFIHolderSpace"/>
      </w:pPr>
    </w:p>
    <w:p w14:paraId="0B276612" w14:textId="189F63EA" w:rsidR="00103D47" w:rsidRDefault="009F67E4" w:rsidP="00926040">
      <w:r>
        <w:t>ATAGI monitors new vaccines for their potential to be included on the NIP. Vaccines recommended for the NIP need to show benefits for the Australian population or high-risk groups</w:t>
      </w:r>
      <w:r w:rsidR="00807E98">
        <w:t>.</w:t>
      </w:r>
      <w:r>
        <w:t xml:space="preserve"> </w:t>
      </w:r>
      <w:r w:rsidR="00807E98">
        <w:t>They also</w:t>
      </w:r>
      <w:r>
        <w:t xml:space="preserve"> need to be cost-effective. </w:t>
      </w:r>
    </w:p>
    <w:p w14:paraId="35C8C12E" w14:textId="6DCBAC4F" w:rsidR="00D405A8" w:rsidRDefault="00D405A8" w:rsidP="00D405A8">
      <w:pPr>
        <w:pStyle w:val="Heading2"/>
      </w:pPr>
      <w:bookmarkStart w:id="10" w:name="_Toc72165385"/>
      <w:r>
        <w:t>Vaccine safety</w:t>
      </w:r>
      <w:bookmarkEnd w:id="10"/>
    </w:p>
    <w:p w14:paraId="57032CD2" w14:textId="0FD2146B" w:rsidR="00716B93" w:rsidRDefault="00D24DC7" w:rsidP="00716B93">
      <w:pPr>
        <w:pStyle w:val="NormalBeforeBullet"/>
      </w:pPr>
      <w:r>
        <w:t>The TGA has overall responsibility for</w:t>
      </w:r>
      <w:r w:rsidR="00103D47" w:rsidRPr="00926040">
        <w:t xml:space="preserve"> </w:t>
      </w:r>
      <w:r w:rsidR="00926040" w:rsidRPr="00926040">
        <w:t>vaccine safety surveillance</w:t>
      </w:r>
      <w:r>
        <w:t xml:space="preserve"> in Australia.</w:t>
      </w:r>
      <w:r w:rsidR="00716B93">
        <w:t xml:space="preserve"> </w:t>
      </w:r>
      <w:r>
        <w:t>V</w:t>
      </w:r>
      <w:r w:rsidRPr="00926040">
        <w:t>accine safety surveillance</w:t>
      </w:r>
      <w:r>
        <w:t xml:space="preserve"> is conducted </w:t>
      </w:r>
      <w:r w:rsidR="00716B93">
        <w:t>in 2 ways:</w:t>
      </w:r>
      <w:r w:rsidR="00926040" w:rsidRPr="00926040">
        <w:t xml:space="preserve"> </w:t>
      </w:r>
    </w:p>
    <w:p w14:paraId="4FBB4807" w14:textId="4B53BD09" w:rsidR="00716B93" w:rsidRDefault="00D24DC7" w:rsidP="00716B93">
      <w:pPr>
        <w:pStyle w:val="Bullet"/>
      </w:pPr>
      <w:r>
        <w:t>P</w:t>
      </w:r>
      <w:r w:rsidR="00716B93">
        <w:t>assive surveillance</w:t>
      </w:r>
      <w:r>
        <w:t xml:space="preserve"> is</w:t>
      </w:r>
      <w:r w:rsidR="00716B93">
        <w:t xml:space="preserve"> where </w:t>
      </w:r>
      <w:r w:rsidR="00D405A1">
        <w:t xml:space="preserve">people who have been vaccinated </w:t>
      </w:r>
      <w:r>
        <w:t xml:space="preserve">and/or their carers </w:t>
      </w:r>
      <w:r w:rsidR="00033998">
        <w:t xml:space="preserve">can </w:t>
      </w:r>
      <w:hyperlink r:id="rId34" w:history="1">
        <w:r w:rsidR="00033998">
          <w:rPr>
            <w:rStyle w:val="Hyperlink"/>
          </w:rPr>
          <w:t>report any vaccine side effects</w:t>
        </w:r>
      </w:hyperlink>
      <w:r w:rsidR="00716B93">
        <w:t xml:space="preserve"> they have experienced</w:t>
      </w:r>
      <w:r w:rsidR="00033998">
        <w:t>.</w:t>
      </w:r>
      <w:r w:rsidR="00D405A1">
        <w:t xml:space="preserve"> </w:t>
      </w:r>
      <w:r>
        <w:t>Reports can be made</w:t>
      </w:r>
      <w:r w:rsidR="00033998">
        <w:t xml:space="preserve"> </w:t>
      </w:r>
      <w:r w:rsidR="00D405A1">
        <w:t xml:space="preserve">directly </w:t>
      </w:r>
      <w:r w:rsidR="00033998">
        <w:t xml:space="preserve">to the TGA </w:t>
      </w:r>
      <w:r w:rsidR="00D405A1">
        <w:t xml:space="preserve">or through </w:t>
      </w:r>
      <w:r>
        <w:t>a</w:t>
      </w:r>
      <w:r w:rsidR="00D405A1">
        <w:t xml:space="preserve"> health</w:t>
      </w:r>
      <w:r w:rsidR="00033998">
        <w:t xml:space="preserve"> </w:t>
      </w:r>
      <w:r w:rsidR="00D405A1">
        <w:t>care provider</w:t>
      </w:r>
      <w:r w:rsidR="00033998">
        <w:t>.</w:t>
      </w:r>
      <w:r w:rsidR="00716B93">
        <w:t xml:space="preserve"> </w:t>
      </w:r>
    </w:p>
    <w:p w14:paraId="14317C9E" w14:textId="36CE93D0" w:rsidR="00716B93" w:rsidRDefault="00D24DC7" w:rsidP="00716B93">
      <w:pPr>
        <w:pStyle w:val="BulletLast"/>
      </w:pPr>
      <w:r>
        <w:t>A</w:t>
      </w:r>
      <w:r w:rsidR="00716B93">
        <w:t>ctive surveillance</w:t>
      </w:r>
      <w:r>
        <w:t xml:space="preserve"> is</w:t>
      </w:r>
      <w:r w:rsidR="00716B93">
        <w:t xml:space="preserve"> where </w:t>
      </w:r>
      <w:r w:rsidR="00D405A1">
        <w:t>people who have been vaccinated</w:t>
      </w:r>
      <w:r w:rsidR="006B20B6">
        <w:t xml:space="preserve"> </w:t>
      </w:r>
      <w:r>
        <w:t xml:space="preserve">and/or their carers </w:t>
      </w:r>
      <w:r w:rsidR="006B20B6">
        <w:t>are contacted</w:t>
      </w:r>
      <w:r w:rsidR="00716B93">
        <w:t xml:space="preserve"> </w:t>
      </w:r>
      <w:r>
        <w:t>directly and asked</w:t>
      </w:r>
      <w:r w:rsidR="00716B93">
        <w:t xml:space="preserve"> if they have experienced any vaccine </w:t>
      </w:r>
      <w:r w:rsidR="006B20B6">
        <w:t>side effects</w:t>
      </w:r>
      <w:r w:rsidR="00716B93">
        <w:t>.</w:t>
      </w:r>
      <w:r w:rsidR="006B20B6">
        <w:t xml:space="preserve"> </w:t>
      </w:r>
      <w:r>
        <w:t>The current</w:t>
      </w:r>
      <w:r w:rsidR="006B20B6">
        <w:t xml:space="preserve"> active </w:t>
      </w:r>
      <w:r w:rsidR="00D10C9D">
        <w:t xml:space="preserve">vaccine safety </w:t>
      </w:r>
      <w:r w:rsidR="006B20B6">
        <w:t xml:space="preserve">surveillance is </w:t>
      </w:r>
      <w:r w:rsidR="00D10C9D">
        <w:t xml:space="preserve">known as </w:t>
      </w:r>
      <w:r w:rsidR="006B20B6">
        <w:t xml:space="preserve">the </w:t>
      </w:r>
      <w:hyperlink r:id="rId35" w:history="1">
        <w:r w:rsidR="006B20B6" w:rsidRPr="007E7937">
          <w:rPr>
            <w:rStyle w:val="Hyperlink"/>
          </w:rPr>
          <w:t>AusVaxSafety system</w:t>
        </w:r>
      </w:hyperlink>
      <w:r w:rsidR="007E7937">
        <w:t>.</w:t>
      </w:r>
    </w:p>
    <w:p w14:paraId="616334B5" w14:textId="3740833E" w:rsidR="00926040" w:rsidRPr="00926040" w:rsidRDefault="00926040" w:rsidP="00926040">
      <w:pPr>
        <w:rPr>
          <w:iCs/>
        </w:rPr>
      </w:pPr>
      <w:r w:rsidRPr="00926040">
        <w:rPr>
          <w:iCs/>
        </w:rPr>
        <w:t>ATAGI continue</w:t>
      </w:r>
      <w:r w:rsidR="00D10C9D">
        <w:rPr>
          <w:iCs/>
        </w:rPr>
        <w:t>s</w:t>
      </w:r>
      <w:r w:rsidRPr="00926040">
        <w:rPr>
          <w:iCs/>
        </w:rPr>
        <w:t xml:space="preserve"> to work closely with the TGA to advise </w:t>
      </w:r>
      <w:r w:rsidR="009F67E4">
        <w:rPr>
          <w:iCs/>
        </w:rPr>
        <w:t xml:space="preserve">on </w:t>
      </w:r>
      <w:r w:rsidRPr="00926040">
        <w:rPr>
          <w:iCs/>
        </w:rPr>
        <w:t xml:space="preserve">and promote the safe use of all vaccines, including </w:t>
      </w:r>
      <w:r w:rsidR="008F12C1">
        <w:rPr>
          <w:iCs/>
        </w:rPr>
        <w:t>COVID</w:t>
      </w:r>
      <w:r w:rsidR="008F12C1">
        <w:rPr>
          <w:iCs/>
        </w:rPr>
        <w:noBreakHyphen/>
        <w:t>19</w:t>
      </w:r>
      <w:r w:rsidRPr="00926040">
        <w:rPr>
          <w:iCs/>
        </w:rPr>
        <w:t xml:space="preserve"> vaccines. </w:t>
      </w:r>
    </w:p>
    <w:p w14:paraId="35E9F186" w14:textId="77777777" w:rsidR="00926040" w:rsidRPr="00926040" w:rsidRDefault="00926040" w:rsidP="00862550">
      <w:pPr>
        <w:pStyle w:val="Heading3"/>
      </w:pPr>
      <w:r w:rsidRPr="00926040">
        <w:t>Safe use of Zostavax</w:t>
      </w:r>
    </w:p>
    <w:p w14:paraId="1E1C0B3B" w14:textId="2AB2876F" w:rsidR="00F479BC" w:rsidRDefault="00D4234C" w:rsidP="00F479BC">
      <w:pPr>
        <w:rPr>
          <w:iCs/>
        </w:rPr>
      </w:pPr>
      <w:r>
        <w:rPr>
          <w:iCs/>
        </w:rPr>
        <w:t>Zostavax is a vaccine that protects</w:t>
      </w:r>
      <w:r w:rsidRPr="00926040" w:rsidDel="00D4234C">
        <w:rPr>
          <w:iCs/>
        </w:rPr>
        <w:t xml:space="preserve"> </w:t>
      </w:r>
      <w:r w:rsidR="00F479BC" w:rsidRPr="00926040">
        <w:rPr>
          <w:iCs/>
        </w:rPr>
        <w:t xml:space="preserve">older Australians from </w:t>
      </w:r>
      <w:r>
        <w:rPr>
          <w:iCs/>
        </w:rPr>
        <w:t>shingles (</w:t>
      </w:r>
      <w:r w:rsidR="00F479BC" w:rsidRPr="00926040">
        <w:rPr>
          <w:iCs/>
        </w:rPr>
        <w:t>herpes zoster</w:t>
      </w:r>
      <w:r>
        <w:rPr>
          <w:iCs/>
        </w:rPr>
        <w:t>)</w:t>
      </w:r>
      <w:r w:rsidR="00F479BC" w:rsidRPr="00926040">
        <w:rPr>
          <w:iCs/>
        </w:rPr>
        <w:t xml:space="preserve"> and its complications. </w:t>
      </w:r>
    </w:p>
    <w:p w14:paraId="6C27AA43" w14:textId="2F33BF88" w:rsidR="0079570A" w:rsidRDefault="00F479BC" w:rsidP="00926040">
      <w:pPr>
        <w:rPr>
          <w:iCs/>
        </w:rPr>
      </w:pPr>
      <w:r>
        <w:rPr>
          <w:iCs/>
        </w:rPr>
        <w:t>I</w:t>
      </w:r>
      <w:r w:rsidR="00926040" w:rsidRPr="00926040">
        <w:rPr>
          <w:iCs/>
        </w:rPr>
        <w:t>n July 2020</w:t>
      </w:r>
      <w:r>
        <w:rPr>
          <w:iCs/>
        </w:rPr>
        <w:t>,</w:t>
      </w:r>
      <w:r w:rsidR="00926040" w:rsidRPr="00926040">
        <w:rPr>
          <w:iCs/>
        </w:rPr>
        <w:t xml:space="preserve"> </w:t>
      </w:r>
      <w:r>
        <w:rPr>
          <w:iCs/>
        </w:rPr>
        <w:t xml:space="preserve">the TGA </w:t>
      </w:r>
      <w:r w:rsidR="0079570A">
        <w:rPr>
          <w:iCs/>
        </w:rPr>
        <w:t>published</w:t>
      </w:r>
      <w:r>
        <w:rPr>
          <w:iCs/>
        </w:rPr>
        <w:t xml:space="preserve"> a </w:t>
      </w:r>
      <w:hyperlink r:id="rId36" w:history="1">
        <w:r w:rsidRPr="0079570A">
          <w:rPr>
            <w:rStyle w:val="Hyperlink"/>
            <w:iCs/>
          </w:rPr>
          <w:t>safety advisory about Zostavax</w:t>
        </w:r>
      </w:hyperlink>
      <w:r>
        <w:rPr>
          <w:iCs/>
        </w:rPr>
        <w:t xml:space="preserve"> </w:t>
      </w:r>
      <w:r w:rsidR="0079570A">
        <w:rPr>
          <w:iCs/>
        </w:rPr>
        <w:t xml:space="preserve">because </w:t>
      </w:r>
      <w:r w:rsidR="00D10C9D">
        <w:rPr>
          <w:iCs/>
        </w:rPr>
        <w:t>of a serious adverse event</w:t>
      </w:r>
      <w:r w:rsidR="0079570A">
        <w:rPr>
          <w:iCs/>
        </w:rPr>
        <w:t>.</w:t>
      </w:r>
      <w:r w:rsidR="00926040" w:rsidRPr="00926040">
        <w:rPr>
          <w:iCs/>
        </w:rPr>
        <w:t xml:space="preserve"> </w:t>
      </w:r>
      <w:r w:rsidR="0079570A">
        <w:rPr>
          <w:iCs/>
        </w:rPr>
        <w:t xml:space="preserve">Another </w:t>
      </w:r>
      <w:hyperlink r:id="rId37" w:history="1">
        <w:r w:rsidR="0079570A" w:rsidRPr="0079570A">
          <w:rPr>
            <w:rStyle w:val="Hyperlink"/>
            <w:iCs/>
          </w:rPr>
          <w:t>TGA safety advisory</w:t>
        </w:r>
      </w:hyperlink>
      <w:r w:rsidR="0079570A">
        <w:rPr>
          <w:iCs/>
        </w:rPr>
        <w:t xml:space="preserve"> and a </w:t>
      </w:r>
      <w:hyperlink r:id="rId38" w:history="1">
        <w:r w:rsidR="0079570A" w:rsidRPr="0079570A">
          <w:rPr>
            <w:rStyle w:val="Hyperlink"/>
            <w:iCs/>
          </w:rPr>
          <w:t>safety alert from the Chief Medical Officer</w:t>
        </w:r>
      </w:hyperlink>
      <w:r w:rsidR="0079570A">
        <w:rPr>
          <w:iCs/>
        </w:rPr>
        <w:t xml:space="preserve"> were published in December 2020</w:t>
      </w:r>
      <w:r w:rsidR="00D9762B">
        <w:rPr>
          <w:iCs/>
        </w:rPr>
        <w:t xml:space="preserve"> after another </w:t>
      </w:r>
      <w:r w:rsidR="00D10C9D">
        <w:rPr>
          <w:iCs/>
        </w:rPr>
        <w:t>serious adverse event</w:t>
      </w:r>
      <w:r w:rsidR="0079570A">
        <w:rPr>
          <w:iCs/>
        </w:rPr>
        <w:t>.</w:t>
      </w:r>
    </w:p>
    <w:p w14:paraId="4435C995" w14:textId="41DECA40" w:rsidR="00D9762B" w:rsidRPr="00926040" w:rsidRDefault="00D10C9D" w:rsidP="00926040">
      <w:r>
        <w:rPr>
          <w:iCs/>
        </w:rPr>
        <w:t xml:space="preserve">As a result of these adverse events, </w:t>
      </w:r>
      <w:r w:rsidR="00926040" w:rsidRPr="00926040">
        <w:rPr>
          <w:iCs/>
        </w:rPr>
        <w:t xml:space="preserve">ATAGI updated the </w:t>
      </w:r>
      <w:hyperlink r:id="rId39" w:history="1">
        <w:r w:rsidR="008F12C1">
          <w:rPr>
            <w:rStyle w:val="Hyperlink"/>
            <w:iCs/>
          </w:rPr>
          <w:t>zoster chapter</w:t>
        </w:r>
      </w:hyperlink>
      <w:r w:rsidR="00926040" w:rsidRPr="00926040">
        <w:rPr>
          <w:iCs/>
        </w:rPr>
        <w:t xml:space="preserve"> in the </w:t>
      </w:r>
      <w:r w:rsidR="00F479BC">
        <w:rPr>
          <w:iCs/>
        </w:rPr>
        <w:t>Handbook</w:t>
      </w:r>
      <w:r>
        <w:rPr>
          <w:iCs/>
        </w:rPr>
        <w:t xml:space="preserve">, and added the </w:t>
      </w:r>
      <w:hyperlink r:id="rId40" w:history="1">
        <w:r w:rsidRPr="00D10C9D">
          <w:rPr>
            <w:rStyle w:val="Hyperlink"/>
            <w:iCs/>
          </w:rPr>
          <w:t>zoster screening tool</w:t>
        </w:r>
      </w:hyperlink>
      <w:r>
        <w:rPr>
          <w:iCs/>
        </w:rPr>
        <w:t xml:space="preserve"> to the Handbook website, to support providers to use Zostavax safely.</w:t>
      </w:r>
      <w:r w:rsidR="00F479BC" w:rsidRPr="00926040">
        <w:rPr>
          <w:iCs/>
        </w:rPr>
        <w:t xml:space="preserve"> </w:t>
      </w:r>
      <w:r w:rsidR="00D9762B">
        <w:rPr>
          <w:iCs/>
        </w:rPr>
        <w:t xml:space="preserve">Providers should </w:t>
      </w:r>
      <w:r>
        <w:rPr>
          <w:iCs/>
        </w:rPr>
        <w:t>advise people</w:t>
      </w:r>
      <w:r w:rsidR="00D9762B">
        <w:rPr>
          <w:iCs/>
        </w:rPr>
        <w:t xml:space="preserve"> </w:t>
      </w:r>
      <w:r w:rsidR="00D9762B" w:rsidRPr="00926040">
        <w:rPr>
          <w:iCs/>
        </w:rPr>
        <w:t xml:space="preserve">to </w:t>
      </w:r>
      <w:r w:rsidR="00D9762B">
        <w:rPr>
          <w:iCs/>
        </w:rPr>
        <w:t>see a doctor</w:t>
      </w:r>
      <w:r w:rsidR="00D9762B" w:rsidRPr="00926040">
        <w:rPr>
          <w:iCs/>
        </w:rPr>
        <w:t xml:space="preserve"> </w:t>
      </w:r>
      <w:r>
        <w:rPr>
          <w:iCs/>
        </w:rPr>
        <w:t xml:space="preserve">as soon as possible </w:t>
      </w:r>
      <w:r w:rsidR="00D9762B">
        <w:rPr>
          <w:iCs/>
        </w:rPr>
        <w:t>if</w:t>
      </w:r>
      <w:r w:rsidR="00D9762B" w:rsidRPr="00926040">
        <w:rPr>
          <w:iCs/>
        </w:rPr>
        <w:t xml:space="preserve"> they develop a chickenpox-like rash after receiving Zostavax</w:t>
      </w:r>
      <w:r w:rsidR="00D9762B">
        <w:rPr>
          <w:iCs/>
        </w:rPr>
        <w:t>.</w:t>
      </w:r>
    </w:p>
    <w:p w14:paraId="349EC823" w14:textId="77777777" w:rsidR="00926040" w:rsidRPr="00926040" w:rsidRDefault="00926040" w:rsidP="00862550">
      <w:pPr>
        <w:pStyle w:val="Heading3"/>
      </w:pPr>
      <w:r w:rsidRPr="00926040">
        <w:t>Influenza vaccines</w:t>
      </w:r>
    </w:p>
    <w:p w14:paraId="4A70A594" w14:textId="42A176B4" w:rsidR="00926040" w:rsidRPr="00926040" w:rsidRDefault="00AB476D" w:rsidP="00926040">
      <w:pPr>
        <w:rPr>
          <w:i/>
        </w:rPr>
      </w:pPr>
      <w:hyperlink r:id="rId41" w:history="1">
        <w:r w:rsidR="00926040" w:rsidRPr="00926040">
          <w:rPr>
            <w:rStyle w:val="Hyperlink"/>
            <w:iCs/>
          </w:rPr>
          <w:t>AusVaxSafety data</w:t>
        </w:r>
      </w:hyperlink>
      <w:r w:rsidR="00926040" w:rsidRPr="00926040">
        <w:rPr>
          <w:iCs/>
        </w:rPr>
        <w:t xml:space="preserve"> show that 2020 seasonal influenza vaccines </w:t>
      </w:r>
      <w:r w:rsidR="009F67E4">
        <w:rPr>
          <w:iCs/>
        </w:rPr>
        <w:t>were very safe</w:t>
      </w:r>
      <w:r w:rsidR="00926040" w:rsidRPr="00926040">
        <w:rPr>
          <w:iCs/>
        </w:rPr>
        <w:t>.</w:t>
      </w:r>
      <w:r w:rsidR="00D10C9D">
        <w:rPr>
          <w:iCs/>
        </w:rPr>
        <w:t xml:space="preserve"> The safety survey in 2020 had</w:t>
      </w:r>
      <w:r w:rsidR="00926040" w:rsidRPr="00926040">
        <w:rPr>
          <w:i/>
        </w:rPr>
        <w:t xml:space="preserve"> </w:t>
      </w:r>
      <w:r w:rsidR="00926040" w:rsidRPr="00926040">
        <w:rPr>
          <w:iCs/>
        </w:rPr>
        <w:t>289</w:t>
      </w:r>
      <w:r w:rsidR="001749B8">
        <w:rPr>
          <w:iCs/>
        </w:rPr>
        <w:t>,</w:t>
      </w:r>
      <w:r w:rsidR="00926040" w:rsidRPr="00926040">
        <w:rPr>
          <w:iCs/>
        </w:rPr>
        <w:t xml:space="preserve">513 people </w:t>
      </w:r>
      <w:r w:rsidR="00D10C9D">
        <w:rPr>
          <w:iCs/>
        </w:rPr>
        <w:t>participants, with</w:t>
      </w:r>
      <w:r w:rsidR="00926040" w:rsidRPr="00926040">
        <w:rPr>
          <w:iCs/>
        </w:rPr>
        <w:t xml:space="preserve"> 94.5% report</w:t>
      </w:r>
      <w:r w:rsidR="00D10C9D">
        <w:rPr>
          <w:iCs/>
        </w:rPr>
        <w:t>ing</w:t>
      </w:r>
      <w:r w:rsidR="00926040" w:rsidRPr="00926040">
        <w:rPr>
          <w:iCs/>
        </w:rPr>
        <w:t xml:space="preserve"> no adverse event</w:t>
      </w:r>
      <w:r w:rsidR="0079570A">
        <w:rPr>
          <w:iCs/>
        </w:rPr>
        <w:t>s</w:t>
      </w:r>
      <w:r w:rsidR="00926040" w:rsidRPr="00926040">
        <w:rPr>
          <w:iCs/>
        </w:rPr>
        <w:t xml:space="preserve">. </w:t>
      </w:r>
    </w:p>
    <w:p w14:paraId="366C9D94" w14:textId="63288879" w:rsidR="00862550" w:rsidRDefault="00862550" w:rsidP="00862550">
      <w:pPr>
        <w:pStyle w:val="Heading1"/>
      </w:pPr>
      <w:bookmarkStart w:id="11" w:name="_Toc72165386"/>
      <w:r>
        <w:lastRenderedPageBreak/>
        <w:t xml:space="preserve">Challenges and </w:t>
      </w:r>
      <w:r w:rsidR="0005016F">
        <w:t>priorities for immunisation</w:t>
      </w:r>
      <w:r w:rsidRPr="00926040">
        <w:t xml:space="preserve"> </w:t>
      </w:r>
      <w:r w:rsidR="0005016F">
        <w:t>in Australia in</w:t>
      </w:r>
      <w:r w:rsidR="0005016F" w:rsidRPr="00926040">
        <w:t xml:space="preserve"> </w:t>
      </w:r>
      <w:r w:rsidRPr="00926040">
        <w:t>2021 and beyond</w:t>
      </w:r>
      <w:bookmarkEnd w:id="11"/>
    </w:p>
    <w:p w14:paraId="25087542" w14:textId="47539ECC" w:rsidR="00D405A8" w:rsidRPr="00D405A8" w:rsidRDefault="00D405A8" w:rsidP="00D405A8">
      <w:pPr>
        <w:pStyle w:val="Heading2"/>
      </w:pPr>
      <w:bookmarkStart w:id="12" w:name="_Toc72165387"/>
      <w:r w:rsidRPr="00926040">
        <w:t xml:space="preserve">Key challenges for </w:t>
      </w:r>
      <w:r w:rsidRPr="00637321">
        <w:t xml:space="preserve">prevention and control of </w:t>
      </w:r>
      <w:r>
        <w:t>vaccine-preventable diseases</w:t>
      </w:r>
      <w:r w:rsidRPr="00637321">
        <w:t xml:space="preserve"> through immunisation</w:t>
      </w:r>
      <w:bookmarkEnd w:id="12"/>
    </w:p>
    <w:p w14:paraId="5C795033" w14:textId="709A9830" w:rsidR="00862550" w:rsidRPr="00926040" w:rsidRDefault="00862550" w:rsidP="006E1F39">
      <w:pPr>
        <w:pStyle w:val="Heading3"/>
      </w:pPr>
      <w:r>
        <w:t xml:space="preserve">For </w:t>
      </w:r>
      <w:r w:rsidR="008F12C1">
        <w:t>COVID</w:t>
      </w:r>
      <w:r w:rsidR="008F12C1">
        <w:noBreakHyphen/>
        <w:t>19</w:t>
      </w:r>
      <w:r w:rsidRPr="00926040">
        <w:t xml:space="preserve"> </w:t>
      </w:r>
    </w:p>
    <w:p w14:paraId="7B27657A" w14:textId="62D0BC1E" w:rsidR="00A25720" w:rsidRDefault="00862550" w:rsidP="00F053B5">
      <w:pPr>
        <w:pStyle w:val="BulletBeforeDash"/>
      </w:pPr>
      <w:r>
        <w:t>Implementing</w:t>
      </w:r>
      <w:r w:rsidRPr="00926040">
        <w:t xml:space="preserve"> a national </w:t>
      </w:r>
      <w:r w:rsidR="008F12C1">
        <w:t>COVID</w:t>
      </w:r>
      <w:r w:rsidR="008F12C1">
        <w:noBreakHyphen/>
        <w:t>19</w:t>
      </w:r>
      <w:r w:rsidRPr="00926040">
        <w:t xml:space="preserve"> </w:t>
      </w:r>
      <w:r w:rsidR="005B7013">
        <w:t>immunisation</w:t>
      </w:r>
      <w:r w:rsidR="005B7013" w:rsidRPr="00926040">
        <w:t xml:space="preserve"> </w:t>
      </w:r>
      <w:r w:rsidRPr="00926040">
        <w:t>program</w:t>
      </w:r>
      <w:r w:rsidR="00A25720">
        <w:t>. Specific challenges will include</w:t>
      </w:r>
      <w:r w:rsidR="00F053B5">
        <w:t>:</w:t>
      </w:r>
    </w:p>
    <w:p w14:paraId="4C17F32B" w14:textId="702C35EE" w:rsidR="00A25720" w:rsidRDefault="006D7249" w:rsidP="006D7249">
      <w:pPr>
        <w:pStyle w:val="Dash"/>
      </w:pPr>
      <w:r>
        <w:t>immunising</w:t>
      </w:r>
      <w:r w:rsidR="003651B0" w:rsidRPr="00926040">
        <w:t xml:space="preserve"> a large </w:t>
      </w:r>
      <w:r w:rsidR="00590559">
        <w:t>part</w:t>
      </w:r>
      <w:r w:rsidR="003651B0" w:rsidRPr="00926040">
        <w:t xml:space="preserve"> of the Australia</w:t>
      </w:r>
      <w:r w:rsidR="003651B0">
        <w:t>n</w:t>
      </w:r>
      <w:r w:rsidR="003651B0" w:rsidRPr="00926040">
        <w:t xml:space="preserve"> population </w:t>
      </w:r>
    </w:p>
    <w:p w14:paraId="29B3E8C0" w14:textId="054B817B" w:rsidR="006D7249" w:rsidRDefault="006D7249" w:rsidP="006D7249">
      <w:pPr>
        <w:pStyle w:val="Dash"/>
      </w:pPr>
      <w:r>
        <w:t xml:space="preserve">ensuring that </w:t>
      </w:r>
      <w:r w:rsidR="00F053B5">
        <w:t>only</w:t>
      </w:r>
      <w:r>
        <w:t xml:space="preserve"> safe and effective</w:t>
      </w:r>
      <w:r w:rsidR="00F053B5">
        <w:t xml:space="preserve"> vaccines are used</w:t>
      </w:r>
    </w:p>
    <w:p w14:paraId="140ED301" w14:textId="51C8C668" w:rsidR="006D7249" w:rsidRDefault="006D7249" w:rsidP="006D7249">
      <w:pPr>
        <w:pStyle w:val="Dash"/>
      </w:pPr>
      <w:r>
        <w:t>using multiple vaccines in the program</w:t>
      </w:r>
    </w:p>
    <w:p w14:paraId="76B79DE1" w14:textId="4A057E51" w:rsidR="006D7249" w:rsidRDefault="006D7249" w:rsidP="006D7249">
      <w:pPr>
        <w:pStyle w:val="Dash"/>
      </w:pPr>
      <w:r>
        <w:t xml:space="preserve">involving </w:t>
      </w:r>
      <w:r w:rsidR="0061124B">
        <w:t>a range of</w:t>
      </w:r>
      <w:r w:rsidR="0061124B" w:rsidRPr="00926040">
        <w:t xml:space="preserve"> </w:t>
      </w:r>
      <w:r w:rsidR="00862550" w:rsidRPr="00926040">
        <w:t>immunisation providers in different settings</w:t>
      </w:r>
      <w:r w:rsidR="0061124B">
        <w:t xml:space="preserve"> </w:t>
      </w:r>
    </w:p>
    <w:p w14:paraId="3506A692" w14:textId="225639E0" w:rsidR="00862550" w:rsidRDefault="006D7249" w:rsidP="006D7249">
      <w:pPr>
        <w:pStyle w:val="DashLast"/>
      </w:pPr>
      <w:r>
        <w:t xml:space="preserve">delivering the program </w:t>
      </w:r>
      <w:r w:rsidR="00862550" w:rsidRPr="00926040">
        <w:t>in a short timeframe</w:t>
      </w:r>
      <w:r w:rsidR="00D10C9D">
        <w:t>.</w:t>
      </w:r>
    </w:p>
    <w:p w14:paraId="77AF1AFC" w14:textId="60F7169F" w:rsidR="003651B0" w:rsidRPr="00926040" w:rsidRDefault="003651B0" w:rsidP="00862550">
      <w:pPr>
        <w:pStyle w:val="Bullet"/>
      </w:pPr>
      <w:r>
        <w:t>Ensuring</w:t>
      </w:r>
      <w:r w:rsidRPr="00926040">
        <w:t xml:space="preserve"> confidence in the </w:t>
      </w:r>
      <w:r w:rsidR="008F12C1">
        <w:t>COVID</w:t>
      </w:r>
      <w:r w:rsidR="008F12C1">
        <w:noBreakHyphen/>
        <w:t>19</w:t>
      </w:r>
      <w:r w:rsidRPr="00926040">
        <w:t xml:space="preserve"> </w:t>
      </w:r>
      <w:r w:rsidR="005B7013">
        <w:t>immunisation</w:t>
      </w:r>
      <w:r w:rsidRPr="00926040">
        <w:t xml:space="preserve"> program </w:t>
      </w:r>
      <w:r>
        <w:t xml:space="preserve">through </w:t>
      </w:r>
      <w:r w:rsidRPr="00926040">
        <w:t>effective communication strategies</w:t>
      </w:r>
      <w:r w:rsidR="00D10C9D">
        <w:t>.</w:t>
      </w:r>
    </w:p>
    <w:p w14:paraId="5B30F40C" w14:textId="022BC036" w:rsidR="00862550" w:rsidRPr="00637321" w:rsidRDefault="00D10C9D" w:rsidP="00637321">
      <w:pPr>
        <w:pStyle w:val="Bullet"/>
      </w:pPr>
      <w:r>
        <w:t>In conjunction with the TGA, continue the o</w:t>
      </w:r>
      <w:r w:rsidR="00862550" w:rsidRPr="00637321">
        <w:t xml:space="preserve">ngoing monitoring </w:t>
      </w:r>
      <w:r>
        <w:t>of</w:t>
      </w:r>
      <w:r w:rsidR="00862550" w:rsidRPr="00637321">
        <w:t xml:space="preserve"> safety and effectiveness </w:t>
      </w:r>
      <w:r>
        <w:t>for</w:t>
      </w:r>
      <w:r w:rsidR="00862550" w:rsidRPr="00637321">
        <w:t xml:space="preserve"> each vaccine used in the Australian </w:t>
      </w:r>
      <w:r w:rsidR="008F12C1">
        <w:t>COVID</w:t>
      </w:r>
      <w:r w:rsidR="008F12C1">
        <w:noBreakHyphen/>
        <w:t>19</w:t>
      </w:r>
      <w:r w:rsidR="00862550" w:rsidRPr="00637321">
        <w:t xml:space="preserve"> </w:t>
      </w:r>
      <w:r w:rsidR="005B7013" w:rsidRPr="00637321">
        <w:t xml:space="preserve">immunisation </w:t>
      </w:r>
      <w:r w:rsidR="00862550" w:rsidRPr="00637321">
        <w:t>program, including among specific subpopulations, using a robust and functional system</w:t>
      </w:r>
      <w:r>
        <w:t>.</w:t>
      </w:r>
    </w:p>
    <w:p w14:paraId="000F555E" w14:textId="6379810D" w:rsidR="00862550" w:rsidRPr="00926040" w:rsidRDefault="00862550" w:rsidP="00862550">
      <w:pPr>
        <w:pStyle w:val="Bullet"/>
      </w:pPr>
      <w:r>
        <w:t>Ensuring p</w:t>
      </w:r>
      <w:r w:rsidRPr="00926040">
        <w:t xml:space="preserve">reparedness to respond to any safety signals or issues that arise from use of </w:t>
      </w:r>
      <w:r w:rsidR="008F12C1">
        <w:t>COVID</w:t>
      </w:r>
      <w:r w:rsidR="008F12C1">
        <w:noBreakHyphen/>
        <w:t>19</w:t>
      </w:r>
      <w:r w:rsidRPr="00926040">
        <w:t xml:space="preserve"> vaccines</w:t>
      </w:r>
      <w:r w:rsidR="00D10C9D">
        <w:t>.</w:t>
      </w:r>
    </w:p>
    <w:p w14:paraId="674AA4ED" w14:textId="4758BAB9" w:rsidR="00862550" w:rsidRDefault="00862550" w:rsidP="00862550">
      <w:pPr>
        <w:pStyle w:val="BulletLast"/>
      </w:pPr>
      <w:r w:rsidRPr="00926040">
        <w:t>Evaluatin</w:t>
      </w:r>
      <w:r>
        <w:t>g</w:t>
      </w:r>
      <w:r w:rsidRPr="00926040">
        <w:t xml:space="preserve"> the </w:t>
      </w:r>
      <w:r w:rsidR="008F12C1">
        <w:t>COVID</w:t>
      </w:r>
      <w:r w:rsidR="008F12C1">
        <w:noBreakHyphen/>
        <w:t>19</w:t>
      </w:r>
      <w:r w:rsidRPr="00926040">
        <w:t xml:space="preserve"> immunisation program </w:t>
      </w:r>
      <w:r w:rsidR="00D10C9D">
        <w:t>.</w:t>
      </w:r>
    </w:p>
    <w:p w14:paraId="35A617A1" w14:textId="0278E094" w:rsidR="00862550" w:rsidRPr="00926040" w:rsidRDefault="00862550" w:rsidP="006E1F39">
      <w:pPr>
        <w:pStyle w:val="Heading3"/>
      </w:pPr>
      <w:r>
        <w:t xml:space="preserve">For other </w:t>
      </w:r>
      <w:r w:rsidR="008F12C1">
        <w:t>vaccine-preventable diseases</w:t>
      </w:r>
    </w:p>
    <w:p w14:paraId="3FE54272" w14:textId="3200245F" w:rsidR="00862550" w:rsidRPr="00926040" w:rsidRDefault="00862550" w:rsidP="00862550">
      <w:pPr>
        <w:pStyle w:val="Bullet"/>
      </w:pPr>
      <w:r w:rsidRPr="00926040">
        <w:t xml:space="preserve">Maintaining a </w:t>
      </w:r>
      <w:r w:rsidR="003651B0">
        <w:t>strong</w:t>
      </w:r>
      <w:r w:rsidR="003651B0" w:rsidRPr="00926040">
        <w:t xml:space="preserve"> </w:t>
      </w:r>
      <w:r w:rsidRPr="00926040">
        <w:t>NIP</w:t>
      </w:r>
      <w:r w:rsidR="003651B0">
        <w:t xml:space="preserve"> in Australia</w:t>
      </w:r>
      <w:r w:rsidRPr="00926040">
        <w:t xml:space="preserve"> in</w:t>
      </w:r>
      <w:r>
        <w:t xml:space="preserve"> the face of</w:t>
      </w:r>
      <w:r w:rsidRPr="00926040">
        <w:t xml:space="preserve"> changing epidemiology of VPDs</w:t>
      </w:r>
      <w:r w:rsidR="0061124B">
        <w:t>.</w:t>
      </w:r>
      <w:r w:rsidRPr="00926040">
        <w:t xml:space="preserve"> </w:t>
      </w:r>
      <w:r w:rsidR="008F12C1">
        <w:t>COVID</w:t>
      </w:r>
      <w:r w:rsidR="008F12C1">
        <w:noBreakHyphen/>
        <w:t>19</w:t>
      </w:r>
      <w:r w:rsidRPr="00926040">
        <w:t xml:space="preserve"> control measures</w:t>
      </w:r>
      <w:r w:rsidR="0061124B">
        <w:t xml:space="preserve"> may</w:t>
      </w:r>
      <w:r w:rsidRPr="00926040">
        <w:t xml:space="preserve"> </w:t>
      </w:r>
      <w:r w:rsidR="0061124B">
        <w:t>also</w:t>
      </w:r>
      <w:r>
        <w:t xml:space="preserve"> </w:t>
      </w:r>
      <w:r w:rsidRPr="00926040">
        <w:t>disrupt immunisation programs</w:t>
      </w:r>
      <w:r w:rsidR="00D10C9D">
        <w:t>.</w:t>
      </w:r>
    </w:p>
    <w:p w14:paraId="38CAADFB" w14:textId="0D32CF2D" w:rsidR="0061124B" w:rsidRDefault="00862550" w:rsidP="00862550">
      <w:pPr>
        <w:pStyle w:val="Bullet"/>
      </w:pPr>
      <w:r w:rsidRPr="00926040">
        <w:t>Monitoring the changing epidemiology of measles, polio</w:t>
      </w:r>
      <w:r w:rsidR="003651B0">
        <w:t>,</w:t>
      </w:r>
      <w:r w:rsidRPr="00926040">
        <w:t xml:space="preserve"> diphtheria and other VPDs in the Western Pacific region due to disrupted immunisation programs</w:t>
      </w:r>
      <w:r w:rsidR="00D10C9D">
        <w:t>.</w:t>
      </w:r>
    </w:p>
    <w:p w14:paraId="5932E9C7" w14:textId="2771A507" w:rsidR="00862550" w:rsidRPr="00926040" w:rsidRDefault="0061124B" w:rsidP="00862550">
      <w:pPr>
        <w:pStyle w:val="Bullet"/>
      </w:pPr>
      <w:r>
        <w:t>P</w:t>
      </w:r>
      <w:r w:rsidR="00862550" w:rsidRPr="00926040">
        <w:t>revent</w:t>
      </w:r>
      <w:r w:rsidR="00862550">
        <w:t>ing</w:t>
      </w:r>
      <w:r w:rsidR="00862550" w:rsidRPr="00926040">
        <w:t xml:space="preserve"> a surge in VPDs in </w:t>
      </w:r>
      <w:r w:rsidR="003651B0">
        <w:t>Australia and our</w:t>
      </w:r>
      <w:r w:rsidR="00862550" w:rsidRPr="00926040">
        <w:t xml:space="preserve"> region </w:t>
      </w:r>
      <w:r w:rsidR="00862550">
        <w:t>when</w:t>
      </w:r>
      <w:r w:rsidR="00862550" w:rsidRPr="00926040">
        <w:t xml:space="preserve"> international travel restrictions are lifted</w:t>
      </w:r>
      <w:r w:rsidR="00D10C9D">
        <w:t>.</w:t>
      </w:r>
    </w:p>
    <w:p w14:paraId="113F5362" w14:textId="794C1CCA" w:rsidR="00862550" w:rsidRPr="00926040" w:rsidRDefault="00862550" w:rsidP="00862550">
      <w:pPr>
        <w:pStyle w:val="Bullet"/>
      </w:pPr>
      <w:r w:rsidRPr="00926040">
        <w:t xml:space="preserve">Increasing uptake of vaccines for population groups with </w:t>
      </w:r>
      <w:r w:rsidR="008F12C1">
        <w:t xml:space="preserve">a </w:t>
      </w:r>
      <w:r>
        <w:t>higher</w:t>
      </w:r>
      <w:r w:rsidRPr="00926040">
        <w:t xml:space="preserve"> risk of some VPDs</w:t>
      </w:r>
      <w:r>
        <w:t>,</w:t>
      </w:r>
      <w:r w:rsidRPr="00926040">
        <w:t xml:space="preserve"> </w:t>
      </w:r>
      <w:r>
        <w:t>and ensuring</w:t>
      </w:r>
      <w:r w:rsidRPr="00926040">
        <w:t xml:space="preserve"> a reliable data system that captures </w:t>
      </w:r>
      <w:r w:rsidR="003651B0">
        <w:t>this</w:t>
      </w:r>
      <w:r w:rsidR="00D10C9D">
        <w:t>.</w:t>
      </w:r>
    </w:p>
    <w:p w14:paraId="456E9325" w14:textId="77F95B41" w:rsidR="00862550" w:rsidRDefault="00862550" w:rsidP="00862550">
      <w:pPr>
        <w:pStyle w:val="BulletLast"/>
      </w:pPr>
      <w:r w:rsidRPr="00926040">
        <w:t xml:space="preserve">Maintaining community confidence in Australia’s </w:t>
      </w:r>
      <w:r w:rsidR="00B45C9F">
        <w:t xml:space="preserve">NIP </w:t>
      </w:r>
      <w:r>
        <w:t xml:space="preserve">through </w:t>
      </w:r>
      <w:r w:rsidRPr="00926040">
        <w:t>effective communication strategies</w:t>
      </w:r>
      <w:r w:rsidR="00D10C9D">
        <w:t>.</w:t>
      </w:r>
    </w:p>
    <w:p w14:paraId="417041A0" w14:textId="6DFFD5EB" w:rsidR="00D405A8" w:rsidRPr="00D405A8" w:rsidRDefault="00D405A8" w:rsidP="00D405A8">
      <w:pPr>
        <w:pStyle w:val="Heading2"/>
      </w:pPr>
      <w:bookmarkStart w:id="13" w:name="_Toc72165388"/>
      <w:r>
        <w:t>ATAGI’s priority actions for 2021</w:t>
      </w:r>
      <w:bookmarkEnd w:id="13"/>
    </w:p>
    <w:p w14:paraId="57A3A0D2" w14:textId="0F04CBBC" w:rsidR="009941D5" w:rsidRPr="00926040" w:rsidRDefault="008F12C1" w:rsidP="00547C19">
      <w:pPr>
        <w:pStyle w:val="Heading3"/>
      </w:pPr>
      <w:r>
        <w:t>COVID</w:t>
      </w:r>
      <w:r>
        <w:noBreakHyphen/>
        <w:t>19</w:t>
      </w:r>
      <w:r w:rsidR="009941D5">
        <w:t xml:space="preserve"> </w:t>
      </w:r>
      <w:r w:rsidR="005B7013">
        <w:t>immunisation</w:t>
      </w:r>
      <w:r w:rsidR="009941D5">
        <w:t xml:space="preserve"> program</w:t>
      </w:r>
    </w:p>
    <w:p w14:paraId="1F9FD962" w14:textId="6350E1DA" w:rsidR="003651B0" w:rsidRPr="00B45C9F" w:rsidRDefault="003651B0" w:rsidP="003651B0">
      <w:pPr>
        <w:pStyle w:val="Bullet"/>
      </w:pPr>
      <w:r w:rsidRPr="00926040">
        <w:t xml:space="preserve">Advise on strategies </w:t>
      </w:r>
      <w:r>
        <w:t>to implement</w:t>
      </w:r>
      <w:r w:rsidRPr="00926040">
        <w:t xml:space="preserve"> a safe and effective </w:t>
      </w:r>
      <w:r w:rsidRPr="00B45C9F">
        <w:t xml:space="preserve">national </w:t>
      </w:r>
      <w:r w:rsidR="008F12C1">
        <w:t>COVID</w:t>
      </w:r>
      <w:r w:rsidR="008F12C1">
        <w:noBreakHyphen/>
        <w:t>19</w:t>
      </w:r>
      <w:r w:rsidRPr="00B45C9F">
        <w:t xml:space="preserve"> </w:t>
      </w:r>
      <w:r w:rsidR="005B7013">
        <w:t>immunisation</w:t>
      </w:r>
      <w:r w:rsidR="005B7013" w:rsidRPr="00B45C9F">
        <w:t xml:space="preserve"> </w:t>
      </w:r>
      <w:r w:rsidRPr="00B45C9F">
        <w:t xml:space="preserve">program, with public confidence and equitable access for priority populations. This is a key action to improve control of </w:t>
      </w:r>
      <w:r w:rsidR="008F12C1">
        <w:t>COVID</w:t>
      </w:r>
      <w:r w:rsidR="008F12C1">
        <w:noBreakHyphen/>
        <w:t>19</w:t>
      </w:r>
      <w:r w:rsidRPr="00B45C9F">
        <w:t xml:space="preserve"> </w:t>
      </w:r>
      <w:r w:rsidR="0061124B">
        <w:t>in</w:t>
      </w:r>
      <w:r w:rsidRPr="00B45C9F">
        <w:t xml:space="preserve"> 2021 and beyond. </w:t>
      </w:r>
    </w:p>
    <w:p w14:paraId="526343D7" w14:textId="5070F136" w:rsidR="003651B0" w:rsidRPr="00B45C9F" w:rsidRDefault="003651B0" w:rsidP="003651B0">
      <w:pPr>
        <w:pStyle w:val="Bullet"/>
      </w:pPr>
      <w:r w:rsidRPr="00B45C9F">
        <w:lastRenderedPageBreak/>
        <w:t xml:space="preserve">Advise on the ongoing evaluation of the </w:t>
      </w:r>
      <w:r w:rsidR="008F12C1">
        <w:t>COVID</w:t>
      </w:r>
      <w:r w:rsidR="008F12C1">
        <w:noBreakHyphen/>
        <w:t>19</w:t>
      </w:r>
      <w:r w:rsidRPr="00B45C9F">
        <w:t xml:space="preserve"> immunisation program, and any issues with data and information sources on disease, vaccination uptake and vaccine safety</w:t>
      </w:r>
      <w:r w:rsidR="0061124B">
        <w:t>.</w:t>
      </w:r>
      <w:r w:rsidRPr="00B45C9F">
        <w:t xml:space="preserve"> </w:t>
      </w:r>
      <w:r w:rsidR="0061124B">
        <w:t>This will</w:t>
      </w:r>
      <w:r w:rsidRPr="00B45C9F">
        <w:t xml:space="preserve"> enable program monitoring and evaluation. </w:t>
      </w:r>
    </w:p>
    <w:p w14:paraId="0802D649" w14:textId="77777777" w:rsidR="00B45C9F" w:rsidRPr="00B45C9F" w:rsidRDefault="00B45C9F" w:rsidP="00B45C9F">
      <w:pPr>
        <w:pStyle w:val="Heading3"/>
      </w:pPr>
      <w:r>
        <w:t>R</w:t>
      </w:r>
      <w:r w:rsidRPr="00B45C9F">
        <w:t>outine vaccination in Australia and our region</w:t>
      </w:r>
    </w:p>
    <w:p w14:paraId="6FE35302" w14:textId="27FF232D" w:rsidR="00B45C9F" w:rsidRPr="00B45C9F" w:rsidRDefault="00B45C9F" w:rsidP="00B45C9F">
      <w:pPr>
        <w:pStyle w:val="Bullet"/>
      </w:pPr>
      <w:r w:rsidRPr="00B45C9F">
        <w:t xml:space="preserve">Advise on how to maintain on-time vaccinations according to the NIP schedule for all Australians </w:t>
      </w:r>
      <w:r w:rsidR="00763CB9">
        <w:t>in a</w:t>
      </w:r>
      <w:r w:rsidRPr="00B45C9F">
        <w:t xml:space="preserve"> COVID-safe </w:t>
      </w:r>
      <w:r w:rsidR="00763CB9">
        <w:t>way</w:t>
      </w:r>
      <w:r w:rsidRPr="00B45C9F">
        <w:t xml:space="preserve">. This is essential </w:t>
      </w:r>
      <w:r w:rsidR="00763CB9">
        <w:t>to protect</w:t>
      </w:r>
      <w:r w:rsidRPr="00B45C9F">
        <w:t xml:space="preserve"> individuals and the community from VPDs.</w:t>
      </w:r>
    </w:p>
    <w:p w14:paraId="7EF45F2C" w14:textId="6736DEE1" w:rsidR="00B45C9F" w:rsidRPr="00B45C9F" w:rsidRDefault="00B45C9F" w:rsidP="00B45C9F">
      <w:pPr>
        <w:pStyle w:val="Bullet"/>
      </w:pPr>
      <w:r w:rsidRPr="00B45C9F">
        <w:t>Advise on how to maintain a high proportion of the Australian population being vaccinated against influenza</w:t>
      </w:r>
      <w:r w:rsidR="0061124B">
        <w:t>.</w:t>
      </w:r>
      <w:r w:rsidRPr="00B45C9F">
        <w:t xml:space="preserve"> </w:t>
      </w:r>
      <w:r w:rsidR="0061124B">
        <w:t>This will</w:t>
      </w:r>
      <w:r w:rsidRPr="00B45C9F">
        <w:t xml:space="preserve"> reduce the risk of serious influenza-related disease, especially during the </w:t>
      </w:r>
      <w:r w:rsidR="008F12C1">
        <w:t>COVID</w:t>
      </w:r>
      <w:r w:rsidR="008F12C1">
        <w:noBreakHyphen/>
        <w:t>19</w:t>
      </w:r>
      <w:r w:rsidRPr="00B45C9F">
        <w:t xml:space="preserve"> pandemic.</w:t>
      </w:r>
    </w:p>
    <w:p w14:paraId="7FF4071A" w14:textId="17CF3DEA" w:rsidR="00B45C9F" w:rsidRPr="00B45C9F" w:rsidRDefault="00B45C9F" w:rsidP="00B45C9F">
      <w:pPr>
        <w:pStyle w:val="Bullet"/>
      </w:pPr>
      <w:r w:rsidRPr="00B45C9F">
        <w:t xml:space="preserve">Advise on how to prevent a potential surge in measles, diphtheria and polio in Australia as international travel restrictions </w:t>
      </w:r>
      <w:r w:rsidR="00763CB9">
        <w:t>are</w:t>
      </w:r>
      <w:r w:rsidRPr="00B45C9F">
        <w:t xml:space="preserve"> relaxed</w:t>
      </w:r>
      <w:r w:rsidR="0061124B">
        <w:t>.</w:t>
      </w:r>
      <w:r w:rsidRPr="00B45C9F">
        <w:t xml:space="preserve"> </w:t>
      </w:r>
      <w:r w:rsidR="008F12C1">
        <w:t>COVID</w:t>
      </w:r>
      <w:r w:rsidR="008F12C1">
        <w:noBreakHyphen/>
        <w:t>19</w:t>
      </w:r>
      <w:r w:rsidRPr="00B45C9F">
        <w:t xml:space="preserve"> has disrupted immunisation programs </w:t>
      </w:r>
      <w:r w:rsidR="0061124B">
        <w:t>in</w:t>
      </w:r>
      <w:r w:rsidR="0061124B" w:rsidRPr="00B45C9F">
        <w:t xml:space="preserve"> </w:t>
      </w:r>
      <w:r w:rsidRPr="00B45C9F">
        <w:t>many countries</w:t>
      </w:r>
      <w:r w:rsidR="0061124B">
        <w:t>,</w:t>
      </w:r>
      <w:r w:rsidRPr="00B45C9F">
        <w:t xml:space="preserve"> and there </w:t>
      </w:r>
      <w:r w:rsidR="0061124B">
        <w:t>is</w:t>
      </w:r>
      <w:r w:rsidRPr="00B45C9F">
        <w:t xml:space="preserve"> a risk of reintroducing these VPDs into Australia.</w:t>
      </w:r>
    </w:p>
    <w:p w14:paraId="4FC174D8" w14:textId="5C7C4AA1" w:rsidR="00B45C9F" w:rsidRPr="00B45C9F" w:rsidRDefault="00B45C9F" w:rsidP="00B45C9F">
      <w:pPr>
        <w:pStyle w:val="BulletBeforeDash"/>
      </w:pPr>
      <w:r w:rsidRPr="00B45C9F">
        <w:t xml:space="preserve">Advise on </w:t>
      </w:r>
      <w:r w:rsidR="005B7013">
        <w:t>immunisation</w:t>
      </w:r>
      <w:r w:rsidR="005B7013" w:rsidRPr="00B45C9F">
        <w:t xml:space="preserve"> </w:t>
      </w:r>
      <w:r w:rsidRPr="00B45C9F">
        <w:t xml:space="preserve">policies that enable equitable access to NIP-funded vaccines for population groups with increased risks of some VPDs, as well as reliable systems </w:t>
      </w:r>
      <w:r w:rsidR="00763CB9">
        <w:t>to</w:t>
      </w:r>
      <w:r w:rsidR="00763CB9" w:rsidRPr="00B45C9F">
        <w:t xml:space="preserve"> </w:t>
      </w:r>
      <w:r w:rsidRPr="00B45C9F">
        <w:t>capture uptake in these groups. Priorities for consideration are:</w:t>
      </w:r>
    </w:p>
    <w:p w14:paraId="4BAC5ACF" w14:textId="2747DD3A" w:rsidR="00B45C9F" w:rsidRPr="00B45C9F" w:rsidRDefault="00B45C9F" w:rsidP="00B45C9F">
      <w:pPr>
        <w:pStyle w:val="Dash"/>
      </w:pPr>
      <w:r w:rsidRPr="00B45C9F">
        <w:t>hepatitis B vaccination for non-immune Aboriginal and Torres Strait Islander adults</w:t>
      </w:r>
    </w:p>
    <w:p w14:paraId="2E2496F6" w14:textId="6CE38583" w:rsidR="00B45C9F" w:rsidRPr="00B45C9F" w:rsidRDefault="00B45C9F" w:rsidP="00B45C9F">
      <w:pPr>
        <w:pStyle w:val="Dash"/>
      </w:pPr>
      <w:r w:rsidRPr="00B45C9F">
        <w:t>pneumococcal vaccination for younger Aboriginal and Torres Strait Islander adults (age &lt;50 years)</w:t>
      </w:r>
    </w:p>
    <w:p w14:paraId="4CC01416" w14:textId="6F85EBAC" w:rsidR="00B45C9F" w:rsidRPr="00B45C9F" w:rsidRDefault="00B45C9F" w:rsidP="00B45C9F">
      <w:pPr>
        <w:pStyle w:val="Dash"/>
      </w:pPr>
      <w:r w:rsidRPr="00B45C9F">
        <w:t xml:space="preserve">expansion of eligible medical risk conditions for receiving NIP-funded influenza vaccines </w:t>
      </w:r>
    </w:p>
    <w:p w14:paraId="7FCF7D16" w14:textId="7A93C1B8" w:rsidR="00B45C9F" w:rsidRPr="00B45C9F" w:rsidRDefault="00B45C9F" w:rsidP="00B45C9F">
      <w:pPr>
        <w:pStyle w:val="DashLast"/>
      </w:pPr>
      <w:r w:rsidRPr="00B45C9F">
        <w:t>catch-up measles vaccination for non-immune people born since 1966.</w:t>
      </w:r>
    </w:p>
    <w:p w14:paraId="55FEA0D0" w14:textId="35DBFBD8" w:rsidR="00B45C9F" w:rsidRPr="00B45C9F" w:rsidRDefault="00B45C9F" w:rsidP="00B45C9F">
      <w:pPr>
        <w:pStyle w:val="Bullet"/>
      </w:pPr>
      <w:r w:rsidRPr="00B45C9F">
        <w:t xml:space="preserve">Scope new influenza and pneumococcal vaccines </w:t>
      </w:r>
      <w:r w:rsidRPr="00B45C9F">
        <w:rPr>
          <w:iCs/>
        </w:rPr>
        <w:t>on the horizon for potential NIP consideration</w:t>
      </w:r>
      <w:r w:rsidR="00E412CB">
        <w:rPr>
          <w:iCs/>
        </w:rPr>
        <w:t>.</w:t>
      </w:r>
      <w:r w:rsidRPr="00B45C9F">
        <w:t xml:space="preserve"> </w:t>
      </w:r>
      <w:r w:rsidR="00E412CB">
        <w:t>T</w:t>
      </w:r>
      <w:r w:rsidRPr="00B45C9F">
        <w:t xml:space="preserve">he vaccines </w:t>
      </w:r>
      <w:r w:rsidR="00E412CB">
        <w:t xml:space="preserve">must </w:t>
      </w:r>
      <w:r w:rsidRPr="00B45C9F">
        <w:t xml:space="preserve">show benefits to the Australian population or high-risk population groups, and </w:t>
      </w:r>
      <w:r w:rsidR="00E412CB">
        <w:t>be</w:t>
      </w:r>
      <w:r w:rsidR="00E412CB" w:rsidRPr="00B45C9F">
        <w:t xml:space="preserve"> </w:t>
      </w:r>
      <w:r w:rsidRPr="00B45C9F">
        <w:t>cost-effective.</w:t>
      </w:r>
    </w:p>
    <w:p w14:paraId="534E7ADD" w14:textId="77777777" w:rsidR="00B45C9F" w:rsidRPr="00B45C9F" w:rsidRDefault="00B45C9F" w:rsidP="00B45C9F">
      <w:pPr>
        <w:pStyle w:val="Heading3"/>
      </w:pPr>
      <w:r>
        <w:t>V</w:t>
      </w:r>
      <w:r w:rsidRPr="00B45C9F">
        <w:t>accine safety</w:t>
      </w:r>
    </w:p>
    <w:p w14:paraId="04CC45A2" w14:textId="4B6D9063" w:rsidR="00B45C9F" w:rsidRPr="00B45C9F" w:rsidRDefault="00B45C9F" w:rsidP="00B45C9F">
      <w:pPr>
        <w:pStyle w:val="Bullet"/>
      </w:pPr>
      <w:r w:rsidRPr="00B45C9F">
        <w:t xml:space="preserve">Advise on and promote the safe use of all vaccines, including live vaccines such as Zostavax, and </w:t>
      </w:r>
      <w:r w:rsidR="008F12C1">
        <w:t>COVID</w:t>
      </w:r>
      <w:r w:rsidR="008F12C1">
        <w:noBreakHyphen/>
        <w:t>19</w:t>
      </w:r>
      <w:r w:rsidRPr="00B45C9F">
        <w:t xml:space="preserve"> vaccines. </w:t>
      </w:r>
    </w:p>
    <w:p w14:paraId="2B98070F" w14:textId="535951BA" w:rsidR="00B45C9F" w:rsidRPr="00B45C9F" w:rsidRDefault="00B45C9F" w:rsidP="00B45C9F">
      <w:pPr>
        <w:pStyle w:val="BulletLast"/>
      </w:pPr>
      <w:r w:rsidRPr="00B45C9F">
        <w:t>Advise on and promote support to immunisation providers on the safe and appropriate use of live vaccines, especially the live zoster vaccine (Zostavax).</w:t>
      </w:r>
    </w:p>
    <w:p w14:paraId="41D511B3" w14:textId="030362CD" w:rsidR="009941D5" w:rsidRPr="00B45C9F" w:rsidRDefault="009941D5" w:rsidP="009941D5">
      <w:pPr>
        <w:pStyle w:val="Heading3"/>
      </w:pPr>
      <w:r w:rsidRPr="00B45C9F">
        <w:t xml:space="preserve">Monitoring and evaluation </w:t>
      </w:r>
    </w:p>
    <w:p w14:paraId="6F3C2898" w14:textId="124AE7EE" w:rsidR="009941D5" w:rsidRPr="00B45C9F" w:rsidRDefault="009941D5" w:rsidP="009941D5">
      <w:pPr>
        <w:pStyle w:val="Bullet"/>
      </w:pPr>
      <w:r w:rsidRPr="00B45C9F">
        <w:t xml:space="preserve">Advise on the need to set up an end-to-end system that can track and record every dose of distributed and administered vaccines in national and state immunisation programs. This will improve vaccine allocation, minimise wastage and help the assessment of vaccine effectiveness. </w:t>
      </w:r>
    </w:p>
    <w:p w14:paraId="718E6A2B" w14:textId="2659C4D0" w:rsidR="009941D5" w:rsidRPr="00B45C9F" w:rsidRDefault="009941D5" w:rsidP="009941D5">
      <w:pPr>
        <w:pStyle w:val="Bullet"/>
      </w:pPr>
      <w:r w:rsidRPr="00B45C9F">
        <w:t>Advise on the need to evaluate existing immunisation programs, such as for zoster and influenza.</w:t>
      </w:r>
    </w:p>
    <w:p w14:paraId="3E81E36A" w14:textId="13D206F1" w:rsidR="009941D5" w:rsidRPr="00B45C9F" w:rsidRDefault="00B45C9F" w:rsidP="009941D5">
      <w:pPr>
        <w:pStyle w:val="Heading3"/>
      </w:pPr>
      <w:r>
        <w:t>E</w:t>
      </w:r>
      <w:r w:rsidR="009941D5" w:rsidRPr="00B45C9F">
        <w:t xml:space="preserve">vidence-based advice </w:t>
      </w:r>
    </w:p>
    <w:p w14:paraId="3BAAE529" w14:textId="3CA8F1BE" w:rsidR="00862550" w:rsidRDefault="00862550" w:rsidP="008C4EEE">
      <w:pPr>
        <w:pStyle w:val="Bullet"/>
      </w:pPr>
      <w:r w:rsidRPr="00B45C9F">
        <w:t xml:space="preserve">Strengthen the evaluation of evidence </w:t>
      </w:r>
      <w:r w:rsidR="008C4EEE" w:rsidRPr="00B45C9F">
        <w:t>by using</w:t>
      </w:r>
      <w:r w:rsidRPr="00B45C9F">
        <w:t xml:space="preserve"> GRADE</w:t>
      </w:r>
      <w:r w:rsidR="008C4EEE" w:rsidRPr="00B45C9F">
        <w:t xml:space="preserve"> (Grading of Recommendations, Assessment, Development and Evaluations – a framework for </w:t>
      </w:r>
      <w:r w:rsidR="00F053B5">
        <w:t>making recommendations about</w:t>
      </w:r>
      <w:r w:rsidR="008C4EEE" w:rsidRPr="00B45C9F">
        <w:t xml:space="preserve"> </w:t>
      </w:r>
      <w:r w:rsidR="00F053B5">
        <w:t>best</w:t>
      </w:r>
      <w:r w:rsidR="008C4EEE" w:rsidRPr="00B45C9F">
        <w:t xml:space="preserve"> clinical practice</w:t>
      </w:r>
      <w:r w:rsidR="00F053B5">
        <w:t xml:space="preserve"> that are informed by evidence</w:t>
      </w:r>
      <w:r w:rsidR="008C4EEE" w:rsidRPr="00B45C9F">
        <w:t>)</w:t>
      </w:r>
      <w:r w:rsidR="00763CB9">
        <w:t>.</w:t>
      </w:r>
      <w:r w:rsidRPr="00B45C9F">
        <w:t xml:space="preserve"> </w:t>
      </w:r>
      <w:r w:rsidR="00763CB9">
        <w:t>C</w:t>
      </w:r>
      <w:r w:rsidRPr="00B45C9F">
        <w:t>ontinue publishing evidence-based immunisation recommendations</w:t>
      </w:r>
      <w:r w:rsidR="009D70CF" w:rsidRPr="00B45C9F">
        <w:t xml:space="preserve"> </w:t>
      </w:r>
      <w:r w:rsidRPr="00B45C9F">
        <w:t xml:space="preserve">through the </w:t>
      </w:r>
      <w:hyperlink r:id="rId42" w:history="1">
        <w:r w:rsidR="008C6E48">
          <w:rPr>
            <w:rStyle w:val="Hyperlink"/>
          </w:rPr>
          <w:t>Handbook</w:t>
        </w:r>
      </w:hyperlink>
      <w:r w:rsidR="00FC4F58" w:rsidRPr="00FC4F58">
        <w:t>.</w:t>
      </w:r>
    </w:p>
    <w:p w14:paraId="521EECFC" w14:textId="75FD6F9B" w:rsidR="00E226C7" w:rsidRPr="00B45C9F" w:rsidRDefault="00E226C7" w:rsidP="00E226C7">
      <w:pPr>
        <w:pStyle w:val="BulletLast"/>
      </w:pPr>
      <w:r>
        <w:lastRenderedPageBreak/>
        <w:t>Continue to monitor the development of new vaccines that may be considered for the NIP</w:t>
      </w:r>
      <w:r w:rsidR="00763CB9">
        <w:t>.</w:t>
      </w:r>
      <w:r>
        <w:t xml:space="preserve"> </w:t>
      </w:r>
      <w:r w:rsidR="00763CB9">
        <w:t>These may include</w:t>
      </w:r>
      <w:r>
        <w:t xml:space="preserve"> pneumococcal vaccines that cover more serotypes, and vaccines against respiratory syncytial virus and group A </w:t>
      </w:r>
      <w:r w:rsidRPr="00E226C7">
        <w:rPr>
          <w:rStyle w:val="Emphasis"/>
        </w:rPr>
        <w:t>Streptococcus</w:t>
      </w:r>
      <w:r>
        <w:t>.</w:t>
      </w:r>
    </w:p>
    <w:sectPr w:rsidR="00E226C7" w:rsidRPr="00B45C9F" w:rsidSect="00372C2A">
      <w:footerReference w:type="even" r:id="rId43"/>
      <w:footerReference w:type="default" r:id="rId44"/>
      <w:footerReference w:type="first" r:id="rId45"/>
      <w:footnotePr>
        <w:numRestart w:val="eachSect"/>
      </w:footnotePr>
      <w:type w:val="oddPage"/>
      <w:pgSz w:w="11906" w:h="16838" w:code="9"/>
      <w:pgMar w:top="1440" w:right="1440" w:bottom="1440" w:left="144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D4136" w14:textId="77777777" w:rsidR="00CF2A99" w:rsidRDefault="00CF2A99">
      <w:pPr>
        <w:spacing w:after="0"/>
      </w:pPr>
      <w:r>
        <w:separator/>
      </w:r>
    </w:p>
  </w:endnote>
  <w:endnote w:type="continuationSeparator" w:id="0">
    <w:p w14:paraId="3AB90F45" w14:textId="77777777" w:rsidR="00CF2A99" w:rsidRDefault="00CF2A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3A800" w14:textId="77777777" w:rsidR="00F010CB" w:rsidRDefault="00F010CB" w:rsidP="00F360C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B0FBFE" w14:textId="77777777" w:rsidR="00F010CB" w:rsidRDefault="00F010CB" w:rsidP="00372C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F587" w14:textId="69FB0C8D" w:rsidR="00F010CB" w:rsidRPr="00372C2A" w:rsidRDefault="00F010CB" w:rsidP="00F360CA">
    <w:pPr>
      <w:pStyle w:val="Footer"/>
      <w:framePr w:wrap="none" w:vAnchor="text" w:hAnchor="margin" w:xAlign="right" w:y="1"/>
      <w:rPr>
        <w:rStyle w:val="PageNumber"/>
        <w:rFonts w:asciiTheme="minorHAnsi" w:hAnsiTheme="minorHAnsi"/>
      </w:rPr>
    </w:pPr>
    <w:r w:rsidRPr="00372C2A">
      <w:rPr>
        <w:rStyle w:val="PageNumber"/>
        <w:rFonts w:asciiTheme="minorHAnsi" w:hAnsiTheme="minorHAnsi"/>
      </w:rPr>
      <w:fldChar w:fldCharType="begin"/>
    </w:r>
    <w:r w:rsidRPr="00372C2A">
      <w:rPr>
        <w:rStyle w:val="PageNumber"/>
        <w:rFonts w:asciiTheme="minorHAnsi" w:hAnsiTheme="minorHAnsi"/>
      </w:rPr>
      <w:instrText xml:space="preserve">PAGE  </w:instrText>
    </w:r>
    <w:r w:rsidRPr="00372C2A">
      <w:rPr>
        <w:rStyle w:val="PageNumber"/>
        <w:rFonts w:asciiTheme="minorHAnsi" w:hAnsiTheme="minorHAnsi"/>
      </w:rPr>
      <w:fldChar w:fldCharType="separate"/>
    </w:r>
    <w:r w:rsidR="00AB476D">
      <w:rPr>
        <w:rStyle w:val="PageNumber"/>
        <w:rFonts w:asciiTheme="minorHAnsi" w:hAnsiTheme="minorHAnsi"/>
        <w:noProof/>
      </w:rPr>
      <w:t>1</w:t>
    </w:r>
    <w:r w:rsidRPr="00372C2A">
      <w:rPr>
        <w:rStyle w:val="PageNumber"/>
        <w:rFonts w:asciiTheme="minorHAnsi" w:hAnsiTheme="minorHAnsi"/>
      </w:rPr>
      <w:fldChar w:fldCharType="end"/>
    </w:r>
  </w:p>
  <w:p w14:paraId="274FF391" w14:textId="77777777" w:rsidR="00F010CB" w:rsidRDefault="00F010CB" w:rsidP="00372C2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217680"/>
      <w:docPartObj>
        <w:docPartGallery w:val="Page Numbers (Bottom of Page)"/>
        <w:docPartUnique/>
      </w:docPartObj>
    </w:sdtPr>
    <w:sdtEndPr>
      <w:rPr>
        <w:noProof/>
      </w:rPr>
    </w:sdtEndPr>
    <w:sdtContent>
      <w:p w14:paraId="47822365" w14:textId="77777777" w:rsidR="00F010CB" w:rsidRDefault="00F010CB" w:rsidP="005A72C4">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22B95" w14:textId="77777777" w:rsidR="00CF2A99" w:rsidRDefault="00CF2A99">
      <w:pPr>
        <w:spacing w:after="0"/>
      </w:pPr>
      <w:r>
        <w:separator/>
      </w:r>
    </w:p>
  </w:footnote>
  <w:footnote w:type="continuationSeparator" w:id="0">
    <w:p w14:paraId="73880977" w14:textId="77777777" w:rsidR="00CF2A99" w:rsidRDefault="00CF2A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A4E8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66BE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EAC1C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E9C713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15641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2324B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5C9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BBEB09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F0026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A863B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80461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BE74FF"/>
    <w:multiLevelType w:val="hybridMultilevel"/>
    <w:tmpl w:val="56EE6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3A5E18"/>
    <w:multiLevelType w:val="hybridMultilevel"/>
    <w:tmpl w:val="0DE42C88"/>
    <w:lvl w:ilvl="0" w:tplc="0C09000F">
      <w:start w:val="1"/>
      <w:numFmt w:val="decimal"/>
      <w:lvlText w:val="%1."/>
      <w:lvlJc w:val="left"/>
      <w:pPr>
        <w:ind w:left="461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0397551"/>
    <w:multiLevelType w:val="multilevel"/>
    <w:tmpl w:val="07F8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8627B59"/>
    <w:multiLevelType w:val="hybridMultilevel"/>
    <w:tmpl w:val="CC021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FD4DC7"/>
    <w:multiLevelType w:val="hybridMultilevel"/>
    <w:tmpl w:val="035E74BC"/>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C372F4"/>
    <w:multiLevelType w:val="multilevel"/>
    <w:tmpl w:val="498868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13210C"/>
    <w:multiLevelType w:val="hybridMultilevel"/>
    <w:tmpl w:val="E0A81C54"/>
    <w:lvl w:ilvl="0" w:tplc="F4E462E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D47304"/>
    <w:multiLevelType w:val="multilevel"/>
    <w:tmpl w:val="C7546528"/>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E36817"/>
    <w:multiLevelType w:val="multilevel"/>
    <w:tmpl w:val="0B24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7F17DC"/>
    <w:multiLevelType w:val="multilevel"/>
    <w:tmpl w:val="0F68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96687"/>
    <w:multiLevelType w:val="multilevel"/>
    <w:tmpl w:val="F8DE0C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A14859"/>
    <w:multiLevelType w:val="hybridMultilevel"/>
    <w:tmpl w:val="9796D414"/>
    <w:lvl w:ilvl="0" w:tplc="F30EFE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B741B2"/>
    <w:multiLevelType w:val="hybridMultilevel"/>
    <w:tmpl w:val="2A00CA4C"/>
    <w:lvl w:ilvl="0" w:tplc="0C090001">
      <w:start w:val="1"/>
      <w:numFmt w:val="bullet"/>
      <w:lvlText w:val=""/>
      <w:lvlJc w:val="left"/>
      <w:pPr>
        <w:ind w:left="717" w:hanging="360"/>
      </w:pPr>
      <w:rPr>
        <w:rFonts w:ascii="Symbol" w:hAnsi="Symbol" w:hint="default"/>
      </w:rPr>
    </w:lvl>
    <w:lvl w:ilvl="1" w:tplc="0C090001">
      <w:start w:val="1"/>
      <w:numFmt w:val="bullet"/>
      <w:lvlText w:val=""/>
      <w:lvlJc w:val="left"/>
      <w:pPr>
        <w:ind w:left="1437" w:hanging="360"/>
      </w:pPr>
      <w:rPr>
        <w:rFonts w:ascii="Symbol" w:hAnsi="Symbol" w:hint="default"/>
      </w:rPr>
    </w:lvl>
    <w:lvl w:ilvl="2" w:tplc="0C090005">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1" w15:restartNumberingAfterBreak="0">
    <w:nsid w:val="78E81FDC"/>
    <w:multiLevelType w:val="hybridMultilevel"/>
    <w:tmpl w:val="B4CC9D40"/>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31"/>
  </w:num>
  <w:num w:numId="4">
    <w:abstractNumId w:val="12"/>
  </w:num>
  <w:num w:numId="5">
    <w:abstractNumId w:val="11"/>
  </w:num>
  <w:num w:numId="6">
    <w:abstractNumId w:val="10"/>
  </w:num>
  <w:num w:numId="7">
    <w:abstractNumId w:val="8"/>
  </w:num>
  <w:num w:numId="8">
    <w:abstractNumId w:val="7"/>
  </w:num>
  <w:num w:numId="9">
    <w:abstractNumId w:val="6"/>
  </w:num>
  <w:num w:numId="10">
    <w:abstractNumId w:val="5"/>
  </w:num>
  <w:num w:numId="11">
    <w:abstractNumId w:val="9"/>
  </w:num>
  <w:num w:numId="12">
    <w:abstractNumId w:val="4"/>
  </w:num>
  <w:num w:numId="13">
    <w:abstractNumId w:val="3"/>
  </w:num>
  <w:num w:numId="14">
    <w:abstractNumId w:val="2"/>
  </w:num>
  <w:num w:numId="15">
    <w:abstractNumId w:val="1"/>
  </w:num>
  <w:num w:numId="16">
    <w:abstractNumId w:val="28"/>
  </w:num>
  <w:num w:numId="17">
    <w:abstractNumId w:val="0"/>
  </w:num>
  <w:num w:numId="18">
    <w:abstractNumId w:val="17"/>
  </w:num>
  <w:num w:numId="19">
    <w:abstractNumId w:val="29"/>
  </w:num>
  <w:num w:numId="20">
    <w:abstractNumId w:val="19"/>
  </w:num>
  <w:num w:numId="21">
    <w:abstractNumId w:val="29"/>
  </w:num>
  <w:num w:numId="22">
    <w:abstractNumId w:val="21"/>
  </w:num>
  <w:num w:numId="23">
    <w:abstractNumId w:val="22"/>
  </w:num>
  <w:num w:numId="24">
    <w:abstractNumId w:val="14"/>
  </w:num>
  <w:num w:numId="25">
    <w:abstractNumId w:val="20"/>
  </w:num>
  <w:num w:numId="26">
    <w:abstractNumId w:val="27"/>
  </w:num>
  <w:num w:numId="27">
    <w:abstractNumId w:val="18"/>
  </w:num>
  <w:num w:numId="28">
    <w:abstractNumId w:val="13"/>
  </w:num>
  <w:num w:numId="29">
    <w:abstractNumId w:val="15"/>
  </w:num>
  <w:num w:numId="30">
    <w:abstractNumId w:val="30"/>
  </w:num>
  <w:num w:numId="31">
    <w:abstractNumId w:val="23"/>
  </w:num>
  <w:num w:numId="32">
    <w:abstractNumId w:val="31"/>
  </w:num>
  <w:num w:numId="33">
    <w:abstractNumId w:val="16"/>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rawingGridVerticalSpacing w:val="299"/>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40"/>
    <w:rsid w:val="00007BDA"/>
    <w:rsid w:val="00013A29"/>
    <w:rsid w:val="00033998"/>
    <w:rsid w:val="00034255"/>
    <w:rsid w:val="0005016F"/>
    <w:rsid w:val="00054CDC"/>
    <w:rsid w:val="0007619D"/>
    <w:rsid w:val="00080EA9"/>
    <w:rsid w:val="00092BC4"/>
    <w:rsid w:val="000A0E45"/>
    <w:rsid w:val="000A17E7"/>
    <w:rsid w:val="000B330D"/>
    <w:rsid w:val="000C10BA"/>
    <w:rsid w:val="000D12C0"/>
    <w:rsid w:val="000D6913"/>
    <w:rsid w:val="000F1020"/>
    <w:rsid w:val="00100909"/>
    <w:rsid w:val="001034BB"/>
    <w:rsid w:val="00103D2C"/>
    <w:rsid w:val="00103D47"/>
    <w:rsid w:val="00104E39"/>
    <w:rsid w:val="00114857"/>
    <w:rsid w:val="00114BAC"/>
    <w:rsid w:val="00115C93"/>
    <w:rsid w:val="00124CD3"/>
    <w:rsid w:val="00131FD7"/>
    <w:rsid w:val="001453C5"/>
    <w:rsid w:val="00151A28"/>
    <w:rsid w:val="00152515"/>
    <w:rsid w:val="0016558A"/>
    <w:rsid w:val="001749B8"/>
    <w:rsid w:val="00185EC5"/>
    <w:rsid w:val="00192A9D"/>
    <w:rsid w:val="001A6409"/>
    <w:rsid w:val="001C13E7"/>
    <w:rsid w:val="001D4D1F"/>
    <w:rsid w:val="0020319C"/>
    <w:rsid w:val="00204EFA"/>
    <w:rsid w:val="00220E41"/>
    <w:rsid w:val="00223521"/>
    <w:rsid w:val="002346AD"/>
    <w:rsid w:val="002435B2"/>
    <w:rsid w:val="00244E9B"/>
    <w:rsid w:val="00271B40"/>
    <w:rsid w:val="00283479"/>
    <w:rsid w:val="00284611"/>
    <w:rsid w:val="0029345F"/>
    <w:rsid w:val="002C19BF"/>
    <w:rsid w:val="002C3F14"/>
    <w:rsid w:val="002C3F92"/>
    <w:rsid w:val="002C61F5"/>
    <w:rsid w:val="002C6635"/>
    <w:rsid w:val="002D0313"/>
    <w:rsid w:val="002D6900"/>
    <w:rsid w:val="002E52DD"/>
    <w:rsid w:val="002E6060"/>
    <w:rsid w:val="002F02AB"/>
    <w:rsid w:val="0030104F"/>
    <w:rsid w:val="0033188B"/>
    <w:rsid w:val="003375F1"/>
    <w:rsid w:val="003445AC"/>
    <w:rsid w:val="003651B0"/>
    <w:rsid w:val="00372C2A"/>
    <w:rsid w:val="0039361E"/>
    <w:rsid w:val="00393BEA"/>
    <w:rsid w:val="003B1DA1"/>
    <w:rsid w:val="003B2FB6"/>
    <w:rsid w:val="003C3C2A"/>
    <w:rsid w:val="003D0620"/>
    <w:rsid w:val="003F041E"/>
    <w:rsid w:val="003F6FF6"/>
    <w:rsid w:val="0041505F"/>
    <w:rsid w:val="00422EF0"/>
    <w:rsid w:val="0044143B"/>
    <w:rsid w:val="004440E3"/>
    <w:rsid w:val="00447F7A"/>
    <w:rsid w:val="00455EB4"/>
    <w:rsid w:val="004822BC"/>
    <w:rsid w:val="0048295D"/>
    <w:rsid w:val="0048716B"/>
    <w:rsid w:val="004900B9"/>
    <w:rsid w:val="004957C3"/>
    <w:rsid w:val="00497D20"/>
    <w:rsid w:val="004B05E8"/>
    <w:rsid w:val="004C2CE5"/>
    <w:rsid w:val="004D382B"/>
    <w:rsid w:val="004D385E"/>
    <w:rsid w:val="004D4B62"/>
    <w:rsid w:val="004D5E2A"/>
    <w:rsid w:val="004D79BE"/>
    <w:rsid w:val="004E2801"/>
    <w:rsid w:val="004E4D62"/>
    <w:rsid w:val="004F6046"/>
    <w:rsid w:val="00523F72"/>
    <w:rsid w:val="00536B07"/>
    <w:rsid w:val="00547C19"/>
    <w:rsid w:val="005529A9"/>
    <w:rsid w:val="0056394F"/>
    <w:rsid w:val="00571F40"/>
    <w:rsid w:val="00590559"/>
    <w:rsid w:val="00591700"/>
    <w:rsid w:val="00591D88"/>
    <w:rsid w:val="00594C1F"/>
    <w:rsid w:val="005A3244"/>
    <w:rsid w:val="005A72C4"/>
    <w:rsid w:val="005B7013"/>
    <w:rsid w:val="005B7395"/>
    <w:rsid w:val="005C50A5"/>
    <w:rsid w:val="005E05A3"/>
    <w:rsid w:val="005E21C8"/>
    <w:rsid w:val="005F1827"/>
    <w:rsid w:val="00600D70"/>
    <w:rsid w:val="0061124B"/>
    <w:rsid w:val="00615E8E"/>
    <w:rsid w:val="0063573E"/>
    <w:rsid w:val="00637321"/>
    <w:rsid w:val="00653EFD"/>
    <w:rsid w:val="00655B19"/>
    <w:rsid w:val="006669E0"/>
    <w:rsid w:val="006678D2"/>
    <w:rsid w:val="0067027F"/>
    <w:rsid w:val="006928ED"/>
    <w:rsid w:val="00692B58"/>
    <w:rsid w:val="006A3A42"/>
    <w:rsid w:val="006B20B6"/>
    <w:rsid w:val="006B3BB8"/>
    <w:rsid w:val="006B4086"/>
    <w:rsid w:val="006C1769"/>
    <w:rsid w:val="006C62B2"/>
    <w:rsid w:val="006D7249"/>
    <w:rsid w:val="006E1F39"/>
    <w:rsid w:val="006F07F6"/>
    <w:rsid w:val="006F0A75"/>
    <w:rsid w:val="006F3E72"/>
    <w:rsid w:val="006F5743"/>
    <w:rsid w:val="00701C3C"/>
    <w:rsid w:val="00704FE3"/>
    <w:rsid w:val="00716B93"/>
    <w:rsid w:val="00721310"/>
    <w:rsid w:val="00733884"/>
    <w:rsid w:val="0075181B"/>
    <w:rsid w:val="007532F6"/>
    <w:rsid w:val="00753CC3"/>
    <w:rsid w:val="00763CB9"/>
    <w:rsid w:val="00770969"/>
    <w:rsid w:val="00772D67"/>
    <w:rsid w:val="00773806"/>
    <w:rsid w:val="007754ED"/>
    <w:rsid w:val="00792066"/>
    <w:rsid w:val="00793655"/>
    <w:rsid w:val="00793721"/>
    <w:rsid w:val="0079570A"/>
    <w:rsid w:val="007A3DD3"/>
    <w:rsid w:val="007A62AD"/>
    <w:rsid w:val="007A6708"/>
    <w:rsid w:val="007B39D6"/>
    <w:rsid w:val="007B6376"/>
    <w:rsid w:val="007C1D1B"/>
    <w:rsid w:val="007C3B62"/>
    <w:rsid w:val="007E7937"/>
    <w:rsid w:val="00807E98"/>
    <w:rsid w:val="00821B01"/>
    <w:rsid w:val="00862550"/>
    <w:rsid w:val="0086604A"/>
    <w:rsid w:val="00873C34"/>
    <w:rsid w:val="0088030E"/>
    <w:rsid w:val="00884384"/>
    <w:rsid w:val="008918D6"/>
    <w:rsid w:val="008B37AD"/>
    <w:rsid w:val="008B7077"/>
    <w:rsid w:val="008C4EEE"/>
    <w:rsid w:val="008C6E48"/>
    <w:rsid w:val="008D09FB"/>
    <w:rsid w:val="008D32BA"/>
    <w:rsid w:val="008D5825"/>
    <w:rsid w:val="008F12C1"/>
    <w:rsid w:val="008F3AA8"/>
    <w:rsid w:val="00917360"/>
    <w:rsid w:val="00917689"/>
    <w:rsid w:val="009250DA"/>
    <w:rsid w:val="00926040"/>
    <w:rsid w:val="00932C6D"/>
    <w:rsid w:val="00936F0F"/>
    <w:rsid w:val="00945E3D"/>
    <w:rsid w:val="00951954"/>
    <w:rsid w:val="00953AB3"/>
    <w:rsid w:val="009553A6"/>
    <w:rsid w:val="0096081E"/>
    <w:rsid w:val="00961243"/>
    <w:rsid w:val="00976D59"/>
    <w:rsid w:val="00980628"/>
    <w:rsid w:val="009941D5"/>
    <w:rsid w:val="009A6E81"/>
    <w:rsid w:val="009B4827"/>
    <w:rsid w:val="009C7BA5"/>
    <w:rsid w:val="009D70CF"/>
    <w:rsid w:val="009E3B68"/>
    <w:rsid w:val="009E4445"/>
    <w:rsid w:val="009E513A"/>
    <w:rsid w:val="009E6D29"/>
    <w:rsid w:val="009F67E4"/>
    <w:rsid w:val="00A064A6"/>
    <w:rsid w:val="00A25720"/>
    <w:rsid w:val="00A564A7"/>
    <w:rsid w:val="00A605D6"/>
    <w:rsid w:val="00A6439A"/>
    <w:rsid w:val="00A7729C"/>
    <w:rsid w:val="00A9331B"/>
    <w:rsid w:val="00AB2E43"/>
    <w:rsid w:val="00AB476D"/>
    <w:rsid w:val="00AC246D"/>
    <w:rsid w:val="00AC3C2F"/>
    <w:rsid w:val="00AD0CD0"/>
    <w:rsid w:val="00AE0D62"/>
    <w:rsid w:val="00AF4D69"/>
    <w:rsid w:val="00AF50C0"/>
    <w:rsid w:val="00B06FDF"/>
    <w:rsid w:val="00B1647E"/>
    <w:rsid w:val="00B32BB4"/>
    <w:rsid w:val="00B45C9F"/>
    <w:rsid w:val="00B50D30"/>
    <w:rsid w:val="00B55F41"/>
    <w:rsid w:val="00B618DF"/>
    <w:rsid w:val="00B64994"/>
    <w:rsid w:val="00B653FD"/>
    <w:rsid w:val="00B7037D"/>
    <w:rsid w:val="00B70B9C"/>
    <w:rsid w:val="00B743B7"/>
    <w:rsid w:val="00B859E2"/>
    <w:rsid w:val="00BA7CAC"/>
    <w:rsid w:val="00BB1574"/>
    <w:rsid w:val="00BB5800"/>
    <w:rsid w:val="00BC5084"/>
    <w:rsid w:val="00BD346C"/>
    <w:rsid w:val="00BD5B3C"/>
    <w:rsid w:val="00BF6B59"/>
    <w:rsid w:val="00C049B6"/>
    <w:rsid w:val="00C11304"/>
    <w:rsid w:val="00C15C36"/>
    <w:rsid w:val="00C25950"/>
    <w:rsid w:val="00C45C28"/>
    <w:rsid w:val="00C62B07"/>
    <w:rsid w:val="00C75DE5"/>
    <w:rsid w:val="00C831DF"/>
    <w:rsid w:val="00C92341"/>
    <w:rsid w:val="00C9562E"/>
    <w:rsid w:val="00C962EB"/>
    <w:rsid w:val="00CA15C8"/>
    <w:rsid w:val="00CB32F5"/>
    <w:rsid w:val="00CB3F2C"/>
    <w:rsid w:val="00CC4AB0"/>
    <w:rsid w:val="00CD4E02"/>
    <w:rsid w:val="00CD6389"/>
    <w:rsid w:val="00CE14FC"/>
    <w:rsid w:val="00CE14FD"/>
    <w:rsid w:val="00CE5850"/>
    <w:rsid w:val="00CE5940"/>
    <w:rsid w:val="00CF2A99"/>
    <w:rsid w:val="00CF4C32"/>
    <w:rsid w:val="00CF6C64"/>
    <w:rsid w:val="00D03C40"/>
    <w:rsid w:val="00D10C9D"/>
    <w:rsid w:val="00D20FD9"/>
    <w:rsid w:val="00D24DC7"/>
    <w:rsid w:val="00D25F9C"/>
    <w:rsid w:val="00D34811"/>
    <w:rsid w:val="00D405A1"/>
    <w:rsid w:val="00D405A8"/>
    <w:rsid w:val="00D4234C"/>
    <w:rsid w:val="00D663D3"/>
    <w:rsid w:val="00D75F03"/>
    <w:rsid w:val="00D82622"/>
    <w:rsid w:val="00D82D2A"/>
    <w:rsid w:val="00D85147"/>
    <w:rsid w:val="00D854D6"/>
    <w:rsid w:val="00D96F7C"/>
    <w:rsid w:val="00D9762B"/>
    <w:rsid w:val="00DA4EA1"/>
    <w:rsid w:val="00DC122C"/>
    <w:rsid w:val="00DE3FBF"/>
    <w:rsid w:val="00DF04D3"/>
    <w:rsid w:val="00DF56DD"/>
    <w:rsid w:val="00E226C7"/>
    <w:rsid w:val="00E30C29"/>
    <w:rsid w:val="00E31DDC"/>
    <w:rsid w:val="00E35DF1"/>
    <w:rsid w:val="00E369EA"/>
    <w:rsid w:val="00E412CB"/>
    <w:rsid w:val="00E50CBE"/>
    <w:rsid w:val="00E601A6"/>
    <w:rsid w:val="00E61CC5"/>
    <w:rsid w:val="00E6734A"/>
    <w:rsid w:val="00E726C9"/>
    <w:rsid w:val="00E914CA"/>
    <w:rsid w:val="00E93474"/>
    <w:rsid w:val="00EB64DC"/>
    <w:rsid w:val="00ED6114"/>
    <w:rsid w:val="00EE151A"/>
    <w:rsid w:val="00EE7B06"/>
    <w:rsid w:val="00F010CB"/>
    <w:rsid w:val="00F01DF6"/>
    <w:rsid w:val="00F053B5"/>
    <w:rsid w:val="00F31128"/>
    <w:rsid w:val="00F35EE4"/>
    <w:rsid w:val="00F35FB9"/>
    <w:rsid w:val="00F360CA"/>
    <w:rsid w:val="00F479BC"/>
    <w:rsid w:val="00F52490"/>
    <w:rsid w:val="00F660A7"/>
    <w:rsid w:val="00F828E3"/>
    <w:rsid w:val="00F90D07"/>
    <w:rsid w:val="00F9550C"/>
    <w:rsid w:val="00FA3570"/>
    <w:rsid w:val="00FA5DE1"/>
    <w:rsid w:val="00FB2918"/>
    <w:rsid w:val="00FB798A"/>
    <w:rsid w:val="00FC4F58"/>
    <w:rsid w:val="00FC6A68"/>
    <w:rsid w:val="00FD2FAD"/>
    <w:rsid w:val="00FF0B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B70493"/>
  <w15:docId w15:val="{21F6B857-A20A-204B-A2E5-DE2EFA26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395"/>
    <w:pPr>
      <w:spacing w:after="240"/>
    </w:pPr>
    <w:rPr>
      <w:rFonts w:ascii="Calibri" w:hAnsi="Calibri"/>
      <w:color w:val="000000"/>
      <w:sz w:val="22"/>
    </w:rPr>
  </w:style>
  <w:style w:type="paragraph" w:styleId="Heading1">
    <w:name w:val="heading 1"/>
    <w:basedOn w:val="Normal"/>
    <w:next w:val="Normal"/>
    <w:qFormat/>
    <w:rsid w:val="00CE14FC"/>
    <w:pPr>
      <w:keepNext/>
      <w:spacing w:after="480"/>
      <w:ind w:left="720" w:hanging="720"/>
      <w:outlineLvl w:val="0"/>
    </w:pPr>
    <w:rPr>
      <w:rFonts w:cs="Arial"/>
      <w:b/>
      <w:bCs/>
      <w:kern w:val="32"/>
      <w:sz w:val="40"/>
      <w:szCs w:val="32"/>
    </w:rPr>
  </w:style>
  <w:style w:type="paragraph" w:styleId="Heading2">
    <w:name w:val="heading 2"/>
    <w:basedOn w:val="Normal"/>
    <w:next w:val="Normal"/>
    <w:qFormat/>
    <w:rsid w:val="00CE14FC"/>
    <w:pPr>
      <w:keepNext/>
      <w:spacing w:before="240"/>
      <w:outlineLvl w:val="1"/>
    </w:pPr>
    <w:rPr>
      <w:rFonts w:cs="Arial"/>
      <w:b/>
      <w:bCs/>
      <w:iCs/>
      <w:sz w:val="28"/>
      <w:szCs w:val="28"/>
    </w:rPr>
  </w:style>
  <w:style w:type="paragraph" w:styleId="Heading3">
    <w:name w:val="heading 3"/>
    <w:basedOn w:val="Normal"/>
    <w:next w:val="Normal"/>
    <w:qFormat/>
    <w:rsid w:val="009F67E4"/>
    <w:pPr>
      <w:keepNext/>
      <w:spacing w:before="240"/>
      <w:outlineLvl w:val="2"/>
    </w:pPr>
    <w:rPr>
      <w:rFonts w:cs="Arial"/>
      <w:b/>
      <w:bCs/>
      <w:szCs w:val="26"/>
    </w:rPr>
  </w:style>
  <w:style w:type="paragraph" w:styleId="Heading4">
    <w:name w:val="heading 4"/>
    <w:basedOn w:val="Normal"/>
    <w:next w:val="Normal"/>
    <w:rsid w:val="00D20FD9"/>
    <w:pPr>
      <w:keepNext/>
      <w:spacing w:before="120" w:after="120"/>
      <w:outlineLvl w:val="3"/>
    </w:pPr>
    <w:rPr>
      <w:b/>
      <w:bCs/>
      <w:i/>
      <w:szCs w:val="28"/>
    </w:rPr>
  </w:style>
  <w:style w:type="paragraph" w:styleId="Heading5">
    <w:name w:val="heading 5"/>
    <w:basedOn w:val="Normal"/>
    <w:next w:val="Normal"/>
    <w:rsid w:val="00D20FD9"/>
    <w:pPr>
      <w:keepNext/>
      <w:spacing w:before="60" w:after="60"/>
      <w:outlineLvl w:val="4"/>
    </w:pPr>
    <w:rPr>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rsid w:val="005B7395"/>
    <w:pPr>
      <w:numPr>
        <w:ilvl w:val="1"/>
      </w:numPr>
      <w:jc w:val="center"/>
    </w:pPr>
    <w:rPr>
      <w:rFonts w:eastAsiaTheme="majorEastAsia" w:cstheme="majorBidi"/>
      <w:b/>
      <w:iCs/>
      <w:color w:val="auto"/>
      <w:sz w:val="40"/>
      <w:szCs w:val="24"/>
    </w:rPr>
  </w:style>
  <w:style w:type="paragraph" w:customStyle="1" w:styleId="PullQuote">
    <w:name w:val="PullQuote"/>
    <w:basedOn w:val="Normal"/>
    <w:next w:val="Normal"/>
    <w:rsid w:val="005B7395"/>
    <w:rPr>
      <w:b/>
      <w:color w:val="76923C" w:themeColor="accent3" w:themeShade="BF"/>
    </w:rPr>
  </w:style>
  <w:style w:type="paragraph" w:customStyle="1" w:styleId="ReportDate">
    <w:name w:val="ReportDate"/>
    <w:basedOn w:val="Normal"/>
    <w:rsid w:val="00D20FD9"/>
    <w:pPr>
      <w:jc w:val="center"/>
    </w:pPr>
    <w:rPr>
      <w:sz w:val="40"/>
    </w:rPr>
  </w:style>
  <w:style w:type="paragraph" w:customStyle="1" w:styleId="Heading1a">
    <w:name w:val="Heading 1a"/>
    <w:basedOn w:val="Heading1"/>
    <w:next w:val="Normal"/>
    <w:rsid w:val="00D20FD9"/>
    <w:pPr>
      <w:outlineLvl w:val="9"/>
    </w:pPr>
  </w:style>
  <w:style w:type="paragraph" w:customStyle="1" w:styleId="Heading2a">
    <w:name w:val="Heading 2a"/>
    <w:basedOn w:val="Heading2"/>
    <w:next w:val="Normal"/>
    <w:rsid w:val="00D20FD9"/>
    <w:pPr>
      <w:outlineLvl w:val="9"/>
    </w:pPr>
  </w:style>
  <w:style w:type="paragraph" w:customStyle="1" w:styleId="Heading3a">
    <w:name w:val="Heading 3a"/>
    <w:basedOn w:val="Heading3"/>
    <w:next w:val="Normal"/>
    <w:rsid w:val="00D20FD9"/>
    <w:pPr>
      <w:outlineLvl w:val="9"/>
    </w:pPr>
  </w:style>
  <w:style w:type="paragraph" w:styleId="Header">
    <w:name w:val="header"/>
    <w:basedOn w:val="Normal"/>
    <w:semiHidden/>
    <w:rsid w:val="00D20FD9"/>
    <w:pPr>
      <w:tabs>
        <w:tab w:val="right" w:pos="9000"/>
      </w:tabs>
      <w:spacing w:after="0"/>
    </w:pPr>
    <w:rPr>
      <w:sz w:val="18"/>
    </w:rPr>
  </w:style>
  <w:style w:type="paragraph" w:styleId="Footer">
    <w:name w:val="footer"/>
    <w:basedOn w:val="Normal"/>
    <w:link w:val="FooterChar"/>
    <w:uiPriority w:val="99"/>
    <w:rsid w:val="00D20FD9"/>
    <w:pPr>
      <w:tabs>
        <w:tab w:val="right" w:pos="9000"/>
      </w:tabs>
      <w:spacing w:after="0"/>
    </w:pPr>
    <w:rPr>
      <w:sz w:val="20"/>
    </w:rPr>
  </w:style>
  <w:style w:type="character" w:styleId="PageNumber">
    <w:name w:val="page number"/>
    <w:basedOn w:val="DefaultParagraphFont"/>
    <w:semiHidden/>
    <w:rsid w:val="00D20FD9"/>
    <w:rPr>
      <w:rFonts w:ascii="Times New Roman" w:hAnsi="Times New Roman"/>
      <w:b/>
      <w:sz w:val="20"/>
    </w:rPr>
  </w:style>
  <w:style w:type="paragraph" w:customStyle="1" w:styleId="TableText">
    <w:name w:val="TableText"/>
    <w:basedOn w:val="Normal"/>
    <w:rsid w:val="00D20FD9"/>
    <w:pPr>
      <w:keepNext/>
      <w:spacing w:before="60" w:after="60"/>
    </w:pPr>
    <w:rPr>
      <w:sz w:val="21"/>
      <w:szCs w:val="21"/>
    </w:rPr>
  </w:style>
  <w:style w:type="paragraph" w:customStyle="1" w:styleId="TFListNotesSpace">
    <w:name w:val="TFListNotes+Space"/>
    <w:basedOn w:val="TableText"/>
    <w:next w:val="Normal"/>
    <w:rsid w:val="00F31128"/>
    <w:pPr>
      <w:keepNext w:val="0"/>
      <w:keepLines/>
      <w:spacing w:before="0" w:after="360"/>
      <w:ind w:left="170" w:hanging="170"/>
    </w:pPr>
    <w:rPr>
      <w:sz w:val="18"/>
      <w:szCs w:val="18"/>
    </w:rPr>
  </w:style>
  <w:style w:type="paragraph" w:customStyle="1" w:styleId="TFListNotes">
    <w:name w:val="TFListNotes"/>
    <w:basedOn w:val="TFListNotesSpace"/>
    <w:rsid w:val="00F31128"/>
    <w:pPr>
      <w:keepNext/>
      <w:spacing w:after="0"/>
    </w:pPr>
  </w:style>
  <w:style w:type="paragraph" w:customStyle="1" w:styleId="TableName">
    <w:name w:val="TableName"/>
    <w:basedOn w:val="TableText"/>
    <w:rsid w:val="005B7395"/>
    <w:pPr>
      <w:tabs>
        <w:tab w:val="left" w:pos="1080"/>
      </w:tabs>
      <w:spacing w:before="120" w:after="120"/>
      <w:ind w:left="1080" w:hanging="1080"/>
    </w:pPr>
    <w:rPr>
      <w:b/>
      <w:bCs/>
      <w:sz w:val="22"/>
    </w:rPr>
  </w:style>
  <w:style w:type="paragraph" w:customStyle="1" w:styleId="TableHeading">
    <w:name w:val="TableHeading"/>
    <w:basedOn w:val="TableText"/>
    <w:rsid w:val="00D20FD9"/>
    <w:rPr>
      <w:b/>
      <w:bCs/>
    </w:rPr>
  </w:style>
  <w:style w:type="paragraph" w:customStyle="1" w:styleId="TableBullet">
    <w:name w:val="TableBullet"/>
    <w:basedOn w:val="TableText"/>
    <w:rsid w:val="00D20FD9"/>
    <w:pPr>
      <w:numPr>
        <w:numId w:val="1"/>
      </w:numPr>
      <w:tabs>
        <w:tab w:val="clear" w:pos="360"/>
        <w:tab w:val="left" w:pos="216"/>
      </w:tabs>
      <w:ind w:left="216" w:hanging="216"/>
    </w:pPr>
  </w:style>
  <w:style w:type="paragraph" w:customStyle="1" w:styleId="TableDash">
    <w:name w:val="TableDash"/>
    <w:basedOn w:val="TableText"/>
    <w:rsid w:val="00D20FD9"/>
    <w:pPr>
      <w:numPr>
        <w:numId w:val="2"/>
      </w:numPr>
      <w:tabs>
        <w:tab w:val="clear" w:pos="216"/>
        <w:tab w:val="num" w:pos="432"/>
      </w:tabs>
    </w:pPr>
  </w:style>
  <w:style w:type="paragraph" w:styleId="Quote">
    <w:name w:val="Quote"/>
    <w:basedOn w:val="Normal"/>
    <w:rsid w:val="00D20FD9"/>
    <w:pPr>
      <w:ind w:left="720" w:right="720"/>
    </w:pPr>
    <w:rPr>
      <w:sz w:val="20"/>
    </w:rPr>
  </w:style>
  <w:style w:type="paragraph" w:customStyle="1" w:styleId="References">
    <w:name w:val="References"/>
    <w:basedOn w:val="Normal"/>
    <w:rsid w:val="00BD346C"/>
    <w:pPr>
      <w:keepLines/>
      <w:ind w:left="720" w:hanging="720"/>
    </w:pPr>
  </w:style>
  <w:style w:type="character" w:customStyle="1" w:styleId="FooterChar">
    <w:name w:val="Footer Char"/>
    <w:basedOn w:val="DefaultParagraphFont"/>
    <w:link w:val="Footer"/>
    <w:uiPriority w:val="99"/>
    <w:rsid w:val="005A72C4"/>
    <w:rPr>
      <w:color w:val="000000"/>
    </w:rPr>
  </w:style>
  <w:style w:type="paragraph" w:styleId="FootnoteText">
    <w:name w:val="footnote text"/>
    <w:basedOn w:val="Normal"/>
    <w:semiHidden/>
    <w:rsid w:val="00D20FD9"/>
    <w:pPr>
      <w:spacing w:after="0"/>
      <w:ind w:left="360" w:hanging="360"/>
    </w:pPr>
    <w:rPr>
      <w:sz w:val="20"/>
    </w:rPr>
  </w:style>
  <w:style w:type="character" w:styleId="FootnoteReference">
    <w:name w:val="footnote reference"/>
    <w:basedOn w:val="DefaultParagraphFont"/>
    <w:uiPriority w:val="99"/>
    <w:semiHidden/>
    <w:rsid w:val="00D20FD9"/>
    <w:rPr>
      <w:vertAlign w:val="superscript"/>
    </w:rPr>
  </w:style>
  <w:style w:type="paragraph" w:customStyle="1" w:styleId="FigTabPara">
    <w:name w:val="FigTabPara"/>
    <w:basedOn w:val="Normal"/>
    <w:next w:val="TFIHolder"/>
    <w:rsid w:val="00BD346C"/>
    <w:pPr>
      <w:keepNext/>
      <w:spacing w:after="120"/>
      <w:ind w:left="1077"/>
    </w:pPr>
  </w:style>
  <w:style w:type="paragraph" w:customStyle="1" w:styleId="TFIHolder">
    <w:name w:val="TFIHolder"/>
    <w:basedOn w:val="TFAbbrevs"/>
    <w:qFormat/>
    <w:rsid w:val="00932C6D"/>
    <w:rPr>
      <w:sz w:val="12"/>
    </w:rPr>
  </w:style>
  <w:style w:type="paragraph" w:customStyle="1" w:styleId="TFAbbrevs">
    <w:name w:val="TFAbbrevs"/>
    <w:basedOn w:val="TFListNotes"/>
    <w:rsid w:val="003D0620"/>
  </w:style>
  <w:style w:type="paragraph" w:customStyle="1" w:styleId="FigureNameSpace">
    <w:name w:val="FigureName+Space"/>
    <w:basedOn w:val="Normal"/>
    <w:next w:val="Normal"/>
    <w:rsid w:val="00C9562E"/>
    <w:pPr>
      <w:keepLines/>
      <w:tabs>
        <w:tab w:val="left" w:pos="1080"/>
      </w:tabs>
      <w:spacing w:before="120" w:after="360"/>
      <w:ind w:left="1080" w:hanging="1080"/>
    </w:pPr>
    <w:rPr>
      <w:b/>
      <w:bCs/>
    </w:rPr>
  </w:style>
  <w:style w:type="paragraph" w:styleId="TOC1">
    <w:name w:val="toc 1"/>
    <w:basedOn w:val="Normal"/>
    <w:next w:val="Normal"/>
    <w:autoRedefine/>
    <w:uiPriority w:val="39"/>
    <w:rsid w:val="00BD346C"/>
    <w:pPr>
      <w:tabs>
        <w:tab w:val="left" w:pos="720"/>
        <w:tab w:val="right" w:leader="dot" w:pos="9016"/>
      </w:tabs>
      <w:spacing w:before="360" w:after="60"/>
      <w:ind w:left="720" w:right="720" w:hanging="720"/>
    </w:pPr>
    <w:rPr>
      <w:b/>
      <w:bCs/>
      <w:noProof/>
    </w:rPr>
  </w:style>
  <w:style w:type="paragraph" w:styleId="TOC2">
    <w:name w:val="toc 2"/>
    <w:basedOn w:val="Normal"/>
    <w:next w:val="Normal"/>
    <w:autoRedefine/>
    <w:uiPriority w:val="39"/>
    <w:rsid w:val="00D20FD9"/>
    <w:pPr>
      <w:tabs>
        <w:tab w:val="left" w:pos="1440"/>
        <w:tab w:val="right" w:leader="dot" w:pos="9016"/>
      </w:tabs>
      <w:spacing w:before="120" w:after="60"/>
      <w:ind w:left="1440" w:right="720" w:hanging="720"/>
    </w:pPr>
  </w:style>
  <w:style w:type="paragraph" w:styleId="TOC3">
    <w:name w:val="toc 3"/>
    <w:basedOn w:val="Normal"/>
    <w:next w:val="Normal"/>
    <w:autoRedefine/>
    <w:uiPriority w:val="39"/>
    <w:rsid w:val="00D20FD9"/>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7754ED"/>
    <w:pPr>
      <w:tabs>
        <w:tab w:val="left" w:pos="1080"/>
        <w:tab w:val="right" w:leader="dot" w:pos="9000"/>
      </w:tabs>
      <w:spacing w:after="120"/>
      <w:ind w:left="1080" w:right="720" w:hangingChars="450" w:hanging="1080"/>
    </w:pPr>
  </w:style>
  <w:style w:type="paragraph" w:customStyle="1" w:styleId="BulletBeforeDash">
    <w:name w:val="BulletBeforeDash"/>
    <w:basedOn w:val="Normal"/>
    <w:rsid w:val="00D20FD9"/>
    <w:pPr>
      <w:numPr>
        <w:numId w:val="3"/>
      </w:numPr>
      <w:spacing w:after="0"/>
    </w:pPr>
  </w:style>
  <w:style w:type="paragraph" w:customStyle="1" w:styleId="Bullet">
    <w:name w:val="Bullet"/>
    <w:basedOn w:val="BulletBeforeDash"/>
    <w:qFormat/>
    <w:rsid w:val="00D20FD9"/>
    <w:pPr>
      <w:spacing w:after="120"/>
    </w:pPr>
  </w:style>
  <w:style w:type="paragraph" w:customStyle="1" w:styleId="BulletLast">
    <w:name w:val="BulletLast"/>
    <w:basedOn w:val="Bullet"/>
    <w:qFormat/>
    <w:rsid w:val="00D20FD9"/>
    <w:pPr>
      <w:spacing w:after="240"/>
    </w:pPr>
  </w:style>
  <w:style w:type="paragraph" w:customStyle="1" w:styleId="Dash">
    <w:name w:val="Dash"/>
    <w:basedOn w:val="Normal"/>
    <w:rsid w:val="00D20FD9"/>
    <w:pPr>
      <w:numPr>
        <w:numId w:val="4"/>
      </w:numPr>
      <w:tabs>
        <w:tab w:val="clear" w:pos="216"/>
        <w:tab w:val="left" w:pos="720"/>
      </w:tabs>
      <w:spacing w:after="0"/>
      <w:ind w:left="720" w:hanging="360"/>
    </w:pPr>
  </w:style>
  <w:style w:type="paragraph" w:customStyle="1" w:styleId="DashLast">
    <w:name w:val="DashLast"/>
    <w:basedOn w:val="Dash"/>
    <w:rsid w:val="00D20FD9"/>
    <w:pPr>
      <w:spacing w:after="120"/>
    </w:pPr>
  </w:style>
  <w:style w:type="paragraph" w:customStyle="1" w:styleId="DashLastSpace">
    <w:name w:val="DashLast+Space"/>
    <w:basedOn w:val="DashLast"/>
    <w:rsid w:val="00D20FD9"/>
    <w:pPr>
      <w:spacing w:after="240"/>
    </w:pPr>
  </w:style>
  <w:style w:type="paragraph" w:customStyle="1" w:styleId="NormalBeforeBullet">
    <w:name w:val="NormalBeforeBullet"/>
    <w:basedOn w:val="Normal"/>
    <w:qFormat/>
    <w:rsid w:val="00D20FD9"/>
    <w:pPr>
      <w:keepNext/>
      <w:spacing w:after="120"/>
    </w:pPr>
  </w:style>
  <w:style w:type="paragraph" w:customStyle="1" w:styleId="BoxText">
    <w:name w:val="BoxText"/>
    <w:basedOn w:val="Normal"/>
    <w:qFormat/>
    <w:rsid w:val="00D20FD9"/>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20FD9"/>
    <w:pPr>
      <w:spacing w:before="120" w:after="60"/>
    </w:pPr>
    <w:rPr>
      <w:sz w:val="18"/>
    </w:rPr>
  </w:style>
  <w:style w:type="paragraph" w:customStyle="1" w:styleId="BoxName">
    <w:name w:val="BoxName"/>
    <w:basedOn w:val="BoxText"/>
    <w:rsid w:val="00D20FD9"/>
    <w:pPr>
      <w:keepNext/>
      <w:spacing w:before="180"/>
      <w:ind w:left="1080" w:hanging="1080"/>
    </w:pPr>
    <w:rPr>
      <w:b/>
      <w:bCs/>
      <w:sz w:val="24"/>
    </w:rPr>
  </w:style>
  <w:style w:type="paragraph" w:customStyle="1" w:styleId="BoxHeading">
    <w:name w:val="BoxHeading"/>
    <w:basedOn w:val="BoxText"/>
    <w:rsid w:val="00D20FD9"/>
    <w:pPr>
      <w:keepNext/>
      <w:spacing w:before="120" w:after="60"/>
    </w:pPr>
    <w:rPr>
      <w:b/>
      <w:bCs/>
    </w:rPr>
  </w:style>
  <w:style w:type="paragraph" w:customStyle="1" w:styleId="BoxBullet">
    <w:name w:val="BoxBullet"/>
    <w:basedOn w:val="BoxText"/>
    <w:rsid w:val="00A9331B"/>
    <w:pPr>
      <w:numPr>
        <w:numId w:val="24"/>
      </w:numPr>
    </w:pPr>
  </w:style>
  <w:style w:type="paragraph" w:customStyle="1" w:styleId="BoxDashManual">
    <w:name w:val="BoxDashManual"/>
    <w:basedOn w:val="BoxText"/>
    <w:rsid w:val="00D20FD9"/>
    <w:pPr>
      <w:tabs>
        <w:tab w:val="left" w:pos="360"/>
        <w:tab w:val="left" w:pos="720"/>
      </w:tabs>
      <w:ind w:left="720" w:hanging="720"/>
    </w:pPr>
  </w:style>
  <w:style w:type="paragraph" w:customStyle="1" w:styleId="FigureName">
    <w:name w:val="FigureName"/>
    <w:basedOn w:val="FigureNameSpace"/>
    <w:next w:val="Normal"/>
    <w:rsid w:val="00FD2FAD"/>
    <w:pPr>
      <w:keepNext/>
      <w:spacing w:after="120"/>
      <w:ind w:left="1077" w:hanging="1077"/>
    </w:pPr>
  </w:style>
  <w:style w:type="paragraph" w:styleId="Index1">
    <w:name w:val="index 1"/>
    <w:basedOn w:val="Normal"/>
    <w:next w:val="Normal"/>
    <w:rsid w:val="005F1827"/>
    <w:pPr>
      <w:spacing w:after="0"/>
      <w:ind w:left="518" w:hanging="518"/>
    </w:pPr>
    <w:rPr>
      <w:noProof/>
    </w:rPr>
  </w:style>
  <w:style w:type="paragraph" w:styleId="Index2">
    <w:name w:val="index 2"/>
    <w:basedOn w:val="Index1"/>
    <w:next w:val="Normal"/>
    <w:rsid w:val="005F1827"/>
    <w:pPr>
      <w:ind w:left="816" w:hanging="476"/>
    </w:pPr>
  </w:style>
  <w:style w:type="paragraph" w:styleId="TOC4">
    <w:name w:val="toc 4"/>
    <w:basedOn w:val="Normal"/>
    <w:next w:val="Normal"/>
    <w:autoRedefine/>
    <w:semiHidden/>
    <w:rsid w:val="00D20FD9"/>
    <w:pPr>
      <w:tabs>
        <w:tab w:val="right" w:leader="dot" w:pos="9016"/>
      </w:tabs>
      <w:spacing w:after="0"/>
      <w:ind w:left="2160" w:right="720"/>
    </w:pPr>
    <w:rPr>
      <w:noProof/>
      <w:szCs w:val="24"/>
    </w:rPr>
  </w:style>
  <w:style w:type="paragraph" w:customStyle="1" w:styleId="NumberList">
    <w:name w:val="NumberList"/>
    <w:basedOn w:val="Normal"/>
    <w:rsid w:val="00D20FD9"/>
    <w:pPr>
      <w:tabs>
        <w:tab w:val="left" w:pos="360"/>
      </w:tabs>
      <w:ind w:left="360" w:hanging="360"/>
    </w:pPr>
  </w:style>
  <w:style w:type="paragraph" w:customStyle="1" w:styleId="TFNoteSourceSpace">
    <w:name w:val="TFNoteSource+Space"/>
    <w:basedOn w:val="TFListNotesSpace"/>
    <w:next w:val="Normal"/>
    <w:rsid w:val="00192A9D"/>
  </w:style>
  <w:style w:type="paragraph" w:customStyle="1" w:styleId="TFNoteSource">
    <w:name w:val="TFNoteSource"/>
    <w:basedOn w:val="TFNoteSourceSpace"/>
    <w:rsid w:val="00192A9D"/>
    <w:pPr>
      <w:spacing w:after="0"/>
    </w:pPr>
  </w:style>
  <w:style w:type="character" w:customStyle="1" w:styleId="DesignerNotesChar">
    <w:name w:val="DesignerNotesChar"/>
    <w:basedOn w:val="DefaultParagraphFont"/>
    <w:rsid w:val="00B50D30"/>
    <w:rPr>
      <w:rFonts w:ascii="Arial" w:hAnsi="Arial"/>
      <w:b/>
      <w:color w:val="3366FF"/>
      <w:sz w:val="20"/>
    </w:rPr>
  </w:style>
  <w:style w:type="paragraph" w:customStyle="1" w:styleId="TFAbbrevsSpace">
    <w:name w:val="TFAbbrevs+Space"/>
    <w:basedOn w:val="TFAbbrevs"/>
    <w:next w:val="Normal"/>
    <w:rsid w:val="00EE7B06"/>
    <w:pPr>
      <w:spacing w:after="360"/>
    </w:pPr>
  </w:style>
  <w:style w:type="character" w:styleId="Strong">
    <w:name w:val="Strong"/>
    <w:basedOn w:val="DefaultParagraphFont"/>
    <w:uiPriority w:val="22"/>
    <w:qFormat/>
    <w:rsid w:val="00692B58"/>
    <w:rPr>
      <w:b/>
      <w:bCs/>
    </w:rPr>
  </w:style>
  <w:style w:type="character" w:styleId="Emphasis">
    <w:name w:val="Emphasis"/>
    <w:basedOn w:val="DefaultParagraphFont"/>
    <w:uiPriority w:val="20"/>
    <w:qFormat/>
    <w:rsid w:val="00692B58"/>
    <w:rPr>
      <w:i/>
      <w:iCs/>
    </w:rPr>
  </w:style>
  <w:style w:type="character" w:customStyle="1" w:styleId="Roman">
    <w:name w:val="Roman"/>
    <w:uiPriority w:val="1"/>
    <w:rsid w:val="00114BAC"/>
    <w:rPr>
      <w:b w:val="0"/>
      <w:i/>
    </w:rPr>
  </w:style>
  <w:style w:type="character" w:customStyle="1" w:styleId="PullQuoteOrigin">
    <w:name w:val="PullQuoteOrigin"/>
    <w:basedOn w:val="DefaultParagraphFont"/>
    <w:uiPriority w:val="1"/>
    <w:rsid w:val="00114BAC"/>
    <w:rPr>
      <w:b/>
      <w:noProof/>
      <w:color w:val="76923C" w:themeColor="accent3" w:themeShade="BF"/>
    </w:rPr>
  </w:style>
  <w:style w:type="table" w:styleId="TableGrid">
    <w:name w:val="Table Grid"/>
    <w:basedOn w:val="TableNormal"/>
    <w:uiPriority w:val="59"/>
    <w:rsid w:val="00BB1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IHolderSpace">
    <w:name w:val="TFIHolder+Space"/>
    <w:basedOn w:val="TFIHolder"/>
    <w:qFormat/>
    <w:rsid w:val="00932C6D"/>
    <w:pPr>
      <w:spacing w:after="240"/>
    </w:pPr>
  </w:style>
  <w:style w:type="paragraph" w:customStyle="1" w:styleId="DesignerNotes">
    <w:name w:val="DesignerNotes"/>
    <w:basedOn w:val="Normal"/>
    <w:rsid w:val="00B50D30"/>
    <w:rPr>
      <w:rFonts w:ascii="Arial" w:hAnsi="Arial"/>
      <w:b/>
      <w:color w:val="3366FF"/>
      <w:sz w:val="20"/>
    </w:rPr>
  </w:style>
  <w:style w:type="character" w:customStyle="1" w:styleId="Subscript">
    <w:name w:val="Subscript"/>
    <w:basedOn w:val="DefaultParagraphFont"/>
    <w:uiPriority w:val="1"/>
    <w:rsid w:val="00C92341"/>
    <w:rPr>
      <w:noProof/>
      <w:vertAlign w:val="subscript"/>
    </w:rPr>
  </w:style>
  <w:style w:type="character" w:customStyle="1" w:styleId="Superscript">
    <w:name w:val="Superscript"/>
    <w:basedOn w:val="DefaultParagraphFont"/>
    <w:uiPriority w:val="1"/>
    <w:rsid w:val="00C92341"/>
    <w:rPr>
      <w:noProof/>
      <w:vertAlign w:val="superscript"/>
    </w:rPr>
  </w:style>
  <w:style w:type="character" w:customStyle="1" w:styleId="Symbol">
    <w:name w:val="Symbol"/>
    <w:basedOn w:val="DefaultParagraphFont"/>
    <w:uiPriority w:val="1"/>
    <w:rsid w:val="00C92341"/>
    <w:rPr>
      <w:noProof/>
    </w:rPr>
  </w:style>
  <w:style w:type="character" w:customStyle="1" w:styleId="NoBreak">
    <w:name w:val="NoBreak"/>
    <w:basedOn w:val="DefaultParagraphFont"/>
    <w:uiPriority w:val="1"/>
    <w:rsid w:val="00E35DF1"/>
    <w:rPr>
      <w:noProof/>
    </w:rPr>
  </w:style>
  <w:style w:type="paragraph" w:customStyle="1" w:styleId="MathEquation">
    <w:name w:val="MathEquation"/>
    <w:basedOn w:val="Normal"/>
    <w:rsid w:val="00FA5DE1"/>
    <w:rPr>
      <w:rFonts w:ascii="Cambria Math" w:hAnsi="Cambria Math"/>
      <w:i/>
      <w:noProof/>
    </w:rPr>
  </w:style>
  <w:style w:type="paragraph" w:customStyle="1" w:styleId="ComputerCode">
    <w:name w:val="ComputerCode"/>
    <w:basedOn w:val="Normal"/>
    <w:rsid w:val="00773806"/>
    <w:pPr>
      <w:ind w:left="567"/>
      <w:contextualSpacing/>
    </w:pPr>
    <w:rPr>
      <w:rFonts w:ascii="Courier New" w:hAnsi="Courier New"/>
      <w:color w:val="auto"/>
      <w:sz w:val="20"/>
      <w:szCs w:val="24"/>
    </w:rPr>
  </w:style>
  <w:style w:type="paragraph" w:customStyle="1" w:styleId="BulletChecklist">
    <w:name w:val="BulletChecklist"/>
    <w:basedOn w:val="Bullet"/>
    <w:rsid w:val="0020319C"/>
    <w:pPr>
      <w:numPr>
        <w:numId w:val="16"/>
      </w:numPr>
    </w:pPr>
    <w:rPr>
      <w:noProof/>
    </w:rPr>
  </w:style>
  <w:style w:type="paragraph" w:customStyle="1" w:styleId="ImprintText">
    <w:name w:val="ImprintText"/>
    <w:basedOn w:val="Normal"/>
    <w:rsid w:val="001D4D1F"/>
    <w:pPr>
      <w:spacing w:after="120"/>
    </w:pPr>
    <w:rPr>
      <w:sz w:val="20"/>
    </w:rPr>
  </w:style>
  <w:style w:type="paragraph" w:customStyle="1" w:styleId="AltText">
    <w:name w:val="AltText"/>
    <w:basedOn w:val="Normal"/>
    <w:rsid w:val="00CF4C32"/>
    <w:rPr>
      <w:rFonts w:ascii="Arial" w:hAnsi="Arial"/>
      <w:color w:val="E36C0A" w:themeColor="accent6" w:themeShade="BF"/>
      <w:sz w:val="20"/>
    </w:rPr>
  </w:style>
  <w:style w:type="paragraph" w:styleId="Caption">
    <w:name w:val="caption"/>
    <w:basedOn w:val="Normal"/>
    <w:next w:val="Credit"/>
    <w:uiPriority w:val="35"/>
    <w:unhideWhenUsed/>
    <w:rsid w:val="008B7077"/>
    <w:pPr>
      <w:spacing w:after="0"/>
    </w:pPr>
    <w:rPr>
      <w:b/>
      <w:bCs/>
      <w:color w:val="auto"/>
      <w:sz w:val="18"/>
      <w:szCs w:val="18"/>
    </w:rPr>
  </w:style>
  <w:style w:type="paragraph" w:customStyle="1" w:styleId="Credit">
    <w:name w:val="Credit"/>
    <w:basedOn w:val="Caption"/>
    <w:next w:val="Normal"/>
    <w:rsid w:val="008B7077"/>
    <w:pPr>
      <w:spacing w:after="240"/>
    </w:pPr>
    <w:rPr>
      <w:b w:val="0"/>
      <w:noProof/>
    </w:rPr>
  </w:style>
  <w:style w:type="paragraph" w:customStyle="1" w:styleId="NormalFirstPara">
    <w:name w:val="NormalFirstPara"/>
    <w:basedOn w:val="Normal"/>
    <w:rsid w:val="00B1647E"/>
    <w:rPr>
      <w:noProof/>
      <w:color w:val="9BBB59" w:themeColor="accent3"/>
    </w:rPr>
  </w:style>
  <w:style w:type="paragraph" w:customStyle="1" w:styleId="TableHeadingCA">
    <w:name w:val="TableHeadingCA"/>
    <w:basedOn w:val="TableHeading"/>
    <w:rsid w:val="00C45C28"/>
    <w:pPr>
      <w:jc w:val="center"/>
    </w:pPr>
  </w:style>
  <w:style w:type="paragraph" w:customStyle="1" w:styleId="TableTextCA">
    <w:name w:val="TableTextCA"/>
    <w:basedOn w:val="TableText"/>
    <w:rsid w:val="00C45C28"/>
    <w:pPr>
      <w:jc w:val="center"/>
    </w:pPr>
  </w:style>
  <w:style w:type="paragraph" w:customStyle="1" w:styleId="TableTextDecimalAlign">
    <w:name w:val="TableTextDecimalAlign"/>
    <w:basedOn w:val="TableText"/>
    <w:rsid w:val="009C7BA5"/>
    <w:pPr>
      <w:tabs>
        <w:tab w:val="decimal" w:pos="1119"/>
      </w:tabs>
    </w:pPr>
  </w:style>
  <w:style w:type="paragraph" w:customStyle="1" w:styleId="NormalIndent">
    <w:name w:val="NormalIndent"/>
    <w:basedOn w:val="Normal"/>
    <w:rsid w:val="008D32BA"/>
    <w:pPr>
      <w:ind w:left="357"/>
    </w:pPr>
  </w:style>
  <w:style w:type="paragraph" w:styleId="BalloonText">
    <w:name w:val="Balloon Text"/>
    <w:basedOn w:val="Normal"/>
    <w:link w:val="BalloonTextChar"/>
    <w:uiPriority w:val="99"/>
    <w:semiHidden/>
    <w:unhideWhenUsed/>
    <w:rsid w:val="00704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FE3"/>
    <w:rPr>
      <w:rFonts w:ascii="Tahoma" w:hAnsi="Tahoma" w:cs="Tahoma"/>
      <w:color w:val="000000"/>
      <w:sz w:val="16"/>
      <w:szCs w:val="16"/>
    </w:rPr>
  </w:style>
  <w:style w:type="paragraph" w:styleId="Title">
    <w:name w:val="Title"/>
    <w:basedOn w:val="Normal"/>
    <w:next w:val="Normal"/>
    <w:link w:val="TitleChar"/>
    <w:uiPriority w:val="10"/>
    <w:rsid w:val="005B7395"/>
    <w:pPr>
      <w:spacing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5B7395"/>
    <w:rPr>
      <w:rFonts w:ascii="Calibri" w:eastAsiaTheme="majorEastAsia" w:hAnsi="Calibri" w:cstheme="majorBidi"/>
      <w:b/>
      <w:spacing w:val="5"/>
      <w:kern w:val="28"/>
      <w:sz w:val="48"/>
      <w:szCs w:val="52"/>
    </w:rPr>
  </w:style>
  <w:style w:type="character" w:customStyle="1" w:styleId="SubtitleChar">
    <w:name w:val="Subtitle Char"/>
    <w:basedOn w:val="DefaultParagraphFont"/>
    <w:link w:val="Subtitle"/>
    <w:uiPriority w:val="11"/>
    <w:rsid w:val="005B7395"/>
    <w:rPr>
      <w:rFonts w:ascii="Calibri" w:eastAsiaTheme="majorEastAsia" w:hAnsi="Calibri" w:cstheme="majorBidi"/>
      <w:b/>
      <w:iCs/>
      <w:sz w:val="40"/>
      <w:szCs w:val="24"/>
    </w:rPr>
  </w:style>
  <w:style w:type="paragraph" w:customStyle="1" w:styleId="SectionTitle">
    <w:name w:val="SectionTitle"/>
    <w:basedOn w:val="Normal"/>
    <w:next w:val="Normal"/>
    <w:rsid w:val="006F5743"/>
    <w:pPr>
      <w:jc w:val="center"/>
    </w:pPr>
    <w:rPr>
      <w:b/>
      <w:sz w:val="40"/>
    </w:rPr>
  </w:style>
  <w:style w:type="paragraph" w:customStyle="1" w:styleId="SectionSubtitle">
    <w:name w:val="SectionSubtitle"/>
    <w:basedOn w:val="Normal"/>
    <w:rsid w:val="006F5743"/>
    <w:pPr>
      <w:spacing w:after="0"/>
      <w:jc w:val="center"/>
    </w:pPr>
    <w:rPr>
      <w:sz w:val="32"/>
    </w:rPr>
  </w:style>
  <w:style w:type="paragraph" w:customStyle="1" w:styleId="QuoteNumberList">
    <w:name w:val="QuoteNumberList"/>
    <w:basedOn w:val="Quote"/>
    <w:rsid w:val="00BD346C"/>
    <w:pPr>
      <w:ind w:left="1117" w:hanging="397"/>
    </w:pPr>
    <w:rPr>
      <w:noProof/>
    </w:rPr>
  </w:style>
  <w:style w:type="paragraph" w:customStyle="1" w:styleId="QuoteBullet">
    <w:name w:val="QuoteBullet"/>
    <w:basedOn w:val="Quote"/>
    <w:rsid w:val="00BD346C"/>
    <w:pPr>
      <w:numPr>
        <w:numId w:val="18"/>
      </w:numPr>
      <w:ind w:left="1117" w:hanging="397"/>
    </w:pPr>
    <w:rPr>
      <w:noProof/>
    </w:rPr>
  </w:style>
  <w:style w:type="paragraph" w:customStyle="1" w:styleId="BoxDash">
    <w:name w:val="BoxDash"/>
    <w:basedOn w:val="BoxBullet"/>
    <w:rsid w:val="00A9331B"/>
    <w:pPr>
      <w:numPr>
        <w:numId w:val="5"/>
      </w:numPr>
    </w:pPr>
  </w:style>
  <w:style w:type="character" w:customStyle="1" w:styleId="CrossRef">
    <w:name w:val="CrossRef"/>
    <w:basedOn w:val="DefaultParagraphFont"/>
    <w:uiPriority w:val="1"/>
    <w:rsid w:val="005B7395"/>
    <w:rPr>
      <w:rFonts w:ascii="Calibri" w:hAnsi="Calibri"/>
      <w:b/>
      <w:noProof/>
      <w:color w:val="C0504D" w:themeColor="accent2"/>
      <w:sz w:val="24"/>
    </w:rPr>
  </w:style>
  <w:style w:type="character" w:customStyle="1" w:styleId="StrongEmphasis">
    <w:name w:val="StrongEmphasis"/>
    <w:basedOn w:val="DefaultParagraphFont"/>
    <w:rsid w:val="00D03C40"/>
    <w:rPr>
      <w:b/>
      <w:bCs/>
      <w:i/>
      <w:iCs/>
    </w:rPr>
  </w:style>
  <w:style w:type="character" w:customStyle="1" w:styleId="MathEquationChar">
    <w:name w:val="MathEquationChar"/>
    <w:basedOn w:val="DefaultParagraphFont"/>
    <w:uiPriority w:val="1"/>
    <w:rsid w:val="00523F72"/>
    <w:rPr>
      <w:rFonts w:ascii="Cambria Math" w:hAnsi="Cambria Math"/>
      <w:noProof/>
    </w:rPr>
  </w:style>
  <w:style w:type="character" w:customStyle="1" w:styleId="SubscriptEmphasis">
    <w:name w:val="SubscriptEmphasis"/>
    <w:basedOn w:val="DefaultParagraphFont"/>
    <w:uiPriority w:val="1"/>
    <w:rsid w:val="00523F72"/>
    <w:rPr>
      <w:i/>
      <w:noProof/>
      <w:vertAlign w:val="subscript"/>
    </w:rPr>
  </w:style>
  <w:style w:type="character" w:styleId="Hyperlink">
    <w:name w:val="Hyperlink"/>
    <w:basedOn w:val="DefaultParagraphFont"/>
    <w:uiPriority w:val="99"/>
    <w:unhideWhenUsed/>
    <w:rsid w:val="00926040"/>
    <w:rPr>
      <w:color w:val="0000FF" w:themeColor="hyperlink"/>
      <w:u w:val="single"/>
    </w:rPr>
  </w:style>
  <w:style w:type="character" w:customStyle="1" w:styleId="UnresolvedMention1">
    <w:name w:val="Unresolved Mention1"/>
    <w:basedOn w:val="DefaultParagraphFont"/>
    <w:uiPriority w:val="99"/>
    <w:rsid w:val="00926040"/>
    <w:rPr>
      <w:color w:val="605E5C"/>
      <w:shd w:val="clear" w:color="auto" w:fill="E1DFDD"/>
    </w:rPr>
  </w:style>
  <w:style w:type="paragraph" w:styleId="ListParagraph">
    <w:name w:val="List Paragraph"/>
    <w:aliases w:val="List Paragraph1,List Paragraph11,Recommendation,Bulletr List Paragraph,FooterText,List Paragraph2,List Paragraph21,Paragraphe de liste1,numbered,列出段落,列出段落1,Bullet point,Bullets,CV text,Dot pt,F5 List Paragraph,L,List Paragraph111,lp1,列,LP"/>
    <w:basedOn w:val="Normal"/>
    <w:link w:val="ListParagraphChar"/>
    <w:uiPriority w:val="34"/>
    <w:qFormat/>
    <w:rsid w:val="00926040"/>
    <w:pPr>
      <w:spacing w:after="200" w:line="276" w:lineRule="auto"/>
      <w:ind w:left="720"/>
      <w:contextualSpacing/>
    </w:pPr>
    <w:rPr>
      <w:rFonts w:asciiTheme="minorHAnsi" w:eastAsiaTheme="minorHAnsi" w:hAnsiTheme="minorHAnsi" w:cstheme="minorBidi"/>
      <w:color w:val="auto"/>
      <w:szCs w:val="22"/>
      <w:lang w:eastAsia="en-US"/>
    </w:rPr>
  </w:style>
  <w:style w:type="character" w:customStyle="1" w:styleId="ListParagraphChar">
    <w:name w:val="List Paragraph Char"/>
    <w:aliases w:val="List Paragraph1 Char,List Paragraph11 Char,Recommendation Char,Bulletr List Paragraph Char,FooterText Char,List Paragraph2 Char,List Paragraph21 Char,Paragraphe de liste1 Char,numbered Char,列出段落 Char,列出段落1 Char,Bullet point Char"/>
    <w:link w:val="ListParagraph"/>
    <w:uiPriority w:val="34"/>
    <w:rsid w:val="00926040"/>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926040"/>
    <w:rPr>
      <w:sz w:val="16"/>
      <w:szCs w:val="16"/>
    </w:rPr>
  </w:style>
  <w:style w:type="paragraph" w:styleId="CommentText">
    <w:name w:val="annotation text"/>
    <w:basedOn w:val="Normal"/>
    <w:link w:val="CommentTextChar"/>
    <w:uiPriority w:val="99"/>
    <w:unhideWhenUsed/>
    <w:rsid w:val="00926040"/>
    <w:pPr>
      <w:spacing w:after="200"/>
    </w:pPr>
    <w:rPr>
      <w:rFonts w:asciiTheme="minorHAnsi" w:eastAsiaTheme="minorHAnsi" w:hAnsiTheme="minorHAnsi" w:cstheme="minorBidi"/>
      <w:color w:val="auto"/>
      <w:sz w:val="20"/>
      <w:lang w:eastAsia="en-US"/>
    </w:rPr>
  </w:style>
  <w:style w:type="character" w:customStyle="1" w:styleId="CommentTextChar">
    <w:name w:val="Comment Text Char"/>
    <w:basedOn w:val="DefaultParagraphFont"/>
    <w:link w:val="CommentText"/>
    <w:uiPriority w:val="99"/>
    <w:rsid w:val="00926040"/>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CE14F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06FDF"/>
    <w:pPr>
      <w:spacing w:after="240"/>
    </w:pPr>
    <w:rPr>
      <w:rFonts w:ascii="Calibri" w:eastAsia="Times New Roman" w:hAnsi="Calibri" w:cs="Times New Roman"/>
      <w:b/>
      <w:bCs/>
      <w:color w:val="000000"/>
      <w:lang w:eastAsia="en-AU"/>
    </w:rPr>
  </w:style>
  <w:style w:type="character" w:customStyle="1" w:styleId="CommentSubjectChar">
    <w:name w:val="Comment Subject Char"/>
    <w:basedOn w:val="CommentTextChar"/>
    <w:link w:val="CommentSubject"/>
    <w:uiPriority w:val="99"/>
    <w:semiHidden/>
    <w:rsid w:val="00B06FDF"/>
    <w:rPr>
      <w:rFonts w:ascii="Calibri" w:eastAsiaTheme="minorHAnsi" w:hAnsi="Calibri" w:cstheme="minorBidi"/>
      <w:b/>
      <w:bCs/>
      <w:color w:val="000000"/>
      <w:lang w:eastAsia="en-US"/>
    </w:rPr>
  </w:style>
  <w:style w:type="character" w:customStyle="1" w:styleId="UnresolvedMention2">
    <w:name w:val="Unresolved Mention2"/>
    <w:basedOn w:val="DefaultParagraphFont"/>
    <w:uiPriority w:val="99"/>
    <w:semiHidden/>
    <w:unhideWhenUsed/>
    <w:rsid w:val="006B20B6"/>
    <w:rPr>
      <w:color w:val="605E5C"/>
      <w:shd w:val="clear" w:color="auto" w:fill="E1DFDD"/>
    </w:rPr>
  </w:style>
  <w:style w:type="paragraph" w:styleId="NormalWeb">
    <w:name w:val="Normal (Web)"/>
    <w:basedOn w:val="Normal"/>
    <w:uiPriority w:val="99"/>
    <w:semiHidden/>
    <w:unhideWhenUsed/>
    <w:rsid w:val="00D854D6"/>
    <w:pPr>
      <w:spacing w:before="100" w:beforeAutospacing="1" w:after="100" w:afterAutospacing="1"/>
    </w:pPr>
    <w:rPr>
      <w:rFonts w:ascii="Times New Roman" w:hAnsi="Times New Roman"/>
      <w:color w:val="auto"/>
      <w:sz w:val="24"/>
      <w:szCs w:val="24"/>
    </w:rPr>
  </w:style>
  <w:style w:type="character" w:customStyle="1" w:styleId="UnresolvedMention3">
    <w:name w:val="Unresolved Mention3"/>
    <w:basedOn w:val="DefaultParagraphFont"/>
    <w:uiPriority w:val="99"/>
    <w:semiHidden/>
    <w:unhideWhenUsed/>
    <w:rsid w:val="00D34811"/>
    <w:rPr>
      <w:color w:val="605E5C"/>
      <w:shd w:val="clear" w:color="auto" w:fill="E1DFDD"/>
    </w:rPr>
  </w:style>
  <w:style w:type="character" w:customStyle="1" w:styleId="UnresolvedMention">
    <w:name w:val="Unresolved Mention"/>
    <w:basedOn w:val="DefaultParagraphFont"/>
    <w:uiPriority w:val="99"/>
    <w:semiHidden/>
    <w:unhideWhenUsed/>
    <w:rsid w:val="001453C5"/>
    <w:rPr>
      <w:color w:val="605E5C"/>
      <w:shd w:val="clear" w:color="auto" w:fill="E1DFDD"/>
    </w:rPr>
  </w:style>
  <w:style w:type="character" w:styleId="PlaceholderText">
    <w:name w:val="Placeholder Text"/>
    <w:basedOn w:val="DefaultParagraphFont"/>
    <w:uiPriority w:val="99"/>
    <w:semiHidden/>
    <w:rsid w:val="00CC4AB0"/>
    <w:rPr>
      <w:color w:val="808080"/>
    </w:rPr>
  </w:style>
  <w:style w:type="character" w:customStyle="1" w:styleId="HyperlinkItalics">
    <w:name w:val="HyperlinkItalics"/>
    <w:basedOn w:val="Hyperlink"/>
    <w:uiPriority w:val="1"/>
    <w:qFormat/>
    <w:rsid w:val="000A0E45"/>
    <w:rPr>
      <w:i/>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44571">
      <w:bodyDiv w:val="1"/>
      <w:marLeft w:val="0"/>
      <w:marRight w:val="0"/>
      <w:marTop w:val="0"/>
      <w:marBottom w:val="0"/>
      <w:divBdr>
        <w:top w:val="none" w:sz="0" w:space="0" w:color="auto"/>
        <w:left w:val="none" w:sz="0" w:space="0" w:color="auto"/>
        <w:bottom w:val="none" w:sz="0" w:space="0" w:color="auto"/>
        <w:right w:val="none" w:sz="0" w:space="0" w:color="auto"/>
      </w:divBdr>
    </w:div>
    <w:div w:id="867452634">
      <w:bodyDiv w:val="1"/>
      <w:marLeft w:val="0"/>
      <w:marRight w:val="0"/>
      <w:marTop w:val="0"/>
      <w:marBottom w:val="0"/>
      <w:divBdr>
        <w:top w:val="none" w:sz="0" w:space="0" w:color="auto"/>
        <w:left w:val="none" w:sz="0" w:space="0" w:color="auto"/>
        <w:bottom w:val="none" w:sz="0" w:space="0" w:color="auto"/>
        <w:right w:val="none" w:sz="0" w:space="0" w:color="auto"/>
      </w:divBdr>
    </w:div>
    <w:div w:id="984821557">
      <w:bodyDiv w:val="1"/>
      <w:marLeft w:val="0"/>
      <w:marRight w:val="0"/>
      <w:marTop w:val="0"/>
      <w:marBottom w:val="0"/>
      <w:divBdr>
        <w:top w:val="none" w:sz="0" w:space="0" w:color="auto"/>
        <w:left w:val="none" w:sz="0" w:space="0" w:color="auto"/>
        <w:bottom w:val="none" w:sz="0" w:space="0" w:color="auto"/>
        <w:right w:val="none" w:sz="0" w:space="0" w:color="auto"/>
      </w:divBdr>
    </w:div>
    <w:div w:id="1078137657">
      <w:bodyDiv w:val="1"/>
      <w:marLeft w:val="0"/>
      <w:marRight w:val="0"/>
      <w:marTop w:val="0"/>
      <w:marBottom w:val="0"/>
      <w:divBdr>
        <w:top w:val="none" w:sz="0" w:space="0" w:color="auto"/>
        <w:left w:val="none" w:sz="0" w:space="0" w:color="auto"/>
        <w:bottom w:val="none" w:sz="0" w:space="0" w:color="auto"/>
        <w:right w:val="none" w:sz="0" w:space="0" w:color="auto"/>
      </w:divBdr>
    </w:div>
    <w:div w:id="1108698664">
      <w:bodyDiv w:val="1"/>
      <w:marLeft w:val="0"/>
      <w:marRight w:val="0"/>
      <w:marTop w:val="0"/>
      <w:marBottom w:val="0"/>
      <w:divBdr>
        <w:top w:val="none" w:sz="0" w:space="0" w:color="auto"/>
        <w:left w:val="none" w:sz="0" w:space="0" w:color="auto"/>
        <w:bottom w:val="none" w:sz="0" w:space="0" w:color="auto"/>
        <w:right w:val="none" w:sz="0" w:space="0" w:color="auto"/>
      </w:divBdr>
    </w:div>
    <w:div w:id="1288777490">
      <w:bodyDiv w:val="1"/>
      <w:marLeft w:val="0"/>
      <w:marRight w:val="0"/>
      <w:marTop w:val="0"/>
      <w:marBottom w:val="0"/>
      <w:divBdr>
        <w:top w:val="none" w:sz="0" w:space="0" w:color="auto"/>
        <w:left w:val="none" w:sz="0" w:space="0" w:color="auto"/>
        <w:bottom w:val="none" w:sz="0" w:space="0" w:color="auto"/>
        <w:right w:val="none" w:sz="0" w:space="0" w:color="auto"/>
      </w:divBdr>
    </w:div>
    <w:div w:id="1339507472">
      <w:bodyDiv w:val="1"/>
      <w:marLeft w:val="0"/>
      <w:marRight w:val="0"/>
      <w:marTop w:val="0"/>
      <w:marBottom w:val="0"/>
      <w:divBdr>
        <w:top w:val="none" w:sz="0" w:space="0" w:color="auto"/>
        <w:left w:val="none" w:sz="0" w:space="0" w:color="auto"/>
        <w:bottom w:val="none" w:sz="0" w:space="0" w:color="auto"/>
        <w:right w:val="none" w:sz="0" w:space="0" w:color="auto"/>
      </w:divBdr>
    </w:div>
    <w:div w:id="1437363237">
      <w:bodyDiv w:val="1"/>
      <w:marLeft w:val="0"/>
      <w:marRight w:val="0"/>
      <w:marTop w:val="0"/>
      <w:marBottom w:val="0"/>
      <w:divBdr>
        <w:top w:val="none" w:sz="0" w:space="0" w:color="auto"/>
        <w:left w:val="none" w:sz="0" w:space="0" w:color="auto"/>
        <w:bottom w:val="none" w:sz="0" w:space="0" w:color="auto"/>
        <w:right w:val="none" w:sz="0" w:space="0" w:color="auto"/>
      </w:divBdr>
    </w:div>
    <w:div w:id="1744764978">
      <w:bodyDiv w:val="1"/>
      <w:marLeft w:val="0"/>
      <w:marRight w:val="0"/>
      <w:marTop w:val="0"/>
      <w:marBottom w:val="0"/>
      <w:divBdr>
        <w:top w:val="none" w:sz="0" w:space="0" w:color="auto"/>
        <w:left w:val="none" w:sz="0" w:space="0" w:color="auto"/>
        <w:bottom w:val="none" w:sz="0" w:space="0" w:color="auto"/>
        <w:right w:val="none" w:sz="0" w:space="0" w:color="auto"/>
      </w:divBdr>
    </w:div>
    <w:div w:id="1753234040">
      <w:bodyDiv w:val="1"/>
      <w:marLeft w:val="0"/>
      <w:marRight w:val="0"/>
      <w:marTop w:val="0"/>
      <w:marBottom w:val="0"/>
      <w:divBdr>
        <w:top w:val="none" w:sz="0" w:space="0" w:color="auto"/>
        <w:left w:val="none" w:sz="0" w:space="0" w:color="auto"/>
        <w:bottom w:val="none" w:sz="0" w:space="0" w:color="auto"/>
        <w:right w:val="none" w:sz="0" w:space="0" w:color="auto"/>
      </w:divBdr>
    </w:div>
    <w:div w:id="18199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committees-and-groups/australian-technical-advisory-group-on-immunisation-atagi" TargetMode="External"/><Relationship Id="rId13" Type="http://schemas.openxmlformats.org/officeDocument/2006/relationships/hyperlink" Target="https://www.health.gov.au/resources/publications/covid-19-vaccination-australian-covid-19-vaccination-policy" TargetMode="External"/><Relationship Id="rId18" Type="http://schemas.openxmlformats.org/officeDocument/2006/relationships/hyperlink" Target="https://www.health.gov.au/resources/publications/atagi-clinical-advice-on-changes-to-recommendations-for-pneumococcal-vaccines-from-1-july-2020" TargetMode="External"/><Relationship Id="rId26" Type="http://schemas.openxmlformats.org/officeDocument/2006/relationships/hyperlink" Target="https://immunisationhandbook.health.gov.au/resources/handbook-tables/table-live-shingles-vaccine-zostavax-screening-for-contraindications" TargetMode="External"/><Relationship Id="rId39" Type="http://schemas.openxmlformats.org/officeDocument/2006/relationships/hyperlink" Target="https://immunisationhandbook.health.gov.au/vaccine-preventable-diseases/zoster-herpes-zoster" TargetMode="External"/><Relationship Id="rId3" Type="http://schemas.openxmlformats.org/officeDocument/2006/relationships/styles" Target="styles.xml"/><Relationship Id="rId21" Type="http://schemas.openxmlformats.org/officeDocument/2006/relationships/hyperlink" Target="https://www.health.gov.au/resources/publications/atagi-clinical-advice-on-vaccination-recommendations-for-people-with-risk-conditions-from-1-july-2020" TargetMode="External"/><Relationship Id="rId34" Type="http://schemas.openxmlformats.org/officeDocument/2006/relationships/hyperlink" Target="https://www.tga.gov.au/reporting-problems" TargetMode="External"/><Relationship Id="rId42" Type="http://schemas.openxmlformats.org/officeDocument/2006/relationships/hyperlink" Target="https://immunisationhandbook.health.gov.a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urosurveillance.org/content/10.2807/1560-7917.ES.2020.25.47.2001847" TargetMode="External"/><Relationship Id="rId17" Type="http://schemas.openxmlformats.org/officeDocument/2006/relationships/hyperlink" Target="https://www.health.gov.au/resources/publications/atagi-advice-on-seasonal-influenza-vaccines-in-2020" TargetMode="External"/><Relationship Id="rId25" Type="http://schemas.openxmlformats.org/officeDocument/2006/relationships/hyperlink" Target="https://immunisationhandbook.health.gov.au/vaccine-preventable-diseases/zoster-herpes-zoster" TargetMode="External"/><Relationship Id="rId33" Type="http://schemas.openxmlformats.org/officeDocument/2006/relationships/hyperlink" Target="https://onlinelibrary.wiley.com/doi/full/10.5694/mja2.50780" TargetMode="External"/><Relationship Id="rId38" Type="http://schemas.openxmlformats.org/officeDocument/2006/relationships/hyperlink" Target="https://www.allergy.org.au/about-ascia/info-updates/safety-alert-zostavax-vaccine-not-to-be-used-in-people-with-compromised-immune-function"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gov.au/initiatives-and-programs/covid-19-vaccines/learn-about-covid-19-vaccines/about-the-astrazeneca-covid-19-vaccine" TargetMode="External"/><Relationship Id="rId20" Type="http://schemas.openxmlformats.org/officeDocument/2006/relationships/hyperlink" Target="https://www.health.gov.au/resources/publications/atagi-clinical-advice-on-vaccination-recommendations-for-aboriginal-and-torres-strait-islander-people-from-1-july-2020" TargetMode="External"/><Relationship Id="rId29" Type="http://schemas.openxmlformats.org/officeDocument/2006/relationships/hyperlink" Target="https://immunisationhandbook.health.gov.au/catch-up-calculator/calculator" TargetMode="External"/><Relationship Id="rId41" Type="http://schemas.openxmlformats.org/officeDocument/2006/relationships/hyperlink" Target="http://ausvaxsafety.org.au/safety-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health.gov.au/internet/main/publishing.nsf/Content/cda-surveil-ozflu-flucurr.htm" TargetMode="External"/><Relationship Id="rId24" Type="http://schemas.openxmlformats.org/officeDocument/2006/relationships/hyperlink" Target="https://immunisationhandbook.health.gov.au/resources/handbook-tables/list-risk-conditions-for-pneumococcal-disease" TargetMode="External"/><Relationship Id="rId32" Type="http://schemas.openxmlformats.org/officeDocument/2006/relationships/hyperlink" Target="https://www.ncirs.org.au/pharmacies-giving-more-vaccines-real-number-unknown" TargetMode="External"/><Relationship Id="rId37" Type="http://schemas.openxmlformats.org/officeDocument/2006/relationships/hyperlink" Target="https://www.tga.gov.au/alert/zostavax-vaccine-1" TargetMode="External"/><Relationship Id="rId40" Type="http://schemas.openxmlformats.org/officeDocument/2006/relationships/hyperlink" Target="https://immunisationhandbook.health.gov.au/resources/handbook-tables/table-live-shingles-vaccine-zostavax-screening-for-contraindications"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health.gov.au/initiatives-and-programs/covid-19-vaccines/learn-about-covid-19-vaccines/about-the-pfizerbiontech-covid-19-vaccine" TargetMode="External"/><Relationship Id="rId23" Type="http://schemas.openxmlformats.org/officeDocument/2006/relationships/hyperlink" Target="https://immunisationhandbook.health.gov.au/vaccine-preventable-diseases/pneumococcal-disease" TargetMode="External"/><Relationship Id="rId28" Type="http://schemas.openxmlformats.org/officeDocument/2006/relationships/hyperlink" Target="https://immunisationhandbook.health.gov.au/vaccination-for-special-risk-groups" TargetMode="External"/><Relationship Id="rId36" Type="http://schemas.openxmlformats.org/officeDocument/2006/relationships/hyperlink" Target="https://www.tga.gov.au/alert/zostavax-vaccine-0" TargetMode="External"/><Relationship Id="rId10" Type="http://schemas.openxmlformats.org/officeDocument/2006/relationships/hyperlink" Target="https://immunisationhandbook.health.gov.au/" TargetMode="External"/><Relationship Id="rId19" Type="http://schemas.openxmlformats.org/officeDocument/2006/relationships/hyperlink" Target="https://www.health.gov.au/resources/publications/atagi-clinical-advice-on-changes-to-recommendations-for-meningococcal-vaccines-from-1-july-2020" TargetMode="External"/><Relationship Id="rId31" Type="http://schemas.openxmlformats.org/officeDocument/2006/relationships/hyperlink" Target="https://www.legislation.gov.au/Details/C2021A00001"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ealth.gov.au/resources/publications/atagi-strategic-intent" TargetMode="External"/><Relationship Id="rId14" Type="http://schemas.openxmlformats.org/officeDocument/2006/relationships/hyperlink" Target="https://www.health.gov.au/resources/publications/covid-19-vaccination-australias-covid-19-vaccine-national-roll-out-strategy" TargetMode="External"/><Relationship Id="rId22" Type="http://schemas.openxmlformats.org/officeDocument/2006/relationships/hyperlink" Target="https://www.ncirs.org.au/little-impact-covid-19-pandemic-routine-childhood-vaccination-australia" TargetMode="External"/><Relationship Id="rId27" Type="http://schemas.openxmlformats.org/officeDocument/2006/relationships/hyperlink" Target="https://immunisationhandbook.health.gov.au/vaccine-preventable-diseases/hepatitis-a" TargetMode="External"/><Relationship Id="rId30" Type="http://schemas.openxmlformats.org/officeDocument/2006/relationships/hyperlink" Target="https://immunisationhandbook.health.gov.au/about-the-handbook/mobile-app" TargetMode="External"/><Relationship Id="rId35" Type="http://schemas.openxmlformats.org/officeDocument/2006/relationships/hyperlink" Target="https://www.ausvaxsafety.org.au/"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879D4-AE0F-471D-9B96-67139459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2771</Words>
  <Characters>20772</Characters>
  <Application>Microsoft Office Word</Application>
  <DocSecurity>0</DocSecurity>
  <Lines>399</Lines>
  <Paragraphs>261</Paragraphs>
  <ScaleCrop>false</ScaleCrop>
  <HeadingPairs>
    <vt:vector size="2" baseType="variant">
      <vt:variant>
        <vt:lpstr>Title</vt:lpstr>
      </vt:variant>
      <vt:variant>
        <vt:i4>1</vt:i4>
      </vt:variant>
    </vt:vector>
  </HeadingPairs>
  <TitlesOfParts>
    <vt:vector size="1" baseType="lpstr">
      <vt:lpstr>Report Title</vt:lpstr>
    </vt:vector>
  </TitlesOfParts>
  <Company>dpplus</Company>
  <LinksUpToDate>false</LinksUpToDate>
  <CharactersWithSpaces>23282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creator>Biotext</dc:creator>
  <cp:lastModifiedBy>PROUDFOOT, Cassandra</cp:lastModifiedBy>
  <cp:revision>2</cp:revision>
  <cp:lastPrinted>2012-11-09T00:35:00Z</cp:lastPrinted>
  <dcterms:created xsi:type="dcterms:W3CDTF">2021-05-19T05:31:00Z</dcterms:created>
  <dcterms:modified xsi:type="dcterms:W3CDTF">2021-05-19T05:31:00Z</dcterms:modified>
</cp:coreProperties>
</file>