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b/>
          <w:color w:val="000000" w:themeColor="text1"/>
          <w:sz w:val="24"/>
          <w:szCs w:val="40"/>
        </w:rPr>
        <w:id w:val="706304527"/>
        <w:docPartObj>
          <w:docPartGallery w:val="Cover Pages"/>
          <w:docPartUnique/>
        </w:docPartObj>
      </w:sdtPr>
      <w:sdtEndPr>
        <w:rPr>
          <w:sz w:val="40"/>
        </w:rPr>
      </w:sdtEndPr>
      <w:sdtContent>
        <w:p w:rsidR="006A507C" w:rsidRDefault="006E6554" w:rsidP="006A507C">
          <w:pPr>
            <w:pStyle w:val="NoSpacing"/>
            <w:rPr>
              <w:sz w:val="24"/>
            </w:rPr>
          </w:pPr>
          <w:r>
            <w:rPr>
              <w:noProof/>
              <w:lang w:eastAsia="en-AU"/>
            </w:rPr>
            <w:drawing>
              <wp:inline distT="0" distB="0" distL="0" distR="0" wp14:anchorId="1E255385" wp14:editId="1901E39F">
                <wp:extent cx="2076450" cy="1496060"/>
                <wp:effectExtent l="0" t="0" r="0" b="8890"/>
                <wp:docPr id="5" name="Picture 5" descr="Australian Government of Aged Care Finan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5E1.9A828F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82314" cy="1500285"/>
                        </a:xfrm>
                        <a:prstGeom prst="rect">
                          <a:avLst/>
                        </a:prstGeom>
                        <a:noFill/>
                        <a:ln>
                          <a:noFill/>
                        </a:ln>
                      </pic:spPr>
                    </pic:pic>
                  </a:graphicData>
                </a:graphic>
              </wp:inline>
            </w:drawing>
          </w:r>
        </w:p>
        <w:p w:rsidR="006E6554" w:rsidRPr="00A9406B" w:rsidRDefault="002D21C6" w:rsidP="00A9406B">
          <w:pPr>
            <w:pStyle w:val="Title"/>
          </w:pPr>
          <w:r w:rsidRPr="00A9406B">
            <w:t>The role of the Basic Daily Fee in Residential Aged Care</w:t>
          </w:r>
        </w:p>
        <w:p w:rsidR="00706FCD" w:rsidRPr="00A9406B" w:rsidRDefault="002D21C6" w:rsidP="00A9406B">
          <w:pPr>
            <w:pStyle w:val="Subtitle"/>
          </w:pPr>
          <w:r w:rsidRPr="00A9406B">
            <w:t>March 2021</w:t>
          </w:r>
          <w:r w:rsidR="00706FCD" w:rsidRPr="00A9406B">
            <w:br w:type="page"/>
          </w:r>
        </w:p>
      </w:sdtContent>
    </w:sdt>
    <w:sdt>
      <w:sdtPr>
        <w:rPr>
          <w:rFonts w:asciiTheme="minorHAnsi" w:eastAsiaTheme="minorEastAsia" w:hAnsiTheme="minorHAnsi" w:cstheme="minorBidi"/>
          <w:b w:val="0"/>
          <w:color w:val="auto"/>
          <w:sz w:val="20"/>
          <w:szCs w:val="20"/>
        </w:rPr>
        <w:id w:val="1059823648"/>
        <w:docPartObj>
          <w:docPartGallery w:val="Table of Contents"/>
          <w:docPartUnique/>
        </w:docPartObj>
      </w:sdtPr>
      <w:sdtEndPr>
        <w:rPr>
          <w:sz w:val="24"/>
        </w:rPr>
      </w:sdtEndPr>
      <w:sdtContent>
        <w:p w:rsidR="004223C3" w:rsidRDefault="004223C3">
          <w:pPr>
            <w:pStyle w:val="TOCHeading"/>
          </w:pPr>
          <w:r>
            <w:t>Contents</w:t>
          </w:r>
        </w:p>
        <w:p w:rsidR="002100AC" w:rsidRDefault="004223C3">
          <w:pPr>
            <w:pStyle w:val="TOC1"/>
            <w:tabs>
              <w:tab w:val="left" w:pos="660"/>
              <w:tab w:val="right" w:leader="dot" w:pos="9016"/>
            </w:tabs>
            <w:rPr>
              <w:noProof/>
              <w:sz w:val="22"/>
              <w:szCs w:val="22"/>
              <w:lang w:eastAsia="en-AU"/>
            </w:rPr>
          </w:pPr>
          <w:r>
            <w:fldChar w:fldCharType="begin"/>
          </w:r>
          <w:r>
            <w:instrText xml:space="preserve"> TOC \o "1-3" \h \z \u </w:instrText>
          </w:r>
          <w:r>
            <w:fldChar w:fldCharType="separate"/>
          </w:r>
          <w:hyperlink w:anchor="_Toc66451042" w:history="1">
            <w:r w:rsidR="002100AC" w:rsidRPr="006D595B">
              <w:rPr>
                <w:rStyle w:val="Hyperlink"/>
                <w:noProof/>
              </w:rPr>
              <w:t>1.</w:t>
            </w:r>
            <w:r w:rsidR="002100AC">
              <w:rPr>
                <w:noProof/>
                <w:sz w:val="22"/>
                <w:szCs w:val="22"/>
                <w:lang w:eastAsia="en-AU"/>
              </w:rPr>
              <w:tab/>
            </w:r>
            <w:r w:rsidR="002100AC" w:rsidRPr="006D595B">
              <w:rPr>
                <w:rStyle w:val="Hyperlink"/>
                <w:noProof/>
              </w:rPr>
              <w:t>Introduction</w:t>
            </w:r>
            <w:r w:rsidR="002100AC">
              <w:rPr>
                <w:noProof/>
                <w:webHidden/>
              </w:rPr>
              <w:tab/>
            </w:r>
            <w:r w:rsidR="002100AC">
              <w:rPr>
                <w:noProof/>
                <w:webHidden/>
              </w:rPr>
              <w:fldChar w:fldCharType="begin"/>
            </w:r>
            <w:r w:rsidR="002100AC">
              <w:rPr>
                <w:noProof/>
                <w:webHidden/>
              </w:rPr>
              <w:instrText xml:space="preserve"> PAGEREF _Toc66451042 \h </w:instrText>
            </w:r>
            <w:r w:rsidR="002100AC">
              <w:rPr>
                <w:noProof/>
                <w:webHidden/>
              </w:rPr>
            </w:r>
            <w:r w:rsidR="002100AC">
              <w:rPr>
                <w:noProof/>
                <w:webHidden/>
              </w:rPr>
              <w:fldChar w:fldCharType="separate"/>
            </w:r>
            <w:r w:rsidR="00DB26FF">
              <w:rPr>
                <w:noProof/>
                <w:webHidden/>
              </w:rPr>
              <w:t>2</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43" w:history="1">
            <w:r w:rsidR="002100AC" w:rsidRPr="006D595B">
              <w:rPr>
                <w:rStyle w:val="Hyperlink"/>
                <w:noProof/>
              </w:rPr>
              <w:t>The project and terms of reference</w:t>
            </w:r>
            <w:r w:rsidR="002100AC">
              <w:rPr>
                <w:noProof/>
                <w:webHidden/>
              </w:rPr>
              <w:tab/>
            </w:r>
            <w:r w:rsidR="002100AC">
              <w:rPr>
                <w:noProof/>
                <w:webHidden/>
              </w:rPr>
              <w:fldChar w:fldCharType="begin"/>
            </w:r>
            <w:r w:rsidR="002100AC">
              <w:rPr>
                <w:noProof/>
                <w:webHidden/>
              </w:rPr>
              <w:instrText xml:space="preserve"> PAGEREF _Toc66451043 \h </w:instrText>
            </w:r>
            <w:r w:rsidR="002100AC">
              <w:rPr>
                <w:noProof/>
                <w:webHidden/>
              </w:rPr>
            </w:r>
            <w:r w:rsidR="002100AC">
              <w:rPr>
                <w:noProof/>
                <w:webHidden/>
              </w:rPr>
              <w:fldChar w:fldCharType="separate"/>
            </w:r>
            <w:r w:rsidR="00DB26FF">
              <w:rPr>
                <w:noProof/>
                <w:webHidden/>
              </w:rPr>
              <w:t>2</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44" w:history="1">
            <w:r w:rsidR="002100AC" w:rsidRPr="006D595B">
              <w:rPr>
                <w:rStyle w:val="Hyperlink"/>
                <w:noProof/>
              </w:rPr>
              <w:t>The review process</w:t>
            </w:r>
            <w:r w:rsidR="002100AC">
              <w:rPr>
                <w:noProof/>
                <w:webHidden/>
              </w:rPr>
              <w:tab/>
            </w:r>
            <w:r w:rsidR="002100AC">
              <w:rPr>
                <w:noProof/>
                <w:webHidden/>
              </w:rPr>
              <w:fldChar w:fldCharType="begin"/>
            </w:r>
            <w:r w:rsidR="002100AC">
              <w:rPr>
                <w:noProof/>
                <w:webHidden/>
              </w:rPr>
              <w:instrText xml:space="preserve"> PAGEREF _Toc66451044 \h </w:instrText>
            </w:r>
            <w:r w:rsidR="002100AC">
              <w:rPr>
                <w:noProof/>
                <w:webHidden/>
              </w:rPr>
            </w:r>
            <w:r w:rsidR="002100AC">
              <w:rPr>
                <w:noProof/>
                <w:webHidden/>
              </w:rPr>
              <w:fldChar w:fldCharType="separate"/>
            </w:r>
            <w:r w:rsidR="00DB26FF">
              <w:rPr>
                <w:noProof/>
                <w:webHidden/>
              </w:rPr>
              <w:t>2</w:t>
            </w:r>
            <w:r w:rsidR="002100AC">
              <w:rPr>
                <w:noProof/>
                <w:webHidden/>
              </w:rPr>
              <w:fldChar w:fldCharType="end"/>
            </w:r>
          </w:hyperlink>
        </w:p>
        <w:p w:rsidR="002100AC" w:rsidRDefault="004D03B2">
          <w:pPr>
            <w:pStyle w:val="TOC1"/>
            <w:tabs>
              <w:tab w:val="left" w:pos="660"/>
              <w:tab w:val="right" w:leader="dot" w:pos="9016"/>
            </w:tabs>
            <w:rPr>
              <w:noProof/>
              <w:sz w:val="22"/>
              <w:szCs w:val="22"/>
              <w:lang w:eastAsia="en-AU"/>
            </w:rPr>
          </w:pPr>
          <w:hyperlink w:anchor="_Toc66451045" w:history="1">
            <w:r w:rsidR="002100AC" w:rsidRPr="006D595B">
              <w:rPr>
                <w:rStyle w:val="Hyperlink"/>
                <w:noProof/>
              </w:rPr>
              <w:t>2.</w:t>
            </w:r>
            <w:r w:rsidR="002100AC">
              <w:rPr>
                <w:noProof/>
                <w:sz w:val="22"/>
                <w:szCs w:val="22"/>
                <w:lang w:eastAsia="en-AU"/>
              </w:rPr>
              <w:tab/>
            </w:r>
            <w:r w:rsidR="004B09FC">
              <w:rPr>
                <w:rStyle w:val="Hyperlink"/>
                <w:noProof/>
              </w:rPr>
              <w:t>The basic daily f</w:t>
            </w:r>
            <w:r w:rsidR="002100AC" w:rsidRPr="006D595B">
              <w:rPr>
                <w:rStyle w:val="Hyperlink"/>
                <w:noProof/>
              </w:rPr>
              <w:t>ee – origins and purpose</w:t>
            </w:r>
            <w:r w:rsidR="002100AC">
              <w:rPr>
                <w:noProof/>
                <w:webHidden/>
              </w:rPr>
              <w:tab/>
            </w:r>
            <w:r w:rsidR="002100AC">
              <w:rPr>
                <w:noProof/>
                <w:webHidden/>
              </w:rPr>
              <w:fldChar w:fldCharType="begin"/>
            </w:r>
            <w:r w:rsidR="002100AC">
              <w:rPr>
                <w:noProof/>
                <w:webHidden/>
              </w:rPr>
              <w:instrText xml:space="preserve"> PAGEREF _Toc66451045 \h </w:instrText>
            </w:r>
            <w:r w:rsidR="002100AC">
              <w:rPr>
                <w:noProof/>
                <w:webHidden/>
              </w:rPr>
            </w:r>
            <w:r w:rsidR="002100AC">
              <w:rPr>
                <w:noProof/>
                <w:webHidden/>
              </w:rPr>
              <w:fldChar w:fldCharType="separate"/>
            </w:r>
            <w:r w:rsidR="00DB26FF">
              <w:rPr>
                <w:noProof/>
                <w:webHidden/>
              </w:rPr>
              <w:t>3</w:t>
            </w:r>
            <w:r w:rsidR="002100AC">
              <w:rPr>
                <w:noProof/>
                <w:webHidden/>
              </w:rPr>
              <w:fldChar w:fldCharType="end"/>
            </w:r>
          </w:hyperlink>
        </w:p>
        <w:p w:rsidR="002100AC" w:rsidRDefault="004D03B2">
          <w:pPr>
            <w:pStyle w:val="TOC1"/>
            <w:tabs>
              <w:tab w:val="left" w:pos="660"/>
              <w:tab w:val="right" w:leader="dot" w:pos="9016"/>
            </w:tabs>
            <w:rPr>
              <w:noProof/>
              <w:sz w:val="22"/>
              <w:szCs w:val="22"/>
              <w:lang w:eastAsia="en-AU"/>
            </w:rPr>
          </w:pPr>
          <w:hyperlink w:anchor="_Toc66451046" w:history="1">
            <w:r w:rsidR="002100AC" w:rsidRPr="006D595B">
              <w:rPr>
                <w:rStyle w:val="Hyperlink"/>
                <w:noProof/>
              </w:rPr>
              <w:t>3.</w:t>
            </w:r>
            <w:r w:rsidR="002100AC">
              <w:rPr>
                <w:noProof/>
                <w:sz w:val="22"/>
                <w:szCs w:val="22"/>
                <w:lang w:eastAsia="en-AU"/>
              </w:rPr>
              <w:tab/>
            </w:r>
            <w:r w:rsidR="002100AC" w:rsidRPr="006D595B">
              <w:rPr>
                <w:rStyle w:val="Hyperlink"/>
                <w:noProof/>
              </w:rPr>
              <w:t xml:space="preserve">Adequacy of the </w:t>
            </w:r>
            <w:r w:rsidR="004B09FC">
              <w:rPr>
                <w:rStyle w:val="Hyperlink"/>
                <w:noProof/>
              </w:rPr>
              <w:t>basic daily fee</w:t>
            </w:r>
            <w:r w:rsidR="002100AC" w:rsidRPr="006D595B">
              <w:rPr>
                <w:rStyle w:val="Hyperlink"/>
                <w:noProof/>
              </w:rPr>
              <w:t xml:space="preserve"> as a funding source</w:t>
            </w:r>
            <w:r w:rsidR="002100AC">
              <w:rPr>
                <w:noProof/>
                <w:webHidden/>
              </w:rPr>
              <w:tab/>
            </w:r>
            <w:r w:rsidR="002100AC">
              <w:rPr>
                <w:noProof/>
                <w:webHidden/>
              </w:rPr>
              <w:fldChar w:fldCharType="begin"/>
            </w:r>
            <w:r w:rsidR="002100AC">
              <w:rPr>
                <w:noProof/>
                <w:webHidden/>
              </w:rPr>
              <w:instrText xml:space="preserve"> PAGEREF _Toc66451046 \h </w:instrText>
            </w:r>
            <w:r w:rsidR="002100AC">
              <w:rPr>
                <w:noProof/>
                <w:webHidden/>
              </w:rPr>
            </w:r>
            <w:r w:rsidR="002100AC">
              <w:rPr>
                <w:noProof/>
                <w:webHidden/>
              </w:rPr>
              <w:fldChar w:fldCharType="separate"/>
            </w:r>
            <w:r w:rsidR="00DB26FF">
              <w:rPr>
                <w:noProof/>
                <w:webHidden/>
              </w:rPr>
              <w:t>6</w:t>
            </w:r>
            <w:r w:rsidR="002100AC">
              <w:rPr>
                <w:noProof/>
                <w:webHidden/>
              </w:rPr>
              <w:fldChar w:fldCharType="end"/>
            </w:r>
          </w:hyperlink>
        </w:p>
        <w:p w:rsidR="002100AC" w:rsidRDefault="004D03B2">
          <w:pPr>
            <w:pStyle w:val="TOC1"/>
            <w:tabs>
              <w:tab w:val="left" w:pos="660"/>
              <w:tab w:val="right" w:leader="dot" w:pos="9016"/>
            </w:tabs>
            <w:rPr>
              <w:noProof/>
              <w:sz w:val="22"/>
              <w:szCs w:val="22"/>
              <w:lang w:eastAsia="en-AU"/>
            </w:rPr>
          </w:pPr>
          <w:hyperlink w:anchor="_Toc66451047" w:history="1">
            <w:r w:rsidR="002100AC" w:rsidRPr="006D595B">
              <w:rPr>
                <w:rStyle w:val="Hyperlink"/>
                <w:noProof/>
              </w:rPr>
              <w:t>4.</w:t>
            </w:r>
            <w:r w:rsidR="002100AC">
              <w:rPr>
                <w:noProof/>
                <w:sz w:val="22"/>
                <w:szCs w:val="22"/>
                <w:lang w:eastAsia="en-AU"/>
              </w:rPr>
              <w:tab/>
            </w:r>
            <w:r w:rsidR="002100AC" w:rsidRPr="006D595B">
              <w:rPr>
                <w:rStyle w:val="Hyperlink"/>
                <w:noProof/>
              </w:rPr>
              <w:t>Principles for evaluating reform proposals</w:t>
            </w:r>
            <w:r w:rsidR="002100AC">
              <w:rPr>
                <w:noProof/>
                <w:webHidden/>
              </w:rPr>
              <w:tab/>
            </w:r>
            <w:r w:rsidR="002100AC">
              <w:rPr>
                <w:noProof/>
                <w:webHidden/>
              </w:rPr>
              <w:fldChar w:fldCharType="begin"/>
            </w:r>
            <w:r w:rsidR="002100AC">
              <w:rPr>
                <w:noProof/>
                <w:webHidden/>
              </w:rPr>
              <w:instrText xml:space="preserve"> PAGEREF _Toc66451047 \h </w:instrText>
            </w:r>
            <w:r w:rsidR="002100AC">
              <w:rPr>
                <w:noProof/>
                <w:webHidden/>
              </w:rPr>
            </w:r>
            <w:r w:rsidR="002100AC">
              <w:rPr>
                <w:noProof/>
                <w:webHidden/>
              </w:rPr>
              <w:fldChar w:fldCharType="separate"/>
            </w:r>
            <w:r w:rsidR="00DB26FF">
              <w:rPr>
                <w:noProof/>
                <w:webHidden/>
              </w:rPr>
              <w:t>12</w:t>
            </w:r>
            <w:r w:rsidR="002100AC">
              <w:rPr>
                <w:noProof/>
                <w:webHidden/>
              </w:rPr>
              <w:fldChar w:fldCharType="end"/>
            </w:r>
          </w:hyperlink>
        </w:p>
        <w:p w:rsidR="002100AC" w:rsidRDefault="004D03B2">
          <w:pPr>
            <w:pStyle w:val="TOC1"/>
            <w:tabs>
              <w:tab w:val="left" w:pos="660"/>
              <w:tab w:val="right" w:leader="dot" w:pos="9016"/>
            </w:tabs>
            <w:rPr>
              <w:noProof/>
              <w:sz w:val="22"/>
              <w:szCs w:val="22"/>
              <w:lang w:eastAsia="en-AU"/>
            </w:rPr>
          </w:pPr>
          <w:hyperlink w:anchor="_Toc66451048" w:history="1">
            <w:r w:rsidR="002100AC" w:rsidRPr="006D595B">
              <w:rPr>
                <w:rStyle w:val="Hyperlink"/>
                <w:noProof/>
              </w:rPr>
              <w:t>5.</w:t>
            </w:r>
            <w:r w:rsidR="002100AC">
              <w:rPr>
                <w:noProof/>
                <w:sz w:val="22"/>
                <w:szCs w:val="22"/>
                <w:lang w:eastAsia="en-AU"/>
              </w:rPr>
              <w:tab/>
            </w:r>
            <w:r w:rsidR="002100AC" w:rsidRPr="006D595B">
              <w:rPr>
                <w:rStyle w:val="Hyperlink"/>
                <w:noProof/>
              </w:rPr>
              <w:t>Reform options and analysis</w:t>
            </w:r>
            <w:r w:rsidR="002100AC">
              <w:rPr>
                <w:noProof/>
                <w:webHidden/>
              </w:rPr>
              <w:tab/>
            </w:r>
            <w:r w:rsidR="002100AC">
              <w:rPr>
                <w:noProof/>
                <w:webHidden/>
              </w:rPr>
              <w:fldChar w:fldCharType="begin"/>
            </w:r>
            <w:r w:rsidR="002100AC">
              <w:rPr>
                <w:noProof/>
                <w:webHidden/>
              </w:rPr>
              <w:instrText xml:space="preserve"> PAGEREF _Toc66451048 \h </w:instrText>
            </w:r>
            <w:r w:rsidR="002100AC">
              <w:rPr>
                <w:noProof/>
                <w:webHidden/>
              </w:rPr>
            </w:r>
            <w:r w:rsidR="002100AC">
              <w:rPr>
                <w:noProof/>
                <w:webHidden/>
              </w:rPr>
              <w:fldChar w:fldCharType="separate"/>
            </w:r>
            <w:r w:rsidR="00DB26FF">
              <w:rPr>
                <w:noProof/>
                <w:webHidden/>
              </w:rPr>
              <w:t>13</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49" w:history="1">
            <w:r w:rsidR="002100AC" w:rsidRPr="006D595B">
              <w:rPr>
                <w:rStyle w:val="Hyperlink"/>
                <w:noProof/>
              </w:rPr>
              <w:t>Option A – Status Quo</w:t>
            </w:r>
            <w:r w:rsidR="002100AC">
              <w:rPr>
                <w:noProof/>
                <w:webHidden/>
              </w:rPr>
              <w:tab/>
            </w:r>
            <w:r w:rsidR="002100AC">
              <w:rPr>
                <w:noProof/>
                <w:webHidden/>
              </w:rPr>
              <w:fldChar w:fldCharType="begin"/>
            </w:r>
            <w:r w:rsidR="002100AC">
              <w:rPr>
                <w:noProof/>
                <w:webHidden/>
              </w:rPr>
              <w:instrText xml:space="preserve"> PAGEREF _Toc66451049 \h </w:instrText>
            </w:r>
            <w:r w:rsidR="002100AC">
              <w:rPr>
                <w:noProof/>
                <w:webHidden/>
              </w:rPr>
            </w:r>
            <w:r w:rsidR="002100AC">
              <w:rPr>
                <w:noProof/>
                <w:webHidden/>
              </w:rPr>
              <w:fldChar w:fldCharType="separate"/>
            </w:r>
            <w:r w:rsidR="00DB26FF">
              <w:rPr>
                <w:noProof/>
                <w:webHidden/>
              </w:rPr>
              <w:t>13</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50" w:history="1">
            <w:r w:rsidR="002100AC" w:rsidRPr="006D595B">
              <w:rPr>
                <w:rStyle w:val="Hyperlink"/>
                <w:noProof/>
              </w:rPr>
              <w:t>Option B – the 2017 Legislated Review recommendation</w:t>
            </w:r>
            <w:r w:rsidR="002100AC">
              <w:rPr>
                <w:noProof/>
                <w:webHidden/>
              </w:rPr>
              <w:tab/>
            </w:r>
            <w:r w:rsidR="002100AC">
              <w:rPr>
                <w:noProof/>
                <w:webHidden/>
              </w:rPr>
              <w:fldChar w:fldCharType="begin"/>
            </w:r>
            <w:r w:rsidR="002100AC">
              <w:rPr>
                <w:noProof/>
                <w:webHidden/>
              </w:rPr>
              <w:instrText xml:space="preserve"> PAGEREF _Toc66451050 \h </w:instrText>
            </w:r>
            <w:r w:rsidR="002100AC">
              <w:rPr>
                <w:noProof/>
                <w:webHidden/>
              </w:rPr>
            </w:r>
            <w:r w:rsidR="002100AC">
              <w:rPr>
                <w:noProof/>
                <w:webHidden/>
              </w:rPr>
              <w:fldChar w:fldCharType="separate"/>
            </w:r>
            <w:r w:rsidR="00DB26FF">
              <w:rPr>
                <w:noProof/>
                <w:webHidden/>
              </w:rPr>
              <w:t>15</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51" w:history="1">
            <w:r w:rsidR="002100AC" w:rsidRPr="006D595B">
              <w:rPr>
                <w:rStyle w:val="Hyperlink"/>
                <w:noProof/>
              </w:rPr>
              <w:t>Option C – The Royal Commission proposal</w:t>
            </w:r>
            <w:r w:rsidR="002100AC">
              <w:rPr>
                <w:noProof/>
                <w:webHidden/>
              </w:rPr>
              <w:tab/>
            </w:r>
            <w:r w:rsidR="002100AC">
              <w:rPr>
                <w:noProof/>
                <w:webHidden/>
              </w:rPr>
              <w:fldChar w:fldCharType="begin"/>
            </w:r>
            <w:r w:rsidR="002100AC">
              <w:rPr>
                <w:noProof/>
                <w:webHidden/>
              </w:rPr>
              <w:instrText xml:space="preserve"> PAGEREF _Toc66451051 \h </w:instrText>
            </w:r>
            <w:r w:rsidR="002100AC">
              <w:rPr>
                <w:noProof/>
                <w:webHidden/>
              </w:rPr>
            </w:r>
            <w:r w:rsidR="002100AC">
              <w:rPr>
                <w:noProof/>
                <w:webHidden/>
              </w:rPr>
              <w:fldChar w:fldCharType="separate"/>
            </w:r>
            <w:r w:rsidR="00DB26FF">
              <w:rPr>
                <w:noProof/>
                <w:webHidden/>
              </w:rPr>
              <w:t>17</w:t>
            </w:r>
            <w:r w:rsidR="002100AC">
              <w:rPr>
                <w:noProof/>
                <w:webHidden/>
              </w:rPr>
              <w:fldChar w:fldCharType="end"/>
            </w:r>
          </w:hyperlink>
        </w:p>
        <w:p w:rsidR="002100AC" w:rsidRDefault="004D03B2">
          <w:pPr>
            <w:pStyle w:val="TOC2"/>
            <w:tabs>
              <w:tab w:val="right" w:leader="dot" w:pos="9016"/>
            </w:tabs>
            <w:rPr>
              <w:noProof/>
              <w:sz w:val="22"/>
              <w:szCs w:val="22"/>
              <w:lang w:eastAsia="en-AU"/>
            </w:rPr>
          </w:pPr>
          <w:hyperlink w:anchor="_Toc66451052" w:history="1">
            <w:r w:rsidR="002100AC" w:rsidRPr="006D595B">
              <w:rPr>
                <w:rStyle w:val="Hyperlink"/>
                <w:noProof/>
              </w:rPr>
              <w:t>Other funding streams</w:t>
            </w:r>
            <w:r w:rsidR="002100AC">
              <w:rPr>
                <w:noProof/>
                <w:webHidden/>
              </w:rPr>
              <w:tab/>
            </w:r>
            <w:r w:rsidR="002100AC">
              <w:rPr>
                <w:noProof/>
                <w:webHidden/>
              </w:rPr>
              <w:fldChar w:fldCharType="begin"/>
            </w:r>
            <w:r w:rsidR="002100AC">
              <w:rPr>
                <w:noProof/>
                <w:webHidden/>
              </w:rPr>
              <w:instrText xml:space="preserve"> PAGEREF _Toc66451052 \h </w:instrText>
            </w:r>
            <w:r w:rsidR="002100AC">
              <w:rPr>
                <w:noProof/>
                <w:webHidden/>
              </w:rPr>
            </w:r>
            <w:r w:rsidR="002100AC">
              <w:rPr>
                <w:noProof/>
                <w:webHidden/>
              </w:rPr>
              <w:fldChar w:fldCharType="separate"/>
            </w:r>
            <w:r w:rsidR="00DB26FF">
              <w:rPr>
                <w:noProof/>
                <w:webHidden/>
              </w:rPr>
              <w:t>19</w:t>
            </w:r>
            <w:r w:rsidR="002100AC">
              <w:rPr>
                <w:noProof/>
                <w:webHidden/>
              </w:rPr>
              <w:fldChar w:fldCharType="end"/>
            </w:r>
          </w:hyperlink>
        </w:p>
        <w:p w:rsidR="002100AC" w:rsidRDefault="004D03B2">
          <w:pPr>
            <w:pStyle w:val="TOC3"/>
            <w:tabs>
              <w:tab w:val="right" w:leader="dot" w:pos="9016"/>
            </w:tabs>
            <w:rPr>
              <w:noProof/>
              <w:sz w:val="22"/>
              <w:szCs w:val="22"/>
              <w:lang w:eastAsia="en-AU"/>
            </w:rPr>
          </w:pPr>
          <w:hyperlink w:anchor="_Toc66451053" w:history="1">
            <w:r w:rsidR="002100AC" w:rsidRPr="006D595B">
              <w:rPr>
                <w:rStyle w:val="Hyperlink"/>
                <w:noProof/>
              </w:rPr>
              <w:t>Additional Service Fees</w:t>
            </w:r>
            <w:r w:rsidR="002100AC">
              <w:rPr>
                <w:noProof/>
                <w:webHidden/>
              </w:rPr>
              <w:tab/>
            </w:r>
            <w:r w:rsidR="002100AC">
              <w:rPr>
                <w:noProof/>
                <w:webHidden/>
              </w:rPr>
              <w:fldChar w:fldCharType="begin"/>
            </w:r>
            <w:r w:rsidR="002100AC">
              <w:rPr>
                <w:noProof/>
                <w:webHidden/>
              </w:rPr>
              <w:instrText xml:space="preserve"> PAGEREF _Toc66451053 \h </w:instrText>
            </w:r>
            <w:r w:rsidR="002100AC">
              <w:rPr>
                <w:noProof/>
                <w:webHidden/>
              </w:rPr>
            </w:r>
            <w:r w:rsidR="002100AC">
              <w:rPr>
                <w:noProof/>
                <w:webHidden/>
              </w:rPr>
              <w:fldChar w:fldCharType="separate"/>
            </w:r>
            <w:r w:rsidR="00DB26FF">
              <w:rPr>
                <w:noProof/>
                <w:webHidden/>
              </w:rPr>
              <w:t>19</w:t>
            </w:r>
            <w:r w:rsidR="002100AC">
              <w:rPr>
                <w:noProof/>
                <w:webHidden/>
              </w:rPr>
              <w:fldChar w:fldCharType="end"/>
            </w:r>
          </w:hyperlink>
        </w:p>
        <w:p w:rsidR="002100AC" w:rsidRDefault="004D03B2">
          <w:pPr>
            <w:pStyle w:val="TOC3"/>
            <w:tabs>
              <w:tab w:val="right" w:leader="dot" w:pos="9016"/>
            </w:tabs>
            <w:rPr>
              <w:noProof/>
              <w:sz w:val="22"/>
              <w:szCs w:val="22"/>
              <w:lang w:eastAsia="en-AU"/>
            </w:rPr>
          </w:pPr>
          <w:hyperlink w:anchor="_Toc66451054" w:history="1">
            <w:r w:rsidR="002100AC" w:rsidRPr="006D595B">
              <w:rPr>
                <w:rStyle w:val="Hyperlink"/>
                <w:noProof/>
              </w:rPr>
              <w:t>Transparency for consumers</w:t>
            </w:r>
            <w:r w:rsidR="002100AC">
              <w:rPr>
                <w:noProof/>
                <w:webHidden/>
              </w:rPr>
              <w:tab/>
            </w:r>
            <w:r w:rsidR="002100AC">
              <w:rPr>
                <w:noProof/>
                <w:webHidden/>
              </w:rPr>
              <w:fldChar w:fldCharType="begin"/>
            </w:r>
            <w:r w:rsidR="002100AC">
              <w:rPr>
                <w:noProof/>
                <w:webHidden/>
              </w:rPr>
              <w:instrText xml:space="preserve"> PAGEREF _Toc66451054 \h </w:instrText>
            </w:r>
            <w:r w:rsidR="002100AC">
              <w:rPr>
                <w:noProof/>
                <w:webHidden/>
              </w:rPr>
            </w:r>
            <w:r w:rsidR="002100AC">
              <w:rPr>
                <w:noProof/>
                <w:webHidden/>
              </w:rPr>
              <w:fldChar w:fldCharType="separate"/>
            </w:r>
            <w:r w:rsidR="00DB26FF">
              <w:rPr>
                <w:noProof/>
                <w:webHidden/>
              </w:rPr>
              <w:t>19</w:t>
            </w:r>
            <w:r w:rsidR="002100AC">
              <w:rPr>
                <w:noProof/>
                <w:webHidden/>
              </w:rPr>
              <w:fldChar w:fldCharType="end"/>
            </w:r>
          </w:hyperlink>
        </w:p>
        <w:p w:rsidR="002100AC" w:rsidRDefault="004D03B2">
          <w:pPr>
            <w:pStyle w:val="TOC3"/>
            <w:tabs>
              <w:tab w:val="right" w:leader="dot" w:pos="9016"/>
            </w:tabs>
            <w:rPr>
              <w:noProof/>
              <w:sz w:val="22"/>
              <w:szCs w:val="22"/>
              <w:lang w:eastAsia="en-AU"/>
            </w:rPr>
          </w:pPr>
          <w:hyperlink w:anchor="_Toc66451055" w:history="1">
            <w:r w:rsidR="002100AC" w:rsidRPr="006D595B">
              <w:rPr>
                <w:rStyle w:val="Hyperlink"/>
                <w:noProof/>
              </w:rPr>
              <w:t>Accountability</w:t>
            </w:r>
            <w:r w:rsidR="002100AC">
              <w:rPr>
                <w:noProof/>
                <w:webHidden/>
              </w:rPr>
              <w:tab/>
            </w:r>
            <w:r w:rsidR="002100AC">
              <w:rPr>
                <w:noProof/>
                <w:webHidden/>
              </w:rPr>
              <w:fldChar w:fldCharType="begin"/>
            </w:r>
            <w:r w:rsidR="002100AC">
              <w:rPr>
                <w:noProof/>
                <w:webHidden/>
              </w:rPr>
              <w:instrText xml:space="preserve"> PAGEREF _Toc66451055 \h </w:instrText>
            </w:r>
            <w:r w:rsidR="002100AC">
              <w:rPr>
                <w:noProof/>
                <w:webHidden/>
              </w:rPr>
            </w:r>
            <w:r w:rsidR="002100AC">
              <w:rPr>
                <w:noProof/>
                <w:webHidden/>
              </w:rPr>
              <w:fldChar w:fldCharType="separate"/>
            </w:r>
            <w:r w:rsidR="00DB26FF">
              <w:rPr>
                <w:noProof/>
                <w:webHidden/>
              </w:rPr>
              <w:t>20</w:t>
            </w:r>
            <w:r w:rsidR="002100AC">
              <w:rPr>
                <w:noProof/>
                <w:webHidden/>
              </w:rPr>
              <w:fldChar w:fldCharType="end"/>
            </w:r>
          </w:hyperlink>
        </w:p>
        <w:p w:rsidR="002100AC" w:rsidRDefault="004D03B2">
          <w:pPr>
            <w:pStyle w:val="TOC1"/>
            <w:tabs>
              <w:tab w:val="left" w:pos="660"/>
              <w:tab w:val="right" w:leader="dot" w:pos="9016"/>
            </w:tabs>
            <w:rPr>
              <w:noProof/>
              <w:sz w:val="22"/>
              <w:szCs w:val="22"/>
              <w:lang w:eastAsia="en-AU"/>
            </w:rPr>
          </w:pPr>
          <w:hyperlink w:anchor="_Toc66451056" w:history="1">
            <w:r w:rsidR="002100AC" w:rsidRPr="006D595B">
              <w:rPr>
                <w:rStyle w:val="Hyperlink"/>
                <w:noProof/>
              </w:rPr>
              <w:t>6.</w:t>
            </w:r>
            <w:r w:rsidR="002100AC">
              <w:rPr>
                <w:noProof/>
                <w:sz w:val="22"/>
                <w:szCs w:val="22"/>
                <w:lang w:eastAsia="en-AU"/>
              </w:rPr>
              <w:tab/>
            </w:r>
            <w:r w:rsidR="002100AC" w:rsidRPr="006D595B">
              <w:rPr>
                <w:rStyle w:val="Hyperlink"/>
                <w:noProof/>
              </w:rPr>
              <w:t>Conclusions</w:t>
            </w:r>
            <w:r w:rsidR="002100AC">
              <w:rPr>
                <w:noProof/>
                <w:webHidden/>
              </w:rPr>
              <w:tab/>
            </w:r>
            <w:r w:rsidR="002100AC">
              <w:rPr>
                <w:noProof/>
                <w:webHidden/>
              </w:rPr>
              <w:fldChar w:fldCharType="begin"/>
            </w:r>
            <w:r w:rsidR="002100AC">
              <w:rPr>
                <w:noProof/>
                <w:webHidden/>
              </w:rPr>
              <w:instrText xml:space="preserve"> PAGEREF _Toc66451056 \h </w:instrText>
            </w:r>
            <w:r w:rsidR="002100AC">
              <w:rPr>
                <w:noProof/>
                <w:webHidden/>
              </w:rPr>
            </w:r>
            <w:r w:rsidR="002100AC">
              <w:rPr>
                <w:noProof/>
                <w:webHidden/>
              </w:rPr>
              <w:fldChar w:fldCharType="separate"/>
            </w:r>
            <w:r w:rsidR="00DB26FF">
              <w:rPr>
                <w:noProof/>
                <w:webHidden/>
              </w:rPr>
              <w:t>21</w:t>
            </w:r>
            <w:r w:rsidR="002100AC">
              <w:rPr>
                <w:noProof/>
                <w:webHidden/>
              </w:rPr>
              <w:fldChar w:fldCharType="end"/>
            </w:r>
          </w:hyperlink>
        </w:p>
        <w:p w:rsidR="004223C3" w:rsidRDefault="004223C3">
          <w:r>
            <w:rPr>
              <w:b/>
              <w:bCs/>
              <w:noProof/>
            </w:rPr>
            <w:fldChar w:fldCharType="end"/>
          </w:r>
        </w:p>
      </w:sdtContent>
    </w:sdt>
    <w:p w:rsidR="00546867" w:rsidRDefault="00546867">
      <w:pPr>
        <w:rPr>
          <w:rFonts w:asciiTheme="majorHAnsi" w:eastAsiaTheme="majorEastAsia" w:hAnsiTheme="majorHAnsi" w:cstheme="majorBidi"/>
          <w:color w:val="404040" w:themeColor="text1" w:themeTint="BF"/>
          <w:sz w:val="28"/>
          <w:szCs w:val="28"/>
        </w:rPr>
      </w:pPr>
      <w:r>
        <w:br w:type="page"/>
      </w:r>
    </w:p>
    <w:p w:rsidR="00982EDA" w:rsidRDefault="00F70828" w:rsidP="00247C07">
      <w:pPr>
        <w:pStyle w:val="Heading1"/>
        <w:numPr>
          <w:ilvl w:val="0"/>
          <w:numId w:val="14"/>
        </w:numPr>
        <w:spacing w:before="0" w:after="180"/>
      </w:pPr>
      <w:bookmarkStart w:id="1" w:name="_Ref25312686"/>
      <w:bookmarkStart w:id="2" w:name="_Toc25325882"/>
      <w:bookmarkStart w:id="3" w:name="_Toc25851847"/>
      <w:bookmarkStart w:id="4" w:name="_Toc25938492"/>
      <w:bookmarkStart w:id="5" w:name="_Toc26109055"/>
      <w:bookmarkStart w:id="6" w:name="_Toc66451042"/>
      <w:r w:rsidRPr="001079F3">
        <w:lastRenderedPageBreak/>
        <w:t>Introduction</w:t>
      </w:r>
      <w:bookmarkEnd w:id="1"/>
      <w:bookmarkEnd w:id="2"/>
      <w:bookmarkEnd w:id="3"/>
      <w:bookmarkEnd w:id="4"/>
      <w:bookmarkEnd w:id="5"/>
      <w:bookmarkEnd w:id="6"/>
    </w:p>
    <w:p w:rsidR="004A740E" w:rsidRPr="00960484" w:rsidRDefault="004A740E" w:rsidP="00840D91">
      <w:pPr>
        <w:pStyle w:val="BodyText"/>
        <w:spacing w:before="0" w:after="180" w:line="240" w:lineRule="auto"/>
        <w:jc w:val="left"/>
        <w:rPr>
          <w:rFonts w:asciiTheme="minorHAnsi" w:eastAsiaTheme="minorEastAsia" w:hAnsiTheme="minorHAnsi" w:cstheme="minorHAnsi"/>
          <w:szCs w:val="24"/>
        </w:rPr>
      </w:pPr>
      <w:r w:rsidRPr="00960484">
        <w:rPr>
          <w:rFonts w:asciiTheme="minorHAnsi" w:eastAsiaTheme="minorEastAsia" w:hAnsiTheme="minorHAnsi" w:cstheme="minorHAnsi"/>
          <w:szCs w:val="24"/>
        </w:rPr>
        <w:t xml:space="preserve">The Aged Care Financing Authority (ACFA) is a statutory committee whose role is to provide independent, transparent advice to the Australian Government </w:t>
      </w:r>
      <w:r w:rsidR="00942285">
        <w:rPr>
          <w:rFonts w:asciiTheme="minorHAnsi" w:eastAsiaTheme="minorEastAsia" w:hAnsiTheme="minorHAnsi" w:cstheme="minorHAnsi"/>
          <w:szCs w:val="24"/>
        </w:rPr>
        <w:t xml:space="preserve">(the Government) </w:t>
      </w:r>
      <w:r w:rsidRPr="00960484">
        <w:rPr>
          <w:rFonts w:asciiTheme="minorHAnsi" w:eastAsiaTheme="minorEastAsia" w:hAnsiTheme="minorHAnsi" w:cstheme="minorHAnsi"/>
          <w:szCs w:val="24"/>
        </w:rPr>
        <w:t xml:space="preserve">on financing and funding issues in the aged care industry. </w:t>
      </w:r>
    </w:p>
    <w:p w:rsidR="002C4C53" w:rsidRDefault="00473C49" w:rsidP="00046386">
      <w:pPr>
        <w:pStyle w:val="Heading2"/>
      </w:pPr>
      <w:bookmarkStart w:id="7" w:name="_Toc25325883"/>
      <w:bookmarkStart w:id="8" w:name="_Toc25851848"/>
      <w:bookmarkStart w:id="9" w:name="_Toc25938493"/>
      <w:bookmarkStart w:id="10" w:name="_Toc26109056"/>
      <w:bookmarkStart w:id="11" w:name="_Toc66451043"/>
      <w:r w:rsidRPr="00473C49">
        <w:t xml:space="preserve">The project and terms of </w:t>
      </w:r>
      <w:r w:rsidRPr="00046386">
        <w:t>reference</w:t>
      </w:r>
      <w:bookmarkEnd w:id="7"/>
      <w:bookmarkEnd w:id="8"/>
      <w:bookmarkEnd w:id="9"/>
      <w:bookmarkEnd w:id="10"/>
      <w:bookmarkEnd w:id="11"/>
    </w:p>
    <w:p w:rsidR="005A6232" w:rsidRDefault="00DA58CD"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In February 2020</w:t>
      </w:r>
      <w:r w:rsidR="004371B0" w:rsidRPr="008D4119">
        <w:rPr>
          <w:rFonts w:asciiTheme="minorHAnsi" w:eastAsiaTheme="minorEastAsia" w:hAnsiTheme="minorHAnsi" w:cstheme="minorHAnsi"/>
          <w:szCs w:val="24"/>
        </w:rPr>
        <w:t>, t</w:t>
      </w:r>
      <w:r w:rsidR="00473C49" w:rsidRPr="008D4119">
        <w:rPr>
          <w:rFonts w:asciiTheme="minorHAnsi" w:eastAsiaTheme="minorEastAsia" w:hAnsiTheme="minorHAnsi" w:cstheme="minorHAnsi"/>
          <w:szCs w:val="24"/>
        </w:rPr>
        <w:t xml:space="preserve">he </w:t>
      </w:r>
      <w:r>
        <w:rPr>
          <w:rFonts w:asciiTheme="minorHAnsi" w:eastAsiaTheme="minorEastAsia" w:hAnsiTheme="minorHAnsi" w:cstheme="minorHAnsi"/>
          <w:szCs w:val="24"/>
        </w:rPr>
        <w:t xml:space="preserve">then </w:t>
      </w:r>
      <w:r w:rsidR="00473C49" w:rsidRPr="008D4119">
        <w:rPr>
          <w:rFonts w:asciiTheme="minorHAnsi" w:eastAsiaTheme="minorEastAsia" w:hAnsiTheme="minorHAnsi" w:cstheme="minorHAnsi"/>
          <w:szCs w:val="24"/>
        </w:rPr>
        <w:t xml:space="preserve">Minister for Aged Care and </w:t>
      </w:r>
      <w:r w:rsidR="004371B0" w:rsidRPr="008D4119">
        <w:rPr>
          <w:rFonts w:asciiTheme="minorHAnsi" w:eastAsiaTheme="minorEastAsia" w:hAnsiTheme="minorHAnsi" w:cstheme="minorHAnsi"/>
          <w:szCs w:val="24"/>
        </w:rPr>
        <w:t>Senior Australians, Senator the </w:t>
      </w:r>
      <w:r w:rsidR="00473C49" w:rsidRPr="008D4119">
        <w:rPr>
          <w:rFonts w:asciiTheme="minorHAnsi" w:eastAsiaTheme="minorEastAsia" w:hAnsiTheme="minorHAnsi" w:cstheme="minorHAnsi"/>
          <w:szCs w:val="24"/>
        </w:rPr>
        <w:t>Hon</w:t>
      </w:r>
      <w:r w:rsidR="004371B0" w:rsidRPr="008D4119">
        <w:rPr>
          <w:rFonts w:asciiTheme="minorHAnsi" w:eastAsiaTheme="minorEastAsia" w:hAnsiTheme="minorHAnsi" w:cstheme="minorHAnsi"/>
          <w:szCs w:val="24"/>
        </w:rPr>
        <w:t> </w:t>
      </w:r>
      <w:r w:rsidR="00473C49" w:rsidRPr="008D4119">
        <w:rPr>
          <w:rFonts w:asciiTheme="minorHAnsi" w:eastAsiaTheme="minorEastAsia" w:hAnsiTheme="minorHAnsi" w:cstheme="minorHAnsi"/>
          <w:szCs w:val="24"/>
        </w:rPr>
        <w:t xml:space="preserve">Richard Colbeck, asked </w:t>
      </w:r>
      <w:r w:rsidR="00C44C48" w:rsidRPr="008D4119">
        <w:rPr>
          <w:rFonts w:asciiTheme="minorHAnsi" w:eastAsiaTheme="minorEastAsia" w:hAnsiTheme="minorHAnsi" w:cstheme="minorHAnsi"/>
          <w:szCs w:val="24"/>
        </w:rPr>
        <w:t xml:space="preserve">ACFA </w:t>
      </w:r>
      <w:r w:rsidR="00473C49" w:rsidRPr="008D4119">
        <w:rPr>
          <w:rFonts w:asciiTheme="minorHAnsi" w:eastAsiaTheme="minorEastAsia" w:hAnsiTheme="minorHAnsi" w:cstheme="minorHAnsi"/>
          <w:szCs w:val="24"/>
        </w:rPr>
        <w:t xml:space="preserve">to </w:t>
      </w:r>
      <w:r>
        <w:rPr>
          <w:rFonts w:asciiTheme="minorHAnsi" w:hAnsiTheme="minorHAnsi" w:cstheme="minorHAnsi"/>
          <w:color w:val="313131"/>
          <w:szCs w:val="24"/>
          <w:shd w:val="clear" w:color="auto" w:fill="FFFFFF"/>
        </w:rPr>
        <w:t>u</w:t>
      </w:r>
      <w:r w:rsidRPr="00B243E2">
        <w:rPr>
          <w:rFonts w:asciiTheme="minorHAnsi" w:hAnsiTheme="minorHAnsi" w:cstheme="minorHAnsi"/>
          <w:color w:val="313131"/>
          <w:szCs w:val="24"/>
          <w:shd w:val="clear" w:color="auto" w:fill="FFFFFF"/>
        </w:rPr>
        <w:t xml:space="preserve">ndertake a piece of work on the role of the </w:t>
      </w:r>
      <w:r w:rsidR="00EC2A64">
        <w:rPr>
          <w:rFonts w:asciiTheme="minorHAnsi" w:hAnsiTheme="minorHAnsi" w:cstheme="minorHAnsi"/>
          <w:color w:val="313131"/>
          <w:szCs w:val="24"/>
          <w:shd w:val="clear" w:color="auto" w:fill="FFFFFF"/>
        </w:rPr>
        <w:t>b</w:t>
      </w:r>
      <w:r w:rsidRPr="00B243E2">
        <w:rPr>
          <w:rFonts w:asciiTheme="minorHAnsi" w:hAnsiTheme="minorHAnsi" w:cstheme="minorHAnsi"/>
          <w:color w:val="313131"/>
          <w:szCs w:val="24"/>
          <w:shd w:val="clear" w:color="auto" w:fill="FFFFFF"/>
        </w:rPr>
        <w:t xml:space="preserve">asic </w:t>
      </w:r>
      <w:r w:rsidR="00EC2A64">
        <w:rPr>
          <w:rFonts w:asciiTheme="minorHAnsi" w:hAnsiTheme="minorHAnsi" w:cstheme="minorHAnsi"/>
          <w:color w:val="313131"/>
          <w:szCs w:val="24"/>
          <w:shd w:val="clear" w:color="auto" w:fill="FFFFFF"/>
        </w:rPr>
        <w:t>d</w:t>
      </w:r>
      <w:r w:rsidRPr="00B243E2">
        <w:rPr>
          <w:rFonts w:asciiTheme="minorHAnsi" w:hAnsiTheme="minorHAnsi" w:cstheme="minorHAnsi"/>
          <w:color w:val="313131"/>
          <w:szCs w:val="24"/>
          <w:shd w:val="clear" w:color="auto" w:fill="FFFFFF"/>
        </w:rPr>
        <w:t xml:space="preserve">aily </w:t>
      </w:r>
      <w:r w:rsidR="00EC2A64">
        <w:rPr>
          <w:rFonts w:asciiTheme="minorHAnsi" w:hAnsiTheme="minorHAnsi" w:cstheme="minorHAnsi"/>
          <w:color w:val="313131"/>
          <w:szCs w:val="24"/>
          <w:shd w:val="clear" w:color="auto" w:fill="FFFFFF"/>
        </w:rPr>
        <w:t>f</w:t>
      </w:r>
      <w:r w:rsidRPr="00B243E2">
        <w:rPr>
          <w:rFonts w:asciiTheme="minorHAnsi" w:hAnsiTheme="minorHAnsi" w:cstheme="minorHAnsi"/>
          <w:color w:val="313131"/>
          <w:szCs w:val="24"/>
          <w:shd w:val="clear" w:color="auto" w:fill="FFFFFF"/>
        </w:rPr>
        <w:t>ee</w:t>
      </w:r>
      <w:r w:rsidR="00EC2A64">
        <w:rPr>
          <w:rFonts w:asciiTheme="minorHAnsi" w:hAnsiTheme="minorHAnsi" w:cstheme="minorHAnsi"/>
          <w:color w:val="313131"/>
          <w:szCs w:val="24"/>
          <w:shd w:val="clear" w:color="auto" w:fill="FFFFFF"/>
        </w:rPr>
        <w:t xml:space="preserve"> (BDF)</w:t>
      </w:r>
      <w:r w:rsidRPr="00B243E2">
        <w:rPr>
          <w:rFonts w:asciiTheme="minorHAnsi" w:hAnsiTheme="minorHAnsi" w:cstheme="minorHAnsi"/>
          <w:color w:val="313131"/>
          <w:szCs w:val="24"/>
          <w:shd w:val="clear" w:color="auto" w:fill="FFFFFF"/>
        </w:rPr>
        <w:t>, which is commonly associated with payment for hotel services in residential aged care. Th</w:t>
      </w:r>
      <w:r w:rsidR="00782994">
        <w:rPr>
          <w:rFonts w:asciiTheme="minorHAnsi" w:hAnsiTheme="minorHAnsi" w:cstheme="minorHAnsi"/>
          <w:color w:val="313131"/>
          <w:szCs w:val="24"/>
          <w:shd w:val="clear" w:color="auto" w:fill="FFFFFF"/>
        </w:rPr>
        <w:t>e aim of this</w:t>
      </w:r>
      <w:r w:rsidRPr="00B243E2">
        <w:rPr>
          <w:rFonts w:asciiTheme="minorHAnsi" w:hAnsiTheme="minorHAnsi" w:cstheme="minorHAnsi"/>
          <w:color w:val="313131"/>
          <w:szCs w:val="24"/>
          <w:shd w:val="clear" w:color="auto" w:fill="FFFFFF"/>
        </w:rPr>
        <w:t xml:space="preserve"> project</w:t>
      </w:r>
      <w:r w:rsidR="00782994">
        <w:rPr>
          <w:rFonts w:asciiTheme="minorHAnsi" w:hAnsiTheme="minorHAnsi" w:cstheme="minorHAnsi"/>
          <w:color w:val="313131"/>
          <w:szCs w:val="24"/>
          <w:shd w:val="clear" w:color="auto" w:fill="FFFFFF"/>
        </w:rPr>
        <w:t xml:space="preserve"> </w:t>
      </w:r>
      <w:r w:rsidR="00634246">
        <w:rPr>
          <w:rFonts w:asciiTheme="minorHAnsi" w:hAnsiTheme="minorHAnsi" w:cstheme="minorHAnsi"/>
          <w:color w:val="313131"/>
          <w:szCs w:val="24"/>
          <w:shd w:val="clear" w:color="auto" w:fill="FFFFFF"/>
        </w:rPr>
        <w:t>was</w:t>
      </w:r>
      <w:r w:rsidR="00782994">
        <w:rPr>
          <w:rFonts w:asciiTheme="minorHAnsi" w:hAnsiTheme="minorHAnsi" w:cstheme="minorHAnsi"/>
          <w:color w:val="313131"/>
          <w:szCs w:val="24"/>
          <w:shd w:val="clear" w:color="auto" w:fill="FFFFFF"/>
        </w:rPr>
        <w:t xml:space="preserve"> to</w:t>
      </w:r>
      <w:r w:rsidRPr="00B243E2">
        <w:rPr>
          <w:rFonts w:asciiTheme="minorHAnsi" w:hAnsiTheme="minorHAnsi" w:cstheme="minorHAnsi"/>
          <w:color w:val="313131"/>
          <w:szCs w:val="24"/>
          <w:shd w:val="clear" w:color="auto" w:fill="FFFFFF"/>
        </w:rPr>
        <w:t xml:space="preserve"> provide greater analysis and understanding of the issues, including what role the </w:t>
      </w:r>
      <w:r w:rsidR="00AB26C8">
        <w:rPr>
          <w:rFonts w:asciiTheme="minorHAnsi" w:hAnsiTheme="minorHAnsi" w:cstheme="minorHAnsi"/>
          <w:color w:val="313131"/>
          <w:szCs w:val="24"/>
          <w:shd w:val="clear" w:color="auto" w:fill="FFFFFF"/>
        </w:rPr>
        <w:t>BDF</w:t>
      </w:r>
      <w:r w:rsidRPr="00B243E2">
        <w:rPr>
          <w:rFonts w:asciiTheme="minorHAnsi" w:hAnsiTheme="minorHAnsi" w:cstheme="minorHAnsi"/>
          <w:color w:val="313131"/>
          <w:szCs w:val="24"/>
          <w:shd w:val="clear" w:color="auto" w:fill="FFFFFF"/>
        </w:rPr>
        <w:t xml:space="preserve"> should have in the future.</w:t>
      </w:r>
      <w:r w:rsidR="00686688" w:rsidRPr="008D4119">
        <w:rPr>
          <w:rFonts w:asciiTheme="minorHAnsi" w:eastAsiaTheme="minorEastAsia" w:hAnsiTheme="minorHAnsi" w:cstheme="minorHAnsi"/>
          <w:szCs w:val="24"/>
        </w:rPr>
        <w:t xml:space="preserve"> </w:t>
      </w:r>
    </w:p>
    <w:p w:rsidR="00AF42F0" w:rsidRDefault="00C66C0E" w:rsidP="00AF42F0">
      <w:pPr>
        <w:pStyle w:val="Heading2"/>
      </w:pPr>
      <w:bookmarkStart w:id="12" w:name="_Toc25325884"/>
      <w:bookmarkStart w:id="13" w:name="_Toc25851849"/>
      <w:bookmarkStart w:id="14" w:name="_Toc25938494"/>
      <w:bookmarkStart w:id="15" w:name="_Toc26109057"/>
      <w:bookmarkStart w:id="16" w:name="_Toc66451044"/>
      <w:r>
        <w:t>The review</w:t>
      </w:r>
      <w:r w:rsidR="00AF42F0">
        <w:t xml:space="preserve"> process</w:t>
      </w:r>
      <w:bookmarkEnd w:id="12"/>
      <w:bookmarkEnd w:id="13"/>
      <w:bookmarkEnd w:id="14"/>
      <w:bookmarkEnd w:id="15"/>
      <w:bookmarkEnd w:id="16"/>
    </w:p>
    <w:p w:rsidR="00DA58CD" w:rsidRPr="00B243E2" w:rsidRDefault="00DA58CD" w:rsidP="00DA58CD">
      <w:pPr>
        <w:rPr>
          <w:rFonts w:cstheme="minorHAnsi"/>
          <w:snapToGrid w:val="0"/>
          <w:szCs w:val="24"/>
        </w:rPr>
      </w:pPr>
      <w:r w:rsidRPr="00B243E2">
        <w:rPr>
          <w:rFonts w:cstheme="minorHAnsi"/>
          <w:snapToGrid w:val="0"/>
          <w:szCs w:val="24"/>
        </w:rPr>
        <w:t>In its 2020 report on the funding and financing of the aged care industry</w:t>
      </w:r>
      <w:r w:rsidR="00942285">
        <w:rPr>
          <w:rFonts w:cstheme="minorHAnsi"/>
          <w:snapToGrid w:val="0"/>
          <w:szCs w:val="24"/>
        </w:rPr>
        <w:t>,</w:t>
      </w:r>
      <w:r w:rsidRPr="00B243E2">
        <w:rPr>
          <w:rFonts w:cstheme="minorHAnsi"/>
          <w:snapToGrid w:val="0"/>
          <w:szCs w:val="24"/>
        </w:rPr>
        <w:t xml:space="preserve"> ACFA noted that</w:t>
      </w:r>
      <w:r w:rsidR="00942285">
        <w:rPr>
          <w:rFonts w:cstheme="minorHAnsi"/>
          <w:snapToGrid w:val="0"/>
          <w:szCs w:val="24"/>
        </w:rPr>
        <w:t xml:space="preserve"> costs were growing faster than revenue </w:t>
      </w:r>
      <w:r w:rsidRPr="00B243E2">
        <w:rPr>
          <w:rFonts w:cstheme="minorHAnsi"/>
          <w:snapToGrid w:val="0"/>
          <w:szCs w:val="24"/>
        </w:rPr>
        <w:t>for residential aged care providers. Between 2017</w:t>
      </w:r>
      <w:r w:rsidRPr="00B243E2">
        <w:rPr>
          <w:rFonts w:cstheme="minorHAnsi"/>
          <w:snapToGrid w:val="0"/>
          <w:szCs w:val="24"/>
        </w:rPr>
        <w:noBreakHyphen/>
        <w:t xml:space="preserve">18 and 2018-19 </w:t>
      </w:r>
      <w:r w:rsidR="00A61CDE">
        <w:rPr>
          <w:rFonts w:cstheme="minorHAnsi"/>
          <w:snapToGrid w:val="0"/>
          <w:szCs w:val="24"/>
        </w:rPr>
        <w:t xml:space="preserve">total </w:t>
      </w:r>
      <w:r w:rsidRPr="00B243E2">
        <w:rPr>
          <w:rFonts w:cstheme="minorHAnsi"/>
          <w:snapToGrid w:val="0"/>
          <w:szCs w:val="24"/>
        </w:rPr>
        <w:t>revenue per resident per day grew by 4.2 percent, while expenses grew by 5.3 per cent on the same basis.</w:t>
      </w:r>
    </w:p>
    <w:p w:rsidR="00DA58CD" w:rsidRPr="00B243E2" w:rsidRDefault="00DA58CD" w:rsidP="00DA58CD">
      <w:pPr>
        <w:rPr>
          <w:rFonts w:cstheme="minorHAnsi"/>
          <w:snapToGrid w:val="0"/>
          <w:szCs w:val="24"/>
        </w:rPr>
      </w:pPr>
      <w:r w:rsidRPr="00B243E2">
        <w:rPr>
          <w:rFonts w:cstheme="minorHAnsi"/>
          <w:snapToGrid w:val="0"/>
          <w:szCs w:val="24"/>
        </w:rPr>
        <w:t xml:space="preserve">With the </w:t>
      </w:r>
      <w:r w:rsidR="00942285">
        <w:rPr>
          <w:rFonts w:cstheme="minorHAnsi"/>
          <w:snapToGrid w:val="0"/>
          <w:szCs w:val="24"/>
        </w:rPr>
        <w:t>Government</w:t>
      </w:r>
      <w:r w:rsidR="00942285" w:rsidRPr="00B243E2">
        <w:rPr>
          <w:rFonts w:cstheme="minorHAnsi"/>
          <w:snapToGrid w:val="0"/>
          <w:szCs w:val="24"/>
        </w:rPr>
        <w:t xml:space="preserve"> </w:t>
      </w:r>
      <w:r w:rsidRPr="00B243E2">
        <w:rPr>
          <w:rFonts w:cstheme="minorHAnsi"/>
          <w:snapToGrid w:val="0"/>
          <w:szCs w:val="24"/>
        </w:rPr>
        <w:t xml:space="preserve">providing 67.4 per cent of revenue and regulating what may be charged for the </w:t>
      </w:r>
      <w:r w:rsidR="00AB26C8">
        <w:rPr>
          <w:rFonts w:cstheme="minorHAnsi"/>
          <w:snapToGrid w:val="0"/>
          <w:szCs w:val="24"/>
        </w:rPr>
        <w:t>BDF</w:t>
      </w:r>
      <w:r w:rsidRPr="00B243E2">
        <w:rPr>
          <w:rFonts w:cstheme="minorHAnsi"/>
          <w:snapToGrid w:val="0"/>
          <w:szCs w:val="24"/>
        </w:rPr>
        <w:t xml:space="preserve"> (which </w:t>
      </w:r>
      <w:r w:rsidR="00A61CDE">
        <w:rPr>
          <w:rFonts w:cstheme="minorHAnsi"/>
          <w:snapToGrid w:val="0"/>
          <w:szCs w:val="24"/>
        </w:rPr>
        <w:t xml:space="preserve">is </w:t>
      </w:r>
      <w:r w:rsidR="00903C35">
        <w:rPr>
          <w:rFonts w:cstheme="minorHAnsi"/>
          <w:snapToGrid w:val="0"/>
          <w:szCs w:val="24"/>
        </w:rPr>
        <w:t>paid</w:t>
      </w:r>
      <w:r w:rsidR="00A61CDE">
        <w:rPr>
          <w:rFonts w:cstheme="minorHAnsi"/>
          <w:snapToGrid w:val="0"/>
          <w:szCs w:val="24"/>
        </w:rPr>
        <w:t xml:space="preserve"> by residents and </w:t>
      </w:r>
      <w:r w:rsidRPr="00B243E2">
        <w:rPr>
          <w:rFonts w:cstheme="minorHAnsi"/>
          <w:snapToGrid w:val="0"/>
          <w:szCs w:val="24"/>
        </w:rPr>
        <w:t>represents a further 18 per cent of revenue), the options for providers to increase their revenue may be somewhat limited.</w:t>
      </w:r>
      <w:r w:rsidR="00A9406B">
        <w:rPr>
          <w:rFonts w:cstheme="minorHAnsi"/>
          <w:snapToGrid w:val="0"/>
          <w:szCs w:val="24"/>
        </w:rPr>
        <w:t xml:space="preserve"> </w:t>
      </w:r>
      <w:r w:rsidRPr="00B243E2">
        <w:rPr>
          <w:rFonts w:cstheme="minorHAnsi"/>
          <w:snapToGrid w:val="0"/>
          <w:szCs w:val="24"/>
        </w:rPr>
        <w:t>The</w:t>
      </w:r>
      <w:r w:rsidR="00A9406B">
        <w:rPr>
          <w:rFonts w:cstheme="minorHAnsi"/>
          <w:snapToGrid w:val="0"/>
          <w:szCs w:val="24"/>
        </w:rPr>
        <w:t> </w:t>
      </w:r>
      <w:r w:rsidR="00AB26C8">
        <w:rPr>
          <w:rFonts w:cstheme="minorHAnsi"/>
          <w:snapToGrid w:val="0"/>
          <w:szCs w:val="24"/>
        </w:rPr>
        <w:t>BDF</w:t>
      </w:r>
      <w:r w:rsidRPr="00B243E2">
        <w:rPr>
          <w:rFonts w:cstheme="minorHAnsi"/>
          <w:snapToGrid w:val="0"/>
          <w:szCs w:val="24"/>
        </w:rPr>
        <w:t xml:space="preserve"> is capped at 85% of the single rate of the basic aged pension, currently approximately $52.25 per day (or just over $19,000 per annum).</w:t>
      </w:r>
      <w:r w:rsidR="00A9406B">
        <w:rPr>
          <w:rFonts w:cstheme="minorHAnsi"/>
          <w:snapToGrid w:val="0"/>
          <w:szCs w:val="24"/>
        </w:rPr>
        <w:t xml:space="preserve"> </w:t>
      </w:r>
      <w:r w:rsidRPr="00B243E2">
        <w:rPr>
          <w:rFonts w:cstheme="minorHAnsi"/>
          <w:snapToGrid w:val="0"/>
          <w:szCs w:val="24"/>
        </w:rPr>
        <w:t xml:space="preserve">The </w:t>
      </w:r>
      <w:r w:rsidR="00AB26C8">
        <w:rPr>
          <w:rFonts w:cstheme="minorHAnsi"/>
          <w:snapToGrid w:val="0"/>
          <w:szCs w:val="24"/>
        </w:rPr>
        <w:t>BDF</w:t>
      </w:r>
      <w:r w:rsidR="00AB26C8" w:rsidRPr="00B243E2">
        <w:rPr>
          <w:rFonts w:cstheme="minorHAnsi"/>
          <w:snapToGrid w:val="0"/>
          <w:szCs w:val="24"/>
        </w:rPr>
        <w:t xml:space="preserve"> </w:t>
      </w:r>
      <w:r w:rsidRPr="00B243E2">
        <w:rPr>
          <w:rFonts w:cstheme="minorHAnsi"/>
          <w:snapToGrid w:val="0"/>
          <w:szCs w:val="24"/>
        </w:rPr>
        <w:t>is not means tested, though financial hardship assistance may be available for those who are unable to pay.</w:t>
      </w:r>
    </w:p>
    <w:p w:rsidR="00DA58CD" w:rsidRPr="00B243E2" w:rsidRDefault="00DA58CD" w:rsidP="00DA58CD">
      <w:pPr>
        <w:rPr>
          <w:rFonts w:cstheme="minorHAnsi"/>
          <w:snapToGrid w:val="0"/>
          <w:szCs w:val="24"/>
        </w:rPr>
      </w:pPr>
      <w:r w:rsidRPr="00B243E2">
        <w:rPr>
          <w:rFonts w:cstheme="minorHAnsi"/>
          <w:snapToGrid w:val="0"/>
          <w:szCs w:val="24"/>
        </w:rPr>
        <w:t>In reporting outcomes for residential aged care providers</w:t>
      </w:r>
      <w:r w:rsidR="00A61CDE">
        <w:rPr>
          <w:rFonts w:cstheme="minorHAnsi"/>
          <w:snapToGrid w:val="0"/>
          <w:szCs w:val="24"/>
        </w:rPr>
        <w:t>,</w:t>
      </w:r>
      <w:r w:rsidRPr="00B243E2">
        <w:rPr>
          <w:rFonts w:cstheme="minorHAnsi"/>
          <w:snapToGrid w:val="0"/>
          <w:szCs w:val="24"/>
        </w:rPr>
        <w:t xml:space="preserve"> ACFA follow</w:t>
      </w:r>
      <w:r>
        <w:rPr>
          <w:rFonts w:cstheme="minorHAnsi"/>
          <w:snapToGrid w:val="0"/>
          <w:szCs w:val="24"/>
        </w:rPr>
        <w:t>s</w:t>
      </w:r>
      <w:r w:rsidRPr="00B243E2">
        <w:rPr>
          <w:rFonts w:cstheme="minorHAnsi"/>
          <w:snapToGrid w:val="0"/>
          <w:szCs w:val="24"/>
        </w:rPr>
        <w:t xml:space="preserve"> the longstanding practice in the industry of breaking down care revenue and expenditure into the following components:</w:t>
      </w:r>
    </w:p>
    <w:p w:rsidR="00DA58CD" w:rsidRPr="00B243E2" w:rsidRDefault="00DA58CD" w:rsidP="00DA58CD">
      <w:pPr>
        <w:pStyle w:val="ListParagraph"/>
        <w:numPr>
          <w:ilvl w:val="0"/>
          <w:numId w:val="33"/>
        </w:numPr>
        <w:spacing w:after="200" w:line="276" w:lineRule="auto"/>
        <w:rPr>
          <w:rFonts w:cstheme="minorHAnsi"/>
          <w:snapToGrid w:val="0"/>
          <w:szCs w:val="24"/>
        </w:rPr>
      </w:pPr>
      <w:r w:rsidRPr="00B243E2">
        <w:rPr>
          <w:rFonts w:cstheme="minorHAnsi"/>
          <w:snapToGrid w:val="0"/>
          <w:szCs w:val="24"/>
        </w:rPr>
        <w:t>Care</w:t>
      </w:r>
    </w:p>
    <w:p w:rsidR="00DA58CD" w:rsidRPr="00B243E2" w:rsidRDefault="00DA58CD" w:rsidP="00DA58CD">
      <w:pPr>
        <w:pStyle w:val="ListParagraph"/>
        <w:numPr>
          <w:ilvl w:val="0"/>
          <w:numId w:val="33"/>
        </w:numPr>
        <w:spacing w:after="200" w:line="276" w:lineRule="auto"/>
        <w:rPr>
          <w:rFonts w:cstheme="minorHAnsi"/>
          <w:snapToGrid w:val="0"/>
          <w:szCs w:val="24"/>
        </w:rPr>
      </w:pPr>
      <w:r w:rsidRPr="00B243E2">
        <w:rPr>
          <w:rFonts w:cstheme="minorHAnsi"/>
          <w:snapToGrid w:val="0"/>
          <w:szCs w:val="24"/>
        </w:rPr>
        <w:t>Living</w:t>
      </w:r>
    </w:p>
    <w:p w:rsidR="00DA58CD" w:rsidRPr="00B243E2" w:rsidRDefault="00DA58CD" w:rsidP="00DA58CD">
      <w:pPr>
        <w:pStyle w:val="ListParagraph"/>
        <w:numPr>
          <w:ilvl w:val="0"/>
          <w:numId w:val="33"/>
        </w:numPr>
        <w:spacing w:after="200" w:line="276" w:lineRule="auto"/>
        <w:rPr>
          <w:rFonts w:cstheme="minorHAnsi"/>
          <w:snapToGrid w:val="0"/>
          <w:szCs w:val="24"/>
        </w:rPr>
      </w:pPr>
      <w:r w:rsidRPr="00B243E2">
        <w:rPr>
          <w:rFonts w:cstheme="minorHAnsi"/>
          <w:snapToGrid w:val="0"/>
          <w:szCs w:val="24"/>
        </w:rPr>
        <w:t>Accommodation, and</w:t>
      </w:r>
    </w:p>
    <w:p w:rsidR="00DA58CD" w:rsidRPr="00B243E2" w:rsidRDefault="00DA58CD" w:rsidP="00DA58CD">
      <w:pPr>
        <w:pStyle w:val="ListParagraph"/>
        <w:numPr>
          <w:ilvl w:val="0"/>
          <w:numId w:val="33"/>
        </w:numPr>
        <w:spacing w:after="200" w:line="276" w:lineRule="auto"/>
        <w:rPr>
          <w:rFonts w:cstheme="minorHAnsi"/>
          <w:snapToGrid w:val="0"/>
          <w:szCs w:val="24"/>
        </w:rPr>
      </w:pPr>
      <w:r w:rsidRPr="00B243E2">
        <w:rPr>
          <w:rFonts w:cstheme="minorHAnsi"/>
          <w:snapToGrid w:val="0"/>
          <w:szCs w:val="24"/>
        </w:rPr>
        <w:t>Other</w:t>
      </w:r>
    </w:p>
    <w:p w:rsidR="00DA58CD" w:rsidRPr="00B243E2" w:rsidRDefault="00DA58CD" w:rsidP="00DA58CD">
      <w:pPr>
        <w:rPr>
          <w:rFonts w:cstheme="minorHAnsi"/>
          <w:snapToGrid w:val="0"/>
          <w:szCs w:val="24"/>
        </w:rPr>
      </w:pPr>
      <w:r w:rsidRPr="00B243E2">
        <w:rPr>
          <w:rFonts w:cstheme="minorHAnsi"/>
          <w:snapToGrid w:val="0"/>
          <w:szCs w:val="24"/>
        </w:rPr>
        <w:t xml:space="preserve">While this is common practice it is not a legislative requirement. Under the </w:t>
      </w:r>
      <w:r w:rsidRPr="00B243E2">
        <w:rPr>
          <w:rFonts w:cstheme="minorHAnsi"/>
          <w:i/>
          <w:snapToGrid w:val="0"/>
          <w:szCs w:val="24"/>
        </w:rPr>
        <w:t>Aged Care Act</w:t>
      </w:r>
      <w:r w:rsidR="00A9406B">
        <w:rPr>
          <w:rFonts w:cstheme="minorHAnsi"/>
          <w:i/>
          <w:snapToGrid w:val="0"/>
          <w:szCs w:val="24"/>
        </w:rPr>
        <w:t> </w:t>
      </w:r>
      <w:r w:rsidRPr="00B243E2">
        <w:rPr>
          <w:rFonts w:cstheme="minorHAnsi"/>
          <w:i/>
          <w:snapToGrid w:val="0"/>
          <w:szCs w:val="24"/>
        </w:rPr>
        <w:t>1997</w:t>
      </w:r>
      <w:r w:rsidR="00942285">
        <w:rPr>
          <w:rFonts w:cstheme="minorHAnsi"/>
          <w:snapToGrid w:val="0"/>
          <w:szCs w:val="24"/>
        </w:rPr>
        <w:t>,</w:t>
      </w:r>
      <w:r w:rsidRPr="00B243E2">
        <w:rPr>
          <w:rFonts w:cstheme="minorHAnsi"/>
          <w:snapToGrid w:val="0"/>
          <w:szCs w:val="24"/>
        </w:rPr>
        <w:t xml:space="preserve"> most funding (apart from restrictions on the use of lump sum accommodation payments) is ‘pooled’. This allows providers to use all sources of funding in a flexible way to deliver care and support </w:t>
      </w:r>
      <w:r w:rsidR="00A61CDE">
        <w:rPr>
          <w:rFonts w:cstheme="minorHAnsi"/>
          <w:snapToGrid w:val="0"/>
          <w:szCs w:val="24"/>
        </w:rPr>
        <w:t>across all</w:t>
      </w:r>
      <w:r w:rsidRPr="00B243E2">
        <w:rPr>
          <w:rFonts w:cstheme="minorHAnsi"/>
          <w:snapToGrid w:val="0"/>
          <w:szCs w:val="24"/>
        </w:rPr>
        <w:t xml:space="preserve"> residents.</w:t>
      </w:r>
    </w:p>
    <w:p w:rsidR="000D34F5" w:rsidRDefault="00DA58CD" w:rsidP="00903C35">
      <w:pPr>
        <w:pStyle w:val="BodyText"/>
        <w:spacing w:before="0" w:after="180" w:line="240" w:lineRule="auto"/>
        <w:jc w:val="left"/>
        <w:rPr>
          <w:rFonts w:cstheme="minorHAnsi"/>
          <w:szCs w:val="24"/>
        </w:rPr>
      </w:pPr>
      <w:r w:rsidRPr="00B243E2">
        <w:rPr>
          <w:rFonts w:asciiTheme="minorHAnsi" w:hAnsiTheme="minorHAnsi" w:cstheme="minorHAnsi"/>
          <w:snapToGrid w:val="0"/>
          <w:szCs w:val="24"/>
        </w:rPr>
        <w:t>In this report</w:t>
      </w:r>
      <w:r w:rsidR="00942285">
        <w:rPr>
          <w:rFonts w:asciiTheme="minorHAnsi" w:hAnsiTheme="minorHAnsi" w:cstheme="minorHAnsi"/>
          <w:snapToGrid w:val="0"/>
          <w:szCs w:val="24"/>
        </w:rPr>
        <w:t>,</w:t>
      </w:r>
      <w:r w:rsidRPr="00B243E2">
        <w:rPr>
          <w:rFonts w:asciiTheme="minorHAnsi" w:hAnsiTheme="minorHAnsi" w:cstheme="minorHAnsi"/>
          <w:snapToGrid w:val="0"/>
          <w:szCs w:val="24"/>
        </w:rPr>
        <w:t xml:space="preserve"> ACFA consider</w:t>
      </w:r>
      <w:r>
        <w:rPr>
          <w:rFonts w:cstheme="minorHAnsi"/>
          <w:snapToGrid w:val="0"/>
          <w:szCs w:val="24"/>
        </w:rPr>
        <w:t>s</w:t>
      </w:r>
      <w:r w:rsidRPr="00B243E2">
        <w:rPr>
          <w:rFonts w:asciiTheme="minorHAnsi" w:hAnsiTheme="minorHAnsi" w:cstheme="minorHAnsi"/>
          <w:snapToGrid w:val="0"/>
          <w:szCs w:val="24"/>
        </w:rPr>
        <w:t xml:space="preserve"> the origins and purpose of the </w:t>
      </w:r>
      <w:r w:rsidR="00AB26C8">
        <w:rPr>
          <w:rFonts w:cstheme="minorHAnsi"/>
          <w:snapToGrid w:val="0"/>
          <w:szCs w:val="24"/>
        </w:rPr>
        <w:t>BDF</w:t>
      </w:r>
      <w:r w:rsidRPr="00B243E2">
        <w:rPr>
          <w:rFonts w:asciiTheme="minorHAnsi" w:hAnsiTheme="minorHAnsi" w:cstheme="minorHAnsi"/>
          <w:snapToGrid w:val="0"/>
          <w:szCs w:val="24"/>
        </w:rPr>
        <w:t>, analyse</w:t>
      </w:r>
      <w:r>
        <w:rPr>
          <w:rFonts w:cstheme="minorHAnsi"/>
          <w:snapToGrid w:val="0"/>
          <w:szCs w:val="24"/>
        </w:rPr>
        <w:t>s</w:t>
      </w:r>
      <w:r w:rsidRPr="00B243E2">
        <w:rPr>
          <w:rFonts w:asciiTheme="minorHAnsi" w:hAnsiTheme="minorHAnsi" w:cstheme="minorHAnsi"/>
          <w:snapToGrid w:val="0"/>
          <w:szCs w:val="24"/>
        </w:rPr>
        <w:t xml:space="preserve"> its adequacy as a funding source, propose</w:t>
      </w:r>
      <w:r>
        <w:rPr>
          <w:rFonts w:cstheme="minorHAnsi"/>
          <w:snapToGrid w:val="0"/>
          <w:szCs w:val="24"/>
        </w:rPr>
        <w:t>s</w:t>
      </w:r>
      <w:r w:rsidRPr="00B243E2">
        <w:rPr>
          <w:rFonts w:asciiTheme="minorHAnsi" w:hAnsiTheme="minorHAnsi" w:cstheme="minorHAnsi"/>
          <w:snapToGrid w:val="0"/>
          <w:szCs w:val="24"/>
        </w:rPr>
        <w:t xml:space="preserve"> principles that should guide consideration of any changes to current arrangements, assess</w:t>
      </w:r>
      <w:r>
        <w:rPr>
          <w:rFonts w:cstheme="minorHAnsi"/>
          <w:snapToGrid w:val="0"/>
          <w:szCs w:val="24"/>
        </w:rPr>
        <w:t>es</w:t>
      </w:r>
      <w:r w:rsidRPr="00B243E2">
        <w:rPr>
          <w:rFonts w:asciiTheme="minorHAnsi" w:hAnsiTheme="minorHAnsi" w:cstheme="minorHAnsi"/>
          <w:snapToGrid w:val="0"/>
          <w:szCs w:val="24"/>
        </w:rPr>
        <w:t xml:space="preserve"> options for reform, consider</w:t>
      </w:r>
      <w:r>
        <w:rPr>
          <w:rFonts w:cstheme="minorHAnsi"/>
          <w:snapToGrid w:val="0"/>
          <w:szCs w:val="24"/>
        </w:rPr>
        <w:t>s</w:t>
      </w:r>
      <w:r w:rsidRPr="00B243E2">
        <w:rPr>
          <w:rFonts w:asciiTheme="minorHAnsi" w:hAnsiTheme="minorHAnsi" w:cstheme="minorHAnsi"/>
          <w:snapToGrid w:val="0"/>
          <w:szCs w:val="24"/>
        </w:rPr>
        <w:t xml:space="preserve"> related issues and put</w:t>
      </w:r>
      <w:r>
        <w:rPr>
          <w:rFonts w:cstheme="minorHAnsi"/>
          <w:snapToGrid w:val="0"/>
          <w:szCs w:val="24"/>
        </w:rPr>
        <w:t>s</w:t>
      </w:r>
      <w:r w:rsidRPr="00B243E2">
        <w:rPr>
          <w:rFonts w:asciiTheme="minorHAnsi" w:hAnsiTheme="minorHAnsi" w:cstheme="minorHAnsi"/>
          <w:snapToGrid w:val="0"/>
          <w:szCs w:val="24"/>
        </w:rPr>
        <w:t xml:space="preserve"> forward a set of conclusions.</w:t>
      </w:r>
      <w:r w:rsidR="000D34F5">
        <w:rPr>
          <w:rFonts w:cstheme="minorHAnsi"/>
          <w:szCs w:val="24"/>
        </w:rPr>
        <w:br w:type="page"/>
      </w:r>
    </w:p>
    <w:p w:rsidR="00B9468F" w:rsidRPr="006F112F" w:rsidRDefault="00B9468F" w:rsidP="00840D91">
      <w:pPr>
        <w:pStyle w:val="Heading1"/>
        <w:numPr>
          <w:ilvl w:val="0"/>
          <w:numId w:val="14"/>
        </w:numPr>
        <w:spacing w:before="0" w:after="180"/>
      </w:pPr>
      <w:bookmarkStart w:id="17" w:name="_Toc23174326"/>
      <w:bookmarkStart w:id="18" w:name="_Toc25325887"/>
      <w:bookmarkStart w:id="19" w:name="_Toc25851850"/>
      <w:bookmarkStart w:id="20" w:name="_Toc25938495"/>
      <w:bookmarkStart w:id="21" w:name="_Toc26109058"/>
      <w:bookmarkStart w:id="22" w:name="_Toc66451045"/>
      <w:r>
        <w:t xml:space="preserve">The </w:t>
      </w:r>
      <w:bookmarkEnd w:id="17"/>
      <w:bookmarkEnd w:id="18"/>
      <w:bookmarkEnd w:id="19"/>
      <w:bookmarkEnd w:id="20"/>
      <w:bookmarkEnd w:id="21"/>
      <w:r w:rsidR="004B09FC">
        <w:t>basic d</w:t>
      </w:r>
      <w:r w:rsidR="00DA58CD">
        <w:t xml:space="preserve">aily </w:t>
      </w:r>
      <w:r w:rsidR="004B09FC">
        <w:t>f</w:t>
      </w:r>
      <w:r w:rsidR="00DA58CD">
        <w:t>ee – origins and purpose</w:t>
      </w:r>
      <w:bookmarkEnd w:id="22"/>
    </w:p>
    <w:p w:rsidR="00C86988" w:rsidRDefault="00C86988" w:rsidP="00C60288">
      <w:pPr>
        <w:pStyle w:val="Heading2"/>
        <w:rPr>
          <w:snapToGrid w:val="0"/>
        </w:rPr>
      </w:pPr>
      <w:r>
        <w:rPr>
          <w:snapToGrid w:val="0"/>
        </w:rPr>
        <w:t>Living costs</w:t>
      </w:r>
    </w:p>
    <w:p w:rsidR="00227D2A" w:rsidRPr="00227D2A" w:rsidRDefault="00227D2A" w:rsidP="00227D2A">
      <w:pPr>
        <w:pStyle w:val="BodyText"/>
        <w:spacing w:before="0" w:after="180" w:line="240" w:lineRule="auto"/>
        <w:jc w:val="left"/>
        <w:rPr>
          <w:rFonts w:asciiTheme="minorHAnsi" w:hAnsiTheme="minorHAnsi" w:cstheme="minorHAnsi"/>
          <w:snapToGrid w:val="0"/>
          <w:szCs w:val="24"/>
        </w:rPr>
      </w:pPr>
      <w:r w:rsidRPr="00227D2A">
        <w:rPr>
          <w:rFonts w:asciiTheme="minorHAnsi" w:hAnsiTheme="minorHAnsi" w:cstheme="minorHAnsi"/>
          <w:snapToGrid w:val="0"/>
          <w:szCs w:val="24"/>
        </w:rPr>
        <w:t xml:space="preserve">The </w:t>
      </w:r>
      <w:r w:rsidR="00AB26C8">
        <w:rPr>
          <w:rFonts w:cstheme="minorHAnsi"/>
          <w:snapToGrid w:val="0"/>
          <w:szCs w:val="24"/>
        </w:rPr>
        <w:t>BDF</w:t>
      </w:r>
      <w:r w:rsidRPr="00227D2A">
        <w:rPr>
          <w:rFonts w:asciiTheme="minorHAnsi" w:hAnsiTheme="minorHAnsi" w:cstheme="minorHAnsi"/>
          <w:snapToGrid w:val="0"/>
          <w:szCs w:val="24"/>
        </w:rPr>
        <w:t xml:space="preserve"> is a charge paid by residents directly to providers and is an important component of revenue for residential aged care providers. In 2018-19</w:t>
      </w:r>
      <w:r w:rsidR="00A57F5E">
        <w:rPr>
          <w:rFonts w:asciiTheme="minorHAnsi" w:hAnsiTheme="minorHAnsi" w:cstheme="minorHAnsi"/>
          <w:snapToGrid w:val="0"/>
          <w:szCs w:val="24"/>
        </w:rPr>
        <w:t>,</w:t>
      </w:r>
      <w:r w:rsidRPr="00227D2A">
        <w:rPr>
          <w:rFonts w:asciiTheme="minorHAnsi" w:hAnsiTheme="minorHAnsi" w:cstheme="minorHAnsi"/>
          <w:snapToGrid w:val="0"/>
          <w:szCs w:val="24"/>
        </w:rPr>
        <w:t xml:space="preserve"> consumers paid just over $3.4 billion in </w:t>
      </w:r>
      <w:r w:rsidR="00AB26C8">
        <w:rPr>
          <w:rFonts w:cstheme="minorHAnsi"/>
          <w:snapToGrid w:val="0"/>
          <w:szCs w:val="24"/>
        </w:rPr>
        <w:t>BDF</w:t>
      </w:r>
      <w:r w:rsidR="00AB26C8" w:rsidRPr="00B243E2">
        <w:rPr>
          <w:rFonts w:cstheme="minorHAnsi"/>
          <w:snapToGrid w:val="0"/>
          <w:szCs w:val="24"/>
        </w:rPr>
        <w:t xml:space="preserve"> </w:t>
      </w:r>
      <w:r w:rsidRPr="00227D2A">
        <w:rPr>
          <w:rFonts w:asciiTheme="minorHAnsi" w:hAnsiTheme="minorHAnsi" w:cstheme="minorHAnsi"/>
          <w:snapToGrid w:val="0"/>
          <w:szCs w:val="24"/>
        </w:rPr>
        <w:t>to providers, representing 18 per cent of total provider revenue.</w:t>
      </w:r>
    </w:p>
    <w:p w:rsidR="00227D2A" w:rsidRPr="00227D2A" w:rsidRDefault="00227D2A" w:rsidP="00227D2A">
      <w:pPr>
        <w:pStyle w:val="BodyText"/>
        <w:spacing w:before="0" w:after="180" w:line="240" w:lineRule="auto"/>
        <w:jc w:val="left"/>
        <w:rPr>
          <w:rFonts w:asciiTheme="minorHAnsi" w:hAnsiTheme="minorHAnsi" w:cstheme="minorHAnsi"/>
          <w:snapToGrid w:val="0"/>
          <w:szCs w:val="24"/>
        </w:rPr>
      </w:pPr>
      <w:r w:rsidRPr="00227D2A">
        <w:rPr>
          <w:rFonts w:asciiTheme="minorHAnsi" w:hAnsiTheme="minorHAnsi" w:cstheme="minorHAnsi"/>
          <w:snapToGrid w:val="0"/>
          <w:szCs w:val="24"/>
        </w:rPr>
        <w:t xml:space="preserve">The origins of a capped </w:t>
      </w:r>
      <w:r w:rsidR="00AB26C8">
        <w:rPr>
          <w:rFonts w:cstheme="minorHAnsi"/>
          <w:snapToGrid w:val="0"/>
          <w:szCs w:val="24"/>
        </w:rPr>
        <w:t>BDF</w:t>
      </w:r>
      <w:r w:rsidRPr="00227D2A">
        <w:rPr>
          <w:rFonts w:asciiTheme="minorHAnsi" w:hAnsiTheme="minorHAnsi" w:cstheme="minorHAnsi"/>
          <w:snapToGrid w:val="0"/>
          <w:szCs w:val="24"/>
        </w:rPr>
        <w:t xml:space="preserve"> can be traced back to the period before nursing homes and hostels were integrated into a single residential aged care program in 1997. During the 1980s</w:t>
      </w:r>
      <w:r w:rsidR="00A57F5E">
        <w:rPr>
          <w:rFonts w:asciiTheme="minorHAnsi" w:hAnsiTheme="minorHAnsi" w:cstheme="minorHAnsi"/>
          <w:snapToGrid w:val="0"/>
          <w:szCs w:val="24"/>
        </w:rPr>
        <w:t>,</w:t>
      </w:r>
      <w:r w:rsidRPr="00227D2A">
        <w:rPr>
          <w:rFonts w:asciiTheme="minorHAnsi" w:hAnsiTheme="minorHAnsi" w:cstheme="minorHAnsi"/>
          <w:snapToGrid w:val="0"/>
          <w:szCs w:val="24"/>
        </w:rPr>
        <w:t xml:space="preserve"> there was concern that differing regulatory and funding arrangements for nursing homes and hostels were creating incentives </w:t>
      </w:r>
      <w:r w:rsidRPr="00903C35">
        <w:rPr>
          <w:rFonts w:asciiTheme="minorHAnsi" w:hAnsiTheme="minorHAnsi" w:cstheme="minorHAnsi"/>
          <w:snapToGrid w:val="0"/>
          <w:szCs w:val="24"/>
        </w:rPr>
        <w:t xml:space="preserve">for nursing home providers to admit individuals </w:t>
      </w:r>
      <w:r w:rsidR="004456F3" w:rsidRPr="00903C35">
        <w:rPr>
          <w:rFonts w:asciiTheme="minorHAnsi" w:hAnsiTheme="minorHAnsi" w:cstheme="minorHAnsi"/>
          <w:snapToGrid w:val="0"/>
          <w:szCs w:val="24"/>
        </w:rPr>
        <w:t>who did not need high levels of care</w:t>
      </w:r>
      <w:r w:rsidR="00903C35">
        <w:rPr>
          <w:rFonts w:asciiTheme="minorHAnsi" w:hAnsiTheme="minorHAnsi" w:cstheme="minorHAnsi"/>
          <w:snapToGrid w:val="0"/>
          <w:szCs w:val="24"/>
        </w:rPr>
        <w:t xml:space="preserve"> (as there was no independent assessment of care need). This resulted in the </w:t>
      </w:r>
      <w:r w:rsidR="00A57F5E">
        <w:rPr>
          <w:rFonts w:asciiTheme="minorHAnsi" w:hAnsiTheme="minorHAnsi" w:cstheme="minorHAnsi"/>
          <w:snapToGrid w:val="0"/>
          <w:szCs w:val="24"/>
        </w:rPr>
        <w:t xml:space="preserve">Government </w:t>
      </w:r>
      <w:r w:rsidR="00903C35">
        <w:rPr>
          <w:rFonts w:asciiTheme="minorHAnsi" w:hAnsiTheme="minorHAnsi" w:cstheme="minorHAnsi"/>
          <w:snapToGrid w:val="0"/>
          <w:szCs w:val="24"/>
        </w:rPr>
        <w:t xml:space="preserve">paying expensive nursing home rates for individuals who could have </w:t>
      </w:r>
      <w:r w:rsidR="00A57F5E">
        <w:rPr>
          <w:rFonts w:asciiTheme="minorHAnsi" w:hAnsiTheme="minorHAnsi" w:cstheme="minorHAnsi"/>
          <w:snapToGrid w:val="0"/>
          <w:szCs w:val="24"/>
        </w:rPr>
        <w:t>received</w:t>
      </w:r>
      <w:r w:rsidR="00903C35">
        <w:rPr>
          <w:rFonts w:asciiTheme="minorHAnsi" w:hAnsiTheme="minorHAnsi" w:cstheme="minorHAnsi"/>
          <w:snapToGrid w:val="0"/>
          <w:szCs w:val="24"/>
        </w:rPr>
        <w:t xml:space="preserve"> the care they needed in hostels. As a result, r</w:t>
      </w:r>
      <w:r w:rsidRPr="00903C35">
        <w:rPr>
          <w:rFonts w:asciiTheme="minorHAnsi" w:hAnsiTheme="minorHAnsi" w:cstheme="minorHAnsi"/>
          <w:snapToGrid w:val="0"/>
          <w:szCs w:val="24"/>
        </w:rPr>
        <w:t>eforms were introduced to better align incentives as well as regulatory and</w:t>
      </w:r>
      <w:r w:rsidRPr="00227D2A">
        <w:rPr>
          <w:rFonts w:asciiTheme="minorHAnsi" w:hAnsiTheme="minorHAnsi" w:cstheme="minorHAnsi"/>
          <w:snapToGrid w:val="0"/>
          <w:szCs w:val="24"/>
        </w:rPr>
        <w:t xml:space="preserve"> funding arrangements.</w:t>
      </w:r>
    </w:p>
    <w:p w:rsidR="00227D2A" w:rsidRPr="00A90577" w:rsidRDefault="00227D2A" w:rsidP="00227D2A">
      <w:pPr>
        <w:pStyle w:val="BodyText"/>
        <w:spacing w:before="0" w:after="180" w:line="240" w:lineRule="auto"/>
        <w:jc w:val="left"/>
        <w:rPr>
          <w:rFonts w:asciiTheme="minorHAnsi" w:hAnsiTheme="minorHAnsi" w:cstheme="minorHAnsi"/>
          <w:snapToGrid w:val="0"/>
          <w:szCs w:val="24"/>
        </w:rPr>
      </w:pPr>
      <w:r w:rsidRPr="00227D2A">
        <w:rPr>
          <w:rFonts w:asciiTheme="minorHAnsi" w:hAnsiTheme="minorHAnsi" w:cstheme="minorHAnsi"/>
          <w:snapToGrid w:val="0"/>
          <w:szCs w:val="24"/>
        </w:rPr>
        <w:t xml:space="preserve">Alongside these reforms there were concerns that nursing homes, which were in receipt of a Commonwealth Nursing Home Benefit paid for each resident, were charging residents excessive fees. The </w:t>
      </w:r>
      <w:r w:rsidRPr="00A9406B">
        <w:rPr>
          <w:rFonts w:asciiTheme="minorHAnsi" w:hAnsiTheme="minorHAnsi" w:cstheme="minorHAnsi"/>
          <w:i/>
          <w:snapToGrid w:val="0"/>
          <w:szCs w:val="24"/>
        </w:rPr>
        <w:t>Community Services and Health Legislation Amendment Act 1988</w:t>
      </w:r>
      <w:r w:rsidRPr="00227D2A">
        <w:rPr>
          <w:rFonts w:asciiTheme="minorHAnsi" w:hAnsiTheme="minorHAnsi" w:cstheme="minorHAnsi"/>
          <w:snapToGrid w:val="0"/>
          <w:szCs w:val="24"/>
        </w:rPr>
        <w:t xml:space="preserve"> contained provisions to ensure that by July 1991, no nursing home resident would be paying more than the statutory contribution of 87.5 per cent of the combined pension and rent assistance allowance in nursing home fees (although up to 6 per cent of nursing home beds in each State were exempt from the rule, allowing those who were able to pay for it to receive a higher level of accommodation).</w:t>
      </w:r>
      <w:r w:rsidRPr="005E40BA">
        <w:rPr>
          <w:rFonts w:asciiTheme="minorHAnsi" w:hAnsiTheme="minorHAnsi" w:cstheme="minorHAnsi"/>
          <w:snapToGrid w:val="0"/>
          <w:vertAlign w:val="superscript"/>
        </w:rPr>
        <w:footnoteReference w:id="2"/>
      </w:r>
      <w:r w:rsidR="00A9406B">
        <w:rPr>
          <w:rFonts w:asciiTheme="minorHAnsi" w:hAnsiTheme="minorHAnsi" w:cstheme="minorHAnsi"/>
          <w:snapToGrid w:val="0"/>
          <w:szCs w:val="24"/>
          <w:vertAlign w:val="superscript"/>
        </w:rPr>
        <w:t xml:space="preserve"> </w:t>
      </w:r>
      <w:r w:rsidR="00A90577">
        <w:rPr>
          <w:rFonts w:asciiTheme="minorHAnsi" w:hAnsiTheme="minorHAnsi" w:cstheme="minorHAnsi"/>
          <w:snapToGrid w:val="0"/>
          <w:szCs w:val="24"/>
        </w:rPr>
        <w:t xml:space="preserve">This measure to link fee control to the age pension and rent assistance </w:t>
      </w:r>
      <w:r w:rsidR="004B31D6">
        <w:rPr>
          <w:rFonts w:asciiTheme="minorHAnsi" w:hAnsiTheme="minorHAnsi" w:cstheme="minorHAnsi"/>
          <w:snapToGrid w:val="0"/>
          <w:szCs w:val="24"/>
        </w:rPr>
        <w:t xml:space="preserve">in nursing homes was </w:t>
      </w:r>
      <w:r w:rsidR="00A90577">
        <w:rPr>
          <w:rFonts w:asciiTheme="minorHAnsi" w:hAnsiTheme="minorHAnsi" w:cstheme="minorHAnsi"/>
          <w:snapToGrid w:val="0"/>
          <w:szCs w:val="24"/>
        </w:rPr>
        <w:t>an extension of similar arrangements previously introduced for hostels.</w:t>
      </w:r>
    </w:p>
    <w:p w:rsidR="00227D2A" w:rsidRPr="00227D2A" w:rsidRDefault="00227D2A" w:rsidP="00227D2A">
      <w:pPr>
        <w:pStyle w:val="BodyText"/>
        <w:spacing w:before="0" w:after="180" w:line="240" w:lineRule="auto"/>
        <w:jc w:val="left"/>
        <w:rPr>
          <w:rFonts w:asciiTheme="minorHAnsi" w:hAnsiTheme="minorHAnsi" w:cstheme="minorHAnsi"/>
          <w:snapToGrid w:val="0"/>
          <w:szCs w:val="24"/>
        </w:rPr>
      </w:pPr>
      <w:r w:rsidRPr="00227D2A">
        <w:rPr>
          <w:rFonts w:asciiTheme="minorHAnsi" w:hAnsiTheme="minorHAnsi" w:cstheme="minorHAnsi"/>
          <w:snapToGrid w:val="0"/>
          <w:szCs w:val="24"/>
        </w:rPr>
        <w:t>While the concept of a fee that is set as a proportion of the maximum value of the aged pension can be linked to a concern to limit excessive fees for consumers, there is less clarity around the types of items or services that the standard fee was designed to cover. The</w:t>
      </w:r>
      <w:r w:rsidR="00A9406B">
        <w:rPr>
          <w:rFonts w:asciiTheme="minorHAnsi" w:hAnsiTheme="minorHAnsi" w:cstheme="minorHAnsi"/>
          <w:snapToGrid w:val="0"/>
          <w:szCs w:val="24"/>
        </w:rPr>
        <w:t> </w:t>
      </w:r>
      <w:r w:rsidRPr="00227D2A">
        <w:rPr>
          <w:rFonts w:asciiTheme="minorHAnsi" w:hAnsiTheme="minorHAnsi" w:cstheme="minorHAnsi"/>
          <w:snapToGrid w:val="0"/>
          <w:szCs w:val="24"/>
        </w:rPr>
        <w:t xml:space="preserve">exemption from the fee cap for a certain number of </w:t>
      </w:r>
      <w:r w:rsidR="004B31D6">
        <w:rPr>
          <w:rFonts w:asciiTheme="minorHAnsi" w:hAnsiTheme="minorHAnsi" w:cstheme="minorHAnsi"/>
          <w:snapToGrid w:val="0"/>
          <w:szCs w:val="24"/>
        </w:rPr>
        <w:t xml:space="preserve">nursing home </w:t>
      </w:r>
      <w:r w:rsidRPr="00227D2A">
        <w:rPr>
          <w:rFonts w:asciiTheme="minorHAnsi" w:hAnsiTheme="minorHAnsi" w:cstheme="minorHAnsi"/>
          <w:snapToGrid w:val="0"/>
          <w:szCs w:val="24"/>
        </w:rPr>
        <w:t xml:space="preserve">beds in each </w:t>
      </w:r>
      <w:r w:rsidR="00A57F5E">
        <w:rPr>
          <w:rFonts w:asciiTheme="minorHAnsi" w:hAnsiTheme="minorHAnsi" w:cstheme="minorHAnsi"/>
          <w:snapToGrid w:val="0"/>
          <w:szCs w:val="24"/>
        </w:rPr>
        <w:t>S</w:t>
      </w:r>
      <w:r w:rsidRPr="00227D2A">
        <w:rPr>
          <w:rFonts w:asciiTheme="minorHAnsi" w:hAnsiTheme="minorHAnsi" w:cstheme="minorHAnsi"/>
          <w:snapToGrid w:val="0"/>
          <w:szCs w:val="24"/>
        </w:rPr>
        <w:t>tate</w:t>
      </w:r>
      <w:r w:rsidR="00834CF3">
        <w:rPr>
          <w:rFonts w:asciiTheme="minorHAnsi" w:hAnsiTheme="minorHAnsi" w:cstheme="minorHAnsi"/>
          <w:snapToGrid w:val="0"/>
          <w:szCs w:val="24"/>
        </w:rPr>
        <w:t>,</w:t>
      </w:r>
      <w:r w:rsidRPr="00227D2A">
        <w:rPr>
          <w:rFonts w:asciiTheme="minorHAnsi" w:hAnsiTheme="minorHAnsi" w:cstheme="minorHAnsi"/>
          <w:snapToGrid w:val="0"/>
          <w:szCs w:val="24"/>
        </w:rPr>
        <w:t xml:space="preserve"> to</w:t>
      </w:r>
      <w:r w:rsidR="00A9406B">
        <w:rPr>
          <w:rFonts w:asciiTheme="minorHAnsi" w:hAnsiTheme="minorHAnsi" w:cstheme="minorHAnsi"/>
          <w:snapToGrid w:val="0"/>
          <w:szCs w:val="24"/>
        </w:rPr>
        <w:t> </w:t>
      </w:r>
      <w:r w:rsidRPr="00227D2A">
        <w:rPr>
          <w:rFonts w:asciiTheme="minorHAnsi" w:hAnsiTheme="minorHAnsi" w:cstheme="minorHAnsi"/>
          <w:snapToGrid w:val="0"/>
          <w:szCs w:val="24"/>
        </w:rPr>
        <w:t>allow those who were willing and able to pay for a higher level of accommodation</w:t>
      </w:r>
      <w:r w:rsidR="00834CF3">
        <w:rPr>
          <w:rFonts w:asciiTheme="minorHAnsi" w:hAnsiTheme="minorHAnsi" w:cstheme="minorHAnsi"/>
          <w:snapToGrid w:val="0"/>
          <w:szCs w:val="24"/>
        </w:rPr>
        <w:t>,</w:t>
      </w:r>
      <w:r w:rsidRPr="00227D2A">
        <w:rPr>
          <w:rFonts w:asciiTheme="minorHAnsi" w:hAnsiTheme="minorHAnsi" w:cstheme="minorHAnsi"/>
          <w:snapToGrid w:val="0"/>
          <w:szCs w:val="24"/>
        </w:rPr>
        <w:t xml:space="preserve"> suggests that the </w:t>
      </w:r>
      <w:r w:rsidR="00AB26C8">
        <w:rPr>
          <w:rFonts w:cstheme="minorHAnsi"/>
          <w:snapToGrid w:val="0"/>
          <w:szCs w:val="24"/>
        </w:rPr>
        <w:t>BDF</w:t>
      </w:r>
      <w:r w:rsidR="00A57F5E" w:rsidRPr="00227D2A">
        <w:rPr>
          <w:rFonts w:asciiTheme="minorHAnsi" w:hAnsiTheme="minorHAnsi" w:cstheme="minorHAnsi"/>
          <w:snapToGrid w:val="0"/>
          <w:szCs w:val="24"/>
        </w:rPr>
        <w:t xml:space="preserve"> </w:t>
      </w:r>
      <w:r w:rsidRPr="00227D2A">
        <w:rPr>
          <w:rFonts w:asciiTheme="minorHAnsi" w:hAnsiTheme="minorHAnsi" w:cstheme="minorHAnsi"/>
          <w:snapToGrid w:val="0"/>
          <w:szCs w:val="24"/>
        </w:rPr>
        <w:t xml:space="preserve">may have been seen at that time as at least in part a contribution towards accommodation costs. </w:t>
      </w:r>
    </w:p>
    <w:p w:rsidR="00227D2A" w:rsidRPr="00227D2A" w:rsidRDefault="00227D2A" w:rsidP="00730F4F">
      <w:pPr>
        <w:pStyle w:val="BodyText"/>
        <w:spacing w:before="240" w:after="180" w:line="240" w:lineRule="auto"/>
        <w:jc w:val="left"/>
        <w:rPr>
          <w:rFonts w:asciiTheme="minorHAnsi" w:hAnsiTheme="minorHAnsi" w:cstheme="minorHAnsi"/>
          <w:snapToGrid w:val="0"/>
          <w:szCs w:val="24"/>
        </w:rPr>
      </w:pPr>
      <w:r w:rsidRPr="00227D2A">
        <w:rPr>
          <w:rFonts w:asciiTheme="minorHAnsi" w:hAnsiTheme="minorHAnsi" w:cstheme="minorHAnsi"/>
          <w:snapToGrid w:val="0"/>
          <w:szCs w:val="24"/>
        </w:rPr>
        <w:t xml:space="preserve">The funding model </w:t>
      </w:r>
      <w:r w:rsidR="0011645C">
        <w:rPr>
          <w:rFonts w:asciiTheme="minorHAnsi" w:hAnsiTheme="minorHAnsi" w:cstheme="minorHAnsi"/>
          <w:snapToGrid w:val="0"/>
          <w:szCs w:val="24"/>
        </w:rPr>
        <w:t xml:space="preserve">for nursing homes </w:t>
      </w:r>
      <w:r w:rsidRPr="00227D2A">
        <w:rPr>
          <w:rFonts w:asciiTheme="minorHAnsi" w:hAnsiTheme="minorHAnsi" w:cstheme="minorHAnsi"/>
          <w:snapToGrid w:val="0"/>
          <w:szCs w:val="24"/>
        </w:rPr>
        <w:t>introduced from 1987 partitioned costs into care costs (</w:t>
      </w:r>
      <w:r w:rsidR="0011645C">
        <w:rPr>
          <w:rFonts w:asciiTheme="minorHAnsi" w:hAnsiTheme="minorHAnsi" w:cstheme="minorHAnsi"/>
          <w:snapToGrid w:val="0"/>
          <w:szCs w:val="24"/>
        </w:rPr>
        <w:t xml:space="preserve">Care Aggregated Module, </w:t>
      </w:r>
      <w:r w:rsidRPr="00227D2A">
        <w:rPr>
          <w:rFonts w:asciiTheme="minorHAnsi" w:hAnsiTheme="minorHAnsi" w:cstheme="minorHAnsi"/>
          <w:snapToGrid w:val="0"/>
          <w:szCs w:val="24"/>
        </w:rPr>
        <w:t>CAM</w:t>
      </w:r>
      <w:r w:rsidR="0011645C">
        <w:rPr>
          <w:rFonts w:asciiTheme="minorHAnsi" w:hAnsiTheme="minorHAnsi" w:cstheme="minorHAnsi"/>
          <w:snapToGrid w:val="0"/>
          <w:szCs w:val="24"/>
        </w:rPr>
        <w:t>)</w:t>
      </w:r>
      <w:r w:rsidR="00A57F5E">
        <w:rPr>
          <w:rFonts w:asciiTheme="minorHAnsi" w:hAnsiTheme="minorHAnsi" w:cstheme="minorHAnsi"/>
          <w:snapToGrid w:val="0"/>
          <w:szCs w:val="24"/>
        </w:rPr>
        <w:t xml:space="preserve"> that </w:t>
      </w:r>
      <w:r w:rsidRPr="00227D2A">
        <w:rPr>
          <w:rFonts w:asciiTheme="minorHAnsi" w:hAnsiTheme="minorHAnsi" w:cstheme="minorHAnsi"/>
          <w:snapToGrid w:val="0"/>
          <w:szCs w:val="24"/>
        </w:rPr>
        <w:t>needed to be acquitted to the Department and other costs (</w:t>
      </w:r>
      <w:r w:rsidR="0011645C">
        <w:rPr>
          <w:rFonts w:asciiTheme="minorHAnsi" w:hAnsiTheme="minorHAnsi" w:cstheme="minorHAnsi"/>
          <w:snapToGrid w:val="0"/>
          <w:szCs w:val="24"/>
        </w:rPr>
        <w:t xml:space="preserve">Standard Aggregated module, </w:t>
      </w:r>
      <w:r w:rsidRPr="00227D2A">
        <w:rPr>
          <w:rFonts w:asciiTheme="minorHAnsi" w:hAnsiTheme="minorHAnsi" w:cstheme="minorHAnsi"/>
          <w:snapToGrid w:val="0"/>
          <w:szCs w:val="24"/>
        </w:rPr>
        <w:t>SAM</w:t>
      </w:r>
      <w:r w:rsidR="0011645C">
        <w:rPr>
          <w:rFonts w:asciiTheme="minorHAnsi" w:hAnsiTheme="minorHAnsi" w:cstheme="minorHAnsi"/>
          <w:snapToGrid w:val="0"/>
          <w:szCs w:val="24"/>
        </w:rPr>
        <w:t>)</w:t>
      </w:r>
      <w:r w:rsidRPr="00227D2A">
        <w:rPr>
          <w:rFonts w:asciiTheme="minorHAnsi" w:hAnsiTheme="minorHAnsi" w:cstheme="minorHAnsi"/>
          <w:snapToGrid w:val="0"/>
          <w:szCs w:val="24"/>
        </w:rPr>
        <w:t>, for which no acquittal was required</w:t>
      </w:r>
      <w:r w:rsidR="005E40BA">
        <w:rPr>
          <w:rFonts w:asciiTheme="minorHAnsi" w:hAnsiTheme="minorHAnsi" w:cstheme="minorHAnsi"/>
          <w:snapToGrid w:val="0"/>
          <w:szCs w:val="24"/>
        </w:rPr>
        <w:t xml:space="preserve">, </w:t>
      </w:r>
      <w:r w:rsidR="0011645C">
        <w:rPr>
          <w:rFonts w:asciiTheme="minorHAnsi" w:hAnsiTheme="minorHAnsi" w:cstheme="minorHAnsi"/>
          <w:snapToGrid w:val="0"/>
          <w:szCs w:val="24"/>
        </w:rPr>
        <w:t>with providers being able to retain any surplus</w:t>
      </w:r>
      <w:r w:rsidR="00A57F5E">
        <w:rPr>
          <w:rFonts w:asciiTheme="minorHAnsi" w:hAnsiTheme="minorHAnsi" w:cstheme="minorHAnsi"/>
          <w:snapToGrid w:val="0"/>
          <w:szCs w:val="24"/>
        </w:rPr>
        <w:t>;</w:t>
      </w:r>
      <w:r w:rsidR="005E40BA">
        <w:rPr>
          <w:rFonts w:asciiTheme="minorHAnsi" w:hAnsiTheme="minorHAnsi" w:cstheme="minorHAnsi"/>
          <w:snapToGrid w:val="0"/>
          <w:szCs w:val="24"/>
        </w:rPr>
        <w:t xml:space="preserve"> </w:t>
      </w:r>
      <w:r w:rsidR="00A57F5E">
        <w:rPr>
          <w:rFonts w:asciiTheme="minorHAnsi" w:hAnsiTheme="minorHAnsi" w:cstheme="minorHAnsi"/>
          <w:snapToGrid w:val="0"/>
          <w:szCs w:val="24"/>
        </w:rPr>
        <w:t>t</w:t>
      </w:r>
      <w:r w:rsidR="005E40BA">
        <w:rPr>
          <w:rFonts w:asciiTheme="minorHAnsi" w:hAnsiTheme="minorHAnsi" w:cstheme="minorHAnsi"/>
          <w:snapToGrid w:val="0"/>
          <w:szCs w:val="24"/>
        </w:rPr>
        <w:t>here was no capital component in the model.</w:t>
      </w:r>
      <w:r w:rsidR="0011645C">
        <w:rPr>
          <w:rFonts w:asciiTheme="minorHAnsi" w:hAnsiTheme="minorHAnsi" w:cstheme="minorHAnsi"/>
          <w:snapToGrid w:val="0"/>
          <w:szCs w:val="24"/>
        </w:rPr>
        <w:t xml:space="preserve"> The structure of this</w:t>
      </w:r>
      <w:r w:rsidR="0011645C" w:rsidRPr="0011645C">
        <w:rPr>
          <w:rFonts w:asciiTheme="minorHAnsi" w:eastAsiaTheme="minorEastAsia" w:hAnsiTheme="minorHAnsi" w:cstheme="minorHAnsi"/>
          <w:snapToGrid w:val="0"/>
          <w:szCs w:val="24"/>
        </w:rPr>
        <w:t xml:space="preserve"> </w:t>
      </w:r>
      <w:r w:rsidR="0011645C" w:rsidRPr="0011645C">
        <w:rPr>
          <w:rFonts w:asciiTheme="minorHAnsi" w:hAnsiTheme="minorHAnsi" w:cstheme="minorHAnsi"/>
          <w:snapToGrid w:val="0"/>
          <w:szCs w:val="24"/>
        </w:rPr>
        <w:t xml:space="preserve">model adds weight to the idea that the </w:t>
      </w:r>
      <w:r w:rsidR="00AB26C8">
        <w:rPr>
          <w:rFonts w:cstheme="minorHAnsi"/>
          <w:snapToGrid w:val="0"/>
          <w:szCs w:val="24"/>
        </w:rPr>
        <w:t>BDF</w:t>
      </w:r>
      <w:r w:rsidR="0011645C" w:rsidRPr="0011645C">
        <w:rPr>
          <w:rFonts w:asciiTheme="minorHAnsi" w:hAnsiTheme="minorHAnsi" w:cstheme="minorHAnsi"/>
          <w:snapToGrid w:val="0"/>
          <w:szCs w:val="24"/>
        </w:rPr>
        <w:t xml:space="preserve"> may have been intended in part as a contribution towards accommodation costs.</w:t>
      </w:r>
      <w:r w:rsidR="00A9406B">
        <w:rPr>
          <w:rFonts w:asciiTheme="minorHAnsi" w:hAnsiTheme="minorHAnsi" w:cstheme="minorHAnsi"/>
          <w:snapToGrid w:val="0"/>
          <w:szCs w:val="24"/>
        </w:rPr>
        <w:t xml:space="preserve"> </w:t>
      </w:r>
    </w:p>
    <w:p w:rsidR="005E40BA" w:rsidRDefault="005E40BA" w:rsidP="005E40BA">
      <w:pPr>
        <w:rPr>
          <w:rFonts w:ascii="Calibri" w:hAnsi="Calibri" w:cs="Calibri"/>
          <w:snapToGrid w:val="0"/>
          <w:szCs w:val="24"/>
        </w:rPr>
      </w:pPr>
      <w:r w:rsidRPr="00277DDC">
        <w:rPr>
          <w:rFonts w:ascii="Calibri" w:hAnsi="Calibri" w:cs="Calibri"/>
          <w:snapToGrid w:val="0"/>
          <w:szCs w:val="24"/>
        </w:rPr>
        <w:t xml:space="preserve">In the </w:t>
      </w:r>
      <w:r>
        <w:rPr>
          <w:rFonts w:ascii="Calibri" w:hAnsi="Calibri" w:cs="Calibri"/>
          <w:snapToGrid w:val="0"/>
          <w:szCs w:val="24"/>
        </w:rPr>
        <w:t>Review of the structure of nursing home funding a</w:t>
      </w:r>
      <w:r w:rsidRPr="00277DDC">
        <w:rPr>
          <w:rFonts w:ascii="Calibri" w:hAnsi="Calibri" w:cs="Calibri"/>
          <w:snapToGrid w:val="0"/>
          <w:szCs w:val="24"/>
        </w:rPr>
        <w:t>rrangements</w:t>
      </w:r>
      <w:r>
        <w:rPr>
          <w:rFonts w:ascii="Calibri" w:hAnsi="Calibri" w:cs="Calibri"/>
          <w:snapToGrid w:val="0"/>
          <w:szCs w:val="24"/>
        </w:rPr>
        <w:t xml:space="preserve"> (1994)</w:t>
      </w:r>
      <w:r w:rsidRPr="00277DDC">
        <w:rPr>
          <w:rFonts w:ascii="Calibri" w:hAnsi="Calibri" w:cs="Calibri"/>
          <w:snapToGrid w:val="0"/>
          <w:szCs w:val="24"/>
        </w:rPr>
        <w:t xml:space="preserve">, ANU Professor Robert Gregory says the policy rationale for SAM was to cover </w:t>
      </w:r>
      <w:r>
        <w:rPr>
          <w:rFonts w:ascii="Calibri" w:hAnsi="Calibri" w:cs="Calibri"/>
          <w:snapToGrid w:val="0"/>
          <w:szCs w:val="24"/>
        </w:rPr>
        <w:t>“</w:t>
      </w:r>
      <w:r w:rsidRPr="00277DDC">
        <w:rPr>
          <w:rFonts w:ascii="Calibri" w:hAnsi="Calibri" w:cs="Calibri"/>
          <w:snapToGrid w:val="0"/>
          <w:szCs w:val="24"/>
        </w:rPr>
        <w:t>infrastructure costs</w:t>
      </w:r>
      <w:r>
        <w:rPr>
          <w:rFonts w:ascii="Calibri" w:hAnsi="Calibri" w:cs="Calibri"/>
          <w:snapToGrid w:val="0"/>
          <w:szCs w:val="24"/>
        </w:rPr>
        <w:t xml:space="preserve">”. Professor Gregory </w:t>
      </w:r>
      <w:r w:rsidRPr="00277DDC">
        <w:rPr>
          <w:rFonts w:ascii="Calibri" w:hAnsi="Calibri" w:cs="Calibri"/>
          <w:snapToGrid w:val="0"/>
          <w:szCs w:val="24"/>
        </w:rPr>
        <w:t>writes “</w:t>
      </w:r>
      <w:r w:rsidRPr="00A9406B">
        <w:rPr>
          <w:rFonts w:ascii="Calibri" w:hAnsi="Calibri" w:cs="Calibri"/>
          <w:i/>
          <w:snapToGrid w:val="0"/>
          <w:szCs w:val="24"/>
        </w:rPr>
        <w:t>The SAM component is a uniform grant which is not directly related to the costs of each individual home. Proprietors of nursing homes must now meet costs such as food, fuel, administration, and the salaries of the cook and the domestic staff from the uniform SAM component.</w:t>
      </w:r>
      <w:r w:rsidRPr="00034813">
        <w:rPr>
          <w:rFonts w:ascii="Calibri" w:hAnsi="Calibri" w:cs="Calibri"/>
          <w:snapToGrid w:val="0"/>
          <w:szCs w:val="24"/>
        </w:rPr>
        <w:t xml:space="preserve">” The costs that Professor Gregory </w:t>
      </w:r>
      <w:r w:rsidR="00034813" w:rsidRPr="00034813">
        <w:rPr>
          <w:rFonts w:ascii="Calibri" w:hAnsi="Calibri" w:cs="Calibri"/>
          <w:snapToGrid w:val="0"/>
          <w:szCs w:val="24"/>
        </w:rPr>
        <w:t xml:space="preserve">identifies as being </w:t>
      </w:r>
      <w:r w:rsidR="009072A8" w:rsidRPr="00034813">
        <w:rPr>
          <w:rFonts w:ascii="Calibri" w:hAnsi="Calibri" w:cs="Calibri"/>
          <w:snapToGrid w:val="0"/>
          <w:szCs w:val="24"/>
        </w:rPr>
        <w:t xml:space="preserve">covered by the government-funded </w:t>
      </w:r>
      <w:r w:rsidRPr="00034813">
        <w:rPr>
          <w:rFonts w:ascii="Calibri" w:hAnsi="Calibri" w:cs="Calibri"/>
          <w:snapToGrid w:val="0"/>
          <w:szCs w:val="24"/>
        </w:rPr>
        <w:t xml:space="preserve">SAM component of funding are those that would today be considered as </w:t>
      </w:r>
      <w:r w:rsidR="00E251AC">
        <w:rPr>
          <w:rFonts w:ascii="Calibri" w:hAnsi="Calibri" w:cs="Calibri"/>
          <w:snapToGrid w:val="0"/>
          <w:szCs w:val="24"/>
        </w:rPr>
        <w:t>e</w:t>
      </w:r>
      <w:r w:rsidR="00063074" w:rsidRPr="00034813">
        <w:rPr>
          <w:rFonts w:ascii="Calibri" w:hAnsi="Calibri" w:cs="Calibri"/>
          <w:snapToGrid w:val="0"/>
          <w:szCs w:val="24"/>
        </w:rPr>
        <w:t>veryday</w:t>
      </w:r>
      <w:r w:rsidRPr="00034813">
        <w:rPr>
          <w:rFonts w:ascii="Calibri" w:hAnsi="Calibri" w:cs="Calibri"/>
          <w:snapToGrid w:val="0"/>
          <w:szCs w:val="24"/>
        </w:rPr>
        <w:t xml:space="preserve"> living, </w:t>
      </w:r>
      <w:r w:rsidR="00034813" w:rsidRPr="00034813">
        <w:rPr>
          <w:rFonts w:ascii="Calibri" w:hAnsi="Calibri" w:cs="Calibri"/>
          <w:snapToGrid w:val="0"/>
          <w:szCs w:val="24"/>
        </w:rPr>
        <w:t xml:space="preserve">which suggests that the capped fees paid by individuals </w:t>
      </w:r>
      <w:r w:rsidR="00AF11BE">
        <w:rPr>
          <w:rFonts w:ascii="Calibri" w:hAnsi="Calibri" w:cs="Calibri"/>
          <w:snapToGrid w:val="0"/>
          <w:szCs w:val="24"/>
        </w:rPr>
        <w:t xml:space="preserve">at that time </w:t>
      </w:r>
      <w:r w:rsidR="00034813" w:rsidRPr="00034813">
        <w:rPr>
          <w:rFonts w:ascii="Calibri" w:hAnsi="Calibri" w:cs="Calibri"/>
          <w:snapToGrid w:val="0"/>
          <w:szCs w:val="24"/>
        </w:rPr>
        <w:t xml:space="preserve">(the precursor to the </w:t>
      </w:r>
      <w:r w:rsidR="00AB26C8">
        <w:rPr>
          <w:rFonts w:cstheme="minorHAnsi"/>
          <w:snapToGrid w:val="0"/>
          <w:szCs w:val="24"/>
        </w:rPr>
        <w:t>BDF</w:t>
      </w:r>
      <w:r w:rsidR="00034813" w:rsidRPr="00034813">
        <w:rPr>
          <w:rFonts w:ascii="Calibri" w:hAnsi="Calibri" w:cs="Calibri"/>
          <w:snapToGrid w:val="0"/>
          <w:szCs w:val="24"/>
        </w:rPr>
        <w:t xml:space="preserve">) were seen as a </w:t>
      </w:r>
      <w:r w:rsidRPr="00034813">
        <w:rPr>
          <w:rFonts w:ascii="Calibri" w:hAnsi="Calibri" w:cs="Calibri"/>
          <w:snapToGrid w:val="0"/>
          <w:szCs w:val="24"/>
        </w:rPr>
        <w:t>contribution towards accommodation</w:t>
      </w:r>
      <w:r w:rsidR="00034813" w:rsidRPr="00034813">
        <w:rPr>
          <w:rFonts w:ascii="Calibri" w:hAnsi="Calibri" w:cs="Calibri"/>
          <w:snapToGrid w:val="0"/>
          <w:szCs w:val="24"/>
        </w:rPr>
        <w:t>, rather than everyday living expenses</w:t>
      </w:r>
      <w:r w:rsidRPr="00034813">
        <w:rPr>
          <w:rFonts w:ascii="Calibri" w:hAnsi="Calibri" w:cs="Calibri"/>
          <w:snapToGrid w:val="0"/>
          <w:szCs w:val="24"/>
        </w:rPr>
        <w:t>.</w:t>
      </w:r>
    </w:p>
    <w:p w:rsidR="00C86988" w:rsidRDefault="00C86988" w:rsidP="005E40BA">
      <w:pPr>
        <w:rPr>
          <w:rFonts w:ascii="Calibri" w:hAnsi="Calibri" w:cs="Calibri"/>
          <w:snapToGrid w:val="0"/>
          <w:szCs w:val="24"/>
        </w:rPr>
      </w:pPr>
      <w:r>
        <w:rPr>
          <w:rFonts w:ascii="Calibri" w:hAnsi="Calibri" w:cs="Calibri"/>
          <w:snapToGrid w:val="0"/>
          <w:szCs w:val="24"/>
        </w:rPr>
        <w:t>ACFA notes that individuals who live in a private residence are expected to use their income (including the age pension) to cover the costs of their meals, cleaning and utilities</w:t>
      </w:r>
      <w:r w:rsidR="00E01651">
        <w:rPr>
          <w:rFonts w:ascii="Calibri" w:hAnsi="Calibri" w:cs="Calibri"/>
          <w:snapToGrid w:val="0"/>
          <w:szCs w:val="24"/>
        </w:rPr>
        <w:t>,</w:t>
      </w:r>
      <w:r>
        <w:rPr>
          <w:rFonts w:ascii="Calibri" w:hAnsi="Calibri" w:cs="Calibri"/>
          <w:snapToGrid w:val="0"/>
          <w:szCs w:val="24"/>
        </w:rPr>
        <w:t xml:space="preserve"> and it is reasonable that those who are living in residential aged care continue to meet these costs privately. Therefore, ACFA considers that the current </w:t>
      </w:r>
      <w:r w:rsidRPr="00D77B39">
        <w:rPr>
          <w:rFonts w:ascii="Calibri" w:hAnsi="Calibri" w:cs="Calibri"/>
          <w:snapToGrid w:val="0"/>
          <w:szCs w:val="24"/>
        </w:rPr>
        <w:t xml:space="preserve">common understanding of the </w:t>
      </w:r>
      <w:r w:rsidR="00AB26C8">
        <w:rPr>
          <w:rFonts w:cstheme="minorHAnsi"/>
          <w:snapToGrid w:val="0"/>
          <w:szCs w:val="24"/>
        </w:rPr>
        <w:t>BDF</w:t>
      </w:r>
      <w:r w:rsidRPr="00D77B39">
        <w:rPr>
          <w:rFonts w:ascii="Calibri" w:hAnsi="Calibri" w:cs="Calibri"/>
          <w:snapToGrid w:val="0"/>
          <w:szCs w:val="24"/>
        </w:rPr>
        <w:t xml:space="preserve"> as a payment towards the costs of </w:t>
      </w:r>
      <w:r>
        <w:rPr>
          <w:rFonts w:ascii="Calibri" w:hAnsi="Calibri" w:cs="Calibri"/>
          <w:snapToGrid w:val="0"/>
          <w:szCs w:val="24"/>
        </w:rPr>
        <w:t>everyday</w:t>
      </w:r>
      <w:r w:rsidRPr="00D77B39">
        <w:rPr>
          <w:rFonts w:ascii="Calibri" w:hAnsi="Calibri" w:cs="Calibri"/>
          <w:snapToGrid w:val="0"/>
          <w:szCs w:val="24"/>
        </w:rPr>
        <w:t xml:space="preserve"> living </w:t>
      </w:r>
      <w:r>
        <w:rPr>
          <w:rFonts w:ascii="Calibri" w:hAnsi="Calibri" w:cs="Calibri"/>
          <w:snapToGrid w:val="0"/>
          <w:szCs w:val="24"/>
        </w:rPr>
        <w:t>is appropriate.</w:t>
      </w:r>
    </w:p>
    <w:p w:rsidR="008C6122" w:rsidRDefault="008C6122" w:rsidP="005E40BA">
      <w:pPr>
        <w:rPr>
          <w:rFonts w:ascii="Calibri" w:hAnsi="Calibri" w:cs="Calibri"/>
          <w:snapToGrid w:val="0"/>
          <w:szCs w:val="24"/>
        </w:rPr>
      </w:pPr>
      <w:r w:rsidRPr="008C6122">
        <w:rPr>
          <w:rFonts w:ascii="Calibri" w:hAnsi="Calibri" w:cs="Calibri"/>
          <w:snapToGrid w:val="0"/>
          <w:szCs w:val="24"/>
        </w:rPr>
        <w:t>ACFA also notes that there are often costs associated with increasing physical frailty or cognitive decline that it is not possible for individuals to control or reduce and, in the main,</w:t>
      </w:r>
      <w:r w:rsidR="006E5749">
        <w:rPr>
          <w:rFonts w:ascii="Calibri" w:hAnsi="Calibri" w:cs="Calibri"/>
          <w:snapToGrid w:val="0"/>
          <w:szCs w:val="24"/>
        </w:rPr>
        <w:t xml:space="preserve"> </w:t>
      </w:r>
      <w:r w:rsidRPr="008C6122">
        <w:rPr>
          <w:rFonts w:ascii="Calibri" w:hAnsi="Calibri" w:cs="Calibri"/>
          <w:snapToGrid w:val="0"/>
          <w:szCs w:val="24"/>
        </w:rPr>
        <w:t xml:space="preserve">are not covered by the age pension. </w:t>
      </w:r>
      <w:r w:rsidR="006E5749">
        <w:rPr>
          <w:rFonts w:ascii="Calibri" w:hAnsi="Calibri" w:cs="Calibri"/>
          <w:snapToGrid w:val="0"/>
          <w:szCs w:val="24"/>
        </w:rPr>
        <w:t>D</w:t>
      </w:r>
      <w:r w:rsidRPr="008C6122">
        <w:rPr>
          <w:rFonts w:ascii="Calibri" w:hAnsi="Calibri" w:cs="Calibri"/>
          <w:snapToGrid w:val="0"/>
          <w:szCs w:val="24"/>
        </w:rPr>
        <w:t>ue to frailty,</w:t>
      </w:r>
      <w:r w:rsidR="006E5749">
        <w:rPr>
          <w:rFonts w:ascii="Calibri" w:hAnsi="Calibri" w:cs="Calibri"/>
          <w:snapToGrid w:val="0"/>
          <w:szCs w:val="24"/>
        </w:rPr>
        <w:t xml:space="preserve"> for example,</w:t>
      </w:r>
      <w:r w:rsidRPr="008C6122">
        <w:rPr>
          <w:rFonts w:ascii="Calibri" w:hAnsi="Calibri" w:cs="Calibri"/>
          <w:snapToGrid w:val="0"/>
          <w:szCs w:val="24"/>
        </w:rPr>
        <w:t xml:space="preserve"> an individual may need assistance with cleaning and preparing their meals. The Government recognises these costs as additional to those associated with everyday living and provides subsidised assistance through Home Care Packages and the Commonwealth Home Support Program for those who need it. </w:t>
      </w:r>
      <w:r w:rsidR="00A90577">
        <w:rPr>
          <w:rFonts w:ascii="Calibri" w:hAnsi="Calibri" w:cs="Calibri"/>
          <w:snapToGrid w:val="0"/>
          <w:szCs w:val="24"/>
        </w:rPr>
        <w:t>T</w:t>
      </w:r>
      <w:r w:rsidRPr="008C6122">
        <w:rPr>
          <w:rFonts w:ascii="Calibri" w:hAnsi="Calibri" w:cs="Calibri"/>
          <w:snapToGrid w:val="0"/>
          <w:szCs w:val="24"/>
        </w:rPr>
        <w:t>hose living in residential aged care often do not have a choice in relation to costs such as meal preparation, as these are generally packaged with residential care</w:t>
      </w:r>
      <w:r w:rsidR="00A90577">
        <w:rPr>
          <w:rFonts w:ascii="Calibri" w:hAnsi="Calibri" w:cs="Calibri"/>
          <w:snapToGrid w:val="0"/>
          <w:szCs w:val="24"/>
        </w:rPr>
        <w:t>. Accordingly</w:t>
      </w:r>
      <w:r w:rsidRPr="008C6122">
        <w:rPr>
          <w:rFonts w:ascii="Calibri" w:hAnsi="Calibri" w:cs="Calibri"/>
          <w:snapToGrid w:val="0"/>
          <w:szCs w:val="24"/>
        </w:rPr>
        <w:t xml:space="preserve">, there may be a case for some </w:t>
      </w:r>
      <w:r>
        <w:rPr>
          <w:rFonts w:ascii="Calibri" w:hAnsi="Calibri" w:cs="Calibri"/>
          <w:snapToGrid w:val="0"/>
          <w:szCs w:val="24"/>
        </w:rPr>
        <w:t xml:space="preserve">additional </w:t>
      </w:r>
      <w:r w:rsidRPr="008C6122">
        <w:rPr>
          <w:rFonts w:ascii="Calibri" w:hAnsi="Calibri" w:cs="Calibri"/>
          <w:snapToGrid w:val="0"/>
          <w:szCs w:val="24"/>
        </w:rPr>
        <w:t>government assistance to be provided in relation to these costs</w:t>
      </w:r>
      <w:r w:rsidR="00A90577">
        <w:rPr>
          <w:rFonts w:ascii="Calibri" w:hAnsi="Calibri" w:cs="Calibri"/>
          <w:snapToGrid w:val="0"/>
          <w:szCs w:val="24"/>
        </w:rPr>
        <w:t xml:space="preserve">, while noting that </w:t>
      </w:r>
      <w:r w:rsidR="004222AF">
        <w:rPr>
          <w:rFonts w:ascii="Calibri" w:hAnsi="Calibri" w:cs="Calibri"/>
          <w:snapToGrid w:val="0"/>
          <w:szCs w:val="24"/>
        </w:rPr>
        <w:t xml:space="preserve">the Aged Care Funding Instrument </w:t>
      </w:r>
      <w:r w:rsidR="006E5749">
        <w:rPr>
          <w:rFonts w:ascii="Calibri" w:hAnsi="Calibri" w:cs="Calibri"/>
          <w:snapToGrid w:val="0"/>
          <w:szCs w:val="24"/>
        </w:rPr>
        <w:t xml:space="preserve">(ACFI) </w:t>
      </w:r>
      <w:r w:rsidR="004B31D6">
        <w:rPr>
          <w:rFonts w:ascii="Calibri" w:hAnsi="Calibri" w:cs="Calibri"/>
          <w:snapToGrid w:val="0"/>
          <w:szCs w:val="24"/>
        </w:rPr>
        <w:t xml:space="preserve">already </w:t>
      </w:r>
      <w:r w:rsidR="004222AF">
        <w:rPr>
          <w:rFonts w:ascii="Calibri" w:hAnsi="Calibri" w:cs="Calibri"/>
          <w:snapToGrid w:val="0"/>
          <w:szCs w:val="24"/>
        </w:rPr>
        <w:t xml:space="preserve">targets the </w:t>
      </w:r>
      <w:r w:rsidR="00034813">
        <w:rPr>
          <w:rFonts w:ascii="Calibri" w:hAnsi="Calibri" w:cs="Calibri"/>
          <w:snapToGrid w:val="0"/>
          <w:szCs w:val="24"/>
        </w:rPr>
        <w:t xml:space="preserve">care-related </w:t>
      </w:r>
      <w:r w:rsidR="004222AF">
        <w:rPr>
          <w:rFonts w:ascii="Calibri" w:hAnsi="Calibri" w:cs="Calibri"/>
          <w:snapToGrid w:val="0"/>
          <w:szCs w:val="24"/>
        </w:rPr>
        <w:t>cost</w:t>
      </w:r>
      <w:r w:rsidR="00034813">
        <w:rPr>
          <w:rFonts w:ascii="Calibri" w:hAnsi="Calibri" w:cs="Calibri"/>
          <w:snapToGrid w:val="0"/>
          <w:szCs w:val="24"/>
        </w:rPr>
        <w:t>s</w:t>
      </w:r>
      <w:r w:rsidR="004222AF">
        <w:rPr>
          <w:rFonts w:ascii="Calibri" w:hAnsi="Calibri" w:cs="Calibri"/>
          <w:snapToGrid w:val="0"/>
          <w:szCs w:val="24"/>
        </w:rPr>
        <w:t xml:space="preserve"> </w:t>
      </w:r>
      <w:r w:rsidR="00034813">
        <w:rPr>
          <w:rFonts w:ascii="Calibri" w:hAnsi="Calibri" w:cs="Calibri"/>
          <w:snapToGrid w:val="0"/>
          <w:szCs w:val="24"/>
        </w:rPr>
        <w:t xml:space="preserve">associated with </w:t>
      </w:r>
      <w:r w:rsidR="004222AF">
        <w:rPr>
          <w:rFonts w:ascii="Calibri" w:hAnsi="Calibri" w:cs="Calibri"/>
          <w:snapToGrid w:val="0"/>
          <w:szCs w:val="24"/>
        </w:rPr>
        <w:t>frailty-related issues such as mobility, personal hygiene, toileting and eating through the Activities of Daily Living domain</w:t>
      </w:r>
      <w:r w:rsidRPr="008C6122">
        <w:rPr>
          <w:rFonts w:ascii="Calibri" w:hAnsi="Calibri" w:cs="Calibri"/>
          <w:snapToGrid w:val="0"/>
          <w:szCs w:val="24"/>
        </w:rPr>
        <w:t>.</w:t>
      </w:r>
    </w:p>
    <w:p w:rsidR="00C86988" w:rsidRDefault="00C86988" w:rsidP="00CB45CC">
      <w:pPr>
        <w:pStyle w:val="Heading2"/>
        <w:rPr>
          <w:snapToGrid w:val="0"/>
        </w:rPr>
      </w:pPr>
      <w:r>
        <w:rPr>
          <w:snapToGrid w:val="0"/>
        </w:rPr>
        <w:t>Accommodation costs</w:t>
      </w:r>
    </w:p>
    <w:p w:rsidR="005E40BA" w:rsidRPr="00E85682" w:rsidRDefault="00C86988" w:rsidP="005E40BA">
      <w:pPr>
        <w:rPr>
          <w:rFonts w:ascii="Calibri" w:hAnsi="Calibri" w:cs="Calibri"/>
          <w:snapToGrid w:val="0"/>
          <w:szCs w:val="24"/>
        </w:rPr>
      </w:pPr>
      <w:r>
        <w:rPr>
          <w:rFonts w:ascii="Calibri" w:hAnsi="Calibri" w:cs="Calibri"/>
          <w:snapToGrid w:val="0"/>
          <w:szCs w:val="24"/>
        </w:rPr>
        <w:t>O</w:t>
      </w:r>
      <w:r w:rsidR="005E40BA">
        <w:rPr>
          <w:rFonts w:ascii="Calibri" w:hAnsi="Calibri" w:cs="Calibri"/>
          <w:snapToGrid w:val="0"/>
          <w:szCs w:val="24"/>
        </w:rPr>
        <w:t xml:space="preserve">ver time, specific accommodation payments have been introduced for residential aged care. These payments operate alongside the </w:t>
      </w:r>
      <w:r w:rsidR="00AB26C8">
        <w:rPr>
          <w:rFonts w:cstheme="minorHAnsi"/>
          <w:snapToGrid w:val="0"/>
          <w:szCs w:val="24"/>
        </w:rPr>
        <w:t>BDF</w:t>
      </w:r>
      <w:r w:rsidR="005E40BA">
        <w:rPr>
          <w:rFonts w:ascii="Calibri" w:hAnsi="Calibri" w:cs="Calibri"/>
          <w:snapToGrid w:val="0"/>
          <w:szCs w:val="24"/>
        </w:rPr>
        <w:t xml:space="preserve"> and can take the form </w:t>
      </w:r>
      <w:r w:rsidR="00897D71">
        <w:rPr>
          <w:rFonts w:ascii="Calibri" w:hAnsi="Calibri" w:cs="Calibri"/>
          <w:snapToGrid w:val="0"/>
          <w:szCs w:val="24"/>
        </w:rPr>
        <w:t>of</w:t>
      </w:r>
      <w:r w:rsidR="005E40BA">
        <w:rPr>
          <w:rFonts w:ascii="Calibri" w:hAnsi="Calibri" w:cs="Calibri"/>
          <w:snapToGrid w:val="0"/>
          <w:szCs w:val="24"/>
        </w:rPr>
        <w:t xml:space="preserve"> a </w:t>
      </w:r>
      <w:r w:rsidR="005E40BA" w:rsidRPr="00E85682">
        <w:rPr>
          <w:rFonts w:ascii="Calibri" w:hAnsi="Calibri" w:cs="Calibri"/>
          <w:snapToGrid w:val="0"/>
          <w:szCs w:val="24"/>
        </w:rPr>
        <w:t xml:space="preserve">lump-sum </w:t>
      </w:r>
      <w:r w:rsidR="004222AF">
        <w:rPr>
          <w:rFonts w:ascii="Calibri" w:hAnsi="Calibri" w:cs="Calibri"/>
          <w:snapToGrid w:val="0"/>
          <w:szCs w:val="24"/>
        </w:rPr>
        <w:t xml:space="preserve">deposit </w:t>
      </w:r>
      <w:r w:rsidR="00897D71">
        <w:rPr>
          <w:rFonts w:ascii="Calibri" w:hAnsi="Calibri" w:cs="Calibri"/>
          <w:snapToGrid w:val="0"/>
          <w:szCs w:val="24"/>
        </w:rPr>
        <w:t>(Refundable Accommodation Deposit, RAD),</w:t>
      </w:r>
      <w:r w:rsidR="005E40BA" w:rsidRPr="00E85682">
        <w:rPr>
          <w:rFonts w:ascii="Calibri" w:hAnsi="Calibri" w:cs="Calibri"/>
          <w:snapToGrid w:val="0"/>
          <w:szCs w:val="24"/>
        </w:rPr>
        <w:t xml:space="preserve"> </w:t>
      </w:r>
      <w:r w:rsidR="00897D71">
        <w:rPr>
          <w:rFonts w:ascii="Calibri" w:hAnsi="Calibri" w:cs="Calibri"/>
          <w:snapToGrid w:val="0"/>
          <w:szCs w:val="24"/>
        </w:rPr>
        <w:t>rent (Daily A</w:t>
      </w:r>
      <w:r w:rsidR="005E40BA" w:rsidRPr="00E85682">
        <w:rPr>
          <w:rFonts w:ascii="Calibri" w:hAnsi="Calibri" w:cs="Calibri"/>
          <w:snapToGrid w:val="0"/>
          <w:szCs w:val="24"/>
        </w:rPr>
        <w:t xml:space="preserve">ccommodation </w:t>
      </w:r>
      <w:r w:rsidR="00897D71">
        <w:rPr>
          <w:rFonts w:ascii="Calibri" w:hAnsi="Calibri" w:cs="Calibri"/>
          <w:snapToGrid w:val="0"/>
          <w:szCs w:val="24"/>
        </w:rPr>
        <w:t>P</w:t>
      </w:r>
      <w:r w:rsidR="005E40BA" w:rsidRPr="00E85682">
        <w:rPr>
          <w:rFonts w:ascii="Calibri" w:hAnsi="Calibri" w:cs="Calibri"/>
          <w:snapToGrid w:val="0"/>
          <w:szCs w:val="24"/>
        </w:rPr>
        <w:t>ayment</w:t>
      </w:r>
      <w:r w:rsidR="00897D71">
        <w:rPr>
          <w:rFonts w:ascii="Calibri" w:hAnsi="Calibri" w:cs="Calibri"/>
          <w:snapToGrid w:val="0"/>
          <w:szCs w:val="24"/>
        </w:rPr>
        <w:t>, DAP)</w:t>
      </w:r>
      <w:r w:rsidR="004222AF">
        <w:rPr>
          <w:rFonts w:ascii="Calibri" w:hAnsi="Calibri" w:cs="Calibri"/>
          <w:snapToGrid w:val="0"/>
          <w:szCs w:val="24"/>
        </w:rPr>
        <w:t>,</w:t>
      </w:r>
      <w:r w:rsidR="005E40BA" w:rsidRPr="00E85682">
        <w:rPr>
          <w:rFonts w:ascii="Calibri" w:hAnsi="Calibri" w:cs="Calibri"/>
          <w:snapToGrid w:val="0"/>
          <w:szCs w:val="24"/>
        </w:rPr>
        <w:t xml:space="preserve"> or a combination of the two</w:t>
      </w:r>
      <w:r w:rsidR="004222AF">
        <w:rPr>
          <w:rFonts w:ascii="Calibri" w:hAnsi="Calibri" w:cs="Calibri"/>
          <w:snapToGrid w:val="0"/>
          <w:szCs w:val="24"/>
        </w:rPr>
        <w:t>, and accommodation supplements paid on behalf of supported residents</w:t>
      </w:r>
      <w:r w:rsidR="005E40BA" w:rsidRPr="00E85682">
        <w:rPr>
          <w:rFonts w:ascii="Calibri" w:hAnsi="Calibri" w:cs="Calibri"/>
          <w:snapToGrid w:val="0"/>
          <w:szCs w:val="24"/>
        </w:rPr>
        <w:t xml:space="preserve">. ACFA </w:t>
      </w:r>
      <w:r w:rsidR="00DB26FF" w:rsidRPr="00E85682">
        <w:rPr>
          <w:rFonts w:ascii="Calibri" w:hAnsi="Calibri" w:cs="Calibri"/>
          <w:snapToGrid w:val="0"/>
          <w:szCs w:val="24"/>
        </w:rPr>
        <w:t>has recently completed</w:t>
      </w:r>
      <w:r w:rsidR="005E40BA" w:rsidRPr="00E85682">
        <w:rPr>
          <w:rFonts w:ascii="Calibri" w:hAnsi="Calibri" w:cs="Calibri"/>
          <w:snapToGrid w:val="0"/>
          <w:szCs w:val="24"/>
        </w:rPr>
        <w:t xml:space="preserve"> a separate project in relation to RADs.</w:t>
      </w:r>
    </w:p>
    <w:p w:rsidR="00AF11BE" w:rsidRPr="007E3C92" w:rsidRDefault="005E40BA">
      <w:pPr>
        <w:rPr>
          <w:rFonts w:ascii="Calibri" w:hAnsi="Calibri" w:cs="Calibri"/>
          <w:snapToGrid w:val="0"/>
          <w:szCs w:val="24"/>
        </w:rPr>
      </w:pPr>
      <w:r w:rsidRPr="00E85682">
        <w:rPr>
          <w:rFonts w:ascii="Calibri" w:hAnsi="Calibri" w:cs="Calibri"/>
          <w:snapToGrid w:val="0"/>
          <w:szCs w:val="24"/>
        </w:rPr>
        <w:t>Given the introduction</w:t>
      </w:r>
      <w:r>
        <w:rPr>
          <w:rFonts w:ascii="Calibri" w:hAnsi="Calibri" w:cs="Calibri"/>
          <w:snapToGrid w:val="0"/>
          <w:szCs w:val="24"/>
        </w:rPr>
        <w:t xml:space="preserve"> of separate accommodation payments</w:t>
      </w:r>
      <w:r w:rsidR="00C86988">
        <w:rPr>
          <w:rFonts w:ascii="Calibri" w:hAnsi="Calibri" w:cs="Calibri"/>
          <w:snapToGrid w:val="0"/>
          <w:szCs w:val="24"/>
        </w:rPr>
        <w:t xml:space="preserve"> and</w:t>
      </w:r>
      <w:r>
        <w:rPr>
          <w:rFonts w:ascii="Calibri" w:hAnsi="Calibri" w:cs="Calibri"/>
          <w:snapToGrid w:val="0"/>
          <w:szCs w:val="24"/>
        </w:rPr>
        <w:t xml:space="preserve"> the </w:t>
      </w:r>
      <w:r w:rsidR="00E031A8">
        <w:rPr>
          <w:rFonts w:ascii="Calibri" w:hAnsi="Calibri" w:cs="Calibri"/>
          <w:snapToGrid w:val="0"/>
          <w:szCs w:val="24"/>
        </w:rPr>
        <w:t xml:space="preserve">decision to no longer pay rent assistance to those in residential aged care (and the consequent </w:t>
      </w:r>
      <w:r>
        <w:rPr>
          <w:rFonts w:ascii="Calibri" w:hAnsi="Calibri" w:cs="Calibri"/>
          <w:snapToGrid w:val="0"/>
          <w:szCs w:val="24"/>
        </w:rPr>
        <w:t xml:space="preserve">removal of rent assistance from the </w:t>
      </w:r>
      <w:r w:rsidR="00E031A8">
        <w:rPr>
          <w:rFonts w:ascii="Calibri" w:hAnsi="Calibri" w:cs="Calibri"/>
          <w:snapToGrid w:val="0"/>
          <w:szCs w:val="24"/>
        </w:rPr>
        <w:t xml:space="preserve">calculation of the capped </w:t>
      </w:r>
      <w:r w:rsidR="00AB26C8">
        <w:rPr>
          <w:rFonts w:cstheme="minorHAnsi"/>
          <w:snapToGrid w:val="0"/>
          <w:szCs w:val="24"/>
        </w:rPr>
        <w:t>BDF</w:t>
      </w:r>
      <w:r w:rsidR="00E031A8">
        <w:rPr>
          <w:rFonts w:ascii="Calibri" w:hAnsi="Calibri" w:cs="Calibri"/>
          <w:snapToGrid w:val="0"/>
          <w:szCs w:val="24"/>
        </w:rPr>
        <w:t>)</w:t>
      </w:r>
      <w:r>
        <w:rPr>
          <w:rFonts w:ascii="Calibri" w:hAnsi="Calibri" w:cs="Calibri"/>
          <w:snapToGrid w:val="0"/>
          <w:szCs w:val="24"/>
        </w:rPr>
        <w:t xml:space="preserve">, it is no longer reasonable to think of the </w:t>
      </w:r>
      <w:r w:rsidR="00AB26C8">
        <w:rPr>
          <w:rFonts w:cstheme="minorHAnsi"/>
          <w:snapToGrid w:val="0"/>
          <w:szCs w:val="24"/>
        </w:rPr>
        <w:t>BDF</w:t>
      </w:r>
      <w:r>
        <w:rPr>
          <w:rFonts w:ascii="Calibri" w:hAnsi="Calibri" w:cs="Calibri"/>
          <w:snapToGrid w:val="0"/>
          <w:szCs w:val="24"/>
        </w:rPr>
        <w:t xml:space="preserve"> as a contribution towards accommodation costs.</w:t>
      </w:r>
      <w:r w:rsidR="00AF11BE" w:rsidRPr="007E3C92">
        <w:rPr>
          <w:rFonts w:ascii="Calibri" w:hAnsi="Calibri" w:cs="Calibri"/>
          <w:snapToGrid w:val="0"/>
          <w:szCs w:val="24"/>
        </w:rPr>
        <w:br w:type="page"/>
      </w:r>
    </w:p>
    <w:p w:rsidR="00C86988" w:rsidRDefault="00C86988" w:rsidP="00CB45CC">
      <w:pPr>
        <w:pStyle w:val="Heading2"/>
        <w:rPr>
          <w:snapToGrid w:val="0"/>
        </w:rPr>
      </w:pPr>
      <w:r>
        <w:rPr>
          <w:snapToGrid w:val="0"/>
        </w:rPr>
        <w:t>Care costs</w:t>
      </w:r>
    </w:p>
    <w:p w:rsidR="00C370B1" w:rsidRDefault="00C370B1" w:rsidP="005E40BA">
      <w:pPr>
        <w:rPr>
          <w:rFonts w:ascii="Calibri" w:hAnsi="Calibri" w:cs="Calibri"/>
          <w:snapToGrid w:val="0"/>
          <w:szCs w:val="24"/>
        </w:rPr>
      </w:pPr>
      <w:r>
        <w:rPr>
          <w:rFonts w:ascii="Calibri" w:hAnsi="Calibri" w:cs="Calibri"/>
          <w:snapToGrid w:val="0"/>
          <w:szCs w:val="24"/>
        </w:rPr>
        <w:t xml:space="preserve">Funding for </w:t>
      </w:r>
      <w:r w:rsidR="005E40BA">
        <w:rPr>
          <w:rFonts w:ascii="Calibri" w:hAnsi="Calibri" w:cs="Calibri"/>
          <w:snapToGrid w:val="0"/>
          <w:szCs w:val="24"/>
        </w:rPr>
        <w:t xml:space="preserve">care costs incurred by providers </w:t>
      </w:r>
      <w:r w:rsidR="000C28A1">
        <w:rPr>
          <w:rFonts w:ascii="Calibri" w:hAnsi="Calibri" w:cs="Calibri"/>
          <w:snapToGrid w:val="0"/>
          <w:szCs w:val="24"/>
        </w:rPr>
        <w:t>is</w:t>
      </w:r>
      <w:r w:rsidR="005E40BA">
        <w:rPr>
          <w:rFonts w:ascii="Calibri" w:hAnsi="Calibri" w:cs="Calibri"/>
          <w:snapToGrid w:val="0"/>
          <w:szCs w:val="24"/>
        </w:rPr>
        <w:t xml:space="preserve"> </w:t>
      </w:r>
      <w:r w:rsidR="00C86988">
        <w:rPr>
          <w:rFonts w:ascii="Calibri" w:hAnsi="Calibri" w:cs="Calibri"/>
          <w:snapToGrid w:val="0"/>
          <w:szCs w:val="24"/>
        </w:rPr>
        <w:t xml:space="preserve">currently </w:t>
      </w:r>
      <w:r w:rsidR="005E40BA">
        <w:rPr>
          <w:rFonts w:ascii="Calibri" w:hAnsi="Calibri" w:cs="Calibri"/>
          <w:snapToGrid w:val="0"/>
          <w:szCs w:val="24"/>
        </w:rPr>
        <w:t>aligned to the needs of current residents through the application of the ACFI</w:t>
      </w:r>
      <w:r w:rsidR="00C86988">
        <w:rPr>
          <w:rFonts w:ascii="Calibri" w:hAnsi="Calibri" w:cs="Calibri"/>
          <w:snapToGrid w:val="0"/>
          <w:szCs w:val="24"/>
        </w:rPr>
        <w:t>. An alternative model has been under consideration</w:t>
      </w:r>
      <w:r>
        <w:rPr>
          <w:rFonts w:ascii="Calibri" w:hAnsi="Calibri" w:cs="Calibri"/>
          <w:snapToGrid w:val="0"/>
          <w:szCs w:val="24"/>
        </w:rPr>
        <w:t xml:space="preserve">, </w:t>
      </w:r>
      <w:r w:rsidR="00C86988">
        <w:rPr>
          <w:rFonts w:ascii="Calibri" w:hAnsi="Calibri" w:cs="Calibri"/>
          <w:snapToGrid w:val="0"/>
          <w:szCs w:val="24"/>
        </w:rPr>
        <w:t>including</w:t>
      </w:r>
      <w:r>
        <w:rPr>
          <w:rFonts w:ascii="Calibri" w:hAnsi="Calibri" w:cs="Calibri"/>
          <w:snapToGrid w:val="0"/>
          <w:szCs w:val="24"/>
        </w:rPr>
        <w:t xml:space="preserve"> by the Royal Commission into Aged Care Quality and Safety.</w:t>
      </w:r>
    </w:p>
    <w:p w:rsidR="007E3C92" w:rsidRPr="009630A9" w:rsidRDefault="00EA138E" w:rsidP="009630A9">
      <w:pPr>
        <w:pBdr>
          <w:top w:val="single" w:sz="4" w:space="1" w:color="auto"/>
          <w:left w:val="single" w:sz="4" w:space="4" w:color="auto"/>
          <w:bottom w:val="single" w:sz="4" w:space="20" w:color="auto"/>
          <w:right w:val="single" w:sz="4" w:space="4" w:color="auto"/>
        </w:pBdr>
        <w:shd w:val="clear" w:color="auto" w:fill="B1CBE9"/>
        <w:spacing w:after="240"/>
        <w:rPr>
          <w:rStyle w:val="Strong"/>
        </w:rPr>
      </w:pPr>
      <w:r w:rsidRPr="009630A9">
        <w:rPr>
          <w:rStyle w:val="Strong"/>
        </w:rPr>
        <w:t>Box 1: Definitions</w:t>
      </w:r>
    </w:p>
    <w:p w:rsidR="00EA138E" w:rsidRDefault="00EA138E" w:rsidP="009630A9">
      <w:pPr>
        <w:pBdr>
          <w:top w:val="single" w:sz="4" w:space="1" w:color="auto"/>
          <w:left w:val="single" w:sz="4" w:space="4" w:color="auto"/>
          <w:bottom w:val="single" w:sz="4" w:space="20" w:color="auto"/>
          <w:right w:val="single" w:sz="4" w:space="4" w:color="auto"/>
        </w:pBdr>
        <w:shd w:val="clear" w:color="auto" w:fill="B1CBE9"/>
        <w:spacing w:after="240"/>
        <w:rPr>
          <w:szCs w:val="24"/>
        </w:rPr>
      </w:pPr>
      <w:r>
        <w:rPr>
          <w:szCs w:val="24"/>
        </w:rPr>
        <w:t>As ACFA has based the analysis in this report on data provided by StewartBrown, much of the terminology in the report also aligns with that used by StewartBrown</w:t>
      </w:r>
      <w:r w:rsidR="00BC4730">
        <w:rPr>
          <w:szCs w:val="24"/>
        </w:rPr>
        <w:t xml:space="preserve"> (see for example the data in Table 1)</w:t>
      </w:r>
      <w:r>
        <w:rPr>
          <w:szCs w:val="24"/>
        </w:rPr>
        <w:t>. In particular:</w:t>
      </w:r>
    </w:p>
    <w:p w:rsidR="00EA138E" w:rsidRDefault="00BC4730" w:rsidP="009630A9">
      <w:pPr>
        <w:pBdr>
          <w:top w:val="single" w:sz="4" w:space="1" w:color="auto"/>
          <w:left w:val="single" w:sz="4" w:space="4" w:color="auto"/>
          <w:bottom w:val="single" w:sz="4" w:space="20" w:color="auto"/>
          <w:right w:val="single" w:sz="4" w:space="4" w:color="auto"/>
        </w:pBdr>
        <w:shd w:val="clear" w:color="auto" w:fill="B1CBE9"/>
        <w:spacing w:after="240"/>
        <w:rPr>
          <w:b/>
          <w:szCs w:val="24"/>
        </w:rPr>
      </w:pPr>
      <w:r w:rsidRPr="00BC4730">
        <w:rPr>
          <w:b/>
          <w:szCs w:val="24"/>
        </w:rPr>
        <w:t>Care</w:t>
      </w:r>
      <w:r>
        <w:rPr>
          <w:b/>
          <w:szCs w:val="24"/>
        </w:rPr>
        <w:t xml:space="preserve"> – </w:t>
      </w:r>
      <w:r w:rsidRPr="00BC4730">
        <w:rPr>
          <w:szCs w:val="24"/>
        </w:rPr>
        <w:t xml:space="preserve">care revenue </w:t>
      </w:r>
      <w:r>
        <w:rPr>
          <w:szCs w:val="24"/>
        </w:rPr>
        <w:t xml:space="preserve">consists largely of ACFI revenue from Government, with costs associated with the delivery of care </w:t>
      </w:r>
      <w:r w:rsidR="004222AF">
        <w:rPr>
          <w:szCs w:val="24"/>
        </w:rPr>
        <w:t xml:space="preserve">and support </w:t>
      </w:r>
      <w:r>
        <w:rPr>
          <w:szCs w:val="24"/>
        </w:rPr>
        <w:t>to residents</w:t>
      </w:r>
    </w:p>
    <w:p w:rsidR="002100AC" w:rsidRDefault="00BC4730" w:rsidP="009630A9">
      <w:pPr>
        <w:pBdr>
          <w:top w:val="single" w:sz="4" w:space="1" w:color="auto"/>
          <w:left w:val="single" w:sz="4" w:space="4" w:color="auto"/>
          <w:bottom w:val="single" w:sz="4" w:space="20" w:color="auto"/>
          <w:right w:val="single" w:sz="4" w:space="4" w:color="auto"/>
        </w:pBdr>
        <w:shd w:val="clear" w:color="auto" w:fill="B1CBE9"/>
        <w:spacing w:after="240"/>
        <w:rPr>
          <w:szCs w:val="24"/>
        </w:rPr>
      </w:pPr>
      <w:r w:rsidRPr="002100AC">
        <w:rPr>
          <w:b/>
          <w:szCs w:val="24"/>
        </w:rPr>
        <w:t>Everyday Living</w:t>
      </w:r>
      <w:r w:rsidR="002100AC">
        <w:rPr>
          <w:b/>
          <w:szCs w:val="24"/>
        </w:rPr>
        <w:t xml:space="preserve"> – </w:t>
      </w:r>
      <w:r w:rsidR="002100AC" w:rsidRPr="002100AC">
        <w:rPr>
          <w:szCs w:val="24"/>
        </w:rPr>
        <w:t>everyday living</w:t>
      </w:r>
      <w:r w:rsidR="002100AC">
        <w:rPr>
          <w:b/>
          <w:szCs w:val="24"/>
        </w:rPr>
        <w:t xml:space="preserve"> </w:t>
      </w:r>
      <w:r w:rsidR="002100AC" w:rsidRPr="002100AC">
        <w:rPr>
          <w:szCs w:val="24"/>
        </w:rPr>
        <w:t>revenues</w:t>
      </w:r>
      <w:r w:rsidR="002100AC">
        <w:rPr>
          <w:szCs w:val="24"/>
        </w:rPr>
        <w:t xml:space="preserve"> are from the </w:t>
      </w:r>
      <w:r w:rsidR="00AB26C8">
        <w:rPr>
          <w:rFonts w:cstheme="minorHAnsi"/>
          <w:snapToGrid w:val="0"/>
          <w:szCs w:val="24"/>
        </w:rPr>
        <w:t>BDF</w:t>
      </w:r>
      <w:r w:rsidR="00AB26C8">
        <w:rPr>
          <w:szCs w:val="24"/>
        </w:rPr>
        <w:t xml:space="preserve"> and Additional s</w:t>
      </w:r>
      <w:r w:rsidR="002100AC">
        <w:rPr>
          <w:szCs w:val="24"/>
        </w:rPr>
        <w:t xml:space="preserve">ervice </w:t>
      </w:r>
      <w:r w:rsidR="00AB26C8">
        <w:rPr>
          <w:szCs w:val="24"/>
        </w:rPr>
        <w:t>f</w:t>
      </w:r>
      <w:r w:rsidR="002100AC">
        <w:rPr>
          <w:szCs w:val="24"/>
        </w:rPr>
        <w:t xml:space="preserve">ees. Everyday living costs consist of the costs of providing </w:t>
      </w:r>
      <w:r w:rsidR="002100AC" w:rsidRPr="002100AC">
        <w:rPr>
          <w:i/>
          <w:szCs w:val="24"/>
        </w:rPr>
        <w:t>hoteling services</w:t>
      </w:r>
      <w:r w:rsidR="002100AC">
        <w:rPr>
          <w:szCs w:val="24"/>
        </w:rPr>
        <w:t xml:space="preserve"> such as food and linen, </w:t>
      </w:r>
      <w:r w:rsidR="002100AC" w:rsidRPr="002100AC">
        <w:rPr>
          <w:i/>
          <w:szCs w:val="24"/>
        </w:rPr>
        <w:t>utilities</w:t>
      </w:r>
      <w:r w:rsidR="002100AC">
        <w:rPr>
          <w:szCs w:val="24"/>
        </w:rPr>
        <w:t xml:space="preserve"> (heating and cooling) and </w:t>
      </w:r>
      <w:r w:rsidR="002100AC" w:rsidRPr="002100AC">
        <w:rPr>
          <w:i/>
          <w:szCs w:val="24"/>
        </w:rPr>
        <w:t>maintenance</w:t>
      </w:r>
      <w:r w:rsidR="002100AC">
        <w:rPr>
          <w:szCs w:val="24"/>
        </w:rPr>
        <w:t>.</w:t>
      </w:r>
    </w:p>
    <w:p w:rsidR="00BC4730" w:rsidRDefault="002100AC" w:rsidP="009630A9">
      <w:pPr>
        <w:pBdr>
          <w:top w:val="single" w:sz="4" w:space="1" w:color="auto"/>
          <w:left w:val="single" w:sz="4" w:space="4" w:color="auto"/>
          <w:bottom w:val="single" w:sz="4" w:space="20" w:color="auto"/>
          <w:right w:val="single" w:sz="4" w:space="4" w:color="auto"/>
        </w:pBdr>
        <w:shd w:val="clear" w:color="auto" w:fill="B1CBE9"/>
        <w:spacing w:after="240"/>
        <w:rPr>
          <w:szCs w:val="24"/>
        </w:rPr>
      </w:pPr>
      <w:r w:rsidRPr="002100AC">
        <w:rPr>
          <w:b/>
          <w:szCs w:val="24"/>
        </w:rPr>
        <w:t>Accommodation</w:t>
      </w:r>
      <w:r>
        <w:rPr>
          <w:szCs w:val="24"/>
        </w:rPr>
        <w:t xml:space="preserve"> – accommodation revenues include revenues from individuals (</w:t>
      </w:r>
      <w:r w:rsidR="00C86988">
        <w:rPr>
          <w:szCs w:val="24"/>
        </w:rPr>
        <w:t>DAPs</w:t>
      </w:r>
      <w:r>
        <w:rPr>
          <w:szCs w:val="24"/>
        </w:rPr>
        <w:t>, interest on RADs and bonds) and government (accommodation supplements). Costs include rent and interest on loans.</w:t>
      </w:r>
    </w:p>
    <w:p w:rsidR="00C60288" w:rsidRPr="00C60288" w:rsidRDefault="00C86988" w:rsidP="009630A9">
      <w:pPr>
        <w:pBdr>
          <w:top w:val="single" w:sz="4" w:space="1" w:color="auto"/>
          <w:left w:val="single" w:sz="4" w:space="4" w:color="auto"/>
          <w:bottom w:val="single" w:sz="4" w:space="20" w:color="auto"/>
          <w:right w:val="single" w:sz="4" w:space="4" w:color="auto"/>
        </w:pBdr>
        <w:shd w:val="clear" w:color="auto" w:fill="B1CBE9"/>
        <w:spacing w:after="240"/>
        <w:rPr>
          <w:szCs w:val="24"/>
        </w:rPr>
      </w:pPr>
      <w:r w:rsidRPr="00C60288">
        <w:rPr>
          <w:b/>
          <w:bCs/>
          <w:szCs w:val="24"/>
        </w:rPr>
        <w:t>Administration</w:t>
      </w:r>
      <w:r w:rsidR="00C60288">
        <w:rPr>
          <w:szCs w:val="24"/>
        </w:rPr>
        <w:t xml:space="preserve"> – administration costs are not separately funded by either government or individuals. In this report a</w:t>
      </w:r>
      <w:r w:rsidR="00C60288" w:rsidRPr="00C60288">
        <w:rPr>
          <w:szCs w:val="24"/>
        </w:rPr>
        <w:t xml:space="preserve">dministration costs are allocated proportionally </w:t>
      </w:r>
      <w:r w:rsidR="00C60288">
        <w:rPr>
          <w:szCs w:val="24"/>
        </w:rPr>
        <w:t xml:space="preserve">between the other cost streams </w:t>
      </w:r>
      <w:r w:rsidR="00C60288" w:rsidRPr="00C60288">
        <w:rPr>
          <w:szCs w:val="24"/>
        </w:rPr>
        <w:t>in line with StewartBrown advice:</w:t>
      </w:r>
    </w:p>
    <w:p w:rsidR="007E3C92" w:rsidRDefault="00C60288" w:rsidP="009630A9">
      <w:pPr>
        <w:pBdr>
          <w:top w:val="single" w:sz="4" w:space="1" w:color="auto"/>
          <w:left w:val="single" w:sz="4" w:space="4" w:color="auto"/>
          <w:bottom w:val="single" w:sz="4" w:space="20" w:color="auto"/>
          <w:right w:val="single" w:sz="4" w:space="4" w:color="auto"/>
        </w:pBdr>
        <w:shd w:val="clear" w:color="auto" w:fill="B1CBE9"/>
        <w:spacing w:after="0"/>
        <w:ind w:firstLine="720"/>
        <w:rPr>
          <w:szCs w:val="24"/>
        </w:rPr>
      </w:pPr>
      <w:r w:rsidRPr="00C60288">
        <w:rPr>
          <w:szCs w:val="24"/>
        </w:rPr>
        <w:t>Care – 25%</w:t>
      </w:r>
    </w:p>
    <w:p w:rsidR="007E3C92" w:rsidRDefault="00C60288" w:rsidP="009630A9">
      <w:pPr>
        <w:pBdr>
          <w:top w:val="single" w:sz="4" w:space="1" w:color="auto"/>
          <w:left w:val="single" w:sz="4" w:space="4" w:color="auto"/>
          <w:bottom w:val="single" w:sz="4" w:space="20" w:color="auto"/>
          <w:right w:val="single" w:sz="4" w:space="4" w:color="auto"/>
        </w:pBdr>
        <w:shd w:val="clear" w:color="auto" w:fill="B1CBE9"/>
        <w:spacing w:after="0"/>
        <w:ind w:firstLine="720"/>
        <w:rPr>
          <w:szCs w:val="24"/>
        </w:rPr>
      </w:pPr>
      <w:r w:rsidRPr="00C60288">
        <w:rPr>
          <w:szCs w:val="24"/>
        </w:rPr>
        <w:t xml:space="preserve">Everyday </w:t>
      </w:r>
      <w:r w:rsidR="00E251AC">
        <w:rPr>
          <w:szCs w:val="24"/>
        </w:rPr>
        <w:t>l</w:t>
      </w:r>
      <w:r w:rsidRPr="00C60288">
        <w:rPr>
          <w:szCs w:val="24"/>
        </w:rPr>
        <w:t>iving – 30%, consisting of:</w:t>
      </w:r>
    </w:p>
    <w:p w:rsidR="007E3C92" w:rsidRDefault="00C60288" w:rsidP="009630A9">
      <w:pPr>
        <w:pBdr>
          <w:top w:val="single" w:sz="4" w:space="1" w:color="auto"/>
          <w:left w:val="single" w:sz="4" w:space="4" w:color="auto"/>
          <w:bottom w:val="single" w:sz="4" w:space="20" w:color="auto"/>
          <w:right w:val="single" w:sz="4" w:space="4" w:color="auto"/>
        </w:pBdr>
        <w:shd w:val="clear" w:color="auto" w:fill="B1CBE9"/>
        <w:spacing w:after="0"/>
        <w:ind w:firstLine="720"/>
        <w:rPr>
          <w:szCs w:val="24"/>
        </w:rPr>
      </w:pPr>
      <w:r>
        <w:rPr>
          <w:szCs w:val="24"/>
        </w:rPr>
        <w:tab/>
      </w:r>
      <w:r w:rsidRPr="00C60288">
        <w:rPr>
          <w:szCs w:val="24"/>
        </w:rPr>
        <w:t>Hotel services – 20%</w:t>
      </w:r>
    </w:p>
    <w:p w:rsidR="007E3C92" w:rsidRDefault="00C60288" w:rsidP="009630A9">
      <w:pPr>
        <w:pBdr>
          <w:top w:val="single" w:sz="4" w:space="1" w:color="auto"/>
          <w:left w:val="single" w:sz="4" w:space="4" w:color="auto"/>
          <w:bottom w:val="single" w:sz="4" w:space="20" w:color="auto"/>
          <w:right w:val="single" w:sz="4" w:space="4" w:color="auto"/>
        </w:pBdr>
        <w:shd w:val="clear" w:color="auto" w:fill="B1CBE9"/>
        <w:spacing w:after="0"/>
        <w:ind w:firstLine="720"/>
        <w:rPr>
          <w:szCs w:val="24"/>
        </w:rPr>
      </w:pPr>
      <w:r>
        <w:rPr>
          <w:szCs w:val="24"/>
        </w:rPr>
        <w:tab/>
      </w:r>
      <w:r w:rsidRPr="00C60288">
        <w:rPr>
          <w:szCs w:val="24"/>
        </w:rPr>
        <w:t>Utilities – 5%</w:t>
      </w:r>
    </w:p>
    <w:p w:rsidR="007E3C92" w:rsidRDefault="00C60288" w:rsidP="009630A9">
      <w:pPr>
        <w:pBdr>
          <w:top w:val="single" w:sz="4" w:space="1" w:color="auto"/>
          <w:left w:val="single" w:sz="4" w:space="4" w:color="auto"/>
          <w:bottom w:val="single" w:sz="4" w:space="20" w:color="auto"/>
          <w:right w:val="single" w:sz="4" w:space="4" w:color="auto"/>
        </w:pBdr>
        <w:shd w:val="clear" w:color="auto" w:fill="B1CBE9"/>
        <w:spacing w:after="0"/>
        <w:ind w:firstLine="720"/>
        <w:rPr>
          <w:szCs w:val="24"/>
        </w:rPr>
      </w:pPr>
      <w:r>
        <w:rPr>
          <w:szCs w:val="24"/>
        </w:rPr>
        <w:tab/>
      </w:r>
      <w:r w:rsidRPr="00C60288">
        <w:rPr>
          <w:szCs w:val="24"/>
        </w:rPr>
        <w:t>Property – 5%</w:t>
      </w:r>
    </w:p>
    <w:p w:rsidR="00C60288" w:rsidRDefault="00C60288" w:rsidP="009630A9">
      <w:pPr>
        <w:pBdr>
          <w:top w:val="single" w:sz="4" w:space="1" w:color="auto"/>
          <w:left w:val="single" w:sz="4" w:space="4" w:color="auto"/>
          <w:bottom w:val="single" w:sz="4" w:space="20" w:color="auto"/>
          <w:right w:val="single" w:sz="4" w:space="4" w:color="auto"/>
        </w:pBdr>
        <w:shd w:val="clear" w:color="auto" w:fill="B1CBE9"/>
        <w:spacing w:after="240"/>
        <w:ind w:firstLine="720"/>
        <w:contextualSpacing/>
        <w:rPr>
          <w:szCs w:val="24"/>
        </w:rPr>
      </w:pPr>
      <w:r w:rsidRPr="00C60288">
        <w:rPr>
          <w:szCs w:val="24"/>
        </w:rPr>
        <w:t>Accommodation – 45%</w:t>
      </w:r>
    </w:p>
    <w:p w:rsidR="008C6122" w:rsidRDefault="008C6122" w:rsidP="00C60288">
      <w:pPr>
        <w:pStyle w:val="Heading2"/>
        <w:rPr>
          <w:snapToGrid w:val="0"/>
        </w:rPr>
      </w:pPr>
      <w:r>
        <w:rPr>
          <w:snapToGrid w:val="0"/>
        </w:rPr>
        <w:t>In summary</w:t>
      </w:r>
    </w:p>
    <w:p w:rsidR="00DE359F" w:rsidRDefault="008C6122" w:rsidP="00DE359F">
      <w:pPr>
        <w:rPr>
          <w:rFonts w:ascii="Calibri" w:hAnsi="Calibri" w:cs="Calibri"/>
          <w:snapToGrid w:val="0"/>
          <w:szCs w:val="24"/>
        </w:rPr>
      </w:pPr>
      <w:r>
        <w:rPr>
          <w:rFonts w:ascii="Calibri" w:hAnsi="Calibri" w:cs="Calibri"/>
          <w:snapToGrid w:val="0"/>
          <w:szCs w:val="24"/>
        </w:rPr>
        <w:t>T</w:t>
      </w:r>
      <w:r w:rsidR="00DE359F">
        <w:rPr>
          <w:rFonts w:ascii="Calibri" w:hAnsi="Calibri" w:cs="Calibri"/>
          <w:snapToGrid w:val="0"/>
          <w:szCs w:val="24"/>
        </w:rPr>
        <w:t xml:space="preserve">here is no legislative requirement or expectation that the </w:t>
      </w:r>
      <w:r w:rsidR="00AB26C8">
        <w:rPr>
          <w:rFonts w:cstheme="minorHAnsi"/>
          <w:snapToGrid w:val="0"/>
          <w:szCs w:val="24"/>
        </w:rPr>
        <w:t>BDF</w:t>
      </w:r>
      <w:r w:rsidR="00DE359F">
        <w:rPr>
          <w:rFonts w:ascii="Calibri" w:hAnsi="Calibri" w:cs="Calibri"/>
          <w:snapToGrid w:val="0"/>
          <w:szCs w:val="24"/>
        </w:rPr>
        <w:t xml:space="preserve"> will be used to cover particular items or costs, and the distinctions that are commonly made in relation to ‘care’, ‘</w:t>
      </w:r>
      <w:r w:rsidR="008B24B9">
        <w:rPr>
          <w:rFonts w:ascii="Calibri" w:hAnsi="Calibri" w:cs="Calibri"/>
          <w:snapToGrid w:val="0"/>
          <w:szCs w:val="24"/>
        </w:rPr>
        <w:t>everyday living</w:t>
      </w:r>
      <w:r w:rsidR="00DE359F">
        <w:rPr>
          <w:rFonts w:ascii="Calibri" w:hAnsi="Calibri" w:cs="Calibri"/>
          <w:snapToGrid w:val="0"/>
          <w:szCs w:val="24"/>
        </w:rPr>
        <w:t xml:space="preserve">’ and ‘accommodation’ are based on convention rather than historical precedent. </w:t>
      </w:r>
    </w:p>
    <w:p w:rsidR="00DE359F" w:rsidRDefault="00DE359F" w:rsidP="00DE359F">
      <w:pPr>
        <w:rPr>
          <w:rFonts w:ascii="Calibri" w:hAnsi="Calibri" w:cs="Calibri"/>
          <w:snapToGrid w:val="0"/>
          <w:szCs w:val="24"/>
        </w:rPr>
      </w:pPr>
      <w:r w:rsidRPr="005C46E3">
        <w:rPr>
          <w:rFonts w:ascii="Calibri" w:hAnsi="Calibri" w:cs="Calibri"/>
          <w:snapToGrid w:val="0"/>
          <w:szCs w:val="24"/>
        </w:rPr>
        <w:t xml:space="preserve">However, ACFA </w:t>
      </w:r>
      <w:r>
        <w:rPr>
          <w:rFonts w:ascii="Calibri" w:hAnsi="Calibri" w:cs="Calibri"/>
          <w:snapToGrid w:val="0"/>
          <w:szCs w:val="24"/>
        </w:rPr>
        <w:t>considers</w:t>
      </w:r>
      <w:r w:rsidRPr="005C46E3">
        <w:rPr>
          <w:rFonts w:ascii="Calibri" w:hAnsi="Calibri" w:cs="Calibri"/>
          <w:snapToGrid w:val="0"/>
          <w:szCs w:val="24"/>
        </w:rPr>
        <w:t xml:space="preserve"> that there is merit in the partitioning of costs in this way</w:t>
      </w:r>
      <w:r>
        <w:rPr>
          <w:rFonts w:ascii="Calibri" w:hAnsi="Calibri" w:cs="Calibri"/>
          <w:snapToGrid w:val="0"/>
          <w:szCs w:val="24"/>
        </w:rPr>
        <w:t xml:space="preserve"> for the purposes of analysis and informing co-contribution policies. ACFA also supports the common proposition </w:t>
      </w:r>
      <w:r w:rsidRPr="005C46E3">
        <w:rPr>
          <w:rFonts w:ascii="Calibri" w:hAnsi="Calibri" w:cs="Calibri"/>
          <w:snapToGrid w:val="0"/>
          <w:szCs w:val="24"/>
        </w:rPr>
        <w:t xml:space="preserve">that the </w:t>
      </w:r>
      <w:r w:rsidR="00AB26C8">
        <w:rPr>
          <w:rFonts w:cstheme="minorHAnsi"/>
          <w:snapToGrid w:val="0"/>
          <w:szCs w:val="24"/>
        </w:rPr>
        <w:t>BDF</w:t>
      </w:r>
      <w:r w:rsidRPr="005C46E3">
        <w:rPr>
          <w:rFonts w:ascii="Calibri" w:hAnsi="Calibri" w:cs="Calibri"/>
          <w:snapToGrid w:val="0"/>
          <w:szCs w:val="24"/>
        </w:rPr>
        <w:t xml:space="preserve"> should be considered as an individual’s contribution towards meeting the cost of providing </w:t>
      </w:r>
      <w:r w:rsidR="009B5D1C">
        <w:rPr>
          <w:rFonts w:ascii="Calibri" w:hAnsi="Calibri" w:cs="Calibri"/>
          <w:snapToGrid w:val="0"/>
          <w:szCs w:val="24"/>
        </w:rPr>
        <w:t>everyday</w:t>
      </w:r>
      <w:r w:rsidRPr="005C46E3">
        <w:rPr>
          <w:rFonts w:ascii="Calibri" w:hAnsi="Calibri" w:cs="Calibri"/>
          <w:snapToGrid w:val="0"/>
          <w:szCs w:val="24"/>
        </w:rPr>
        <w:t xml:space="preserve"> living needs such as food, cooking, utility costs and maintenance</w:t>
      </w:r>
      <w:r>
        <w:rPr>
          <w:rFonts w:ascii="Calibri" w:hAnsi="Calibri" w:cs="Calibri"/>
          <w:snapToGrid w:val="0"/>
          <w:szCs w:val="24"/>
        </w:rPr>
        <w:t>, while noting that it may not be equitable to require all residents to cover the full cost of delivering these services.</w:t>
      </w:r>
    </w:p>
    <w:p w:rsidR="00E157AB" w:rsidRPr="007E3C92" w:rsidRDefault="00DE359F" w:rsidP="007E3C92">
      <w:pPr>
        <w:rPr>
          <w:rFonts w:ascii="Calibri" w:hAnsi="Calibri" w:cs="Calibri"/>
          <w:snapToGrid w:val="0"/>
          <w:szCs w:val="24"/>
        </w:rPr>
      </w:pPr>
      <w:r>
        <w:rPr>
          <w:rFonts w:ascii="Calibri" w:hAnsi="Calibri" w:cs="Calibri"/>
          <w:snapToGrid w:val="0"/>
          <w:szCs w:val="24"/>
        </w:rPr>
        <w:t xml:space="preserve">In considering the </w:t>
      </w:r>
      <w:r w:rsidR="00AB26C8">
        <w:rPr>
          <w:rFonts w:cstheme="minorHAnsi"/>
          <w:snapToGrid w:val="0"/>
          <w:szCs w:val="24"/>
        </w:rPr>
        <w:t>BDF</w:t>
      </w:r>
      <w:r>
        <w:rPr>
          <w:rFonts w:ascii="Calibri" w:hAnsi="Calibri" w:cs="Calibri"/>
          <w:snapToGrid w:val="0"/>
          <w:szCs w:val="24"/>
        </w:rPr>
        <w:t xml:space="preserve"> and its adequacy, the analysis in the remainder of this report has been conducted on the principle that, as far as possible, individuals should meet the costs of their own </w:t>
      </w:r>
      <w:r w:rsidR="009B5D1C">
        <w:rPr>
          <w:rFonts w:ascii="Calibri" w:hAnsi="Calibri" w:cs="Calibri"/>
          <w:snapToGrid w:val="0"/>
          <w:szCs w:val="24"/>
        </w:rPr>
        <w:t>everyday</w:t>
      </w:r>
      <w:r>
        <w:rPr>
          <w:rFonts w:ascii="Calibri" w:hAnsi="Calibri" w:cs="Calibri"/>
          <w:snapToGrid w:val="0"/>
          <w:szCs w:val="24"/>
        </w:rPr>
        <w:t xml:space="preserve"> living expenses.</w:t>
      </w:r>
      <w:r w:rsidR="00E157AB" w:rsidRPr="007E3C92">
        <w:rPr>
          <w:rFonts w:ascii="Calibri" w:hAnsi="Calibri" w:cs="Calibri"/>
          <w:snapToGrid w:val="0"/>
          <w:szCs w:val="24"/>
        </w:rPr>
        <w:br w:type="page"/>
      </w:r>
    </w:p>
    <w:p w:rsidR="001079F3" w:rsidRDefault="000A206F" w:rsidP="00840D91">
      <w:pPr>
        <w:pStyle w:val="Heading1"/>
        <w:numPr>
          <w:ilvl w:val="0"/>
          <w:numId w:val="14"/>
        </w:numPr>
        <w:spacing w:before="0" w:after="180"/>
      </w:pPr>
      <w:bookmarkStart w:id="23" w:name="_Toc66451046"/>
      <w:r>
        <w:t>Adequacy of the BDF as a funding source</w:t>
      </w:r>
      <w:bookmarkEnd w:id="23"/>
    </w:p>
    <w:p w:rsidR="000A206F" w:rsidRDefault="000A206F" w:rsidP="000A206F">
      <w:pPr>
        <w:rPr>
          <w:rFonts w:ascii="Calibri" w:hAnsi="Calibri" w:cs="Calibri"/>
          <w:snapToGrid w:val="0"/>
          <w:szCs w:val="24"/>
        </w:rPr>
      </w:pPr>
      <w:bookmarkStart w:id="24" w:name="_Toc23174324"/>
      <w:bookmarkStart w:id="25" w:name="_Toc25325885"/>
      <w:bookmarkStart w:id="26" w:name="_Toc25851852"/>
      <w:bookmarkStart w:id="27" w:name="_Toc25938497"/>
      <w:bookmarkStart w:id="28" w:name="_Toc26109060"/>
      <w:bookmarkStart w:id="29" w:name="_Toc23174329"/>
      <w:bookmarkStart w:id="30" w:name="_Toc25325888"/>
      <w:r>
        <w:rPr>
          <w:rFonts w:ascii="Calibri" w:hAnsi="Calibri" w:cs="Calibri"/>
          <w:snapToGrid w:val="0"/>
          <w:szCs w:val="24"/>
        </w:rPr>
        <w:t xml:space="preserve">Representations to the 2017 Legislated Review of Aged Care (the Tune Review) suggested that revenue from the </w:t>
      </w:r>
      <w:r w:rsidR="00AB26C8" w:rsidRPr="00F77893">
        <w:rPr>
          <w:rFonts w:ascii="Calibri" w:hAnsi="Calibri" w:cs="Calibri"/>
          <w:snapToGrid w:val="0"/>
          <w:szCs w:val="24"/>
        </w:rPr>
        <w:t>BDF</w:t>
      </w:r>
      <w:r>
        <w:rPr>
          <w:rFonts w:ascii="Calibri" w:hAnsi="Calibri" w:cs="Calibri"/>
          <w:snapToGrid w:val="0"/>
          <w:szCs w:val="24"/>
        </w:rPr>
        <w:t xml:space="preserve"> was insufficient to cover the costs of delivering </w:t>
      </w:r>
      <w:r w:rsidR="00A02462">
        <w:rPr>
          <w:rFonts w:ascii="Calibri" w:hAnsi="Calibri" w:cs="Calibri"/>
          <w:snapToGrid w:val="0"/>
          <w:szCs w:val="24"/>
        </w:rPr>
        <w:t>everyday living services</w:t>
      </w:r>
      <w:r>
        <w:rPr>
          <w:rFonts w:ascii="Calibri" w:hAnsi="Calibri" w:cs="Calibri"/>
          <w:snapToGrid w:val="0"/>
          <w:szCs w:val="24"/>
        </w:rPr>
        <w:t>.</w:t>
      </w:r>
    </w:p>
    <w:p w:rsidR="000A206F" w:rsidRDefault="000A206F" w:rsidP="000A206F">
      <w:pPr>
        <w:rPr>
          <w:rFonts w:ascii="Calibri" w:hAnsi="Calibri" w:cs="Calibri"/>
          <w:snapToGrid w:val="0"/>
          <w:szCs w:val="24"/>
        </w:rPr>
      </w:pPr>
      <w:r>
        <w:rPr>
          <w:rFonts w:ascii="Calibri" w:hAnsi="Calibri" w:cs="Calibri"/>
          <w:snapToGrid w:val="0"/>
          <w:szCs w:val="24"/>
        </w:rPr>
        <w:t>The financial data regularly obtained by ACFA through the Aged Care Financial Reports is not sufficiently segmented to analyse providers’ costs and revenues associated with daily living, utilities or maintenance. As a result, ACFA obtained detailed financial data from StewartBrown for the period up to the financial year ending 30 June 2020</w:t>
      </w:r>
      <w:r w:rsidRPr="002F7723">
        <w:rPr>
          <w:rFonts w:ascii="Calibri" w:hAnsi="Calibri" w:cs="Calibri"/>
          <w:snapToGrid w:val="0"/>
          <w:szCs w:val="24"/>
        </w:rPr>
        <w:t>.</w:t>
      </w:r>
    </w:p>
    <w:p w:rsidR="000A206F" w:rsidRDefault="000A206F" w:rsidP="000A206F">
      <w:pPr>
        <w:rPr>
          <w:rFonts w:ascii="Calibri" w:hAnsi="Calibri" w:cs="Calibri"/>
          <w:snapToGrid w:val="0"/>
          <w:szCs w:val="24"/>
        </w:rPr>
      </w:pPr>
      <w:r w:rsidRPr="000E49A3">
        <w:rPr>
          <w:rFonts w:ascii="Calibri" w:hAnsi="Calibri" w:cs="Calibri"/>
          <w:snapToGrid w:val="0"/>
          <w:szCs w:val="24"/>
        </w:rPr>
        <w:t>StewartBrown data provides financial data for 1113 se</w:t>
      </w:r>
      <w:r>
        <w:rPr>
          <w:rFonts w:ascii="Calibri" w:hAnsi="Calibri" w:cs="Calibri"/>
          <w:snapToGrid w:val="0"/>
          <w:szCs w:val="24"/>
        </w:rPr>
        <w:t>rvices across all MMM regions. Consistent with the distribution of aged care facilities more generally, the m</w:t>
      </w:r>
      <w:r w:rsidRPr="000E49A3">
        <w:rPr>
          <w:rFonts w:ascii="Calibri" w:hAnsi="Calibri" w:cs="Calibri"/>
          <w:snapToGrid w:val="0"/>
          <w:szCs w:val="24"/>
        </w:rPr>
        <w:t xml:space="preserve">ajority of these services are MMM1 (66%). </w:t>
      </w:r>
      <w:r>
        <w:rPr>
          <w:rFonts w:ascii="Calibri" w:hAnsi="Calibri" w:cs="Calibri"/>
          <w:snapToGrid w:val="0"/>
          <w:szCs w:val="24"/>
        </w:rPr>
        <w:t xml:space="preserve">While </w:t>
      </w:r>
      <w:r w:rsidRPr="000E49A3">
        <w:rPr>
          <w:rFonts w:ascii="Calibri" w:hAnsi="Calibri" w:cs="Calibri"/>
          <w:snapToGrid w:val="0"/>
          <w:szCs w:val="24"/>
        </w:rPr>
        <w:t>several large for</w:t>
      </w:r>
      <w:r>
        <w:rPr>
          <w:rFonts w:ascii="Calibri" w:hAnsi="Calibri" w:cs="Calibri"/>
          <w:snapToGrid w:val="0"/>
          <w:szCs w:val="24"/>
        </w:rPr>
        <w:t>-</w:t>
      </w:r>
      <w:r w:rsidRPr="000E49A3">
        <w:rPr>
          <w:rFonts w:ascii="Calibri" w:hAnsi="Calibri" w:cs="Calibri"/>
          <w:snapToGrid w:val="0"/>
          <w:szCs w:val="24"/>
        </w:rPr>
        <w:t>profit services are not included in the data</w:t>
      </w:r>
      <w:r>
        <w:rPr>
          <w:rFonts w:ascii="Calibri" w:hAnsi="Calibri" w:cs="Calibri"/>
          <w:snapToGrid w:val="0"/>
          <w:szCs w:val="24"/>
        </w:rPr>
        <w:t xml:space="preserve">, and </w:t>
      </w:r>
      <w:r w:rsidRPr="000E49A3">
        <w:rPr>
          <w:rFonts w:ascii="Calibri" w:hAnsi="Calibri" w:cs="Calibri"/>
          <w:snapToGrid w:val="0"/>
          <w:szCs w:val="24"/>
        </w:rPr>
        <w:t>there is an under</w:t>
      </w:r>
      <w:r w:rsidR="004222AF">
        <w:rPr>
          <w:rFonts w:ascii="Calibri" w:hAnsi="Calibri" w:cs="Calibri"/>
          <w:snapToGrid w:val="0"/>
          <w:szCs w:val="24"/>
        </w:rPr>
        <w:t>-</w:t>
      </w:r>
      <w:r w:rsidRPr="000E49A3">
        <w:rPr>
          <w:rFonts w:ascii="Calibri" w:hAnsi="Calibri" w:cs="Calibri"/>
          <w:snapToGrid w:val="0"/>
          <w:szCs w:val="24"/>
        </w:rPr>
        <w:t>representation of MMM6 and MMM7 services</w:t>
      </w:r>
      <w:r>
        <w:rPr>
          <w:rFonts w:ascii="Calibri" w:hAnsi="Calibri" w:cs="Calibri"/>
          <w:snapToGrid w:val="0"/>
          <w:szCs w:val="24"/>
        </w:rPr>
        <w:t>,</w:t>
      </w:r>
      <w:r w:rsidRPr="000E49A3">
        <w:rPr>
          <w:rFonts w:ascii="Calibri" w:hAnsi="Calibri" w:cs="Calibri"/>
          <w:snapToGrid w:val="0"/>
          <w:szCs w:val="24"/>
        </w:rPr>
        <w:t xml:space="preserve"> </w:t>
      </w:r>
      <w:r>
        <w:rPr>
          <w:rFonts w:ascii="Calibri" w:hAnsi="Calibri" w:cs="Calibri"/>
          <w:snapToGrid w:val="0"/>
          <w:szCs w:val="24"/>
        </w:rPr>
        <w:t>overall the StewartBrown data can be considered to be broadly representative of the sector as a whole.</w:t>
      </w:r>
    </w:p>
    <w:p w:rsidR="000A206F" w:rsidRDefault="000A206F" w:rsidP="000A206F">
      <w:pPr>
        <w:rPr>
          <w:rFonts w:ascii="Calibri" w:hAnsi="Calibri" w:cs="Calibri"/>
          <w:snapToGrid w:val="0"/>
          <w:szCs w:val="24"/>
        </w:rPr>
      </w:pPr>
      <w:r>
        <w:rPr>
          <w:rFonts w:ascii="Calibri" w:hAnsi="Calibri" w:cs="Calibri"/>
          <w:snapToGrid w:val="0"/>
          <w:szCs w:val="24"/>
        </w:rPr>
        <w:t>In its annual reports ACFA breaks down providers’ revenues into the following categories: care related; living related; accommodation related and other. Providers’ expenses are categorized as: care; accommodation; hotel; administration; financing; and other. While this approach is appropriate for considering the overall profitability of providers, it is not well</w:t>
      </w:r>
      <w:r>
        <w:rPr>
          <w:rFonts w:ascii="Calibri" w:hAnsi="Calibri" w:cs="Calibri"/>
          <w:snapToGrid w:val="0"/>
          <w:szCs w:val="24"/>
        </w:rPr>
        <w:noBreakHyphen/>
        <w:t xml:space="preserve">suited to considering the adequacy of the </w:t>
      </w:r>
      <w:r w:rsidR="00AB26C8">
        <w:rPr>
          <w:rFonts w:cstheme="minorHAnsi"/>
          <w:snapToGrid w:val="0"/>
          <w:szCs w:val="24"/>
        </w:rPr>
        <w:t>BDF</w:t>
      </w:r>
      <w:r>
        <w:rPr>
          <w:rFonts w:ascii="Calibri" w:hAnsi="Calibri" w:cs="Calibri"/>
          <w:snapToGrid w:val="0"/>
          <w:szCs w:val="24"/>
        </w:rPr>
        <w:t>.</w:t>
      </w:r>
    </w:p>
    <w:p w:rsidR="000A206F" w:rsidRDefault="000A206F" w:rsidP="000A206F">
      <w:pPr>
        <w:rPr>
          <w:rFonts w:ascii="Calibri" w:hAnsi="Calibri" w:cs="Calibri"/>
          <w:snapToGrid w:val="0"/>
          <w:szCs w:val="24"/>
        </w:rPr>
      </w:pPr>
      <w:r>
        <w:rPr>
          <w:rFonts w:ascii="Calibri" w:hAnsi="Calibri" w:cs="Calibri"/>
          <w:snapToGrid w:val="0"/>
          <w:szCs w:val="24"/>
        </w:rPr>
        <w:t>In particular</w:t>
      </w:r>
      <w:r w:rsidR="0055004B">
        <w:rPr>
          <w:rFonts w:ascii="Calibri" w:hAnsi="Calibri" w:cs="Calibri"/>
          <w:snapToGrid w:val="0"/>
          <w:szCs w:val="24"/>
        </w:rPr>
        <w:t>,</w:t>
      </w:r>
      <w:r>
        <w:rPr>
          <w:rFonts w:ascii="Calibri" w:hAnsi="Calibri" w:cs="Calibri"/>
          <w:snapToGrid w:val="0"/>
          <w:szCs w:val="24"/>
        </w:rPr>
        <w:t xml:space="preserve"> ACFA notes that providers do not have a separate revenue source to cover administration costs, which represented 11.8 per cent of total provider expenses in 2018</w:t>
      </w:r>
      <w:r>
        <w:rPr>
          <w:rFonts w:ascii="Calibri" w:hAnsi="Calibri" w:cs="Calibri"/>
          <w:snapToGrid w:val="0"/>
          <w:szCs w:val="24"/>
        </w:rPr>
        <w:noBreakHyphen/>
        <w:t xml:space="preserve">19. Instead, administration costs are expected to be funded from within the other sources of revenue, namely care revenue (ACFI), </w:t>
      </w:r>
      <w:r w:rsidR="009B5D1C">
        <w:rPr>
          <w:rFonts w:ascii="Calibri" w:hAnsi="Calibri" w:cs="Calibri"/>
          <w:snapToGrid w:val="0"/>
          <w:szCs w:val="24"/>
        </w:rPr>
        <w:t>everyday</w:t>
      </w:r>
      <w:r>
        <w:rPr>
          <w:rFonts w:ascii="Calibri" w:hAnsi="Calibri" w:cs="Calibri"/>
          <w:snapToGrid w:val="0"/>
          <w:szCs w:val="24"/>
        </w:rPr>
        <w:t xml:space="preserve"> living revenues (</w:t>
      </w:r>
      <w:r w:rsidR="00AB26C8">
        <w:rPr>
          <w:rFonts w:cstheme="minorHAnsi"/>
          <w:snapToGrid w:val="0"/>
          <w:szCs w:val="24"/>
        </w:rPr>
        <w:t>BDF</w:t>
      </w:r>
      <w:r w:rsidR="00AF11BE">
        <w:rPr>
          <w:rFonts w:ascii="Calibri" w:hAnsi="Calibri" w:cs="Calibri"/>
          <w:snapToGrid w:val="0"/>
          <w:szCs w:val="24"/>
        </w:rPr>
        <w:t>, additional service fees</w:t>
      </w:r>
      <w:r>
        <w:rPr>
          <w:rFonts w:ascii="Calibri" w:hAnsi="Calibri" w:cs="Calibri"/>
          <w:snapToGrid w:val="0"/>
          <w:szCs w:val="24"/>
        </w:rPr>
        <w:t>), accommodation revenues (DAPs, combinations and supplements) and/or other revenue (</w:t>
      </w:r>
      <w:r w:rsidR="00AF11BE">
        <w:rPr>
          <w:rFonts w:ascii="Calibri" w:hAnsi="Calibri" w:cs="Calibri"/>
          <w:snapToGrid w:val="0"/>
          <w:szCs w:val="24"/>
        </w:rPr>
        <w:t>interest</w:t>
      </w:r>
      <w:r w:rsidR="0055004B">
        <w:rPr>
          <w:rFonts w:ascii="Calibri" w:hAnsi="Calibri" w:cs="Calibri"/>
          <w:snapToGrid w:val="0"/>
          <w:szCs w:val="24"/>
        </w:rPr>
        <w:t xml:space="preserve"> – including </w:t>
      </w:r>
      <w:r w:rsidR="00D01A24">
        <w:rPr>
          <w:rFonts w:ascii="Calibri" w:hAnsi="Calibri" w:cs="Calibri"/>
          <w:snapToGrid w:val="0"/>
          <w:szCs w:val="24"/>
        </w:rPr>
        <w:t xml:space="preserve">interest </w:t>
      </w:r>
      <w:r w:rsidR="00AF11BE">
        <w:rPr>
          <w:rFonts w:ascii="Calibri" w:hAnsi="Calibri" w:cs="Calibri"/>
          <w:snapToGrid w:val="0"/>
          <w:szCs w:val="24"/>
        </w:rPr>
        <w:t xml:space="preserve">on </w:t>
      </w:r>
      <w:r w:rsidR="00D01A24">
        <w:rPr>
          <w:rFonts w:ascii="Calibri" w:hAnsi="Calibri" w:cs="Calibri"/>
          <w:snapToGrid w:val="0"/>
          <w:szCs w:val="24"/>
        </w:rPr>
        <w:t>RAD</w:t>
      </w:r>
      <w:r w:rsidR="0055004B">
        <w:rPr>
          <w:rFonts w:ascii="Calibri" w:hAnsi="Calibri" w:cs="Calibri"/>
          <w:snapToGrid w:val="0"/>
          <w:szCs w:val="24"/>
        </w:rPr>
        <w:t>s - and</w:t>
      </w:r>
      <w:r w:rsidR="00D01A24">
        <w:rPr>
          <w:rFonts w:ascii="Calibri" w:hAnsi="Calibri" w:cs="Calibri"/>
          <w:snapToGrid w:val="0"/>
          <w:szCs w:val="24"/>
        </w:rPr>
        <w:t xml:space="preserve"> fundraising</w:t>
      </w:r>
      <w:r>
        <w:rPr>
          <w:rFonts w:ascii="Calibri" w:hAnsi="Calibri" w:cs="Calibri"/>
          <w:snapToGrid w:val="0"/>
          <w:szCs w:val="24"/>
        </w:rPr>
        <w:t xml:space="preserve">). </w:t>
      </w:r>
    </w:p>
    <w:p w:rsidR="000A206F" w:rsidRDefault="000A206F" w:rsidP="000A206F">
      <w:pPr>
        <w:rPr>
          <w:color w:val="1F497D"/>
        </w:rPr>
      </w:pPr>
      <w:r>
        <w:rPr>
          <w:rFonts w:ascii="Calibri" w:hAnsi="Calibri" w:cs="Calibri"/>
          <w:snapToGrid w:val="0"/>
          <w:szCs w:val="24"/>
        </w:rPr>
        <w:t>Unless administration costs are to be completely covered by care</w:t>
      </w:r>
      <w:r w:rsidR="00E41FE7">
        <w:rPr>
          <w:rFonts w:ascii="Calibri" w:hAnsi="Calibri" w:cs="Calibri"/>
          <w:snapToGrid w:val="0"/>
          <w:szCs w:val="24"/>
        </w:rPr>
        <w:t xml:space="preserve"> revenue</w:t>
      </w:r>
      <w:r>
        <w:rPr>
          <w:rFonts w:ascii="Calibri" w:hAnsi="Calibri" w:cs="Calibri"/>
          <w:snapToGrid w:val="0"/>
          <w:szCs w:val="24"/>
        </w:rPr>
        <w:t xml:space="preserve">, accommodation </w:t>
      </w:r>
      <w:r w:rsidR="00E41FE7">
        <w:rPr>
          <w:rFonts w:ascii="Calibri" w:hAnsi="Calibri" w:cs="Calibri"/>
          <w:snapToGrid w:val="0"/>
          <w:szCs w:val="24"/>
        </w:rPr>
        <w:t xml:space="preserve">revenue </w:t>
      </w:r>
      <w:r>
        <w:rPr>
          <w:rFonts w:ascii="Calibri" w:hAnsi="Calibri" w:cs="Calibri"/>
          <w:snapToGrid w:val="0"/>
          <w:szCs w:val="24"/>
        </w:rPr>
        <w:t xml:space="preserve">or other revenue, the </w:t>
      </w:r>
      <w:r w:rsidR="00AB26C8">
        <w:rPr>
          <w:rFonts w:cstheme="minorHAnsi"/>
          <w:snapToGrid w:val="0"/>
          <w:szCs w:val="24"/>
        </w:rPr>
        <w:t>BDF</w:t>
      </w:r>
      <w:r>
        <w:rPr>
          <w:rFonts w:ascii="Calibri" w:hAnsi="Calibri" w:cs="Calibri"/>
          <w:snapToGrid w:val="0"/>
          <w:szCs w:val="24"/>
        </w:rPr>
        <w:t xml:space="preserve"> must be sufficient to cover both </w:t>
      </w:r>
      <w:r w:rsidR="009B5D1C">
        <w:rPr>
          <w:rFonts w:ascii="Calibri" w:hAnsi="Calibri" w:cs="Calibri"/>
          <w:snapToGrid w:val="0"/>
          <w:szCs w:val="24"/>
        </w:rPr>
        <w:t>everyday</w:t>
      </w:r>
      <w:r>
        <w:rPr>
          <w:rFonts w:ascii="Calibri" w:hAnsi="Calibri" w:cs="Calibri"/>
          <w:snapToGrid w:val="0"/>
          <w:szCs w:val="24"/>
        </w:rPr>
        <w:t xml:space="preserve"> living expenses incurred by providers</w:t>
      </w:r>
      <w:r w:rsidRPr="00750F42">
        <w:rPr>
          <w:rFonts w:ascii="Calibri" w:hAnsi="Calibri" w:cs="Calibri"/>
          <w:snapToGrid w:val="0"/>
          <w:szCs w:val="24"/>
        </w:rPr>
        <w:t xml:space="preserve"> and that proportion of providers’ administration expenses which relate to the expenses covered by the </w:t>
      </w:r>
      <w:r w:rsidR="00AB26C8">
        <w:rPr>
          <w:rFonts w:cstheme="minorHAnsi"/>
          <w:snapToGrid w:val="0"/>
          <w:szCs w:val="24"/>
        </w:rPr>
        <w:t>BDF</w:t>
      </w:r>
      <w:r w:rsidRPr="00750F42">
        <w:rPr>
          <w:rFonts w:ascii="Calibri" w:hAnsi="Calibri" w:cs="Calibri"/>
          <w:snapToGrid w:val="0"/>
          <w:szCs w:val="24"/>
        </w:rPr>
        <w:t>.</w:t>
      </w:r>
    </w:p>
    <w:p w:rsidR="000A206F" w:rsidRDefault="000A206F" w:rsidP="000A206F">
      <w:pPr>
        <w:rPr>
          <w:rFonts w:ascii="Calibri" w:hAnsi="Calibri" w:cs="Calibri"/>
          <w:snapToGrid w:val="0"/>
          <w:szCs w:val="24"/>
        </w:rPr>
      </w:pPr>
      <w:r>
        <w:rPr>
          <w:rFonts w:ascii="Calibri" w:hAnsi="Calibri" w:cs="Calibri"/>
          <w:snapToGrid w:val="0"/>
          <w:szCs w:val="24"/>
        </w:rPr>
        <w:t xml:space="preserve">On this basis, the data presented in this report for care costs, </w:t>
      </w:r>
      <w:r w:rsidR="009B5D1C">
        <w:rPr>
          <w:rFonts w:ascii="Calibri" w:hAnsi="Calibri" w:cs="Calibri"/>
          <w:snapToGrid w:val="0"/>
          <w:szCs w:val="24"/>
        </w:rPr>
        <w:t>everyday</w:t>
      </w:r>
      <w:r>
        <w:rPr>
          <w:rFonts w:ascii="Calibri" w:hAnsi="Calibri" w:cs="Calibri"/>
          <w:snapToGrid w:val="0"/>
          <w:szCs w:val="24"/>
        </w:rPr>
        <w:t xml:space="preserve"> living costs and accommodation costs include an amount for administration costs (allocated on a value proportional basis – noting that this may not be an exact reflection of relative administrative costs incurred under each). </w:t>
      </w:r>
    </w:p>
    <w:p w:rsidR="000A206F" w:rsidRDefault="000A206F" w:rsidP="000A206F">
      <w:pPr>
        <w:rPr>
          <w:rFonts w:ascii="Calibri" w:hAnsi="Calibri" w:cs="Calibri"/>
          <w:snapToGrid w:val="0"/>
          <w:szCs w:val="24"/>
        </w:rPr>
      </w:pPr>
      <w:r>
        <w:rPr>
          <w:rFonts w:ascii="Calibri" w:hAnsi="Calibri" w:cs="Calibri"/>
          <w:snapToGrid w:val="0"/>
          <w:szCs w:val="24"/>
        </w:rPr>
        <w:t>Table 1 shows that in 2019-20 care revenues exceeded the costs of delivering care (a</w:t>
      </w:r>
      <w:r w:rsidR="00A9406B">
        <w:rPr>
          <w:rFonts w:ascii="Calibri" w:hAnsi="Calibri" w:cs="Calibri"/>
          <w:snapToGrid w:val="0"/>
          <w:szCs w:val="24"/>
        </w:rPr>
        <w:t> </w:t>
      </w:r>
      <w:r>
        <w:rPr>
          <w:rFonts w:ascii="Calibri" w:hAnsi="Calibri" w:cs="Calibri"/>
          <w:snapToGrid w:val="0"/>
          <w:szCs w:val="24"/>
        </w:rPr>
        <w:t xml:space="preserve">positive ACFI result (row (C)) even after taking account an allocation of administration costs. In contrast, the </w:t>
      </w:r>
      <w:r w:rsidR="00E251AC">
        <w:rPr>
          <w:rFonts w:ascii="Calibri" w:hAnsi="Calibri" w:cs="Calibri"/>
          <w:snapToGrid w:val="0"/>
          <w:szCs w:val="24"/>
        </w:rPr>
        <w:t>e</w:t>
      </w:r>
      <w:r>
        <w:rPr>
          <w:rFonts w:ascii="Calibri" w:hAnsi="Calibri" w:cs="Calibri"/>
          <w:snapToGrid w:val="0"/>
          <w:szCs w:val="24"/>
        </w:rPr>
        <w:t xml:space="preserve">veryday </w:t>
      </w:r>
      <w:r w:rsidR="00E251AC">
        <w:rPr>
          <w:rFonts w:ascii="Calibri" w:hAnsi="Calibri" w:cs="Calibri"/>
          <w:snapToGrid w:val="0"/>
          <w:szCs w:val="24"/>
        </w:rPr>
        <w:t>l</w:t>
      </w:r>
      <w:r>
        <w:rPr>
          <w:rFonts w:ascii="Calibri" w:hAnsi="Calibri" w:cs="Calibri"/>
          <w:snapToGrid w:val="0"/>
          <w:szCs w:val="24"/>
        </w:rPr>
        <w:t xml:space="preserve">iving result was negative (row (F)), with the </w:t>
      </w:r>
      <w:r w:rsidR="00AB26C8">
        <w:rPr>
          <w:rFonts w:cstheme="minorHAnsi"/>
          <w:snapToGrid w:val="0"/>
          <w:szCs w:val="24"/>
        </w:rPr>
        <w:t>BDF</w:t>
      </w:r>
      <w:r>
        <w:rPr>
          <w:rFonts w:ascii="Calibri" w:hAnsi="Calibri" w:cs="Calibri"/>
          <w:snapToGrid w:val="0"/>
          <w:szCs w:val="24"/>
        </w:rPr>
        <w:t xml:space="preserve"> and revenue from additional services only sufficient to cover hoteling costs (such as food and cooking) in metropolitan areas. In more regional areas lower additional services revenue means that hoteling costs were not always covered by contributions from residents.</w:t>
      </w:r>
    </w:p>
    <w:p w:rsidR="000A206F" w:rsidRDefault="000A206F" w:rsidP="000A206F">
      <w:pPr>
        <w:rPr>
          <w:rFonts w:ascii="Calibri" w:hAnsi="Calibri" w:cs="Calibri"/>
          <w:snapToGrid w:val="0"/>
          <w:szCs w:val="24"/>
        </w:rPr>
      </w:pPr>
      <w:r>
        <w:rPr>
          <w:rFonts w:ascii="Calibri" w:hAnsi="Calibri" w:cs="Calibri"/>
          <w:snapToGrid w:val="0"/>
          <w:szCs w:val="24"/>
        </w:rPr>
        <w:t xml:space="preserve">In aggregate, providers are spending less on delivering care than they receive through the </w:t>
      </w:r>
      <w:r w:rsidR="0055004B">
        <w:rPr>
          <w:rFonts w:ascii="Calibri" w:hAnsi="Calibri" w:cs="Calibri"/>
          <w:snapToGrid w:val="0"/>
          <w:szCs w:val="24"/>
        </w:rPr>
        <w:t>ACFI</w:t>
      </w:r>
      <w:r>
        <w:rPr>
          <w:rFonts w:ascii="Calibri" w:hAnsi="Calibri" w:cs="Calibri"/>
          <w:snapToGrid w:val="0"/>
          <w:szCs w:val="24"/>
        </w:rPr>
        <w:t xml:space="preserve"> and that surplus partially offsets the deficits associated with providing </w:t>
      </w:r>
      <w:r w:rsidR="009B5D1C">
        <w:rPr>
          <w:rFonts w:ascii="Calibri" w:hAnsi="Calibri" w:cs="Calibri"/>
          <w:snapToGrid w:val="0"/>
          <w:szCs w:val="24"/>
        </w:rPr>
        <w:t>everyday</w:t>
      </w:r>
      <w:r>
        <w:rPr>
          <w:rFonts w:ascii="Calibri" w:hAnsi="Calibri" w:cs="Calibri"/>
          <w:snapToGrid w:val="0"/>
          <w:szCs w:val="24"/>
        </w:rPr>
        <w:t xml:space="preserve"> living needs such as food, cooking, utility costs and maintenance, as well as the deficit for accommodation services. </w:t>
      </w:r>
    </w:p>
    <w:p w:rsidR="000A206F" w:rsidRPr="00A61763" w:rsidRDefault="000A206F" w:rsidP="00A61763">
      <w:pPr>
        <w:rPr>
          <w:rStyle w:val="Strong"/>
        </w:rPr>
      </w:pPr>
      <w:r w:rsidRPr="00A61763">
        <w:rPr>
          <w:rStyle w:val="Strong"/>
        </w:rPr>
        <w:t>Table 1</w:t>
      </w:r>
    </w:p>
    <w:tbl>
      <w:tblPr>
        <w:tblStyle w:val="TableGrid"/>
        <w:tblW w:w="5000" w:type="pct"/>
        <w:tblLook w:val="04A0" w:firstRow="1" w:lastRow="0" w:firstColumn="1" w:lastColumn="0" w:noHBand="0" w:noVBand="1"/>
        <w:tblDescription w:val="Table 1 provides data on care costs and revenue from the 2019-20 StuartBrown Survey, for the first five Modified Monash Model (MMM) suburb and locality classifications. The table includes care costs and revenue, everyday living revenue and expenses, the net accommodation result and net COVID resut. This table reads left to right, top to bottom."/>
      </w:tblPr>
      <w:tblGrid>
        <w:gridCol w:w="4237"/>
        <w:gridCol w:w="955"/>
        <w:gridCol w:w="956"/>
        <w:gridCol w:w="956"/>
        <w:gridCol w:w="956"/>
        <w:gridCol w:w="956"/>
      </w:tblGrid>
      <w:tr w:rsidR="005356DB" w:rsidRPr="005356DB" w:rsidTr="00E606E5">
        <w:trPr>
          <w:cnfStyle w:val="100000000000" w:firstRow="1" w:lastRow="0" w:firstColumn="0" w:lastColumn="0" w:oddVBand="0" w:evenVBand="0" w:oddHBand="0" w:evenHBand="0" w:firstRowFirstColumn="0" w:firstRowLastColumn="0" w:lastRowFirstColumn="0" w:lastRowLastColumn="0"/>
          <w:trHeight w:val="315"/>
        </w:trPr>
        <w:tc>
          <w:tcPr>
            <w:tcW w:w="2350" w:type="pct"/>
            <w:noWrap/>
            <w:hideMark/>
          </w:tcPr>
          <w:p w:rsidR="000A206F" w:rsidRPr="005356DB" w:rsidRDefault="000A206F" w:rsidP="00F77893">
            <w:pPr>
              <w:rPr>
                <w:rStyle w:val="Strong"/>
              </w:rPr>
            </w:pPr>
            <w:r w:rsidRPr="005356DB">
              <w:rPr>
                <w:rStyle w:val="Strong"/>
              </w:rPr>
              <w:t>StewartBrown Survey</w:t>
            </w:r>
            <w:r w:rsidR="005B4A63" w:rsidRPr="005356DB">
              <w:rPr>
                <w:rStyle w:val="Strong"/>
              </w:rPr>
              <w:br/>
            </w:r>
            <w:r w:rsidRPr="005356DB">
              <w:rPr>
                <w:rStyle w:val="Strong"/>
              </w:rPr>
              <w:t>($</w:t>
            </w:r>
            <w:r w:rsidR="005B4A63" w:rsidRPr="005356DB">
              <w:rPr>
                <w:rStyle w:val="Strong"/>
              </w:rPr>
              <w:t xml:space="preserve"> per bed per day</w:t>
            </w:r>
            <w:r w:rsidRPr="005356DB">
              <w:rPr>
                <w:rStyle w:val="Strong"/>
              </w:rPr>
              <w:t>)</w:t>
            </w:r>
          </w:p>
        </w:tc>
        <w:tc>
          <w:tcPr>
            <w:tcW w:w="530" w:type="pct"/>
            <w:noWrap/>
            <w:vAlign w:val="bottom"/>
            <w:hideMark/>
          </w:tcPr>
          <w:p w:rsidR="000A206F" w:rsidRPr="005356DB" w:rsidRDefault="000A206F" w:rsidP="00E4223B">
            <w:pPr>
              <w:rPr>
                <w:rFonts w:cstheme="minorHAnsi"/>
                <w:szCs w:val="24"/>
              </w:rPr>
            </w:pPr>
            <w:r w:rsidRPr="005356DB">
              <w:rPr>
                <w:rFonts w:cstheme="minorHAnsi"/>
                <w:szCs w:val="24"/>
              </w:rPr>
              <w:t>MMM1</w:t>
            </w:r>
          </w:p>
        </w:tc>
        <w:tc>
          <w:tcPr>
            <w:tcW w:w="530" w:type="pct"/>
            <w:noWrap/>
            <w:vAlign w:val="bottom"/>
            <w:hideMark/>
          </w:tcPr>
          <w:p w:rsidR="000A206F" w:rsidRPr="005356DB" w:rsidRDefault="000A206F" w:rsidP="00E4223B">
            <w:pPr>
              <w:rPr>
                <w:rFonts w:cstheme="minorHAnsi"/>
                <w:szCs w:val="24"/>
              </w:rPr>
            </w:pPr>
            <w:r w:rsidRPr="005356DB">
              <w:rPr>
                <w:rFonts w:cstheme="minorHAnsi"/>
                <w:szCs w:val="24"/>
              </w:rPr>
              <w:t>MMM2</w:t>
            </w:r>
          </w:p>
        </w:tc>
        <w:tc>
          <w:tcPr>
            <w:tcW w:w="530" w:type="pct"/>
            <w:noWrap/>
            <w:vAlign w:val="bottom"/>
            <w:hideMark/>
          </w:tcPr>
          <w:p w:rsidR="000A206F" w:rsidRPr="005356DB" w:rsidRDefault="000A206F" w:rsidP="00E4223B">
            <w:pPr>
              <w:rPr>
                <w:rFonts w:cstheme="minorHAnsi"/>
                <w:szCs w:val="24"/>
              </w:rPr>
            </w:pPr>
            <w:r w:rsidRPr="005356DB">
              <w:rPr>
                <w:rFonts w:cstheme="minorHAnsi"/>
                <w:szCs w:val="24"/>
              </w:rPr>
              <w:t>MMM3</w:t>
            </w:r>
          </w:p>
        </w:tc>
        <w:tc>
          <w:tcPr>
            <w:tcW w:w="530" w:type="pct"/>
            <w:noWrap/>
            <w:vAlign w:val="bottom"/>
            <w:hideMark/>
          </w:tcPr>
          <w:p w:rsidR="000A206F" w:rsidRPr="005356DB" w:rsidRDefault="000A206F" w:rsidP="00E4223B">
            <w:pPr>
              <w:rPr>
                <w:rFonts w:cstheme="minorHAnsi"/>
                <w:szCs w:val="24"/>
              </w:rPr>
            </w:pPr>
            <w:r w:rsidRPr="005356DB">
              <w:rPr>
                <w:rFonts w:cstheme="minorHAnsi"/>
                <w:szCs w:val="24"/>
              </w:rPr>
              <w:t>MMM4</w:t>
            </w:r>
          </w:p>
        </w:tc>
        <w:tc>
          <w:tcPr>
            <w:tcW w:w="529" w:type="pct"/>
            <w:noWrap/>
            <w:vAlign w:val="bottom"/>
            <w:hideMark/>
          </w:tcPr>
          <w:p w:rsidR="000A206F" w:rsidRPr="005356DB" w:rsidRDefault="000A206F" w:rsidP="00E4223B">
            <w:pPr>
              <w:rPr>
                <w:rFonts w:cstheme="minorHAnsi"/>
                <w:szCs w:val="24"/>
              </w:rPr>
            </w:pPr>
            <w:r w:rsidRPr="005356DB">
              <w:rPr>
                <w:rFonts w:cstheme="minorHAnsi"/>
                <w:szCs w:val="24"/>
              </w:rPr>
              <w:t>MMM5</w:t>
            </w:r>
          </w:p>
        </w:tc>
      </w:tr>
      <w:tr w:rsidR="00F77893" w:rsidRPr="005356DB" w:rsidTr="005356DB">
        <w:trPr>
          <w:trHeight w:val="300"/>
          <w:tblHeader w:val="0"/>
        </w:trPr>
        <w:tc>
          <w:tcPr>
            <w:tcW w:w="5000" w:type="pct"/>
            <w:gridSpan w:val="6"/>
            <w:noWrap/>
          </w:tcPr>
          <w:p w:rsidR="00F77893" w:rsidRPr="005356DB" w:rsidRDefault="00F77893" w:rsidP="00F77893">
            <w:pPr>
              <w:spacing w:before="240"/>
              <w:rPr>
                <w:rStyle w:val="Strong"/>
                <w:rFonts w:cstheme="minorHAnsi"/>
                <w:szCs w:val="24"/>
                <w:u w:val="single"/>
              </w:rPr>
            </w:pPr>
            <w:r w:rsidRPr="005356DB">
              <w:rPr>
                <w:rStyle w:val="Strong"/>
                <w:rFonts w:cstheme="minorHAnsi"/>
                <w:szCs w:val="24"/>
                <w:u w:val="single"/>
              </w:rPr>
              <w:t>Care</w:t>
            </w:r>
          </w:p>
        </w:tc>
      </w:tr>
      <w:tr w:rsidR="005356DB" w:rsidRPr="005356DB" w:rsidTr="00E4223B">
        <w:trPr>
          <w:trHeight w:val="300"/>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 xml:space="preserve">ACFI Revenue </w:t>
            </w:r>
            <w:r w:rsidRPr="005356DB">
              <w:rPr>
                <w:rFonts w:cstheme="minorHAnsi"/>
                <w:color w:val="FF0000"/>
                <w:szCs w:val="24"/>
              </w:rPr>
              <w:t>(A)</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183.59</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179.47</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177.29</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172.98</w:t>
            </w:r>
          </w:p>
        </w:tc>
        <w:tc>
          <w:tcPr>
            <w:tcW w:w="529" w:type="pct"/>
            <w:noWrap/>
            <w:vAlign w:val="bottom"/>
            <w:hideMark/>
          </w:tcPr>
          <w:p w:rsidR="000A206F" w:rsidRPr="005356DB" w:rsidRDefault="000A206F" w:rsidP="00E4223B">
            <w:pPr>
              <w:jc w:val="right"/>
              <w:rPr>
                <w:rFonts w:cstheme="minorHAnsi"/>
                <w:szCs w:val="24"/>
              </w:rPr>
            </w:pPr>
            <w:r w:rsidRPr="005356DB">
              <w:rPr>
                <w:rFonts w:cstheme="minorHAnsi"/>
                <w:szCs w:val="24"/>
              </w:rPr>
              <w:t>172.49</w:t>
            </w:r>
          </w:p>
        </w:tc>
      </w:tr>
      <w:tr w:rsidR="005356DB" w:rsidRPr="005356DB" w:rsidTr="00E4223B">
        <w:trPr>
          <w:trHeight w:val="315"/>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 xml:space="preserve">ACFI Services Costs </w:t>
            </w:r>
            <w:r w:rsidRPr="005356DB">
              <w:rPr>
                <w:rFonts w:cstheme="minorHAnsi"/>
                <w:color w:val="FF0000"/>
                <w:szCs w:val="24"/>
              </w:rPr>
              <w:t>(B)</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167.23</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166.05</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163.07</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160.02</w:t>
            </w:r>
          </w:p>
        </w:tc>
        <w:tc>
          <w:tcPr>
            <w:tcW w:w="529"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165.23</w:t>
            </w:r>
          </w:p>
        </w:tc>
      </w:tr>
      <w:tr w:rsidR="005356DB" w:rsidRPr="005356DB" w:rsidTr="00E4223B">
        <w:trPr>
          <w:trHeight w:val="315"/>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 xml:space="preserve">ACFI Result </w:t>
            </w:r>
            <w:r w:rsidRPr="005356DB">
              <w:rPr>
                <w:rFonts w:cstheme="minorHAnsi"/>
                <w:color w:val="FF0000"/>
                <w:szCs w:val="24"/>
              </w:rPr>
              <w:t>(A - B) (C)</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16.36</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13.41</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14.22</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12.96</w:t>
            </w:r>
          </w:p>
        </w:tc>
        <w:tc>
          <w:tcPr>
            <w:tcW w:w="529"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7.27</w:t>
            </w:r>
          </w:p>
        </w:tc>
      </w:tr>
      <w:tr w:rsidR="00F77893" w:rsidRPr="005356DB" w:rsidTr="005356DB">
        <w:trPr>
          <w:trHeight w:val="300"/>
          <w:tblHeader w:val="0"/>
        </w:trPr>
        <w:tc>
          <w:tcPr>
            <w:tcW w:w="5000" w:type="pct"/>
            <w:gridSpan w:val="6"/>
            <w:noWrap/>
            <w:hideMark/>
          </w:tcPr>
          <w:p w:rsidR="00F77893" w:rsidRPr="005356DB" w:rsidRDefault="00F77893" w:rsidP="00F77893">
            <w:pPr>
              <w:spacing w:before="240"/>
              <w:rPr>
                <w:rStyle w:val="Strong"/>
                <w:rFonts w:cstheme="minorHAnsi"/>
                <w:szCs w:val="24"/>
                <w:u w:val="single"/>
              </w:rPr>
            </w:pPr>
            <w:r w:rsidRPr="005356DB">
              <w:rPr>
                <w:rStyle w:val="Strong"/>
                <w:rFonts w:cstheme="minorHAnsi"/>
                <w:szCs w:val="24"/>
                <w:u w:val="single"/>
              </w:rPr>
              <w:t>Everyday Living – Revenue</w:t>
            </w:r>
          </w:p>
        </w:tc>
      </w:tr>
      <w:tr w:rsidR="005356DB" w:rsidRPr="005356DB" w:rsidTr="00E4223B">
        <w:trPr>
          <w:trHeight w:val="300"/>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Basic Daily Fee</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51.67</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51.53</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51.71</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51.85</w:t>
            </w:r>
          </w:p>
        </w:tc>
        <w:tc>
          <w:tcPr>
            <w:tcW w:w="529" w:type="pct"/>
            <w:noWrap/>
            <w:vAlign w:val="bottom"/>
            <w:hideMark/>
          </w:tcPr>
          <w:p w:rsidR="000A206F" w:rsidRPr="005356DB" w:rsidRDefault="000A206F" w:rsidP="00E4223B">
            <w:pPr>
              <w:jc w:val="right"/>
              <w:rPr>
                <w:rFonts w:cstheme="minorHAnsi"/>
                <w:szCs w:val="24"/>
              </w:rPr>
            </w:pPr>
            <w:r w:rsidRPr="005356DB">
              <w:rPr>
                <w:rFonts w:cstheme="minorHAnsi"/>
                <w:szCs w:val="24"/>
              </w:rPr>
              <w:t>51.79</w:t>
            </w:r>
          </w:p>
        </w:tc>
      </w:tr>
      <w:tr w:rsidR="005356DB" w:rsidRPr="005356DB" w:rsidTr="00E4223B">
        <w:trPr>
          <w:trHeight w:val="315"/>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 xml:space="preserve">Additional </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2.94</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1.04</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0.43</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0.45</w:t>
            </w:r>
          </w:p>
        </w:tc>
        <w:tc>
          <w:tcPr>
            <w:tcW w:w="529"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0.36</w:t>
            </w:r>
          </w:p>
        </w:tc>
      </w:tr>
      <w:tr w:rsidR="005356DB" w:rsidRPr="005356DB" w:rsidTr="00E4223B">
        <w:trPr>
          <w:trHeight w:val="315"/>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 xml:space="preserve">Everyday Living Revenue </w:t>
            </w:r>
            <w:r w:rsidRPr="005356DB">
              <w:rPr>
                <w:rFonts w:cstheme="minorHAnsi"/>
                <w:color w:val="FF0000"/>
                <w:szCs w:val="24"/>
              </w:rPr>
              <w:t>(D)</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54.61</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52.56</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52.14</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52.30</w:t>
            </w:r>
          </w:p>
        </w:tc>
        <w:tc>
          <w:tcPr>
            <w:tcW w:w="529"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52.15</w:t>
            </w:r>
          </w:p>
        </w:tc>
      </w:tr>
      <w:tr w:rsidR="00F77893" w:rsidRPr="005356DB" w:rsidTr="005356DB">
        <w:trPr>
          <w:trHeight w:val="300"/>
          <w:tblHeader w:val="0"/>
        </w:trPr>
        <w:tc>
          <w:tcPr>
            <w:tcW w:w="5000" w:type="pct"/>
            <w:gridSpan w:val="6"/>
            <w:noWrap/>
          </w:tcPr>
          <w:p w:rsidR="00F77893" w:rsidRPr="005356DB" w:rsidRDefault="00F77893" w:rsidP="00F77893">
            <w:pPr>
              <w:spacing w:before="240"/>
              <w:rPr>
                <w:rStyle w:val="Strong"/>
                <w:rFonts w:cstheme="minorHAnsi"/>
                <w:szCs w:val="24"/>
                <w:u w:val="single"/>
              </w:rPr>
            </w:pPr>
            <w:r w:rsidRPr="005356DB">
              <w:rPr>
                <w:rStyle w:val="Strong"/>
                <w:rFonts w:cstheme="minorHAnsi"/>
                <w:szCs w:val="24"/>
                <w:u w:val="single"/>
              </w:rPr>
              <w:t>Everyday Living – Expenses</w:t>
            </w:r>
          </w:p>
        </w:tc>
      </w:tr>
      <w:tr w:rsidR="005356DB" w:rsidRPr="005356DB" w:rsidTr="00E4223B">
        <w:trPr>
          <w:trHeight w:val="300"/>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Hoteling</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52.66</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52.81</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52.55</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53.74</w:t>
            </w:r>
          </w:p>
        </w:tc>
        <w:tc>
          <w:tcPr>
            <w:tcW w:w="529" w:type="pct"/>
            <w:noWrap/>
            <w:vAlign w:val="bottom"/>
            <w:hideMark/>
          </w:tcPr>
          <w:p w:rsidR="000A206F" w:rsidRPr="005356DB" w:rsidRDefault="000A206F" w:rsidP="00E4223B">
            <w:pPr>
              <w:jc w:val="right"/>
              <w:rPr>
                <w:rFonts w:cstheme="minorHAnsi"/>
                <w:szCs w:val="24"/>
              </w:rPr>
            </w:pPr>
            <w:r w:rsidRPr="005356DB">
              <w:rPr>
                <w:rFonts w:cstheme="minorHAnsi"/>
                <w:szCs w:val="24"/>
              </w:rPr>
              <w:t>52.13</w:t>
            </w:r>
          </w:p>
        </w:tc>
      </w:tr>
      <w:tr w:rsidR="005356DB" w:rsidRPr="005356DB" w:rsidTr="00E4223B">
        <w:trPr>
          <w:trHeight w:val="300"/>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Utilities</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8.57</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10.52</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8.96</w:t>
            </w:r>
          </w:p>
        </w:tc>
        <w:tc>
          <w:tcPr>
            <w:tcW w:w="530" w:type="pct"/>
            <w:noWrap/>
            <w:vAlign w:val="bottom"/>
            <w:hideMark/>
          </w:tcPr>
          <w:p w:rsidR="000A206F" w:rsidRPr="005356DB" w:rsidRDefault="000A206F" w:rsidP="00E4223B">
            <w:pPr>
              <w:jc w:val="right"/>
              <w:rPr>
                <w:rFonts w:cstheme="minorHAnsi"/>
                <w:szCs w:val="24"/>
              </w:rPr>
            </w:pPr>
            <w:r w:rsidRPr="005356DB">
              <w:rPr>
                <w:rFonts w:cstheme="minorHAnsi"/>
                <w:szCs w:val="24"/>
              </w:rPr>
              <w:t>9.02</w:t>
            </w:r>
          </w:p>
        </w:tc>
        <w:tc>
          <w:tcPr>
            <w:tcW w:w="529" w:type="pct"/>
            <w:noWrap/>
            <w:vAlign w:val="bottom"/>
            <w:hideMark/>
          </w:tcPr>
          <w:p w:rsidR="000A206F" w:rsidRPr="005356DB" w:rsidRDefault="000A206F" w:rsidP="00E4223B">
            <w:pPr>
              <w:jc w:val="right"/>
              <w:rPr>
                <w:rFonts w:cstheme="minorHAnsi"/>
                <w:szCs w:val="24"/>
              </w:rPr>
            </w:pPr>
            <w:r w:rsidRPr="005356DB">
              <w:rPr>
                <w:rFonts w:cstheme="minorHAnsi"/>
                <w:szCs w:val="24"/>
              </w:rPr>
              <w:t>9.62</w:t>
            </w:r>
          </w:p>
        </w:tc>
      </w:tr>
      <w:tr w:rsidR="005356DB" w:rsidRPr="005356DB" w:rsidTr="009630A9">
        <w:trPr>
          <w:trHeight w:val="300"/>
          <w:tblHeader w:val="0"/>
        </w:trPr>
        <w:tc>
          <w:tcPr>
            <w:tcW w:w="2350" w:type="pct"/>
            <w:noWrap/>
            <w:hideMark/>
          </w:tcPr>
          <w:p w:rsidR="000A206F" w:rsidRPr="005356DB" w:rsidRDefault="000A206F" w:rsidP="00F77893">
            <w:pPr>
              <w:rPr>
                <w:rFonts w:cstheme="minorHAnsi"/>
                <w:szCs w:val="24"/>
              </w:rPr>
            </w:pPr>
            <w:r w:rsidRPr="005356DB">
              <w:rPr>
                <w:rFonts w:cstheme="minorHAnsi"/>
                <w:szCs w:val="24"/>
              </w:rPr>
              <w:t>Maintenance</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12.26</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13.50</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11.79</w:t>
            </w:r>
          </w:p>
        </w:tc>
        <w:tc>
          <w:tcPr>
            <w:tcW w:w="530"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13.21</w:t>
            </w:r>
          </w:p>
        </w:tc>
        <w:tc>
          <w:tcPr>
            <w:tcW w:w="529" w:type="pct"/>
            <w:tcBorders>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13.82</w:t>
            </w:r>
          </w:p>
        </w:tc>
      </w:tr>
      <w:tr w:rsidR="005356DB" w:rsidRPr="005356DB" w:rsidTr="009630A9">
        <w:trPr>
          <w:trHeight w:val="315"/>
          <w:tblHeader w:val="0"/>
        </w:trPr>
        <w:tc>
          <w:tcPr>
            <w:tcW w:w="2350" w:type="pct"/>
            <w:noWrap/>
            <w:hideMark/>
          </w:tcPr>
          <w:p w:rsidR="000A206F" w:rsidRPr="005356DB" w:rsidRDefault="000A206F" w:rsidP="00F77893">
            <w:pPr>
              <w:rPr>
                <w:rFonts w:cstheme="minorHAnsi"/>
                <w:i/>
                <w:iCs/>
                <w:szCs w:val="24"/>
              </w:rPr>
            </w:pPr>
            <w:r w:rsidRPr="005356DB">
              <w:rPr>
                <w:rFonts w:cstheme="minorHAnsi"/>
                <w:i/>
                <w:iCs/>
                <w:szCs w:val="24"/>
              </w:rPr>
              <w:t xml:space="preserve">Everyday Living Expenses </w:t>
            </w:r>
            <w:r w:rsidRPr="005356DB">
              <w:rPr>
                <w:rFonts w:cstheme="minorHAnsi"/>
                <w:i/>
                <w:iCs/>
                <w:color w:val="FF0000"/>
                <w:szCs w:val="24"/>
              </w:rPr>
              <w:t>(E)</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73.50</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76.83</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73.30</w:t>
            </w:r>
          </w:p>
        </w:tc>
        <w:tc>
          <w:tcPr>
            <w:tcW w:w="530"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75.98</w:t>
            </w:r>
          </w:p>
        </w:tc>
        <w:tc>
          <w:tcPr>
            <w:tcW w:w="529" w:type="pct"/>
            <w:tcBorders>
              <w:top w:val="single" w:sz="4" w:space="0" w:color="auto"/>
              <w:bottom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75.56</w:t>
            </w:r>
          </w:p>
        </w:tc>
      </w:tr>
      <w:tr w:rsidR="00E4223B" w:rsidRPr="005356DB" w:rsidTr="009630A9">
        <w:trPr>
          <w:trHeight w:val="315"/>
          <w:tblHeader w:val="0"/>
        </w:trPr>
        <w:tc>
          <w:tcPr>
            <w:tcW w:w="2350" w:type="pct"/>
            <w:shd w:val="clear" w:color="auto" w:fill="FBE4D5" w:themeFill="accent2" w:themeFillTint="33"/>
            <w:noWrap/>
            <w:hideMark/>
          </w:tcPr>
          <w:p w:rsidR="000A206F" w:rsidRPr="005356DB" w:rsidRDefault="000A206F" w:rsidP="00F77893">
            <w:pPr>
              <w:rPr>
                <w:rStyle w:val="Strong"/>
                <w:rFonts w:cstheme="minorHAnsi"/>
                <w:szCs w:val="24"/>
              </w:rPr>
            </w:pPr>
            <w:r w:rsidRPr="005356DB">
              <w:rPr>
                <w:rStyle w:val="Strong"/>
                <w:rFonts w:cstheme="minorHAnsi"/>
                <w:szCs w:val="24"/>
              </w:rPr>
              <w:t>Everyday Living Result (D - E) (F)</w:t>
            </w:r>
          </w:p>
        </w:tc>
        <w:tc>
          <w:tcPr>
            <w:tcW w:w="530" w:type="pct"/>
            <w:tcBorders>
              <w:top w:val="single" w:sz="4" w:space="0" w:color="auto"/>
              <w:bottom w:val="single" w:sz="4" w:space="0" w:color="auto"/>
            </w:tcBorders>
            <w:shd w:val="clear" w:color="auto" w:fill="FBE4D5" w:themeFill="accent2" w:themeFillTint="33"/>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(18.89)</w:t>
            </w:r>
          </w:p>
        </w:tc>
        <w:tc>
          <w:tcPr>
            <w:tcW w:w="530" w:type="pct"/>
            <w:tcBorders>
              <w:top w:val="single" w:sz="4" w:space="0" w:color="auto"/>
              <w:bottom w:val="single" w:sz="4" w:space="0" w:color="auto"/>
            </w:tcBorders>
            <w:shd w:val="clear" w:color="auto" w:fill="FBE4D5" w:themeFill="accent2" w:themeFillTint="33"/>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(24.27)</w:t>
            </w:r>
          </w:p>
        </w:tc>
        <w:tc>
          <w:tcPr>
            <w:tcW w:w="530" w:type="pct"/>
            <w:tcBorders>
              <w:top w:val="single" w:sz="4" w:space="0" w:color="auto"/>
              <w:bottom w:val="single" w:sz="4" w:space="0" w:color="auto"/>
            </w:tcBorders>
            <w:shd w:val="clear" w:color="auto" w:fill="FBE4D5" w:themeFill="accent2" w:themeFillTint="33"/>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(21.16)</w:t>
            </w:r>
          </w:p>
        </w:tc>
        <w:tc>
          <w:tcPr>
            <w:tcW w:w="530" w:type="pct"/>
            <w:tcBorders>
              <w:top w:val="single" w:sz="4" w:space="0" w:color="auto"/>
              <w:bottom w:val="single" w:sz="4" w:space="0" w:color="auto"/>
            </w:tcBorders>
            <w:shd w:val="clear" w:color="auto" w:fill="FBE4D5" w:themeFill="accent2" w:themeFillTint="33"/>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(23.68)</w:t>
            </w:r>
          </w:p>
        </w:tc>
        <w:tc>
          <w:tcPr>
            <w:tcW w:w="529" w:type="pct"/>
            <w:tcBorders>
              <w:top w:val="single" w:sz="4" w:space="0" w:color="auto"/>
              <w:bottom w:val="single" w:sz="4" w:space="0" w:color="auto"/>
            </w:tcBorders>
            <w:shd w:val="clear" w:color="auto" w:fill="FBE4D5" w:themeFill="accent2" w:themeFillTint="33"/>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(23.40)</w:t>
            </w:r>
          </w:p>
        </w:tc>
      </w:tr>
      <w:tr w:rsidR="005356DB" w:rsidRPr="005356DB" w:rsidTr="00E4223B">
        <w:trPr>
          <w:trHeight w:val="300"/>
          <w:tblHeader w:val="0"/>
        </w:trPr>
        <w:tc>
          <w:tcPr>
            <w:tcW w:w="2350" w:type="pct"/>
            <w:noWrap/>
            <w:hideMark/>
          </w:tcPr>
          <w:p w:rsidR="000A206F" w:rsidRPr="005356DB" w:rsidRDefault="000A206F" w:rsidP="00F77893">
            <w:pPr>
              <w:spacing w:before="240"/>
              <w:rPr>
                <w:rStyle w:val="Strong"/>
                <w:rFonts w:cstheme="minorHAnsi"/>
                <w:szCs w:val="24"/>
              </w:rPr>
            </w:pPr>
            <w:r w:rsidRPr="005356DB">
              <w:rPr>
                <w:rStyle w:val="Strong"/>
                <w:rFonts w:cstheme="minorHAnsi"/>
                <w:szCs w:val="24"/>
              </w:rPr>
              <w:t>Cost of Care (B + E)</w:t>
            </w:r>
          </w:p>
        </w:tc>
        <w:tc>
          <w:tcPr>
            <w:tcW w:w="530" w:type="pct"/>
            <w:tcBorders>
              <w:top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240.73</w:t>
            </w:r>
          </w:p>
        </w:tc>
        <w:tc>
          <w:tcPr>
            <w:tcW w:w="530" w:type="pct"/>
            <w:tcBorders>
              <w:top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242.88</w:t>
            </w:r>
          </w:p>
        </w:tc>
        <w:tc>
          <w:tcPr>
            <w:tcW w:w="530" w:type="pct"/>
            <w:tcBorders>
              <w:top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236.37</w:t>
            </w:r>
          </w:p>
        </w:tc>
        <w:tc>
          <w:tcPr>
            <w:tcW w:w="530" w:type="pct"/>
            <w:tcBorders>
              <w:top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236.00</w:t>
            </w:r>
          </w:p>
        </w:tc>
        <w:tc>
          <w:tcPr>
            <w:tcW w:w="529" w:type="pct"/>
            <w:tcBorders>
              <w:top w:val="single" w:sz="4" w:space="0" w:color="auto"/>
            </w:tcBorders>
            <w:noWrap/>
            <w:vAlign w:val="bottom"/>
            <w:hideMark/>
          </w:tcPr>
          <w:p w:rsidR="000A206F" w:rsidRPr="005356DB" w:rsidRDefault="000A206F" w:rsidP="00E4223B">
            <w:pPr>
              <w:jc w:val="right"/>
              <w:rPr>
                <w:rFonts w:cstheme="minorHAnsi"/>
                <w:szCs w:val="24"/>
              </w:rPr>
            </w:pPr>
            <w:r w:rsidRPr="005356DB">
              <w:rPr>
                <w:rFonts w:cstheme="minorHAnsi"/>
                <w:szCs w:val="24"/>
              </w:rPr>
              <w:t>240.78</w:t>
            </w:r>
          </w:p>
        </w:tc>
      </w:tr>
      <w:tr w:rsidR="005356DB" w:rsidRPr="005356DB" w:rsidTr="00E4223B">
        <w:trPr>
          <w:trHeight w:val="300"/>
          <w:tblHeader w:val="0"/>
        </w:trPr>
        <w:tc>
          <w:tcPr>
            <w:tcW w:w="2350" w:type="pct"/>
            <w:shd w:val="clear" w:color="auto" w:fill="BDD7EE"/>
            <w:noWrap/>
            <w:hideMark/>
          </w:tcPr>
          <w:p w:rsidR="000A206F" w:rsidRPr="005356DB" w:rsidRDefault="000A206F" w:rsidP="00F77893">
            <w:pPr>
              <w:rPr>
                <w:rStyle w:val="Strong"/>
                <w:rFonts w:cstheme="minorHAnsi"/>
                <w:szCs w:val="24"/>
              </w:rPr>
            </w:pPr>
            <w:r w:rsidRPr="005356DB">
              <w:rPr>
                <w:rStyle w:val="Strong"/>
                <w:rFonts w:cstheme="minorHAnsi"/>
                <w:szCs w:val="24"/>
              </w:rPr>
              <w:t>Care Result (C + F) (G)</w:t>
            </w:r>
          </w:p>
        </w:tc>
        <w:tc>
          <w:tcPr>
            <w:tcW w:w="530" w:type="pct"/>
            <w:shd w:val="clear" w:color="auto" w:fill="BDD7EE"/>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(2.53)</w:t>
            </w:r>
          </w:p>
        </w:tc>
        <w:tc>
          <w:tcPr>
            <w:tcW w:w="530" w:type="pct"/>
            <w:shd w:val="clear" w:color="auto" w:fill="BDD7EE"/>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(10.85)</w:t>
            </w:r>
          </w:p>
        </w:tc>
        <w:tc>
          <w:tcPr>
            <w:tcW w:w="530" w:type="pct"/>
            <w:shd w:val="clear" w:color="auto" w:fill="BDD7EE"/>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(6.94)</w:t>
            </w:r>
          </w:p>
        </w:tc>
        <w:tc>
          <w:tcPr>
            <w:tcW w:w="530" w:type="pct"/>
            <w:shd w:val="clear" w:color="auto" w:fill="BDD7EE"/>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(10.72)</w:t>
            </w:r>
          </w:p>
        </w:tc>
        <w:tc>
          <w:tcPr>
            <w:tcW w:w="529" w:type="pct"/>
            <w:shd w:val="clear" w:color="auto" w:fill="BDD7EE"/>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(16.13)</w:t>
            </w:r>
          </w:p>
        </w:tc>
      </w:tr>
      <w:tr w:rsidR="005356DB" w:rsidRPr="005356DB" w:rsidTr="00E4223B">
        <w:trPr>
          <w:trHeight w:val="300"/>
          <w:tblHeader w:val="0"/>
        </w:trPr>
        <w:tc>
          <w:tcPr>
            <w:tcW w:w="2350" w:type="pct"/>
            <w:noWrap/>
            <w:hideMark/>
          </w:tcPr>
          <w:p w:rsidR="000A206F" w:rsidRPr="005356DB" w:rsidRDefault="000A206F" w:rsidP="00E4223B">
            <w:pPr>
              <w:spacing w:before="240" w:after="240"/>
              <w:rPr>
                <w:rStyle w:val="Strong"/>
                <w:rFonts w:cstheme="minorHAnsi"/>
                <w:szCs w:val="24"/>
              </w:rPr>
            </w:pPr>
            <w:r w:rsidRPr="005356DB">
              <w:rPr>
                <w:rStyle w:val="Strong"/>
                <w:rFonts w:cstheme="minorHAnsi"/>
                <w:szCs w:val="24"/>
              </w:rPr>
              <w:t>Accommodation Result (H)</w:t>
            </w:r>
          </w:p>
        </w:tc>
        <w:tc>
          <w:tcPr>
            <w:tcW w:w="530" w:type="pct"/>
            <w:tcBorders>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color w:val="FF0000"/>
                <w:szCs w:val="24"/>
              </w:rPr>
              <w:t>(5.55)</w:t>
            </w:r>
          </w:p>
        </w:tc>
        <w:tc>
          <w:tcPr>
            <w:tcW w:w="530" w:type="pct"/>
            <w:tcBorders>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color w:val="FF0000"/>
                <w:szCs w:val="24"/>
              </w:rPr>
              <w:t>(0.83)</w:t>
            </w:r>
          </w:p>
        </w:tc>
        <w:tc>
          <w:tcPr>
            <w:tcW w:w="530" w:type="pct"/>
            <w:tcBorders>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color w:val="FF0000"/>
                <w:szCs w:val="24"/>
              </w:rPr>
              <w:t>(4.38)</w:t>
            </w:r>
          </w:p>
        </w:tc>
        <w:tc>
          <w:tcPr>
            <w:tcW w:w="530" w:type="pct"/>
            <w:tcBorders>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color w:val="FF0000"/>
                <w:szCs w:val="24"/>
              </w:rPr>
              <w:t>(4.78)</w:t>
            </w:r>
          </w:p>
        </w:tc>
        <w:tc>
          <w:tcPr>
            <w:tcW w:w="529" w:type="pct"/>
            <w:tcBorders>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color w:val="FF0000"/>
                <w:szCs w:val="24"/>
              </w:rPr>
              <w:t>(3.24)</w:t>
            </w:r>
          </w:p>
        </w:tc>
      </w:tr>
      <w:tr w:rsidR="005356DB" w:rsidRPr="005356DB" w:rsidTr="00E4223B">
        <w:trPr>
          <w:trHeight w:val="315"/>
          <w:tblHeader w:val="0"/>
        </w:trPr>
        <w:tc>
          <w:tcPr>
            <w:tcW w:w="2350" w:type="pct"/>
            <w:shd w:val="clear" w:color="auto" w:fill="FFF2CC"/>
            <w:noWrap/>
            <w:hideMark/>
          </w:tcPr>
          <w:p w:rsidR="000A206F" w:rsidRPr="005356DB" w:rsidRDefault="000A206F" w:rsidP="00F77893">
            <w:pPr>
              <w:rPr>
                <w:rStyle w:val="Strong"/>
                <w:rFonts w:cstheme="minorHAnsi"/>
                <w:szCs w:val="24"/>
              </w:rPr>
            </w:pPr>
            <w:r w:rsidRPr="005356DB">
              <w:rPr>
                <w:rStyle w:val="Strong"/>
                <w:rFonts w:cstheme="minorHAnsi"/>
                <w:szCs w:val="24"/>
              </w:rPr>
              <w:t>Aged Care Home Result (G + H)</w:t>
            </w:r>
          </w:p>
        </w:tc>
        <w:tc>
          <w:tcPr>
            <w:tcW w:w="530" w:type="pct"/>
            <w:tcBorders>
              <w:top w:val="single" w:sz="4" w:space="0" w:color="auto"/>
              <w:bottom w:val="single" w:sz="4" w:space="0" w:color="auto"/>
            </w:tcBorders>
            <w:shd w:val="clear" w:color="auto" w:fill="FFF2CC"/>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(8.08)</w:t>
            </w:r>
          </w:p>
        </w:tc>
        <w:tc>
          <w:tcPr>
            <w:tcW w:w="530" w:type="pct"/>
            <w:tcBorders>
              <w:top w:val="single" w:sz="4" w:space="0" w:color="auto"/>
              <w:bottom w:val="single" w:sz="4" w:space="0" w:color="auto"/>
            </w:tcBorders>
            <w:shd w:val="clear" w:color="auto" w:fill="FFF2CC"/>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(11.69)</w:t>
            </w:r>
          </w:p>
        </w:tc>
        <w:tc>
          <w:tcPr>
            <w:tcW w:w="530" w:type="pct"/>
            <w:tcBorders>
              <w:top w:val="single" w:sz="4" w:space="0" w:color="auto"/>
              <w:bottom w:val="single" w:sz="4" w:space="0" w:color="auto"/>
            </w:tcBorders>
            <w:shd w:val="clear" w:color="auto" w:fill="FFF2CC"/>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(11.32)</w:t>
            </w:r>
          </w:p>
        </w:tc>
        <w:tc>
          <w:tcPr>
            <w:tcW w:w="530" w:type="pct"/>
            <w:tcBorders>
              <w:top w:val="single" w:sz="4" w:space="0" w:color="auto"/>
              <w:bottom w:val="single" w:sz="4" w:space="0" w:color="auto"/>
            </w:tcBorders>
            <w:shd w:val="clear" w:color="auto" w:fill="FFF2CC"/>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(15.50)</w:t>
            </w:r>
          </w:p>
        </w:tc>
        <w:tc>
          <w:tcPr>
            <w:tcW w:w="529" w:type="pct"/>
            <w:tcBorders>
              <w:top w:val="single" w:sz="4" w:space="0" w:color="auto"/>
              <w:bottom w:val="single" w:sz="4" w:space="0" w:color="auto"/>
            </w:tcBorders>
            <w:shd w:val="clear" w:color="auto" w:fill="FFF2CC"/>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(19.37)</w:t>
            </w:r>
          </w:p>
        </w:tc>
      </w:tr>
      <w:tr w:rsidR="005356DB" w:rsidRPr="005356DB" w:rsidTr="00E4223B">
        <w:trPr>
          <w:trHeight w:val="300"/>
          <w:tblHeader w:val="0"/>
        </w:trPr>
        <w:tc>
          <w:tcPr>
            <w:tcW w:w="2350" w:type="pct"/>
            <w:noWrap/>
            <w:hideMark/>
          </w:tcPr>
          <w:p w:rsidR="000A206F" w:rsidRPr="005356DB" w:rsidRDefault="000A206F" w:rsidP="005356DB">
            <w:pPr>
              <w:spacing w:before="240" w:after="240"/>
              <w:rPr>
                <w:rFonts w:cstheme="minorHAnsi"/>
                <w:szCs w:val="24"/>
              </w:rPr>
            </w:pPr>
            <w:r w:rsidRPr="005356DB">
              <w:rPr>
                <w:rFonts w:cstheme="minorHAnsi"/>
                <w:szCs w:val="24"/>
              </w:rPr>
              <w:t>Net COVID Result</w:t>
            </w:r>
          </w:p>
        </w:tc>
        <w:tc>
          <w:tcPr>
            <w:tcW w:w="530" w:type="pct"/>
            <w:tcBorders>
              <w:top w:val="single" w:sz="4" w:space="0" w:color="auto"/>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szCs w:val="24"/>
              </w:rPr>
              <w:t>2.36</w:t>
            </w:r>
          </w:p>
        </w:tc>
        <w:tc>
          <w:tcPr>
            <w:tcW w:w="530" w:type="pct"/>
            <w:tcBorders>
              <w:top w:val="single" w:sz="4" w:space="0" w:color="auto"/>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szCs w:val="24"/>
              </w:rPr>
              <w:t>3.95</w:t>
            </w:r>
          </w:p>
        </w:tc>
        <w:tc>
          <w:tcPr>
            <w:tcW w:w="530" w:type="pct"/>
            <w:tcBorders>
              <w:top w:val="single" w:sz="4" w:space="0" w:color="auto"/>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szCs w:val="24"/>
              </w:rPr>
              <w:t>4.32</w:t>
            </w:r>
          </w:p>
        </w:tc>
        <w:tc>
          <w:tcPr>
            <w:tcW w:w="530" w:type="pct"/>
            <w:tcBorders>
              <w:top w:val="single" w:sz="4" w:space="0" w:color="auto"/>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szCs w:val="24"/>
              </w:rPr>
              <w:t>4.33</w:t>
            </w:r>
          </w:p>
        </w:tc>
        <w:tc>
          <w:tcPr>
            <w:tcW w:w="529" w:type="pct"/>
            <w:tcBorders>
              <w:top w:val="single" w:sz="4" w:space="0" w:color="auto"/>
              <w:bottom w:val="single" w:sz="4" w:space="0" w:color="auto"/>
            </w:tcBorders>
            <w:noWrap/>
            <w:vAlign w:val="center"/>
            <w:hideMark/>
          </w:tcPr>
          <w:p w:rsidR="000A206F" w:rsidRPr="005356DB" w:rsidRDefault="000A206F" w:rsidP="00E4223B">
            <w:pPr>
              <w:jc w:val="right"/>
              <w:rPr>
                <w:rFonts w:cstheme="minorHAnsi"/>
                <w:szCs w:val="24"/>
              </w:rPr>
            </w:pPr>
            <w:r w:rsidRPr="005356DB">
              <w:rPr>
                <w:rFonts w:cstheme="minorHAnsi"/>
                <w:szCs w:val="24"/>
              </w:rPr>
              <w:t>4.60</w:t>
            </w:r>
          </w:p>
        </w:tc>
      </w:tr>
      <w:tr w:rsidR="005356DB" w:rsidRPr="005356DB" w:rsidTr="00E4223B">
        <w:trPr>
          <w:trHeight w:val="315"/>
          <w:tblHeader w:val="0"/>
        </w:trPr>
        <w:tc>
          <w:tcPr>
            <w:tcW w:w="2350" w:type="pct"/>
            <w:shd w:val="clear" w:color="auto" w:fill="E2EFDA"/>
            <w:noWrap/>
            <w:hideMark/>
          </w:tcPr>
          <w:p w:rsidR="000A206F" w:rsidRPr="005356DB" w:rsidRDefault="000A206F" w:rsidP="00F77893">
            <w:pPr>
              <w:rPr>
                <w:rStyle w:val="Strong"/>
                <w:rFonts w:cstheme="minorHAnsi"/>
                <w:szCs w:val="24"/>
              </w:rPr>
            </w:pPr>
            <w:r w:rsidRPr="005356DB">
              <w:rPr>
                <w:rStyle w:val="Strong"/>
                <w:rFonts w:cstheme="minorHAnsi"/>
                <w:szCs w:val="24"/>
              </w:rPr>
              <w:t>Aged Care Home Result incl</w:t>
            </w:r>
            <w:r w:rsidR="00F77893" w:rsidRPr="005356DB">
              <w:rPr>
                <w:rStyle w:val="Strong"/>
                <w:rFonts w:cstheme="minorHAnsi"/>
                <w:szCs w:val="24"/>
              </w:rPr>
              <w:t>uding</w:t>
            </w:r>
            <w:r w:rsidRPr="005356DB">
              <w:rPr>
                <w:rStyle w:val="Strong"/>
                <w:rFonts w:cstheme="minorHAnsi"/>
                <w:szCs w:val="24"/>
              </w:rPr>
              <w:t xml:space="preserve"> </w:t>
            </w:r>
            <w:r w:rsidR="00F77893" w:rsidRPr="005356DB">
              <w:rPr>
                <w:rStyle w:val="Strong"/>
                <w:rFonts w:cstheme="minorHAnsi"/>
                <w:szCs w:val="24"/>
              </w:rPr>
              <w:br/>
            </w:r>
            <w:r w:rsidRPr="005356DB">
              <w:rPr>
                <w:rStyle w:val="Strong"/>
                <w:rFonts w:cstheme="minorHAnsi"/>
                <w:szCs w:val="24"/>
              </w:rPr>
              <w:t>COVID Result</w:t>
            </w:r>
          </w:p>
        </w:tc>
        <w:tc>
          <w:tcPr>
            <w:tcW w:w="530" w:type="pct"/>
            <w:tcBorders>
              <w:top w:val="single" w:sz="4" w:space="0" w:color="auto"/>
              <w:bottom w:val="single" w:sz="4" w:space="0" w:color="auto"/>
            </w:tcBorders>
            <w:shd w:val="clear" w:color="auto" w:fill="E2EFDA"/>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(5.73)</w:t>
            </w:r>
          </w:p>
        </w:tc>
        <w:tc>
          <w:tcPr>
            <w:tcW w:w="530" w:type="pct"/>
            <w:tcBorders>
              <w:top w:val="single" w:sz="4" w:space="0" w:color="auto"/>
              <w:bottom w:val="single" w:sz="4" w:space="0" w:color="auto"/>
            </w:tcBorders>
            <w:shd w:val="clear" w:color="auto" w:fill="E2EFDA"/>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(7.74)</w:t>
            </w:r>
          </w:p>
        </w:tc>
        <w:tc>
          <w:tcPr>
            <w:tcW w:w="530" w:type="pct"/>
            <w:tcBorders>
              <w:top w:val="single" w:sz="4" w:space="0" w:color="auto"/>
              <w:bottom w:val="single" w:sz="4" w:space="0" w:color="auto"/>
            </w:tcBorders>
            <w:shd w:val="clear" w:color="auto" w:fill="E2EFDA"/>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(7.00)</w:t>
            </w:r>
          </w:p>
        </w:tc>
        <w:tc>
          <w:tcPr>
            <w:tcW w:w="530" w:type="pct"/>
            <w:tcBorders>
              <w:top w:val="single" w:sz="4" w:space="0" w:color="auto"/>
              <w:bottom w:val="single" w:sz="4" w:space="0" w:color="auto"/>
            </w:tcBorders>
            <w:shd w:val="clear" w:color="auto" w:fill="E2EFDA"/>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(11.17)</w:t>
            </w:r>
          </w:p>
        </w:tc>
        <w:tc>
          <w:tcPr>
            <w:tcW w:w="529" w:type="pct"/>
            <w:tcBorders>
              <w:top w:val="single" w:sz="4" w:space="0" w:color="auto"/>
              <w:bottom w:val="single" w:sz="4" w:space="0" w:color="auto"/>
            </w:tcBorders>
            <w:shd w:val="clear" w:color="auto" w:fill="E2EFDA"/>
            <w:noWrap/>
            <w:vAlign w:val="bottom"/>
            <w:hideMark/>
          </w:tcPr>
          <w:p w:rsidR="000A206F" w:rsidRPr="005356DB" w:rsidRDefault="000A206F" w:rsidP="00E4223B">
            <w:pPr>
              <w:jc w:val="right"/>
              <w:rPr>
                <w:rFonts w:cstheme="minorHAnsi"/>
                <w:szCs w:val="24"/>
              </w:rPr>
            </w:pPr>
            <w:r w:rsidRPr="005356DB">
              <w:rPr>
                <w:rFonts w:cstheme="minorHAnsi"/>
                <w:color w:val="FF0000"/>
                <w:szCs w:val="24"/>
              </w:rPr>
              <w:t>(14.77)</w:t>
            </w:r>
          </w:p>
        </w:tc>
      </w:tr>
    </w:tbl>
    <w:p w:rsidR="000A206F" w:rsidRDefault="000A206F" w:rsidP="007E3C92">
      <w:pPr>
        <w:spacing w:before="240"/>
        <w:rPr>
          <w:rFonts w:ascii="Calibri" w:hAnsi="Calibri" w:cs="Calibri"/>
          <w:snapToGrid w:val="0"/>
          <w:szCs w:val="24"/>
        </w:rPr>
      </w:pPr>
      <w:r>
        <w:rPr>
          <w:rFonts w:ascii="Calibri" w:hAnsi="Calibri" w:cs="Calibri"/>
          <w:snapToGrid w:val="0"/>
          <w:szCs w:val="24"/>
        </w:rPr>
        <w:t>ACFA also considered trends in care costs and revenue, everyday living cos</w:t>
      </w:r>
      <w:r w:rsidR="00AB26C8">
        <w:rPr>
          <w:rFonts w:ascii="Calibri" w:hAnsi="Calibri" w:cs="Calibri"/>
          <w:snapToGrid w:val="0"/>
          <w:szCs w:val="24"/>
        </w:rPr>
        <w:t>ts and the BDF</w:t>
      </w:r>
      <w:r>
        <w:rPr>
          <w:rFonts w:ascii="Calibri" w:hAnsi="Calibri" w:cs="Calibri"/>
          <w:snapToGrid w:val="0"/>
          <w:szCs w:val="24"/>
        </w:rPr>
        <w:t xml:space="preserve">. The data </w:t>
      </w:r>
      <w:r w:rsidRPr="005F52A0">
        <w:rPr>
          <w:rFonts w:ascii="Calibri" w:hAnsi="Calibri" w:cs="Calibri"/>
          <w:snapToGrid w:val="0"/>
          <w:szCs w:val="24"/>
        </w:rPr>
        <w:t>show that</w:t>
      </w:r>
      <w:r>
        <w:rPr>
          <w:rFonts w:ascii="Calibri" w:hAnsi="Calibri" w:cs="Calibri"/>
          <w:snapToGrid w:val="0"/>
          <w:szCs w:val="24"/>
        </w:rPr>
        <w:t>:</w:t>
      </w:r>
    </w:p>
    <w:p w:rsidR="000A206F" w:rsidRDefault="000A206F" w:rsidP="000A206F">
      <w:pPr>
        <w:pStyle w:val="ListParagraph"/>
        <w:numPr>
          <w:ilvl w:val="0"/>
          <w:numId w:val="34"/>
        </w:numPr>
        <w:spacing w:after="200" w:line="276" w:lineRule="auto"/>
        <w:rPr>
          <w:rFonts w:ascii="Calibri" w:hAnsi="Calibri" w:cs="Calibri"/>
          <w:snapToGrid w:val="0"/>
          <w:szCs w:val="24"/>
        </w:rPr>
      </w:pPr>
      <w:r>
        <w:rPr>
          <w:rFonts w:ascii="Calibri" w:hAnsi="Calibri" w:cs="Calibri"/>
          <w:snapToGrid w:val="0"/>
          <w:szCs w:val="24"/>
        </w:rPr>
        <w:t>Care costs and ACFI revenues grew at similar rates between 2009 and 2018 (Chart</w:t>
      </w:r>
      <w:r w:rsidR="00BD04AA">
        <w:rPr>
          <w:rFonts w:ascii="Calibri" w:hAnsi="Calibri" w:cs="Calibri"/>
          <w:snapToGrid w:val="0"/>
          <w:szCs w:val="24"/>
        </w:rPr>
        <w:t> </w:t>
      </w:r>
      <w:r>
        <w:rPr>
          <w:rFonts w:ascii="Calibri" w:hAnsi="Calibri" w:cs="Calibri"/>
          <w:snapToGrid w:val="0"/>
          <w:szCs w:val="24"/>
        </w:rPr>
        <w:t>1a). More recently a significant gap has opened up, with costs rising faster than revenue. ACFA has previously noted the pressure that this is placing on residential aged care providers.</w:t>
      </w:r>
    </w:p>
    <w:p w:rsidR="000A206F" w:rsidRPr="00475BF2" w:rsidRDefault="000A206F" w:rsidP="000A206F">
      <w:pPr>
        <w:pStyle w:val="ListParagraph"/>
        <w:numPr>
          <w:ilvl w:val="0"/>
          <w:numId w:val="34"/>
        </w:numPr>
        <w:spacing w:after="200" w:line="276" w:lineRule="auto"/>
        <w:rPr>
          <w:rFonts w:ascii="Calibri" w:hAnsi="Calibri" w:cs="Calibri"/>
          <w:snapToGrid w:val="0"/>
          <w:szCs w:val="24"/>
        </w:rPr>
      </w:pPr>
      <w:r>
        <w:rPr>
          <w:rFonts w:ascii="Calibri" w:hAnsi="Calibri" w:cs="Calibri"/>
          <w:snapToGrid w:val="0"/>
          <w:szCs w:val="24"/>
        </w:rPr>
        <w:t>Initially</w:t>
      </w:r>
      <w:r w:rsidR="00AA4579">
        <w:rPr>
          <w:rFonts w:ascii="Calibri" w:hAnsi="Calibri" w:cs="Calibri"/>
          <w:snapToGrid w:val="0"/>
          <w:szCs w:val="24"/>
        </w:rPr>
        <w:t>,</w:t>
      </w:r>
      <w:r>
        <w:rPr>
          <w:rFonts w:ascii="Calibri" w:hAnsi="Calibri" w:cs="Calibri"/>
          <w:snapToGrid w:val="0"/>
          <w:szCs w:val="24"/>
        </w:rPr>
        <w:t xml:space="preserve"> </w:t>
      </w:r>
      <w:r w:rsidRPr="00475BF2">
        <w:rPr>
          <w:rFonts w:ascii="Calibri" w:hAnsi="Calibri" w:cs="Calibri"/>
          <w:snapToGrid w:val="0"/>
          <w:szCs w:val="24"/>
        </w:rPr>
        <w:t>the BDF gr</w:t>
      </w:r>
      <w:r>
        <w:rPr>
          <w:rFonts w:ascii="Calibri" w:hAnsi="Calibri" w:cs="Calibri"/>
          <w:snapToGrid w:val="0"/>
          <w:szCs w:val="24"/>
        </w:rPr>
        <w:t>e</w:t>
      </w:r>
      <w:r w:rsidRPr="00475BF2">
        <w:rPr>
          <w:rFonts w:ascii="Calibri" w:hAnsi="Calibri" w:cs="Calibri"/>
          <w:snapToGrid w:val="0"/>
          <w:szCs w:val="24"/>
        </w:rPr>
        <w:t>w</w:t>
      </w:r>
      <w:r>
        <w:rPr>
          <w:rFonts w:ascii="Calibri" w:hAnsi="Calibri" w:cs="Calibri"/>
          <w:snapToGrid w:val="0"/>
          <w:szCs w:val="24"/>
        </w:rPr>
        <w:t xml:space="preserve"> faster than </w:t>
      </w:r>
      <w:r w:rsidRPr="00475BF2">
        <w:rPr>
          <w:rFonts w:ascii="Calibri" w:hAnsi="Calibri" w:cs="Calibri"/>
          <w:snapToGrid w:val="0"/>
          <w:szCs w:val="24"/>
        </w:rPr>
        <w:t>the cost of delivering hotel services</w:t>
      </w:r>
      <w:r>
        <w:rPr>
          <w:rFonts w:ascii="Calibri" w:hAnsi="Calibri" w:cs="Calibri"/>
          <w:snapToGrid w:val="0"/>
          <w:szCs w:val="24"/>
        </w:rPr>
        <w:t xml:space="preserve"> (Chart 1b). </w:t>
      </w:r>
      <w:r w:rsidR="00AA4579">
        <w:rPr>
          <w:rFonts w:ascii="Calibri" w:hAnsi="Calibri" w:cs="Calibri"/>
          <w:snapToGrid w:val="0"/>
          <w:szCs w:val="24"/>
        </w:rPr>
        <w:t>H</w:t>
      </w:r>
      <w:r>
        <w:rPr>
          <w:rFonts w:ascii="Calibri" w:hAnsi="Calibri" w:cs="Calibri"/>
          <w:snapToGrid w:val="0"/>
          <w:szCs w:val="24"/>
        </w:rPr>
        <w:t>otel costs</w:t>
      </w:r>
      <w:r w:rsidR="00AA4579">
        <w:rPr>
          <w:rFonts w:ascii="Calibri" w:hAnsi="Calibri" w:cs="Calibri"/>
          <w:snapToGrid w:val="0"/>
          <w:szCs w:val="24"/>
        </w:rPr>
        <w:t>, however,</w:t>
      </w:r>
      <w:r>
        <w:rPr>
          <w:rFonts w:ascii="Calibri" w:hAnsi="Calibri" w:cs="Calibri"/>
          <w:snapToGrid w:val="0"/>
          <w:szCs w:val="24"/>
        </w:rPr>
        <w:t xml:space="preserve"> have been growing faster than revenue for some time and cumulative growth in costs caught up to cumulative BDF growth in the last quarter of the 2019-20 financial year. Other components of everyday living expenses -</w:t>
      </w:r>
      <w:r w:rsidRPr="00475BF2">
        <w:rPr>
          <w:rFonts w:ascii="Calibri" w:hAnsi="Calibri" w:cs="Calibri"/>
          <w:snapToGrid w:val="0"/>
          <w:szCs w:val="24"/>
        </w:rPr>
        <w:t xml:space="preserve"> property maintenance and motor vehicle expenses, and particularly utility costs</w:t>
      </w:r>
      <w:r w:rsidR="004400FA">
        <w:rPr>
          <w:rFonts w:ascii="Calibri" w:hAnsi="Calibri" w:cs="Calibri"/>
          <w:snapToGrid w:val="0"/>
          <w:szCs w:val="24"/>
        </w:rPr>
        <w:t>,</w:t>
      </w:r>
      <w:r w:rsidRPr="00475BF2">
        <w:rPr>
          <w:rFonts w:ascii="Calibri" w:hAnsi="Calibri" w:cs="Calibri"/>
          <w:snapToGrid w:val="0"/>
          <w:szCs w:val="24"/>
        </w:rPr>
        <w:t xml:space="preserve"> have </w:t>
      </w:r>
      <w:r>
        <w:rPr>
          <w:rFonts w:ascii="Calibri" w:hAnsi="Calibri" w:cs="Calibri"/>
          <w:snapToGrid w:val="0"/>
          <w:szCs w:val="24"/>
        </w:rPr>
        <w:t>grown more quickly than the BDF.</w:t>
      </w:r>
      <w:r w:rsidRPr="00475BF2">
        <w:rPr>
          <w:rFonts w:ascii="Calibri" w:hAnsi="Calibri" w:cs="Calibri"/>
          <w:snapToGrid w:val="0"/>
          <w:szCs w:val="24"/>
        </w:rPr>
        <w:t xml:space="preserve"> </w:t>
      </w:r>
    </w:p>
    <w:p w:rsidR="000A206F" w:rsidRPr="00A61763" w:rsidRDefault="000A206F" w:rsidP="00A61763">
      <w:pPr>
        <w:rPr>
          <w:rStyle w:val="Strong"/>
        </w:rPr>
      </w:pPr>
      <w:r w:rsidRPr="00A61763">
        <w:rPr>
          <w:rStyle w:val="Strong"/>
        </w:rPr>
        <w:t xml:space="preserve">Chart 1a: </w:t>
      </w:r>
      <w:r w:rsidR="0027248F" w:rsidRPr="00A61763">
        <w:rPr>
          <w:rStyle w:val="Strong"/>
        </w:rPr>
        <w:t xml:space="preserve">Increases in costs and </w:t>
      </w:r>
      <w:r w:rsidRPr="00A61763">
        <w:rPr>
          <w:rStyle w:val="Strong"/>
        </w:rPr>
        <w:t>revenue - care</w:t>
      </w:r>
    </w:p>
    <w:p w:rsidR="007E3C92" w:rsidRDefault="00456D79" w:rsidP="007E3C92">
      <w:pPr>
        <w:spacing w:after="0"/>
        <w:rPr>
          <w:rFonts w:ascii="Calibri" w:hAnsi="Calibri" w:cs="Calibri"/>
          <w:snapToGrid w:val="0"/>
          <w:sz w:val="20"/>
        </w:rPr>
      </w:pPr>
      <w:r>
        <w:rPr>
          <w:noProof/>
          <w:snapToGrid w:val="0"/>
          <w:sz w:val="20"/>
          <w:lang w:eastAsia="en-AU"/>
        </w:rPr>
        <w:drawing>
          <wp:inline distT="0" distB="0" distL="0" distR="0" wp14:anchorId="7885F71E" wp14:editId="4666281E">
            <wp:extent cx="5686622" cy="3577235"/>
            <wp:effectExtent l="0" t="0" r="0" b="4445"/>
            <wp:docPr id="1" name="Picture 1" descr="Line chart shows increases in the Aged Care Funding Instrument (ACFI) revenue (first line) and care costs (second line) between December 2009 to December 2020, with an index starting at 100 on the y axis. The lines shows ACFI revenue increases aproximately on par with care costs between December 2009  to June 2018 . After June 2018, ACFI revenue increases become lower than care costs increases, with care costs being 190 and ACFI revenue 175 in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8285" cy="3590862"/>
                    </a:xfrm>
                    <a:prstGeom prst="rect">
                      <a:avLst/>
                    </a:prstGeom>
                    <a:noFill/>
                  </pic:spPr>
                </pic:pic>
              </a:graphicData>
            </a:graphic>
          </wp:inline>
        </w:drawing>
      </w:r>
    </w:p>
    <w:p w:rsidR="000A206F" w:rsidRPr="00925207" w:rsidRDefault="000A206F" w:rsidP="007E3C92">
      <w:pPr>
        <w:rPr>
          <w:rFonts w:ascii="Calibri" w:hAnsi="Calibri" w:cs="Calibri"/>
          <w:snapToGrid w:val="0"/>
          <w:sz w:val="20"/>
        </w:rPr>
      </w:pPr>
      <w:r w:rsidRPr="00D86630">
        <w:rPr>
          <w:rFonts w:ascii="Calibri" w:hAnsi="Calibri" w:cs="Calibri"/>
          <w:snapToGrid w:val="0"/>
          <w:sz w:val="20"/>
        </w:rPr>
        <w:t>Source: Unpublished StewartBrown data</w:t>
      </w:r>
      <w:r w:rsidR="00456D79">
        <w:rPr>
          <w:rFonts w:ascii="Calibri" w:hAnsi="Calibri" w:cs="Calibri"/>
          <w:snapToGrid w:val="0"/>
          <w:sz w:val="20"/>
        </w:rPr>
        <w:t>. Note December</w:t>
      </w:r>
      <w:r>
        <w:rPr>
          <w:rFonts w:ascii="Calibri" w:hAnsi="Calibri" w:cs="Calibri"/>
          <w:snapToGrid w:val="0"/>
          <w:sz w:val="20"/>
        </w:rPr>
        <w:t xml:space="preserve"> 2020 </w:t>
      </w:r>
      <w:r w:rsidR="00456D79">
        <w:rPr>
          <w:rFonts w:ascii="Calibri" w:hAnsi="Calibri" w:cs="Calibri"/>
          <w:snapToGrid w:val="0"/>
          <w:sz w:val="20"/>
        </w:rPr>
        <w:t xml:space="preserve">data </w:t>
      </w:r>
      <w:r>
        <w:rPr>
          <w:rFonts w:ascii="Calibri" w:hAnsi="Calibri" w:cs="Calibri"/>
          <w:snapToGrid w:val="0"/>
          <w:sz w:val="20"/>
        </w:rPr>
        <w:t>exclude</w:t>
      </w:r>
      <w:r w:rsidR="007E3C92">
        <w:rPr>
          <w:rFonts w:ascii="Calibri" w:hAnsi="Calibri" w:cs="Calibri"/>
          <w:snapToGrid w:val="0"/>
          <w:sz w:val="20"/>
        </w:rPr>
        <w:t>s COVID subsidies and expenses.</w:t>
      </w:r>
    </w:p>
    <w:p w:rsidR="000A206F" w:rsidRPr="00A61763" w:rsidRDefault="000A206F" w:rsidP="00A61763">
      <w:pPr>
        <w:rPr>
          <w:rStyle w:val="Strong"/>
        </w:rPr>
      </w:pPr>
      <w:r w:rsidRPr="00A61763">
        <w:rPr>
          <w:rStyle w:val="Strong"/>
        </w:rPr>
        <w:t xml:space="preserve">Chart 1b: </w:t>
      </w:r>
      <w:r w:rsidR="0027248F" w:rsidRPr="00A61763">
        <w:rPr>
          <w:rStyle w:val="Strong"/>
        </w:rPr>
        <w:t>Increases in costs and revenue</w:t>
      </w:r>
      <w:r w:rsidRPr="00A61763">
        <w:rPr>
          <w:rStyle w:val="Strong"/>
        </w:rPr>
        <w:t xml:space="preserve"> – </w:t>
      </w:r>
      <w:r w:rsidR="009B5D1C" w:rsidRPr="00A61763">
        <w:rPr>
          <w:rStyle w:val="Strong"/>
        </w:rPr>
        <w:t>everyday</w:t>
      </w:r>
      <w:r w:rsidRPr="00A61763">
        <w:rPr>
          <w:rStyle w:val="Strong"/>
        </w:rPr>
        <w:t xml:space="preserve"> living</w:t>
      </w:r>
    </w:p>
    <w:p w:rsidR="000A206F" w:rsidRDefault="00456D79" w:rsidP="007E3C92">
      <w:pPr>
        <w:spacing w:after="0"/>
        <w:rPr>
          <w:rFonts w:ascii="Calibri" w:hAnsi="Calibri" w:cs="Calibri"/>
          <w:snapToGrid w:val="0"/>
          <w:szCs w:val="24"/>
        </w:rPr>
      </w:pPr>
      <w:r w:rsidRPr="007E3C92">
        <w:rPr>
          <w:rFonts w:ascii="Calibri" w:hAnsi="Calibri" w:cs="Calibri"/>
          <w:noProof/>
          <w:snapToGrid w:val="0"/>
          <w:szCs w:val="24"/>
          <w:lang w:eastAsia="en-AU"/>
        </w:rPr>
        <w:drawing>
          <wp:inline distT="0" distB="0" distL="0" distR="0" wp14:anchorId="581DE83B" wp14:editId="0E62F767">
            <wp:extent cx="5686425" cy="3579846"/>
            <wp:effectExtent l="0" t="0" r="0" b="1905"/>
            <wp:docPr id="11" name="Picture 11" descr="Line chart showing the increases in costs for every day living between December 2009 to December 2020. The y axis is an index, starting at 100 in December 2009. There are four lines, one for utilities, one for property maintenance and motor vehicles, one for hotel services and one the basic daily fee. The lines start at 100 in December 2009 and show: 1. Utilities increases rapidly to 190 in December of 2020, with a slight decrease between 2015 and 2016; 2. Property maintencance and motor vehicle increases to 170 by December 2020 with some decreases along the way; 3. Hotel services increases more gradually to to 160 by December 2020; and 4. the Basic Daily Fee increases also has a gradual increase to nearly 160 by December 2020.  In summary, the increase of both utilities and property maintenence and motor vehicles costs between December 2009 and December 2020 have been much greater than the increase in revenue from the basic daily 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6296" cy="3598651"/>
                    </a:xfrm>
                    <a:prstGeom prst="rect">
                      <a:avLst/>
                    </a:prstGeom>
                    <a:noFill/>
                  </pic:spPr>
                </pic:pic>
              </a:graphicData>
            </a:graphic>
          </wp:inline>
        </w:drawing>
      </w:r>
    </w:p>
    <w:p w:rsidR="000A206F" w:rsidRDefault="000A206F" w:rsidP="007E3C92">
      <w:pPr>
        <w:rPr>
          <w:rFonts w:ascii="Calibri" w:hAnsi="Calibri" w:cs="Calibri"/>
          <w:snapToGrid w:val="0"/>
          <w:sz w:val="20"/>
        </w:rPr>
      </w:pPr>
      <w:r w:rsidRPr="00D86630">
        <w:rPr>
          <w:rFonts w:ascii="Calibri" w:hAnsi="Calibri" w:cs="Calibri"/>
          <w:snapToGrid w:val="0"/>
          <w:sz w:val="20"/>
        </w:rPr>
        <w:t>Source: Unpublished StewartBrown data</w:t>
      </w:r>
      <w:r w:rsidR="00D83660">
        <w:rPr>
          <w:rFonts w:ascii="Calibri" w:hAnsi="Calibri" w:cs="Calibri"/>
          <w:snapToGrid w:val="0"/>
          <w:sz w:val="20"/>
        </w:rPr>
        <w:t>.</w:t>
      </w:r>
    </w:p>
    <w:p w:rsidR="000A206F" w:rsidRPr="00BD04AA" w:rsidRDefault="000A206F" w:rsidP="007E3C92">
      <w:pPr>
        <w:rPr>
          <w:rFonts w:ascii="Calibri" w:hAnsi="Calibri" w:cs="Calibri"/>
          <w:snapToGrid w:val="0"/>
          <w:szCs w:val="24"/>
        </w:rPr>
      </w:pPr>
      <w:r w:rsidRPr="00BD04AA">
        <w:rPr>
          <w:rFonts w:ascii="Calibri" w:hAnsi="Calibri" w:cs="Calibri"/>
          <w:snapToGrid w:val="0"/>
          <w:szCs w:val="24"/>
        </w:rPr>
        <w:t xml:space="preserve">There has been a deficit in </w:t>
      </w:r>
      <w:r w:rsidR="00E251AC" w:rsidRPr="00BD04AA">
        <w:rPr>
          <w:rFonts w:ascii="Calibri" w:hAnsi="Calibri" w:cs="Calibri"/>
          <w:snapToGrid w:val="0"/>
          <w:szCs w:val="24"/>
        </w:rPr>
        <w:t>e</w:t>
      </w:r>
      <w:r w:rsidRPr="00BD04AA">
        <w:rPr>
          <w:rFonts w:ascii="Calibri" w:hAnsi="Calibri" w:cs="Calibri"/>
          <w:snapToGrid w:val="0"/>
          <w:szCs w:val="24"/>
        </w:rPr>
        <w:t xml:space="preserve">veryday </w:t>
      </w:r>
      <w:r w:rsidR="00E251AC" w:rsidRPr="00BD04AA">
        <w:rPr>
          <w:rFonts w:ascii="Calibri" w:hAnsi="Calibri" w:cs="Calibri"/>
          <w:snapToGrid w:val="0"/>
          <w:szCs w:val="24"/>
        </w:rPr>
        <w:t>l</w:t>
      </w:r>
      <w:r w:rsidRPr="00BD04AA">
        <w:rPr>
          <w:rFonts w:ascii="Calibri" w:hAnsi="Calibri" w:cs="Calibri"/>
          <w:snapToGrid w:val="0"/>
          <w:szCs w:val="24"/>
        </w:rPr>
        <w:t xml:space="preserve">iving for the entire period – depicted as the gap between the two lines in Chart 2. Overall, the </w:t>
      </w:r>
      <w:r w:rsidR="00E251AC" w:rsidRPr="00BD04AA">
        <w:rPr>
          <w:rFonts w:ascii="Calibri" w:hAnsi="Calibri" w:cs="Calibri"/>
          <w:snapToGrid w:val="0"/>
          <w:szCs w:val="24"/>
        </w:rPr>
        <w:t>e</w:t>
      </w:r>
      <w:r w:rsidRPr="00BD04AA">
        <w:rPr>
          <w:rFonts w:ascii="Calibri" w:hAnsi="Calibri" w:cs="Calibri"/>
          <w:snapToGrid w:val="0"/>
          <w:szCs w:val="24"/>
        </w:rPr>
        <w:t xml:space="preserve">veryday </w:t>
      </w:r>
      <w:r w:rsidR="00E251AC" w:rsidRPr="00BD04AA">
        <w:rPr>
          <w:rFonts w:ascii="Calibri" w:hAnsi="Calibri" w:cs="Calibri"/>
          <w:snapToGrid w:val="0"/>
          <w:szCs w:val="24"/>
        </w:rPr>
        <w:t>l</w:t>
      </w:r>
      <w:r w:rsidRPr="00BD04AA">
        <w:rPr>
          <w:rFonts w:ascii="Calibri" w:hAnsi="Calibri" w:cs="Calibri"/>
          <w:snapToGrid w:val="0"/>
          <w:szCs w:val="24"/>
        </w:rPr>
        <w:t xml:space="preserve">iving result marginally improved between 2009 and 2014 (a smaller gap between the two lines). Since then, however, </w:t>
      </w:r>
      <w:r w:rsidR="00E251AC" w:rsidRPr="00BD04AA">
        <w:rPr>
          <w:rFonts w:ascii="Calibri" w:hAnsi="Calibri" w:cs="Calibri"/>
          <w:snapToGrid w:val="0"/>
          <w:szCs w:val="24"/>
        </w:rPr>
        <w:t>e</w:t>
      </w:r>
      <w:r w:rsidRPr="00BD04AA">
        <w:rPr>
          <w:rFonts w:ascii="Calibri" w:hAnsi="Calibri" w:cs="Calibri"/>
          <w:snapToGrid w:val="0"/>
          <w:szCs w:val="24"/>
        </w:rPr>
        <w:t xml:space="preserve">veryday </w:t>
      </w:r>
      <w:r w:rsidR="00E251AC" w:rsidRPr="00BD04AA">
        <w:rPr>
          <w:rFonts w:ascii="Calibri" w:hAnsi="Calibri" w:cs="Calibri"/>
          <w:snapToGrid w:val="0"/>
          <w:szCs w:val="24"/>
        </w:rPr>
        <w:t>l</w:t>
      </w:r>
      <w:r w:rsidRPr="00BD04AA">
        <w:rPr>
          <w:rFonts w:ascii="Calibri" w:hAnsi="Calibri" w:cs="Calibri"/>
          <w:snapToGrid w:val="0"/>
          <w:szCs w:val="24"/>
        </w:rPr>
        <w:t>iving result has consistently deteriorated, mainly driven by increas</w:t>
      </w:r>
      <w:r w:rsidR="00BD04AA" w:rsidRPr="00BD04AA">
        <w:rPr>
          <w:rFonts w:ascii="Calibri" w:hAnsi="Calibri" w:cs="Calibri"/>
          <w:snapToGrid w:val="0"/>
          <w:szCs w:val="24"/>
        </w:rPr>
        <w:t>ing hoteling and utility costs.</w:t>
      </w:r>
    </w:p>
    <w:p w:rsidR="000A206F" w:rsidRPr="00A61763" w:rsidRDefault="000A206F" w:rsidP="00A61763">
      <w:pPr>
        <w:rPr>
          <w:rStyle w:val="Strong"/>
        </w:rPr>
      </w:pPr>
      <w:r w:rsidRPr="00A61763">
        <w:rPr>
          <w:rStyle w:val="Strong"/>
        </w:rPr>
        <w:t xml:space="preserve">Chart 2: Everyday Living Deficit </w:t>
      </w:r>
    </w:p>
    <w:p w:rsidR="00DF0C13" w:rsidRDefault="00DF0C13" w:rsidP="000A206F">
      <w:pPr>
        <w:spacing w:after="0" w:line="240" w:lineRule="auto"/>
        <w:rPr>
          <w:rFonts w:ascii="Calibri" w:hAnsi="Calibri" w:cs="Calibri"/>
          <w:snapToGrid w:val="0"/>
          <w:sz w:val="20"/>
        </w:rPr>
      </w:pPr>
      <w:r w:rsidRPr="00DF0C13">
        <w:rPr>
          <w:rFonts w:ascii="Calibri" w:hAnsi="Calibri" w:cs="Calibri"/>
          <w:noProof/>
          <w:snapToGrid w:val="0"/>
          <w:sz w:val="20"/>
          <w:lang w:eastAsia="en-AU"/>
        </w:rPr>
        <w:drawing>
          <wp:inline distT="0" distB="0" distL="0" distR="0" wp14:anchorId="5F262AF8" wp14:editId="18503764">
            <wp:extent cx="5464800" cy="3420000"/>
            <wp:effectExtent l="0" t="0" r="3175" b="9525"/>
            <wp:docPr id="10" name="Picture 10" descr="Line chart shows the every day living deficit costs bewteen December 2009 to December 2020 in dollars per bed per day. The everyday living deficit is the difference between the basic daily fee minus hotelling costs, and the utilities, maintenance and vehicles costs.&#10;&#10;The chart shows two lines, one for utilities, maintenance and vehicles costs, the other is the Baisic Daily Fee revenue minus hoteling costs. The utilities, maintenance and vehicles line, starting from $12 a day in December 2009, gradually increases to over $20 by December 2020. The Basic Daily Fee minus hoteling costs line, starting from just under zero, increases up to around $6 by June 2014, before gradually decliding until it is just below zero again by December 2020, which results in a $22.39 difference between the two lines in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64800" cy="3420000"/>
                    </a:xfrm>
                    <a:prstGeom prst="rect">
                      <a:avLst/>
                    </a:prstGeom>
                  </pic:spPr>
                </pic:pic>
              </a:graphicData>
            </a:graphic>
          </wp:inline>
        </w:drawing>
      </w:r>
    </w:p>
    <w:p w:rsidR="000A206F" w:rsidRPr="007E3C92" w:rsidRDefault="000A206F" w:rsidP="007E3C92">
      <w:pPr>
        <w:rPr>
          <w:rFonts w:ascii="Calibri" w:hAnsi="Calibri" w:cs="Calibri"/>
          <w:snapToGrid w:val="0"/>
          <w:sz w:val="20"/>
        </w:rPr>
      </w:pPr>
      <w:r w:rsidRPr="007E3C92">
        <w:rPr>
          <w:rFonts w:ascii="Calibri" w:hAnsi="Calibri" w:cs="Calibri"/>
          <w:snapToGrid w:val="0"/>
          <w:sz w:val="20"/>
        </w:rPr>
        <w:t>Source: Unpublished StewartBrown data</w:t>
      </w:r>
      <w:r w:rsidR="00456D79" w:rsidRPr="007E3C92">
        <w:rPr>
          <w:rFonts w:ascii="Calibri" w:hAnsi="Calibri" w:cs="Calibri"/>
          <w:snapToGrid w:val="0"/>
          <w:sz w:val="20"/>
        </w:rPr>
        <w:t xml:space="preserve">. </w:t>
      </w:r>
    </w:p>
    <w:p w:rsidR="000A206F" w:rsidRDefault="000A206F" w:rsidP="000A206F">
      <w:pPr>
        <w:rPr>
          <w:rFonts w:ascii="Calibri" w:hAnsi="Calibri" w:cs="Calibri"/>
          <w:snapToGrid w:val="0"/>
          <w:szCs w:val="24"/>
        </w:rPr>
      </w:pPr>
      <w:r>
        <w:rPr>
          <w:rFonts w:ascii="Calibri" w:hAnsi="Calibri" w:cs="Calibri"/>
          <w:snapToGrid w:val="0"/>
          <w:szCs w:val="24"/>
        </w:rPr>
        <w:t xml:space="preserve">As noted earlier, under the </w:t>
      </w:r>
      <w:r w:rsidRPr="00C66099">
        <w:rPr>
          <w:rFonts w:ascii="Calibri" w:hAnsi="Calibri" w:cs="Calibri"/>
          <w:i/>
          <w:snapToGrid w:val="0"/>
          <w:szCs w:val="24"/>
        </w:rPr>
        <w:t>Aged Care Act 1997</w:t>
      </w:r>
      <w:r w:rsidR="00AA4579">
        <w:rPr>
          <w:rFonts w:ascii="Calibri" w:hAnsi="Calibri" w:cs="Calibri"/>
          <w:snapToGrid w:val="0"/>
          <w:szCs w:val="24"/>
        </w:rPr>
        <w:t>,</w:t>
      </w:r>
      <w:r>
        <w:rPr>
          <w:rFonts w:ascii="Calibri" w:hAnsi="Calibri" w:cs="Calibri"/>
          <w:snapToGrid w:val="0"/>
          <w:szCs w:val="24"/>
        </w:rPr>
        <w:t xml:space="preserve"> most residential aged care funding is pooled, which allows cross-subsidisation between funding streams. ACFA also notes that, in</w:t>
      </w:r>
      <w:r w:rsidR="00DF0C13">
        <w:rPr>
          <w:rFonts w:ascii="Calibri" w:hAnsi="Calibri" w:cs="Calibri"/>
          <w:snapToGrid w:val="0"/>
          <w:szCs w:val="24"/>
        </w:rPr>
        <w:t> </w:t>
      </w:r>
      <w:r>
        <w:rPr>
          <w:rFonts w:ascii="Calibri" w:hAnsi="Calibri" w:cs="Calibri"/>
          <w:snapToGrid w:val="0"/>
          <w:szCs w:val="24"/>
        </w:rPr>
        <w:t>a residential aged care facility, care cannot be delivered without also providing food and a suitable environment (such as warm rooms in winter, facility maintenance</w:t>
      </w:r>
      <w:r w:rsidR="00AA4579">
        <w:rPr>
          <w:rFonts w:ascii="Calibri" w:hAnsi="Calibri" w:cs="Calibri"/>
          <w:snapToGrid w:val="0"/>
          <w:szCs w:val="24"/>
        </w:rPr>
        <w:t xml:space="preserve"> etc.</w:t>
      </w:r>
      <w:r>
        <w:rPr>
          <w:rFonts w:ascii="Calibri" w:hAnsi="Calibri" w:cs="Calibri"/>
          <w:snapToGrid w:val="0"/>
          <w:szCs w:val="24"/>
        </w:rPr>
        <w:t xml:space="preserve">) in which residents can live. </w:t>
      </w:r>
    </w:p>
    <w:p w:rsidR="000A206F" w:rsidRDefault="000A206F" w:rsidP="000A206F">
      <w:pPr>
        <w:rPr>
          <w:rFonts w:ascii="Calibri" w:hAnsi="Calibri" w:cs="Calibri"/>
          <w:snapToGrid w:val="0"/>
          <w:szCs w:val="24"/>
        </w:rPr>
      </w:pPr>
      <w:r w:rsidRPr="00FB3B7E">
        <w:rPr>
          <w:rFonts w:ascii="Calibri" w:hAnsi="Calibri" w:cs="Calibri"/>
          <w:snapToGrid w:val="0"/>
          <w:szCs w:val="24"/>
        </w:rPr>
        <w:t>With this in mind</w:t>
      </w:r>
      <w:r>
        <w:rPr>
          <w:rFonts w:ascii="Calibri" w:hAnsi="Calibri" w:cs="Calibri"/>
          <w:snapToGrid w:val="0"/>
          <w:szCs w:val="24"/>
        </w:rPr>
        <w:t xml:space="preserve">, ACFA considered whether the </w:t>
      </w:r>
      <w:r w:rsidR="00E251AC">
        <w:rPr>
          <w:rFonts w:ascii="Calibri" w:hAnsi="Calibri" w:cs="Calibri"/>
          <w:snapToGrid w:val="0"/>
          <w:szCs w:val="24"/>
        </w:rPr>
        <w:t>c</w:t>
      </w:r>
      <w:r>
        <w:rPr>
          <w:rFonts w:ascii="Calibri" w:hAnsi="Calibri" w:cs="Calibri"/>
          <w:snapToGrid w:val="0"/>
          <w:szCs w:val="24"/>
        </w:rPr>
        <w:t xml:space="preserve">are and </w:t>
      </w:r>
      <w:r w:rsidR="00E251AC">
        <w:rPr>
          <w:rFonts w:ascii="Calibri" w:hAnsi="Calibri" w:cs="Calibri"/>
          <w:snapToGrid w:val="0"/>
          <w:szCs w:val="24"/>
        </w:rPr>
        <w:t>e</w:t>
      </w:r>
      <w:r>
        <w:rPr>
          <w:rFonts w:ascii="Calibri" w:hAnsi="Calibri" w:cs="Calibri"/>
          <w:snapToGrid w:val="0"/>
          <w:szCs w:val="24"/>
        </w:rPr>
        <w:t xml:space="preserve">veryday </w:t>
      </w:r>
      <w:r w:rsidR="00E251AC">
        <w:rPr>
          <w:rFonts w:ascii="Calibri" w:hAnsi="Calibri" w:cs="Calibri"/>
          <w:snapToGrid w:val="0"/>
          <w:szCs w:val="24"/>
        </w:rPr>
        <w:t>l</w:t>
      </w:r>
      <w:r>
        <w:rPr>
          <w:rFonts w:ascii="Calibri" w:hAnsi="Calibri" w:cs="Calibri"/>
          <w:snapToGrid w:val="0"/>
          <w:szCs w:val="24"/>
        </w:rPr>
        <w:t>iving funding streams could be merged to create a single stream that was designed to cover all of the cost</w:t>
      </w:r>
      <w:r w:rsidR="00AA4579">
        <w:rPr>
          <w:rFonts w:ascii="Calibri" w:hAnsi="Calibri" w:cs="Calibri"/>
          <w:snapToGrid w:val="0"/>
          <w:szCs w:val="24"/>
        </w:rPr>
        <w:t>s</w:t>
      </w:r>
      <w:r>
        <w:rPr>
          <w:rFonts w:ascii="Calibri" w:hAnsi="Calibri" w:cs="Calibri"/>
          <w:snapToGrid w:val="0"/>
          <w:szCs w:val="24"/>
        </w:rPr>
        <w:t xml:space="preserve"> of looking after an individual in residential aged care (apart from their accommodation costs).</w:t>
      </w:r>
    </w:p>
    <w:p w:rsidR="000A206F" w:rsidRDefault="000A206F" w:rsidP="000A206F">
      <w:pPr>
        <w:rPr>
          <w:rFonts w:ascii="Calibri" w:hAnsi="Calibri" w:cs="Calibri"/>
          <w:snapToGrid w:val="0"/>
          <w:szCs w:val="24"/>
        </w:rPr>
      </w:pPr>
      <w:r>
        <w:rPr>
          <w:rFonts w:ascii="Calibri" w:hAnsi="Calibri" w:cs="Calibri"/>
          <w:snapToGrid w:val="0"/>
          <w:szCs w:val="24"/>
        </w:rPr>
        <w:t>On balance, ACFA does not support this approach to residential aged care funding and considers there is merit in continuing to conduct analysis on the basis of separate funding streams.</w:t>
      </w:r>
      <w:r w:rsidR="00A9406B">
        <w:rPr>
          <w:rFonts w:ascii="Calibri" w:hAnsi="Calibri" w:cs="Calibri"/>
          <w:snapToGrid w:val="0"/>
          <w:szCs w:val="24"/>
        </w:rPr>
        <w:t xml:space="preserve"> </w:t>
      </w:r>
      <w:r>
        <w:rPr>
          <w:rFonts w:ascii="Calibri" w:hAnsi="Calibri" w:cs="Calibri"/>
          <w:snapToGrid w:val="0"/>
          <w:szCs w:val="24"/>
        </w:rPr>
        <w:t>In particular</w:t>
      </w:r>
      <w:r w:rsidR="00AA4579">
        <w:rPr>
          <w:rFonts w:ascii="Calibri" w:hAnsi="Calibri" w:cs="Calibri"/>
          <w:snapToGrid w:val="0"/>
          <w:szCs w:val="24"/>
        </w:rPr>
        <w:t>,</w:t>
      </w:r>
      <w:r>
        <w:rPr>
          <w:rFonts w:ascii="Calibri" w:hAnsi="Calibri" w:cs="Calibri"/>
          <w:snapToGrid w:val="0"/>
          <w:szCs w:val="24"/>
        </w:rPr>
        <w:t xml:space="preserve"> merging funding streams may </w:t>
      </w:r>
      <w:r w:rsidRPr="00C602D4">
        <w:rPr>
          <w:rFonts w:ascii="Calibri" w:hAnsi="Calibri" w:cs="Calibri"/>
          <w:snapToGrid w:val="0"/>
          <w:szCs w:val="24"/>
        </w:rPr>
        <w:t>blur the distinction between living costs that are considered to be a private responsibility (food, utilities etc</w:t>
      </w:r>
      <w:r w:rsidR="00640ACB">
        <w:rPr>
          <w:rFonts w:ascii="Calibri" w:hAnsi="Calibri" w:cs="Calibri"/>
          <w:snapToGrid w:val="0"/>
          <w:szCs w:val="24"/>
        </w:rPr>
        <w:t>.</w:t>
      </w:r>
      <w:r w:rsidRPr="00C602D4">
        <w:rPr>
          <w:rFonts w:ascii="Calibri" w:hAnsi="Calibri" w:cs="Calibri"/>
          <w:snapToGrid w:val="0"/>
          <w:szCs w:val="24"/>
        </w:rPr>
        <w:t xml:space="preserve">) and those </w:t>
      </w:r>
      <w:r w:rsidR="004400FA">
        <w:rPr>
          <w:rFonts w:ascii="Calibri" w:hAnsi="Calibri" w:cs="Calibri"/>
          <w:snapToGrid w:val="0"/>
          <w:szCs w:val="24"/>
        </w:rPr>
        <w:t xml:space="preserve">costs </w:t>
      </w:r>
      <w:r w:rsidRPr="00C602D4">
        <w:rPr>
          <w:rFonts w:ascii="Calibri" w:hAnsi="Calibri" w:cs="Calibri"/>
          <w:snapToGrid w:val="0"/>
          <w:szCs w:val="24"/>
        </w:rPr>
        <w:t>that have traditionally been free or heavily subsidised by government (care)</w:t>
      </w:r>
      <w:r>
        <w:rPr>
          <w:rFonts w:ascii="Calibri" w:hAnsi="Calibri" w:cs="Calibri"/>
          <w:snapToGrid w:val="0"/>
          <w:szCs w:val="24"/>
        </w:rPr>
        <w:t xml:space="preserve">. </w:t>
      </w:r>
    </w:p>
    <w:p w:rsidR="000A206F" w:rsidRDefault="000A206F" w:rsidP="000A206F">
      <w:pPr>
        <w:rPr>
          <w:rFonts w:ascii="Calibri" w:hAnsi="Calibri" w:cs="Calibri"/>
          <w:snapToGrid w:val="0"/>
          <w:szCs w:val="24"/>
        </w:rPr>
      </w:pPr>
      <w:r>
        <w:rPr>
          <w:rFonts w:ascii="Calibri" w:hAnsi="Calibri" w:cs="Calibri"/>
          <w:snapToGrid w:val="0"/>
          <w:szCs w:val="24"/>
        </w:rPr>
        <w:t xml:space="preserve">Keeping funding streams separate allows more detailed analysis of each component of residential aged care operations, including making comparisons between the funding of </w:t>
      </w:r>
      <w:r w:rsidR="009B5D1C">
        <w:rPr>
          <w:rFonts w:ascii="Calibri" w:hAnsi="Calibri" w:cs="Calibri"/>
          <w:snapToGrid w:val="0"/>
          <w:szCs w:val="24"/>
        </w:rPr>
        <w:t>everyday</w:t>
      </w:r>
      <w:r>
        <w:rPr>
          <w:rFonts w:ascii="Calibri" w:hAnsi="Calibri" w:cs="Calibri"/>
          <w:snapToGrid w:val="0"/>
          <w:szCs w:val="24"/>
        </w:rPr>
        <w:t xml:space="preserve"> living activities in residential care and those delivered in the home, and will assist in provider accountability for ensuring that care funding is being spent on care. It also allows for the consideration of the appropriateness of funding for the </w:t>
      </w:r>
      <w:r w:rsidR="00E251AC">
        <w:rPr>
          <w:rFonts w:ascii="Calibri" w:hAnsi="Calibri" w:cs="Calibri"/>
          <w:snapToGrid w:val="0"/>
          <w:szCs w:val="24"/>
        </w:rPr>
        <w:t>e</w:t>
      </w:r>
      <w:r w:rsidR="009B5D1C">
        <w:rPr>
          <w:rFonts w:ascii="Calibri" w:hAnsi="Calibri" w:cs="Calibri"/>
          <w:snapToGrid w:val="0"/>
          <w:szCs w:val="24"/>
        </w:rPr>
        <w:t>veryday</w:t>
      </w:r>
      <w:r>
        <w:rPr>
          <w:rFonts w:ascii="Calibri" w:hAnsi="Calibri" w:cs="Calibri"/>
          <w:snapToGrid w:val="0"/>
          <w:szCs w:val="24"/>
        </w:rPr>
        <w:t xml:space="preserve"> </w:t>
      </w:r>
      <w:r w:rsidR="00E251AC">
        <w:rPr>
          <w:rFonts w:ascii="Calibri" w:hAnsi="Calibri" w:cs="Calibri"/>
          <w:snapToGrid w:val="0"/>
          <w:szCs w:val="24"/>
        </w:rPr>
        <w:t>l</w:t>
      </w:r>
      <w:r>
        <w:rPr>
          <w:rFonts w:ascii="Calibri" w:hAnsi="Calibri" w:cs="Calibri"/>
          <w:snapToGrid w:val="0"/>
          <w:szCs w:val="24"/>
        </w:rPr>
        <w:t xml:space="preserve">iving and </w:t>
      </w:r>
      <w:r w:rsidR="00E251AC">
        <w:rPr>
          <w:rFonts w:ascii="Calibri" w:hAnsi="Calibri" w:cs="Calibri"/>
          <w:snapToGrid w:val="0"/>
          <w:szCs w:val="24"/>
        </w:rPr>
        <w:t>a</w:t>
      </w:r>
      <w:r w:rsidR="00BD04AA">
        <w:rPr>
          <w:rFonts w:ascii="Calibri" w:hAnsi="Calibri" w:cs="Calibri"/>
          <w:snapToGrid w:val="0"/>
          <w:szCs w:val="24"/>
        </w:rPr>
        <w:t>ccommodation streams.</w:t>
      </w:r>
    </w:p>
    <w:p w:rsidR="000A206F" w:rsidRPr="002C3BAC" w:rsidRDefault="000A206F" w:rsidP="000A206F">
      <w:pPr>
        <w:rPr>
          <w:rFonts w:ascii="Calibri" w:hAnsi="Calibri" w:cs="Calibri"/>
          <w:snapToGrid w:val="0"/>
          <w:szCs w:val="24"/>
        </w:rPr>
      </w:pPr>
      <w:r>
        <w:rPr>
          <w:rFonts w:ascii="Calibri" w:hAnsi="Calibri" w:cs="Calibri"/>
          <w:snapToGrid w:val="0"/>
          <w:szCs w:val="24"/>
        </w:rPr>
        <w:t xml:space="preserve">ACFA also notes that many providers find it valuable to separately measure and account for </w:t>
      </w:r>
      <w:r w:rsidR="00E251AC">
        <w:rPr>
          <w:rFonts w:ascii="Calibri" w:hAnsi="Calibri" w:cs="Calibri"/>
          <w:snapToGrid w:val="0"/>
          <w:szCs w:val="24"/>
        </w:rPr>
        <w:t>c</w:t>
      </w:r>
      <w:r>
        <w:rPr>
          <w:rFonts w:ascii="Calibri" w:hAnsi="Calibri" w:cs="Calibri"/>
          <w:snapToGrid w:val="0"/>
          <w:szCs w:val="24"/>
        </w:rPr>
        <w:t xml:space="preserve">are and </w:t>
      </w:r>
      <w:r w:rsidR="00E251AC">
        <w:rPr>
          <w:rFonts w:ascii="Calibri" w:hAnsi="Calibri" w:cs="Calibri"/>
          <w:snapToGrid w:val="0"/>
          <w:szCs w:val="24"/>
        </w:rPr>
        <w:t>e</w:t>
      </w:r>
      <w:r>
        <w:rPr>
          <w:rFonts w:ascii="Calibri" w:hAnsi="Calibri" w:cs="Calibri"/>
          <w:snapToGrid w:val="0"/>
          <w:szCs w:val="24"/>
        </w:rPr>
        <w:t xml:space="preserve">veryday </w:t>
      </w:r>
      <w:r w:rsidR="00E251AC">
        <w:rPr>
          <w:rFonts w:ascii="Calibri" w:hAnsi="Calibri" w:cs="Calibri"/>
          <w:snapToGrid w:val="0"/>
          <w:szCs w:val="24"/>
        </w:rPr>
        <w:t>l</w:t>
      </w:r>
      <w:r>
        <w:rPr>
          <w:rFonts w:ascii="Calibri" w:hAnsi="Calibri" w:cs="Calibri"/>
          <w:snapToGrid w:val="0"/>
          <w:szCs w:val="24"/>
        </w:rPr>
        <w:t>iving revenues and expenses, and that this approach may become more prevalent and necessary in the future as residential aged care continues to evolve (for</w:t>
      </w:r>
      <w:r w:rsidR="00DF0C13">
        <w:rPr>
          <w:rFonts w:ascii="Calibri" w:hAnsi="Calibri" w:cs="Calibri"/>
          <w:snapToGrid w:val="0"/>
          <w:szCs w:val="24"/>
        </w:rPr>
        <w:t> </w:t>
      </w:r>
      <w:r>
        <w:rPr>
          <w:rFonts w:ascii="Calibri" w:hAnsi="Calibri" w:cs="Calibri"/>
          <w:snapToGrid w:val="0"/>
          <w:szCs w:val="24"/>
        </w:rPr>
        <w:t>example</w:t>
      </w:r>
      <w:r w:rsidR="00AA4579">
        <w:rPr>
          <w:rFonts w:ascii="Calibri" w:hAnsi="Calibri" w:cs="Calibri"/>
          <w:snapToGrid w:val="0"/>
          <w:szCs w:val="24"/>
        </w:rPr>
        <w:t>,</w:t>
      </w:r>
      <w:r>
        <w:rPr>
          <w:rFonts w:ascii="Calibri" w:hAnsi="Calibri" w:cs="Calibri"/>
          <w:snapToGrid w:val="0"/>
          <w:szCs w:val="24"/>
        </w:rPr>
        <w:t xml:space="preserve"> to become less institutional, with scope for care to be delivered in apartment-style accommodation where individuals have more control about who prepares and delivers their food).</w:t>
      </w:r>
    </w:p>
    <w:p w:rsidR="000A206F" w:rsidRDefault="000A206F" w:rsidP="000A206F">
      <w:pPr>
        <w:rPr>
          <w:szCs w:val="24"/>
        </w:rPr>
      </w:pPr>
      <w:r w:rsidRPr="00505A5F">
        <w:rPr>
          <w:szCs w:val="24"/>
        </w:rPr>
        <w:t>As a result, ACFA considers that the current three streams of residential aged care funding (</w:t>
      </w:r>
      <w:r w:rsidR="00E251AC">
        <w:rPr>
          <w:szCs w:val="24"/>
        </w:rPr>
        <w:t>c</w:t>
      </w:r>
      <w:r w:rsidRPr="00505A5F">
        <w:rPr>
          <w:szCs w:val="24"/>
        </w:rPr>
        <w:t xml:space="preserve">are, </w:t>
      </w:r>
      <w:r w:rsidR="00E251AC">
        <w:rPr>
          <w:szCs w:val="24"/>
        </w:rPr>
        <w:t>e</w:t>
      </w:r>
      <w:r w:rsidR="00D321E0">
        <w:rPr>
          <w:szCs w:val="24"/>
        </w:rPr>
        <w:t>veryday</w:t>
      </w:r>
      <w:r w:rsidRPr="00505A5F">
        <w:rPr>
          <w:szCs w:val="24"/>
        </w:rPr>
        <w:t xml:space="preserve"> </w:t>
      </w:r>
      <w:r w:rsidR="00E251AC">
        <w:rPr>
          <w:szCs w:val="24"/>
        </w:rPr>
        <w:t>l</w:t>
      </w:r>
      <w:r w:rsidRPr="00505A5F">
        <w:rPr>
          <w:szCs w:val="24"/>
        </w:rPr>
        <w:t xml:space="preserve">iving and </w:t>
      </w:r>
      <w:r w:rsidR="00E251AC">
        <w:rPr>
          <w:szCs w:val="24"/>
        </w:rPr>
        <w:t>a</w:t>
      </w:r>
      <w:r w:rsidRPr="00505A5F">
        <w:rPr>
          <w:szCs w:val="24"/>
        </w:rPr>
        <w:t xml:space="preserve">ccommodation) are broadly appropriate and should be retained. However, </w:t>
      </w:r>
      <w:r>
        <w:rPr>
          <w:szCs w:val="24"/>
        </w:rPr>
        <w:t xml:space="preserve">ACFA notes that </w:t>
      </w:r>
      <w:r w:rsidRPr="00505A5F">
        <w:rPr>
          <w:szCs w:val="24"/>
        </w:rPr>
        <w:t xml:space="preserve">the benefits of </w:t>
      </w:r>
      <w:r>
        <w:rPr>
          <w:szCs w:val="24"/>
        </w:rPr>
        <w:t xml:space="preserve">conducting analysis on </w:t>
      </w:r>
      <w:r w:rsidRPr="00505A5F">
        <w:rPr>
          <w:szCs w:val="24"/>
        </w:rPr>
        <w:t xml:space="preserve">separate funding streams </w:t>
      </w:r>
      <w:r>
        <w:rPr>
          <w:szCs w:val="24"/>
        </w:rPr>
        <w:t xml:space="preserve">requires that data is available </w:t>
      </w:r>
      <w:r w:rsidR="00D321E0">
        <w:rPr>
          <w:szCs w:val="24"/>
        </w:rPr>
        <w:t>on providers’ costs and expenses</w:t>
      </w:r>
      <w:r>
        <w:rPr>
          <w:szCs w:val="24"/>
        </w:rPr>
        <w:t xml:space="preserve"> for each stream to allow the degree of cross-subsidisation to be measured, monitored and taken into account by decision makers.</w:t>
      </w:r>
    </w:p>
    <w:p w:rsidR="00B3501A" w:rsidRPr="00BD04AA" w:rsidRDefault="000A206F" w:rsidP="00BD04AA">
      <w:r>
        <w:rPr>
          <w:szCs w:val="24"/>
        </w:rPr>
        <w:t xml:space="preserve">With this in mind, ACFA considers that it would be beneficial to </w:t>
      </w:r>
      <w:r w:rsidRPr="00505A5F">
        <w:rPr>
          <w:szCs w:val="24"/>
        </w:rPr>
        <w:t xml:space="preserve">make changes </w:t>
      </w:r>
      <w:r>
        <w:rPr>
          <w:szCs w:val="24"/>
        </w:rPr>
        <w:t xml:space="preserve">to ensure the revenue that providers receive for </w:t>
      </w:r>
      <w:r w:rsidR="00E251AC">
        <w:rPr>
          <w:szCs w:val="24"/>
        </w:rPr>
        <w:t>e</w:t>
      </w:r>
      <w:r>
        <w:rPr>
          <w:szCs w:val="24"/>
        </w:rPr>
        <w:t xml:space="preserve">veryday </w:t>
      </w:r>
      <w:r w:rsidR="00E251AC">
        <w:rPr>
          <w:szCs w:val="24"/>
        </w:rPr>
        <w:t>l</w:t>
      </w:r>
      <w:r>
        <w:rPr>
          <w:szCs w:val="24"/>
        </w:rPr>
        <w:t>iving expenses more closely matches the cost of providing those services. However, before reform proposals can be analysed there needs to be agreement on what the objectives of reform should be. This is discussed in more detail in the next section.</w:t>
      </w:r>
      <w:r w:rsidR="000D34F5" w:rsidRPr="00BD04AA">
        <w:rPr>
          <w:szCs w:val="24"/>
        </w:rPr>
        <w:br w:type="page"/>
      </w:r>
      <w:bookmarkEnd w:id="24"/>
      <w:bookmarkEnd w:id="25"/>
      <w:bookmarkEnd w:id="26"/>
      <w:bookmarkEnd w:id="27"/>
      <w:bookmarkEnd w:id="28"/>
    </w:p>
    <w:p w:rsidR="00BD04AA" w:rsidRDefault="00BD04AA" w:rsidP="00BD04AA">
      <w:pPr>
        <w:pStyle w:val="Heading1"/>
        <w:numPr>
          <w:ilvl w:val="0"/>
          <w:numId w:val="14"/>
        </w:numPr>
        <w:spacing w:before="0" w:after="180"/>
      </w:pPr>
      <w:r w:rsidRPr="00BD04AA">
        <w:t>Principles for evaluating reform proposals</w:t>
      </w:r>
    </w:p>
    <w:p w:rsidR="00EB512F" w:rsidRDefault="00EB512F" w:rsidP="00EB512F">
      <w:pPr>
        <w:rPr>
          <w:szCs w:val="24"/>
        </w:rPr>
      </w:pPr>
      <w:r>
        <w:rPr>
          <w:szCs w:val="24"/>
        </w:rPr>
        <w:t xml:space="preserve">In order to effectively analyse any proposal for reform, ACFA considered the objectives of the </w:t>
      </w:r>
      <w:r w:rsidR="00AB26C8">
        <w:rPr>
          <w:rFonts w:cstheme="minorHAnsi"/>
          <w:snapToGrid w:val="0"/>
          <w:szCs w:val="24"/>
        </w:rPr>
        <w:t>BDF</w:t>
      </w:r>
      <w:r>
        <w:rPr>
          <w:szCs w:val="24"/>
        </w:rPr>
        <w:t xml:space="preserve"> within the context of consumer and government contributions to the cost of delivering care and </w:t>
      </w:r>
      <w:r w:rsidR="009B5D1C">
        <w:rPr>
          <w:szCs w:val="24"/>
        </w:rPr>
        <w:t>everyday</w:t>
      </w:r>
      <w:r>
        <w:rPr>
          <w:szCs w:val="24"/>
        </w:rPr>
        <w:t xml:space="preserve"> living services and the revenue sources available to residential aged care providers. In developing these principles, ACFA had regard to the principles it previously set out in its report “Attributes for Sustainable Aged Care”. ACFA considers that:</w:t>
      </w:r>
    </w:p>
    <w:p w:rsidR="00EB512F" w:rsidRPr="00505A5F" w:rsidRDefault="00EB512F" w:rsidP="00EB512F">
      <w:pPr>
        <w:pStyle w:val="ListParagraph"/>
        <w:numPr>
          <w:ilvl w:val="0"/>
          <w:numId w:val="35"/>
        </w:numPr>
        <w:spacing w:after="200" w:line="276" w:lineRule="auto"/>
        <w:rPr>
          <w:szCs w:val="24"/>
        </w:rPr>
      </w:pPr>
      <w:r w:rsidRPr="00505A5F">
        <w:rPr>
          <w:szCs w:val="24"/>
        </w:rPr>
        <w:t>Funding for residential aged care should consist of streams. Funding arrangements should ensure that consumers in need are able to access affordable quality residential aged care and that providers receive predictable funding for each service stream</w:t>
      </w:r>
      <w:r>
        <w:rPr>
          <w:szCs w:val="24"/>
        </w:rPr>
        <w:t xml:space="preserve"> that is adequate in aggregate. The three streams </w:t>
      </w:r>
      <w:r w:rsidRPr="00AB7776">
        <w:rPr>
          <w:szCs w:val="24"/>
        </w:rPr>
        <w:t>are</w:t>
      </w:r>
      <w:r w:rsidR="00B13C32" w:rsidRPr="00AB7776">
        <w:rPr>
          <w:szCs w:val="24"/>
        </w:rPr>
        <w:t xml:space="preserve"> as follows, and include an allowance for the administration of each of them</w:t>
      </w:r>
      <w:r w:rsidRPr="00505A5F">
        <w:rPr>
          <w:szCs w:val="24"/>
        </w:rPr>
        <w:t>:</w:t>
      </w:r>
    </w:p>
    <w:p w:rsidR="00EB512F" w:rsidRPr="00B243E2" w:rsidRDefault="00AA4579" w:rsidP="00EB512F">
      <w:pPr>
        <w:pStyle w:val="ListParagraph"/>
        <w:numPr>
          <w:ilvl w:val="1"/>
          <w:numId w:val="36"/>
        </w:numPr>
        <w:spacing w:after="200" w:line="276" w:lineRule="auto"/>
        <w:rPr>
          <w:szCs w:val="24"/>
        </w:rPr>
      </w:pPr>
      <w:r>
        <w:rPr>
          <w:szCs w:val="24"/>
        </w:rPr>
        <w:t>C</w:t>
      </w:r>
      <w:r w:rsidR="00EB512F" w:rsidRPr="00B243E2">
        <w:rPr>
          <w:szCs w:val="24"/>
        </w:rPr>
        <w:t xml:space="preserve">are </w:t>
      </w:r>
    </w:p>
    <w:p w:rsidR="00EB512F" w:rsidRDefault="00AA4579" w:rsidP="00EB512F">
      <w:pPr>
        <w:pStyle w:val="ListParagraph"/>
        <w:numPr>
          <w:ilvl w:val="1"/>
          <w:numId w:val="36"/>
        </w:numPr>
        <w:spacing w:after="200" w:line="276" w:lineRule="auto"/>
        <w:rPr>
          <w:szCs w:val="24"/>
        </w:rPr>
      </w:pPr>
      <w:r>
        <w:rPr>
          <w:szCs w:val="24"/>
        </w:rPr>
        <w:t>E</w:t>
      </w:r>
      <w:r w:rsidR="00EB512F">
        <w:rPr>
          <w:szCs w:val="24"/>
        </w:rPr>
        <w:t>veryday</w:t>
      </w:r>
      <w:r w:rsidR="00EB512F" w:rsidRPr="00B243E2">
        <w:rPr>
          <w:szCs w:val="24"/>
        </w:rPr>
        <w:t xml:space="preserve"> </w:t>
      </w:r>
      <w:r>
        <w:rPr>
          <w:szCs w:val="24"/>
        </w:rPr>
        <w:t>L</w:t>
      </w:r>
      <w:r w:rsidR="00EB512F" w:rsidRPr="00B243E2">
        <w:rPr>
          <w:szCs w:val="24"/>
        </w:rPr>
        <w:t>iving</w:t>
      </w:r>
    </w:p>
    <w:p w:rsidR="00EB512F" w:rsidRDefault="00AA4579" w:rsidP="00BD04AA">
      <w:pPr>
        <w:pStyle w:val="ListParagraph"/>
        <w:numPr>
          <w:ilvl w:val="1"/>
          <w:numId w:val="36"/>
        </w:numPr>
        <w:spacing w:after="200" w:line="276" w:lineRule="auto"/>
        <w:ind w:left="1491" w:hanging="357"/>
        <w:contextualSpacing w:val="0"/>
        <w:rPr>
          <w:szCs w:val="24"/>
        </w:rPr>
      </w:pPr>
      <w:r>
        <w:rPr>
          <w:szCs w:val="24"/>
        </w:rPr>
        <w:t>A</w:t>
      </w:r>
      <w:r w:rsidR="00EB512F">
        <w:rPr>
          <w:szCs w:val="24"/>
        </w:rPr>
        <w:t>ccommodation</w:t>
      </w:r>
    </w:p>
    <w:p w:rsidR="00EB512F" w:rsidRPr="00505A5F" w:rsidRDefault="00EB512F" w:rsidP="00BD04AA">
      <w:pPr>
        <w:pStyle w:val="ListParagraph"/>
        <w:numPr>
          <w:ilvl w:val="0"/>
          <w:numId w:val="35"/>
        </w:numPr>
        <w:spacing w:after="200" w:line="276" w:lineRule="auto"/>
        <w:ind w:left="714" w:hanging="357"/>
        <w:contextualSpacing w:val="0"/>
        <w:rPr>
          <w:szCs w:val="24"/>
        </w:rPr>
      </w:pPr>
      <w:r w:rsidRPr="00505A5F">
        <w:rPr>
          <w:szCs w:val="24"/>
        </w:rPr>
        <w:t xml:space="preserve">Subject to individual means, funding the costs of </w:t>
      </w:r>
      <w:r>
        <w:rPr>
          <w:szCs w:val="24"/>
        </w:rPr>
        <w:t xml:space="preserve">everyday </w:t>
      </w:r>
      <w:r w:rsidRPr="00505A5F">
        <w:rPr>
          <w:szCs w:val="24"/>
        </w:rPr>
        <w:t xml:space="preserve">living services should </w:t>
      </w:r>
      <w:r>
        <w:rPr>
          <w:szCs w:val="24"/>
        </w:rPr>
        <w:t xml:space="preserve">primarily </w:t>
      </w:r>
      <w:r w:rsidRPr="00505A5F">
        <w:rPr>
          <w:szCs w:val="24"/>
        </w:rPr>
        <w:t>be a personal responsibility</w:t>
      </w:r>
      <w:r>
        <w:rPr>
          <w:szCs w:val="24"/>
        </w:rPr>
        <w:t>, though some Government supplementation may be required to the extent that frailty or cognition-related everyday living costs exceed those contemplated under the Age Pension</w:t>
      </w:r>
      <w:r w:rsidRPr="00505A5F">
        <w:rPr>
          <w:szCs w:val="24"/>
        </w:rPr>
        <w:t>.</w:t>
      </w:r>
    </w:p>
    <w:p w:rsidR="00EB512F" w:rsidRPr="00505A5F" w:rsidRDefault="00EB512F" w:rsidP="00EB512F">
      <w:pPr>
        <w:pStyle w:val="ListParagraph"/>
        <w:numPr>
          <w:ilvl w:val="0"/>
          <w:numId w:val="35"/>
        </w:numPr>
        <w:spacing w:after="200" w:line="276" w:lineRule="auto"/>
        <w:rPr>
          <w:szCs w:val="24"/>
        </w:rPr>
      </w:pPr>
      <w:r w:rsidRPr="00505A5F">
        <w:rPr>
          <w:szCs w:val="24"/>
        </w:rPr>
        <w:t xml:space="preserve"> Pricing and funding arrangements for </w:t>
      </w:r>
      <w:r w:rsidR="009344DD">
        <w:rPr>
          <w:szCs w:val="24"/>
        </w:rPr>
        <w:t xml:space="preserve">everyday </w:t>
      </w:r>
      <w:r w:rsidRPr="00505A5F">
        <w:rPr>
          <w:szCs w:val="24"/>
        </w:rPr>
        <w:t>living services should:</w:t>
      </w:r>
    </w:p>
    <w:p w:rsidR="00EB512F" w:rsidRPr="00B243E2" w:rsidRDefault="00EB512F" w:rsidP="00EB512F">
      <w:pPr>
        <w:pStyle w:val="ListParagraph"/>
        <w:numPr>
          <w:ilvl w:val="1"/>
          <w:numId w:val="37"/>
        </w:numPr>
        <w:spacing w:after="200" w:line="276" w:lineRule="auto"/>
        <w:rPr>
          <w:szCs w:val="24"/>
        </w:rPr>
      </w:pPr>
      <w:r w:rsidRPr="00B243E2">
        <w:rPr>
          <w:szCs w:val="24"/>
        </w:rPr>
        <w:t>be transparent</w:t>
      </w:r>
    </w:p>
    <w:p w:rsidR="00EB512F" w:rsidRPr="00B243E2" w:rsidRDefault="00EB512F" w:rsidP="00EB512F">
      <w:pPr>
        <w:pStyle w:val="ListParagraph"/>
        <w:numPr>
          <w:ilvl w:val="1"/>
          <w:numId w:val="37"/>
        </w:numPr>
        <w:spacing w:after="200" w:line="276" w:lineRule="auto"/>
        <w:rPr>
          <w:szCs w:val="24"/>
        </w:rPr>
      </w:pPr>
      <w:r w:rsidRPr="00B243E2">
        <w:rPr>
          <w:rFonts w:eastAsia="Times New Roman"/>
          <w:szCs w:val="24"/>
        </w:rPr>
        <w:t xml:space="preserve">ensure that </w:t>
      </w:r>
      <w:r w:rsidRPr="00B243E2">
        <w:rPr>
          <w:szCs w:val="24"/>
        </w:rPr>
        <w:t xml:space="preserve">low means consumers are able to access affordable </w:t>
      </w:r>
      <w:r w:rsidR="009344DD">
        <w:rPr>
          <w:szCs w:val="24"/>
        </w:rPr>
        <w:t>everyday</w:t>
      </w:r>
      <w:r w:rsidRPr="00B243E2">
        <w:rPr>
          <w:szCs w:val="24"/>
        </w:rPr>
        <w:t xml:space="preserve"> living services that are of at least a quality standard that meets community expectations and personal appropriateness </w:t>
      </w:r>
    </w:p>
    <w:p w:rsidR="00EB512F" w:rsidRPr="00505A5F" w:rsidRDefault="00EB512F" w:rsidP="00EB512F">
      <w:pPr>
        <w:pStyle w:val="ListParagraph"/>
        <w:numPr>
          <w:ilvl w:val="1"/>
          <w:numId w:val="37"/>
        </w:numPr>
        <w:spacing w:after="200" w:line="276" w:lineRule="auto"/>
        <w:rPr>
          <w:szCs w:val="24"/>
        </w:rPr>
      </w:pPr>
      <w:r w:rsidRPr="00505A5F">
        <w:rPr>
          <w:szCs w:val="24"/>
        </w:rPr>
        <w:t xml:space="preserve">enable consumers to make informed and voluntary choices among a range of broader and higher quality </w:t>
      </w:r>
      <w:r w:rsidR="009344DD">
        <w:rPr>
          <w:szCs w:val="24"/>
        </w:rPr>
        <w:t xml:space="preserve">everyday </w:t>
      </w:r>
      <w:r w:rsidRPr="00505A5F">
        <w:rPr>
          <w:szCs w:val="24"/>
        </w:rPr>
        <w:t>living services</w:t>
      </w:r>
      <w:r w:rsidR="009344DD">
        <w:rPr>
          <w:szCs w:val="24"/>
        </w:rPr>
        <w:t>, with fees charged for higher quality services being voluntary,</w:t>
      </w:r>
      <w:r>
        <w:rPr>
          <w:szCs w:val="24"/>
        </w:rPr>
        <w:t xml:space="preserve"> transparent and reasonable</w:t>
      </w:r>
    </w:p>
    <w:p w:rsidR="00EB512F" w:rsidRPr="00505A5F" w:rsidRDefault="00EB512F" w:rsidP="00BD04AA">
      <w:pPr>
        <w:pStyle w:val="ListParagraph"/>
        <w:numPr>
          <w:ilvl w:val="1"/>
          <w:numId w:val="37"/>
        </w:numPr>
        <w:spacing w:after="200" w:line="276" w:lineRule="auto"/>
        <w:ind w:left="1434" w:hanging="357"/>
        <w:contextualSpacing w:val="0"/>
        <w:rPr>
          <w:szCs w:val="24"/>
        </w:rPr>
      </w:pPr>
      <w:r w:rsidRPr="00505A5F">
        <w:rPr>
          <w:szCs w:val="24"/>
        </w:rPr>
        <w:t xml:space="preserve">embed incentives for providers to deliver </w:t>
      </w:r>
      <w:r w:rsidR="009344DD">
        <w:rPr>
          <w:szCs w:val="24"/>
        </w:rPr>
        <w:t>everyday</w:t>
      </w:r>
      <w:r w:rsidRPr="00505A5F">
        <w:rPr>
          <w:szCs w:val="24"/>
        </w:rPr>
        <w:t xml:space="preserve"> living services efficiently. </w:t>
      </w:r>
    </w:p>
    <w:p w:rsidR="008A49BA" w:rsidRPr="00BD04AA" w:rsidRDefault="00EB512F" w:rsidP="00BD371A">
      <w:pPr>
        <w:pStyle w:val="ListParagraph"/>
        <w:numPr>
          <w:ilvl w:val="0"/>
          <w:numId w:val="37"/>
        </w:numPr>
        <w:spacing w:after="200" w:line="276" w:lineRule="auto"/>
        <w:rPr>
          <w:szCs w:val="24"/>
        </w:rPr>
      </w:pPr>
      <w:r w:rsidRPr="00505A5F">
        <w:rPr>
          <w:szCs w:val="24"/>
        </w:rPr>
        <w:t xml:space="preserve">Providers should be accountable for the quality of the </w:t>
      </w:r>
      <w:r w:rsidR="009344DD">
        <w:rPr>
          <w:szCs w:val="24"/>
        </w:rPr>
        <w:t>e</w:t>
      </w:r>
      <w:r w:rsidR="00BD371A">
        <w:rPr>
          <w:szCs w:val="24"/>
        </w:rPr>
        <w:t>veryday</w:t>
      </w:r>
      <w:r w:rsidRPr="00505A5F">
        <w:rPr>
          <w:szCs w:val="24"/>
        </w:rPr>
        <w:t xml:space="preserve"> living services they deliver.</w:t>
      </w:r>
      <w:bookmarkEnd w:id="29"/>
      <w:bookmarkEnd w:id="30"/>
      <w:r w:rsidR="008A49BA">
        <w:br w:type="page"/>
      </w:r>
    </w:p>
    <w:p w:rsidR="00367D12" w:rsidRDefault="00406743" w:rsidP="00DC7117">
      <w:pPr>
        <w:pStyle w:val="Heading1"/>
        <w:numPr>
          <w:ilvl w:val="0"/>
          <w:numId w:val="14"/>
        </w:numPr>
        <w:spacing w:before="0" w:after="180"/>
      </w:pPr>
      <w:bookmarkStart w:id="31" w:name="_Toc66451048"/>
      <w:r>
        <w:t>Reform options and analysis</w:t>
      </w:r>
      <w:bookmarkEnd w:id="31"/>
      <w:r w:rsidR="004D06BC" w:rsidRPr="004D06BC">
        <w:t xml:space="preserve"> </w:t>
      </w:r>
    </w:p>
    <w:p w:rsidR="004D06BC" w:rsidRDefault="00406743" w:rsidP="004D06BC">
      <w:pPr>
        <w:pStyle w:val="Heading2"/>
      </w:pPr>
      <w:bookmarkStart w:id="32" w:name="_Toc66451049"/>
      <w:bookmarkStart w:id="33" w:name="_Toc25851855"/>
      <w:bookmarkStart w:id="34" w:name="_Toc25938500"/>
      <w:bookmarkStart w:id="35" w:name="_Toc26109063"/>
      <w:r>
        <w:t>Option A – Status Quo</w:t>
      </w:r>
      <w:bookmarkEnd w:id="32"/>
    </w:p>
    <w:p w:rsidR="00E92D37" w:rsidRDefault="00E92D37" w:rsidP="00E92D37">
      <w:pPr>
        <w:rPr>
          <w:szCs w:val="24"/>
        </w:rPr>
      </w:pPr>
      <w:r>
        <w:rPr>
          <w:szCs w:val="24"/>
        </w:rPr>
        <w:t xml:space="preserve">The </w:t>
      </w:r>
      <w:r w:rsidRPr="005E10F0">
        <w:rPr>
          <w:szCs w:val="24"/>
        </w:rPr>
        <w:t xml:space="preserve">current </w:t>
      </w:r>
      <w:r>
        <w:rPr>
          <w:szCs w:val="24"/>
        </w:rPr>
        <w:t xml:space="preserve">approach to the </w:t>
      </w:r>
      <w:r w:rsidR="00AB26C8">
        <w:rPr>
          <w:rFonts w:cstheme="minorHAnsi"/>
          <w:snapToGrid w:val="0"/>
          <w:szCs w:val="24"/>
        </w:rPr>
        <w:t>BDF</w:t>
      </w:r>
      <w:r>
        <w:rPr>
          <w:szCs w:val="24"/>
        </w:rPr>
        <w:t xml:space="preserve"> is highly regulatory and ensures that all residents pay no more than a maximum capped amount regardless of their preferences, income, or the costs incurred in providing services. This approach p</w:t>
      </w:r>
      <w:r w:rsidRPr="005E10F0">
        <w:rPr>
          <w:szCs w:val="24"/>
        </w:rPr>
        <w:t xml:space="preserve">rotects </w:t>
      </w:r>
      <w:r>
        <w:rPr>
          <w:szCs w:val="24"/>
        </w:rPr>
        <w:t xml:space="preserve">access to care for </w:t>
      </w:r>
      <w:r w:rsidRPr="005E10F0">
        <w:rPr>
          <w:szCs w:val="24"/>
        </w:rPr>
        <w:t xml:space="preserve">those on lower incomes </w:t>
      </w:r>
      <w:r>
        <w:rPr>
          <w:szCs w:val="24"/>
        </w:rPr>
        <w:t xml:space="preserve">and recognises that other avenues – such as the ability to generate revenue through providing ‘extra services’ and </w:t>
      </w:r>
      <w:r w:rsidRPr="00807A44">
        <w:rPr>
          <w:szCs w:val="24"/>
        </w:rPr>
        <w:t xml:space="preserve">‘additional services’ </w:t>
      </w:r>
      <w:r>
        <w:rPr>
          <w:szCs w:val="24"/>
        </w:rPr>
        <w:t>to those who are willing to pay for them – are available for providers</w:t>
      </w:r>
      <w:r w:rsidR="004222AF">
        <w:rPr>
          <w:szCs w:val="24"/>
        </w:rPr>
        <w:t xml:space="preserve">, with limitations, </w:t>
      </w:r>
      <w:r>
        <w:rPr>
          <w:szCs w:val="24"/>
        </w:rPr>
        <w:t xml:space="preserve">to meet market demand for higher quality </w:t>
      </w:r>
      <w:r w:rsidR="009B5D1C">
        <w:rPr>
          <w:szCs w:val="24"/>
        </w:rPr>
        <w:t>everyday</w:t>
      </w:r>
      <w:r>
        <w:rPr>
          <w:szCs w:val="24"/>
        </w:rPr>
        <w:t xml:space="preserve"> living services</w:t>
      </w:r>
      <w:r w:rsidR="00EA138E">
        <w:rPr>
          <w:szCs w:val="24"/>
        </w:rPr>
        <w:t xml:space="preserve"> (see Box 2</w:t>
      </w:r>
      <w:r>
        <w:rPr>
          <w:szCs w:val="24"/>
        </w:rPr>
        <w:t xml:space="preserve"> for a discussion of extra service places and additional service fees)</w:t>
      </w:r>
      <w:r w:rsidRPr="005E10F0">
        <w:rPr>
          <w:szCs w:val="24"/>
        </w:rPr>
        <w:t>.</w:t>
      </w:r>
    </w:p>
    <w:p w:rsidR="00E92D37" w:rsidRDefault="00E92D37" w:rsidP="00E92D37">
      <w:pPr>
        <w:rPr>
          <w:szCs w:val="24"/>
        </w:rPr>
      </w:pPr>
      <w:r>
        <w:rPr>
          <w:szCs w:val="24"/>
        </w:rPr>
        <w:t xml:space="preserve">A key disadvantage of the current approach to the </w:t>
      </w:r>
      <w:r w:rsidR="00AB26C8">
        <w:rPr>
          <w:rFonts w:cstheme="minorHAnsi"/>
          <w:snapToGrid w:val="0"/>
          <w:szCs w:val="24"/>
        </w:rPr>
        <w:t>BDF</w:t>
      </w:r>
      <w:r>
        <w:rPr>
          <w:szCs w:val="24"/>
        </w:rPr>
        <w:t xml:space="preserve"> is that while it is very predictable, the amount of revenue generated from the </w:t>
      </w:r>
      <w:r w:rsidR="00AB26C8">
        <w:rPr>
          <w:rFonts w:cstheme="minorHAnsi"/>
          <w:snapToGrid w:val="0"/>
          <w:szCs w:val="24"/>
        </w:rPr>
        <w:t>BDF</w:t>
      </w:r>
      <w:r>
        <w:rPr>
          <w:szCs w:val="24"/>
        </w:rPr>
        <w:t xml:space="preserve"> is not adequate to cover the cost of providing the services that are required under the Aged Care Act.</w:t>
      </w:r>
    </w:p>
    <w:p w:rsidR="009630A9" w:rsidRDefault="00E92D37">
      <w:pPr>
        <w:rPr>
          <w:szCs w:val="24"/>
        </w:rPr>
      </w:pPr>
      <w:r>
        <w:rPr>
          <w:szCs w:val="24"/>
        </w:rPr>
        <w:t xml:space="preserve">ACFA does not support Option A. It considers that changes to the </w:t>
      </w:r>
      <w:r w:rsidR="00AB26C8">
        <w:rPr>
          <w:rFonts w:cstheme="minorHAnsi"/>
          <w:snapToGrid w:val="0"/>
          <w:szCs w:val="24"/>
        </w:rPr>
        <w:t>BDF</w:t>
      </w:r>
      <w:r>
        <w:rPr>
          <w:szCs w:val="24"/>
        </w:rPr>
        <w:t xml:space="preserve"> are required and that they should be accompanied with clarification around the requirements for charging for additional services and the future role of extra services places. </w:t>
      </w:r>
      <w:r w:rsidR="009630A9">
        <w:rPr>
          <w:szCs w:val="24"/>
        </w:rPr>
        <w:br w:type="page"/>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rStyle w:val="Strong"/>
        </w:rPr>
      </w:pPr>
      <w:r w:rsidRPr="009630A9">
        <w:rPr>
          <w:rStyle w:val="Strong"/>
        </w:rPr>
        <w:t>Box 2: Extra service places and Additional service fees</w:t>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 xml:space="preserve">There are two distinct options for providers who wish to cater for consumer demand for higher quality care and everyday living services – Extra service places and Additional service fees. </w:t>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 xml:space="preserve">Extra service places are granted to residential aged care providers that provide a significantly higher than average standard of services, including accommodation, range and quality of food, and non-core services such as recreational and personal interest activities. Providers that have been granted extra service status apply to the Aged Care Pricing Commissioner for approval of their proposed extra service fees, including proposed increases to current extra service fees. </w:t>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The number of Extra service places has fallen from 17,390 on 30 June 2014 to 10,766 on 30 June 2019. The reasons for this decline are discussed in ACFA’s 2020 Annual Report on the Funding and Financing of the Aged Care Industry and includes the impacts of the Living Longer Living Better (LLLB) reforms which extended lump sum accommodation deposits to high care residents, highlighted that providers in non-Extra Service homes may charge fees for optional additional services, and that no new extra service places have been released since the LLLB reforms. ACFA notes that there are currently no plans for new Extra service places to be released through future Aged Care Approval Rounds.</w:t>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ACFA noted in the 2020 Annual Report that ongoing uncertainty around the regulation of additional service fees may be behind a recent stabilisation in the number of Extra service places.</w:t>
      </w:r>
    </w:p>
    <w:p w:rsidR="009630A9" w:rsidRPr="009630A9"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Additional services fees are negotiated between a provider and a resident. Providers and consumers agree an additional fee for care and services over and above those that they are required to supply under aged care legislation (Quality of Care Principles 2014 Schedule 1 – Care and services for residential care services). Additional services vary greatly but may include items such as the provision of pay TV, hairdressing, additional beverage offerings (e.g. wine and beer) and access to a gym.</w:t>
      </w:r>
    </w:p>
    <w:p w:rsidR="00E92D37" w:rsidRDefault="009630A9" w:rsidP="009630A9">
      <w:pPr>
        <w:pBdr>
          <w:top w:val="single" w:sz="4" w:space="1" w:color="auto"/>
          <w:left w:val="single" w:sz="4" w:space="4" w:color="auto"/>
          <w:bottom w:val="single" w:sz="4" w:space="1" w:color="auto"/>
          <w:right w:val="single" w:sz="4" w:space="4" w:color="auto"/>
        </w:pBdr>
        <w:shd w:val="clear" w:color="auto" w:fill="B1CBE9"/>
        <w:rPr>
          <w:szCs w:val="24"/>
        </w:rPr>
      </w:pPr>
      <w:r w:rsidRPr="009630A9">
        <w:rPr>
          <w:szCs w:val="24"/>
        </w:rPr>
        <w:t>While there has been some increased revenue from additional services, particularly for facilities operating in metropolitan areas, it remains relatively low. In practice there is a lack of clarity and transparency around additional service fees for both consumers and providers. In 2019, the Department of Health released a consultation paper, “Additional service fees in residential aged care”, although the Government is yet to settle on a final position.</w:t>
      </w:r>
      <w:r>
        <w:br w:type="page"/>
      </w:r>
    </w:p>
    <w:p w:rsidR="00EF2291" w:rsidRDefault="00E92D37" w:rsidP="006F112F">
      <w:pPr>
        <w:pStyle w:val="Heading2"/>
        <w:spacing w:before="0" w:after="180"/>
      </w:pPr>
      <w:bookmarkStart w:id="36" w:name="_Toc25851856"/>
      <w:bookmarkStart w:id="37" w:name="_Toc25938501"/>
      <w:bookmarkStart w:id="38" w:name="_Toc26109064"/>
      <w:bookmarkStart w:id="39" w:name="_Toc66451050"/>
      <w:bookmarkEnd w:id="33"/>
      <w:bookmarkEnd w:id="34"/>
      <w:bookmarkEnd w:id="35"/>
      <w:r>
        <w:t>Option B</w:t>
      </w:r>
      <w:r w:rsidR="00405433">
        <w:t xml:space="preserve"> </w:t>
      </w:r>
      <w:r w:rsidR="00EF2291">
        <w:t xml:space="preserve">– </w:t>
      </w:r>
      <w:bookmarkEnd w:id="36"/>
      <w:bookmarkEnd w:id="37"/>
      <w:bookmarkEnd w:id="38"/>
      <w:r>
        <w:t>the 2017 Legislated Review recommendation</w:t>
      </w:r>
      <w:bookmarkEnd w:id="39"/>
    </w:p>
    <w:p w:rsidR="00E92D37" w:rsidRPr="00CB68C1" w:rsidRDefault="00E92D37" w:rsidP="00E92D37">
      <w:pPr>
        <w:rPr>
          <w:szCs w:val="24"/>
        </w:rPr>
      </w:pPr>
      <w:bookmarkStart w:id="40" w:name="_Toc25851857"/>
      <w:bookmarkStart w:id="41" w:name="_Toc25938502"/>
      <w:bookmarkStart w:id="42" w:name="_Toc26109065"/>
      <w:r>
        <w:rPr>
          <w:szCs w:val="24"/>
        </w:rPr>
        <w:t xml:space="preserve">The 2017 Legislated Review of Aged Care (Tune Review) noted evidence that the </w:t>
      </w:r>
      <w:r w:rsidR="00AB26C8">
        <w:rPr>
          <w:rFonts w:cstheme="minorHAnsi"/>
          <w:snapToGrid w:val="0"/>
          <w:szCs w:val="24"/>
        </w:rPr>
        <w:t>BDF</w:t>
      </w:r>
      <w:r>
        <w:rPr>
          <w:szCs w:val="24"/>
        </w:rPr>
        <w:t xml:space="preserve"> was insufficient to cover the costs of providing </w:t>
      </w:r>
      <w:r w:rsidR="00E251AC">
        <w:rPr>
          <w:szCs w:val="24"/>
        </w:rPr>
        <w:t>e</w:t>
      </w:r>
      <w:r>
        <w:rPr>
          <w:szCs w:val="24"/>
        </w:rPr>
        <w:t xml:space="preserve">veryday </w:t>
      </w:r>
      <w:r w:rsidR="00E251AC">
        <w:rPr>
          <w:szCs w:val="24"/>
        </w:rPr>
        <w:t>l</w:t>
      </w:r>
      <w:r>
        <w:rPr>
          <w:szCs w:val="24"/>
        </w:rPr>
        <w:t xml:space="preserve">iving services to residents and recommended that </w:t>
      </w:r>
      <w:r w:rsidRPr="00CB68C1">
        <w:rPr>
          <w:szCs w:val="24"/>
        </w:rPr>
        <w:t xml:space="preserve">the </w:t>
      </w:r>
      <w:r>
        <w:rPr>
          <w:szCs w:val="24"/>
        </w:rPr>
        <w:t>G</w:t>
      </w:r>
      <w:r w:rsidRPr="00CB68C1">
        <w:rPr>
          <w:szCs w:val="24"/>
        </w:rPr>
        <w:t>overnment:</w:t>
      </w:r>
    </w:p>
    <w:p w:rsidR="00E92D37" w:rsidRPr="00CB68C1" w:rsidRDefault="00E92D37" w:rsidP="00E92D37">
      <w:pPr>
        <w:pStyle w:val="ListParagraph"/>
        <w:numPr>
          <w:ilvl w:val="0"/>
          <w:numId w:val="38"/>
        </w:numPr>
        <w:spacing w:after="200" w:line="276" w:lineRule="auto"/>
        <w:rPr>
          <w:szCs w:val="24"/>
        </w:rPr>
      </w:pPr>
      <w:r w:rsidRPr="00CB68C1">
        <w:rPr>
          <w:szCs w:val="24"/>
        </w:rPr>
        <w:t>require that providers charge</w:t>
      </w:r>
      <w:r>
        <w:rPr>
          <w:szCs w:val="24"/>
        </w:rPr>
        <w:t xml:space="preserve"> the minimum </w:t>
      </w:r>
      <w:r w:rsidR="00AB26C8">
        <w:rPr>
          <w:rFonts w:cstheme="minorHAnsi"/>
          <w:snapToGrid w:val="0"/>
          <w:szCs w:val="24"/>
        </w:rPr>
        <w:t>BDF</w:t>
      </w:r>
      <w:r>
        <w:rPr>
          <w:szCs w:val="24"/>
        </w:rPr>
        <w:t xml:space="preserve"> in</w:t>
      </w:r>
      <w:r w:rsidRPr="00CB68C1">
        <w:rPr>
          <w:szCs w:val="24"/>
        </w:rPr>
        <w:t xml:space="preserve"> residential care</w:t>
      </w:r>
      <w:r>
        <w:rPr>
          <w:szCs w:val="24"/>
        </w:rPr>
        <w:t xml:space="preserve"> (it is not mandatory though the great majority do charge)</w:t>
      </w:r>
    </w:p>
    <w:p w:rsidR="00E92D37" w:rsidRPr="00CB68C1" w:rsidRDefault="00E92D37" w:rsidP="00E92D37">
      <w:pPr>
        <w:pStyle w:val="ListParagraph"/>
        <w:numPr>
          <w:ilvl w:val="0"/>
          <w:numId w:val="38"/>
        </w:numPr>
        <w:spacing w:after="200" w:line="276" w:lineRule="auto"/>
        <w:rPr>
          <w:szCs w:val="24"/>
        </w:rPr>
      </w:pPr>
      <w:r w:rsidRPr="00CB68C1">
        <w:rPr>
          <w:szCs w:val="24"/>
        </w:rPr>
        <w:t>reta</w:t>
      </w:r>
      <w:r w:rsidR="009B5D1C">
        <w:rPr>
          <w:szCs w:val="24"/>
        </w:rPr>
        <w:t xml:space="preserve">in the cap on the value of the </w:t>
      </w:r>
      <w:r w:rsidR="00AB26C8">
        <w:rPr>
          <w:rFonts w:cstheme="minorHAnsi"/>
          <w:snapToGrid w:val="0"/>
          <w:szCs w:val="24"/>
        </w:rPr>
        <w:t>BDF</w:t>
      </w:r>
      <w:r w:rsidRPr="00CB68C1">
        <w:rPr>
          <w:szCs w:val="24"/>
        </w:rPr>
        <w:t xml:space="preserve"> in residential care for low-means (fully and partially supported) residents</w:t>
      </w:r>
    </w:p>
    <w:p w:rsidR="00E92D37" w:rsidRPr="00CB68C1" w:rsidRDefault="00E92D37" w:rsidP="00E92D37">
      <w:pPr>
        <w:pStyle w:val="ListParagraph"/>
        <w:numPr>
          <w:ilvl w:val="0"/>
          <w:numId w:val="38"/>
        </w:numPr>
        <w:spacing w:after="200" w:line="276" w:lineRule="auto"/>
        <w:rPr>
          <w:szCs w:val="24"/>
        </w:rPr>
      </w:pPr>
      <w:r w:rsidRPr="00CB68C1">
        <w:rPr>
          <w:szCs w:val="24"/>
        </w:rPr>
        <w:t xml:space="preserve">allow providers to charge a higher </w:t>
      </w:r>
      <w:r w:rsidR="00AB26C8">
        <w:rPr>
          <w:rFonts w:cstheme="minorHAnsi"/>
          <w:snapToGrid w:val="0"/>
          <w:szCs w:val="24"/>
        </w:rPr>
        <w:t>BDF</w:t>
      </w:r>
      <w:r w:rsidRPr="00CB68C1">
        <w:rPr>
          <w:szCs w:val="24"/>
        </w:rPr>
        <w:t xml:space="preserve"> to non-low-means residents, with amounts over $100 to be approved by the Aged Care Pricing Commissioner</w:t>
      </w:r>
      <w:r w:rsidR="00EC76B0">
        <w:rPr>
          <w:szCs w:val="24"/>
        </w:rPr>
        <w:t>,</w:t>
      </w:r>
      <w:r>
        <w:rPr>
          <w:szCs w:val="24"/>
        </w:rPr>
        <w:t xml:space="preserve"> and</w:t>
      </w:r>
    </w:p>
    <w:p w:rsidR="00E92D37" w:rsidRPr="00CB68C1" w:rsidRDefault="009B5D1C" w:rsidP="00E92D37">
      <w:pPr>
        <w:pStyle w:val="ListParagraph"/>
        <w:numPr>
          <w:ilvl w:val="0"/>
          <w:numId w:val="38"/>
        </w:numPr>
        <w:spacing w:after="200" w:line="276" w:lineRule="auto"/>
      </w:pPr>
      <w:r>
        <w:rPr>
          <w:szCs w:val="24"/>
        </w:rPr>
        <w:t xml:space="preserve">require that the maximum </w:t>
      </w:r>
      <w:r w:rsidR="00AB26C8">
        <w:rPr>
          <w:rFonts w:cstheme="minorHAnsi"/>
          <w:snapToGrid w:val="0"/>
          <w:szCs w:val="24"/>
        </w:rPr>
        <w:t>BDF</w:t>
      </w:r>
      <w:r w:rsidR="00E92D37" w:rsidRPr="00CB68C1">
        <w:rPr>
          <w:szCs w:val="24"/>
        </w:rPr>
        <w:t xml:space="preserve"> be published on the My Aged Care website, the provider’s website and in written materials to be given to prospective residents.</w:t>
      </w:r>
    </w:p>
    <w:p w:rsidR="00E92D37" w:rsidRDefault="00E92D37" w:rsidP="00E92D37">
      <w:pPr>
        <w:rPr>
          <w:szCs w:val="24"/>
        </w:rPr>
      </w:pPr>
      <w:r>
        <w:rPr>
          <w:szCs w:val="24"/>
        </w:rPr>
        <w:t xml:space="preserve">This option recognizes that those with higher income and/or assets have the ability to contribute more towards the cost of their </w:t>
      </w:r>
      <w:r w:rsidR="009B5D1C">
        <w:rPr>
          <w:szCs w:val="24"/>
        </w:rPr>
        <w:t>everyday</w:t>
      </w:r>
      <w:r>
        <w:rPr>
          <w:szCs w:val="24"/>
        </w:rPr>
        <w:t xml:space="preserve"> living services. As the structure of current arrangements would be largely unchanged</w:t>
      </w:r>
      <w:r w:rsidR="0064341A">
        <w:rPr>
          <w:szCs w:val="24"/>
        </w:rPr>
        <w:t>,</w:t>
      </w:r>
      <w:r>
        <w:rPr>
          <w:szCs w:val="24"/>
        </w:rPr>
        <w:t xml:space="preserve"> it would also be relatively easy to implement</w:t>
      </w:r>
      <w:r w:rsidR="0064341A">
        <w:rPr>
          <w:szCs w:val="24"/>
        </w:rPr>
        <w:t>.</w:t>
      </w:r>
      <w:r>
        <w:rPr>
          <w:szCs w:val="24"/>
        </w:rPr>
        <w:t xml:space="preserve"> </w:t>
      </w:r>
      <w:r w:rsidR="0064341A">
        <w:rPr>
          <w:szCs w:val="24"/>
        </w:rPr>
        <w:t>I</w:t>
      </w:r>
      <w:r>
        <w:rPr>
          <w:szCs w:val="24"/>
        </w:rPr>
        <w:t>n effect the group that is already liable to pay a means tested care fee and agreed accommodation payment c</w:t>
      </w:r>
      <w:r w:rsidR="009B5D1C">
        <w:rPr>
          <w:szCs w:val="24"/>
        </w:rPr>
        <w:t xml:space="preserve">ould now be charged the higher </w:t>
      </w:r>
      <w:r w:rsidR="00AB26C8">
        <w:rPr>
          <w:rFonts w:cstheme="minorHAnsi"/>
          <w:snapToGrid w:val="0"/>
          <w:szCs w:val="24"/>
        </w:rPr>
        <w:t>BDF</w:t>
      </w:r>
      <w:r>
        <w:rPr>
          <w:szCs w:val="24"/>
        </w:rPr>
        <w:t xml:space="preserve">. Additional payments would be collected from residents directly by providers in the same way that the current </w:t>
      </w:r>
      <w:r w:rsidR="00AB26C8">
        <w:rPr>
          <w:rFonts w:cstheme="minorHAnsi"/>
          <w:snapToGrid w:val="0"/>
          <w:szCs w:val="24"/>
        </w:rPr>
        <w:t>BDF</w:t>
      </w:r>
      <w:r>
        <w:rPr>
          <w:szCs w:val="24"/>
        </w:rPr>
        <w:t xml:space="preserve"> is collected, meaning that – other than a need for providers to keep a record of the amount to be paid by each resident – there would be limited need for change to government or provider IT systems. </w:t>
      </w:r>
    </w:p>
    <w:p w:rsidR="00E92D37" w:rsidRDefault="00E92D37" w:rsidP="00E92D37">
      <w:pPr>
        <w:rPr>
          <w:szCs w:val="24"/>
        </w:rPr>
      </w:pPr>
      <w:r>
        <w:rPr>
          <w:szCs w:val="24"/>
        </w:rPr>
        <w:t xml:space="preserve">Consideration would need to be given as to whether a higher </w:t>
      </w:r>
      <w:r w:rsidR="00AB26C8">
        <w:rPr>
          <w:rFonts w:cstheme="minorHAnsi"/>
          <w:snapToGrid w:val="0"/>
          <w:szCs w:val="24"/>
        </w:rPr>
        <w:t>BDF</w:t>
      </w:r>
      <w:r>
        <w:rPr>
          <w:szCs w:val="24"/>
        </w:rPr>
        <w:t xml:space="preserve"> could be charged to those who are currently in care. Allowing providers to charge a higher fee to all current and future non-supported residents would generate the largest potential increase in revenue to meet the costs of everyday living expenses.</w:t>
      </w:r>
      <w:r w:rsidR="00A9406B">
        <w:rPr>
          <w:szCs w:val="24"/>
        </w:rPr>
        <w:t xml:space="preserve"> </w:t>
      </w:r>
      <w:r w:rsidR="00EC76B0">
        <w:rPr>
          <w:szCs w:val="24"/>
        </w:rPr>
        <w:t>U</w:t>
      </w:r>
      <w:r>
        <w:rPr>
          <w:szCs w:val="24"/>
        </w:rPr>
        <w:t>nder this approach</w:t>
      </w:r>
      <w:r w:rsidR="00EC76B0">
        <w:rPr>
          <w:szCs w:val="24"/>
        </w:rPr>
        <w:t>, however,</w:t>
      </w:r>
      <w:r>
        <w:rPr>
          <w:szCs w:val="24"/>
        </w:rPr>
        <w:t xml:space="preserve"> existing residents would not be in a strong position to negotiate, and may feel compelled to pay a higher fee rather than face the upheaval and potential trauma of finding and moving to a new service provider. While it would be possible to introduce higher fees for existing residents after a notice period (for example</w:t>
      </w:r>
      <w:r w:rsidR="00EC76B0">
        <w:rPr>
          <w:szCs w:val="24"/>
        </w:rPr>
        <w:t>,</w:t>
      </w:r>
      <w:r>
        <w:rPr>
          <w:szCs w:val="24"/>
        </w:rPr>
        <w:t xml:space="preserve"> two years), this would still disadvantage residents who did not wish to move from a facility that opted to charge a higher </w:t>
      </w:r>
      <w:r w:rsidR="00AB26C8">
        <w:rPr>
          <w:rFonts w:cstheme="minorHAnsi"/>
          <w:snapToGrid w:val="0"/>
          <w:szCs w:val="24"/>
        </w:rPr>
        <w:t>BDF</w:t>
      </w:r>
      <w:r>
        <w:rPr>
          <w:szCs w:val="24"/>
        </w:rPr>
        <w:t xml:space="preserve"> to non-low-means residents. </w:t>
      </w:r>
    </w:p>
    <w:p w:rsidR="00E92D37" w:rsidRDefault="00E92D37" w:rsidP="00E92D37">
      <w:pPr>
        <w:rPr>
          <w:szCs w:val="24"/>
        </w:rPr>
      </w:pPr>
      <w:r>
        <w:rPr>
          <w:szCs w:val="24"/>
        </w:rPr>
        <w:t>ACFA considers that an increase would therefore best be introduced only for residents who enter a facility after any change in policy was announced, while noting that this approach limits the increase in funding available to cover the costs of providing everyday living services in the short to medium term.</w:t>
      </w:r>
    </w:p>
    <w:p w:rsidR="00E92D37" w:rsidRDefault="00E92D37" w:rsidP="00E92D37">
      <w:pPr>
        <w:rPr>
          <w:szCs w:val="24"/>
        </w:rPr>
      </w:pPr>
      <w:r>
        <w:rPr>
          <w:szCs w:val="24"/>
        </w:rPr>
        <w:t xml:space="preserve">An advantage of Option B is that it maintains the conceptual linkage between the responsibility of individuals to cover their own costs of </w:t>
      </w:r>
      <w:r w:rsidR="009B5D1C">
        <w:rPr>
          <w:szCs w:val="24"/>
        </w:rPr>
        <w:t>everyday</w:t>
      </w:r>
      <w:r>
        <w:rPr>
          <w:szCs w:val="24"/>
        </w:rPr>
        <w:t xml:space="preserve"> living and the </w:t>
      </w:r>
      <w:r w:rsidR="00AB26C8">
        <w:rPr>
          <w:rFonts w:cstheme="minorHAnsi"/>
          <w:snapToGrid w:val="0"/>
          <w:szCs w:val="24"/>
        </w:rPr>
        <w:t>BDF</w:t>
      </w:r>
      <w:r>
        <w:rPr>
          <w:szCs w:val="24"/>
        </w:rPr>
        <w:t>. It would generate additional revenue from consumers, not government, and has the advantage of relative administrative simplicity (although there would be some additional burden for those wishing to charge more than $100 per day).</w:t>
      </w:r>
    </w:p>
    <w:p w:rsidR="00E92D37" w:rsidRDefault="00E92D37" w:rsidP="00E92D37">
      <w:pPr>
        <w:rPr>
          <w:szCs w:val="24"/>
        </w:rPr>
      </w:pPr>
      <w:r>
        <w:rPr>
          <w:szCs w:val="24"/>
        </w:rPr>
        <w:t xml:space="preserve">A risk with this option is that providers could start charging the higher fee to non-low-means residents without any obvious improvement in the services being offered. In effect, non-low-means residents would be directly cross-subsidising all other residents, rather than the redistribution occurring through the broader Budgetary tax and transfer system. ACFA notes that this risk would be highest where there is little or no competition between providers. </w:t>
      </w:r>
    </w:p>
    <w:p w:rsidR="00E92D37" w:rsidRDefault="00E92D37" w:rsidP="00E92D37">
      <w:pPr>
        <w:rPr>
          <w:szCs w:val="24"/>
        </w:rPr>
      </w:pPr>
      <w:r>
        <w:rPr>
          <w:szCs w:val="24"/>
        </w:rPr>
        <w:t>The risks could be reduced by ensuring that existing residents are not able to be levied higher charges, and by implementing other policies to enhance competition (such as assigning subsidy entitlements to the consumer and eliminating the need for providers to apply for additional aged care beds through the Aged Care Approvals Round process, and removing the cap on the supply of subsidised residential places).</w:t>
      </w:r>
    </w:p>
    <w:p w:rsidR="00E92D37" w:rsidRDefault="00E92D37" w:rsidP="00E92D37">
      <w:pPr>
        <w:rPr>
          <w:szCs w:val="24"/>
        </w:rPr>
      </w:pPr>
      <w:r>
        <w:rPr>
          <w:szCs w:val="24"/>
        </w:rPr>
        <w:t>While it could be argued that additional consumer charges may be appropriate for the current level of service (because the costs of providing those services generally already exceeds the current fee) it nevertheless would be sensitive, including in relation to cross-subsidisation.</w:t>
      </w:r>
      <w:r w:rsidR="00A9406B">
        <w:rPr>
          <w:szCs w:val="24"/>
        </w:rPr>
        <w:t xml:space="preserve"> </w:t>
      </w:r>
      <w:r>
        <w:rPr>
          <w:szCs w:val="24"/>
        </w:rPr>
        <w:t>This highlights the need, whatever option may be chosen, to ensure there is sufficient transparency, accountability and communications with residents about the fees being charged and what they are being charged for. As noted above</w:t>
      </w:r>
      <w:r w:rsidR="0064341A">
        <w:rPr>
          <w:szCs w:val="24"/>
        </w:rPr>
        <w:t>,</w:t>
      </w:r>
      <w:r>
        <w:rPr>
          <w:szCs w:val="24"/>
        </w:rPr>
        <w:t xml:space="preserve"> ACFA considers that there are already opportunities (albeit somewhat unclear) for residents and providers to agree on higher fees in return for additional or a higher level of services where both parties agree. </w:t>
      </w:r>
    </w:p>
    <w:p w:rsidR="00E92D37" w:rsidRDefault="00E92D37" w:rsidP="00E92D37">
      <w:pPr>
        <w:rPr>
          <w:szCs w:val="24"/>
        </w:rPr>
      </w:pPr>
      <w:r>
        <w:rPr>
          <w:szCs w:val="24"/>
        </w:rPr>
        <w:t>There is also a risk that this proposal may increase incentives for providers to “cherry pick” residents, giving preferential access to those with higher means in order to maximize their revenues and minimize the costs associated with delivering additional services.</w:t>
      </w:r>
      <w:r w:rsidR="00A9406B">
        <w:rPr>
          <w:szCs w:val="24"/>
        </w:rPr>
        <w:t xml:space="preserve"> </w:t>
      </w:r>
      <w:r>
        <w:rPr>
          <w:szCs w:val="24"/>
        </w:rPr>
        <w:t xml:space="preserve">As a minimum this would need to be closely monitored. </w:t>
      </w:r>
    </w:p>
    <w:p w:rsidR="00AD1D6B" w:rsidRPr="003A49B2" w:rsidRDefault="00E92D37">
      <w:pPr>
        <w:rPr>
          <w:szCs w:val="24"/>
        </w:rPr>
      </w:pPr>
      <w:r>
        <w:rPr>
          <w:szCs w:val="24"/>
        </w:rPr>
        <w:t>Accordingly, ACFA considers that Option B provides a mix of both benefits and risks.</w:t>
      </w:r>
      <w:r w:rsidR="00AD1D6B" w:rsidRPr="003A49B2">
        <w:rPr>
          <w:szCs w:val="24"/>
        </w:rPr>
        <w:br w:type="page"/>
      </w:r>
    </w:p>
    <w:p w:rsidR="00EF2291" w:rsidRDefault="00AD1D6B" w:rsidP="00951F7A">
      <w:pPr>
        <w:pStyle w:val="Heading2"/>
        <w:spacing w:before="0" w:after="180"/>
      </w:pPr>
      <w:bookmarkStart w:id="43" w:name="_Toc66451051"/>
      <w:r>
        <w:t>Option C</w:t>
      </w:r>
      <w:r w:rsidR="000B5356">
        <w:t xml:space="preserve"> </w:t>
      </w:r>
      <w:r w:rsidR="003F368D">
        <w:t xml:space="preserve">– </w:t>
      </w:r>
      <w:bookmarkEnd w:id="40"/>
      <w:bookmarkEnd w:id="41"/>
      <w:bookmarkEnd w:id="42"/>
      <w:r>
        <w:t>The Royal Commission proposal</w:t>
      </w:r>
      <w:bookmarkEnd w:id="43"/>
    </w:p>
    <w:p w:rsidR="00AD1D6B" w:rsidRDefault="00AD1D6B" w:rsidP="00AD1D6B">
      <w:pPr>
        <w:rPr>
          <w:szCs w:val="24"/>
        </w:rPr>
      </w:pPr>
      <w:r>
        <w:rPr>
          <w:szCs w:val="24"/>
        </w:rPr>
        <w:t>Consistent with the Tune Review and ACFA’s findings, the Royal Commission heard evidence that there was a gap between the cost</w:t>
      </w:r>
      <w:r w:rsidR="002731D8">
        <w:rPr>
          <w:szCs w:val="24"/>
        </w:rPr>
        <w:t>s</w:t>
      </w:r>
      <w:r w:rsidR="00CD013F">
        <w:rPr>
          <w:szCs w:val="24"/>
        </w:rPr>
        <w:t xml:space="preserve"> of providing e</w:t>
      </w:r>
      <w:r>
        <w:rPr>
          <w:szCs w:val="24"/>
        </w:rPr>
        <w:t xml:space="preserve">veryday </w:t>
      </w:r>
      <w:r w:rsidR="00CD013F">
        <w:rPr>
          <w:szCs w:val="24"/>
        </w:rPr>
        <w:t>l</w:t>
      </w:r>
      <w:r>
        <w:rPr>
          <w:szCs w:val="24"/>
        </w:rPr>
        <w:t xml:space="preserve">iving services and funding received through the </w:t>
      </w:r>
      <w:r w:rsidR="00AB26C8">
        <w:rPr>
          <w:rFonts w:cstheme="minorHAnsi"/>
          <w:snapToGrid w:val="0"/>
          <w:szCs w:val="24"/>
        </w:rPr>
        <w:t>BDF</w:t>
      </w:r>
      <w:r>
        <w:rPr>
          <w:szCs w:val="24"/>
        </w:rPr>
        <w:t>. In responding to this evidence the Royal Commission proposed:</w:t>
      </w:r>
    </w:p>
    <w:p w:rsidR="00AD1D6B" w:rsidRPr="00903052" w:rsidRDefault="00CD013F" w:rsidP="003A49B2">
      <w:pPr>
        <w:pStyle w:val="ListParagraph"/>
        <w:numPr>
          <w:ilvl w:val="0"/>
          <w:numId w:val="39"/>
        </w:numPr>
        <w:spacing w:after="200" w:line="276" w:lineRule="auto"/>
        <w:ind w:left="714" w:hanging="357"/>
        <w:contextualSpacing w:val="0"/>
        <w:rPr>
          <w:szCs w:val="24"/>
        </w:rPr>
      </w:pPr>
      <w:r>
        <w:t xml:space="preserve">The Australian Government should, no later than 1 July 2021, offer to provide </w:t>
      </w:r>
      <w:r w:rsidR="003F0322">
        <w:t xml:space="preserve">additional </w:t>
      </w:r>
      <w:r>
        <w:t xml:space="preserve">funding to each approved provider of residential aged care </w:t>
      </w:r>
      <w:r w:rsidR="003F0322">
        <w:t xml:space="preserve">by </w:t>
      </w:r>
      <w:r>
        <w:t xml:space="preserve">adding to the base amount for the </w:t>
      </w:r>
      <w:r w:rsidR="00AB26C8">
        <w:rPr>
          <w:rFonts w:cstheme="minorHAnsi"/>
          <w:snapToGrid w:val="0"/>
          <w:szCs w:val="24"/>
        </w:rPr>
        <w:t>BDF</w:t>
      </w:r>
      <w:r>
        <w:t xml:space="preserve"> by $10 per resident per day, for all residents. The Royal Commission proposed an extensive list of requirements around the proposed payment, including an annual review of the adequacy of the goods and services provided to residents in relation to their everyday living needs (particularly nutrition) [Recommendation 112]</w:t>
      </w:r>
      <w:r w:rsidR="00AD1D6B">
        <w:rPr>
          <w:szCs w:val="24"/>
        </w:rPr>
        <w:t>; and</w:t>
      </w:r>
    </w:p>
    <w:p w:rsidR="00AD1D6B" w:rsidRPr="00903052" w:rsidRDefault="009072A8" w:rsidP="00AD1D6B">
      <w:pPr>
        <w:pStyle w:val="ListParagraph"/>
        <w:numPr>
          <w:ilvl w:val="0"/>
          <w:numId w:val="39"/>
        </w:numPr>
        <w:spacing w:after="200" w:line="276" w:lineRule="auto"/>
        <w:rPr>
          <w:szCs w:val="24"/>
        </w:rPr>
      </w:pPr>
      <w:r>
        <w:rPr>
          <w:szCs w:val="24"/>
        </w:rPr>
        <w:t>I</w:t>
      </w:r>
      <w:r w:rsidR="00AB7776">
        <w:rPr>
          <w:szCs w:val="24"/>
        </w:rPr>
        <w:t>n conjunction with the introduction of a new Aged Care Act</w:t>
      </w:r>
      <w:r w:rsidR="0035426D">
        <w:rPr>
          <w:szCs w:val="24"/>
        </w:rPr>
        <w:t xml:space="preserve">, </w:t>
      </w:r>
      <w:r w:rsidR="00AD1D6B" w:rsidRPr="00903052">
        <w:rPr>
          <w:szCs w:val="24"/>
        </w:rPr>
        <w:t xml:space="preserve">the </w:t>
      </w:r>
      <w:r w:rsidR="0035426D">
        <w:rPr>
          <w:szCs w:val="24"/>
        </w:rPr>
        <w:t xml:space="preserve">maximum </w:t>
      </w:r>
      <w:r w:rsidR="00AD1D6B" w:rsidRPr="00903052">
        <w:rPr>
          <w:szCs w:val="24"/>
        </w:rPr>
        <w:t xml:space="preserve">amount that providers </w:t>
      </w:r>
      <w:r w:rsidR="0035426D">
        <w:rPr>
          <w:szCs w:val="24"/>
        </w:rPr>
        <w:t>c</w:t>
      </w:r>
      <w:r w:rsidR="00AD1D6B" w:rsidRPr="00903052">
        <w:rPr>
          <w:szCs w:val="24"/>
        </w:rPr>
        <w:t xml:space="preserve">ould be paid for services that are associated with </w:t>
      </w:r>
      <w:r w:rsidR="0035426D">
        <w:rPr>
          <w:szCs w:val="24"/>
        </w:rPr>
        <w:t xml:space="preserve">“the </w:t>
      </w:r>
      <w:r w:rsidR="00AD1D6B" w:rsidRPr="00903052">
        <w:rPr>
          <w:szCs w:val="24"/>
        </w:rPr>
        <w:t>ordinary costs of living</w:t>
      </w:r>
      <w:r w:rsidR="0035426D">
        <w:rPr>
          <w:szCs w:val="24"/>
        </w:rPr>
        <w:t>”</w:t>
      </w:r>
      <w:r w:rsidR="00AD1D6B" w:rsidRPr="00903052">
        <w:rPr>
          <w:szCs w:val="24"/>
        </w:rPr>
        <w:t xml:space="preserve"> should be determined by t</w:t>
      </w:r>
      <w:r w:rsidR="0035426D">
        <w:rPr>
          <w:szCs w:val="24"/>
        </w:rPr>
        <w:t>he Aged Care Pricing Authority [Recommendation 127]. Providers could charge up to this maximum, comprised of:</w:t>
      </w:r>
    </w:p>
    <w:p w:rsidR="00AD1D6B" w:rsidRPr="00903052" w:rsidRDefault="00AD1D6B" w:rsidP="00AD1D6B">
      <w:pPr>
        <w:pStyle w:val="ListParagraph"/>
        <w:numPr>
          <w:ilvl w:val="1"/>
          <w:numId w:val="39"/>
        </w:numPr>
        <w:spacing w:after="200" w:line="276" w:lineRule="auto"/>
        <w:rPr>
          <w:szCs w:val="24"/>
        </w:rPr>
      </w:pPr>
      <w:r w:rsidRPr="00903052">
        <w:rPr>
          <w:szCs w:val="24"/>
        </w:rPr>
        <w:t>a basic fee paid by the resident equal to 85% of the maximum amount of the basic age pension</w:t>
      </w:r>
      <w:r>
        <w:rPr>
          <w:szCs w:val="24"/>
        </w:rPr>
        <w:t>;</w:t>
      </w:r>
    </w:p>
    <w:p w:rsidR="00AD1D6B" w:rsidRPr="00903052" w:rsidRDefault="00AD1D6B" w:rsidP="00AD1D6B">
      <w:pPr>
        <w:pStyle w:val="ListParagraph"/>
        <w:numPr>
          <w:ilvl w:val="1"/>
          <w:numId w:val="39"/>
        </w:numPr>
        <w:spacing w:after="200" w:line="276" w:lineRule="auto"/>
        <w:rPr>
          <w:szCs w:val="24"/>
        </w:rPr>
      </w:pPr>
      <w:r w:rsidRPr="00903052">
        <w:rPr>
          <w:szCs w:val="24"/>
        </w:rPr>
        <w:t>a means tested fee paid by the resident</w:t>
      </w:r>
      <w:r>
        <w:rPr>
          <w:szCs w:val="24"/>
        </w:rPr>
        <w:t>; and</w:t>
      </w:r>
    </w:p>
    <w:p w:rsidR="00AD1D6B" w:rsidRPr="00903052" w:rsidRDefault="00AD1D6B" w:rsidP="00AD1D6B">
      <w:pPr>
        <w:pStyle w:val="ListParagraph"/>
        <w:numPr>
          <w:ilvl w:val="1"/>
          <w:numId w:val="39"/>
        </w:numPr>
        <w:spacing w:after="200" w:line="276" w:lineRule="auto"/>
        <w:rPr>
          <w:szCs w:val="24"/>
        </w:rPr>
      </w:pPr>
      <w:r w:rsidRPr="00903052">
        <w:rPr>
          <w:szCs w:val="24"/>
        </w:rPr>
        <w:t>a subsidy paid by the Australian Government to make up any gap.</w:t>
      </w:r>
    </w:p>
    <w:p w:rsidR="00AD1D6B" w:rsidRDefault="00AD1D6B" w:rsidP="00AD1D6B">
      <w:pPr>
        <w:rPr>
          <w:szCs w:val="24"/>
        </w:rPr>
      </w:pPr>
      <w:r>
        <w:rPr>
          <w:szCs w:val="24"/>
        </w:rPr>
        <w:t xml:space="preserve">In considering the approach recommended by </w:t>
      </w:r>
      <w:r w:rsidR="002731D8">
        <w:rPr>
          <w:szCs w:val="24"/>
        </w:rPr>
        <w:t xml:space="preserve">Royal Commission </w:t>
      </w:r>
      <w:r>
        <w:rPr>
          <w:szCs w:val="24"/>
        </w:rPr>
        <w:t xml:space="preserve">it is useful to consider the recommendations as two separate proposals – an immediate boost in funding, followed by a longer term reform. </w:t>
      </w:r>
    </w:p>
    <w:p w:rsidR="00AD1D6B" w:rsidRDefault="00AD1D6B" w:rsidP="00AD1D6B">
      <w:pPr>
        <w:rPr>
          <w:szCs w:val="24"/>
        </w:rPr>
      </w:pPr>
      <w:r>
        <w:rPr>
          <w:szCs w:val="24"/>
        </w:rPr>
        <w:t>ACFA notes that the initial funding increase is proposed to be completely funded by Government</w:t>
      </w:r>
      <w:r w:rsidR="0035426D">
        <w:rPr>
          <w:szCs w:val="24"/>
        </w:rPr>
        <w:t>, which is at odds with ACFA’s P</w:t>
      </w:r>
      <w:r>
        <w:rPr>
          <w:szCs w:val="24"/>
        </w:rPr>
        <w:t xml:space="preserve">rinciple </w:t>
      </w:r>
      <w:r w:rsidR="002731D8">
        <w:rPr>
          <w:szCs w:val="24"/>
        </w:rPr>
        <w:t xml:space="preserve">2 </w:t>
      </w:r>
      <w:r>
        <w:rPr>
          <w:szCs w:val="24"/>
        </w:rPr>
        <w:t xml:space="preserve">that, subject to means, </w:t>
      </w:r>
      <w:r w:rsidRPr="00505A5F">
        <w:rPr>
          <w:szCs w:val="24"/>
        </w:rPr>
        <w:t xml:space="preserve">funding the costs of </w:t>
      </w:r>
      <w:r w:rsidR="009B5D1C">
        <w:rPr>
          <w:szCs w:val="24"/>
        </w:rPr>
        <w:t>everyday</w:t>
      </w:r>
      <w:r w:rsidRPr="00505A5F">
        <w:rPr>
          <w:szCs w:val="24"/>
        </w:rPr>
        <w:t xml:space="preserve"> living services should be </w:t>
      </w:r>
      <w:r w:rsidR="002731D8">
        <w:rPr>
          <w:szCs w:val="24"/>
        </w:rPr>
        <w:t xml:space="preserve">primarily a </w:t>
      </w:r>
      <w:r w:rsidRPr="00505A5F">
        <w:rPr>
          <w:szCs w:val="24"/>
        </w:rPr>
        <w:t>personal responsibility</w:t>
      </w:r>
      <w:r>
        <w:rPr>
          <w:szCs w:val="24"/>
        </w:rPr>
        <w:t xml:space="preserve">. </w:t>
      </w:r>
    </w:p>
    <w:p w:rsidR="00AD1D6B" w:rsidRDefault="00AD1D6B" w:rsidP="00AD1D6B">
      <w:pPr>
        <w:rPr>
          <w:szCs w:val="24"/>
        </w:rPr>
      </w:pPr>
      <w:r>
        <w:rPr>
          <w:szCs w:val="24"/>
        </w:rPr>
        <w:t xml:space="preserve">It would, however, explicitly recognise that the revenue being sourced from the </w:t>
      </w:r>
      <w:r w:rsidR="00AB26C8">
        <w:rPr>
          <w:rFonts w:cstheme="minorHAnsi"/>
          <w:snapToGrid w:val="0"/>
          <w:szCs w:val="24"/>
        </w:rPr>
        <w:t>BDF</w:t>
      </w:r>
      <w:r>
        <w:rPr>
          <w:szCs w:val="24"/>
        </w:rPr>
        <w:t xml:space="preserve"> is currently insufficient to meet the cost of </w:t>
      </w:r>
      <w:r w:rsidR="0035426D">
        <w:rPr>
          <w:szCs w:val="24"/>
        </w:rPr>
        <w:t xml:space="preserve">delivering </w:t>
      </w:r>
      <w:r w:rsidR="009B5D1C">
        <w:rPr>
          <w:szCs w:val="24"/>
        </w:rPr>
        <w:t>everyday</w:t>
      </w:r>
      <w:r>
        <w:rPr>
          <w:szCs w:val="24"/>
        </w:rPr>
        <w:t xml:space="preserve"> living services.</w:t>
      </w:r>
      <w:r w:rsidR="00A9406B">
        <w:rPr>
          <w:szCs w:val="24"/>
        </w:rPr>
        <w:t xml:space="preserve"> </w:t>
      </w:r>
    </w:p>
    <w:p w:rsidR="00AD1D6B" w:rsidRDefault="00AD1D6B" w:rsidP="00AD1D6B">
      <w:pPr>
        <w:rPr>
          <w:szCs w:val="24"/>
        </w:rPr>
      </w:pPr>
      <w:r>
        <w:rPr>
          <w:szCs w:val="24"/>
        </w:rPr>
        <w:t xml:space="preserve">It would also recognise that many individuals may not be able to completely meet the additional everyday living </w:t>
      </w:r>
      <w:r>
        <w:rPr>
          <w:rFonts w:ascii="Calibri" w:hAnsi="Calibri" w:cs="Calibri"/>
          <w:snapToGrid w:val="0"/>
          <w:szCs w:val="24"/>
        </w:rPr>
        <w:t>costs associated with increasing frailty. As noted above, individuals are able to access subsidised assistance through Home Care Packages and the Commonwealth Home Support Program to meet these same costs when they live at home and therefore some Government contribution/support can be seen as appropriate</w:t>
      </w:r>
      <w:r w:rsidR="001741C5">
        <w:rPr>
          <w:rFonts w:ascii="Calibri" w:hAnsi="Calibri" w:cs="Calibri"/>
          <w:snapToGrid w:val="0"/>
          <w:szCs w:val="24"/>
        </w:rPr>
        <w:t xml:space="preserve"> for age care residents where such costs are not already covered by ACFI</w:t>
      </w:r>
      <w:r>
        <w:rPr>
          <w:rFonts w:ascii="Calibri" w:hAnsi="Calibri" w:cs="Calibri"/>
          <w:snapToGrid w:val="0"/>
          <w:szCs w:val="24"/>
        </w:rPr>
        <w:t>.</w:t>
      </w:r>
    </w:p>
    <w:p w:rsidR="00AD1D6B" w:rsidRDefault="00AD1D6B" w:rsidP="00AD1D6B">
      <w:pPr>
        <w:rPr>
          <w:szCs w:val="24"/>
        </w:rPr>
      </w:pPr>
      <w:r>
        <w:rPr>
          <w:szCs w:val="24"/>
        </w:rPr>
        <w:t xml:space="preserve">The key advantage of this approach is that it immediately addresses the issue that funding received by providers from the </w:t>
      </w:r>
      <w:r w:rsidR="00AB26C8">
        <w:rPr>
          <w:rFonts w:cstheme="minorHAnsi"/>
          <w:snapToGrid w:val="0"/>
          <w:szCs w:val="24"/>
        </w:rPr>
        <w:t>BDF</w:t>
      </w:r>
      <w:r>
        <w:rPr>
          <w:szCs w:val="24"/>
        </w:rPr>
        <w:t xml:space="preserve"> is insufficient to cover the costs of delivering </w:t>
      </w:r>
      <w:r w:rsidR="00801DC5">
        <w:rPr>
          <w:rFonts w:ascii="Calibri" w:hAnsi="Calibri" w:cs="Calibri"/>
          <w:snapToGrid w:val="0"/>
          <w:szCs w:val="24"/>
        </w:rPr>
        <w:t>everyday living</w:t>
      </w:r>
      <w:r>
        <w:rPr>
          <w:rFonts w:ascii="Calibri" w:hAnsi="Calibri" w:cs="Calibri"/>
          <w:snapToGrid w:val="0"/>
          <w:szCs w:val="24"/>
        </w:rPr>
        <w:t xml:space="preserve"> services. That is, it addresses ACFA’s first principle that funding in residential aged care should be predictable and adequate. It does not change incentives for providers to deliver services to those with low means and given that existing funding levels are insufficient to cover costs, it should assist in ensuring that all residents have access to </w:t>
      </w:r>
      <w:r w:rsidRPr="00505A5F">
        <w:rPr>
          <w:szCs w:val="24"/>
        </w:rPr>
        <w:t xml:space="preserve">affordable </w:t>
      </w:r>
      <w:r w:rsidR="009B5D1C">
        <w:rPr>
          <w:szCs w:val="24"/>
        </w:rPr>
        <w:t>everyday</w:t>
      </w:r>
      <w:r w:rsidRPr="00505A5F">
        <w:rPr>
          <w:szCs w:val="24"/>
        </w:rPr>
        <w:t xml:space="preserve"> living services that are of at least an acceptable quality</w:t>
      </w:r>
      <w:r>
        <w:rPr>
          <w:szCs w:val="24"/>
        </w:rPr>
        <w:t xml:space="preserve">. Importantly it would also reduce the need for providers to cross-subsidise </w:t>
      </w:r>
      <w:r w:rsidR="00801DC5">
        <w:rPr>
          <w:szCs w:val="24"/>
        </w:rPr>
        <w:t xml:space="preserve">everyday living </w:t>
      </w:r>
      <w:r>
        <w:rPr>
          <w:szCs w:val="24"/>
        </w:rPr>
        <w:t>services with care revenue.</w:t>
      </w:r>
    </w:p>
    <w:p w:rsidR="00AD1D6B" w:rsidRDefault="00AD1D6B" w:rsidP="00AD1D6B">
      <w:pPr>
        <w:rPr>
          <w:szCs w:val="24"/>
        </w:rPr>
      </w:pPr>
      <w:r>
        <w:rPr>
          <w:szCs w:val="24"/>
        </w:rPr>
        <w:t>It would, however, require the introduction of a new and separate payment from Government to providers, adding further complexity to the overall residential aged care funding model. A $10 per day increase as suggested by the</w:t>
      </w:r>
      <w:r w:rsidR="001D1592">
        <w:rPr>
          <w:szCs w:val="24"/>
        </w:rPr>
        <w:t xml:space="preserve"> Royal</w:t>
      </w:r>
      <w:r>
        <w:rPr>
          <w:szCs w:val="24"/>
        </w:rPr>
        <w:t xml:space="preserve"> Commission would likely cost in the order of $</w:t>
      </w:r>
      <w:r w:rsidR="000A3A38">
        <w:rPr>
          <w:szCs w:val="24"/>
        </w:rPr>
        <w:t xml:space="preserve">760 </w:t>
      </w:r>
      <w:r>
        <w:rPr>
          <w:szCs w:val="24"/>
        </w:rPr>
        <w:t>million per annum.</w:t>
      </w:r>
    </w:p>
    <w:p w:rsidR="00AD1D6B" w:rsidRDefault="00082A01" w:rsidP="00AD1D6B">
      <w:pPr>
        <w:rPr>
          <w:szCs w:val="24"/>
        </w:rPr>
      </w:pPr>
      <w:r>
        <w:rPr>
          <w:szCs w:val="24"/>
        </w:rPr>
        <w:t>T</w:t>
      </w:r>
      <w:r w:rsidR="00AD1D6B" w:rsidRPr="004F2D2E">
        <w:rPr>
          <w:szCs w:val="24"/>
        </w:rPr>
        <w:t xml:space="preserve">he </w:t>
      </w:r>
      <w:r w:rsidR="003F0322">
        <w:rPr>
          <w:szCs w:val="24"/>
        </w:rPr>
        <w:t xml:space="preserve">Royal Commission’s proposed </w:t>
      </w:r>
      <w:r w:rsidR="00AD1D6B" w:rsidRPr="004F2D2E">
        <w:rPr>
          <w:szCs w:val="24"/>
        </w:rPr>
        <w:t xml:space="preserve">introduction of a means tested resident contribution </w:t>
      </w:r>
      <w:r w:rsidR="00AB7776">
        <w:rPr>
          <w:szCs w:val="24"/>
        </w:rPr>
        <w:t xml:space="preserve">alongside the introduction of a new Aged Care Act </w:t>
      </w:r>
      <w:r w:rsidR="00AD1D6B">
        <w:rPr>
          <w:szCs w:val="24"/>
        </w:rPr>
        <w:t xml:space="preserve">would </w:t>
      </w:r>
      <w:r>
        <w:rPr>
          <w:szCs w:val="24"/>
        </w:rPr>
        <w:t xml:space="preserve">more closely align with ACFA’s </w:t>
      </w:r>
      <w:r w:rsidR="00AD1D6B">
        <w:rPr>
          <w:szCs w:val="24"/>
        </w:rPr>
        <w:t>Principle 2 that these costs should be a personal responsibility.</w:t>
      </w:r>
    </w:p>
    <w:p w:rsidR="00AD1D6B" w:rsidRDefault="00082A01" w:rsidP="00AD1D6B">
      <w:pPr>
        <w:rPr>
          <w:szCs w:val="24"/>
        </w:rPr>
      </w:pPr>
      <w:r>
        <w:rPr>
          <w:szCs w:val="24"/>
        </w:rPr>
        <w:t>The</w:t>
      </w:r>
      <w:r w:rsidR="008619E2">
        <w:rPr>
          <w:szCs w:val="24"/>
        </w:rPr>
        <w:t xml:space="preserve"> Royal</w:t>
      </w:r>
      <w:r>
        <w:rPr>
          <w:szCs w:val="24"/>
        </w:rPr>
        <w:t xml:space="preserve"> Commission further recommends</w:t>
      </w:r>
      <w:r w:rsidR="00AD1D6B">
        <w:rPr>
          <w:szCs w:val="24"/>
        </w:rPr>
        <w:t xml:space="preserve"> that </w:t>
      </w:r>
      <w:r>
        <w:rPr>
          <w:szCs w:val="24"/>
        </w:rPr>
        <w:t>the maximum amount a provider</w:t>
      </w:r>
      <w:r w:rsidR="00AD1D6B">
        <w:rPr>
          <w:szCs w:val="24"/>
        </w:rPr>
        <w:t xml:space="preserve"> </w:t>
      </w:r>
      <w:r>
        <w:rPr>
          <w:szCs w:val="24"/>
        </w:rPr>
        <w:t xml:space="preserve">could charge </w:t>
      </w:r>
      <w:r w:rsidR="00AD1D6B">
        <w:rPr>
          <w:szCs w:val="24"/>
        </w:rPr>
        <w:t>for the delivery of everyday living expenses be set by an independent body (a</w:t>
      </w:r>
      <w:r w:rsidR="00A9406B">
        <w:rPr>
          <w:szCs w:val="24"/>
        </w:rPr>
        <w:t> </w:t>
      </w:r>
      <w:r w:rsidR="00AD1D6B">
        <w:rPr>
          <w:szCs w:val="24"/>
        </w:rPr>
        <w:t xml:space="preserve">proposed Aged Care Pricing Authority). </w:t>
      </w:r>
    </w:p>
    <w:p w:rsidR="00AD1D6B" w:rsidRDefault="00AD1D6B" w:rsidP="00AD1D6B">
      <w:pPr>
        <w:rPr>
          <w:szCs w:val="24"/>
        </w:rPr>
      </w:pPr>
      <w:r>
        <w:rPr>
          <w:rFonts w:ascii="Calibri" w:hAnsi="Calibri" w:cs="Calibri"/>
          <w:snapToGrid w:val="0"/>
          <w:szCs w:val="24"/>
        </w:rPr>
        <w:t xml:space="preserve">The key advantage of the </w:t>
      </w:r>
      <w:r w:rsidR="00237D54">
        <w:rPr>
          <w:rFonts w:ascii="Calibri" w:hAnsi="Calibri" w:cs="Calibri"/>
          <w:snapToGrid w:val="0"/>
          <w:szCs w:val="24"/>
        </w:rPr>
        <w:t>latter</w:t>
      </w:r>
      <w:r>
        <w:rPr>
          <w:rFonts w:ascii="Calibri" w:hAnsi="Calibri" w:cs="Calibri"/>
          <w:snapToGrid w:val="0"/>
          <w:szCs w:val="24"/>
        </w:rPr>
        <w:t xml:space="preserve"> approach is that it would ensure that adequate funding was available on an ongoing basis to deliver everyday living services to those in residential aged ca</w:t>
      </w:r>
      <w:r w:rsidR="00456D79">
        <w:rPr>
          <w:rFonts w:ascii="Calibri" w:hAnsi="Calibri" w:cs="Calibri"/>
          <w:snapToGrid w:val="0"/>
          <w:szCs w:val="24"/>
        </w:rPr>
        <w:t>re. This meets ACFA’s Principle</w:t>
      </w:r>
      <w:r>
        <w:rPr>
          <w:rFonts w:ascii="Calibri" w:hAnsi="Calibri" w:cs="Calibri"/>
          <w:snapToGrid w:val="0"/>
          <w:szCs w:val="24"/>
        </w:rPr>
        <w:t xml:space="preserve"> 1 (reliable and adequate funding stream) and </w:t>
      </w:r>
      <w:r w:rsidR="00456D79">
        <w:rPr>
          <w:rFonts w:ascii="Calibri" w:hAnsi="Calibri" w:cs="Calibri"/>
          <w:snapToGrid w:val="0"/>
          <w:szCs w:val="24"/>
        </w:rPr>
        <w:t xml:space="preserve">Principle </w:t>
      </w:r>
      <w:r>
        <w:rPr>
          <w:rFonts w:ascii="Calibri" w:hAnsi="Calibri" w:cs="Calibri"/>
          <w:snapToGrid w:val="0"/>
          <w:szCs w:val="24"/>
        </w:rPr>
        <w:t xml:space="preserve">3.2 (access to affordable </w:t>
      </w:r>
      <w:r w:rsidR="009B5D1C">
        <w:rPr>
          <w:rFonts w:ascii="Calibri" w:hAnsi="Calibri" w:cs="Calibri"/>
          <w:snapToGrid w:val="0"/>
          <w:szCs w:val="24"/>
        </w:rPr>
        <w:t>everyday</w:t>
      </w:r>
      <w:r>
        <w:rPr>
          <w:rFonts w:ascii="Calibri" w:hAnsi="Calibri" w:cs="Calibri"/>
          <w:snapToGrid w:val="0"/>
          <w:szCs w:val="24"/>
        </w:rPr>
        <w:t xml:space="preserve"> living services of an acceptable quality). ACFA notes that under this approach consumers who wished to </w:t>
      </w:r>
      <w:r w:rsidRPr="00505A5F">
        <w:rPr>
          <w:szCs w:val="24"/>
        </w:rPr>
        <w:t>voluntar</w:t>
      </w:r>
      <w:r>
        <w:rPr>
          <w:szCs w:val="24"/>
        </w:rPr>
        <w:t>il</w:t>
      </w:r>
      <w:r w:rsidRPr="00505A5F">
        <w:rPr>
          <w:szCs w:val="24"/>
        </w:rPr>
        <w:t xml:space="preserve">y </w:t>
      </w:r>
      <w:r>
        <w:rPr>
          <w:szCs w:val="24"/>
        </w:rPr>
        <w:t xml:space="preserve">purchase services of a </w:t>
      </w:r>
      <w:r w:rsidRPr="00505A5F">
        <w:rPr>
          <w:szCs w:val="24"/>
        </w:rPr>
        <w:t xml:space="preserve">higher quality </w:t>
      </w:r>
      <w:r>
        <w:rPr>
          <w:szCs w:val="24"/>
        </w:rPr>
        <w:t>would continue to be able to do so through existing additional service arrangements (which</w:t>
      </w:r>
      <w:r w:rsidR="00082A01">
        <w:rPr>
          <w:szCs w:val="24"/>
        </w:rPr>
        <w:t>, as noted below,</w:t>
      </w:r>
      <w:r>
        <w:rPr>
          <w:szCs w:val="24"/>
        </w:rPr>
        <w:t xml:space="preserve"> requires further policy and administrative clarity to encourage further uptake).</w:t>
      </w:r>
    </w:p>
    <w:p w:rsidR="00AD1D6B" w:rsidRDefault="00AD1D6B" w:rsidP="00AD1D6B">
      <w:pPr>
        <w:rPr>
          <w:szCs w:val="24"/>
        </w:rPr>
      </w:pPr>
      <w:r>
        <w:rPr>
          <w:szCs w:val="24"/>
        </w:rPr>
        <w:t xml:space="preserve">As a variation to the proposal by </w:t>
      </w:r>
      <w:r w:rsidR="00801DC5">
        <w:rPr>
          <w:szCs w:val="24"/>
        </w:rPr>
        <w:t>the Royal Commission</w:t>
      </w:r>
      <w:r w:rsidRPr="00B27171">
        <w:rPr>
          <w:szCs w:val="24"/>
        </w:rPr>
        <w:t>, ACFA notes that the current BDF cap is set as a proportion of the basic pension</w:t>
      </w:r>
      <w:r>
        <w:rPr>
          <w:szCs w:val="24"/>
        </w:rPr>
        <w:t xml:space="preserve"> but</w:t>
      </w:r>
      <w:r w:rsidRPr="00B27171">
        <w:rPr>
          <w:szCs w:val="24"/>
        </w:rPr>
        <w:t xml:space="preserve"> does not include supplements that are typically payable with the Age Pension such as the Energy Supplement and the Pension Supplement. There does not appear to be a compelling policy reason why these supplements should be excluded from the cap. Historically the cap included Rent Assistance (which is no longer payable for residential aged care</w:t>
      </w:r>
      <w:r w:rsidR="003F0322">
        <w:rPr>
          <w:szCs w:val="24"/>
        </w:rPr>
        <w:t xml:space="preserve"> as it has been replaced by the separate accommodation supplements</w:t>
      </w:r>
      <w:r w:rsidRPr="00B27171">
        <w:rPr>
          <w:szCs w:val="24"/>
        </w:rPr>
        <w:t xml:space="preserve">), which lends weight to the proposition that supplements to the Age Pension should be included when calculating the </w:t>
      </w:r>
      <w:r w:rsidR="00082A01">
        <w:rPr>
          <w:szCs w:val="24"/>
        </w:rPr>
        <w:t xml:space="preserve">maximum </w:t>
      </w:r>
      <w:r w:rsidR="00AB26C8">
        <w:rPr>
          <w:rFonts w:cstheme="minorHAnsi"/>
          <w:snapToGrid w:val="0"/>
          <w:szCs w:val="24"/>
        </w:rPr>
        <w:t>BDF</w:t>
      </w:r>
      <w:r w:rsidRPr="00B27171">
        <w:rPr>
          <w:szCs w:val="24"/>
        </w:rPr>
        <w:t>.</w:t>
      </w:r>
    </w:p>
    <w:p w:rsidR="000F0825" w:rsidRDefault="00AD1D6B" w:rsidP="00AD1D6B">
      <w:pPr>
        <w:rPr>
          <w:szCs w:val="24"/>
        </w:rPr>
      </w:pPr>
      <w:r w:rsidRPr="00B27171">
        <w:rPr>
          <w:szCs w:val="24"/>
        </w:rPr>
        <w:t xml:space="preserve">ACFA estimates that considering both the Energy Supplement and the Pension Supplement as part of the 85 per cent cap would require full pensioners to pay </w:t>
      </w:r>
      <w:r w:rsidRPr="00E254B0">
        <w:rPr>
          <w:szCs w:val="24"/>
        </w:rPr>
        <w:t xml:space="preserve">approximately an additional $5 per day in </w:t>
      </w:r>
      <w:r w:rsidR="00AB26C8">
        <w:rPr>
          <w:rFonts w:cstheme="minorHAnsi"/>
          <w:snapToGrid w:val="0"/>
          <w:szCs w:val="24"/>
        </w:rPr>
        <w:t>BDF</w:t>
      </w:r>
      <w:r w:rsidRPr="00E254B0">
        <w:rPr>
          <w:szCs w:val="24"/>
        </w:rPr>
        <w:t>, which would generate</w:t>
      </w:r>
      <w:r w:rsidR="00E254B0" w:rsidRPr="00E254B0">
        <w:rPr>
          <w:szCs w:val="24"/>
        </w:rPr>
        <w:t xml:space="preserve"> in the order of </w:t>
      </w:r>
      <w:r w:rsidR="003F0322" w:rsidRPr="00E254B0">
        <w:rPr>
          <w:szCs w:val="24"/>
        </w:rPr>
        <w:t>$380 million</w:t>
      </w:r>
      <w:r w:rsidR="003F0322">
        <w:rPr>
          <w:szCs w:val="24"/>
        </w:rPr>
        <w:t xml:space="preserve"> (</w:t>
      </w:r>
      <w:r w:rsidRPr="00B27171">
        <w:rPr>
          <w:szCs w:val="24"/>
        </w:rPr>
        <w:t xml:space="preserve">approximately half the </w:t>
      </w:r>
      <w:r w:rsidR="00801DC5">
        <w:rPr>
          <w:szCs w:val="24"/>
        </w:rPr>
        <w:t xml:space="preserve">recommended </w:t>
      </w:r>
      <w:r w:rsidRPr="00B27171">
        <w:rPr>
          <w:szCs w:val="24"/>
        </w:rPr>
        <w:t xml:space="preserve">funding </w:t>
      </w:r>
      <w:r w:rsidR="00801DC5">
        <w:rPr>
          <w:szCs w:val="24"/>
        </w:rPr>
        <w:t>increase</w:t>
      </w:r>
      <w:r w:rsidR="003F0322">
        <w:rPr>
          <w:szCs w:val="24"/>
        </w:rPr>
        <w:t>)</w:t>
      </w:r>
      <w:r w:rsidR="00456D79">
        <w:rPr>
          <w:szCs w:val="24"/>
        </w:rPr>
        <w:t>,</w:t>
      </w:r>
      <w:r w:rsidR="00801DC5">
        <w:rPr>
          <w:szCs w:val="24"/>
        </w:rPr>
        <w:t xml:space="preserve"> </w:t>
      </w:r>
      <w:r w:rsidR="00456D79">
        <w:rPr>
          <w:szCs w:val="24"/>
        </w:rPr>
        <w:t xml:space="preserve">if it were paid by all those receiving residential aged care, </w:t>
      </w:r>
      <w:r w:rsidRPr="00B27171">
        <w:rPr>
          <w:szCs w:val="24"/>
        </w:rPr>
        <w:t>without requiring Government to introduce a new payment to providers.</w:t>
      </w:r>
    </w:p>
    <w:p w:rsidR="000F0825" w:rsidRDefault="00456D79" w:rsidP="00AD1D6B">
      <w:pPr>
        <w:rPr>
          <w:szCs w:val="24"/>
        </w:rPr>
      </w:pPr>
      <w:r>
        <w:rPr>
          <w:szCs w:val="24"/>
        </w:rPr>
        <w:t xml:space="preserve">However, </w:t>
      </w:r>
      <w:r w:rsidR="000F0825">
        <w:rPr>
          <w:szCs w:val="24"/>
        </w:rPr>
        <w:t xml:space="preserve">it may be seen as inequitable to change the maximum </w:t>
      </w:r>
      <w:r w:rsidR="00AB26C8">
        <w:rPr>
          <w:rFonts w:cstheme="minorHAnsi"/>
          <w:snapToGrid w:val="0"/>
          <w:szCs w:val="24"/>
        </w:rPr>
        <w:t>BDF</w:t>
      </w:r>
      <w:r w:rsidR="000F0825">
        <w:rPr>
          <w:szCs w:val="24"/>
        </w:rPr>
        <w:t xml:space="preserve"> for those who are currently receiving care as they would have negotiated arrangements with providers – potentially including Daily Accommodation Payments or Additional Service Fees – on the basis of the current cap. For this reason, were the Government to consider increasing the maximum </w:t>
      </w:r>
      <w:r w:rsidR="00AB26C8">
        <w:rPr>
          <w:rFonts w:cstheme="minorHAnsi"/>
          <w:snapToGrid w:val="0"/>
          <w:szCs w:val="24"/>
        </w:rPr>
        <w:t>BDF</w:t>
      </w:r>
      <w:r w:rsidR="000F0825">
        <w:rPr>
          <w:szCs w:val="24"/>
        </w:rPr>
        <w:t xml:space="preserve">, ACFA considers that </w:t>
      </w:r>
      <w:r w:rsidR="00910EC4">
        <w:rPr>
          <w:szCs w:val="24"/>
        </w:rPr>
        <w:t xml:space="preserve">current arrangements should continue to apply to all </w:t>
      </w:r>
      <w:r w:rsidR="000F0825">
        <w:rPr>
          <w:szCs w:val="24"/>
        </w:rPr>
        <w:t>existing residents</w:t>
      </w:r>
      <w:r w:rsidR="00910EC4">
        <w:rPr>
          <w:szCs w:val="24"/>
        </w:rPr>
        <w:t>.</w:t>
      </w:r>
    </w:p>
    <w:p w:rsidR="00AD1D6B" w:rsidRPr="00B27171" w:rsidRDefault="00AD1D6B" w:rsidP="00AD1D6B">
      <w:pPr>
        <w:rPr>
          <w:szCs w:val="24"/>
        </w:rPr>
      </w:pPr>
      <w:r w:rsidRPr="00B27171">
        <w:rPr>
          <w:szCs w:val="24"/>
        </w:rPr>
        <w:t xml:space="preserve">It would also be open to Government to consider alternate changes to means testing arrangements to secure a larger contribution from those with means, which could be used to partially or fully offset the cost of </w:t>
      </w:r>
      <w:r>
        <w:rPr>
          <w:szCs w:val="24"/>
        </w:rPr>
        <w:t>any remaining</w:t>
      </w:r>
      <w:r w:rsidRPr="00B27171">
        <w:rPr>
          <w:szCs w:val="24"/>
        </w:rPr>
        <w:t xml:space="preserve"> government contribution towards the BDF.</w:t>
      </w:r>
    </w:p>
    <w:p w:rsidR="00AD1D6B" w:rsidRDefault="00082A01" w:rsidP="00AD1D6B">
      <w:pPr>
        <w:rPr>
          <w:szCs w:val="24"/>
        </w:rPr>
      </w:pPr>
      <w:r>
        <w:rPr>
          <w:szCs w:val="24"/>
        </w:rPr>
        <w:t>ACFA considers that Option C delivers the best overall balance between costs and risks.</w:t>
      </w:r>
    </w:p>
    <w:p w:rsidR="00426511" w:rsidRPr="006F112F" w:rsidRDefault="00801DC5" w:rsidP="004D06BC">
      <w:pPr>
        <w:pStyle w:val="Heading2"/>
      </w:pPr>
      <w:bookmarkStart w:id="44" w:name="_Toc66451052"/>
      <w:r>
        <w:t>Other funding streams</w:t>
      </w:r>
      <w:bookmarkEnd w:id="44"/>
    </w:p>
    <w:p w:rsidR="00801DC5" w:rsidRDefault="00801DC5" w:rsidP="00801DC5">
      <w:pPr>
        <w:rPr>
          <w:szCs w:val="24"/>
        </w:rPr>
      </w:pPr>
      <w:r>
        <w:rPr>
          <w:szCs w:val="24"/>
        </w:rPr>
        <w:t xml:space="preserve">While ACFA supports continuation of a separate identifiable funding stream for </w:t>
      </w:r>
      <w:r w:rsidR="009B5D1C">
        <w:rPr>
          <w:szCs w:val="24"/>
        </w:rPr>
        <w:t>everyday</w:t>
      </w:r>
      <w:r>
        <w:rPr>
          <w:szCs w:val="24"/>
        </w:rPr>
        <w:t xml:space="preserve"> living services, ACFA is also conscious that these funding arrangements need to be considered in the context of the broader funding arrangements for residential care.</w:t>
      </w:r>
      <w:r w:rsidR="00A9406B">
        <w:rPr>
          <w:szCs w:val="24"/>
        </w:rPr>
        <w:t xml:space="preserve"> </w:t>
      </w:r>
      <w:r w:rsidR="003F0322">
        <w:rPr>
          <w:szCs w:val="24"/>
        </w:rPr>
        <w:t>H</w:t>
      </w:r>
      <w:r>
        <w:rPr>
          <w:szCs w:val="24"/>
        </w:rPr>
        <w:t>ow</w:t>
      </w:r>
      <w:r w:rsidR="00A9406B">
        <w:rPr>
          <w:szCs w:val="24"/>
        </w:rPr>
        <w:t> </w:t>
      </w:r>
      <w:r w:rsidR="008F66F8">
        <w:rPr>
          <w:szCs w:val="24"/>
        </w:rPr>
        <w:t xml:space="preserve">well </w:t>
      </w:r>
      <w:r>
        <w:rPr>
          <w:szCs w:val="24"/>
        </w:rPr>
        <w:t xml:space="preserve">the </w:t>
      </w:r>
      <w:r w:rsidR="009B5D1C">
        <w:rPr>
          <w:szCs w:val="24"/>
        </w:rPr>
        <w:t>everyday</w:t>
      </w:r>
      <w:r>
        <w:rPr>
          <w:szCs w:val="24"/>
        </w:rPr>
        <w:t xml:space="preserve"> living funding works in conjunction with funding of care and accommodation</w:t>
      </w:r>
      <w:r w:rsidR="008F66F8">
        <w:rPr>
          <w:szCs w:val="24"/>
        </w:rPr>
        <w:t>, together with the adequacy of the overall arrangements, are crucial</w:t>
      </w:r>
      <w:r>
        <w:rPr>
          <w:szCs w:val="24"/>
        </w:rPr>
        <w:t xml:space="preserve"> to ensur</w:t>
      </w:r>
      <w:r w:rsidR="008F66F8">
        <w:rPr>
          <w:szCs w:val="24"/>
        </w:rPr>
        <w:t>ing</w:t>
      </w:r>
      <w:r>
        <w:rPr>
          <w:szCs w:val="24"/>
        </w:rPr>
        <w:t xml:space="preserve"> there is adequate funding from government and consumers to support </w:t>
      </w:r>
      <w:r w:rsidR="008F66F8">
        <w:rPr>
          <w:szCs w:val="24"/>
        </w:rPr>
        <w:t>a high quality and safe</w:t>
      </w:r>
      <w:r>
        <w:rPr>
          <w:szCs w:val="24"/>
        </w:rPr>
        <w:t xml:space="preserve"> level of care</w:t>
      </w:r>
      <w:r w:rsidR="008F66F8">
        <w:rPr>
          <w:szCs w:val="24"/>
        </w:rPr>
        <w:t>,</w:t>
      </w:r>
      <w:r>
        <w:rPr>
          <w:szCs w:val="24"/>
        </w:rPr>
        <w:t xml:space="preserve"> services and accommodation. </w:t>
      </w:r>
    </w:p>
    <w:p w:rsidR="00801DC5" w:rsidRDefault="00801DC5" w:rsidP="00801DC5">
      <w:pPr>
        <w:rPr>
          <w:szCs w:val="24"/>
        </w:rPr>
      </w:pPr>
      <w:r>
        <w:rPr>
          <w:szCs w:val="24"/>
        </w:rPr>
        <w:t>Interaction with other policies, such as competition-enhancing reform of the Aged Care Approvals Round process, should also be taken into consideration. The costs and revenues associated with the care and accommodation components of residential aged care funding were not part of ACFA’s remit for this project but ACFA considers Government should consider them together holistically when considering future reform.</w:t>
      </w:r>
    </w:p>
    <w:p w:rsidR="00801DC5" w:rsidRDefault="00801DC5" w:rsidP="00801DC5">
      <w:pPr>
        <w:pStyle w:val="Heading3"/>
      </w:pPr>
      <w:bookmarkStart w:id="45" w:name="_Toc66451053"/>
      <w:r>
        <w:t>Additional Service Fees</w:t>
      </w:r>
      <w:bookmarkEnd w:id="45"/>
    </w:p>
    <w:p w:rsidR="00801DC5" w:rsidRDefault="00801DC5" w:rsidP="00801DC5">
      <w:pPr>
        <w:rPr>
          <w:szCs w:val="24"/>
        </w:rPr>
      </w:pPr>
      <w:r>
        <w:rPr>
          <w:szCs w:val="24"/>
        </w:rPr>
        <w:t xml:space="preserve">As noted earlier, ACFA considers there is scope to improve the clarity and operation of the rules relating to </w:t>
      </w:r>
      <w:r w:rsidR="001D4E7D">
        <w:rPr>
          <w:szCs w:val="24"/>
        </w:rPr>
        <w:t>A</w:t>
      </w:r>
      <w:r>
        <w:rPr>
          <w:szCs w:val="24"/>
        </w:rPr>
        <w:t>dditional service fees.</w:t>
      </w:r>
      <w:r w:rsidR="00A9406B">
        <w:rPr>
          <w:szCs w:val="24"/>
        </w:rPr>
        <w:t xml:space="preserve"> </w:t>
      </w:r>
      <w:r>
        <w:rPr>
          <w:szCs w:val="24"/>
        </w:rPr>
        <w:t>ACFA considers that where consumers have the means and wish to do so, they should be able to obtain a higher quality of services for an appropriate fee.</w:t>
      </w:r>
      <w:r w:rsidR="00A9406B">
        <w:rPr>
          <w:szCs w:val="24"/>
        </w:rPr>
        <w:t xml:space="preserve"> </w:t>
      </w:r>
      <w:r>
        <w:rPr>
          <w:szCs w:val="24"/>
        </w:rPr>
        <w:t xml:space="preserve">This should be subject to consumer protections to ensure there is transparency and that fees are not charged for services </w:t>
      </w:r>
      <w:r w:rsidR="00E07772">
        <w:rPr>
          <w:szCs w:val="24"/>
        </w:rPr>
        <w:t xml:space="preserve">which </w:t>
      </w:r>
      <w:r>
        <w:rPr>
          <w:szCs w:val="24"/>
        </w:rPr>
        <w:t xml:space="preserve">providers are required to provide in any event, or that residents are not able to </w:t>
      </w:r>
      <w:r w:rsidR="008F66F8">
        <w:rPr>
          <w:szCs w:val="24"/>
        </w:rPr>
        <w:t>benefit from</w:t>
      </w:r>
      <w:r>
        <w:rPr>
          <w:szCs w:val="24"/>
        </w:rPr>
        <w:t>.</w:t>
      </w:r>
      <w:r w:rsidR="00A9406B">
        <w:rPr>
          <w:szCs w:val="24"/>
        </w:rPr>
        <w:t xml:space="preserve"> </w:t>
      </w:r>
      <w:r>
        <w:rPr>
          <w:szCs w:val="24"/>
        </w:rPr>
        <w:t xml:space="preserve">Greater clarity in this area </w:t>
      </w:r>
      <w:r w:rsidR="00237D54">
        <w:rPr>
          <w:szCs w:val="24"/>
        </w:rPr>
        <w:t>is required to support and complement</w:t>
      </w:r>
      <w:r>
        <w:rPr>
          <w:szCs w:val="24"/>
        </w:rPr>
        <w:t xml:space="preserve"> changes to the </w:t>
      </w:r>
      <w:r w:rsidR="00AB26C8">
        <w:rPr>
          <w:rFonts w:cstheme="minorHAnsi"/>
          <w:snapToGrid w:val="0"/>
          <w:szCs w:val="24"/>
        </w:rPr>
        <w:t>BDF</w:t>
      </w:r>
      <w:r>
        <w:rPr>
          <w:szCs w:val="24"/>
        </w:rPr>
        <w:t xml:space="preserve"> arrangements. </w:t>
      </w:r>
    </w:p>
    <w:p w:rsidR="00801DC5" w:rsidRDefault="00801DC5" w:rsidP="00801DC5">
      <w:pPr>
        <w:rPr>
          <w:szCs w:val="24"/>
        </w:rPr>
      </w:pPr>
      <w:r>
        <w:rPr>
          <w:szCs w:val="24"/>
        </w:rPr>
        <w:t>While noting that there was no clear consensus on any of the proposals in the Department’s consultation paper on additional service fees, in ACFA’s view there would be merit in further consideration of these proposals, particularly in relation to disclosure of fees and ensuring that agreements are reviewed periodically so that the services provided continue to be appropriate and provide benefit to the person who is purchasing them.</w:t>
      </w:r>
    </w:p>
    <w:p w:rsidR="00801DC5" w:rsidRDefault="00801DC5" w:rsidP="00801DC5">
      <w:pPr>
        <w:pStyle w:val="ListParagraph"/>
        <w:numPr>
          <w:ilvl w:val="0"/>
          <w:numId w:val="40"/>
        </w:numPr>
        <w:spacing w:after="200" w:line="276" w:lineRule="auto"/>
        <w:rPr>
          <w:rFonts w:ascii="Calibri" w:hAnsi="Calibri" w:cs="Calibri"/>
          <w:snapToGrid w:val="0"/>
          <w:szCs w:val="24"/>
        </w:rPr>
      </w:pPr>
      <w:r>
        <w:rPr>
          <w:rFonts w:ascii="Calibri" w:hAnsi="Calibri" w:cs="Calibri"/>
          <w:snapToGrid w:val="0"/>
          <w:szCs w:val="24"/>
        </w:rPr>
        <w:t>Mandatory disclosure would ensure that additional service fees are listed on My</w:t>
      </w:r>
      <w:r w:rsidR="00A9406B">
        <w:rPr>
          <w:rFonts w:ascii="Calibri" w:hAnsi="Calibri" w:cs="Calibri"/>
          <w:snapToGrid w:val="0"/>
          <w:szCs w:val="24"/>
        </w:rPr>
        <w:t> </w:t>
      </w:r>
      <w:r>
        <w:rPr>
          <w:rFonts w:ascii="Calibri" w:hAnsi="Calibri" w:cs="Calibri"/>
          <w:snapToGrid w:val="0"/>
          <w:szCs w:val="24"/>
        </w:rPr>
        <w:t xml:space="preserve">Aged Care and the provider’s website, including a clear description of the services offered, the price(s) and whether all residents entering the </w:t>
      </w:r>
      <w:r w:rsidR="00EE5CAA">
        <w:rPr>
          <w:rFonts w:ascii="Calibri" w:hAnsi="Calibri" w:cs="Calibri"/>
          <w:snapToGrid w:val="0"/>
          <w:szCs w:val="24"/>
        </w:rPr>
        <w:t xml:space="preserve">home who can benefit from the services </w:t>
      </w:r>
      <w:r>
        <w:rPr>
          <w:rFonts w:ascii="Calibri" w:hAnsi="Calibri" w:cs="Calibri"/>
          <w:snapToGrid w:val="0"/>
          <w:szCs w:val="24"/>
        </w:rPr>
        <w:t xml:space="preserve">are expected to purchase </w:t>
      </w:r>
      <w:r w:rsidR="00EE5CAA">
        <w:rPr>
          <w:rFonts w:ascii="Calibri" w:hAnsi="Calibri" w:cs="Calibri"/>
          <w:snapToGrid w:val="0"/>
          <w:szCs w:val="24"/>
        </w:rPr>
        <w:t>them</w:t>
      </w:r>
      <w:r>
        <w:rPr>
          <w:rFonts w:ascii="Calibri" w:hAnsi="Calibri" w:cs="Calibri"/>
          <w:snapToGrid w:val="0"/>
          <w:szCs w:val="24"/>
        </w:rPr>
        <w:t>, or if they are voluntary.</w:t>
      </w:r>
    </w:p>
    <w:p w:rsidR="00801DC5" w:rsidRDefault="00801DC5" w:rsidP="00801DC5">
      <w:pPr>
        <w:pStyle w:val="ListParagraph"/>
        <w:numPr>
          <w:ilvl w:val="0"/>
          <w:numId w:val="40"/>
        </w:numPr>
        <w:spacing w:after="200" w:line="276" w:lineRule="auto"/>
        <w:rPr>
          <w:rFonts w:ascii="Calibri" w:hAnsi="Calibri" w:cs="Calibri"/>
          <w:snapToGrid w:val="0"/>
          <w:szCs w:val="24"/>
        </w:rPr>
      </w:pPr>
      <w:r>
        <w:rPr>
          <w:rFonts w:ascii="Calibri" w:hAnsi="Calibri" w:cs="Calibri"/>
          <w:snapToGrid w:val="0"/>
          <w:szCs w:val="24"/>
        </w:rPr>
        <w:t>Periodic review of agreements will ensure that residents and/or their representatives have the opportunity to assess whether they are receiving benefit from the services they are paying for and whether they still wish to purchase them.</w:t>
      </w:r>
    </w:p>
    <w:p w:rsidR="00801DC5" w:rsidRDefault="00801DC5" w:rsidP="00801DC5">
      <w:pPr>
        <w:pStyle w:val="Heading3"/>
      </w:pPr>
      <w:bookmarkStart w:id="46" w:name="_Toc66451054"/>
      <w:r>
        <w:t>Transparency for consumers</w:t>
      </w:r>
      <w:bookmarkEnd w:id="46"/>
    </w:p>
    <w:p w:rsidR="00801DC5" w:rsidRDefault="00801DC5" w:rsidP="00801DC5">
      <w:pPr>
        <w:rPr>
          <w:szCs w:val="24"/>
        </w:rPr>
      </w:pPr>
      <w:r>
        <w:rPr>
          <w:szCs w:val="24"/>
        </w:rPr>
        <w:t>ACFA recognises that the funding arrangements for residential care can be confusing for c</w:t>
      </w:r>
      <w:r w:rsidR="00237D54">
        <w:rPr>
          <w:szCs w:val="24"/>
        </w:rPr>
        <w:t>onsumers</w:t>
      </w:r>
      <w:r>
        <w:rPr>
          <w:szCs w:val="24"/>
        </w:rPr>
        <w:t xml:space="preserve"> and their families.</w:t>
      </w:r>
      <w:r w:rsidR="00A9406B">
        <w:rPr>
          <w:szCs w:val="24"/>
        </w:rPr>
        <w:t xml:space="preserve"> </w:t>
      </w:r>
      <w:r>
        <w:rPr>
          <w:szCs w:val="24"/>
        </w:rPr>
        <w:t xml:space="preserve">From a consumer perspective, ACFA considers it is important and essential that any changes to the </w:t>
      </w:r>
      <w:r w:rsidR="00AB26C8">
        <w:rPr>
          <w:rFonts w:cstheme="minorHAnsi"/>
          <w:snapToGrid w:val="0"/>
          <w:szCs w:val="24"/>
        </w:rPr>
        <w:t>BDF</w:t>
      </w:r>
      <w:r>
        <w:rPr>
          <w:szCs w:val="24"/>
        </w:rPr>
        <w:t xml:space="preserve"> (and </w:t>
      </w:r>
      <w:r w:rsidR="00237D54">
        <w:rPr>
          <w:szCs w:val="24"/>
        </w:rPr>
        <w:t xml:space="preserve">fees for </w:t>
      </w:r>
      <w:r>
        <w:rPr>
          <w:szCs w:val="24"/>
        </w:rPr>
        <w:t>additional services) are properly communicated, residents understand what they are being charged for and there is clear reporting in their monthly fee statements. Improving disclosure of additional service fees would assist in improving transparency (Principle 3.1).</w:t>
      </w:r>
    </w:p>
    <w:p w:rsidR="00801DC5" w:rsidRDefault="00801DC5" w:rsidP="00EE5CAA">
      <w:pPr>
        <w:pStyle w:val="Heading3"/>
      </w:pPr>
      <w:bookmarkStart w:id="47" w:name="_Toc66451055"/>
      <w:r>
        <w:t>Accountability</w:t>
      </w:r>
      <w:bookmarkEnd w:id="47"/>
    </w:p>
    <w:p w:rsidR="003F3DB0" w:rsidRDefault="00801DC5">
      <w:pPr>
        <w:rPr>
          <w:szCs w:val="24"/>
        </w:rPr>
      </w:pPr>
      <w:r>
        <w:rPr>
          <w:szCs w:val="24"/>
        </w:rPr>
        <w:t>Appropriate transparency should be a feature of any reformed system.</w:t>
      </w:r>
      <w:r w:rsidR="00A9406B">
        <w:rPr>
          <w:szCs w:val="24"/>
        </w:rPr>
        <w:t xml:space="preserve"> </w:t>
      </w:r>
      <w:r>
        <w:rPr>
          <w:szCs w:val="24"/>
        </w:rPr>
        <w:t xml:space="preserve">Improvements to financial reporting to better enable Government to monitor the adequacy of funding against different funding streams </w:t>
      </w:r>
      <w:r w:rsidR="008F66F8">
        <w:rPr>
          <w:szCs w:val="24"/>
        </w:rPr>
        <w:t xml:space="preserve">on a system-wide basis </w:t>
      </w:r>
      <w:r>
        <w:rPr>
          <w:szCs w:val="24"/>
        </w:rPr>
        <w:t>would be appropriate.</w:t>
      </w:r>
      <w:r w:rsidR="00A9406B">
        <w:rPr>
          <w:szCs w:val="24"/>
        </w:rPr>
        <w:t xml:space="preserve"> </w:t>
      </w:r>
      <w:r>
        <w:rPr>
          <w:szCs w:val="24"/>
        </w:rPr>
        <w:t>ACFA does not, however, support overly prescriptive regulation and seeks an appropriate balance between provider accountability for each service stream (Principle 4) and overall operational efficiency.</w:t>
      </w:r>
      <w:bookmarkStart w:id="48" w:name="_Toc23174354"/>
      <w:bookmarkStart w:id="49" w:name="_Toc25325910"/>
      <w:bookmarkStart w:id="50" w:name="_Toc25851862"/>
      <w:bookmarkStart w:id="51" w:name="_Toc25938507"/>
      <w:bookmarkStart w:id="52" w:name="_Toc26109070"/>
      <w:bookmarkStart w:id="53" w:name="_Toc23174339"/>
      <w:bookmarkStart w:id="54" w:name="_Toc25325895"/>
      <w:r w:rsidR="003F3DB0">
        <w:rPr>
          <w:b/>
          <w:szCs w:val="24"/>
        </w:rPr>
        <w:br w:type="page"/>
      </w:r>
    </w:p>
    <w:p w:rsidR="009E6260" w:rsidRDefault="003F3DB0" w:rsidP="006F112F">
      <w:pPr>
        <w:pStyle w:val="Heading1"/>
        <w:numPr>
          <w:ilvl w:val="0"/>
          <w:numId w:val="14"/>
        </w:numPr>
        <w:spacing w:before="0" w:after="180"/>
      </w:pPr>
      <w:bookmarkStart w:id="55" w:name="_Toc66451056"/>
      <w:bookmarkEnd w:id="48"/>
      <w:bookmarkEnd w:id="49"/>
      <w:bookmarkEnd w:id="50"/>
      <w:bookmarkEnd w:id="51"/>
      <w:bookmarkEnd w:id="52"/>
      <w:r>
        <w:t>Conclusions</w:t>
      </w:r>
      <w:bookmarkEnd w:id="55"/>
    </w:p>
    <w:bookmarkEnd w:id="53"/>
    <w:bookmarkEnd w:id="54"/>
    <w:p w:rsidR="003F3DB0" w:rsidRDefault="003F3DB0" w:rsidP="003F3DB0">
      <w:pPr>
        <w:rPr>
          <w:szCs w:val="24"/>
        </w:rPr>
      </w:pPr>
      <w:r>
        <w:rPr>
          <w:szCs w:val="24"/>
        </w:rPr>
        <w:t xml:space="preserve">Having examined the history and purpose of the </w:t>
      </w:r>
      <w:r w:rsidR="00AB26C8">
        <w:rPr>
          <w:rFonts w:cstheme="minorHAnsi"/>
          <w:snapToGrid w:val="0"/>
          <w:szCs w:val="24"/>
        </w:rPr>
        <w:t>BDF</w:t>
      </w:r>
      <w:r>
        <w:rPr>
          <w:szCs w:val="24"/>
        </w:rPr>
        <w:t xml:space="preserve"> and considered possible options for reform, ACFA is of the view that funding arrangements for everyday living services should:</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remain separate from care and accommodation</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be predominantly funded by individuals (subject to means), recognising that they are costs that individuals would normally be responsible for during their life</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continue to limit contributions by those on lower means to a capped amount</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 xml:space="preserve">be transparent and enable consumers to make informed and voluntary choices among a range of broader and higher quality </w:t>
      </w:r>
      <w:r w:rsidR="009B5D1C" w:rsidRPr="00A9406B">
        <w:rPr>
          <w:rFonts w:ascii="Calibri" w:hAnsi="Calibri" w:cs="Calibri"/>
          <w:snapToGrid w:val="0"/>
          <w:szCs w:val="24"/>
        </w:rPr>
        <w:t>everyday</w:t>
      </w:r>
      <w:r w:rsidRPr="00A9406B">
        <w:rPr>
          <w:rFonts w:ascii="Calibri" w:hAnsi="Calibri" w:cs="Calibri"/>
          <w:snapToGrid w:val="0"/>
          <w:szCs w:val="24"/>
        </w:rPr>
        <w:t xml:space="preserve"> living services where offered by providers</w:t>
      </w:r>
      <w:r w:rsidR="00713BC7" w:rsidRPr="00A9406B">
        <w:rPr>
          <w:rFonts w:ascii="Calibri" w:hAnsi="Calibri" w:cs="Calibri"/>
          <w:snapToGrid w:val="0"/>
          <w:szCs w:val="24"/>
        </w:rPr>
        <w:t>, and</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not provide an overly prescriptive regulatory approach but ensure there is sufficient reporting to enable</w:t>
      </w:r>
      <w:r w:rsidR="00713BC7" w:rsidRPr="00A9406B">
        <w:rPr>
          <w:rFonts w:ascii="Calibri" w:hAnsi="Calibri" w:cs="Calibri"/>
          <w:snapToGrid w:val="0"/>
          <w:szCs w:val="24"/>
        </w:rPr>
        <w:t xml:space="preserve"> the</w:t>
      </w:r>
      <w:r w:rsidRPr="00A9406B">
        <w:rPr>
          <w:rFonts w:ascii="Calibri" w:hAnsi="Calibri" w:cs="Calibri"/>
          <w:snapToGrid w:val="0"/>
          <w:szCs w:val="24"/>
        </w:rPr>
        <w:t xml:space="preserve"> Government to monitor at a system level the appropriateness of funding arrangements and to balance provider accountability for each service stream with overall operational efficiency.</w:t>
      </w:r>
    </w:p>
    <w:p w:rsidR="003F3DB0" w:rsidRPr="00750F42" w:rsidRDefault="003F3DB0" w:rsidP="003F3DB0">
      <w:pPr>
        <w:rPr>
          <w:szCs w:val="24"/>
        </w:rPr>
      </w:pPr>
      <w:r w:rsidRPr="00750F42">
        <w:rPr>
          <w:szCs w:val="24"/>
        </w:rPr>
        <w:t xml:space="preserve">In </w:t>
      </w:r>
      <w:r w:rsidRPr="002C26E3">
        <w:rPr>
          <w:szCs w:val="24"/>
        </w:rPr>
        <w:t xml:space="preserve">the context of </w:t>
      </w:r>
      <w:r w:rsidR="00713BC7">
        <w:rPr>
          <w:szCs w:val="24"/>
        </w:rPr>
        <w:t xml:space="preserve">the </w:t>
      </w:r>
      <w:r>
        <w:rPr>
          <w:szCs w:val="24"/>
        </w:rPr>
        <w:t xml:space="preserve">reform of </w:t>
      </w:r>
      <w:r w:rsidRPr="002C26E3">
        <w:rPr>
          <w:szCs w:val="24"/>
        </w:rPr>
        <w:t xml:space="preserve">broader funding arrangements for residential </w:t>
      </w:r>
      <w:r>
        <w:rPr>
          <w:szCs w:val="24"/>
        </w:rPr>
        <w:t xml:space="preserve">aged </w:t>
      </w:r>
      <w:r w:rsidRPr="002C26E3">
        <w:rPr>
          <w:szCs w:val="24"/>
        </w:rPr>
        <w:t>care</w:t>
      </w:r>
      <w:r>
        <w:rPr>
          <w:szCs w:val="24"/>
        </w:rPr>
        <w:t>, t</w:t>
      </w:r>
      <w:r w:rsidRPr="00750F42">
        <w:rPr>
          <w:szCs w:val="24"/>
        </w:rPr>
        <w:t>he</w:t>
      </w:r>
      <w:r w:rsidR="00A9406B">
        <w:rPr>
          <w:szCs w:val="24"/>
        </w:rPr>
        <w:t> </w:t>
      </w:r>
      <w:r w:rsidRPr="00750F42">
        <w:rPr>
          <w:szCs w:val="24"/>
        </w:rPr>
        <w:t>government may wish to consider</w:t>
      </w:r>
      <w:r>
        <w:rPr>
          <w:szCs w:val="24"/>
        </w:rPr>
        <w:t>:</w:t>
      </w:r>
      <w:r w:rsidRPr="00750F42">
        <w:rPr>
          <w:szCs w:val="24"/>
        </w:rPr>
        <w:t xml:space="preserve"> </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 xml:space="preserve">increasing the </w:t>
      </w:r>
      <w:r w:rsidR="00AB26C8" w:rsidRPr="00A9406B">
        <w:rPr>
          <w:rFonts w:ascii="Calibri" w:hAnsi="Calibri" w:cs="Calibri"/>
          <w:snapToGrid w:val="0"/>
          <w:szCs w:val="24"/>
        </w:rPr>
        <w:t>BDF</w:t>
      </w:r>
      <w:r w:rsidRPr="00A9406B">
        <w:rPr>
          <w:rFonts w:ascii="Calibri" w:hAnsi="Calibri" w:cs="Calibri"/>
          <w:snapToGrid w:val="0"/>
          <w:szCs w:val="24"/>
        </w:rPr>
        <w:t xml:space="preserve"> capped amount to 85% of the basic pension, inclusive of the pension and energy supplements, an increase of approximately $5 per resident per day</w:t>
      </w:r>
      <w:r w:rsidR="00910EC4" w:rsidRPr="00A9406B">
        <w:rPr>
          <w:rFonts w:ascii="Calibri" w:hAnsi="Calibri" w:cs="Calibri"/>
          <w:snapToGrid w:val="0"/>
          <w:szCs w:val="24"/>
        </w:rPr>
        <w:t xml:space="preserve"> (with existing arrangements continuing to apply for those currently in care)</w:t>
      </w:r>
    </w:p>
    <w:p w:rsidR="003F3DB0" w:rsidRPr="00A9406B" w:rsidRDefault="003F3DB0"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 xml:space="preserve">supplementing the increase in the </w:t>
      </w:r>
      <w:r w:rsidR="00AB26C8" w:rsidRPr="00A9406B">
        <w:rPr>
          <w:rFonts w:ascii="Calibri" w:hAnsi="Calibri" w:cs="Calibri"/>
          <w:snapToGrid w:val="0"/>
          <w:szCs w:val="24"/>
        </w:rPr>
        <w:t>BDF</w:t>
      </w:r>
      <w:r w:rsidRPr="00A9406B">
        <w:rPr>
          <w:rFonts w:ascii="Calibri" w:hAnsi="Calibri" w:cs="Calibri"/>
          <w:snapToGrid w:val="0"/>
          <w:szCs w:val="24"/>
        </w:rPr>
        <w:t xml:space="preserve"> cap with a Government payment to help address the gap between </w:t>
      </w:r>
      <w:r w:rsidR="009B5D1C" w:rsidRPr="00A9406B">
        <w:rPr>
          <w:rFonts w:ascii="Calibri" w:hAnsi="Calibri" w:cs="Calibri"/>
          <w:snapToGrid w:val="0"/>
          <w:szCs w:val="24"/>
        </w:rPr>
        <w:t>everyday</w:t>
      </w:r>
      <w:r w:rsidRPr="00A9406B">
        <w:rPr>
          <w:rFonts w:ascii="Calibri" w:hAnsi="Calibri" w:cs="Calibri"/>
          <w:snapToGrid w:val="0"/>
          <w:szCs w:val="24"/>
        </w:rPr>
        <w:t xml:space="preserve"> living revenue and costs</w:t>
      </w:r>
      <w:r w:rsidR="00713BC7" w:rsidRPr="00A9406B">
        <w:rPr>
          <w:rFonts w:ascii="Calibri" w:hAnsi="Calibri" w:cs="Calibri"/>
          <w:snapToGrid w:val="0"/>
          <w:szCs w:val="24"/>
        </w:rPr>
        <w:t>, and</w:t>
      </w:r>
    </w:p>
    <w:p w:rsidR="00892EFC" w:rsidRPr="00A9406B" w:rsidRDefault="00DA5791" w:rsidP="00A9406B">
      <w:pPr>
        <w:pStyle w:val="ListParagraph"/>
        <w:numPr>
          <w:ilvl w:val="0"/>
          <w:numId w:val="40"/>
        </w:numPr>
        <w:spacing w:after="200" w:line="276" w:lineRule="auto"/>
        <w:rPr>
          <w:rFonts w:ascii="Calibri" w:hAnsi="Calibri" w:cs="Calibri"/>
          <w:snapToGrid w:val="0"/>
          <w:szCs w:val="24"/>
        </w:rPr>
      </w:pPr>
      <w:r w:rsidRPr="00A9406B">
        <w:rPr>
          <w:rFonts w:ascii="Calibri" w:hAnsi="Calibri" w:cs="Calibri"/>
          <w:snapToGrid w:val="0"/>
          <w:szCs w:val="24"/>
        </w:rPr>
        <w:t>introducing a means test on the new Government payment as part of any review</w:t>
      </w:r>
      <w:r w:rsidR="0030481A" w:rsidRPr="00A9406B">
        <w:rPr>
          <w:rFonts w:ascii="Calibri" w:hAnsi="Calibri" w:cs="Calibri"/>
          <w:snapToGrid w:val="0"/>
          <w:szCs w:val="24"/>
        </w:rPr>
        <w:t xml:space="preserve"> of means test</w:t>
      </w:r>
      <w:r w:rsidRPr="00A9406B">
        <w:rPr>
          <w:rFonts w:ascii="Calibri" w:hAnsi="Calibri" w:cs="Calibri"/>
          <w:snapToGrid w:val="0"/>
          <w:szCs w:val="24"/>
        </w:rPr>
        <w:t>ing arrangements following the Royal Commission</w:t>
      </w:r>
      <w:r w:rsidR="0030481A" w:rsidRPr="00A9406B">
        <w:rPr>
          <w:rFonts w:ascii="Calibri" w:hAnsi="Calibri" w:cs="Calibri"/>
          <w:snapToGrid w:val="0"/>
          <w:szCs w:val="24"/>
        </w:rPr>
        <w:t xml:space="preserve"> </w:t>
      </w:r>
      <w:r w:rsidRPr="00A9406B">
        <w:rPr>
          <w:rFonts w:ascii="Calibri" w:hAnsi="Calibri" w:cs="Calibri"/>
          <w:snapToGrid w:val="0"/>
          <w:szCs w:val="24"/>
        </w:rPr>
        <w:t>report t</w:t>
      </w:r>
      <w:r w:rsidR="00892EFC" w:rsidRPr="00A9406B">
        <w:rPr>
          <w:rFonts w:ascii="Calibri" w:hAnsi="Calibri" w:cs="Calibri"/>
          <w:snapToGrid w:val="0"/>
          <w:szCs w:val="24"/>
        </w:rPr>
        <w:t>o ensure that those with sufficient financial resources continue to pay for their everyday living services.</w:t>
      </w:r>
    </w:p>
    <w:p w:rsidR="003F3DB0" w:rsidRPr="00BB41DA" w:rsidRDefault="00892EFC" w:rsidP="00892EFC">
      <w:pPr>
        <w:spacing w:after="200" w:line="276" w:lineRule="auto"/>
        <w:ind w:left="360"/>
      </w:pPr>
      <w:r>
        <w:rPr>
          <w:szCs w:val="24"/>
        </w:rPr>
        <w:t xml:space="preserve">Whatever arrangements are ultimately implemented for the </w:t>
      </w:r>
      <w:r w:rsidR="00AB26C8">
        <w:rPr>
          <w:rFonts w:cstheme="minorHAnsi"/>
          <w:snapToGrid w:val="0"/>
          <w:szCs w:val="24"/>
        </w:rPr>
        <w:t>BDF</w:t>
      </w:r>
      <w:r>
        <w:rPr>
          <w:szCs w:val="24"/>
        </w:rPr>
        <w:t xml:space="preserve">, ACFA is of the view that there is considerable merit in </w:t>
      </w:r>
      <w:r w:rsidR="003F3DB0" w:rsidRPr="00892EFC">
        <w:rPr>
          <w:szCs w:val="24"/>
        </w:rPr>
        <w:t>more clearly articulating the policy and administrati</w:t>
      </w:r>
      <w:r w:rsidR="00910EC4">
        <w:rPr>
          <w:szCs w:val="24"/>
        </w:rPr>
        <w:t xml:space="preserve">ve arrangements for charging </w:t>
      </w:r>
      <w:r w:rsidR="00912814">
        <w:rPr>
          <w:szCs w:val="24"/>
        </w:rPr>
        <w:t>A</w:t>
      </w:r>
      <w:r w:rsidR="003F3DB0" w:rsidRPr="00892EFC">
        <w:rPr>
          <w:szCs w:val="24"/>
        </w:rPr>
        <w:t xml:space="preserve">dditional service fees for </w:t>
      </w:r>
      <w:r>
        <w:rPr>
          <w:szCs w:val="24"/>
        </w:rPr>
        <w:t>everyday</w:t>
      </w:r>
      <w:r w:rsidR="003F3DB0" w:rsidRPr="00892EFC">
        <w:rPr>
          <w:szCs w:val="24"/>
        </w:rPr>
        <w:t xml:space="preserve"> living services over and above that which a provider is required to provide, including mandatory disclosure of additional service fees on My Aged Care and </w:t>
      </w:r>
      <w:r w:rsidR="00912814">
        <w:rPr>
          <w:szCs w:val="24"/>
        </w:rPr>
        <w:t>on</w:t>
      </w:r>
      <w:r w:rsidR="00912814" w:rsidRPr="00892EFC">
        <w:rPr>
          <w:szCs w:val="24"/>
        </w:rPr>
        <w:t xml:space="preserve"> </w:t>
      </w:r>
      <w:r w:rsidR="00912814">
        <w:rPr>
          <w:szCs w:val="24"/>
        </w:rPr>
        <w:t xml:space="preserve">the </w:t>
      </w:r>
      <w:r w:rsidR="003F3DB0" w:rsidRPr="00892EFC">
        <w:rPr>
          <w:szCs w:val="24"/>
        </w:rPr>
        <w:t>provider</w:t>
      </w:r>
      <w:r w:rsidR="00912814">
        <w:rPr>
          <w:szCs w:val="24"/>
        </w:rPr>
        <w:t>s’</w:t>
      </w:r>
      <w:r w:rsidR="003F3DB0" w:rsidRPr="00892EFC">
        <w:rPr>
          <w:szCs w:val="24"/>
        </w:rPr>
        <w:t xml:space="preserve"> websites.</w:t>
      </w:r>
    </w:p>
    <w:sectPr w:rsidR="003F3DB0" w:rsidRPr="00BB41DA" w:rsidSect="008663A7">
      <w:footerReference w:type="default" r:id="rId17"/>
      <w:headerReference w:type="first" r:id="rId18"/>
      <w:pgSz w:w="11906" w:h="16838" w:code="9"/>
      <w:pgMar w:top="1276" w:right="1440" w:bottom="68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5D3" w:rsidRDefault="00A215D3" w:rsidP="006F1D87">
      <w:pPr>
        <w:spacing w:after="0" w:line="240" w:lineRule="auto"/>
      </w:pPr>
      <w:r>
        <w:separator/>
      </w:r>
    </w:p>
  </w:endnote>
  <w:endnote w:type="continuationSeparator" w:id="0">
    <w:p w:rsidR="00A215D3" w:rsidRDefault="00A215D3" w:rsidP="006F1D87">
      <w:pPr>
        <w:spacing w:after="0" w:line="240" w:lineRule="auto"/>
      </w:pPr>
      <w:r>
        <w:continuationSeparator/>
      </w:r>
    </w:p>
  </w:endnote>
  <w:endnote w:type="continuationNotice" w:id="1">
    <w:p w:rsidR="00A215D3" w:rsidRDefault="00A21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98986"/>
      <w:docPartObj>
        <w:docPartGallery w:val="Page Numbers (Bottom of Page)"/>
        <w:docPartUnique/>
      </w:docPartObj>
    </w:sdtPr>
    <w:sdtEndPr>
      <w:rPr>
        <w:noProof/>
      </w:rPr>
    </w:sdtEndPr>
    <w:sdtContent>
      <w:p w:rsidR="00AB26C8" w:rsidRDefault="00AB26C8" w:rsidP="00A9406B">
        <w:pPr>
          <w:pStyle w:val="Footer"/>
          <w:spacing w:after="120"/>
          <w:jc w:val="center"/>
        </w:pPr>
        <w:r>
          <w:fldChar w:fldCharType="begin"/>
        </w:r>
        <w:r>
          <w:instrText xml:space="preserve"> PAGE   \* MERGEFORMAT </w:instrText>
        </w:r>
        <w:r>
          <w:fldChar w:fldCharType="separate"/>
        </w:r>
        <w:r w:rsidR="004D03B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5D3" w:rsidRDefault="00A215D3" w:rsidP="006F1D87">
      <w:pPr>
        <w:spacing w:after="0" w:line="240" w:lineRule="auto"/>
      </w:pPr>
      <w:r>
        <w:separator/>
      </w:r>
    </w:p>
  </w:footnote>
  <w:footnote w:type="continuationSeparator" w:id="0">
    <w:p w:rsidR="00A215D3" w:rsidRDefault="00A215D3" w:rsidP="006F1D87">
      <w:pPr>
        <w:spacing w:after="0" w:line="240" w:lineRule="auto"/>
      </w:pPr>
      <w:r>
        <w:continuationSeparator/>
      </w:r>
    </w:p>
  </w:footnote>
  <w:footnote w:type="continuationNotice" w:id="1">
    <w:p w:rsidR="00A215D3" w:rsidRDefault="00A215D3">
      <w:pPr>
        <w:spacing w:after="0" w:line="240" w:lineRule="auto"/>
      </w:pPr>
    </w:p>
  </w:footnote>
  <w:footnote w:id="2">
    <w:p w:rsidR="00AB26C8" w:rsidRPr="00926FD1" w:rsidRDefault="00AB26C8" w:rsidP="00227D2A">
      <w:pPr>
        <w:pStyle w:val="FootnoteText"/>
      </w:pPr>
      <w:r>
        <w:rPr>
          <w:rStyle w:val="FootnoteReference"/>
        </w:rPr>
        <w:footnoteRef/>
      </w:r>
      <w:r>
        <w:t xml:space="preserve"> </w:t>
      </w:r>
      <w:r w:rsidRPr="00AF11BE">
        <w:rPr>
          <w:sz w:val="18"/>
          <w:szCs w:val="18"/>
        </w:rPr>
        <w:t xml:space="preserve">Parliamentary Research Service Background Paper Number 32 1993 - </w:t>
      </w:r>
      <w:r w:rsidRPr="00AF11BE">
        <w:rPr>
          <w:i/>
          <w:sz w:val="18"/>
          <w:szCs w:val="18"/>
        </w:rPr>
        <w:t>Residential Care for the Aged: An Overview of Government Policy from 1962 to 1993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6C8" w:rsidRPr="00A37588" w:rsidRDefault="00AB26C8">
    <w:pPr>
      <w:pStyle w:val="Header"/>
      <w:rPr>
        <w:b/>
      </w:rPr>
    </w:pPr>
    <w:r>
      <w:rPr>
        <w:b/>
      </w:rPr>
      <w:t>Attachment B: Full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7B7"/>
    <w:multiLevelType w:val="hybridMultilevel"/>
    <w:tmpl w:val="D06428C8"/>
    <w:lvl w:ilvl="0" w:tplc="08924B2A">
      <w:start w:val="1"/>
      <w:numFmt w:val="bullet"/>
      <w:lvlText w:val="-"/>
      <w:lvlJc w:val="left"/>
      <w:pPr>
        <w:ind w:left="420" w:hanging="360"/>
      </w:pPr>
      <w:rPr>
        <w:rFonts w:ascii="Calibri" w:eastAsiaTheme="minorEastAsia" w:hAnsi="Calibri" w:cs="Calibri"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81003EF"/>
    <w:multiLevelType w:val="hybridMultilevel"/>
    <w:tmpl w:val="EB06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25641"/>
    <w:multiLevelType w:val="hybridMultilevel"/>
    <w:tmpl w:val="87B6B0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5C4C92"/>
    <w:multiLevelType w:val="hybridMultilevel"/>
    <w:tmpl w:val="84E6F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14BAC"/>
    <w:multiLevelType w:val="hybridMultilevel"/>
    <w:tmpl w:val="8B8292E8"/>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65B39"/>
    <w:multiLevelType w:val="hybridMultilevel"/>
    <w:tmpl w:val="59EE6068"/>
    <w:lvl w:ilvl="0" w:tplc="01EAC2C8">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474B5"/>
    <w:multiLevelType w:val="hybridMultilevel"/>
    <w:tmpl w:val="163E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559BB"/>
    <w:multiLevelType w:val="hybridMultilevel"/>
    <w:tmpl w:val="4076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A4413"/>
    <w:multiLevelType w:val="multilevel"/>
    <w:tmpl w:val="A086BFF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347087"/>
    <w:multiLevelType w:val="hybridMultilevel"/>
    <w:tmpl w:val="553C6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77821"/>
    <w:multiLevelType w:val="hybridMultilevel"/>
    <w:tmpl w:val="9A041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204DBD"/>
    <w:multiLevelType w:val="hybridMultilevel"/>
    <w:tmpl w:val="24AA0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370A1"/>
    <w:multiLevelType w:val="hybridMultilevel"/>
    <w:tmpl w:val="69DC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D0190F"/>
    <w:multiLevelType w:val="hybridMultilevel"/>
    <w:tmpl w:val="05BC5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E82C77"/>
    <w:multiLevelType w:val="hybridMultilevel"/>
    <w:tmpl w:val="3318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3D59B8"/>
    <w:multiLevelType w:val="hybridMultilevel"/>
    <w:tmpl w:val="53D0B894"/>
    <w:lvl w:ilvl="0" w:tplc="584834FA">
      <w:start w:val="1"/>
      <w:numFmt w:val="bullet"/>
      <w:lvlText w:val=""/>
      <w:lvlJc w:val="left"/>
      <w:pPr>
        <w:ind w:left="720" w:hanging="360"/>
      </w:pPr>
      <w:rPr>
        <w:rFonts w:ascii="Symbol" w:hAnsi="Symbol" w:hint="default"/>
        <w:color w:val="FF66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0A5446"/>
    <w:multiLevelType w:val="hybridMultilevel"/>
    <w:tmpl w:val="9BB2A4F8"/>
    <w:lvl w:ilvl="0" w:tplc="F140AEE8">
      <w:start w:val="439"/>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D20FF"/>
    <w:multiLevelType w:val="hybridMultilevel"/>
    <w:tmpl w:val="0C0EDBD6"/>
    <w:lvl w:ilvl="0" w:tplc="11DEE2B0">
      <w:start w:val="2"/>
      <w:numFmt w:val="bullet"/>
      <w:lvlText w:val="-"/>
      <w:lvlJc w:val="left"/>
      <w:pPr>
        <w:ind w:left="420" w:hanging="360"/>
      </w:pPr>
      <w:rPr>
        <w:rFonts w:ascii="Calibri" w:eastAsiaTheme="minorEastAsia"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8" w15:restartNumberingAfterBreak="0">
    <w:nsid w:val="48913638"/>
    <w:multiLevelType w:val="hybridMultilevel"/>
    <w:tmpl w:val="73E6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E4986"/>
    <w:multiLevelType w:val="hybridMultilevel"/>
    <w:tmpl w:val="FD80A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E4452B"/>
    <w:multiLevelType w:val="hybridMultilevel"/>
    <w:tmpl w:val="983A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F4B8C"/>
    <w:multiLevelType w:val="hybridMultilevel"/>
    <w:tmpl w:val="1AC4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D462C19"/>
    <w:multiLevelType w:val="hybridMultilevel"/>
    <w:tmpl w:val="F656F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F5943DB"/>
    <w:multiLevelType w:val="hybridMultilevel"/>
    <w:tmpl w:val="79D8B8F2"/>
    <w:lvl w:ilvl="0" w:tplc="0C090001">
      <w:start w:val="1"/>
      <w:numFmt w:val="bullet"/>
      <w:lvlText w:val=""/>
      <w:lvlJc w:val="left"/>
      <w:pPr>
        <w:ind w:left="2302" w:hanging="360"/>
      </w:pPr>
      <w:rPr>
        <w:rFonts w:ascii="Symbol" w:hAnsi="Symbol" w:hint="default"/>
      </w:rPr>
    </w:lvl>
    <w:lvl w:ilvl="1" w:tplc="0C090003" w:tentative="1">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24" w15:restartNumberingAfterBreak="0">
    <w:nsid w:val="52F24DD0"/>
    <w:multiLevelType w:val="hybridMultilevel"/>
    <w:tmpl w:val="1152BC44"/>
    <w:lvl w:ilvl="0" w:tplc="2B04A06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303C8E"/>
    <w:multiLevelType w:val="hybridMultilevel"/>
    <w:tmpl w:val="8DC08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BB0BAE"/>
    <w:multiLevelType w:val="hybridMultilevel"/>
    <w:tmpl w:val="44920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DC4DB6"/>
    <w:multiLevelType w:val="hybridMultilevel"/>
    <w:tmpl w:val="F06E6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EAC3DBE"/>
    <w:multiLevelType w:val="hybridMultilevel"/>
    <w:tmpl w:val="C762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F80D8E"/>
    <w:multiLevelType w:val="hybridMultilevel"/>
    <w:tmpl w:val="9628E526"/>
    <w:lvl w:ilvl="0" w:tplc="DE06237E">
      <w:start w:val="1"/>
      <w:numFmt w:val="decimal"/>
      <w:lvlText w:val="%1."/>
      <w:lvlJc w:val="left"/>
      <w:pPr>
        <w:ind w:left="567" w:hanging="567"/>
      </w:pPr>
      <w:rPr>
        <w:rFonts w:hint="default"/>
      </w:rPr>
    </w:lvl>
    <w:lvl w:ilvl="1" w:tplc="6478C2F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811612"/>
    <w:multiLevelType w:val="hybridMultilevel"/>
    <w:tmpl w:val="AB5A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2E0529"/>
    <w:multiLevelType w:val="hybridMultilevel"/>
    <w:tmpl w:val="1B94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FF39AE"/>
    <w:multiLevelType w:val="hybridMultilevel"/>
    <w:tmpl w:val="0100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E8338E"/>
    <w:multiLevelType w:val="hybridMultilevel"/>
    <w:tmpl w:val="230CE81A"/>
    <w:lvl w:ilvl="0" w:tplc="0C090017">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4" w15:restartNumberingAfterBreak="0">
    <w:nsid w:val="6757492C"/>
    <w:multiLevelType w:val="hybridMultilevel"/>
    <w:tmpl w:val="D3CCC0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1D5501"/>
    <w:multiLevelType w:val="hybridMultilevel"/>
    <w:tmpl w:val="93441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124C21"/>
    <w:multiLevelType w:val="hybridMultilevel"/>
    <w:tmpl w:val="91B8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9B5AA8"/>
    <w:multiLevelType w:val="multilevel"/>
    <w:tmpl w:val="3654B43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5E94887"/>
    <w:multiLevelType w:val="hybridMultilevel"/>
    <w:tmpl w:val="62EC6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2655B"/>
    <w:multiLevelType w:val="hybridMultilevel"/>
    <w:tmpl w:val="28F2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F6BCA"/>
    <w:multiLevelType w:val="hybridMultilevel"/>
    <w:tmpl w:val="41D262DE"/>
    <w:lvl w:ilvl="0" w:tplc="6B48396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C04B58"/>
    <w:multiLevelType w:val="hybridMultilevel"/>
    <w:tmpl w:val="F9561A8A"/>
    <w:lvl w:ilvl="0" w:tplc="FCC47B26">
      <w:start w:val="1"/>
      <w:numFmt w:val="decimal"/>
      <w:lvlText w:val="%1."/>
      <w:lvlJc w:val="left"/>
      <w:pPr>
        <w:ind w:left="560" w:hanging="360"/>
      </w:pPr>
      <w:rPr>
        <w:rFonts w:hint="default"/>
      </w:rPr>
    </w:lvl>
    <w:lvl w:ilvl="1" w:tplc="0C090019" w:tentative="1">
      <w:start w:val="1"/>
      <w:numFmt w:val="lowerLetter"/>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num w:numId="1">
    <w:abstractNumId w:val="17"/>
  </w:num>
  <w:num w:numId="2">
    <w:abstractNumId w:val="0"/>
  </w:num>
  <w:num w:numId="3">
    <w:abstractNumId w:val="41"/>
  </w:num>
  <w:num w:numId="4">
    <w:abstractNumId w:val="31"/>
  </w:num>
  <w:num w:numId="5">
    <w:abstractNumId w:val="19"/>
  </w:num>
  <w:num w:numId="6">
    <w:abstractNumId w:val="26"/>
  </w:num>
  <w:num w:numId="7">
    <w:abstractNumId w:val="3"/>
  </w:num>
  <w:num w:numId="8">
    <w:abstractNumId w:val="24"/>
  </w:num>
  <w:num w:numId="9">
    <w:abstractNumId w:val="5"/>
  </w:num>
  <w:num w:numId="10">
    <w:abstractNumId w:val="2"/>
  </w:num>
  <w:num w:numId="11">
    <w:abstractNumId w:val="40"/>
  </w:num>
  <w:num w:numId="12">
    <w:abstractNumId w:val="10"/>
  </w:num>
  <w:num w:numId="13">
    <w:abstractNumId w:val="27"/>
  </w:num>
  <w:num w:numId="14">
    <w:abstractNumId w:val="29"/>
  </w:num>
  <w:num w:numId="15">
    <w:abstractNumId w:val="15"/>
  </w:num>
  <w:num w:numId="16">
    <w:abstractNumId w:val="30"/>
  </w:num>
  <w:num w:numId="17">
    <w:abstractNumId w:val="13"/>
  </w:num>
  <w:num w:numId="18">
    <w:abstractNumId w:val="33"/>
  </w:num>
  <w:num w:numId="19">
    <w:abstractNumId w:val="21"/>
  </w:num>
  <w:num w:numId="20">
    <w:abstractNumId w:val="7"/>
  </w:num>
  <w:num w:numId="21">
    <w:abstractNumId w:val="9"/>
  </w:num>
  <w:num w:numId="22">
    <w:abstractNumId w:val="25"/>
  </w:num>
  <w:num w:numId="23">
    <w:abstractNumId w:val="32"/>
  </w:num>
  <w:num w:numId="24">
    <w:abstractNumId w:val="6"/>
  </w:num>
  <w:num w:numId="25">
    <w:abstractNumId w:val="1"/>
  </w:num>
  <w:num w:numId="26">
    <w:abstractNumId w:val="35"/>
  </w:num>
  <w:num w:numId="27">
    <w:abstractNumId w:val="36"/>
  </w:num>
  <w:num w:numId="28">
    <w:abstractNumId w:val="34"/>
  </w:num>
  <w:num w:numId="29">
    <w:abstractNumId w:val="11"/>
  </w:num>
  <w:num w:numId="30">
    <w:abstractNumId w:val="14"/>
  </w:num>
  <w:num w:numId="31">
    <w:abstractNumId w:val="12"/>
  </w:num>
  <w:num w:numId="32">
    <w:abstractNumId w:val="23"/>
  </w:num>
  <w:num w:numId="33">
    <w:abstractNumId w:val="39"/>
  </w:num>
  <w:num w:numId="34">
    <w:abstractNumId w:val="18"/>
  </w:num>
  <w:num w:numId="35">
    <w:abstractNumId w:val="4"/>
  </w:num>
  <w:num w:numId="36">
    <w:abstractNumId w:val="8"/>
  </w:num>
  <w:num w:numId="37">
    <w:abstractNumId w:val="37"/>
  </w:num>
  <w:num w:numId="38">
    <w:abstractNumId w:val="38"/>
  </w:num>
  <w:num w:numId="39">
    <w:abstractNumId w:val="28"/>
  </w:num>
  <w:num w:numId="40">
    <w:abstractNumId w:val="20"/>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AU" w:vendorID="64" w:dllVersion="131078" w:nlCheck="1" w:checkStyle="1"/>
  <w:defaultTabStop w:val="720"/>
  <w:defaultTableStyle w:val="TableGrid"/>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66"/>
    <w:rsid w:val="00000534"/>
    <w:rsid w:val="0000161A"/>
    <w:rsid w:val="00004D95"/>
    <w:rsid w:val="00006B1B"/>
    <w:rsid w:val="00010D1E"/>
    <w:rsid w:val="00011C1A"/>
    <w:rsid w:val="00012746"/>
    <w:rsid w:val="0001276E"/>
    <w:rsid w:val="00013B12"/>
    <w:rsid w:val="000143AB"/>
    <w:rsid w:val="000158D6"/>
    <w:rsid w:val="0002001B"/>
    <w:rsid w:val="000206D3"/>
    <w:rsid w:val="00023BB0"/>
    <w:rsid w:val="00024657"/>
    <w:rsid w:val="0002544A"/>
    <w:rsid w:val="00025B79"/>
    <w:rsid w:val="000326AA"/>
    <w:rsid w:val="00032953"/>
    <w:rsid w:val="00032EC1"/>
    <w:rsid w:val="00034737"/>
    <w:rsid w:val="00034813"/>
    <w:rsid w:val="000350B8"/>
    <w:rsid w:val="00035659"/>
    <w:rsid w:val="0003602D"/>
    <w:rsid w:val="0003609F"/>
    <w:rsid w:val="00044852"/>
    <w:rsid w:val="00045AFB"/>
    <w:rsid w:val="00046386"/>
    <w:rsid w:val="0005142F"/>
    <w:rsid w:val="00051A7D"/>
    <w:rsid w:val="0005307B"/>
    <w:rsid w:val="000533DE"/>
    <w:rsid w:val="00054228"/>
    <w:rsid w:val="0005495A"/>
    <w:rsid w:val="000554A6"/>
    <w:rsid w:val="000568EA"/>
    <w:rsid w:val="00063074"/>
    <w:rsid w:val="0006644E"/>
    <w:rsid w:val="000704B7"/>
    <w:rsid w:val="00072E72"/>
    <w:rsid w:val="00073CAB"/>
    <w:rsid w:val="00077699"/>
    <w:rsid w:val="00077FD2"/>
    <w:rsid w:val="00082A01"/>
    <w:rsid w:val="00083DA0"/>
    <w:rsid w:val="00084819"/>
    <w:rsid w:val="0008779F"/>
    <w:rsid w:val="0009188C"/>
    <w:rsid w:val="0009455A"/>
    <w:rsid w:val="000963DE"/>
    <w:rsid w:val="0009709D"/>
    <w:rsid w:val="000A08F4"/>
    <w:rsid w:val="000A206F"/>
    <w:rsid w:val="000A3A38"/>
    <w:rsid w:val="000A3C25"/>
    <w:rsid w:val="000A5D48"/>
    <w:rsid w:val="000A6277"/>
    <w:rsid w:val="000A6CA5"/>
    <w:rsid w:val="000A78D0"/>
    <w:rsid w:val="000B496D"/>
    <w:rsid w:val="000B5356"/>
    <w:rsid w:val="000C093C"/>
    <w:rsid w:val="000C28A1"/>
    <w:rsid w:val="000C5A40"/>
    <w:rsid w:val="000C6717"/>
    <w:rsid w:val="000C6B2A"/>
    <w:rsid w:val="000C6CF5"/>
    <w:rsid w:val="000C7D6D"/>
    <w:rsid w:val="000D3445"/>
    <w:rsid w:val="000D34F5"/>
    <w:rsid w:val="000D4099"/>
    <w:rsid w:val="000D40F9"/>
    <w:rsid w:val="000D51A6"/>
    <w:rsid w:val="000D6B82"/>
    <w:rsid w:val="000D7367"/>
    <w:rsid w:val="000D7989"/>
    <w:rsid w:val="000E2DF1"/>
    <w:rsid w:val="000F01DF"/>
    <w:rsid w:val="000F0825"/>
    <w:rsid w:val="000F0C65"/>
    <w:rsid w:val="000F121F"/>
    <w:rsid w:val="000F1BAC"/>
    <w:rsid w:val="000F499A"/>
    <w:rsid w:val="000F56DA"/>
    <w:rsid w:val="000F6C83"/>
    <w:rsid w:val="000F7C7A"/>
    <w:rsid w:val="00103496"/>
    <w:rsid w:val="001035BE"/>
    <w:rsid w:val="00107283"/>
    <w:rsid w:val="001072CA"/>
    <w:rsid w:val="001079F3"/>
    <w:rsid w:val="00107DB0"/>
    <w:rsid w:val="00107F23"/>
    <w:rsid w:val="00112E3C"/>
    <w:rsid w:val="0011376A"/>
    <w:rsid w:val="00114335"/>
    <w:rsid w:val="00114954"/>
    <w:rsid w:val="00115FC3"/>
    <w:rsid w:val="0011645C"/>
    <w:rsid w:val="001174D9"/>
    <w:rsid w:val="00120200"/>
    <w:rsid w:val="0012265D"/>
    <w:rsid w:val="00122B5F"/>
    <w:rsid w:val="001230D2"/>
    <w:rsid w:val="001262CF"/>
    <w:rsid w:val="00131312"/>
    <w:rsid w:val="0013218A"/>
    <w:rsid w:val="001330E5"/>
    <w:rsid w:val="00136410"/>
    <w:rsid w:val="00136A98"/>
    <w:rsid w:val="00136BE2"/>
    <w:rsid w:val="00136E9B"/>
    <w:rsid w:val="00136FE2"/>
    <w:rsid w:val="0014005F"/>
    <w:rsid w:val="00144B01"/>
    <w:rsid w:val="001507A5"/>
    <w:rsid w:val="00153285"/>
    <w:rsid w:val="00160951"/>
    <w:rsid w:val="00160F64"/>
    <w:rsid w:val="00162C19"/>
    <w:rsid w:val="0016480A"/>
    <w:rsid w:val="00165731"/>
    <w:rsid w:val="00166522"/>
    <w:rsid w:val="001710D8"/>
    <w:rsid w:val="001741C5"/>
    <w:rsid w:val="00174D3D"/>
    <w:rsid w:val="00174E3E"/>
    <w:rsid w:val="00175089"/>
    <w:rsid w:val="00181D20"/>
    <w:rsid w:val="00182137"/>
    <w:rsid w:val="0018413D"/>
    <w:rsid w:val="00185BF5"/>
    <w:rsid w:val="0018766C"/>
    <w:rsid w:val="00187F46"/>
    <w:rsid w:val="0019014E"/>
    <w:rsid w:val="00190C49"/>
    <w:rsid w:val="00191660"/>
    <w:rsid w:val="00192330"/>
    <w:rsid w:val="001934A6"/>
    <w:rsid w:val="00196F69"/>
    <w:rsid w:val="0019701C"/>
    <w:rsid w:val="001A1EA8"/>
    <w:rsid w:val="001A23FE"/>
    <w:rsid w:val="001A755B"/>
    <w:rsid w:val="001A7AD6"/>
    <w:rsid w:val="001B114A"/>
    <w:rsid w:val="001B19E8"/>
    <w:rsid w:val="001B279E"/>
    <w:rsid w:val="001B2F44"/>
    <w:rsid w:val="001B3D7B"/>
    <w:rsid w:val="001B4535"/>
    <w:rsid w:val="001B65E1"/>
    <w:rsid w:val="001B7D20"/>
    <w:rsid w:val="001C1F2D"/>
    <w:rsid w:val="001C1F62"/>
    <w:rsid w:val="001C3552"/>
    <w:rsid w:val="001C3BAE"/>
    <w:rsid w:val="001C5A1F"/>
    <w:rsid w:val="001C5DD7"/>
    <w:rsid w:val="001D1592"/>
    <w:rsid w:val="001D4E7D"/>
    <w:rsid w:val="001D50E9"/>
    <w:rsid w:val="001D5438"/>
    <w:rsid w:val="001D70D5"/>
    <w:rsid w:val="001E6C93"/>
    <w:rsid w:val="001E7524"/>
    <w:rsid w:val="001E777D"/>
    <w:rsid w:val="001E7D76"/>
    <w:rsid w:val="001F207D"/>
    <w:rsid w:val="001F3609"/>
    <w:rsid w:val="001F3690"/>
    <w:rsid w:val="001F4FCA"/>
    <w:rsid w:val="00200C6B"/>
    <w:rsid w:val="00205EC9"/>
    <w:rsid w:val="00206955"/>
    <w:rsid w:val="0020779F"/>
    <w:rsid w:val="002100AC"/>
    <w:rsid w:val="002101F1"/>
    <w:rsid w:val="00216F96"/>
    <w:rsid w:val="00226820"/>
    <w:rsid w:val="00227D2A"/>
    <w:rsid w:val="00231850"/>
    <w:rsid w:val="002323C6"/>
    <w:rsid w:val="002351B7"/>
    <w:rsid w:val="00235656"/>
    <w:rsid w:val="00235D3C"/>
    <w:rsid w:val="00237D54"/>
    <w:rsid w:val="00240BEB"/>
    <w:rsid w:val="00243A0C"/>
    <w:rsid w:val="002440EB"/>
    <w:rsid w:val="0024542B"/>
    <w:rsid w:val="00246C0C"/>
    <w:rsid w:val="00247358"/>
    <w:rsid w:val="002473B9"/>
    <w:rsid w:val="002477FE"/>
    <w:rsid w:val="00247C07"/>
    <w:rsid w:val="00257585"/>
    <w:rsid w:val="00260360"/>
    <w:rsid w:val="002610DD"/>
    <w:rsid w:val="00261455"/>
    <w:rsid w:val="0026194B"/>
    <w:rsid w:val="00262103"/>
    <w:rsid w:val="002625BF"/>
    <w:rsid w:val="00262E8C"/>
    <w:rsid w:val="002645FA"/>
    <w:rsid w:val="00265A67"/>
    <w:rsid w:val="00267DD5"/>
    <w:rsid w:val="0027248F"/>
    <w:rsid w:val="002731D8"/>
    <w:rsid w:val="00280050"/>
    <w:rsid w:val="002807C4"/>
    <w:rsid w:val="00282774"/>
    <w:rsid w:val="00284FD1"/>
    <w:rsid w:val="00287984"/>
    <w:rsid w:val="0029122C"/>
    <w:rsid w:val="00291432"/>
    <w:rsid w:val="0029267F"/>
    <w:rsid w:val="00292CC7"/>
    <w:rsid w:val="00292D75"/>
    <w:rsid w:val="00293A0A"/>
    <w:rsid w:val="002942FB"/>
    <w:rsid w:val="00295509"/>
    <w:rsid w:val="00296DD4"/>
    <w:rsid w:val="002A023E"/>
    <w:rsid w:val="002A1A96"/>
    <w:rsid w:val="002A3A89"/>
    <w:rsid w:val="002A4F15"/>
    <w:rsid w:val="002A5B81"/>
    <w:rsid w:val="002B0FB4"/>
    <w:rsid w:val="002B110C"/>
    <w:rsid w:val="002B53F5"/>
    <w:rsid w:val="002B5776"/>
    <w:rsid w:val="002B7D9C"/>
    <w:rsid w:val="002B7DA1"/>
    <w:rsid w:val="002C072D"/>
    <w:rsid w:val="002C4C53"/>
    <w:rsid w:val="002C4F58"/>
    <w:rsid w:val="002D0D6D"/>
    <w:rsid w:val="002D21C6"/>
    <w:rsid w:val="002D3CDB"/>
    <w:rsid w:val="002D4588"/>
    <w:rsid w:val="002D4F37"/>
    <w:rsid w:val="002E117A"/>
    <w:rsid w:val="002E13AD"/>
    <w:rsid w:val="002E2DC2"/>
    <w:rsid w:val="002E4741"/>
    <w:rsid w:val="002E4E3A"/>
    <w:rsid w:val="002E5EC0"/>
    <w:rsid w:val="002E7153"/>
    <w:rsid w:val="002F130A"/>
    <w:rsid w:val="002F3AAB"/>
    <w:rsid w:val="002F5114"/>
    <w:rsid w:val="002F6426"/>
    <w:rsid w:val="002F6C48"/>
    <w:rsid w:val="00302A6B"/>
    <w:rsid w:val="003039A5"/>
    <w:rsid w:val="003044C3"/>
    <w:rsid w:val="0030477F"/>
    <w:rsid w:val="0030481A"/>
    <w:rsid w:val="00310761"/>
    <w:rsid w:val="00321DB1"/>
    <w:rsid w:val="003241D5"/>
    <w:rsid w:val="00330D6C"/>
    <w:rsid w:val="00335753"/>
    <w:rsid w:val="0033660C"/>
    <w:rsid w:val="00337F1A"/>
    <w:rsid w:val="0034361D"/>
    <w:rsid w:val="00344DA9"/>
    <w:rsid w:val="00346C25"/>
    <w:rsid w:val="003502C1"/>
    <w:rsid w:val="003503CD"/>
    <w:rsid w:val="003538EA"/>
    <w:rsid w:val="0035393F"/>
    <w:rsid w:val="0035426D"/>
    <w:rsid w:val="00361E81"/>
    <w:rsid w:val="00363C72"/>
    <w:rsid w:val="00365619"/>
    <w:rsid w:val="003657B7"/>
    <w:rsid w:val="00365A62"/>
    <w:rsid w:val="00367D12"/>
    <w:rsid w:val="0037408C"/>
    <w:rsid w:val="003750E3"/>
    <w:rsid w:val="003751F0"/>
    <w:rsid w:val="00377CAA"/>
    <w:rsid w:val="00382475"/>
    <w:rsid w:val="0038476C"/>
    <w:rsid w:val="00384E41"/>
    <w:rsid w:val="003851C6"/>
    <w:rsid w:val="00386518"/>
    <w:rsid w:val="00386D62"/>
    <w:rsid w:val="00387D89"/>
    <w:rsid w:val="003919D0"/>
    <w:rsid w:val="00395023"/>
    <w:rsid w:val="0039516F"/>
    <w:rsid w:val="00396FBF"/>
    <w:rsid w:val="003A0904"/>
    <w:rsid w:val="003A13EA"/>
    <w:rsid w:val="003A16DE"/>
    <w:rsid w:val="003A24EB"/>
    <w:rsid w:val="003A49B2"/>
    <w:rsid w:val="003A4DE5"/>
    <w:rsid w:val="003A5B7A"/>
    <w:rsid w:val="003A5D5E"/>
    <w:rsid w:val="003A6108"/>
    <w:rsid w:val="003B10EC"/>
    <w:rsid w:val="003B1F0E"/>
    <w:rsid w:val="003B2313"/>
    <w:rsid w:val="003B276E"/>
    <w:rsid w:val="003B2C24"/>
    <w:rsid w:val="003B3B79"/>
    <w:rsid w:val="003B3EDE"/>
    <w:rsid w:val="003B46A4"/>
    <w:rsid w:val="003B7260"/>
    <w:rsid w:val="003C0C97"/>
    <w:rsid w:val="003C1E4D"/>
    <w:rsid w:val="003C2C12"/>
    <w:rsid w:val="003C2C91"/>
    <w:rsid w:val="003C3581"/>
    <w:rsid w:val="003C64C8"/>
    <w:rsid w:val="003C6B80"/>
    <w:rsid w:val="003D04D2"/>
    <w:rsid w:val="003D055F"/>
    <w:rsid w:val="003D0754"/>
    <w:rsid w:val="003D0B09"/>
    <w:rsid w:val="003D24EB"/>
    <w:rsid w:val="003D3652"/>
    <w:rsid w:val="003D3A74"/>
    <w:rsid w:val="003D4BD8"/>
    <w:rsid w:val="003D532A"/>
    <w:rsid w:val="003D5400"/>
    <w:rsid w:val="003D7A2B"/>
    <w:rsid w:val="003E646C"/>
    <w:rsid w:val="003E7D92"/>
    <w:rsid w:val="003F0039"/>
    <w:rsid w:val="003F0322"/>
    <w:rsid w:val="003F147A"/>
    <w:rsid w:val="003F368D"/>
    <w:rsid w:val="003F37F3"/>
    <w:rsid w:val="003F3DB0"/>
    <w:rsid w:val="003F451A"/>
    <w:rsid w:val="003F4EA3"/>
    <w:rsid w:val="003F52BE"/>
    <w:rsid w:val="003F5BC0"/>
    <w:rsid w:val="003F5DC9"/>
    <w:rsid w:val="004011C9"/>
    <w:rsid w:val="004035D2"/>
    <w:rsid w:val="00405433"/>
    <w:rsid w:val="00406743"/>
    <w:rsid w:val="00406950"/>
    <w:rsid w:val="0040779D"/>
    <w:rsid w:val="0041122B"/>
    <w:rsid w:val="004122DB"/>
    <w:rsid w:val="00415FC9"/>
    <w:rsid w:val="00420235"/>
    <w:rsid w:val="00421427"/>
    <w:rsid w:val="004215CB"/>
    <w:rsid w:val="004222AF"/>
    <w:rsid w:val="004223C3"/>
    <w:rsid w:val="004238C0"/>
    <w:rsid w:val="00426511"/>
    <w:rsid w:val="0042672C"/>
    <w:rsid w:val="0043023E"/>
    <w:rsid w:val="00430AF5"/>
    <w:rsid w:val="00431719"/>
    <w:rsid w:val="00433355"/>
    <w:rsid w:val="004346AC"/>
    <w:rsid w:val="00436F6A"/>
    <w:rsid w:val="004371B0"/>
    <w:rsid w:val="0043778F"/>
    <w:rsid w:val="00437895"/>
    <w:rsid w:val="004400FA"/>
    <w:rsid w:val="00440E28"/>
    <w:rsid w:val="00441D91"/>
    <w:rsid w:val="0044240E"/>
    <w:rsid w:val="00442E61"/>
    <w:rsid w:val="00442F81"/>
    <w:rsid w:val="0044418F"/>
    <w:rsid w:val="00444E26"/>
    <w:rsid w:val="004456F3"/>
    <w:rsid w:val="00445B54"/>
    <w:rsid w:val="0044660C"/>
    <w:rsid w:val="00447B99"/>
    <w:rsid w:val="004523D3"/>
    <w:rsid w:val="00453D34"/>
    <w:rsid w:val="00455CCE"/>
    <w:rsid w:val="00455EF5"/>
    <w:rsid w:val="00456168"/>
    <w:rsid w:val="00456D79"/>
    <w:rsid w:val="00460D54"/>
    <w:rsid w:val="00463CD2"/>
    <w:rsid w:val="00465C35"/>
    <w:rsid w:val="00466023"/>
    <w:rsid w:val="00472154"/>
    <w:rsid w:val="004723C2"/>
    <w:rsid w:val="00472D85"/>
    <w:rsid w:val="00473C49"/>
    <w:rsid w:val="00476873"/>
    <w:rsid w:val="00477B3F"/>
    <w:rsid w:val="00480703"/>
    <w:rsid w:val="00480988"/>
    <w:rsid w:val="00483ADB"/>
    <w:rsid w:val="004854C2"/>
    <w:rsid w:val="0048590C"/>
    <w:rsid w:val="00491485"/>
    <w:rsid w:val="004918AE"/>
    <w:rsid w:val="00492AB0"/>
    <w:rsid w:val="0049363E"/>
    <w:rsid w:val="0049501F"/>
    <w:rsid w:val="00497E1C"/>
    <w:rsid w:val="004A4D87"/>
    <w:rsid w:val="004A4E7F"/>
    <w:rsid w:val="004A6F12"/>
    <w:rsid w:val="004A740E"/>
    <w:rsid w:val="004A79E6"/>
    <w:rsid w:val="004B00C6"/>
    <w:rsid w:val="004B09FC"/>
    <w:rsid w:val="004B31D6"/>
    <w:rsid w:val="004B46C0"/>
    <w:rsid w:val="004B4D2F"/>
    <w:rsid w:val="004B7AD3"/>
    <w:rsid w:val="004C1926"/>
    <w:rsid w:val="004C2821"/>
    <w:rsid w:val="004C305C"/>
    <w:rsid w:val="004C3665"/>
    <w:rsid w:val="004C38E1"/>
    <w:rsid w:val="004C55E6"/>
    <w:rsid w:val="004C6AF6"/>
    <w:rsid w:val="004D03B2"/>
    <w:rsid w:val="004D06BC"/>
    <w:rsid w:val="004D1542"/>
    <w:rsid w:val="004D2209"/>
    <w:rsid w:val="004D479D"/>
    <w:rsid w:val="004D4BF9"/>
    <w:rsid w:val="004D4FC7"/>
    <w:rsid w:val="004D6AEC"/>
    <w:rsid w:val="004D7870"/>
    <w:rsid w:val="004E0BBC"/>
    <w:rsid w:val="004E1DBD"/>
    <w:rsid w:val="004E4C35"/>
    <w:rsid w:val="004E5B4A"/>
    <w:rsid w:val="004F378F"/>
    <w:rsid w:val="004F6361"/>
    <w:rsid w:val="00500725"/>
    <w:rsid w:val="005008D3"/>
    <w:rsid w:val="00502F9C"/>
    <w:rsid w:val="00511F0D"/>
    <w:rsid w:val="00514260"/>
    <w:rsid w:val="005142AD"/>
    <w:rsid w:val="00516B36"/>
    <w:rsid w:val="005206D7"/>
    <w:rsid w:val="0052149E"/>
    <w:rsid w:val="00521B7F"/>
    <w:rsid w:val="00524284"/>
    <w:rsid w:val="00531D53"/>
    <w:rsid w:val="00532044"/>
    <w:rsid w:val="00532C36"/>
    <w:rsid w:val="005334A2"/>
    <w:rsid w:val="005356DB"/>
    <w:rsid w:val="00536C76"/>
    <w:rsid w:val="00536EB6"/>
    <w:rsid w:val="00537F35"/>
    <w:rsid w:val="00540761"/>
    <w:rsid w:val="00540D62"/>
    <w:rsid w:val="0054141E"/>
    <w:rsid w:val="00542528"/>
    <w:rsid w:val="0054578E"/>
    <w:rsid w:val="00545C16"/>
    <w:rsid w:val="00545FA6"/>
    <w:rsid w:val="00546645"/>
    <w:rsid w:val="00546867"/>
    <w:rsid w:val="0054765C"/>
    <w:rsid w:val="005477A9"/>
    <w:rsid w:val="0055004B"/>
    <w:rsid w:val="005504C6"/>
    <w:rsid w:val="00550A60"/>
    <w:rsid w:val="005537AB"/>
    <w:rsid w:val="00554AD3"/>
    <w:rsid w:val="00554BD9"/>
    <w:rsid w:val="00554F4B"/>
    <w:rsid w:val="00562773"/>
    <w:rsid w:val="005638D3"/>
    <w:rsid w:val="00573146"/>
    <w:rsid w:val="00575555"/>
    <w:rsid w:val="00577F70"/>
    <w:rsid w:val="00580474"/>
    <w:rsid w:val="0058111A"/>
    <w:rsid w:val="00581C0F"/>
    <w:rsid w:val="00583DF2"/>
    <w:rsid w:val="00583FEA"/>
    <w:rsid w:val="00584706"/>
    <w:rsid w:val="005858B1"/>
    <w:rsid w:val="00585C9C"/>
    <w:rsid w:val="00585E77"/>
    <w:rsid w:val="0058756E"/>
    <w:rsid w:val="00587B49"/>
    <w:rsid w:val="00592801"/>
    <w:rsid w:val="0059414B"/>
    <w:rsid w:val="005A047E"/>
    <w:rsid w:val="005A6232"/>
    <w:rsid w:val="005A76DF"/>
    <w:rsid w:val="005B01F8"/>
    <w:rsid w:val="005B2DEF"/>
    <w:rsid w:val="005B30EC"/>
    <w:rsid w:val="005B4A63"/>
    <w:rsid w:val="005B59C1"/>
    <w:rsid w:val="005B6EF4"/>
    <w:rsid w:val="005B77D7"/>
    <w:rsid w:val="005C0BBC"/>
    <w:rsid w:val="005C214D"/>
    <w:rsid w:val="005C3A78"/>
    <w:rsid w:val="005C43A4"/>
    <w:rsid w:val="005C7C27"/>
    <w:rsid w:val="005D0919"/>
    <w:rsid w:val="005D0DA6"/>
    <w:rsid w:val="005D119E"/>
    <w:rsid w:val="005D1F6D"/>
    <w:rsid w:val="005D2400"/>
    <w:rsid w:val="005D6721"/>
    <w:rsid w:val="005E091B"/>
    <w:rsid w:val="005E0BC3"/>
    <w:rsid w:val="005E1172"/>
    <w:rsid w:val="005E1551"/>
    <w:rsid w:val="005E2CD6"/>
    <w:rsid w:val="005E40BA"/>
    <w:rsid w:val="005E571F"/>
    <w:rsid w:val="005F12DB"/>
    <w:rsid w:val="005F25CA"/>
    <w:rsid w:val="005F2D1F"/>
    <w:rsid w:val="005F54C9"/>
    <w:rsid w:val="005F5572"/>
    <w:rsid w:val="005F69B3"/>
    <w:rsid w:val="005F7378"/>
    <w:rsid w:val="00603583"/>
    <w:rsid w:val="00603678"/>
    <w:rsid w:val="00603ABF"/>
    <w:rsid w:val="006074BE"/>
    <w:rsid w:val="0060758D"/>
    <w:rsid w:val="00607679"/>
    <w:rsid w:val="00611993"/>
    <w:rsid w:val="0061203A"/>
    <w:rsid w:val="0061233F"/>
    <w:rsid w:val="00612B09"/>
    <w:rsid w:val="00615549"/>
    <w:rsid w:val="006177EF"/>
    <w:rsid w:val="006210BF"/>
    <w:rsid w:val="00621E3E"/>
    <w:rsid w:val="006224FE"/>
    <w:rsid w:val="0062305E"/>
    <w:rsid w:val="00624595"/>
    <w:rsid w:val="006252E9"/>
    <w:rsid w:val="00625D56"/>
    <w:rsid w:val="00627CA5"/>
    <w:rsid w:val="0063075A"/>
    <w:rsid w:val="00631299"/>
    <w:rsid w:val="00634246"/>
    <w:rsid w:val="00640ACB"/>
    <w:rsid w:val="00640EFD"/>
    <w:rsid w:val="0064341A"/>
    <w:rsid w:val="0064611E"/>
    <w:rsid w:val="00646D47"/>
    <w:rsid w:val="006479C2"/>
    <w:rsid w:val="00650A4B"/>
    <w:rsid w:val="00651CEF"/>
    <w:rsid w:val="006555C3"/>
    <w:rsid w:val="00657246"/>
    <w:rsid w:val="00661E51"/>
    <w:rsid w:val="00665924"/>
    <w:rsid w:val="00666C99"/>
    <w:rsid w:val="00667230"/>
    <w:rsid w:val="00667836"/>
    <w:rsid w:val="0067085E"/>
    <w:rsid w:val="00672BA7"/>
    <w:rsid w:val="00672BC8"/>
    <w:rsid w:val="00673FEA"/>
    <w:rsid w:val="00674F48"/>
    <w:rsid w:val="006808AB"/>
    <w:rsid w:val="00682367"/>
    <w:rsid w:val="006838B8"/>
    <w:rsid w:val="00685590"/>
    <w:rsid w:val="00686688"/>
    <w:rsid w:val="0068690C"/>
    <w:rsid w:val="00691770"/>
    <w:rsid w:val="00694692"/>
    <w:rsid w:val="00695274"/>
    <w:rsid w:val="0069597B"/>
    <w:rsid w:val="00695ADD"/>
    <w:rsid w:val="0069754B"/>
    <w:rsid w:val="00697AE8"/>
    <w:rsid w:val="006A1FA7"/>
    <w:rsid w:val="006A507C"/>
    <w:rsid w:val="006A62A0"/>
    <w:rsid w:val="006A6C7D"/>
    <w:rsid w:val="006A7285"/>
    <w:rsid w:val="006B0179"/>
    <w:rsid w:val="006B47FD"/>
    <w:rsid w:val="006B55A2"/>
    <w:rsid w:val="006B6241"/>
    <w:rsid w:val="006B7DE5"/>
    <w:rsid w:val="006C0DF1"/>
    <w:rsid w:val="006C188F"/>
    <w:rsid w:val="006C1D6A"/>
    <w:rsid w:val="006C31A6"/>
    <w:rsid w:val="006C394A"/>
    <w:rsid w:val="006C4C31"/>
    <w:rsid w:val="006C4F37"/>
    <w:rsid w:val="006C6EA0"/>
    <w:rsid w:val="006C725C"/>
    <w:rsid w:val="006C736A"/>
    <w:rsid w:val="006D04F1"/>
    <w:rsid w:val="006D0A77"/>
    <w:rsid w:val="006D0B1B"/>
    <w:rsid w:val="006D282A"/>
    <w:rsid w:val="006D2D2A"/>
    <w:rsid w:val="006D2D94"/>
    <w:rsid w:val="006D3EDE"/>
    <w:rsid w:val="006D63C8"/>
    <w:rsid w:val="006D6E4B"/>
    <w:rsid w:val="006D7186"/>
    <w:rsid w:val="006D73A3"/>
    <w:rsid w:val="006E30C3"/>
    <w:rsid w:val="006E5749"/>
    <w:rsid w:val="006E64D7"/>
    <w:rsid w:val="006E6554"/>
    <w:rsid w:val="006E6DC9"/>
    <w:rsid w:val="006F0193"/>
    <w:rsid w:val="006F112F"/>
    <w:rsid w:val="006F1A77"/>
    <w:rsid w:val="006F1D87"/>
    <w:rsid w:val="006F2C19"/>
    <w:rsid w:val="006F730E"/>
    <w:rsid w:val="006F7415"/>
    <w:rsid w:val="006F770D"/>
    <w:rsid w:val="00702315"/>
    <w:rsid w:val="007027DE"/>
    <w:rsid w:val="007036F5"/>
    <w:rsid w:val="00705D26"/>
    <w:rsid w:val="00706FCD"/>
    <w:rsid w:val="00707292"/>
    <w:rsid w:val="007074F2"/>
    <w:rsid w:val="00707C22"/>
    <w:rsid w:val="00707E86"/>
    <w:rsid w:val="00710C4B"/>
    <w:rsid w:val="007128B6"/>
    <w:rsid w:val="00712E2D"/>
    <w:rsid w:val="00713261"/>
    <w:rsid w:val="00713BC7"/>
    <w:rsid w:val="00715A62"/>
    <w:rsid w:val="00720914"/>
    <w:rsid w:val="00721EE0"/>
    <w:rsid w:val="0072490A"/>
    <w:rsid w:val="00724C4E"/>
    <w:rsid w:val="00725016"/>
    <w:rsid w:val="00726C0E"/>
    <w:rsid w:val="00730EB5"/>
    <w:rsid w:val="00730F4F"/>
    <w:rsid w:val="00733F31"/>
    <w:rsid w:val="0073464A"/>
    <w:rsid w:val="0073616F"/>
    <w:rsid w:val="007362F9"/>
    <w:rsid w:val="0074040E"/>
    <w:rsid w:val="00743F3C"/>
    <w:rsid w:val="00743FF0"/>
    <w:rsid w:val="007504F2"/>
    <w:rsid w:val="0075060C"/>
    <w:rsid w:val="00751C70"/>
    <w:rsid w:val="00753EF5"/>
    <w:rsid w:val="00753EF7"/>
    <w:rsid w:val="00756C40"/>
    <w:rsid w:val="00761415"/>
    <w:rsid w:val="00761B74"/>
    <w:rsid w:val="00762A65"/>
    <w:rsid w:val="0076300B"/>
    <w:rsid w:val="00764E91"/>
    <w:rsid w:val="00766195"/>
    <w:rsid w:val="0076704B"/>
    <w:rsid w:val="00770BF1"/>
    <w:rsid w:val="0077142B"/>
    <w:rsid w:val="00775D00"/>
    <w:rsid w:val="00781325"/>
    <w:rsid w:val="00781E18"/>
    <w:rsid w:val="00782994"/>
    <w:rsid w:val="00783E76"/>
    <w:rsid w:val="007855F4"/>
    <w:rsid w:val="00785C0D"/>
    <w:rsid w:val="00786580"/>
    <w:rsid w:val="007876E2"/>
    <w:rsid w:val="007916C7"/>
    <w:rsid w:val="007922DB"/>
    <w:rsid w:val="00796130"/>
    <w:rsid w:val="00796B81"/>
    <w:rsid w:val="0079751D"/>
    <w:rsid w:val="007A23F4"/>
    <w:rsid w:val="007A2BEE"/>
    <w:rsid w:val="007B191C"/>
    <w:rsid w:val="007B3CD1"/>
    <w:rsid w:val="007B5D03"/>
    <w:rsid w:val="007B7606"/>
    <w:rsid w:val="007C0661"/>
    <w:rsid w:val="007C0BA7"/>
    <w:rsid w:val="007C2758"/>
    <w:rsid w:val="007C3180"/>
    <w:rsid w:val="007C44A2"/>
    <w:rsid w:val="007C4EC0"/>
    <w:rsid w:val="007D0042"/>
    <w:rsid w:val="007D2166"/>
    <w:rsid w:val="007D22D9"/>
    <w:rsid w:val="007D2ED5"/>
    <w:rsid w:val="007D3163"/>
    <w:rsid w:val="007D3EFA"/>
    <w:rsid w:val="007D754F"/>
    <w:rsid w:val="007D7749"/>
    <w:rsid w:val="007E0645"/>
    <w:rsid w:val="007E0A03"/>
    <w:rsid w:val="007E281B"/>
    <w:rsid w:val="007E2AC0"/>
    <w:rsid w:val="007E3C92"/>
    <w:rsid w:val="007E508F"/>
    <w:rsid w:val="007E5152"/>
    <w:rsid w:val="007E6053"/>
    <w:rsid w:val="007E64CE"/>
    <w:rsid w:val="007E7ACD"/>
    <w:rsid w:val="007F00BC"/>
    <w:rsid w:val="007F1C1A"/>
    <w:rsid w:val="007F5E74"/>
    <w:rsid w:val="007F6D2C"/>
    <w:rsid w:val="008015F2"/>
    <w:rsid w:val="00801767"/>
    <w:rsid w:val="00801DC5"/>
    <w:rsid w:val="00803D2D"/>
    <w:rsid w:val="00804684"/>
    <w:rsid w:val="00804CB5"/>
    <w:rsid w:val="00804D5B"/>
    <w:rsid w:val="008054A3"/>
    <w:rsid w:val="00807C4B"/>
    <w:rsid w:val="00811A57"/>
    <w:rsid w:val="00812558"/>
    <w:rsid w:val="0081281F"/>
    <w:rsid w:val="008163F3"/>
    <w:rsid w:val="0081790A"/>
    <w:rsid w:val="00822F44"/>
    <w:rsid w:val="00822FC0"/>
    <w:rsid w:val="00825350"/>
    <w:rsid w:val="008254B4"/>
    <w:rsid w:val="00826694"/>
    <w:rsid w:val="00831693"/>
    <w:rsid w:val="00831B96"/>
    <w:rsid w:val="00834CF3"/>
    <w:rsid w:val="00836615"/>
    <w:rsid w:val="0084092C"/>
    <w:rsid w:val="00840D91"/>
    <w:rsid w:val="00842226"/>
    <w:rsid w:val="00845610"/>
    <w:rsid w:val="008457B8"/>
    <w:rsid w:val="0084721E"/>
    <w:rsid w:val="00853080"/>
    <w:rsid w:val="00853703"/>
    <w:rsid w:val="00855BE7"/>
    <w:rsid w:val="008567B4"/>
    <w:rsid w:val="00856C95"/>
    <w:rsid w:val="008573A5"/>
    <w:rsid w:val="00860274"/>
    <w:rsid w:val="008619E2"/>
    <w:rsid w:val="008663A7"/>
    <w:rsid w:val="00866998"/>
    <w:rsid w:val="00866DE9"/>
    <w:rsid w:val="00866E9A"/>
    <w:rsid w:val="00866EC6"/>
    <w:rsid w:val="008677F3"/>
    <w:rsid w:val="008730D0"/>
    <w:rsid w:val="008755EB"/>
    <w:rsid w:val="00875763"/>
    <w:rsid w:val="00875954"/>
    <w:rsid w:val="00875F8F"/>
    <w:rsid w:val="00876266"/>
    <w:rsid w:val="00881A83"/>
    <w:rsid w:val="00881D4E"/>
    <w:rsid w:val="00881F7C"/>
    <w:rsid w:val="00882CD8"/>
    <w:rsid w:val="008848EE"/>
    <w:rsid w:val="008854EB"/>
    <w:rsid w:val="0088733C"/>
    <w:rsid w:val="008903D2"/>
    <w:rsid w:val="0089268A"/>
    <w:rsid w:val="008927FF"/>
    <w:rsid w:val="00892928"/>
    <w:rsid w:val="00892EFC"/>
    <w:rsid w:val="00893BE7"/>
    <w:rsid w:val="00894227"/>
    <w:rsid w:val="008947CE"/>
    <w:rsid w:val="00894A10"/>
    <w:rsid w:val="00896A18"/>
    <w:rsid w:val="00896A7F"/>
    <w:rsid w:val="0089711A"/>
    <w:rsid w:val="00897D71"/>
    <w:rsid w:val="008A2EF0"/>
    <w:rsid w:val="008A3441"/>
    <w:rsid w:val="008A49BA"/>
    <w:rsid w:val="008A62C1"/>
    <w:rsid w:val="008A6550"/>
    <w:rsid w:val="008A66CF"/>
    <w:rsid w:val="008A6C91"/>
    <w:rsid w:val="008B24B9"/>
    <w:rsid w:val="008B2B6F"/>
    <w:rsid w:val="008B5198"/>
    <w:rsid w:val="008B563C"/>
    <w:rsid w:val="008C027D"/>
    <w:rsid w:val="008C46C2"/>
    <w:rsid w:val="008C4728"/>
    <w:rsid w:val="008C6122"/>
    <w:rsid w:val="008C6EAB"/>
    <w:rsid w:val="008D021B"/>
    <w:rsid w:val="008D0FE8"/>
    <w:rsid w:val="008D2DFB"/>
    <w:rsid w:val="008D4119"/>
    <w:rsid w:val="008D52C7"/>
    <w:rsid w:val="008E060A"/>
    <w:rsid w:val="008E2D91"/>
    <w:rsid w:val="008E5C7D"/>
    <w:rsid w:val="008E5E4D"/>
    <w:rsid w:val="008F0116"/>
    <w:rsid w:val="008F0397"/>
    <w:rsid w:val="008F11F7"/>
    <w:rsid w:val="008F2C45"/>
    <w:rsid w:val="008F2D1A"/>
    <w:rsid w:val="008F42E2"/>
    <w:rsid w:val="008F5E6E"/>
    <w:rsid w:val="008F66F8"/>
    <w:rsid w:val="008F7FF3"/>
    <w:rsid w:val="00900C12"/>
    <w:rsid w:val="0090207B"/>
    <w:rsid w:val="00903C35"/>
    <w:rsid w:val="00905B62"/>
    <w:rsid w:val="00905C01"/>
    <w:rsid w:val="00906EB0"/>
    <w:rsid w:val="009072A8"/>
    <w:rsid w:val="00907CCB"/>
    <w:rsid w:val="00910A89"/>
    <w:rsid w:val="00910CF5"/>
    <w:rsid w:val="00910EC4"/>
    <w:rsid w:val="0091109F"/>
    <w:rsid w:val="0091214B"/>
    <w:rsid w:val="00912814"/>
    <w:rsid w:val="00912E2B"/>
    <w:rsid w:val="009136A6"/>
    <w:rsid w:val="0091407F"/>
    <w:rsid w:val="00914A84"/>
    <w:rsid w:val="009152C8"/>
    <w:rsid w:val="00917E7E"/>
    <w:rsid w:val="00922003"/>
    <w:rsid w:val="00922C8C"/>
    <w:rsid w:val="00922E8E"/>
    <w:rsid w:val="009234F8"/>
    <w:rsid w:val="00924A1F"/>
    <w:rsid w:val="00925078"/>
    <w:rsid w:val="00925FE1"/>
    <w:rsid w:val="00926FDA"/>
    <w:rsid w:val="00930319"/>
    <w:rsid w:val="00930469"/>
    <w:rsid w:val="00932286"/>
    <w:rsid w:val="00932440"/>
    <w:rsid w:val="0093342E"/>
    <w:rsid w:val="0093402D"/>
    <w:rsid w:val="009344DD"/>
    <w:rsid w:val="0093483A"/>
    <w:rsid w:val="00935E90"/>
    <w:rsid w:val="009368A7"/>
    <w:rsid w:val="00936CF3"/>
    <w:rsid w:val="00940AF8"/>
    <w:rsid w:val="00941C0E"/>
    <w:rsid w:val="00942285"/>
    <w:rsid w:val="009427F4"/>
    <w:rsid w:val="00944370"/>
    <w:rsid w:val="00945DCE"/>
    <w:rsid w:val="00947C12"/>
    <w:rsid w:val="00950DA8"/>
    <w:rsid w:val="00951C5A"/>
    <w:rsid w:val="00951F7A"/>
    <w:rsid w:val="00954898"/>
    <w:rsid w:val="00954CFF"/>
    <w:rsid w:val="00954FBE"/>
    <w:rsid w:val="00954FCE"/>
    <w:rsid w:val="0095516F"/>
    <w:rsid w:val="00957A4B"/>
    <w:rsid w:val="00957A9C"/>
    <w:rsid w:val="00960018"/>
    <w:rsid w:val="00960484"/>
    <w:rsid w:val="00962447"/>
    <w:rsid w:val="009630A9"/>
    <w:rsid w:val="00963214"/>
    <w:rsid w:val="0096519A"/>
    <w:rsid w:val="00965460"/>
    <w:rsid w:val="009654FE"/>
    <w:rsid w:val="0096696B"/>
    <w:rsid w:val="00966B0B"/>
    <w:rsid w:val="00971C8D"/>
    <w:rsid w:val="00971FFE"/>
    <w:rsid w:val="0097239A"/>
    <w:rsid w:val="009736C2"/>
    <w:rsid w:val="0097533D"/>
    <w:rsid w:val="00975A1D"/>
    <w:rsid w:val="009765D2"/>
    <w:rsid w:val="0097707A"/>
    <w:rsid w:val="00980069"/>
    <w:rsid w:val="009806B7"/>
    <w:rsid w:val="00980FDA"/>
    <w:rsid w:val="009812D6"/>
    <w:rsid w:val="00982EDA"/>
    <w:rsid w:val="00983223"/>
    <w:rsid w:val="00983C15"/>
    <w:rsid w:val="009844B1"/>
    <w:rsid w:val="00984B4D"/>
    <w:rsid w:val="00985841"/>
    <w:rsid w:val="00993DAE"/>
    <w:rsid w:val="0099401D"/>
    <w:rsid w:val="00994B16"/>
    <w:rsid w:val="00994E91"/>
    <w:rsid w:val="009952DD"/>
    <w:rsid w:val="00995730"/>
    <w:rsid w:val="00995DDA"/>
    <w:rsid w:val="00996EDC"/>
    <w:rsid w:val="0099763E"/>
    <w:rsid w:val="009A073D"/>
    <w:rsid w:val="009A3154"/>
    <w:rsid w:val="009A64E5"/>
    <w:rsid w:val="009A7780"/>
    <w:rsid w:val="009B498C"/>
    <w:rsid w:val="009B5D1C"/>
    <w:rsid w:val="009B6BC5"/>
    <w:rsid w:val="009B701E"/>
    <w:rsid w:val="009B7249"/>
    <w:rsid w:val="009B7755"/>
    <w:rsid w:val="009B7DC6"/>
    <w:rsid w:val="009C158B"/>
    <w:rsid w:val="009C30B4"/>
    <w:rsid w:val="009C3A4D"/>
    <w:rsid w:val="009C54D4"/>
    <w:rsid w:val="009C56F8"/>
    <w:rsid w:val="009C69E8"/>
    <w:rsid w:val="009D09AC"/>
    <w:rsid w:val="009D0A83"/>
    <w:rsid w:val="009D0E26"/>
    <w:rsid w:val="009D0FBA"/>
    <w:rsid w:val="009D488C"/>
    <w:rsid w:val="009D75EC"/>
    <w:rsid w:val="009E0F76"/>
    <w:rsid w:val="009E2A76"/>
    <w:rsid w:val="009E3E06"/>
    <w:rsid w:val="009E46CB"/>
    <w:rsid w:val="009E5AAC"/>
    <w:rsid w:val="009E6260"/>
    <w:rsid w:val="009F05A2"/>
    <w:rsid w:val="009F09A0"/>
    <w:rsid w:val="009F211C"/>
    <w:rsid w:val="009F2AC0"/>
    <w:rsid w:val="009F4912"/>
    <w:rsid w:val="009F4D80"/>
    <w:rsid w:val="00A00B94"/>
    <w:rsid w:val="00A02462"/>
    <w:rsid w:val="00A033D2"/>
    <w:rsid w:val="00A05B78"/>
    <w:rsid w:val="00A0764B"/>
    <w:rsid w:val="00A07886"/>
    <w:rsid w:val="00A10BE1"/>
    <w:rsid w:val="00A15A01"/>
    <w:rsid w:val="00A15F05"/>
    <w:rsid w:val="00A161FA"/>
    <w:rsid w:val="00A215D3"/>
    <w:rsid w:val="00A22762"/>
    <w:rsid w:val="00A22AEF"/>
    <w:rsid w:val="00A2336F"/>
    <w:rsid w:val="00A233C1"/>
    <w:rsid w:val="00A2477F"/>
    <w:rsid w:val="00A247A0"/>
    <w:rsid w:val="00A26284"/>
    <w:rsid w:val="00A26DE9"/>
    <w:rsid w:val="00A27497"/>
    <w:rsid w:val="00A30337"/>
    <w:rsid w:val="00A34F5C"/>
    <w:rsid w:val="00A350D4"/>
    <w:rsid w:val="00A35477"/>
    <w:rsid w:val="00A35579"/>
    <w:rsid w:val="00A3660D"/>
    <w:rsid w:val="00A37588"/>
    <w:rsid w:val="00A40138"/>
    <w:rsid w:val="00A40571"/>
    <w:rsid w:val="00A4364E"/>
    <w:rsid w:val="00A44AFD"/>
    <w:rsid w:val="00A476BB"/>
    <w:rsid w:val="00A50410"/>
    <w:rsid w:val="00A5060C"/>
    <w:rsid w:val="00A51B44"/>
    <w:rsid w:val="00A52D89"/>
    <w:rsid w:val="00A5489B"/>
    <w:rsid w:val="00A54E2A"/>
    <w:rsid w:val="00A553EA"/>
    <w:rsid w:val="00A554DA"/>
    <w:rsid w:val="00A57F5E"/>
    <w:rsid w:val="00A60CCA"/>
    <w:rsid w:val="00A611EB"/>
    <w:rsid w:val="00A61763"/>
    <w:rsid w:val="00A61CDE"/>
    <w:rsid w:val="00A66EBE"/>
    <w:rsid w:val="00A679D4"/>
    <w:rsid w:val="00A713C3"/>
    <w:rsid w:val="00A731EB"/>
    <w:rsid w:val="00A74262"/>
    <w:rsid w:val="00A80309"/>
    <w:rsid w:val="00A80BAE"/>
    <w:rsid w:val="00A80F2F"/>
    <w:rsid w:val="00A824F3"/>
    <w:rsid w:val="00A839A4"/>
    <w:rsid w:val="00A842B8"/>
    <w:rsid w:val="00A846D6"/>
    <w:rsid w:val="00A86573"/>
    <w:rsid w:val="00A87026"/>
    <w:rsid w:val="00A90577"/>
    <w:rsid w:val="00A91057"/>
    <w:rsid w:val="00A910E5"/>
    <w:rsid w:val="00A9406B"/>
    <w:rsid w:val="00A944BE"/>
    <w:rsid w:val="00A97F72"/>
    <w:rsid w:val="00AA003F"/>
    <w:rsid w:val="00AA0F4C"/>
    <w:rsid w:val="00AA4579"/>
    <w:rsid w:val="00AA6B2E"/>
    <w:rsid w:val="00AB26C8"/>
    <w:rsid w:val="00AB317B"/>
    <w:rsid w:val="00AB42C6"/>
    <w:rsid w:val="00AB4C7A"/>
    <w:rsid w:val="00AB51D9"/>
    <w:rsid w:val="00AB7776"/>
    <w:rsid w:val="00AB7893"/>
    <w:rsid w:val="00AC085B"/>
    <w:rsid w:val="00AC0899"/>
    <w:rsid w:val="00AC3FA2"/>
    <w:rsid w:val="00AC5BFE"/>
    <w:rsid w:val="00AC61FE"/>
    <w:rsid w:val="00AC64E7"/>
    <w:rsid w:val="00AC6FC6"/>
    <w:rsid w:val="00AD136F"/>
    <w:rsid w:val="00AD1796"/>
    <w:rsid w:val="00AD1D6B"/>
    <w:rsid w:val="00AD3AC3"/>
    <w:rsid w:val="00AD47B3"/>
    <w:rsid w:val="00AD53FB"/>
    <w:rsid w:val="00AD6774"/>
    <w:rsid w:val="00AD6F6A"/>
    <w:rsid w:val="00AD72D6"/>
    <w:rsid w:val="00AE1591"/>
    <w:rsid w:val="00AE1E60"/>
    <w:rsid w:val="00AE2840"/>
    <w:rsid w:val="00AE2E70"/>
    <w:rsid w:val="00AE346E"/>
    <w:rsid w:val="00AE438D"/>
    <w:rsid w:val="00AF0167"/>
    <w:rsid w:val="00AF066F"/>
    <w:rsid w:val="00AF1106"/>
    <w:rsid w:val="00AF11BE"/>
    <w:rsid w:val="00AF2723"/>
    <w:rsid w:val="00AF42F0"/>
    <w:rsid w:val="00AF5902"/>
    <w:rsid w:val="00B00082"/>
    <w:rsid w:val="00B00536"/>
    <w:rsid w:val="00B022A8"/>
    <w:rsid w:val="00B0278C"/>
    <w:rsid w:val="00B03F33"/>
    <w:rsid w:val="00B064EE"/>
    <w:rsid w:val="00B06E49"/>
    <w:rsid w:val="00B1036E"/>
    <w:rsid w:val="00B1052E"/>
    <w:rsid w:val="00B109C5"/>
    <w:rsid w:val="00B11788"/>
    <w:rsid w:val="00B11EA3"/>
    <w:rsid w:val="00B13653"/>
    <w:rsid w:val="00B13C32"/>
    <w:rsid w:val="00B162CC"/>
    <w:rsid w:val="00B17686"/>
    <w:rsid w:val="00B20C88"/>
    <w:rsid w:val="00B20F88"/>
    <w:rsid w:val="00B21C92"/>
    <w:rsid w:val="00B24511"/>
    <w:rsid w:val="00B25A69"/>
    <w:rsid w:val="00B2664D"/>
    <w:rsid w:val="00B27D08"/>
    <w:rsid w:val="00B327BE"/>
    <w:rsid w:val="00B3501A"/>
    <w:rsid w:val="00B36244"/>
    <w:rsid w:val="00B3723A"/>
    <w:rsid w:val="00B37B77"/>
    <w:rsid w:val="00B448E0"/>
    <w:rsid w:val="00B473EC"/>
    <w:rsid w:val="00B50020"/>
    <w:rsid w:val="00B50258"/>
    <w:rsid w:val="00B50FCD"/>
    <w:rsid w:val="00B52025"/>
    <w:rsid w:val="00B6080A"/>
    <w:rsid w:val="00B6085B"/>
    <w:rsid w:val="00B61F03"/>
    <w:rsid w:val="00B625DF"/>
    <w:rsid w:val="00B63AC5"/>
    <w:rsid w:val="00B64CF2"/>
    <w:rsid w:val="00B721B6"/>
    <w:rsid w:val="00B74645"/>
    <w:rsid w:val="00B74C49"/>
    <w:rsid w:val="00B76A91"/>
    <w:rsid w:val="00B76CD7"/>
    <w:rsid w:val="00B76EEB"/>
    <w:rsid w:val="00B7711B"/>
    <w:rsid w:val="00B7725E"/>
    <w:rsid w:val="00B82C77"/>
    <w:rsid w:val="00B8452F"/>
    <w:rsid w:val="00B849EF"/>
    <w:rsid w:val="00B84B69"/>
    <w:rsid w:val="00B86421"/>
    <w:rsid w:val="00B90759"/>
    <w:rsid w:val="00B90E48"/>
    <w:rsid w:val="00B916B9"/>
    <w:rsid w:val="00B939CE"/>
    <w:rsid w:val="00B9468F"/>
    <w:rsid w:val="00B95FEC"/>
    <w:rsid w:val="00B9665E"/>
    <w:rsid w:val="00BA009E"/>
    <w:rsid w:val="00BA04DF"/>
    <w:rsid w:val="00BA1199"/>
    <w:rsid w:val="00BA1328"/>
    <w:rsid w:val="00BA2FAD"/>
    <w:rsid w:val="00BA3C23"/>
    <w:rsid w:val="00BA59A6"/>
    <w:rsid w:val="00BA7584"/>
    <w:rsid w:val="00BB032B"/>
    <w:rsid w:val="00BB0EF8"/>
    <w:rsid w:val="00BB66D4"/>
    <w:rsid w:val="00BC3570"/>
    <w:rsid w:val="00BC380F"/>
    <w:rsid w:val="00BC38E6"/>
    <w:rsid w:val="00BC4730"/>
    <w:rsid w:val="00BC5042"/>
    <w:rsid w:val="00BC6956"/>
    <w:rsid w:val="00BC732C"/>
    <w:rsid w:val="00BD04AA"/>
    <w:rsid w:val="00BD144D"/>
    <w:rsid w:val="00BD2BB7"/>
    <w:rsid w:val="00BD332E"/>
    <w:rsid w:val="00BD371A"/>
    <w:rsid w:val="00BD4EC0"/>
    <w:rsid w:val="00BD532C"/>
    <w:rsid w:val="00BD5FE2"/>
    <w:rsid w:val="00BE18A6"/>
    <w:rsid w:val="00BE1CC9"/>
    <w:rsid w:val="00BE23A9"/>
    <w:rsid w:val="00BE256E"/>
    <w:rsid w:val="00BE300B"/>
    <w:rsid w:val="00BE32FA"/>
    <w:rsid w:val="00BE5550"/>
    <w:rsid w:val="00BF12C4"/>
    <w:rsid w:val="00BF1305"/>
    <w:rsid w:val="00BF1863"/>
    <w:rsid w:val="00BF26BD"/>
    <w:rsid w:val="00BF5608"/>
    <w:rsid w:val="00C014F5"/>
    <w:rsid w:val="00C0358B"/>
    <w:rsid w:val="00C039DC"/>
    <w:rsid w:val="00C047CC"/>
    <w:rsid w:val="00C05F17"/>
    <w:rsid w:val="00C068E1"/>
    <w:rsid w:val="00C0768C"/>
    <w:rsid w:val="00C10EFA"/>
    <w:rsid w:val="00C112B1"/>
    <w:rsid w:val="00C11D7A"/>
    <w:rsid w:val="00C120C9"/>
    <w:rsid w:val="00C12E45"/>
    <w:rsid w:val="00C14EBF"/>
    <w:rsid w:val="00C15379"/>
    <w:rsid w:val="00C15AE6"/>
    <w:rsid w:val="00C15E00"/>
    <w:rsid w:val="00C21201"/>
    <w:rsid w:val="00C2516E"/>
    <w:rsid w:val="00C26ABF"/>
    <w:rsid w:val="00C301DA"/>
    <w:rsid w:val="00C30F64"/>
    <w:rsid w:val="00C32DD7"/>
    <w:rsid w:val="00C35BEF"/>
    <w:rsid w:val="00C35FCF"/>
    <w:rsid w:val="00C36F7A"/>
    <w:rsid w:val="00C370B1"/>
    <w:rsid w:val="00C370FE"/>
    <w:rsid w:val="00C376BB"/>
    <w:rsid w:val="00C404AB"/>
    <w:rsid w:val="00C40C52"/>
    <w:rsid w:val="00C42100"/>
    <w:rsid w:val="00C423A7"/>
    <w:rsid w:val="00C44C48"/>
    <w:rsid w:val="00C458FE"/>
    <w:rsid w:val="00C45FFD"/>
    <w:rsid w:val="00C4729D"/>
    <w:rsid w:val="00C50173"/>
    <w:rsid w:val="00C51B84"/>
    <w:rsid w:val="00C54429"/>
    <w:rsid w:val="00C54940"/>
    <w:rsid w:val="00C56C10"/>
    <w:rsid w:val="00C6026B"/>
    <w:rsid w:val="00C60288"/>
    <w:rsid w:val="00C61AF9"/>
    <w:rsid w:val="00C61C66"/>
    <w:rsid w:val="00C61DEB"/>
    <w:rsid w:val="00C6238C"/>
    <w:rsid w:val="00C635FA"/>
    <w:rsid w:val="00C64E69"/>
    <w:rsid w:val="00C66C0E"/>
    <w:rsid w:val="00C675EB"/>
    <w:rsid w:val="00C726E9"/>
    <w:rsid w:val="00C734DE"/>
    <w:rsid w:val="00C75772"/>
    <w:rsid w:val="00C8185E"/>
    <w:rsid w:val="00C822A0"/>
    <w:rsid w:val="00C833A4"/>
    <w:rsid w:val="00C8694E"/>
    <w:rsid w:val="00C86988"/>
    <w:rsid w:val="00C92F97"/>
    <w:rsid w:val="00C93960"/>
    <w:rsid w:val="00C94369"/>
    <w:rsid w:val="00C94BE4"/>
    <w:rsid w:val="00C961AD"/>
    <w:rsid w:val="00CA1387"/>
    <w:rsid w:val="00CA166E"/>
    <w:rsid w:val="00CA17EF"/>
    <w:rsid w:val="00CA468F"/>
    <w:rsid w:val="00CA4F70"/>
    <w:rsid w:val="00CA75E0"/>
    <w:rsid w:val="00CB0C20"/>
    <w:rsid w:val="00CB0D15"/>
    <w:rsid w:val="00CB45CC"/>
    <w:rsid w:val="00CB5064"/>
    <w:rsid w:val="00CB527E"/>
    <w:rsid w:val="00CB77AE"/>
    <w:rsid w:val="00CC65B2"/>
    <w:rsid w:val="00CD013F"/>
    <w:rsid w:val="00CD0BED"/>
    <w:rsid w:val="00CD1780"/>
    <w:rsid w:val="00CD28C3"/>
    <w:rsid w:val="00CD3B97"/>
    <w:rsid w:val="00CD453F"/>
    <w:rsid w:val="00CD4641"/>
    <w:rsid w:val="00CE4E83"/>
    <w:rsid w:val="00CE5EAE"/>
    <w:rsid w:val="00CE5F61"/>
    <w:rsid w:val="00CE6C24"/>
    <w:rsid w:val="00CE7690"/>
    <w:rsid w:val="00CF0674"/>
    <w:rsid w:val="00CF2DA2"/>
    <w:rsid w:val="00CF6176"/>
    <w:rsid w:val="00CF6E67"/>
    <w:rsid w:val="00D00309"/>
    <w:rsid w:val="00D01A24"/>
    <w:rsid w:val="00D01AC2"/>
    <w:rsid w:val="00D03C1A"/>
    <w:rsid w:val="00D04BC1"/>
    <w:rsid w:val="00D067FA"/>
    <w:rsid w:val="00D0772A"/>
    <w:rsid w:val="00D11BE7"/>
    <w:rsid w:val="00D13598"/>
    <w:rsid w:val="00D13CA5"/>
    <w:rsid w:val="00D15250"/>
    <w:rsid w:val="00D16253"/>
    <w:rsid w:val="00D1656F"/>
    <w:rsid w:val="00D17F77"/>
    <w:rsid w:val="00D20F34"/>
    <w:rsid w:val="00D248D0"/>
    <w:rsid w:val="00D257CD"/>
    <w:rsid w:val="00D321E0"/>
    <w:rsid w:val="00D34575"/>
    <w:rsid w:val="00D36C7F"/>
    <w:rsid w:val="00D36D9B"/>
    <w:rsid w:val="00D40CE0"/>
    <w:rsid w:val="00D4119A"/>
    <w:rsid w:val="00D41F17"/>
    <w:rsid w:val="00D425FE"/>
    <w:rsid w:val="00D42881"/>
    <w:rsid w:val="00D4537F"/>
    <w:rsid w:val="00D5065F"/>
    <w:rsid w:val="00D5558F"/>
    <w:rsid w:val="00D55653"/>
    <w:rsid w:val="00D55CE2"/>
    <w:rsid w:val="00D64918"/>
    <w:rsid w:val="00D65FED"/>
    <w:rsid w:val="00D66F65"/>
    <w:rsid w:val="00D675F1"/>
    <w:rsid w:val="00D67AF9"/>
    <w:rsid w:val="00D70AE8"/>
    <w:rsid w:val="00D7159B"/>
    <w:rsid w:val="00D71BC7"/>
    <w:rsid w:val="00D71EDD"/>
    <w:rsid w:val="00D72E4A"/>
    <w:rsid w:val="00D72F95"/>
    <w:rsid w:val="00D735F9"/>
    <w:rsid w:val="00D73C6D"/>
    <w:rsid w:val="00D7599A"/>
    <w:rsid w:val="00D77D29"/>
    <w:rsid w:val="00D77F8C"/>
    <w:rsid w:val="00D81D42"/>
    <w:rsid w:val="00D820F5"/>
    <w:rsid w:val="00D82A8D"/>
    <w:rsid w:val="00D83660"/>
    <w:rsid w:val="00D83C37"/>
    <w:rsid w:val="00D87566"/>
    <w:rsid w:val="00D918AF"/>
    <w:rsid w:val="00D9280C"/>
    <w:rsid w:val="00D93A09"/>
    <w:rsid w:val="00D94835"/>
    <w:rsid w:val="00D94BAA"/>
    <w:rsid w:val="00D94F1D"/>
    <w:rsid w:val="00DA0227"/>
    <w:rsid w:val="00DA060B"/>
    <w:rsid w:val="00DA54E4"/>
    <w:rsid w:val="00DA5791"/>
    <w:rsid w:val="00DA58CD"/>
    <w:rsid w:val="00DB058A"/>
    <w:rsid w:val="00DB26FF"/>
    <w:rsid w:val="00DB548E"/>
    <w:rsid w:val="00DB681C"/>
    <w:rsid w:val="00DB7EA2"/>
    <w:rsid w:val="00DC04C0"/>
    <w:rsid w:val="00DC0CC6"/>
    <w:rsid w:val="00DC2664"/>
    <w:rsid w:val="00DC2C00"/>
    <w:rsid w:val="00DC7117"/>
    <w:rsid w:val="00DC764F"/>
    <w:rsid w:val="00DD2EA3"/>
    <w:rsid w:val="00DD4935"/>
    <w:rsid w:val="00DD5ED2"/>
    <w:rsid w:val="00DD70AF"/>
    <w:rsid w:val="00DE15B8"/>
    <w:rsid w:val="00DE1E1A"/>
    <w:rsid w:val="00DE230C"/>
    <w:rsid w:val="00DE359F"/>
    <w:rsid w:val="00DF0C13"/>
    <w:rsid w:val="00DF1C2F"/>
    <w:rsid w:val="00DF1F29"/>
    <w:rsid w:val="00DF43BD"/>
    <w:rsid w:val="00DF4A73"/>
    <w:rsid w:val="00DF74A5"/>
    <w:rsid w:val="00DF7C58"/>
    <w:rsid w:val="00E00926"/>
    <w:rsid w:val="00E01651"/>
    <w:rsid w:val="00E01A5A"/>
    <w:rsid w:val="00E031A8"/>
    <w:rsid w:val="00E04A1A"/>
    <w:rsid w:val="00E075A9"/>
    <w:rsid w:val="00E07772"/>
    <w:rsid w:val="00E07EFE"/>
    <w:rsid w:val="00E157AB"/>
    <w:rsid w:val="00E16BD0"/>
    <w:rsid w:val="00E20601"/>
    <w:rsid w:val="00E238D1"/>
    <w:rsid w:val="00E24160"/>
    <w:rsid w:val="00E24311"/>
    <w:rsid w:val="00E251AC"/>
    <w:rsid w:val="00E254B0"/>
    <w:rsid w:val="00E266C9"/>
    <w:rsid w:val="00E27766"/>
    <w:rsid w:val="00E33036"/>
    <w:rsid w:val="00E335B3"/>
    <w:rsid w:val="00E33E30"/>
    <w:rsid w:val="00E34496"/>
    <w:rsid w:val="00E37FD0"/>
    <w:rsid w:val="00E41FE7"/>
    <w:rsid w:val="00E4223B"/>
    <w:rsid w:val="00E42489"/>
    <w:rsid w:val="00E44522"/>
    <w:rsid w:val="00E46AE2"/>
    <w:rsid w:val="00E47678"/>
    <w:rsid w:val="00E476FF"/>
    <w:rsid w:val="00E507A6"/>
    <w:rsid w:val="00E53534"/>
    <w:rsid w:val="00E54202"/>
    <w:rsid w:val="00E55F6B"/>
    <w:rsid w:val="00E56AA5"/>
    <w:rsid w:val="00E57797"/>
    <w:rsid w:val="00E606E5"/>
    <w:rsid w:val="00E61B35"/>
    <w:rsid w:val="00E61BCA"/>
    <w:rsid w:val="00E6223D"/>
    <w:rsid w:val="00E63712"/>
    <w:rsid w:val="00E648B9"/>
    <w:rsid w:val="00E66000"/>
    <w:rsid w:val="00E663FB"/>
    <w:rsid w:val="00E7093C"/>
    <w:rsid w:val="00E741E3"/>
    <w:rsid w:val="00E75384"/>
    <w:rsid w:val="00E75FC1"/>
    <w:rsid w:val="00E80052"/>
    <w:rsid w:val="00E81DC9"/>
    <w:rsid w:val="00E854ED"/>
    <w:rsid w:val="00E85682"/>
    <w:rsid w:val="00E85C28"/>
    <w:rsid w:val="00E863EA"/>
    <w:rsid w:val="00E868A0"/>
    <w:rsid w:val="00E86C20"/>
    <w:rsid w:val="00E90E1F"/>
    <w:rsid w:val="00E91916"/>
    <w:rsid w:val="00E91C77"/>
    <w:rsid w:val="00E92A24"/>
    <w:rsid w:val="00E92D37"/>
    <w:rsid w:val="00E932B3"/>
    <w:rsid w:val="00E93A9C"/>
    <w:rsid w:val="00E943C9"/>
    <w:rsid w:val="00E94D89"/>
    <w:rsid w:val="00E958D1"/>
    <w:rsid w:val="00EA0CEB"/>
    <w:rsid w:val="00EA138E"/>
    <w:rsid w:val="00EA3E09"/>
    <w:rsid w:val="00EA5D80"/>
    <w:rsid w:val="00EA6103"/>
    <w:rsid w:val="00EA636D"/>
    <w:rsid w:val="00EA6C18"/>
    <w:rsid w:val="00EB2C90"/>
    <w:rsid w:val="00EB2F82"/>
    <w:rsid w:val="00EB512F"/>
    <w:rsid w:val="00EB5159"/>
    <w:rsid w:val="00EB5C32"/>
    <w:rsid w:val="00EB727F"/>
    <w:rsid w:val="00EB7F2C"/>
    <w:rsid w:val="00EC08CD"/>
    <w:rsid w:val="00EC0ECC"/>
    <w:rsid w:val="00EC19C2"/>
    <w:rsid w:val="00EC1F06"/>
    <w:rsid w:val="00EC2A64"/>
    <w:rsid w:val="00EC457F"/>
    <w:rsid w:val="00EC4E12"/>
    <w:rsid w:val="00EC55B6"/>
    <w:rsid w:val="00EC574E"/>
    <w:rsid w:val="00EC586B"/>
    <w:rsid w:val="00EC5911"/>
    <w:rsid w:val="00EC76B0"/>
    <w:rsid w:val="00ED13F4"/>
    <w:rsid w:val="00EE0787"/>
    <w:rsid w:val="00EE1DA4"/>
    <w:rsid w:val="00EE3011"/>
    <w:rsid w:val="00EE319E"/>
    <w:rsid w:val="00EE51FE"/>
    <w:rsid w:val="00EE5CAA"/>
    <w:rsid w:val="00EE73A3"/>
    <w:rsid w:val="00EE74E3"/>
    <w:rsid w:val="00EE7ED9"/>
    <w:rsid w:val="00EF2291"/>
    <w:rsid w:val="00EF24B2"/>
    <w:rsid w:val="00EF2D1F"/>
    <w:rsid w:val="00EF3C38"/>
    <w:rsid w:val="00EF40E1"/>
    <w:rsid w:val="00EF473F"/>
    <w:rsid w:val="00F00D8A"/>
    <w:rsid w:val="00F01374"/>
    <w:rsid w:val="00F02993"/>
    <w:rsid w:val="00F04F44"/>
    <w:rsid w:val="00F06249"/>
    <w:rsid w:val="00F11551"/>
    <w:rsid w:val="00F11B0A"/>
    <w:rsid w:val="00F11C12"/>
    <w:rsid w:val="00F12900"/>
    <w:rsid w:val="00F13725"/>
    <w:rsid w:val="00F1380F"/>
    <w:rsid w:val="00F14781"/>
    <w:rsid w:val="00F14D6C"/>
    <w:rsid w:val="00F1581E"/>
    <w:rsid w:val="00F20A06"/>
    <w:rsid w:val="00F21C30"/>
    <w:rsid w:val="00F26599"/>
    <w:rsid w:val="00F27098"/>
    <w:rsid w:val="00F30355"/>
    <w:rsid w:val="00F34D60"/>
    <w:rsid w:val="00F34D62"/>
    <w:rsid w:val="00F355D8"/>
    <w:rsid w:val="00F37560"/>
    <w:rsid w:val="00F40CE8"/>
    <w:rsid w:val="00F430AE"/>
    <w:rsid w:val="00F44805"/>
    <w:rsid w:val="00F4508B"/>
    <w:rsid w:val="00F465B5"/>
    <w:rsid w:val="00F5269D"/>
    <w:rsid w:val="00F55C3C"/>
    <w:rsid w:val="00F567E9"/>
    <w:rsid w:val="00F569DC"/>
    <w:rsid w:val="00F574C2"/>
    <w:rsid w:val="00F60B98"/>
    <w:rsid w:val="00F60BE8"/>
    <w:rsid w:val="00F626E4"/>
    <w:rsid w:val="00F6338F"/>
    <w:rsid w:val="00F63456"/>
    <w:rsid w:val="00F6431E"/>
    <w:rsid w:val="00F677C1"/>
    <w:rsid w:val="00F70828"/>
    <w:rsid w:val="00F71300"/>
    <w:rsid w:val="00F716F9"/>
    <w:rsid w:val="00F71CE4"/>
    <w:rsid w:val="00F73F0E"/>
    <w:rsid w:val="00F77893"/>
    <w:rsid w:val="00F8037A"/>
    <w:rsid w:val="00F80F77"/>
    <w:rsid w:val="00F816C1"/>
    <w:rsid w:val="00F82EE9"/>
    <w:rsid w:val="00F83582"/>
    <w:rsid w:val="00F84A04"/>
    <w:rsid w:val="00F853B1"/>
    <w:rsid w:val="00F866C4"/>
    <w:rsid w:val="00F86EDF"/>
    <w:rsid w:val="00F875AC"/>
    <w:rsid w:val="00F91A2F"/>
    <w:rsid w:val="00F923DC"/>
    <w:rsid w:val="00F94250"/>
    <w:rsid w:val="00F96AE9"/>
    <w:rsid w:val="00FA03A1"/>
    <w:rsid w:val="00FA1CDF"/>
    <w:rsid w:val="00FB08CA"/>
    <w:rsid w:val="00FB0A8C"/>
    <w:rsid w:val="00FB2964"/>
    <w:rsid w:val="00FB5065"/>
    <w:rsid w:val="00FB5DD1"/>
    <w:rsid w:val="00FB601A"/>
    <w:rsid w:val="00FB7805"/>
    <w:rsid w:val="00FB7F93"/>
    <w:rsid w:val="00FC0359"/>
    <w:rsid w:val="00FC177D"/>
    <w:rsid w:val="00FC1ED1"/>
    <w:rsid w:val="00FC6690"/>
    <w:rsid w:val="00FD3490"/>
    <w:rsid w:val="00FD37B7"/>
    <w:rsid w:val="00FD4577"/>
    <w:rsid w:val="00FD60AF"/>
    <w:rsid w:val="00FD6877"/>
    <w:rsid w:val="00FD7E8C"/>
    <w:rsid w:val="00FE0212"/>
    <w:rsid w:val="00FE1576"/>
    <w:rsid w:val="00FE354A"/>
    <w:rsid w:val="00FE383F"/>
    <w:rsid w:val="00FE471A"/>
    <w:rsid w:val="00FE5043"/>
    <w:rsid w:val="00FE7CCB"/>
    <w:rsid w:val="00FF2D72"/>
    <w:rsid w:val="00FF3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9C1338E-D5FF-471E-85D5-40716DA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4A"/>
    <w:rPr>
      <w:sz w:val="24"/>
    </w:rPr>
  </w:style>
  <w:style w:type="paragraph" w:styleId="Heading1">
    <w:name w:val="heading 1"/>
    <w:basedOn w:val="Normal"/>
    <w:next w:val="Normal"/>
    <w:link w:val="Heading1Char"/>
    <w:uiPriority w:val="9"/>
    <w:qFormat/>
    <w:rsid w:val="00F70828"/>
    <w:pPr>
      <w:keepNext/>
      <w:keepLines/>
      <w:spacing w:before="320" w:after="0" w:line="240" w:lineRule="auto"/>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046386"/>
    <w:pPr>
      <w:keepNext/>
      <w:keepLines/>
      <w:spacing w:before="240" w:line="240" w:lineRule="auto"/>
      <w:outlineLvl w:val="1"/>
    </w:pPr>
    <w:rPr>
      <w:rFonts w:asciiTheme="majorHAnsi" w:eastAsiaTheme="majorEastAsia" w:hAnsiTheme="majorHAnsi" w:cstheme="majorBidi"/>
      <w:color w:val="2E74B5" w:themeColor="accent1" w:themeShade="BF"/>
      <w:sz w:val="32"/>
      <w:szCs w:val="28"/>
    </w:rPr>
  </w:style>
  <w:style w:type="paragraph" w:styleId="Heading3">
    <w:name w:val="heading 3"/>
    <w:basedOn w:val="Normal"/>
    <w:next w:val="Normal"/>
    <w:link w:val="Heading3Char"/>
    <w:uiPriority w:val="9"/>
    <w:unhideWhenUsed/>
    <w:qFormat/>
    <w:rsid w:val="008A49BA"/>
    <w:pPr>
      <w:keepNext/>
      <w:keepLines/>
      <w:spacing w:before="40" w:after="0" w:line="240" w:lineRule="auto"/>
      <w:outlineLvl w:val="2"/>
    </w:pPr>
    <w:rPr>
      <w:rFonts w:asciiTheme="majorHAnsi" w:eastAsiaTheme="majorEastAsia" w:hAnsiTheme="majorHAnsi" w:cstheme="majorBidi"/>
      <w:color w:val="2E74B5" w:themeColor="accent1" w:themeShade="BF"/>
      <w:szCs w:val="24"/>
    </w:rPr>
  </w:style>
  <w:style w:type="paragraph" w:styleId="Heading4">
    <w:name w:val="heading 4"/>
    <w:basedOn w:val="Normal"/>
    <w:next w:val="Normal"/>
    <w:link w:val="Heading4Char"/>
    <w:uiPriority w:val="9"/>
    <w:semiHidden/>
    <w:unhideWhenUsed/>
    <w:qFormat/>
    <w:rsid w:val="00C61C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61C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61C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61C6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61C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61C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66"/>
    <w:rPr>
      <w:rFonts w:asciiTheme="majorHAnsi" w:eastAsiaTheme="majorEastAsia" w:hAnsiTheme="majorHAnsi" w:cstheme="majorBidi"/>
      <w:b/>
      <w:color w:val="2E74B5" w:themeColor="accent1" w:themeShade="BF"/>
      <w:sz w:val="40"/>
      <w:szCs w:val="32"/>
    </w:rPr>
  </w:style>
  <w:style w:type="character" w:customStyle="1" w:styleId="Heading2Char">
    <w:name w:val="Heading 2 Char"/>
    <w:basedOn w:val="DefaultParagraphFont"/>
    <w:link w:val="Heading2"/>
    <w:uiPriority w:val="9"/>
    <w:rsid w:val="00046386"/>
    <w:rPr>
      <w:rFonts w:asciiTheme="majorHAnsi" w:eastAsiaTheme="majorEastAsia" w:hAnsiTheme="majorHAnsi" w:cstheme="majorBidi"/>
      <w:color w:val="2E74B5" w:themeColor="accent1" w:themeShade="BF"/>
      <w:sz w:val="32"/>
      <w:szCs w:val="28"/>
    </w:rPr>
  </w:style>
  <w:style w:type="character" w:customStyle="1" w:styleId="Heading3Char">
    <w:name w:val="Heading 3 Char"/>
    <w:basedOn w:val="DefaultParagraphFont"/>
    <w:link w:val="Heading3"/>
    <w:uiPriority w:val="9"/>
    <w:rsid w:val="00C61C6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C61C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61C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61C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61C6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61C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61C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61C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9406B"/>
    <w:pPr>
      <w:spacing w:before="4000" w:after="4800"/>
    </w:pPr>
    <w:rPr>
      <w:color w:val="5B9BD5" w:themeColor="accent1"/>
      <w:sz w:val="52"/>
      <w:szCs w:val="64"/>
    </w:rPr>
  </w:style>
  <w:style w:type="character" w:customStyle="1" w:styleId="TitleChar">
    <w:name w:val="Title Char"/>
    <w:basedOn w:val="DefaultParagraphFont"/>
    <w:link w:val="Title"/>
    <w:uiPriority w:val="10"/>
    <w:rsid w:val="00A9406B"/>
    <w:rPr>
      <w:color w:val="5B9BD5" w:themeColor="accent1"/>
      <w:sz w:val="52"/>
      <w:szCs w:val="64"/>
    </w:rPr>
  </w:style>
  <w:style w:type="paragraph" w:styleId="Subtitle">
    <w:name w:val="Subtitle"/>
    <w:basedOn w:val="NoSpacing"/>
    <w:next w:val="Normal"/>
    <w:link w:val="SubtitleChar"/>
    <w:uiPriority w:val="11"/>
    <w:qFormat/>
    <w:rsid w:val="00A9406B"/>
    <w:pPr>
      <w:spacing w:before="4800"/>
      <w:jc w:val="right"/>
    </w:pPr>
    <w:rPr>
      <w:b/>
      <w:color w:val="000000" w:themeColor="text1"/>
      <w:sz w:val="40"/>
      <w:szCs w:val="40"/>
    </w:rPr>
  </w:style>
  <w:style w:type="character" w:customStyle="1" w:styleId="SubtitleChar">
    <w:name w:val="Subtitle Char"/>
    <w:basedOn w:val="DefaultParagraphFont"/>
    <w:link w:val="Subtitle"/>
    <w:uiPriority w:val="11"/>
    <w:rsid w:val="00A9406B"/>
    <w:rPr>
      <w:b/>
      <w:color w:val="000000" w:themeColor="text1"/>
      <w:sz w:val="40"/>
      <w:szCs w:val="40"/>
    </w:rPr>
  </w:style>
  <w:style w:type="character" w:styleId="Strong">
    <w:name w:val="Strong"/>
    <w:basedOn w:val="DefaultParagraphFont"/>
    <w:uiPriority w:val="22"/>
    <w:qFormat/>
    <w:rsid w:val="00C61C66"/>
    <w:rPr>
      <w:b/>
      <w:bCs/>
    </w:rPr>
  </w:style>
  <w:style w:type="character" w:styleId="Emphasis">
    <w:name w:val="Emphasis"/>
    <w:basedOn w:val="DefaultParagraphFont"/>
    <w:uiPriority w:val="20"/>
    <w:qFormat/>
    <w:rsid w:val="00C61C66"/>
    <w:rPr>
      <w:i/>
      <w:iCs/>
    </w:rPr>
  </w:style>
  <w:style w:type="paragraph" w:styleId="NoSpacing">
    <w:name w:val="No Spacing"/>
    <w:link w:val="NoSpacingChar"/>
    <w:uiPriority w:val="1"/>
    <w:qFormat/>
    <w:rsid w:val="00C61C66"/>
    <w:pPr>
      <w:spacing w:after="0" w:line="240" w:lineRule="auto"/>
    </w:pPr>
  </w:style>
  <w:style w:type="paragraph" w:styleId="Quote">
    <w:name w:val="Quote"/>
    <w:basedOn w:val="Normal"/>
    <w:next w:val="Normal"/>
    <w:link w:val="QuoteChar"/>
    <w:uiPriority w:val="29"/>
    <w:qFormat/>
    <w:rsid w:val="00C61C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61C66"/>
    <w:rPr>
      <w:i/>
      <w:iCs/>
      <w:color w:val="404040" w:themeColor="text1" w:themeTint="BF"/>
    </w:rPr>
  </w:style>
  <w:style w:type="paragraph" w:styleId="IntenseQuote">
    <w:name w:val="Intense Quote"/>
    <w:basedOn w:val="Normal"/>
    <w:next w:val="Normal"/>
    <w:link w:val="IntenseQuoteChar"/>
    <w:uiPriority w:val="30"/>
    <w:qFormat/>
    <w:rsid w:val="00C61C6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61C6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61C66"/>
    <w:rPr>
      <w:i/>
      <w:iCs/>
      <w:color w:val="404040" w:themeColor="text1" w:themeTint="BF"/>
    </w:rPr>
  </w:style>
  <w:style w:type="character" w:styleId="IntenseEmphasis">
    <w:name w:val="Intense Emphasis"/>
    <w:basedOn w:val="DefaultParagraphFont"/>
    <w:uiPriority w:val="21"/>
    <w:qFormat/>
    <w:rsid w:val="00C61C66"/>
    <w:rPr>
      <w:b/>
      <w:bCs/>
      <w:i/>
      <w:iCs/>
    </w:rPr>
  </w:style>
  <w:style w:type="character" w:styleId="SubtleReference">
    <w:name w:val="Subtle Reference"/>
    <w:basedOn w:val="DefaultParagraphFont"/>
    <w:uiPriority w:val="31"/>
    <w:qFormat/>
    <w:rsid w:val="00C61C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1C66"/>
    <w:rPr>
      <w:b/>
      <w:bCs/>
      <w:smallCaps/>
      <w:spacing w:val="5"/>
      <w:u w:val="single"/>
    </w:rPr>
  </w:style>
  <w:style w:type="character" w:styleId="BookTitle">
    <w:name w:val="Book Title"/>
    <w:basedOn w:val="DefaultParagraphFont"/>
    <w:uiPriority w:val="33"/>
    <w:qFormat/>
    <w:rsid w:val="00C61C66"/>
    <w:rPr>
      <w:b/>
      <w:bCs/>
      <w:smallCaps/>
    </w:rPr>
  </w:style>
  <w:style w:type="paragraph" w:styleId="TOCHeading">
    <w:name w:val="TOC Heading"/>
    <w:basedOn w:val="Heading1"/>
    <w:next w:val="Normal"/>
    <w:uiPriority w:val="39"/>
    <w:unhideWhenUsed/>
    <w:qFormat/>
    <w:rsid w:val="00C61C66"/>
    <w:pPr>
      <w:outlineLvl w:val="9"/>
    </w:pPr>
  </w:style>
  <w:style w:type="paragraph" w:styleId="ListParagraph">
    <w:name w:val="List Paragraph"/>
    <w:aliases w:val="dot point 1,Recommendation,List Paragraph1,List Paragraph11,L,#List Paragraph"/>
    <w:basedOn w:val="Normal"/>
    <w:link w:val="ListParagraphChar"/>
    <w:uiPriority w:val="34"/>
    <w:qFormat/>
    <w:rsid w:val="00C61C66"/>
    <w:pPr>
      <w:ind w:left="720"/>
      <w:contextualSpacing/>
    </w:pPr>
  </w:style>
  <w:style w:type="paragraph" w:styleId="TOC2">
    <w:name w:val="toc 2"/>
    <w:basedOn w:val="Normal"/>
    <w:next w:val="Normal"/>
    <w:autoRedefine/>
    <w:uiPriority w:val="39"/>
    <w:unhideWhenUsed/>
    <w:rsid w:val="004223C3"/>
    <w:pPr>
      <w:spacing w:after="100"/>
      <w:ind w:left="200"/>
    </w:pPr>
  </w:style>
  <w:style w:type="paragraph" w:styleId="TOC1">
    <w:name w:val="toc 1"/>
    <w:basedOn w:val="Normal"/>
    <w:next w:val="Normal"/>
    <w:autoRedefine/>
    <w:uiPriority w:val="39"/>
    <w:unhideWhenUsed/>
    <w:rsid w:val="004223C3"/>
    <w:pPr>
      <w:spacing w:after="100"/>
    </w:pPr>
  </w:style>
  <w:style w:type="paragraph" w:styleId="TOC3">
    <w:name w:val="toc 3"/>
    <w:basedOn w:val="Normal"/>
    <w:next w:val="Normal"/>
    <w:autoRedefine/>
    <w:uiPriority w:val="39"/>
    <w:unhideWhenUsed/>
    <w:rsid w:val="004223C3"/>
    <w:pPr>
      <w:spacing w:after="100"/>
      <w:ind w:left="400"/>
    </w:pPr>
  </w:style>
  <w:style w:type="character" w:styleId="Hyperlink">
    <w:name w:val="Hyperlink"/>
    <w:basedOn w:val="DefaultParagraphFont"/>
    <w:uiPriority w:val="99"/>
    <w:unhideWhenUsed/>
    <w:rsid w:val="004223C3"/>
    <w:rPr>
      <w:color w:val="0563C1" w:themeColor="hyperlink"/>
      <w:u w:val="single"/>
    </w:rPr>
  </w:style>
  <w:style w:type="table" w:styleId="TableGrid">
    <w:name w:val="Table Grid"/>
    <w:basedOn w:val="TableNormal"/>
    <w:uiPriority w:val="39"/>
    <w:rsid w:val="005356DB"/>
    <w:pPr>
      <w:spacing w:after="0" w:line="240" w:lineRule="auto"/>
    </w:pPr>
    <w:rPr>
      <w:rFonts w:eastAsia="Times New Roman" w:cs="Times New Roman"/>
      <w:sz w:val="24"/>
      <w:lang w:eastAsia="en-AU"/>
    </w:rPr>
    <w:tblP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Pr>
    <w:trPr>
      <w:cantSplit/>
      <w:tblHeader/>
    </w:trPr>
    <w:tblStylePr w:type="firstRow">
      <w:tblPr/>
      <w:tcPr>
        <w:shd w:val="clear" w:color="auto" w:fill="F2F2F2"/>
      </w:tcPr>
    </w:tblStylePr>
  </w:style>
  <w:style w:type="paragraph" w:styleId="FootnoteText">
    <w:name w:val="footnote text"/>
    <w:basedOn w:val="Normal"/>
    <w:link w:val="FootnoteTextChar"/>
    <w:uiPriority w:val="99"/>
    <w:semiHidden/>
    <w:unhideWhenUsed/>
    <w:rsid w:val="006F1D87"/>
    <w:pPr>
      <w:spacing w:after="0" w:line="240" w:lineRule="auto"/>
    </w:pPr>
  </w:style>
  <w:style w:type="character" w:customStyle="1" w:styleId="FootnoteTextChar">
    <w:name w:val="Footnote Text Char"/>
    <w:basedOn w:val="DefaultParagraphFont"/>
    <w:link w:val="FootnoteText"/>
    <w:uiPriority w:val="99"/>
    <w:semiHidden/>
    <w:rsid w:val="006F1D87"/>
  </w:style>
  <w:style w:type="character" w:styleId="FootnoteReference">
    <w:name w:val="footnote reference"/>
    <w:basedOn w:val="DefaultParagraphFont"/>
    <w:uiPriority w:val="99"/>
    <w:semiHidden/>
    <w:unhideWhenUsed/>
    <w:rsid w:val="006F1D87"/>
    <w:rPr>
      <w:vertAlign w:val="superscript"/>
    </w:rPr>
  </w:style>
  <w:style w:type="paragraph" w:styleId="Header">
    <w:name w:val="header"/>
    <w:basedOn w:val="Normal"/>
    <w:link w:val="HeaderChar"/>
    <w:uiPriority w:val="99"/>
    <w:unhideWhenUsed/>
    <w:rsid w:val="002E5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EC0"/>
  </w:style>
  <w:style w:type="paragraph" w:styleId="Footer">
    <w:name w:val="footer"/>
    <w:basedOn w:val="Normal"/>
    <w:link w:val="FooterChar"/>
    <w:uiPriority w:val="99"/>
    <w:unhideWhenUsed/>
    <w:rsid w:val="002E5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EC0"/>
  </w:style>
  <w:style w:type="character" w:customStyle="1" w:styleId="NoSpacingChar">
    <w:name w:val="No Spacing Char"/>
    <w:basedOn w:val="DefaultParagraphFont"/>
    <w:link w:val="NoSpacing"/>
    <w:uiPriority w:val="1"/>
    <w:rsid w:val="002E5EC0"/>
  </w:style>
  <w:style w:type="paragraph" w:styleId="BalloonText">
    <w:name w:val="Balloon Text"/>
    <w:basedOn w:val="Normal"/>
    <w:link w:val="BalloonTextChar"/>
    <w:uiPriority w:val="99"/>
    <w:semiHidden/>
    <w:unhideWhenUsed/>
    <w:rsid w:val="002E5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EC0"/>
    <w:rPr>
      <w:rFonts w:ascii="Segoe UI" w:hAnsi="Segoe UI" w:cs="Segoe UI"/>
      <w:sz w:val="18"/>
      <w:szCs w:val="18"/>
    </w:rPr>
  </w:style>
  <w:style w:type="character" w:styleId="CommentReference">
    <w:name w:val="annotation reference"/>
    <w:basedOn w:val="DefaultParagraphFont"/>
    <w:uiPriority w:val="99"/>
    <w:semiHidden/>
    <w:unhideWhenUsed/>
    <w:rsid w:val="008848EE"/>
    <w:rPr>
      <w:sz w:val="16"/>
      <w:szCs w:val="16"/>
    </w:rPr>
  </w:style>
  <w:style w:type="paragraph" w:styleId="CommentText">
    <w:name w:val="annotation text"/>
    <w:basedOn w:val="Normal"/>
    <w:link w:val="CommentTextChar"/>
    <w:uiPriority w:val="99"/>
    <w:unhideWhenUsed/>
    <w:rsid w:val="008848EE"/>
    <w:pPr>
      <w:spacing w:line="240" w:lineRule="auto"/>
    </w:pPr>
  </w:style>
  <w:style w:type="character" w:customStyle="1" w:styleId="CommentTextChar">
    <w:name w:val="Comment Text Char"/>
    <w:basedOn w:val="DefaultParagraphFont"/>
    <w:link w:val="CommentText"/>
    <w:uiPriority w:val="99"/>
    <w:rsid w:val="008848EE"/>
  </w:style>
  <w:style w:type="paragraph" w:styleId="CommentSubject">
    <w:name w:val="annotation subject"/>
    <w:basedOn w:val="CommentText"/>
    <w:next w:val="CommentText"/>
    <w:link w:val="CommentSubjectChar"/>
    <w:uiPriority w:val="99"/>
    <w:semiHidden/>
    <w:unhideWhenUsed/>
    <w:rsid w:val="008848EE"/>
    <w:rPr>
      <w:b/>
      <w:bCs/>
    </w:rPr>
  </w:style>
  <w:style w:type="character" w:customStyle="1" w:styleId="CommentSubjectChar">
    <w:name w:val="Comment Subject Char"/>
    <w:basedOn w:val="CommentTextChar"/>
    <w:link w:val="CommentSubject"/>
    <w:uiPriority w:val="99"/>
    <w:semiHidden/>
    <w:rsid w:val="008848EE"/>
    <w:rPr>
      <w:b/>
      <w:bCs/>
    </w:rPr>
  </w:style>
  <w:style w:type="paragraph" w:styleId="BodyText">
    <w:name w:val="Body Text"/>
    <w:basedOn w:val="Normal"/>
    <w:link w:val="BodyTextChar"/>
    <w:uiPriority w:val="99"/>
    <w:rsid w:val="004A740E"/>
    <w:pPr>
      <w:spacing w:before="120" w:line="240" w:lineRule="atLeast"/>
      <w:jc w:val="both"/>
    </w:pPr>
    <w:rPr>
      <w:rFonts w:ascii="Univers 45 Light" w:eastAsia="Times New Roman" w:hAnsi="Univers 45 Light" w:cs="Times New Roman"/>
    </w:rPr>
  </w:style>
  <w:style w:type="character" w:customStyle="1" w:styleId="BodyTextChar">
    <w:name w:val="Body Text Char"/>
    <w:basedOn w:val="DefaultParagraphFont"/>
    <w:link w:val="BodyText"/>
    <w:uiPriority w:val="99"/>
    <w:rsid w:val="004A740E"/>
    <w:rPr>
      <w:rFonts w:ascii="Univers 45 Light" w:eastAsia="Times New Roman" w:hAnsi="Univers 45 Light" w:cs="Times New Roman"/>
      <w:sz w:val="24"/>
    </w:rPr>
  </w:style>
  <w:style w:type="character" w:customStyle="1" w:styleId="ListParagraphChar">
    <w:name w:val="List Paragraph Char"/>
    <w:aliases w:val="dot point 1 Char,Recommendation Char,List Paragraph1 Char,List Paragraph11 Char,L Char,#List Paragraph Char"/>
    <w:link w:val="ListParagraph"/>
    <w:uiPriority w:val="34"/>
    <w:locked/>
    <w:rsid w:val="008677F3"/>
  </w:style>
  <w:style w:type="paragraph" w:customStyle="1" w:styleId="SubHeading">
    <w:name w:val="Sub Heading"/>
    <w:basedOn w:val="Normal"/>
    <w:link w:val="SubHeadingChar"/>
    <w:qFormat/>
    <w:rsid w:val="00B849EF"/>
    <w:pPr>
      <w:spacing w:after="0" w:line="240" w:lineRule="auto"/>
      <w:jc w:val="both"/>
    </w:pPr>
    <w:rPr>
      <w:rFonts w:eastAsia="SimSun"/>
      <w:b/>
      <w:color w:val="C45911" w:themeColor="accent2" w:themeShade="BF"/>
      <w:szCs w:val="24"/>
    </w:rPr>
  </w:style>
  <w:style w:type="character" w:customStyle="1" w:styleId="SubHeadingChar">
    <w:name w:val="Sub Heading Char"/>
    <w:basedOn w:val="DefaultParagraphFont"/>
    <w:link w:val="SubHeading"/>
    <w:rsid w:val="00B849EF"/>
    <w:rPr>
      <w:rFonts w:eastAsia="SimSun"/>
      <w:b/>
      <w:color w:val="C45911" w:themeColor="accent2" w:themeShade="BF"/>
      <w:sz w:val="24"/>
      <w:szCs w:val="24"/>
    </w:rPr>
  </w:style>
  <w:style w:type="paragraph" w:styleId="Revision">
    <w:name w:val="Revision"/>
    <w:hidden/>
    <w:uiPriority w:val="99"/>
    <w:semiHidden/>
    <w:rsid w:val="009F05A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1201">
      <w:bodyDiv w:val="1"/>
      <w:marLeft w:val="0"/>
      <w:marRight w:val="0"/>
      <w:marTop w:val="0"/>
      <w:marBottom w:val="0"/>
      <w:divBdr>
        <w:top w:val="none" w:sz="0" w:space="0" w:color="auto"/>
        <w:left w:val="none" w:sz="0" w:space="0" w:color="auto"/>
        <w:bottom w:val="none" w:sz="0" w:space="0" w:color="auto"/>
        <w:right w:val="none" w:sz="0" w:space="0" w:color="auto"/>
      </w:divBdr>
    </w:div>
    <w:div w:id="1119884249">
      <w:bodyDiv w:val="1"/>
      <w:marLeft w:val="0"/>
      <w:marRight w:val="0"/>
      <w:marTop w:val="0"/>
      <w:marBottom w:val="0"/>
      <w:divBdr>
        <w:top w:val="none" w:sz="0" w:space="0" w:color="auto"/>
        <w:left w:val="none" w:sz="0" w:space="0" w:color="auto"/>
        <w:bottom w:val="none" w:sz="0" w:space="0" w:color="auto"/>
        <w:right w:val="none" w:sz="0" w:space="0" w:color="auto"/>
      </w:divBdr>
    </w:div>
    <w:div w:id="1219244914">
      <w:bodyDiv w:val="1"/>
      <w:marLeft w:val="0"/>
      <w:marRight w:val="0"/>
      <w:marTop w:val="0"/>
      <w:marBottom w:val="0"/>
      <w:divBdr>
        <w:top w:val="none" w:sz="0" w:space="0" w:color="auto"/>
        <w:left w:val="none" w:sz="0" w:space="0" w:color="auto"/>
        <w:bottom w:val="none" w:sz="0" w:space="0" w:color="auto"/>
        <w:right w:val="none" w:sz="0" w:space="0" w:color="auto"/>
      </w:divBdr>
    </w:div>
    <w:div w:id="1338994771">
      <w:bodyDiv w:val="1"/>
      <w:marLeft w:val="0"/>
      <w:marRight w:val="0"/>
      <w:marTop w:val="0"/>
      <w:marBottom w:val="0"/>
      <w:divBdr>
        <w:top w:val="none" w:sz="0" w:space="0" w:color="auto"/>
        <w:left w:val="none" w:sz="0" w:space="0" w:color="auto"/>
        <w:bottom w:val="none" w:sz="0" w:space="0" w:color="auto"/>
        <w:right w:val="none" w:sz="0" w:space="0" w:color="auto"/>
      </w:divBdr>
    </w:div>
    <w:div w:id="1357002461">
      <w:bodyDiv w:val="1"/>
      <w:marLeft w:val="0"/>
      <w:marRight w:val="0"/>
      <w:marTop w:val="0"/>
      <w:marBottom w:val="0"/>
      <w:divBdr>
        <w:top w:val="none" w:sz="0" w:space="0" w:color="auto"/>
        <w:left w:val="none" w:sz="0" w:space="0" w:color="auto"/>
        <w:bottom w:val="none" w:sz="0" w:space="0" w:color="auto"/>
        <w:right w:val="none" w:sz="0" w:space="0" w:color="auto"/>
      </w:divBdr>
    </w:div>
    <w:div w:id="1447891855">
      <w:bodyDiv w:val="1"/>
      <w:marLeft w:val="0"/>
      <w:marRight w:val="0"/>
      <w:marTop w:val="0"/>
      <w:marBottom w:val="0"/>
      <w:divBdr>
        <w:top w:val="none" w:sz="0" w:space="0" w:color="auto"/>
        <w:left w:val="none" w:sz="0" w:space="0" w:color="auto"/>
        <w:bottom w:val="none" w:sz="0" w:space="0" w:color="auto"/>
        <w:right w:val="none" w:sz="0" w:space="0" w:color="auto"/>
      </w:divBdr>
    </w:div>
    <w:div w:id="1544290556">
      <w:bodyDiv w:val="1"/>
      <w:marLeft w:val="0"/>
      <w:marRight w:val="0"/>
      <w:marTop w:val="0"/>
      <w:marBottom w:val="0"/>
      <w:divBdr>
        <w:top w:val="none" w:sz="0" w:space="0" w:color="auto"/>
        <w:left w:val="none" w:sz="0" w:space="0" w:color="auto"/>
        <w:bottom w:val="none" w:sz="0" w:space="0" w:color="auto"/>
        <w:right w:val="none" w:sz="0" w:space="0" w:color="auto"/>
      </w:divBdr>
    </w:div>
    <w:div w:id="1809469441">
      <w:bodyDiv w:val="1"/>
      <w:marLeft w:val="0"/>
      <w:marRight w:val="0"/>
      <w:marTop w:val="0"/>
      <w:marBottom w:val="0"/>
      <w:divBdr>
        <w:top w:val="none" w:sz="0" w:space="0" w:color="auto"/>
        <w:left w:val="none" w:sz="0" w:space="0" w:color="auto"/>
        <w:bottom w:val="none" w:sz="0" w:space="0" w:color="auto"/>
        <w:right w:val="none" w:sz="0" w:space="0" w:color="auto"/>
      </w:divBdr>
    </w:div>
    <w:div w:id="1828395724">
      <w:bodyDiv w:val="1"/>
      <w:marLeft w:val="0"/>
      <w:marRight w:val="0"/>
      <w:marTop w:val="0"/>
      <w:marBottom w:val="0"/>
      <w:divBdr>
        <w:top w:val="none" w:sz="0" w:space="0" w:color="auto"/>
        <w:left w:val="none" w:sz="0" w:space="0" w:color="auto"/>
        <w:bottom w:val="none" w:sz="0" w:space="0" w:color="auto"/>
        <w:right w:val="none" w:sz="0" w:space="0" w:color="auto"/>
      </w:divBdr>
    </w:div>
    <w:div w:id="1934438438">
      <w:bodyDiv w:val="1"/>
      <w:marLeft w:val="0"/>
      <w:marRight w:val="0"/>
      <w:marTop w:val="0"/>
      <w:marBottom w:val="0"/>
      <w:divBdr>
        <w:top w:val="none" w:sz="0" w:space="0" w:color="auto"/>
        <w:left w:val="none" w:sz="0" w:space="0" w:color="auto"/>
        <w:bottom w:val="none" w:sz="0" w:space="0" w:color="auto"/>
        <w:right w:val="none" w:sz="0" w:space="0" w:color="auto"/>
      </w:divBdr>
    </w:div>
    <w:div w:id="2049140700">
      <w:bodyDiv w:val="1"/>
      <w:marLeft w:val="0"/>
      <w:marRight w:val="0"/>
      <w:marTop w:val="0"/>
      <w:marBottom w:val="0"/>
      <w:divBdr>
        <w:top w:val="none" w:sz="0" w:space="0" w:color="auto"/>
        <w:left w:val="none" w:sz="0" w:space="0" w:color="auto"/>
        <w:bottom w:val="none" w:sz="0" w:space="0" w:color="auto"/>
        <w:right w:val="none" w:sz="0" w:space="0" w:color="auto"/>
      </w:divBdr>
    </w:div>
    <w:div w:id="20670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5A5E1.9A828F9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Australian Government Aged Care Financing Authority</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ac5943703cd5190d3ec254a93aac3667">
  <xsd:schema xmlns:xsd="http://www.w3.org/2001/XMLSchema" xmlns:xs="http://www.w3.org/2001/XMLSchema" xmlns:p="http://schemas.microsoft.com/office/2006/metadata/properties" xmlns:ns2="afb5d960-bb3a-4a93-9657-1be85aa79ace" targetNamespace="http://schemas.microsoft.com/office/2006/metadata/properties" ma:root="true" ma:fieldsID="67e941b20fc32f0b092edc803ebf694d"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Royal Commission"/>
          <xsd:enumeration value="Consumer Financing Project - Submissions &amp; Briefings"/>
          <xsd:enumeration value="Dept of Health Aged Care Web Pages"/>
          <xsd:enumeration value="DHS Forms Taskforce"/>
          <xsd:enumeration value="Home care Policy"/>
          <xsd:enumeration value="My Aged Care web redevelopment"/>
          <xsd:enumeration value="Policy Development"/>
          <xsd:enumeration value="Reduction in home care fees"/>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Home care Policy</Document_x0020_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3A0D46-5CDB-45E8-856C-3E176A8D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078AB-56D2-4F15-8A46-F53CC927E4F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afb5d960-bb3a-4a93-9657-1be85aa79ace"/>
    <ds:schemaRef ds:uri="http://www.w3.org/XML/1998/namespace"/>
    <ds:schemaRef ds:uri="http://purl.org/dc/dcmitype/"/>
  </ds:schemaRefs>
</ds:datastoreItem>
</file>

<file path=customXml/itemProps4.xml><?xml version="1.0" encoding="utf-8"?>
<ds:datastoreItem xmlns:ds="http://schemas.openxmlformats.org/officeDocument/2006/customXml" ds:itemID="{FEA1D275-E6C2-4EDC-A298-F12096A14C18}">
  <ds:schemaRefs>
    <ds:schemaRef ds:uri="http://schemas.microsoft.com/sharepoint/v3/contenttype/forms"/>
  </ds:schemaRefs>
</ds:datastoreItem>
</file>

<file path=customXml/itemProps5.xml><?xml version="1.0" encoding="utf-8"?>
<ds:datastoreItem xmlns:ds="http://schemas.openxmlformats.org/officeDocument/2006/customXml" ds:itemID="{228F2810-B33D-4477-9B11-763C660E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6583</Words>
  <Characters>37525</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Report on the role of the Basic Daily Fee in Residential Aged Care</vt:lpstr>
    </vt:vector>
  </TitlesOfParts>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role of the Basic Daily Fee in Residential Aged Care</dc:title>
  <dc:subject>Aged Care</dc:subject>
  <dc:creator>Australian Government Department of Health</dc:creator>
  <cp:keywords>Aged care</cp:keywords>
  <dc:description>Aged Care; Basic Daily Fee; Residential Aged Care</dc:description>
  <cp:lastModifiedBy>THISTLETON, Kate</cp:lastModifiedBy>
  <cp:revision>2</cp:revision>
  <cp:lastPrinted>2021-03-12T05:19:00Z</cp:lastPrinted>
  <dcterms:created xsi:type="dcterms:W3CDTF">2021-04-26T23:45:00Z</dcterms:created>
  <dcterms:modified xsi:type="dcterms:W3CDTF">2021-04-26T23:45:00Z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