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7C5B2" w14:textId="3707E832" w:rsidR="00421928" w:rsidRPr="003E0005" w:rsidRDefault="00421928" w:rsidP="00C27390">
      <w:pPr>
        <w:pStyle w:val="Title"/>
        <w:jc w:val="center"/>
      </w:pPr>
      <w:bookmarkStart w:id="0" w:name="_GoBack"/>
      <w:bookmarkEnd w:id="0"/>
      <w:r w:rsidRPr="003E0005">
        <w:t xml:space="preserve">Market </w:t>
      </w:r>
      <w:r w:rsidR="00E848F0">
        <w:t>M</w:t>
      </w:r>
      <w:r w:rsidR="00C73B59">
        <w:t xml:space="preserve">aking and </w:t>
      </w:r>
      <w:r w:rsidR="00E848F0">
        <w:t>D</w:t>
      </w:r>
      <w:r w:rsidR="00C73B59">
        <w:t xml:space="preserve">evelopment </w:t>
      </w:r>
      <w:r w:rsidR="00E848F0">
        <w:t>T</w:t>
      </w:r>
      <w:r w:rsidR="00696B04" w:rsidRPr="003E0005">
        <w:t>o</w:t>
      </w:r>
      <w:r w:rsidRPr="003E0005">
        <w:t>olkit</w:t>
      </w:r>
    </w:p>
    <w:p w14:paraId="7AFDF386" w14:textId="0DEDF64C" w:rsidR="003E0005" w:rsidRPr="0039174C" w:rsidRDefault="00644D6C" w:rsidP="00644D6C">
      <w:pPr>
        <w:pStyle w:val="IntenseQuote"/>
        <w:pBdr>
          <w:bottom w:val="single" w:sz="4" w:space="13" w:color="5B9BD5" w:themeColor="accent1"/>
        </w:pBdr>
        <w:jc w:val="center"/>
      </w:pPr>
      <w:r w:rsidRPr="003D5106">
        <w:rPr>
          <w:noProof/>
          <w:lang w:eastAsia="en-AU"/>
        </w:rPr>
        <w:drawing>
          <wp:inline distT="0" distB="0" distL="0" distR="0" wp14:anchorId="7D0E6BF1" wp14:editId="22B2C8FA">
            <wp:extent cx="4652063" cy="3336369"/>
            <wp:effectExtent l="0" t="0" r="0" b="0"/>
            <wp:docPr id="4" name="Picture 3" descr="This diagram depicts the full PHN commissioning cycle including the three main phases within the commissioning process. The first phase is titled 'Strategic Planning' and involves both needs assessment and annual planning. The second phase is 'Procuring Services' and involves designing and contracting services and shaping the structure of supply. The third phase in the framework is 'Monitoring and Evaluation', and involves managing performance and evaluation.  " title="The PHN Commissioning Framework"/>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652063" cy="3336369"/>
                    </a:xfrm>
                    <a:prstGeom prst="rect">
                      <a:avLst/>
                    </a:prstGeom>
                    <a:noFill/>
                    <a:ln>
                      <a:noFill/>
                    </a:ln>
                    <a:extLst>
                      <a:ext uri="{53640926-AAD7-44D8-BBD7-CCE9431645EC}">
                        <a14:shadowObscured xmlns:a14="http://schemas.microsoft.com/office/drawing/2010/main"/>
                      </a:ext>
                    </a:extLst>
                  </pic:spPr>
                </pic:pic>
              </a:graphicData>
            </a:graphic>
          </wp:inline>
        </w:drawing>
      </w:r>
    </w:p>
    <w:p w14:paraId="557FFA05" w14:textId="52F9A5E4" w:rsidR="003E0005" w:rsidRPr="00AD2BD1" w:rsidRDefault="00FB2CA9" w:rsidP="00C27390">
      <w:pPr>
        <w:pStyle w:val="Subtitle"/>
        <w:jc w:val="center"/>
        <w:sectPr w:rsidR="003E0005" w:rsidRPr="00AD2BD1" w:rsidSect="00644D6C">
          <w:footerReference w:type="default" r:id="rId10"/>
          <w:headerReference w:type="first" r:id="rId11"/>
          <w:footerReference w:type="first" r:id="rId12"/>
          <w:endnotePr>
            <w:numFmt w:val="decimal"/>
          </w:endnotePr>
          <w:pgSz w:w="11906" w:h="16838" w:code="9"/>
          <w:pgMar w:top="1418" w:right="1077" w:bottom="1418" w:left="1077" w:header="709" w:footer="709" w:gutter="0"/>
          <w:cols w:space="708"/>
          <w:titlePg/>
          <w:docGrid w:linePitch="360"/>
        </w:sectPr>
      </w:pPr>
      <w:r>
        <w:t>July</w:t>
      </w:r>
      <w:r w:rsidR="00720A94">
        <w:t xml:space="preserve"> </w:t>
      </w:r>
      <w:r w:rsidR="003E0005" w:rsidRPr="00AD2BD1">
        <w:t>2018</w:t>
      </w:r>
    </w:p>
    <w:p w14:paraId="3516C027" w14:textId="2B640C4F" w:rsidR="003E0005" w:rsidRPr="00316CB5" w:rsidRDefault="003E0005" w:rsidP="00644D6C">
      <w:pPr>
        <w:pStyle w:val="SectionHeading"/>
      </w:pPr>
      <w:bookmarkStart w:id="1" w:name="_Toc519768675"/>
      <w:bookmarkStart w:id="2" w:name="_Toc429477459"/>
      <w:r w:rsidRPr="00316CB5">
        <w:lastRenderedPageBreak/>
        <w:t>Acknowledgement</w:t>
      </w:r>
      <w:bookmarkEnd w:id="1"/>
    </w:p>
    <w:p w14:paraId="44D66A84" w14:textId="19874D56" w:rsidR="003E0005" w:rsidRPr="00316CB5" w:rsidRDefault="003E0005" w:rsidP="00644D6C">
      <w:pPr>
        <w:pStyle w:val="Paragraphtext"/>
      </w:pPr>
      <w:r w:rsidRPr="00316CB5">
        <w:t>This document has been developed by the Australian Government Department of Hea</w:t>
      </w:r>
      <w:r w:rsidR="00DA59DB">
        <w:t>lth and PwC</w:t>
      </w:r>
      <w:r w:rsidRPr="00316CB5">
        <w:t xml:space="preserve"> as part of a project funded by the Department to develop guidance, tools and training for Primary Health Networks (PHNs) on commissioning. It has been co-designed with PHNs through the PHN Commissioning Working Group and the relevant sub-group and informed by interviews with, and case studies from, some PHNs.</w:t>
      </w:r>
    </w:p>
    <w:p w14:paraId="3A5C2D61" w14:textId="19E950A9" w:rsidR="003E0005" w:rsidRPr="00316CB5" w:rsidRDefault="003E0005" w:rsidP="00644D6C">
      <w:pPr>
        <w:pStyle w:val="Paragraphtext"/>
      </w:pPr>
      <w:r w:rsidRPr="00316CB5">
        <w:t xml:space="preserve">The active contribution of the PHNs in the development of this </w:t>
      </w:r>
      <w:r w:rsidR="00F60C1D">
        <w:t>toolkit</w:t>
      </w:r>
      <w:r w:rsidRPr="00316CB5">
        <w:t xml:space="preserve"> is appreciated.</w:t>
      </w:r>
    </w:p>
    <w:p w14:paraId="75B4EF4C" w14:textId="77777777" w:rsidR="003E0005" w:rsidRPr="00316CB5" w:rsidRDefault="003E0005" w:rsidP="00644D6C">
      <w:pPr>
        <w:pStyle w:val="Paragraphtext"/>
      </w:pPr>
      <w:r w:rsidRPr="00316CB5">
        <w:t>Contributions from Helen Dickinson, Associate Professor Public Service Research and Director Public Services Research Centre, University of New South Wales, Canberra have provided insight on the commissioning evidence base.</w:t>
      </w:r>
    </w:p>
    <w:p w14:paraId="10D76372" w14:textId="77777777" w:rsidR="009A54C9" w:rsidRDefault="009A54C9" w:rsidP="009A54C9">
      <w:pPr>
        <w:pStyle w:val="Paragraphtext"/>
        <w:spacing w:line="240" w:lineRule="auto"/>
      </w:pPr>
      <w:bookmarkStart w:id="3" w:name="_Toc519768676"/>
      <w:r>
        <w:t>© Commonwealth of Australia 2018</w:t>
      </w:r>
    </w:p>
    <w:p w14:paraId="320EB8D9" w14:textId="77777777" w:rsidR="009A54C9" w:rsidRDefault="009A54C9" w:rsidP="009A54C9">
      <w:pPr>
        <w:pStyle w:val="Paragraphtext"/>
      </w:pPr>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13" w:history="1">
        <w:r>
          <w:rPr>
            <w:rStyle w:val="Hyperlink"/>
          </w:rPr>
          <w:t>copyright@health.gov.au</w:t>
        </w:r>
      </w:hyperlink>
      <w:r>
        <w:t>.</w:t>
      </w:r>
    </w:p>
    <w:p w14:paraId="79D63728" w14:textId="62AD6D07" w:rsidR="009A54C9" w:rsidRDefault="009A54C9" w:rsidP="009A54C9">
      <w:pPr>
        <w:pStyle w:val="Paragraphtext"/>
        <w:spacing w:line="240" w:lineRule="auto"/>
        <w:rPr>
          <w:rFonts w:ascii="Helvetica" w:hAnsi="Helvetica"/>
          <w:color w:val="222222"/>
          <w:sz w:val="20"/>
          <w:szCs w:val="20"/>
        </w:rPr>
      </w:pPr>
      <w:r w:rsidRPr="005B424C">
        <w:t>Preferred citation:</w:t>
      </w:r>
      <w:r>
        <w:t xml:space="preserve"> </w:t>
      </w:r>
      <w:r w:rsidRPr="007A242F">
        <w:rPr>
          <w:szCs w:val="18"/>
        </w:rPr>
        <w:t>Australian Govern</w:t>
      </w:r>
      <w:r>
        <w:rPr>
          <w:szCs w:val="18"/>
        </w:rPr>
        <w:t>ment Department of Health. (2018</w:t>
      </w:r>
      <w:r w:rsidRPr="007A242F">
        <w:rPr>
          <w:szCs w:val="18"/>
        </w:rPr>
        <w:t xml:space="preserve">). </w:t>
      </w:r>
      <w:r>
        <w:rPr>
          <w:i/>
          <w:szCs w:val="18"/>
        </w:rPr>
        <w:t>Market Making and Development</w:t>
      </w:r>
      <w:r w:rsidRPr="007A242F">
        <w:rPr>
          <w:i/>
          <w:szCs w:val="18"/>
        </w:rPr>
        <w:t xml:space="preserve"> </w:t>
      </w:r>
      <w:r>
        <w:rPr>
          <w:i/>
          <w:szCs w:val="18"/>
        </w:rPr>
        <w:t>Toolkit</w:t>
      </w:r>
      <w:r w:rsidRPr="007A242F">
        <w:rPr>
          <w:i/>
          <w:szCs w:val="18"/>
        </w:rPr>
        <w:t xml:space="preserve">. </w:t>
      </w:r>
      <w:r w:rsidRPr="007A242F">
        <w:rPr>
          <w:szCs w:val="18"/>
        </w:rPr>
        <w:t>Available at: http://www.health.gov.au/internet/main/publishing.nsf/Content/PHNCommissioningResources</w:t>
      </w:r>
    </w:p>
    <w:p w14:paraId="2A0EE551" w14:textId="77777777" w:rsidR="009A54C9" w:rsidRPr="00E13224" w:rsidRDefault="009A54C9" w:rsidP="009A54C9">
      <w:pPr>
        <w:pStyle w:val="SectionHeading"/>
      </w:pPr>
      <w:bookmarkStart w:id="4" w:name="_Toc511304498"/>
      <w:bookmarkStart w:id="5" w:name="_Toc513536072"/>
      <w:bookmarkStart w:id="6" w:name="_Toc519532375"/>
      <w:r w:rsidRPr="00E13224">
        <w:t>Disclaimer</w:t>
      </w:r>
      <w:bookmarkEnd w:id="4"/>
      <w:bookmarkEnd w:id="5"/>
      <w:bookmarkEnd w:id="6"/>
    </w:p>
    <w:p w14:paraId="1880262D" w14:textId="77777777" w:rsidR="009A54C9" w:rsidRPr="00E55F93" w:rsidRDefault="009A54C9" w:rsidP="009A54C9">
      <w:pPr>
        <w:pStyle w:val="Paragraphtext"/>
        <w:spacing w:line="240" w:lineRule="auto"/>
      </w:pPr>
      <w:r w:rsidRPr="00DC36A1">
        <w:t xml:space="preserve">Opinions expressed in </w:t>
      </w:r>
      <w:r>
        <w:t>this document</w:t>
      </w:r>
      <w:r w:rsidRPr="00DC36A1">
        <w:t xml:space="preserve"> are those of the authors and not necessarily those of the Australian Government Department of Health. Data may be subject to revision.</w:t>
      </w:r>
    </w:p>
    <w:p w14:paraId="343A5080" w14:textId="77777777" w:rsidR="003E0005" w:rsidRPr="00316CB5" w:rsidRDefault="003E0005" w:rsidP="00644D6C">
      <w:pPr>
        <w:pStyle w:val="SectionHeading"/>
      </w:pPr>
      <w:r w:rsidRPr="00316CB5">
        <w:t>Note</w:t>
      </w:r>
      <w:bookmarkEnd w:id="3"/>
    </w:p>
    <w:p w14:paraId="74A06077" w14:textId="77777777" w:rsidR="003E0005" w:rsidRPr="00644D6C" w:rsidRDefault="003E0005" w:rsidP="00644D6C">
      <w:pPr>
        <w:pStyle w:val="Paragraphtext"/>
      </w:pPr>
      <w:r w:rsidRPr="00644D6C">
        <w:t>This guidance does not override the requirements set out in the PHN Funding Agreement.</w:t>
      </w:r>
    </w:p>
    <w:p w14:paraId="1B5D54A2" w14:textId="3C0FCAC0" w:rsidR="00C00551" w:rsidRPr="00644D6C" w:rsidRDefault="003E0005" w:rsidP="00644D6C">
      <w:pPr>
        <w:pStyle w:val="Paragraphtext"/>
      </w:pPr>
      <w:r w:rsidRPr="00644D6C">
        <w:br w:type="page"/>
      </w:r>
    </w:p>
    <w:p w14:paraId="4EFEC420" w14:textId="77777777" w:rsidR="00644D6C" w:rsidRPr="00FF1BC6" w:rsidRDefault="00644D6C" w:rsidP="00644D6C">
      <w:pPr>
        <w:pStyle w:val="SectionHeading"/>
      </w:pPr>
      <w:bookmarkStart w:id="7" w:name="_Toc519768677"/>
      <w:bookmarkEnd w:id="2"/>
      <w:r>
        <w:lastRenderedPageBreak/>
        <w:t>Table of c</w:t>
      </w:r>
      <w:r w:rsidRPr="009C5804">
        <w:t>ontents</w:t>
      </w:r>
      <w:bookmarkEnd w:id="7"/>
    </w:p>
    <w:p w14:paraId="411A1B7C" w14:textId="77777777" w:rsidR="009A54C9" w:rsidRDefault="00644D6C">
      <w:pPr>
        <w:pStyle w:val="TOC1"/>
        <w:rPr>
          <w:rFonts w:asciiTheme="minorHAnsi" w:eastAsiaTheme="minorEastAsia" w:hAnsiTheme="minorHAnsi" w:cstheme="minorBidi"/>
          <w:noProof/>
          <w:szCs w:val="22"/>
          <w:lang w:eastAsia="en-AU"/>
        </w:rPr>
      </w:pPr>
      <w:r>
        <w:rPr>
          <w:color w:val="003D69"/>
        </w:rPr>
        <w:fldChar w:fldCharType="begin"/>
      </w:r>
      <w:r>
        <w:rPr>
          <w:color w:val="003D69"/>
        </w:rPr>
        <w:instrText xml:space="preserve"> TOC \o "1-3" \h \z \t "Heading 5,2" </w:instrText>
      </w:r>
      <w:r>
        <w:rPr>
          <w:color w:val="003D69"/>
        </w:rPr>
        <w:fldChar w:fldCharType="separate"/>
      </w:r>
      <w:hyperlink w:anchor="_Toc519768675" w:history="1">
        <w:r w:rsidR="009A54C9" w:rsidRPr="003563B8">
          <w:rPr>
            <w:rStyle w:val="Hyperlink"/>
            <w:noProof/>
          </w:rPr>
          <w:t>Acknowledgement</w:t>
        </w:r>
        <w:r w:rsidR="009A54C9">
          <w:rPr>
            <w:noProof/>
            <w:webHidden/>
          </w:rPr>
          <w:tab/>
        </w:r>
        <w:r w:rsidR="009A54C9">
          <w:rPr>
            <w:noProof/>
            <w:webHidden/>
          </w:rPr>
          <w:fldChar w:fldCharType="begin"/>
        </w:r>
        <w:r w:rsidR="009A54C9">
          <w:rPr>
            <w:noProof/>
            <w:webHidden/>
          </w:rPr>
          <w:instrText xml:space="preserve"> PAGEREF _Toc519768675 \h </w:instrText>
        </w:r>
        <w:r w:rsidR="009A54C9">
          <w:rPr>
            <w:noProof/>
            <w:webHidden/>
          </w:rPr>
        </w:r>
        <w:r w:rsidR="009A54C9">
          <w:rPr>
            <w:noProof/>
            <w:webHidden/>
          </w:rPr>
          <w:fldChar w:fldCharType="separate"/>
        </w:r>
        <w:r w:rsidR="009A54C9">
          <w:rPr>
            <w:noProof/>
            <w:webHidden/>
          </w:rPr>
          <w:t>2</w:t>
        </w:r>
        <w:r w:rsidR="009A54C9">
          <w:rPr>
            <w:noProof/>
            <w:webHidden/>
          </w:rPr>
          <w:fldChar w:fldCharType="end"/>
        </w:r>
      </w:hyperlink>
    </w:p>
    <w:p w14:paraId="219D3738" w14:textId="77777777" w:rsidR="009A54C9" w:rsidRDefault="008723E0">
      <w:pPr>
        <w:pStyle w:val="TOC1"/>
        <w:rPr>
          <w:rFonts w:asciiTheme="minorHAnsi" w:eastAsiaTheme="minorEastAsia" w:hAnsiTheme="minorHAnsi" w:cstheme="minorBidi"/>
          <w:noProof/>
          <w:szCs w:val="22"/>
          <w:lang w:eastAsia="en-AU"/>
        </w:rPr>
      </w:pPr>
      <w:hyperlink w:anchor="_Toc519768676" w:history="1">
        <w:r w:rsidR="009A54C9" w:rsidRPr="003563B8">
          <w:rPr>
            <w:rStyle w:val="Hyperlink"/>
            <w:noProof/>
          </w:rPr>
          <w:t>Note</w:t>
        </w:r>
        <w:r w:rsidR="009A54C9">
          <w:rPr>
            <w:noProof/>
            <w:webHidden/>
          </w:rPr>
          <w:tab/>
        </w:r>
        <w:r w:rsidR="009A54C9">
          <w:rPr>
            <w:noProof/>
            <w:webHidden/>
          </w:rPr>
          <w:fldChar w:fldCharType="begin"/>
        </w:r>
        <w:r w:rsidR="009A54C9">
          <w:rPr>
            <w:noProof/>
            <w:webHidden/>
          </w:rPr>
          <w:instrText xml:space="preserve"> PAGEREF _Toc519768676 \h </w:instrText>
        </w:r>
        <w:r w:rsidR="009A54C9">
          <w:rPr>
            <w:noProof/>
            <w:webHidden/>
          </w:rPr>
        </w:r>
        <w:r w:rsidR="009A54C9">
          <w:rPr>
            <w:noProof/>
            <w:webHidden/>
          </w:rPr>
          <w:fldChar w:fldCharType="separate"/>
        </w:r>
        <w:r w:rsidR="009A54C9">
          <w:rPr>
            <w:noProof/>
            <w:webHidden/>
          </w:rPr>
          <w:t>2</w:t>
        </w:r>
        <w:r w:rsidR="009A54C9">
          <w:rPr>
            <w:noProof/>
            <w:webHidden/>
          </w:rPr>
          <w:fldChar w:fldCharType="end"/>
        </w:r>
      </w:hyperlink>
    </w:p>
    <w:p w14:paraId="275C2AA6" w14:textId="77777777" w:rsidR="009A54C9" w:rsidRDefault="008723E0">
      <w:pPr>
        <w:pStyle w:val="TOC1"/>
        <w:rPr>
          <w:rFonts w:asciiTheme="minorHAnsi" w:eastAsiaTheme="minorEastAsia" w:hAnsiTheme="minorHAnsi" w:cstheme="minorBidi"/>
          <w:noProof/>
          <w:szCs w:val="22"/>
          <w:lang w:eastAsia="en-AU"/>
        </w:rPr>
      </w:pPr>
      <w:hyperlink w:anchor="_Toc519768677" w:history="1">
        <w:r w:rsidR="009A54C9" w:rsidRPr="003563B8">
          <w:rPr>
            <w:rStyle w:val="Hyperlink"/>
            <w:noProof/>
          </w:rPr>
          <w:t>Table of contents</w:t>
        </w:r>
        <w:r w:rsidR="009A54C9">
          <w:rPr>
            <w:noProof/>
            <w:webHidden/>
          </w:rPr>
          <w:tab/>
        </w:r>
        <w:r w:rsidR="009A54C9">
          <w:rPr>
            <w:noProof/>
            <w:webHidden/>
          </w:rPr>
          <w:fldChar w:fldCharType="begin"/>
        </w:r>
        <w:r w:rsidR="009A54C9">
          <w:rPr>
            <w:noProof/>
            <w:webHidden/>
          </w:rPr>
          <w:instrText xml:space="preserve"> PAGEREF _Toc519768677 \h </w:instrText>
        </w:r>
        <w:r w:rsidR="009A54C9">
          <w:rPr>
            <w:noProof/>
            <w:webHidden/>
          </w:rPr>
        </w:r>
        <w:r w:rsidR="009A54C9">
          <w:rPr>
            <w:noProof/>
            <w:webHidden/>
          </w:rPr>
          <w:fldChar w:fldCharType="separate"/>
        </w:r>
        <w:r w:rsidR="009A54C9">
          <w:rPr>
            <w:noProof/>
            <w:webHidden/>
          </w:rPr>
          <w:t>3</w:t>
        </w:r>
        <w:r w:rsidR="009A54C9">
          <w:rPr>
            <w:noProof/>
            <w:webHidden/>
          </w:rPr>
          <w:fldChar w:fldCharType="end"/>
        </w:r>
      </w:hyperlink>
    </w:p>
    <w:p w14:paraId="15DCEAD7" w14:textId="77777777" w:rsidR="009A54C9" w:rsidRDefault="008723E0">
      <w:pPr>
        <w:pStyle w:val="TOC1"/>
        <w:rPr>
          <w:rFonts w:asciiTheme="minorHAnsi" w:eastAsiaTheme="minorEastAsia" w:hAnsiTheme="minorHAnsi" w:cstheme="minorBidi"/>
          <w:noProof/>
          <w:szCs w:val="22"/>
          <w:lang w:eastAsia="en-AU"/>
        </w:rPr>
      </w:pPr>
      <w:hyperlink w:anchor="_Toc519768678" w:history="1">
        <w:r w:rsidR="009A54C9" w:rsidRPr="003563B8">
          <w:rPr>
            <w:rStyle w:val="Hyperlink"/>
            <w:noProof/>
          </w:rPr>
          <w:t>Acronyms used in this guidance</w:t>
        </w:r>
        <w:r w:rsidR="009A54C9">
          <w:rPr>
            <w:noProof/>
            <w:webHidden/>
          </w:rPr>
          <w:tab/>
        </w:r>
        <w:r w:rsidR="009A54C9">
          <w:rPr>
            <w:noProof/>
            <w:webHidden/>
          </w:rPr>
          <w:fldChar w:fldCharType="begin"/>
        </w:r>
        <w:r w:rsidR="009A54C9">
          <w:rPr>
            <w:noProof/>
            <w:webHidden/>
          </w:rPr>
          <w:instrText xml:space="preserve"> PAGEREF _Toc519768678 \h </w:instrText>
        </w:r>
        <w:r w:rsidR="009A54C9">
          <w:rPr>
            <w:noProof/>
            <w:webHidden/>
          </w:rPr>
        </w:r>
        <w:r w:rsidR="009A54C9">
          <w:rPr>
            <w:noProof/>
            <w:webHidden/>
          </w:rPr>
          <w:fldChar w:fldCharType="separate"/>
        </w:r>
        <w:r w:rsidR="009A54C9">
          <w:rPr>
            <w:noProof/>
            <w:webHidden/>
          </w:rPr>
          <w:t>4</w:t>
        </w:r>
        <w:r w:rsidR="009A54C9">
          <w:rPr>
            <w:noProof/>
            <w:webHidden/>
          </w:rPr>
          <w:fldChar w:fldCharType="end"/>
        </w:r>
      </w:hyperlink>
    </w:p>
    <w:p w14:paraId="5729E6FD" w14:textId="77777777" w:rsidR="009A54C9" w:rsidRDefault="008723E0">
      <w:pPr>
        <w:pStyle w:val="TOC1"/>
        <w:rPr>
          <w:rFonts w:asciiTheme="minorHAnsi" w:eastAsiaTheme="minorEastAsia" w:hAnsiTheme="minorHAnsi" w:cstheme="minorBidi"/>
          <w:noProof/>
          <w:szCs w:val="22"/>
          <w:lang w:eastAsia="en-AU"/>
        </w:rPr>
      </w:pPr>
      <w:hyperlink w:anchor="_Toc519768679" w:history="1">
        <w:r w:rsidR="009A54C9" w:rsidRPr="003563B8">
          <w:rPr>
            <w:rStyle w:val="Hyperlink"/>
            <w:noProof/>
          </w:rPr>
          <w:t>Definitions of some key terms used in this Toolkit</w:t>
        </w:r>
        <w:r w:rsidR="009A54C9">
          <w:rPr>
            <w:noProof/>
            <w:webHidden/>
          </w:rPr>
          <w:tab/>
        </w:r>
        <w:r w:rsidR="009A54C9">
          <w:rPr>
            <w:noProof/>
            <w:webHidden/>
          </w:rPr>
          <w:fldChar w:fldCharType="begin"/>
        </w:r>
        <w:r w:rsidR="009A54C9">
          <w:rPr>
            <w:noProof/>
            <w:webHidden/>
          </w:rPr>
          <w:instrText xml:space="preserve"> PAGEREF _Toc519768679 \h </w:instrText>
        </w:r>
        <w:r w:rsidR="009A54C9">
          <w:rPr>
            <w:noProof/>
            <w:webHidden/>
          </w:rPr>
        </w:r>
        <w:r w:rsidR="009A54C9">
          <w:rPr>
            <w:noProof/>
            <w:webHidden/>
          </w:rPr>
          <w:fldChar w:fldCharType="separate"/>
        </w:r>
        <w:r w:rsidR="009A54C9">
          <w:rPr>
            <w:noProof/>
            <w:webHidden/>
          </w:rPr>
          <w:t>5</w:t>
        </w:r>
        <w:r w:rsidR="009A54C9">
          <w:rPr>
            <w:noProof/>
            <w:webHidden/>
          </w:rPr>
          <w:fldChar w:fldCharType="end"/>
        </w:r>
      </w:hyperlink>
    </w:p>
    <w:p w14:paraId="7D8F4A2E" w14:textId="77777777" w:rsidR="009A54C9" w:rsidRDefault="008723E0">
      <w:pPr>
        <w:pStyle w:val="TOC1"/>
        <w:tabs>
          <w:tab w:val="left" w:pos="440"/>
        </w:tabs>
        <w:rPr>
          <w:rFonts w:asciiTheme="minorHAnsi" w:eastAsiaTheme="minorEastAsia" w:hAnsiTheme="minorHAnsi" w:cstheme="minorBidi"/>
          <w:noProof/>
          <w:szCs w:val="22"/>
          <w:lang w:eastAsia="en-AU"/>
        </w:rPr>
      </w:pPr>
      <w:hyperlink w:anchor="_Toc519768680" w:history="1">
        <w:r w:rsidR="009A54C9" w:rsidRPr="003563B8">
          <w:rPr>
            <w:rStyle w:val="Hyperlink"/>
            <w:noProof/>
          </w:rPr>
          <w:t>1</w:t>
        </w:r>
        <w:r w:rsidR="009A54C9">
          <w:rPr>
            <w:rFonts w:asciiTheme="minorHAnsi" w:eastAsiaTheme="minorEastAsia" w:hAnsiTheme="minorHAnsi" w:cstheme="minorBidi"/>
            <w:noProof/>
            <w:szCs w:val="22"/>
            <w:lang w:eastAsia="en-AU"/>
          </w:rPr>
          <w:tab/>
        </w:r>
        <w:r w:rsidR="009A54C9" w:rsidRPr="003563B8">
          <w:rPr>
            <w:rStyle w:val="Hyperlink"/>
            <w:noProof/>
          </w:rPr>
          <w:t>Introduction</w:t>
        </w:r>
        <w:r w:rsidR="009A54C9">
          <w:rPr>
            <w:noProof/>
            <w:webHidden/>
          </w:rPr>
          <w:tab/>
        </w:r>
        <w:r w:rsidR="009A54C9">
          <w:rPr>
            <w:noProof/>
            <w:webHidden/>
          </w:rPr>
          <w:fldChar w:fldCharType="begin"/>
        </w:r>
        <w:r w:rsidR="009A54C9">
          <w:rPr>
            <w:noProof/>
            <w:webHidden/>
          </w:rPr>
          <w:instrText xml:space="preserve"> PAGEREF _Toc519768680 \h </w:instrText>
        </w:r>
        <w:r w:rsidR="009A54C9">
          <w:rPr>
            <w:noProof/>
            <w:webHidden/>
          </w:rPr>
        </w:r>
        <w:r w:rsidR="009A54C9">
          <w:rPr>
            <w:noProof/>
            <w:webHidden/>
          </w:rPr>
          <w:fldChar w:fldCharType="separate"/>
        </w:r>
        <w:r w:rsidR="009A54C9">
          <w:rPr>
            <w:noProof/>
            <w:webHidden/>
          </w:rPr>
          <w:t>6</w:t>
        </w:r>
        <w:r w:rsidR="009A54C9">
          <w:rPr>
            <w:noProof/>
            <w:webHidden/>
          </w:rPr>
          <w:fldChar w:fldCharType="end"/>
        </w:r>
      </w:hyperlink>
    </w:p>
    <w:p w14:paraId="7D1DB17B" w14:textId="77777777" w:rsidR="009A54C9" w:rsidRDefault="008723E0">
      <w:pPr>
        <w:pStyle w:val="TOC2"/>
        <w:tabs>
          <w:tab w:val="left" w:pos="880"/>
          <w:tab w:val="right" w:leader="dot" w:pos="9742"/>
        </w:tabs>
        <w:rPr>
          <w:rFonts w:asciiTheme="minorHAnsi" w:eastAsiaTheme="minorEastAsia" w:hAnsiTheme="minorHAnsi" w:cstheme="minorBidi"/>
          <w:noProof/>
          <w:szCs w:val="22"/>
          <w:lang w:eastAsia="en-AU"/>
        </w:rPr>
      </w:pPr>
      <w:hyperlink w:anchor="_Toc519768681" w:history="1">
        <w:r w:rsidR="009A54C9" w:rsidRPr="003563B8">
          <w:rPr>
            <w:rStyle w:val="Hyperlink"/>
            <w:noProof/>
          </w:rPr>
          <w:t>1.1</w:t>
        </w:r>
        <w:r w:rsidR="009A54C9">
          <w:rPr>
            <w:rFonts w:asciiTheme="minorHAnsi" w:eastAsiaTheme="minorEastAsia" w:hAnsiTheme="minorHAnsi" w:cstheme="minorBidi"/>
            <w:noProof/>
            <w:szCs w:val="22"/>
            <w:lang w:eastAsia="en-AU"/>
          </w:rPr>
          <w:tab/>
        </w:r>
        <w:r w:rsidR="009A54C9" w:rsidRPr="003563B8">
          <w:rPr>
            <w:rStyle w:val="Hyperlink"/>
            <w:noProof/>
          </w:rPr>
          <w:t>How to use this Toolkit</w:t>
        </w:r>
        <w:r w:rsidR="009A54C9">
          <w:rPr>
            <w:noProof/>
            <w:webHidden/>
          </w:rPr>
          <w:tab/>
        </w:r>
        <w:r w:rsidR="009A54C9">
          <w:rPr>
            <w:noProof/>
            <w:webHidden/>
          </w:rPr>
          <w:fldChar w:fldCharType="begin"/>
        </w:r>
        <w:r w:rsidR="009A54C9">
          <w:rPr>
            <w:noProof/>
            <w:webHidden/>
          </w:rPr>
          <w:instrText xml:space="preserve"> PAGEREF _Toc519768681 \h </w:instrText>
        </w:r>
        <w:r w:rsidR="009A54C9">
          <w:rPr>
            <w:noProof/>
            <w:webHidden/>
          </w:rPr>
        </w:r>
        <w:r w:rsidR="009A54C9">
          <w:rPr>
            <w:noProof/>
            <w:webHidden/>
          </w:rPr>
          <w:fldChar w:fldCharType="separate"/>
        </w:r>
        <w:r w:rsidR="009A54C9">
          <w:rPr>
            <w:noProof/>
            <w:webHidden/>
          </w:rPr>
          <w:t>6</w:t>
        </w:r>
        <w:r w:rsidR="009A54C9">
          <w:rPr>
            <w:noProof/>
            <w:webHidden/>
          </w:rPr>
          <w:fldChar w:fldCharType="end"/>
        </w:r>
      </w:hyperlink>
    </w:p>
    <w:p w14:paraId="772EB5BD" w14:textId="77777777" w:rsidR="009A54C9" w:rsidRDefault="008723E0">
      <w:pPr>
        <w:pStyle w:val="TOC1"/>
        <w:rPr>
          <w:rFonts w:asciiTheme="minorHAnsi" w:eastAsiaTheme="minorEastAsia" w:hAnsiTheme="minorHAnsi" w:cstheme="minorBidi"/>
          <w:noProof/>
          <w:szCs w:val="22"/>
          <w:lang w:eastAsia="en-AU"/>
        </w:rPr>
      </w:pPr>
      <w:hyperlink w:anchor="_Toc519768682" w:history="1">
        <w:r w:rsidR="009A54C9" w:rsidRPr="003563B8">
          <w:rPr>
            <w:rStyle w:val="Hyperlink"/>
            <w:noProof/>
          </w:rPr>
          <w:t>Tool 1: Planning and delivering market soundings</w:t>
        </w:r>
        <w:r w:rsidR="009A54C9">
          <w:rPr>
            <w:noProof/>
            <w:webHidden/>
          </w:rPr>
          <w:tab/>
        </w:r>
        <w:r w:rsidR="009A54C9">
          <w:rPr>
            <w:noProof/>
            <w:webHidden/>
          </w:rPr>
          <w:fldChar w:fldCharType="begin"/>
        </w:r>
        <w:r w:rsidR="009A54C9">
          <w:rPr>
            <w:noProof/>
            <w:webHidden/>
          </w:rPr>
          <w:instrText xml:space="preserve"> PAGEREF _Toc519768682 \h </w:instrText>
        </w:r>
        <w:r w:rsidR="009A54C9">
          <w:rPr>
            <w:noProof/>
            <w:webHidden/>
          </w:rPr>
        </w:r>
        <w:r w:rsidR="009A54C9">
          <w:rPr>
            <w:noProof/>
            <w:webHidden/>
          </w:rPr>
          <w:fldChar w:fldCharType="separate"/>
        </w:r>
        <w:r w:rsidR="009A54C9">
          <w:rPr>
            <w:noProof/>
            <w:webHidden/>
          </w:rPr>
          <w:t>7</w:t>
        </w:r>
        <w:r w:rsidR="009A54C9">
          <w:rPr>
            <w:noProof/>
            <w:webHidden/>
          </w:rPr>
          <w:fldChar w:fldCharType="end"/>
        </w:r>
      </w:hyperlink>
    </w:p>
    <w:p w14:paraId="55FF0FD1" w14:textId="77777777" w:rsidR="009A54C9" w:rsidRDefault="008723E0">
      <w:pPr>
        <w:pStyle w:val="TOC2"/>
        <w:tabs>
          <w:tab w:val="right" w:leader="dot" w:pos="9742"/>
        </w:tabs>
        <w:rPr>
          <w:rFonts w:asciiTheme="minorHAnsi" w:eastAsiaTheme="minorEastAsia" w:hAnsiTheme="minorHAnsi" w:cstheme="minorBidi"/>
          <w:noProof/>
          <w:szCs w:val="22"/>
          <w:lang w:eastAsia="en-AU"/>
        </w:rPr>
      </w:pPr>
      <w:hyperlink w:anchor="_Toc519768683" w:history="1">
        <w:r w:rsidR="009A54C9" w:rsidRPr="003563B8">
          <w:rPr>
            <w:rStyle w:val="Hyperlink"/>
            <w:noProof/>
          </w:rPr>
          <w:t>Determine the purpose of the market sounding</w:t>
        </w:r>
        <w:r w:rsidR="009A54C9">
          <w:rPr>
            <w:noProof/>
            <w:webHidden/>
          </w:rPr>
          <w:tab/>
        </w:r>
        <w:r w:rsidR="009A54C9">
          <w:rPr>
            <w:noProof/>
            <w:webHidden/>
          </w:rPr>
          <w:fldChar w:fldCharType="begin"/>
        </w:r>
        <w:r w:rsidR="009A54C9">
          <w:rPr>
            <w:noProof/>
            <w:webHidden/>
          </w:rPr>
          <w:instrText xml:space="preserve"> PAGEREF _Toc519768683 \h </w:instrText>
        </w:r>
        <w:r w:rsidR="009A54C9">
          <w:rPr>
            <w:noProof/>
            <w:webHidden/>
          </w:rPr>
        </w:r>
        <w:r w:rsidR="009A54C9">
          <w:rPr>
            <w:noProof/>
            <w:webHidden/>
          </w:rPr>
          <w:fldChar w:fldCharType="separate"/>
        </w:r>
        <w:r w:rsidR="009A54C9">
          <w:rPr>
            <w:noProof/>
            <w:webHidden/>
          </w:rPr>
          <w:t>7</w:t>
        </w:r>
        <w:r w:rsidR="009A54C9">
          <w:rPr>
            <w:noProof/>
            <w:webHidden/>
          </w:rPr>
          <w:fldChar w:fldCharType="end"/>
        </w:r>
      </w:hyperlink>
    </w:p>
    <w:p w14:paraId="350E9E04" w14:textId="77777777" w:rsidR="009A54C9" w:rsidRDefault="008723E0">
      <w:pPr>
        <w:pStyle w:val="TOC2"/>
        <w:tabs>
          <w:tab w:val="right" w:leader="dot" w:pos="9742"/>
        </w:tabs>
        <w:rPr>
          <w:rFonts w:asciiTheme="minorHAnsi" w:eastAsiaTheme="minorEastAsia" w:hAnsiTheme="minorHAnsi" w:cstheme="minorBidi"/>
          <w:noProof/>
          <w:szCs w:val="22"/>
          <w:lang w:eastAsia="en-AU"/>
        </w:rPr>
      </w:pPr>
      <w:hyperlink w:anchor="_Toc519768684" w:history="1">
        <w:r w:rsidR="009A54C9" w:rsidRPr="003563B8">
          <w:rPr>
            <w:rStyle w:val="Hyperlink"/>
            <w:noProof/>
          </w:rPr>
          <w:t>Plan the market sounding</w:t>
        </w:r>
        <w:r w:rsidR="009A54C9">
          <w:rPr>
            <w:noProof/>
            <w:webHidden/>
          </w:rPr>
          <w:tab/>
        </w:r>
        <w:r w:rsidR="009A54C9">
          <w:rPr>
            <w:noProof/>
            <w:webHidden/>
          </w:rPr>
          <w:fldChar w:fldCharType="begin"/>
        </w:r>
        <w:r w:rsidR="009A54C9">
          <w:rPr>
            <w:noProof/>
            <w:webHidden/>
          </w:rPr>
          <w:instrText xml:space="preserve"> PAGEREF _Toc519768684 \h </w:instrText>
        </w:r>
        <w:r w:rsidR="009A54C9">
          <w:rPr>
            <w:noProof/>
            <w:webHidden/>
          </w:rPr>
        </w:r>
        <w:r w:rsidR="009A54C9">
          <w:rPr>
            <w:noProof/>
            <w:webHidden/>
          </w:rPr>
          <w:fldChar w:fldCharType="separate"/>
        </w:r>
        <w:r w:rsidR="009A54C9">
          <w:rPr>
            <w:noProof/>
            <w:webHidden/>
          </w:rPr>
          <w:t>7</w:t>
        </w:r>
        <w:r w:rsidR="009A54C9">
          <w:rPr>
            <w:noProof/>
            <w:webHidden/>
          </w:rPr>
          <w:fldChar w:fldCharType="end"/>
        </w:r>
      </w:hyperlink>
    </w:p>
    <w:p w14:paraId="0CD0D82C" w14:textId="77777777" w:rsidR="009A54C9" w:rsidRDefault="008723E0">
      <w:pPr>
        <w:pStyle w:val="TOC2"/>
        <w:tabs>
          <w:tab w:val="right" w:leader="dot" w:pos="9742"/>
        </w:tabs>
        <w:rPr>
          <w:rFonts w:asciiTheme="minorHAnsi" w:eastAsiaTheme="minorEastAsia" w:hAnsiTheme="minorHAnsi" w:cstheme="minorBidi"/>
          <w:noProof/>
          <w:szCs w:val="22"/>
          <w:lang w:eastAsia="en-AU"/>
        </w:rPr>
      </w:pPr>
      <w:hyperlink w:anchor="_Toc519768685" w:history="1">
        <w:r w:rsidR="009A54C9" w:rsidRPr="003563B8">
          <w:rPr>
            <w:rStyle w:val="Hyperlink"/>
            <w:noProof/>
          </w:rPr>
          <w:t>Run and report on the market sounding</w:t>
        </w:r>
        <w:r w:rsidR="009A54C9">
          <w:rPr>
            <w:noProof/>
            <w:webHidden/>
          </w:rPr>
          <w:tab/>
        </w:r>
        <w:r w:rsidR="009A54C9">
          <w:rPr>
            <w:noProof/>
            <w:webHidden/>
          </w:rPr>
          <w:fldChar w:fldCharType="begin"/>
        </w:r>
        <w:r w:rsidR="009A54C9">
          <w:rPr>
            <w:noProof/>
            <w:webHidden/>
          </w:rPr>
          <w:instrText xml:space="preserve"> PAGEREF _Toc519768685 \h </w:instrText>
        </w:r>
        <w:r w:rsidR="009A54C9">
          <w:rPr>
            <w:noProof/>
            <w:webHidden/>
          </w:rPr>
        </w:r>
        <w:r w:rsidR="009A54C9">
          <w:rPr>
            <w:noProof/>
            <w:webHidden/>
          </w:rPr>
          <w:fldChar w:fldCharType="separate"/>
        </w:r>
        <w:r w:rsidR="009A54C9">
          <w:rPr>
            <w:noProof/>
            <w:webHidden/>
          </w:rPr>
          <w:t>8</w:t>
        </w:r>
        <w:r w:rsidR="009A54C9">
          <w:rPr>
            <w:noProof/>
            <w:webHidden/>
          </w:rPr>
          <w:fldChar w:fldCharType="end"/>
        </w:r>
      </w:hyperlink>
    </w:p>
    <w:p w14:paraId="4301C5DC" w14:textId="77777777" w:rsidR="009A54C9" w:rsidRDefault="008723E0">
      <w:pPr>
        <w:pStyle w:val="TOC1"/>
        <w:rPr>
          <w:rFonts w:asciiTheme="minorHAnsi" w:eastAsiaTheme="minorEastAsia" w:hAnsiTheme="minorHAnsi" w:cstheme="minorBidi"/>
          <w:noProof/>
          <w:szCs w:val="22"/>
          <w:lang w:eastAsia="en-AU"/>
        </w:rPr>
      </w:pPr>
      <w:hyperlink w:anchor="_Toc519768686" w:history="1">
        <w:r w:rsidR="009A54C9" w:rsidRPr="003563B8">
          <w:rPr>
            <w:rStyle w:val="Hyperlink"/>
            <w:noProof/>
          </w:rPr>
          <w:t>Tool 2: Market sounding question areas</w:t>
        </w:r>
        <w:r w:rsidR="009A54C9">
          <w:rPr>
            <w:noProof/>
            <w:webHidden/>
          </w:rPr>
          <w:tab/>
        </w:r>
        <w:r w:rsidR="009A54C9">
          <w:rPr>
            <w:noProof/>
            <w:webHidden/>
          </w:rPr>
          <w:fldChar w:fldCharType="begin"/>
        </w:r>
        <w:r w:rsidR="009A54C9">
          <w:rPr>
            <w:noProof/>
            <w:webHidden/>
          </w:rPr>
          <w:instrText xml:space="preserve"> PAGEREF _Toc519768686 \h </w:instrText>
        </w:r>
        <w:r w:rsidR="009A54C9">
          <w:rPr>
            <w:noProof/>
            <w:webHidden/>
          </w:rPr>
        </w:r>
        <w:r w:rsidR="009A54C9">
          <w:rPr>
            <w:noProof/>
            <w:webHidden/>
          </w:rPr>
          <w:fldChar w:fldCharType="separate"/>
        </w:r>
        <w:r w:rsidR="009A54C9">
          <w:rPr>
            <w:noProof/>
            <w:webHidden/>
          </w:rPr>
          <w:t>9</w:t>
        </w:r>
        <w:r w:rsidR="009A54C9">
          <w:rPr>
            <w:noProof/>
            <w:webHidden/>
          </w:rPr>
          <w:fldChar w:fldCharType="end"/>
        </w:r>
      </w:hyperlink>
    </w:p>
    <w:p w14:paraId="36105367" w14:textId="77777777" w:rsidR="009A54C9" w:rsidRDefault="008723E0">
      <w:pPr>
        <w:pStyle w:val="TOC1"/>
        <w:rPr>
          <w:rFonts w:asciiTheme="minorHAnsi" w:eastAsiaTheme="minorEastAsia" w:hAnsiTheme="minorHAnsi" w:cstheme="minorBidi"/>
          <w:noProof/>
          <w:szCs w:val="22"/>
          <w:lang w:eastAsia="en-AU"/>
        </w:rPr>
      </w:pPr>
      <w:hyperlink w:anchor="_Toc519768687" w:history="1">
        <w:r w:rsidR="009A54C9" w:rsidRPr="003563B8">
          <w:rPr>
            <w:rStyle w:val="Hyperlink"/>
            <w:noProof/>
          </w:rPr>
          <w:t>Tool 3: Planning and delivering an industry day</w:t>
        </w:r>
        <w:r w:rsidR="009A54C9">
          <w:rPr>
            <w:noProof/>
            <w:webHidden/>
          </w:rPr>
          <w:tab/>
        </w:r>
        <w:r w:rsidR="009A54C9">
          <w:rPr>
            <w:noProof/>
            <w:webHidden/>
          </w:rPr>
          <w:fldChar w:fldCharType="begin"/>
        </w:r>
        <w:r w:rsidR="009A54C9">
          <w:rPr>
            <w:noProof/>
            <w:webHidden/>
          </w:rPr>
          <w:instrText xml:space="preserve"> PAGEREF _Toc519768687 \h </w:instrText>
        </w:r>
        <w:r w:rsidR="009A54C9">
          <w:rPr>
            <w:noProof/>
            <w:webHidden/>
          </w:rPr>
        </w:r>
        <w:r w:rsidR="009A54C9">
          <w:rPr>
            <w:noProof/>
            <w:webHidden/>
          </w:rPr>
          <w:fldChar w:fldCharType="separate"/>
        </w:r>
        <w:r w:rsidR="009A54C9">
          <w:rPr>
            <w:noProof/>
            <w:webHidden/>
          </w:rPr>
          <w:t>10</w:t>
        </w:r>
        <w:r w:rsidR="009A54C9">
          <w:rPr>
            <w:noProof/>
            <w:webHidden/>
          </w:rPr>
          <w:fldChar w:fldCharType="end"/>
        </w:r>
      </w:hyperlink>
    </w:p>
    <w:p w14:paraId="2B5C5F06" w14:textId="2D729C1D" w:rsidR="009A54C9" w:rsidRDefault="008723E0">
      <w:pPr>
        <w:pStyle w:val="TOC1"/>
        <w:rPr>
          <w:rFonts w:asciiTheme="minorHAnsi" w:eastAsiaTheme="minorEastAsia" w:hAnsiTheme="minorHAnsi" w:cstheme="minorBidi"/>
          <w:noProof/>
          <w:szCs w:val="22"/>
          <w:lang w:eastAsia="en-AU"/>
        </w:rPr>
      </w:pPr>
      <w:hyperlink w:anchor="_Toc519768688" w:history="1">
        <w:r w:rsidR="00D160BC">
          <w:rPr>
            <w:rStyle w:val="Hyperlink"/>
            <w:noProof/>
          </w:rPr>
          <w:t>Tool 4: P</w:t>
        </w:r>
        <w:r w:rsidR="009A54C9" w:rsidRPr="003563B8">
          <w:rPr>
            <w:rStyle w:val="Hyperlink"/>
            <w:noProof/>
          </w:rPr>
          <w:t>lanning and delivering an industry briefing</w:t>
        </w:r>
        <w:r w:rsidR="009A54C9">
          <w:rPr>
            <w:noProof/>
            <w:webHidden/>
          </w:rPr>
          <w:tab/>
        </w:r>
        <w:r w:rsidR="009A54C9">
          <w:rPr>
            <w:noProof/>
            <w:webHidden/>
          </w:rPr>
          <w:fldChar w:fldCharType="begin"/>
        </w:r>
        <w:r w:rsidR="009A54C9">
          <w:rPr>
            <w:noProof/>
            <w:webHidden/>
          </w:rPr>
          <w:instrText xml:space="preserve"> PAGEREF _Toc519768688 \h </w:instrText>
        </w:r>
        <w:r w:rsidR="009A54C9">
          <w:rPr>
            <w:noProof/>
            <w:webHidden/>
          </w:rPr>
        </w:r>
        <w:r w:rsidR="009A54C9">
          <w:rPr>
            <w:noProof/>
            <w:webHidden/>
          </w:rPr>
          <w:fldChar w:fldCharType="separate"/>
        </w:r>
        <w:r w:rsidR="009A54C9">
          <w:rPr>
            <w:noProof/>
            <w:webHidden/>
          </w:rPr>
          <w:t>12</w:t>
        </w:r>
        <w:r w:rsidR="009A54C9">
          <w:rPr>
            <w:noProof/>
            <w:webHidden/>
          </w:rPr>
          <w:fldChar w:fldCharType="end"/>
        </w:r>
      </w:hyperlink>
    </w:p>
    <w:p w14:paraId="11B64366" w14:textId="77777777" w:rsidR="009A54C9" w:rsidRDefault="008723E0">
      <w:pPr>
        <w:pStyle w:val="TOC1"/>
        <w:rPr>
          <w:rFonts w:asciiTheme="minorHAnsi" w:eastAsiaTheme="minorEastAsia" w:hAnsiTheme="minorHAnsi" w:cstheme="minorBidi"/>
          <w:noProof/>
          <w:szCs w:val="22"/>
          <w:lang w:eastAsia="en-AU"/>
        </w:rPr>
      </w:pPr>
      <w:hyperlink w:anchor="_Toc519768689" w:history="1">
        <w:r w:rsidR="009A54C9" w:rsidRPr="003563B8">
          <w:rPr>
            <w:rStyle w:val="Hyperlink"/>
            <w:noProof/>
          </w:rPr>
          <w:t>Tool 5: Market assessment approach and data sources</w:t>
        </w:r>
        <w:r w:rsidR="009A54C9">
          <w:rPr>
            <w:noProof/>
            <w:webHidden/>
          </w:rPr>
          <w:tab/>
        </w:r>
        <w:r w:rsidR="009A54C9">
          <w:rPr>
            <w:noProof/>
            <w:webHidden/>
          </w:rPr>
          <w:fldChar w:fldCharType="begin"/>
        </w:r>
        <w:r w:rsidR="009A54C9">
          <w:rPr>
            <w:noProof/>
            <w:webHidden/>
          </w:rPr>
          <w:instrText xml:space="preserve"> PAGEREF _Toc519768689 \h </w:instrText>
        </w:r>
        <w:r w:rsidR="009A54C9">
          <w:rPr>
            <w:noProof/>
            <w:webHidden/>
          </w:rPr>
        </w:r>
        <w:r w:rsidR="009A54C9">
          <w:rPr>
            <w:noProof/>
            <w:webHidden/>
          </w:rPr>
          <w:fldChar w:fldCharType="separate"/>
        </w:r>
        <w:r w:rsidR="009A54C9">
          <w:rPr>
            <w:noProof/>
            <w:webHidden/>
          </w:rPr>
          <w:t>13</w:t>
        </w:r>
        <w:r w:rsidR="009A54C9">
          <w:rPr>
            <w:noProof/>
            <w:webHidden/>
          </w:rPr>
          <w:fldChar w:fldCharType="end"/>
        </w:r>
      </w:hyperlink>
    </w:p>
    <w:p w14:paraId="184447D8" w14:textId="77777777" w:rsidR="009A54C9" w:rsidRDefault="008723E0">
      <w:pPr>
        <w:pStyle w:val="TOC1"/>
        <w:rPr>
          <w:rFonts w:asciiTheme="minorHAnsi" w:eastAsiaTheme="minorEastAsia" w:hAnsiTheme="minorHAnsi" w:cstheme="minorBidi"/>
          <w:noProof/>
          <w:szCs w:val="22"/>
          <w:lang w:eastAsia="en-AU"/>
        </w:rPr>
      </w:pPr>
      <w:hyperlink w:anchor="_Toc519768690" w:history="1">
        <w:r w:rsidR="009A54C9" w:rsidRPr="003563B8">
          <w:rPr>
            <w:rStyle w:val="Hyperlink"/>
            <w:noProof/>
          </w:rPr>
          <w:t>Tool 6: Engagement with providers</w:t>
        </w:r>
        <w:r w:rsidR="009A54C9">
          <w:rPr>
            <w:noProof/>
            <w:webHidden/>
          </w:rPr>
          <w:tab/>
        </w:r>
        <w:r w:rsidR="009A54C9">
          <w:rPr>
            <w:noProof/>
            <w:webHidden/>
          </w:rPr>
          <w:fldChar w:fldCharType="begin"/>
        </w:r>
        <w:r w:rsidR="009A54C9">
          <w:rPr>
            <w:noProof/>
            <w:webHidden/>
          </w:rPr>
          <w:instrText xml:space="preserve"> PAGEREF _Toc519768690 \h </w:instrText>
        </w:r>
        <w:r w:rsidR="009A54C9">
          <w:rPr>
            <w:noProof/>
            <w:webHidden/>
          </w:rPr>
        </w:r>
        <w:r w:rsidR="009A54C9">
          <w:rPr>
            <w:noProof/>
            <w:webHidden/>
          </w:rPr>
          <w:fldChar w:fldCharType="separate"/>
        </w:r>
        <w:r w:rsidR="009A54C9">
          <w:rPr>
            <w:noProof/>
            <w:webHidden/>
          </w:rPr>
          <w:t>16</w:t>
        </w:r>
        <w:r w:rsidR="009A54C9">
          <w:rPr>
            <w:noProof/>
            <w:webHidden/>
          </w:rPr>
          <w:fldChar w:fldCharType="end"/>
        </w:r>
      </w:hyperlink>
    </w:p>
    <w:p w14:paraId="0E84EE42" w14:textId="77777777" w:rsidR="009A54C9" w:rsidRDefault="008723E0">
      <w:pPr>
        <w:pStyle w:val="TOC2"/>
        <w:tabs>
          <w:tab w:val="right" w:leader="dot" w:pos="9742"/>
        </w:tabs>
        <w:rPr>
          <w:rFonts w:asciiTheme="minorHAnsi" w:eastAsiaTheme="minorEastAsia" w:hAnsiTheme="minorHAnsi" w:cstheme="minorBidi"/>
          <w:noProof/>
          <w:szCs w:val="22"/>
          <w:lang w:eastAsia="en-AU"/>
        </w:rPr>
      </w:pPr>
      <w:hyperlink w:anchor="_Toc519768691" w:history="1">
        <w:r w:rsidR="009A54C9" w:rsidRPr="003563B8">
          <w:rPr>
            <w:rStyle w:val="Hyperlink"/>
            <w:noProof/>
          </w:rPr>
          <w:t>PHN tips for approaches to provider engagement</w:t>
        </w:r>
        <w:r w:rsidR="009A54C9">
          <w:rPr>
            <w:noProof/>
            <w:webHidden/>
          </w:rPr>
          <w:tab/>
        </w:r>
        <w:r w:rsidR="009A54C9">
          <w:rPr>
            <w:noProof/>
            <w:webHidden/>
          </w:rPr>
          <w:fldChar w:fldCharType="begin"/>
        </w:r>
        <w:r w:rsidR="009A54C9">
          <w:rPr>
            <w:noProof/>
            <w:webHidden/>
          </w:rPr>
          <w:instrText xml:space="preserve"> PAGEREF _Toc519768691 \h </w:instrText>
        </w:r>
        <w:r w:rsidR="009A54C9">
          <w:rPr>
            <w:noProof/>
            <w:webHidden/>
          </w:rPr>
        </w:r>
        <w:r w:rsidR="009A54C9">
          <w:rPr>
            <w:noProof/>
            <w:webHidden/>
          </w:rPr>
          <w:fldChar w:fldCharType="separate"/>
        </w:r>
        <w:r w:rsidR="009A54C9">
          <w:rPr>
            <w:noProof/>
            <w:webHidden/>
          </w:rPr>
          <w:t>16</w:t>
        </w:r>
        <w:r w:rsidR="009A54C9">
          <w:rPr>
            <w:noProof/>
            <w:webHidden/>
          </w:rPr>
          <w:fldChar w:fldCharType="end"/>
        </w:r>
      </w:hyperlink>
    </w:p>
    <w:p w14:paraId="1CB503B7" w14:textId="77777777" w:rsidR="009A54C9" w:rsidRDefault="008723E0">
      <w:pPr>
        <w:pStyle w:val="TOC2"/>
        <w:tabs>
          <w:tab w:val="right" w:leader="dot" w:pos="9742"/>
        </w:tabs>
        <w:rPr>
          <w:rFonts w:asciiTheme="minorHAnsi" w:eastAsiaTheme="minorEastAsia" w:hAnsiTheme="minorHAnsi" w:cstheme="minorBidi"/>
          <w:noProof/>
          <w:szCs w:val="22"/>
          <w:lang w:eastAsia="en-AU"/>
        </w:rPr>
      </w:pPr>
      <w:hyperlink w:anchor="_Toc519768692" w:history="1">
        <w:r w:rsidR="009A54C9" w:rsidRPr="003563B8">
          <w:rPr>
            <w:rStyle w:val="Hyperlink"/>
            <w:noProof/>
          </w:rPr>
          <w:t>Engagement with providers throughout the commissioning framework</w:t>
        </w:r>
        <w:r w:rsidR="009A54C9">
          <w:rPr>
            <w:noProof/>
            <w:webHidden/>
          </w:rPr>
          <w:tab/>
        </w:r>
        <w:r w:rsidR="009A54C9">
          <w:rPr>
            <w:noProof/>
            <w:webHidden/>
          </w:rPr>
          <w:fldChar w:fldCharType="begin"/>
        </w:r>
        <w:r w:rsidR="009A54C9">
          <w:rPr>
            <w:noProof/>
            <w:webHidden/>
          </w:rPr>
          <w:instrText xml:space="preserve"> PAGEREF _Toc519768692 \h </w:instrText>
        </w:r>
        <w:r w:rsidR="009A54C9">
          <w:rPr>
            <w:noProof/>
            <w:webHidden/>
          </w:rPr>
        </w:r>
        <w:r w:rsidR="009A54C9">
          <w:rPr>
            <w:noProof/>
            <w:webHidden/>
          </w:rPr>
          <w:fldChar w:fldCharType="separate"/>
        </w:r>
        <w:r w:rsidR="009A54C9">
          <w:rPr>
            <w:noProof/>
            <w:webHidden/>
          </w:rPr>
          <w:t>16</w:t>
        </w:r>
        <w:r w:rsidR="009A54C9">
          <w:rPr>
            <w:noProof/>
            <w:webHidden/>
          </w:rPr>
          <w:fldChar w:fldCharType="end"/>
        </w:r>
      </w:hyperlink>
    </w:p>
    <w:p w14:paraId="675C3D9F" w14:textId="77777777" w:rsidR="009A54C9" w:rsidRDefault="008723E0">
      <w:pPr>
        <w:pStyle w:val="TOC1"/>
        <w:rPr>
          <w:rFonts w:asciiTheme="minorHAnsi" w:eastAsiaTheme="minorEastAsia" w:hAnsiTheme="minorHAnsi" w:cstheme="minorBidi"/>
          <w:noProof/>
          <w:szCs w:val="22"/>
          <w:lang w:eastAsia="en-AU"/>
        </w:rPr>
      </w:pPr>
      <w:hyperlink w:anchor="_Toc519768693" w:history="1">
        <w:r w:rsidR="009A54C9" w:rsidRPr="003563B8">
          <w:rPr>
            <w:rStyle w:val="Hyperlink"/>
            <w:noProof/>
          </w:rPr>
          <w:t>Tool 7: Flow charts for decommissioning</w:t>
        </w:r>
        <w:r w:rsidR="009A54C9">
          <w:rPr>
            <w:noProof/>
            <w:webHidden/>
          </w:rPr>
          <w:tab/>
        </w:r>
        <w:r w:rsidR="009A54C9">
          <w:rPr>
            <w:noProof/>
            <w:webHidden/>
          </w:rPr>
          <w:fldChar w:fldCharType="begin"/>
        </w:r>
        <w:r w:rsidR="009A54C9">
          <w:rPr>
            <w:noProof/>
            <w:webHidden/>
          </w:rPr>
          <w:instrText xml:space="preserve"> PAGEREF _Toc519768693 \h </w:instrText>
        </w:r>
        <w:r w:rsidR="009A54C9">
          <w:rPr>
            <w:noProof/>
            <w:webHidden/>
          </w:rPr>
        </w:r>
        <w:r w:rsidR="009A54C9">
          <w:rPr>
            <w:noProof/>
            <w:webHidden/>
          </w:rPr>
          <w:fldChar w:fldCharType="separate"/>
        </w:r>
        <w:r w:rsidR="009A54C9">
          <w:rPr>
            <w:noProof/>
            <w:webHidden/>
          </w:rPr>
          <w:t>18</w:t>
        </w:r>
        <w:r w:rsidR="009A54C9">
          <w:rPr>
            <w:noProof/>
            <w:webHidden/>
          </w:rPr>
          <w:fldChar w:fldCharType="end"/>
        </w:r>
      </w:hyperlink>
    </w:p>
    <w:p w14:paraId="58B4FB2A" w14:textId="77777777" w:rsidR="009A54C9" w:rsidRDefault="008723E0">
      <w:pPr>
        <w:pStyle w:val="TOC2"/>
        <w:tabs>
          <w:tab w:val="right" w:leader="dot" w:pos="9742"/>
        </w:tabs>
        <w:rPr>
          <w:rFonts w:asciiTheme="minorHAnsi" w:eastAsiaTheme="minorEastAsia" w:hAnsiTheme="minorHAnsi" w:cstheme="minorBidi"/>
          <w:noProof/>
          <w:szCs w:val="22"/>
          <w:lang w:eastAsia="en-AU"/>
        </w:rPr>
      </w:pPr>
      <w:hyperlink w:anchor="_Toc519768694" w:history="1">
        <w:r w:rsidR="009A54C9" w:rsidRPr="003563B8">
          <w:rPr>
            <w:rStyle w:val="Hyperlink"/>
            <w:noProof/>
          </w:rPr>
          <w:t>Decommissioning flowchart (1)</w:t>
        </w:r>
        <w:r w:rsidR="009A54C9">
          <w:rPr>
            <w:noProof/>
            <w:webHidden/>
          </w:rPr>
          <w:tab/>
        </w:r>
        <w:r w:rsidR="009A54C9">
          <w:rPr>
            <w:noProof/>
            <w:webHidden/>
          </w:rPr>
          <w:fldChar w:fldCharType="begin"/>
        </w:r>
        <w:r w:rsidR="009A54C9">
          <w:rPr>
            <w:noProof/>
            <w:webHidden/>
          </w:rPr>
          <w:instrText xml:space="preserve"> PAGEREF _Toc519768694 \h </w:instrText>
        </w:r>
        <w:r w:rsidR="009A54C9">
          <w:rPr>
            <w:noProof/>
            <w:webHidden/>
          </w:rPr>
        </w:r>
        <w:r w:rsidR="009A54C9">
          <w:rPr>
            <w:noProof/>
            <w:webHidden/>
          </w:rPr>
          <w:fldChar w:fldCharType="separate"/>
        </w:r>
        <w:r w:rsidR="009A54C9">
          <w:rPr>
            <w:noProof/>
            <w:webHidden/>
          </w:rPr>
          <w:t>18</w:t>
        </w:r>
        <w:r w:rsidR="009A54C9">
          <w:rPr>
            <w:noProof/>
            <w:webHidden/>
          </w:rPr>
          <w:fldChar w:fldCharType="end"/>
        </w:r>
      </w:hyperlink>
    </w:p>
    <w:p w14:paraId="32146482" w14:textId="77777777" w:rsidR="009A54C9" w:rsidRDefault="008723E0">
      <w:pPr>
        <w:pStyle w:val="TOC2"/>
        <w:tabs>
          <w:tab w:val="right" w:leader="dot" w:pos="9742"/>
        </w:tabs>
        <w:rPr>
          <w:rFonts w:asciiTheme="minorHAnsi" w:eastAsiaTheme="minorEastAsia" w:hAnsiTheme="minorHAnsi" w:cstheme="minorBidi"/>
          <w:noProof/>
          <w:szCs w:val="22"/>
          <w:lang w:eastAsia="en-AU"/>
        </w:rPr>
      </w:pPr>
      <w:hyperlink w:anchor="_Toc519768695" w:history="1">
        <w:r w:rsidR="009A54C9" w:rsidRPr="003563B8">
          <w:rPr>
            <w:rStyle w:val="Hyperlink"/>
            <w:noProof/>
          </w:rPr>
          <w:t>Decommissioning flowchart (2)</w:t>
        </w:r>
        <w:r w:rsidR="009A54C9">
          <w:rPr>
            <w:noProof/>
            <w:webHidden/>
          </w:rPr>
          <w:tab/>
        </w:r>
        <w:r w:rsidR="009A54C9">
          <w:rPr>
            <w:noProof/>
            <w:webHidden/>
          </w:rPr>
          <w:fldChar w:fldCharType="begin"/>
        </w:r>
        <w:r w:rsidR="009A54C9">
          <w:rPr>
            <w:noProof/>
            <w:webHidden/>
          </w:rPr>
          <w:instrText xml:space="preserve"> PAGEREF _Toc519768695 \h </w:instrText>
        </w:r>
        <w:r w:rsidR="009A54C9">
          <w:rPr>
            <w:noProof/>
            <w:webHidden/>
          </w:rPr>
        </w:r>
        <w:r w:rsidR="009A54C9">
          <w:rPr>
            <w:noProof/>
            <w:webHidden/>
          </w:rPr>
          <w:fldChar w:fldCharType="separate"/>
        </w:r>
        <w:r w:rsidR="009A54C9">
          <w:rPr>
            <w:noProof/>
            <w:webHidden/>
          </w:rPr>
          <w:t>19</w:t>
        </w:r>
        <w:r w:rsidR="009A54C9">
          <w:rPr>
            <w:noProof/>
            <w:webHidden/>
          </w:rPr>
          <w:fldChar w:fldCharType="end"/>
        </w:r>
      </w:hyperlink>
    </w:p>
    <w:p w14:paraId="5360986E" w14:textId="77777777" w:rsidR="009A54C9" w:rsidRDefault="008723E0">
      <w:pPr>
        <w:pStyle w:val="TOC2"/>
        <w:tabs>
          <w:tab w:val="right" w:leader="dot" w:pos="9742"/>
        </w:tabs>
        <w:rPr>
          <w:rFonts w:asciiTheme="minorHAnsi" w:eastAsiaTheme="minorEastAsia" w:hAnsiTheme="minorHAnsi" w:cstheme="minorBidi"/>
          <w:noProof/>
          <w:szCs w:val="22"/>
          <w:lang w:eastAsia="en-AU"/>
        </w:rPr>
      </w:pPr>
      <w:hyperlink w:anchor="_Toc519768696" w:history="1">
        <w:r w:rsidR="009A54C9" w:rsidRPr="003563B8">
          <w:rPr>
            <w:rStyle w:val="Hyperlink"/>
            <w:noProof/>
          </w:rPr>
          <w:t>Other guidance</w:t>
        </w:r>
        <w:r w:rsidR="009A54C9">
          <w:rPr>
            <w:noProof/>
            <w:webHidden/>
          </w:rPr>
          <w:tab/>
        </w:r>
        <w:r w:rsidR="009A54C9">
          <w:rPr>
            <w:noProof/>
            <w:webHidden/>
          </w:rPr>
          <w:fldChar w:fldCharType="begin"/>
        </w:r>
        <w:r w:rsidR="009A54C9">
          <w:rPr>
            <w:noProof/>
            <w:webHidden/>
          </w:rPr>
          <w:instrText xml:space="preserve"> PAGEREF _Toc519768696 \h </w:instrText>
        </w:r>
        <w:r w:rsidR="009A54C9">
          <w:rPr>
            <w:noProof/>
            <w:webHidden/>
          </w:rPr>
        </w:r>
        <w:r w:rsidR="009A54C9">
          <w:rPr>
            <w:noProof/>
            <w:webHidden/>
          </w:rPr>
          <w:fldChar w:fldCharType="separate"/>
        </w:r>
        <w:r w:rsidR="009A54C9">
          <w:rPr>
            <w:noProof/>
            <w:webHidden/>
          </w:rPr>
          <w:t>19</w:t>
        </w:r>
        <w:r w:rsidR="009A54C9">
          <w:rPr>
            <w:noProof/>
            <w:webHidden/>
          </w:rPr>
          <w:fldChar w:fldCharType="end"/>
        </w:r>
      </w:hyperlink>
    </w:p>
    <w:p w14:paraId="13C92AE1" w14:textId="680F4007" w:rsidR="00644D6C" w:rsidRPr="003D5106" w:rsidRDefault="00644D6C" w:rsidP="00644D6C">
      <w:r>
        <w:rPr>
          <w:color w:val="003D69"/>
          <w:sz w:val="24"/>
        </w:rPr>
        <w:fldChar w:fldCharType="end"/>
      </w:r>
    </w:p>
    <w:p w14:paraId="176A5AFF" w14:textId="77777777" w:rsidR="003E0005" w:rsidRPr="00316CB5" w:rsidRDefault="00421928" w:rsidP="00644D6C">
      <w:pPr>
        <w:pStyle w:val="SectionHeading"/>
      </w:pPr>
      <w:r>
        <w:br w:type="page"/>
      </w:r>
      <w:bookmarkStart w:id="8" w:name="_Toc519768678"/>
      <w:r w:rsidR="003E0005" w:rsidRPr="00316CB5">
        <w:t>Acronyms used in this guidance</w:t>
      </w:r>
      <w:bookmarkEnd w:id="8"/>
    </w:p>
    <w:p w14:paraId="6631997D" w14:textId="33B53554" w:rsidR="003E0005" w:rsidRPr="00316CB5" w:rsidRDefault="003E0005" w:rsidP="00696B04"/>
    <w:p w14:paraId="6204104B" w14:textId="37254E05" w:rsidR="00BD2C4E" w:rsidRPr="00316CB5" w:rsidRDefault="00BD2C4E" w:rsidP="00644D6C">
      <w:pPr>
        <w:ind w:left="1560" w:hanging="1560"/>
      </w:pPr>
      <w:r w:rsidRPr="00644D6C">
        <w:rPr>
          <w:b/>
          <w:color w:val="153A6E"/>
        </w:rPr>
        <w:t>ACCHS</w:t>
      </w:r>
      <w:r w:rsidRPr="00316CB5">
        <w:tab/>
        <w:t>Aboriginal Community Controlled Health Services</w:t>
      </w:r>
    </w:p>
    <w:p w14:paraId="3F72B769" w14:textId="5285CDCD" w:rsidR="00BD2C4E" w:rsidRPr="00316CB5" w:rsidRDefault="00BD2C4E" w:rsidP="00644D6C">
      <w:pPr>
        <w:ind w:left="1560" w:hanging="1560"/>
      </w:pPr>
      <w:r w:rsidRPr="00644D6C">
        <w:rPr>
          <w:b/>
          <w:color w:val="153A6E"/>
        </w:rPr>
        <w:t>ACOS</w:t>
      </w:r>
      <w:r w:rsidRPr="00316CB5">
        <w:tab/>
        <w:t>Australian Council of Social Services</w:t>
      </w:r>
    </w:p>
    <w:p w14:paraId="0A2A2A9D" w14:textId="5C7BCF15" w:rsidR="00572E33" w:rsidRPr="00316CB5" w:rsidRDefault="00572E33" w:rsidP="00644D6C">
      <w:pPr>
        <w:ind w:left="1560" w:hanging="1560"/>
      </w:pPr>
      <w:r w:rsidRPr="00644D6C">
        <w:rPr>
          <w:b/>
          <w:color w:val="153A6E"/>
        </w:rPr>
        <w:t>AMS</w:t>
      </w:r>
      <w:r w:rsidRPr="00316CB5">
        <w:tab/>
        <w:t xml:space="preserve">Aboriginal Medical Services </w:t>
      </w:r>
    </w:p>
    <w:p w14:paraId="66C6FB75" w14:textId="4CBE5886" w:rsidR="003E0005" w:rsidRPr="00316CB5" w:rsidRDefault="003E0005" w:rsidP="00644D6C">
      <w:pPr>
        <w:ind w:left="1560" w:hanging="1560"/>
      </w:pPr>
      <w:r w:rsidRPr="00644D6C">
        <w:rPr>
          <w:b/>
          <w:color w:val="153A6E"/>
        </w:rPr>
        <w:t>EOI</w:t>
      </w:r>
      <w:r w:rsidRPr="00316CB5">
        <w:tab/>
        <w:t>Expression of Interest</w:t>
      </w:r>
    </w:p>
    <w:p w14:paraId="76BEDB70" w14:textId="17893C77" w:rsidR="00BD2C4E" w:rsidRPr="00316CB5" w:rsidRDefault="00BD2C4E" w:rsidP="00644D6C">
      <w:pPr>
        <w:ind w:left="1560" w:hanging="1560"/>
      </w:pPr>
      <w:r w:rsidRPr="00644D6C">
        <w:rPr>
          <w:b/>
          <w:color w:val="153A6E"/>
        </w:rPr>
        <w:t>LHN</w:t>
      </w:r>
      <w:r w:rsidRPr="00316CB5">
        <w:tab/>
        <w:t>Local Hospital Network</w:t>
      </w:r>
    </w:p>
    <w:p w14:paraId="212DE4A0" w14:textId="1CAF3FAA" w:rsidR="00572E33" w:rsidRPr="00316CB5" w:rsidRDefault="00572E33" w:rsidP="00644D6C">
      <w:pPr>
        <w:ind w:left="1560" w:hanging="1560"/>
      </w:pPr>
      <w:r w:rsidRPr="00644D6C">
        <w:rPr>
          <w:b/>
          <w:color w:val="153A6E"/>
        </w:rPr>
        <w:t>NACCHO</w:t>
      </w:r>
      <w:r w:rsidRPr="00316CB5">
        <w:tab/>
        <w:t>National Aboriginal Community Controlled Health Organisation</w:t>
      </w:r>
    </w:p>
    <w:p w14:paraId="534015E0" w14:textId="1A0A1050" w:rsidR="00DB6C8C" w:rsidRPr="00316CB5" w:rsidRDefault="00DB6C8C" w:rsidP="00644D6C">
      <w:pPr>
        <w:ind w:left="1560" w:hanging="1560"/>
      </w:pPr>
      <w:r w:rsidRPr="00644D6C">
        <w:rPr>
          <w:b/>
          <w:color w:val="153A6E"/>
        </w:rPr>
        <w:t>PHN</w:t>
      </w:r>
      <w:r w:rsidR="005B3B84" w:rsidRPr="00644D6C">
        <w:rPr>
          <w:b/>
          <w:color w:val="153A6E"/>
        </w:rPr>
        <w:t>(</w:t>
      </w:r>
      <w:r w:rsidRPr="00644D6C">
        <w:rPr>
          <w:b/>
          <w:color w:val="153A6E"/>
        </w:rPr>
        <w:t>s</w:t>
      </w:r>
      <w:r w:rsidR="005B3B84" w:rsidRPr="00644D6C">
        <w:rPr>
          <w:b/>
          <w:color w:val="153A6E"/>
        </w:rPr>
        <w:t>)</w:t>
      </w:r>
      <w:r w:rsidRPr="00316CB5">
        <w:tab/>
        <w:t>Primary Health Network</w:t>
      </w:r>
      <w:r w:rsidR="005B3B84" w:rsidRPr="00316CB5">
        <w:t>(</w:t>
      </w:r>
      <w:r w:rsidRPr="00316CB5">
        <w:t>s</w:t>
      </w:r>
      <w:r w:rsidR="005B3B84" w:rsidRPr="00316CB5">
        <w:t>)</w:t>
      </w:r>
    </w:p>
    <w:p w14:paraId="659361AE" w14:textId="6ACD2DBE" w:rsidR="00BD2C4E" w:rsidRPr="00316CB5" w:rsidRDefault="00BD2C4E" w:rsidP="00644D6C">
      <w:pPr>
        <w:ind w:left="1560" w:hanging="1560"/>
      </w:pPr>
      <w:r w:rsidRPr="00644D6C">
        <w:rPr>
          <w:b/>
          <w:color w:val="153A6E"/>
        </w:rPr>
        <w:t>RACGP</w:t>
      </w:r>
      <w:r w:rsidRPr="00316CB5">
        <w:tab/>
        <w:t xml:space="preserve">Royal Australian College of General Practitioners </w:t>
      </w:r>
    </w:p>
    <w:p w14:paraId="74AFF779" w14:textId="50ECB677" w:rsidR="00DB6C8C" w:rsidRPr="00316CB5" w:rsidRDefault="00DB6C8C" w:rsidP="00644D6C">
      <w:pPr>
        <w:ind w:left="1560" w:hanging="1560"/>
      </w:pPr>
      <w:r w:rsidRPr="00644D6C">
        <w:rPr>
          <w:b/>
          <w:color w:val="153A6E"/>
        </w:rPr>
        <w:t>TAFE</w:t>
      </w:r>
      <w:r w:rsidRPr="00316CB5">
        <w:tab/>
        <w:t>Technical and further education</w:t>
      </w:r>
    </w:p>
    <w:p w14:paraId="4C83ED6A" w14:textId="77777777" w:rsidR="003E0005" w:rsidRDefault="003E0005" w:rsidP="00644D6C">
      <w:pPr>
        <w:pStyle w:val="Paragraphtext"/>
      </w:pPr>
      <w:r>
        <w:br w:type="page"/>
      </w:r>
    </w:p>
    <w:p w14:paraId="048393A7" w14:textId="042298D1" w:rsidR="003E0005" w:rsidRPr="00316CB5" w:rsidRDefault="003E0005" w:rsidP="00644D6C">
      <w:pPr>
        <w:pStyle w:val="SectionHeading"/>
      </w:pPr>
      <w:bookmarkStart w:id="9" w:name="_Toc519768679"/>
      <w:r w:rsidRPr="00316CB5">
        <w:t xml:space="preserve">Definitions </w:t>
      </w:r>
      <w:r w:rsidR="005B3B84" w:rsidRPr="00316CB5">
        <w:t xml:space="preserve">of some key terms </w:t>
      </w:r>
      <w:r w:rsidRPr="00316CB5">
        <w:t xml:space="preserve">used in this </w:t>
      </w:r>
      <w:r w:rsidR="006E0C64">
        <w:t>Toolkit</w:t>
      </w:r>
      <w:bookmarkEnd w:id="9"/>
    </w:p>
    <w:p w14:paraId="6A8F18C3" w14:textId="62BE2F30" w:rsidR="003E0005" w:rsidRPr="00316CB5" w:rsidRDefault="003E0005" w:rsidP="00644D6C">
      <w:pPr>
        <w:pStyle w:val="MajorHeading"/>
      </w:pPr>
      <w:r w:rsidRPr="00316CB5">
        <w:t>Cultural awareness</w:t>
      </w:r>
      <w:r w:rsidR="006E0C64">
        <w:t xml:space="preserve"> (in relation to Aboriginal and Torres Strait Islander cultures)</w:t>
      </w:r>
      <w:r w:rsidRPr="00316CB5">
        <w:t xml:space="preserve"> </w:t>
      </w:r>
    </w:p>
    <w:p w14:paraId="0EB5DBD7" w14:textId="77777777" w:rsidR="003E0005" w:rsidRPr="00316CB5" w:rsidRDefault="003E0005" w:rsidP="00644D6C">
      <w:pPr>
        <w:pStyle w:val="Paragraphtext"/>
      </w:pPr>
      <w:r w:rsidRPr="00316CB5">
        <w:t>Demonstrates a basic understanding of Aboriginal and Torres Strait Islander histories, peoples and cultures. There is no common accepted practice, and the actions taken depend upon the individual and their knowledge of Aboriginal and Torres Strait Islander culture. Generally accepted as a necessary first step and a foundation for further development, but not sufficient for sustained behaviour change.</w:t>
      </w:r>
      <w:r w:rsidRPr="00316CB5">
        <w:rPr>
          <w:rStyle w:val="FootnoteReference"/>
        </w:rPr>
        <w:footnoteReference w:id="1"/>
      </w:r>
    </w:p>
    <w:p w14:paraId="5C01DE74" w14:textId="77777777" w:rsidR="003E0005" w:rsidRPr="00316CB5" w:rsidRDefault="003E0005" w:rsidP="00644D6C">
      <w:pPr>
        <w:pStyle w:val="MajorHeading"/>
      </w:pPr>
      <w:r w:rsidRPr="00316CB5">
        <w:t xml:space="preserve">Cultural competency </w:t>
      </w:r>
    </w:p>
    <w:p w14:paraId="71212AD1" w14:textId="77777777" w:rsidR="005B3B84" w:rsidRPr="00316CB5" w:rsidRDefault="005B3B84" w:rsidP="005B3B84">
      <w:r w:rsidRPr="00316CB5">
        <w:t xml:space="preserve">Cultural competency is a key strategy for reducing inequalities in health care access and improving the quality and effectiveness of care for Indigenous people. </w:t>
      </w:r>
    </w:p>
    <w:p w14:paraId="4EBFDF95" w14:textId="4D423521" w:rsidR="003E0005" w:rsidRPr="00316CB5" w:rsidRDefault="005B3B84" w:rsidP="00644D6C">
      <w:pPr>
        <w:pStyle w:val="Paragraphtext"/>
      </w:pPr>
      <w:r w:rsidRPr="00316CB5">
        <w:t>Cultural competence is more than cultural awareness; it is</w:t>
      </w:r>
      <w:r w:rsidR="003E0005" w:rsidRPr="00316CB5">
        <w:t xml:space="preserve"> </w:t>
      </w:r>
      <w:r w:rsidRPr="00316CB5">
        <w:t xml:space="preserve">the </w:t>
      </w:r>
      <w:r w:rsidR="003E0005" w:rsidRPr="00316CB5">
        <w:t xml:space="preserve">set of behaviours, attitudes and policies that come together </w:t>
      </w:r>
      <w:r w:rsidRPr="00316CB5">
        <w:t xml:space="preserve">to enable </w:t>
      </w:r>
      <w:r w:rsidR="003E0005" w:rsidRPr="00316CB5">
        <w:t>a system, agency or professionals to work effectively in cross-cultural situations.</w:t>
      </w:r>
      <w:r w:rsidR="003E0005" w:rsidRPr="00316CB5">
        <w:rPr>
          <w:rStyle w:val="FootnoteReference"/>
        </w:rPr>
        <w:footnoteReference w:id="2"/>
      </w:r>
    </w:p>
    <w:p w14:paraId="0CCB0D73" w14:textId="77777777" w:rsidR="003E0005" w:rsidRPr="00316CB5" w:rsidRDefault="003E0005" w:rsidP="00644D6C">
      <w:pPr>
        <w:pStyle w:val="MajorHeading"/>
      </w:pPr>
      <w:r w:rsidRPr="00316CB5">
        <w:t xml:space="preserve">Cultural safety </w:t>
      </w:r>
    </w:p>
    <w:p w14:paraId="75C6215E" w14:textId="42FE6B1B" w:rsidR="003E0005" w:rsidRPr="00316CB5" w:rsidRDefault="003E0005" w:rsidP="00644D6C">
      <w:pPr>
        <w:pStyle w:val="Paragraphtext"/>
      </w:pPr>
      <w:r w:rsidRPr="00316CB5">
        <w:t>Identifies that health consumers are safest when health professionals have considered power relations, cultural differences and patients’ rights. Part of this process requires health professionals to examine their own realities, beliefs and attitudes.</w:t>
      </w:r>
      <w:r w:rsidR="00644D6C">
        <w:t xml:space="preserve"> </w:t>
      </w:r>
      <w:r w:rsidRPr="00316CB5">
        <w:t>Cultural safety is not defined by the health professional, but is defined by the health consumer’s experience</w:t>
      </w:r>
      <w:r w:rsidR="005B3B84" w:rsidRPr="00316CB5">
        <w:t xml:space="preserve"> - </w:t>
      </w:r>
      <w:r w:rsidRPr="00316CB5">
        <w:t>the individual’s experience of care they are given, ability to access services and to raise concerns.</w:t>
      </w:r>
      <w:r w:rsidR="00644D6C">
        <w:t xml:space="preserve"> </w:t>
      </w:r>
      <w:r w:rsidRPr="00316CB5">
        <w:t>The essential features of cultural safety are:</w:t>
      </w:r>
    </w:p>
    <w:p w14:paraId="4CFB04D0" w14:textId="6AA47CDC" w:rsidR="003E0005" w:rsidRPr="00316CB5" w:rsidRDefault="003E0005" w:rsidP="00696B04">
      <w:pPr>
        <w:pStyle w:val="Hangingindent1"/>
      </w:pPr>
      <w:r w:rsidRPr="00316CB5">
        <w:t xml:space="preserve">a) </w:t>
      </w:r>
      <w:r w:rsidR="00696B04">
        <w:tab/>
      </w:r>
      <w:r w:rsidRPr="00316CB5">
        <w:t>An understanding of one’s culture</w:t>
      </w:r>
    </w:p>
    <w:p w14:paraId="54F48E88" w14:textId="19EE7FBA" w:rsidR="003E0005" w:rsidRPr="00316CB5" w:rsidRDefault="003E0005" w:rsidP="00696B04">
      <w:pPr>
        <w:pStyle w:val="Hangingindent1"/>
      </w:pPr>
      <w:r w:rsidRPr="00316CB5">
        <w:t xml:space="preserve">b) </w:t>
      </w:r>
      <w:r w:rsidR="00696B04">
        <w:tab/>
      </w:r>
      <w:r w:rsidRPr="00316CB5">
        <w:t>An acknowledgment of difference, and a requirement that caregivers are actively mindful and respectful of difference(s)</w:t>
      </w:r>
    </w:p>
    <w:p w14:paraId="450CD19F" w14:textId="1C1BA819" w:rsidR="003E0005" w:rsidRPr="00316CB5" w:rsidRDefault="003E0005" w:rsidP="00696B04">
      <w:pPr>
        <w:pStyle w:val="Hangingindent1"/>
      </w:pPr>
      <w:r w:rsidRPr="00316CB5">
        <w:t xml:space="preserve">c) </w:t>
      </w:r>
      <w:r w:rsidR="00696B04">
        <w:tab/>
      </w:r>
      <w:r w:rsidRPr="00316CB5">
        <w:t>It is informed by the theory of power relations; any attempt to depoliticise cultural safety is to miss the point</w:t>
      </w:r>
    </w:p>
    <w:p w14:paraId="17D28EEA" w14:textId="6D2C2355" w:rsidR="003E0005" w:rsidRPr="00316CB5" w:rsidRDefault="003E0005" w:rsidP="00696B04">
      <w:pPr>
        <w:pStyle w:val="Hangingindent1"/>
      </w:pPr>
      <w:r w:rsidRPr="00316CB5">
        <w:t xml:space="preserve">d) </w:t>
      </w:r>
      <w:r w:rsidR="00696B04">
        <w:tab/>
      </w:r>
      <w:r w:rsidRPr="00316CB5">
        <w:t>An appreciation of the historical context of colonisation, the practices of racism at individual and institutional levels, and their impact on First Nations people’s living and wellbeing, both in the present and past</w:t>
      </w:r>
    </w:p>
    <w:p w14:paraId="21D0F74B" w14:textId="68AB468D" w:rsidR="00644D6C" w:rsidRDefault="003E0005" w:rsidP="00696B04">
      <w:pPr>
        <w:pStyle w:val="Hangingindent1"/>
        <w:sectPr w:rsidR="00644D6C" w:rsidSect="00644D6C">
          <w:headerReference w:type="default" r:id="rId14"/>
          <w:footerReference w:type="default" r:id="rId15"/>
          <w:pgSz w:w="11906" w:h="16838" w:code="9"/>
          <w:pgMar w:top="1418" w:right="1077" w:bottom="1418" w:left="1077" w:header="709" w:footer="709" w:gutter="0"/>
          <w:cols w:space="708"/>
          <w:docGrid w:linePitch="360"/>
        </w:sectPr>
      </w:pPr>
      <w:r w:rsidRPr="00316CB5">
        <w:t xml:space="preserve">e) </w:t>
      </w:r>
      <w:r w:rsidR="00696B04">
        <w:tab/>
      </w:r>
      <w:r w:rsidRPr="00316CB5">
        <w:t>Its presence or absence is determined by the experience of the recipient of care and not defined by the caregiver.</w:t>
      </w:r>
      <w:r w:rsidRPr="00316CB5">
        <w:rPr>
          <w:rStyle w:val="FootnoteReference"/>
        </w:rPr>
        <w:footnoteReference w:id="3"/>
      </w:r>
      <w:r w:rsidRPr="00316CB5">
        <w:t xml:space="preserve"> </w:t>
      </w:r>
    </w:p>
    <w:p w14:paraId="34826D48" w14:textId="390B0116" w:rsidR="00421928" w:rsidRPr="001E7353" w:rsidRDefault="00421928" w:rsidP="00421928">
      <w:pPr>
        <w:pStyle w:val="Heading1"/>
      </w:pPr>
      <w:bookmarkStart w:id="10" w:name="_Toc504486923"/>
      <w:bookmarkStart w:id="11" w:name="_Toc514226264"/>
      <w:bookmarkStart w:id="12" w:name="_Toc519768680"/>
      <w:r w:rsidRPr="001E7353">
        <w:t>Introduction</w:t>
      </w:r>
      <w:bookmarkEnd w:id="10"/>
      <w:bookmarkEnd w:id="11"/>
      <w:bookmarkEnd w:id="12"/>
    </w:p>
    <w:p w14:paraId="0AA739B4" w14:textId="46177047" w:rsidR="00421928" w:rsidRPr="001E7353" w:rsidRDefault="00421928" w:rsidP="00421928">
      <w:pPr>
        <w:pStyle w:val="Heading2"/>
      </w:pPr>
      <w:bookmarkStart w:id="13" w:name="_Toc504486924"/>
      <w:bookmarkStart w:id="14" w:name="_Toc519768681"/>
      <w:r w:rsidRPr="001E7353">
        <w:t xml:space="preserve">How to use this </w:t>
      </w:r>
      <w:r w:rsidR="0020039A" w:rsidRPr="001E7353">
        <w:t>T</w:t>
      </w:r>
      <w:r w:rsidRPr="001E7353">
        <w:t>oolkit</w:t>
      </w:r>
      <w:bookmarkEnd w:id="13"/>
      <w:bookmarkEnd w:id="14"/>
    </w:p>
    <w:p w14:paraId="617E3764" w14:textId="17EAED89" w:rsidR="00574DC7" w:rsidRPr="00316CB5" w:rsidRDefault="00421928" w:rsidP="00644D6C">
      <w:pPr>
        <w:pStyle w:val="Paragraphtext"/>
      </w:pPr>
      <w:r w:rsidRPr="00316CB5">
        <w:t xml:space="preserve">This </w:t>
      </w:r>
      <w:r w:rsidR="0020039A" w:rsidRPr="00316CB5">
        <w:t>T</w:t>
      </w:r>
      <w:r w:rsidRPr="00316CB5">
        <w:t xml:space="preserve">oolkit has been developed to complement the </w:t>
      </w:r>
      <w:r w:rsidR="00BD6DC2" w:rsidRPr="00316CB5">
        <w:t xml:space="preserve">2018 </w:t>
      </w:r>
      <w:r w:rsidR="00D92DF6" w:rsidRPr="00316CB5">
        <w:rPr>
          <w:i/>
        </w:rPr>
        <w:t xml:space="preserve">Market </w:t>
      </w:r>
      <w:r w:rsidR="0020039A" w:rsidRPr="00316CB5">
        <w:rPr>
          <w:i/>
        </w:rPr>
        <w:t>M</w:t>
      </w:r>
      <w:r w:rsidR="00D92DF6" w:rsidRPr="00316CB5">
        <w:rPr>
          <w:i/>
        </w:rPr>
        <w:t>aking</w:t>
      </w:r>
      <w:r w:rsidR="0020039A" w:rsidRPr="00316CB5">
        <w:rPr>
          <w:i/>
        </w:rPr>
        <w:t xml:space="preserve"> and</w:t>
      </w:r>
      <w:r w:rsidR="00D92DF6" w:rsidRPr="00316CB5">
        <w:rPr>
          <w:i/>
        </w:rPr>
        <w:t xml:space="preserve"> </w:t>
      </w:r>
      <w:r w:rsidR="0020039A" w:rsidRPr="00316CB5">
        <w:rPr>
          <w:i/>
        </w:rPr>
        <w:t>D</w:t>
      </w:r>
      <w:r w:rsidR="00D92DF6" w:rsidRPr="00316CB5">
        <w:rPr>
          <w:i/>
        </w:rPr>
        <w:t>evelopment</w:t>
      </w:r>
      <w:r w:rsidR="0020039A" w:rsidRPr="00316CB5">
        <w:rPr>
          <w:i/>
        </w:rPr>
        <w:t xml:space="preserve"> Guidance</w:t>
      </w:r>
      <w:r w:rsidRPr="00316CB5">
        <w:t xml:space="preserve">. It should be read in conjunction with the </w:t>
      </w:r>
      <w:r w:rsidRPr="00316CB5">
        <w:rPr>
          <w:noProof/>
        </w:rPr>
        <w:t>guidance</w:t>
      </w:r>
      <w:r w:rsidR="00E47639">
        <w:t xml:space="preserve"> document.</w:t>
      </w:r>
    </w:p>
    <w:p w14:paraId="4FEAB7D7" w14:textId="3084DD08" w:rsidR="00AD40D5" w:rsidRPr="00316CB5" w:rsidRDefault="00574DC7" w:rsidP="00644D6C">
      <w:pPr>
        <w:pStyle w:val="Paragraphtext"/>
      </w:pPr>
      <w:r w:rsidRPr="00316CB5">
        <w:t>Shaping the structure of supply is a phase of the PHN commissioning framework. To successfully secure the primary health care services and outcomes that PHNs identify as priorities based on their needs assessments and planning, they need a market that can understand, interpret, respond and deliver effectively. Therefore, it is critical that PHNs are able to understand, influence, support, develop and work collaboratively with markets.</w:t>
      </w:r>
      <w:r w:rsidR="00644D6C">
        <w:t xml:space="preserve"> </w:t>
      </w:r>
      <w:r w:rsidRPr="00316CB5">
        <w:t xml:space="preserve">This requires PHNs to understand the structure of the market in their regions, where the market may require development, and the root causes of gaps or deficiencies. It also requires PHNs to develop an awareness of the tools that they can use to improve markets and to </w:t>
      </w:r>
      <w:r w:rsidR="00E47639">
        <w:t>put these levers into practice.</w:t>
      </w:r>
    </w:p>
    <w:p w14:paraId="2E07E6C1" w14:textId="3D2DC0A9" w:rsidR="008A0B33" w:rsidRDefault="00450C5A" w:rsidP="00644D6C">
      <w:pPr>
        <w:pStyle w:val="Paragraphtext"/>
      </w:pPr>
      <w:r w:rsidRPr="00316CB5">
        <w:t xml:space="preserve">This toolkit provides a </w:t>
      </w:r>
      <w:r w:rsidR="00967383" w:rsidRPr="00316CB5">
        <w:t xml:space="preserve">range of approaches that can be used to support PHNs in understanding, </w:t>
      </w:r>
      <w:r w:rsidR="00D26688" w:rsidRPr="00316CB5">
        <w:t xml:space="preserve">collaborating </w:t>
      </w:r>
      <w:r w:rsidR="00967383" w:rsidRPr="00316CB5">
        <w:t>with and improving markets.</w:t>
      </w:r>
      <w:r w:rsidR="00644D6C">
        <w:t xml:space="preserve"> </w:t>
      </w:r>
      <w:r w:rsidR="00574DC7" w:rsidRPr="00316CB5">
        <w:t>These t</w:t>
      </w:r>
      <w:r w:rsidR="00967383" w:rsidRPr="00316CB5">
        <w:t>ools should be considered within the local context of each PHN</w:t>
      </w:r>
      <w:r w:rsidR="00574DC7" w:rsidRPr="00316CB5">
        <w:t>,</w:t>
      </w:r>
      <w:r w:rsidR="00967383" w:rsidRPr="00316CB5">
        <w:t xml:space="preserve"> and adapted accordingly</w:t>
      </w:r>
      <w:r w:rsidR="00574DC7" w:rsidRPr="00316CB5">
        <w:t>, as appropriate</w:t>
      </w:r>
      <w:r w:rsidR="00E47639">
        <w:t>.</w:t>
      </w:r>
    </w:p>
    <w:p w14:paraId="423B5CD7" w14:textId="77777777" w:rsidR="006D4016" w:rsidRDefault="006D4016">
      <w:pPr>
        <w:rPr>
          <w:color w:val="000000" w:themeColor="text1"/>
        </w:rPr>
        <w:sectPr w:rsidR="006D4016" w:rsidSect="00644D6C">
          <w:headerReference w:type="default" r:id="rId16"/>
          <w:pgSz w:w="11906" w:h="16838" w:code="9"/>
          <w:pgMar w:top="1418" w:right="1077" w:bottom="1418" w:left="1077" w:header="709" w:footer="709" w:gutter="0"/>
          <w:cols w:space="708"/>
          <w:docGrid w:linePitch="360"/>
        </w:sectPr>
      </w:pPr>
    </w:p>
    <w:p w14:paraId="21A008CC" w14:textId="7CCF3E28" w:rsidR="008E45BB" w:rsidRPr="001E7353" w:rsidRDefault="00BD6DC2" w:rsidP="006454B0">
      <w:pPr>
        <w:pStyle w:val="SectionHeading"/>
      </w:pPr>
      <w:bookmarkStart w:id="15" w:name="_Toc504486926"/>
      <w:bookmarkStart w:id="16" w:name="_Toc514226265"/>
      <w:bookmarkStart w:id="17" w:name="_Toc519768682"/>
      <w:r w:rsidRPr="006142DD">
        <w:t>T</w:t>
      </w:r>
      <w:r w:rsidR="006454B0" w:rsidRPr="006142DD">
        <w:t>ool</w:t>
      </w:r>
      <w:r w:rsidRPr="006142DD">
        <w:t xml:space="preserve"> 1: P</w:t>
      </w:r>
      <w:r w:rsidR="006454B0" w:rsidRPr="006142DD">
        <w:t>lanning and delivering market soundings</w:t>
      </w:r>
      <w:bookmarkEnd w:id="15"/>
      <w:bookmarkEnd w:id="16"/>
      <w:bookmarkEnd w:id="17"/>
    </w:p>
    <w:p w14:paraId="1B11DF7D" w14:textId="3621AF1A" w:rsidR="00DB6B19" w:rsidRPr="00316CB5" w:rsidRDefault="00E034AE" w:rsidP="006454B0">
      <w:pPr>
        <w:pStyle w:val="Paragraphtext"/>
      </w:pPr>
      <w:r w:rsidRPr="00316CB5">
        <w:t>Market soundings can provide valuable input that can be used to shape a commissioning process. They</w:t>
      </w:r>
      <w:r w:rsidR="00DB6B19" w:rsidRPr="00316CB5">
        <w:t xml:space="preserve"> ar</w:t>
      </w:r>
      <w:r w:rsidR="00A04356" w:rsidRPr="00316CB5">
        <w:t>e</w:t>
      </w:r>
      <w:r w:rsidR="00202362" w:rsidRPr="00316CB5">
        <w:t xml:space="preserve"> a </w:t>
      </w:r>
      <w:r w:rsidR="00967383" w:rsidRPr="00316CB5">
        <w:t xml:space="preserve">useful approach for PHNs to further develop their understanding </w:t>
      </w:r>
      <w:r w:rsidR="006142DD" w:rsidRPr="00316CB5">
        <w:t>of</w:t>
      </w:r>
      <w:r w:rsidR="00967383" w:rsidRPr="00316CB5">
        <w:t xml:space="preserve"> the market around a specific topic. This can be related to broad service issues, or a more specific procurement process. Market soundings can be constructed </w:t>
      </w:r>
      <w:r w:rsidR="00D26688" w:rsidRPr="00316CB5">
        <w:t xml:space="preserve">in </w:t>
      </w:r>
      <w:r w:rsidR="00967383" w:rsidRPr="00316CB5">
        <w:t>a range of different ways</w:t>
      </w:r>
      <w:r w:rsidRPr="00316CB5">
        <w:t>,</w:t>
      </w:r>
      <w:r w:rsidR="00967383" w:rsidRPr="00316CB5">
        <w:t xml:space="preserve"> and the following methodology should be considered in delivering them</w:t>
      </w:r>
      <w:r w:rsidR="0088661A" w:rsidRPr="00316CB5">
        <w:t>.</w:t>
      </w:r>
    </w:p>
    <w:p w14:paraId="796B595B" w14:textId="13C99111" w:rsidR="00967383" w:rsidRPr="00316CB5" w:rsidRDefault="00967383" w:rsidP="0039174C">
      <w:pPr>
        <w:pStyle w:val="Heading2nonumbering"/>
      </w:pPr>
      <w:bookmarkStart w:id="18" w:name="_Toc519768683"/>
      <w:r w:rsidRPr="00316CB5">
        <w:t>Determine the purpose of the market sounding</w:t>
      </w:r>
      <w:bookmarkEnd w:id="18"/>
      <w:r w:rsidRPr="00316CB5">
        <w:t xml:space="preserve"> </w:t>
      </w:r>
    </w:p>
    <w:p w14:paraId="0E8F9865" w14:textId="46DE0470" w:rsidR="00F70946" w:rsidRPr="00316CB5" w:rsidRDefault="00967383" w:rsidP="006454B0">
      <w:pPr>
        <w:pStyle w:val="ListBullet"/>
      </w:pPr>
      <w:r w:rsidRPr="00316CB5">
        <w:t xml:space="preserve">A </w:t>
      </w:r>
      <w:r w:rsidR="00D26688" w:rsidRPr="00316CB5">
        <w:t>well-defined</w:t>
      </w:r>
      <w:r w:rsidRPr="00316CB5">
        <w:t xml:space="preserve"> process will ensure that the market sounding is </w:t>
      </w:r>
      <w:r w:rsidR="00D26688" w:rsidRPr="00316CB5">
        <w:t xml:space="preserve">properly </w:t>
      </w:r>
      <w:r w:rsidRPr="00316CB5">
        <w:t>planned and executed</w:t>
      </w:r>
      <w:r w:rsidR="00F70946" w:rsidRPr="00316CB5">
        <w:t>,</w:t>
      </w:r>
      <w:r w:rsidRPr="00316CB5">
        <w:t xml:space="preserve"> and </w:t>
      </w:r>
      <w:r w:rsidR="00F70946" w:rsidRPr="00316CB5">
        <w:t xml:space="preserve">that it </w:t>
      </w:r>
      <w:r w:rsidRPr="00316CB5">
        <w:t>pr</w:t>
      </w:r>
      <w:r w:rsidR="00E47639">
        <w:t>ovides the desired information.</w:t>
      </w:r>
    </w:p>
    <w:p w14:paraId="4C379779" w14:textId="746697CC" w:rsidR="00967383" w:rsidRPr="00316CB5" w:rsidRDefault="00967383" w:rsidP="006454B0">
      <w:pPr>
        <w:pStyle w:val="ListBullet"/>
      </w:pPr>
      <w:r w:rsidRPr="00316CB5">
        <w:t>The primary purpose of the market sounding should be to gather a range of information around a specific issue</w:t>
      </w:r>
      <w:r w:rsidR="00D26688" w:rsidRPr="00316CB5">
        <w:t>/s</w:t>
      </w:r>
      <w:r w:rsidRPr="00316CB5">
        <w:t xml:space="preserve"> that the PHN could then use to inform their thinking. Market soundings are most commonly used prior to the commencement of a formal procurement process</w:t>
      </w:r>
      <w:r w:rsidR="00F70946" w:rsidRPr="00316CB5">
        <w:t>,</w:t>
      </w:r>
      <w:r w:rsidRPr="00316CB5">
        <w:t xml:space="preserve"> and can be used to gain feedback on key aspects of the procurement approach such as financial arrangements, key requirements or even procurement process steps</w:t>
      </w:r>
      <w:r w:rsidR="00F70946" w:rsidRPr="00316CB5">
        <w:t>.</w:t>
      </w:r>
    </w:p>
    <w:p w14:paraId="39F99DFF" w14:textId="2AA75D17" w:rsidR="00967383" w:rsidRPr="00316CB5" w:rsidRDefault="00967383" w:rsidP="006454B0">
      <w:pPr>
        <w:pStyle w:val="ListBullet"/>
      </w:pPr>
      <w:r w:rsidRPr="00316CB5">
        <w:t xml:space="preserve">PHNs should also consider what </w:t>
      </w:r>
      <w:r w:rsidR="001B71FE" w:rsidRPr="00316CB5">
        <w:t>any wider objectives of the market sounding might be. Typically</w:t>
      </w:r>
      <w:r w:rsidR="00F70946" w:rsidRPr="00316CB5">
        <w:t>, these</w:t>
      </w:r>
      <w:r w:rsidR="001B71FE" w:rsidRPr="00316CB5">
        <w:t xml:space="preserve"> </w:t>
      </w:r>
      <w:r w:rsidR="00F70946" w:rsidRPr="00316CB5">
        <w:t xml:space="preserve">can </w:t>
      </w:r>
      <w:r w:rsidR="001B71FE" w:rsidRPr="00316CB5">
        <w:t xml:space="preserve">be around stimulating interest from the market </w:t>
      </w:r>
      <w:r w:rsidR="00F70946" w:rsidRPr="00316CB5">
        <w:t xml:space="preserve">before a procurement process </w:t>
      </w:r>
      <w:r w:rsidR="001B71FE" w:rsidRPr="00316CB5">
        <w:t>commence</w:t>
      </w:r>
      <w:r w:rsidR="00F70946" w:rsidRPr="00316CB5">
        <w:t>s.</w:t>
      </w:r>
      <w:r w:rsidR="001B71FE" w:rsidRPr="00316CB5">
        <w:t xml:space="preserve"> Other objectives may include the facilitation of networking</w:t>
      </w:r>
      <w:r w:rsidR="0039174C">
        <w:t>,</w:t>
      </w:r>
      <w:r w:rsidR="001B71FE" w:rsidRPr="00316CB5">
        <w:t xml:space="preserve"> opportunities for providers, </w:t>
      </w:r>
      <w:r w:rsidR="00F70946" w:rsidRPr="00316CB5">
        <w:t xml:space="preserve">and </w:t>
      </w:r>
      <w:r w:rsidR="001B71FE" w:rsidRPr="00316CB5">
        <w:t>relationship development betw</w:t>
      </w:r>
      <w:r w:rsidR="00A503C7" w:rsidRPr="00316CB5">
        <w:t>een the PHN and providers</w:t>
      </w:r>
      <w:r w:rsidR="00F70946" w:rsidRPr="00316CB5">
        <w:t>.</w:t>
      </w:r>
    </w:p>
    <w:p w14:paraId="0169B27A" w14:textId="45407CAD" w:rsidR="001B71FE" w:rsidRPr="00316CB5" w:rsidRDefault="00F70946" w:rsidP="006454B0">
      <w:pPr>
        <w:pStyle w:val="ListBullet"/>
      </w:pPr>
      <w:r w:rsidRPr="00316CB5">
        <w:t xml:space="preserve">Collectively, </w:t>
      </w:r>
      <w:r w:rsidR="001B71FE" w:rsidRPr="00316CB5">
        <w:t>the objectives will have a key bearing on the process used t</w:t>
      </w:r>
      <w:r w:rsidR="006F53CB">
        <w:t>o deliver the market soundings.</w:t>
      </w:r>
    </w:p>
    <w:p w14:paraId="27EC5462" w14:textId="64663B1E" w:rsidR="00967383" w:rsidRPr="00316CB5" w:rsidRDefault="00967383" w:rsidP="0039174C">
      <w:pPr>
        <w:pStyle w:val="Heading2nonumbering"/>
      </w:pPr>
      <w:bookmarkStart w:id="19" w:name="_Toc519768684"/>
      <w:r w:rsidRPr="00316CB5">
        <w:t>Plan the market sounding</w:t>
      </w:r>
      <w:bookmarkEnd w:id="19"/>
    </w:p>
    <w:p w14:paraId="22A14D40" w14:textId="7405FC68" w:rsidR="001B71FE" w:rsidRPr="00316CB5" w:rsidRDefault="001B71FE" w:rsidP="006454B0">
      <w:pPr>
        <w:pStyle w:val="ListBullet"/>
      </w:pPr>
      <w:r w:rsidRPr="00316CB5">
        <w:rPr>
          <w:b/>
        </w:rPr>
        <w:t>Forma</w:t>
      </w:r>
      <w:r w:rsidRPr="00A36BAB">
        <w:rPr>
          <w:b/>
        </w:rPr>
        <w:t>t</w:t>
      </w:r>
      <w:r w:rsidRPr="00316CB5">
        <w:t xml:space="preserve">: PHNs should consider what structure and approach will best achieve the objectives of the market sounding. PHNs should consider the format of the </w:t>
      </w:r>
      <w:r w:rsidR="00E034AE" w:rsidRPr="00316CB5">
        <w:t xml:space="preserve">market </w:t>
      </w:r>
      <w:r w:rsidRPr="00316CB5">
        <w:t>soundings, the location and setting in which they are held, the sounding structure and the attendees from the PHN. Each of these aspects should be aligned appropriately. Potential sounding formats include:</w:t>
      </w:r>
    </w:p>
    <w:p w14:paraId="10A1613D" w14:textId="3BF99F1A" w:rsidR="001B71FE" w:rsidRPr="00316CB5" w:rsidRDefault="001B71FE" w:rsidP="0039174C">
      <w:pPr>
        <w:pStyle w:val="ListBullet2"/>
      </w:pPr>
      <w:r w:rsidRPr="00316CB5">
        <w:t>In person interviews between the PHN and each provider. This approach is suited to gaining insight</w:t>
      </w:r>
      <w:r w:rsidR="00E034AE" w:rsidRPr="00316CB5">
        <w:t>s</w:t>
      </w:r>
      <w:r w:rsidRPr="00316CB5">
        <w:t xml:space="preserve"> and </w:t>
      </w:r>
      <w:r w:rsidR="00E034AE" w:rsidRPr="00316CB5">
        <w:t>(</w:t>
      </w:r>
      <w:r w:rsidRPr="00316CB5">
        <w:t>often confidential</w:t>
      </w:r>
      <w:r w:rsidR="00E034AE" w:rsidRPr="00316CB5">
        <w:t>)</w:t>
      </w:r>
      <w:r w:rsidRPr="00316CB5">
        <w:t xml:space="preserve"> information around key issues</w:t>
      </w:r>
      <w:r w:rsidR="00E034AE" w:rsidRPr="00316CB5">
        <w:t xml:space="preserve">, which </w:t>
      </w:r>
      <w:r w:rsidRPr="00316CB5">
        <w:t xml:space="preserve">the provider may </w:t>
      </w:r>
      <w:r w:rsidR="003E0005" w:rsidRPr="00316CB5">
        <w:t>be otherwise reluctant to share</w:t>
      </w:r>
      <w:r w:rsidR="001F163E" w:rsidRPr="00316CB5">
        <w:t>.</w:t>
      </w:r>
    </w:p>
    <w:p w14:paraId="22DD04E0" w14:textId="1B7BAFBD" w:rsidR="00C43620" w:rsidRPr="00316CB5" w:rsidRDefault="001B71FE" w:rsidP="0039174C">
      <w:pPr>
        <w:pStyle w:val="ListBullet2"/>
      </w:pPr>
      <w:r w:rsidRPr="00316CB5">
        <w:t xml:space="preserve">Open workshops. This approach </w:t>
      </w:r>
      <w:r w:rsidR="00C43620" w:rsidRPr="00316CB5">
        <w:t>is suited to innovation and the sharing of views</w:t>
      </w:r>
      <w:r w:rsidR="00E034AE" w:rsidRPr="00316CB5">
        <w:t>,</w:t>
      </w:r>
      <w:r w:rsidR="00C43620" w:rsidRPr="00316CB5">
        <w:t xml:space="preserve"> and can help the PHN to get a collective sense of market </w:t>
      </w:r>
      <w:r w:rsidR="001F163E" w:rsidRPr="00316CB5">
        <w:t>views and perceptions</w:t>
      </w:r>
      <w:r w:rsidR="00C43620" w:rsidRPr="00316CB5">
        <w:t xml:space="preserve">. This approach can also be used to stimulate networking opportunities between providers. </w:t>
      </w:r>
      <w:r w:rsidR="001F163E" w:rsidRPr="00316CB5">
        <w:t>Note that s</w:t>
      </w:r>
      <w:r w:rsidR="00C43620" w:rsidRPr="00316CB5">
        <w:t>ome providers may be relucta</w:t>
      </w:r>
      <w:r w:rsidR="00A503C7" w:rsidRPr="00316CB5">
        <w:t>nt to share views</w:t>
      </w:r>
      <w:r w:rsidR="001F163E" w:rsidRPr="00316CB5">
        <w:t>,</w:t>
      </w:r>
      <w:r w:rsidR="00A503C7" w:rsidRPr="00316CB5">
        <w:t xml:space="preserve"> particularly if the sounding is related to a procurement process</w:t>
      </w:r>
      <w:r w:rsidR="001F163E" w:rsidRPr="00316CB5">
        <w:t>.</w:t>
      </w:r>
    </w:p>
    <w:p w14:paraId="02DE6039" w14:textId="7D9F568D" w:rsidR="001B71FE" w:rsidRPr="00316CB5" w:rsidRDefault="00C43620" w:rsidP="0039174C">
      <w:pPr>
        <w:pStyle w:val="ListBullet2"/>
      </w:pPr>
      <w:r w:rsidRPr="00316CB5">
        <w:t xml:space="preserve">Written soundings. This approach is suited to providing an accessible form of input for providers who may be otherwise unable to participate in </w:t>
      </w:r>
      <w:r w:rsidR="00D26688" w:rsidRPr="00316CB5">
        <w:t>person</w:t>
      </w:r>
      <w:r w:rsidRPr="00316CB5">
        <w:t>. The written format enables providers to offer considered view</w:t>
      </w:r>
      <w:r w:rsidR="001F163E" w:rsidRPr="00316CB5">
        <w:t>s</w:t>
      </w:r>
      <w:r w:rsidRPr="00316CB5">
        <w:t xml:space="preserve">. </w:t>
      </w:r>
      <w:r w:rsidR="001F163E" w:rsidRPr="00316CB5">
        <w:t>However, t</w:t>
      </w:r>
      <w:r w:rsidRPr="00316CB5">
        <w:t>his approach has limited potential f</w:t>
      </w:r>
      <w:r w:rsidR="003E0005" w:rsidRPr="00316CB5">
        <w:t>or collaboration or discussion</w:t>
      </w:r>
      <w:r w:rsidR="001F163E" w:rsidRPr="00316CB5">
        <w:t>.</w:t>
      </w:r>
    </w:p>
    <w:p w14:paraId="2C8CAD53" w14:textId="4E5D10D5" w:rsidR="00A503C7" w:rsidRDefault="00A503C7" w:rsidP="0039174C">
      <w:pPr>
        <w:pStyle w:val="ListBullet2"/>
      </w:pPr>
      <w:r w:rsidRPr="00316CB5">
        <w:t xml:space="preserve">Webinars. </w:t>
      </w:r>
      <w:r w:rsidR="009C65FA" w:rsidRPr="00316CB5">
        <w:t xml:space="preserve">This approach is suited to geographically diverse regions where getting providers ‘in the room’ </w:t>
      </w:r>
      <w:r w:rsidR="001F163E" w:rsidRPr="00316CB5">
        <w:t xml:space="preserve">may </w:t>
      </w:r>
      <w:r w:rsidR="009C65FA" w:rsidRPr="00316CB5">
        <w:t xml:space="preserve">not </w:t>
      </w:r>
      <w:r w:rsidR="001F163E" w:rsidRPr="00316CB5">
        <w:t xml:space="preserve">be </w:t>
      </w:r>
      <w:r w:rsidR="009C65FA" w:rsidRPr="00316CB5">
        <w:t>a feasible option</w:t>
      </w:r>
      <w:r w:rsidR="001F163E" w:rsidRPr="00316CB5">
        <w:t>.</w:t>
      </w:r>
    </w:p>
    <w:p w14:paraId="09A53F76" w14:textId="77777777" w:rsidR="00025D95" w:rsidRDefault="00025D95">
      <w:pPr>
        <w:rPr>
          <w:b/>
          <w:color w:val="000000" w:themeColor="text1"/>
        </w:rPr>
      </w:pPr>
      <w:r>
        <w:rPr>
          <w:b/>
        </w:rPr>
        <w:br w:type="page"/>
      </w:r>
    </w:p>
    <w:p w14:paraId="5BC32616" w14:textId="26AE5951" w:rsidR="00C262BF" w:rsidRPr="00316CB5" w:rsidRDefault="00DF1184" w:rsidP="006454B0">
      <w:pPr>
        <w:pStyle w:val="ListBullet"/>
      </w:pPr>
      <w:r w:rsidRPr="00316CB5">
        <w:rPr>
          <w:b/>
        </w:rPr>
        <w:t>Market p</w:t>
      </w:r>
      <w:r w:rsidR="00C262BF" w:rsidRPr="00316CB5">
        <w:rPr>
          <w:b/>
        </w:rPr>
        <w:t>articipants</w:t>
      </w:r>
      <w:r w:rsidR="00C262BF" w:rsidRPr="00316CB5">
        <w:t>: PHNs should seek to have a representative sample of provider groups to participate in the sounding process. The selection of these groups should align to the purpose of the soundings</w:t>
      </w:r>
      <w:r w:rsidR="00DA3C2D" w:rsidRPr="00316CB5">
        <w:t>,</w:t>
      </w:r>
      <w:r w:rsidR="00F21779" w:rsidRPr="00316CB5">
        <w:t xml:space="preserve"> and individual providers </w:t>
      </w:r>
      <w:r w:rsidR="00DA3C2D" w:rsidRPr="00316CB5">
        <w:t xml:space="preserve">should be </w:t>
      </w:r>
      <w:r w:rsidR="00F21779" w:rsidRPr="00316CB5">
        <w:t xml:space="preserve">selected appropriately. Within this selection, PHNs should consider the involvement of </w:t>
      </w:r>
      <w:r w:rsidR="00692716" w:rsidRPr="00316CB5">
        <w:t xml:space="preserve">established and new entrants, and </w:t>
      </w:r>
      <w:r w:rsidR="00F21779" w:rsidRPr="00316CB5">
        <w:t xml:space="preserve">providers who do not </w:t>
      </w:r>
      <w:r w:rsidR="00DA3C2D" w:rsidRPr="00316CB5">
        <w:t xml:space="preserve">currently </w:t>
      </w:r>
      <w:r w:rsidR="00F21779" w:rsidRPr="00316CB5">
        <w:t>deliver services to the PHN</w:t>
      </w:r>
      <w:r w:rsidR="00692716" w:rsidRPr="00316CB5">
        <w:t xml:space="preserve">, such as those </w:t>
      </w:r>
      <w:r w:rsidR="00F21779" w:rsidRPr="00316CB5">
        <w:t xml:space="preserve">who operate in different </w:t>
      </w:r>
      <w:r w:rsidR="00DA3C2D" w:rsidRPr="00316CB5">
        <w:t xml:space="preserve">locations or </w:t>
      </w:r>
      <w:r w:rsidR="00F21779" w:rsidRPr="00316CB5">
        <w:t>markets</w:t>
      </w:r>
      <w:r w:rsidR="00C262BF" w:rsidRPr="00316CB5">
        <w:t xml:space="preserve">. </w:t>
      </w:r>
      <w:r w:rsidR="00D46790" w:rsidRPr="00316CB5">
        <w:t>Consideration should also be given to sounding non-providers such as peak bodies</w:t>
      </w:r>
      <w:r w:rsidR="00265C73" w:rsidRPr="00316CB5">
        <w:t>,</w:t>
      </w:r>
      <w:r w:rsidR="00D46790" w:rsidRPr="00316CB5">
        <w:t xml:space="preserve"> who may also be able to offer valuable </w:t>
      </w:r>
      <w:r w:rsidR="00D26688" w:rsidRPr="00316CB5">
        <w:t>industry</w:t>
      </w:r>
      <w:r w:rsidR="00265C73" w:rsidRPr="00316CB5">
        <w:t>-</w:t>
      </w:r>
      <w:r w:rsidR="00D26688" w:rsidRPr="00316CB5">
        <w:t xml:space="preserve">wide </w:t>
      </w:r>
      <w:r w:rsidR="00D46790" w:rsidRPr="00316CB5">
        <w:t xml:space="preserve">perspectives. </w:t>
      </w:r>
      <w:r w:rsidR="00DA5119" w:rsidRPr="00316CB5">
        <w:t xml:space="preserve">The total number of participants should be of sufficient volume to provide an indicative and balanced representation from the market. Practical considerations in delivering the sounding should also be remembered when </w:t>
      </w:r>
      <w:r w:rsidR="00265C73" w:rsidRPr="00316CB5">
        <w:t>determining</w:t>
      </w:r>
      <w:r w:rsidR="003E0005" w:rsidRPr="00316CB5">
        <w:t xml:space="preserve"> participant numbers</w:t>
      </w:r>
      <w:r w:rsidR="00265C73" w:rsidRPr="00316CB5">
        <w:t>.</w:t>
      </w:r>
    </w:p>
    <w:p w14:paraId="424D2FD3" w14:textId="6A2E686A" w:rsidR="00DF1184" w:rsidRPr="00316CB5" w:rsidRDefault="00DF1184" w:rsidP="006454B0">
      <w:pPr>
        <w:pStyle w:val="ListBullet"/>
      </w:pPr>
      <w:r w:rsidRPr="00316CB5">
        <w:rPr>
          <w:b/>
        </w:rPr>
        <w:t>PHN participants</w:t>
      </w:r>
      <w:r w:rsidRPr="00316CB5">
        <w:t xml:space="preserve">: </w:t>
      </w:r>
      <w:r w:rsidR="003D0219">
        <w:t xml:space="preserve">Where possible, PHN participants should be consistent throughout the soundings to ensure consistency of approach and soundings analysis. </w:t>
      </w:r>
      <w:r w:rsidRPr="00316CB5">
        <w:t xml:space="preserve">Segmenting roles into an interview lead and </w:t>
      </w:r>
      <w:r w:rsidR="00265C73" w:rsidRPr="00316CB5">
        <w:t xml:space="preserve">a </w:t>
      </w:r>
      <w:r w:rsidRPr="00316CB5">
        <w:t xml:space="preserve">note taker (for in person interviews) can help ensure that the soundings are focussed. Participation by probity </w:t>
      </w:r>
      <w:r w:rsidR="00265C73" w:rsidRPr="00316CB5">
        <w:t xml:space="preserve">advisers </w:t>
      </w:r>
      <w:r w:rsidRPr="00316CB5">
        <w:t xml:space="preserve">should </w:t>
      </w:r>
      <w:r w:rsidR="00265C73" w:rsidRPr="00316CB5">
        <w:t xml:space="preserve">also </w:t>
      </w:r>
      <w:r w:rsidRPr="00316CB5">
        <w:t>be considered</w:t>
      </w:r>
      <w:r w:rsidR="00265C73" w:rsidRPr="00316CB5">
        <w:t>,</w:t>
      </w:r>
      <w:r w:rsidRPr="00316CB5">
        <w:t xml:space="preserve"> where appropria</w:t>
      </w:r>
      <w:r w:rsidR="003E0005" w:rsidRPr="00316CB5">
        <w:t>te</w:t>
      </w:r>
      <w:r w:rsidR="00265C73" w:rsidRPr="00316CB5">
        <w:t>.</w:t>
      </w:r>
    </w:p>
    <w:p w14:paraId="0FA67BC6" w14:textId="6AEAF011" w:rsidR="00DA5119" w:rsidRPr="00316CB5" w:rsidRDefault="00DA5119" w:rsidP="006454B0">
      <w:pPr>
        <w:pStyle w:val="ListBullet"/>
      </w:pPr>
      <w:r w:rsidRPr="00316CB5">
        <w:rPr>
          <w:b/>
        </w:rPr>
        <w:t>Questions</w:t>
      </w:r>
      <w:r w:rsidRPr="00316CB5">
        <w:t xml:space="preserve">: Questions should be developed based on achieving the purpose of the market sounding, focusing on what the PHN </w:t>
      </w:r>
      <w:r w:rsidR="00265C73" w:rsidRPr="00316CB5">
        <w:t xml:space="preserve">is seeking to find out, </w:t>
      </w:r>
      <w:r w:rsidRPr="00316CB5">
        <w:t>or is uncertain of. Where possible, questions should be open-ended and specific</w:t>
      </w:r>
      <w:r w:rsidR="00265C73" w:rsidRPr="00316CB5">
        <w:t>,</w:t>
      </w:r>
      <w:r w:rsidRPr="00316CB5">
        <w:t xml:space="preserve"> with a focus on understanding the rationale behind answers. If the market soundings are to be conducted via workshop </w:t>
      </w:r>
      <w:r w:rsidR="00265C73" w:rsidRPr="00316CB5">
        <w:t xml:space="preserve">or </w:t>
      </w:r>
      <w:r w:rsidRPr="00316CB5">
        <w:t xml:space="preserve">written submission, the structure of the questions will </w:t>
      </w:r>
      <w:r w:rsidR="003E0005" w:rsidRPr="00316CB5">
        <w:t>need to be tailored accordingly</w:t>
      </w:r>
      <w:r w:rsidR="00265C73" w:rsidRPr="00316CB5">
        <w:t>.</w:t>
      </w:r>
    </w:p>
    <w:p w14:paraId="7264D9FE" w14:textId="30876FD6" w:rsidR="00DA5119" w:rsidRPr="00316CB5" w:rsidRDefault="00DA5119" w:rsidP="006454B0">
      <w:pPr>
        <w:pStyle w:val="ListBullet"/>
      </w:pPr>
      <w:r w:rsidRPr="00316CB5">
        <w:rPr>
          <w:b/>
        </w:rPr>
        <w:t>Supporting materials</w:t>
      </w:r>
      <w:r w:rsidRPr="00316CB5">
        <w:t>: PHNs should consider what information (if any) should be provided to the market in advance of the soundings. This could include the questions to be asked</w:t>
      </w:r>
      <w:r w:rsidR="00265C73" w:rsidRPr="00316CB5">
        <w:t>,</w:t>
      </w:r>
      <w:r w:rsidRPr="00316CB5">
        <w:t xml:space="preserve"> or </w:t>
      </w:r>
      <w:r w:rsidR="00265C73" w:rsidRPr="00316CB5">
        <w:t xml:space="preserve">broader </w:t>
      </w:r>
      <w:r w:rsidRPr="00316CB5">
        <w:t>supporting information that will help providers to a</w:t>
      </w:r>
      <w:r w:rsidR="003E0005" w:rsidRPr="00316CB5">
        <w:t>nswer the questions effectively</w:t>
      </w:r>
      <w:r w:rsidR="00265C73" w:rsidRPr="00316CB5">
        <w:t>.</w:t>
      </w:r>
    </w:p>
    <w:p w14:paraId="0D323913" w14:textId="62A490C1" w:rsidR="00C262BF" w:rsidRPr="00316CB5" w:rsidRDefault="00C43620" w:rsidP="006454B0">
      <w:pPr>
        <w:pStyle w:val="ListBullet"/>
      </w:pPr>
      <w:r w:rsidRPr="00316CB5">
        <w:rPr>
          <w:b/>
        </w:rPr>
        <w:t>Timing</w:t>
      </w:r>
      <w:r w:rsidRPr="00316CB5">
        <w:t>: Depend</w:t>
      </w:r>
      <w:r w:rsidR="00265C73" w:rsidRPr="00316CB5">
        <w:t>ing</w:t>
      </w:r>
      <w:r w:rsidRPr="00316CB5">
        <w:t xml:space="preserve"> on the purpose of </w:t>
      </w:r>
      <w:r w:rsidR="00265C73" w:rsidRPr="00316CB5">
        <w:t xml:space="preserve">the </w:t>
      </w:r>
      <w:r w:rsidRPr="00316CB5">
        <w:t xml:space="preserve">soundings, the PHN should ensure that they have sufficient time from the </w:t>
      </w:r>
      <w:r w:rsidR="00265C73" w:rsidRPr="00316CB5">
        <w:t xml:space="preserve">completion </w:t>
      </w:r>
      <w:r w:rsidRPr="00316CB5">
        <w:t>of the soundings</w:t>
      </w:r>
      <w:r w:rsidR="00265C73" w:rsidRPr="00316CB5">
        <w:t>,</w:t>
      </w:r>
      <w:r w:rsidRPr="00316CB5">
        <w:t xml:space="preserve"> to action any ideas that have emerged. This is particularly important </w:t>
      </w:r>
      <w:r w:rsidR="00265C73" w:rsidRPr="00316CB5">
        <w:t>for</w:t>
      </w:r>
      <w:r w:rsidRPr="00316CB5">
        <w:t xml:space="preserve"> soundings that are being undertaken to inform procurement specifications or process</w:t>
      </w:r>
      <w:r w:rsidR="0098261E" w:rsidRPr="00316CB5">
        <w:t>es</w:t>
      </w:r>
      <w:r w:rsidR="00265C73" w:rsidRPr="00316CB5">
        <w:t>.</w:t>
      </w:r>
    </w:p>
    <w:p w14:paraId="281E2621" w14:textId="79FE41D4" w:rsidR="001B71FE" w:rsidRPr="00316CB5" w:rsidRDefault="00C262BF" w:rsidP="006454B0">
      <w:pPr>
        <w:pStyle w:val="ListBullet"/>
      </w:pPr>
      <w:r w:rsidRPr="00316CB5">
        <w:rPr>
          <w:b/>
        </w:rPr>
        <w:t>Governance</w:t>
      </w:r>
      <w:r w:rsidRPr="00316CB5">
        <w:t>: Soundings should ensure that they reflect governance and probity rules</w:t>
      </w:r>
      <w:r w:rsidR="00291185">
        <w:t>,</w:t>
      </w:r>
      <w:r w:rsidRPr="00316CB5">
        <w:t xml:space="preserve"> as they define such interactions with the market. Commonly, there can be a preference to undertake approaches that are more risk averse</w:t>
      </w:r>
      <w:r w:rsidR="0010691A" w:rsidRPr="00316CB5">
        <w:t>,</w:t>
      </w:r>
      <w:r w:rsidRPr="00316CB5">
        <w:t xml:space="preserve"> with a higher degree of probity and risk management than may be</w:t>
      </w:r>
      <w:r w:rsidR="009C71AE" w:rsidRPr="00316CB5">
        <w:t xml:space="preserve"> required</w:t>
      </w:r>
      <w:r w:rsidRPr="00316CB5">
        <w:t xml:space="preserve">. </w:t>
      </w:r>
      <w:r w:rsidR="00971FC8" w:rsidRPr="00316CB5">
        <w:t>This can include the need</w:t>
      </w:r>
      <w:r w:rsidR="0010691A" w:rsidRPr="00316CB5">
        <w:t xml:space="preserve"> </w:t>
      </w:r>
      <w:r w:rsidR="00971FC8" w:rsidRPr="00316CB5">
        <w:t>for</w:t>
      </w:r>
      <w:r w:rsidR="00DA5119" w:rsidRPr="00316CB5">
        <w:t xml:space="preserve"> confidentiality agreements to be signed prior to soundings</w:t>
      </w:r>
      <w:r w:rsidR="00971FC8" w:rsidRPr="00316CB5">
        <w:t xml:space="preserve"> taking place which in some circumstances may be </w:t>
      </w:r>
      <w:r w:rsidR="00291185">
        <w:t>un</w:t>
      </w:r>
      <w:r w:rsidR="00971FC8" w:rsidRPr="00316CB5">
        <w:t>necessary</w:t>
      </w:r>
      <w:r w:rsidR="00DA5119" w:rsidRPr="00316CB5">
        <w:t xml:space="preserve">. </w:t>
      </w:r>
      <w:r w:rsidRPr="00316CB5">
        <w:t xml:space="preserve">PHNs should note that input to market soundings can be constrained </w:t>
      </w:r>
      <w:r w:rsidR="00971FC8" w:rsidRPr="00316CB5">
        <w:t>as a result of this</w:t>
      </w:r>
      <w:r w:rsidRPr="00316CB5">
        <w:t xml:space="preserve"> and that a sensible balance </w:t>
      </w:r>
      <w:r w:rsidR="0098261E" w:rsidRPr="00316CB5">
        <w:t xml:space="preserve">of managing </w:t>
      </w:r>
      <w:r w:rsidRPr="00316CB5">
        <w:t xml:space="preserve">risks and </w:t>
      </w:r>
      <w:r w:rsidR="0098261E" w:rsidRPr="00316CB5">
        <w:t xml:space="preserve">gaining valuable market input </w:t>
      </w:r>
      <w:r w:rsidR="003E0005" w:rsidRPr="00316CB5">
        <w:t>should be pursued</w:t>
      </w:r>
      <w:r w:rsidR="009C65FA" w:rsidRPr="00316CB5">
        <w:t>.</w:t>
      </w:r>
    </w:p>
    <w:p w14:paraId="6F0315BF" w14:textId="1405EB70" w:rsidR="00967383" w:rsidRPr="00316CB5" w:rsidRDefault="00967383" w:rsidP="00EC7A39">
      <w:pPr>
        <w:pStyle w:val="Heading2nonumbering"/>
      </w:pPr>
      <w:bookmarkStart w:id="20" w:name="_Toc519768685"/>
      <w:r w:rsidRPr="00316CB5">
        <w:t xml:space="preserve">Run </w:t>
      </w:r>
      <w:r w:rsidR="0098261E" w:rsidRPr="00316CB5">
        <w:t xml:space="preserve">and report on </w:t>
      </w:r>
      <w:r w:rsidRPr="00316CB5">
        <w:t>the market sounding</w:t>
      </w:r>
      <w:bookmarkEnd w:id="20"/>
      <w:r w:rsidRPr="00316CB5">
        <w:t xml:space="preserve"> </w:t>
      </w:r>
    </w:p>
    <w:p w14:paraId="3F84D839" w14:textId="78F92710" w:rsidR="00D46790" w:rsidRPr="00316CB5" w:rsidRDefault="00D46790" w:rsidP="006454B0">
      <w:pPr>
        <w:pStyle w:val="ListBullet"/>
      </w:pPr>
      <w:r w:rsidRPr="00316CB5">
        <w:t>Soundings should be completed efficiently</w:t>
      </w:r>
      <w:r w:rsidR="007178C7" w:rsidRPr="00316CB5">
        <w:t>,</w:t>
      </w:r>
      <w:r w:rsidRPr="00316CB5">
        <w:t xml:space="preserve"> with the PHN pausing after the first quarter </w:t>
      </w:r>
      <w:r w:rsidR="0098261E" w:rsidRPr="00316CB5">
        <w:t xml:space="preserve">has </w:t>
      </w:r>
      <w:r w:rsidRPr="00316CB5">
        <w:t xml:space="preserve">been completed to ensure that the process is meeting the desired objectives. Where </w:t>
      </w:r>
      <w:r w:rsidR="007178C7" w:rsidRPr="00316CB5">
        <w:t xml:space="preserve">necessary, and to the extent </w:t>
      </w:r>
      <w:r w:rsidRPr="00316CB5">
        <w:t xml:space="preserve">possible, the market sounding </w:t>
      </w:r>
      <w:r w:rsidR="003E0005" w:rsidRPr="00316CB5">
        <w:t>approach should then be refined</w:t>
      </w:r>
      <w:r w:rsidR="007178C7" w:rsidRPr="00316CB5">
        <w:t>.</w:t>
      </w:r>
    </w:p>
    <w:p w14:paraId="4E79668A" w14:textId="635B948B" w:rsidR="009C65FA" w:rsidRPr="00316CB5" w:rsidRDefault="009C65FA" w:rsidP="006454B0">
      <w:pPr>
        <w:pStyle w:val="ListBullet"/>
      </w:pPr>
      <w:r w:rsidRPr="00316CB5">
        <w:t>For soundings related to Aboriginal and Torres Strait Islander people and communities</w:t>
      </w:r>
      <w:r w:rsidR="007178C7" w:rsidRPr="00316CB5">
        <w:t>,</w:t>
      </w:r>
      <w:r w:rsidRPr="00316CB5">
        <w:t xml:space="preserve"> specific consideration</w:t>
      </w:r>
      <w:r w:rsidR="007178C7" w:rsidRPr="00316CB5">
        <w:t xml:space="preserve"> should be given</w:t>
      </w:r>
      <w:r w:rsidRPr="00316CB5">
        <w:t xml:space="preserve"> to </w:t>
      </w:r>
      <w:r w:rsidR="007C009E" w:rsidRPr="00316CB5">
        <w:t>the location(s) in which</w:t>
      </w:r>
      <w:r w:rsidRPr="00316CB5">
        <w:t xml:space="preserve"> the</w:t>
      </w:r>
      <w:r w:rsidR="007178C7" w:rsidRPr="00316CB5">
        <w:t>y are held</w:t>
      </w:r>
      <w:r w:rsidRPr="00316CB5">
        <w:t xml:space="preserve">, </w:t>
      </w:r>
      <w:r w:rsidR="007C009E" w:rsidRPr="00316CB5">
        <w:t xml:space="preserve">the need to </w:t>
      </w:r>
      <w:r w:rsidR="007178C7" w:rsidRPr="00316CB5">
        <w:t>ensur</w:t>
      </w:r>
      <w:r w:rsidR="007C009E" w:rsidRPr="00316CB5">
        <w:t>e</w:t>
      </w:r>
      <w:r w:rsidR="007178C7" w:rsidRPr="00316CB5">
        <w:t xml:space="preserve"> a </w:t>
      </w:r>
      <w:r w:rsidRPr="00316CB5">
        <w:t>culturally appropriate approach</w:t>
      </w:r>
      <w:r w:rsidR="007C009E" w:rsidRPr="00316CB5">
        <w:t xml:space="preserve"> and optimise</w:t>
      </w:r>
      <w:r w:rsidR="007178C7" w:rsidRPr="00316CB5">
        <w:t xml:space="preserve"> </w:t>
      </w:r>
      <w:r w:rsidRPr="00316CB5">
        <w:t>potential for community involvement</w:t>
      </w:r>
      <w:r w:rsidR="007178C7" w:rsidRPr="00316CB5">
        <w:t>,</w:t>
      </w:r>
      <w:r w:rsidRPr="00316CB5">
        <w:t xml:space="preserve"> and how </w:t>
      </w:r>
      <w:r w:rsidR="007C009E" w:rsidRPr="00316CB5">
        <w:t xml:space="preserve">to operate </w:t>
      </w:r>
      <w:r w:rsidRPr="00316CB5">
        <w:t>the sounding with the market and communities, for example, in the design and approach to the market sounding</w:t>
      </w:r>
      <w:r w:rsidR="007C009E" w:rsidRPr="00316CB5">
        <w:t>,</w:t>
      </w:r>
      <w:r w:rsidRPr="00316CB5">
        <w:t xml:space="preserve"> as well as the reporting and output</w:t>
      </w:r>
      <w:r w:rsidR="007C009E" w:rsidRPr="00316CB5">
        <w:t>s</w:t>
      </w:r>
      <w:r w:rsidRPr="00316CB5">
        <w:t xml:space="preserve"> of it</w:t>
      </w:r>
      <w:r w:rsidR="007C009E" w:rsidRPr="00316CB5">
        <w:t>.</w:t>
      </w:r>
    </w:p>
    <w:p w14:paraId="2EE31A0B" w14:textId="023554D5" w:rsidR="001B62EB" w:rsidRPr="00316CB5" w:rsidRDefault="001B62EB" w:rsidP="006454B0">
      <w:pPr>
        <w:pStyle w:val="ListBullet"/>
      </w:pPr>
      <w:r w:rsidRPr="00316CB5">
        <w:t>The PHN will need to ensure that market sounding meetings a</w:t>
      </w:r>
      <w:r w:rsidR="00E47639">
        <w:t>re documented.</w:t>
      </w:r>
    </w:p>
    <w:p w14:paraId="1C3711E4" w14:textId="5E7B1719" w:rsidR="00D46790" w:rsidRPr="00316CB5" w:rsidRDefault="00D46790" w:rsidP="006454B0">
      <w:pPr>
        <w:pStyle w:val="ListBullet"/>
      </w:pPr>
      <w:r w:rsidRPr="00316CB5">
        <w:t xml:space="preserve">Once </w:t>
      </w:r>
      <w:r w:rsidR="001B62EB" w:rsidRPr="00316CB5">
        <w:t xml:space="preserve">the sounding process is </w:t>
      </w:r>
      <w:r w:rsidRPr="00316CB5">
        <w:t xml:space="preserve">completed, the </w:t>
      </w:r>
      <w:r w:rsidR="00DF1184" w:rsidRPr="00316CB5">
        <w:t>PHN should summarise the findings</w:t>
      </w:r>
      <w:r w:rsidR="001B62EB" w:rsidRPr="00316CB5">
        <w:t>,</w:t>
      </w:r>
      <w:r w:rsidR="00DF1184" w:rsidRPr="00316CB5">
        <w:t xml:space="preserve"> and confirm what actions should be undertaken in relation to</w:t>
      </w:r>
      <w:r w:rsidR="003E0005" w:rsidRPr="00316CB5">
        <w:t xml:space="preserve"> the market sounding objectives</w:t>
      </w:r>
      <w:r w:rsidR="007C009E" w:rsidRPr="00316CB5">
        <w:t>.</w:t>
      </w:r>
      <w:r w:rsidR="001B62EB" w:rsidRPr="00316CB5">
        <w:t xml:space="preserve"> These steps are important in making effective use of the information obtained from participant</w:t>
      </w:r>
      <w:r w:rsidR="00E47639">
        <w:t>s during the soundings process.</w:t>
      </w:r>
    </w:p>
    <w:p w14:paraId="6D508D01" w14:textId="0DFE54B6" w:rsidR="00DF1184" w:rsidRPr="00316CB5" w:rsidRDefault="00DF1184" w:rsidP="006454B0">
      <w:pPr>
        <w:pStyle w:val="ListBullet"/>
      </w:pPr>
      <w:r w:rsidRPr="00316CB5">
        <w:t>On completion, the PHN should also summarise key lessons learn</w:t>
      </w:r>
      <w:r w:rsidR="007C009E" w:rsidRPr="00316CB5">
        <w:t>ed</w:t>
      </w:r>
      <w:r w:rsidRPr="00316CB5">
        <w:t xml:space="preserve"> in relation to the market sounding process</w:t>
      </w:r>
      <w:r w:rsidR="007C009E" w:rsidRPr="00316CB5">
        <w:t>,</w:t>
      </w:r>
      <w:r w:rsidRPr="00316CB5">
        <w:t xml:space="preserve"> so that fu</w:t>
      </w:r>
      <w:r w:rsidR="003E0005" w:rsidRPr="00316CB5">
        <w:t>ture processes can be improved</w:t>
      </w:r>
      <w:r w:rsidR="007C009E" w:rsidRPr="00316CB5">
        <w:t>.</w:t>
      </w:r>
    </w:p>
    <w:p w14:paraId="6D3C3C2A" w14:textId="0BADB516" w:rsidR="00DF1184" w:rsidRPr="00316CB5" w:rsidRDefault="00DF1184" w:rsidP="006454B0">
      <w:pPr>
        <w:pStyle w:val="ListBullet"/>
      </w:pPr>
      <w:r w:rsidRPr="00316CB5">
        <w:t xml:space="preserve">The PHN should also consider how it reports back to the market </w:t>
      </w:r>
      <w:r w:rsidR="007C009E" w:rsidRPr="00316CB5">
        <w:t>after</w:t>
      </w:r>
      <w:r w:rsidRPr="00316CB5">
        <w:t xml:space="preserve"> the soundings</w:t>
      </w:r>
      <w:r w:rsidR="007C009E" w:rsidRPr="00316CB5">
        <w:t xml:space="preserve"> process</w:t>
      </w:r>
      <w:r w:rsidRPr="00316CB5">
        <w:t xml:space="preserve">, and whether a high level public summary </w:t>
      </w:r>
      <w:r w:rsidR="007C009E" w:rsidRPr="00316CB5">
        <w:t xml:space="preserve">could be </w:t>
      </w:r>
      <w:r w:rsidRPr="00316CB5">
        <w:t>provide</w:t>
      </w:r>
      <w:r w:rsidR="0098261E" w:rsidRPr="00316CB5">
        <w:t>d</w:t>
      </w:r>
      <w:r w:rsidRPr="00316CB5">
        <w:t xml:space="preserve"> to participants </w:t>
      </w:r>
      <w:r w:rsidR="00692716" w:rsidRPr="00316CB5">
        <w:t xml:space="preserve">and </w:t>
      </w:r>
      <w:r w:rsidRPr="00316CB5">
        <w:t>the wider market. This can be used strategically to furth</w:t>
      </w:r>
      <w:r w:rsidR="003E0005" w:rsidRPr="00316CB5">
        <w:t>er build market relationships</w:t>
      </w:r>
      <w:r w:rsidR="009C65FA" w:rsidRPr="00316CB5">
        <w:t>.</w:t>
      </w:r>
    </w:p>
    <w:p w14:paraId="2D5BC8C9" w14:textId="3331F6B2" w:rsidR="008A0B33" w:rsidRDefault="00E763C9" w:rsidP="006454B0">
      <w:pPr>
        <w:pStyle w:val="ListBullet"/>
      </w:pPr>
      <w:r w:rsidRPr="00316CB5">
        <w:t xml:space="preserve">PHNs should </w:t>
      </w:r>
      <w:r w:rsidR="00971FC8" w:rsidRPr="00316CB5">
        <w:t>seek to action the findings from the market sounding process in a balanced and considered manner</w:t>
      </w:r>
      <w:r w:rsidRPr="00316CB5">
        <w:t>.</w:t>
      </w:r>
    </w:p>
    <w:p w14:paraId="367E305F" w14:textId="77777777" w:rsidR="008A0B33" w:rsidRDefault="008A0B33">
      <w:pPr>
        <w:rPr>
          <w:color w:val="000000" w:themeColor="text1"/>
        </w:rPr>
      </w:pPr>
      <w:r>
        <w:br w:type="page"/>
      </w:r>
    </w:p>
    <w:p w14:paraId="41529708" w14:textId="0BC89099" w:rsidR="00A955A4" w:rsidRDefault="00BD6DC2" w:rsidP="006454B0">
      <w:pPr>
        <w:pStyle w:val="SectionHeading"/>
      </w:pPr>
      <w:bookmarkStart w:id="21" w:name="_Toc514226266"/>
      <w:bookmarkStart w:id="22" w:name="_Toc519768686"/>
      <w:bookmarkStart w:id="23" w:name="_Toc504486927"/>
      <w:r>
        <w:t>T</w:t>
      </w:r>
      <w:r w:rsidR="006454B0">
        <w:t>ool</w:t>
      </w:r>
      <w:r>
        <w:t xml:space="preserve"> 2: M</w:t>
      </w:r>
      <w:r w:rsidR="006454B0">
        <w:t>arket sounding question areas</w:t>
      </w:r>
      <w:bookmarkEnd w:id="21"/>
      <w:bookmarkEnd w:id="22"/>
    </w:p>
    <w:p w14:paraId="20DBC1E7" w14:textId="29AA8BB1" w:rsidR="00D160BC" w:rsidRPr="00316CB5" w:rsidRDefault="00A955A4" w:rsidP="006454B0">
      <w:pPr>
        <w:pStyle w:val="Paragraphtext"/>
      </w:pPr>
      <w:r w:rsidRPr="00316CB5">
        <w:t>Market sounding questions should be closely aligned to the purposes of the sounding</w:t>
      </w:r>
      <w:r w:rsidR="00F048D4" w:rsidRPr="00316CB5">
        <w:t>,</w:t>
      </w:r>
      <w:r w:rsidRPr="00316CB5">
        <w:t xml:space="preserve"> and will therefore need to be tailored to each specific sounding process. In addition, the format of the soundings will also heavily influence what </w:t>
      </w:r>
      <w:r w:rsidR="00F048D4" w:rsidRPr="00316CB5">
        <w:t xml:space="preserve">questions are asked, </w:t>
      </w:r>
      <w:r w:rsidRPr="00316CB5">
        <w:t xml:space="preserve">and how. </w:t>
      </w:r>
      <w:r w:rsidR="00F048D4" w:rsidRPr="00316CB5">
        <w:t>T</w:t>
      </w:r>
      <w:r w:rsidRPr="00316CB5">
        <w:t>he following market sounding questions have been provided</w:t>
      </w:r>
      <w:r w:rsidR="00F048D4" w:rsidRPr="00316CB5">
        <w:t xml:space="preserve"> for illustrative purposes</w:t>
      </w:r>
      <w:r w:rsidRPr="00316CB5">
        <w:t>. These questions would suit in</w:t>
      </w:r>
      <w:r w:rsidR="000E77CC">
        <w:t xml:space="preserve"> person confidential interviews;</w:t>
      </w:r>
      <w:r w:rsidRPr="00316CB5">
        <w:t xml:space="preserve"> however</w:t>
      </w:r>
      <w:r w:rsidR="000E77CC">
        <w:t>,</w:t>
      </w:r>
      <w:r w:rsidRPr="00316CB5">
        <w:t xml:space="preserve"> they could be adapted for wider formats.</w:t>
      </w:r>
    </w:p>
    <w:tbl>
      <w:tblPr>
        <w:tblStyle w:val="PHNBlueTable"/>
        <w:tblW w:w="4975" w:type="pct"/>
        <w:tblInd w:w="113" w:type="dxa"/>
        <w:tblLayout w:type="fixed"/>
        <w:tblLook w:val="04A0" w:firstRow="1" w:lastRow="0" w:firstColumn="1" w:lastColumn="0" w:noHBand="0" w:noVBand="1"/>
        <w:tblCaption w:val="Market sounding question areas"/>
        <w:tblDescription w:val="This table features two columns and five rows. The first column provides suggestions of topic areas to focus on in a market sounding. The second column provides examples of questions related to each of the topic areas.  "/>
      </w:tblPr>
      <w:tblGrid>
        <w:gridCol w:w="1696"/>
        <w:gridCol w:w="8222"/>
      </w:tblGrid>
      <w:tr w:rsidR="00A955A4" w:rsidRPr="00A955A4" w14:paraId="47344BC4" w14:textId="77777777" w:rsidTr="00E47639">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8D188D"/>
          </w:tcPr>
          <w:p w14:paraId="19A9D99C" w14:textId="3C4B7D70" w:rsidR="00A955A4" w:rsidRPr="00A955A4" w:rsidRDefault="00A955A4" w:rsidP="0039174C">
            <w:pPr>
              <w:pStyle w:val="TableHeaderWhite"/>
            </w:pPr>
            <w:r w:rsidRPr="00A955A4">
              <w:t>Topic</w:t>
            </w:r>
          </w:p>
        </w:tc>
        <w:tc>
          <w:tcPr>
            <w:tcW w:w="8222" w:type="dxa"/>
            <w:shd w:val="clear" w:color="auto" w:fill="8D188D"/>
          </w:tcPr>
          <w:p w14:paraId="240DF9C9" w14:textId="3718065B" w:rsidR="00A955A4" w:rsidRPr="00A955A4" w:rsidRDefault="00A955A4" w:rsidP="0039174C">
            <w:pPr>
              <w:pStyle w:val="TableHeaderWhite"/>
            </w:pPr>
            <w:r w:rsidRPr="00A955A4">
              <w:t>Question</w:t>
            </w:r>
          </w:p>
        </w:tc>
      </w:tr>
      <w:tr w:rsidR="00A955A4" w:rsidRPr="00A955A4" w14:paraId="59189CCB" w14:textId="77777777" w:rsidTr="008A0B33">
        <w:trPr>
          <w:trHeight w:val="1100"/>
        </w:trPr>
        <w:tc>
          <w:tcPr>
            <w:tcW w:w="1696" w:type="dxa"/>
          </w:tcPr>
          <w:p w14:paraId="526EC3E0" w14:textId="77777777" w:rsidR="00A955A4" w:rsidRPr="00E47639" w:rsidRDefault="00A955A4" w:rsidP="0039174C">
            <w:pPr>
              <w:pStyle w:val="Tabletextnormal"/>
              <w:rPr>
                <w:color w:val="auto"/>
              </w:rPr>
            </w:pPr>
            <w:r w:rsidRPr="00E47639">
              <w:rPr>
                <w:color w:val="auto"/>
              </w:rPr>
              <w:t>Interest and appetite</w:t>
            </w:r>
          </w:p>
        </w:tc>
        <w:tc>
          <w:tcPr>
            <w:tcW w:w="8222" w:type="dxa"/>
          </w:tcPr>
          <w:p w14:paraId="3E23C4E4" w14:textId="2C47C867" w:rsidR="00A955A4" w:rsidRPr="00316CB5" w:rsidRDefault="00A955A4" w:rsidP="008A0B33">
            <w:pPr>
              <w:pStyle w:val="Tablelistbullet"/>
            </w:pPr>
            <w:r w:rsidRPr="00316CB5">
              <w:t>Questions should determine whether the project is of interest to the market and what could be changed to stimulate further interest, including changes in packaging, bundling or design of services</w:t>
            </w:r>
            <w:r w:rsidR="0098261E" w:rsidRPr="00316CB5">
              <w:t>,</w:t>
            </w:r>
            <w:r w:rsidRPr="00316CB5">
              <w:t xml:space="preserve"> as well as risk allocation </w:t>
            </w:r>
            <w:r w:rsidR="00F048D4" w:rsidRPr="00316CB5">
              <w:t>e</w:t>
            </w:r>
            <w:r w:rsidRPr="00316CB5">
              <w:t>.g.</w:t>
            </w:r>
          </w:p>
          <w:p w14:paraId="626DF75F" w14:textId="43C8A9C5" w:rsidR="00A955A4" w:rsidRPr="00316CB5" w:rsidRDefault="00A955A4" w:rsidP="008A0B33">
            <w:pPr>
              <w:pStyle w:val="Tablelistbullet2"/>
              <w:numPr>
                <w:ilvl w:val="1"/>
                <w:numId w:val="18"/>
              </w:numPr>
            </w:pPr>
            <w:r w:rsidRPr="00316CB5">
              <w:t>What is your level of interest in deliver</w:t>
            </w:r>
            <w:r w:rsidR="0098261E" w:rsidRPr="00316CB5">
              <w:t>ing</w:t>
            </w:r>
            <w:r w:rsidRPr="00316CB5">
              <w:t xml:space="preserve"> </w:t>
            </w:r>
            <w:r w:rsidR="00F048D4" w:rsidRPr="00316CB5">
              <w:t>these types of services</w:t>
            </w:r>
            <w:r w:rsidR="00E47639">
              <w:t>?</w:t>
            </w:r>
          </w:p>
          <w:p w14:paraId="3492EE7D" w14:textId="77777777" w:rsidR="00A955A4" w:rsidRPr="00316CB5" w:rsidRDefault="00A955A4" w:rsidP="008A0B33">
            <w:pPr>
              <w:pStyle w:val="Tablelistbullet2"/>
            </w:pPr>
            <w:r w:rsidRPr="00316CB5">
              <w:t>What drives / limits this level of interest?</w:t>
            </w:r>
          </w:p>
          <w:p w14:paraId="784A943E" w14:textId="77777777" w:rsidR="00A955A4" w:rsidRPr="00316CB5" w:rsidRDefault="00A955A4" w:rsidP="008A0B33">
            <w:pPr>
              <w:pStyle w:val="Tablelistbullet2"/>
            </w:pPr>
            <w:r w:rsidRPr="00316CB5">
              <w:t>What would need to change to increase your level of interest?</w:t>
            </w:r>
          </w:p>
          <w:p w14:paraId="7E5D371F" w14:textId="1168938F" w:rsidR="00A955A4" w:rsidRPr="00316CB5" w:rsidRDefault="00B82FEC" w:rsidP="008A0B33">
            <w:pPr>
              <w:pStyle w:val="Tablelistbullet2"/>
            </w:pPr>
            <w:r w:rsidRPr="00316CB5">
              <w:t xml:space="preserve">What concerns do you have in relation to </w:t>
            </w:r>
            <w:r w:rsidR="00ED6E94">
              <w:t>delivering these types of services</w:t>
            </w:r>
            <w:r w:rsidRPr="00316CB5">
              <w:t>?</w:t>
            </w:r>
          </w:p>
        </w:tc>
      </w:tr>
      <w:tr w:rsidR="00A955A4" w:rsidRPr="00A955A4" w14:paraId="7A2E982C" w14:textId="77777777" w:rsidTr="008A0B33">
        <w:tc>
          <w:tcPr>
            <w:tcW w:w="1696" w:type="dxa"/>
          </w:tcPr>
          <w:p w14:paraId="2043ED64" w14:textId="0425BC04" w:rsidR="00A955A4" w:rsidRPr="00E47639" w:rsidRDefault="00A955A4" w:rsidP="0039174C">
            <w:pPr>
              <w:pStyle w:val="Tabletextnormal"/>
              <w:rPr>
                <w:color w:val="auto"/>
              </w:rPr>
            </w:pPr>
            <w:r w:rsidRPr="00E47639">
              <w:rPr>
                <w:color w:val="auto"/>
              </w:rPr>
              <w:t>Operational capability and capacity</w:t>
            </w:r>
          </w:p>
        </w:tc>
        <w:tc>
          <w:tcPr>
            <w:tcW w:w="8222" w:type="dxa"/>
          </w:tcPr>
          <w:p w14:paraId="7F0A87B3" w14:textId="50FCF226" w:rsidR="00A955A4" w:rsidRPr="00316CB5" w:rsidRDefault="00A955A4" w:rsidP="008A0B33">
            <w:pPr>
              <w:pStyle w:val="Tablelistbullet"/>
            </w:pPr>
            <w:r w:rsidRPr="00316CB5">
              <w:t xml:space="preserve">Questions to understand if the market </w:t>
            </w:r>
            <w:r w:rsidR="00AD0947" w:rsidRPr="00316CB5">
              <w:t>has the appropriate skills and resources</w:t>
            </w:r>
            <w:r w:rsidR="0098261E" w:rsidRPr="00316CB5">
              <w:t xml:space="preserve"> to</w:t>
            </w:r>
            <w:r w:rsidR="00AD0947" w:rsidRPr="00316CB5">
              <w:t xml:space="preserve"> </w:t>
            </w:r>
            <w:r w:rsidRPr="00316CB5">
              <w:t xml:space="preserve">deliver the project </w:t>
            </w:r>
            <w:r w:rsidR="00F048D4" w:rsidRPr="00316CB5">
              <w:t>e</w:t>
            </w:r>
            <w:r w:rsidRPr="00316CB5">
              <w:t>.g.</w:t>
            </w:r>
          </w:p>
          <w:p w14:paraId="2E6B7AD3" w14:textId="159B51FF" w:rsidR="00A955A4" w:rsidRPr="00316CB5" w:rsidRDefault="00A955A4" w:rsidP="008A0B33">
            <w:pPr>
              <w:pStyle w:val="Tablelistbullet2"/>
            </w:pPr>
            <w:r w:rsidRPr="00316CB5">
              <w:t>Does your organi</w:t>
            </w:r>
            <w:r w:rsidR="0098261E" w:rsidRPr="00316CB5">
              <w:t>s</w:t>
            </w:r>
            <w:r w:rsidRPr="00316CB5">
              <w:t xml:space="preserve">ation have the required capacity to deliver </w:t>
            </w:r>
            <w:r w:rsidR="00F048D4" w:rsidRPr="00316CB5">
              <w:t>these services</w:t>
            </w:r>
            <w:r w:rsidRPr="00316CB5">
              <w:t>?</w:t>
            </w:r>
          </w:p>
          <w:p w14:paraId="50729D77" w14:textId="676A1B25" w:rsidR="00A955A4" w:rsidRPr="00316CB5" w:rsidRDefault="00A955A4" w:rsidP="008A0B33">
            <w:pPr>
              <w:pStyle w:val="Tablelistbullet2"/>
            </w:pPr>
            <w:r w:rsidRPr="00316CB5">
              <w:t>Does your organi</w:t>
            </w:r>
            <w:r w:rsidR="0098261E" w:rsidRPr="00316CB5">
              <w:t>s</w:t>
            </w:r>
            <w:r w:rsidRPr="00316CB5">
              <w:t xml:space="preserve">ation have the required capability to deliver </w:t>
            </w:r>
            <w:r w:rsidR="00F048D4" w:rsidRPr="00316CB5">
              <w:t>these services</w:t>
            </w:r>
            <w:r w:rsidRPr="00316CB5">
              <w:t>?</w:t>
            </w:r>
          </w:p>
          <w:p w14:paraId="1F274BA9" w14:textId="0A4FD322" w:rsidR="00AD0947" w:rsidRPr="00316CB5" w:rsidRDefault="00AD0947" w:rsidP="008A0B33">
            <w:pPr>
              <w:pStyle w:val="Tablelistbullet2"/>
            </w:pPr>
            <w:r w:rsidRPr="00316CB5">
              <w:t xml:space="preserve">How would </w:t>
            </w:r>
            <w:r w:rsidR="0098261E" w:rsidRPr="00316CB5">
              <w:t xml:space="preserve">you </w:t>
            </w:r>
            <w:r w:rsidRPr="00316CB5">
              <w:t xml:space="preserve">manage delivery of the key aspects of </w:t>
            </w:r>
            <w:r w:rsidR="00F048D4" w:rsidRPr="00316CB5">
              <w:t>these services</w:t>
            </w:r>
            <w:r w:rsidRPr="00316CB5">
              <w:t>?</w:t>
            </w:r>
          </w:p>
          <w:p w14:paraId="345D9F1E" w14:textId="285A81B5" w:rsidR="009C65FA" w:rsidRPr="00316CB5" w:rsidRDefault="009C65FA" w:rsidP="008A0B33">
            <w:pPr>
              <w:pStyle w:val="Tablelistbullet2"/>
            </w:pPr>
            <w:r w:rsidRPr="00316CB5">
              <w:t>Does your organisation provide culturally safe and culturally appropriate responses?</w:t>
            </w:r>
          </w:p>
          <w:p w14:paraId="7DB5E70D" w14:textId="2CC9BCA0" w:rsidR="00AD0947" w:rsidRPr="00316CB5" w:rsidRDefault="00AD0947" w:rsidP="008A0B33">
            <w:pPr>
              <w:pStyle w:val="Tablelistbullet2"/>
            </w:pPr>
            <w:r w:rsidRPr="00316CB5">
              <w:t>Would you seek to work in partnership with other organi</w:t>
            </w:r>
            <w:r w:rsidR="0098261E" w:rsidRPr="00316CB5">
              <w:t>s</w:t>
            </w:r>
            <w:r w:rsidRPr="00316CB5">
              <w:t xml:space="preserve">ations to support delivery? What </w:t>
            </w:r>
            <w:r w:rsidR="0098261E" w:rsidRPr="00316CB5">
              <w:t xml:space="preserve">type </w:t>
            </w:r>
            <w:r w:rsidRPr="00316CB5">
              <w:t>of organi</w:t>
            </w:r>
            <w:r w:rsidR="0098261E" w:rsidRPr="00316CB5">
              <w:t>s</w:t>
            </w:r>
            <w:r w:rsidRPr="00316CB5">
              <w:t>ations?</w:t>
            </w:r>
          </w:p>
          <w:p w14:paraId="2BFECDB6" w14:textId="4FD70231" w:rsidR="00AD0947" w:rsidRPr="00316CB5" w:rsidRDefault="00AD0947" w:rsidP="008A0B33">
            <w:pPr>
              <w:pStyle w:val="Tablelistbullet2"/>
            </w:pPr>
            <w:r w:rsidRPr="00316CB5">
              <w:t>Do you have any concerns in relation to financial, risk or operational elements of delivery</w:t>
            </w:r>
            <w:r w:rsidR="00F048D4" w:rsidRPr="00316CB5">
              <w:t xml:space="preserve"> (e.g. </w:t>
            </w:r>
            <w:r w:rsidR="0098261E" w:rsidRPr="00316CB5">
              <w:t xml:space="preserve">the </w:t>
            </w:r>
            <w:r w:rsidRPr="00316CB5">
              <w:t>workforce</w:t>
            </w:r>
            <w:r w:rsidR="00F048D4" w:rsidRPr="00316CB5">
              <w:t>)</w:t>
            </w:r>
            <w:r w:rsidRPr="00316CB5">
              <w:t>?</w:t>
            </w:r>
          </w:p>
          <w:p w14:paraId="620BCFC5" w14:textId="5256025E" w:rsidR="00AD0947" w:rsidRPr="00316CB5" w:rsidRDefault="00AD0947" w:rsidP="008A0B33">
            <w:pPr>
              <w:pStyle w:val="Tablelistbullet2"/>
            </w:pPr>
            <w:r w:rsidRPr="00316CB5">
              <w:t>What support could be provided to help manage</w:t>
            </w:r>
            <w:r w:rsidR="0098261E" w:rsidRPr="00316CB5">
              <w:t xml:space="preserve"> </w:t>
            </w:r>
            <w:r w:rsidRPr="00316CB5">
              <w:t>these issues?</w:t>
            </w:r>
          </w:p>
        </w:tc>
      </w:tr>
      <w:tr w:rsidR="00A955A4" w:rsidRPr="00A955A4" w14:paraId="2526571E" w14:textId="77777777" w:rsidTr="008A0B33">
        <w:tc>
          <w:tcPr>
            <w:tcW w:w="1696" w:type="dxa"/>
          </w:tcPr>
          <w:p w14:paraId="6890C77E" w14:textId="21292116" w:rsidR="00A955A4" w:rsidRPr="00E47639" w:rsidRDefault="00A955A4" w:rsidP="0039174C">
            <w:pPr>
              <w:pStyle w:val="Tabletextnormal"/>
              <w:rPr>
                <w:color w:val="auto"/>
              </w:rPr>
            </w:pPr>
            <w:r w:rsidRPr="00E47639">
              <w:rPr>
                <w:color w:val="auto"/>
              </w:rPr>
              <w:t>Innovation</w:t>
            </w:r>
          </w:p>
        </w:tc>
        <w:tc>
          <w:tcPr>
            <w:tcW w:w="8222" w:type="dxa"/>
          </w:tcPr>
          <w:p w14:paraId="4CE7BE7A" w14:textId="39978AF8" w:rsidR="00AD0947" w:rsidRPr="00316CB5" w:rsidRDefault="00A955A4" w:rsidP="008A0B33">
            <w:pPr>
              <w:pStyle w:val="Tablelistbullet"/>
            </w:pPr>
            <w:r w:rsidRPr="00316CB5">
              <w:t>Questions to understand what opportunities there are to innovate and introduce new ways of working</w:t>
            </w:r>
            <w:r w:rsidR="00AD0947" w:rsidRPr="00316CB5">
              <w:t xml:space="preserve"> e.g.</w:t>
            </w:r>
          </w:p>
          <w:p w14:paraId="2F5D6AD8" w14:textId="77777777" w:rsidR="00AD0947" w:rsidRPr="00316CB5" w:rsidRDefault="00AD0947" w:rsidP="008A0B33">
            <w:pPr>
              <w:pStyle w:val="Tablelistbullet2"/>
            </w:pPr>
            <w:r w:rsidRPr="00316CB5">
              <w:t>The PHN is seeking to drive better outcomes through increased use of innovation. Where do you perceive opportunities to exist to support innovation?</w:t>
            </w:r>
          </w:p>
          <w:p w14:paraId="15422230" w14:textId="44184F66" w:rsidR="00A955A4" w:rsidRPr="00316CB5" w:rsidRDefault="00AD0947" w:rsidP="008A0B33">
            <w:pPr>
              <w:pStyle w:val="Tablelistbullet2"/>
            </w:pPr>
            <w:r w:rsidRPr="00316CB5">
              <w:t>How could the PHN better support innovation for this service? Consider access to data or introductions to other entities</w:t>
            </w:r>
            <w:r w:rsidR="00125658">
              <w:t>.</w:t>
            </w:r>
          </w:p>
        </w:tc>
      </w:tr>
      <w:tr w:rsidR="00A955A4" w:rsidRPr="00A955A4" w14:paraId="5394F96E" w14:textId="77777777" w:rsidTr="008A0B33">
        <w:tc>
          <w:tcPr>
            <w:tcW w:w="1696" w:type="dxa"/>
          </w:tcPr>
          <w:p w14:paraId="33D46E6B" w14:textId="77777777" w:rsidR="00A955A4" w:rsidRPr="00E47639" w:rsidRDefault="00A955A4" w:rsidP="0039174C">
            <w:pPr>
              <w:pStyle w:val="Tabletextnormal"/>
              <w:rPr>
                <w:color w:val="auto"/>
              </w:rPr>
            </w:pPr>
            <w:r w:rsidRPr="00E47639">
              <w:rPr>
                <w:color w:val="auto"/>
              </w:rPr>
              <w:t>Procurement process</w:t>
            </w:r>
          </w:p>
        </w:tc>
        <w:tc>
          <w:tcPr>
            <w:tcW w:w="8222" w:type="dxa"/>
          </w:tcPr>
          <w:p w14:paraId="4039685B" w14:textId="5D892224" w:rsidR="00AD0947" w:rsidRPr="00316CB5" w:rsidRDefault="00A955A4" w:rsidP="008A0B33">
            <w:pPr>
              <w:pStyle w:val="Tablelistbullet"/>
            </w:pPr>
            <w:r w:rsidRPr="00316CB5">
              <w:t xml:space="preserve">Questions to understand </w:t>
            </w:r>
            <w:r w:rsidR="00AD0947" w:rsidRPr="00316CB5">
              <w:t xml:space="preserve">how the procurement process </w:t>
            </w:r>
            <w:r w:rsidR="000E00D4" w:rsidRPr="00316CB5">
              <w:t xml:space="preserve">could </w:t>
            </w:r>
            <w:r w:rsidR="00AD0947" w:rsidRPr="00316CB5">
              <w:t>be structured to help generate the largest volume of high quality proposals possible e.g.</w:t>
            </w:r>
          </w:p>
          <w:p w14:paraId="64538550" w14:textId="77777777" w:rsidR="00AD0947" w:rsidRPr="00316CB5" w:rsidRDefault="00AD0947" w:rsidP="008A0B33">
            <w:pPr>
              <w:pStyle w:val="Tablelistbullet2"/>
            </w:pPr>
            <w:r w:rsidRPr="00316CB5">
              <w:t>What are your thoughts on the proposed procurement approach? Is this sufficient for you to develop a high quality submission?</w:t>
            </w:r>
          </w:p>
          <w:p w14:paraId="3E229A04" w14:textId="77777777" w:rsidR="00AD0947" w:rsidRPr="00316CB5" w:rsidRDefault="00AD0947" w:rsidP="008A0B33">
            <w:pPr>
              <w:pStyle w:val="Tablelistbullet2"/>
            </w:pPr>
            <w:r w:rsidRPr="00316CB5">
              <w:t>How could the procurement approach be simplified?</w:t>
            </w:r>
          </w:p>
          <w:p w14:paraId="2B36B87B" w14:textId="77777777" w:rsidR="00AD0947" w:rsidRPr="00316CB5" w:rsidRDefault="00AD0947" w:rsidP="008A0B33">
            <w:pPr>
              <w:pStyle w:val="Tablelistbullet2"/>
            </w:pPr>
            <w:r w:rsidRPr="00316CB5">
              <w:t>Will you be able to provide the necessary level of information to complete the procurement process?</w:t>
            </w:r>
          </w:p>
          <w:p w14:paraId="54A1838E" w14:textId="2DF867C4" w:rsidR="009C65FA" w:rsidRPr="00316CB5" w:rsidRDefault="009C65FA" w:rsidP="008A0B33">
            <w:pPr>
              <w:pStyle w:val="Tablelistbullet2"/>
            </w:pPr>
            <w:r w:rsidRPr="00316CB5">
              <w:t>In the context of Aboriginal and Torres Strait Islander people and communities</w:t>
            </w:r>
            <w:r w:rsidR="00E4600E" w:rsidRPr="00316CB5">
              <w:t>,</w:t>
            </w:r>
            <w:r w:rsidRPr="00316CB5">
              <w:t xml:space="preserve"> is the procurement culturally </w:t>
            </w:r>
            <w:r w:rsidR="00E4600E" w:rsidRPr="00316CB5">
              <w:t xml:space="preserve">appropriate and culturally </w:t>
            </w:r>
            <w:r w:rsidRPr="00316CB5">
              <w:t>safe?</w:t>
            </w:r>
          </w:p>
          <w:p w14:paraId="779CC095" w14:textId="48A5AB7C" w:rsidR="00A955A4" w:rsidRPr="00316CB5" w:rsidRDefault="00AD0947" w:rsidP="008A0B33">
            <w:pPr>
              <w:pStyle w:val="Tablelistbullet2"/>
            </w:pPr>
            <w:r w:rsidRPr="00316CB5">
              <w:t>What broader information could be provided to assist you in the completion of the procurement process</w:t>
            </w:r>
            <w:r w:rsidR="00E6258F" w:rsidRPr="00316CB5">
              <w:t>?</w:t>
            </w:r>
          </w:p>
        </w:tc>
      </w:tr>
    </w:tbl>
    <w:p w14:paraId="137E38C1" w14:textId="1D425DF7" w:rsidR="008E45BB" w:rsidRPr="001E7353" w:rsidRDefault="00BD6DC2" w:rsidP="006454B0">
      <w:pPr>
        <w:pStyle w:val="SectionHeading"/>
      </w:pPr>
      <w:bookmarkStart w:id="24" w:name="_Toc514226267"/>
      <w:bookmarkStart w:id="25" w:name="_Toc519768687"/>
      <w:r>
        <w:t>T</w:t>
      </w:r>
      <w:r w:rsidR="006454B0">
        <w:t>ool</w:t>
      </w:r>
      <w:r>
        <w:t xml:space="preserve"> 3: P</w:t>
      </w:r>
      <w:r w:rsidR="006454B0">
        <w:t>lanning and delivering an industry day</w:t>
      </w:r>
      <w:bookmarkEnd w:id="23"/>
      <w:bookmarkEnd w:id="24"/>
      <w:bookmarkEnd w:id="25"/>
    </w:p>
    <w:p w14:paraId="5BAF32B7" w14:textId="75C82D73" w:rsidR="00F23C54" w:rsidRPr="00316CB5" w:rsidRDefault="0088661A" w:rsidP="006454B0">
      <w:pPr>
        <w:pStyle w:val="Paragraphtext"/>
      </w:pPr>
      <w:bookmarkStart w:id="26" w:name="_Toc504486928"/>
      <w:r w:rsidRPr="00316CB5">
        <w:t xml:space="preserve">Industry </w:t>
      </w:r>
      <w:r w:rsidR="00CB16E4" w:rsidRPr="00316CB5">
        <w:t>d</w:t>
      </w:r>
      <w:r w:rsidRPr="00316CB5">
        <w:t xml:space="preserve">ays can </w:t>
      </w:r>
      <w:r w:rsidR="00CB16E4" w:rsidRPr="00316CB5">
        <w:t xml:space="preserve">be useful approaches </w:t>
      </w:r>
      <w:r w:rsidR="00E6258F" w:rsidRPr="00316CB5">
        <w:t>for the PHN and providers to share industry insights, learn about the industry and encourage new ways of working</w:t>
      </w:r>
      <w:r w:rsidR="00E4600E" w:rsidRPr="00316CB5">
        <w:t>,</w:t>
      </w:r>
      <w:r w:rsidR="00CB16E4" w:rsidRPr="00316CB5">
        <w:t xml:space="preserve"> whil</w:t>
      </w:r>
      <w:r w:rsidR="00E4600E" w:rsidRPr="00316CB5">
        <w:t>e</w:t>
      </w:r>
      <w:r w:rsidR="00CB16E4" w:rsidRPr="00316CB5">
        <w:t xml:space="preserve"> also helping to develop relationships </w:t>
      </w:r>
      <w:r w:rsidR="00017E15" w:rsidRPr="00316CB5">
        <w:t>in the market</w:t>
      </w:r>
      <w:r w:rsidR="00CB16E4" w:rsidRPr="00316CB5">
        <w:t xml:space="preserve">. Similar to market soundings, </w:t>
      </w:r>
      <w:r w:rsidR="00E4600E" w:rsidRPr="00316CB5">
        <w:t>industry days</w:t>
      </w:r>
      <w:r w:rsidR="00CB16E4" w:rsidRPr="00316CB5">
        <w:t xml:space="preserve"> need to be well planned and considered</w:t>
      </w:r>
      <w:r w:rsidR="00E4600E" w:rsidRPr="00316CB5">
        <w:t>,</w:t>
      </w:r>
      <w:r w:rsidR="00CB16E4" w:rsidRPr="00316CB5">
        <w:t xml:space="preserve"> to ensure that the structure and format align with their overall </w:t>
      </w:r>
      <w:r w:rsidR="00017E15" w:rsidRPr="00316CB5">
        <w:t>objectives</w:t>
      </w:r>
      <w:r w:rsidR="00E47639">
        <w:t>.</w:t>
      </w:r>
    </w:p>
    <w:p w14:paraId="63B33889" w14:textId="49C5B4DC" w:rsidR="003D3172" w:rsidRPr="00316CB5" w:rsidRDefault="00CB16E4" w:rsidP="006454B0">
      <w:pPr>
        <w:pStyle w:val="Paragraphtext"/>
      </w:pPr>
      <w:r w:rsidRPr="00316CB5">
        <w:t xml:space="preserve">The key difference </w:t>
      </w:r>
      <w:r w:rsidR="00E4600E" w:rsidRPr="00316CB5">
        <w:t>between a market sounding</w:t>
      </w:r>
      <w:r w:rsidRPr="00316CB5">
        <w:t xml:space="preserve"> </w:t>
      </w:r>
      <w:r w:rsidR="00E4600E" w:rsidRPr="00316CB5">
        <w:t xml:space="preserve">and </w:t>
      </w:r>
      <w:r w:rsidRPr="00316CB5">
        <w:t xml:space="preserve">an industry day is that </w:t>
      </w:r>
      <w:r w:rsidR="00E4600E" w:rsidRPr="00316CB5">
        <w:t xml:space="preserve">the latter </w:t>
      </w:r>
      <w:r w:rsidRPr="00316CB5">
        <w:t>is typically used as a more informal way to share and build knowledge</w:t>
      </w:r>
      <w:r w:rsidR="00E4600E" w:rsidRPr="00316CB5">
        <w:t>,</w:t>
      </w:r>
      <w:r w:rsidRPr="00316CB5">
        <w:t xml:space="preserve"> and therefore serve as a reoccurring activity that the PHN performs regularly</w:t>
      </w:r>
      <w:r w:rsidR="00F23C54" w:rsidRPr="00316CB5">
        <w:t xml:space="preserve"> (e.g. </w:t>
      </w:r>
      <w:r w:rsidR="00E4600E" w:rsidRPr="00316CB5">
        <w:t>annually</w:t>
      </w:r>
      <w:r w:rsidR="00F23C54" w:rsidRPr="00316CB5">
        <w:t>)</w:t>
      </w:r>
      <w:r w:rsidRPr="00316CB5">
        <w:t xml:space="preserve">. This could be a whole of sector industry day where the PHN talks about </w:t>
      </w:r>
      <w:r w:rsidR="00F23C54" w:rsidRPr="00316CB5">
        <w:t xml:space="preserve">all services </w:t>
      </w:r>
      <w:r w:rsidR="00E4600E" w:rsidRPr="00316CB5">
        <w:t xml:space="preserve">that it is seeking to commission </w:t>
      </w:r>
      <w:r w:rsidR="00F23C54" w:rsidRPr="00316CB5">
        <w:t xml:space="preserve">and invites all providers (both existing and potential), or it could be more focussed </w:t>
      </w:r>
      <w:r w:rsidR="00E6258F" w:rsidRPr="00316CB5">
        <w:t>on</w:t>
      </w:r>
      <w:r w:rsidR="00F23C54" w:rsidRPr="00316CB5">
        <w:t xml:space="preserve"> a particular service.</w:t>
      </w:r>
      <w:bookmarkEnd w:id="26"/>
    </w:p>
    <w:p w14:paraId="240173F2" w14:textId="53C86489" w:rsidR="009C65FA" w:rsidRPr="00316CB5" w:rsidRDefault="009C65FA" w:rsidP="006454B0">
      <w:pPr>
        <w:pStyle w:val="Paragraphtext"/>
      </w:pPr>
      <w:r w:rsidRPr="00316CB5">
        <w:t>For industry days related to Aboriginal and Torres Strait Islander people and communities</w:t>
      </w:r>
      <w:r w:rsidR="00E4600E" w:rsidRPr="00316CB5">
        <w:t>,</w:t>
      </w:r>
      <w:r w:rsidRPr="00316CB5">
        <w:t xml:space="preserve"> specific consideration</w:t>
      </w:r>
      <w:r w:rsidR="00E4600E" w:rsidRPr="00316CB5">
        <w:t xml:space="preserve"> should </w:t>
      </w:r>
      <w:r w:rsidRPr="00316CB5">
        <w:t xml:space="preserve">be </w:t>
      </w:r>
      <w:r w:rsidR="00E4600E" w:rsidRPr="00316CB5">
        <w:t>given to the locations in which they are held</w:t>
      </w:r>
      <w:r w:rsidRPr="00316CB5">
        <w:t xml:space="preserve">, </w:t>
      </w:r>
      <w:r w:rsidR="00E4600E" w:rsidRPr="00316CB5">
        <w:t xml:space="preserve">the need to ensure a </w:t>
      </w:r>
      <w:r w:rsidRPr="00316CB5">
        <w:t>culturally appropriate approach</w:t>
      </w:r>
      <w:r w:rsidR="00E4600E" w:rsidRPr="00316CB5">
        <w:t xml:space="preserve"> and optimise</w:t>
      </w:r>
      <w:r w:rsidRPr="00316CB5">
        <w:t xml:space="preserve"> the potential for community involvement</w:t>
      </w:r>
      <w:r w:rsidR="00E4600E" w:rsidRPr="00316CB5">
        <w:t>,</w:t>
      </w:r>
      <w:r w:rsidRPr="00316CB5">
        <w:t xml:space="preserve"> and how the industry day might be operated with the market and communities, for example, in the design and approach to the industry day</w:t>
      </w:r>
      <w:r w:rsidR="00E4600E" w:rsidRPr="00316CB5">
        <w:t>,</w:t>
      </w:r>
      <w:r w:rsidRPr="00316CB5">
        <w:t xml:space="preserve"> as well as the reporting and output</w:t>
      </w:r>
      <w:r w:rsidR="00E4600E" w:rsidRPr="00316CB5">
        <w:t>s</w:t>
      </w:r>
      <w:r w:rsidR="00E47639">
        <w:t xml:space="preserve"> of it.</w:t>
      </w:r>
    </w:p>
    <w:p w14:paraId="22BC51E5" w14:textId="0503D491" w:rsidR="00F23C54" w:rsidRPr="00316CB5" w:rsidRDefault="00F23C54" w:rsidP="000E77CC">
      <w:pPr>
        <w:pStyle w:val="Paragraphtext"/>
        <w:keepNext/>
        <w:keepLines/>
      </w:pPr>
      <w:r w:rsidRPr="00316CB5">
        <w:t>An example agenda for an industry day is set out below</w:t>
      </w:r>
      <w:r w:rsidR="00877BBE" w:rsidRPr="00316CB5">
        <w:t>.</w:t>
      </w:r>
    </w:p>
    <w:tbl>
      <w:tblPr>
        <w:tblStyle w:val="PHNBlueTable"/>
        <w:tblW w:w="4900" w:type="pct"/>
        <w:tblInd w:w="113" w:type="dxa"/>
        <w:tblLayout w:type="fixed"/>
        <w:tblLook w:val="04A0" w:firstRow="1" w:lastRow="0" w:firstColumn="1" w:lastColumn="0" w:noHBand="0" w:noVBand="1"/>
        <w:tblCaption w:val="Planning and delivering an industry day"/>
        <w:tblDescription w:val="This table features two columns and nine rows. The first column outlines example agenda items that could be used in holding an industry day. The second column provides notes against each agenda item. "/>
      </w:tblPr>
      <w:tblGrid>
        <w:gridCol w:w="2689"/>
        <w:gridCol w:w="7080"/>
      </w:tblGrid>
      <w:tr w:rsidR="00F23C54" w:rsidRPr="0039174C" w14:paraId="0969D48D" w14:textId="77777777" w:rsidTr="00E47639">
        <w:trPr>
          <w:cnfStyle w:val="100000000000" w:firstRow="1" w:lastRow="0" w:firstColumn="0" w:lastColumn="0" w:oddVBand="0" w:evenVBand="0" w:oddHBand="0" w:evenHBand="0" w:firstRowFirstColumn="0" w:firstRowLastColumn="0" w:lastRowFirstColumn="0" w:lastRowLastColumn="0"/>
        </w:trPr>
        <w:tc>
          <w:tcPr>
            <w:tcW w:w="2689" w:type="dxa"/>
            <w:shd w:val="clear" w:color="auto" w:fill="8D188D"/>
          </w:tcPr>
          <w:p w14:paraId="0E98FBF7" w14:textId="77777777" w:rsidR="00F23C54" w:rsidRPr="0039174C" w:rsidRDefault="00F23C54" w:rsidP="0039174C">
            <w:pPr>
              <w:pStyle w:val="TableHeaderWhite"/>
            </w:pPr>
            <w:r w:rsidRPr="0039174C">
              <w:t>Agenda item</w:t>
            </w:r>
          </w:p>
        </w:tc>
        <w:tc>
          <w:tcPr>
            <w:tcW w:w="7080" w:type="dxa"/>
            <w:shd w:val="clear" w:color="auto" w:fill="8D188D"/>
          </w:tcPr>
          <w:p w14:paraId="1E06E41C" w14:textId="77777777" w:rsidR="00F23C54" w:rsidRPr="0039174C" w:rsidRDefault="00F23C54" w:rsidP="0039174C">
            <w:pPr>
              <w:pStyle w:val="TableHeaderWhite"/>
            </w:pPr>
            <w:r w:rsidRPr="0039174C">
              <w:t>Notes</w:t>
            </w:r>
          </w:p>
        </w:tc>
      </w:tr>
      <w:tr w:rsidR="00F23C54" w:rsidRPr="00710C8B" w14:paraId="47B81A88" w14:textId="77777777" w:rsidTr="006D4016">
        <w:tc>
          <w:tcPr>
            <w:tcW w:w="2689" w:type="dxa"/>
          </w:tcPr>
          <w:p w14:paraId="17B444B3" w14:textId="245F3533" w:rsidR="00F23C54" w:rsidRPr="00E47639" w:rsidRDefault="00F23C54" w:rsidP="0039174C">
            <w:pPr>
              <w:pStyle w:val="Tabletextnormal"/>
              <w:rPr>
                <w:color w:val="auto"/>
              </w:rPr>
            </w:pPr>
            <w:r w:rsidRPr="00E47639">
              <w:rPr>
                <w:color w:val="auto"/>
              </w:rPr>
              <w:t>Welcome to Country</w:t>
            </w:r>
          </w:p>
        </w:tc>
        <w:tc>
          <w:tcPr>
            <w:tcW w:w="7080" w:type="dxa"/>
          </w:tcPr>
          <w:p w14:paraId="79BC4BE2" w14:textId="3E648E80" w:rsidR="00F23C54" w:rsidRPr="00316CB5" w:rsidRDefault="00F23C54" w:rsidP="0039174C">
            <w:pPr>
              <w:pStyle w:val="Tablelistbullet"/>
            </w:pPr>
            <w:r w:rsidRPr="00316CB5">
              <w:t xml:space="preserve">Flag the importance of this opportunity for Aboriginal and Torres Strait Islander </w:t>
            </w:r>
            <w:r w:rsidR="00017E15" w:rsidRPr="00316CB5">
              <w:t xml:space="preserve">people and communities </w:t>
            </w:r>
            <w:r w:rsidRPr="00316CB5">
              <w:t>(as applicable)</w:t>
            </w:r>
          </w:p>
        </w:tc>
      </w:tr>
      <w:tr w:rsidR="00F23C54" w:rsidRPr="00710C8B" w14:paraId="0A1E04A4" w14:textId="77777777" w:rsidTr="006D4016">
        <w:tc>
          <w:tcPr>
            <w:tcW w:w="2689" w:type="dxa"/>
          </w:tcPr>
          <w:p w14:paraId="3C0BD88D" w14:textId="6D5446C4" w:rsidR="00F23C54" w:rsidRPr="00E47639" w:rsidRDefault="00F23C54" w:rsidP="0039174C">
            <w:pPr>
              <w:pStyle w:val="Tabletextnormal"/>
              <w:rPr>
                <w:color w:val="auto"/>
              </w:rPr>
            </w:pPr>
            <w:r w:rsidRPr="00E47639">
              <w:rPr>
                <w:color w:val="auto"/>
              </w:rPr>
              <w:t>Purpose of the day</w:t>
            </w:r>
          </w:p>
        </w:tc>
        <w:tc>
          <w:tcPr>
            <w:tcW w:w="7080" w:type="dxa"/>
          </w:tcPr>
          <w:p w14:paraId="0B3D7AC7" w14:textId="32BBAC94" w:rsidR="00F23C54" w:rsidRPr="00316CB5" w:rsidRDefault="00F23C54" w:rsidP="0039174C">
            <w:pPr>
              <w:pStyle w:val="Tablelistbullet"/>
            </w:pPr>
            <w:r w:rsidRPr="00316CB5">
              <w:t>Introduce PHN attendees and their role</w:t>
            </w:r>
            <w:r w:rsidR="00017E15" w:rsidRPr="00316CB5">
              <w:t xml:space="preserve">s </w:t>
            </w:r>
          </w:p>
          <w:p w14:paraId="2D7F5CF6" w14:textId="7FDEB153" w:rsidR="00F23C54" w:rsidRPr="00316CB5" w:rsidRDefault="00F23C54" w:rsidP="0039174C">
            <w:pPr>
              <w:pStyle w:val="Tablelistbullet"/>
            </w:pPr>
            <w:r w:rsidRPr="00316CB5">
              <w:t>Set out the purpose of the day</w:t>
            </w:r>
            <w:r w:rsidR="00017E15" w:rsidRPr="00316CB5">
              <w:t>: to develop</w:t>
            </w:r>
            <w:r w:rsidRPr="00316CB5">
              <w:t xml:space="preserve"> better relationships, shar</w:t>
            </w:r>
            <w:r w:rsidR="00017E15" w:rsidRPr="00316CB5">
              <w:t>e</w:t>
            </w:r>
            <w:r w:rsidRPr="00316CB5">
              <w:t xml:space="preserve"> knowledge and help</w:t>
            </w:r>
            <w:r w:rsidR="00017E15" w:rsidRPr="00316CB5">
              <w:t xml:space="preserve"> </w:t>
            </w:r>
            <w:r w:rsidRPr="00316CB5">
              <w:t xml:space="preserve">to work together to </w:t>
            </w:r>
            <w:r w:rsidR="00877BBE" w:rsidRPr="00316CB5">
              <w:t xml:space="preserve">ensure the delivery of primary health care services and </w:t>
            </w:r>
            <w:r w:rsidRPr="00316CB5">
              <w:t>achieve outcomes</w:t>
            </w:r>
            <w:r w:rsidR="00877BBE" w:rsidRPr="00316CB5">
              <w:t xml:space="preserve"> to meet identified needs</w:t>
            </w:r>
          </w:p>
        </w:tc>
      </w:tr>
      <w:tr w:rsidR="00F23C54" w:rsidRPr="00710C8B" w14:paraId="1C0ED300" w14:textId="77777777" w:rsidTr="006D4016">
        <w:tc>
          <w:tcPr>
            <w:tcW w:w="2689" w:type="dxa"/>
          </w:tcPr>
          <w:p w14:paraId="6BE2216A" w14:textId="77777777" w:rsidR="00F23C54" w:rsidRPr="00E47639" w:rsidRDefault="00F23C54" w:rsidP="0039174C">
            <w:pPr>
              <w:pStyle w:val="Tabletextnormal"/>
              <w:rPr>
                <w:color w:val="auto"/>
              </w:rPr>
            </w:pPr>
            <w:r w:rsidRPr="00E47639">
              <w:rPr>
                <w:color w:val="auto"/>
              </w:rPr>
              <w:t>Overview of the PHN</w:t>
            </w:r>
          </w:p>
        </w:tc>
        <w:tc>
          <w:tcPr>
            <w:tcW w:w="7080" w:type="dxa"/>
          </w:tcPr>
          <w:p w14:paraId="159F785C" w14:textId="46B1465C" w:rsidR="00F23C54" w:rsidRPr="00316CB5" w:rsidRDefault="00F23C54" w:rsidP="0039174C">
            <w:pPr>
              <w:pStyle w:val="Tablelistbullet"/>
            </w:pPr>
            <w:r w:rsidRPr="00316CB5">
              <w:t>Overview of the role of the PHN</w:t>
            </w:r>
          </w:p>
          <w:p w14:paraId="19E515D6" w14:textId="11F56CD6" w:rsidR="00F23C54" w:rsidRPr="00316CB5" w:rsidRDefault="00F23C54" w:rsidP="0039174C">
            <w:pPr>
              <w:pStyle w:val="Tablelistbullet"/>
            </w:pPr>
            <w:r w:rsidRPr="00316CB5">
              <w:t>Articulat</w:t>
            </w:r>
            <w:r w:rsidR="00017E15" w:rsidRPr="00316CB5">
              <w:t xml:space="preserve">e </w:t>
            </w:r>
            <w:r w:rsidRPr="00316CB5">
              <w:t>what is important to the PHN</w:t>
            </w:r>
          </w:p>
          <w:p w14:paraId="699F3706" w14:textId="0168ABF7" w:rsidR="00F23C54" w:rsidRPr="00316CB5" w:rsidRDefault="00017E15" w:rsidP="0039174C">
            <w:pPr>
              <w:pStyle w:val="Tablelistbullet"/>
            </w:pPr>
            <w:r w:rsidRPr="00316CB5">
              <w:t xml:space="preserve">Articulate </w:t>
            </w:r>
            <w:r w:rsidR="00F23C54" w:rsidRPr="00316CB5">
              <w:t>why the PHN is good to work with</w:t>
            </w:r>
          </w:p>
        </w:tc>
      </w:tr>
      <w:tr w:rsidR="00F23C54" w:rsidRPr="00710C8B" w14:paraId="34B2CA2F" w14:textId="77777777" w:rsidTr="006D4016">
        <w:tc>
          <w:tcPr>
            <w:tcW w:w="2689" w:type="dxa"/>
          </w:tcPr>
          <w:p w14:paraId="7FC1571A" w14:textId="07754BB2" w:rsidR="00F23C54" w:rsidRPr="00E47639" w:rsidRDefault="00F23C54" w:rsidP="0039174C">
            <w:pPr>
              <w:pStyle w:val="Tabletextnormal"/>
              <w:rPr>
                <w:color w:val="auto"/>
              </w:rPr>
            </w:pPr>
            <w:r w:rsidRPr="00E47639">
              <w:rPr>
                <w:color w:val="auto"/>
              </w:rPr>
              <w:t>Service discussion</w:t>
            </w:r>
          </w:p>
        </w:tc>
        <w:tc>
          <w:tcPr>
            <w:tcW w:w="7080" w:type="dxa"/>
          </w:tcPr>
          <w:p w14:paraId="1A755A02" w14:textId="51209EEE" w:rsidR="00F23C54" w:rsidRPr="00316CB5" w:rsidRDefault="00F23C54" w:rsidP="0039174C">
            <w:pPr>
              <w:pStyle w:val="Tablelistbullet"/>
            </w:pPr>
            <w:r w:rsidRPr="00316CB5">
              <w:t>Introduc</w:t>
            </w:r>
            <w:r w:rsidR="00017E15" w:rsidRPr="00316CB5">
              <w:t xml:space="preserve">e </w:t>
            </w:r>
            <w:r w:rsidRPr="00316CB5">
              <w:t>the key priorities of the PHN</w:t>
            </w:r>
          </w:p>
          <w:p w14:paraId="27A8FE7B" w14:textId="5F1A2C0F" w:rsidR="00F23C54" w:rsidRPr="00316CB5" w:rsidRDefault="00F23C54" w:rsidP="0039174C">
            <w:pPr>
              <w:pStyle w:val="Tablelistbullet"/>
            </w:pPr>
            <w:r w:rsidRPr="00316CB5">
              <w:t>Shar</w:t>
            </w:r>
            <w:r w:rsidR="00017E15" w:rsidRPr="00316CB5">
              <w:t>e</w:t>
            </w:r>
            <w:r w:rsidRPr="00316CB5">
              <w:t xml:space="preserve"> information and knowledge about what the PHN is trying to achieve in terms of </w:t>
            </w:r>
            <w:r w:rsidR="00877BBE" w:rsidRPr="00316CB5">
              <w:t xml:space="preserve">addressing the identified primary health care needs of </w:t>
            </w:r>
            <w:r w:rsidRPr="00316CB5">
              <w:t>patient</w:t>
            </w:r>
            <w:r w:rsidR="00877BBE" w:rsidRPr="00316CB5">
              <w:t>s</w:t>
            </w:r>
            <w:r w:rsidRPr="00316CB5">
              <w:t xml:space="preserve"> and communit</w:t>
            </w:r>
            <w:r w:rsidR="00877BBE" w:rsidRPr="00316CB5">
              <w:t>ies</w:t>
            </w:r>
            <w:r w:rsidRPr="00316CB5">
              <w:t xml:space="preserve"> </w:t>
            </w:r>
            <w:r w:rsidR="00877BBE" w:rsidRPr="00316CB5">
              <w:t xml:space="preserve">and achieving </w:t>
            </w:r>
            <w:r w:rsidRPr="00316CB5">
              <w:t>outcomes</w:t>
            </w:r>
          </w:p>
          <w:p w14:paraId="4F0B07A6" w14:textId="59C75FC7" w:rsidR="00F23C54" w:rsidRPr="00316CB5" w:rsidRDefault="00F23C54" w:rsidP="0039174C">
            <w:pPr>
              <w:pStyle w:val="Tablelistbullet"/>
            </w:pPr>
            <w:r w:rsidRPr="00316CB5">
              <w:t>Shar</w:t>
            </w:r>
            <w:r w:rsidR="00017E15" w:rsidRPr="00316CB5">
              <w:t>e</w:t>
            </w:r>
            <w:r w:rsidRPr="00316CB5">
              <w:t xml:space="preserve"> information around the challenges faced in achieving the articulated goals</w:t>
            </w:r>
          </w:p>
          <w:p w14:paraId="28599D32" w14:textId="4CDD698D" w:rsidR="00F23C54" w:rsidRPr="00316CB5" w:rsidRDefault="00F23C54" w:rsidP="0039174C">
            <w:pPr>
              <w:pStyle w:val="Tablelistbullet"/>
            </w:pPr>
            <w:r w:rsidRPr="00316CB5">
              <w:t xml:space="preserve">Identification of </w:t>
            </w:r>
            <w:r w:rsidR="00877BBE" w:rsidRPr="00316CB5">
              <w:t>good</w:t>
            </w:r>
            <w:r w:rsidRPr="00316CB5">
              <w:t xml:space="preserve"> practice </w:t>
            </w:r>
            <w:r w:rsidR="00877BBE" w:rsidRPr="00316CB5">
              <w:t xml:space="preserve">service delivery </w:t>
            </w:r>
            <w:r w:rsidRPr="00316CB5">
              <w:t>and the desire to incorporate this</w:t>
            </w:r>
          </w:p>
          <w:p w14:paraId="5D62DC85" w14:textId="2C8A8106" w:rsidR="00F23C54" w:rsidRPr="00316CB5" w:rsidRDefault="00F23C54" w:rsidP="0039174C">
            <w:pPr>
              <w:pStyle w:val="Tablelistbullet"/>
            </w:pPr>
            <w:r w:rsidRPr="00316CB5">
              <w:t>How the PHN wants to work with providers as partners</w:t>
            </w:r>
          </w:p>
        </w:tc>
      </w:tr>
      <w:tr w:rsidR="00F23C54" w:rsidRPr="00710C8B" w14:paraId="026CD1FE" w14:textId="77777777" w:rsidTr="006D4016">
        <w:tc>
          <w:tcPr>
            <w:tcW w:w="2689" w:type="dxa"/>
          </w:tcPr>
          <w:p w14:paraId="4A034E2E" w14:textId="25C0567F" w:rsidR="00F23C54" w:rsidRPr="00E47639" w:rsidRDefault="00F23C54" w:rsidP="0039174C">
            <w:pPr>
              <w:pStyle w:val="Tabletextnormal"/>
              <w:rPr>
                <w:color w:val="auto"/>
              </w:rPr>
            </w:pPr>
            <w:r w:rsidRPr="00E47639">
              <w:rPr>
                <w:color w:val="auto"/>
              </w:rPr>
              <w:t>Group work and discussion</w:t>
            </w:r>
          </w:p>
        </w:tc>
        <w:tc>
          <w:tcPr>
            <w:tcW w:w="7080" w:type="dxa"/>
          </w:tcPr>
          <w:p w14:paraId="7BDB2422" w14:textId="3C045F09" w:rsidR="00F23C54" w:rsidRPr="00316CB5" w:rsidRDefault="00F23C54" w:rsidP="0039174C">
            <w:pPr>
              <w:pStyle w:val="Tablelistbullet"/>
            </w:pPr>
            <w:r w:rsidRPr="00316CB5">
              <w:t xml:space="preserve">Table discussion between the PHN and providers </w:t>
            </w:r>
            <w:r w:rsidR="00877BBE" w:rsidRPr="00316CB5">
              <w:t>on</w:t>
            </w:r>
            <w:r w:rsidRPr="00316CB5">
              <w:t xml:space="preserve"> how outcomes can be better achieved</w:t>
            </w:r>
          </w:p>
          <w:p w14:paraId="15F9C254" w14:textId="46A897EE" w:rsidR="00F23C54" w:rsidRPr="00316CB5" w:rsidRDefault="00F23C54" w:rsidP="0039174C">
            <w:pPr>
              <w:pStyle w:val="Tablelistbullet"/>
            </w:pPr>
            <w:r w:rsidRPr="00316CB5">
              <w:t>Discussion to focus on how providers and the PHN can work better together</w:t>
            </w:r>
          </w:p>
          <w:p w14:paraId="21061BFF" w14:textId="087B9AB6" w:rsidR="00F23C54" w:rsidRPr="00316CB5" w:rsidRDefault="00F23C54" w:rsidP="0039174C">
            <w:pPr>
              <w:pStyle w:val="Tablelistbullet"/>
            </w:pPr>
            <w:r w:rsidRPr="00316CB5">
              <w:t>Collaboration on how to solve key issues that are being faced</w:t>
            </w:r>
          </w:p>
        </w:tc>
      </w:tr>
      <w:tr w:rsidR="00F23C54" w:rsidRPr="00710C8B" w14:paraId="08CA9B7E" w14:textId="77777777" w:rsidTr="006D4016">
        <w:tc>
          <w:tcPr>
            <w:tcW w:w="2689" w:type="dxa"/>
          </w:tcPr>
          <w:p w14:paraId="23C0B446" w14:textId="438B7D95" w:rsidR="00F23C54" w:rsidRPr="00E47639" w:rsidRDefault="00F23C54" w:rsidP="0039174C">
            <w:pPr>
              <w:pStyle w:val="Tabletextnormal"/>
              <w:rPr>
                <w:color w:val="auto"/>
              </w:rPr>
            </w:pPr>
            <w:r w:rsidRPr="00E47639">
              <w:rPr>
                <w:color w:val="auto"/>
              </w:rPr>
              <w:t>Breaks</w:t>
            </w:r>
          </w:p>
        </w:tc>
        <w:tc>
          <w:tcPr>
            <w:tcW w:w="7080" w:type="dxa"/>
          </w:tcPr>
          <w:p w14:paraId="32D0A159" w14:textId="31AC8C34" w:rsidR="00F23C54" w:rsidRPr="00316CB5" w:rsidRDefault="00F23C54" w:rsidP="0039174C">
            <w:pPr>
              <w:pStyle w:val="Tablelistbullet"/>
            </w:pPr>
            <w:r w:rsidRPr="00316CB5">
              <w:t>To support networking amongst participants</w:t>
            </w:r>
            <w:r w:rsidR="00D7438E" w:rsidRPr="00316CB5">
              <w:t xml:space="preserve"> and </w:t>
            </w:r>
            <w:r w:rsidRPr="00316CB5">
              <w:t>help establish relationships that could foster consortia</w:t>
            </w:r>
          </w:p>
        </w:tc>
      </w:tr>
      <w:tr w:rsidR="00F23C54" w:rsidRPr="00710C8B" w14:paraId="18B1D88A" w14:textId="77777777" w:rsidTr="006D4016">
        <w:trPr>
          <w:cantSplit/>
        </w:trPr>
        <w:tc>
          <w:tcPr>
            <w:tcW w:w="2689" w:type="dxa"/>
          </w:tcPr>
          <w:p w14:paraId="5FBBE12D" w14:textId="1ABC61C3" w:rsidR="00F23C54" w:rsidRPr="00E47639" w:rsidRDefault="00D7438E" w:rsidP="0039174C">
            <w:pPr>
              <w:pStyle w:val="Tabletextnormal"/>
              <w:rPr>
                <w:color w:val="auto"/>
              </w:rPr>
            </w:pPr>
            <w:r w:rsidRPr="00E47639">
              <w:rPr>
                <w:color w:val="auto"/>
              </w:rPr>
              <w:t>Sharing of ideas</w:t>
            </w:r>
          </w:p>
        </w:tc>
        <w:tc>
          <w:tcPr>
            <w:tcW w:w="7080" w:type="dxa"/>
          </w:tcPr>
          <w:p w14:paraId="65E81D6B" w14:textId="77777777" w:rsidR="00D7438E" w:rsidRPr="00316CB5" w:rsidRDefault="00D7438E" w:rsidP="0039174C">
            <w:pPr>
              <w:pStyle w:val="Tablelistbullet"/>
            </w:pPr>
            <w:r w:rsidRPr="00316CB5">
              <w:t>Groups to share ideas and thoughts</w:t>
            </w:r>
          </w:p>
          <w:p w14:paraId="0218078D" w14:textId="4F6BCCB5" w:rsidR="00D7438E" w:rsidRPr="00316CB5" w:rsidRDefault="00D7438E" w:rsidP="0039174C">
            <w:pPr>
              <w:pStyle w:val="Tablelistbullet"/>
            </w:pPr>
            <w:r w:rsidRPr="00316CB5">
              <w:t>PHN to demonstrate active acknowledge</w:t>
            </w:r>
            <w:r w:rsidR="00FB2CA9">
              <w:t>ment</w:t>
            </w:r>
            <w:r w:rsidRPr="00316CB5">
              <w:t xml:space="preserve"> of ideas</w:t>
            </w:r>
          </w:p>
          <w:p w14:paraId="1A570D9C" w14:textId="44962269" w:rsidR="00F23C54" w:rsidRPr="00316CB5" w:rsidRDefault="00D7438E" w:rsidP="0039174C">
            <w:pPr>
              <w:pStyle w:val="Tablelistbullet"/>
            </w:pPr>
            <w:r w:rsidRPr="00316CB5">
              <w:t>Key actions and commitments to be documented</w:t>
            </w:r>
          </w:p>
        </w:tc>
      </w:tr>
      <w:tr w:rsidR="00F23C54" w:rsidRPr="00710C8B" w14:paraId="0D8D8C3E" w14:textId="77777777" w:rsidTr="006D4016">
        <w:tc>
          <w:tcPr>
            <w:tcW w:w="2689" w:type="dxa"/>
          </w:tcPr>
          <w:p w14:paraId="79CCE8D1" w14:textId="096B6EDA" w:rsidR="00F23C54" w:rsidRPr="00E47639" w:rsidRDefault="00F23C54" w:rsidP="0039174C">
            <w:pPr>
              <w:pStyle w:val="Tabletextnormal"/>
              <w:rPr>
                <w:color w:val="auto"/>
              </w:rPr>
            </w:pPr>
            <w:r w:rsidRPr="00E47639">
              <w:rPr>
                <w:color w:val="auto"/>
              </w:rPr>
              <w:t>Communications</w:t>
            </w:r>
          </w:p>
        </w:tc>
        <w:tc>
          <w:tcPr>
            <w:tcW w:w="7080" w:type="dxa"/>
          </w:tcPr>
          <w:p w14:paraId="450C8D17" w14:textId="6F9AA517" w:rsidR="00F23C54" w:rsidRPr="00316CB5" w:rsidRDefault="00D7438E" w:rsidP="0039174C">
            <w:pPr>
              <w:pStyle w:val="Tablelistbullet"/>
            </w:pPr>
            <w:r w:rsidRPr="00316CB5">
              <w:t xml:space="preserve">Distribution of information to </w:t>
            </w:r>
            <w:r w:rsidR="00877BBE" w:rsidRPr="00316CB5">
              <w:t xml:space="preserve">attendees as well as others who were not able to </w:t>
            </w:r>
            <w:r w:rsidR="00E6258F" w:rsidRPr="00316CB5">
              <w:t>attend</w:t>
            </w:r>
            <w:r w:rsidR="00381562">
              <w:t>.</w:t>
            </w:r>
          </w:p>
        </w:tc>
      </w:tr>
    </w:tbl>
    <w:p w14:paraId="7AA80D58" w14:textId="77777777" w:rsidR="008A0B33" w:rsidRPr="008A0B33" w:rsidRDefault="008A0B33" w:rsidP="006D4016">
      <w:pPr>
        <w:pStyle w:val="Paragraphtext"/>
        <w:spacing w:before="0" w:after="0"/>
      </w:pPr>
      <w:bookmarkStart w:id="27" w:name="_Toc514226268"/>
      <w:r w:rsidRPr="008A0B33">
        <w:br w:type="page"/>
      </w:r>
    </w:p>
    <w:p w14:paraId="2B694506" w14:textId="0B0C871D" w:rsidR="00B9120D" w:rsidRPr="001E7353" w:rsidRDefault="00BD6DC2" w:rsidP="006454B0">
      <w:pPr>
        <w:pStyle w:val="SectionHeading"/>
      </w:pPr>
      <w:bookmarkStart w:id="28" w:name="_Toc519768688"/>
      <w:r>
        <w:t>T</w:t>
      </w:r>
      <w:r w:rsidR="006454B0">
        <w:t>ool</w:t>
      </w:r>
      <w:r>
        <w:t xml:space="preserve"> 4: </w:t>
      </w:r>
      <w:r w:rsidR="006454B0">
        <w:t>planning and delivering an industry briefing</w:t>
      </w:r>
      <w:bookmarkEnd w:id="27"/>
      <w:bookmarkEnd w:id="28"/>
    </w:p>
    <w:p w14:paraId="3D4CE6D5" w14:textId="3573538F" w:rsidR="007E5F7E" w:rsidRPr="00316CB5" w:rsidRDefault="007E5F7E" w:rsidP="006454B0">
      <w:pPr>
        <w:pStyle w:val="Paragraphtext"/>
      </w:pPr>
      <w:r w:rsidRPr="00316CB5">
        <w:t>Industry briefings form part of a procurement process</w:t>
      </w:r>
      <w:r w:rsidR="00C17E0B" w:rsidRPr="00316CB5">
        <w:t>,</w:t>
      </w:r>
      <w:r w:rsidRPr="00316CB5">
        <w:t xml:space="preserve"> and are typically used to launch a process. As such, they are different from industry days in that they are:</w:t>
      </w:r>
    </w:p>
    <w:p w14:paraId="39FB0362" w14:textId="77777777" w:rsidR="007E5F7E" w:rsidRPr="00316CB5" w:rsidRDefault="007E5F7E" w:rsidP="006454B0">
      <w:pPr>
        <w:pStyle w:val="ListBullet"/>
      </w:pPr>
      <w:r w:rsidRPr="00316CB5">
        <w:t>Specific towards particular opportunities where services are being procured</w:t>
      </w:r>
    </w:p>
    <w:p w14:paraId="0F8D2969" w14:textId="53D23041" w:rsidR="007E5F7E" w:rsidRPr="00316CB5" w:rsidRDefault="007E5F7E" w:rsidP="006454B0">
      <w:pPr>
        <w:pStyle w:val="ListBullet"/>
      </w:pPr>
      <w:r w:rsidRPr="00316CB5">
        <w:t>Bound by probity rules and guidance</w:t>
      </w:r>
    </w:p>
    <w:p w14:paraId="1BFF9A19" w14:textId="37C903D2" w:rsidR="00847AFA" w:rsidRPr="00316CB5" w:rsidRDefault="00847AFA" w:rsidP="006454B0">
      <w:pPr>
        <w:pStyle w:val="ListBullet"/>
      </w:pPr>
      <w:r w:rsidRPr="00316CB5">
        <w:t xml:space="preserve">Presentations and Q&amp;As should generally </w:t>
      </w:r>
      <w:r w:rsidR="00C17E0B" w:rsidRPr="00316CB5">
        <w:t xml:space="preserve">also </w:t>
      </w:r>
      <w:r w:rsidRPr="00316CB5">
        <w:t>be made available to potential bidders who were unable to attend</w:t>
      </w:r>
      <w:r w:rsidR="00C17E0B" w:rsidRPr="00316CB5">
        <w:t>,</w:t>
      </w:r>
      <w:r w:rsidRPr="00316CB5">
        <w:t xml:space="preserve"> so that they are not unintentionally disadvantaged</w:t>
      </w:r>
      <w:r w:rsidR="00017E15" w:rsidRPr="00316CB5">
        <w:t>.</w:t>
      </w:r>
    </w:p>
    <w:p w14:paraId="1F60DF3B" w14:textId="77777777" w:rsidR="00C17E0B" w:rsidRPr="00316CB5" w:rsidRDefault="007E5F7E" w:rsidP="006454B0">
      <w:pPr>
        <w:pStyle w:val="Paragraphtext"/>
      </w:pPr>
      <w:r w:rsidRPr="00316CB5">
        <w:t>Given this difference, industry briefings need to be tightly scheduled and manage</w:t>
      </w:r>
      <w:r w:rsidR="00017E15" w:rsidRPr="00316CB5">
        <w:t>d</w:t>
      </w:r>
      <w:r w:rsidRPr="00316CB5">
        <w:t xml:space="preserve"> to ensure that they do not create </w:t>
      </w:r>
      <w:r w:rsidR="00C17E0B" w:rsidRPr="00316CB5">
        <w:t xml:space="preserve">a flawed </w:t>
      </w:r>
      <w:r w:rsidRPr="00316CB5">
        <w:t xml:space="preserve">procurement process or </w:t>
      </w:r>
      <w:r w:rsidR="00C17E0B" w:rsidRPr="00316CB5">
        <w:t xml:space="preserve">result in problematic </w:t>
      </w:r>
      <w:r w:rsidRPr="00316CB5">
        <w:t xml:space="preserve">governance issues. </w:t>
      </w:r>
    </w:p>
    <w:p w14:paraId="3043F27D" w14:textId="62609806" w:rsidR="007E5F7E" w:rsidRPr="00316CB5" w:rsidRDefault="007E5F7E" w:rsidP="006454B0">
      <w:pPr>
        <w:pStyle w:val="Paragraphtext"/>
      </w:pPr>
      <w:r w:rsidRPr="00316CB5">
        <w:t>An example agenda for an industry briefing is set out below</w:t>
      </w:r>
      <w:r w:rsidR="00017E15" w:rsidRPr="00316CB5">
        <w:t>.</w:t>
      </w:r>
    </w:p>
    <w:p w14:paraId="5690AB8A" w14:textId="25593DA6" w:rsidR="009C65FA" w:rsidRPr="00316CB5" w:rsidRDefault="009C65FA" w:rsidP="006454B0">
      <w:pPr>
        <w:pStyle w:val="Paragraphtext"/>
      </w:pPr>
      <w:r w:rsidRPr="00316CB5">
        <w:t>For industry briefings related to Aboriginal and Torres Strait Islander people and communities</w:t>
      </w:r>
      <w:r w:rsidR="00C17E0B" w:rsidRPr="00316CB5">
        <w:t>,</w:t>
      </w:r>
      <w:r w:rsidRPr="00316CB5">
        <w:t xml:space="preserve"> specific consideration </w:t>
      </w:r>
      <w:r w:rsidR="00C17E0B" w:rsidRPr="00316CB5">
        <w:t>should be given</w:t>
      </w:r>
      <w:r w:rsidRPr="00316CB5">
        <w:t xml:space="preserve"> to </w:t>
      </w:r>
      <w:r w:rsidR="00C17E0B" w:rsidRPr="00316CB5">
        <w:t>the locations in which the briefings are held</w:t>
      </w:r>
      <w:r w:rsidRPr="00316CB5">
        <w:t xml:space="preserve">, </w:t>
      </w:r>
      <w:r w:rsidR="00C17E0B" w:rsidRPr="00316CB5">
        <w:t xml:space="preserve">the need to ensure </w:t>
      </w:r>
      <w:r w:rsidRPr="00316CB5">
        <w:t>culturally appropriate approaches</w:t>
      </w:r>
      <w:r w:rsidR="00C17E0B" w:rsidRPr="00316CB5">
        <w:t xml:space="preserve"> and optimise </w:t>
      </w:r>
      <w:r w:rsidRPr="00316CB5">
        <w:t>the potential for community involvement</w:t>
      </w:r>
      <w:r w:rsidR="00C17E0B" w:rsidRPr="00316CB5">
        <w:t>,</w:t>
      </w:r>
      <w:r w:rsidRPr="00316CB5">
        <w:t xml:space="preserve"> and how the industry briefing might be operated with the market and communities, for example, in the design and approach to the industry briefing as well as the reporting and output</w:t>
      </w:r>
      <w:r w:rsidR="00C17E0B" w:rsidRPr="00316CB5">
        <w:t>s</w:t>
      </w:r>
      <w:r w:rsidR="00E47639">
        <w:t xml:space="preserve"> of it.</w:t>
      </w:r>
    </w:p>
    <w:p w14:paraId="7D43FFD9" w14:textId="0BA82B43" w:rsidR="00E46C96" w:rsidRPr="00316CB5" w:rsidRDefault="00E46C96" w:rsidP="0039174C">
      <w:pPr>
        <w:pStyle w:val="Paragraphtext"/>
      </w:pPr>
      <w:r w:rsidRPr="00316CB5">
        <w:t>An example agenda would include:</w:t>
      </w:r>
    </w:p>
    <w:tbl>
      <w:tblPr>
        <w:tblStyle w:val="PHNBlueTable"/>
        <w:tblW w:w="4900" w:type="pct"/>
        <w:tblInd w:w="113" w:type="dxa"/>
        <w:tblLayout w:type="fixed"/>
        <w:tblLook w:val="04A0" w:firstRow="1" w:lastRow="0" w:firstColumn="1" w:lastColumn="0" w:noHBand="0" w:noVBand="1"/>
        <w:tblCaption w:val="Planning and delivering an industry briefing"/>
        <w:tblDescription w:val="This table features two columns and six rows. The first column outlines example agenda items that could be used in holding an industry briefing. The second column provides notes against each agenda item.  "/>
      </w:tblPr>
      <w:tblGrid>
        <w:gridCol w:w="2958"/>
        <w:gridCol w:w="6811"/>
      </w:tblGrid>
      <w:tr w:rsidR="00B9120D" w:rsidRPr="00710C8B" w14:paraId="7C918D4C" w14:textId="77777777" w:rsidTr="00E47639">
        <w:trPr>
          <w:cnfStyle w:val="100000000000" w:firstRow="1" w:lastRow="0" w:firstColumn="0" w:lastColumn="0" w:oddVBand="0" w:evenVBand="0" w:oddHBand="0" w:evenHBand="0" w:firstRowFirstColumn="0" w:firstRowLastColumn="0" w:lastRowFirstColumn="0" w:lastRowLastColumn="0"/>
        </w:trPr>
        <w:tc>
          <w:tcPr>
            <w:tcW w:w="2728" w:type="dxa"/>
            <w:shd w:val="clear" w:color="auto" w:fill="8D188D"/>
          </w:tcPr>
          <w:p w14:paraId="68DA6763" w14:textId="7861EEB6" w:rsidR="00E46C96" w:rsidRPr="00710C8B" w:rsidRDefault="00E46C96" w:rsidP="0039174C">
            <w:pPr>
              <w:pStyle w:val="TableHeaderWhite"/>
            </w:pPr>
            <w:r w:rsidRPr="00710C8B">
              <w:t>Agenda item</w:t>
            </w:r>
          </w:p>
        </w:tc>
        <w:tc>
          <w:tcPr>
            <w:tcW w:w="6282" w:type="dxa"/>
            <w:shd w:val="clear" w:color="auto" w:fill="8D188D"/>
          </w:tcPr>
          <w:p w14:paraId="1DBD2718" w14:textId="600FC708" w:rsidR="00E46C96" w:rsidRPr="00710C8B" w:rsidRDefault="00E46C96" w:rsidP="0039174C">
            <w:pPr>
              <w:pStyle w:val="TableHeaderWhite"/>
            </w:pPr>
            <w:r w:rsidRPr="00710C8B">
              <w:t>Notes</w:t>
            </w:r>
          </w:p>
        </w:tc>
      </w:tr>
      <w:tr w:rsidR="007E5F7E" w:rsidRPr="00710C8B" w14:paraId="4D4CEB57" w14:textId="77777777" w:rsidTr="008A0B33">
        <w:tc>
          <w:tcPr>
            <w:tcW w:w="2728" w:type="dxa"/>
          </w:tcPr>
          <w:p w14:paraId="76E684AF" w14:textId="6015E411" w:rsidR="007E5F7E" w:rsidRPr="00E47639" w:rsidRDefault="007E5F7E" w:rsidP="00EC7A39">
            <w:pPr>
              <w:pStyle w:val="Tabletextnormal"/>
              <w:rPr>
                <w:color w:val="auto"/>
              </w:rPr>
            </w:pPr>
            <w:r w:rsidRPr="00E47639">
              <w:rPr>
                <w:color w:val="auto"/>
              </w:rPr>
              <w:t>Welcome to Country</w:t>
            </w:r>
          </w:p>
        </w:tc>
        <w:tc>
          <w:tcPr>
            <w:tcW w:w="6282" w:type="dxa"/>
          </w:tcPr>
          <w:p w14:paraId="047D12F5" w14:textId="04B1A609" w:rsidR="007E5F7E" w:rsidRPr="00316CB5" w:rsidRDefault="007E5F7E" w:rsidP="00EC7A39">
            <w:pPr>
              <w:pStyle w:val="Tablelistbullet"/>
            </w:pPr>
            <w:r w:rsidRPr="00316CB5">
              <w:t xml:space="preserve">Flag the importance of this opportunity for Aboriginal and Torres Strait Islander </w:t>
            </w:r>
            <w:r w:rsidR="00017E15" w:rsidRPr="00316CB5">
              <w:t xml:space="preserve">people and communities </w:t>
            </w:r>
            <w:r w:rsidRPr="00316CB5">
              <w:t>(as applicable)</w:t>
            </w:r>
          </w:p>
        </w:tc>
      </w:tr>
      <w:tr w:rsidR="007E5F7E" w:rsidRPr="00710C8B" w14:paraId="2AB0E144" w14:textId="77777777" w:rsidTr="008A0B33">
        <w:tc>
          <w:tcPr>
            <w:tcW w:w="2728" w:type="dxa"/>
          </w:tcPr>
          <w:p w14:paraId="1AED3423" w14:textId="756E6D9A" w:rsidR="007E5F7E" w:rsidRPr="00E47639" w:rsidRDefault="007E5F7E" w:rsidP="00EC7A39">
            <w:pPr>
              <w:pStyle w:val="Tabletextnormal"/>
              <w:rPr>
                <w:color w:val="auto"/>
              </w:rPr>
            </w:pPr>
            <w:r w:rsidRPr="00E47639">
              <w:rPr>
                <w:color w:val="auto"/>
              </w:rPr>
              <w:t>Purpose of the day</w:t>
            </w:r>
          </w:p>
        </w:tc>
        <w:tc>
          <w:tcPr>
            <w:tcW w:w="6282" w:type="dxa"/>
          </w:tcPr>
          <w:p w14:paraId="35A42BF8" w14:textId="1D16C276" w:rsidR="007E5F7E" w:rsidRPr="00316CB5" w:rsidRDefault="007E5F7E" w:rsidP="00EC7A39">
            <w:pPr>
              <w:pStyle w:val="Tablelistbullet"/>
            </w:pPr>
            <w:r w:rsidRPr="00316CB5">
              <w:t>Introduce the attendees and their role</w:t>
            </w:r>
            <w:r w:rsidR="00017E15" w:rsidRPr="00316CB5">
              <w:t>s</w:t>
            </w:r>
          </w:p>
          <w:p w14:paraId="20E1FCF1" w14:textId="65409BF5" w:rsidR="00A951E1" w:rsidRPr="00316CB5" w:rsidRDefault="007E5F7E" w:rsidP="00EC7A39">
            <w:pPr>
              <w:pStyle w:val="Tablelistbullet"/>
            </w:pPr>
            <w:r w:rsidRPr="00316CB5">
              <w:t>Set out the purpose of the day</w:t>
            </w:r>
          </w:p>
          <w:p w14:paraId="18F5D9CA" w14:textId="57EDBED5" w:rsidR="007E5F7E" w:rsidRPr="00316CB5" w:rsidRDefault="00A951E1" w:rsidP="00EC7A39">
            <w:pPr>
              <w:pStyle w:val="Tablelistbullet"/>
            </w:pPr>
            <w:r w:rsidRPr="00316CB5">
              <w:t xml:space="preserve">Set out </w:t>
            </w:r>
            <w:r w:rsidR="007E5F7E" w:rsidRPr="00316CB5">
              <w:t xml:space="preserve">any restrictions due to probity </w:t>
            </w:r>
            <w:r w:rsidRPr="00316CB5">
              <w:t>requirements</w:t>
            </w:r>
          </w:p>
        </w:tc>
      </w:tr>
      <w:tr w:rsidR="00B9120D" w:rsidRPr="00710C8B" w14:paraId="47A44ABC" w14:textId="77777777" w:rsidTr="008A0B33">
        <w:tc>
          <w:tcPr>
            <w:tcW w:w="2728" w:type="dxa"/>
          </w:tcPr>
          <w:p w14:paraId="1BB9C7E1" w14:textId="44799629" w:rsidR="00E46C96" w:rsidRPr="00E47639" w:rsidRDefault="00E46C96" w:rsidP="00EC7A39">
            <w:pPr>
              <w:pStyle w:val="Tabletextnormal"/>
              <w:rPr>
                <w:color w:val="auto"/>
              </w:rPr>
            </w:pPr>
            <w:r w:rsidRPr="00E47639">
              <w:rPr>
                <w:color w:val="auto"/>
              </w:rPr>
              <w:t>Introduction to the opportunity</w:t>
            </w:r>
          </w:p>
        </w:tc>
        <w:tc>
          <w:tcPr>
            <w:tcW w:w="6282" w:type="dxa"/>
          </w:tcPr>
          <w:p w14:paraId="01279E64" w14:textId="760F8831" w:rsidR="00023BD8" w:rsidRPr="00316CB5" w:rsidRDefault="007E5F7E" w:rsidP="00EC7A39">
            <w:pPr>
              <w:pStyle w:val="Tablelistbullet"/>
            </w:pPr>
            <w:r w:rsidRPr="00316CB5">
              <w:t>Overview of the opportunity</w:t>
            </w:r>
          </w:p>
          <w:p w14:paraId="4CE8A507" w14:textId="77777777" w:rsidR="007E5F7E" w:rsidRPr="00316CB5" w:rsidRDefault="007E5F7E" w:rsidP="00EC7A39">
            <w:pPr>
              <w:pStyle w:val="Tablelistbullet"/>
            </w:pPr>
            <w:r w:rsidRPr="00316CB5">
              <w:t>Overview of the requirements from providers</w:t>
            </w:r>
          </w:p>
          <w:p w14:paraId="765732FA" w14:textId="77777777" w:rsidR="007E5F7E" w:rsidRPr="00316CB5" w:rsidRDefault="007E5F7E" w:rsidP="00EC7A39">
            <w:pPr>
              <w:pStyle w:val="Tablelistbullet"/>
            </w:pPr>
            <w:r w:rsidRPr="00316CB5">
              <w:t>Overview of the procurement process</w:t>
            </w:r>
          </w:p>
          <w:p w14:paraId="4135CA72" w14:textId="1BE1FCD4" w:rsidR="00685B44" w:rsidRPr="00316CB5" w:rsidRDefault="007E5F7E" w:rsidP="00EC7A39">
            <w:pPr>
              <w:pStyle w:val="Tablelistbullet"/>
            </w:pPr>
            <w:r w:rsidRPr="00316CB5">
              <w:t>Overview of evaluation criteria</w:t>
            </w:r>
          </w:p>
        </w:tc>
      </w:tr>
      <w:tr w:rsidR="00B9120D" w:rsidRPr="00710C8B" w14:paraId="10C61B0D" w14:textId="77777777" w:rsidTr="008A0B33">
        <w:tc>
          <w:tcPr>
            <w:tcW w:w="2728" w:type="dxa"/>
          </w:tcPr>
          <w:p w14:paraId="4376439A" w14:textId="74CB6D0C" w:rsidR="005C2DFC" w:rsidRPr="00E47639" w:rsidRDefault="007E5F7E" w:rsidP="00EC7A39">
            <w:pPr>
              <w:pStyle w:val="Tabletextnormal"/>
              <w:rPr>
                <w:color w:val="auto"/>
              </w:rPr>
            </w:pPr>
            <w:r w:rsidRPr="00E47639">
              <w:rPr>
                <w:color w:val="auto"/>
              </w:rPr>
              <w:t>Questions and answers</w:t>
            </w:r>
          </w:p>
        </w:tc>
        <w:tc>
          <w:tcPr>
            <w:tcW w:w="6282" w:type="dxa"/>
          </w:tcPr>
          <w:p w14:paraId="3A3324B6" w14:textId="77777777" w:rsidR="005C2DFC" w:rsidRPr="00316CB5" w:rsidRDefault="00685B44" w:rsidP="00EC7A39">
            <w:pPr>
              <w:pStyle w:val="Tablelistbullet"/>
            </w:pPr>
            <w:r w:rsidRPr="00316CB5">
              <w:t xml:space="preserve">An opportunity for </w:t>
            </w:r>
            <w:r w:rsidR="007E5F7E" w:rsidRPr="00316CB5">
              <w:t xml:space="preserve">providers to ask questions </w:t>
            </w:r>
          </w:p>
          <w:p w14:paraId="2B0C452A" w14:textId="12E95156" w:rsidR="007E5F7E" w:rsidRPr="00316CB5" w:rsidRDefault="007E5F7E" w:rsidP="00EC7A39">
            <w:pPr>
              <w:pStyle w:val="Tablelistbullet"/>
            </w:pPr>
            <w:r w:rsidRPr="00316CB5">
              <w:t>PHN to answer these within probity rules</w:t>
            </w:r>
          </w:p>
        </w:tc>
      </w:tr>
      <w:tr w:rsidR="00B9120D" w:rsidRPr="00710C8B" w14:paraId="7A600CEC" w14:textId="77777777" w:rsidTr="008A0B33">
        <w:tc>
          <w:tcPr>
            <w:tcW w:w="2728" w:type="dxa"/>
          </w:tcPr>
          <w:p w14:paraId="204DB8E4" w14:textId="0AA2ADE1" w:rsidR="005C2DFC" w:rsidRPr="00E47639" w:rsidRDefault="007E5F7E" w:rsidP="00EC7A39">
            <w:pPr>
              <w:pStyle w:val="Tabletextnormal"/>
              <w:rPr>
                <w:color w:val="auto"/>
              </w:rPr>
            </w:pPr>
            <w:r w:rsidRPr="00E47639">
              <w:rPr>
                <w:color w:val="auto"/>
              </w:rPr>
              <w:t>Next steps</w:t>
            </w:r>
          </w:p>
        </w:tc>
        <w:tc>
          <w:tcPr>
            <w:tcW w:w="6282" w:type="dxa"/>
          </w:tcPr>
          <w:p w14:paraId="5416A90B" w14:textId="77777777" w:rsidR="005C2DFC" w:rsidRPr="00316CB5" w:rsidRDefault="00685B44" w:rsidP="00EC7A39">
            <w:pPr>
              <w:pStyle w:val="Tablelistbullet"/>
            </w:pPr>
            <w:r w:rsidRPr="00316CB5">
              <w:t xml:space="preserve">What </w:t>
            </w:r>
            <w:r w:rsidR="007E5F7E" w:rsidRPr="00316CB5">
              <w:t xml:space="preserve">providers </w:t>
            </w:r>
            <w:r w:rsidRPr="00316CB5">
              <w:t xml:space="preserve">can </w:t>
            </w:r>
            <w:r w:rsidR="007E5F7E" w:rsidRPr="00316CB5">
              <w:t>expect next</w:t>
            </w:r>
          </w:p>
          <w:p w14:paraId="60BAD3E6" w14:textId="7CEBC304" w:rsidR="007E5F7E" w:rsidRPr="00316CB5" w:rsidRDefault="007E5F7E" w:rsidP="00EC7A39">
            <w:pPr>
              <w:pStyle w:val="Tablelistbullet"/>
            </w:pPr>
            <w:r w:rsidRPr="00316CB5">
              <w:t>Indication of where a written summary of Q&amp;A</w:t>
            </w:r>
            <w:r w:rsidR="00A951E1" w:rsidRPr="00316CB5">
              <w:t>s</w:t>
            </w:r>
            <w:r w:rsidRPr="00316CB5">
              <w:t xml:space="preserve"> will be provided</w:t>
            </w:r>
            <w:r w:rsidR="00381562">
              <w:t>.</w:t>
            </w:r>
          </w:p>
        </w:tc>
      </w:tr>
    </w:tbl>
    <w:p w14:paraId="7203C28A" w14:textId="77777777" w:rsidR="008A0B33" w:rsidRPr="008A0B33" w:rsidRDefault="008A0B33" w:rsidP="008A0B33">
      <w:pPr>
        <w:pStyle w:val="Paragraphtext"/>
      </w:pPr>
      <w:bookmarkStart w:id="29" w:name="_Toc504486934"/>
      <w:bookmarkStart w:id="30" w:name="_Toc514226269"/>
      <w:r w:rsidRPr="008A0B33">
        <w:br w:type="page"/>
      </w:r>
    </w:p>
    <w:p w14:paraId="24AEF596" w14:textId="5B414513" w:rsidR="008E45BB" w:rsidRPr="001E7353" w:rsidRDefault="00BD6DC2" w:rsidP="006454B0">
      <w:pPr>
        <w:pStyle w:val="SectionHeading"/>
      </w:pPr>
      <w:bookmarkStart w:id="31" w:name="_Toc519768689"/>
      <w:r>
        <w:t>T</w:t>
      </w:r>
      <w:r w:rsidR="006454B0">
        <w:t>ool</w:t>
      </w:r>
      <w:r>
        <w:t xml:space="preserve"> 5: M</w:t>
      </w:r>
      <w:r w:rsidR="006454B0">
        <w:t>arket assessment approach and data sources</w:t>
      </w:r>
      <w:bookmarkEnd w:id="29"/>
      <w:bookmarkEnd w:id="30"/>
      <w:bookmarkEnd w:id="31"/>
    </w:p>
    <w:p w14:paraId="3E1721C3" w14:textId="52123ABD" w:rsidR="00D92DF6" w:rsidRPr="00316CB5" w:rsidRDefault="00847AFA" w:rsidP="006454B0">
      <w:pPr>
        <w:pStyle w:val="Paragraphtext"/>
      </w:pPr>
      <w:r w:rsidRPr="00316CB5">
        <w:t xml:space="preserve">Understanding the markets that PHNs work with is a key aspect of commissioning. To do this, PHNs should seek to leverage a broad range of data sources that will assist them in better understanding the dynamics of their markets and how to influence them. The </w:t>
      </w:r>
      <w:r w:rsidR="00296156" w:rsidRPr="00316CB5">
        <w:t xml:space="preserve">following </w:t>
      </w:r>
      <w:r w:rsidRPr="00316CB5">
        <w:t xml:space="preserve">table sets out the steps of a market analysis process and the data sources that can be used to </w:t>
      </w:r>
      <w:r w:rsidR="00296156" w:rsidRPr="00316CB5">
        <w:t xml:space="preserve">obtain </w:t>
      </w:r>
      <w:r w:rsidRPr="00316CB5">
        <w:t>this information. PHNs should not be restricted by only using these sources, nor should they feel the need to access all of the sources</w:t>
      </w:r>
      <w:r w:rsidR="00296156" w:rsidRPr="00316CB5">
        <w:t>. H</w:t>
      </w:r>
      <w:r w:rsidRPr="00316CB5">
        <w:t>owever</w:t>
      </w:r>
      <w:r w:rsidR="00296156" w:rsidRPr="00316CB5">
        <w:t>,</w:t>
      </w:r>
      <w:r w:rsidRPr="00316CB5">
        <w:t xml:space="preserve"> </w:t>
      </w:r>
      <w:r w:rsidR="00296156" w:rsidRPr="00316CB5">
        <w:t xml:space="preserve">as appropriate, </w:t>
      </w:r>
      <w:r w:rsidRPr="00316CB5">
        <w:t xml:space="preserve">they should seek to build as informed </w:t>
      </w:r>
      <w:r w:rsidR="00296156" w:rsidRPr="00316CB5">
        <w:t xml:space="preserve">a </w:t>
      </w:r>
      <w:r w:rsidRPr="00316CB5">
        <w:t>position as possible about their markets.</w:t>
      </w:r>
    </w:p>
    <w:p w14:paraId="56FAFE26" w14:textId="031D7A95" w:rsidR="0039174C" w:rsidRPr="00EE2822" w:rsidRDefault="008520C0" w:rsidP="002E3E10">
      <w:pPr>
        <w:pStyle w:val="Paragraphtext"/>
      </w:pPr>
      <w:r w:rsidRPr="00316CB5">
        <w:t>For market assessment relating</w:t>
      </w:r>
      <w:r w:rsidR="009C65FA" w:rsidRPr="00316CB5">
        <w:t xml:space="preserve"> to the needs and outcomes for Aboriginal and Torres Strait Islander people and communi</w:t>
      </w:r>
      <w:r w:rsidRPr="00316CB5">
        <w:t>ties</w:t>
      </w:r>
      <w:r w:rsidR="00296156" w:rsidRPr="00316CB5">
        <w:t>,</w:t>
      </w:r>
      <w:r w:rsidRPr="00316CB5">
        <w:t xml:space="preserve"> specific consideration should</w:t>
      </w:r>
      <w:r w:rsidR="009C65FA" w:rsidRPr="00316CB5">
        <w:t xml:space="preserve"> be </w:t>
      </w:r>
      <w:r w:rsidR="00296156" w:rsidRPr="00316CB5">
        <w:t xml:space="preserve">given </w:t>
      </w:r>
      <w:r w:rsidR="009C65FA" w:rsidRPr="00316CB5">
        <w:t>to how these are designed</w:t>
      </w:r>
      <w:r w:rsidR="00296156" w:rsidRPr="00316CB5">
        <w:t xml:space="preserve"> and</w:t>
      </w:r>
      <w:r w:rsidR="009C65FA" w:rsidRPr="00316CB5">
        <w:t xml:space="preserve"> organised</w:t>
      </w:r>
      <w:r w:rsidR="00296156" w:rsidRPr="00316CB5">
        <w:t>,</w:t>
      </w:r>
      <w:r w:rsidR="009C65FA" w:rsidRPr="00316CB5">
        <w:t xml:space="preserve"> and how participation occurs.</w:t>
      </w:r>
      <w:r w:rsidR="00644D6C">
        <w:t xml:space="preserve"> </w:t>
      </w:r>
      <w:r w:rsidRPr="00316CB5">
        <w:t>Initial discussions with the ACC</w:t>
      </w:r>
      <w:r w:rsidR="009C65FA" w:rsidRPr="00316CB5">
        <w:t xml:space="preserve">HS in the PHN region </w:t>
      </w:r>
      <w:r w:rsidR="00296156" w:rsidRPr="00316CB5">
        <w:t xml:space="preserve">are </w:t>
      </w:r>
      <w:r w:rsidR="009C65FA" w:rsidRPr="00316CB5">
        <w:t>essential for planning, organising and implement</w:t>
      </w:r>
      <w:r w:rsidR="00296156" w:rsidRPr="00316CB5">
        <w:t>ing</w:t>
      </w:r>
      <w:r w:rsidR="009C65FA" w:rsidRPr="00316CB5">
        <w:t xml:space="preserve"> the market assessment</w:t>
      </w:r>
      <w:r w:rsidR="00296156" w:rsidRPr="00316CB5">
        <w:t>,</w:t>
      </w:r>
      <w:r w:rsidR="009C65FA" w:rsidRPr="00316CB5">
        <w:t xml:space="preserve"> and </w:t>
      </w:r>
      <w:r w:rsidR="00296156" w:rsidRPr="00316CB5">
        <w:t xml:space="preserve">for </w:t>
      </w:r>
      <w:r w:rsidR="009C65FA" w:rsidRPr="00316CB5">
        <w:t>demonstrat</w:t>
      </w:r>
      <w:r w:rsidR="00296156" w:rsidRPr="00316CB5">
        <w:t>ing</w:t>
      </w:r>
      <w:r w:rsidR="009C65FA" w:rsidRPr="00316CB5">
        <w:t xml:space="preserve"> the PHN’s cultural awareness and </w:t>
      </w:r>
      <w:r w:rsidR="00296156" w:rsidRPr="00316CB5">
        <w:t xml:space="preserve">cultural </w:t>
      </w:r>
      <w:r w:rsidR="009C65FA" w:rsidRPr="00316CB5">
        <w:t xml:space="preserve">competency. </w:t>
      </w:r>
      <w:r w:rsidRPr="00316CB5">
        <w:t xml:space="preserve">This consideration should be </w:t>
      </w:r>
      <w:r w:rsidR="00296156" w:rsidRPr="00316CB5">
        <w:t xml:space="preserve">carried </w:t>
      </w:r>
      <w:r w:rsidRPr="00316CB5">
        <w:t xml:space="preserve">throughout the phases </w:t>
      </w:r>
      <w:r w:rsidR="00296156" w:rsidRPr="00316CB5">
        <w:t xml:space="preserve">listed </w:t>
      </w:r>
      <w:r w:rsidRPr="00316CB5">
        <w:t>below.</w:t>
      </w:r>
    </w:p>
    <w:tbl>
      <w:tblPr>
        <w:tblStyle w:val="PHNBlueTable"/>
        <w:tblW w:w="4943" w:type="pct"/>
        <w:tblInd w:w="113" w:type="dxa"/>
        <w:tblLayout w:type="fixed"/>
        <w:tblLook w:val="04A0" w:firstRow="1" w:lastRow="0" w:firstColumn="1" w:lastColumn="0" w:noHBand="0" w:noVBand="1"/>
        <w:tblCaption w:val="Phases of market assessment "/>
        <w:tblDescription w:val="This table features three columns and seven rows. The first column describes the six phases of market assessment, the second column outlines the activities that could be undertaken against each phase of the market assessment process, and the third column outlines potential sources for obtaining the information and data required in undertaking this activity. "/>
      </w:tblPr>
      <w:tblGrid>
        <w:gridCol w:w="1980"/>
        <w:gridCol w:w="2693"/>
        <w:gridCol w:w="5181"/>
      </w:tblGrid>
      <w:tr w:rsidR="002E3E10" w:rsidRPr="0039174C" w14:paraId="7EC2FD98" w14:textId="77777777" w:rsidTr="002E3E10">
        <w:trPr>
          <w:cnfStyle w:val="100000000000" w:firstRow="1" w:lastRow="0" w:firstColumn="0" w:lastColumn="0" w:oddVBand="0" w:evenVBand="0" w:oddHBand="0" w:evenHBand="0" w:firstRowFirstColumn="0" w:firstRowLastColumn="0" w:lastRowFirstColumn="0" w:lastRowLastColumn="0"/>
          <w:trHeight w:val="54"/>
        </w:trPr>
        <w:tc>
          <w:tcPr>
            <w:tcW w:w="1980" w:type="dxa"/>
            <w:shd w:val="clear" w:color="auto" w:fill="8D188D"/>
          </w:tcPr>
          <w:p w14:paraId="776F18AA" w14:textId="6691771A" w:rsidR="002E3E10" w:rsidRPr="0039174C" w:rsidRDefault="002E3E10" w:rsidP="0039174C">
            <w:pPr>
              <w:pStyle w:val="TableHeaderWhite"/>
            </w:pPr>
            <w:r>
              <w:t xml:space="preserve">Phase </w:t>
            </w:r>
          </w:p>
        </w:tc>
        <w:tc>
          <w:tcPr>
            <w:tcW w:w="2693" w:type="dxa"/>
            <w:shd w:val="clear" w:color="auto" w:fill="8D188D"/>
          </w:tcPr>
          <w:p w14:paraId="0F1274FC" w14:textId="16B9F816" w:rsidR="002E3E10" w:rsidRPr="0039174C" w:rsidRDefault="002E3E10" w:rsidP="0039174C">
            <w:pPr>
              <w:pStyle w:val="TableHeaderWhite"/>
            </w:pPr>
            <w:r w:rsidRPr="0039174C">
              <w:t>Activity</w:t>
            </w:r>
          </w:p>
        </w:tc>
        <w:tc>
          <w:tcPr>
            <w:tcW w:w="5181" w:type="dxa"/>
            <w:shd w:val="clear" w:color="auto" w:fill="8D188D"/>
          </w:tcPr>
          <w:p w14:paraId="521EB2ED" w14:textId="77777777" w:rsidR="002E3E10" w:rsidRPr="0039174C" w:rsidRDefault="002E3E10" w:rsidP="0039174C">
            <w:pPr>
              <w:pStyle w:val="TableHeaderWhite"/>
            </w:pPr>
            <w:r w:rsidRPr="0039174C">
              <w:t>Potential sources</w:t>
            </w:r>
          </w:p>
        </w:tc>
      </w:tr>
      <w:tr w:rsidR="002E3E10" w:rsidRPr="00EE2822" w14:paraId="4CE1FA20" w14:textId="77777777" w:rsidTr="002E3E10">
        <w:trPr>
          <w:trHeight w:val="689"/>
        </w:trPr>
        <w:tc>
          <w:tcPr>
            <w:tcW w:w="1980" w:type="dxa"/>
          </w:tcPr>
          <w:p w14:paraId="5F503057" w14:textId="5E1D9B53" w:rsidR="002E3E10" w:rsidRPr="00EE2822" w:rsidRDefault="002E3E10" w:rsidP="0039174C">
            <w:pPr>
              <w:pStyle w:val="Tablelistbullet"/>
            </w:pPr>
            <w:r>
              <w:t>Phase 1 – Plan analysis</w:t>
            </w:r>
          </w:p>
        </w:tc>
        <w:tc>
          <w:tcPr>
            <w:tcW w:w="2693" w:type="dxa"/>
          </w:tcPr>
          <w:p w14:paraId="20264D3F" w14:textId="7C122631" w:rsidR="002E3E10" w:rsidRPr="00EE2822" w:rsidRDefault="002E3E10" w:rsidP="0039174C">
            <w:pPr>
              <w:pStyle w:val="Tablelistbullet"/>
            </w:pPr>
            <w:r w:rsidRPr="00EE2822">
              <w:t>Define the specific market to be analysed by service and geography. Include other definitions where relevant</w:t>
            </w:r>
          </w:p>
          <w:p w14:paraId="786E2467" w14:textId="77777777" w:rsidR="002E3E10" w:rsidRPr="00EE2822" w:rsidRDefault="002E3E10" w:rsidP="0039174C">
            <w:pPr>
              <w:pStyle w:val="Tablelistbullet"/>
            </w:pPr>
            <w:r w:rsidRPr="00EE2822">
              <w:t>Gather internal background documents and data for context and to support an understanding around need</w:t>
            </w:r>
          </w:p>
          <w:p w14:paraId="34777E4D" w14:textId="77777777" w:rsidR="002E3E10" w:rsidRPr="00EE2822" w:rsidRDefault="002E3E10" w:rsidP="0039174C">
            <w:pPr>
              <w:pStyle w:val="Tablelistbullet"/>
            </w:pPr>
            <w:r w:rsidRPr="00EE2822">
              <w:t>Summarise future needs from the market considering services, outcomes, locations and diversity</w:t>
            </w:r>
          </w:p>
          <w:p w14:paraId="790B40B6" w14:textId="6735259D" w:rsidR="002E3E10" w:rsidRPr="00EE2822" w:rsidRDefault="002E3E10" w:rsidP="0039174C">
            <w:pPr>
              <w:pStyle w:val="Tablelistbullet"/>
              <w:spacing w:before="80" w:after="80"/>
            </w:pPr>
            <w:r w:rsidRPr="00EE2822">
              <w:t>Communicate program of analysis to stakeholders and request input and insights</w:t>
            </w:r>
          </w:p>
        </w:tc>
        <w:tc>
          <w:tcPr>
            <w:tcW w:w="5181" w:type="dxa"/>
          </w:tcPr>
          <w:p w14:paraId="0F6B7E0F" w14:textId="45C83ECA" w:rsidR="002E3E10" w:rsidRPr="00EE2822" w:rsidRDefault="002E3E10" w:rsidP="0039174C">
            <w:pPr>
              <w:pStyle w:val="Tablelistbullet"/>
            </w:pPr>
            <w:r w:rsidRPr="00EE2822">
              <w:t>PHN needs assessment and past/e</w:t>
            </w:r>
            <w:r>
              <w:t>xisting services and agreements</w:t>
            </w:r>
          </w:p>
          <w:p w14:paraId="46E37B42" w14:textId="70F0BCFF" w:rsidR="002E3E10" w:rsidRPr="00EE2822" w:rsidRDefault="002E3E10" w:rsidP="0039174C">
            <w:pPr>
              <w:pStyle w:val="Tablelistbullet"/>
            </w:pPr>
            <w:r w:rsidRPr="00EE2822">
              <w:t>Previous PHN contracts and funding reports</w:t>
            </w:r>
          </w:p>
          <w:p w14:paraId="3519C3A8" w14:textId="44DC3069" w:rsidR="002E3E10" w:rsidRPr="00EE2822" w:rsidRDefault="002E3E10" w:rsidP="0039174C">
            <w:pPr>
              <w:pStyle w:val="Tablelistbullet"/>
            </w:pPr>
            <w:r>
              <w:t>Healthdirect Australia</w:t>
            </w:r>
          </w:p>
          <w:p w14:paraId="6D8DCC2C" w14:textId="77777777" w:rsidR="002E3E10" w:rsidRPr="00EE2822" w:rsidRDefault="002E3E10" w:rsidP="0039174C">
            <w:pPr>
              <w:pStyle w:val="Tablelistbullet"/>
            </w:pPr>
            <w:r w:rsidRPr="00EE2822">
              <w:t>Industry peak bodies</w:t>
            </w:r>
          </w:p>
          <w:p w14:paraId="438A3C4B" w14:textId="0C1C2F4F" w:rsidR="002E3E10" w:rsidRPr="00EE2822" w:rsidRDefault="002E3E10" w:rsidP="0039174C">
            <w:pPr>
              <w:pStyle w:val="Tablelistbullet"/>
            </w:pPr>
            <w:r w:rsidRPr="00EE2822">
              <w:t>Providers including primary, secondary and community health providers, ACCHS, pharmacy and allied health providers</w:t>
            </w:r>
          </w:p>
          <w:p w14:paraId="33863AC3" w14:textId="7D87D290" w:rsidR="002E3E10" w:rsidRPr="00EE2822" w:rsidRDefault="002E3E10" w:rsidP="0039174C">
            <w:pPr>
              <w:pStyle w:val="Tablelistbullet"/>
            </w:pPr>
            <w:r w:rsidRPr="00EE2822">
              <w:t>Commonwealth and state or territory health departments</w:t>
            </w:r>
          </w:p>
          <w:p w14:paraId="7365DE43" w14:textId="77777777" w:rsidR="002E3E10" w:rsidRPr="00EE2822" w:rsidRDefault="002E3E10" w:rsidP="0039174C">
            <w:pPr>
              <w:pStyle w:val="Tablelistbullet"/>
            </w:pPr>
            <w:r w:rsidRPr="00EE2822">
              <w:t>Australian Institute of Health and Welfare</w:t>
            </w:r>
          </w:p>
          <w:p w14:paraId="260CAE12" w14:textId="22972B23" w:rsidR="002E3E10" w:rsidRPr="00EE2822" w:rsidRDefault="002E3E10" w:rsidP="0039174C">
            <w:pPr>
              <w:pStyle w:val="Tablelistbullet"/>
            </w:pPr>
            <w:r>
              <w:t>Australian Bureau of Statistics</w:t>
            </w:r>
          </w:p>
          <w:p w14:paraId="74A0C367" w14:textId="735C51D0" w:rsidR="002E3E10" w:rsidRPr="00EE2822" w:rsidRDefault="002E3E10" w:rsidP="0039174C">
            <w:pPr>
              <w:pStyle w:val="Tablelistbullet"/>
            </w:pPr>
            <w:r w:rsidRPr="00EE2822">
              <w:t>Public Health Information Devel</w:t>
            </w:r>
            <w:r>
              <w:t>opment Unit, Torrens University</w:t>
            </w:r>
          </w:p>
          <w:p w14:paraId="6D0CC498" w14:textId="77777777" w:rsidR="002E3E10" w:rsidRPr="00EE2822" w:rsidRDefault="002E3E10" w:rsidP="0039174C">
            <w:pPr>
              <w:pStyle w:val="Tablelistbullet"/>
            </w:pPr>
            <w:r w:rsidRPr="00EE2822">
              <w:t>My Aged Care</w:t>
            </w:r>
          </w:p>
          <w:p w14:paraId="29277CE4" w14:textId="77777777" w:rsidR="002E3E10" w:rsidRPr="00EE2822" w:rsidRDefault="002E3E10" w:rsidP="0039174C">
            <w:pPr>
              <w:pStyle w:val="Tablelistbullet"/>
            </w:pPr>
            <w:r w:rsidRPr="00EE2822">
              <w:t>Australian Digital Health Agency</w:t>
            </w:r>
          </w:p>
          <w:p w14:paraId="6AEEFF0F" w14:textId="191597B9" w:rsidR="002E3E10" w:rsidRPr="00EE2822" w:rsidRDefault="002E3E10" w:rsidP="0039174C">
            <w:pPr>
              <w:pStyle w:val="Tablelistbullet"/>
            </w:pPr>
            <w:r w:rsidRPr="00EE2822">
              <w:t>Department of Veterans</w:t>
            </w:r>
            <w:r w:rsidR="00594DA3">
              <w:t>’</w:t>
            </w:r>
            <w:r w:rsidRPr="00EE2822">
              <w:t xml:space="preserve"> Affairs</w:t>
            </w:r>
          </w:p>
          <w:p w14:paraId="68B94D59" w14:textId="77777777" w:rsidR="002E3E10" w:rsidRPr="00EE2822" w:rsidRDefault="002E3E10" w:rsidP="0039174C">
            <w:pPr>
              <w:pStyle w:val="Tablelistbullet"/>
            </w:pPr>
            <w:r w:rsidRPr="00EE2822">
              <w:t>LHNs, or their equivalent</w:t>
            </w:r>
          </w:p>
          <w:p w14:paraId="30327342" w14:textId="6E2A7D66" w:rsidR="002E3E10" w:rsidRPr="00EE2822" w:rsidRDefault="002E3E10" w:rsidP="0039174C">
            <w:pPr>
              <w:pStyle w:val="Tablelistbullet"/>
            </w:pPr>
            <w:r w:rsidRPr="00EE2822">
              <w:t>Government justice, education, family, community, housing and human services departments/branches</w:t>
            </w:r>
          </w:p>
          <w:p w14:paraId="4634511F" w14:textId="62D55E06" w:rsidR="002E3E10" w:rsidRPr="00EE2822" w:rsidRDefault="002E3E10" w:rsidP="0039174C">
            <w:pPr>
              <w:pStyle w:val="Tablelistbullet"/>
            </w:pPr>
            <w:r w:rsidRPr="00EE2822">
              <w:t xml:space="preserve">Local governments/local government associations and state/territory </w:t>
            </w:r>
            <w:r>
              <w:t>local government offices</w:t>
            </w:r>
          </w:p>
          <w:p w14:paraId="17FC5B5E" w14:textId="3392A0EF" w:rsidR="002E3E10" w:rsidRPr="00EE2822" w:rsidRDefault="002E3E10" w:rsidP="0039174C">
            <w:pPr>
              <w:pStyle w:val="Tablelistbullet"/>
            </w:pPr>
            <w:r w:rsidRPr="00EE2822">
              <w:t>NACCHO,</w:t>
            </w:r>
            <w:r>
              <w:t xml:space="preserve"> ACCHS and AMS</w:t>
            </w:r>
          </w:p>
          <w:p w14:paraId="3BCDC6DF" w14:textId="34C26DB4" w:rsidR="002E3E10" w:rsidRPr="00EE2822" w:rsidRDefault="002E3E10" w:rsidP="0039174C">
            <w:pPr>
              <w:pStyle w:val="Tablelistbullet"/>
            </w:pPr>
            <w:r w:rsidRPr="00EE2822">
              <w:t>Health institutes and advocacy groups, Australian Healthcare and Hospitals Association, Public Health Association</w:t>
            </w:r>
            <w:r w:rsidR="00594DA3">
              <w:t xml:space="preserve"> of</w:t>
            </w:r>
            <w:r w:rsidRPr="00EE2822">
              <w:t xml:space="preserve"> Australia</w:t>
            </w:r>
          </w:p>
          <w:p w14:paraId="3683C6F6" w14:textId="77777777" w:rsidR="002E3E10" w:rsidRPr="00EE2822" w:rsidRDefault="002E3E10" w:rsidP="0039174C">
            <w:pPr>
              <w:pStyle w:val="Tablelistbullet"/>
            </w:pPr>
            <w:r w:rsidRPr="00EE2822">
              <w:t>Service profession associations</w:t>
            </w:r>
          </w:p>
          <w:p w14:paraId="078D2570" w14:textId="2E84FFDF" w:rsidR="002E3E10" w:rsidRPr="00EE2822" w:rsidRDefault="002E3E10" w:rsidP="0039174C">
            <w:pPr>
              <w:pStyle w:val="Tablelistbullet"/>
            </w:pPr>
            <w:r w:rsidRPr="00EE2822">
              <w:t>Health insurers</w:t>
            </w:r>
          </w:p>
        </w:tc>
      </w:tr>
      <w:tr w:rsidR="002E3E10" w:rsidRPr="00EE2822" w14:paraId="2B84C878" w14:textId="77777777" w:rsidTr="002E3E10">
        <w:trPr>
          <w:trHeight w:val="1110"/>
        </w:trPr>
        <w:tc>
          <w:tcPr>
            <w:tcW w:w="1980" w:type="dxa"/>
          </w:tcPr>
          <w:p w14:paraId="17E0D6D0" w14:textId="1BD3FFF4" w:rsidR="002E3E10" w:rsidRDefault="002E3E10" w:rsidP="0039174C">
            <w:pPr>
              <w:pStyle w:val="Tablelistbullet"/>
            </w:pPr>
            <w:r>
              <w:t xml:space="preserve">Phase 2 – Identify the barriers to entry </w:t>
            </w:r>
          </w:p>
        </w:tc>
        <w:tc>
          <w:tcPr>
            <w:tcW w:w="2693" w:type="dxa"/>
          </w:tcPr>
          <w:p w14:paraId="59C5026F" w14:textId="77777777" w:rsidR="002E3E10" w:rsidRPr="0039174C" w:rsidRDefault="002E3E10" w:rsidP="002E3E10">
            <w:pPr>
              <w:pStyle w:val="Tablelistbullet"/>
            </w:pPr>
            <w:r w:rsidRPr="0039174C">
              <w:t>Identify regulatory barriers</w:t>
            </w:r>
          </w:p>
          <w:p w14:paraId="75FB4A8A" w14:textId="77777777" w:rsidR="002E3E10" w:rsidRPr="00316CB5" w:rsidRDefault="002E3E10" w:rsidP="002E3E10">
            <w:pPr>
              <w:pStyle w:val="Tablelistbullet"/>
            </w:pPr>
            <w:r w:rsidRPr="00316CB5">
              <w:t>Identify investment barriers</w:t>
            </w:r>
          </w:p>
          <w:p w14:paraId="446797C1" w14:textId="77777777" w:rsidR="002E3E10" w:rsidRPr="00316CB5" w:rsidRDefault="002E3E10" w:rsidP="002E3E10">
            <w:pPr>
              <w:pStyle w:val="Tablelistbullet"/>
            </w:pPr>
            <w:r w:rsidRPr="00316CB5">
              <w:t>Identify workforce barriers</w:t>
            </w:r>
          </w:p>
          <w:p w14:paraId="5535981C" w14:textId="77777777" w:rsidR="002E3E10" w:rsidRPr="00316CB5" w:rsidRDefault="002E3E10" w:rsidP="002E3E10">
            <w:pPr>
              <w:pStyle w:val="Tablelistbullet"/>
            </w:pPr>
            <w:r w:rsidRPr="00316CB5">
              <w:t>Identify locational barriers</w:t>
            </w:r>
          </w:p>
          <w:p w14:paraId="04195194" w14:textId="77777777" w:rsidR="002E3E10" w:rsidRPr="00316CB5" w:rsidRDefault="002E3E10" w:rsidP="002E3E10">
            <w:pPr>
              <w:pStyle w:val="Tablelistbullet"/>
            </w:pPr>
            <w:r w:rsidRPr="00316CB5">
              <w:t>Identify skills barriers</w:t>
            </w:r>
          </w:p>
          <w:p w14:paraId="279DAE59" w14:textId="5A5B415A" w:rsidR="002E3E10" w:rsidRPr="00EE2822" w:rsidRDefault="002E3E10" w:rsidP="002E3E10">
            <w:pPr>
              <w:pStyle w:val="Tablelistbullet"/>
            </w:pPr>
            <w:r w:rsidRPr="00316CB5">
              <w:t>Identify wider barriers</w:t>
            </w:r>
          </w:p>
        </w:tc>
        <w:tc>
          <w:tcPr>
            <w:tcW w:w="5181" w:type="dxa"/>
          </w:tcPr>
          <w:p w14:paraId="6A0C156E" w14:textId="77777777" w:rsidR="002E3E10" w:rsidRPr="0039174C" w:rsidRDefault="002E3E10" w:rsidP="002E3E10">
            <w:pPr>
              <w:pStyle w:val="Tablelistbullet"/>
            </w:pPr>
            <w:r w:rsidRPr="0039174C">
              <w:t>Existing (private and public) primary, secondary and community health</w:t>
            </w:r>
            <w:r>
              <w:t xml:space="preserve"> service providers and networks</w:t>
            </w:r>
          </w:p>
          <w:p w14:paraId="6C9EFD51" w14:textId="77777777" w:rsidR="002E3E10" w:rsidRPr="0039174C" w:rsidRDefault="002E3E10" w:rsidP="002E3E10">
            <w:pPr>
              <w:pStyle w:val="Tablelistbullet"/>
            </w:pPr>
            <w:r w:rsidRPr="0039174C">
              <w:t>Previous (private and public) primary, secondary and community health service providers</w:t>
            </w:r>
          </w:p>
          <w:p w14:paraId="2A68FCE5" w14:textId="35A4660F" w:rsidR="002E3E10" w:rsidRPr="0039174C" w:rsidRDefault="002E3E10" w:rsidP="002E3E10">
            <w:pPr>
              <w:pStyle w:val="Tablelistbullet"/>
            </w:pPr>
            <w:r w:rsidRPr="0039174C">
              <w:t xml:space="preserve">Commonwealth and state or </w:t>
            </w:r>
            <w:r>
              <w:t xml:space="preserve">territory </w:t>
            </w:r>
            <w:r w:rsidR="00594DA3">
              <w:t xml:space="preserve">health </w:t>
            </w:r>
            <w:r>
              <w:t>departments</w:t>
            </w:r>
          </w:p>
          <w:p w14:paraId="18BAA965" w14:textId="77777777" w:rsidR="002E3E10" w:rsidRPr="0039174C" w:rsidRDefault="002E3E10" w:rsidP="002E3E10">
            <w:pPr>
              <w:pStyle w:val="Tablelistbullet"/>
            </w:pPr>
            <w:r w:rsidRPr="0039174C">
              <w:t>Australian Health</w:t>
            </w:r>
            <w:r>
              <w:t xml:space="preserve"> Practitioner Regulation Agency</w:t>
            </w:r>
          </w:p>
          <w:p w14:paraId="4C01571D" w14:textId="77777777" w:rsidR="002E3E10" w:rsidRPr="0039174C" w:rsidRDefault="002E3E10" w:rsidP="002E3E10">
            <w:pPr>
              <w:pStyle w:val="Tablelistbullet"/>
            </w:pPr>
            <w:r w:rsidRPr="0039174C">
              <w:t>Australian Institute of Health and Welfare</w:t>
            </w:r>
          </w:p>
          <w:p w14:paraId="6A77E20D" w14:textId="77777777" w:rsidR="002E3E10" w:rsidRPr="0039174C" w:rsidRDefault="002E3E10" w:rsidP="002E3E10">
            <w:pPr>
              <w:pStyle w:val="Tablelistbullet"/>
            </w:pPr>
            <w:r w:rsidRPr="0039174C">
              <w:t xml:space="preserve">Government departments of training and education </w:t>
            </w:r>
          </w:p>
          <w:p w14:paraId="142809DB" w14:textId="77777777" w:rsidR="002E3E10" w:rsidRPr="0039174C" w:rsidRDefault="002E3E10" w:rsidP="002E3E10">
            <w:pPr>
              <w:pStyle w:val="Tablelistbullet"/>
            </w:pPr>
            <w:r w:rsidRPr="0039174C">
              <w:t>Training organisations: Universities, TAFE and other voc</w:t>
            </w:r>
            <w:r>
              <w:t>ational and education providers</w:t>
            </w:r>
          </w:p>
          <w:p w14:paraId="5F0ED712" w14:textId="7F7F38ED" w:rsidR="002E3E10" w:rsidRPr="0039174C" w:rsidRDefault="002E3E10" w:rsidP="002E3E10">
            <w:pPr>
              <w:pStyle w:val="Tablelistbullet"/>
            </w:pPr>
            <w:r w:rsidRPr="0039174C">
              <w:t xml:space="preserve">Royal Australian College of General Practitioners (RACGP), </w:t>
            </w:r>
            <w:r w:rsidR="00594DA3">
              <w:t xml:space="preserve">Australian </w:t>
            </w:r>
            <w:r w:rsidRPr="0039174C">
              <w:t>Nurs</w:t>
            </w:r>
            <w:r w:rsidR="00594DA3">
              <w:t>ing</w:t>
            </w:r>
            <w:r w:rsidRPr="0039174C">
              <w:t xml:space="preserve"> and </w:t>
            </w:r>
            <w:r w:rsidR="00594DA3">
              <w:t>Midwifery Federation</w:t>
            </w:r>
            <w:r w:rsidRPr="0039174C">
              <w:t xml:space="preserve"> and other professional associations</w:t>
            </w:r>
          </w:p>
          <w:p w14:paraId="575DB670" w14:textId="77777777" w:rsidR="002E3E10" w:rsidRPr="0039174C" w:rsidRDefault="002E3E10" w:rsidP="002E3E10">
            <w:pPr>
              <w:pStyle w:val="Tablelistbullet"/>
            </w:pPr>
            <w:r w:rsidRPr="0039174C">
              <w:t>Australian Digital Health Agency</w:t>
            </w:r>
          </w:p>
          <w:p w14:paraId="412CCBEA" w14:textId="77777777" w:rsidR="002E3E10" w:rsidRPr="0039174C" w:rsidRDefault="002E3E10" w:rsidP="002E3E10">
            <w:pPr>
              <w:pStyle w:val="Tablelistbullet"/>
            </w:pPr>
            <w:r>
              <w:t>NACCHO, ACCHS an AMS</w:t>
            </w:r>
          </w:p>
          <w:p w14:paraId="6E97B90E" w14:textId="77777777" w:rsidR="002E3E10" w:rsidRPr="0039174C" w:rsidRDefault="002E3E10" w:rsidP="002E3E10">
            <w:pPr>
              <w:pStyle w:val="Tablelistbullet"/>
            </w:pPr>
            <w:r w:rsidRPr="0039174C">
              <w:t xml:space="preserve">Government multicultural organisations </w:t>
            </w:r>
          </w:p>
          <w:p w14:paraId="4DA34140" w14:textId="77777777" w:rsidR="002E3E10" w:rsidRPr="0039174C" w:rsidRDefault="002E3E10" w:rsidP="002E3E10">
            <w:pPr>
              <w:pStyle w:val="Tablelistbullet"/>
            </w:pPr>
            <w:r w:rsidRPr="0039174C">
              <w:t>Government departments of justice, housing, human, family, co</w:t>
            </w:r>
            <w:r>
              <w:t>mmunity services</w:t>
            </w:r>
          </w:p>
          <w:p w14:paraId="0B0B1523" w14:textId="77777777" w:rsidR="002E3E10" w:rsidRPr="0039174C" w:rsidRDefault="002E3E10" w:rsidP="002E3E10">
            <w:pPr>
              <w:pStyle w:val="Tablelistbullet"/>
            </w:pPr>
            <w:r>
              <w:t>Productivity Commission</w:t>
            </w:r>
          </w:p>
          <w:p w14:paraId="43368DDF" w14:textId="77777777" w:rsidR="002E3E10" w:rsidRPr="0039174C" w:rsidRDefault="002E3E10" w:rsidP="002E3E10">
            <w:pPr>
              <w:pStyle w:val="Tablelistbullet"/>
            </w:pPr>
            <w:r w:rsidRPr="0039174C">
              <w:t>Consultancy industry sector reports</w:t>
            </w:r>
          </w:p>
          <w:p w14:paraId="67365C6E" w14:textId="1EED79A8" w:rsidR="002E3E10" w:rsidRPr="00EE2822" w:rsidRDefault="002E3E10" w:rsidP="002E3E10">
            <w:pPr>
              <w:pStyle w:val="Tablelistbullet"/>
            </w:pPr>
            <w:r w:rsidRPr="0039174C">
              <w:t>Advocacy, research and public policy groups, e.g. the Grattan Institute</w:t>
            </w:r>
          </w:p>
        </w:tc>
      </w:tr>
      <w:tr w:rsidR="002E3E10" w:rsidRPr="00EE2822" w14:paraId="3AE1C495" w14:textId="77777777" w:rsidTr="002E3E10">
        <w:trPr>
          <w:trHeight w:val="1387"/>
        </w:trPr>
        <w:tc>
          <w:tcPr>
            <w:tcW w:w="1980" w:type="dxa"/>
          </w:tcPr>
          <w:p w14:paraId="37BAE1FA" w14:textId="4B20F747" w:rsidR="002E3E10" w:rsidRDefault="002E3E10" w:rsidP="0039174C">
            <w:pPr>
              <w:pStyle w:val="Tablelistbullet"/>
            </w:pPr>
            <w:r>
              <w:t>Phase 3 – Review current market providers</w:t>
            </w:r>
          </w:p>
        </w:tc>
        <w:tc>
          <w:tcPr>
            <w:tcW w:w="2693" w:type="dxa"/>
          </w:tcPr>
          <w:p w14:paraId="7EC0F871" w14:textId="77777777" w:rsidR="002E3E10" w:rsidRPr="006F53CB" w:rsidRDefault="002E3E10" w:rsidP="002E3E10">
            <w:pPr>
              <w:pStyle w:val="Tablelistbullet"/>
            </w:pPr>
            <w:r w:rsidRPr="006F53CB">
              <w:t>Review overall market appetite and reasons for this</w:t>
            </w:r>
          </w:p>
          <w:p w14:paraId="4C07F9C4" w14:textId="77777777" w:rsidR="002E3E10" w:rsidRPr="006F53CB" w:rsidRDefault="002E3E10" w:rsidP="002E3E10">
            <w:pPr>
              <w:pStyle w:val="Tablelistbullet"/>
            </w:pPr>
            <w:r w:rsidRPr="006F53CB">
              <w:t>Review providers by service / location / type / size / price offering</w:t>
            </w:r>
          </w:p>
          <w:p w14:paraId="6905B1A3" w14:textId="77777777" w:rsidR="002E3E10" w:rsidRPr="006F53CB" w:rsidRDefault="002E3E10" w:rsidP="002E3E10">
            <w:pPr>
              <w:pStyle w:val="Tablelistbullet"/>
            </w:pPr>
            <w:r w:rsidRPr="006F53CB">
              <w:t>Review market share of providers</w:t>
            </w:r>
          </w:p>
          <w:p w14:paraId="1A7CA777" w14:textId="77777777" w:rsidR="002E3E10" w:rsidRPr="006F53CB" w:rsidRDefault="002E3E10" w:rsidP="002E3E10">
            <w:pPr>
              <w:pStyle w:val="Tablelistbullet"/>
            </w:pPr>
            <w:r w:rsidRPr="006F53CB">
              <w:t>Re</w:t>
            </w:r>
            <w:r>
              <w:t>view providers performance data</w:t>
            </w:r>
          </w:p>
          <w:p w14:paraId="177C0E56" w14:textId="3B312D43" w:rsidR="002E3E10" w:rsidRPr="00EE2822" w:rsidRDefault="002E3E10" w:rsidP="002E3E10">
            <w:pPr>
              <w:pStyle w:val="Tablelistbullet"/>
            </w:pPr>
            <w:r w:rsidRPr="006F53CB">
              <w:t>Review provider risk and quality data</w:t>
            </w:r>
          </w:p>
        </w:tc>
        <w:tc>
          <w:tcPr>
            <w:tcW w:w="5181" w:type="dxa"/>
          </w:tcPr>
          <w:p w14:paraId="51A3F9BF" w14:textId="77777777" w:rsidR="002E3E10" w:rsidRPr="006F53CB" w:rsidRDefault="002E3E10" w:rsidP="002E3E10">
            <w:pPr>
              <w:pStyle w:val="Tablelistbullet"/>
            </w:pPr>
            <w:r w:rsidRPr="006F53CB">
              <w:t>Funding, service and performance data based on current and past contracts between PHN and providers, including evaluations of programs/contracts</w:t>
            </w:r>
          </w:p>
          <w:p w14:paraId="1AB0EF34" w14:textId="77777777" w:rsidR="002E3E10" w:rsidRPr="006F53CB" w:rsidRDefault="002E3E10" w:rsidP="002E3E10">
            <w:pPr>
              <w:pStyle w:val="Tablelistbullet"/>
            </w:pPr>
            <w:r w:rsidRPr="006F53CB">
              <w:t>Existing providers (websites and annual reports)</w:t>
            </w:r>
          </w:p>
          <w:p w14:paraId="10D55710" w14:textId="77777777" w:rsidR="002E3E10" w:rsidRPr="006F53CB" w:rsidRDefault="002E3E10" w:rsidP="002E3E10">
            <w:pPr>
              <w:pStyle w:val="Tablelistbullet"/>
            </w:pPr>
            <w:r>
              <w:t>NACCHO, ACCHS an AMS</w:t>
            </w:r>
          </w:p>
          <w:p w14:paraId="6379CAFD" w14:textId="77777777" w:rsidR="002E3E10" w:rsidRPr="006F53CB" w:rsidRDefault="002E3E10" w:rsidP="002E3E10">
            <w:pPr>
              <w:pStyle w:val="Tablelistbullet"/>
            </w:pPr>
            <w:r w:rsidRPr="006F53CB">
              <w:t>Industry peak bodies</w:t>
            </w:r>
          </w:p>
          <w:p w14:paraId="526D455E" w14:textId="4EB7EB83" w:rsidR="002E3E10" w:rsidRPr="006F53CB" w:rsidRDefault="00594DA3" w:rsidP="002E3E10">
            <w:pPr>
              <w:pStyle w:val="Tablelistbullet"/>
            </w:pPr>
            <w:r>
              <w:t>Commonwealth and state or territory</w:t>
            </w:r>
            <w:r w:rsidRPr="006F53CB">
              <w:t xml:space="preserve"> </w:t>
            </w:r>
            <w:r w:rsidR="002E3E10" w:rsidRPr="006F53CB">
              <w:t>health departments</w:t>
            </w:r>
          </w:p>
          <w:p w14:paraId="450B11D9" w14:textId="77777777" w:rsidR="002E3E10" w:rsidRPr="006F53CB" w:rsidRDefault="002E3E10" w:rsidP="002E3E10">
            <w:pPr>
              <w:pStyle w:val="Tablelistbullet"/>
            </w:pPr>
            <w:r>
              <w:t>Other PHNs</w:t>
            </w:r>
          </w:p>
          <w:p w14:paraId="54B87E7C" w14:textId="298611DA" w:rsidR="002E3E10" w:rsidRPr="006F53CB" w:rsidRDefault="002E3E10" w:rsidP="002E3E10">
            <w:pPr>
              <w:pStyle w:val="Tablelistbullet"/>
            </w:pPr>
            <w:r w:rsidRPr="006F53CB">
              <w:t>LHNs or the</w:t>
            </w:r>
            <w:r w:rsidR="00594DA3">
              <w:t>ir</w:t>
            </w:r>
            <w:r w:rsidRPr="006F53CB">
              <w:t xml:space="preserve"> equivalent</w:t>
            </w:r>
          </w:p>
          <w:p w14:paraId="44D92DEB" w14:textId="77777777" w:rsidR="002E3E10" w:rsidRPr="006F53CB" w:rsidRDefault="002E3E10" w:rsidP="002E3E10">
            <w:pPr>
              <w:pStyle w:val="Tablelistbullet"/>
            </w:pPr>
            <w:r w:rsidRPr="006F53CB">
              <w:t>Health Care Co</w:t>
            </w:r>
            <w:r>
              <w:t>mplaints Commission / Ombudsman</w:t>
            </w:r>
          </w:p>
          <w:p w14:paraId="5AC3662A" w14:textId="00D2CD65" w:rsidR="002E3E10" w:rsidRPr="006F53CB" w:rsidRDefault="00594DA3" w:rsidP="002E3E10">
            <w:pPr>
              <w:pStyle w:val="Tablelistbullet"/>
            </w:pPr>
            <w:r w:rsidRPr="0039174C">
              <w:t>Government departments of justice, housing, human, family, co</w:t>
            </w:r>
            <w:r>
              <w:t>mmunity services</w:t>
            </w:r>
          </w:p>
          <w:p w14:paraId="15333247" w14:textId="77777777" w:rsidR="002E3E10" w:rsidRPr="006F53CB" w:rsidRDefault="002E3E10" w:rsidP="002E3E10">
            <w:pPr>
              <w:pStyle w:val="Tablelistbullet"/>
            </w:pPr>
            <w:r w:rsidRPr="006F53CB">
              <w:t>Healthdirect Australia</w:t>
            </w:r>
          </w:p>
          <w:p w14:paraId="681C792D" w14:textId="23804CD6" w:rsidR="002E3E10" w:rsidRPr="006F53CB" w:rsidRDefault="002E3E10" w:rsidP="002E3E10">
            <w:pPr>
              <w:pStyle w:val="Tablelistbullet"/>
            </w:pPr>
            <w:r w:rsidRPr="006F53CB">
              <w:t>Consultancy industry sector reports</w:t>
            </w:r>
            <w:r w:rsidR="00025D95">
              <w:br/>
            </w:r>
          </w:p>
          <w:p w14:paraId="276193B5" w14:textId="77777777" w:rsidR="002E3E10" w:rsidRPr="006F53CB" w:rsidRDefault="002E3E10" w:rsidP="002E3E10">
            <w:pPr>
              <w:pStyle w:val="Tablelistbullet"/>
            </w:pPr>
            <w:r w:rsidRPr="006F53CB">
              <w:t>IBIS World Industry Reports and Global Trends, Company360, GlobalData</w:t>
            </w:r>
          </w:p>
          <w:p w14:paraId="0D3EBCE8" w14:textId="656C50DB" w:rsidR="002E3E10" w:rsidRPr="00EE2822" w:rsidRDefault="002E3E10" w:rsidP="002E3E10">
            <w:pPr>
              <w:pStyle w:val="Tablelistbullet"/>
            </w:pPr>
            <w:r w:rsidRPr="006F53CB">
              <w:t>Targeted searches on provider performance reported in the media, FACTIVA</w:t>
            </w:r>
          </w:p>
        </w:tc>
      </w:tr>
      <w:tr w:rsidR="002E3E10" w:rsidRPr="00EE2822" w14:paraId="54C41D0C" w14:textId="77777777" w:rsidTr="002E3E10">
        <w:trPr>
          <w:trHeight w:val="1259"/>
        </w:trPr>
        <w:tc>
          <w:tcPr>
            <w:tcW w:w="1980" w:type="dxa"/>
          </w:tcPr>
          <w:p w14:paraId="58886027" w14:textId="3A88F08B" w:rsidR="002E3E10" w:rsidRDefault="002E3E10" w:rsidP="0039174C">
            <w:pPr>
              <w:pStyle w:val="Tablelistbullet"/>
            </w:pPr>
            <w:r>
              <w:t>Phase 4 – Identify broader providers</w:t>
            </w:r>
          </w:p>
          <w:p w14:paraId="7B89094C" w14:textId="77777777" w:rsidR="002E3E10" w:rsidRDefault="002E3E10" w:rsidP="002E3E10">
            <w:pPr>
              <w:pStyle w:val="Tablelistbullet"/>
              <w:numPr>
                <w:ilvl w:val="0"/>
                <w:numId w:val="0"/>
              </w:numPr>
            </w:pPr>
          </w:p>
        </w:tc>
        <w:tc>
          <w:tcPr>
            <w:tcW w:w="2693" w:type="dxa"/>
          </w:tcPr>
          <w:p w14:paraId="139E0310" w14:textId="77777777" w:rsidR="002E3E10" w:rsidRPr="00316CB5" w:rsidRDefault="002E3E10" w:rsidP="002E3E10">
            <w:pPr>
              <w:pStyle w:val="Tablelistbullet"/>
            </w:pPr>
            <w:r w:rsidRPr="00316CB5">
              <w:t>Identify providers in adjacent markets who may consider service delivery</w:t>
            </w:r>
          </w:p>
          <w:p w14:paraId="2FE82DE4" w14:textId="77777777" w:rsidR="002E3E10" w:rsidRPr="00316CB5" w:rsidRDefault="002E3E10" w:rsidP="002E3E10">
            <w:pPr>
              <w:pStyle w:val="Tablelistbullet"/>
            </w:pPr>
            <w:r w:rsidRPr="00316CB5">
              <w:t>Understand why these providers do not currently deliver services</w:t>
            </w:r>
          </w:p>
          <w:p w14:paraId="53369A6D" w14:textId="79355CB1" w:rsidR="002E3E10" w:rsidRPr="00EE2822" w:rsidRDefault="002E3E10" w:rsidP="002E3E10">
            <w:pPr>
              <w:pStyle w:val="Tablelistbullet"/>
            </w:pPr>
            <w:r w:rsidRPr="00316CB5">
              <w:t>Understand what changes or support would be required for these providers to enter into the market</w:t>
            </w:r>
          </w:p>
        </w:tc>
        <w:tc>
          <w:tcPr>
            <w:tcW w:w="5181" w:type="dxa"/>
          </w:tcPr>
          <w:p w14:paraId="0821DBB0" w14:textId="77777777" w:rsidR="002E3E10" w:rsidRPr="00316CB5" w:rsidRDefault="002E3E10" w:rsidP="002E3E10">
            <w:pPr>
              <w:pStyle w:val="Tablelistbullet"/>
            </w:pPr>
            <w:r w:rsidRPr="00316CB5">
              <w:t>PHNs and primary health care providers operating in other regions, particularly bordering regions</w:t>
            </w:r>
          </w:p>
          <w:p w14:paraId="15F59D52" w14:textId="77777777" w:rsidR="002E3E10" w:rsidRPr="00316CB5" w:rsidRDefault="002E3E10" w:rsidP="002E3E10">
            <w:pPr>
              <w:pStyle w:val="Tablelistbullet"/>
            </w:pPr>
            <w:r w:rsidRPr="00316CB5">
              <w:t>Recently established primary health providers</w:t>
            </w:r>
          </w:p>
          <w:p w14:paraId="0AA116FA" w14:textId="77777777" w:rsidR="002E3E10" w:rsidRPr="00316CB5" w:rsidRDefault="002E3E10" w:rsidP="002E3E10">
            <w:pPr>
              <w:pStyle w:val="Tablelistbullet"/>
            </w:pPr>
            <w:r>
              <w:t>Secondary care providers</w:t>
            </w:r>
          </w:p>
          <w:p w14:paraId="60FB3389" w14:textId="77777777" w:rsidR="002E3E10" w:rsidRPr="00316CB5" w:rsidRDefault="002E3E10" w:rsidP="002E3E10">
            <w:pPr>
              <w:pStyle w:val="Tablelistbullet"/>
            </w:pPr>
            <w:r>
              <w:t>Allied health providers</w:t>
            </w:r>
          </w:p>
          <w:p w14:paraId="477E634D" w14:textId="56B456B1" w:rsidR="00E709E2" w:rsidRDefault="00E709E2" w:rsidP="002E3E10">
            <w:pPr>
              <w:pStyle w:val="Tablelistbullet"/>
            </w:pPr>
            <w:r w:rsidRPr="006F53CB">
              <w:t>LHNs or the</w:t>
            </w:r>
            <w:r>
              <w:t>ir</w:t>
            </w:r>
            <w:r w:rsidRPr="006F53CB">
              <w:t xml:space="preserve"> equivalent</w:t>
            </w:r>
          </w:p>
          <w:p w14:paraId="1FF4E9E2" w14:textId="77777777" w:rsidR="002E3E10" w:rsidRPr="00316CB5" w:rsidRDefault="002E3E10" w:rsidP="002E3E10">
            <w:pPr>
              <w:pStyle w:val="Tablelistbullet"/>
            </w:pPr>
            <w:r w:rsidRPr="00316CB5">
              <w:t>NACCHO,</w:t>
            </w:r>
            <w:r>
              <w:t xml:space="preserve"> ACCHS an AMS</w:t>
            </w:r>
          </w:p>
          <w:p w14:paraId="11BD5826" w14:textId="77777777" w:rsidR="002E3E10" w:rsidRPr="00316CB5" w:rsidRDefault="002E3E10" w:rsidP="002E3E10">
            <w:pPr>
              <w:pStyle w:val="Tablelistbullet"/>
            </w:pPr>
            <w:r w:rsidRPr="00316CB5">
              <w:t>Telehealth providers</w:t>
            </w:r>
          </w:p>
          <w:p w14:paraId="27EB6380" w14:textId="77777777" w:rsidR="002E3E10" w:rsidRPr="00316CB5" w:rsidRDefault="002E3E10" w:rsidP="002E3E10">
            <w:pPr>
              <w:pStyle w:val="Tablelistbullet"/>
            </w:pPr>
            <w:r w:rsidRPr="00316CB5">
              <w:t>Adjacent industry peak bodies, such as Australian Cou</w:t>
            </w:r>
            <w:r>
              <w:t>ncil of Social Services (ACOSS)</w:t>
            </w:r>
          </w:p>
          <w:p w14:paraId="0C54FA19" w14:textId="77777777" w:rsidR="002E3E10" w:rsidRPr="00316CB5" w:rsidRDefault="002E3E10" w:rsidP="002E3E10">
            <w:pPr>
              <w:pStyle w:val="Tablelistbullet"/>
            </w:pPr>
            <w:r w:rsidRPr="00316CB5">
              <w:t>First Peoples Disability Network and Aboriginal and Torres Strait Islander Land Councils</w:t>
            </w:r>
          </w:p>
          <w:p w14:paraId="330B4755" w14:textId="77777777" w:rsidR="002E3E10" w:rsidRPr="00316CB5" w:rsidRDefault="002E3E10" w:rsidP="002E3E10">
            <w:pPr>
              <w:pStyle w:val="Tablelistbullet"/>
            </w:pPr>
            <w:r w:rsidRPr="00316CB5">
              <w:t>Disability service providers</w:t>
            </w:r>
          </w:p>
          <w:p w14:paraId="52BC4ED6" w14:textId="77777777" w:rsidR="002E3E10" w:rsidRPr="00316CB5" w:rsidRDefault="002E3E10" w:rsidP="002E3E10">
            <w:pPr>
              <w:pStyle w:val="Tablelistbullet"/>
            </w:pPr>
            <w:r w:rsidRPr="00316CB5">
              <w:t>National Disability Insurance Agency</w:t>
            </w:r>
          </w:p>
          <w:p w14:paraId="70CF1E23" w14:textId="1D29421C" w:rsidR="002E3E10" w:rsidRPr="00EE2822" w:rsidRDefault="002E3E10" w:rsidP="002E3E10">
            <w:pPr>
              <w:pStyle w:val="Tablelistbullet"/>
            </w:pPr>
            <w:r w:rsidRPr="00316CB5">
              <w:t>Health insurers</w:t>
            </w:r>
          </w:p>
        </w:tc>
      </w:tr>
      <w:tr w:rsidR="002E3E10" w:rsidRPr="00EE2822" w14:paraId="1901FB16" w14:textId="77777777" w:rsidTr="002E3E10">
        <w:trPr>
          <w:trHeight w:val="1259"/>
        </w:trPr>
        <w:tc>
          <w:tcPr>
            <w:tcW w:w="1980" w:type="dxa"/>
          </w:tcPr>
          <w:p w14:paraId="2238C0D0" w14:textId="4FA53AE6" w:rsidR="002E3E10" w:rsidRDefault="002E3E10" w:rsidP="0039174C">
            <w:pPr>
              <w:pStyle w:val="Tablelistbullet"/>
            </w:pPr>
            <w:r>
              <w:t xml:space="preserve">Phase 5 – Summarise findings and determine market health </w:t>
            </w:r>
          </w:p>
        </w:tc>
        <w:tc>
          <w:tcPr>
            <w:tcW w:w="2693" w:type="dxa"/>
          </w:tcPr>
          <w:p w14:paraId="2E7D4417" w14:textId="77777777" w:rsidR="002E3E10" w:rsidRPr="00316CB5" w:rsidRDefault="002E3E10" w:rsidP="002E3E10">
            <w:pPr>
              <w:pStyle w:val="Tablelistbullet"/>
            </w:pPr>
            <w:r w:rsidRPr="00316CB5">
              <w:t>Summarise findings against the characteristics of high performing markets</w:t>
            </w:r>
          </w:p>
          <w:p w14:paraId="7649BDAE" w14:textId="16AA03B8" w:rsidR="002E3E10" w:rsidRPr="00EE2822" w:rsidRDefault="002E3E10" w:rsidP="002E3E10">
            <w:pPr>
              <w:pStyle w:val="Tablelistbullet"/>
            </w:pPr>
            <w:r w:rsidRPr="00316CB5">
              <w:t>Test and confirm root causes of market issues with providers</w:t>
            </w:r>
          </w:p>
        </w:tc>
        <w:tc>
          <w:tcPr>
            <w:tcW w:w="5181" w:type="dxa"/>
          </w:tcPr>
          <w:p w14:paraId="05FEBF6A" w14:textId="321E5623" w:rsidR="002E3E10" w:rsidRPr="00EE2822" w:rsidRDefault="00E709E2" w:rsidP="0039174C">
            <w:pPr>
              <w:pStyle w:val="Tablelistbullet"/>
            </w:pPr>
            <w:r>
              <w:t xml:space="preserve">See section 4.1 of the 2018 </w:t>
            </w:r>
            <w:r>
              <w:rPr>
                <w:i/>
              </w:rPr>
              <w:t>Market Making and Development Guidance</w:t>
            </w:r>
            <w:r>
              <w:t>.</w:t>
            </w:r>
          </w:p>
        </w:tc>
      </w:tr>
      <w:tr w:rsidR="002E3E10" w:rsidRPr="00EE2822" w14:paraId="19471F4C" w14:textId="77777777" w:rsidTr="002E3E10">
        <w:trPr>
          <w:trHeight w:val="1259"/>
        </w:trPr>
        <w:tc>
          <w:tcPr>
            <w:tcW w:w="1980" w:type="dxa"/>
          </w:tcPr>
          <w:p w14:paraId="4D3866A2" w14:textId="12050B5C" w:rsidR="002E3E10" w:rsidRDefault="002E3E10" w:rsidP="002E3E10">
            <w:pPr>
              <w:pStyle w:val="Tablelistbullet"/>
            </w:pPr>
            <w:r>
              <w:t xml:space="preserve">Phase 6 – Plan approaches to improve the market </w:t>
            </w:r>
          </w:p>
        </w:tc>
        <w:tc>
          <w:tcPr>
            <w:tcW w:w="2693" w:type="dxa"/>
          </w:tcPr>
          <w:p w14:paraId="0A04C104" w14:textId="77777777" w:rsidR="002E3E10" w:rsidRPr="00316CB5" w:rsidRDefault="002E3E10" w:rsidP="002E3E10">
            <w:pPr>
              <w:pStyle w:val="Tablelistbullet"/>
            </w:pPr>
            <w:r w:rsidRPr="00316CB5">
              <w:t>Review the PHN’s available tools and identify which may facilitate market change most effectively</w:t>
            </w:r>
          </w:p>
          <w:p w14:paraId="736D73AB" w14:textId="77777777" w:rsidR="002E3E10" w:rsidRPr="007B7A96" w:rsidRDefault="002E3E10" w:rsidP="002E3E10">
            <w:pPr>
              <w:pStyle w:val="Tablelistbullet"/>
            </w:pPr>
            <w:r w:rsidRPr="007B7A96">
              <w:t>Test thinking with providers</w:t>
            </w:r>
          </w:p>
          <w:p w14:paraId="48FB5052" w14:textId="77777777" w:rsidR="002E3E10" w:rsidRPr="007B7A96" w:rsidRDefault="002E3E10" w:rsidP="002E3E10">
            <w:pPr>
              <w:pStyle w:val="Tablelistbullet"/>
            </w:pPr>
            <w:r w:rsidRPr="007B7A96">
              <w:t>Consider use of pilots as a way to trial changes</w:t>
            </w:r>
          </w:p>
          <w:p w14:paraId="07C64194" w14:textId="6C453486" w:rsidR="002E3E10" w:rsidRPr="00EE2822" w:rsidRDefault="002E3E10" w:rsidP="002E3E10">
            <w:pPr>
              <w:pStyle w:val="Tablelistbullet"/>
            </w:pPr>
            <w:r w:rsidRPr="007B7A96">
              <w:t>Plan approach and confirm next steps</w:t>
            </w:r>
          </w:p>
        </w:tc>
        <w:tc>
          <w:tcPr>
            <w:tcW w:w="5181" w:type="dxa"/>
          </w:tcPr>
          <w:p w14:paraId="031C742A" w14:textId="77777777" w:rsidR="002E3E10" w:rsidRPr="00316CB5" w:rsidRDefault="002E3E10" w:rsidP="002E3E10">
            <w:pPr>
              <w:pStyle w:val="Tablelistbullet"/>
            </w:pPr>
            <w:r w:rsidRPr="00316CB5">
              <w:t>Reconnect with the above relevant sources of infor</w:t>
            </w:r>
            <w:r>
              <w:t>mation and data, as appropriate</w:t>
            </w:r>
          </w:p>
          <w:p w14:paraId="75A1188A" w14:textId="77777777" w:rsidR="002E3E10" w:rsidRPr="00316CB5" w:rsidRDefault="002E3E10" w:rsidP="002E3E10">
            <w:pPr>
              <w:pStyle w:val="Tablelistbullet"/>
            </w:pPr>
            <w:r w:rsidRPr="00316CB5">
              <w:t>Note that the 2013 Australian Government review of health workforce programs</w:t>
            </w:r>
            <w:r w:rsidRPr="00316CB5">
              <w:rPr>
                <w:vertAlign w:val="superscript"/>
              </w:rPr>
              <w:footnoteReference w:id="4"/>
            </w:r>
            <w:r w:rsidRPr="00316CB5">
              <w:t xml:space="preserve"> provides detailed analysis of programs t</w:t>
            </w:r>
            <w:r>
              <w:t>o develop healthcare workforces</w:t>
            </w:r>
          </w:p>
          <w:p w14:paraId="5BCE6D62" w14:textId="4037698F" w:rsidR="002E3E10" w:rsidRPr="00EE2822" w:rsidRDefault="002E3E10" w:rsidP="002E3E10">
            <w:pPr>
              <w:pStyle w:val="Tablelistbullet"/>
            </w:pPr>
            <w:r w:rsidRPr="00316CB5">
              <w:rPr>
                <w:lang w:val="en-GB"/>
              </w:rPr>
              <w:t>An Australian Government A-Z list of programs to improve the adequacy, quality and distribution of Australia's health workforce</w:t>
            </w:r>
            <w:r w:rsidRPr="00316CB5">
              <w:rPr>
                <w:vertAlign w:val="superscript"/>
                <w:lang w:val="en-GB"/>
              </w:rPr>
              <w:footnoteReference w:id="5"/>
            </w:r>
            <w:r w:rsidRPr="00316CB5">
              <w:rPr>
                <w:lang w:val="en-GB"/>
              </w:rPr>
              <w:t xml:space="preserve"> is also available</w:t>
            </w:r>
            <w:r w:rsidRPr="00316CB5">
              <w:t>.</w:t>
            </w:r>
          </w:p>
        </w:tc>
      </w:tr>
    </w:tbl>
    <w:p w14:paraId="1A90FD3C" w14:textId="3EFEC376" w:rsidR="002E3E10" w:rsidRDefault="002E3E10" w:rsidP="002E3E10">
      <w:pPr>
        <w:pStyle w:val="SectionHeading"/>
      </w:pPr>
      <w:bookmarkStart w:id="32" w:name="_Toc519768690"/>
      <w:bookmarkStart w:id="33" w:name="_Toc514226270"/>
      <w:bookmarkStart w:id="34" w:name="_Toc504486935"/>
      <w:r>
        <w:t>Tool 6: Engagement with providers</w:t>
      </w:r>
      <w:bookmarkEnd w:id="32"/>
    </w:p>
    <w:p w14:paraId="474FA2BD" w14:textId="77777777" w:rsidR="002E3E10" w:rsidRPr="00316CB5" w:rsidRDefault="002E3E10" w:rsidP="002E3E10">
      <w:pPr>
        <w:pStyle w:val="Paragraphtext"/>
      </w:pPr>
      <w:r w:rsidRPr="00316CB5">
        <w:t>Commissioning encourages the development of new relationships between providers and PHNs, that are more iterative and collaborative and less transactional. Moving towards this new way of working can take time and PHNs are encouraged to consider the following tips in evolving their engagement approaches with providers.</w:t>
      </w:r>
    </w:p>
    <w:p w14:paraId="3001BBC2" w14:textId="5BC35F94" w:rsidR="0034328E" w:rsidRPr="00316CB5" w:rsidRDefault="0034328E" w:rsidP="00EC7A39">
      <w:pPr>
        <w:pStyle w:val="Heading2nonumbering"/>
      </w:pPr>
      <w:bookmarkStart w:id="35" w:name="_Toc519768691"/>
      <w:bookmarkEnd w:id="33"/>
      <w:r w:rsidRPr="00316CB5">
        <w:t>PHN tips for approaches to provider engagement</w:t>
      </w:r>
      <w:bookmarkEnd w:id="35"/>
    </w:p>
    <w:p w14:paraId="4D8CD89E" w14:textId="37CF50A7" w:rsidR="0034328E" w:rsidRPr="00316CB5" w:rsidRDefault="0034328E" w:rsidP="006454B0">
      <w:pPr>
        <w:pStyle w:val="ListBullet"/>
      </w:pPr>
      <w:r w:rsidRPr="00316CB5">
        <w:t>Seek to understand provider perspectives, challenges, operational context and histories. Put yourself in the shoes of a provider and consider their experience in delivering services and working with the PHN to date</w:t>
      </w:r>
      <w:r w:rsidR="00B93B99" w:rsidRPr="00316CB5">
        <w:t>.</w:t>
      </w:r>
    </w:p>
    <w:p w14:paraId="37730214" w14:textId="2E84CD93" w:rsidR="0034328E" w:rsidRPr="00316CB5" w:rsidRDefault="0034328E" w:rsidP="006454B0">
      <w:pPr>
        <w:pStyle w:val="ListBullet"/>
      </w:pPr>
      <w:r w:rsidRPr="00316CB5">
        <w:t>Seek to be open and transparent about the desire to work collaboratively together to improve primary health outcomes. Building and evolving relationships will take time</w:t>
      </w:r>
      <w:r w:rsidR="00B93B99" w:rsidRPr="00316CB5">
        <w:t>.</w:t>
      </w:r>
    </w:p>
    <w:p w14:paraId="7E4C84E1" w14:textId="044BC57D" w:rsidR="0034328E" w:rsidRPr="00316CB5" w:rsidRDefault="0034328E" w:rsidP="006454B0">
      <w:pPr>
        <w:pStyle w:val="ListBullet"/>
      </w:pPr>
      <w:r w:rsidRPr="00316CB5">
        <w:t>Understanding if there are common themes emerging amongst providers, and seek to address these where possible. PHNs need to demonstrate that they have listened a</w:t>
      </w:r>
      <w:r w:rsidR="00E47639">
        <w:t>nd are responding to providers.</w:t>
      </w:r>
    </w:p>
    <w:p w14:paraId="311209D9" w14:textId="21FFC189" w:rsidR="0034328E" w:rsidRPr="00316CB5" w:rsidRDefault="0034328E" w:rsidP="006454B0">
      <w:pPr>
        <w:pStyle w:val="ListBullet"/>
      </w:pPr>
      <w:r w:rsidRPr="00316CB5">
        <w:t xml:space="preserve">Think about what the PHN has done or could do to make itself more attractive to providers, considering feedback about how easy </w:t>
      </w:r>
      <w:r w:rsidR="00B93B99" w:rsidRPr="00316CB5">
        <w:t xml:space="preserve">the PHN </w:t>
      </w:r>
      <w:r w:rsidRPr="00316CB5">
        <w:t>is to do business with</w:t>
      </w:r>
      <w:r w:rsidR="005F6336" w:rsidRPr="00316CB5">
        <w:t>.</w:t>
      </w:r>
      <w:r w:rsidRPr="00316CB5">
        <w:t xml:space="preserve"> PHNs need to group and prioritise feedback </w:t>
      </w:r>
      <w:r w:rsidR="00282185" w:rsidRPr="00316CB5">
        <w:t>and focus on key aspects that they can change</w:t>
      </w:r>
      <w:r w:rsidR="00B93B99" w:rsidRPr="00316CB5">
        <w:t>.</w:t>
      </w:r>
    </w:p>
    <w:p w14:paraId="1C10997C" w14:textId="244F3B8D" w:rsidR="0034328E" w:rsidRPr="00316CB5" w:rsidRDefault="0034328E" w:rsidP="006454B0">
      <w:pPr>
        <w:pStyle w:val="ListBullet"/>
      </w:pPr>
      <w:r w:rsidRPr="00316CB5">
        <w:t xml:space="preserve">Consider whether there is opportunity to work </w:t>
      </w:r>
      <w:r w:rsidR="00282185" w:rsidRPr="00316CB5">
        <w:t xml:space="preserve">collaboratively </w:t>
      </w:r>
      <w:r w:rsidRPr="00316CB5">
        <w:t xml:space="preserve">with the market to derive or test </w:t>
      </w:r>
      <w:r w:rsidR="00282185" w:rsidRPr="00316CB5">
        <w:t>new approaches</w:t>
      </w:r>
      <w:r w:rsidR="00B93B99" w:rsidRPr="00316CB5">
        <w:t>.</w:t>
      </w:r>
    </w:p>
    <w:p w14:paraId="43DCE0BF" w14:textId="1D020741" w:rsidR="0034328E" w:rsidRPr="00316CB5" w:rsidRDefault="0034328E" w:rsidP="006454B0">
      <w:pPr>
        <w:pStyle w:val="ListBullet"/>
      </w:pPr>
      <w:r w:rsidRPr="00316CB5">
        <w:t xml:space="preserve">Consider cultural </w:t>
      </w:r>
      <w:r w:rsidR="00B93B99" w:rsidRPr="00316CB5">
        <w:t xml:space="preserve">competence and cultural </w:t>
      </w:r>
      <w:r w:rsidRPr="00316CB5">
        <w:t>safety</w:t>
      </w:r>
      <w:r w:rsidR="00B93B99" w:rsidRPr="00316CB5">
        <w:t>,</w:t>
      </w:r>
      <w:r w:rsidRPr="00316CB5">
        <w:t xml:space="preserve"> and </w:t>
      </w:r>
      <w:r w:rsidR="00282185" w:rsidRPr="00316CB5">
        <w:t xml:space="preserve">the </w:t>
      </w:r>
      <w:r w:rsidRPr="00316CB5">
        <w:t>ability to make effective judgements on this. The PHN may need to partner with ACHHS</w:t>
      </w:r>
      <w:r w:rsidR="005F6336" w:rsidRPr="00316CB5">
        <w:t>,</w:t>
      </w:r>
      <w:r w:rsidRPr="00316CB5">
        <w:t xml:space="preserve"> local Aboriginal and Torres Strait Islander people</w:t>
      </w:r>
      <w:r w:rsidR="005F6336" w:rsidRPr="00316CB5">
        <w:t xml:space="preserve"> and communities</w:t>
      </w:r>
      <w:r w:rsidRPr="00316CB5">
        <w:t xml:space="preserve"> and representative bodies to strengthen its own capacity in this area</w:t>
      </w:r>
      <w:r w:rsidR="00B93B99" w:rsidRPr="00316CB5">
        <w:t>.</w:t>
      </w:r>
    </w:p>
    <w:p w14:paraId="18983263" w14:textId="6C7D4662" w:rsidR="0034328E" w:rsidRPr="00316CB5" w:rsidRDefault="0034328E" w:rsidP="006454B0">
      <w:pPr>
        <w:pStyle w:val="ListBullet"/>
      </w:pPr>
      <w:r w:rsidRPr="00316CB5">
        <w:t>Understand what scope the PHN has to change and be adaptable</w:t>
      </w:r>
      <w:r w:rsidR="00E47639">
        <w:t>.</w:t>
      </w:r>
    </w:p>
    <w:p w14:paraId="22612E6E" w14:textId="607E8759" w:rsidR="00282185" w:rsidRPr="00316CB5" w:rsidRDefault="00282185" w:rsidP="006454B0">
      <w:pPr>
        <w:pStyle w:val="Paragraphtext"/>
      </w:pPr>
      <w:r w:rsidRPr="00316CB5">
        <w:t xml:space="preserve">A key theme of </w:t>
      </w:r>
      <w:r w:rsidR="00B93B99" w:rsidRPr="00316CB5">
        <w:t xml:space="preserve">the </w:t>
      </w:r>
      <w:r w:rsidRPr="00316CB5">
        <w:t>guidance is ensuring that the PHN is ‘easy to work with’</w:t>
      </w:r>
      <w:r w:rsidR="005F6336" w:rsidRPr="00316CB5">
        <w:t>. Some questions that PHNs should consider in determining and improving this are:</w:t>
      </w:r>
    </w:p>
    <w:p w14:paraId="058A3FF8" w14:textId="5ABE21F6" w:rsidR="0034328E" w:rsidRPr="00316CB5" w:rsidRDefault="00282185" w:rsidP="006454B0">
      <w:pPr>
        <w:pStyle w:val="ListBullet"/>
      </w:pPr>
      <w:r w:rsidRPr="00316CB5">
        <w:t>How has the commissioning strategy been communicated to providers?</w:t>
      </w:r>
    </w:p>
    <w:p w14:paraId="23C4AF0A" w14:textId="19CF9E6D" w:rsidR="0034328E" w:rsidRPr="00316CB5" w:rsidRDefault="00282185" w:rsidP="006454B0">
      <w:pPr>
        <w:pStyle w:val="ListBullet"/>
      </w:pPr>
      <w:r w:rsidRPr="00316CB5">
        <w:t>How does the PHN engage</w:t>
      </w:r>
      <w:r w:rsidR="0034328E" w:rsidRPr="00316CB5">
        <w:t xml:space="preserve"> with the market</w:t>
      </w:r>
      <w:r w:rsidR="005F6336" w:rsidRPr="00316CB5">
        <w:t>? I</w:t>
      </w:r>
      <w:r w:rsidR="0034328E" w:rsidRPr="00316CB5">
        <w:t>s it directed or inclusive?</w:t>
      </w:r>
    </w:p>
    <w:p w14:paraId="4B7BD0F9" w14:textId="34BCF97E" w:rsidR="0034328E" w:rsidRPr="00316CB5" w:rsidRDefault="00282185" w:rsidP="006454B0">
      <w:pPr>
        <w:pStyle w:val="ListBullet"/>
      </w:pPr>
      <w:r w:rsidRPr="00316CB5">
        <w:t>How does the PHN communicate with the market? Is it open</w:t>
      </w:r>
      <w:r w:rsidR="005F6336" w:rsidRPr="00316CB5">
        <w:t xml:space="preserve">, </w:t>
      </w:r>
      <w:r w:rsidRPr="00316CB5">
        <w:t xml:space="preserve">formal </w:t>
      </w:r>
      <w:r w:rsidR="005F6336" w:rsidRPr="00316CB5">
        <w:t xml:space="preserve">or </w:t>
      </w:r>
      <w:r w:rsidRPr="00316CB5">
        <w:t>clo</w:t>
      </w:r>
      <w:r w:rsidR="005F6336" w:rsidRPr="00316CB5">
        <w:t>s</w:t>
      </w:r>
      <w:r w:rsidRPr="00316CB5">
        <w:t>ed?</w:t>
      </w:r>
    </w:p>
    <w:p w14:paraId="7E8D30CB" w14:textId="77777777" w:rsidR="00282185" w:rsidRPr="00316CB5" w:rsidRDefault="00282185" w:rsidP="006454B0">
      <w:pPr>
        <w:pStyle w:val="ListBullet"/>
      </w:pPr>
      <w:r w:rsidRPr="00316CB5">
        <w:t xml:space="preserve">How willing is the PHN to </w:t>
      </w:r>
      <w:r w:rsidR="0034328E" w:rsidRPr="00316CB5">
        <w:t xml:space="preserve">co-design and </w:t>
      </w:r>
      <w:r w:rsidRPr="00316CB5">
        <w:t>work with the market?</w:t>
      </w:r>
    </w:p>
    <w:p w14:paraId="79AB678C" w14:textId="50BC3149" w:rsidR="0034328E" w:rsidRPr="00316CB5" w:rsidRDefault="00282185" w:rsidP="006454B0">
      <w:pPr>
        <w:pStyle w:val="ListBullet"/>
      </w:pPr>
      <w:r w:rsidRPr="00316CB5">
        <w:t xml:space="preserve">What are the </w:t>
      </w:r>
      <w:r w:rsidR="0034328E" w:rsidRPr="00316CB5">
        <w:t>PHN’s contractual expectations</w:t>
      </w:r>
      <w:r w:rsidR="005F6336" w:rsidRPr="00316CB5">
        <w:t>?</w:t>
      </w:r>
      <w:r w:rsidR="0034328E" w:rsidRPr="00316CB5">
        <w:t xml:space="preserve"> </w:t>
      </w:r>
      <w:r w:rsidR="005F6336" w:rsidRPr="00316CB5">
        <w:t>A</w:t>
      </w:r>
      <w:r w:rsidR="0034328E" w:rsidRPr="00316CB5">
        <w:t>re they overly onerous?</w:t>
      </w:r>
    </w:p>
    <w:p w14:paraId="666424B8" w14:textId="2E1D9661" w:rsidR="0034328E" w:rsidRPr="00316CB5" w:rsidRDefault="00282185" w:rsidP="006454B0">
      <w:pPr>
        <w:pStyle w:val="ListBullet"/>
      </w:pPr>
      <w:r w:rsidRPr="00316CB5">
        <w:t>What are the PHN</w:t>
      </w:r>
      <w:r w:rsidR="005F6336" w:rsidRPr="00316CB5">
        <w:t>’</w:t>
      </w:r>
      <w:r w:rsidRPr="00316CB5">
        <w:t xml:space="preserve">s </w:t>
      </w:r>
      <w:r w:rsidR="0034328E" w:rsidRPr="00316CB5">
        <w:t>monitoring</w:t>
      </w:r>
      <w:r w:rsidR="00B93B99" w:rsidRPr="00316CB5">
        <w:t xml:space="preserve"> and </w:t>
      </w:r>
      <w:r w:rsidRPr="00316CB5">
        <w:t xml:space="preserve">payment </w:t>
      </w:r>
      <w:r w:rsidR="0034328E" w:rsidRPr="00316CB5">
        <w:t>arrangements</w:t>
      </w:r>
      <w:r w:rsidR="005F6336" w:rsidRPr="00316CB5">
        <w:t>? A</w:t>
      </w:r>
      <w:r w:rsidR="0034328E" w:rsidRPr="00316CB5">
        <w:t>re they seen as fair or overly pedantic?</w:t>
      </w:r>
    </w:p>
    <w:p w14:paraId="2AE18149" w14:textId="60175A28" w:rsidR="0034328E" w:rsidRPr="00316CB5" w:rsidRDefault="00282185" w:rsidP="00EC7A39">
      <w:pPr>
        <w:pStyle w:val="Heading2nonumbering"/>
      </w:pPr>
      <w:bookmarkStart w:id="36" w:name="_Toc519768692"/>
      <w:r w:rsidRPr="00316CB5">
        <w:t>Engagement with providers throughout the commissioning</w:t>
      </w:r>
      <w:r w:rsidR="00172DDD" w:rsidRPr="00316CB5">
        <w:t xml:space="preserve"> framework</w:t>
      </w:r>
      <w:bookmarkEnd w:id="36"/>
    </w:p>
    <w:p w14:paraId="28298A37" w14:textId="4B56A459" w:rsidR="0034328E" w:rsidRPr="00316CB5" w:rsidRDefault="00E20E58" w:rsidP="006454B0">
      <w:pPr>
        <w:pStyle w:val="Paragraphtext"/>
      </w:pPr>
      <w:r w:rsidRPr="00316CB5">
        <w:t xml:space="preserve">PHNs need to communicate with providers throughout the </w:t>
      </w:r>
      <w:r w:rsidR="00172DDD" w:rsidRPr="00316CB5">
        <w:t xml:space="preserve">commissioning </w:t>
      </w:r>
      <w:r w:rsidR="00B93B99" w:rsidRPr="00316CB5">
        <w:t>process</w:t>
      </w:r>
      <w:r w:rsidRPr="00316CB5">
        <w:t xml:space="preserve"> as part of more iterative and continual communications. </w:t>
      </w:r>
      <w:r w:rsidR="00D63D7B" w:rsidRPr="00316CB5">
        <w:t xml:space="preserve">It is important </w:t>
      </w:r>
      <w:r w:rsidR="00172DDD" w:rsidRPr="00316CB5">
        <w:t xml:space="preserve">that </w:t>
      </w:r>
      <w:r w:rsidR="00D63D7B" w:rsidRPr="00316CB5">
        <w:t xml:space="preserve">PHNs consider </w:t>
      </w:r>
      <w:r w:rsidR="0034328E" w:rsidRPr="00316CB5">
        <w:t>the timing, extent and consistency of communication</w:t>
      </w:r>
      <w:r w:rsidR="00B93B99" w:rsidRPr="00316CB5">
        <w:t>,</w:t>
      </w:r>
      <w:r w:rsidR="00D63D7B" w:rsidRPr="00316CB5">
        <w:t xml:space="preserve"> as </w:t>
      </w:r>
      <w:r w:rsidR="00B93B99" w:rsidRPr="00316CB5">
        <w:t xml:space="preserve">their </w:t>
      </w:r>
      <w:r w:rsidR="0034328E" w:rsidRPr="00316CB5">
        <w:t xml:space="preserve">approaches </w:t>
      </w:r>
      <w:r w:rsidR="00B93B99" w:rsidRPr="00316CB5">
        <w:t xml:space="preserve">will influence </w:t>
      </w:r>
      <w:r w:rsidR="0034328E" w:rsidRPr="00316CB5">
        <w:t xml:space="preserve">the confidence and desire of providers to engage with PHNs. </w:t>
      </w:r>
      <w:r w:rsidR="00B93B99" w:rsidRPr="00316CB5">
        <w:t>S</w:t>
      </w:r>
      <w:r w:rsidR="0034328E" w:rsidRPr="00316CB5">
        <w:t>ome issues to consider in preparing and effecting a communications strategy include:</w:t>
      </w:r>
    </w:p>
    <w:p w14:paraId="37BCF8A4" w14:textId="46668887" w:rsidR="0034328E" w:rsidRPr="00316CB5" w:rsidRDefault="0034328E" w:rsidP="006454B0">
      <w:pPr>
        <w:pStyle w:val="ListBullet"/>
      </w:pPr>
      <w:r w:rsidRPr="00316CB5">
        <w:t>Understanding the key messages that PHNs want to convey</w:t>
      </w:r>
      <w:r w:rsidR="00E20E58" w:rsidRPr="00316CB5">
        <w:t xml:space="preserve"> and what </w:t>
      </w:r>
      <w:r w:rsidRPr="00316CB5">
        <w:t xml:space="preserve">PHNs </w:t>
      </w:r>
      <w:r w:rsidR="00E20E58" w:rsidRPr="00316CB5">
        <w:t xml:space="preserve">are </w:t>
      </w:r>
      <w:r w:rsidRPr="00316CB5">
        <w:t>seeking to</w:t>
      </w:r>
      <w:r w:rsidR="00E47639">
        <w:t xml:space="preserve"> achieve through communications</w:t>
      </w:r>
    </w:p>
    <w:p w14:paraId="679B8185" w14:textId="77777777" w:rsidR="0034328E" w:rsidRPr="00316CB5" w:rsidRDefault="0034328E" w:rsidP="006454B0">
      <w:pPr>
        <w:pStyle w:val="ListBullet"/>
      </w:pPr>
      <w:r w:rsidRPr="00316CB5">
        <w:t>Tailoring communications to recipients</w:t>
      </w:r>
    </w:p>
    <w:p w14:paraId="53C4B244" w14:textId="77777777" w:rsidR="0034328E" w:rsidRPr="00316CB5" w:rsidRDefault="0034328E" w:rsidP="006454B0">
      <w:pPr>
        <w:pStyle w:val="ListBullet"/>
      </w:pPr>
      <w:r w:rsidRPr="00316CB5">
        <w:t>Considering different and appropriate media</w:t>
      </w:r>
    </w:p>
    <w:p w14:paraId="3BF7CA92" w14:textId="77777777" w:rsidR="0034328E" w:rsidRPr="00316CB5" w:rsidRDefault="0034328E" w:rsidP="006454B0">
      <w:pPr>
        <w:pStyle w:val="ListBullet"/>
      </w:pPr>
      <w:r w:rsidRPr="00316CB5">
        <w:t>Providing the opportunity for feedback and interaction</w:t>
      </w:r>
    </w:p>
    <w:p w14:paraId="2C232426" w14:textId="6CA7FF74" w:rsidR="0034328E" w:rsidRPr="00316CB5" w:rsidRDefault="00E20E58" w:rsidP="006454B0">
      <w:pPr>
        <w:pStyle w:val="ListBullet"/>
      </w:pPr>
      <w:r w:rsidRPr="00316CB5">
        <w:t>Consistency of communications</w:t>
      </w:r>
    </w:p>
    <w:p w14:paraId="5B2E88DD" w14:textId="77777777" w:rsidR="0034328E" w:rsidRPr="00316CB5" w:rsidRDefault="0034328E" w:rsidP="006454B0">
      <w:pPr>
        <w:pStyle w:val="ListBullet"/>
      </w:pPr>
      <w:r w:rsidRPr="00316CB5">
        <w:t>Communicating regularly, particularly in formal processes</w:t>
      </w:r>
    </w:p>
    <w:p w14:paraId="3AC9F7AA" w14:textId="66907397" w:rsidR="0034328E" w:rsidRPr="00316CB5" w:rsidRDefault="0034328E" w:rsidP="006454B0">
      <w:pPr>
        <w:pStyle w:val="ListBullet"/>
      </w:pPr>
      <w:r w:rsidRPr="00316CB5">
        <w:t>Understanding the impact of communications</w:t>
      </w:r>
      <w:r w:rsidR="00172DDD" w:rsidRPr="00316CB5">
        <w:t>.</w:t>
      </w:r>
    </w:p>
    <w:p w14:paraId="51468550" w14:textId="174EBC33" w:rsidR="001E7378" w:rsidRPr="00316CB5" w:rsidRDefault="00D63D7B" w:rsidP="006D4016">
      <w:pPr>
        <w:pStyle w:val="Paragraphtext"/>
        <w:spacing w:after="120"/>
      </w:pPr>
      <w:r w:rsidRPr="00316CB5">
        <w:t xml:space="preserve">The focus and approach to communications will naturally differ at each stage of the commissioning </w:t>
      </w:r>
      <w:r w:rsidR="00172DDD" w:rsidRPr="00316CB5">
        <w:t>framework</w:t>
      </w:r>
      <w:r w:rsidRPr="00316CB5">
        <w:t>. A guide for typical communications by PHNs is set out below:</w:t>
      </w:r>
    </w:p>
    <w:tbl>
      <w:tblPr>
        <w:tblStyle w:val="PHNBlueTable"/>
        <w:tblW w:w="4900" w:type="pct"/>
        <w:tblInd w:w="113" w:type="dxa"/>
        <w:tblLayout w:type="fixed"/>
        <w:tblLook w:val="04A0" w:firstRow="1" w:lastRow="0" w:firstColumn="1" w:lastColumn="0" w:noHBand="0" w:noVBand="1"/>
        <w:tblCaption w:val="Engagement with providers throughout the commissioning framework"/>
        <w:tblDescription w:val="This table features two columns and seven rows. The first column lists stages of the commissioning cycle. The second column describes considerations for communication within each stage.  "/>
      </w:tblPr>
      <w:tblGrid>
        <w:gridCol w:w="2547"/>
        <w:gridCol w:w="7222"/>
      </w:tblGrid>
      <w:tr w:rsidR="001E7378" w:rsidRPr="00685B44" w14:paraId="1C77C785" w14:textId="77777777" w:rsidTr="00E47639">
        <w:trPr>
          <w:cnfStyle w:val="100000000000" w:firstRow="1" w:lastRow="0" w:firstColumn="0" w:lastColumn="0" w:oddVBand="0" w:evenVBand="0" w:oddHBand="0" w:evenHBand="0" w:firstRowFirstColumn="0" w:firstRowLastColumn="0" w:lastRowFirstColumn="0" w:lastRowLastColumn="0"/>
        </w:trPr>
        <w:tc>
          <w:tcPr>
            <w:tcW w:w="2547" w:type="dxa"/>
            <w:shd w:val="clear" w:color="auto" w:fill="8D188D"/>
          </w:tcPr>
          <w:p w14:paraId="1E166CCA" w14:textId="3EC512B8" w:rsidR="001E7378" w:rsidRPr="00EE2822" w:rsidRDefault="001E7378" w:rsidP="006454B0">
            <w:pPr>
              <w:pStyle w:val="TableHeaderWhite"/>
            </w:pPr>
            <w:r w:rsidRPr="00EE2822">
              <w:t>Commissioning cycle stage</w:t>
            </w:r>
          </w:p>
        </w:tc>
        <w:tc>
          <w:tcPr>
            <w:tcW w:w="7222" w:type="dxa"/>
            <w:shd w:val="clear" w:color="auto" w:fill="8D188D"/>
          </w:tcPr>
          <w:p w14:paraId="5D583861" w14:textId="3EBAFF94" w:rsidR="001E7378" w:rsidRPr="00EE2822" w:rsidRDefault="00321463" w:rsidP="006454B0">
            <w:pPr>
              <w:pStyle w:val="TableHeaderWhite"/>
            </w:pPr>
            <w:r w:rsidRPr="00EE2822">
              <w:t>Communication consideration</w:t>
            </w:r>
          </w:p>
        </w:tc>
      </w:tr>
      <w:tr w:rsidR="001E7378" w:rsidRPr="00685B44" w14:paraId="33A384A7" w14:textId="77777777" w:rsidTr="006D4016">
        <w:tc>
          <w:tcPr>
            <w:tcW w:w="2547" w:type="dxa"/>
          </w:tcPr>
          <w:p w14:paraId="3A2DEA78" w14:textId="7F37747C" w:rsidR="001E7378" w:rsidRPr="00E47639" w:rsidRDefault="001E7378" w:rsidP="00EC7A39">
            <w:pPr>
              <w:pStyle w:val="Tabletextnormal"/>
              <w:rPr>
                <w:color w:val="auto"/>
              </w:rPr>
            </w:pPr>
            <w:r w:rsidRPr="00E47639">
              <w:rPr>
                <w:color w:val="auto"/>
              </w:rPr>
              <w:t>Needs assessment</w:t>
            </w:r>
          </w:p>
        </w:tc>
        <w:tc>
          <w:tcPr>
            <w:tcW w:w="7222" w:type="dxa"/>
          </w:tcPr>
          <w:p w14:paraId="57F6EF17" w14:textId="70C3C729" w:rsidR="001E7378" w:rsidRPr="00EE2822" w:rsidRDefault="001E7378" w:rsidP="006454B0">
            <w:pPr>
              <w:pStyle w:val="Tablelistbullet"/>
            </w:pPr>
            <w:r w:rsidRPr="00EE2822">
              <w:rPr>
                <w:i/>
              </w:rPr>
              <w:t>Why:</w:t>
            </w:r>
            <w:r w:rsidR="00172DDD" w:rsidRPr="00EE2822">
              <w:t xml:space="preserve"> To </w:t>
            </w:r>
            <w:r w:rsidR="0031427B" w:rsidRPr="00EE2822">
              <w:t>build a better picture of the health needs</w:t>
            </w:r>
            <w:r w:rsidR="00C14376" w:rsidRPr="00EE2822">
              <w:t xml:space="preserve"> of the population</w:t>
            </w:r>
          </w:p>
          <w:p w14:paraId="45C4404D" w14:textId="4EAF4BCF" w:rsidR="0031427B" w:rsidRPr="00EE2822" w:rsidRDefault="001E7378" w:rsidP="006454B0">
            <w:pPr>
              <w:pStyle w:val="Tablelistbullet"/>
            </w:pPr>
            <w:r w:rsidRPr="00EE2822">
              <w:rPr>
                <w:i/>
              </w:rPr>
              <w:t>What:</w:t>
            </w:r>
            <w:r w:rsidR="00172DDD" w:rsidRPr="00EE2822">
              <w:t xml:space="preserve"> </w:t>
            </w:r>
            <w:r w:rsidR="001F259D" w:rsidRPr="00EE2822">
              <w:t>Data,</w:t>
            </w:r>
            <w:r w:rsidR="0031427B" w:rsidRPr="00EE2822">
              <w:t xml:space="preserve"> insights </w:t>
            </w:r>
            <w:r w:rsidR="001F259D" w:rsidRPr="00EE2822">
              <w:t xml:space="preserve">and expert views </w:t>
            </w:r>
            <w:r w:rsidR="0031427B" w:rsidRPr="00EE2822">
              <w:t>on levels and types of demand and the services that are needed</w:t>
            </w:r>
          </w:p>
          <w:p w14:paraId="0E88DD6E" w14:textId="50A6F7A9" w:rsidR="001E7378" w:rsidRPr="00EE2822" w:rsidRDefault="001E7378" w:rsidP="006454B0">
            <w:pPr>
              <w:pStyle w:val="Tablelistbullet"/>
            </w:pPr>
            <w:r w:rsidRPr="00EE2822">
              <w:rPr>
                <w:i/>
              </w:rPr>
              <w:t>How:</w:t>
            </w:r>
            <w:r w:rsidR="00172DDD" w:rsidRPr="00EE2822">
              <w:t xml:space="preserve"> One-on-one interviews, surveys </w:t>
            </w:r>
            <w:r w:rsidR="00D73CA6" w:rsidRPr="00EE2822">
              <w:t xml:space="preserve">and co-design </w:t>
            </w:r>
            <w:r w:rsidR="001F259D" w:rsidRPr="00EE2822">
              <w:t>workshops</w:t>
            </w:r>
          </w:p>
        </w:tc>
      </w:tr>
      <w:tr w:rsidR="001E7378" w:rsidRPr="00685B44" w14:paraId="0CA7D349" w14:textId="77777777" w:rsidTr="006D4016">
        <w:tc>
          <w:tcPr>
            <w:tcW w:w="2547" w:type="dxa"/>
          </w:tcPr>
          <w:p w14:paraId="2324BD48" w14:textId="3A00EAA6" w:rsidR="001E7378" w:rsidRPr="00E47639" w:rsidRDefault="001E7378" w:rsidP="00EC7A39">
            <w:pPr>
              <w:pStyle w:val="Tabletextnormal"/>
              <w:rPr>
                <w:color w:val="auto"/>
              </w:rPr>
            </w:pPr>
            <w:r w:rsidRPr="00E47639">
              <w:rPr>
                <w:color w:val="auto"/>
              </w:rPr>
              <w:t>Activity planning</w:t>
            </w:r>
          </w:p>
        </w:tc>
        <w:tc>
          <w:tcPr>
            <w:tcW w:w="7222" w:type="dxa"/>
          </w:tcPr>
          <w:p w14:paraId="6B9CC216" w14:textId="32CDA70B" w:rsidR="001E7378" w:rsidRPr="00EE2822" w:rsidRDefault="001E7378" w:rsidP="006454B0">
            <w:pPr>
              <w:pStyle w:val="Tablelistbullet"/>
            </w:pPr>
            <w:r w:rsidRPr="00EE2822">
              <w:rPr>
                <w:i/>
              </w:rPr>
              <w:t>Why:</w:t>
            </w:r>
            <w:r w:rsidR="0031427B" w:rsidRPr="00EE2822">
              <w:t xml:space="preserve"> </w:t>
            </w:r>
            <w:r w:rsidR="00283786" w:rsidRPr="00EE2822">
              <w:t xml:space="preserve">To align </w:t>
            </w:r>
            <w:r w:rsidR="0031427B" w:rsidRPr="00EE2822">
              <w:t>providers with primary health care priorities for the r</w:t>
            </w:r>
            <w:r w:rsidR="00E47639">
              <w:t>egion</w:t>
            </w:r>
          </w:p>
          <w:p w14:paraId="02135130" w14:textId="1B70AB18" w:rsidR="001E7378" w:rsidRPr="00EE2822" w:rsidRDefault="001E7378" w:rsidP="006454B0">
            <w:pPr>
              <w:pStyle w:val="Tablelistbullet"/>
            </w:pPr>
            <w:r w:rsidRPr="00EE2822">
              <w:rPr>
                <w:i/>
              </w:rPr>
              <w:t>What:</w:t>
            </w:r>
            <w:r w:rsidR="0031427B" w:rsidRPr="00EE2822">
              <w:t xml:space="preserve"> Their views on the priorities before confirming them, supporting information on why they should be a priority and what activities they can contribute to</w:t>
            </w:r>
          </w:p>
          <w:p w14:paraId="2C5D26D7" w14:textId="52E10F3A" w:rsidR="001E7378" w:rsidRPr="00EE2822" w:rsidRDefault="001E7378" w:rsidP="006454B0">
            <w:pPr>
              <w:pStyle w:val="Tablelistbullet"/>
            </w:pPr>
            <w:r w:rsidRPr="00EE2822">
              <w:rPr>
                <w:i/>
              </w:rPr>
              <w:t>How:</w:t>
            </w:r>
            <w:r w:rsidR="0031427B" w:rsidRPr="00EE2822">
              <w:t xml:space="preserve"> Interactive consultation </w:t>
            </w:r>
            <w:r w:rsidR="00D73CA6" w:rsidRPr="00EE2822">
              <w:t>and communications</w:t>
            </w:r>
          </w:p>
        </w:tc>
      </w:tr>
      <w:tr w:rsidR="001E7378" w:rsidRPr="00685B44" w14:paraId="3E396C84" w14:textId="77777777" w:rsidTr="006D4016">
        <w:tc>
          <w:tcPr>
            <w:tcW w:w="2547" w:type="dxa"/>
          </w:tcPr>
          <w:p w14:paraId="1D614E72" w14:textId="66156946" w:rsidR="001E7378" w:rsidRPr="00E47639" w:rsidRDefault="0031427B" w:rsidP="00EC7A39">
            <w:pPr>
              <w:pStyle w:val="Tabletextnormal"/>
              <w:rPr>
                <w:color w:val="auto"/>
              </w:rPr>
            </w:pPr>
            <w:r w:rsidRPr="00E47639">
              <w:rPr>
                <w:color w:val="auto"/>
              </w:rPr>
              <w:t>Designing and contracting</w:t>
            </w:r>
            <w:r w:rsidR="00C14376" w:rsidRPr="00E47639">
              <w:rPr>
                <w:color w:val="auto"/>
              </w:rPr>
              <w:t xml:space="preserve"> services</w:t>
            </w:r>
          </w:p>
        </w:tc>
        <w:tc>
          <w:tcPr>
            <w:tcW w:w="7222" w:type="dxa"/>
          </w:tcPr>
          <w:p w14:paraId="557FC890" w14:textId="432D14F7" w:rsidR="001E7378" w:rsidRPr="00EE2822" w:rsidRDefault="001E7378" w:rsidP="006454B0">
            <w:pPr>
              <w:pStyle w:val="Tablelistbullet"/>
            </w:pPr>
            <w:r w:rsidRPr="00EE2822">
              <w:rPr>
                <w:i/>
              </w:rPr>
              <w:t>Why:</w:t>
            </w:r>
            <w:r w:rsidR="0031427B" w:rsidRPr="00EE2822">
              <w:t xml:space="preserve"> To ensure the services are best practice, innovative and reflective of the diverse population, as well as </w:t>
            </w:r>
            <w:r w:rsidR="008A5FDC" w:rsidRPr="00EE2822">
              <w:t>stimulate provider interest</w:t>
            </w:r>
          </w:p>
          <w:p w14:paraId="223E25AA" w14:textId="5A22D0B3" w:rsidR="001E7378" w:rsidRPr="00EE2822" w:rsidRDefault="001E7378" w:rsidP="006454B0">
            <w:pPr>
              <w:pStyle w:val="Tablelistbullet"/>
            </w:pPr>
            <w:r w:rsidRPr="00EE2822">
              <w:rPr>
                <w:i/>
              </w:rPr>
              <w:t>What:</w:t>
            </w:r>
            <w:r w:rsidR="00D81A5C" w:rsidRPr="00EE2822">
              <w:t xml:space="preserve"> </w:t>
            </w:r>
            <w:r w:rsidR="00A42C4B" w:rsidRPr="00EE2822">
              <w:t>Service</w:t>
            </w:r>
            <w:r w:rsidR="008A5FDC" w:rsidRPr="00EE2822">
              <w:t xml:space="preserve"> quality, equity, safety, coordination, integration, interdependencies</w:t>
            </w:r>
            <w:r w:rsidR="00A42C4B" w:rsidRPr="00EE2822">
              <w:t xml:space="preserve"> and</w:t>
            </w:r>
            <w:r w:rsidR="008A5FDC" w:rsidRPr="00EE2822">
              <w:t xml:space="preserve"> opportunities,</w:t>
            </w:r>
            <w:r w:rsidR="00A42C4B" w:rsidRPr="00EE2822">
              <w:t xml:space="preserve"> as well as</w:t>
            </w:r>
            <w:r w:rsidR="008A5FDC" w:rsidRPr="00EE2822">
              <w:t xml:space="preserve"> risk allocation</w:t>
            </w:r>
            <w:r w:rsidR="00D73CA6" w:rsidRPr="00EE2822">
              <w:t>, performance regime</w:t>
            </w:r>
            <w:r w:rsidR="008A5FDC" w:rsidRPr="00EE2822">
              <w:t xml:space="preserve"> and commercial arrangements to infor</w:t>
            </w:r>
            <w:r w:rsidR="000968E0" w:rsidRPr="00EE2822">
              <w:t>m service design and delivery</w:t>
            </w:r>
          </w:p>
          <w:p w14:paraId="3A35D501" w14:textId="0A2DA913" w:rsidR="001E7378" w:rsidRPr="00EE2822" w:rsidRDefault="001E7378" w:rsidP="006454B0">
            <w:pPr>
              <w:pStyle w:val="Tablelistbullet"/>
            </w:pPr>
            <w:r w:rsidRPr="00EE2822">
              <w:rPr>
                <w:i/>
              </w:rPr>
              <w:t>How:</w:t>
            </w:r>
            <w:r w:rsidR="0031427B" w:rsidRPr="00EE2822">
              <w:t xml:space="preserve"> </w:t>
            </w:r>
            <w:r w:rsidR="008A5FDC" w:rsidRPr="00EE2822">
              <w:t xml:space="preserve">Co-design workshops, market soundings, industry briefings, EOI, RFP, interactives, </w:t>
            </w:r>
            <w:r w:rsidR="00D73CA6" w:rsidRPr="00EE2822">
              <w:t>negotiations</w:t>
            </w:r>
          </w:p>
        </w:tc>
      </w:tr>
      <w:tr w:rsidR="001E7378" w:rsidRPr="00685B44" w14:paraId="0CA79EDF" w14:textId="77777777" w:rsidTr="006D4016">
        <w:tc>
          <w:tcPr>
            <w:tcW w:w="2547" w:type="dxa"/>
          </w:tcPr>
          <w:p w14:paraId="3C04E609" w14:textId="1FD9155E" w:rsidR="001E7378" w:rsidRPr="00E47639" w:rsidRDefault="0031427B" w:rsidP="00EC7A39">
            <w:pPr>
              <w:pStyle w:val="Tabletextnormal"/>
              <w:rPr>
                <w:color w:val="auto"/>
              </w:rPr>
            </w:pPr>
            <w:r w:rsidRPr="00E47639">
              <w:rPr>
                <w:color w:val="auto"/>
              </w:rPr>
              <w:t xml:space="preserve">Shaping </w:t>
            </w:r>
            <w:r w:rsidR="008520C0" w:rsidRPr="00E47639">
              <w:rPr>
                <w:color w:val="auto"/>
              </w:rPr>
              <w:t xml:space="preserve">the </w:t>
            </w:r>
            <w:r w:rsidR="00C14376" w:rsidRPr="00E47639">
              <w:rPr>
                <w:color w:val="auto"/>
              </w:rPr>
              <w:t xml:space="preserve">structure of </w:t>
            </w:r>
            <w:r w:rsidR="008520C0" w:rsidRPr="00E47639">
              <w:rPr>
                <w:color w:val="auto"/>
              </w:rPr>
              <w:t>supply</w:t>
            </w:r>
          </w:p>
        </w:tc>
        <w:tc>
          <w:tcPr>
            <w:tcW w:w="7222" w:type="dxa"/>
          </w:tcPr>
          <w:p w14:paraId="438BFC56" w14:textId="227A59FF" w:rsidR="001E7378" w:rsidRPr="00EE2822" w:rsidRDefault="001E7378" w:rsidP="006454B0">
            <w:pPr>
              <w:pStyle w:val="Tablelistbullet"/>
            </w:pPr>
            <w:r w:rsidRPr="00EE2822">
              <w:rPr>
                <w:i/>
              </w:rPr>
              <w:t>Why:</w:t>
            </w:r>
            <w:r w:rsidR="00283786" w:rsidRPr="00EE2822">
              <w:t xml:space="preserve"> To discover issues, develop solutions to these issues and leverage opportunities in the market</w:t>
            </w:r>
          </w:p>
          <w:p w14:paraId="6C5C3AEB" w14:textId="1C96502A" w:rsidR="001E7378" w:rsidRPr="00EE2822" w:rsidRDefault="001E7378" w:rsidP="006454B0">
            <w:pPr>
              <w:pStyle w:val="Tablelistbullet"/>
            </w:pPr>
            <w:r w:rsidRPr="00EE2822">
              <w:rPr>
                <w:i/>
              </w:rPr>
              <w:t>What:</w:t>
            </w:r>
            <w:r w:rsidR="008A5FDC" w:rsidRPr="00EE2822">
              <w:t xml:space="preserve"> </w:t>
            </w:r>
            <w:r w:rsidR="00283786" w:rsidRPr="00EE2822">
              <w:t xml:space="preserve">Provider position and performance, </w:t>
            </w:r>
            <w:r w:rsidR="001F259D" w:rsidRPr="00EE2822">
              <w:t>how/why</w:t>
            </w:r>
            <w:r w:rsidR="00283786" w:rsidRPr="00EE2822">
              <w:t xml:space="preserve"> it </w:t>
            </w:r>
            <w:r w:rsidR="001F259D" w:rsidRPr="00EE2822">
              <w:t>has/has</w:t>
            </w:r>
            <w:r w:rsidR="00C14376" w:rsidRPr="00EE2822">
              <w:t xml:space="preserve"> not</w:t>
            </w:r>
            <w:r w:rsidR="001F259D" w:rsidRPr="00EE2822">
              <w:t xml:space="preserve"> grown</w:t>
            </w:r>
            <w:r w:rsidR="00283786" w:rsidRPr="00EE2822">
              <w:t xml:space="preserve"> and the root causes for a lack of m</w:t>
            </w:r>
            <w:r w:rsidR="000968E0" w:rsidRPr="00EE2822">
              <w:t>arket competition and scale up</w:t>
            </w:r>
          </w:p>
          <w:p w14:paraId="611C103B" w14:textId="1128C0DC" w:rsidR="001E7378" w:rsidRPr="00EE2822" w:rsidRDefault="001E7378" w:rsidP="006454B0">
            <w:pPr>
              <w:pStyle w:val="Tablelistbullet"/>
            </w:pPr>
            <w:r w:rsidRPr="00EE2822">
              <w:rPr>
                <w:i/>
              </w:rPr>
              <w:t>How:</w:t>
            </w:r>
            <w:r w:rsidR="008A5FDC" w:rsidRPr="00EE2822">
              <w:t xml:space="preserve"> </w:t>
            </w:r>
            <w:r w:rsidR="00283786" w:rsidRPr="00EE2822">
              <w:t>Industry days, knowledge sharing sessions</w:t>
            </w:r>
            <w:r w:rsidR="001F259D" w:rsidRPr="00EE2822">
              <w:t xml:space="preserve"> and online forums</w:t>
            </w:r>
          </w:p>
        </w:tc>
      </w:tr>
      <w:tr w:rsidR="001E7378" w:rsidRPr="00685B44" w14:paraId="70045199" w14:textId="77777777" w:rsidTr="006D4016">
        <w:tc>
          <w:tcPr>
            <w:tcW w:w="2547" w:type="dxa"/>
          </w:tcPr>
          <w:p w14:paraId="15869905" w14:textId="6D15A540" w:rsidR="001E7378" w:rsidRPr="00E47639" w:rsidRDefault="0031427B" w:rsidP="00EC7A39">
            <w:pPr>
              <w:pStyle w:val="Tabletextnormal"/>
              <w:rPr>
                <w:color w:val="auto"/>
              </w:rPr>
            </w:pPr>
            <w:r w:rsidRPr="00E47639">
              <w:rPr>
                <w:color w:val="auto"/>
              </w:rPr>
              <w:t>Monitoring performance</w:t>
            </w:r>
          </w:p>
        </w:tc>
        <w:tc>
          <w:tcPr>
            <w:tcW w:w="7222" w:type="dxa"/>
          </w:tcPr>
          <w:p w14:paraId="560DBA8F" w14:textId="47A9A328" w:rsidR="001E7378" w:rsidRPr="00EE2822" w:rsidRDefault="001E7378" w:rsidP="006454B0">
            <w:pPr>
              <w:pStyle w:val="Tablelistbullet"/>
              <w:rPr>
                <w:i/>
              </w:rPr>
            </w:pPr>
            <w:r w:rsidRPr="00EE2822">
              <w:rPr>
                <w:i/>
              </w:rPr>
              <w:t>Why:</w:t>
            </w:r>
            <w:r w:rsidR="00283786" w:rsidRPr="00EE2822">
              <w:rPr>
                <w:i/>
              </w:rPr>
              <w:t xml:space="preserve"> </w:t>
            </w:r>
            <w:r w:rsidR="00283786" w:rsidRPr="00EE2822">
              <w:t xml:space="preserve">To gain a shared understanding of performance and progression </w:t>
            </w:r>
            <w:r w:rsidR="0044059C">
              <w:t xml:space="preserve">in the delivery of services and </w:t>
            </w:r>
            <w:r w:rsidR="00283786" w:rsidRPr="00EE2822">
              <w:t>against the achievement of outcomes, as well as facilitate further improvements</w:t>
            </w:r>
          </w:p>
          <w:p w14:paraId="67BAD4FE" w14:textId="6ECEE6B5" w:rsidR="001E7378" w:rsidRPr="00EE2822" w:rsidRDefault="001E7378" w:rsidP="006454B0">
            <w:pPr>
              <w:pStyle w:val="Tablelistbullet"/>
              <w:rPr>
                <w:i/>
              </w:rPr>
            </w:pPr>
            <w:r w:rsidRPr="00EE2822">
              <w:rPr>
                <w:i/>
              </w:rPr>
              <w:t>What:</w:t>
            </w:r>
            <w:r w:rsidR="00283786" w:rsidRPr="00EE2822">
              <w:rPr>
                <w:i/>
              </w:rPr>
              <w:t xml:space="preserve"> </w:t>
            </w:r>
            <w:r w:rsidR="00A42C4B" w:rsidRPr="00EE2822">
              <w:t xml:space="preserve">Data needs, availability and collecting/measuring arrangements, performance data </w:t>
            </w:r>
            <w:r w:rsidR="00283786" w:rsidRPr="00EE2822">
              <w:t>and qu</w:t>
            </w:r>
            <w:r w:rsidR="00E47639">
              <w:t>ality improvement opportunities</w:t>
            </w:r>
          </w:p>
          <w:p w14:paraId="5DE3320F" w14:textId="146FB73D" w:rsidR="001E7378" w:rsidRPr="00EE2822" w:rsidRDefault="001E7378" w:rsidP="006454B0">
            <w:pPr>
              <w:pStyle w:val="Tablelistbullet"/>
            </w:pPr>
            <w:r w:rsidRPr="00EE2822">
              <w:rPr>
                <w:i/>
              </w:rPr>
              <w:t>How:</w:t>
            </w:r>
            <w:r w:rsidR="00D81A5C" w:rsidRPr="00EE2822">
              <w:rPr>
                <w:i/>
              </w:rPr>
              <w:t xml:space="preserve"> </w:t>
            </w:r>
            <w:r w:rsidR="00D81A5C" w:rsidRPr="00EE2822">
              <w:t>Frequent communication, project and governance meetings, service reviews, benchmarking</w:t>
            </w:r>
            <w:r w:rsidR="00D73CA6" w:rsidRPr="00EE2822">
              <w:t>, training</w:t>
            </w:r>
            <w:r w:rsidR="00D81A5C" w:rsidRPr="00EE2822">
              <w:t xml:space="preserve"> an</w:t>
            </w:r>
            <w:r w:rsidR="001F259D" w:rsidRPr="00EE2822">
              <w:t>d re</w:t>
            </w:r>
            <w:r w:rsidR="00D81A5C" w:rsidRPr="00EE2822">
              <w:t>design workshops</w:t>
            </w:r>
          </w:p>
        </w:tc>
      </w:tr>
      <w:tr w:rsidR="001E7378" w:rsidRPr="00685B44" w14:paraId="76CB42F4" w14:textId="77777777" w:rsidTr="006D4016">
        <w:tc>
          <w:tcPr>
            <w:tcW w:w="2547" w:type="dxa"/>
          </w:tcPr>
          <w:p w14:paraId="638A8AFF" w14:textId="0A0ACDE0" w:rsidR="001E7378" w:rsidRPr="00E47639" w:rsidRDefault="0031427B" w:rsidP="00EC7A39">
            <w:pPr>
              <w:pStyle w:val="Tabletextnormal"/>
              <w:rPr>
                <w:color w:val="auto"/>
              </w:rPr>
            </w:pPr>
            <w:r w:rsidRPr="00E47639">
              <w:rPr>
                <w:color w:val="auto"/>
              </w:rPr>
              <w:t>Evaluation</w:t>
            </w:r>
          </w:p>
        </w:tc>
        <w:tc>
          <w:tcPr>
            <w:tcW w:w="7222" w:type="dxa"/>
          </w:tcPr>
          <w:p w14:paraId="6ED48FC9" w14:textId="07850078" w:rsidR="001E7378" w:rsidRPr="00EE2822" w:rsidRDefault="001E7378" w:rsidP="006454B0">
            <w:pPr>
              <w:pStyle w:val="Tablelistbullet"/>
              <w:rPr>
                <w:i/>
              </w:rPr>
            </w:pPr>
            <w:r w:rsidRPr="00EE2822">
              <w:rPr>
                <w:i/>
              </w:rPr>
              <w:t>Why:</w:t>
            </w:r>
            <w:r w:rsidR="00283786" w:rsidRPr="00EE2822">
              <w:rPr>
                <w:i/>
              </w:rPr>
              <w:t xml:space="preserve"> </w:t>
            </w:r>
            <w:r w:rsidR="00D81A5C" w:rsidRPr="00EE2822">
              <w:t xml:space="preserve">To determine the </w:t>
            </w:r>
            <w:r w:rsidR="00D73CA6" w:rsidRPr="00EE2822">
              <w:t xml:space="preserve">value for money and extent </w:t>
            </w:r>
            <w:r w:rsidR="00C14376" w:rsidRPr="00EE2822">
              <w:t xml:space="preserve">that </w:t>
            </w:r>
            <w:r w:rsidR="00D73CA6" w:rsidRPr="00EE2822">
              <w:t xml:space="preserve">the </w:t>
            </w:r>
            <w:r w:rsidR="00C14376" w:rsidRPr="00EE2822">
              <w:t xml:space="preserve">services and </w:t>
            </w:r>
            <w:r w:rsidR="00D73CA6" w:rsidRPr="00EE2822">
              <w:t>investments</w:t>
            </w:r>
            <w:r w:rsidR="00E47639">
              <w:t xml:space="preserve"> achieved the intended outcomes</w:t>
            </w:r>
          </w:p>
          <w:p w14:paraId="6B9D09AD" w14:textId="76E32B69" w:rsidR="001E7378" w:rsidRPr="00EE2822" w:rsidRDefault="001E7378" w:rsidP="006454B0">
            <w:pPr>
              <w:pStyle w:val="Tablelistbullet"/>
              <w:rPr>
                <w:i/>
              </w:rPr>
            </w:pPr>
            <w:r w:rsidRPr="00EE2822">
              <w:rPr>
                <w:i/>
              </w:rPr>
              <w:t>What:</w:t>
            </w:r>
            <w:r w:rsidR="00D81A5C" w:rsidRPr="00EE2822">
              <w:rPr>
                <w:i/>
              </w:rPr>
              <w:t xml:space="preserve"> </w:t>
            </w:r>
            <w:r w:rsidR="001F259D" w:rsidRPr="00EE2822">
              <w:t>D</w:t>
            </w:r>
            <w:r w:rsidR="00A42C4B" w:rsidRPr="00EE2822">
              <w:t xml:space="preserve">ata </w:t>
            </w:r>
            <w:r w:rsidR="001F259D" w:rsidRPr="00EE2822">
              <w:t xml:space="preserve">and information </w:t>
            </w:r>
            <w:r w:rsidR="00A42C4B" w:rsidRPr="00EE2822">
              <w:t>needs</w:t>
            </w:r>
            <w:r w:rsidR="001F259D" w:rsidRPr="00EE2822">
              <w:t xml:space="preserve"> and evaluation approach</w:t>
            </w:r>
          </w:p>
          <w:p w14:paraId="55033313" w14:textId="51626E46" w:rsidR="001E7378" w:rsidRPr="00EE2822" w:rsidRDefault="001E7378" w:rsidP="006454B0">
            <w:pPr>
              <w:pStyle w:val="Tablelistbullet"/>
            </w:pPr>
            <w:r w:rsidRPr="00EE2822">
              <w:rPr>
                <w:i/>
              </w:rPr>
              <w:t>How:</w:t>
            </w:r>
            <w:r w:rsidR="00D73CA6" w:rsidRPr="00EE2822">
              <w:t xml:space="preserve"> </w:t>
            </w:r>
            <w:r w:rsidR="00A42C4B" w:rsidRPr="00EE2822">
              <w:t>Co</w:t>
            </w:r>
            <w:r w:rsidR="001F259D" w:rsidRPr="00EE2822">
              <w:t>-</w:t>
            </w:r>
            <w:r w:rsidR="00A42C4B" w:rsidRPr="00EE2822">
              <w:t>design</w:t>
            </w:r>
            <w:r w:rsidR="001F259D" w:rsidRPr="00EE2822">
              <w:t xml:space="preserve"> workshop</w:t>
            </w:r>
            <w:r w:rsidR="00A42C4B" w:rsidRPr="00EE2822">
              <w:t xml:space="preserve">, </w:t>
            </w:r>
            <w:r w:rsidR="001F259D" w:rsidRPr="00EE2822">
              <w:t>i</w:t>
            </w:r>
            <w:r w:rsidR="00D73CA6" w:rsidRPr="00EE2822">
              <w:t>nterviews and data validation sessions</w:t>
            </w:r>
          </w:p>
        </w:tc>
      </w:tr>
    </w:tbl>
    <w:p w14:paraId="057DDC49" w14:textId="77777777" w:rsidR="008A0B33" w:rsidRPr="008A0B33" w:rsidRDefault="008A0B33" w:rsidP="006D4016">
      <w:pPr>
        <w:pStyle w:val="Paragraphtext"/>
        <w:spacing w:before="0" w:after="0"/>
      </w:pPr>
      <w:bookmarkStart w:id="37" w:name="_Toc514226271"/>
      <w:r w:rsidRPr="008A0B33">
        <w:br w:type="page"/>
      </w:r>
    </w:p>
    <w:p w14:paraId="67103D34" w14:textId="52747C1A" w:rsidR="008E45BB" w:rsidRPr="001E7353" w:rsidRDefault="00BD6DC2" w:rsidP="006454B0">
      <w:pPr>
        <w:pStyle w:val="SectionHeading"/>
      </w:pPr>
      <w:bookmarkStart w:id="38" w:name="_Toc519768693"/>
      <w:r>
        <w:t>T</w:t>
      </w:r>
      <w:r w:rsidR="006454B0">
        <w:t>ool</w:t>
      </w:r>
      <w:r>
        <w:t xml:space="preserve"> 7: </w:t>
      </w:r>
      <w:r w:rsidR="00C62EAE">
        <w:t>F</w:t>
      </w:r>
      <w:r w:rsidR="006454B0">
        <w:t>low charts for decommissioning</w:t>
      </w:r>
      <w:bookmarkEnd w:id="34"/>
      <w:bookmarkEnd w:id="37"/>
      <w:bookmarkEnd w:id="38"/>
    </w:p>
    <w:p w14:paraId="78DEA016" w14:textId="50DB4A44" w:rsidR="00A84385" w:rsidRPr="00316CB5" w:rsidRDefault="00C93A7F" w:rsidP="006454B0">
      <w:pPr>
        <w:pStyle w:val="Paragraphtext"/>
      </w:pPr>
      <w:r w:rsidRPr="00316CB5">
        <w:t>This area was covered</w:t>
      </w:r>
      <w:r w:rsidR="00766E79" w:rsidRPr="00316CB5">
        <w:t xml:space="preserve"> in the 2016 </w:t>
      </w:r>
      <w:r w:rsidR="00D24BA0" w:rsidRPr="00316CB5">
        <w:rPr>
          <w:i/>
        </w:rPr>
        <w:t>D</w:t>
      </w:r>
      <w:r w:rsidR="00766E79" w:rsidRPr="00316CB5">
        <w:rPr>
          <w:i/>
        </w:rPr>
        <w:t xml:space="preserve">esigning and </w:t>
      </w:r>
      <w:r w:rsidR="00D24BA0" w:rsidRPr="00316CB5">
        <w:rPr>
          <w:i/>
        </w:rPr>
        <w:t>C</w:t>
      </w:r>
      <w:r w:rsidR="00766E79" w:rsidRPr="00316CB5">
        <w:rPr>
          <w:i/>
        </w:rPr>
        <w:t xml:space="preserve">ontracting </w:t>
      </w:r>
      <w:r w:rsidR="00D24BA0" w:rsidRPr="00316CB5">
        <w:rPr>
          <w:i/>
        </w:rPr>
        <w:t>S</w:t>
      </w:r>
      <w:r w:rsidR="00766E79" w:rsidRPr="00316CB5">
        <w:rPr>
          <w:i/>
        </w:rPr>
        <w:t xml:space="preserve">ervices </w:t>
      </w:r>
      <w:r w:rsidR="00D24BA0" w:rsidRPr="00316CB5">
        <w:rPr>
          <w:i/>
        </w:rPr>
        <w:t>G</w:t>
      </w:r>
      <w:r w:rsidR="00766E79" w:rsidRPr="00316CB5">
        <w:rPr>
          <w:i/>
        </w:rPr>
        <w:t>uidance</w:t>
      </w:r>
      <w:r w:rsidR="00766E79" w:rsidRPr="00316CB5">
        <w:rPr>
          <w:rStyle w:val="FootnoteReference"/>
        </w:rPr>
        <w:footnoteReference w:id="6"/>
      </w:r>
      <w:r w:rsidR="00766E79" w:rsidRPr="00316CB5">
        <w:t xml:space="preserve"> and in </w:t>
      </w:r>
      <w:r w:rsidR="00CB06E1" w:rsidRPr="00316CB5">
        <w:t>s</w:t>
      </w:r>
      <w:r w:rsidR="008520C0" w:rsidRPr="00316CB5">
        <w:t>ection 6</w:t>
      </w:r>
      <w:r w:rsidRPr="00316CB5">
        <w:t xml:space="preserve"> of </w:t>
      </w:r>
      <w:r w:rsidR="00766E79" w:rsidRPr="00316CB5">
        <w:t xml:space="preserve">the </w:t>
      </w:r>
      <w:r w:rsidR="00BD6DC2" w:rsidRPr="00316CB5">
        <w:t xml:space="preserve">2018 </w:t>
      </w:r>
      <w:r w:rsidRPr="00316CB5">
        <w:rPr>
          <w:i/>
        </w:rPr>
        <w:t xml:space="preserve">Market </w:t>
      </w:r>
      <w:r w:rsidR="00D24BA0" w:rsidRPr="00316CB5">
        <w:rPr>
          <w:i/>
        </w:rPr>
        <w:t>M</w:t>
      </w:r>
      <w:r w:rsidRPr="00316CB5">
        <w:rPr>
          <w:i/>
        </w:rPr>
        <w:t>aking</w:t>
      </w:r>
      <w:r w:rsidR="00D24BA0" w:rsidRPr="00316CB5">
        <w:rPr>
          <w:i/>
        </w:rPr>
        <w:t xml:space="preserve"> and</w:t>
      </w:r>
      <w:r w:rsidRPr="00316CB5">
        <w:rPr>
          <w:i/>
        </w:rPr>
        <w:t xml:space="preserve"> </w:t>
      </w:r>
      <w:r w:rsidR="00D24BA0" w:rsidRPr="00316CB5">
        <w:rPr>
          <w:i/>
        </w:rPr>
        <w:t>D</w:t>
      </w:r>
      <w:r w:rsidRPr="00316CB5">
        <w:rPr>
          <w:i/>
        </w:rPr>
        <w:t>evelopment</w:t>
      </w:r>
      <w:r w:rsidR="00D24BA0" w:rsidRPr="00316CB5">
        <w:rPr>
          <w:i/>
        </w:rPr>
        <w:t xml:space="preserve"> Guidance</w:t>
      </w:r>
      <w:r w:rsidRPr="00316CB5">
        <w:t xml:space="preserve">. </w:t>
      </w:r>
      <w:r w:rsidR="00D24BA0" w:rsidRPr="00316CB5">
        <w:t>T</w:t>
      </w:r>
      <w:r w:rsidRPr="00316CB5">
        <w:t>he PHN Commissioning Working Group has further considered decommissioning</w:t>
      </w:r>
      <w:r w:rsidR="00D24BA0" w:rsidRPr="00316CB5">
        <w:t xml:space="preserve"> and has identified </w:t>
      </w:r>
      <w:r w:rsidRPr="00316CB5">
        <w:t>the following flow-charts</w:t>
      </w:r>
      <w:r w:rsidR="00D24BA0" w:rsidRPr="00316CB5">
        <w:t xml:space="preserve"> that may be useful to PHNs</w:t>
      </w:r>
      <w:r w:rsidR="00EF71A0" w:rsidRPr="00316CB5">
        <w:t xml:space="preserve">, </w:t>
      </w:r>
      <w:r w:rsidR="00810DD9">
        <w:t>adapted</w:t>
      </w:r>
      <w:r w:rsidR="00810DD9" w:rsidRPr="00316CB5">
        <w:t xml:space="preserve"> </w:t>
      </w:r>
      <w:r w:rsidR="00D24BA0" w:rsidRPr="00316CB5">
        <w:t>from the Institute of Public Care (UK)</w:t>
      </w:r>
      <w:r w:rsidR="00A84385" w:rsidRPr="00316CB5">
        <w:rPr>
          <w:rStyle w:val="FootnoteReference"/>
        </w:rPr>
        <w:footnoteReference w:id="7"/>
      </w:r>
      <w:r w:rsidR="00136D25" w:rsidRPr="00316CB5">
        <w:t>.</w:t>
      </w:r>
    </w:p>
    <w:p w14:paraId="01EB309F" w14:textId="65291FA6" w:rsidR="00710C8B" w:rsidRDefault="00710C8B" w:rsidP="00EC7A39">
      <w:pPr>
        <w:pStyle w:val="Heading2nonumbering"/>
      </w:pPr>
      <w:bookmarkStart w:id="39" w:name="_Toc519768694"/>
      <w:r w:rsidRPr="00316CB5">
        <w:t>Decommissioning flowchart (1)</w:t>
      </w:r>
      <w:bookmarkEnd w:id="39"/>
    </w:p>
    <w:p w14:paraId="75B007B5" w14:textId="6899E639" w:rsidR="0096392F" w:rsidRPr="00316CB5" w:rsidRDefault="003733B1" w:rsidP="0096392F">
      <w:pPr>
        <w:pStyle w:val="Paragraphtext"/>
      </w:pPr>
      <w:r w:rsidRPr="003733B1">
        <w:rPr>
          <w:noProof/>
          <w:lang w:eastAsia="en-AU"/>
        </w:rPr>
        <w:drawing>
          <wp:inline distT="0" distB="0" distL="0" distR="0" wp14:anchorId="5B8D6DFD" wp14:editId="2FD1E972">
            <wp:extent cx="5949315" cy="6175375"/>
            <wp:effectExtent l="0" t="0" r="0" b="0"/>
            <wp:docPr id="5" name="Picture 5" descr="This flowchart depicts key questions PHNs may consider and consequential actions that PHNs may undertake when deciding to and planning to decommission a service or contract. Each question has either a ‘Yes’ or ‘No’ response. &#10;The first question on page 20 is ‘can the contract be amended or reviewed?’ &#10;1) In answering ‘Yes’ the next actions in sequential order are:&#10;a) ‘The staff member primarily concerned with the provider should make a judgement in consultation with senior management where appropriate, about whether this would be beneficial as an alternative to decommissioning’&#10;b) ‘Work with the provider to amend the contract and ensure that clear targets are set out with a timescale for changes and further review, as well as remedial action to be taken in the event that changes made are not adequate’&#10;c) ‘Before the amended contract is concluded the PHN will need to consider commissioning a new service, either with the existing contractor or through a new procurement process.’&#10;2) In answering ‘No’, the next question is ‘Is the contract nearing its end?’&#10;a) In answering ‘Yes’ to this question, the next question is ‘Would it be in the best interest of service users and the PHN to allow the contract to continue to its conclusion?’&#10;i. In answering ‘Yes’ to this question’ the next actions in the flowchart correspond to 1a) – 1c) above&#10;ii. In answering ‘No’ to this question, the next question is ‘Would the financial implications of decommissioning the contract be punitive, thus potentially impacting on other services?’&#10;• In answering ‘Yes’ the next actions correspond to 1a) – 1c) above&#10;• In answering ‘No’ it is time to decommission to which one should refer to the next page (page 21) of the flowchart&#10;" title="Decommissioning flowcha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9315" cy="6175375"/>
                    </a:xfrm>
                    <a:prstGeom prst="rect">
                      <a:avLst/>
                    </a:prstGeom>
                    <a:noFill/>
                    <a:ln>
                      <a:noFill/>
                    </a:ln>
                  </pic:spPr>
                </pic:pic>
              </a:graphicData>
            </a:graphic>
          </wp:inline>
        </w:drawing>
      </w:r>
    </w:p>
    <w:p w14:paraId="3D0CDA2E" w14:textId="5FEA9BF3" w:rsidR="008A5FDC" w:rsidRPr="00316CB5" w:rsidRDefault="00DB6C8C" w:rsidP="00EC7A39">
      <w:pPr>
        <w:pStyle w:val="Heading2nonumbering"/>
      </w:pPr>
      <w:bookmarkStart w:id="40" w:name="_Toc519768695"/>
      <w:r w:rsidRPr="00316CB5">
        <w:t>Decommissioning flowchart (2)</w:t>
      </w:r>
      <w:bookmarkEnd w:id="40"/>
    </w:p>
    <w:p w14:paraId="2DEF275E" w14:textId="3A116D89" w:rsidR="00DB6C8C" w:rsidRDefault="0066687E" w:rsidP="00EC7A39">
      <w:pPr>
        <w:pStyle w:val="Paragraphtext"/>
      </w:pPr>
      <w:r w:rsidRPr="0066687E">
        <w:rPr>
          <w:noProof/>
          <w:lang w:eastAsia="en-AU"/>
        </w:rPr>
        <w:drawing>
          <wp:inline distT="0" distB="0" distL="0" distR="0" wp14:anchorId="3407EA95" wp14:editId="50AB73CF">
            <wp:extent cx="5747385" cy="6911340"/>
            <wp:effectExtent l="0" t="0" r="5715" b="3810"/>
            <wp:docPr id="7" name="Picture 7" descr="The flowchart continues on page 21 and starts with the question:&#10;1) ‘Do you have a decommissioning plan written into the original contract?’ In responding’&#10;a)  ‘No’, the next actions or questions in sequential order are:&#10;i) ‘Appoint a lead officer’&#10;ii) ‘Lead officer to prepare an impact assessment’ and ‘The lead officer should prepare for possible lack of co-operation from the provider or the breakdown of the service to be decommissioned’&#10;iii) ‘Explain and discuss the process with the service provider’. The next question is ‘Are they [the service provider] content to continue?’ &#10;• In answering ‘No’ the next action is ‘In the event of problems arising, lead officer should implement the contingency plans put in place.’ &#10;• In answering ‘Yes’, the next action is the lead officer should ‘Formally notify the service provider of the decision to decommission. ‘The next question is ‘Are they content to continue?’ &#10;o In answering ‘No’, the next action is ‘In the event of problems arising, the lead officer should implement the contingency plans put in place.’&#10;o In answering ‘Yes’, the next actions are in sequential order:&#10;§ ‘Lead officer to undertake a risk assessment following discussions with the provider’&#10;§ ‘Agree transitional arrangements with the provider’&#10;§ ‘Work with the provider to decommission the service’&#10;§ ‘If possible, review the process with the provider at the end.’&#10;b) ‘Yes’, the next action is ‘If the plan exists, use it. (The flowchart directs the PHN to action the plan should it reflect the process of 1.a) onwards on this page)’. The next actions in sequential order are: &#10;i) ‘Work with the provider to decommission the service’&#10;ii) ‘If possible, review the process with the provider at the end.’ which is the end of the flowchart&#10;" title="Decommission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7385" cy="6911340"/>
                    </a:xfrm>
                    <a:prstGeom prst="rect">
                      <a:avLst/>
                    </a:prstGeom>
                    <a:noFill/>
                    <a:ln>
                      <a:noFill/>
                    </a:ln>
                  </pic:spPr>
                </pic:pic>
              </a:graphicData>
            </a:graphic>
          </wp:inline>
        </w:drawing>
      </w:r>
    </w:p>
    <w:p w14:paraId="05E1D12B" w14:textId="43221206" w:rsidR="0080361A" w:rsidRPr="008520C0" w:rsidRDefault="0080361A" w:rsidP="00EC7A39">
      <w:pPr>
        <w:pStyle w:val="Heading2nonumbering"/>
      </w:pPr>
      <w:bookmarkStart w:id="41" w:name="_Toc519768696"/>
      <w:r w:rsidRPr="008520C0">
        <w:t>Other guidance</w:t>
      </w:r>
      <w:bookmarkEnd w:id="41"/>
    </w:p>
    <w:p w14:paraId="16AD16F5" w14:textId="150A97F6" w:rsidR="00967383" w:rsidRPr="001E7353" w:rsidRDefault="00E413EE" w:rsidP="006454B0">
      <w:pPr>
        <w:pStyle w:val="Paragraphtext"/>
      </w:pPr>
      <w:r w:rsidRPr="001E7353">
        <w:t>T</w:t>
      </w:r>
      <w:r w:rsidR="00E513F6" w:rsidRPr="001E7353">
        <w:t>he UK National Audit Office</w:t>
      </w:r>
      <w:r w:rsidR="00E513F6" w:rsidRPr="00C44F52">
        <w:rPr>
          <w:rStyle w:val="FootnoteReference"/>
        </w:rPr>
        <w:footnoteReference w:id="8"/>
      </w:r>
      <w:r w:rsidR="00E513F6" w:rsidRPr="008520C0">
        <w:rPr>
          <w:rStyle w:val="FootnoteReference"/>
        </w:rPr>
        <w:t xml:space="preserve"> </w:t>
      </w:r>
      <w:r w:rsidRPr="001E7353">
        <w:t xml:space="preserve">has further information </w:t>
      </w:r>
      <w:r w:rsidR="00C62EAE">
        <w:t xml:space="preserve">and a toolkit </w:t>
      </w:r>
      <w:r w:rsidRPr="001E7353">
        <w:t xml:space="preserve">on decommissioning that may be of use or interest, </w:t>
      </w:r>
      <w:r w:rsidR="00E513F6" w:rsidRPr="001E7353">
        <w:t>and the UK NHS</w:t>
      </w:r>
      <w:r w:rsidR="00C92467" w:rsidRPr="001E7353">
        <w:t xml:space="preserve"> Library </w:t>
      </w:r>
      <w:r w:rsidR="00C62EAE">
        <w:t>also includes information on disinvestment</w:t>
      </w:r>
      <w:r w:rsidR="00C92467" w:rsidRPr="00C44F52">
        <w:rPr>
          <w:rStyle w:val="FootnoteReference"/>
        </w:rPr>
        <w:footnoteReference w:id="9"/>
      </w:r>
    </w:p>
    <w:sectPr w:rsidR="00967383" w:rsidRPr="001E7353" w:rsidSect="00644D6C">
      <w:headerReference w:type="default" r:id="rId19"/>
      <w:pgSz w:w="11906" w:h="16838" w:code="9"/>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7981D" w14:textId="77777777" w:rsidR="00FB2CA9" w:rsidRDefault="00FB2CA9" w:rsidP="00670453">
      <w:r>
        <w:separator/>
      </w:r>
    </w:p>
  </w:endnote>
  <w:endnote w:type="continuationSeparator" w:id="0">
    <w:p w14:paraId="061330DC" w14:textId="77777777" w:rsidR="00FB2CA9" w:rsidRDefault="00FB2CA9" w:rsidP="0067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915134"/>
      <w:docPartObj>
        <w:docPartGallery w:val="Page Numbers (Bottom of Page)"/>
        <w:docPartUnique/>
      </w:docPartObj>
    </w:sdtPr>
    <w:sdtEndPr>
      <w:rPr>
        <w:noProof/>
      </w:rPr>
    </w:sdtEndPr>
    <w:sdtContent>
      <w:p w14:paraId="43070D8F" w14:textId="77777777" w:rsidR="00FB2CA9" w:rsidRDefault="00FB2CA9">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00A00BA8" w14:textId="77777777" w:rsidR="00FB2CA9" w:rsidRDefault="00FB2C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5BB78" w14:textId="77777777" w:rsidR="00FB2CA9" w:rsidRDefault="00FB2CA9">
    <w:pPr>
      <w:pStyle w:val="Footer"/>
      <w:jc w:val="center"/>
    </w:pPr>
  </w:p>
  <w:p w14:paraId="3375C855" w14:textId="77777777" w:rsidR="00FB2CA9" w:rsidRPr="00BD4E04" w:rsidRDefault="00FB2CA9" w:rsidP="003E00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77612"/>
      <w:docPartObj>
        <w:docPartGallery w:val="Page Numbers (Bottom of Page)"/>
        <w:docPartUnique/>
      </w:docPartObj>
    </w:sdtPr>
    <w:sdtEndPr>
      <w:rPr>
        <w:noProof/>
      </w:rPr>
    </w:sdtEndPr>
    <w:sdtContent>
      <w:p w14:paraId="2BF14595" w14:textId="4F0F1E74" w:rsidR="00FB2CA9" w:rsidRPr="00C170A9" w:rsidRDefault="00FB2CA9" w:rsidP="00644D6C">
        <w:pPr>
          <w:pStyle w:val="Footer"/>
        </w:pPr>
        <w:r>
          <w:t>Market Making and Development Toolkit</w:t>
        </w:r>
        <w:r>
          <w:ptab w:relativeTo="margin" w:alignment="right" w:leader="none"/>
        </w:r>
        <w:r w:rsidRPr="00C170A9">
          <w:fldChar w:fldCharType="begin"/>
        </w:r>
        <w:r w:rsidRPr="00C170A9">
          <w:instrText xml:space="preserve"> PAGE   \* MERGEFORMAT </w:instrText>
        </w:r>
        <w:r w:rsidRPr="00C170A9">
          <w:fldChar w:fldCharType="separate"/>
        </w:r>
        <w:r w:rsidR="008723E0">
          <w:rPr>
            <w:noProof/>
          </w:rPr>
          <w:t>20</w:t>
        </w:r>
        <w:r w:rsidRPr="00C170A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D931B" w14:textId="77777777" w:rsidR="00FB2CA9" w:rsidRDefault="00FB2CA9" w:rsidP="00670453">
      <w:r>
        <w:separator/>
      </w:r>
    </w:p>
  </w:footnote>
  <w:footnote w:type="continuationSeparator" w:id="0">
    <w:p w14:paraId="61B182BD" w14:textId="77777777" w:rsidR="00FB2CA9" w:rsidRDefault="00FB2CA9" w:rsidP="00670453">
      <w:r>
        <w:continuationSeparator/>
      </w:r>
    </w:p>
  </w:footnote>
  <w:footnote w:id="1">
    <w:p w14:paraId="787FB0F9" w14:textId="34C29028" w:rsidR="00FB2CA9" w:rsidRPr="002A245C" w:rsidRDefault="00FB2CA9" w:rsidP="003E0005">
      <w:pPr>
        <w:pStyle w:val="FootnoteText"/>
      </w:pPr>
      <w:r w:rsidRPr="002A245C">
        <w:rPr>
          <w:rStyle w:val="FootnoteReference"/>
        </w:rPr>
        <w:footnoteRef/>
      </w:r>
      <w:r>
        <w:rPr>
          <w:rStyle w:val="Hyperlink"/>
          <w:color w:val="auto"/>
        </w:rPr>
        <w:t xml:space="preserve"> </w:t>
      </w:r>
      <w:r w:rsidRPr="002A245C">
        <w:t>Australian Health Ministers</w:t>
      </w:r>
      <w:r>
        <w:t>’</w:t>
      </w:r>
      <w:r w:rsidRPr="002A245C">
        <w:t xml:space="preserve"> Advisory Council. (2016). Cultural Respect Framework 2016-2026 for Aboriginal and Torres Strait Islander Health. Available at: </w:t>
      </w:r>
      <w:hyperlink r:id="rId1" w:history="1">
        <w:r w:rsidRPr="006D4016">
          <w:rPr>
            <w:rStyle w:val="Hyperlink"/>
            <w:sz w:val="18"/>
          </w:rPr>
          <w:t>http://www.coaghealthcouncil.gov.au/Publications/Reports</w:t>
        </w:r>
      </w:hyperlink>
    </w:p>
  </w:footnote>
  <w:footnote w:id="2">
    <w:p w14:paraId="55B53EDC" w14:textId="3DB54B20" w:rsidR="00FB2CA9" w:rsidRPr="00696B04" w:rsidRDefault="00FB2CA9" w:rsidP="00696B04">
      <w:pPr>
        <w:pStyle w:val="FootnoteText"/>
      </w:pPr>
      <w:r w:rsidRPr="002A245C">
        <w:rPr>
          <w:rStyle w:val="FootnoteReference"/>
        </w:rPr>
        <w:footnoteRef/>
      </w:r>
      <w:r>
        <w:t xml:space="preserve"> Bainbridge R, McCalman J, Clifford A, and Tsey K. (July 2015). Cultural competency in the delivery of health services for Indigenous people. Issues Paper No.13 produced for the </w:t>
      </w:r>
      <w:r w:rsidRPr="00D6060C">
        <w:t>Closing the Gap Clearing House</w:t>
      </w:r>
      <w:r>
        <w:t>.</w:t>
      </w:r>
      <w:r w:rsidRPr="00D6060C">
        <w:t xml:space="preserve"> </w:t>
      </w:r>
      <w:r>
        <w:t xml:space="preserve">Available at: </w:t>
      </w:r>
      <w:hyperlink r:id="rId2" w:history="1">
        <w:r w:rsidRPr="00696B04">
          <w:rPr>
            <w:rStyle w:val="Hyperlink"/>
            <w:sz w:val="18"/>
            <w:szCs w:val="18"/>
          </w:rPr>
          <w:t>https://aifs.gov.au/publications/cultural-competency-delivery-health-services-indigenous-people</w:t>
        </w:r>
      </w:hyperlink>
    </w:p>
  </w:footnote>
  <w:footnote w:id="3">
    <w:p w14:paraId="2539683F" w14:textId="5212C2A8" w:rsidR="00FB2CA9" w:rsidRPr="002A245C" w:rsidRDefault="00FB2CA9" w:rsidP="00696B04">
      <w:pPr>
        <w:pStyle w:val="FootnoteText"/>
      </w:pPr>
      <w:r w:rsidRPr="002A245C">
        <w:rPr>
          <w:rStyle w:val="FootnoteReference"/>
        </w:rPr>
        <w:footnoteRef/>
      </w:r>
      <w:r w:rsidRPr="002A245C">
        <w:t xml:space="preserve"> Australian Health Ministers Advisory Council. (2016). </w:t>
      </w:r>
      <w:r w:rsidRPr="00E31D93">
        <w:rPr>
          <w:i/>
        </w:rPr>
        <w:t>Cultural Respect Framework 2016-2026 for Aboriginal and Torres Strait Islander Health</w:t>
      </w:r>
      <w:r w:rsidRPr="002A245C">
        <w:t xml:space="preserve">. Available at: </w:t>
      </w:r>
      <w:hyperlink r:id="rId3" w:history="1">
        <w:r w:rsidRPr="006D4016">
          <w:rPr>
            <w:rStyle w:val="Hyperlink"/>
            <w:sz w:val="18"/>
          </w:rPr>
          <w:t>http://www.coaghealthcouncil.gov.au/Publications/Reports</w:t>
        </w:r>
      </w:hyperlink>
    </w:p>
  </w:footnote>
  <w:footnote w:id="4">
    <w:p w14:paraId="28D97448" w14:textId="77777777" w:rsidR="00FB2CA9" w:rsidRDefault="00FB2CA9" w:rsidP="002E3E10">
      <w:pPr>
        <w:pStyle w:val="FootnoteText"/>
      </w:pPr>
      <w:r>
        <w:rPr>
          <w:rStyle w:val="FootnoteReference"/>
        </w:rPr>
        <w:footnoteRef/>
      </w:r>
      <w:r>
        <w:t xml:space="preserve"> Mason J. (2013). </w:t>
      </w:r>
      <w:r w:rsidRPr="006814A9">
        <w:rPr>
          <w:i/>
        </w:rPr>
        <w:t>Review of Australian Government Health Workforce Programs</w:t>
      </w:r>
      <w:r>
        <w:t xml:space="preserve">. Available at: </w:t>
      </w:r>
      <w:hyperlink r:id="rId4" w:history="1">
        <w:r w:rsidRPr="000E77CC">
          <w:rPr>
            <w:rStyle w:val="Hyperlink"/>
            <w:sz w:val="18"/>
            <w:szCs w:val="18"/>
          </w:rPr>
          <w:t>http://www.health.gov.au/internet/main/publishing.nsf/content/review-australian-government-health-workforce-programs</w:t>
        </w:r>
      </w:hyperlink>
    </w:p>
  </w:footnote>
  <w:footnote w:id="5">
    <w:p w14:paraId="394EC61F" w14:textId="77777777" w:rsidR="00FB2CA9" w:rsidRPr="00901A92" w:rsidRDefault="00FB2CA9" w:rsidP="002E3E10">
      <w:pPr>
        <w:pStyle w:val="FootnoteText"/>
        <w:rPr>
          <w:color w:val="0563C1" w:themeColor="hyperlink"/>
          <w:u w:val="single"/>
        </w:rPr>
      </w:pPr>
      <w:r>
        <w:rPr>
          <w:rStyle w:val="FootnoteReference"/>
        </w:rPr>
        <w:footnoteRef/>
      </w:r>
      <w:r>
        <w:t xml:space="preserve"> Australian Government Department of </w:t>
      </w:r>
      <w:r w:rsidRPr="00CE6192">
        <w:t xml:space="preserve">Health </w:t>
      </w:r>
      <w:r>
        <w:t xml:space="preserve">(2016). </w:t>
      </w:r>
      <w:r w:rsidRPr="009756CE">
        <w:rPr>
          <w:i/>
        </w:rPr>
        <w:t>A-Z list of health workforce programmes</w:t>
      </w:r>
      <w:r>
        <w:t xml:space="preserve">. Available at: </w:t>
      </w:r>
      <w:hyperlink r:id="rId5" w:history="1">
        <w:r w:rsidRPr="000E77CC">
          <w:rPr>
            <w:rStyle w:val="Hyperlink"/>
            <w:sz w:val="18"/>
            <w:szCs w:val="18"/>
          </w:rPr>
          <w:t>http://www.health.gov.au/internet/main/publishing.nsf/Content/work-prog</w:t>
        </w:r>
      </w:hyperlink>
    </w:p>
  </w:footnote>
  <w:footnote w:id="6">
    <w:p w14:paraId="41A2D9B4" w14:textId="66BDA908" w:rsidR="00FB2CA9" w:rsidRDefault="00FB2CA9" w:rsidP="00766E79">
      <w:pPr>
        <w:pStyle w:val="FootnoteText"/>
      </w:pPr>
      <w:r w:rsidRPr="006708DE">
        <w:rPr>
          <w:rStyle w:val="FootnoteReference"/>
        </w:rPr>
        <w:footnoteRef/>
      </w:r>
      <w:r w:rsidRPr="006708DE">
        <w:t xml:space="preserve"> </w:t>
      </w:r>
      <w:r w:rsidRPr="00EE2822">
        <w:rPr>
          <w:szCs w:val="18"/>
        </w:rPr>
        <w:t xml:space="preserve">Australian Government Department of Health. (2016). </w:t>
      </w:r>
      <w:r w:rsidRPr="00EE2822">
        <w:rPr>
          <w:i/>
          <w:szCs w:val="18"/>
        </w:rPr>
        <w:t>PHN 2016 Designing and Contracting Services Guidance</w:t>
      </w:r>
      <w:r w:rsidRPr="00EE2822">
        <w:rPr>
          <w:szCs w:val="18"/>
        </w:rPr>
        <w:t xml:space="preserve">. Available at: </w:t>
      </w:r>
      <w:hyperlink r:id="rId6" w:history="1">
        <w:r w:rsidRPr="00EE2822">
          <w:rPr>
            <w:rStyle w:val="Hyperlink"/>
            <w:sz w:val="18"/>
            <w:szCs w:val="18"/>
          </w:rPr>
          <w:t>www.health.gov.au/internet/main/publishing.nsf/Content/PHNCommissioningResources</w:t>
        </w:r>
      </w:hyperlink>
    </w:p>
  </w:footnote>
  <w:footnote w:id="7">
    <w:p w14:paraId="7EB4E603" w14:textId="168E28BD" w:rsidR="00FB2CA9" w:rsidRDefault="00FB2CA9" w:rsidP="00A84385">
      <w:pPr>
        <w:pStyle w:val="FootnoteText"/>
      </w:pPr>
      <w:r>
        <w:rPr>
          <w:rStyle w:val="FootnoteReference"/>
        </w:rPr>
        <w:footnoteRef/>
      </w:r>
      <w:r>
        <w:t xml:space="preserve"> </w:t>
      </w:r>
      <w:r>
        <w:rPr>
          <w:szCs w:val="18"/>
        </w:rPr>
        <w:t>Institute of Public Care.</w:t>
      </w:r>
      <w:r w:rsidRPr="005D7F66">
        <w:rPr>
          <w:szCs w:val="18"/>
        </w:rPr>
        <w:t xml:space="preserve"> </w:t>
      </w:r>
      <w:r>
        <w:rPr>
          <w:szCs w:val="18"/>
        </w:rPr>
        <w:t>(2010).</w:t>
      </w:r>
      <w:r w:rsidRPr="005D7F66">
        <w:rPr>
          <w:szCs w:val="18"/>
        </w:rPr>
        <w:t xml:space="preserve"> </w:t>
      </w:r>
      <w:r w:rsidRPr="00BD6DC2">
        <w:rPr>
          <w:i/>
          <w:szCs w:val="18"/>
        </w:rPr>
        <w:t>Decommissioning and reconfiguring services: a good practice guide for commissioners of adult social care</w:t>
      </w:r>
      <w:r>
        <w:rPr>
          <w:i/>
          <w:szCs w:val="18"/>
        </w:rPr>
        <w:t>.</w:t>
      </w:r>
      <w:r w:rsidRPr="005D7F66">
        <w:rPr>
          <w:b/>
          <w:i/>
          <w:szCs w:val="18"/>
        </w:rPr>
        <w:t xml:space="preserve"> </w:t>
      </w:r>
      <w:r w:rsidRPr="00A36BAB">
        <w:rPr>
          <w:szCs w:val="18"/>
        </w:rPr>
        <w:t>Available at</w:t>
      </w:r>
      <w:r w:rsidRPr="005D7F66">
        <w:rPr>
          <w:i/>
          <w:szCs w:val="18"/>
        </w:rPr>
        <w:t xml:space="preserve">: </w:t>
      </w:r>
      <w:r w:rsidRPr="0034328E">
        <w:rPr>
          <w:szCs w:val="18"/>
        </w:rPr>
        <w:t>ipc.brookes.ac.uk/publications/pdf/Decommissioning_and_reconfiguring_services.pdf</w:t>
      </w:r>
    </w:p>
  </w:footnote>
  <w:footnote w:id="8">
    <w:p w14:paraId="232A827D" w14:textId="613D3581" w:rsidR="00FB2CA9" w:rsidRDefault="00FB2CA9">
      <w:pPr>
        <w:pStyle w:val="FootnoteText"/>
      </w:pPr>
      <w:r>
        <w:rPr>
          <w:rStyle w:val="FootnoteReference"/>
        </w:rPr>
        <w:footnoteRef/>
      </w:r>
      <w:r>
        <w:t xml:space="preserve"> </w:t>
      </w:r>
      <w:r w:rsidRPr="000968E0">
        <w:rPr>
          <w:szCs w:val="18"/>
        </w:rPr>
        <w:t xml:space="preserve">UK National Audit Office. (2010). </w:t>
      </w:r>
      <w:r w:rsidRPr="000968E0">
        <w:rPr>
          <w:i/>
          <w:szCs w:val="18"/>
        </w:rPr>
        <w:t>Decommissioning Toolkit</w:t>
      </w:r>
      <w:r w:rsidRPr="000968E0">
        <w:rPr>
          <w:szCs w:val="18"/>
        </w:rPr>
        <w:t xml:space="preserve">. Available at: </w:t>
      </w:r>
      <w:hyperlink r:id="rId7" w:history="1">
        <w:r w:rsidRPr="00A40A0E">
          <w:rPr>
            <w:rStyle w:val="Hyperlink"/>
            <w:sz w:val="18"/>
            <w:szCs w:val="18"/>
          </w:rPr>
          <w:t>www.nao.org.uk/decommissioning/</w:t>
        </w:r>
      </w:hyperlink>
    </w:p>
  </w:footnote>
  <w:footnote w:id="9">
    <w:p w14:paraId="798BA7F8" w14:textId="1BDC9C5C" w:rsidR="00FB2CA9" w:rsidRDefault="00FB2CA9">
      <w:pPr>
        <w:pStyle w:val="FootnoteText"/>
      </w:pPr>
      <w:r w:rsidRPr="00381562">
        <w:rPr>
          <w:rStyle w:val="FootnoteReference"/>
          <w:szCs w:val="18"/>
        </w:rPr>
        <w:footnoteRef/>
      </w:r>
      <w:r w:rsidRPr="00381562">
        <w:rPr>
          <w:szCs w:val="18"/>
        </w:rPr>
        <w:t xml:space="preserve"> UK NHS. (2018). Commissioning guidance – Disinvestment. Available at: </w:t>
      </w:r>
      <w:hyperlink r:id="rId8" w:history="1">
        <w:r w:rsidRPr="00381562">
          <w:rPr>
            <w:rStyle w:val="Hyperlink"/>
            <w:sz w:val="18"/>
            <w:szCs w:val="18"/>
          </w:rPr>
          <w:t>http://commissioning.libraryservices.nhs.uk/commissioning-cycle/disinvestment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CFD19" w14:textId="77777777" w:rsidR="00FB2CA9" w:rsidRDefault="00FB2CA9" w:rsidP="00644D6C">
    <w:pPr>
      <w:pStyle w:val="Header"/>
    </w:pPr>
    <w:r>
      <w:rPr>
        <w:noProof/>
        <w:lang w:eastAsia="en-AU"/>
      </w:rPr>
      <w:drawing>
        <wp:inline distT="0" distB="0" distL="0" distR="0" wp14:anchorId="26065112" wp14:editId="03CB5A32">
          <wp:extent cx="6188710" cy="1069340"/>
          <wp:effectExtent l="0" t="0" r="2540" b="0"/>
          <wp:docPr id="11" name="Picture 11" descr="The Australian Government Department of Health and PHN identifier" title="PHN 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6188710" cy="10693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7CEE7" w14:textId="7C1067ED" w:rsidR="00FB2CA9" w:rsidRPr="0023645F" w:rsidRDefault="00FB2CA9" w:rsidP="00644D6C">
    <w:pPr>
      <w:pStyle w:val="Header"/>
    </w:pPr>
    <w:r w:rsidRPr="0023645F">
      <w:ptab w:relativeTo="margin" w:alignment="left" w:leader="none"/>
    </w:r>
    <w:r>
      <w:ptab w:relativeTo="margin" w:alignment="right" w:leader="none"/>
    </w:r>
    <w:r w:rsidR="008723E0">
      <w:fldChar w:fldCharType="begin"/>
    </w:r>
    <w:r w:rsidR="008723E0">
      <w:instrText xml:space="preserve"> STYLEREF  "Section Heading"  \* MERGEFORMAT </w:instrText>
    </w:r>
    <w:r w:rsidR="008723E0">
      <w:fldChar w:fldCharType="separate"/>
    </w:r>
    <w:r w:rsidR="008723E0" w:rsidRPr="008723E0">
      <w:rPr>
        <w:noProof/>
        <w:lang w:val="en-US"/>
      </w:rPr>
      <w:t>Definitions</w:t>
    </w:r>
    <w:r w:rsidR="008723E0">
      <w:rPr>
        <w:noProof/>
      </w:rPr>
      <w:t xml:space="preserve"> of some key terms used in this Toolkit</w:t>
    </w:r>
    <w:r w:rsidR="008723E0">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D06AC" w14:textId="53F8F2E2" w:rsidR="00FB2CA9" w:rsidRPr="0023645F" w:rsidRDefault="00FB2CA9" w:rsidP="00644D6C">
    <w:pPr>
      <w:pStyle w:val="Header"/>
    </w:pPr>
    <w:r w:rsidRPr="0023645F">
      <w:ptab w:relativeTo="margin" w:alignment="left" w:leader="none"/>
    </w:r>
    <w:r>
      <w:ptab w:relativeTo="margin" w:alignment="right" w:leader="none"/>
    </w:r>
    <w:r w:rsidR="008723E0">
      <w:fldChar w:fldCharType="begin"/>
    </w:r>
    <w:r w:rsidR="008723E0">
      <w:instrText xml:space="preserve"> STYLEREF  "Heading 1"  \* MERGEFORMAT </w:instrText>
    </w:r>
    <w:r w:rsidR="008723E0">
      <w:fldChar w:fldCharType="separate"/>
    </w:r>
    <w:r w:rsidR="008723E0" w:rsidRPr="008723E0">
      <w:rPr>
        <w:noProof/>
        <w:lang w:val="en-US"/>
      </w:rPr>
      <w:t>Introduction</w:t>
    </w:r>
    <w:r w:rsidR="008723E0">
      <w:rPr>
        <w:noProof/>
        <w:lang w:val="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91CC2" w14:textId="144B88BF" w:rsidR="00FB2CA9" w:rsidRPr="0023645F" w:rsidRDefault="00FB2CA9" w:rsidP="00644D6C">
    <w:pPr>
      <w:pStyle w:val="Header"/>
    </w:pPr>
    <w:r w:rsidRPr="0023645F">
      <w:ptab w:relativeTo="margin" w:alignment="left" w:leader="none"/>
    </w:r>
    <w:r>
      <w:ptab w:relativeTo="margin" w:alignment="right" w:leader="none"/>
    </w:r>
    <w:r w:rsidR="008723E0">
      <w:fldChar w:fldCharType="begin"/>
    </w:r>
    <w:r w:rsidR="008723E0">
      <w:instrText xml:space="preserve"> STYLEREF  "Section Heading"  \* MERGEFORMAT </w:instrText>
    </w:r>
    <w:r w:rsidR="008723E0">
      <w:fldChar w:fldCharType="separate"/>
    </w:r>
    <w:r w:rsidR="008723E0" w:rsidRPr="008723E0">
      <w:rPr>
        <w:noProof/>
        <w:lang w:val="en-US"/>
      </w:rPr>
      <w:t>Tool 7: Flow charts for</w:t>
    </w:r>
    <w:r w:rsidR="008723E0">
      <w:rPr>
        <w:noProof/>
      </w:rPr>
      <w:t xml:space="preserve"> decommissioning</w:t>
    </w:r>
    <w:r w:rsidR="008723E0">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526"/>
    <w:multiLevelType w:val="multilevel"/>
    <w:tmpl w:val="A03E09D4"/>
    <w:lvl w:ilvl="0">
      <w:start w:val="1"/>
      <w:numFmt w:val="decimal"/>
      <w:pStyle w:val="Tablelistnumber"/>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984408E"/>
    <w:multiLevelType w:val="multilevel"/>
    <w:tmpl w:val="EE3860A0"/>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nsid w:val="0C9552C2"/>
    <w:multiLevelType w:val="hybridMultilevel"/>
    <w:tmpl w:val="685C1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6660E"/>
    <w:multiLevelType w:val="multilevel"/>
    <w:tmpl w:val="0778FCDE"/>
    <w:styleLink w:val="List9"/>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4">
    <w:nsid w:val="1655651D"/>
    <w:multiLevelType w:val="hybridMultilevel"/>
    <w:tmpl w:val="607CF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8AC2F65"/>
    <w:multiLevelType w:val="hybridMultilevel"/>
    <w:tmpl w:val="DF02FC34"/>
    <w:lvl w:ilvl="0" w:tplc="46B26866">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750A15"/>
    <w:multiLevelType w:val="multilevel"/>
    <w:tmpl w:val="03F4EC24"/>
    <w:styleLink w:val="List1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7">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8">
    <w:nsid w:val="3D33133A"/>
    <w:multiLevelType w:val="hybridMultilevel"/>
    <w:tmpl w:val="A352F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DE079B7"/>
    <w:multiLevelType w:val="multilevel"/>
    <w:tmpl w:val="5DA05784"/>
    <w:styleLink w:val="Bullet"/>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0">
    <w:nsid w:val="426A2FDE"/>
    <w:multiLevelType w:val="hybridMultilevel"/>
    <w:tmpl w:val="0A76C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7F34FF1"/>
    <w:multiLevelType w:val="hybridMultilevel"/>
    <w:tmpl w:val="0DB2B1FC"/>
    <w:lvl w:ilvl="0" w:tplc="9DD22E00">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917BB9"/>
    <w:multiLevelType w:val="multilevel"/>
    <w:tmpl w:val="A77E06AE"/>
    <w:lvl w:ilvl="0">
      <w:start w:val="1"/>
      <w:numFmt w:val="none"/>
      <w:pStyle w:val="MLNormal"/>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4">
    <w:nsid w:val="6CF8287E"/>
    <w:multiLevelType w:val="multilevel"/>
    <w:tmpl w:val="AF4A3D26"/>
    <w:lvl w:ilvl="0">
      <w:start w:val="1"/>
      <w:numFmt w:val="bullet"/>
      <w:pStyle w:val="Tablelistbullet"/>
      <w:lvlText w:val=""/>
      <w:lvlJc w:val="left"/>
      <w:pPr>
        <w:ind w:left="357" w:hanging="357"/>
      </w:pPr>
      <w:rPr>
        <w:rFonts w:ascii="Symbol" w:hAnsi="Symbol" w:hint="default"/>
      </w:rPr>
    </w:lvl>
    <w:lvl w:ilvl="1">
      <w:start w:val="1"/>
      <w:numFmt w:val="bullet"/>
      <w:pStyle w:val="Tablelistbullet2"/>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AC24635"/>
    <w:multiLevelType w:val="multilevel"/>
    <w:tmpl w:val="3828D7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7D5D1FBB"/>
    <w:multiLevelType w:val="multilevel"/>
    <w:tmpl w:val="CF163F62"/>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pStyle w:val="ListBullet2"/>
      <w:lvlText w:val="o"/>
      <w:lvlJc w:val="left"/>
      <w:pPr>
        <w:ind w:left="720" w:hanging="360"/>
      </w:pPr>
      <w:rPr>
        <w:rFonts w:ascii="Calibri Light" w:hAnsi="Calibri Light" w:hint="default"/>
        <w:color w:val="404040" w:themeColor="text1" w:themeTint="BF"/>
      </w:rPr>
    </w:lvl>
    <w:lvl w:ilvl="2">
      <w:start w:val="1"/>
      <w:numFmt w:val="lowerRoman"/>
      <w:pStyle w:val="ListBullet3"/>
      <w:lvlText w:val="%3)"/>
      <w:lvlJc w:val="left"/>
      <w:pPr>
        <w:ind w:left="1080" w:hanging="360"/>
      </w:pPr>
      <w:rPr>
        <w:rFonts w:hint="default"/>
      </w:rPr>
    </w:lvl>
    <w:lvl w:ilvl="3">
      <w:start w:val="1"/>
      <w:numFmt w:val="decimal"/>
      <w:pStyle w:val="ListBullet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5"/>
  </w:num>
  <w:num w:numId="3">
    <w:abstractNumId w:val="2"/>
  </w:num>
  <w:num w:numId="4">
    <w:abstractNumId w:val="1"/>
  </w:num>
  <w:num w:numId="5">
    <w:abstractNumId w:val="8"/>
  </w:num>
  <w:num w:numId="6">
    <w:abstractNumId w:val="4"/>
  </w:num>
  <w:num w:numId="7">
    <w:abstractNumId w:val="10"/>
  </w:num>
  <w:num w:numId="8">
    <w:abstractNumId w:val="9"/>
  </w:num>
  <w:num w:numId="9">
    <w:abstractNumId w:val="6"/>
  </w:num>
  <w:num w:numId="10">
    <w:abstractNumId w:val="3"/>
  </w:num>
  <w:num w:numId="11">
    <w:abstractNumId w:val="16"/>
  </w:num>
  <w:num w:numId="12">
    <w:abstractNumId w:val="11"/>
  </w:num>
  <w:num w:numId="13">
    <w:abstractNumId w:val="13"/>
  </w:num>
  <w:num w:numId="14">
    <w:abstractNumId w:val="7"/>
  </w:num>
  <w:num w:numId="15">
    <w:abstractNumId w:val="14"/>
  </w:num>
  <w:num w:numId="16">
    <w:abstractNumId w:val="0"/>
  </w:num>
  <w:num w:numId="17">
    <w:abstractNumId w:val="1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EB"/>
    <w:rsid w:val="00005B2F"/>
    <w:rsid w:val="00007F1C"/>
    <w:rsid w:val="0001362A"/>
    <w:rsid w:val="00017E15"/>
    <w:rsid w:val="0002301B"/>
    <w:rsid w:val="00023BD8"/>
    <w:rsid w:val="000253DB"/>
    <w:rsid w:val="00025D95"/>
    <w:rsid w:val="00036960"/>
    <w:rsid w:val="00061649"/>
    <w:rsid w:val="00067BA3"/>
    <w:rsid w:val="00071EAF"/>
    <w:rsid w:val="00077537"/>
    <w:rsid w:val="00093465"/>
    <w:rsid w:val="00095B6D"/>
    <w:rsid w:val="000968E0"/>
    <w:rsid w:val="000A7285"/>
    <w:rsid w:val="000B5A47"/>
    <w:rsid w:val="000C5C3C"/>
    <w:rsid w:val="000D219B"/>
    <w:rsid w:val="000D71EB"/>
    <w:rsid w:val="000E00D4"/>
    <w:rsid w:val="000E54DB"/>
    <w:rsid w:val="000E77CC"/>
    <w:rsid w:val="000F15EC"/>
    <w:rsid w:val="00100957"/>
    <w:rsid w:val="0010691A"/>
    <w:rsid w:val="00111359"/>
    <w:rsid w:val="001128A2"/>
    <w:rsid w:val="00125658"/>
    <w:rsid w:val="00135177"/>
    <w:rsid w:val="00136D25"/>
    <w:rsid w:val="001420A5"/>
    <w:rsid w:val="00143705"/>
    <w:rsid w:val="0016729D"/>
    <w:rsid w:val="00170B18"/>
    <w:rsid w:val="00172DDD"/>
    <w:rsid w:val="0018544B"/>
    <w:rsid w:val="00187AA7"/>
    <w:rsid w:val="00192D81"/>
    <w:rsid w:val="00193B53"/>
    <w:rsid w:val="00197DF2"/>
    <w:rsid w:val="001A5E11"/>
    <w:rsid w:val="001B62EB"/>
    <w:rsid w:val="001B71FE"/>
    <w:rsid w:val="001C2D69"/>
    <w:rsid w:val="001C4BBC"/>
    <w:rsid w:val="001D1A6B"/>
    <w:rsid w:val="001D264C"/>
    <w:rsid w:val="001E13DF"/>
    <w:rsid w:val="001E5CBC"/>
    <w:rsid w:val="001E6CC9"/>
    <w:rsid w:val="001E7353"/>
    <w:rsid w:val="001E7378"/>
    <w:rsid w:val="001F163E"/>
    <w:rsid w:val="001F259D"/>
    <w:rsid w:val="0020039A"/>
    <w:rsid w:val="002016CF"/>
    <w:rsid w:val="00202362"/>
    <w:rsid w:val="00221E41"/>
    <w:rsid w:val="00250E5E"/>
    <w:rsid w:val="002528FD"/>
    <w:rsid w:val="00265C73"/>
    <w:rsid w:val="0026789F"/>
    <w:rsid w:val="0027529F"/>
    <w:rsid w:val="00282185"/>
    <w:rsid w:val="00283786"/>
    <w:rsid w:val="00284F22"/>
    <w:rsid w:val="00291185"/>
    <w:rsid w:val="00295A02"/>
    <w:rsid w:val="00296156"/>
    <w:rsid w:val="002A1620"/>
    <w:rsid w:val="002A38B0"/>
    <w:rsid w:val="002C0F2A"/>
    <w:rsid w:val="002D00AA"/>
    <w:rsid w:val="002D0553"/>
    <w:rsid w:val="002D59FF"/>
    <w:rsid w:val="002E3E10"/>
    <w:rsid w:val="002F10DE"/>
    <w:rsid w:val="002F2412"/>
    <w:rsid w:val="002F31DF"/>
    <w:rsid w:val="002F7A27"/>
    <w:rsid w:val="00301871"/>
    <w:rsid w:val="00302CE7"/>
    <w:rsid w:val="0031427B"/>
    <w:rsid w:val="00316CB5"/>
    <w:rsid w:val="00321463"/>
    <w:rsid w:val="00322426"/>
    <w:rsid w:val="003265C6"/>
    <w:rsid w:val="00341961"/>
    <w:rsid w:val="0034274C"/>
    <w:rsid w:val="0034328E"/>
    <w:rsid w:val="00347EFB"/>
    <w:rsid w:val="00355B02"/>
    <w:rsid w:val="00357180"/>
    <w:rsid w:val="003733B1"/>
    <w:rsid w:val="00381562"/>
    <w:rsid w:val="003836A4"/>
    <w:rsid w:val="0039174C"/>
    <w:rsid w:val="00397395"/>
    <w:rsid w:val="003A003E"/>
    <w:rsid w:val="003A28BA"/>
    <w:rsid w:val="003C12FC"/>
    <w:rsid w:val="003C7755"/>
    <w:rsid w:val="003D0219"/>
    <w:rsid w:val="003D3172"/>
    <w:rsid w:val="003D4954"/>
    <w:rsid w:val="003E0005"/>
    <w:rsid w:val="003E2D1F"/>
    <w:rsid w:val="003F7938"/>
    <w:rsid w:val="00421928"/>
    <w:rsid w:val="00422369"/>
    <w:rsid w:val="00425DB0"/>
    <w:rsid w:val="0044059C"/>
    <w:rsid w:val="00450BD8"/>
    <w:rsid w:val="00450C5A"/>
    <w:rsid w:val="00456513"/>
    <w:rsid w:val="004571C4"/>
    <w:rsid w:val="00471167"/>
    <w:rsid w:val="00474BA8"/>
    <w:rsid w:val="00476F68"/>
    <w:rsid w:val="004A1A88"/>
    <w:rsid w:val="004B16F2"/>
    <w:rsid w:val="004C241D"/>
    <w:rsid w:val="004C5304"/>
    <w:rsid w:val="004D37BA"/>
    <w:rsid w:val="004E37C0"/>
    <w:rsid w:val="004E7BFC"/>
    <w:rsid w:val="004F4E76"/>
    <w:rsid w:val="004F5F43"/>
    <w:rsid w:val="00504850"/>
    <w:rsid w:val="0050752A"/>
    <w:rsid w:val="0052395F"/>
    <w:rsid w:val="005247CA"/>
    <w:rsid w:val="0052643C"/>
    <w:rsid w:val="00550093"/>
    <w:rsid w:val="005577B9"/>
    <w:rsid w:val="00564BDA"/>
    <w:rsid w:val="005665EE"/>
    <w:rsid w:val="00572682"/>
    <w:rsid w:val="00572E33"/>
    <w:rsid w:val="00574DC7"/>
    <w:rsid w:val="0058262A"/>
    <w:rsid w:val="00585F6C"/>
    <w:rsid w:val="0059268E"/>
    <w:rsid w:val="00594DA3"/>
    <w:rsid w:val="00597E3A"/>
    <w:rsid w:val="005A34E8"/>
    <w:rsid w:val="005B3B84"/>
    <w:rsid w:val="005B66FD"/>
    <w:rsid w:val="005C2008"/>
    <w:rsid w:val="005C266D"/>
    <w:rsid w:val="005C2DFC"/>
    <w:rsid w:val="005C5C1E"/>
    <w:rsid w:val="005C6A27"/>
    <w:rsid w:val="005E1CD6"/>
    <w:rsid w:val="005E4682"/>
    <w:rsid w:val="005E7181"/>
    <w:rsid w:val="005F6336"/>
    <w:rsid w:val="00610216"/>
    <w:rsid w:val="006142DD"/>
    <w:rsid w:val="00644D6C"/>
    <w:rsid w:val="006454B0"/>
    <w:rsid w:val="00651FFC"/>
    <w:rsid w:val="006531BD"/>
    <w:rsid w:val="006533CB"/>
    <w:rsid w:val="00655E16"/>
    <w:rsid w:val="00660044"/>
    <w:rsid w:val="0066687E"/>
    <w:rsid w:val="00670453"/>
    <w:rsid w:val="006708DE"/>
    <w:rsid w:val="00672A3E"/>
    <w:rsid w:val="006814A9"/>
    <w:rsid w:val="00681B47"/>
    <w:rsid w:val="00685B44"/>
    <w:rsid w:val="0068785D"/>
    <w:rsid w:val="00692716"/>
    <w:rsid w:val="00696B04"/>
    <w:rsid w:val="006B5D23"/>
    <w:rsid w:val="006C0DA3"/>
    <w:rsid w:val="006C2B3C"/>
    <w:rsid w:val="006C7B13"/>
    <w:rsid w:val="006D4016"/>
    <w:rsid w:val="006E0C64"/>
    <w:rsid w:val="006E12A9"/>
    <w:rsid w:val="006F4C0E"/>
    <w:rsid w:val="006F53CB"/>
    <w:rsid w:val="00710C8B"/>
    <w:rsid w:val="007178C7"/>
    <w:rsid w:val="00720A94"/>
    <w:rsid w:val="00723DB8"/>
    <w:rsid w:val="007248BC"/>
    <w:rsid w:val="00725E33"/>
    <w:rsid w:val="007355C1"/>
    <w:rsid w:val="0073674E"/>
    <w:rsid w:val="007564BC"/>
    <w:rsid w:val="00766E79"/>
    <w:rsid w:val="00767B15"/>
    <w:rsid w:val="0077095A"/>
    <w:rsid w:val="007B2B64"/>
    <w:rsid w:val="007B7A96"/>
    <w:rsid w:val="007C009E"/>
    <w:rsid w:val="007C05DD"/>
    <w:rsid w:val="007C7654"/>
    <w:rsid w:val="007E5F7E"/>
    <w:rsid w:val="007F32D5"/>
    <w:rsid w:val="007F448B"/>
    <w:rsid w:val="00801BF0"/>
    <w:rsid w:val="0080361A"/>
    <w:rsid w:val="008060AC"/>
    <w:rsid w:val="00810DD9"/>
    <w:rsid w:val="008252D9"/>
    <w:rsid w:val="00831FD3"/>
    <w:rsid w:val="0083687B"/>
    <w:rsid w:val="00840E6B"/>
    <w:rsid w:val="00847AFA"/>
    <w:rsid w:val="008520C0"/>
    <w:rsid w:val="0085296A"/>
    <w:rsid w:val="008723E0"/>
    <w:rsid w:val="008732B5"/>
    <w:rsid w:val="00877BBE"/>
    <w:rsid w:val="0088661A"/>
    <w:rsid w:val="008A0820"/>
    <w:rsid w:val="008A0B33"/>
    <w:rsid w:val="008A52D9"/>
    <w:rsid w:val="008A5FDC"/>
    <w:rsid w:val="008B6C01"/>
    <w:rsid w:val="008C149A"/>
    <w:rsid w:val="008C1AE7"/>
    <w:rsid w:val="008D2131"/>
    <w:rsid w:val="008D6EDD"/>
    <w:rsid w:val="008E1686"/>
    <w:rsid w:val="008E1C10"/>
    <w:rsid w:val="008E45BB"/>
    <w:rsid w:val="008E783F"/>
    <w:rsid w:val="00901A92"/>
    <w:rsid w:val="00903982"/>
    <w:rsid w:val="00906A08"/>
    <w:rsid w:val="00913F32"/>
    <w:rsid w:val="009141D8"/>
    <w:rsid w:val="00926CDA"/>
    <w:rsid w:val="00927682"/>
    <w:rsid w:val="009372F7"/>
    <w:rsid w:val="0093780C"/>
    <w:rsid w:val="00961F77"/>
    <w:rsid w:val="0096392F"/>
    <w:rsid w:val="00967383"/>
    <w:rsid w:val="00971FC8"/>
    <w:rsid w:val="009756CE"/>
    <w:rsid w:val="00980436"/>
    <w:rsid w:val="0098261E"/>
    <w:rsid w:val="009830C1"/>
    <w:rsid w:val="009900EB"/>
    <w:rsid w:val="00990654"/>
    <w:rsid w:val="009A54C9"/>
    <w:rsid w:val="009B7A2C"/>
    <w:rsid w:val="009C3B61"/>
    <w:rsid w:val="009C65FA"/>
    <w:rsid w:val="009C71AE"/>
    <w:rsid w:val="009D451D"/>
    <w:rsid w:val="009E406C"/>
    <w:rsid w:val="009E4637"/>
    <w:rsid w:val="009F79F3"/>
    <w:rsid w:val="00A03ED0"/>
    <w:rsid w:val="00A04356"/>
    <w:rsid w:val="00A06325"/>
    <w:rsid w:val="00A12A9B"/>
    <w:rsid w:val="00A1546D"/>
    <w:rsid w:val="00A25BE6"/>
    <w:rsid w:val="00A3184A"/>
    <w:rsid w:val="00A36BAB"/>
    <w:rsid w:val="00A400EF"/>
    <w:rsid w:val="00A42C4B"/>
    <w:rsid w:val="00A455BA"/>
    <w:rsid w:val="00A503C7"/>
    <w:rsid w:val="00A52482"/>
    <w:rsid w:val="00A64828"/>
    <w:rsid w:val="00A84385"/>
    <w:rsid w:val="00A951E1"/>
    <w:rsid w:val="00A955A4"/>
    <w:rsid w:val="00A97965"/>
    <w:rsid w:val="00AA50FA"/>
    <w:rsid w:val="00AD0947"/>
    <w:rsid w:val="00AD2776"/>
    <w:rsid w:val="00AD40D5"/>
    <w:rsid w:val="00AE40D3"/>
    <w:rsid w:val="00AF41E6"/>
    <w:rsid w:val="00AF6E23"/>
    <w:rsid w:val="00B05CB6"/>
    <w:rsid w:val="00B072C5"/>
    <w:rsid w:val="00B112D2"/>
    <w:rsid w:val="00B23726"/>
    <w:rsid w:val="00B37FC5"/>
    <w:rsid w:val="00B45564"/>
    <w:rsid w:val="00B51E45"/>
    <w:rsid w:val="00B523F5"/>
    <w:rsid w:val="00B54B00"/>
    <w:rsid w:val="00B631DE"/>
    <w:rsid w:val="00B6644B"/>
    <w:rsid w:val="00B7432B"/>
    <w:rsid w:val="00B81888"/>
    <w:rsid w:val="00B82FEC"/>
    <w:rsid w:val="00B9048A"/>
    <w:rsid w:val="00B9120D"/>
    <w:rsid w:val="00B913D9"/>
    <w:rsid w:val="00B93B99"/>
    <w:rsid w:val="00BD2C4E"/>
    <w:rsid w:val="00BD6DC2"/>
    <w:rsid w:val="00BE0427"/>
    <w:rsid w:val="00BF2D65"/>
    <w:rsid w:val="00C00551"/>
    <w:rsid w:val="00C102B4"/>
    <w:rsid w:val="00C14376"/>
    <w:rsid w:val="00C17E0B"/>
    <w:rsid w:val="00C25D56"/>
    <w:rsid w:val="00C262BF"/>
    <w:rsid w:val="00C27390"/>
    <w:rsid w:val="00C34911"/>
    <w:rsid w:val="00C37547"/>
    <w:rsid w:val="00C43620"/>
    <w:rsid w:val="00C44D68"/>
    <w:rsid w:val="00C44F52"/>
    <w:rsid w:val="00C56E9C"/>
    <w:rsid w:val="00C62EAE"/>
    <w:rsid w:val="00C732D4"/>
    <w:rsid w:val="00C73B59"/>
    <w:rsid w:val="00C82FFA"/>
    <w:rsid w:val="00C92467"/>
    <w:rsid w:val="00C93A7F"/>
    <w:rsid w:val="00CA1684"/>
    <w:rsid w:val="00CA2261"/>
    <w:rsid w:val="00CA2983"/>
    <w:rsid w:val="00CA6156"/>
    <w:rsid w:val="00CB06E1"/>
    <w:rsid w:val="00CB16E4"/>
    <w:rsid w:val="00CD66E4"/>
    <w:rsid w:val="00CE0990"/>
    <w:rsid w:val="00CE417E"/>
    <w:rsid w:val="00CE6192"/>
    <w:rsid w:val="00D042AF"/>
    <w:rsid w:val="00D05B77"/>
    <w:rsid w:val="00D075F5"/>
    <w:rsid w:val="00D15484"/>
    <w:rsid w:val="00D160BC"/>
    <w:rsid w:val="00D24BA0"/>
    <w:rsid w:val="00D253B5"/>
    <w:rsid w:val="00D26688"/>
    <w:rsid w:val="00D27E08"/>
    <w:rsid w:val="00D339B6"/>
    <w:rsid w:val="00D4020E"/>
    <w:rsid w:val="00D4329B"/>
    <w:rsid w:val="00D46790"/>
    <w:rsid w:val="00D46AD7"/>
    <w:rsid w:val="00D63D7B"/>
    <w:rsid w:val="00D73CA6"/>
    <w:rsid w:val="00D7438E"/>
    <w:rsid w:val="00D81A5C"/>
    <w:rsid w:val="00D81C83"/>
    <w:rsid w:val="00D92CE0"/>
    <w:rsid w:val="00D92DF6"/>
    <w:rsid w:val="00DA25BC"/>
    <w:rsid w:val="00DA3483"/>
    <w:rsid w:val="00DA35FC"/>
    <w:rsid w:val="00DA397B"/>
    <w:rsid w:val="00DA3C2D"/>
    <w:rsid w:val="00DA4CA8"/>
    <w:rsid w:val="00DA5119"/>
    <w:rsid w:val="00DA59DB"/>
    <w:rsid w:val="00DB1D48"/>
    <w:rsid w:val="00DB683D"/>
    <w:rsid w:val="00DB6B19"/>
    <w:rsid w:val="00DB6C8C"/>
    <w:rsid w:val="00DD7C58"/>
    <w:rsid w:val="00DE7305"/>
    <w:rsid w:val="00DF1184"/>
    <w:rsid w:val="00DF4383"/>
    <w:rsid w:val="00DF72C6"/>
    <w:rsid w:val="00E034AE"/>
    <w:rsid w:val="00E0431D"/>
    <w:rsid w:val="00E151FA"/>
    <w:rsid w:val="00E15777"/>
    <w:rsid w:val="00E20E58"/>
    <w:rsid w:val="00E246B0"/>
    <w:rsid w:val="00E35292"/>
    <w:rsid w:val="00E4052F"/>
    <w:rsid w:val="00E413EE"/>
    <w:rsid w:val="00E41D44"/>
    <w:rsid w:val="00E4600E"/>
    <w:rsid w:val="00E46C96"/>
    <w:rsid w:val="00E47639"/>
    <w:rsid w:val="00E513F6"/>
    <w:rsid w:val="00E52CC8"/>
    <w:rsid w:val="00E53901"/>
    <w:rsid w:val="00E53DFA"/>
    <w:rsid w:val="00E6258F"/>
    <w:rsid w:val="00E64D28"/>
    <w:rsid w:val="00E668BA"/>
    <w:rsid w:val="00E709AE"/>
    <w:rsid w:val="00E709E2"/>
    <w:rsid w:val="00E763C9"/>
    <w:rsid w:val="00E76F3F"/>
    <w:rsid w:val="00E81977"/>
    <w:rsid w:val="00E835C2"/>
    <w:rsid w:val="00E848F0"/>
    <w:rsid w:val="00E90267"/>
    <w:rsid w:val="00E9715E"/>
    <w:rsid w:val="00EA380E"/>
    <w:rsid w:val="00EB5D22"/>
    <w:rsid w:val="00EC7A39"/>
    <w:rsid w:val="00ED28E6"/>
    <w:rsid w:val="00ED65E1"/>
    <w:rsid w:val="00ED6E94"/>
    <w:rsid w:val="00EE0D69"/>
    <w:rsid w:val="00EE2822"/>
    <w:rsid w:val="00EF71A0"/>
    <w:rsid w:val="00F029D9"/>
    <w:rsid w:val="00F048D4"/>
    <w:rsid w:val="00F12AB6"/>
    <w:rsid w:val="00F13FAC"/>
    <w:rsid w:val="00F21779"/>
    <w:rsid w:val="00F23C54"/>
    <w:rsid w:val="00F27DAA"/>
    <w:rsid w:val="00F30E45"/>
    <w:rsid w:val="00F30FD7"/>
    <w:rsid w:val="00F320D9"/>
    <w:rsid w:val="00F45791"/>
    <w:rsid w:val="00F51679"/>
    <w:rsid w:val="00F53030"/>
    <w:rsid w:val="00F538F1"/>
    <w:rsid w:val="00F60C1D"/>
    <w:rsid w:val="00F64A0C"/>
    <w:rsid w:val="00F64A5F"/>
    <w:rsid w:val="00F66F8D"/>
    <w:rsid w:val="00F70946"/>
    <w:rsid w:val="00F846EB"/>
    <w:rsid w:val="00F904C6"/>
    <w:rsid w:val="00F93749"/>
    <w:rsid w:val="00FA419D"/>
    <w:rsid w:val="00FB2CA9"/>
    <w:rsid w:val="00FD0450"/>
    <w:rsid w:val="00FD1EBB"/>
    <w:rsid w:val="00FD66C3"/>
    <w:rsid w:val="00FF2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00D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qFormat="1"/>
    <w:lsdException w:name="caption" w:uiPriority="0" w:qFormat="1"/>
    <w:lsdException w:name="annotation reference" w:uiPriority="0"/>
    <w:lsdException w:name="endnote reference" w:uiPriority="0"/>
    <w:lsdException w:name="endnote text" w:uiPriority="0"/>
    <w:lsdException w:name="List Bullet" w:uiPriority="0" w:qFormat="1"/>
    <w:lsdException w:name="List Number" w:uiPriority="13"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uiPriority="13"/>
    <w:lsdException w:name="List Number 5" w:uiPriority="13"/>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174C"/>
    <w:rPr>
      <w:rFonts w:ascii="Arial" w:eastAsia="Times New Roman" w:hAnsi="Arial" w:cs="Times New Roman"/>
      <w:sz w:val="22"/>
      <w:lang w:val="en-AU"/>
    </w:rPr>
  </w:style>
  <w:style w:type="paragraph" w:styleId="Heading1">
    <w:name w:val="heading 1"/>
    <w:basedOn w:val="Normal"/>
    <w:next w:val="Normal"/>
    <w:link w:val="Heading1Char"/>
    <w:qFormat/>
    <w:rsid w:val="009372F7"/>
    <w:pPr>
      <w:keepNext/>
      <w:numPr>
        <w:numId w:val="17"/>
      </w:numPr>
      <w:spacing w:before="240" w:after="60"/>
      <w:outlineLvl w:val="0"/>
    </w:pPr>
    <w:rPr>
      <w:rFonts w:cs="Arial"/>
      <w:b/>
      <w:bCs/>
      <w:color w:val="153A6E"/>
      <w:kern w:val="28"/>
      <w:sz w:val="36"/>
      <w:szCs w:val="32"/>
    </w:rPr>
  </w:style>
  <w:style w:type="paragraph" w:styleId="Heading2">
    <w:name w:val="heading 2"/>
    <w:next w:val="Normal"/>
    <w:link w:val="Heading2Char"/>
    <w:qFormat/>
    <w:rsid w:val="009372F7"/>
    <w:pPr>
      <w:keepNext/>
      <w:numPr>
        <w:ilvl w:val="1"/>
        <w:numId w:val="17"/>
      </w:numPr>
      <w:spacing w:before="240" w:after="60"/>
      <w:outlineLvl w:val="1"/>
    </w:pPr>
    <w:rPr>
      <w:rFonts w:ascii="Arial" w:eastAsia="Times New Roman" w:hAnsi="Arial" w:cs="Arial"/>
      <w:b/>
      <w:bCs/>
      <w:iCs/>
      <w:color w:val="153A6E"/>
      <w:sz w:val="32"/>
      <w:szCs w:val="32"/>
      <w:lang w:val="en-AU"/>
    </w:rPr>
  </w:style>
  <w:style w:type="paragraph" w:styleId="Heading3">
    <w:name w:val="heading 3"/>
    <w:basedOn w:val="Heading2"/>
    <w:next w:val="Normal"/>
    <w:link w:val="Heading3Char"/>
    <w:qFormat/>
    <w:rsid w:val="009372F7"/>
    <w:pPr>
      <w:numPr>
        <w:ilvl w:val="2"/>
      </w:numPr>
      <w:spacing w:before="180"/>
      <w:outlineLvl w:val="2"/>
    </w:pPr>
    <w:rPr>
      <w:bCs w:val="0"/>
      <w:sz w:val="28"/>
      <w:szCs w:val="28"/>
    </w:rPr>
  </w:style>
  <w:style w:type="paragraph" w:styleId="Heading4">
    <w:name w:val="heading 4"/>
    <w:basedOn w:val="Normal"/>
    <w:next w:val="Normal"/>
    <w:link w:val="Heading4Char"/>
    <w:qFormat/>
    <w:rsid w:val="009372F7"/>
    <w:pPr>
      <w:keepNext/>
      <w:spacing w:before="240" w:after="60"/>
      <w:outlineLvl w:val="3"/>
    </w:pPr>
    <w:rPr>
      <w:b/>
      <w:bCs/>
      <w:color w:val="153A6E"/>
      <w:sz w:val="24"/>
      <w:szCs w:val="28"/>
    </w:rPr>
  </w:style>
  <w:style w:type="paragraph" w:styleId="Heading5">
    <w:name w:val="heading 5"/>
    <w:basedOn w:val="Normal"/>
    <w:next w:val="Normal"/>
    <w:link w:val="Heading5Char"/>
    <w:rsid w:val="009372F7"/>
    <w:pPr>
      <w:keepNext/>
      <w:numPr>
        <w:ilvl w:val="4"/>
        <w:numId w:val="17"/>
      </w:numPr>
      <w:spacing w:before="240" w:after="60"/>
      <w:outlineLvl w:val="4"/>
    </w:pPr>
    <w:rPr>
      <w:b/>
      <w:bCs/>
      <w:iCs/>
      <w:szCs w:val="26"/>
    </w:rPr>
  </w:style>
  <w:style w:type="paragraph" w:styleId="Heading6">
    <w:name w:val="heading 6"/>
    <w:basedOn w:val="Normal"/>
    <w:next w:val="Normal"/>
    <w:link w:val="Heading6Char"/>
    <w:rsid w:val="009372F7"/>
    <w:pPr>
      <w:keepNext/>
      <w:numPr>
        <w:ilvl w:val="5"/>
        <w:numId w:val="17"/>
      </w:numPr>
      <w:spacing w:before="240" w:after="60"/>
      <w:outlineLvl w:val="5"/>
    </w:pPr>
    <w:rPr>
      <w:b/>
      <w:bCs/>
      <w:i/>
      <w:szCs w:val="22"/>
    </w:rPr>
  </w:style>
  <w:style w:type="paragraph" w:styleId="Heading7">
    <w:name w:val="heading 7"/>
    <w:basedOn w:val="Normal"/>
    <w:next w:val="Normal"/>
    <w:link w:val="Heading7Char"/>
    <w:semiHidden/>
    <w:unhideWhenUsed/>
    <w:qFormat/>
    <w:rsid w:val="009372F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372F7"/>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372F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ListParagraph"/>
    <w:link w:val="BulletpointsChar"/>
    <w:qFormat/>
    <w:rsid w:val="009900EB"/>
    <w:pPr>
      <w:numPr>
        <w:numId w:val="1"/>
      </w:numPr>
      <w:spacing w:after="180"/>
    </w:pPr>
    <w:rPr>
      <w:rFonts w:ascii="Calibri" w:hAnsi="Calibri"/>
    </w:rPr>
  </w:style>
  <w:style w:type="character" w:customStyle="1" w:styleId="BulletpointsChar">
    <w:name w:val="Bullet points Char"/>
    <w:basedOn w:val="DefaultParagraphFont"/>
    <w:link w:val="Bulletpoints"/>
    <w:rsid w:val="009900EB"/>
    <w:rPr>
      <w:rFonts w:ascii="Calibri" w:eastAsia="Times New Roman" w:hAnsi="Calibri" w:cs="Times New Roman"/>
      <w:sz w:val="22"/>
      <w:lang w:val="en-AU"/>
    </w:rPr>
  </w:style>
  <w:style w:type="paragraph" w:styleId="ListParagraph">
    <w:name w:val="List Paragraph"/>
    <w:aliases w:val="List Paragraph1,Recommendation,Body text"/>
    <w:basedOn w:val="Normal"/>
    <w:link w:val="ListParagraphChar"/>
    <w:uiPriority w:val="34"/>
    <w:rsid w:val="009372F7"/>
    <w:pPr>
      <w:ind w:left="720"/>
      <w:contextualSpacing/>
    </w:pPr>
  </w:style>
  <w:style w:type="character" w:customStyle="1" w:styleId="Heading1Char">
    <w:name w:val="Heading 1 Char"/>
    <w:basedOn w:val="DefaultParagraphFont"/>
    <w:link w:val="Heading1"/>
    <w:rsid w:val="009372F7"/>
    <w:rPr>
      <w:rFonts w:ascii="Arial" w:eastAsia="Times New Roman" w:hAnsi="Arial" w:cs="Arial"/>
      <w:b/>
      <w:bCs/>
      <w:color w:val="153A6E"/>
      <w:kern w:val="28"/>
      <w:sz w:val="36"/>
      <w:szCs w:val="32"/>
      <w:lang w:val="en-AU"/>
    </w:rPr>
  </w:style>
  <w:style w:type="character" w:styleId="Hyperlink">
    <w:name w:val="Hyperlink"/>
    <w:basedOn w:val="DefaultParagraphFont"/>
    <w:uiPriority w:val="99"/>
    <w:unhideWhenUsed/>
    <w:qFormat/>
    <w:rsid w:val="009372F7"/>
    <w:rPr>
      <w:rFonts w:ascii="Arial" w:hAnsi="Arial"/>
      <w:color w:val="0563C1" w:themeColor="hyperlink"/>
      <w:sz w:val="22"/>
      <w:u w:val="single"/>
    </w:rPr>
  </w:style>
  <w:style w:type="paragraph" w:customStyle="1" w:styleId="Numberedlist">
    <w:name w:val="Numbered list"/>
    <w:basedOn w:val="ListParagraph"/>
    <w:qFormat/>
    <w:rsid w:val="005C2DFC"/>
    <w:pPr>
      <w:numPr>
        <w:numId w:val="2"/>
      </w:numPr>
      <w:contextualSpacing w:val="0"/>
    </w:pPr>
  </w:style>
  <w:style w:type="paragraph" w:styleId="FootnoteText">
    <w:name w:val="footnote text"/>
    <w:basedOn w:val="Normal"/>
    <w:link w:val="FootnoteTextChar"/>
    <w:uiPriority w:val="99"/>
    <w:qFormat/>
    <w:rsid w:val="009372F7"/>
    <w:pPr>
      <w:spacing w:after="120"/>
    </w:pPr>
    <w:rPr>
      <w:color w:val="000000" w:themeColor="text1"/>
      <w:sz w:val="18"/>
      <w:szCs w:val="20"/>
    </w:rPr>
  </w:style>
  <w:style w:type="character" w:customStyle="1" w:styleId="FootnoteTextChar">
    <w:name w:val="Footnote Text Char"/>
    <w:basedOn w:val="DefaultParagraphFont"/>
    <w:link w:val="FootnoteText"/>
    <w:uiPriority w:val="99"/>
    <w:rsid w:val="009372F7"/>
    <w:rPr>
      <w:rFonts w:ascii="Arial" w:eastAsia="Times New Roman" w:hAnsi="Arial" w:cs="Times New Roman"/>
      <w:color w:val="000000" w:themeColor="text1"/>
      <w:sz w:val="18"/>
      <w:szCs w:val="20"/>
      <w:lang w:val="en-AU"/>
    </w:rPr>
  </w:style>
  <w:style w:type="character" w:styleId="FootnoteReference">
    <w:name w:val="footnote reference"/>
    <w:basedOn w:val="DefaultParagraphFont"/>
    <w:uiPriority w:val="99"/>
    <w:rsid w:val="009372F7"/>
    <w:rPr>
      <w:vertAlign w:val="superscript"/>
    </w:rPr>
  </w:style>
  <w:style w:type="table" w:styleId="TableGrid">
    <w:name w:val="Table Grid"/>
    <w:aliases w:val="Table - Top"/>
    <w:basedOn w:val="TableNormal"/>
    <w:rsid w:val="009372F7"/>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9372F7"/>
    <w:pPr>
      <w:spacing w:after="180"/>
    </w:pPr>
    <w:rPr>
      <w:color w:val="003D69"/>
    </w:rPr>
  </w:style>
  <w:style w:type="character" w:customStyle="1" w:styleId="Heading2Char">
    <w:name w:val="Heading 2 Char"/>
    <w:basedOn w:val="DefaultParagraphFont"/>
    <w:link w:val="Heading2"/>
    <w:rsid w:val="00F45791"/>
    <w:rPr>
      <w:rFonts w:ascii="Arial" w:eastAsia="Times New Roman" w:hAnsi="Arial" w:cs="Arial"/>
      <w:b/>
      <w:bCs/>
      <w:iCs/>
      <w:color w:val="153A6E"/>
      <w:sz w:val="32"/>
      <w:szCs w:val="32"/>
      <w:lang w:val="en-AU"/>
    </w:rPr>
  </w:style>
  <w:style w:type="paragraph" w:styleId="TOC1">
    <w:name w:val="toc 1"/>
    <w:basedOn w:val="Normal"/>
    <w:next w:val="Normal"/>
    <w:autoRedefine/>
    <w:uiPriority w:val="39"/>
    <w:rsid w:val="009372F7"/>
    <w:pPr>
      <w:tabs>
        <w:tab w:val="right" w:leader="dot" w:pos="9736"/>
      </w:tabs>
      <w:spacing w:after="100"/>
    </w:pPr>
  </w:style>
  <w:style w:type="paragraph" w:styleId="TOC2">
    <w:name w:val="toc 2"/>
    <w:basedOn w:val="Normal"/>
    <w:next w:val="Normal"/>
    <w:autoRedefine/>
    <w:uiPriority w:val="39"/>
    <w:rsid w:val="009372F7"/>
    <w:pPr>
      <w:spacing w:after="100"/>
      <w:ind w:left="220"/>
    </w:pPr>
  </w:style>
  <w:style w:type="paragraph" w:styleId="TOC3">
    <w:name w:val="toc 3"/>
    <w:basedOn w:val="Normal"/>
    <w:next w:val="Normal"/>
    <w:autoRedefine/>
    <w:uiPriority w:val="39"/>
    <w:rsid w:val="009372F7"/>
    <w:pPr>
      <w:spacing w:after="100"/>
      <w:ind w:left="440"/>
    </w:pPr>
  </w:style>
  <w:style w:type="paragraph" w:styleId="TOC4">
    <w:name w:val="toc 4"/>
    <w:basedOn w:val="Normal"/>
    <w:next w:val="Normal"/>
    <w:autoRedefine/>
    <w:uiPriority w:val="39"/>
    <w:rsid w:val="009372F7"/>
    <w:pPr>
      <w:spacing w:after="100"/>
      <w:ind w:left="660"/>
    </w:pPr>
    <w:rPr>
      <w:i/>
      <w:sz w:val="20"/>
    </w:rPr>
  </w:style>
  <w:style w:type="paragraph" w:styleId="TOC5">
    <w:name w:val="toc 5"/>
    <w:basedOn w:val="Normal"/>
    <w:next w:val="Normal"/>
    <w:autoRedefine/>
    <w:uiPriority w:val="39"/>
    <w:rsid w:val="009372F7"/>
    <w:pPr>
      <w:spacing w:after="100"/>
      <w:ind w:left="880"/>
    </w:pPr>
  </w:style>
  <w:style w:type="paragraph" w:styleId="TOC6">
    <w:name w:val="toc 6"/>
    <w:basedOn w:val="Normal"/>
    <w:next w:val="Normal"/>
    <w:autoRedefine/>
    <w:uiPriority w:val="39"/>
    <w:unhideWhenUsed/>
    <w:rsid w:val="00D92DF6"/>
    <w:pPr>
      <w:ind w:left="1100"/>
    </w:pPr>
  </w:style>
  <w:style w:type="paragraph" w:styleId="TOC7">
    <w:name w:val="toc 7"/>
    <w:basedOn w:val="Normal"/>
    <w:next w:val="Normal"/>
    <w:autoRedefine/>
    <w:uiPriority w:val="39"/>
    <w:unhideWhenUsed/>
    <w:rsid w:val="00D92DF6"/>
    <w:pPr>
      <w:ind w:left="1320"/>
    </w:pPr>
  </w:style>
  <w:style w:type="paragraph" w:styleId="TOC8">
    <w:name w:val="toc 8"/>
    <w:basedOn w:val="Normal"/>
    <w:next w:val="Normal"/>
    <w:autoRedefine/>
    <w:uiPriority w:val="39"/>
    <w:unhideWhenUsed/>
    <w:rsid w:val="00D92DF6"/>
    <w:pPr>
      <w:ind w:left="1540"/>
    </w:pPr>
  </w:style>
  <w:style w:type="paragraph" w:styleId="TOC9">
    <w:name w:val="toc 9"/>
    <w:basedOn w:val="Normal"/>
    <w:next w:val="Normal"/>
    <w:autoRedefine/>
    <w:uiPriority w:val="39"/>
    <w:unhideWhenUsed/>
    <w:rsid w:val="00D92DF6"/>
    <w:pPr>
      <w:ind w:left="1760"/>
    </w:pPr>
  </w:style>
  <w:style w:type="paragraph" w:customStyle="1" w:styleId="Default">
    <w:name w:val="Default"/>
    <w:rsid w:val="009372F7"/>
    <w:pPr>
      <w:autoSpaceDE w:val="0"/>
      <w:autoSpaceDN w:val="0"/>
      <w:adjustRightInd w:val="0"/>
    </w:pPr>
    <w:rPr>
      <w:rFonts w:ascii="Garamond" w:eastAsia="Times New Roman" w:hAnsi="Garamond" w:cs="Garamond"/>
      <w:color w:val="000000"/>
      <w:lang w:val="en-AU" w:eastAsia="en-AU"/>
    </w:rPr>
  </w:style>
  <w:style w:type="paragraph" w:styleId="BalloonText">
    <w:name w:val="Balloon Text"/>
    <w:basedOn w:val="Normal"/>
    <w:link w:val="BalloonTextChar"/>
    <w:rsid w:val="009372F7"/>
    <w:rPr>
      <w:rFonts w:ascii="Tahoma" w:hAnsi="Tahoma" w:cs="Tahoma"/>
      <w:sz w:val="16"/>
      <w:szCs w:val="16"/>
    </w:rPr>
  </w:style>
  <w:style w:type="character" w:customStyle="1" w:styleId="BalloonTextChar">
    <w:name w:val="Balloon Text Char"/>
    <w:basedOn w:val="DefaultParagraphFont"/>
    <w:link w:val="BalloonText"/>
    <w:rsid w:val="009372F7"/>
    <w:rPr>
      <w:rFonts w:ascii="Tahoma" w:eastAsia="Times New Roman" w:hAnsi="Tahoma" w:cs="Tahoma"/>
      <w:sz w:val="16"/>
      <w:szCs w:val="16"/>
      <w:lang w:val="en-AU"/>
    </w:rPr>
  </w:style>
  <w:style w:type="character" w:styleId="CommentReference">
    <w:name w:val="annotation reference"/>
    <w:basedOn w:val="DefaultParagraphFont"/>
    <w:rsid w:val="009372F7"/>
    <w:rPr>
      <w:sz w:val="16"/>
      <w:szCs w:val="16"/>
    </w:rPr>
  </w:style>
  <w:style w:type="paragraph" w:styleId="CommentText">
    <w:name w:val="annotation text"/>
    <w:basedOn w:val="Normal"/>
    <w:link w:val="CommentTextChar"/>
    <w:rsid w:val="009372F7"/>
    <w:rPr>
      <w:sz w:val="20"/>
      <w:szCs w:val="20"/>
    </w:rPr>
  </w:style>
  <w:style w:type="character" w:customStyle="1" w:styleId="CommentTextChar">
    <w:name w:val="Comment Text Char"/>
    <w:basedOn w:val="DefaultParagraphFont"/>
    <w:link w:val="CommentText"/>
    <w:rsid w:val="009372F7"/>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rsid w:val="009372F7"/>
    <w:rPr>
      <w:b/>
      <w:bCs/>
    </w:rPr>
  </w:style>
  <w:style w:type="character" w:customStyle="1" w:styleId="CommentSubjectChar">
    <w:name w:val="Comment Subject Char"/>
    <w:basedOn w:val="CommentTextChar"/>
    <w:link w:val="CommentSubject"/>
    <w:rsid w:val="009372F7"/>
    <w:rPr>
      <w:rFonts w:ascii="Arial" w:eastAsia="Times New Roman" w:hAnsi="Arial" w:cs="Times New Roman"/>
      <w:b/>
      <w:bCs/>
      <w:sz w:val="20"/>
      <w:szCs w:val="20"/>
      <w:lang w:val="en-AU"/>
    </w:rPr>
  </w:style>
  <w:style w:type="character" w:styleId="FollowedHyperlink">
    <w:name w:val="FollowedHyperlink"/>
    <w:basedOn w:val="DefaultParagraphFont"/>
    <w:rsid w:val="009372F7"/>
    <w:rPr>
      <w:color w:val="954F72" w:themeColor="followedHyperlink"/>
      <w:u w:val="single"/>
    </w:rPr>
  </w:style>
  <w:style w:type="paragraph" w:styleId="Revision">
    <w:name w:val="Revision"/>
    <w:hidden/>
    <w:uiPriority w:val="99"/>
    <w:semiHidden/>
    <w:rsid w:val="008A0820"/>
    <w:rPr>
      <w:color w:val="44546A" w:themeColor="text2"/>
      <w:sz w:val="22"/>
    </w:rPr>
  </w:style>
  <w:style w:type="paragraph" w:styleId="Header">
    <w:name w:val="header"/>
    <w:basedOn w:val="Normal"/>
    <w:link w:val="HeaderChar"/>
    <w:qFormat/>
    <w:rsid w:val="009372F7"/>
    <w:pPr>
      <w:tabs>
        <w:tab w:val="center" w:pos="4513"/>
        <w:tab w:val="right" w:pos="9026"/>
      </w:tabs>
    </w:pPr>
  </w:style>
  <w:style w:type="character" w:customStyle="1" w:styleId="HeaderChar">
    <w:name w:val="Header Char"/>
    <w:basedOn w:val="DefaultParagraphFont"/>
    <w:link w:val="Header"/>
    <w:rsid w:val="009372F7"/>
    <w:rPr>
      <w:rFonts w:ascii="Arial" w:eastAsia="Times New Roman" w:hAnsi="Arial" w:cs="Times New Roman"/>
      <w:sz w:val="22"/>
      <w:lang w:val="en-AU"/>
    </w:rPr>
  </w:style>
  <w:style w:type="paragraph" w:styleId="Footer">
    <w:name w:val="footer"/>
    <w:basedOn w:val="Normal"/>
    <w:link w:val="FooterChar"/>
    <w:uiPriority w:val="99"/>
    <w:qFormat/>
    <w:rsid w:val="009372F7"/>
    <w:pPr>
      <w:tabs>
        <w:tab w:val="center" w:pos="4513"/>
        <w:tab w:val="right" w:pos="9026"/>
      </w:tabs>
    </w:pPr>
    <w:rPr>
      <w:sz w:val="20"/>
    </w:rPr>
  </w:style>
  <w:style w:type="character" w:customStyle="1" w:styleId="FooterChar">
    <w:name w:val="Footer Char"/>
    <w:basedOn w:val="DefaultParagraphFont"/>
    <w:link w:val="Footer"/>
    <w:uiPriority w:val="99"/>
    <w:rsid w:val="009372F7"/>
    <w:rPr>
      <w:rFonts w:ascii="Arial" w:eastAsia="Times New Roman" w:hAnsi="Arial" w:cs="Times New Roman"/>
      <w:sz w:val="20"/>
      <w:lang w:val="en-AU"/>
    </w:rPr>
  </w:style>
  <w:style w:type="character" w:customStyle="1" w:styleId="ListParagraphChar">
    <w:name w:val="List Paragraph Char"/>
    <w:aliases w:val="List Paragraph1 Char,Recommendation Char,Body text Char"/>
    <w:link w:val="ListParagraph"/>
    <w:uiPriority w:val="34"/>
    <w:locked/>
    <w:rsid w:val="009372F7"/>
    <w:rPr>
      <w:rFonts w:ascii="Arial" w:eastAsia="Times New Roman" w:hAnsi="Arial" w:cs="Times New Roman"/>
      <w:sz w:val="22"/>
      <w:lang w:val="en-AU"/>
    </w:rPr>
  </w:style>
  <w:style w:type="paragraph" w:customStyle="1" w:styleId="Subheading">
    <w:name w:val="Sub heading"/>
    <w:basedOn w:val="Normal"/>
    <w:next w:val="Body"/>
    <w:autoRedefine/>
    <w:qFormat/>
    <w:rsid w:val="009372F7"/>
    <w:pPr>
      <w:keepNext/>
      <w:spacing w:after="80"/>
    </w:pPr>
    <w:rPr>
      <w:b/>
      <w:color w:val="003D69"/>
      <w:sz w:val="24"/>
    </w:rPr>
  </w:style>
  <w:style w:type="paragraph" w:styleId="ListBullet2">
    <w:name w:val="List Bullet 2"/>
    <w:basedOn w:val="Normal"/>
    <w:rsid w:val="009372F7"/>
    <w:pPr>
      <w:numPr>
        <w:ilvl w:val="1"/>
        <w:numId w:val="11"/>
      </w:numPr>
      <w:spacing w:before="120" w:after="120"/>
    </w:pPr>
  </w:style>
  <w:style w:type="paragraph" w:styleId="ListBullet4">
    <w:name w:val="List Bullet 4"/>
    <w:basedOn w:val="ListBullet3"/>
    <w:unhideWhenUsed/>
    <w:rsid w:val="009372F7"/>
    <w:pPr>
      <w:numPr>
        <w:ilvl w:val="3"/>
      </w:numPr>
    </w:pPr>
  </w:style>
  <w:style w:type="paragraph" w:styleId="ListBullet3">
    <w:name w:val="List Bullet 3"/>
    <w:basedOn w:val="ListBullet2"/>
    <w:rsid w:val="009372F7"/>
    <w:pPr>
      <w:numPr>
        <w:ilvl w:val="2"/>
      </w:numPr>
    </w:pPr>
  </w:style>
  <w:style w:type="paragraph" w:styleId="ListBullet">
    <w:name w:val="List Bullet"/>
    <w:aliases w:val="List First Level,Bullet List"/>
    <w:basedOn w:val="Normal"/>
    <w:qFormat/>
    <w:rsid w:val="009372F7"/>
    <w:pPr>
      <w:numPr>
        <w:numId w:val="11"/>
      </w:numPr>
      <w:spacing w:before="120" w:line="240" w:lineRule="exact"/>
    </w:pPr>
    <w:rPr>
      <w:color w:val="000000" w:themeColor="text1"/>
    </w:rPr>
  </w:style>
  <w:style w:type="paragraph" w:styleId="ListBullet5">
    <w:name w:val="List Bullet 5"/>
    <w:basedOn w:val="ListBullet4"/>
    <w:unhideWhenUsed/>
    <w:rsid w:val="009372F7"/>
    <w:pPr>
      <w:numPr>
        <w:ilvl w:val="0"/>
        <w:numId w:val="0"/>
      </w:numPr>
    </w:pPr>
  </w:style>
  <w:style w:type="table" w:customStyle="1" w:styleId="ListTable31">
    <w:name w:val="List Table 31"/>
    <w:basedOn w:val="TableNormal"/>
    <w:uiPriority w:val="48"/>
    <w:rsid w:val="00A955A4"/>
    <w:rPr>
      <w:rFonts w:ascii="Georgia" w:hAnsi="Georgia"/>
      <w:sz w:val="20"/>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PwCListNumbers1">
    <w:name w:val="PwC List Numbers 1"/>
    <w:uiPriority w:val="99"/>
    <w:rsid w:val="00847AFA"/>
    <w:pPr>
      <w:numPr>
        <w:numId w:val="4"/>
      </w:numPr>
    </w:pPr>
  </w:style>
  <w:style w:type="paragraph" w:styleId="ListNumber">
    <w:name w:val="List Number"/>
    <w:basedOn w:val="Normal"/>
    <w:uiPriority w:val="13"/>
    <w:unhideWhenUsed/>
    <w:qFormat/>
    <w:rsid w:val="00847AFA"/>
    <w:pPr>
      <w:numPr>
        <w:numId w:val="4"/>
      </w:numPr>
      <w:spacing w:after="240" w:line="240" w:lineRule="atLeast"/>
      <w:contextualSpacing/>
    </w:pPr>
    <w:rPr>
      <w:sz w:val="20"/>
      <w:szCs w:val="20"/>
    </w:rPr>
  </w:style>
  <w:style w:type="paragraph" w:styleId="ListNumber2">
    <w:name w:val="List Number 2"/>
    <w:aliases w:val="List Second Level"/>
    <w:basedOn w:val="ListBullet"/>
    <w:qFormat/>
    <w:rsid w:val="009372F7"/>
    <w:pPr>
      <w:ind w:left="568" w:hanging="284"/>
    </w:pPr>
  </w:style>
  <w:style w:type="paragraph" w:styleId="ListNumber3">
    <w:name w:val="List Number 3"/>
    <w:aliases w:val="List Third Level"/>
    <w:basedOn w:val="ListNumber2"/>
    <w:qFormat/>
    <w:rsid w:val="009372F7"/>
    <w:pPr>
      <w:numPr>
        <w:numId w:val="12"/>
      </w:numPr>
      <w:tabs>
        <w:tab w:val="num" w:pos="1440"/>
      </w:tabs>
      <w:spacing w:line="276" w:lineRule="auto"/>
    </w:pPr>
    <w:rPr>
      <w:rFonts w:eastAsia="Cambria"/>
      <w:color w:val="auto"/>
      <w:szCs w:val="22"/>
      <w:lang w:val="en-US"/>
    </w:rPr>
  </w:style>
  <w:style w:type="paragraph" w:styleId="ListNumber4">
    <w:name w:val="List Number 4"/>
    <w:basedOn w:val="Normal"/>
    <w:uiPriority w:val="13"/>
    <w:unhideWhenUsed/>
    <w:rsid w:val="00847AFA"/>
    <w:pPr>
      <w:numPr>
        <w:ilvl w:val="3"/>
        <w:numId w:val="4"/>
      </w:numPr>
      <w:spacing w:after="240" w:line="240" w:lineRule="atLeast"/>
      <w:contextualSpacing/>
    </w:pPr>
    <w:rPr>
      <w:sz w:val="20"/>
      <w:szCs w:val="20"/>
    </w:rPr>
  </w:style>
  <w:style w:type="paragraph" w:styleId="ListNumber5">
    <w:name w:val="List Number 5"/>
    <w:basedOn w:val="Normal"/>
    <w:uiPriority w:val="13"/>
    <w:unhideWhenUsed/>
    <w:rsid w:val="00847AFA"/>
    <w:pPr>
      <w:numPr>
        <w:ilvl w:val="4"/>
        <w:numId w:val="4"/>
      </w:numPr>
      <w:spacing w:after="240" w:line="240" w:lineRule="atLeast"/>
      <w:contextualSpacing/>
    </w:pPr>
    <w:rPr>
      <w:sz w:val="20"/>
      <w:szCs w:val="20"/>
    </w:rPr>
  </w:style>
  <w:style w:type="paragraph" w:styleId="IntenseQuote">
    <w:name w:val="Intense Quote"/>
    <w:basedOn w:val="Normal"/>
    <w:next w:val="Normal"/>
    <w:link w:val="IntenseQuoteChar"/>
    <w:uiPriority w:val="30"/>
    <w:rsid w:val="009372F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372F7"/>
    <w:rPr>
      <w:rFonts w:ascii="Arial" w:eastAsia="Times New Roman" w:hAnsi="Arial" w:cs="Times New Roman"/>
      <w:b/>
      <w:bCs/>
      <w:i/>
      <w:iCs/>
      <w:color w:val="5B9BD5" w:themeColor="accent1"/>
      <w:sz w:val="22"/>
      <w:lang w:val="en-AU"/>
    </w:rPr>
  </w:style>
  <w:style w:type="paragraph" w:styleId="NormalWeb">
    <w:name w:val="Normal (Web)"/>
    <w:basedOn w:val="Normal"/>
    <w:uiPriority w:val="99"/>
    <w:unhideWhenUsed/>
    <w:rsid w:val="009372F7"/>
    <w:pPr>
      <w:spacing w:before="100" w:beforeAutospacing="1" w:after="100" w:afterAutospacing="1"/>
    </w:pPr>
    <w:rPr>
      <w:rFonts w:ascii="Times New Roman" w:hAnsi="Times New Roman"/>
      <w:sz w:val="24"/>
      <w:lang w:eastAsia="en-AU"/>
    </w:rPr>
  </w:style>
  <w:style w:type="character" w:customStyle="1" w:styleId="Heading3Char">
    <w:name w:val="Heading 3 Char"/>
    <w:link w:val="Heading3"/>
    <w:rsid w:val="009372F7"/>
    <w:rPr>
      <w:rFonts w:ascii="Arial" w:eastAsia="Times New Roman" w:hAnsi="Arial" w:cs="Arial"/>
      <w:b/>
      <w:iCs/>
      <w:color w:val="153A6E"/>
      <w:sz w:val="28"/>
      <w:szCs w:val="28"/>
      <w:lang w:val="en-AU"/>
    </w:rPr>
  </w:style>
  <w:style w:type="paragraph" w:customStyle="1" w:styleId="Appendicessubheadings">
    <w:name w:val="Appendices sub headings"/>
    <w:basedOn w:val="Heading3"/>
    <w:link w:val="AppendicessubheadingsChar"/>
    <w:rsid w:val="009372F7"/>
    <w:rPr>
      <w:color w:val="003D69"/>
    </w:rPr>
  </w:style>
  <w:style w:type="character" w:customStyle="1" w:styleId="AppendicessubheadingsChar">
    <w:name w:val="Appendices sub headings Char"/>
    <w:basedOn w:val="Heading3Char"/>
    <w:link w:val="Appendicessubheadings"/>
    <w:rsid w:val="009372F7"/>
    <w:rPr>
      <w:rFonts w:ascii="Arial" w:eastAsia="Times New Roman" w:hAnsi="Arial" w:cs="Arial"/>
      <w:b/>
      <w:iCs/>
      <w:color w:val="003D69"/>
      <w:sz w:val="28"/>
      <w:szCs w:val="28"/>
      <w:lang w:val="en-AU"/>
    </w:rPr>
  </w:style>
  <w:style w:type="paragraph" w:styleId="BodyText">
    <w:name w:val="Body Text"/>
    <w:basedOn w:val="Normal"/>
    <w:link w:val="BodyTextChar"/>
    <w:rsid w:val="009372F7"/>
    <w:pPr>
      <w:spacing w:after="120"/>
    </w:pPr>
  </w:style>
  <w:style w:type="character" w:customStyle="1" w:styleId="BodyTextChar">
    <w:name w:val="Body Text Char"/>
    <w:basedOn w:val="DefaultParagraphFont"/>
    <w:link w:val="BodyText"/>
    <w:rsid w:val="009372F7"/>
    <w:rPr>
      <w:rFonts w:ascii="Arial" w:eastAsia="Times New Roman" w:hAnsi="Arial" w:cs="Times New Roman"/>
      <w:sz w:val="22"/>
      <w:lang w:val="en-AU"/>
    </w:rPr>
  </w:style>
  <w:style w:type="character" w:styleId="BookTitle">
    <w:name w:val="Book Title"/>
    <w:basedOn w:val="DefaultParagraphFont"/>
    <w:uiPriority w:val="33"/>
    <w:rsid w:val="009372F7"/>
    <w:rPr>
      <w:b/>
      <w:bCs/>
      <w:smallCaps/>
      <w:spacing w:val="5"/>
    </w:rPr>
  </w:style>
  <w:style w:type="numbering" w:customStyle="1" w:styleId="Bullet">
    <w:name w:val="Bullet"/>
    <w:rsid w:val="009372F7"/>
    <w:pPr>
      <w:numPr>
        <w:numId w:val="8"/>
      </w:numPr>
    </w:pPr>
  </w:style>
  <w:style w:type="paragraph" w:styleId="Caption">
    <w:name w:val="caption"/>
    <w:basedOn w:val="Normal"/>
    <w:next w:val="Normal"/>
    <w:unhideWhenUsed/>
    <w:rsid w:val="009372F7"/>
    <w:pPr>
      <w:keepNext/>
      <w:keepLines/>
      <w:spacing w:after="200"/>
    </w:pPr>
    <w:rPr>
      <w:b/>
      <w:bCs/>
      <w:color w:val="000000" w:themeColor="text1"/>
      <w:szCs w:val="18"/>
    </w:rPr>
  </w:style>
  <w:style w:type="table" w:customStyle="1" w:styleId="DefenceTable">
    <w:name w:val="Defence Table"/>
    <w:basedOn w:val="TableNormal"/>
    <w:rsid w:val="009372F7"/>
    <w:rPr>
      <w:rFonts w:ascii="Georgia" w:eastAsia="Times New Roman" w:hAnsi="Georgia" w:cs="Times New Roman"/>
      <w:sz w:val="20"/>
      <w:szCs w:val="20"/>
      <w:lang w:val="en-AU" w:eastAsia="en-AU"/>
    </w:rPr>
    <w:tblPr>
      <w:tblStyleRowBandSize w:val="1"/>
      <w:tblStyleColBandSize w:val="1"/>
      <w:tblBorders>
        <w:bottom w:val="single" w:sz="4" w:space="0" w:color="000000" w:themeColor="text1"/>
        <w:insideH w:val="dotted" w:sz="6" w:space="0" w:color="000000" w:themeColor="text1"/>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shd w:val="clear" w:color="auto" w:fill="000000" w:themeFill="text1"/>
        <w:vAlign w:val="bottom"/>
      </w:tcPr>
    </w:tblStylePr>
    <w:tblStylePr w:type="lastRow">
      <w:rPr>
        <w:color w:val="auto"/>
      </w:rPr>
      <w:tblPr/>
      <w:tcPr>
        <w:tcBorders>
          <w:top w:val="single" w:sz="4" w:space="0" w:color="000000" w:themeColor="text1"/>
        </w:tcBorders>
        <w:shd w:val="clear" w:color="auto" w:fill="auto"/>
      </w:tcPr>
    </w:tblStylePr>
    <w:tblStylePr w:type="nwCell">
      <w:pPr>
        <w:jc w:val="left"/>
      </w:pPr>
      <w:tblPr/>
      <w:tcPr>
        <w:vAlign w:val="bottom"/>
      </w:tcPr>
    </w:tblStylePr>
  </w:style>
  <w:style w:type="paragraph" w:styleId="DocumentMap">
    <w:name w:val="Document Map"/>
    <w:basedOn w:val="Normal"/>
    <w:link w:val="DocumentMapChar"/>
    <w:semiHidden/>
    <w:unhideWhenUsed/>
    <w:rsid w:val="009372F7"/>
    <w:rPr>
      <w:rFonts w:ascii="Times New Roman" w:hAnsi="Times New Roman"/>
      <w:sz w:val="24"/>
    </w:rPr>
  </w:style>
  <w:style w:type="character" w:customStyle="1" w:styleId="DocumentMapChar">
    <w:name w:val="Document Map Char"/>
    <w:basedOn w:val="DefaultParagraphFont"/>
    <w:link w:val="DocumentMap"/>
    <w:semiHidden/>
    <w:rsid w:val="009372F7"/>
    <w:rPr>
      <w:rFonts w:ascii="Times New Roman" w:eastAsia="Times New Roman" w:hAnsi="Times New Roman" w:cs="Times New Roman"/>
      <w:lang w:val="en-AU"/>
    </w:rPr>
  </w:style>
  <w:style w:type="character" w:styleId="Emphasis">
    <w:name w:val="Emphasis"/>
    <w:basedOn w:val="DefaultParagraphFont"/>
    <w:uiPriority w:val="20"/>
    <w:rsid w:val="009372F7"/>
    <w:rPr>
      <w:i/>
      <w:iCs/>
    </w:rPr>
  </w:style>
  <w:style w:type="character" w:styleId="EndnoteReference">
    <w:name w:val="endnote reference"/>
    <w:basedOn w:val="DefaultParagraphFont"/>
    <w:rsid w:val="009372F7"/>
    <w:rPr>
      <w:vertAlign w:val="superscript"/>
    </w:rPr>
  </w:style>
  <w:style w:type="paragraph" w:styleId="EndnoteText">
    <w:name w:val="endnote text"/>
    <w:basedOn w:val="Normal"/>
    <w:link w:val="EndnoteTextChar"/>
    <w:rsid w:val="009372F7"/>
    <w:rPr>
      <w:sz w:val="20"/>
      <w:szCs w:val="20"/>
    </w:rPr>
  </w:style>
  <w:style w:type="character" w:customStyle="1" w:styleId="EndnoteTextChar">
    <w:name w:val="Endnote Text Char"/>
    <w:basedOn w:val="DefaultParagraphFont"/>
    <w:link w:val="EndnoteText"/>
    <w:rsid w:val="009372F7"/>
    <w:rPr>
      <w:rFonts w:ascii="Arial" w:eastAsia="Times New Roman" w:hAnsi="Arial" w:cs="Times New Roman"/>
      <w:sz w:val="20"/>
      <w:szCs w:val="20"/>
      <w:lang w:val="en-AU"/>
    </w:rPr>
  </w:style>
  <w:style w:type="paragraph" w:customStyle="1" w:styleId="FigureTitle">
    <w:name w:val="Figure Title"/>
    <w:next w:val="Normal"/>
    <w:qFormat/>
    <w:rsid w:val="009372F7"/>
    <w:pPr>
      <w:tabs>
        <w:tab w:val="num" w:pos="1080"/>
      </w:tabs>
      <w:spacing w:before="360" w:after="120" w:line="240" w:lineRule="exact"/>
    </w:pPr>
    <w:rPr>
      <w:rFonts w:ascii="Arial" w:eastAsia="Times New Roman" w:hAnsi="Arial" w:cs="Times New Roman"/>
      <w:b/>
      <w:color w:val="000000" w:themeColor="text1"/>
      <w:sz w:val="22"/>
      <w:lang w:val="en-AU"/>
    </w:rPr>
  </w:style>
  <w:style w:type="paragraph" w:customStyle="1" w:styleId="Footertext">
    <w:name w:val="Footer text"/>
    <w:rsid w:val="009372F7"/>
    <w:rPr>
      <w:rFonts w:ascii="Arial" w:eastAsia="Times New Roman" w:hAnsi="Arial" w:cs="Arial"/>
      <w:sz w:val="20"/>
      <w:szCs w:val="22"/>
      <w:lang w:val="en-AU"/>
    </w:rPr>
  </w:style>
  <w:style w:type="paragraph" w:customStyle="1" w:styleId="Paragraphtext">
    <w:name w:val="Paragraph text"/>
    <w:basedOn w:val="Normal"/>
    <w:qFormat/>
    <w:rsid w:val="009372F7"/>
    <w:pPr>
      <w:spacing w:before="240" w:after="240" w:line="240" w:lineRule="atLeast"/>
    </w:pPr>
    <w:rPr>
      <w:color w:val="000000" w:themeColor="text1"/>
    </w:rPr>
  </w:style>
  <w:style w:type="paragraph" w:customStyle="1" w:styleId="Hangingindent1">
    <w:name w:val="Hanging indent 1"/>
    <w:basedOn w:val="Paragraphtext"/>
    <w:rsid w:val="009372F7"/>
    <w:pPr>
      <w:tabs>
        <w:tab w:val="left" w:pos="357"/>
      </w:tabs>
      <w:ind w:left="357" w:hanging="357"/>
    </w:pPr>
  </w:style>
  <w:style w:type="paragraph" w:customStyle="1" w:styleId="headertext">
    <w:name w:val="header text"/>
    <w:rsid w:val="009372F7"/>
    <w:rPr>
      <w:rFonts w:ascii="Arial" w:eastAsia="Times New Roman" w:hAnsi="Arial" w:cs="Times New Roman"/>
      <w:sz w:val="20"/>
      <w:lang w:val="en-AU"/>
    </w:rPr>
  </w:style>
  <w:style w:type="paragraph" w:customStyle="1" w:styleId="Heading1Orange">
    <w:name w:val="Heading 1 Orange"/>
    <w:basedOn w:val="Heading1"/>
    <w:rsid w:val="009372F7"/>
    <w:pPr>
      <w:ind w:left="431" w:hanging="431"/>
    </w:pPr>
    <w:rPr>
      <w:color w:val="D72F0D"/>
    </w:rPr>
  </w:style>
  <w:style w:type="paragraph" w:customStyle="1" w:styleId="Heading1Purple">
    <w:name w:val="Heading 1 Purple"/>
    <w:basedOn w:val="Heading1"/>
    <w:next w:val="Normal"/>
    <w:rsid w:val="009372F7"/>
    <w:pPr>
      <w:ind w:left="431" w:hanging="431"/>
    </w:pPr>
    <w:rPr>
      <w:color w:val="8D188D"/>
    </w:rPr>
  </w:style>
  <w:style w:type="paragraph" w:customStyle="1" w:styleId="Heading2Orange">
    <w:name w:val="Heading 2 Orange"/>
    <w:basedOn w:val="Heading2"/>
    <w:next w:val="Normal"/>
    <w:rsid w:val="009372F7"/>
    <w:pPr>
      <w:ind w:left="578" w:hanging="578"/>
    </w:pPr>
  </w:style>
  <w:style w:type="paragraph" w:customStyle="1" w:styleId="Heading2Purple">
    <w:name w:val="Heading 2 Purple"/>
    <w:basedOn w:val="Heading2"/>
    <w:next w:val="Normal"/>
    <w:qFormat/>
    <w:rsid w:val="009372F7"/>
    <w:pPr>
      <w:spacing w:before="180"/>
      <w:ind w:left="578" w:hanging="578"/>
    </w:pPr>
    <w:rPr>
      <w:color w:val="8D188D"/>
    </w:rPr>
  </w:style>
  <w:style w:type="character" w:customStyle="1" w:styleId="Heading4Char">
    <w:name w:val="Heading 4 Char"/>
    <w:basedOn w:val="DefaultParagraphFont"/>
    <w:link w:val="Heading4"/>
    <w:rsid w:val="009372F7"/>
    <w:rPr>
      <w:rFonts w:ascii="Arial" w:eastAsia="Times New Roman" w:hAnsi="Arial" w:cs="Times New Roman"/>
      <w:b/>
      <w:bCs/>
      <w:color w:val="153A6E"/>
      <w:szCs w:val="28"/>
      <w:lang w:val="en-AU"/>
    </w:rPr>
  </w:style>
  <w:style w:type="character" w:customStyle="1" w:styleId="Heading5Char">
    <w:name w:val="Heading 5 Char"/>
    <w:basedOn w:val="DefaultParagraphFont"/>
    <w:link w:val="Heading5"/>
    <w:rsid w:val="009372F7"/>
    <w:rPr>
      <w:rFonts w:ascii="Arial" w:eastAsia="Times New Roman" w:hAnsi="Arial" w:cs="Times New Roman"/>
      <w:b/>
      <w:bCs/>
      <w:iCs/>
      <w:sz w:val="22"/>
      <w:szCs w:val="26"/>
      <w:lang w:val="en-AU"/>
    </w:rPr>
  </w:style>
  <w:style w:type="character" w:customStyle="1" w:styleId="Heading6Char">
    <w:name w:val="Heading 6 Char"/>
    <w:basedOn w:val="DefaultParagraphFont"/>
    <w:link w:val="Heading6"/>
    <w:rsid w:val="009372F7"/>
    <w:rPr>
      <w:rFonts w:ascii="Arial" w:eastAsia="Times New Roman" w:hAnsi="Arial" w:cs="Times New Roman"/>
      <w:b/>
      <w:bCs/>
      <w:i/>
      <w:sz w:val="22"/>
      <w:szCs w:val="22"/>
      <w:lang w:val="en-AU"/>
    </w:rPr>
  </w:style>
  <w:style w:type="character" w:customStyle="1" w:styleId="Heading7Char">
    <w:name w:val="Heading 7 Char"/>
    <w:basedOn w:val="DefaultParagraphFont"/>
    <w:link w:val="Heading7"/>
    <w:semiHidden/>
    <w:rsid w:val="009372F7"/>
    <w:rPr>
      <w:rFonts w:asciiTheme="majorHAnsi" w:eastAsiaTheme="majorEastAsia" w:hAnsiTheme="majorHAnsi" w:cstheme="majorBidi"/>
      <w:i/>
      <w:iCs/>
      <w:color w:val="404040" w:themeColor="text1" w:themeTint="BF"/>
      <w:sz w:val="22"/>
      <w:lang w:val="en-AU"/>
    </w:rPr>
  </w:style>
  <w:style w:type="character" w:customStyle="1" w:styleId="Heading8Char">
    <w:name w:val="Heading 8 Char"/>
    <w:basedOn w:val="DefaultParagraphFont"/>
    <w:link w:val="Heading8"/>
    <w:semiHidden/>
    <w:rsid w:val="009372F7"/>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semiHidden/>
    <w:rsid w:val="009372F7"/>
    <w:rPr>
      <w:rFonts w:asciiTheme="majorHAnsi" w:eastAsiaTheme="majorEastAsia" w:hAnsiTheme="majorHAnsi" w:cstheme="majorBidi"/>
      <w:i/>
      <w:iCs/>
      <w:color w:val="404040" w:themeColor="text1" w:themeTint="BF"/>
      <w:sz w:val="20"/>
      <w:szCs w:val="20"/>
      <w:lang w:val="en-AU"/>
    </w:rPr>
  </w:style>
  <w:style w:type="paragraph" w:customStyle="1" w:styleId="Indent1">
    <w:name w:val="Indent 1"/>
    <w:basedOn w:val="Paragraphtext"/>
    <w:rsid w:val="009372F7"/>
    <w:pPr>
      <w:ind w:left="284"/>
    </w:pPr>
  </w:style>
  <w:style w:type="paragraph" w:customStyle="1" w:styleId="Indent2">
    <w:name w:val="Indent 2"/>
    <w:basedOn w:val="Indent1"/>
    <w:rsid w:val="009372F7"/>
    <w:pPr>
      <w:numPr>
        <w:ilvl w:val="2"/>
      </w:numPr>
      <w:ind w:left="284"/>
    </w:pPr>
  </w:style>
  <w:style w:type="paragraph" w:customStyle="1" w:styleId="Indent3">
    <w:name w:val="Indent 3"/>
    <w:basedOn w:val="Indent2"/>
    <w:rsid w:val="009372F7"/>
    <w:pPr>
      <w:numPr>
        <w:ilvl w:val="3"/>
      </w:numPr>
      <w:ind w:left="284"/>
    </w:pPr>
  </w:style>
  <w:style w:type="paragraph" w:customStyle="1" w:styleId="Indent4">
    <w:name w:val="Indent 4"/>
    <w:basedOn w:val="Indent3"/>
    <w:rsid w:val="009372F7"/>
    <w:pPr>
      <w:numPr>
        <w:ilvl w:val="4"/>
      </w:numPr>
      <w:ind w:left="284"/>
    </w:pPr>
  </w:style>
  <w:style w:type="paragraph" w:customStyle="1" w:styleId="Indent5">
    <w:name w:val="Indent 5"/>
    <w:basedOn w:val="Indent4"/>
    <w:rsid w:val="009372F7"/>
    <w:pPr>
      <w:numPr>
        <w:ilvl w:val="5"/>
      </w:numPr>
      <w:ind w:left="284"/>
    </w:pPr>
  </w:style>
  <w:style w:type="paragraph" w:customStyle="1" w:styleId="Indent6">
    <w:name w:val="Indent 6"/>
    <w:basedOn w:val="Indent5"/>
    <w:rsid w:val="009372F7"/>
    <w:pPr>
      <w:numPr>
        <w:ilvl w:val="6"/>
      </w:numPr>
      <w:ind w:left="284"/>
    </w:pPr>
  </w:style>
  <w:style w:type="paragraph" w:customStyle="1" w:styleId="Indent7">
    <w:name w:val="Indent 7"/>
    <w:basedOn w:val="Indent6"/>
    <w:rsid w:val="009372F7"/>
    <w:pPr>
      <w:numPr>
        <w:ilvl w:val="7"/>
      </w:numPr>
      <w:ind w:left="284"/>
    </w:pPr>
  </w:style>
  <w:style w:type="paragraph" w:customStyle="1" w:styleId="Indent8">
    <w:name w:val="Indent 8"/>
    <w:basedOn w:val="Indent7"/>
    <w:rsid w:val="009372F7"/>
    <w:pPr>
      <w:numPr>
        <w:ilvl w:val="8"/>
      </w:numPr>
      <w:ind w:left="284"/>
    </w:pPr>
  </w:style>
  <w:style w:type="character" w:styleId="IntenseEmphasis">
    <w:name w:val="Intense Emphasis"/>
    <w:basedOn w:val="DefaultParagraphFont"/>
    <w:uiPriority w:val="21"/>
    <w:rsid w:val="009372F7"/>
    <w:rPr>
      <w:b/>
      <w:bCs/>
      <w:i/>
      <w:iCs/>
      <w:color w:val="5B9BD5" w:themeColor="accent1"/>
    </w:rPr>
  </w:style>
  <w:style w:type="character" w:styleId="IntenseReference">
    <w:name w:val="Intense Reference"/>
    <w:basedOn w:val="DefaultParagraphFont"/>
    <w:uiPriority w:val="32"/>
    <w:rsid w:val="009372F7"/>
    <w:rPr>
      <w:b/>
      <w:bCs/>
      <w:i/>
      <w:smallCaps/>
      <w:color w:val="ED7D31" w:themeColor="accent2"/>
      <w:spacing w:val="5"/>
      <w:u w:val="none"/>
    </w:rPr>
  </w:style>
  <w:style w:type="numbering" w:customStyle="1" w:styleId="List18">
    <w:name w:val="List 18"/>
    <w:basedOn w:val="NoList"/>
    <w:rsid w:val="009372F7"/>
    <w:pPr>
      <w:numPr>
        <w:numId w:val="9"/>
      </w:numPr>
    </w:pPr>
  </w:style>
  <w:style w:type="numbering" w:customStyle="1" w:styleId="List9">
    <w:name w:val="List 9"/>
    <w:basedOn w:val="NoList"/>
    <w:rsid w:val="009372F7"/>
    <w:pPr>
      <w:numPr>
        <w:numId w:val="10"/>
      </w:numPr>
    </w:pPr>
  </w:style>
  <w:style w:type="paragraph" w:customStyle="1" w:styleId="MajorHeading">
    <w:name w:val="Major Heading"/>
    <w:basedOn w:val="Normal"/>
    <w:rsid w:val="009372F7"/>
    <w:pPr>
      <w:keepNext/>
      <w:keepLines/>
      <w:spacing w:before="240" w:after="60"/>
    </w:pPr>
    <w:rPr>
      <w:b/>
      <w:color w:val="003D69"/>
    </w:rPr>
  </w:style>
  <w:style w:type="paragraph" w:customStyle="1" w:styleId="MLNormal">
    <w:name w:val="ML Normal"/>
    <w:basedOn w:val="Normal"/>
    <w:link w:val="MLNormalChar"/>
    <w:rsid w:val="009372F7"/>
    <w:pPr>
      <w:numPr>
        <w:numId w:val="13"/>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9372F7"/>
    <w:rPr>
      <w:rFonts w:eastAsia="Times New Roman" w:cs="Arial"/>
      <w:snapToGrid w:val="0"/>
      <w:sz w:val="20"/>
      <w:szCs w:val="20"/>
      <w:lang w:val="en-AU"/>
    </w:rPr>
  </w:style>
  <w:style w:type="paragraph" w:customStyle="1" w:styleId="MLNormalAftertable">
    <w:name w:val="ML Normal_After table"/>
    <w:basedOn w:val="MLNormal"/>
    <w:rsid w:val="009372F7"/>
    <w:pPr>
      <w:numPr>
        <w:numId w:val="0"/>
      </w:numPr>
      <w:spacing w:before="120" w:after="120"/>
      <w:ind w:left="720" w:hanging="360"/>
    </w:pPr>
    <w:rPr>
      <w:lang w:val="en-GB"/>
    </w:rPr>
  </w:style>
  <w:style w:type="paragraph" w:styleId="NoSpacing">
    <w:name w:val="No Spacing"/>
    <w:uiPriority w:val="1"/>
    <w:rsid w:val="009372F7"/>
    <w:rPr>
      <w:rFonts w:ascii="Times New Roman" w:eastAsia="Times New Roman" w:hAnsi="Times New Roman" w:cs="Times New Roman"/>
      <w:lang w:val="en-AU"/>
    </w:rPr>
  </w:style>
  <w:style w:type="table" w:customStyle="1" w:styleId="PGNGreyTable">
    <w:name w:val="PGN Grey Table"/>
    <w:basedOn w:val="TableNormal"/>
    <w:uiPriority w:val="99"/>
    <w:rsid w:val="009372F7"/>
    <w:pPr>
      <w:spacing w:before="120" w:after="120"/>
    </w:pPr>
    <w:rPr>
      <w:rFonts w:ascii="Arial" w:eastAsia="Times New Roman" w:hAnsi="Arial" w:cs="Times New Roman"/>
      <w:sz w:val="22"/>
      <w:szCs w:val="20"/>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PurpleTable">
    <w:name w:val="PHN Purple Table"/>
    <w:basedOn w:val="TableNormal"/>
    <w:uiPriority w:val="99"/>
    <w:rsid w:val="009372F7"/>
    <w:pPr>
      <w:spacing w:before="120" w:after="120"/>
    </w:pPr>
    <w:rPr>
      <w:rFonts w:ascii="Arial" w:eastAsia="Times New Roman" w:hAnsi="Arial" w:cs="Times New Roman"/>
      <w:color w:val="000000" w:themeColor="text1"/>
      <w:sz w:val="22"/>
      <w:szCs w:val="20"/>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BlueTable">
    <w:name w:val="PHN Blue Table"/>
    <w:basedOn w:val="PHNPurpleTable"/>
    <w:uiPriority w:val="99"/>
    <w:rsid w:val="009372F7"/>
    <w:tblPr/>
    <w:tblStylePr w:type="firstRow">
      <w:rPr>
        <w:rFonts w:ascii="Arial" w:hAnsi="Arial"/>
        <w:b/>
        <w:color w:val="FFFFFF" w:themeColor="background1"/>
        <w:sz w:val="22"/>
      </w:rPr>
      <w:tblPr/>
      <w:trPr>
        <w:tblHeader/>
      </w:trPr>
      <w:tcPr>
        <w:shd w:val="clear" w:color="auto" w:fill="153A6E"/>
      </w:tcPr>
    </w:tblStylePr>
  </w:style>
  <w:style w:type="table" w:customStyle="1" w:styleId="PHNGreyTableAlt2">
    <w:name w:val="PHN Grey Table Alt 2"/>
    <w:basedOn w:val="TableNormal"/>
    <w:uiPriority w:val="99"/>
    <w:rsid w:val="009372F7"/>
    <w:rPr>
      <w:rFonts w:ascii="Arial" w:eastAsia="Times New Roman" w:hAnsi="Arial" w:cs="Times New Roman"/>
      <w:color w:val="000000" w:themeColor="text1"/>
      <w:sz w:val="22"/>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Alt2">
    <w:name w:val="PHN Purple Table Alt 2"/>
    <w:basedOn w:val="TableNormal"/>
    <w:uiPriority w:val="99"/>
    <w:rsid w:val="009372F7"/>
    <w:pPr>
      <w:spacing w:before="120" w:after="120"/>
    </w:pPr>
    <w:rPr>
      <w:rFonts w:ascii="Arial" w:eastAsia="Times New Roman" w:hAnsi="Arial" w:cs="Times New Roman"/>
      <w:color w:val="000000" w:themeColor="text1"/>
      <w:sz w:val="22"/>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9372F7"/>
    <w:pPr>
      <w:spacing w:before="120" w:after="120"/>
    </w:pPr>
    <w:rPr>
      <w:rFonts w:ascii="Arial" w:eastAsia="Times New Roman" w:hAnsi="Arial" w:cs="Times New Roman"/>
      <w:sz w:val="22"/>
      <w:szCs w:val="20"/>
      <w:lang w:val="en-AU" w:eastAsia="en-AU"/>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9372F7"/>
    <w:pPr>
      <w:spacing w:before="120" w:after="120"/>
    </w:pPr>
    <w:rPr>
      <w:rFonts w:ascii="Arial" w:eastAsia="Times New Roman" w:hAnsi="Arial" w:cs="Times New Roman"/>
      <w:sz w:val="22"/>
      <w:szCs w:val="20"/>
      <w:lang w:val="en-AU" w:eastAsia="en-AU"/>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table" w:customStyle="1" w:styleId="PwCTableText">
    <w:name w:val="PwC Table Text"/>
    <w:basedOn w:val="TableNormal"/>
    <w:uiPriority w:val="99"/>
    <w:qFormat/>
    <w:rsid w:val="009372F7"/>
    <w:pPr>
      <w:spacing w:before="60" w:after="60"/>
    </w:pPr>
    <w:rPr>
      <w:rFonts w:ascii="Georgia" w:hAnsi="Georgia"/>
      <w:sz w:val="20"/>
      <w:szCs w:val="20"/>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styleId="Quote">
    <w:name w:val="Quote"/>
    <w:next w:val="Normal"/>
    <w:link w:val="QuoteChar"/>
    <w:uiPriority w:val="29"/>
    <w:qFormat/>
    <w:rsid w:val="009372F7"/>
    <w:pPr>
      <w:ind w:left="720"/>
    </w:pPr>
    <w:rPr>
      <w:rFonts w:ascii="Arial" w:eastAsia="Times New Roman" w:hAnsi="Arial" w:cs="Times New Roman"/>
      <w:i/>
      <w:iCs/>
      <w:color w:val="000000" w:themeColor="text1"/>
      <w:sz w:val="22"/>
      <w:lang w:val="en-AU"/>
    </w:rPr>
  </w:style>
  <w:style w:type="character" w:customStyle="1" w:styleId="QuoteChar">
    <w:name w:val="Quote Char"/>
    <w:basedOn w:val="DefaultParagraphFont"/>
    <w:link w:val="Quote"/>
    <w:uiPriority w:val="29"/>
    <w:rsid w:val="009372F7"/>
    <w:rPr>
      <w:rFonts w:ascii="Arial" w:eastAsia="Times New Roman" w:hAnsi="Arial" w:cs="Times New Roman"/>
      <w:i/>
      <w:iCs/>
      <w:color w:val="000000" w:themeColor="text1"/>
      <w:sz w:val="22"/>
      <w:lang w:val="en-AU"/>
    </w:rPr>
  </w:style>
  <w:style w:type="paragraph" w:customStyle="1" w:styleId="SectionHeading">
    <w:name w:val="Section Heading"/>
    <w:basedOn w:val="Heading1"/>
    <w:next w:val="Paragraphtext"/>
    <w:qFormat/>
    <w:rsid w:val="009372F7"/>
    <w:pPr>
      <w:numPr>
        <w:numId w:val="0"/>
      </w:numPr>
      <w:spacing w:before="360"/>
    </w:pPr>
  </w:style>
  <w:style w:type="character" w:styleId="Strong">
    <w:name w:val="Strong"/>
    <w:basedOn w:val="DefaultParagraphFont"/>
    <w:rsid w:val="009372F7"/>
    <w:rPr>
      <w:b/>
      <w:bCs/>
    </w:rPr>
  </w:style>
  <w:style w:type="paragraph" w:customStyle="1" w:styleId="Subsubheading">
    <w:name w:val="Sub sub heading"/>
    <w:basedOn w:val="Body"/>
    <w:next w:val="Body"/>
    <w:qFormat/>
    <w:rsid w:val="009372F7"/>
    <w:pPr>
      <w:keepNext/>
      <w:spacing w:after="80"/>
    </w:pPr>
    <w:rPr>
      <w:i/>
    </w:rPr>
  </w:style>
  <w:style w:type="paragraph" w:customStyle="1" w:styleId="Sub-heading">
    <w:name w:val="Sub-heading"/>
    <w:basedOn w:val="Normal"/>
    <w:link w:val="Sub-headingChar"/>
    <w:autoRedefine/>
    <w:rsid w:val="009372F7"/>
    <w:pPr>
      <w:keepNext/>
      <w:spacing w:after="60"/>
    </w:pPr>
    <w:rPr>
      <w:rFonts w:cs="Calibri"/>
      <w:b/>
      <w:i/>
      <w:color w:val="003D69"/>
      <w:szCs w:val="22"/>
      <w:lang w:eastAsia="en-AU"/>
    </w:rPr>
  </w:style>
  <w:style w:type="character" w:customStyle="1" w:styleId="Sub-headingChar">
    <w:name w:val="Sub-heading Char"/>
    <w:basedOn w:val="DefaultParagraphFont"/>
    <w:link w:val="Sub-heading"/>
    <w:rsid w:val="009372F7"/>
    <w:rPr>
      <w:rFonts w:ascii="Arial" w:eastAsia="Times New Roman" w:hAnsi="Arial" w:cs="Calibri"/>
      <w:b/>
      <w:i/>
      <w:color w:val="003D69"/>
      <w:sz w:val="22"/>
      <w:szCs w:val="22"/>
      <w:lang w:val="en-AU" w:eastAsia="en-AU"/>
    </w:rPr>
  </w:style>
  <w:style w:type="paragraph" w:styleId="Subtitle">
    <w:name w:val="Subtitle"/>
    <w:next w:val="Normal"/>
    <w:link w:val="SubtitleChar"/>
    <w:qFormat/>
    <w:rsid w:val="009372F7"/>
    <w:pPr>
      <w:numPr>
        <w:ilvl w:val="1"/>
      </w:numPr>
      <w:spacing w:before="360" w:after="60"/>
      <w:contextualSpacing/>
    </w:pPr>
    <w:rPr>
      <w:rFonts w:ascii="Arial" w:eastAsiaTheme="majorEastAsia" w:hAnsi="Arial" w:cstheme="majorBidi"/>
      <w:iCs/>
      <w:color w:val="32373A"/>
      <w:spacing w:val="15"/>
      <w:sz w:val="36"/>
      <w:lang w:val="en-AU"/>
    </w:rPr>
  </w:style>
  <w:style w:type="character" w:customStyle="1" w:styleId="SubtitleChar">
    <w:name w:val="Subtitle Char"/>
    <w:basedOn w:val="DefaultParagraphFont"/>
    <w:link w:val="Subtitle"/>
    <w:rsid w:val="009372F7"/>
    <w:rPr>
      <w:rFonts w:ascii="Arial" w:eastAsiaTheme="majorEastAsia" w:hAnsi="Arial" w:cstheme="majorBidi"/>
      <w:iCs/>
      <w:color w:val="32373A"/>
      <w:spacing w:val="15"/>
      <w:sz w:val="36"/>
      <w:lang w:val="en-AU"/>
    </w:rPr>
  </w:style>
  <w:style w:type="character" w:styleId="SubtleEmphasis">
    <w:name w:val="Subtle Emphasis"/>
    <w:basedOn w:val="DefaultParagraphFont"/>
    <w:uiPriority w:val="19"/>
    <w:rsid w:val="009372F7"/>
    <w:rPr>
      <w:i/>
      <w:iCs/>
      <w:color w:val="808080" w:themeColor="text1" w:themeTint="7F"/>
    </w:rPr>
  </w:style>
  <w:style w:type="character" w:styleId="SubtleReference">
    <w:name w:val="Subtle Reference"/>
    <w:basedOn w:val="DefaultParagraphFont"/>
    <w:uiPriority w:val="31"/>
    <w:rsid w:val="009372F7"/>
    <w:rPr>
      <w:smallCaps/>
      <w:color w:val="ED7D31" w:themeColor="accent2"/>
      <w:u w:val="single"/>
    </w:rPr>
  </w:style>
  <w:style w:type="paragraph" w:customStyle="1" w:styleId="TableBullet1Small">
    <w:name w:val="Table Bullet 1 Small"/>
    <w:basedOn w:val="Normal"/>
    <w:rsid w:val="009372F7"/>
    <w:pPr>
      <w:numPr>
        <w:numId w:val="14"/>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2Small">
    <w:name w:val="Table Bullet 2 Small"/>
    <w:basedOn w:val="TableBullet1Small"/>
    <w:rsid w:val="009372F7"/>
    <w:pPr>
      <w:numPr>
        <w:ilvl w:val="1"/>
      </w:numPr>
    </w:pPr>
  </w:style>
  <w:style w:type="paragraph" w:customStyle="1" w:styleId="TableBullet3Small">
    <w:name w:val="Table Bullet 3 Small"/>
    <w:basedOn w:val="TableBullet2Small"/>
    <w:rsid w:val="009372F7"/>
    <w:pPr>
      <w:numPr>
        <w:ilvl w:val="2"/>
      </w:numPr>
    </w:pPr>
    <w:rPr>
      <w:szCs w:val="16"/>
    </w:rPr>
  </w:style>
  <w:style w:type="paragraph" w:customStyle="1" w:styleId="TableColumnHeadingNormal">
    <w:name w:val="Table Column Heading Normal"/>
    <w:basedOn w:val="Normal"/>
    <w:link w:val="TableColumnHeadingNormalChar"/>
    <w:rsid w:val="009372F7"/>
    <w:pPr>
      <w:keepNext/>
      <w:keepLines/>
      <w:kinsoku w:val="0"/>
      <w:overflowPunct w:val="0"/>
      <w:autoSpaceDE w:val="0"/>
      <w:autoSpaceDN w:val="0"/>
      <w:adjustRightInd w:val="0"/>
      <w:snapToGrid w:val="0"/>
      <w:spacing w:before="80" w:after="80"/>
    </w:pPr>
    <w:rPr>
      <w:rFonts w:asciiTheme="minorHAnsi" w:hAnsiTheme="minorHAnsi" w:cs="Arial"/>
      <w:b/>
      <w:snapToGrid w:val="0"/>
      <w:color w:val="FFFFFF" w:themeColor="background1"/>
      <w:sz w:val="20"/>
      <w:szCs w:val="20"/>
    </w:rPr>
  </w:style>
  <w:style w:type="character" w:customStyle="1" w:styleId="TableColumnHeadingNormalChar">
    <w:name w:val="Table Column Heading Normal Char"/>
    <w:basedOn w:val="DefaultParagraphFont"/>
    <w:link w:val="TableColumnHeadingNormal"/>
    <w:locked/>
    <w:rsid w:val="009372F7"/>
    <w:rPr>
      <w:rFonts w:eastAsia="Times New Roman" w:cs="Arial"/>
      <w:b/>
      <w:snapToGrid w:val="0"/>
      <w:color w:val="FFFFFF" w:themeColor="background1"/>
      <w:sz w:val="20"/>
      <w:szCs w:val="20"/>
      <w:lang w:val="en-AU"/>
    </w:rPr>
  </w:style>
  <w:style w:type="table" w:customStyle="1" w:styleId="TableGrid1">
    <w:name w:val="Table Grid1"/>
    <w:basedOn w:val="TableNormal"/>
    <w:next w:val="TableGrid"/>
    <w:uiPriority w:val="59"/>
    <w:rsid w:val="009372F7"/>
    <w:rPr>
      <w:rFonts w:ascii="Georgia" w:hAnsi="Georgia"/>
      <w:sz w:val="22"/>
      <w:szCs w:val="22"/>
      <w:lang w:val="en-AU"/>
    </w:rPr>
    <w:tblPr>
      <w:tblBorders>
        <w:top w:val="single" w:sz="6" w:space="0" w:color="44546A" w:themeColor="text2"/>
        <w:left w:val="single" w:sz="6" w:space="0" w:color="44546A" w:themeColor="text2"/>
        <w:bottom w:val="single" w:sz="6" w:space="0" w:color="44546A" w:themeColor="text2"/>
        <w:right w:val="single" w:sz="6" w:space="0" w:color="44546A" w:themeColor="text2"/>
        <w:insideH w:val="single" w:sz="6" w:space="0" w:color="44546A" w:themeColor="text2"/>
        <w:insideV w:val="single" w:sz="6" w:space="0" w:color="44546A" w:themeColor="text2"/>
      </w:tblBorders>
    </w:tblPr>
    <w:tblStylePr w:type="firstRow">
      <w:tblPr/>
      <w:trPr>
        <w:tblHeader/>
      </w:trPr>
      <w:tcPr>
        <w:shd w:val="clear" w:color="auto" w:fill="44546A" w:themeFill="text2"/>
      </w:tcPr>
    </w:tblStylePr>
  </w:style>
  <w:style w:type="table" w:customStyle="1" w:styleId="TableGrid2">
    <w:name w:val="Table Grid2"/>
    <w:basedOn w:val="TableNormal"/>
    <w:next w:val="TableGrid"/>
    <w:uiPriority w:val="59"/>
    <w:rsid w:val="009372F7"/>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next w:val="Normal"/>
    <w:qFormat/>
    <w:rsid w:val="009372F7"/>
    <w:pPr>
      <w:spacing w:before="80" w:after="80"/>
    </w:pPr>
    <w:rPr>
      <w:rFonts w:eastAsia="Cambria"/>
      <w:b/>
      <w:color w:val="000000" w:themeColor="text1"/>
      <w:szCs w:val="22"/>
      <w:lang w:val="en-US"/>
    </w:rPr>
  </w:style>
  <w:style w:type="paragraph" w:customStyle="1" w:styleId="TableHeaderteal">
    <w:name w:val="Table Header teal"/>
    <w:qFormat/>
    <w:rsid w:val="009372F7"/>
    <w:rPr>
      <w:rFonts w:ascii="Arial" w:eastAsia="Cambria" w:hAnsi="Arial" w:cs="Times New Roman"/>
      <w:b/>
      <w:color w:val="000000" w:themeColor="text1"/>
      <w:sz w:val="22"/>
      <w:szCs w:val="22"/>
      <w:lang w:val="en-US"/>
    </w:rPr>
  </w:style>
  <w:style w:type="paragraph" w:customStyle="1" w:styleId="TableHeaderWhite">
    <w:name w:val="Table Header White"/>
    <w:qFormat/>
    <w:rsid w:val="009372F7"/>
    <w:pPr>
      <w:spacing w:before="80" w:after="80"/>
    </w:pPr>
    <w:rPr>
      <w:rFonts w:ascii="Arial" w:eastAsia="Cambria" w:hAnsi="Arial" w:cs="Times New Roman"/>
      <w:color w:val="FFFFFF" w:themeColor="background1"/>
      <w:sz w:val="22"/>
      <w:szCs w:val="22"/>
      <w:lang w:val="en-US"/>
    </w:rPr>
  </w:style>
  <w:style w:type="paragraph" w:customStyle="1" w:styleId="Tablelistbullet">
    <w:name w:val="Table list bullet"/>
    <w:basedOn w:val="Normal"/>
    <w:qFormat/>
    <w:rsid w:val="008A0B33"/>
    <w:pPr>
      <w:numPr>
        <w:numId w:val="15"/>
      </w:numPr>
      <w:spacing w:before="40" w:after="40"/>
    </w:pPr>
    <w:rPr>
      <w:color w:val="000000" w:themeColor="text1"/>
      <w:szCs w:val="20"/>
    </w:rPr>
  </w:style>
  <w:style w:type="paragraph" w:customStyle="1" w:styleId="Tablelistnumber">
    <w:name w:val="Table list number"/>
    <w:basedOn w:val="Normal"/>
    <w:qFormat/>
    <w:rsid w:val="009372F7"/>
    <w:pPr>
      <w:numPr>
        <w:numId w:val="16"/>
      </w:numPr>
      <w:spacing w:before="80" w:after="80"/>
    </w:pPr>
    <w:rPr>
      <w:bCs/>
      <w:color w:val="000000" w:themeColor="text1"/>
      <w14:numSpacing w14:val="proportional"/>
    </w:rPr>
  </w:style>
  <w:style w:type="paragraph" w:styleId="TableofFigures">
    <w:name w:val="table of figures"/>
    <w:basedOn w:val="Normal"/>
    <w:next w:val="Normal"/>
    <w:uiPriority w:val="99"/>
    <w:rsid w:val="009372F7"/>
  </w:style>
  <w:style w:type="paragraph" w:customStyle="1" w:styleId="Tabletextnormal">
    <w:name w:val="Table text normal"/>
    <w:basedOn w:val="Normal"/>
    <w:rsid w:val="008A0B33"/>
    <w:pPr>
      <w:spacing w:before="40" w:after="40"/>
    </w:pPr>
    <w:rPr>
      <w:rFonts w:asciiTheme="minorHAnsi" w:hAnsiTheme="minorHAnsi"/>
      <w:color w:val="000000" w:themeColor="text1"/>
      <w:szCs w:val="22"/>
      <w:lang w:val="en-GB"/>
    </w:rPr>
  </w:style>
  <w:style w:type="paragraph" w:styleId="Title">
    <w:name w:val="Title"/>
    <w:next w:val="Normal"/>
    <w:link w:val="TitleChar"/>
    <w:qFormat/>
    <w:rsid w:val="009372F7"/>
    <w:pPr>
      <w:tabs>
        <w:tab w:val="left" w:pos="6792"/>
      </w:tabs>
      <w:spacing w:before="2040" w:after="480"/>
      <w:contextualSpacing/>
    </w:pPr>
    <w:rPr>
      <w:rFonts w:ascii="Arial" w:eastAsiaTheme="majorEastAsia" w:hAnsi="Arial" w:cstheme="majorBidi"/>
      <w:b/>
      <w:color w:val="153A6E"/>
      <w:kern w:val="28"/>
      <w:sz w:val="80"/>
      <w:szCs w:val="80"/>
      <w:lang w:val="en-AU"/>
    </w:rPr>
  </w:style>
  <w:style w:type="character" w:customStyle="1" w:styleId="TitleChar">
    <w:name w:val="Title Char"/>
    <w:basedOn w:val="DefaultParagraphFont"/>
    <w:link w:val="Title"/>
    <w:rsid w:val="009372F7"/>
    <w:rPr>
      <w:rFonts w:ascii="Arial" w:eastAsiaTheme="majorEastAsia" w:hAnsi="Arial" w:cstheme="majorBidi"/>
      <w:b/>
      <w:color w:val="153A6E"/>
      <w:kern w:val="28"/>
      <w:sz w:val="80"/>
      <w:szCs w:val="80"/>
      <w:lang w:val="en-AU"/>
    </w:rPr>
  </w:style>
  <w:style w:type="paragraph" w:styleId="TOCHeading">
    <w:name w:val="TOC Heading"/>
    <w:basedOn w:val="Heading1"/>
    <w:next w:val="Normal"/>
    <w:uiPriority w:val="39"/>
    <w:unhideWhenUsed/>
    <w:qFormat/>
    <w:rsid w:val="009372F7"/>
    <w:pPr>
      <w:keepLines/>
      <w:spacing w:before="480" w:after="0" w:line="276" w:lineRule="auto"/>
      <w:ind w:left="431" w:hanging="431"/>
      <w:outlineLvl w:val="9"/>
    </w:pPr>
    <w:rPr>
      <w:rFonts w:asciiTheme="majorHAnsi" w:eastAsiaTheme="majorEastAsia" w:hAnsiTheme="majorHAnsi" w:cstheme="majorBidi"/>
      <w:color w:val="2E74B5" w:themeColor="accent1" w:themeShade="BF"/>
      <w:kern w:val="0"/>
      <w:sz w:val="28"/>
      <w:szCs w:val="28"/>
      <w:lang w:val="en-US" w:eastAsia="ja-JP"/>
    </w:rPr>
  </w:style>
  <w:style w:type="paragraph" w:customStyle="1" w:styleId="Heading2nonumbering">
    <w:name w:val="Heading 2 no numbering"/>
    <w:basedOn w:val="Heading2"/>
    <w:rsid w:val="0039174C"/>
    <w:pPr>
      <w:numPr>
        <w:ilvl w:val="0"/>
        <w:numId w:val="0"/>
      </w:numPr>
    </w:pPr>
    <w:rPr>
      <w:sz w:val="28"/>
    </w:rPr>
  </w:style>
  <w:style w:type="paragraph" w:customStyle="1" w:styleId="Tablelistbullet2">
    <w:name w:val="Table list bullet 2"/>
    <w:basedOn w:val="Tablelistbullet"/>
    <w:rsid w:val="008A0B33"/>
    <w:pPr>
      <w:numPr>
        <w:ilvl w:val="1"/>
      </w:numPr>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qFormat="1"/>
    <w:lsdException w:name="caption" w:uiPriority="0" w:qFormat="1"/>
    <w:lsdException w:name="annotation reference" w:uiPriority="0"/>
    <w:lsdException w:name="endnote reference" w:uiPriority="0"/>
    <w:lsdException w:name="endnote text" w:uiPriority="0"/>
    <w:lsdException w:name="List Bullet" w:uiPriority="0" w:qFormat="1"/>
    <w:lsdException w:name="List Number" w:uiPriority="13"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List Number 4" w:uiPriority="13"/>
    <w:lsdException w:name="List Number 5" w:uiPriority="13"/>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174C"/>
    <w:rPr>
      <w:rFonts w:ascii="Arial" w:eastAsia="Times New Roman" w:hAnsi="Arial" w:cs="Times New Roman"/>
      <w:sz w:val="22"/>
      <w:lang w:val="en-AU"/>
    </w:rPr>
  </w:style>
  <w:style w:type="paragraph" w:styleId="Heading1">
    <w:name w:val="heading 1"/>
    <w:basedOn w:val="Normal"/>
    <w:next w:val="Normal"/>
    <w:link w:val="Heading1Char"/>
    <w:qFormat/>
    <w:rsid w:val="009372F7"/>
    <w:pPr>
      <w:keepNext/>
      <w:numPr>
        <w:numId w:val="17"/>
      </w:numPr>
      <w:spacing w:before="240" w:after="60"/>
      <w:outlineLvl w:val="0"/>
    </w:pPr>
    <w:rPr>
      <w:rFonts w:cs="Arial"/>
      <w:b/>
      <w:bCs/>
      <w:color w:val="153A6E"/>
      <w:kern w:val="28"/>
      <w:sz w:val="36"/>
      <w:szCs w:val="32"/>
    </w:rPr>
  </w:style>
  <w:style w:type="paragraph" w:styleId="Heading2">
    <w:name w:val="heading 2"/>
    <w:next w:val="Normal"/>
    <w:link w:val="Heading2Char"/>
    <w:qFormat/>
    <w:rsid w:val="009372F7"/>
    <w:pPr>
      <w:keepNext/>
      <w:numPr>
        <w:ilvl w:val="1"/>
        <w:numId w:val="17"/>
      </w:numPr>
      <w:spacing w:before="240" w:after="60"/>
      <w:outlineLvl w:val="1"/>
    </w:pPr>
    <w:rPr>
      <w:rFonts w:ascii="Arial" w:eastAsia="Times New Roman" w:hAnsi="Arial" w:cs="Arial"/>
      <w:b/>
      <w:bCs/>
      <w:iCs/>
      <w:color w:val="153A6E"/>
      <w:sz w:val="32"/>
      <w:szCs w:val="32"/>
      <w:lang w:val="en-AU"/>
    </w:rPr>
  </w:style>
  <w:style w:type="paragraph" w:styleId="Heading3">
    <w:name w:val="heading 3"/>
    <w:basedOn w:val="Heading2"/>
    <w:next w:val="Normal"/>
    <w:link w:val="Heading3Char"/>
    <w:qFormat/>
    <w:rsid w:val="009372F7"/>
    <w:pPr>
      <w:numPr>
        <w:ilvl w:val="2"/>
      </w:numPr>
      <w:spacing w:before="180"/>
      <w:outlineLvl w:val="2"/>
    </w:pPr>
    <w:rPr>
      <w:bCs w:val="0"/>
      <w:sz w:val="28"/>
      <w:szCs w:val="28"/>
    </w:rPr>
  </w:style>
  <w:style w:type="paragraph" w:styleId="Heading4">
    <w:name w:val="heading 4"/>
    <w:basedOn w:val="Normal"/>
    <w:next w:val="Normal"/>
    <w:link w:val="Heading4Char"/>
    <w:qFormat/>
    <w:rsid w:val="009372F7"/>
    <w:pPr>
      <w:keepNext/>
      <w:spacing w:before="240" w:after="60"/>
      <w:outlineLvl w:val="3"/>
    </w:pPr>
    <w:rPr>
      <w:b/>
      <w:bCs/>
      <w:color w:val="153A6E"/>
      <w:sz w:val="24"/>
      <w:szCs w:val="28"/>
    </w:rPr>
  </w:style>
  <w:style w:type="paragraph" w:styleId="Heading5">
    <w:name w:val="heading 5"/>
    <w:basedOn w:val="Normal"/>
    <w:next w:val="Normal"/>
    <w:link w:val="Heading5Char"/>
    <w:rsid w:val="009372F7"/>
    <w:pPr>
      <w:keepNext/>
      <w:numPr>
        <w:ilvl w:val="4"/>
        <w:numId w:val="17"/>
      </w:numPr>
      <w:spacing w:before="240" w:after="60"/>
      <w:outlineLvl w:val="4"/>
    </w:pPr>
    <w:rPr>
      <w:b/>
      <w:bCs/>
      <w:iCs/>
      <w:szCs w:val="26"/>
    </w:rPr>
  </w:style>
  <w:style w:type="paragraph" w:styleId="Heading6">
    <w:name w:val="heading 6"/>
    <w:basedOn w:val="Normal"/>
    <w:next w:val="Normal"/>
    <w:link w:val="Heading6Char"/>
    <w:rsid w:val="009372F7"/>
    <w:pPr>
      <w:keepNext/>
      <w:numPr>
        <w:ilvl w:val="5"/>
        <w:numId w:val="17"/>
      </w:numPr>
      <w:spacing w:before="240" w:after="60"/>
      <w:outlineLvl w:val="5"/>
    </w:pPr>
    <w:rPr>
      <w:b/>
      <w:bCs/>
      <w:i/>
      <w:szCs w:val="22"/>
    </w:rPr>
  </w:style>
  <w:style w:type="paragraph" w:styleId="Heading7">
    <w:name w:val="heading 7"/>
    <w:basedOn w:val="Normal"/>
    <w:next w:val="Normal"/>
    <w:link w:val="Heading7Char"/>
    <w:semiHidden/>
    <w:unhideWhenUsed/>
    <w:qFormat/>
    <w:rsid w:val="009372F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372F7"/>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372F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ListParagraph"/>
    <w:link w:val="BulletpointsChar"/>
    <w:qFormat/>
    <w:rsid w:val="009900EB"/>
    <w:pPr>
      <w:numPr>
        <w:numId w:val="1"/>
      </w:numPr>
      <w:spacing w:after="180"/>
    </w:pPr>
    <w:rPr>
      <w:rFonts w:ascii="Calibri" w:hAnsi="Calibri"/>
    </w:rPr>
  </w:style>
  <w:style w:type="character" w:customStyle="1" w:styleId="BulletpointsChar">
    <w:name w:val="Bullet points Char"/>
    <w:basedOn w:val="DefaultParagraphFont"/>
    <w:link w:val="Bulletpoints"/>
    <w:rsid w:val="009900EB"/>
    <w:rPr>
      <w:rFonts w:ascii="Calibri" w:eastAsia="Times New Roman" w:hAnsi="Calibri" w:cs="Times New Roman"/>
      <w:sz w:val="22"/>
      <w:lang w:val="en-AU"/>
    </w:rPr>
  </w:style>
  <w:style w:type="paragraph" w:styleId="ListParagraph">
    <w:name w:val="List Paragraph"/>
    <w:aliases w:val="List Paragraph1,Recommendation,Body text"/>
    <w:basedOn w:val="Normal"/>
    <w:link w:val="ListParagraphChar"/>
    <w:uiPriority w:val="34"/>
    <w:rsid w:val="009372F7"/>
    <w:pPr>
      <w:ind w:left="720"/>
      <w:contextualSpacing/>
    </w:pPr>
  </w:style>
  <w:style w:type="character" w:customStyle="1" w:styleId="Heading1Char">
    <w:name w:val="Heading 1 Char"/>
    <w:basedOn w:val="DefaultParagraphFont"/>
    <w:link w:val="Heading1"/>
    <w:rsid w:val="009372F7"/>
    <w:rPr>
      <w:rFonts w:ascii="Arial" w:eastAsia="Times New Roman" w:hAnsi="Arial" w:cs="Arial"/>
      <w:b/>
      <w:bCs/>
      <w:color w:val="153A6E"/>
      <w:kern w:val="28"/>
      <w:sz w:val="36"/>
      <w:szCs w:val="32"/>
      <w:lang w:val="en-AU"/>
    </w:rPr>
  </w:style>
  <w:style w:type="character" w:styleId="Hyperlink">
    <w:name w:val="Hyperlink"/>
    <w:basedOn w:val="DefaultParagraphFont"/>
    <w:uiPriority w:val="99"/>
    <w:unhideWhenUsed/>
    <w:qFormat/>
    <w:rsid w:val="009372F7"/>
    <w:rPr>
      <w:rFonts w:ascii="Arial" w:hAnsi="Arial"/>
      <w:color w:val="0563C1" w:themeColor="hyperlink"/>
      <w:sz w:val="22"/>
      <w:u w:val="single"/>
    </w:rPr>
  </w:style>
  <w:style w:type="paragraph" w:customStyle="1" w:styleId="Numberedlist">
    <w:name w:val="Numbered list"/>
    <w:basedOn w:val="ListParagraph"/>
    <w:qFormat/>
    <w:rsid w:val="005C2DFC"/>
    <w:pPr>
      <w:numPr>
        <w:numId w:val="2"/>
      </w:numPr>
      <w:contextualSpacing w:val="0"/>
    </w:pPr>
  </w:style>
  <w:style w:type="paragraph" w:styleId="FootnoteText">
    <w:name w:val="footnote text"/>
    <w:basedOn w:val="Normal"/>
    <w:link w:val="FootnoteTextChar"/>
    <w:uiPriority w:val="99"/>
    <w:qFormat/>
    <w:rsid w:val="009372F7"/>
    <w:pPr>
      <w:spacing w:after="120"/>
    </w:pPr>
    <w:rPr>
      <w:color w:val="000000" w:themeColor="text1"/>
      <w:sz w:val="18"/>
      <w:szCs w:val="20"/>
    </w:rPr>
  </w:style>
  <w:style w:type="character" w:customStyle="1" w:styleId="FootnoteTextChar">
    <w:name w:val="Footnote Text Char"/>
    <w:basedOn w:val="DefaultParagraphFont"/>
    <w:link w:val="FootnoteText"/>
    <w:uiPriority w:val="99"/>
    <w:rsid w:val="009372F7"/>
    <w:rPr>
      <w:rFonts w:ascii="Arial" w:eastAsia="Times New Roman" w:hAnsi="Arial" w:cs="Times New Roman"/>
      <w:color w:val="000000" w:themeColor="text1"/>
      <w:sz w:val="18"/>
      <w:szCs w:val="20"/>
      <w:lang w:val="en-AU"/>
    </w:rPr>
  </w:style>
  <w:style w:type="character" w:styleId="FootnoteReference">
    <w:name w:val="footnote reference"/>
    <w:basedOn w:val="DefaultParagraphFont"/>
    <w:uiPriority w:val="99"/>
    <w:rsid w:val="009372F7"/>
    <w:rPr>
      <w:vertAlign w:val="superscript"/>
    </w:rPr>
  </w:style>
  <w:style w:type="table" w:styleId="TableGrid">
    <w:name w:val="Table Grid"/>
    <w:aliases w:val="Table - Top"/>
    <w:basedOn w:val="TableNormal"/>
    <w:rsid w:val="009372F7"/>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9372F7"/>
    <w:pPr>
      <w:spacing w:after="180"/>
    </w:pPr>
    <w:rPr>
      <w:color w:val="003D69"/>
    </w:rPr>
  </w:style>
  <w:style w:type="character" w:customStyle="1" w:styleId="Heading2Char">
    <w:name w:val="Heading 2 Char"/>
    <w:basedOn w:val="DefaultParagraphFont"/>
    <w:link w:val="Heading2"/>
    <w:rsid w:val="00F45791"/>
    <w:rPr>
      <w:rFonts w:ascii="Arial" w:eastAsia="Times New Roman" w:hAnsi="Arial" w:cs="Arial"/>
      <w:b/>
      <w:bCs/>
      <w:iCs/>
      <w:color w:val="153A6E"/>
      <w:sz w:val="32"/>
      <w:szCs w:val="32"/>
      <w:lang w:val="en-AU"/>
    </w:rPr>
  </w:style>
  <w:style w:type="paragraph" w:styleId="TOC1">
    <w:name w:val="toc 1"/>
    <w:basedOn w:val="Normal"/>
    <w:next w:val="Normal"/>
    <w:autoRedefine/>
    <w:uiPriority w:val="39"/>
    <w:rsid w:val="009372F7"/>
    <w:pPr>
      <w:tabs>
        <w:tab w:val="right" w:leader="dot" w:pos="9736"/>
      </w:tabs>
      <w:spacing w:after="100"/>
    </w:pPr>
  </w:style>
  <w:style w:type="paragraph" w:styleId="TOC2">
    <w:name w:val="toc 2"/>
    <w:basedOn w:val="Normal"/>
    <w:next w:val="Normal"/>
    <w:autoRedefine/>
    <w:uiPriority w:val="39"/>
    <w:rsid w:val="009372F7"/>
    <w:pPr>
      <w:spacing w:after="100"/>
      <w:ind w:left="220"/>
    </w:pPr>
  </w:style>
  <w:style w:type="paragraph" w:styleId="TOC3">
    <w:name w:val="toc 3"/>
    <w:basedOn w:val="Normal"/>
    <w:next w:val="Normal"/>
    <w:autoRedefine/>
    <w:uiPriority w:val="39"/>
    <w:rsid w:val="009372F7"/>
    <w:pPr>
      <w:spacing w:after="100"/>
      <w:ind w:left="440"/>
    </w:pPr>
  </w:style>
  <w:style w:type="paragraph" w:styleId="TOC4">
    <w:name w:val="toc 4"/>
    <w:basedOn w:val="Normal"/>
    <w:next w:val="Normal"/>
    <w:autoRedefine/>
    <w:uiPriority w:val="39"/>
    <w:rsid w:val="009372F7"/>
    <w:pPr>
      <w:spacing w:after="100"/>
      <w:ind w:left="660"/>
    </w:pPr>
    <w:rPr>
      <w:i/>
      <w:sz w:val="20"/>
    </w:rPr>
  </w:style>
  <w:style w:type="paragraph" w:styleId="TOC5">
    <w:name w:val="toc 5"/>
    <w:basedOn w:val="Normal"/>
    <w:next w:val="Normal"/>
    <w:autoRedefine/>
    <w:uiPriority w:val="39"/>
    <w:rsid w:val="009372F7"/>
    <w:pPr>
      <w:spacing w:after="100"/>
      <w:ind w:left="880"/>
    </w:pPr>
  </w:style>
  <w:style w:type="paragraph" w:styleId="TOC6">
    <w:name w:val="toc 6"/>
    <w:basedOn w:val="Normal"/>
    <w:next w:val="Normal"/>
    <w:autoRedefine/>
    <w:uiPriority w:val="39"/>
    <w:unhideWhenUsed/>
    <w:rsid w:val="00D92DF6"/>
    <w:pPr>
      <w:ind w:left="1100"/>
    </w:pPr>
  </w:style>
  <w:style w:type="paragraph" w:styleId="TOC7">
    <w:name w:val="toc 7"/>
    <w:basedOn w:val="Normal"/>
    <w:next w:val="Normal"/>
    <w:autoRedefine/>
    <w:uiPriority w:val="39"/>
    <w:unhideWhenUsed/>
    <w:rsid w:val="00D92DF6"/>
    <w:pPr>
      <w:ind w:left="1320"/>
    </w:pPr>
  </w:style>
  <w:style w:type="paragraph" w:styleId="TOC8">
    <w:name w:val="toc 8"/>
    <w:basedOn w:val="Normal"/>
    <w:next w:val="Normal"/>
    <w:autoRedefine/>
    <w:uiPriority w:val="39"/>
    <w:unhideWhenUsed/>
    <w:rsid w:val="00D92DF6"/>
    <w:pPr>
      <w:ind w:left="1540"/>
    </w:pPr>
  </w:style>
  <w:style w:type="paragraph" w:styleId="TOC9">
    <w:name w:val="toc 9"/>
    <w:basedOn w:val="Normal"/>
    <w:next w:val="Normal"/>
    <w:autoRedefine/>
    <w:uiPriority w:val="39"/>
    <w:unhideWhenUsed/>
    <w:rsid w:val="00D92DF6"/>
    <w:pPr>
      <w:ind w:left="1760"/>
    </w:pPr>
  </w:style>
  <w:style w:type="paragraph" w:customStyle="1" w:styleId="Default">
    <w:name w:val="Default"/>
    <w:rsid w:val="009372F7"/>
    <w:pPr>
      <w:autoSpaceDE w:val="0"/>
      <w:autoSpaceDN w:val="0"/>
      <w:adjustRightInd w:val="0"/>
    </w:pPr>
    <w:rPr>
      <w:rFonts w:ascii="Garamond" w:eastAsia="Times New Roman" w:hAnsi="Garamond" w:cs="Garamond"/>
      <w:color w:val="000000"/>
      <w:lang w:val="en-AU" w:eastAsia="en-AU"/>
    </w:rPr>
  </w:style>
  <w:style w:type="paragraph" w:styleId="BalloonText">
    <w:name w:val="Balloon Text"/>
    <w:basedOn w:val="Normal"/>
    <w:link w:val="BalloonTextChar"/>
    <w:rsid w:val="009372F7"/>
    <w:rPr>
      <w:rFonts w:ascii="Tahoma" w:hAnsi="Tahoma" w:cs="Tahoma"/>
      <w:sz w:val="16"/>
      <w:szCs w:val="16"/>
    </w:rPr>
  </w:style>
  <w:style w:type="character" w:customStyle="1" w:styleId="BalloonTextChar">
    <w:name w:val="Balloon Text Char"/>
    <w:basedOn w:val="DefaultParagraphFont"/>
    <w:link w:val="BalloonText"/>
    <w:rsid w:val="009372F7"/>
    <w:rPr>
      <w:rFonts w:ascii="Tahoma" w:eastAsia="Times New Roman" w:hAnsi="Tahoma" w:cs="Tahoma"/>
      <w:sz w:val="16"/>
      <w:szCs w:val="16"/>
      <w:lang w:val="en-AU"/>
    </w:rPr>
  </w:style>
  <w:style w:type="character" w:styleId="CommentReference">
    <w:name w:val="annotation reference"/>
    <w:basedOn w:val="DefaultParagraphFont"/>
    <w:rsid w:val="009372F7"/>
    <w:rPr>
      <w:sz w:val="16"/>
      <w:szCs w:val="16"/>
    </w:rPr>
  </w:style>
  <w:style w:type="paragraph" w:styleId="CommentText">
    <w:name w:val="annotation text"/>
    <w:basedOn w:val="Normal"/>
    <w:link w:val="CommentTextChar"/>
    <w:rsid w:val="009372F7"/>
    <w:rPr>
      <w:sz w:val="20"/>
      <w:szCs w:val="20"/>
    </w:rPr>
  </w:style>
  <w:style w:type="character" w:customStyle="1" w:styleId="CommentTextChar">
    <w:name w:val="Comment Text Char"/>
    <w:basedOn w:val="DefaultParagraphFont"/>
    <w:link w:val="CommentText"/>
    <w:rsid w:val="009372F7"/>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rsid w:val="009372F7"/>
    <w:rPr>
      <w:b/>
      <w:bCs/>
    </w:rPr>
  </w:style>
  <w:style w:type="character" w:customStyle="1" w:styleId="CommentSubjectChar">
    <w:name w:val="Comment Subject Char"/>
    <w:basedOn w:val="CommentTextChar"/>
    <w:link w:val="CommentSubject"/>
    <w:rsid w:val="009372F7"/>
    <w:rPr>
      <w:rFonts w:ascii="Arial" w:eastAsia="Times New Roman" w:hAnsi="Arial" w:cs="Times New Roman"/>
      <w:b/>
      <w:bCs/>
      <w:sz w:val="20"/>
      <w:szCs w:val="20"/>
      <w:lang w:val="en-AU"/>
    </w:rPr>
  </w:style>
  <w:style w:type="character" w:styleId="FollowedHyperlink">
    <w:name w:val="FollowedHyperlink"/>
    <w:basedOn w:val="DefaultParagraphFont"/>
    <w:rsid w:val="009372F7"/>
    <w:rPr>
      <w:color w:val="954F72" w:themeColor="followedHyperlink"/>
      <w:u w:val="single"/>
    </w:rPr>
  </w:style>
  <w:style w:type="paragraph" w:styleId="Revision">
    <w:name w:val="Revision"/>
    <w:hidden/>
    <w:uiPriority w:val="99"/>
    <w:semiHidden/>
    <w:rsid w:val="008A0820"/>
    <w:rPr>
      <w:color w:val="44546A" w:themeColor="text2"/>
      <w:sz w:val="22"/>
    </w:rPr>
  </w:style>
  <w:style w:type="paragraph" w:styleId="Header">
    <w:name w:val="header"/>
    <w:basedOn w:val="Normal"/>
    <w:link w:val="HeaderChar"/>
    <w:qFormat/>
    <w:rsid w:val="009372F7"/>
    <w:pPr>
      <w:tabs>
        <w:tab w:val="center" w:pos="4513"/>
        <w:tab w:val="right" w:pos="9026"/>
      </w:tabs>
    </w:pPr>
  </w:style>
  <w:style w:type="character" w:customStyle="1" w:styleId="HeaderChar">
    <w:name w:val="Header Char"/>
    <w:basedOn w:val="DefaultParagraphFont"/>
    <w:link w:val="Header"/>
    <w:rsid w:val="009372F7"/>
    <w:rPr>
      <w:rFonts w:ascii="Arial" w:eastAsia="Times New Roman" w:hAnsi="Arial" w:cs="Times New Roman"/>
      <w:sz w:val="22"/>
      <w:lang w:val="en-AU"/>
    </w:rPr>
  </w:style>
  <w:style w:type="paragraph" w:styleId="Footer">
    <w:name w:val="footer"/>
    <w:basedOn w:val="Normal"/>
    <w:link w:val="FooterChar"/>
    <w:uiPriority w:val="99"/>
    <w:qFormat/>
    <w:rsid w:val="009372F7"/>
    <w:pPr>
      <w:tabs>
        <w:tab w:val="center" w:pos="4513"/>
        <w:tab w:val="right" w:pos="9026"/>
      </w:tabs>
    </w:pPr>
    <w:rPr>
      <w:sz w:val="20"/>
    </w:rPr>
  </w:style>
  <w:style w:type="character" w:customStyle="1" w:styleId="FooterChar">
    <w:name w:val="Footer Char"/>
    <w:basedOn w:val="DefaultParagraphFont"/>
    <w:link w:val="Footer"/>
    <w:uiPriority w:val="99"/>
    <w:rsid w:val="009372F7"/>
    <w:rPr>
      <w:rFonts w:ascii="Arial" w:eastAsia="Times New Roman" w:hAnsi="Arial" w:cs="Times New Roman"/>
      <w:sz w:val="20"/>
      <w:lang w:val="en-AU"/>
    </w:rPr>
  </w:style>
  <w:style w:type="character" w:customStyle="1" w:styleId="ListParagraphChar">
    <w:name w:val="List Paragraph Char"/>
    <w:aliases w:val="List Paragraph1 Char,Recommendation Char,Body text Char"/>
    <w:link w:val="ListParagraph"/>
    <w:uiPriority w:val="34"/>
    <w:locked/>
    <w:rsid w:val="009372F7"/>
    <w:rPr>
      <w:rFonts w:ascii="Arial" w:eastAsia="Times New Roman" w:hAnsi="Arial" w:cs="Times New Roman"/>
      <w:sz w:val="22"/>
      <w:lang w:val="en-AU"/>
    </w:rPr>
  </w:style>
  <w:style w:type="paragraph" w:customStyle="1" w:styleId="Subheading">
    <w:name w:val="Sub heading"/>
    <w:basedOn w:val="Normal"/>
    <w:next w:val="Body"/>
    <w:autoRedefine/>
    <w:qFormat/>
    <w:rsid w:val="009372F7"/>
    <w:pPr>
      <w:keepNext/>
      <w:spacing w:after="80"/>
    </w:pPr>
    <w:rPr>
      <w:b/>
      <w:color w:val="003D69"/>
      <w:sz w:val="24"/>
    </w:rPr>
  </w:style>
  <w:style w:type="paragraph" w:styleId="ListBullet2">
    <w:name w:val="List Bullet 2"/>
    <w:basedOn w:val="Normal"/>
    <w:rsid w:val="009372F7"/>
    <w:pPr>
      <w:numPr>
        <w:ilvl w:val="1"/>
        <w:numId w:val="11"/>
      </w:numPr>
      <w:spacing w:before="120" w:after="120"/>
    </w:pPr>
  </w:style>
  <w:style w:type="paragraph" w:styleId="ListBullet4">
    <w:name w:val="List Bullet 4"/>
    <w:basedOn w:val="ListBullet3"/>
    <w:unhideWhenUsed/>
    <w:rsid w:val="009372F7"/>
    <w:pPr>
      <w:numPr>
        <w:ilvl w:val="3"/>
      </w:numPr>
    </w:pPr>
  </w:style>
  <w:style w:type="paragraph" w:styleId="ListBullet3">
    <w:name w:val="List Bullet 3"/>
    <w:basedOn w:val="ListBullet2"/>
    <w:rsid w:val="009372F7"/>
    <w:pPr>
      <w:numPr>
        <w:ilvl w:val="2"/>
      </w:numPr>
    </w:pPr>
  </w:style>
  <w:style w:type="paragraph" w:styleId="ListBullet">
    <w:name w:val="List Bullet"/>
    <w:aliases w:val="List First Level,Bullet List"/>
    <w:basedOn w:val="Normal"/>
    <w:qFormat/>
    <w:rsid w:val="009372F7"/>
    <w:pPr>
      <w:numPr>
        <w:numId w:val="11"/>
      </w:numPr>
      <w:spacing w:before="120" w:line="240" w:lineRule="exact"/>
    </w:pPr>
    <w:rPr>
      <w:color w:val="000000" w:themeColor="text1"/>
    </w:rPr>
  </w:style>
  <w:style w:type="paragraph" w:styleId="ListBullet5">
    <w:name w:val="List Bullet 5"/>
    <w:basedOn w:val="ListBullet4"/>
    <w:unhideWhenUsed/>
    <w:rsid w:val="009372F7"/>
    <w:pPr>
      <w:numPr>
        <w:ilvl w:val="0"/>
        <w:numId w:val="0"/>
      </w:numPr>
    </w:pPr>
  </w:style>
  <w:style w:type="table" w:customStyle="1" w:styleId="ListTable31">
    <w:name w:val="List Table 31"/>
    <w:basedOn w:val="TableNormal"/>
    <w:uiPriority w:val="48"/>
    <w:rsid w:val="00A955A4"/>
    <w:rPr>
      <w:rFonts w:ascii="Georgia" w:hAnsi="Georgia"/>
      <w:sz w:val="20"/>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PwCListNumbers1">
    <w:name w:val="PwC List Numbers 1"/>
    <w:uiPriority w:val="99"/>
    <w:rsid w:val="00847AFA"/>
    <w:pPr>
      <w:numPr>
        <w:numId w:val="4"/>
      </w:numPr>
    </w:pPr>
  </w:style>
  <w:style w:type="paragraph" w:styleId="ListNumber">
    <w:name w:val="List Number"/>
    <w:basedOn w:val="Normal"/>
    <w:uiPriority w:val="13"/>
    <w:unhideWhenUsed/>
    <w:qFormat/>
    <w:rsid w:val="00847AFA"/>
    <w:pPr>
      <w:numPr>
        <w:numId w:val="4"/>
      </w:numPr>
      <w:spacing w:after="240" w:line="240" w:lineRule="atLeast"/>
      <w:contextualSpacing/>
    </w:pPr>
    <w:rPr>
      <w:sz w:val="20"/>
      <w:szCs w:val="20"/>
    </w:rPr>
  </w:style>
  <w:style w:type="paragraph" w:styleId="ListNumber2">
    <w:name w:val="List Number 2"/>
    <w:aliases w:val="List Second Level"/>
    <w:basedOn w:val="ListBullet"/>
    <w:qFormat/>
    <w:rsid w:val="009372F7"/>
    <w:pPr>
      <w:ind w:left="568" w:hanging="284"/>
    </w:pPr>
  </w:style>
  <w:style w:type="paragraph" w:styleId="ListNumber3">
    <w:name w:val="List Number 3"/>
    <w:aliases w:val="List Third Level"/>
    <w:basedOn w:val="ListNumber2"/>
    <w:qFormat/>
    <w:rsid w:val="009372F7"/>
    <w:pPr>
      <w:numPr>
        <w:numId w:val="12"/>
      </w:numPr>
      <w:tabs>
        <w:tab w:val="num" w:pos="1440"/>
      </w:tabs>
      <w:spacing w:line="276" w:lineRule="auto"/>
    </w:pPr>
    <w:rPr>
      <w:rFonts w:eastAsia="Cambria"/>
      <w:color w:val="auto"/>
      <w:szCs w:val="22"/>
      <w:lang w:val="en-US"/>
    </w:rPr>
  </w:style>
  <w:style w:type="paragraph" w:styleId="ListNumber4">
    <w:name w:val="List Number 4"/>
    <w:basedOn w:val="Normal"/>
    <w:uiPriority w:val="13"/>
    <w:unhideWhenUsed/>
    <w:rsid w:val="00847AFA"/>
    <w:pPr>
      <w:numPr>
        <w:ilvl w:val="3"/>
        <w:numId w:val="4"/>
      </w:numPr>
      <w:spacing w:after="240" w:line="240" w:lineRule="atLeast"/>
      <w:contextualSpacing/>
    </w:pPr>
    <w:rPr>
      <w:sz w:val="20"/>
      <w:szCs w:val="20"/>
    </w:rPr>
  </w:style>
  <w:style w:type="paragraph" w:styleId="ListNumber5">
    <w:name w:val="List Number 5"/>
    <w:basedOn w:val="Normal"/>
    <w:uiPriority w:val="13"/>
    <w:unhideWhenUsed/>
    <w:rsid w:val="00847AFA"/>
    <w:pPr>
      <w:numPr>
        <w:ilvl w:val="4"/>
        <w:numId w:val="4"/>
      </w:numPr>
      <w:spacing w:after="240" w:line="240" w:lineRule="atLeast"/>
      <w:contextualSpacing/>
    </w:pPr>
    <w:rPr>
      <w:sz w:val="20"/>
      <w:szCs w:val="20"/>
    </w:rPr>
  </w:style>
  <w:style w:type="paragraph" w:styleId="IntenseQuote">
    <w:name w:val="Intense Quote"/>
    <w:basedOn w:val="Normal"/>
    <w:next w:val="Normal"/>
    <w:link w:val="IntenseQuoteChar"/>
    <w:uiPriority w:val="30"/>
    <w:rsid w:val="009372F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372F7"/>
    <w:rPr>
      <w:rFonts w:ascii="Arial" w:eastAsia="Times New Roman" w:hAnsi="Arial" w:cs="Times New Roman"/>
      <w:b/>
      <w:bCs/>
      <w:i/>
      <w:iCs/>
      <w:color w:val="5B9BD5" w:themeColor="accent1"/>
      <w:sz w:val="22"/>
      <w:lang w:val="en-AU"/>
    </w:rPr>
  </w:style>
  <w:style w:type="paragraph" w:styleId="NormalWeb">
    <w:name w:val="Normal (Web)"/>
    <w:basedOn w:val="Normal"/>
    <w:uiPriority w:val="99"/>
    <w:unhideWhenUsed/>
    <w:rsid w:val="009372F7"/>
    <w:pPr>
      <w:spacing w:before="100" w:beforeAutospacing="1" w:after="100" w:afterAutospacing="1"/>
    </w:pPr>
    <w:rPr>
      <w:rFonts w:ascii="Times New Roman" w:hAnsi="Times New Roman"/>
      <w:sz w:val="24"/>
      <w:lang w:eastAsia="en-AU"/>
    </w:rPr>
  </w:style>
  <w:style w:type="character" w:customStyle="1" w:styleId="Heading3Char">
    <w:name w:val="Heading 3 Char"/>
    <w:link w:val="Heading3"/>
    <w:rsid w:val="009372F7"/>
    <w:rPr>
      <w:rFonts w:ascii="Arial" w:eastAsia="Times New Roman" w:hAnsi="Arial" w:cs="Arial"/>
      <w:b/>
      <w:iCs/>
      <w:color w:val="153A6E"/>
      <w:sz w:val="28"/>
      <w:szCs w:val="28"/>
      <w:lang w:val="en-AU"/>
    </w:rPr>
  </w:style>
  <w:style w:type="paragraph" w:customStyle="1" w:styleId="Appendicessubheadings">
    <w:name w:val="Appendices sub headings"/>
    <w:basedOn w:val="Heading3"/>
    <w:link w:val="AppendicessubheadingsChar"/>
    <w:rsid w:val="009372F7"/>
    <w:rPr>
      <w:color w:val="003D69"/>
    </w:rPr>
  </w:style>
  <w:style w:type="character" w:customStyle="1" w:styleId="AppendicessubheadingsChar">
    <w:name w:val="Appendices sub headings Char"/>
    <w:basedOn w:val="Heading3Char"/>
    <w:link w:val="Appendicessubheadings"/>
    <w:rsid w:val="009372F7"/>
    <w:rPr>
      <w:rFonts w:ascii="Arial" w:eastAsia="Times New Roman" w:hAnsi="Arial" w:cs="Arial"/>
      <w:b/>
      <w:iCs/>
      <w:color w:val="003D69"/>
      <w:sz w:val="28"/>
      <w:szCs w:val="28"/>
      <w:lang w:val="en-AU"/>
    </w:rPr>
  </w:style>
  <w:style w:type="paragraph" w:styleId="BodyText">
    <w:name w:val="Body Text"/>
    <w:basedOn w:val="Normal"/>
    <w:link w:val="BodyTextChar"/>
    <w:rsid w:val="009372F7"/>
    <w:pPr>
      <w:spacing w:after="120"/>
    </w:pPr>
  </w:style>
  <w:style w:type="character" w:customStyle="1" w:styleId="BodyTextChar">
    <w:name w:val="Body Text Char"/>
    <w:basedOn w:val="DefaultParagraphFont"/>
    <w:link w:val="BodyText"/>
    <w:rsid w:val="009372F7"/>
    <w:rPr>
      <w:rFonts w:ascii="Arial" w:eastAsia="Times New Roman" w:hAnsi="Arial" w:cs="Times New Roman"/>
      <w:sz w:val="22"/>
      <w:lang w:val="en-AU"/>
    </w:rPr>
  </w:style>
  <w:style w:type="character" w:styleId="BookTitle">
    <w:name w:val="Book Title"/>
    <w:basedOn w:val="DefaultParagraphFont"/>
    <w:uiPriority w:val="33"/>
    <w:rsid w:val="009372F7"/>
    <w:rPr>
      <w:b/>
      <w:bCs/>
      <w:smallCaps/>
      <w:spacing w:val="5"/>
    </w:rPr>
  </w:style>
  <w:style w:type="numbering" w:customStyle="1" w:styleId="Bullet">
    <w:name w:val="Bullet"/>
    <w:rsid w:val="009372F7"/>
    <w:pPr>
      <w:numPr>
        <w:numId w:val="8"/>
      </w:numPr>
    </w:pPr>
  </w:style>
  <w:style w:type="paragraph" w:styleId="Caption">
    <w:name w:val="caption"/>
    <w:basedOn w:val="Normal"/>
    <w:next w:val="Normal"/>
    <w:unhideWhenUsed/>
    <w:rsid w:val="009372F7"/>
    <w:pPr>
      <w:keepNext/>
      <w:keepLines/>
      <w:spacing w:after="200"/>
    </w:pPr>
    <w:rPr>
      <w:b/>
      <w:bCs/>
      <w:color w:val="000000" w:themeColor="text1"/>
      <w:szCs w:val="18"/>
    </w:rPr>
  </w:style>
  <w:style w:type="table" w:customStyle="1" w:styleId="DefenceTable">
    <w:name w:val="Defence Table"/>
    <w:basedOn w:val="TableNormal"/>
    <w:rsid w:val="009372F7"/>
    <w:rPr>
      <w:rFonts w:ascii="Georgia" w:eastAsia="Times New Roman" w:hAnsi="Georgia" w:cs="Times New Roman"/>
      <w:sz w:val="20"/>
      <w:szCs w:val="20"/>
      <w:lang w:val="en-AU" w:eastAsia="en-AU"/>
    </w:rPr>
    <w:tblPr>
      <w:tblStyleRowBandSize w:val="1"/>
      <w:tblStyleColBandSize w:val="1"/>
      <w:tblBorders>
        <w:bottom w:val="single" w:sz="4" w:space="0" w:color="000000" w:themeColor="text1"/>
        <w:insideH w:val="dotted" w:sz="6" w:space="0" w:color="000000" w:themeColor="text1"/>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shd w:val="clear" w:color="auto" w:fill="000000" w:themeFill="text1"/>
        <w:vAlign w:val="bottom"/>
      </w:tcPr>
    </w:tblStylePr>
    <w:tblStylePr w:type="lastRow">
      <w:rPr>
        <w:color w:val="auto"/>
      </w:rPr>
      <w:tblPr/>
      <w:tcPr>
        <w:tcBorders>
          <w:top w:val="single" w:sz="4" w:space="0" w:color="000000" w:themeColor="text1"/>
        </w:tcBorders>
        <w:shd w:val="clear" w:color="auto" w:fill="auto"/>
      </w:tcPr>
    </w:tblStylePr>
    <w:tblStylePr w:type="nwCell">
      <w:pPr>
        <w:jc w:val="left"/>
      </w:pPr>
      <w:tblPr/>
      <w:tcPr>
        <w:vAlign w:val="bottom"/>
      </w:tcPr>
    </w:tblStylePr>
  </w:style>
  <w:style w:type="paragraph" w:styleId="DocumentMap">
    <w:name w:val="Document Map"/>
    <w:basedOn w:val="Normal"/>
    <w:link w:val="DocumentMapChar"/>
    <w:semiHidden/>
    <w:unhideWhenUsed/>
    <w:rsid w:val="009372F7"/>
    <w:rPr>
      <w:rFonts w:ascii="Times New Roman" w:hAnsi="Times New Roman"/>
      <w:sz w:val="24"/>
    </w:rPr>
  </w:style>
  <w:style w:type="character" w:customStyle="1" w:styleId="DocumentMapChar">
    <w:name w:val="Document Map Char"/>
    <w:basedOn w:val="DefaultParagraphFont"/>
    <w:link w:val="DocumentMap"/>
    <w:semiHidden/>
    <w:rsid w:val="009372F7"/>
    <w:rPr>
      <w:rFonts w:ascii="Times New Roman" w:eastAsia="Times New Roman" w:hAnsi="Times New Roman" w:cs="Times New Roman"/>
      <w:lang w:val="en-AU"/>
    </w:rPr>
  </w:style>
  <w:style w:type="character" w:styleId="Emphasis">
    <w:name w:val="Emphasis"/>
    <w:basedOn w:val="DefaultParagraphFont"/>
    <w:uiPriority w:val="20"/>
    <w:rsid w:val="009372F7"/>
    <w:rPr>
      <w:i/>
      <w:iCs/>
    </w:rPr>
  </w:style>
  <w:style w:type="character" w:styleId="EndnoteReference">
    <w:name w:val="endnote reference"/>
    <w:basedOn w:val="DefaultParagraphFont"/>
    <w:rsid w:val="009372F7"/>
    <w:rPr>
      <w:vertAlign w:val="superscript"/>
    </w:rPr>
  </w:style>
  <w:style w:type="paragraph" w:styleId="EndnoteText">
    <w:name w:val="endnote text"/>
    <w:basedOn w:val="Normal"/>
    <w:link w:val="EndnoteTextChar"/>
    <w:rsid w:val="009372F7"/>
    <w:rPr>
      <w:sz w:val="20"/>
      <w:szCs w:val="20"/>
    </w:rPr>
  </w:style>
  <w:style w:type="character" w:customStyle="1" w:styleId="EndnoteTextChar">
    <w:name w:val="Endnote Text Char"/>
    <w:basedOn w:val="DefaultParagraphFont"/>
    <w:link w:val="EndnoteText"/>
    <w:rsid w:val="009372F7"/>
    <w:rPr>
      <w:rFonts w:ascii="Arial" w:eastAsia="Times New Roman" w:hAnsi="Arial" w:cs="Times New Roman"/>
      <w:sz w:val="20"/>
      <w:szCs w:val="20"/>
      <w:lang w:val="en-AU"/>
    </w:rPr>
  </w:style>
  <w:style w:type="paragraph" w:customStyle="1" w:styleId="FigureTitle">
    <w:name w:val="Figure Title"/>
    <w:next w:val="Normal"/>
    <w:qFormat/>
    <w:rsid w:val="009372F7"/>
    <w:pPr>
      <w:tabs>
        <w:tab w:val="num" w:pos="1080"/>
      </w:tabs>
      <w:spacing w:before="360" w:after="120" w:line="240" w:lineRule="exact"/>
    </w:pPr>
    <w:rPr>
      <w:rFonts w:ascii="Arial" w:eastAsia="Times New Roman" w:hAnsi="Arial" w:cs="Times New Roman"/>
      <w:b/>
      <w:color w:val="000000" w:themeColor="text1"/>
      <w:sz w:val="22"/>
      <w:lang w:val="en-AU"/>
    </w:rPr>
  </w:style>
  <w:style w:type="paragraph" w:customStyle="1" w:styleId="Footertext">
    <w:name w:val="Footer text"/>
    <w:rsid w:val="009372F7"/>
    <w:rPr>
      <w:rFonts w:ascii="Arial" w:eastAsia="Times New Roman" w:hAnsi="Arial" w:cs="Arial"/>
      <w:sz w:val="20"/>
      <w:szCs w:val="22"/>
      <w:lang w:val="en-AU"/>
    </w:rPr>
  </w:style>
  <w:style w:type="paragraph" w:customStyle="1" w:styleId="Paragraphtext">
    <w:name w:val="Paragraph text"/>
    <w:basedOn w:val="Normal"/>
    <w:qFormat/>
    <w:rsid w:val="009372F7"/>
    <w:pPr>
      <w:spacing w:before="240" w:after="240" w:line="240" w:lineRule="atLeast"/>
    </w:pPr>
    <w:rPr>
      <w:color w:val="000000" w:themeColor="text1"/>
    </w:rPr>
  </w:style>
  <w:style w:type="paragraph" w:customStyle="1" w:styleId="Hangingindent1">
    <w:name w:val="Hanging indent 1"/>
    <w:basedOn w:val="Paragraphtext"/>
    <w:rsid w:val="009372F7"/>
    <w:pPr>
      <w:tabs>
        <w:tab w:val="left" w:pos="357"/>
      </w:tabs>
      <w:ind w:left="357" w:hanging="357"/>
    </w:pPr>
  </w:style>
  <w:style w:type="paragraph" w:customStyle="1" w:styleId="headertext">
    <w:name w:val="header text"/>
    <w:rsid w:val="009372F7"/>
    <w:rPr>
      <w:rFonts w:ascii="Arial" w:eastAsia="Times New Roman" w:hAnsi="Arial" w:cs="Times New Roman"/>
      <w:sz w:val="20"/>
      <w:lang w:val="en-AU"/>
    </w:rPr>
  </w:style>
  <w:style w:type="paragraph" w:customStyle="1" w:styleId="Heading1Orange">
    <w:name w:val="Heading 1 Orange"/>
    <w:basedOn w:val="Heading1"/>
    <w:rsid w:val="009372F7"/>
    <w:pPr>
      <w:ind w:left="431" w:hanging="431"/>
    </w:pPr>
    <w:rPr>
      <w:color w:val="D72F0D"/>
    </w:rPr>
  </w:style>
  <w:style w:type="paragraph" w:customStyle="1" w:styleId="Heading1Purple">
    <w:name w:val="Heading 1 Purple"/>
    <w:basedOn w:val="Heading1"/>
    <w:next w:val="Normal"/>
    <w:rsid w:val="009372F7"/>
    <w:pPr>
      <w:ind w:left="431" w:hanging="431"/>
    </w:pPr>
    <w:rPr>
      <w:color w:val="8D188D"/>
    </w:rPr>
  </w:style>
  <w:style w:type="paragraph" w:customStyle="1" w:styleId="Heading2Orange">
    <w:name w:val="Heading 2 Orange"/>
    <w:basedOn w:val="Heading2"/>
    <w:next w:val="Normal"/>
    <w:rsid w:val="009372F7"/>
    <w:pPr>
      <w:ind w:left="578" w:hanging="578"/>
    </w:pPr>
  </w:style>
  <w:style w:type="paragraph" w:customStyle="1" w:styleId="Heading2Purple">
    <w:name w:val="Heading 2 Purple"/>
    <w:basedOn w:val="Heading2"/>
    <w:next w:val="Normal"/>
    <w:qFormat/>
    <w:rsid w:val="009372F7"/>
    <w:pPr>
      <w:spacing w:before="180"/>
      <w:ind w:left="578" w:hanging="578"/>
    </w:pPr>
    <w:rPr>
      <w:color w:val="8D188D"/>
    </w:rPr>
  </w:style>
  <w:style w:type="character" w:customStyle="1" w:styleId="Heading4Char">
    <w:name w:val="Heading 4 Char"/>
    <w:basedOn w:val="DefaultParagraphFont"/>
    <w:link w:val="Heading4"/>
    <w:rsid w:val="009372F7"/>
    <w:rPr>
      <w:rFonts w:ascii="Arial" w:eastAsia="Times New Roman" w:hAnsi="Arial" w:cs="Times New Roman"/>
      <w:b/>
      <w:bCs/>
      <w:color w:val="153A6E"/>
      <w:szCs w:val="28"/>
      <w:lang w:val="en-AU"/>
    </w:rPr>
  </w:style>
  <w:style w:type="character" w:customStyle="1" w:styleId="Heading5Char">
    <w:name w:val="Heading 5 Char"/>
    <w:basedOn w:val="DefaultParagraphFont"/>
    <w:link w:val="Heading5"/>
    <w:rsid w:val="009372F7"/>
    <w:rPr>
      <w:rFonts w:ascii="Arial" w:eastAsia="Times New Roman" w:hAnsi="Arial" w:cs="Times New Roman"/>
      <w:b/>
      <w:bCs/>
      <w:iCs/>
      <w:sz w:val="22"/>
      <w:szCs w:val="26"/>
      <w:lang w:val="en-AU"/>
    </w:rPr>
  </w:style>
  <w:style w:type="character" w:customStyle="1" w:styleId="Heading6Char">
    <w:name w:val="Heading 6 Char"/>
    <w:basedOn w:val="DefaultParagraphFont"/>
    <w:link w:val="Heading6"/>
    <w:rsid w:val="009372F7"/>
    <w:rPr>
      <w:rFonts w:ascii="Arial" w:eastAsia="Times New Roman" w:hAnsi="Arial" w:cs="Times New Roman"/>
      <w:b/>
      <w:bCs/>
      <w:i/>
      <w:sz w:val="22"/>
      <w:szCs w:val="22"/>
      <w:lang w:val="en-AU"/>
    </w:rPr>
  </w:style>
  <w:style w:type="character" w:customStyle="1" w:styleId="Heading7Char">
    <w:name w:val="Heading 7 Char"/>
    <w:basedOn w:val="DefaultParagraphFont"/>
    <w:link w:val="Heading7"/>
    <w:semiHidden/>
    <w:rsid w:val="009372F7"/>
    <w:rPr>
      <w:rFonts w:asciiTheme="majorHAnsi" w:eastAsiaTheme="majorEastAsia" w:hAnsiTheme="majorHAnsi" w:cstheme="majorBidi"/>
      <w:i/>
      <w:iCs/>
      <w:color w:val="404040" w:themeColor="text1" w:themeTint="BF"/>
      <w:sz w:val="22"/>
      <w:lang w:val="en-AU"/>
    </w:rPr>
  </w:style>
  <w:style w:type="character" w:customStyle="1" w:styleId="Heading8Char">
    <w:name w:val="Heading 8 Char"/>
    <w:basedOn w:val="DefaultParagraphFont"/>
    <w:link w:val="Heading8"/>
    <w:semiHidden/>
    <w:rsid w:val="009372F7"/>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semiHidden/>
    <w:rsid w:val="009372F7"/>
    <w:rPr>
      <w:rFonts w:asciiTheme="majorHAnsi" w:eastAsiaTheme="majorEastAsia" w:hAnsiTheme="majorHAnsi" w:cstheme="majorBidi"/>
      <w:i/>
      <w:iCs/>
      <w:color w:val="404040" w:themeColor="text1" w:themeTint="BF"/>
      <w:sz w:val="20"/>
      <w:szCs w:val="20"/>
      <w:lang w:val="en-AU"/>
    </w:rPr>
  </w:style>
  <w:style w:type="paragraph" w:customStyle="1" w:styleId="Indent1">
    <w:name w:val="Indent 1"/>
    <w:basedOn w:val="Paragraphtext"/>
    <w:rsid w:val="009372F7"/>
    <w:pPr>
      <w:ind w:left="284"/>
    </w:pPr>
  </w:style>
  <w:style w:type="paragraph" w:customStyle="1" w:styleId="Indent2">
    <w:name w:val="Indent 2"/>
    <w:basedOn w:val="Indent1"/>
    <w:rsid w:val="009372F7"/>
    <w:pPr>
      <w:numPr>
        <w:ilvl w:val="2"/>
      </w:numPr>
      <w:ind w:left="284"/>
    </w:pPr>
  </w:style>
  <w:style w:type="paragraph" w:customStyle="1" w:styleId="Indent3">
    <w:name w:val="Indent 3"/>
    <w:basedOn w:val="Indent2"/>
    <w:rsid w:val="009372F7"/>
    <w:pPr>
      <w:numPr>
        <w:ilvl w:val="3"/>
      </w:numPr>
      <w:ind w:left="284"/>
    </w:pPr>
  </w:style>
  <w:style w:type="paragraph" w:customStyle="1" w:styleId="Indent4">
    <w:name w:val="Indent 4"/>
    <w:basedOn w:val="Indent3"/>
    <w:rsid w:val="009372F7"/>
    <w:pPr>
      <w:numPr>
        <w:ilvl w:val="4"/>
      </w:numPr>
      <w:ind w:left="284"/>
    </w:pPr>
  </w:style>
  <w:style w:type="paragraph" w:customStyle="1" w:styleId="Indent5">
    <w:name w:val="Indent 5"/>
    <w:basedOn w:val="Indent4"/>
    <w:rsid w:val="009372F7"/>
    <w:pPr>
      <w:numPr>
        <w:ilvl w:val="5"/>
      </w:numPr>
      <w:ind w:left="284"/>
    </w:pPr>
  </w:style>
  <w:style w:type="paragraph" w:customStyle="1" w:styleId="Indent6">
    <w:name w:val="Indent 6"/>
    <w:basedOn w:val="Indent5"/>
    <w:rsid w:val="009372F7"/>
    <w:pPr>
      <w:numPr>
        <w:ilvl w:val="6"/>
      </w:numPr>
      <w:ind w:left="284"/>
    </w:pPr>
  </w:style>
  <w:style w:type="paragraph" w:customStyle="1" w:styleId="Indent7">
    <w:name w:val="Indent 7"/>
    <w:basedOn w:val="Indent6"/>
    <w:rsid w:val="009372F7"/>
    <w:pPr>
      <w:numPr>
        <w:ilvl w:val="7"/>
      </w:numPr>
      <w:ind w:left="284"/>
    </w:pPr>
  </w:style>
  <w:style w:type="paragraph" w:customStyle="1" w:styleId="Indent8">
    <w:name w:val="Indent 8"/>
    <w:basedOn w:val="Indent7"/>
    <w:rsid w:val="009372F7"/>
    <w:pPr>
      <w:numPr>
        <w:ilvl w:val="8"/>
      </w:numPr>
      <w:ind w:left="284"/>
    </w:pPr>
  </w:style>
  <w:style w:type="character" w:styleId="IntenseEmphasis">
    <w:name w:val="Intense Emphasis"/>
    <w:basedOn w:val="DefaultParagraphFont"/>
    <w:uiPriority w:val="21"/>
    <w:rsid w:val="009372F7"/>
    <w:rPr>
      <w:b/>
      <w:bCs/>
      <w:i/>
      <w:iCs/>
      <w:color w:val="5B9BD5" w:themeColor="accent1"/>
    </w:rPr>
  </w:style>
  <w:style w:type="character" w:styleId="IntenseReference">
    <w:name w:val="Intense Reference"/>
    <w:basedOn w:val="DefaultParagraphFont"/>
    <w:uiPriority w:val="32"/>
    <w:rsid w:val="009372F7"/>
    <w:rPr>
      <w:b/>
      <w:bCs/>
      <w:i/>
      <w:smallCaps/>
      <w:color w:val="ED7D31" w:themeColor="accent2"/>
      <w:spacing w:val="5"/>
      <w:u w:val="none"/>
    </w:rPr>
  </w:style>
  <w:style w:type="numbering" w:customStyle="1" w:styleId="List18">
    <w:name w:val="List 18"/>
    <w:basedOn w:val="NoList"/>
    <w:rsid w:val="009372F7"/>
    <w:pPr>
      <w:numPr>
        <w:numId w:val="9"/>
      </w:numPr>
    </w:pPr>
  </w:style>
  <w:style w:type="numbering" w:customStyle="1" w:styleId="List9">
    <w:name w:val="List 9"/>
    <w:basedOn w:val="NoList"/>
    <w:rsid w:val="009372F7"/>
    <w:pPr>
      <w:numPr>
        <w:numId w:val="10"/>
      </w:numPr>
    </w:pPr>
  </w:style>
  <w:style w:type="paragraph" w:customStyle="1" w:styleId="MajorHeading">
    <w:name w:val="Major Heading"/>
    <w:basedOn w:val="Normal"/>
    <w:rsid w:val="009372F7"/>
    <w:pPr>
      <w:keepNext/>
      <w:keepLines/>
      <w:spacing w:before="240" w:after="60"/>
    </w:pPr>
    <w:rPr>
      <w:b/>
      <w:color w:val="003D69"/>
    </w:rPr>
  </w:style>
  <w:style w:type="paragraph" w:customStyle="1" w:styleId="MLNormal">
    <w:name w:val="ML Normal"/>
    <w:basedOn w:val="Normal"/>
    <w:link w:val="MLNormalChar"/>
    <w:rsid w:val="009372F7"/>
    <w:pPr>
      <w:numPr>
        <w:numId w:val="13"/>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9372F7"/>
    <w:rPr>
      <w:rFonts w:eastAsia="Times New Roman" w:cs="Arial"/>
      <w:snapToGrid w:val="0"/>
      <w:sz w:val="20"/>
      <w:szCs w:val="20"/>
      <w:lang w:val="en-AU"/>
    </w:rPr>
  </w:style>
  <w:style w:type="paragraph" w:customStyle="1" w:styleId="MLNormalAftertable">
    <w:name w:val="ML Normal_After table"/>
    <w:basedOn w:val="MLNormal"/>
    <w:rsid w:val="009372F7"/>
    <w:pPr>
      <w:numPr>
        <w:numId w:val="0"/>
      </w:numPr>
      <w:spacing w:before="120" w:after="120"/>
      <w:ind w:left="720" w:hanging="360"/>
    </w:pPr>
    <w:rPr>
      <w:lang w:val="en-GB"/>
    </w:rPr>
  </w:style>
  <w:style w:type="paragraph" w:styleId="NoSpacing">
    <w:name w:val="No Spacing"/>
    <w:uiPriority w:val="1"/>
    <w:rsid w:val="009372F7"/>
    <w:rPr>
      <w:rFonts w:ascii="Times New Roman" w:eastAsia="Times New Roman" w:hAnsi="Times New Roman" w:cs="Times New Roman"/>
      <w:lang w:val="en-AU"/>
    </w:rPr>
  </w:style>
  <w:style w:type="table" w:customStyle="1" w:styleId="PGNGreyTable">
    <w:name w:val="PGN Grey Table"/>
    <w:basedOn w:val="TableNormal"/>
    <w:uiPriority w:val="99"/>
    <w:rsid w:val="009372F7"/>
    <w:pPr>
      <w:spacing w:before="120" w:after="120"/>
    </w:pPr>
    <w:rPr>
      <w:rFonts w:ascii="Arial" w:eastAsia="Times New Roman" w:hAnsi="Arial" w:cs="Times New Roman"/>
      <w:sz w:val="22"/>
      <w:szCs w:val="20"/>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PurpleTable">
    <w:name w:val="PHN Purple Table"/>
    <w:basedOn w:val="TableNormal"/>
    <w:uiPriority w:val="99"/>
    <w:rsid w:val="009372F7"/>
    <w:pPr>
      <w:spacing w:before="120" w:after="120"/>
    </w:pPr>
    <w:rPr>
      <w:rFonts w:ascii="Arial" w:eastAsia="Times New Roman" w:hAnsi="Arial" w:cs="Times New Roman"/>
      <w:color w:val="000000" w:themeColor="text1"/>
      <w:sz w:val="22"/>
      <w:szCs w:val="20"/>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BlueTable">
    <w:name w:val="PHN Blue Table"/>
    <w:basedOn w:val="PHNPurpleTable"/>
    <w:uiPriority w:val="99"/>
    <w:rsid w:val="009372F7"/>
    <w:tblPr/>
    <w:tblStylePr w:type="firstRow">
      <w:rPr>
        <w:rFonts w:ascii="Arial" w:hAnsi="Arial"/>
        <w:b/>
        <w:color w:val="FFFFFF" w:themeColor="background1"/>
        <w:sz w:val="22"/>
      </w:rPr>
      <w:tblPr/>
      <w:trPr>
        <w:tblHeader/>
      </w:trPr>
      <w:tcPr>
        <w:shd w:val="clear" w:color="auto" w:fill="153A6E"/>
      </w:tcPr>
    </w:tblStylePr>
  </w:style>
  <w:style w:type="table" w:customStyle="1" w:styleId="PHNGreyTableAlt2">
    <w:name w:val="PHN Grey Table Alt 2"/>
    <w:basedOn w:val="TableNormal"/>
    <w:uiPriority w:val="99"/>
    <w:rsid w:val="009372F7"/>
    <w:rPr>
      <w:rFonts w:ascii="Arial" w:eastAsia="Times New Roman" w:hAnsi="Arial" w:cs="Times New Roman"/>
      <w:color w:val="000000" w:themeColor="text1"/>
      <w:sz w:val="22"/>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Alt2">
    <w:name w:val="PHN Purple Table Alt 2"/>
    <w:basedOn w:val="TableNormal"/>
    <w:uiPriority w:val="99"/>
    <w:rsid w:val="009372F7"/>
    <w:pPr>
      <w:spacing w:before="120" w:after="120"/>
    </w:pPr>
    <w:rPr>
      <w:rFonts w:ascii="Arial" w:eastAsia="Times New Roman" w:hAnsi="Arial" w:cs="Times New Roman"/>
      <w:color w:val="000000" w:themeColor="text1"/>
      <w:sz w:val="22"/>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9372F7"/>
    <w:pPr>
      <w:spacing w:before="120" w:after="120"/>
    </w:pPr>
    <w:rPr>
      <w:rFonts w:ascii="Arial" w:eastAsia="Times New Roman" w:hAnsi="Arial" w:cs="Times New Roman"/>
      <w:sz w:val="22"/>
      <w:szCs w:val="20"/>
      <w:lang w:val="en-AU" w:eastAsia="en-AU"/>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9372F7"/>
    <w:pPr>
      <w:spacing w:before="120" w:after="120"/>
    </w:pPr>
    <w:rPr>
      <w:rFonts w:ascii="Arial" w:eastAsia="Times New Roman" w:hAnsi="Arial" w:cs="Times New Roman"/>
      <w:sz w:val="22"/>
      <w:szCs w:val="20"/>
      <w:lang w:val="en-AU" w:eastAsia="en-AU"/>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table" w:customStyle="1" w:styleId="PwCTableText">
    <w:name w:val="PwC Table Text"/>
    <w:basedOn w:val="TableNormal"/>
    <w:uiPriority w:val="99"/>
    <w:qFormat/>
    <w:rsid w:val="009372F7"/>
    <w:pPr>
      <w:spacing w:before="60" w:after="60"/>
    </w:pPr>
    <w:rPr>
      <w:rFonts w:ascii="Georgia" w:hAnsi="Georgia"/>
      <w:sz w:val="20"/>
      <w:szCs w:val="20"/>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styleId="Quote">
    <w:name w:val="Quote"/>
    <w:next w:val="Normal"/>
    <w:link w:val="QuoteChar"/>
    <w:uiPriority w:val="29"/>
    <w:qFormat/>
    <w:rsid w:val="009372F7"/>
    <w:pPr>
      <w:ind w:left="720"/>
    </w:pPr>
    <w:rPr>
      <w:rFonts w:ascii="Arial" w:eastAsia="Times New Roman" w:hAnsi="Arial" w:cs="Times New Roman"/>
      <w:i/>
      <w:iCs/>
      <w:color w:val="000000" w:themeColor="text1"/>
      <w:sz w:val="22"/>
      <w:lang w:val="en-AU"/>
    </w:rPr>
  </w:style>
  <w:style w:type="character" w:customStyle="1" w:styleId="QuoteChar">
    <w:name w:val="Quote Char"/>
    <w:basedOn w:val="DefaultParagraphFont"/>
    <w:link w:val="Quote"/>
    <w:uiPriority w:val="29"/>
    <w:rsid w:val="009372F7"/>
    <w:rPr>
      <w:rFonts w:ascii="Arial" w:eastAsia="Times New Roman" w:hAnsi="Arial" w:cs="Times New Roman"/>
      <w:i/>
      <w:iCs/>
      <w:color w:val="000000" w:themeColor="text1"/>
      <w:sz w:val="22"/>
      <w:lang w:val="en-AU"/>
    </w:rPr>
  </w:style>
  <w:style w:type="paragraph" w:customStyle="1" w:styleId="SectionHeading">
    <w:name w:val="Section Heading"/>
    <w:basedOn w:val="Heading1"/>
    <w:next w:val="Paragraphtext"/>
    <w:qFormat/>
    <w:rsid w:val="009372F7"/>
    <w:pPr>
      <w:numPr>
        <w:numId w:val="0"/>
      </w:numPr>
      <w:spacing w:before="360"/>
    </w:pPr>
  </w:style>
  <w:style w:type="character" w:styleId="Strong">
    <w:name w:val="Strong"/>
    <w:basedOn w:val="DefaultParagraphFont"/>
    <w:rsid w:val="009372F7"/>
    <w:rPr>
      <w:b/>
      <w:bCs/>
    </w:rPr>
  </w:style>
  <w:style w:type="paragraph" w:customStyle="1" w:styleId="Subsubheading">
    <w:name w:val="Sub sub heading"/>
    <w:basedOn w:val="Body"/>
    <w:next w:val="Body"/>
    <w:qFormat/>
    <w:rsid w:val="009372F7"/>
    <w:pPr>
      <w:keepNext/>
      <w:spacing w:after="80"/>
    </w:pPr>
    <w:rPr>
      <w:i/>
    </w:rPr>
  </w:style>
  <w:style w:type="paragraph" w:customStyle="1" w:styleId="Sub-heading">
    <w:name w:val="Sub-heading"/>
    <w:basedOn w:val="Normal"/>
    <w:link w:val="Sub-headingChar"/>
    <w:autoRedefine/>
    <w:rsid w:val="009372F7"/>
    <w:pPr>
      <w:keepNext/>
      <w:spacing w:after="60"/>
    </w:pPr>
    <w:rPr>
      <w:rFonts w:cs="Calibri"/>
      <w:b/>
      <w:i/>
      <w:color w:val="003D69"/>
      <w:szCs w:val="22"/>
      <w:lang w:eastAsia="en-AU"/>
    </w:rPr>
  </w:style>
  <w:style w:type="character" w:customStyle="1" w:styleId="Sub-headingChar">
    <w:name w:val="Sub-heading Char"/>
    <w:basedOn w:val="DefaultParagraphFont"/>
    <w:link w:val="Sub-heading"/>
    <w:rsid w:val="009372F7"/>
    <w:rPr>
      <w:rFonts w:ascii="Arial" w:eastAsia="Times New Roman" w:hAnsi="Arial" w:cs="Calibri"/>
      <w:b/>
      <w:i/>
      <w:color w:val="003D69"/>
      <w:sz w:val="22"/>
      <w:szCs w:val="22"/>
      <w:lang w:val="en-AU" w:eastAsia="en-AU"/>
    </w:rPr>
  </w:style>
  <w:style w:type="paragraph" w:styleId="Subtitle">
    <w:name w:val="Subtitle"/>
    <w:next w:val="Normal"/>
    <w:link w:val="SubtitleChar"/>
    <w:qFormat/>
    <w:rsid w:val="009372F7"/>
    <w:pPr>
      <w:numPr>
        <w:ilvl w:val="1"/>
      </w:numPr>
      <w:spacing w:before="360" w:after="60"/>
      <w:contextualSpacing/>
    </w:pPr>
    <w:rPr>
      <w:rFonts w:ascii="Arial" w:eastAsiaTheme="majorEastAsia" w:hAnsi="Arial" w:cstheme="majorBidi"/>
      <w:iCs/>
      <w:color w:val="32373A"/>
      <w:spacing w:val="15"/>
      <w:sz w:val="36"/>
      <w:lang w:val="en-AU"/>
    </w:rPr>
  </w:style>
  <w:style w:type="character" w:customStyle="1" w:styleId="SubtitleChar">
    <w:name w:val="Subtitle Char"/>
    <w:basedOn w:val="DefaultParagraphFont"/>
    <w:link w:val="Subtitle"/>
    <w:rsid w:val="009372F7"/>
    <w:rPr>
      <w:rFonts w:ascii="Arial" w:eastAsiaTheme="majorEastAsia" w:hAnsi="Arial" w:cstheme="majorBidi"/>
      <w:iCs/>
      <w:color w:val="32373A"/>
      <w:spacing w:val="15"/>
      <w:sz w:val="36"/>
      <w:lang w:val="en-AU"/>
    </w:rPr>
  </w:style>
  <w:style w:type="character" w:styleId="SubtleEmphasis">
    <w:name w:val="Subtle Emphasis"/>
    <w:basedOn w:val="DefaultParagraphFont"/>
    <w:uiPriority w:val="19"/>
    <w:rsid w:val="009372F7"/>
    <w:rPr>
      <w:i/>
      <w:iCs/>
      <w:color w:val="808080" w:themeColor="text1" w:themeTint="7F"/>
    </w:rPr>
  </w:style>
  <w:style w:type="character" w:styleId="SubtleReference">
    <w:name w:val="Subtle Reference"/>
    <w:basedOn w:val="DefaultParagraphFont"/>
    <w:uiPriority w:val="31"/>
    <w:rsid w:val="009372F7"/>
    <w:rPr>
      <w:smallCaps/>
      <w:color w:val="ED7D31" w:themeColor="accent2"/>
      <w:u w:val="single"/>
    </w:rPr>
  </w:style>
  <w:style w:type="paragraph" w:customStyle="1" w:styleId="TableBullet1Small">
    <w:name w:val="Table Bullet 1 Small"/>
    <w:basedOn w:val="Normal"/>
    <w:rsid w:val="009372F7"/>
    <w:pPr>
      <w:numPr>
        <w:numId w:val="14"/>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2Small">
    <w:name w:val="Table Bullet 2 Small"/>
    <w:basedOn w:val="TableBullet1Small"/>
    <w:rsid w:val="009372F7"/>
    <w:pPr>
      <w:numPr>
        <w:ilvl w:val="1"/>
      </w:numPr>
    </w:pPr>
  </w:style>
  <w:style w:type="paragraph" w:customStyle="1" w:styleId="TableBullet3Small">
    <w:name w:val="Table Bullet 3 Small"/>
    <w:basedOn w:val="TableBullet2Small"/>
    <w:rsid w:val="009372F7"/>
    <w:pPr>
      <w:numPr>
        <w:ilvl w:val="2"/>
      </w:numPr>
    </w:pPr>
    <w:rPr>
      <w:szCs w:val="16"/>
    </w:rPr>
  </w:style>
  <w:style w:type="paragraph" w:customStyle="1" w:styleId="TableColumnHeadingNormal">
    <w:name w:val="Table Column Heading Normal"/>
    <w:basedOn w:val="Normal"/>
    <w:link w:val="TableColumnHeadingNormalChar"/>
    <w:rsid w:val="009372F7"/>
    <w:pPr>
      <w:keepNext/>
      <w:keepLines/>
      <w:kinsoku w:val="0"/>
      <w:overflowPunct w:val="0"/>
      <w:autoSpaceDE w:val="0"/>
      <w:autoSpaceDN w:val="0"/>
      <w:adjustRightInd w:val="0"/>
      <w:snapToGrid w:val="0"/>
      <w:spacing w:before="80" w:after="80"/>
    </w:pPr>
    <w:rPr>
      <w:rFonts w:asciiTheme="minorHAnsi" w:hAnsiTheme="minorHAnsi" w:cs="Arial"/>
      <w:b/>
      <w:snapToGrid w:val="0"/>
      <w:color w:val="FFFFFF" w:themeColor="background1"/>
      <w:sz w:val="20"/>
      <w:szCs w:val="20"/>
    </w:rPr>
  </w:style>
  <w:style w:type="character" w:customStyle="1" w:styleId="TableColumnHeadingNormalChar">
    <w:name w:val="Table Column Heading Normal Char"/>
    <w:basedOn w:val="DefaultParagraphFont"/>
    <w:link w:val="TableColumnHeadingNormal"/>
    <w:locked/>
    <w:rsid w:val="009372F7"/>
    <w:rPr>
      <w:rFonts w:eastAsia="Times New Roman" w:cs="Arial"/>
      <w:b/>
      <w:snapToGrid w:val="0"/>
      <w:color w:val="FFFFFF" w:themeColor="background1"/>
      <w:sz w:val="20"/>
      <w:szCs w:val="20"/>
      <w:lang w:val="en-AU"/>
    </w:rPr>
  </w:style>
  <w:style w:type="table" w:customStyle="1" w:styleId="TableGrid1">
    <w:name w:val="Table Grid1"/>
    <w:basedOn w:val="TableNormal"/>
    <w:next w:val="TableGrid"/>
    <w:uiPriority w:val="59"/>
    <w:rsid w:val="009372F7"/>
    <w:rPr>
      <w:rFonts w:ascii="Georgia" w:hAnsi="Georgia"/>
      <w:sz w:val="22"/>
      <w:szCs w:val="22"/>
      <w:lang w:val="en-AU"/>
    </w:rPr>
    <w:tblPr>
      <w:tblBorders>
        <w:top w:val="single" w:sz="6" w:space="0" w:color="44546A" w:themeColor="text2"/>
        <w:left w:val="single" w:sz="6" w:space="0" w:color="44546A" w:themeColor="text2"/>
        <w:bottom w:val="single" w:sz="6" w:space="0" w:color="44546A" w:themeColor="text2"/>
        <w:right w:val="single" w:sz="6" w:space="0" w:color="44546A" w:themeColor="text2"/>
        <w:insideH w:val="single" w:sz="6" w:space="0" w:color="44546A" w:themeColor="text2"/>
        <w:insideV w:val="single" w:sz="6" w:space="0" w:color="44546A" w:themeColor="text2"/>
      </w:tblBorders>
    </w:tblPr>
    <w:tblStylePr w:type="firstRow">
      <w:tblPr/>
      <w:trPr>
        <w:tblHeader/>
      </w:trPr>
      <w:tcPr>
        <w:shd w:val="clear" w:color="auto" w:fill="44546A" w:themeFill="text2"/>
      </w:tcPr>
    </w:tblStylePr>
  </w:style>
  <w:style w:type="table" w:customStyle="1" w:styleId="TableGrid2">
    <w:name w:val="Table Grid2"/>
    <w:basedOn w:val="TableNormal"/>
    <w:next w:val="TableGrid"/>
    <w:uiPriority w:val="59"/>
    <w:rsid w:val="009372F7"/>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next w:val="Normal"/>
    <w:qFormat/>
    <w:rsid w:val="009372F7"/>
    <w:pPr>
      <w:spacing w:before="80" w:after="80"/>
    </w:pPr>
    <w:rPr>
      <w:rFonts w:eastAsia="Cambria"/>
      <w:b/>
      <w:color w:val="000000" w:themeColor="text1"/>
      <w:szCs w:val="22"/>
      <w:lang w:val="en-US"/>
    </w:rPr>
  </w:style>
  <w:style w:type="paragraph" w:customStyle="1" w:styleId="TableHeaderteal">
    <w:name w:val="Table Header teal"/>
    <w:qFormat/>
    <w:rsid w:val="009372F7"/>
    <w:rPr>
      <w:rFonts w:ascii="Arial" w:eastAsia="Cambria" w:hAnsi="Arial" w:cs="Times New Roman"/>
      <w:b/>
      <w:color w:val="000000" w:themeColor="text1"/>
      <w:sz w:val="22"/>
      <w:szCs w:val="22"/>
      <w:lang w:val="en-US"/>
    </w:rPr>
  </w:style>
  <w:style w:type="paragraph" w:customStyle="1" w:styleId="TableHeaderWhite">
    <w:name w:val="Table Header White"/>
    <w:qFormat/>
    <w:rsid w:val="009372F7"/>
    <w:pPr>
      <w:spacing w:before="80" w:after="80"/>
    </w:pPr>
    <w:rPr>
      <w:rFonts w:ascii="Arial" w:eastAsia="Cambria" w:hAnsi="Arial" w:cs="Times New Roman"/>
      <w:color w:val="FFFFFF" w:themeColor="background1"/>
      <w:sz w:val="22"/>
      <w:szCs w:val="22"/>
      <w:lang w:val="en-US"/>
    </w:rPr>
  </w:style>
  <w:style w:type="paragraph" w:customStyle="1" w:styleId="Tablelistbullet">
    <w:name w:val="Table list bullet"/>
    <w:basedOn w:val="Normal"/>
    <w:qFormat/>
    <w:rsid w:val="008A0B33"/>
    <w:pPr>
      <w:numPr>
        <w:numId w:val="15"/>
      </w:numPr>
      <w:spacing w:before="40" w:after="40"/>
    </w:pPr>
    <w:rPr>
      <w:color w:val="000000" w:themeColor="text1"/>
      <w:szCs w:val="20"/>
    </w:rPr>
  </w:style>
  <w:style w:type="paragraph" w:customStyle="1" w:styleId="Tablelistnumber">
    <w:name w:val="Table list number"/>
    <w:basedOn w:val="Normal"/>
    <w:qFormat/>
    <w:rsid w:val="009372F7"/>
    <w:pPr>
      <w:numPr>
        <w:numId w:val="16"/>
      </w:numPr>
      <w:spacing w:before="80" w:after="80"/>
    </w:pPr>
    <w:rPr>
      <w:bCs/>
      <w:color w:val="000000" w:themeColor="text1"/>
      <w14:numSpacing w14:val="proportional"/>
    </w:rPr>
  </w:style>
  <w:style w:type="paragraph" w:styleId="TableofFigures">
    <w:name w:val="table of figures"/>
    <w:basedOn w:val="Normal"/>
    <w:next w:val="Normal"/>
    <w:uiPriority w:val="99"/>
    <w:rsid w:val="009372F7"/>
  </w:style>
  <w:style w:type="paragraph" w:customStyle="1" w:styleId="Tabletextnormal">
    <w:name w:val="Table text normal"/>
    <w:basedOn w:val="Normal"/>
    <w:rsid w:val="008A0B33"/>
    <w:pPr>
      <w:spacing w:before="40" w:after="40"/>
    </w:pPr>
    <w:rPr>
      <w:rFonts w:asciiTheme="minorHAnsi" w:hAnsiTheme="minorHAnsi"/>
      <w:color w:val="000000" w:themeColor="text1"/>
      <w:szCs w:val="22"/>
      <w:lang w:val="en-GB"/>
    </w:rPr>
  </w:style>
  <w:style w:type="paragraph" w:styleId="Title">
    <w:name w:val="Title"/>
    <w:next w:val="Normal"/>
    <w:link w:val="TitleChar"/>
    <w:qFormat/>
    <w:rsid w:val="009372F7"/>
    <w:pPr>
      <w:tabs>
        <w:tab w:val="left" w:pos="6792"/>
      </w:tabs>
      <w:spacing w:before="2040" w:after="480"/>
      <w:contextualSpacing/>
    </w:pPr>
    <w:rPr>
      <w:rFonts w:ascii="Arial" w:eastAsiaTheme="majorEastAsia" w:hAnsi="Arial" w:cstheme="majorBidi"/>
      <w:b/>
      <w:color w:val="153A6E"/>
      <w:kern w:val="28"/>
      <w:sz w:val="80"/>
      <w:szCs w:val="80"/>
      <w:lang w:val="en-AU"/>
    </w:rPr>
  </w:style>
  <w:style w:type="character" w:customStyle="1" w:styleId="TitleChar">
    <w:name w:val="Title Char"/>
    <w:basedOn w:val="DefaultParagraphFont"/>
    <w:link w:val="Title"/>
    <w:rsid w:val="009372F7"/>
    <w:rPr>
      <w:rFonts w:ascii="Arial" w:eastAsiaTheme="majorEastAsia" w:hAnsi="Arial" w:cstheme="majorBidi"/>
      <w:b/>
      <w:color w:val="153A6E"/>
      <w:kern w:val="28"/>
      <w:sz w:val="80"/>
      <w:szCs w:val="80"/>
      <w:lang w:val="en-AU"/>
    </w:rPr>
  </w:style>
  <w:style w:type="paragraph" w:styleId="TOCHeading">
    <w:name w:val="TOC Heading"/>
    <w:basedOn w:val="Heading1"/>
    <w:next w:val="Normal"/>
    <w:uiPriority w:val="39"/>
    <w:unhideWhenUsed/>
    <w:qFormat/>
    <w:rsid w:val="009372F7"/>
    <w:pPr>
      <w:keepLines/>
      <w:spacing w:before="480" w:after="0" w:line="276" w:lineRule="auto"/>
      <w:ind w:left="431" w:hanging="431"/>
      <w:outlineLvl w:val="9"/>
    </w:pPr>
    <w:rPr>
      <w:rFonts w:asciiTheme="majorHAnsi" w:eastAsiaTheme="majorEastAsia" w:hAnsiTheme="majorHAnsi" w:cstheme="majorBidi"/>
      <w:color w:val="2E74B5" w:themeColor="accent1" w:themeShade="BF"/>
      <w:kern w:val="0"/>
      <w:sz w:val="28"/>
      <w:szCs w:val="28"/>
      <w:lang w:val="en-US" w:eastAsia="ja-JP"/>
    </w:rPr>
  </w:style>
  <w:style w:type="paragraph" w:customStyle="1" w:styleId="Heading2nonumbering">
    <w:name w:val="Heading 2 no numbering"/>
    <w:basedOn w:val="Heading2"/>
    <w:rsid w:val="0039174C"/>
    <w:pPr>
      <w:numPr>
        <w:ilvl w:val="0"/>
        <w:numId w:val="0"/>
      </w:numPr>
    </w:pPr>
    <w:rPr>
      <w:sz w:val="28"/>
    </w:rPr>
  </w:style>
  <w:style w:type="paragraph" w:customStyle="1" w:styleId="Tablelistbullet2">
    <w:name w:val="Table list bullet 2"/>
    <w:basedOn w:val="Tablelistbullet"/>
    <w:rsid w:val="008A0B33"/>
    <w:pPr>
      <w:numPr>
        <w:ilvl w:val="1"/>
      </w:numPr>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53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pyright@health.gov.au"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commissioning.libraryservices.nhs.uk/commissioning-cycle/disinvestment" TargetMode="External"/><Relationship Id="rId3" Type="http://schemas.openxmlformats.org/officeDocument/2006/relationships/hyperlink" Target="http://www.coaghealthcouncil.gov.au/Publications/Reports" TargetMode="External"/><Relationship Id="rId7" Type="http://schemas.openxmlformats.org/officeDocument/2006/relationships/hyperlink" Target="http://www.nao.org.uk/decommissioning/" TargetMode="External"/><Relationship Id="rId2" Type="http://schemas.openxmlformats.org/officeDocument/2006/relationships/hyperlink" Target="https://aifs.gov.au/publications/cultural-competency-delivery-health-services-indigenous-people" TargetMode="External"/><Relationship Id="rId1" Type="http://schemas.openxmlformats.org/officeDocument/2006/relationships/hyperlink" Target="http://www.coaghealthcouncil.gov.au/Publications/Reports" TargetMode="External"/><Relationship Id="rId6" Type="http://schemas.openxmlformats.org/officeDocument/2006/relationships/hyperlink" Target="http://www.health.gov.au/internet/main/publishing.nsf/Content/PHNCommissioningResources" TargetMode="External"/><Relationship Id="rId5" Type="http://schemas.openxmlformats.org/officeDocument/2006/relationships/hyperlink" Target="http://www.health.gov.au/internet/main/publishing.nsf/Content/work-prog" TargetMode="External"/><Relationship Id="rId4" Type="http://schemas.openxmlformats.org/officeDocument/2006/relationships/hyperlink" Target="http://www.health.gov.au/internet/main/publishing.nsf/content/review-australian-government-health-workforce-progr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Onl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147094-DB0D-44C2-B650-FADF38BC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5184</Words>
  <Characters>29492</Characters>
  <Application>Microsoft Office Word</Application>
  <DocSecurity>4</DocSecurity>
  <Lines>711</Lines>
  <Paragraphs>341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Kitts</dc:creator>
  <cp:lastModifiedBy>PHN Branch</cp:lastModifiedBy>
  <cp:revision>2</cp:revision>
  <cp:lastPrinted>2018-07-10T05:59:00Z</cp:lastPrinted>
  <dcterms:created xsi:type="dcterms:W3CDTF">2018-08-08T08:26:00Z</dcterms:created>
  <dcterms:modified xsi:type="dcterms:W3CDTF">2018-08-08T08:26:00Z</dcterms:modified>
</cp:coreProperties>
</file>